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sz w:val="40"/>
          <w:szCs w:val="40"/>
          <w:lang w:val="en-US" w:eastAsia="zh-CN"/>
        </w:rPr>
      </w:pPr>
    </w:p>
    <w:p>
      <w:pPr>
        <w:jc w:val="center"/>
        <w:rPr>
          <w:rFonts w:hint="default" w:ascii="宋体" w:hAnsi="宋体" w:cs="宋体"/>
          <w:b/>
          <w:color w:val="000000"/>
          <w:sz w:val="40"/>
          <w:szCs w:val="40"/>
          <w:lang w:val="en-US"/>
        </w:rPr>
      </w:pPr>
      <w:r>
        <w:rPr>
          <w:rFonts w:hint="eastAsia" w:ascii="宋体" w:hAnsi="宋体" w:cs="宋体"/>
          <w:b/>
          <w:color w:val="000000"/>
          <w:sz w:val="40"/>
          <w:szCs w:val="40"/>
          <w:lang w:val="en-US" w:eastAsia="zh-CN"/>
        </w:rPr>
        <w:t>民丰县国土空间一张图平台监管系统项目</w:t>
      </w: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b/>
          <w:color w:val="auto"/>
          <w:sz w:val="28"/>
          <w:szCs w:val="28"/>
          <w:highlight w:val="none"/>
        </w:rPr>
      </w:pPr>
    </w:p>
    <w:p>
      <w:pPr>
        <w:jc w:val="center"/>
        <w:rPr>
          <w:rFonts w:hint="eastAsia" w:ascii="宋体" w:hAnsi="宋体" w:eastAsia="宋体"/>
          <w:b/>
          <w:color w:val="FF0000"/>
          <w:sz w:val="30"/>
          <w:szCs w:val="30"/>
          <w:lang w:val="en-US" w:eastAsia="zh-CN"/>
        </w:rPr>
      </w:pPr>
      <w:r>
        <w:rPr>
          <w:rFonts w:hint="eastAsia" w:ascii="宋体" w:hAnsi="宋体"/>
          <w:b/>
          <w:color w:val="auto"/>
          <w:sz w:val="28"/>
          <w:szCs w:val="28"/>
          <w:highlight w:val="none"/>
        </w:rPr>
        <w:t>项目编号：MFXCG-2023-0</w:t>
      </w:r>
      <w:r>
        <w:rPr>
          <w:rFonts w:hint="eastAsia" w:ascii="宋体" w:hAnsi="宋体"/>
          <w:b/>
          <w:color w:val="auto"/>
          <w:sz w:val="28"/>
          <w:szCs w:val="28"/>
          <w:highlight w:val="none"/>
          <w:lang w:val="en-US" w:eastAsia="zh-CN"/>
        </w:rPr>
        <w:t>4</w:t>
      </w:r>
    </w:p>
    <w:p>
      <w:pPr>
        <w:jc w:val="both"/>
        <w:rPr>
          <w:rFonts w:hint="eastAsia" w:ascii="宋体" w:hAnsi="宋体" w:cs="宋体"/>
          <w:b/>
          <w:color w:val="000000"/>
          <w:sz w:val="28"/>
          <w:szCs w:val="28"/>
        </w:rPr>
      </w:pPr>
    </w:p>
    <w:p>
      <w:pPr>
        <w:jc w:val="center"/>
        <w:rPr>
          <w:rFonts w:hint="eastAsia" w:ascii="宋体" w:hAnsi="宋体" w:eastAsia="宋体" w:cs="宋体"/>
          <w:b/>
          <w:color w:val="000000"/>
          <w:sz w:val="84"/>
          <w:szCs w:val="84"/>
          <w:lang w:val="en-US" w:eastAsia="zh-CN"/>
        </w:rPr>
      </w:pPr>
      <w:r>
        <w:rPr>
          <w:rFonts w:hint="eastAsia" w:ascii="宋体" w:hAnsi="宋体" w:cs="宋体"/>
          <w:b/>
          <w:color w:val="000000"/>
          <w:sz w:val="84"/>
          <w:szCs w:val="84"/>
          <w:lang w:val="en-US" w:eastAsia="zh-CN"/>
        </w:rPr>
        <w:t>招</w:t>
      </w:r>
    </w:p>
    <w:p>
      <w:pPr>
        <w:jc w:val="center"/>
        <w:rPr>
          <w:rFonts w:hint="default" w:ascii="宋体" w:hAnsi="宋体" w:eastAsia="宋体" w:cs="宋体"/>
          <w:b/>
          <w:color w:val="000000"/>
          <w:sz w:val="84"/>
          <w:szCs w:val="84"/>
          <w:lang w:val="en-US" w:eastAsia="zh-CN"/>
        </w:rPr>
      </w:pPr>
      <w:r>
        <w:rPr>
          <w:rFonts w:hint="eastAsia" w:ascii="宋体" w:hAnsi="宋体" w:cs="宋体"/>
          <w:b/>
          <w:color w:val="000000"/>
          <w:sz w:val="84"/>
          <w:szCs w:val="84"/>
          <w:lang w:val="en-US" w:eastAsia="zh-CN"/>
        </w:rPr>
        <w:t>标</w:t>
      </w:r>
    </w:p>
    <w:p>
      <w:pPr>
        <w:jc w:val="center"/>
        <w:rPr>
          <w:rFonts w:hint="eastAsia" w:ascii="宋体" w:hAnsi="宋体" w:cs="宋体"/>
          <w:b/>
          <w:color w:val="000000"/>
          <w:sz w:val="84"/>
          <w:szCs w:val="84"/>
        </w:rPr>
      </w:pPr>
      <w:r>
        <w:rPr>
          <w:rFonts w:hint="eastAsia" w:ascii="宋体" w:hAnsi="宋体" w:cs="宋体"/>
          <w:b/>
          <w:color w:val="000000"/>
          <w:sz w:val="84"/>
          <w:szCs w:val="84"/>
        </w:rPr>
        <w:t>文</w:t>
      </w:r>
    </w:p>
    <w:p>
      <w:pPr>
        <w:jc w:val="center"/>
        <w:rPr>
          <w:rFonts w:hint="eastAsia" w:ascii="宋体" w:hAnsi="宋体" w:cs="宋体"/>
          <w:b/>
          <w:color w:val="000000"/>
          <w:sz w:val="74"/>
          <w:szCs w:val="96"/>
        </w:rPr>
      </w:pPr>
      <w:r>
        <w:rPr>
          <w:rFonts w:hint="eastAsia" w:ascii="宋体" w:hAnsi="宋体" w:cs="宋体"/>
          <w:b/>
          <w:color w:val="000000"/>
          <w:sz w:val="84"/>
          <w:szCs w:val="84"/>
        </w:rPr>
        <w:t>件</w:t>
      </w:r>
    </w:p>
    <w:p>
      <w:pPr>
        <w:rPr>
          <w:rFonts w:hint="eastAsia" w:ascii="宋体" w:hAnsi="宋体" w:cs="宋体"/>
          <w:b/>
          <w:color w:val="000000"/>
          <w:sz w:val="28"/>
          <w:szCs w:val="28"/>
        </w:rPr>
      </w:pPr>
    </w:p>
    <w:p>
      <w:pPr>
        <w:rPr>
          <w:rFonts w:hint="eastAsia" w:ascii="宋体" w:hAnsi="宋体" w:cs="宋体"/>
          <w:b/>
          <w:color w:val="000000"/>
          <w:sz w:val="28"/>
          <w:szCs w:val="28"/>
        </w:rPr>
      </w:pP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color w:val="000000"/>
          <w:sz w:val="28"/>
          <w:szCs w:val="28"/>
          <w:lang w:val="zh-CN"/>
        </w:rPr>
        <w:t>采购单位：</w:t>
      </w:r>
      <w:r>
        <w:rPr>
          <w:rFonts w:hint="eastAsia" w:ascii="黑体" w:hAnsi="黑体" w:eastAsia="黑体"/>
          <w:b/>
          <w:color w:val="000000"/>
          <w:sz w:val="28"/>
          <w:szCs w:val="28"/>
          <w:u w:val="single"/>
          <w:lang w:val="zh-CN" w:eastAsia="zh-CN"/>
        </w:rPr>
        <w:t>民丰县自然资源局</w:t>
      </w:r>
      <w:r>
        <w:rPr>
          <w:rFonts w:hint="eastAsia" w:ascii="黑体" w:hAnsi="黑体" w:eastAsia="黑体"/>
          <w:b/>
          <w:bCs/>
          <w:color w:val="000000"/>
          <w:spacing w:val="-18"/>
          <w:sz w:val="28"/>
          <w:szCs w:val="28"/>
          <w:u w:val="single"/>
          <w:lang w:val="en-US" w:eastAsia="zh-CN"/>
        </w:rPr>
        <w:t xml:space="preserve"> </w:t>
      </w:r>
      <w:r>
        <w:rPr>
          <w:rFonts w:hint="eastAsia" w:ascii="黑体" w:hAnsi="黑体" w:eastAsia="黑体"/>
          <w:b/>
          <w:bCs/>
          <w:color w:val="000000"/>
          <w:spacing w:val="-18"/>
          <w:sz w:val="28"/>
          <w:szCs w:val="28"/>
          <w:lang w:val="zh-CN"/>
        </w:rPr>
        <w:t>  （盖单位章）</w:t>
      </w:r>
    </w:p>
    <w:p>
      <w:pPr>
        <w:autoSpaceDE w:val="0"/>
        <w:autoSpaceDN w:val="0"/>
        <w:spacing w:line="400" w:lineRule="exact"/>
        <w:ind w:firstLine="735" w:firstLineChars="300"/>
        <w:jc w:val="left"/>
        <w:rPr>
          <w:rFonts w:hint="eastAsia" w:ascii="黑体" w:hAnsi="黑体" w:eastAsia="黑体"/>
          <w:b/>
          <w:bCs/>
          <w:color w:val="000000"/>
          <w:spacing w:val="-18"/>
          <w:sz w:val="28"/>
          <w:szCs w:val="28"/>
          <w:lang w:val="zh-CN"/>
        </w:rPr>
      </w:pP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rPr>
          <w:rFonts w:ascii="黑体" w:hAnsi="黑体" w:eastAsia="黑体"/>
          <w:b/>
          <w:bCs/>
          <w:color w:val="000000"/>
          <w:sz w:val="28"/>
          <w:szCs w:val="28"/>
          <w:u w:val="single"/>
        </w:rPr>
      </w:pPr>
      <w:r>
        <w:rPr>
          <w:rFonts w:hint="eastAsia" w:ascii="黑体" w:hAnsi="黑体" w:eastAsia="黑体"/>
          <w:b/>
          <w:color w:val="000000"/>
          <w:sz w:val="28"/>
          <w:szCs w:val="28"/>
          <w:lang w:val="zh-CN"/>
        </w:rPr>
        <w:t>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lang w:val="zh-CN" w:eastAsia="zh-CN"/>
        </w:rPr>
        <w:t>新疆鼎之裕工程招标咨询有限公司</w:t>
      </w:r>
      <w:r>
        <w:rPr>
          <w:rFonts w:hint="eastAsia" w:ascii="黑体" w:hAnsi="黑体" w:eastAsia="黑体"/>
          <w:b/>
          <w:bCs/>
          <w:color w:val="000000"/>
          <w:spacing w:val="-18"/>
          <w:sz w:val="28"/>
          <w:szCs w:val="28"/>
          <w:lang w:val="zh-CN"/>
        </w:rPr>
        <w:t>（盖单位章）</w:t>
      </w:r>
    </w:p>
    <w:p>
      <w:pPr>
        <w:rPr>
          <w:b/>
          <w:color w:val="000000"/>
          <w:sz w:val="52"/>
          <w:szCs w:val="52"/>
        </w:rPr>
      </w:pPr>
      <w:r>
        <w:rPr>
          <w:rFonts w:hint="eastAsia"/>
          <w:b/>
          <w:color w:val="000000"/>
          <w:sz w:val="52"/>
          <w:szCs w:val="52"/>
        </w:rPr>
        <w:t xml:space="preserve"> </w:t>
      </w:r>
    </w:p>
    <w:p>
      <w:pPr>
        <w:spacing w:line="360" w:lineRule="auto"/>
        <w:jc w:val="center"/>
        <w:rPr>
          <w:rFonts w:ascii="宋体" w:hAnsi="宋体" w:eastAsia="宋体" w:cs="宋体"/>
          <w:spacing w:val="-14"/>
          <w:sz w:val="32"/>
          <w:szCs w:val="32"/>
          <w14:textOutline w14:w="5791" w14:cap="flat" w14:cmpd="sng">
            <w14:solidFill>
              <w14:srgbClr w14:val="000000"/>
            </w14:solidFill>
            <w14:prstDash w14:val="solid"/>
            <w14:miter w14:val="0"/>
          </w14:textOutline>
        </w:rPr>
        <w:sectPr>
          <w:headerReference r:id="rId3" w:type="default"/>
          <w:footerReference r:id="rId4" w:type="default"/>
          <w:pgSz w:w="11907" w:h="16839"/>
          <w:pgMar w:top="1431" w:right="1762" w:bottom="1156" w:left="1785" w:header="0" w:footer="1034" w:gutter="0"/>
          <w:pgNumType w:fmt="numberInDash"/>
          <w:cols w:space="720" w:num="1"/>
        </w:sectPr>
      </w:pPr>
      <w:r>
        <w:rPr>
          <w:rFonts w:hint="eastAsia" w:ascii="宋体" w:hAnsi="宋体" w:eastAsia="宋体" w:cs="宋体"/>
          <w:spacing w:val="-14"/>
          <w:sz w:val="32"/>
          <w:szCs w:val="32"/>
          <w:lang w:val="zh-CN"/>
          <w14:textOutline w14:w="5791" w14:cap="flat" w14:cmpd="sng">
            <w14:solidFill>
              <w14:srgbClr w14:val="000000"/>
            </w14:solidFill>
            <w14:prstDash w14:val="solid"/>
            <w14:miter w14:val="0"/>
          </w14:textOutline>
        </w:rPr>
        <w:t>二</w:t>
      </w:r>
      <w:r>
        <w:rPr>
          <w:rFonts w:hint="eastAsia" w:ascii="宋体" w:hAnsi="宋体" w:eastAsia="宋体" w:cs="宋体"/>
          <w:spacing w:val="-14"/>
          <w:sz w:val="32"/>
          <w:szCs w:val="32"/>
          <w14:textOutline w14:w="5791" w14:cap="flat" w14:cmpd="sng">
            <w14:solidFill>
              <w14:srgbClr w14:val="000000"/>
            </w14:solidFill>
            <w14:prstDash w14:val="solid"/>
            <w14:miter w14:val="0"/>
          </w14:textOutline>
        </w:rPr>
        <w:t>零</w:t>
      </w:r>
      <w:r>
        <w:rPr>
          <w:rFonts w:hint="eastAsia" w:ascii="宋体" w:hAnsi="宋体" w:eastAsia="宋体" w:cs="宋体"/>
          <w:spacing w:val="-14"/>
          <w:sz w:val="32"/>
          <w:szCs w:val="32"/>
          <w:lang w:val="en-US" w:eastAsia="zh-CN"/>
          <w14:textOutline w14:w="5791" w14:cap="flat" w14:cmpd="sng">
            <w14:solidFill>
              <w14:srgbClr w14:val="000000"/>
            </w14:solidFill>
            <w14:prstDash w14:val="solid"/>
            <w14:miter w14:val="0"/>
          </w14:textOutline>
        </w:rPr>
        <w:t>二三年三</w:t>
      </w:r>
      <w:r>
        <w:rPr>
          <w:rFonts w:hint="eastAsia" w:ascii="宋体" w:hAnsi="宋体" w:eastAsia="宋体" w:cs="宋体"/>
          <w:spacing w:val="-14"/>
          <w:sz w:val="32"/>
          <w:szCs w:val="32"/>
          <w:lang w:val="zh-CN"/>
          <w14:textOutline w14:w="5791" w14:cap="flat" w14:cmpd="sng">
            <w14:solidFill>
              <w14:srgbClr w14:val="000000"/>
            </w14:solidFill>
            <w14:prstDash w14:val="solid"/>
            <w14:miter w14:val="0"/>
          </w14:textOutline>
        </w:rPr>
        <w:t>月</w:t>
      </w:r>
    </w:p>
    <w:p>
      <w:pPr>
        <w:spacing w:before="204" w:line="185" w:lineRule="auto"/>
        <w:jc w:val="center"/>
        <w:outlineLvl w:val="0"/>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sectPr>
          <w:pgSz w:w="11906" w:h="16838"/>
          <w:pgMar w:top="1440" w:right="1800" w:bottom="1440" w:left="1800" w:header="851" w:footer="992" w:gutter="0"/>
          <w:pgNumType w:fmt="numberInDash"/>
          <w:cols w:space="425" w:num="1"/>
          <w:docGrid w:type="lines" w:linePitch="312" w:charSpace="0"/>
        </w:sectPr>
      </w:pPr>
    </w:p>
    <w:p>
      <w:pPr>
        <w:spacing w:before="204" w:line="185" w:lineRule="auto"/>
        <w:jc w:val="center"/>
        <w:outlineLvl w:val="0"/>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t>目录</w:t>
      </w:r>
    </w:p>
    <w:p>
      <w:pPr>
        <w:numPr>
          <w:ilvl w:val="0"/>
          <w:numId w:val="0"/>
        </w:numPr>
        <w:spacing w:before="204" w:line="185" w:lineRule="auto"/>
        <w:jc w:val="both"/>
        <w:outlineLvl w:val="0"/>
        <w:rPr>
          <w:rFonts w:hint="default" w:ascii="宋体" w:hAnsi="宋体" w:eastAsia="宋体" w:cs="宋体"/>
          <w:b w:val="0"/>
          <w:bCs w:val="0"/>
          <w:snapToGrid w:val="0"/>
          <w:color w:val="000000"/>
          <w:spacing w:val="-6"/>
          <w:kern w:val="0"/>
          <w:sz w:val="32"/>
          <w:szCs w:val="32"/>
          <w:lang w:val="en-US" w:eastAsia="zh-CN" w:bidi="ar-SA"/>
        </w:rPr>
      </w:pPr>
      <w:r>
        <w:rPr>
          <w:rFonts w:hint="eastAsia" w:ascii="宋体" w:hAnsi="宋体" w:eastAsia="宋体" w:cs="宋体"/>
          <w:b w:val="0"/>
          <w:bCs w:val="0"/>
          <w:snapToGrid w:val="0"/>
          <w:color w:val="000000"/>
          <w:spacing w:val="-6"/>
          <w:kern w:val="0"/>
          <w:sz w:val="32"/>
          <w:szCs w:val="32"/>
          <w:lang w:val="en-US" w:eastAsia="zh-CN" w:bidi="ar-SA"/>
        </w:rPr>
        <w:t>第一章 招标公告</w:t>
      </w:r>
      <w:r>
        <w:rPr>
          <w:rFonts w:hint="eastAsia" w:ascii="宋体" w:hAnsi="宋体" w:cs="宋体"/>
          <w:b w:val="0"/>
          <w:bCs w:val="0"/>
          <w:snapToGrid w:val="0"/>
          <w:color w:val="000000"/>
          <w:spacing w:val="-6"/>
          <w:kern w:val="0"/>
          <w:sz w:val="32"/>
          <w:szCs w:val="32"/>
          <w:lang w:val="en-US" w:eastAsia="zh-CN" w:bidi="ar-SA"/>
        </w:rPr>
        <w:t>------------------------------------</w:t>
      </w:r>
      <w:r>
        <w:rPr>
          <w:rFonts w:hint="eastAsia" w:ascii="宋体" w:hAnsi="宋体" w:eastAsia="宋体" w:cs="宋体"/>
          <w:b w:val="0"/>
          <w:bCs w:val="0"/>
          <w:snapToGrid w:val="0"/>
          <w:color w:val="000000"/>
          <w:spacing w:val="-6"/>
          <w:kern w:val="0"/>
          <w:sz w:val="32"/>
          <w:szCs w:val="32"/>
          <w:lang w:val="en-US" w:eastAsia="zh-CN" w:bidi="ar-SA"/>
        </w:rPr>
        <w:t>-3</w:t>
      </w:r>
    </w:p>
    <w:p>
      <w:pPr>
        <w:numPr>
          <w:ilvl w:val="0"/>
          <w:numId w:val="0"/>
        </w:numPr>
        <w:spacing w:before="204" w:line="185" w:lineRule="auto"/>
        <w:jc w:val="both"/>
        <w:outlineLvl w:val="0"/>
        <w:rPr>
          <w:rFonts w:hint="eastAsia" w:ascii="宋体" w:hAnsi="宋体" w:eastAsia="宋体" w:cs="宋体"/>
          <w:b w:val="0"/>
          <w:bCs w:val="0"/>
          <w:snapToGrid w:val="0"/>
          <w:color w:val="000000"/>
          <w:spacing w:val="-6"/>
          <w:kern w:val="0"/>
          <w:sz w:val="32"/>
          <w:szCs w:val="32"/>
          <w:lang w:val="en-US" w:eastAsia="zh-CN" w:bidi="ar-SA"/>
        </w:rPr>
      </w:pPr>
      <w:r>
        <w:rPr>
          <w:rFonts w:hint="eastAsia" w:ascii="宋体" w:hAnsi="宋体" w:eastAsia="宋体" w:cs="宋体"/>
          <w:b w:val="0"/>
          <w:bCs w:val="0"/>
          <w:snapToGrid w:val="0"/>
          <w:color w:val="000000"/>
          <w:spacing w:val="-6"/>
          <w:kern w:val="0"/>
          <w:sz w:val="32"/>
          <w:szCs w:val="32"/>
          <w:lang w:val="en-US" w:eastAsia="zh-CN" w:bidi="ar-SA"/>
        </w:rPr>
        <w:t>第二章 投标人须知前附表</w:t>
      </w:r>
      <w:r>
        <w:rPr>
          <w:rFonts w:hint="eastAsia" w:ascii="宋体" w:hAnsi="宋体" w:cs="宋体"/>
          <w:b w:val="0"/>
          <w:bCs w:val="0"/>
          <w:snapToGrid w:val="0"/>
          <w:color w:val="000000"/>
          <w:spacing w:val="-6"/>
          <w:kern w:val="0"/>
          <w:sz w:val="32"/>
          <w:szCs w:val="32"/>
          <w:lang w:val="en-US" w:eastAsia="zh-CN" w:bidi="ar-SA"/>
        </w:rPr>
        <w:t>----------------------------</w:t>
      </w:r>
      <w:r>
        <w:rPr>
          <w:rFonts w:hint="eastAsia" w:ascii="宋体" w:hAnsi="宋体" w:eastAsia="宋体" w:cs="宋体"/>
          <w:b w:val="0"/>
          <w:bCs w:val="0"/>
          <w:snapToGrid w:val="0"/>
          <w:color w:val="000000"/>
          <w:spacing w:val="-6"/>
          <w:kern w:val="0"/>
          <w:sz w:val="32"/>
          <w:szCs w:val="32"/>
          <w:lang w:val="en-US" w:eastAsia="zh-CN" w:bidi="ar-SA"/>
        </w:rPr>
        <w:t>-7</w:t>
      </w:r>
    </w:p>
    <w:p>
      <w:pPr>
        <w:numPr>
          <w:ilvl w:val="0"/>
          <w:numId w:val="0"/>
        </w:numPr>
        <w:spacing w:before="204" w:line="185" w:lineRule="auto"/>
        <w:jc w:val="both"/>
        <w:outlineLvl w:val="0"/>
        <w:rPr>
          <w:rFonts w:hint="eastAsia" w:ascii="宋体" w:hAnsi="宋体" w:eastAsia="宋体" w:cs="宋体"/>
          <w:b w:val="0"/>
          <w:bCs w:val="0"/>
          <w:snapToGrid w:val="0"/>
          <w:color w:val="000000"/>
          <w:spacing w:val="-6"/>
          <w:kern w:val="0"/>
          <w:sz w:val="32"/>
          <w:szCs w:val="32"/>
          <w:lang w:val="en-US" w:eastAsia="zh-CN" w:bidi="ar-SA"/>
        </w:rPr>
      </w:pPr>
      <w:r>
        <w:rPr>
          <w:rFonts w:hint="eastAsia" w:ascii="宋体" w:hAnsi="宋体" w:eastAsia="宋体" w:cs="宋体"/>
          <w:b w:val="0"/>
          <w:bCs w:val="0"/>
          <w:snapToGrid w:val="0"/>
          <w:color w:val="000000"/>
          <w:spacing w:val="-6"/>
          <w:kern w:val="0"/>
          <w:sz w:val="32"/>
          <w:szCs w:val="32"/>
          <w:lang w:val="en-US" w:eastAsia="zh-CN" w:bidi="ar-SA"/>
        </w:rPr>
        <w:t>第三章 项目服务需求-</w:t>
      </w:r>
      <w:r>
        <w:rPr>
          <w:rFonts w:hint="eastAsia" w:ascii="宋体" w:hAnsi="宋体" w:cs="宋体"/>
          <w:b w:val="0"/>
          <w:bCs w:val="0"/>
          <w:snapToGrid w:val="0"/>
          <w:color w:val="000000"/>
          <w:spacing w:val="-6"/>
          <w:kern w:val="0"/>
          <w:sz w:val="32"/>
          <w:szCs w:val="32"/>
          <w:lang w:val="en-US" w:eastAsia="zh-CN" w:bidi="ar-SA"/>
        </w:rPr>
        <w:t>-------------------------------</w:t>
      </w:r>
      <w:r>
        <w:rPr>
          <w:rFonts w:hint="eastAsia" w:ascii="宋体" w:hAnsi="宋体" w:eastAsia="宋体" w:cs="宋体"/>
          <w:b w:val="0"/>
          <w:bCs w:val="0"/>
          <w:snapToGrid w:val="0"/>
          <w:color w:val="000000"/>
          <w:spacing w:val="-6"/>
          <w:kern w:val="0"/>
          <w:sz w:val="32"/>
          <w:szCs w:val="32"/>
          <w:lang w:val="en-US" w:eastAsia="zh-CN" w:bidi="ar-SA"/>
        </w:rPr>
        <w:t>32</w:t>
      </w:r>
    </w:p>
    <w:p>
      <w:pPr>
        <w:numPr>
          <w:ilvl w:val="0"/>
          <w:numId w:val="0"/>
        </w:numPr>
        <w:spacing w:before="204" w:line="185" w:lineRule="auto"/>
        <w:jc w:val="both"/>
        <w:outlineLvl w:val="0"/>
        <w:rPr>
          <w:rFonts w:hint="eastAsia" w:ascii="宋体" w:hAnsi="宋体" w:eastAsia="宋体" w:cs="宋体"/>
          <w:b w:val="0"/>
          <w:bCs w:val="0"/>
          <w:snapToGrid w:val="0"/>
          <w:color w:val="000000"/>
          <w:spacing w:val="-6"/>
          <w:kern w:val="0"/>
          <w:sz w:val="32"/>
          <w:szCs w:val="32"/>
          <w:lang w:val="en-US" w:eastAsia="zh-CN" w:bidi="ar-SA"/>
        </w:rPr>
      </w:pPr>
      <w:r>
        <w:rPr>
          <w:rFonts w:hint="eastAsia" w:ascii="宋体" w:hAnsi="宋体" w:eastAsia="宋体" w:cs="宋体"/>
          <w:b w:val="0"/>
          <w:bCs w:val="0"/>
          <w:snapToGrid w:val="0"/>
          <w:color w:val="000000"/>
          <w:spacing w:val="-6"/>
          <w:kern w:val="0"/>
          <w:sz w:val="32"/>
          <w:szCs w:val="32"/>
          <w:lang w:val="en-US" w:eastAsia="zh-CN" w:bidi="ar-SA"/>
        </w:rPr>
        <w:t>第四章 评分标准-</w:t>
      </w:r>
      <w:r>
        <w:rPr>
          <w:rFonts w:hint="eastAsia" w:ascii="宋体" w:hAnsi="宋体" w:cs="宋体"/>
          <w:b w:val="0"/>
          <w:bCs w:val="0"/>
          <w:snapToGrid w:val="0"/>
          <w:color w:val="000000"/>
          <w:spacing w:val="-6"/>
          <w:kern w:val="0"/>
          <w:sz w:val="32"/>
          <w:szCs w:val="32"/>
          <w:lang w:val="en-US" w:eastAsia="zh-CN" w:bidi="ar-SA"/>
        </w:rPr>
        <w:t>-----------------------------------</w:t>
      </w:r>
      <w:r>
        <w:rPr>
          <w:rFonts w:hint="eastAsia" w:ascii="宋体" w:hAnsi="宋体" w:eastAsia="宋体" w:cs="宋体"/>
          <w:b w:val="0"/>
          <w:bCs w:val="0"/>
          <w:snapToGrid w:val="0"/>
          <w:color w:val="000000"/>
          <w:spacing w:val="-6"/>
          <w:kern w:val="0"/>
          <w:sz w:val="32"/>
          <w:szCs w:val="32"/>
          <w:lang w:val="en-US" w:eastAsia="zh-CN" w:bidi="ar-SA"/>
        </w:rPr>
        <w:t>33</w:t>
      </w:r>
    </w:p>
    <w:p>
      <w:pPr>
        <w:numPr>
          <w:ilvl w:val="0"/>
          <w:numId w:val="0"/>
        </w:numPr>
        <w:spacing w:before="204" w:line="185" w:lineRule="auto"/>
        <w:jc w:val="both"/>
        <w:outlineLvl w:val="0"/>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val="0"/>
          <w:bCs w:val="0"/>
          <w:snapToGrid w:val="0"/>
          <w:color w:val="000000"/>
          <w:spacing w:val="-6"/>
          <w:kern w:val="0"/>
          <w:sz w:val="32"/>
          <w:szCs w:val="32"/>
          <w:lang w:val="en-US" w:eastAsia="zh-CN" w:bidi="ar-SA"/>
        </w:rPr>
        <w:t>第五章 投标文件格式-</w:t>
      </w:r>
      <w:r>
        <w:rPr>
          <w:rFonts w:hint="eastAsia" w:ascii="宋体" w:hAnsi="宋体" w:cs="宋体"/>
          <w:b w:val="0"/>
          <w:bCs w:val="0"/>
          <w:snapToGrid w:val="0"/>
          <w:color w:val="000000"/>
          <w:spacing w:val="-6"/>
          <w:kern w:val="0"/>
          <w:sz w:val="32"/>
          <w:szCs w:val="32"/>
          <w:lang w:val="en-US" w:eastAsia="zh-CN" w:bidi="ar-SA"/>
        </w:rPr>
        <w:t>-------------------------------</w:t>
      </w:r>
      <w:r>
        <w:rPr>
          <w:rFonts w:hint="eastAsia" w:ascii="宋体" w:hAnsi="宋体" w:eastAsia="宋体" w:cs="宋体"/>
          <w:b w:val="0"/>
          <w:bCs w:val="0"/>
          <w:snapToGrid w:val="0"/>
          <w:color w:val="000000"/>
          <w:spacing w:val="-6"/>
          <w:kern w:val="0"/>
          <w:sz w:val="32"/>
          <w:szCs w:val="32"/>
          <w:lang w:val="en-US" w:eastAsia="zh-CN" w:bidi="ar-SA"/>
        </w:rPr>
        <w:t>45</w:t>
      </w:r>
    </w:p>
    <w:p>
      <w:pPr>
        <w:pStyle w:val="20"/>
        <w:sectPr>
          <w:pgSz w:w="11906" w:h="16838"/>
          <w:pgMar w:top="1440" w:right="1800" w:bottom="1440" w:left="1800" w:header="851" w:footer="992" w:gutter="0"/>
          <w:pgNumType w:fmt="numberInDash"/>
          <w:cols w:space="425" w:num="1"/>
          <w:docGrid w:type="lines" w:linePitch="312" w:charSpace="0"/>
        </w:sectPr>
      </w:pPr>
    </w:p>
    <w:p>
      <w:pPr>
        <w:spacing w:before="204" w:line="185" w:lineRule="auto"/>
        <w:jc w:val="both"/>
        <w:outlineLvl w:val="0"/>
        <w:rPr>
          <w:rFonts w:ascii="宋体" w:hAnsi="宋体" w:eastAsia="宋体" w:cs="宋体"/>
          <w:spacing w:val="-3"/>
          <w:sz w:val="36"/>
          <w:szCs w:val="36"/>
          <w14:textOutline w14:w="6531" w14:cap="flat" w14:cmpd="sng">
            <w14:solidFill>
              <w14:srgbClr w14:val="000000"/>
            </w14:solidFill>
            <w14:prstDash w14:val="solid"/>
            <w14:miter w14:val="0"/>
          </w14:textOutline>
        </w:rPr>
      </w:pPr>
    </w:p>
    <w:p>
      <w:pPr>
        <w:spacing w:before="204" w:line="185" w:lineRule="auto"/>
        <w:jc w:val="center"/>
        <w:outlineLvl w:val="0"/>
        <w:rPr>
          <w:rFonts w:ascii="宋体" w:hAnsi="宋体" w:eastAsia="宋体" w:cs="宋体"/>
          <w:spacing w:val="-3"/>
          <w:sz w:val="36"/>
          <w:szCs w:val="36"/>
          <w14:textOutline w14:w="6531" w14:cap="flat" w14:cmpd="sng">
            <w14:solidFill>
              <w14:srgbClr w14:val="000000"/>
            </w14:solidFill>
            <w14:prstDash w14:val="solid"/>
            <w14:miter w14:val="0"/>
          </w14:textOutline>
        </w:rPr>
      </w:pPr>
    </w:p>
    <w:p>
      <w:pPr>
        <w:spacing w:before="204" w:line="185" w:lineRule="auto"/>
        <w:jc w:val="center"/>
        <w:outlineLvl w:val="0"/>
        <w:rPr>
          <w:rFonts w:ascii="宋体" w:hAnsi="宋体" w:eastAsia="宋体" w:cs="宋体"/>
          <w:spacing w:val="-3"/>
          <w:sz w:val="36"/>
          <w:szCs w:val="36"/>
          <w14:textOutline w14:w="6531" w14:cap="flat" w14:cmpd="sng">
            <w14:solidFill>
              <w14:srgbClr w14:val="000000"/>
            </w14:solidFill>
            <w14:prstDash w14:val="solid"/>
            <w14:miter w14:val="0"/>
          </w14:textOutline>
        </w:rPr>
      </w:pPr>
    </w:p>
    <w:p>
      <w:pPr>
        <w:spacing w:before="204" w:line="185" w:lineRule="auto"/>
        <w:jc w:val="center"/>
        <w:outlineLvl w:val="0"/>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r>
        <w:rPr>
          <w:rFonts w:ascii="宋体" w:hAnsi="宋体" w:eastAsia="宋体" w:cs="宋体"/>
          <w:spacing w:val="-3"/>
          <w:sz w:val="36"/>
          <w:szCs w:val="36"/>
          <w14:textOutline w14:w="6531" w14:cap="flat" w14:cmpd="sng">
            <w14:solidFill>
              <w14:srgbClr w14:val="000000"/>
            </w14:solidFill>
            <w14:prstDash w14:val="solid"/>
            <w14:miter w14:val="0"/>
          </w14:textOutline>
        </w:rPr>
        <w:t>第一</w:t>
      </w:r>
      <w:r>
        <w:rPr>
          <w:rFonts w:hint="eastAsia" w:ascii="宋体" w:hAnsi="宋体" w:cs="宋体"/>
          <w:spacing w:val="-3"/>
          <w:sz w:val="36"/>
          <w:szCs w:val="36"/>
          <w:lang w:val="en-US" w:eastAsia="zh-CN"/>
          <w14:textOutline w14:w="6531" w14:cap="flat" w14:cmpd="sng">
            <w14:solidFill>
              <w14:srgbClr w14:val="000000"/>
            </w14:solidFill>
            <w14:prstDash w14:val="solid"/>
            <w14:miter w14:val="0"/>
          </w14:textOutline>
        </w:rPr>
        <w:t>章</w:t>
      </w:r>
      <w:r>
        <w:rPr>
          <w:rFonts w:ascii="宋体" w:hAnsi="宋体" w:eastAsia="宋体" w:cs="宋体"/>
          <w:spacing w:val="7"/>
          <w:sz w:val="36"/>
          <w:szCs w:val="36"/>
        </w:rPr>
        <w:t xml:space="preserve"> </w:t>
      </w:r>
      <w:r>
        <w:rPr>
          <w:rFonts w:ascii="宋体" w:hAnsi="宋体" w:eastAsia="宋体" w:cs="宋体"/>
          <w:spacing w:val="-3"/>
          <w:sz w:val="36"/>
          <w:szCs w:val="36"/>
          <w14:textOutline w14:w="6531" w14:cap="flat" w14:cmpd="sng">
            <w14:solidFill>
              <w14:srgbClr w14:val="000000"/>
            </w14:solidFill>
            <w14:prstDash w14:val="solid"/>
            <w14:miter w14:val="0"/>
          </w14:textOutline>
        </w:rPr>
        <w:t>招标公告</w:t>
      </w:r>
    </w:p>
    <w:p>
      <w:pPr>
        <w:spacing w:before="204" w:line="185" w:lineRule="auto"/>
        <w:outlineLvl w:val="0"/>
        <w:rPr>
          <w:rFonts w:ascii="宋体" w:hAnsi="宋体" w:eastAsia="宋体" w:cs="宋体"/>
          <w:spacing w:val="-3"/>
          <w:sz w:val="36"/>
          <w:szCs w:val="36"/>
          <w14:textOutline w14:w="6531" w14:cap="flat" w14:cmpd="sng">
            <w14:solidFill>
              <w14:srgbClr w14:val="000000"/>
            </w14:solidFill>
            <w14:prstDash w14:val="solid"/>
            <w14:miter w14:val="0"/>
          </w14:textOutline>
        </w:rPr>
        <w:sectPr>
          <w:footerReference r:id="rId5" w:type="default"/>
          <w:pgSz w:w="11907" w:h="16839"/>
          <w:pgMar w:top="1367" w:right="1677" w:bottom="1156" w:left="1680" w:header="0" w:footer="1032" w:gutter="0"/>
          <w:pgNumType w:fmt="numberInDash"/>
          <w:cols w:space="720" w:num="1"/>
        </w:sectPr>
      </w:pPr>
    </w:p>
    <w:p>
      <w:pPr>
        <w:pStyle w:val="20"/>
      </w:pPr>
    </w:p>
    <w:p>
      <w:pPr>
        <w:spacing w:before="204" w:line="185" w:lineRule="auto"/>
        <w:jc w:val="center"/>
        <w:outlineLvl w:val="0"/>
        <w:rPr>
          <w:rFonts w:ascii="宋体" w:hAnsi="宋体" w:eastAsia="宋体" w:cs="宋体"/>
          <w:sz w:val="36"/>
          <w:szCs w:val="36"/>
        </w:rPr>
      </w:pPr>
      <w:r>
        <w:rPr>
          <w:rFonts w:ascii="宋体" w:hAnsi="宋体" w:eastAsia="宋体" w:cs="宋体"/>
          <w:spacing w:val="-3"/>
          <w:sz w:val="36"/>
          <w:szCs w:val="36"/>
          <w14:textOutline w14:w="6531" w14:cap="flat" w14:cmpd="sng">
            <w14:solidFill>
              <w14:srgbClr w14:val="000000"/>
            </w14:solidFill>
            <w14:prstDash w14:val="solid"/>
            <w14:miter w14:val="0"/>
          </w14:textOutline>
        </w:rPr>
        <w:t>招标公告</w:t>
      </w:r>
    </w:p>
    <w:p>
      <w:pPr>
        <w:spacing w:line="245" w:lineRule="auto"/>
        <w:rPr>
          <w:rFonts w:ascii="宋体"/>
          <w:sz w:val="21"/>
        </w:rPr>
      </w:pPr>
    </w:p>
    <w:p>
      <w:pPr>
        <w:spacing w:line="246" w:lineRule="auto"/>
        <w:rPr>
          <w:rFonts w:ascii="宋体"/>
          <w:sz w:val="21"/>
        </w:rPr>
      </w:pPr>
    </w:p>
    <w:p>
      <w:pPr>
        <w:spacing w:before="92" w:line="264" w:lineRule="auto"/>
        <w:ind w:left="2876" w:right="198" w:hanging="2668"/>
        <w:rPr>
          <w:rFonts w:ascii="宋体" w:hAnsi="宋体" w:eastAsia="宋体" w:cs="宋体"/>
          <w:sz w:val="28"/>
          <w:szCs w:val="28"/>
          <w14:textOutline w14:w="5094" w14:cap="flat" w14:cmpd="sng">
            <w14:solidFill>
              <w14:srgbClr w14:val="000000"/>
            </w14:solidFill>
            <w14:prstDash w14:val="solid"/>
            <w14:miter w14:val="0"/>
          </w14:textOutline>
        </w:rPr>
      </w:pPr>
      <w:r>
        <w:rPr>
          <w:rFonts w:hint="eastAsia" w:ascii="宋体" w:hAnsi="宋体" w:eastAsia="宋体" w:cs="宋体"/>
          <w:sz w:val="28"/>
          <w:szCs w:val="28"/>
          <w:lang w:val="en-US" w:eastAsia="zh-CN"/>
          <w14:textOutline w14:w="5094" w14:cap="flat" w14:cmpd="sng">
            <w14:solidFill>
              <w14:srgbClr w14:val="000000"/>
            </w14:solidFill>
            <w14:prstDash w14:val="solid"/>
            <w14:miter w14:val="0"/>
          </w14:textOutline>
        </w:rPr>
        <w:t>民丰县国土空间一张图平台监管系统项目</w:t>
      </w:r>
      <w:r>
        <w:rPr>
          <w:rFonts w:ascii="宋体" w:hAnsi="宋体" w:eastAsia="宋体" w:cs="宋体"/>
          <w:sz w:val="28"/>
          <w:szCs w:val="28"/>
          <w14:textOutline w14:w="5094" w14:cap="flat" w14:cmpd="sng">
            <w14:solidFill>
              <w14:srgbClr w14:val="000000"/>
            </w14:solidFill>
            <w14:prstDash w14:val="solid"/>
            <w14:miter w14:val="0"/>
          </w14:textOutline>
        </w:rPr>
        <w:t>的公开招标公告</w:t>
      </w:r>
    </w:p>
    <w:p>
      <w:pPr>
        <w:pStyle w:val="5"/>
        <w:numPr>
          <w:ilvl w:val="2"/>
          <w:numId w:val="0"/>
        </w:numPr>
        <w:rPr>
          <w:rStyle w:val="16"/>
          <w:rFonts w:hint="eastAsia" w:ascii="黑体" w:hAnsi="宋体" w:eastAsia="黑体" w:cs="黑体"/>
          <w:b/>
          <w:bCs w:val="0"/>
          <w:snapToGrid w:val="0"/>
          <w:color w:val="000000"/>
          <w:kern w:val="0"/>
          <w:sz w:val="21"/>
          <w:szCs w:val="21"/>
          <w:lang w:val="en-US" w:eastAsia="zh-CN" w:bidi="ar"/>
        </w:rPr>
      </w:pPr>
      <w:r>
        <w:rPr>
          <w:rStyle w:val="16"/>
          <w:rFonts w:ascii="黑体" w:hAnsi="宋体" w:eastAsia="黑体" w:cs="黑体"/>
          <w:b/>
          <w:bCs w:val="0"/>
          <w:snapToGrid w:val="0"/>
          <w:color w:val="000000"/>
          <w:kern w:val="0"/>
          <w:sz w:val="21"/>
          <w:szCs w:val="21"/>
          <w:lang w:val="en-US" w:eastAsia="zh-CN" w:bidi="ar"/>
        </w:rPr>
        <w:t>项目概况</w:t>
      </w:r>
      <w:r>
        <w:rPr>
          <w:rStyle w:val="16"/>
          <w:rFonts w:hint="eastAsia" w:ascii="黑体" w:hAnsi="宋体" w:eastAsia="黑体" w:cs="黑体"/>
          <w:b/>
          <w:bCs w:val="0"/>
          <w:snapToGrid w:val="0"/>
          <w:color w:val="000000"/>
          <w:kern w:val="0"/>
          <w:sz w:val="21"/>
          <w:szCs w:val="21"/>
          <w:lang w:val="en-US" w:eastAsia="zh-CN" w:bidi="ar"/>
        </w:rPr>
        <w:t>：</w:t>
      </w:r>
    </w:p>
    <w:p>
      <w:pPr>
        <w:pStyle w:val="5"/>
        <w:numPr>
          <w:ilvl w:val="2"/>
          <w:numId w:val="0"/>
        </w:numPr>
        <w:ind w:firstLine="456" w:firstLineChars="200"/>
      </w:pPr>
      <w:r>
        <w:rPr>
          <w:rFonts w:hint="eastAsia" w:ascii="宋体" w:hAnsi="宋体" w:eastAsia="宋体" w:cs="宋体"/>
          <w:b w:val="0"/>
          <w:bCs w:val="0"/>
          <w:snapToGrid w:val="0"/>
          <w:color w:val="000000"/>
          <w:spacing w:val="-6"/>
          <w:kern w:val="0"/>
          <w:sz w:val="24"/>
          <w:szCs w:val="24"/>
          <w:lang w:val="en-US" w:eastAsia="zh-CN"/>
        </w:rPr>
        <w:t>民丰县国土空间一张图平台监管系统</w:t>
      </w:r>
      <w:r>
        <w:rPr>
          <w:rFonts w:hint="eastAsia" w:ascii="宋体" w:hAnsi="宋体" w:eastAsia="宋体" w:cs="宋体"/>
          <w:b w:val="0"/>
          <w:bCs w:val="0"/>
          <w:snapToGrid w:val="0"/>
          <w:color w:val="000000"/>
          <w:spacing w:val="-6"/>
          <w:kern w:val="0"/>
          <w:sz w:val="24"/>
          <w:szCs w:val="24"/>
          <w:lang w:eastAsia="zh-CN"/>
        </w:rPr>
        <w:t>项目的潜在投标人应在新疆政府采购网（http://www.ccgp-xinjiang.gov.cn/）获取招标文件，并于202</w:t>
      </w:r>
      <w:r>
        <w:rPr>
          <w:rFonts w:hint="eastAsia" w:ascii="宋体" w:hAnsi="宋体" w:cs="宋体"/>
          <w:b w:val="0"/>
          <w:bCs w:val="0"/>
          <w:snapToGrid w:val="0"/>
          <w:color w:val="000000"/>
          <w:spacing w:val="-6"/>
          <w:kern w:val="0"/>
          <w:sz w:val="24"/>
          <w:szCs w:val="24"/>
          <w:lang w:val="en-US" w:eastAsia="zh-CN"/>
        </w:rPr>
        <w:t>3</w:t>
      </w:r>
      <w:r>
        <w:rPr>
          <w:rFonts w:hint="eastAsia" w:ascii="宋体" w:hAnsi="宋体" w:eastAsia="宋体" w:cs="宋体"/>
          <w:b w:val="0"/>
          <w:bCs w:val="0"/>
          <w:snapToGrid w:val="0"/>
          <w:color w:val="000000"/>
          <w:spacing w:val="-6"/>
          <w:kern w:val="0"/>
          <w:sz w:val="24"/>
          <w:szCs w:val="24"/>
          <w:lang w:eastAsia="zh-CN"/>
        </w:rPr>
        <w:t>年</w:t>
      </w:r>
      <w:r>
        <w:rPr>
          <w:rFonts w:hint="eastAsia" w:ascii="宋体" w:hAnsi="宋体" w:eastAsia="宋体" w:cs="宋体"/>
          <w:b w:val="0"/>
          <w:bCs w:val="0"/>
          <w:snapToGrid w:val="0"/>
          <w:color w:val="000000"/>
          <w:spacing w:val="-6"/>
          <w:kern w:val="0"/>
          <w:sz w:val="24"/>
          <w:szCs w:val="24"/>
          <w:lang w:val="en-US" w:eastAsia="zh-CN"/>
        </w:rPr>
        <w:t>0</w:t>
      </w:r>
      <w:r>
        <w:rPr>
          <w:rFonts w:hint="eastAsia" w:ascii="宋体" w:hAnsi="宋体" w:cs="宋体"/>
          <w:b w:val="0"/>
          <w:bCs w:val="0"/>
          <w:snapToGrid w:val="0"/>
          <w:color w:val="000000"/>
          <w:spacing w:val="-6"/>
          <w:kern w:val="0"/>
          <w:sz w:val="24"/>
          <w:szCs w:val="24"/>
          <w:lang w:val="en-US" w:eastAsia="zh-CN"/>
        </w:rPr>
        <w:t>4</w:t>
      </w:r>
      <w:r>
        <w:rPr>
          <w:rFonts w:hint="eastAsia" w:ascii="宋体" w:hAnsi="宋体" w:eastAsia="宋体" w:cs="宋体"/>
          <w:b w:val="0"/>
          <w:bCs w:val="0"/>
          <w:snapToGrid w:val="0"/>
          <w:color w:val="000000"/>
          <w:spacing w:val="-6"/>
          <w:kern w:val="0"/>
          <w:sz w:val="24"/>
          <w:szCs w:val="24"/>
          <w:lang w:eastAsia="zh-CN"/>
        </w:rPr>
        <w:t>月</w:t>
      </w:r>
      <w:r>
        <w:rPr>
          <w:rFonts w:hint="eastAsia" w:ascii="宋体" w:hAnsi="宋体" w:cs="宋体"/>
          <w:b w:val="0"/>
          <w:bCs w:val="0"/>
          <w:snapToGrid w:val="0"/>
          <w:color w:val="000000"/>
          <w:spacing w:val="-6"/>
          <w:kern w:val="0"/>
          <w:sz w:val="24"/>
          <w:szCs w:val="24"/>
          <w:lang w:val="en-US" w:eastAsia="zh-CN"/>
        </w:rPr>
        <w:t>06</w:t>
      </w:r>
      <w:r>
        <w:rPr>
          <w:rFonts w:hint="eastAsia" w:ascii="宋体" w:hAnsi="宋体" w:eastAsia="宋体" w:cs="宋体"/>
          <w:b w:val="0"/>
          <w:bCs w:val="0"/>
          <w:snapToGrid w:val="0"/>
          <w:color w:val="000000"/>
          <w:spacing w:val="-6"/>
          <w:kern w:val="0"/>
          <w:sz w:val="24"/>
          <w:szCs w:val="24"/>
          <w:lang w:eastAsia="zh-CN"/>
        </w:rPr>
        <w:t>日 1</w:t>
      </w:r>
      <w:r>
        <w:rPr>
          <w:rFonts w:hint="eastAsia" w:ascii="宋体" w:hAnsi="宋体" w:cs="宋体"/>
          <w:b w:val="0"/>
          <w:bCs w:val="0"/>
          <w:snapToGrid w:val="0"/>
          <w:color w:val="000000"/>
          <w:spacing w:val="-6"/>
          <w:kern w:val="0"/>
          <w:sz w:val="24"/>
          <w:szCs w:val="24"/>
          <w:lang w:val="en-US" w:eastAsia="zh-CN"/>
        </w:rPr>
        <w:t>2</w:t>
      </w:r>
      <w:r>
        <w:rPr>
          <w:rFonts w:hint="eastAsia" w:ascii="宋体" w:hAnsi="宋体" w:eastAsia="宋体" w:cs="宋体"/>
          <w:b w:val="0"/>
          <w:bCs w:val="0"/>
          <w:snapToGrid w:val="0"/>
          <w:color w:val="000000"/>
          <w:spacing w:val="-6"/>
          <w:kern w:val="0"/>
          <w:sz w:val="24"/>
          <w:szCs w:val="24"/>
          <w:lang w:eastAsia="zh-CN"/>
        </w:rPr>
        <w:t>:</w:t>
      </w:r>
      <w:r>
        <w:rPr>
          <w:rFonts w:hint="eastAsia" w:ascii="宋体" w:hAnsi="宋体" w:cs="宋体"/>
          <w:b w:val="0"/>
          <w:bCs w:val="0"/>
          <w:snapToGrid w:val="0"/>
          <w:color w:val="000000"/>
          <w:spacing w:val="-6"/>
          <w:kern w:val="0"/>
          <w:sz w:val="24"/>
          <w:szCs w:val="24"/>
          <w:lang w:val="en-US" w:eastAsia="zh-CN"/>
        </w:rPr>
        <w:t>3</w:t>
      </w:r>
      <w:r>
        <w:rPr>
          <w:rFonts w:hint="eastAsia" w:ascii="宋体" w:hAnsi="宋体" w:eastAsia="宋体" w:cs="宋体"/>
          <w:b w:val="0"/>
          <w:bCs w:val="0"/>
          <w:snapToGrid w:val="0"/>
          <w:color w:val="000000"/>
          <w:spacing w:val="-6"/>
          <w:kern w:val="0"/>
          <w:sz w:val="24"/>
          <w:szCs w:val="24"/>
          <w:lang w:eastAsia="zh-CN"/>
        </w:rPr>
        <w:t>0（北京时间）前递交投标文件。</w:t>
      </w:r>
    </w:p>
    <w:p>
      <w:pPr>
        <w:spacing w:before="165" w:line="185" w:lineRule="auto"/>
        <w:ind w:firstLine="127"/>
        <w:outlineLvl w:val="1"/>
        <w:rPr>
          <w:rStyle w:val="16"/>
          <w:rFonts w:ascii="黑体" w:hAnsi="宋体" w:eastAsia="黑体" w:cs="黑体"/>
          <w:snapToGrid w:val="0"/>
          <w:color w:val="000000"/>
          <w:kern w:val="0"/>
          <w:sz w:val="21"/>
          <w:szCs w:val="21"/>
          <w:lang w:val="en-US" w:eastAsia="zh-CN" w:bidi="ar"/>
        </w:rPr>
      </w:pPr>
      <w:bookmarkStart w:id="0" w:name="_bookmark2"/>
      <w:bookmarkEnd w:id="0"/>
      <w:r>
        <w:rPr>
          <w:rStyle w:val="16"/>
          <w:rFonts w:ascii="黑体" w:hAnsi="宋体" w:eastAsia="黑体" w:cs="黑体"/>
          <w:snapToGrid w:val="0"/>
          <w:color w:val="000000"/>
          <w:kern w:val="0"/>
          <w:sz w:val="21"/>
          <w:szCs w:val="21"/>
          <w:lang w:val="en-US" w:eastAsia="zh-CN" w:bidi="ar"/>
        </w:rPr>
        <w:t>一、项目基本情况</w:t>
      </w:r>
    </w:p>
    <w:p>
      <w:pPr>
        <w:spacing w:before="166" w:line="248" w:lineRule="auto"/>
        <w:ind w:left="130" w:right="119"/>
        <w:rPr>
          <w:rFonts w:hint="eastAsia" w:ascii="宋体" w:hAnsi="宋体" w:eastAsia="宋体" w:cs="宋体"/>
          <w:spacing w:val="-10"/>
          <w:sz w:val="24"/>
          <w:szCs w:val="24"/>
          <w:lang w:val="en-US" w:eastAsia="zh-CN"/>
        </w:rPr>
      </w:pPr>
      <w:r>
        <w:rPr>
          <w:rFonts w:ascii="宋体" w:hAnsi="宋体" w:eastAsia="宋体" w:cs="宋体"/>
          <w:spacing w:val="-10"/>
          <w:sz w:val="24"/>
          <w:szCs w:val="24"/>
        </w:rPr>
        <w:t>项目编号：</w:t>
      </w:r>
      <w:r>
        <w:rPr>
          <w:rFonts w:hint="eastAsia" w:ascii="宋体" w:hAnsi="宋体" w:eastAsia="宋体" w:cs="宋体"/>
          <w:spacing w:val="-10"/>
          <w:sz w:val="24"/>
          <w:szCs w:val="24"/>
        </w:rPr>
        <w:t>MFXCG-2023-0</w:t>
      </w:r>
      <w:r>
        <w:rPr>
          <w:rFonts w:hint="eastAsia" w:ascii="宋体" w:hAnsi="宋体" w:eastAsia="宋体" w:cs="宋体"/>
          <w:spacing w:val="-10"/>
          <w:sz w:val="24"/>
          <w:szCs w:val="24"/>
          <w:lang w:val="en-US" w:eastAsia="zh-CN"/>
        </w:rPr>
        <w:t>4</w:t>
      </w:r>
    </w:p>
    <w:p>
      <w:pPr>
        <w:spacing w:before="166" w:line="248" w:lineRule="auto"/>
        <w:ind w:left="130" w:right="119"/>
        <w:rPr>
          <w:rFonts w:ascii="宋体" w:hAnsi="宋体" w:eastAsia="宋体" w:cs="宋体"/>
          <w:sz w:val="24"/>
          <w:szCs w:val="24"/>
        </w:rPr>
      </w:pPr>
      <w:r>
        <w:rPr>
          <w:rFonts w:ascii="宋体" w:hAnsi="宋体" w:eastAsia="宋体" w:cs="宋体"/>
          <w:spacing w:val="-6"/>
          <w:sz w:val="24"/>
          <w:szCs w:val="24"/>
        </w:rPr>
        <w:t>项目名称：</w:t>
      </w:r>
      <w:r>
        <w:rPr>
          <w:rFonts w:hint="eastAsia" w:ascii="宋体" w:hAnsi="宋体" w:eastAsia="宋体" w:cs="宋体"/>
          <w:spacing w:val="-6"/>
          <w:sz w:val="24"/>
          <w:szCs w:val="24"/>
          <w:lang w:val="en-US" w:eastAsia="zh-CN"/>
        </w:rPr>
        <w:t>民丰县国土空间一张图平台监管系统</w:t>
      </w:r>
      <w:r>
        <w:rPr>
          <w:rFonts w:ascii="宋体" w:hAnsi="宋体" w:eastAsia="宋体" w:cs="宋体"/>
          <w:spacing w:val="-4"/>
          <w:sz w:val="24"/>
          <w:szCs w:val="24"/>
        </w:rPr>
        <w:t>项目</w:t>
      </w:r>
    </w:p>
    <w:p>
      <w:pPr>
        <w:spacing w:before="165" w:line="406" w:lineRule="exact"/>
        <w:rPr>
          <w:rFonts w:ascii="宋体" w:hAnsi="宋体" w:eastAsia="宋体" w:cs="宋体"/>
          <w:sz w:val="24"/>
          <w:szCs w:val="24"/>
        </w:rPr>
      </w:pPr>
      <w:r>
        <w:rPr>
          <w:rFonts w:ascii="宋体" w:hAnsi="宋体" w:eastAsia="宋体" w:cs="宋体"/>
          <w:spacing w:val="-21"/>
          <w:position w:val="11"/>
          <w:sz w:val="24"/>
          <w:szCs w:val="24"/>
        </w:rPr>
        <w:t>采购方式</w:t>
      </w:r>
      <w:r>
        <w:rPr>
          <w:rFonts w:hint="eastAsia" w:ascii="宋体" w:hAnsi="宋体" w:cs="宋体"/>
          <w:spacing w:val="-21"/>
          <w:position w:val="11"/>
          <w:sz w:val="24"/>
          <w:szCs w:val="24"/>
          <w:lang w:val="en-US" w:eastAsia="zh-CN"/>
        </w:rPr>
        <w:t xml:space="preserve"> </w:t>
      </w:r>
      <w:r>
        <w:rPr>
          <w:rFonts w:hint="eastAsia" w:ascii="宋体" w:hAnsi="宋体" w:cs="宋体"/>
          <w:spacing w:val="-21"/>
          <w:position w:val="11"/>
          <w:sz w:val="24"/>
          <w:szCs w:val="24"/>
          <w:lang w:eastAsia="zh-CN"/>
        </w:rPr>
        <w:t>：</w:t>
      </w:r>
      <w:r>
        <w:rPr>
          <w:rFonts w:ascii="宋体" w:hAnsi="宋体" w:eastAsia="宋体" w:cs="宋体"/>
          <w:spacing w:val="-21"/>
          <w:position w:val="11"/>
          <w:sz w:val="24"/>
          <w:szCs w:val="24"/>
        </w:rPr>
        <w:t>公开招标</w:t>
      </w:r>
    </w:p>
    <w:p>
      <w:pPr>
        <w:spacing w:before="1" w:line="204" w:lineRule="auto"/>
        <w:rPr>
          <w:rFonts w:ascii="宋体" w:hAnsi="宋体" w:eastAsia="宋体" w:cs="宋体"/>
          <w:sz w:val="24"/>
          <w:szCs w:val="24"/>
          <w:highlight w:val="none"/>
        </w:rPr>
      </w:pPr>
      <w:r>
        <w:rPr>
          <w:rFonts w:ascii="宋体" w:hAnsi="宋体" w:eastAsia="宋体" w:cs="宋体"/>
          <w:spacing w:val="-15"/>
          <w:sz w:val="24"/>
          <w:szCs w:val="24"/>
          <w:highlight w:val="none"/>
        </w:rPr>
        <w:t>预算金额：</w:t>
      </w:r>
      <w:r>
        <w:rPr>
          <w:rFonts w:hint="eastAsia" w:ascii="宋体" w:hAnsi="宋体" w:cs="宋体"/>
          <w:spacing w:val="-15"/>
          <w:sz w:val="24"/>
          <w:szCs w:val="24"/>
          <w:highlight w:val="none"/>
          <w:lang w:val="en-US" w:eastAsia="zh-CN"/>
        </w:rPr>
        <w:t>120</w:t>
      </w:r>
      <w:r>
        <w:rPr>
          <w:rFonts w:ascii="Times New Roman" w:hAnsi="Times New Roman" w:eastAsia="Times New Roman" w:cs="Times New Roman"/>
          <w:spacing w:val="15"/>
          <w:sz w:val="24"/>
          <w:szCs w:val="24"/>
          <w:highlight w:val="none"/>
        </w:rPr>
        <w:t xml:space="preserve"> </w:t>
      </w:r>
      <w:r>
        <w:rPr>
          <w:rFonts w:ascii="宋体" w:hAnsi="宋体" w:eastAsia="宋体" w:cs="宋体"/>
          <w:spacing w:val="-15"/>
          <w:sz w:val="24"/>
          <w:szCs w:val="24"/>
          <w:highlight w:val="none"/>
        </w:rPr>
        <w:t>万元</w:t>
      </w:r>
    </w:p>
    <w:p>
      <w:pPr>
        <w:spacing w:before="139" w:line="185" w:lineRule="auto"/>
        <w:rPr>
          <w:rFonts w:ascii="宋体" w:hAnsi="宋体" w:eastAsia="宋体" w:cs="宋体"/>
          <w:spacing w:val="-15"/>
          <w:sz w:val="24"/>
          <w:szCs w:val="24"/>
          <w:highlight w:val="none"/>
        </w:rPr>
      </w:pPr>
      <w:r>
        <w:rPr>
          <w:rFonts w:ascii="宋体" w:hAnsi="宋体" w:eastAsia="宋体" w:cs="宋体"/>
          <w:spacing w:val="-21"/>
          <w:sz w:val="24"/>
          <w:szCs w:val="24"/>
          <w:highlight w:val="none"/>
        </w:rPr>
        <w:t>最高限价：</w:t>
      </w:r>
      <w:r>
        <w:rPr>
          <w:rFonts w:hint="eastAsia" w:ascii="宋体" w:hAnsi="宋体" w:cs="宋体"/>
          <w:spacing w:val="-15"/>
          <w:sz w:val="24"/>
          <w:szCs w:val="24"/>
          <w:highlight w:val="none"/>
          <w:lang w:val="en-US" w:eastAsia="zh-CN"/>
        </w:rPr>
        <w:t>120</w:t>
      </w:r>
      <w:r>
        <w:rPr>
          <w:rFonts w:ascii="宋体" w:hAnsi="宋体" w:eastAsia="宋体" w:cs="宋体"/>
          <w:spacing w:val="-15"/>
          <w:sz w:val="24"/>
          <w:szCs w:val="24"/>
          <w:highlight w:val="none"/>
        </w:rPr>
        <w:t>万元</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服务内容：</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主要需求：标准规范建设、数据资源建设、指标模型建设、国土空间规划“一张图”实施监督信息系统、国土空间规划“一张图”移动端系统、软硬件采购等需求（具体参数及要求 详见采购文件）</w:t>
      </w:r>
    </w:p>
    <w:p>
      <w:pPr>
        <w:spacing w:before="165" w:line="185" w:lineRule="auto"/>
        <w:ind w:firstLine="127"/>
        <w:outlineLvl w:val="1"/>
        <w:rPr>
          <w:rStyle w:val="16"/>
          <w:rFonts w:ascii="黑体" w:hAnsi="宋体" w:eastAsia="黑体" w:cs="黑体"/>
          <w:snapToGrid w:val="0"/>
          <w:color w:val="000000"/>
          <w:kern w:val="0"/>
          <w:sz w:val="21"/>
          <w:szCs w:val="21"/>
          <w:lang w:val="en-US" w:eastAsia="zh-CN" w:bidi="ar"/>
        </w:rPr>
      </w:pPr>
      <w:bookmarkStart w:id="1" w:name="_bookmark3"/>
      <w:bookmarkEnd w:id="1"/>
      <w:r>
        <w:rPr>
          <w:rStyle w:val="16"/>
          <w:rFonts w:ascii="黑体" w:hAnsi="宋体" w:eastAsia="黑体" w:cs="黑体"/>
          <w:snapToGrid w:val="0"/>
          <w:color w:val="000000"/>
          <w:kern w:val="0"/>
          <w:sz w:val="21"/>
          <w:szCs w:val="21"/>
          <w:lang w:val="en-US" w:eastAsia="zh-CN" w:bidi="ar"/>
        </w:rPr>
        <w:t>二、供应商基本资格要求：</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1、符合《中华人民共和国政府采购法》第二十二条规定：</w:t>
      </w:r>
    </w:p>
    <w:p>
      <w:pPr>
        <w:spacing w:before="166" w:line="280" w:lineRule="auto"/>
        <w:ind w:left="19" w:right="2" w:firstLine="8"/>
        <w:rPr>
          <w:rFonts w:hint="default" w:ascii="Calibri" w:hAnsi="Calibri" w:eastAsia="宋体" w:cs="Calibri"/>
          <w:spacing w:val="-5"/>
          <w:sz w:val="24"/>
          <w:szCs w:val="24"/>
          <w:lang w:val="en-US" w:eastAsia="zh-CN"/>
        </w:rPr>
        <w:sectPr>
          <w:pgSz w:w="11907" w:h="16839"/>
          <w:pgMar w:top="1367" w:right="1677" w:bottom="1156" w:left="1680" w:header="0" w:footer="1032" w:gutter="0"/>
          <w:pgNumType w:fmt="numberInDash"/>
          <w:cols w:space="720" w:num="1"/>
        </w:sectPr>
      </w:pPr>
      <w:r>
        <w:rPr>
          <w:rFonts w:hint="eastAsia" w:ascii="Calibri" w:hAnsi="Calibri" w:eastAsia="宋体" w:cs="Calibri"/>
          <w:spacing w:val="-5"/>
          <w:sz w:val="24"/>
          <w:szCs w:val="24"/>
          <w:lang w:val="en-US" w:eastAsia="zh-CN"/>
        </w:rPr>
        <w:t>2.本项目满足《中华人民共和国政府采购法》第二十二条规定资格要求</w:t>
      </w:r>
    </w:p>
    <w:p>
      <w:pPr>
        <w:spacing w:before="166" w:line="280" w:lineRule="auto"/>
        <w:ind w:right="2"/>
        <w:rPr>
          <w:rFonts w:hint="eastAsia" w:ascii="Calibri" w:hAnsi="Calibri" w:eastAsia="宋体" w:cs="Calibri"/>
          <w:spacing w:val="-5"/>
          <w:sz w:val="24"/>
          <w:szCs w:val="24"/>
          <w:lang w:val="en-US" w:eastAsia="zh-CN"/>
        </w:rPr>
      </w:pPr>
    </w:p>
    <w:p>
      <w:pPr>
        <w:numPr>
          <w:ilvl w:val="0"/>
          <w:numId w:val="0"/>
        </w:numPr>
        <w:spacing w:before="165" w:line="185" w:lineRule="auto"/>
        <w:jc w:val="left"/>
        <w:outlineLvl w:val="1"/>
        <w:rPr>
          <w:rStyle w:val="16"/>
          <w:rFonts w:hint="eastAsia" w:ascii="黑体" w:hAnsi="宋体" w:eastAsia="黑体" w:cs="黑体"/>
          <w:snapToGrid w:val="0"/>
          <w:color w:val="000000"/>
          <w:kern w:val="0"/>
          <w:sz w:val="21"/>
          <w:szCs w:val="21"/>
          <w:lang w:val="en-US" w:eastAsia="zh-CN" w:bidi="ar"/>
        </w:rPr>
      </w:pPr>
      <w:bookmarkStart w:id="2" w:name="_bookmark4"/>
      <w:bookmarkEnd w:id="2"/>
      <w:r>
        <w:rPr>
          <w:rStyle w:val="16"/>
          <w:rFonts w:hint="eastAsia" w:ascii="黑体" w:hAnsi="宋体" w:eastAsia="黑体" w:cs="黑体"/>
          <w:snapToGrid w:val="0"/>
          <w:color w:val="000000"/>
          <w:kern w:val="0"/>
          <w:sz w:val="21"/>
          <w:szCs w:val="21"/>
          <w:lang w:val="en-US" w:eastAsia="zh-CN" w:bidi="ar"/>
        </w:rPr>
        <w:t>(1)具有经年审合格的三证合一营业执照原件</w:t>
      </w:r>
    </w:p>
    <w:p>
      <w:pPr>
        <w:spacing w:before="165" w:line="185" w:lineRule="auto"/>
        <w:ind w:firstLine="127"/>
        <w:jc w:val="left"/>
        <w:outlineLvl w:val="1"/>
        <w:rPr>
          <w:rStyle w:val="16"/>
          <w:rFonts w:ascii="黑体" w:hAnsi="宋体" w:eastAsia="黑体" w:cs="黑体"/>
          <w:snapToGrid w:val="0"/>
          <w:color w:val="000000"/>
          <w:kern w:val="0"/>
          <w:sz w:val="21"/>
          <w:szCs w:val="21"/>
          <w:lang w:val="en-US" w:eastAsia="zh-CN" w:bidi="ar"/>
        </w:rPr>
      </w:pPr>
      <w:r>
        <w:rPr>
          <w:rStyle w:val="16"/>
          <w:rFonts w:hint="eastAsia" w:ascii="黑体" w:hAnsi="宋体" w:eastAsia="黑体" w:cs="黑体"/>
          <w:snapToGrid w:val="0"/>
          <w:color w:val="000000"/>
          <w:kern w:val="0"/>
          <w:sz w:val="21"/>
          <w:szCs w:val="21"/>
          <w:lang w:val="en-US" w:eastAsia="zh-CN" w:bidi="ar"/>
        </w:rPr>
        <w:t>（2）提供 2021 年度由第三方财务审计机构出具的财务审计报告；</w:t>
      </w:r>
    </w:p>
    <w:p>
      <w:pPr>
        <w:spacing w:before="165" w:line="185" w:lineRule="auto"/>
        <w:ind w:firstLine="127"/>
        <w:jc w:val="left"/>
        <w:outlineLvl w:val="1"/>
        <w:rPr>
          <w:rStyle w:val="16"/>
          <w:rFonts w:ascii="黑体" w:hAnsi="宋体" w:eastAsia="黑体" w:cs="黑体"/>
          <w:snapToGrid w:val="0"/>
          <w:color w:val="000000"/>
          <w:kern w:val="0"/>
          <w:sz w:val="21"/>
          <w:szCs w:val="21"/>
          <w:lang w:val="en-US" w:eastAsia="zh-CN" w:bidi="ar"/>
        </w:rPr>
      </w:pPr>
      <w:r>
        <w:rPr>
          <w:rStyle w:val="16"/>
          <w:rFonts w:hint="eastAsia" w:ascii="黑体" w:hAnsi="宋体" w:eastAsia="黑体" w:cs="黑体"/>
          <w:snapToGrid w:val="0"/>
          <w:color w:val="000000"/>
          <w:kern w:val="0"/>
          <w:sz w:val="21"/>
          <w:szCs w:val="21"/>
          <w:lang w:val="en-US" w:eastAsia="zh-CN" w:bidi="ar"/>
        </w:rPr>
        <w:t>（3）提供 202</w:t>
      </w:r>
      <w:r>
        <w:rPr>
          <w:rStyle w:val="16"/>
          <w:rFonts w:ascii="黑体" w:hAnsi="宋体" w:eastAsia="黑体" w:cs="黑体"/>
          <w:snapToGrid w:val="0"/>
          <w:color w:val="000000"/>
          <w:kern w:val="0"/>
          <w:sz w:val="21"/>
          <w:szCs w:val="21"/>
          <w:lang w:val="en-US" w:eastAsia="zh-CN" w:bidi="ar"/>
        </w:rPr>
        <w:t>3</w:t>
      </w:r>
      <w:r>
        <w:rPr>
          <w:rStyle w:val="16"/>
          <w:rFonts w:hint="eastAsia" w:ascii="黑体" w:hAnsi="宋体" w:eastAsia="黑体" w:cs="黑体"/>
          <w:snapToGrid w:val="0"/>
          <w:color w:val="000000"/>
          <w:kern w:val="0"/>
          <w:sz w:val="21"/>
          <w:szCs w:val="21"/>
          <w:lang w:val="en-US" w:eastAsia="zh-CN" w:bidi="ar"/>
        </w:rPr>
        <w:t xml:space="preserve"> 年税务机关出具近一个月填报日期的完税证明；</w:t>
      </w:r>
    </w:p>
    <w:p>
      <w:pPr>
        <w:spacing w:before="165" w:line="185" w:lineRule="auto"/>
        <w:ind w:firstLine="127"/>
        <w:jc w:val="left"/>
        <w:outlineLvl w:val="1"/>
        <w:rPr>
          <w:rStyle w:val="16"/>
          <w:rFonts w:ascii="黑体" w:hAnsi="宋体" w:eastAsia="黑体" w:cs="黑体"/>
          <w:snapToGrid w:val="0"/>
          <w:color w:val="000000"/>
          <w:kern w:val="0"/>
          <w:sz w:val="21"/>
          <w:szCs w:val="21"/>
          <w:lang w:val="en-US" w:eastAsia="zh-CN" w:bidi="ar"/>
        </w:rPr>
      </w:pPr>
      <w:r>
        <w:rPr>
          <w:rStyle w:val="16"/>
          <w:rFonts w:hint="eastAsia" w:ascii="黑体" w:hAnsi="宋体" w:eastAsia="黑体" w:cs="黑体"/>
          <w:snapToGrid w:val="0"/>
          <w:color w:val="000000"/>
          <w:kern w:val="0"/>
          <w:sz w:val="21"/>
          <w:szCs w:val="21"/>
          <w:lang w:val="en-US" w:eastAsia="zh-CN" w:bidi="ar"/>
        </w:rPr>
        <w:t>（4）法人应携带《法定代表人身份证明书》原件及身份证原件，委托代理人应携带《法定代表人授权委托书》原件及身份证原件；</w:t>
      </w:r>
    </w:p>
    <w:p>
      <w:pPr>
        <w:spacing w:before="165" w:line="185" w:lineRule="auto"/>
        <w:ind w:firstLine="127"/>
        <w:outlineLvl w:val="1"/>
        <w:rPr>
          <w:rStyle w:val="16"/>
          <w:rFonts w:ascii="黑体" w:hAnsi="宋体" w:eastAsia="黑体" w:cs="黑体"/>
          <w:snapToGrid w:val="0"/>
          <w:color w:val="000000"/>
          <w:kern w:val="0"/>
          <w:sz w:val="21"/>
          <w:szCs w:val="21"/>
          <w:lang w:val="en-US" w:eastAsia="zh-CN" w:bidi="ar"/>
        </w:rPr>
      </w:pPr>
      <w:r>
        <w:rPr>
          <w:rStyle w:val="16"/>
          <w:rFonts w:hint="eastAsia" w:ascii="黑体" w:hAnsi="宋体" w:eastAsia="黑体" w:cs="黑体"/>
          <w:snapToGrid w:val="0"/>
          <w:color w:val="000000"/>
          <w:kern w:val="0"/>
          <w:sz w:val="21"/>
          <w:szCs w:val="21"/>
          <w:lang w:val="en-US" w:eastAsia="zh-CN" w:bidi="ar"/>
        </w:rPr>
        <w:t xml:space="preserve">（5）提供本单位法人及委托人缴纳的近3个月社保缴纳证明； </w:t>
      </w:r>
    </w:p>
    <w:p>
      <w:pPr>
        <w:spacing w:before="165" w:line="185" w:lineRule="auto"/>
        <w:ind w:firstLine="127"/>
        <w:outlineLvl w:val="1"/>
        <w:rPr>
          <w:rStyle w:val="16"/>
          <w:rFonts w:ascii="黑体" w:hAnsi="宋体" w:eastAsia="黑体" w:cs="黑体"/>
          <w:snapToGrid w:val="0"/>
          <w:color w:val="000000"/>
          <w:kern w:val="0"/>
          <w:sz w:val="21"/>
          <w:szCs w:val="21"/>
          <w:lang w:val="en-US" w:eastAsia="zh-CN" w:bidi="ar"/>
        </w:rPr>
      </w:pPr>
      <w:r>
        <w:rPr>
          <w:rStyle w:val="16"/>
          <w:rFonts w:hint="eastAsia" w:ascii="黑体" w:hAnsi="宋体" w:eastAsia="黑体" w:cs="黑体"/>
          <w:snapToGrid w:val="0"/>
          <w:color w:val="000000"/>
          <w:kern w:val="0"/>
          <w:sz w:val="21"/>
          <w:szCs w:val="21"/>
          <w:lang w:val="en-US" w:eastAsia="zh-CN" w:bidi="ar"/>
        </w:rPr>
        <w:t>（6）近三年内（本项目投标截止期前）如在“信用中国（www.creditchina.gov.cn）” 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动。</w:t>
      </w:r>
    </w:p>
    <w:p>
      <w:pPr>
        <w:spacing w:before="165" w:line="185" w:lineRule="auto"/>
        <w:ind w:firstLine="127"/>
        <w:outlineLvl w:val="1"/>
        <w:rPr>
          <w:rStyle w:val="16"/>
          <w:rFonts w:hint="eastAsia" w:ascii="黑体" w:hAnsi="宋体" w:eastAsia="黑体" w:cs="黑体"/>
          <w:snapToGrid w:val="0"/>
          <w:color w:val="000000"/>
          <w:kern w:val="0"/>
          <w:sz w:val="21"/>
          <w:szCs w:val="21"/>
          <w:lang w:val="en-US" w:eastAsia="zh-CN" w:bidi="ar"/>
        </w:rPr>
      </w:pPr>
      <w:r>
        <w:rPr>
          <w:rStyle w:val="16"/>
          <w:rFonts w:hint="eastAsia" w:ascii="黑体" w:hAnsi="宋体" w:eastAsia="黑体" w:cs="黑体"/>
          <w:snapToGrid w:val="0"/>
          <w:color w:val="000000"/>
          <w:kern w:val="0"/>
          <w:sz w:val="21"/>
          <w:szCs w:val="21"/>
          <w:lang w:val="en-US" w:eastAsia="zh-CN" w:bidi="ar"/>
        </w:rPr>
        <w:t>3.本项目不接受联合体投标。</w:t>
      </w:r>
    </w:p>
    <w:p>
      <w:pPr>
        <w:pStyle w:val="2"/>
        <w:rPr>
          <w:rStyle w:val="16"/>
          <w:rFonts w:hint="eastAsia" w:ascii="黑体" w:hAnsi="宋体" w:eastAsia="黑体" w:cs="黑体"/>
          <w:snapToGrid w:val="0"/>
          <w:color w:val="000000"/>
          <w:kern w:val="0"/>
          <w:sz w:val="21"/>
          <w:szCs w:val="21"/>
          <w:lang w:val="en-US" w:eastAsia="zh-CN" w:bidi="ar"/>
        </w:rPr>
      </w:pPr>
    </w:p>
    <w:p>
      <w:pPr>
        <w:pStyle w:val="2"/>
        <w:tabs>
          <w:tab w:val="left" w:pos="5520"/>
        </w:tabs>
        <w:rPr>
          <w:rStyle w:val="16"/>
          <w:rFonts w:hint="eastAsia" w:ascii="黑体" w:hAnsi="宋体" w:eastAsia="黑体" w:cs="黑体"/>
          <w:snapToGrid w:val="0"/>
          <w:color w:val="000000"/>
          <w:kern w:val="0"/>
          <w:sz w:val="21"/>
          <w:szCs w:val="21"/>
          <w:lang w:val="en-US" w:eastAsia="zh-CN" w:bidi="ar"/>
        </w:rPr>
      </w:pPr>
    </w:p>
    <w:p>
      <w:pPr>
        <w:spacing w:before="165" w:line="185" w:lineRule="auto"/>
        <w:ind w:firstLine="127"/>
        <w:outlineLvl w:val="1"/>
        <w:rPr>
          <w:rStyle w:val="16"/>
          <w:rFonts w:ascii="黑体" w:hAnsi="宋体" w:eastAsia="黑体" w:cs="黑体"/>
          <w:snapToGrid w:val="0"/>
          <w:color w:val="000000"/>
          <w:kern w:val="0"/>
          <w:sz w:val="21"/>
          <w:szCs w:val="21"/>
          <w:lang w:val="en-US" w:eastAsia="zh-CN" w:bidi="ar"/>
        </w:rPr>
      </w:pPr>
      <w:r>
        <w:rPr>
          <w:rStyle w:val="16"/>
          <w:rFonts w:ascii="黑体" w:hAnsi="宋体" w:eastAsia="黑体" w:cs="黑体"/>
          <w:snapToGrid w:val="0"/>
          <w:color w:val="000000"/>
          <w:kern w:val="0"/>
          <w:sz w:val="21"/>
          <w:szCs w:val="21"/>
          <w:lang w:val="en-US" w:eastAsia="zh-CN" w:bidi="ar"/>
        </w:rPr>
        <w:t>三、获取招标文件</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bookmarkStart w:id="3" w:name="_bookmark5"/>
      <w:bookmarkEnd w:id="3"/>
      <w:r>
        <w:rPr>
          <w:rFonts w:hint="eastAsia" w:ascii="宋体" w:hAnsi="宋体" w:eastAsia="宋体" w:cs="宋体"/>
          <w:snapToGrid w:val="0"/>
          <w:color w:val="000000"/>
          <w:kern w:val="0"/>
          <w:sz w:val="24"/>
          <w:szCs w:val="24"/>
        </w:rPr>
        <w:t>时间：</w:t>
      </w:r>
      <w:r>
        <w:rPr>
          <w:rFonts w:hint="eastAsia" w:ascii="宋体" w:hAnsi="宋体" w:eastAsia="宋体" w:cs="宋体"/>
          <w:snapToGrid w:val="0"/>
          <w:color w:val="FF0000"/>
          <w:kern w:val="0"/>
          <w:sz w:val="24"/>
          <w:szCs w:val="24"/>
        </w:rPr>
        <w:t>202</w:t>
      </w:r>
      <w:r>
        <w:rPr>
          <w:rFonts w:hint="eastAsia" w:ascii="宋体" w:hAnsi="宋体" w:cs="宋体"/>
          <w:snapToGrid w:val="0"/>
          <w:color w:val="FF0000"/>
          <w:kern w:val="0"/>
          <w:sz w:val="24"/>
          <w:szCs w:val="24"/>
          <w:lang w:val="en-US" w:eastAsia="zh-CN"/>
        </w:rPr>
        <w:t>3</w:t>
      </w:r>
      <w:r>
        <w:rPr>
          <w:rFonts w:hint="eastAsia" w:ascii="宋体" w:hAnsi="宋体" w:eastAsia="宋体" w:cs="宋体"/>
          <w:snapToGrid w:val="0"/>
          <w:color w:val="FF0000"/>
          <w:kern w:val="0"/>
          <w:sz w:val="24"/>
          <w:szCs w:val="24"/>
        </w:rPr>
        <w:t>年</w:t>
      </w:r>
      <w:r>
        <w:rPr>
          <w:rFonts w:hint="eastAsia" w:ascii="宋体" w:hAnsi="宋体" w:cs="宋体"/>
          <w:snapToGrid w:val="0"/>
          <w:color w:val="FF0000"/>
          <w:kern w:val="0"/>
          <w:sz w:val="24"/>
          <w:szCs w:val="24"/>
          <w:lang w:val="en-US" w:eastAsia="zh-CN"/>
        </w:rPr>
        <w:t>3</w:t>
      </w:r>
      <w:r>
        <w:rPr>
          <w:rFonts w:hint="eastAsia" w:ascii="宋体" w:hAnsi="宋体" w:eastAsia="宋体" w:cs="宋体"/>
          <w:snapToGrid w:val="0"/>
          <w:color w:val="FF0000"/>
          <w:kern w:val="0"/>
          <w:sz w:val="24"/>
          <w:szCs w:val="24"/>
        </w:rPr>
        <w:t>月</w:t>
      </w:r>
      <w:r>
        <w:rPr>
          <w:rFonts w:hint="eastAsia" w:ascii="宋体" w:hAnsi="宋体" w:cs="宋体"/>
          <w:snapToGrid w:val="0"/>
          <w:color w:val="FF0000"/>
          <w:kern w:val="0"/>
          <w:sz w:val="24"/>
          <w:szCs w:val="24"/>
          <w:lang w:val="en-US" w:eastAsia="zh-CN"/>
        </w:rPr>
        <w:t>15</w:t>
      </w:r>
      <w:r>
        <w:rPr>
          <w:rFonts w:hint="eastAsia" w:ascii="宋体" w:hAnsi="宋体" w:eastAsia="宋体" w:cs="宋体"/>
          <w:snapToGrid w:val="0"/>
          <w:color w:val="FF0000"/>
          <w:kern w:val="0"/>
          <w:sz w:val="24"/>
          <w:szCs w:val="24"/>
        </w:rPr>
        <w:t>日至202</w:t>
      </w:r>
      <w:r>
        <w:rPr>
          <w:rFonts w:hint="eastAsia" w:ascii="宋体" w:hAnsi="宋体" w:cs="宋体"/>
          <w:snapToGrid w:val="0"/>
          <w:color w:val="FF0000"/>
          <w:kern w:val="0"/>
          <w:sz w:val="24"/>
          <w:szCs w:val="24"/>
          <w:lang w:val="en-US" w:eastAsia="zh-CN"/>
        </w:rPr>
        <w:t>3</w:t>
      </w:r>
      <w:r>
        <w:rPr>
          <w:rFonts w:hint="eastAsia" w:ascii="宋体" w:hAnsi="宋体" w:eastAsia="宋体" w:cs="宋体"/>
          <w:snapToGrid w:val="0"/>
          <w:color w:val="FF0000"/>
          <w:kern w:val="0"/>
          <w:sz w:val="24"/>
          <w:szCs w:val="24"/>
        </w:rPr>
        <w:t>年</w:t>
      </w:r>
      <w:r>
        <w:rPr>
          <w:rFonts w:hint="eastAsia" w:ascii="宋体" w:hAnsi="宋体" w:cs="宋体"/>
          <w:snapToGrid w:val="0"/>
          <w:color w:val="FF0000"/>
          <w:kern w:val="0"/>
          <w:sz w:val="24"/>
          <w:szCs w:val="24"/>
          <w:lang w:val="en-US" w:eastAsia="zh-CN"/>
        </w:rPr>
        <w:t>3</w:t>
      </w:r>
      <w:r>
        <w:rPr>
          <w:rFonts w:hint="eastAsia" w:ascii="宋体" w:hAnsi="宋体" w:eastAsia="宋体" w:cs="宋体"/>
          <w:snapToGrid w:val="0"/>
          <w:color w:val="FF0000"/>
          <w:kern w:val="0"/>
          <w:sz w:val="24"/>
          <w:szCs w:val="24"/>
        </w:rPr>
        <w:t>月</w:t>
      </w:r>
      <w:r>
        <w:rPr>
          <w:rFonts w:hint="eastAsia" w:ascii="宋体" w:hAnsi="宋体" w:cs="宋体"/>
          <w:snapToGrid w:val="0"/>
          <w:color w:val="FF0000"/>
          <w:kern w:val="0"/>
          <w:sz w:val="24"/>
          <w:szCs w:val="24"/>
          <w:lang w:val="en-US" w:eastAsia="zh-CN"/>
        </w:rPr>
        <w:t>22</w:t>
      </w:r>
      <w:r>
        <w:rPr>
          <w:rFonts w:hint="eastAsia" w:ascii="宋体" w:hAnsi="宋体" w:eastAsia="宋体" w:cs="宋体"/>
          <w:snapToGrid w:val="0"/>
          <w:color w:val="000000"/>
          <w:kern w:val="0"/>
          <w:sz w:val="24"/>
          <w:szCs w:val="24"/>
        </w:rPr>
        <w:t>日，每天上午00:00至12:00，下午12:00至23:59（北京时间，法定节假日除外）</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地点：新疆政府采购网（http://www.ccgp-xinjiang.gov.cn/）</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方式：在新疆政府采购网（http://www.ccgp-xinjiang.gov.cn/）该项目采购公告附件中可直接下载。</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售价（元）：0</w:t>
      </w:r>
    </w:p>
    <w:p>
      <w:pPr>
        <w:pStyle w:val="14"/>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16"/>
          <w:rFonts w:ascii="黑体" w:hAnsi="宋体" w:eastAsia="黑体" w:cs="黑体"/>
          <w:sz w:val="21"/>
          <w:szCs w:val="21"/>
        </w:rPr>
        <w:t>四、提交投标文件截止时间、开标时间和地点</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提交投标文件截止时间：202</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lang w:val="en-US" w:eastAsia="zh-CN"/>
        </w:rPr>
        <w:t>0</w:t>
      </w:r>
      <w:r>
        <w:rPr>
          <w:rFonts w:hint="eastAsia" w:ascii="宋体" w:hAnsi="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rPr>
        <w:t>月</w:t>
      </w:r>
      <w:r>
        <w:rPr>
          <w:rFonts w:hint="eastAsia" w:ascii="宋体" w:hAnsi="宋体" w:cs="宋体"/>
          <w:snapToGrid w:val="0"/>
          <w:color w:val="000000"/>
          <w:kern w:val="0"/>
          <w:sz w:val="24"/>
          <w:szCs w:val="24"/>
          <w:lang w:val="en-US" w:eastAsia="zh-CN"/>
        </w:rPr>
        <w:t>06</w:t>
      </w:r>
      <w:r>
        <w:rPr>
          <w:rFonts w:hint="eastAsia" w:ascii="宋体" w:hAnsi="宋体" w:eastAsia="宋体" w:cs="宋体"/>
          <w:snapToGrid w:val="0"/>
          <w:color w:val="000000"/>
          <w:kern w:val="0"/>
          <w:sz w:val="24"/>
          <w:szCs w:val="24"/>
        </w:rPr>
        <w:t>日 1</w:t>
      </w:r>
      <w:r>
        <w:rPr>
          <w:rFonts w:hint="eastAsia" w:ascii="宋体" w:hAnsi="宋体" w:cs="宋体"/>
          <w:snapToGrid w:val="0"/>
          <w:color w:val="000000"/>
          <w:kern w:val="0"/>
          <w:sz w:val="24"/>
          <w:szCs w:val="24"/>
          <w:lang w:val="en-US" w:eastAsia="zh-CN"/>
        </w:rPr>
        <w:t>2</w:t>
      </w:r>
      <w:r>
        <w:rPr>
          <w:rFonts w:hint="eastAsia" w:ascii="宋体" w:hAnsi="宋体" w:eastAsia="宋体" w:cs="宋体"/>
          <w:snapToGrid w:val="0"/>
          <w:color w:val="000000"/>
          <w:kern w:val="0"/>
          <w:sz w:val="24"/>
          <w:szCs w:val="24"/>
        </w:rPr>
        <w:t>:</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0（北京时间）</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投标地点：民丰县行政服务和公共资源交易中心（</w:t>
      </w:r>
      <w:r>
        <w:rPr>
          <w:rFonts w:hint="eastAsia" w:ascii="宋体" w:hAnsi="宋体" w:eastAsia="宋体" w:cs="宋体"/>
          <w:snapToGrid w:val="0"/>
          <w:color w:val="000000"/>
          <w:kern w:val="0"/>
          <w:sz w:val="24"/>
          <w:szCs w:val="24"/>
          <w:lang w:val="en-US" w:eastAsia="zh-CN"/>
        </w:rPr>
        <w:t>民丰县友谊路75号</w:t>
      </w:r>
      <w:r>
        <w:rPr>
          <w:rFonts w:hint="eastAsia" w:ascii="宋体" w:hAnsi="宋体" w:eastAsia="宋体" w:cs="宋体"/>
          <w:snapToGrid w:val="0"/>
          <w:color w:val="000000"/>
          <w:kern w:val="0"/>
          <w:sz w:val="24"/>
          <w:szCs w:val="24"/>
        </w:rPr>
        <w:t>）</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开标时间：202</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lang w:val="en-US" w:eastAsia="zh-CN"/>
        </w:rPr>
        <w:t>0</w:t>
      </w:r>
      <w:r>
        <w:rPr>
          <w:rFonts w:hint="eastAsia" w:ascii="宋体" w:hAnsi="宋体" w:cs="宋体"/>
          <w:snapToGrid w:val="0"/>
          <w:color w:val="000000"/>
          <w:kern w:val="0"/>
          <w:sz w:val="24"/>
          <w:szCs w:val="24"/>
          <w:lang w:val="en-US" w:eastAsia="zh-CN"/>
        </w:rPr>
        <w:t>4</w:t>
      </w:r>
      <w:r>
        <w:rPr>
          <w:rFonts w:hint="eastAsia" w:ascii="宋体" w:hAnsi="宋体" w:eastAsia="宋体" w:cs="宋体"/>
          <w:snapToGrid w:val="0"/>
          <w:color w:val="000000"/>
          <w:kern w:val="0"/>
          <w:sz w:val="24"/>
          <w:szCs w:val="24"/>
        </w:rPr>
        <w:t>月</w:t>
      </w:r>
      <w:r>
        <w:rPr>
          <w:rFonts w:hint="eastAsia" w:ascii="宋体" w:hAnsi="宋体" w:cs="宋体"/>
          <w:snapToGrid w:val="0"/>
          <w:color w:val="000000"/>
          <w:kern w:val="0"/>
          <w:sz w:val="24"/>
          <w:szCs w:val="24"/>
          <w:lang w:val="en-US" w:eastAsia="zh-CN"/>
        </w:rPr>
        <w:t>06</w:t>
      </w:r>
      <w:r>
        <w:rPr>
          <w:rFonts w:hint="eastAsia" w:ascii="宋体" w:hAnsi="宋体" w:eastAsia="宋体" w:cs="宋体"/>
          <w:snapToGrid w:val="0"/>
          <w:color w:val="000000"/>
          <w:kern w:val="0"/>
          <w:sz w:val="24"/>
          <w:szCs w:val="24"/>
        </w:rPr>
        <w:t>日 1</w:t>
      </w:r>
      <w:r>
        <w:rPr>
          <w:rFonts w:hint="eastAsia" w:ascii="宋体" w:hAnsi="宋体" w:cs="宋体"/>
          <w:snapToGrid w:val="0"/>
          <w:color w:val="000000"/>
          <w:kern w:val="0"/>
          <w:sz w:val="24"/>
          <w:szCs w:val="24"/>
          <w:lang w:val="en-US" w:eastAsia="zh-CN"/>
        </w:rPr>
        <w:t>2</w:t>
      </w:r>
      <w:r>
        <w:rPr>
          <w:rFonts w:hint="eastAsia" w:ascii="宋体" w:hAnsi="宋体" w:eastAsia="宋体" w:cs="宋体"/>
          <w:snapToGrid w:val="0"/>
          <w:color w:val="000000"/>
          <w:kern w:val="0"/>
          <w:sz w:val="24"/>
          <w:szCs w:val="24"/>
        </w:rPr>
        <w:t>:</w:t>
      </w:r>
      <w:r>
        <w:rPr>
          <w:rFonts w:hint="eastAsia" w:ascii="宋体" w:hAnsi="宋体" w:cs="宋体"/>
          <w:snapToGrid w:val="0"/>
          <w:color w:val="000000"/>
          <w:kern w:val="0"/>
          <w:sz w:val="24"/>
          <w:szCs w:val="24"/>
          <w:lang w:val="en-US" w:eastAsia="zh-CN"/>
        </w:rPr>
        <w:t>3</w:t>
      </w:r>
      <w:bookmarkStart w:id="25" w:name="_GoBack"/>
      <w:bookmarkEnd w:id="25"/>
      <w:r>
        <w:rPr>
          <w:rFonts w:hint="eastAsia" w:ascii="宋体" w:hAnsi="宋体" w:eastAsia="宋体" w:cs="宋体"/>
          <w:snapToGrid w:val="0"/>
          <w:color w:val="000000"/>
          <w:kern w:val="0"/>
          <w:sz w:val="24"/>
          <w:szCs w:val="24"/>
        </w:rPr>
        <w:t>0</w:t>
      </w:r>
    </w:p>
    <w:p>
      <w:pPr>
        <w:pStyle w:val="14"/>
        <w:keepNext w:val="0"/>
        <w:keepLines w:val="0"/>
        <w:widowControl/>
        <w:suppressLineNumbers w:val="0"/>
        <w:spacing w:before="60" w:beforeAutospacing="0" w:after="60" w:afterAutospacing="0" w:line="240" w:lineRule="atLeast"/>
        <w:ind w:left="0" w:right="0" w:firstLine="420"/>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开标地点：民丰县行政服务和公共资源交易中心（</w:t>
      </w:r>
      <w:r>
        <w:rPr>
          <w:rFonts w:hint="eastAsia" w:ascii="宋体" w:hAnsi="宋体" w:eastAsia="宋体" w:cs="宋体"/>
          <w:snapToGrid w:val="0"/>
          <w:color w:val="000000"/>
          <w:kern w:val="0"/>
          <w:sz w:val="24"/>
          <w:szCs w:val="24"/>
          <w:lang w:val="en-US" w:eastAsia="zh-CN"/>
        </w:rPr>
        <w:t>民丰县友谊路75号</w:t>
      </w:r>
      <w:r>
        <w:rPr>
          <w:rFonts w:hint="eastAsia" w:ascii="宋体" w:hAnsi="宋体" w:eastAsia="宋体" w:cs="宋体"/>
          <w:snapToGrid w:val="0"/>
          <w:color w:val="000000"/>
          <w:kern w:val="0"/>
          <w:sz w:val="24"/>
          <w:szCs w:val="24"/>
        </w:rPr>
        <w:t>）</w:t>
      </w:r>
    </w:p>
    <w:p>
      <w:pPr>
        <w:pStyle w:val="14"/>
        <w:keepNext w:val="0"/>
        <w:keepLines w:val="0"/>
        <w:widowControl/>
        <w:suppressLineNumbers w:val="0"/>
        <w:spacing w:before="204" w:beforeAutospacing="0" w:after="204" w:afterAutospacing="0" w:line="240" w:lineRule="atLeast"/>
        <w:ind w:left="0" w:right="0"/>
        <w:jc w:val="both"/>
        <w:rPr>
          <w:rFonts w:ascii="黑体" w:hAnsi="宋体" w:eastAsia="黑体" w:cs="黑体"/>
          <w:sz w:val="25"/>
          <w:szCs w:val="25"/>
        </w:rPr>
      </w:pPr>
      <w:r>
        <w:rPr>
          <w:rStyle w:val="16"/>
          <w:rFonts w:ascii="黑体" w:hAnsi="宋体" w:eastAsia="黑体" w:cs="黑体"/>
          <w:sz w:val="21"/>
          <w:szCs w:val="21"/>
        </w:rPr>
        <w:t>五、公告期限</w:t>
      </w:r>
    </w:p>
    <w:p>
      <w:pPr>
        <w:pStyle w:val="14"/>
        <w:keepNext w:val="0"/>
        <w:keepLines w:val="0"/>
        <w:widowControl/>
        <w:suppressLineNumbers w:val="0"/>
        <w:spacing w:before="60" w:beforeAutospacing="0" w:after="60" w:afterAutospacing="0"/>
        <w:ind w:left="0" w:right="0" w:firstLine="420"/>
      </w:pPr>
      <w:r>
        <w:rPr>
          <w:rFonts w:hint="eastAsia" w:ascii="宋体" w:hAnsi="宋体" w:eastAsia="宋体" w:cs="宋体"/>
          <w:snapToGrid w:val="0"/>
          <w:color w:val="000000"/>
          <w:kern w:val="0"/>
          <w:sz w:val="24"/>
          <w:szCs w:val="24"/>
        </w:rPr>
        <w:t>自本公告发布之日起</w:t>
      </w:r>
      <w:r>
        <w:rPr>
          <w:rFonts w:hint="eastAsia" w:ascii="宋体" w:hAnsi="宋体" w:eastAsia="宋体" w:cs="宋体"/>
          <w:snapToGrid w:val="0"/>
          <w:color w:val="000000"/>
          <w:kern w:val="0"/>
          <w:sz w:val="24"/>
          <w:szCs w:val="24"/>
          <w:lang w:val="en-US" w:eastAsia="zh-CN"/>
        </w:rPr>
        <w:t>5</w:t>
      </w:r>
      <w:r>
        <w:rPr>
          <w:rFonts w:hint="eastAsia" w:ascii="宋体" w:hAnsi="宋体" w:eastAsia="宋体" w:cs="宋体"/>
          <w:snapToGrid w:val="0"/>
          <w:color w:val="000000"/>
          <w:kern w:val="0"/>
          <w:sz w:val="24"/>
          <w:szCs w:val="24"/>
        </w:rPr>
        <w:t>个工作日。</w:t>
      </w:r>
    </w:p>
    <w:p>
      <w:pPr>
        <w:pStyle w:val="14"/>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16"/>
          <w:rFonts w:ascii="黑体" w:hAnsi="宋体" w:eastAsia="黑体" w:cs="黑体"/>
          <w:sz w:val="21"/>
          <w:szCs w:val="21"/>
        </w:rPr>
        <w:t>六、其他补充事宜</w:t>
      </w:r>
    </w:p>
    <w:p>
      <w:pPr>
        <w:pStyle w:val="14"/>
        <w:keepNext w:val="0"/>
        <w:keepLines w:val="0"/>
        <w:widowControl/>
        <w:suppressLineNumbers w:val="0"/>
        <w:spacing w:before="60" w:beforeAutospacing="0" w:after="60" w:afterAutospacing="0" w:line="315" w:lineRule="atLeast"/>
        <w:ind w:left="0" w:right="0" w:firstLine="420"/>
        <w:rPr>
          <w:rFonts w:hint="eastAsia" w:ascii="仿宋" w:hAnsi="仿宋" w:eastAsia="仿宋" w:cs="仿宋"/>
          <w:sz w:val="21"/>
          <w:szCs w:val="21"/>
        </w:rPr>
      </w:pPr>
      <w:r>
        <w:rPr>
          <w:rFonts w:hint="eastAsia" w:ascii="仿宋" w:hAnsi="仿宋" w:eastAsia="仿宋" w:cs="仿宋"/>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4"/>
        <w:keepNext w:val="0"/>
        <w:keepLines w:val="0"/>
        <w:widowControl/>
        <w:suppressLineNumbers w:val="0"/>
        <w:spacing w:before="60" w:beforeAutospacing="0" w:after="60" w:afterAutospacing="0" w:line="315" w:lineRule="atLeast"/>
        <w:ind w:left="0" w:right="0" w:firstLine="420"/>
        <w:rPr>
          <w:rFonts w:hint="eastAsia" w:ascii="仿宋" w:hAnsi="仿宋" w:eastAsia="仿宋" w:cs="仿宋"/>
          <w:sz w:val="21"/>
          <w:szCs w:val="21"/>
        </w:rPr>
      </w:pPr>
      <w:r>
        <w:rPr>
          <w:rFonts w:hint="eastAsia" w:ascii="仿宋" w:hAnsi="仿宋" w:eastAsia="仿宋" w:cs="仿宋"/>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4"/>
        <w:keepNext w:val="0"/>
        <w:keepLines w:val="0"/>
        <w:widowControl/>
        <w:suppressLineNumbers w:val="0"/>
        <w:spacing w:before="60" w:beforeAutospacing="0" w:after="60" w:afterAutospacing="0" w:line="315" w:lineRule="atLeast"/>
        <w:ind w:left="0" w:right="0" w:firstLine="420"/>
        <w:rPr>
          <w:rFonts w:hint="eastAsia" w:ascii="仿宋" w:hAnsi="仿宋" w:eastAsia="仿宋" w:cs="仿宋"/>
          <w:sz w:val="21"/>
          <w:szCs w:val="21"/>
        </w:rPr>
      </w:pPr>
      <w:r>
        <w:rPr>
          <w:rFonts w:hint="eastAsia" w:ascii="仿宋" w:hAnsi="仿宋" w:eastAsia="仿宋" w:cs="仿宋"/>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4"/>
        <w:keepNext w:val="0"/>
        <w:keepLines w:val="0"/>
        <w:widowControl/>
        <w:suppressLineNumbers w:val="0"/>
        <w:spacing w:before="60" w:beforeAutospacing="0" w:after="60" w:afterAutospacing="0" w:line="315" w:lineRule="atLeast"/>
        <w:ind w:left="0" w:right="0" w:firstLine="420"/>
        <w:rPr>
          <w:rFonts w:hint="eastAsia" w:ascii="仿宋" w:hAnsi="仿宋" w:eastAsia="仿宋" w:cs="仿宋"/>
          <w:sz w:val="21"/>
          <w:szCs w:val="21"/>
        </w:rPr>
      </w:pPr>
    </w:p>
    <w:p>
      <w:pPr>
        <w:pStyle w:val="14"/>
        <w:keepNext w:val="0"/>
        <w:keepLines w:val="0"/>
        <w:widowControl/>
        <w:suppressLineNumbers w:val="0"/>
        <w:spacing w:before="60" w:beforeAutospacing="0" w:after="60" w:afterAutospacing="0" w:line="315" w:lineRule="atLeast"/>
        <w:ind w:right="0"/>
        <w:rPr>
          <w:rFonts w:ascii="黑体" w:hAnsi="宋体" w:eastAsia="黑体" w:cs="黑体"/>
          <w:sz w:val="25"/>
          <w:szCs w:val="25"/>
        </w:rPr>
      </w:pPr>
      <w:r>
        <w:rPr>
          <w:rStyle w:val="16"/>
          <w:rFonts w:ascii="黑体" w:hAnsi="宋体" w:eastAsia="黑体" w:cs="黑体"/>
          <w:sz w:val="21"/>
          <w:szCs w:val="21"/>
        </w:rPr>
        <w:t>七</w:t>
      </w:r>
      <w:r>
        <w:rPr>
          <w:rStyle w:val="16"/>
          <w:rFonts w:hint="eastAsia" w:ascii="黑体" w:hAnsi="宋体" w:eastAsia="黑体" w:cs="黑体"/>
          <w:sz w:val="21"/>
          <w:szCs w:val="21"/>
          <w:lang w:eastAsia="zh-CN"/>
        </w:rPr>
        <w:t>、</w:t>
      </w:r>
      <w:r>
        <w:rPr>
          <w:rStyle w:val="16"/>
          <w:rFonts w:ascii="黑体" w:hAnsi="宋体" w:eastAsia="黑体" w:cs="黑体"/>
          <w:sz w:val="21"/>
          <w:szCs w:val="21"/>
        </w:rPr>
        <w:t>对本次采购提出询问，请按以下方式联系</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1.采购人信息</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cs="仿宋"/>
          <w:bCs/>
          <w:kern w:val="1"/>
          <w:sz w:val="24"/>
          <w:szCs w:val="28"/>
          <w:lang w:val="en-US" w:eastAsia="zh-CN"/>
        </w:rPr>
      </w:pPr>
      <w:r>
        <w:rPr>
          <w:rFonts w:hint="eastAsia" w:ascii="宋体" w:hAnsi="宋体" w:eastAsia="宋体" w:cs="宋体"/>
          <w:snapToGrid w:val="0"/>
          <w:color w:val="000000"/>
          <w:kern w:val="0"/>
          <w:sz w:val="24"/>
          <w:szCs w:val="24"/>
        </w:rPr>
        <w:t>名 称：</w:t>
      </w:r>
      <w:r>
        <w:rPr>
          <w:rFonts w:hint="eastAsia" w:ascii="宋体" w:hAnsi="宋体" w:cs="仿宋"/>
          <w:bCs/>
          <w:kern w:val="1"/>
          <w:sz w:val="24"/>
          <w:szCs w:val="28"/>
          <w:lang w:val="en-US" w:eastAsia="zh-CN"/>
        </w:rPr>
        <w:t>民丰县自然资源局</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 址：和田地区民丰县兰帕北路15号</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000000"/>
          <w:kern w:val="0"/>
          <w:sz w:val="24"/>
          <w:szCs w:val="24"/>
        </w:rPr>
        <w:t>联系方式：</w:t>
      </w:r>
      <w:r>
        <w:rPr>
          <w:rFonts w:hint="eastAsia" w:ascii="宋体" w:hAnsi="宋体" w:eastAsia="宋体" w:cs="宋体"/>
          <w:color w:val="auto"/>
          <w:sz w:val="24"/>
          <w:szCs w:val="24"/>
          <w:highlight w:val="none"/>
          <w:lang w:val="en-US" w:eastAsia="zh-CN"/>
        </w:rPr>
        <w:t>0903-6752930</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2.采购代理机构信息</w:t>
      </w:r>
    </w:p>
    <w:p>
      <w:pPr>
        <w:pStyle w:val="14"/>
        <w:keepNext w:val="0"/>
        <w:keepLines w:val="0"/>
        <w:widowControl/>
        <w:suppressLineNumbers w:val="0"/>
        <w:spacing w:before="60" w:beforeAutospacing="0" w:after="60" w:afterAutospacing="0" w:line="240" w:lineRule="atLeast"/>
        <w:ind w:left="0" w:right="0" w:firstLine="420"/>
        <w:rPr>
          <w:rFonts w:hint="default" w:ascii="宋体" w:hAnsi="宋体" w:cs="仿宋"/>
          <w:bCs/>
          <w:kern w:val="1"/>
          <w:sz w:val="24"/>
          <w:szCs w:val="28"/>
          <w:lang w:val="en-US" w:eastAsia="zh-CN"/>
        </w:rPr>
      </w:pPr>
      <w:r>
        <w:rPr>
          <w:rFonts w:hint="eastAsia" w:ascii="宋体" w:hAnsi="宋体" w:eastAsia="宋体" w:cs="宋体"/>
          <w:snapToGrid w:val="0"/>
          <w:color w:val="000000"/>
          <w:kern w:val="0"/>
          <w:sz w:val="24"/>
          <w:szCs w:val="24"/>
        </w:rPr>
        <w:t>名 称：</w:t>
      </w:r>
      <w:r>
        <w:rPr>
          <w:rFonts w:hint="eastAsia" w:ascii="宋体" w:hAnsi="宋体" w:cs="仿宋"/>
          <w:bCs/>
          <w:kern w:val="1"/>
          <w:sz w:val="24"/>
          <w:szCs w:val="28"/>
          <w:lang w:val="en-US" w:eastAsia="zh-CN"/>
        </w:rPr>
        <w:t>新疆鼎之裕工程招标咨询有限公司</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 址：新疆和田地区和田市京和物流园区火车站社区京通大道153号众慕建材市场12栋3楼9号</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联系方式：</w:t>
      </w:r>
      <w:r>
        <w:rPr>
          <w:rFonts w:hint="eastAsia" w:ascii="宋体" w:hAnsi="宋体" w:cs="宋体"/>
          <w:snapToGrid w:val="0"/>
          <w:color w:val="000000"/>
          <w:kern w:val="0"/>
          <w:sz w:val="24"/>
          <w:szCs w:val="24"/>
          <w:lang w:val="en-US" w:eastAsia="zh-CN"/>
        </w:rPr>
        <w:t>15599809932</w:t>
      </w:r>
    </w:p>
    <w:p>
      <w:pPr>
        <w:pStyle w:val="14"/>
        <w:keepNext w:val="0"/>
        <w:keepLines w:val="0"/>
        <w:widowControl/>
        <w:suppressLineNumbers w:val="0"/>
        <w:spacing w:before="60" w:beforeAutospacing="0" w:after="60" w:afterAutospacing="0" w:line="240" w:lineRule="atLeast"/>
        <w:ind w:left="0" w:right="0" w:firstLine="42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3.项目联系方式</w:t>
      </w:r>
    </w:p>
    <w:p>
      <w:pPr>
        <w:pStyle w:val="14"/>
        <w:keepNext w:val="0"/>
        <w:keepLines w:val="0"/>
        <w:widowControl/>
        <w:suppressLineNumbers w:val="0"/>
        <w:spacing w:before="60" w:beforeAutospacing="0" w:after="60" w:afterAutospacing="0" w:line="240" w:lineRule="atLeast"/>
        <w:ind w:left="0" w:right="0" w:firstLine="420"/>
        <w:rPr>
          <w:rFonts w:hint="default" w:ascii="宋体" w:hAnsi="宋体" w:cs="仿宋"/>
          <w:bCs/>
          <w:kern w:val="1"/>
          <w:sz w:val="24"/>
          <w:szCs w:val="28"/>
          <w:lang w:val="en-US" w:eastAsia="zh-CN"/>
        </w:rPr>
      </w:pPr>
      <w:r>
        <w:rPr>
          <w:rFonts w:hint="eastAsia" w:ascii="宋体" w:hAnsi="宋体" w:eastAsia="宋体" w:cs="宋体"/>
          <w:snapToGrid w:val="0"/>
          <w:color w:val="000000"/>
          <w:kern w:val="0"/>
          <w:sz w:val="24"/>
          <w:szCs w:val="24"/>
        </w:rPr>
        <w:t>项目联系人：</w:t>
      </w:r>
      <w:r>
        <w:rPr>
          <w:rFonts w:hint="eastAsia" w:ascii="宋体" w:hAnsi="宋体" w:cs="仿宋"/>
          <w:bCs/>
          <w:kern w:val="1"/>
          <w:sz w:val="24"/>
          <w:szCs w:val="28"/>
          <w:lang w:val="en-US" w:eastAsia="zh-CN"/>
        </w:rPr>
        <w:t>贾光洪</w:t>
      </w:r>
    </w:p>
    <w:p>
      <w:pPr>
        <w:pStyle w:val="14"/>
        <w:keepNext w:val="0"/>
        <w:keepLines w:val="0"/>
        <w:widowControl/>
        <w:suppressLineNumbers w:val="0"/>
        <w:spacing w:before="60" w:beforeAutospacing="0" w:after="60" w:afterAutospacing="0" w:line="240" w:lineRule="atLeast"/>
        <w:ind w:left="0" w:right="0" w:firstLine="420"/>
        <w:rPr>
          <w:rFonts w:hint="default" w:ascii="宋体" w:hAnsi="宋体" w:eastAsia="宋体" w:cs="仿宋"/>
          <w:bCs/>
          <w:kern w:val="1"/>
          <w:sz w:val="24"/>
          <w:szCs w:val="28"/>
          <w:lang w:val="en-US" w:eastAsia="zh-CN"/>
        </w:rPr>
      </w:pPr>
      <w:r>
        <w:rPr>
          <w:rFonts w:hint="eastAsia" w:ascii="宋体" w:hAnsi="宋体" w:eastAsia="宋体" w:cs="宋体"/>
          <w:snapToGrid w:val="0"/>
          <w:color w:val="000000"/>
          <w:kern w:val="0"/>
          <w:sz w:val="24"/>
          <w:szCs w:val="24"/>
        </w:rPr>
        <w:t>电 话：</w:t>
      </w:r>
      <w:r>
        <w:rPr>
          <w:rFonts w:hint="eastAsia" w:ascii="宋体" w:hAnsi="宋体" w:cs="宋体"/>
          <w:snapToGrid w:val="0"/>
          <w:color w:val="000000"/>
          <w:kern w:val="0"/>
          <w:sz w:val="24"/>
          <w:szCs w:val="24"/>
          <w:lang w:val="en-US" w:eastAsia="zh-CN"/>
        </w:rPr>
        <w:t>15599809932</w:t>
      </w:r>
    </w:p>
    <w:p>
      <w:pPr>
        <w:pStyle w:val="14"/>
        <w:keepNext w:val="0"/>
        <w:keepLines w:val="0"/>
        <w:widowControl/>
        <w:suppressLineNumbers w:val="0"/>
        <w:spacing w:before="60" w:beforeAutospacing="0" w:after="60" w:afterAutospacing="0" w:line="240" w:lineRule="atLeast"/>
        <w:ind w:right="0"/>
        <w:rPr>
          <w:rFonts w:hint="default" w:ascii="宋体" w:hAnsi="宋体" w:cs="仿宋"/>
          <w:bCs/>
          <w:kern w:val="1"/>
          <w:sz w:val="24"/>
          <w:szCs w:val="28"/>
          <w:lang w:val="en-US" w:eastAsia="zh-CN"/>
        </w:rPr>
        <w:sectPr>
          <w:pgSz w:w="11906" w:h="16838"/>
          <w:pgMar w:top="1440" w:right="1800" w:bottom="1440" w:left="1800" w:header="851" w:footer="992" w:gutter="0"/>
          <w:pgNumType w:fmt="numberInDash"/>
          <w:cols w:space="425" w:num="1"/>
          <w:docGrid w:type="lines" w:linePitch="312" w:charSpace="0"/>
        </w:sectPr>
      </w:pPr>
    </w:p>
    <w:p>
      <w:pPr>
        <w:tabs>
          <w:tab w:val="left" w:pos="826"/>
        </w:tabs>
        <w:bidi w:val="0"/>
        <w:jc w:val="left"/>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p>
      <w:pPr>
        <w:spacing w:before="204" w:line="185" w:lineRule="auto"/>
        <w:jc w:val="center"/>
        <w:outlineLvl w:val="0"/>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pPr>
    </w:p>
    <w:p>
      <w:pPr>
        <w:spacing w:before="204" w:line="185" w:lineRule="auto"/>
        <w:jc w:val="center"/>
        <w:outlineLvl w:val="0"/>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pPr>
    </w:p>
    <w:p>
      <w:pPr>
        <w:spacing w:before="204" w:line="185" w:lineRule="auto"/>
        <w:jc w:val="center"/>
        <w:outlineLvl w:val="0"/>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pPr>
    </w:p>
    <w:p>
      <w:pPr>
        <w:spacing w:before="204" w:line="185" w:lineRule="auto"/>
        <w:jc w:val="center"/>
        <w:outlineLvl w:val="0"/>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pPr>
    </w:p>
    <w:p>
      <w:pPr>
        <w:spacing w:before="204" w:line="185" w:lineRule="auto"/>
        <w:jc w:val="center"/>
        <w:outlineLvl w:val="0"/>
        <w:rPr>
          <w:rFonts w:hint="default" w:ascii="宋体" w:hAnsi="宋体" w:eastAsia="宋体" w:cs="宋体"/>
          <w:spacing w:val="-3"/>
          <w:sz w:val="36"/>
          <w:szCs w:val="36"/>
          <w:lang w:val="en-US" w:eastAsia="zh-CN"/>
          <w14:textOutline w14:w="6531" w14:cap="flat" w14:cmpd="sng">
            <w14:solidFill>
              <w14:srgbClr w14:val="000000"/>
            </w14:solidFill>
            <w14:prstDash w14:val="solid"/>
            <w14:miter w14:val="0"/>
          </w14:textOutline>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t>第二章投标人须知前附表</w:t>
      </w:r>
    </w:p>
    <w:tbl>
      <w:tblPr>
        <w:tblStyle w:val="18"/>
        <w:tblW w:w="9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406"/>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1" w:hRule="exact"/>
          <w:tblHeader/>
          <w:jc w:val="center"/>
        </w:trPr>
        <w:tc>
          <w:tcPr>
            <w:tcW w:w="1012" w:type="dxa"/>
            <w:noWrap w:val="0"/>
            <w:vAlign w:val="center"/>
          </w:tcPr>
          <w:p>
            <w:pPr>
              <w:pStyle w:val="22"/>
              <w:keepNext w:val="0"/>
              <w:keepLines w:val="0"/>
              <w:suppressLineNumbers w:val="0"/>
              <w:spacing w:before="0" w:beforeAutospacing="0" w:after="0" w:afterAutospacing="0" w:line="400" w:lineRule="exact"/>
              <w:ind w:left="9" w:right="0"/>
              <w:jc w:val="center"/>
              <w:rPr>
                <w:rFonts w:hint="default"/>
                <w:b/>
                <w:color w:val="auto"/>
                <w:sz w:val="24"/>
                <w:szCs w:val="24"/>
                <w:highlight w:val="none"/>
                <w:lang w:val="zh-CN"/>
              </w:rPr>
            </w:pPr>
            <w:r>
              <w:rPr>
                <w:rFonts w:hint="eastAsia"/>
                <w:b/>
                <w:color w:val="auto"/>
                <w:sz w:val="24"/>
                <w:szCs w:val="24"/>
                <w:highlight w:val="none"/>
                <w:lang w:val="zh-CN"/>
              </w:rPr>
              <w:t xml:space="preserve">序号 </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 xml:space="preserve">条款名称 </w:t>
            </w:r>
          </w:p>
        </w:tc>
        <w:tc>
          <w:tcPr>
            <w:tcW w:w="6077" w:type="dxa"/>
            <w:noWrap w:val="0"/>
            <w:vAlign w:val="center"/>
          </w:tcPr>
          <w:p>
            <w:pPr>
              <w:pStyle w:val="22"/>
              <w:keepNext w:val="0"/>
              <w:keepLines w:val="0"/>
              <w:suppressLineNumbers w:val="0"/>
              <w:spacing w:before="0" w:beforeAutospacing="0" w:after="0" w:afterAutospacing="0" w:line="400" w:lineRule="exact"/>
              <w:ind w:left="0" w:right="0"/>
              <w:jc w:val="center"/>
              <w:rPr>
                <w:rFonts w:hint="default"/>
                <w:b/>
                <w:color w:val="auto"/>
                <w:sz w:val="24"/>
                <w:szCs w:val="24"/>
                <w:highlight w:val="none"/>
                <w:lang w:val="zh-CN"/>
              </w:rPr>
            </w:pPr>
            <w:r>
              <w:rPr>
                <w:rFonts w:hint="eastAsia"/>
                <w:b/>
                <w:color w:val="auto"/>
                <w:sz w:val="24"/>
                <w:szCs w:val="24"/>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5"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w:t>
            </w:r>
          </w:p>
        </w:tc>
        <w:tc>
          <w:tcPr>
            <w:tcW w:w="2406" w:type="dxa"/>
            <w:noWrap w:val="0"/>
            <w:vAlign w:val="center"/>
          </w:tcPr>
          <w:p>
            <w:pPr>
              <w:pStyle w:val="22"/>
              <w:keepNext w:val="0"/>
              <w:keepLines w:val="0"/>
              <w:suppressLineNumbers w:val="0"/>
              <w:spacing w:before="0" w:beforeAutospacing="0" w:after="0" w:afterAutospacing="0" w:line="400" w:lineRule="exact"/>
              <w:ind w:left="0" w:right="0"/>
              <w:jc w:val="center"/>
              <w:rPr>
                <w:rFonts w:hint="default" w:eastAsia="宋体"/>
                <w:b/>
                <w:color w:val="auto"/>
                <w:sz w:val="24"/>
                <w:szCs w:val="24"/>
                <w:highlight w:val="none"/>
                <w:lang w:val="en-US" w:eastAsia="zh-CN"/>
              </w:rPr>
            </w:pPr>
            <w:r>
              <w:rPr>
                <w:rFonts w:ascii="宋体" w:hAnsi="宋体" w:eastAsia="宋体" w:cs="宋体"/>
                <w:spacing w:val="-3"/>
                <w:sz w:val="24"/>
                <w:szCs w:val="24"/>
                <w14:textOutline w14:w="4354" w14:cap="flat" w14:cmpd="sng">
                  <w14:solidFill>
                    <w14:srgbClr w14:val="000000"/>
                  </w14:solidFill>
                  <w14:prstDash w14:val="solid"/>
                  <w14:miter w14:val="0"/>
                </w14:textOutline>
              </w:rPr>
              <w:t>项目名称</w:t>
            </w:r>
            <w:r>
              <w:rPr>
                <w:rFonts w:hint="eastAsia" w:cs="宋体"/>
                <w:spacing w:val="-3"/>
                <w:sz w:val="24"/>
                <w:szCs w:val="24"/>
                <w:lang w:val="en-US" w:eastAsia="zh-CN"/>
                <w14:textOutline w14:w="4354" w14:cap="flat" w14:cmpd="sng">
                  <w14:solidFill>
                    <w14:srgbClr w14:val="000000"/>
                  </w14:solidFill>
                  <w14:prstDash w14:val="solid"/>
                  <w14:miter w14:val="0"/>
                </w14:textOutline>
              </w:rPr>
              <w:t>及编号</w:t>
            </w:r>
          </w:p>
        </w:tc>
        <w:tc>
          <w:tcPr>
            <w:tcW w:w="6077" w:type="dxa"/>
            <w:noWrap w:val="0"/>
            <w:vAlign w:val="center"/>
          </w:tcPr>
          <w:p>
            <w:pPr>
              <w:pStyle w:val="22"/>
              <w:keepNext w:val="0"/>
              <w:keepLines w:val="0"/>
              <w:suppressLineNumbers w:val="0"/>
              <w:spacing w:before="0" w:beforeAutospacing="0" w:after="0" w:afterAutospacing="0" w:line="400" w:lineRule="exact"/>
              <w:ind w:left="0" w:right="0"/>
              <w:rPr>
                <w:rFonts w:hint="eastAsia"/>
                <w:lang w:val="en-US" w:eastAsia="zh-CN"/>
              </w:rPr>
            </w:pPr>
            <w:r>
              <w:rPr>
                <w:rFonts w:hint="eastAsia"/>
                <w:lang w:val="en-US" w:eastAsia="zh-CN"/>
              </w:rPr>
              <w:t>项目名称：</w:t>
            </w:r>
            <w:r>
              <w:rPr>
                <w:rFonts w:hint="eastAsia" w:ascii="宋体" w:hAnsi="宋体" w:cs="宋体"/>
                <w:b/>
                <w:color w:val="000000"/>
                <w:sz w:val="21"/>
                <w:szCs w:val="21"/>
                <w:lang w:val="en-US" w:eastAsia="zh-CN"/>
              </w:rPr>
              <w:t>民丰县国土空间一张图平台监管系统项目</w:t>
            </w:r>
          </w:p>
          <w:p>
            <w:pPr>
              <w:pStyle w:val="10"/>
              <w:rPr>
                <w:rFonts w:hint="default" w:eastAsia="宋体"/>
                <w:lang w:val="en-US" w:eastAsia="zh-CN"/>
              </w:rPr>
            </w:pPr>
            <w:r>
              <w:rPr>
                <w:rFonts w:hint="eastAsia" w:ascii="宋体" w:hAnsi="宋体" w:eastAsia="宋体" w:cs="宋体"/>
                <w:sz w:val="24"/>
                <w:szCs w:val="24"/>
                <w:highlight w:val="none"/>
                <w:lang w:val="en-US" w:eastAsia="zh-CN" w:bidi="ar-SA"/>
              </w:rPr>
              <w:t>项目编号</w:t>
            </w:r>
            <w:r>
              <w:rPr>
                <w:rFonts w:hint="eastAsia" w:hAnsi="宋体" w:cs="宋体"/>
                <w:sz w:val="24"/>
                <w:szCs w:val="24"/>
                <w:highlight w:val="none"/>
                <w:lang w:val="en-US" w:eastAsia="zh-CN" w:bidi="ar-SA"/>
              </w:rPr>
              <w:t>：MFXCG-2023-04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3"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2</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ascii="宋体" w:hAnsi="宋体" w:eastAsia="宋体" w:cs="宋体"/>
                <w:spacing w:val="-3"/>
                <w:sz w:val="24"/>
                <w:szCs w:val="24"/>
                <w14:textOutline w14:w="4354" w14:cap="flat" w14:cmpd="sng">
                  <w14:solidFill>
                    <w14:srgbClr w14:val="000000"/>
                  </w14:solidFill>
                  <w14:prstDash w14:val="solid"/>
                  <w14:miter w14:val="0"/>
                </w14:textOutline>
              </w:rPr>
              <w:t>采购人</w:t>
            </w:r>
          </w:p>
        </w:tc>
        <w:tc>
          <w:tcPr>
            <w:tcW w:w="6077" w:type="dxa"/>
            <w:noWrap w:val="0"/>
            <w:vAlign w:val="center"/>
          </w:tcPr>
          <w:p>
            <w:pPr>
              <w:pStyle w:val="22"/>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称：民丰县自然资源局</w:t>
            </w:r>
          </w:p>
          <w:p>
            <w:pPr>
              <w:pStyle w:val="22"/>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址：和田地区民丰县兰帕北路15号</w:t>
            </w:r>
          </w:p>
          <w:p>
            <w:pPr>
              <w:pStyle w:val="22"/>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cs="宋体"/>
                <w:color w:val="auto"/>
                <w:sz w:val="24"/>
                <w:szCs w:val="24"/>
                <w:highlight w:val="none"/>
                <w:lang w:val="en-US" w:eastAsia="zh-CN"/>
              </w:rPr>
              <w:t>贺主任</w:t>
            </w:r>
          </w:p>
          <w:p>
            <w:pPr>
              <w:pStyle w:val="22"/>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联系电话：0903-6752930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0" w:hRule="exac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3</w:t>
            </w:r>
          </w:p>
        </w:tc>
        <w:tc>
          <w:tcPr>
            <w:tcW w:w="2406" w:type="dxa"/>
            <w:noWrap w:val="0"/>
            <w:vAlign w:val="center"/>
          </w:tcPr>
          <w:p>
            <w:pPr>
              <w:pStyle w:val="22"/>
              <w:keepNext w:val="0"/>
              <w:keepLines w:val="0"/>
              <w:suppressLineNumbers w:val="0"/>
              <w:spacing w:before="0" w:beforeAutospacing="0" w:after="0" w:afterAutospacing="0" w:line="400" w:lineRule="exact"/>
              <w:ind w:left="38" w:leftChars="0" w:right="0" w:rightChars="0"/>
              <w:jc w:val="center"/>
              <w:rPr>
                <w:rFonts w:hint="default" w:ascii="宋体" w:hAnsi="宋体" w:eastAsia="宋体" w:cs="宋体"/>
                <w:b/>
                <w:color w:val="auto"/>
                <w:sz w:val="24"/>
                <w:szCs w:val="24"/>
                <w:highlight w:val="none"/>
                <w:lang w:val="zh-CN" w:eastAsia="zh-CN" w:bidi="ar-SA"/>
              </w:rPr>
            </w:pPr>
            <w:r>
              <w:rPr>
                <w:rFonts w:hint="eastAsia"/>
                <w:b/>
                <w:color w:val="auto"/>
                <w:sz w:val="24"/>
                <w:szCs w:val="24"/>
                <w:highlight w:val="none"/>
                <w:lang w:val="zh-CN"/>
              </w:rPr>
              <w:t>采购代理机构</w:t>
            </w:r>
          </w:p>
        </w:tc>
        <w:tc>
          <w:tcPr>
            <w:tcW w:w="6077" w:type="dxa"/>
            <w:noWrap w:val="0"/>
            <w:vAlign w:val="center"/>
          </w:tcPr>
          <w:p>
            <w:pPr>
              <w:pStyle w:val="22"/>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名  称:</w:t>
            </w:r>
            <w:r>
              <w:rPr>
                <w:rFonts w:hint="eastAsia" w:ascii="宋体" w:hAnsi="宋体" w:eastAsia="宋体" w:cs="宋体"/>
                <w:color w:val="auto"/>
                <w:kern w:val="2"/>
                <w:sz w:val="24"/>
                <w:szCs w:val="24"/>
                <w:highlight w:val="none"/>
                <w:lang w:val="zh-CN" w:eastAsia="zh-CN"/>
              </w:rPr>
              <w:t>新疆鼎之裕工程招标咨询有限公司</w:t>
            </w:r>
          </w:p>
          <w:p>
            <w:pPr>
              <w:pStyle w:val="22"/>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址:新疆和田地区和田市京和物流园区火车站社区京通大道153号众慕建材市场12栋3楼9号</w:t>
            </w:r>
          </w:p>
          <w:p>
            <w:pPr>
              <w:pStyle w:val="22"/>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联系人:</w:t>
            </w:r>
            <w:r>
              <w:rPr>
                <w:rFonts w:hint="eastAsia" w:cs="宋体"/>
                <w:color w:val="auto"/>
                <w:kern w:val="2"/>
                <w:sz w:val="24"/>
                <w:szCs w:val="24"/>
                <w:highlight w:val="none"/>
                <w:lang w:val="en-US" w:eastAsia="zh-CN"/>
              </w:rPr>
              <w:t>贾光洪</w:t>
            </w:r>
            <w:r>
              <w:rPr>
                <w:rFonts w:hint="eastAsia" w:ascii="宋体" w:hAnsi="宋体" w:eastAsia="宋体" w:cs="宋体"/>
                <w:color w:val="auto"/>
                <w:kern w:val="2"/>
                <w:sz w:val="24"/>
                <w:szCs w:val="24"/>
                <w:highlight w:val="none"/>
                <w:lang w:val="en-US" w:eastAsia="zh-CN" w:bidi="ar-SA"/>
              </w:rPr>
              <w:t xml:space="preserve"> </w:t>
            </w:r>
          </w:p>
          <w:p>
            <w:pPr>
              <w:pStyle w:val="22"/>
              <w:keepNext w:val="0"/>
              <w:keepLines w:val="0"/>
              <w:suppressLineNumbers w:val="0"/>
              <w:spacing w:before="0" w:beforeAutospacing="0" w:after="0" w:afterAutospacing="0" w:line="400" w:lineRule="exact"/>
              <w:ind w:left="0" w:leftChars="0" w:right="0" w:rightChars="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lang w:val="en-US" w:eastAsia="zh-CN" w:bidi="ar-SA"/>
              </w:rPr>
              <w:t>1</w:t>
            </w:r>
            <w:r>
              <w:rPr>
                <w:rFonts w:hint="eastAsia" w:cs="宋体"/>
                <w:color w:val="auto"/>
                <w:kern w:val="2"/>
                <w:sz w:val="24"/>
                <w:szCs w:val="24"/>
                <w:highlight w:val="none"/>
                <w:lang w:val="en-US" w:eastAsia="zh-CN" w:bidi="ar-SA"/>
              </w:rPr>
              <w:t>5599809932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34" w:hRule="exac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eastAsia" w:eastAsia="宋体" w:cs="Courier New"/>
                <w:b/>
                <w:color w:val="auto"/>
                <w:sz w:val="24"/>
                <w:szCs w:val="24"/>
                <w:highlight w:val="none"/>
                <w:lang w:val="en-US" w:eastAsia="zh-CN"/>
              </w:rPr>
            </w:pPr>
            <w:r>
              <w:rPr>
                <w:rFonts w:hint="eastAsia" w:cs="Courier New"/>
                <w:b/>
                <w:color w:val="auto"/>
                <w:sz w:val="24"/>
                <w:szCs w:val="24"/>
                <w:highlight w:val="none"/>
                <w:lang w:val="en-US" w:eastAsia="zh-CN"/>
              </w:rPr>
              <w:t>4</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eastAsia"/>
                <w:b/>
                <w:color w:val="auto"/>
                <w:sz w:val="24"/>
                <w:szCs w:val="24"/>
                <w:highlight w:val="none"/>
                <w:lang w:val="zh-CN"/>
              </w:rPr>
            </w:pPr>
            <w:r>
              <w:rPr>
                <w:rFonts w:ascii="宋体" w:hAnsi="宋体" w:eastAsia="宋体" w:cs="宋体"/>
                <w:spacing w:val="-2"/>
                <w:sz w:val="24"/>
                <w:szCs w:val="24"/>
                <w14:textOutline w14:w="4354" w14:cap="flat" w14:cmpd="sng">
                  <w14:solidFill>
                    <w14:srgbClr w14:val="000000"/>
                  </w14:solidFill>
                  <w14:prstDash w14:val="solid"/>
                  <w14:miter w14:val="0"/>
                </w14:textOutline>
              </w:rPr>
              <w:t>采购内容</w:t>
            </w:r>
          </w:p>
        </w:tc>
        <w:tc>
          <w:tcPr>
            <w:tcW w:w="6077" w:type="dxa"/>
            <w:noWrap w:val="0"/>
            <w:vAlign w:val="center"/>
          </w:tcPr>
          <w:p>
            <w:pPr>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主要需求：标准规范建设、数据资源建设、指标模型建设、国土空间规划“一张图”实施监督信息系统、国土空间规划“一张图”移动端系统、软硬件采购等需求。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eastAsia" w:eastAsia="宋体" w:cs="Courier New"/>
                <w:b/>
                <w:color w:val="auto"/>
                <w:sz w:val="24"/>
                <w:szCs w:val="24"/>
                <w:highlight w:val="none"/>
                <w:lang w:val="en-US" w:eastAsia="zh-CN"/>
              </w:rPr>
            </w:pPr>
            <w:r>
              <w:rPr>
                <w:rFonts w:hint="eastAsia" w:cs="Courier New"/>
                <w:b/>
                <w:color w:val="auto"/>
                <w:sz w:val="24"/>
                <w:szCs w:val="24"/>
                <w:highlight w:val="none"/>
                <w:lang w:val="en-US" w:eastAsia="zh-CN"/>
              </w:rPr>
              <w:t>5</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ascii="宋体" w:hAnsi="宋体" w:eastAsia="宋体" w:cs="宋体"/>
                <w:spacing w:val="-2"/>
                <w:sz w:val="24"/>
                <w:szCs w:val="24"/>
                <w14:textOutline w14:w="4354" w14:cap="flat" w14:cmpd="sng">
                  <w14:solidFill>
                    <w14:srgbClr w14:val="000000"/>
                  </w14:solidFill>
                  <w14:prstDash w14:val="solid"/>
                  <w14:miter w14:val="0"/>
                </w14:textOutline>
              </w:rPr>
            </w:pPr>
            <w:r>
              <w:rPr>
                <w:rFonts w:ascii="宋体" w:hAnsi="宋体" w:eastAsia="宋体" w:cs="宋体"/>
                <w:spacing w:val="-1"/>
                <w:sz w:val="24"/>
                <w:szCs w:val="24"/>
                <w14:textOutline w14:w="4354" w14:cap="flat" w14:cmpd="sng">
                  <w14:solidFill>
                    <w14:srgbClr w14:val="000000"/>
                  </w14:solidFill>
                  <w14:prstDash w14:val="solid"/>
                  <w14:miter w14:val="0"/>
                </w14:textOutline>
              </w:rPr>
              <w:t>投标人资格要求</w:t>
            </w:r>
          </w:p>
        </w:tc>
        <w:tc>
          <w:tcPr>
            <w:tcW w:w="6077" w:type="dxa"/>
            <w:noWrap w:val="0"/>
            <w:vAlign w:val="center"/>
          </w:tcPr>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1一、投标人资格条件</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 xml:space="preserve">1.满足《中华人民共和国政府采购法》第二十二条规定； </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 xml:space="preserve">2.本项目满足《中华人民共和国政府采购法》第二十二条规定资格要求： </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 xml:space="preserve">（1）具有经年审合格的三证合一营业执照原件； </w:t>
            </w:r>
          </w:p>
          <w:p>
            <w:pPr>
              <w:pStyle w:val="2"/>
              <w:numPr>
                <w:ilvl w:val="0"/>
                <w:numId w:val="0"/>
              </w:numPr>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w:t>
            </w:r>
            <w:r>
              <w:rPr>
                <w:rFonts w:hint="eastAsia" w:cs="Calibri"/>
                <w:spacing w:val="-5"/>
                <w:sz w:val="24"/>
                <w:szCs w:val="24"/>
                <w:lang w:val="en-US" w:eastAsia="zh-CN"/>
              </w:rPr>
              <w:t>2</w:t>
            </w:r>
            <w:r>
              <w:rPr>
                <w:rFonts w:hint="eastAsia" w:ascii="Calibri" w:hAnsi="Calibri" w:eastAsia="宋体" w:cs="Calibri"/>
                <w:spacing w:val="-5"/>
                <w:sz w:val="24"/>
                <w:szCs w:val="24"/>
                <w:lang w:val="en-US" w:eastAsia="zh-CN"/>
              </w:rPr>
              <w:t xml:space="preserve">）提供 2021 年度由第三方财务审计机构出具的财务审计报告； </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w:t>
            </w:r>
            <w:r>
              <w:rPr>
                <w:rFonts w:hint="eastAsia" w:ascii="Calibri" w:hAnsi="Calibri" w:cs="Calibri"/>
                <w:spacing w:val="-5"/>
                <w:sz w:val="24"/>
                <w:szCs w:val="24"/>
                <w:lang w:val="en-US" w:eastAsia="zh-CN"/>
              </w:rPr>
              <w:t>3</w:t>
            </w:r>
            <w:r>
              <w:rPr>
                <w:rFonts w:hint="eastAsia" w:ascii="Calibri" w:hAnsi="Calibri" w:eastAsia="宋体" w:cs="Calibri"/>
                <w:spacing w:val="-5"/>
                <w:sz w:val="24"/>
                <w:szCs w:val="24"/>
                <w:lang w:val="en-US" w:eastAsia="zh-CN"/>
              </w:rPr>
              <w:t xml:space="preserve">）提供 2023 年税务机关出具近一个月填报日期的完税证明； </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w:t>
            </w:r>
            <w:r>
              <w:rPr>
                <w:rFonts w:hint="eastAsia" w:ascii="Calibri" w:hAnsi="Calibri" w:cs="Calibri"/>
                <w:spacing w:val="-5"/>
                <w:sz w:val="24"/>
                <w:szCs w:val="24"/>
                <w:lang w:val="en-US" w:eastAsia="zh-CN"/>
              </w:rPr>
              <w:t>4</w:t>
            </w:r>
            <w:r>
              <w:rPr>
                <w:rFonts w:hint="eastAsia" w:ascii="Calibri" w:hAnsi="Calibri" w:eastAsia="宋体" w:cs="Calibri"/>
                <w:spacing w:val="-5"/>
                <w:sz w:val="24"/>
                <w:szCs w:val="24"/>
                <w:lang w:val="en-US" w:eastAsia="zh-CN"/>
              </w:rPr>
              <w:t xml:space="preserve">）法人应携带《法定代表人身份证明书》原件及身份证原件，委托代理人应携带《法定代表人授权委托书》原件及身份证原件； </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w:t>
            </w:r>
            <w:r>
              <w:rPr>
                <w:rFonts w:hint="eastAsia" w:ascii="Calibri" w:hAnsi="Calibri" w:cs="Calibri"/>
                <w:spacing w:val="-5"/>
                <w:sz w:val="24"/>
                <w:szCs w:val="24"/>
                <w:lang w:val="en-US" w:eastAsia="zh-CN"/>
              </w:rPr>
              <w:t>5</w:t>
            </w:r>
            <w:r>
              <w:rPr>
                <w:rFonts w:hint="eastAsia" w:ascii="Calibri" w:hAnsi="Calibri" w:eastAsia="宋体" w:cs="Calibri"/>
                <w:spacing w:val="-5"/>
                <w:sz w:val="24"/>
                <w:szCs w:val="24"/>
                <w:lang w:val="en-US" w:eastAsia="zh-CN"/>
              </w:rPr>
              <w:t xml:space="preserve">）提供本单位法人及委托人缴纳的近3个月社保缴纳证明； </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w:t>
            </w:r>
            <w:r>
              <w:rPr>
                <w:rFonts w:hint="eastAsia" w:ascii="Calibri" w:hAnsi="Calibri" w:cs="Calibri"/>
                <w:spacing w:val="-5"/>
                <w:sz w:val="24"/>
                <w:szCs w:val="24"/>
                <w:lang w:val="en-US" w:eastAsia="zh-CN"/>
              </w:rPr>
              <w:t>6</w:t>
            </w:r>
            <w:r>
              <w:rPr>
                <w:rFonts w:hint="eastAsia" w:ascii="Calibri" w:hAnsi="Calibri" w:eastAsia="宋体" w:cs="Calibri"/>
                <w:spacing w:val="-5"/>
                <w:sz w:val="24"/>
                <w:szCs w:val="24"/>
                <w:lang w:val="en-US" w:eastAsia="zh-CN"/>
              </w:rPr>
              <w:t>）近三年内（本项目投标截止期前）如在“信用中国（www.creditchina.gov.cn）” 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动。</w:t>
            </w:r>
          </w:p>
          <w:p>
            <w:pPr>
              <w:spacing w:before="166" w:line="280" w:lineRule="auto"/>
              <w:ind w:left="19" w:right="2" w:firstLine="8"/>
              <w:rPr>
                <w:rFonts w:hint="eastAsia" w:ascii="Calibri" w:hAnsi="Calibri" w:eastAsia="宋体" w:cs="Calibri"/>
                <w:spacing w:val="-5"/>
                <w:sz w:val="24"/>
                <w:szCs w:val="24"/>
                <w:lang w:val="en-US" w:eastAsia="zh-CN"/>
              </w:rPr>
            </w:pPr>
            <w:r>
              <w:rPr>
                <w:rFonts w:hint="eastAsia" w:ascii="Calibri" w:hAnsi="Calibri" w:eastAsia="宋体" w:cs="Calibri"/>
                <w:spacing w:val="-5"/>
                <w:sz w:val="24"/>
                <w:szCs w:val="24"/>
                <w:lang w:val="en-US" w:eastAsia="zh-CN"/>
              </w:rPr>
              <w:t>3.本项目不接受联合体投标。</w:t>
            </w:r>
          </w:p>
          <w:p>
            <w:pPr>
              <w:spacing w:before="166" w:line="280" w:lineRule="auto"/>
              <w:ind w:left="19" w:right="2" w:firstLine="8"/>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eastAsia" w:eastAsia="宋体" w:cs="Courier New"/>
                <w:b/>
                <w:color w:val="auto"/>
                <w:sz w:val="24"/>
                <w:szCs w:val="24"/>
                <w:highlight w:val="none"/>
                <w:lang w:val="en-US" w:eastAsia="zh-CN"/>
              </w:rPr>
            </w:pPr>
            <w:r>
              <w:rPr>
                <w:rFonts w:hint="eastAsia" w:cs="Courier New"/>
                <w:b/>
                <w:color w:val="auto"/>
                <w:sz w:val="24"/>
                <w:szCs w:val="24"/>
                <w:highlight w:val="none"/>
                <w:lang w:val="en-US" w:eastAsia="zh-CN"/>
              </w:rPr>
              <w:t>6</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ascii="宋体" w:hAnsi="宋体" w:eastAsia="宋体" w:cs="宋体"/>
                <w:spacing w:val="-2"/>
                <w:sz w:val="24"/>
                <w:szCs w:val="24"/>
                <w14:textOutline w14:w="4354" w14:cap="flat" w14:cmpd="sng">
                  <w14:solidFill>
                    <w14:srgbClr w14:val="000000"/>
                  </w14:solidFill>
                  <w14:prstDash w14:val="solid"/>
                  <w14:miter w14:val="0"/>
                </w14:textOutline>
              </w:rPr>
            </w:pPr>
            <w:r>
              <w:rPr>
                <w:rFonts w:ascii="宋体" w:hAnsi="宋体" w:eastAsia="宋体" w:cs="宋体"/>
                <w:spacing w:val="-1"/>
                <w:sz w:val="24"/>
                <w:szCs w:val="24"/>
                <w14:textOutline w14:w="4354" w14:cap="flat" w14:cmpd="sng">
                  <w14:solidFill>
                    <w14:srgbClr w14:val="000000"/>
                  </w14:solidFill>
                  <w14:prstDash w14:val="solid"/>
                  <w14:miter w14:val="0"/>
                </w14:textOutline>
              </w:rPr>
              <w:t>是否允许联合体投标</w:t>
            </w:r>
          </w:p>
        </w:tc>
        <w:tc>
          <w:tcPr>
            <w:tcW w:w="6077" w:type="dxa"/>
            <w:noWrap w:val="0"/>
            <w:vAlign w:val="center"/>
          </w:tcPr>
          <w:p>
            <w:pPr>
              <w:spacing w:before="202" w:line="185" w:lineRule="auto"/>
              <w:rPr>
                <w:rFonts w:hint="default" w:ascii="宋体" w:hAnsi="宋体" w:eastAsia="宋体" w:cs="宋体"/>
                <w:spacing w:val="-8"/>
                <w:sz w:val="24"/>
                <w:szCs w:val="24"/>
                <w:lang w:val="en-US" w:eastAsia="zh-CN"/>
              </w:rPr>
            </w:pPr>
            <w:r>
              <w:rPr>
                <w:rFonts w:hint="eastAsia" w:ascii="宋体" w:hAnsi="宋体" w:cs="宋体"/>
                <w:spacing w:val="-8"/>
                <w:sz w:val="24"/>
                <w:szCs w:val="24"/>
                <w:lang w:val="en-US" w:eastAsia="zh-CN"/>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7</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ascii="宋体" w:hAnsi="宋体" w:eastAsia="宋体" w:cs="宋体"/>
                <w:spacing w:val="-1"/>
                <w:sz w:val="24"/>
                <w:szCs w:val="24"/>
                <w14:textOutline w14:w="4354" w14:cap="flat" w14:cmpd="sng">
                  <w14:solidFill>
                    <w14:srgbClr w14:val="000000"/>
                  </w14:solidFill>
                  <w14:prstDash w14:val="solid"/>
                  <w14:miter w14:val="0"/>
                </w14:textOutline>
              </w:rPr>
            </w:pPr>
            <w:r>
              <w:rPr>
                <w:rFonts w:ascii="宋体" w:hAnsi="宋体" w:eastAsia="宋体" w:cs="宋体"/>
                <w:spacing w:val="-2"/>
                <w:sz w:val="24"/>
                <w:szCs w:val="24"/>
                <w14:textOutline w14:w="4354" w14:cap="flat" w14:cmpd="sng">
                  <w14:solidFill>
                    <w14:srgbClr w14:val="000000"/>
                  </w14:solidFill>
                  <w14:prstDash w14:val="solid"/>
                  <w14:miter w14:val="0"/>
                </w14:textOutline>
              </w:rPr>
              <w:t>踏勘现场</w:t>
            </w:r>
          </w:p>
        </w:tc>
        <w:tc>
          <w:tcPr>
            <w:tcW w:w="6077" w:type="dxa"/>
            <w:noWrap w:val="0"/>
            <w:vAlign w:val="center"/>
          </w:tcPr>
          <w:p>
            <w:pPr>
              <w:spacing w:before="202" w:line="185" w:lineRule="auto"/>
              <w:rPr>
                <w:rFonts w:hint="eastAsia" w:ascii="宋体" w:hAnsi="宋体" w:cs="宋体"/>
                <w:spacing w:val="-8"/>
                <w:sz w:val="24"/>
                <w:szCs w:val="24"/>
                <w:lang w:val="en-US" w:eastAsia="zh-CN"/>
              </w:rPr>
            </w:pPr>
            <w:r>
              <w:rPr>
                <w:rFonts w:hint="eastAsia" w:ascii="宋体" w:hAnsi="宋体" w:cs="宋体"/>
                <w:spacing w:val="-8"/>
                <w:sz w:val="24"/>
                <w:szCs w:val="24"/>
                <w:lang w:val="en-US" w:eastAsia="zh-CN"/>
              </w:rPr>
              <w:t>不组织踏勘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8</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ascii="宋体" w:hAnsi="宋体" w:eastAsia="宋体" w:cs="宋体"/>
                <w:spacing w:val="-2"/>
                <w:sz w:val="24"/>
                <w:szCs w:val="24"/>
                <w14:textOutline w14:w="4354" w14:cap="flat" w14:cmpd="sng">
                  <w14:solidFill>
                    <w14:srgbClr w14:val="000000"/>
                  </w14:solidFill>
                  <w14:prstDash w14:val="solid"/>
                  <w14:miter w14:val="0"/>
                </w14:textOutline>
              </w:rPr>
            </w:pPr>
            <w:r>
              <w:rPr>
                <w:rFonts w:ascii="宋体" w:hAnsi="宋体" w:eastAsia="宋体" w:cs="宋体"/>
                <w:spacing w:val="-1"/>
                <w:sz w:val="24"/>
                <w:szCs w:val="24"/>
                <w14:textOutline w14:w="4354" w14:cap="flat" w14:cmpd="sng">
                  <w14:solidFill>
                    <w14:srgbClr w14:val="000000"/>
                  </w14:solidFill>
                  <w14:prstDash w14:val="solid"/>
                  <w14:miter w14:val="0"/>
                </w14:textOutline>
              </w:rPr>
              <w:t>答疑接受时间</w:t>
            </w:r>
          </w:p>
        </w:tc>
        <w:tc>
          <w:tcPr>
            <w:tcW w:w="6077" w:type="dxa"/>
            <w:noWrap w:val="0"/>
            <w:vAlign w:val="center"/>
          </w:tcPr>
          <w:p>
            <w:pPr>
              <w:keepNext w:val="0"/>
              <w:keepLines w:val="0"/>
              <w:suppressLineNumbers w:val="0"/>
              <w:spacing w:before="0" w:beforeAutospacing="0" w:after="0" w:afterAutospacing="0" w:line="400" w:lineRule="exact"/>
              <w:ind w:right="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highlight w:val="none"/>
                <w:lang w:val="en-US" w:eastAsia="zh-CN"/>
              </w:rPr>
              <w:t>202</w:t>
            </w:r>
            <w:r>
              <w:rPr>
                <w:rFonts w:hint="eastAsia" w:ascii="宋体" w:hAnsi="宋体" w:cs="宋体"/>
                <w:spacing w:val="-5"/>
                <w:sz w:val="24"/>
                <w:szCs w:val="24"/>
                <w:highlight w:val="none"/>
                <w:lang w:val="en-US" w:eastAsia="zh-CN"/>
              </w:rPr>
              <w:t>3</w:t>
            </w:r>
            <w:r>
              <w:rPr>
                <w:rFonts w:hint="eastAsia" w:ascii="宋体" w:hAnsi="宋体" w:eastAsia="宋体" w:cs="宋体"/>
                <w:spacing w:val="-5"/>
                <w:sz w:val="24"/>
                <w:szCs w:val="24"/>
                <w:highlight w:val="none"/>
                <w:lang w:val="en-US" w:eastAsia="zh-CN"/>
              </w:rPr>
              <w:t>年</w:t>
            </w:r>
            <w:r>
              <w:rPr>
                <w:rFonts w:hint="eastAsia" w:ascii="宋体" w:hAnsi="宋体" w:cs="宋体"/>
                <w:spacing w:val="-5"/>
                <w:sz w:val="24"/>
                <w:szCs w:val="24"/>
                <w:highlight w:val="none"/>
                <w:lang w:val="en-US" w:eastAsia="zh-CN"/>
              </w:rPr>
              <w:t>03</w:t>
            </w:r>
            <w:r>
              <w:rPr>
                <w:rFonts w:hint="eastAsia" w:ascii="宋体" w:hAnsi="宋体" w:eastAsia="宋体" w:cs="宋体"/>
                <w:spacing w:val="-5"/>
                <w:sz w:val="24"/>
                <w:szCs w:val="24"/>
                <w:highlight w:val="none"/>
                <w:lang w:val="en-US" w:eastAsia="zh-CN"/>
              </w:rPr>
              <w:t>月</w:t>
            </w:r>
            <w:r>
              <w:rPr>
                <w:rFonts w:hint="eastAsia" w:ascii="宋体" w:hAnsi="宋体" w:cs="宋体"/>
                <w:spacing w:val="-5"/>
                <w:sz w:val="24"/>
                <w:szCs w:val="24"/>
                <w:highlight w:val="none"/>
                <w:lang w:val="en-US" w:eastAsia="zh-CN"/>
              </w:rPr>
              <w:t>22</w:t>
            </w:r>
            <w:r>
              <w:rPr>
                <w:rFonts w:hint="eastAsia" w:ascii="宋体" w:hAnsi="宋体" w:eastAsia="宋体" w:cs="宋体"/>
                <w:spacing w:val="-5"/>
                <w:sz w:val="24"/>
                <w:szCs w:val="24"/>
                <w:highlight w:val="none"/>
                <w:lang w:val="en-US" w:eastAsia="zh-CN"/>
              </w:rPr>
              <w:t xml:space="preserve">日 </w:t>
            </w:r>
            <w:r>
              <w:rPr>
                <w:rFonts w:hint="eastAsia" w:ascii="宋体" w:hAnsi="宋体" w:cs="宋体"/>
                <w:spacing w:val="-5"/>
                <w:sz w:val="24"/>
                <w:szCs w:val="24"/>
                <w:highlight w:val="none"/>
                <w:lang w:val="en-US" w:eastAsia="zh-CN"/>
              </w:rPr>
              <w:t>12.30</w:t>
            </w:r>
            <w:r>
              <w:rPr>
                <w:rFonts w:hint="eastAsia" w:ascii="宋体" w:hAnsi="宋体" w:eastAsia="宋体" w:cs="宋体"/>
                <w:spacing w:val="-5"/>
                <w:sz w:val="24"/>
                <w:szCs w:val="24"/>
                <w:highlight w:val="none"/>
                <w:lang w:val="en-US" w:eastAsia="zh-CN"/>
              </w:rPr>
              <w:t xml:space="preserve"> （北京时间）</w:t>
            </w:r>
            <w:r>
              <w:rPr>
                <w:rFonts w:hint="eastAsia" w:ascii="宋体" w:hAnsi="宋体" w:eastAsia="宋体" w:cs="宋体"/>
                <w:spacing w:val="-5"/>
                <w:sz w:val="24"/>
                <w:szCs w:val="24"/>
                <w:lang w:val="en-US" w:eastAsia="zh-CN"/>
              </w:rPr>
              <w:t>前接受投标人疑问或澄清要求（逾期不予受理）。</w:t>
            </w:r>
          </w:p>
          <w:p>
            <w:pPr>
              <w:keepNext w:val="0"/>
              <w:keepLines w:val="0"/>
              <w:suppressLineNumbers w:val="0"/>
              <w:spacing w:before="0" w:beforeAutospacing="0" w:after="0" w:afterAutospacing="0" w:line="400" w:lineRule="exact"/>
              <w:ind w:left="0" w:right="0"/>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联系人：</w:t>
            </w:r>
            <w:r>
              <w:rPr>
                <w:rFonts w:hint="eastAsia" w:ascii="宋体" w:hAnsi="宋体" w:cs="宋体"/>
                <w:spacing w:val="-5"/>
                <w:sz w:val="24"/>
                <w:szCs w:val="24"/>
                <w:lang w:val="en-US" w:eastAsia="zh-CN"/>
              </w:rPr>
              <w:t>贾光洪</w:t>
            </w:r>
          </w:p>
          <w:p>
            <w:pPr>
              <w:keepNext w:val="0"/>
              <w:keepLines w:val="0"/>
              <w:suppressLineNumbers w:val="0"/>
              <w:spacing w:before="0" w:beforeAutospacing="0" w:after="0" w:afterAutospacing="0" w:line="400" w:lineRule="exact"/>
              <w:ind w:left="0" w:right="0"/>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联系电话：1</w:t>
            </w:r>
            <w:r>
              <w:rPr>
                <w:rFonts w:hint="eastAsia" w:ascii="宋体" w:hAnsi="宋体" w:cs="宋体"/>
                <w:spacing w:val="-5"/>
                <w:sz w:val="24"/>
                <w:szCs w:val="24"/>
                <w:lang w:val="en-US" w:eastAsia="zh-CN"/>
              </w:rPr>
              <w:t>5599809932</w:t>
            </w:r>
          </w:p>
          <w:p>
            <w:pPr>
              <w:keepNext w:val="0"/>
              <w:keepLines w:val="0"/>
              <w:suppressLineNumbers w:val="0"/>
              <w:spacing w:before="0" w:beforeAutospacing="0" w:after="0" w:afterAutospacing="0" w:line="400" w:lineRule="exact"/>
              <w:ind w:left="0" w:right="0"/>
              <w:rPr>
                <w:rFonts w:hint="eastAsia" w:ascii="宋体" w:hAnsi="宋体" w:cs="宋体"/>
                <w:spacing w:val="-8"/>
                <w:sz w:val="24"/>
                <w:szCs w:val="24"/>
                <w:lang w:val="en-US" w:eastAsia="zh-CN"/>
              </w:rPr>
            </w:pPr>
            <w:r>
              <w:rPr>
                <w:rFonts w:hint="eastAsia" w:ascii="宋体" w:hAnsi="宋体" w:eastAsia="宋体" w:cs="宋体"/>
                <w:spacing w:val="-5"/>
                <w:sz w:val="24"/>
                <w:szCs w:val="24"/>
                <w:lang w:val="en-US" w:eastAsia="zh-CN"/>
              </w:rPr>
              <w:t>提交方式：以书面形式在投标截止前</w:t>
            </w:r>
            <w:r>
              <w:rPr>
                <w:rFonts w:hint="eastAsia" w:ascii="宋体" w:hAnsi="宋体" w:cs="宋体"/>
                <w:spacing w:val="-5"/>
                <w:sz w:val="24"/>
                <w:szCs w:val="24"/>
                <w:lang w:val="en-US" w:eastAsia="zh-CN"/>
              </w:rPr>
              <w:t>15</w:t>
            </w:r>
            <w:r>
              <w:rPr>
                <w:rFonts w:hint="eastAsia" w:ascii="宋体" w:hAnsi="宋体" w:eastAsia="宋体" w:cs="宋体"/>
                <w:spacing w:val="-5"/>
                <w:sz w:val="24"/>
                <w:szCs w:val="24"/>
                <w:lang w:val="en-US" w:eastAsia="zh-CN"/>
              </w:rPr>
              <w:t>日（包括书面文 字、电传、传真、电报等， 应加盖公章）向招标代理机 构提出澄清要求，邮箱号码</w:t>
            </w:r>
            <w:r>
              <w:rPr>
                <w:rFonts w:hint="eastAsia" w:ascii="宋体" w:hAnsi="宋体" w:cs="宋体"/>
                <w:spacing w:val="-5"/>
                <w:sz w:val="24"/>
                <w:szCs w:val="24"/>
                <w:lang w:val="en-US" w:eastAsia="zh-CN"/>
              </w:rPr>
              <w:t>2677750381</w:t>
            </w:r>
            <w:r>
              <w:rPr>
                <w:rFonts w:hint="eastAsia" w:ascii="宋体" w:hAnsi="宋体" w:eastAsia="宋体" w:cs="宋体"/>
                <w:spacing w:val="-5"/>
                <w:sz w:val="24"/>
                <w:szCs w:val="24"/>
                <w:lang w:val="en-US" w:eastAsia="zh-CN"/>
              </w:rPr>
              <w:t>@qq.com ，</w:t>
            </w:r>
            <w:r>
              <w:rPr>
                <w:rFonts w:hint="eastAsia" w:ascii="宋体" w:hAnsi="宋体" w:eastAsia="宋体" w:cs="宋体"/>
                <w:spacing w:val="-5"/>
                <w:sz w:val="24"/>
                <w:szCs w:val="24"/>
                <w:highlight w:val="none"/>
                <w:lang w:val="en-US" w:eastAsia="zh-CN"/>
              </w:rPr>
              <w:t>招标代理机构将在本次招标公告刊登的媒体（新疆政府采购网）</w:t>
            </w:r>
            <w:r>
              <w:rPr>
                <w:rFonts w:hint="eastAsia" w:ascii="宋体" w:hAnsi="宋体" w:eastAsia="宋体" w:cs="宋体"/>
                <w:spacing w:val="-5"/>
                <w:sz w:val="24"/>
                <w:szCs w:val="24"/>
                <w:lang w:val="en-US" w:eastAsia="zh-CN"/>
              </w:rPr>
              <w:t>上作出答复。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4" w:hRule="atLeast"/>
          <w:jc w:val="center"/>
        </w:trPr>
        <w:tc>
          <w:tcPr>
            <w:tcW w:w="1012" w:type="dxa"/>
            <w:noWrap w:val="0"/>
            <w:vAlign w:val="center"/>
          </w:tcPr>
          <w:p>
            <w:pPr>
              <w:keepNext w:val="0"/>
              <w:keepLines w:val="0"/>
              <w:suppressLineNumbers w:val="0"/>
              <w:spacing w:before="0" w:beforeAutospacing="0" w:after="0" w:afterAutospacing="0" w:line="400" w:lineRule="exact"/>
              <w:ind w:left="0" w:right="0" w:firstLine="482" w:firstLineChars="200"/>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9</w:t>
            </w:r>
          </w:p>
        </w:tc>
        <w:tc>
          <w:tcPr>
            <w:tcW w:w="2406" w:type="dxa"/>
            <w:noWrap w:val="0"/>
            <w:vAlign w:val="center"/>
          </w:tcPr>
          <w:p>
            <w:pPr>
              <w:keepNext w:val="0"/>
              <w:keepLines w:val="0"/>
              <w:suppressLineNumbers w:val="0"/>
              <w:spacing w:before="0" w:beforeAutospacing="0" w:after="0" w:afterAutospacing="0" w:line="400" w:lineRule="exact"/>
              <w:ind w:left="0" w:right="0" w:firstLine="472" w:firstLineChars="200"/>
              <w:rPr>
                <w:rFonts w:ascii="宋体" w:hAnsi="宋体" w:eastAsia="宋体" w:cs="宋体"/>
                <w:spacing w:val="-1"/>
                <w:sz w:val="24"/>
                <w:szCs w:val="24"/>
                <w14:textOutline w14:w="4354" w14:cap="flat" w14:cmpd="sng">
                  <w14:solidFill>
                    <w14:srgbClr w14:val="000000"/>
                  </w14:solidFill>
                  <w14:prstDash w14:val="solid"/>
                  <w14:miter w14:val="0"/>
                </w14:textOutline>
              </w:rPr>
            </w:pPr>
            <w:r>
              <w:rPr>
                <w:rFonts w:ascii="宋体" w:hAnsi="宋体" w:eastAsia="宋体" w:cs="宋体"/>
                <w:spacing w:val="-2"/>
                <w:sz w:val="24"/>
                <w:szCs w:val="24"/>
                <w14:textOutline w14:w="4354" w14:cap="flat" w14:cmpd="sng">
                  <w14:solidFill>
                    <w14:srgbClr w14:val="000000"/>
                  </w14:solidFill>
                  <w14:prstDash w14:val="solid"/>
                  <w14:miter w14:val="0"/>
                </w14:textOutline>
              </w:rPr>
              <w:t>投标有效期</w:t>
            </w:r>
          </w:p>
        </w:tc>
        <w:tc>
          <w:tcPr>
            <w:tcW w:w="6077" w:type="dxa"/>
            <w:noWrap w:val="0"/>
            <w:vAlign w:val="center"/>
          </w:tcPr>
          <w:p>
            <w:pPr>
              <w:keepNext w:val="0"/>
              <w:keepLines w:val="0"/>
              <w:suppressLineNumbers w:val="0"/>
              <w:spacing w:before="0" w:beforeAutospacing="0" w:after="0" w:afterAutospacing="0" w:line="400" w:lineRule="exact"/>
              <w:ind w:right="0"/>
              <w:rPr>
                <w:rFonts w:ascii="宋体" w:hAnsi="宋体" w:eastAsia="宋体" w:cs="宋体"/>
                <w:spacing w:val="-9"/>
                <w:sz w:val="24"/>
                <w:szCs w:val="24"/>
              </w:rPr>
            </w:pPr>
            <w:r>
              <w:rPr>
                <w:rFonts w:ascii="宋体" w:hAnsi="宋体" w:eastAsia="宋体" w:cs="宋体"/>
                <w:spacing w:val="-9"/>
                <w:sz w:val="24"/>
                <w:szCs w:val="24"/>
              </w:rPr>
              <w:t>自投标截止之日起</w:t>
            </w:r>
            <w:r>
              <w:rPr>
                <w:rFonts w:hint="eastAsia" w:ascii="宋体" w:hAnsi="宋体" w:cs="宋体"/>
                <w:spacing w:val="13"/>
                <w:sz w:val="24"/>
                <w:szCs w:val="24"/>
                <w:u w:val="single" w:color="auto"/>
                <w:lang w:val="en-US" w:eastAsia="zh-CN"/>
              </w:rPr>
              <w:t>90</w:t>
            </w:r>
            <w:r>
              <w:rPr>
                <w:rFonts w:ascii="Times New Roman" w:hAnsi="Times New Roman" w:eastAsia="Times New Roman" w:cs="Times New Roman"/>
                <w:spacing w:val="25"/>
                <w:w w:val="101"/>
                <w:sz w:val="24"/>
                <w:szCs w:val="24"/>
                <w:u w:val="single" w:color="auto"/>
              </w:rPr>
              <w:t xml:space="preserve"> </w:t>
            </w:r>
            <w:r>
              <w:rPr>
                <w:rFonts w:ascii="宋体" w:hAnsi="宋体" w:eastAsia="宋体" w:cs="宋体"/>
                <w:spacing w:val="-9"/>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4" w:hRule="atLeast"/>
          <w:jc w:val="center"/>
        </w:trPr>
        <w:tc>
          <w:tcPr>
            <w:tcW w:w="1012" w:type="dxa"/>
            <w:noWrap w:val="0"/>
            <w:vAlign w:val="center"/>
          </w:tcPr>
          <w:p>
            <w:pPr>
              <w:keepNext w:val="0"/>
              <w:keepLines w:val="0"/>
              <w:suppressLineNumbers w:val="0"/>
              <w:spacing w:before="0" w:beforeAutospacing="0" w:after="0" w:afterAutospacing="0" w:line="400" w:lineRule="exact"/>
              <w:ind w:right="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10</w:t>
            </w:r>
          </w:p>
        </w:tc>
        <w:tc>
          <w:tcPr>
            <w:tcW w:w="2406" w:type="dxa"/>
            <w:noWrap w:val="0"/>
            <w:vAlign w:val="center"/>
          </w:tcPr>
          <w:p>
            <w:pPr>
              <w:keepNext w:val="0"/>
              <w:keepLines w:val="0"/>
              <w:suppressLineNumbers w:val="0"/>
              <w:spacing w:before="0" w:beforeAutospacing="0" w:after="0" w:afterAutospacing="0" w:line="400" w:lineRule="exact"/>
              <w:ind w:left="0" w:right="0" w:firstLine="472" w:firstLineChars="200"/>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pPr>
          </w:p>
          <w:p>
            <w:pPr>
              <w:keepNext w:val="0"/>
              <w:keepLines w:val="0"/>
              <w:suppressLineNumbers w:val="0"/>
              <w:spacing w:before="0" w:beforeAutospacing="0" w:after="0" w:afterAutospacing="0" w:line="400" w:lineRule="exact"/>
              <w:ind w:right="0"/>
              <w:jc w:val="cente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t>评标委员会的组成</w:t>
            </w:r>
          </w:p>
          <w:p>
            <w:pPr>
              <w:keepNext w:val="0"/>
              <w:keepLines w:val="0"/>
              <w:suppressLineNumbers w:val="0"/>
              <w:spacing w:before="0" w:beforeAutospacing="0" w:after="0" w:afterAutospacing="0" w:line="400" w:lineRule="exact"/>
              <w:ind w:left="0" w:right="0" w:firstLine="482" w:firstLineChars="200"/>
              <w:rPr>
                <w:rFonts w:hint="eastAsia" w:cs="Courier New"/>
                <w:b/>
                <w:color w:val="auto"/>
                <w:sz w:val="24"/>
                <w:szCs w:val="24"/>
                <w:highlight w:val="none"/>
                <w:lang w:val="en-US" w:eastAsia="zh-CN"/>
              </w:rPr>
            </w:pPr>
          </w:p>
        </w:tc>
        <w:tc>
          <w:tcPr>
            <w:tcW w:w="6077" w:type="dxa"/>
            <w:noWrap w:val="0"/>
            <w:vAlign w:val="center"/>
          </w:tcPr>
          <w:p>
            <w:pPr>
              <w:keepNext w:val="0"/>
              <w:keepLines w:val="0"/>
              <w:suppressLineNumbers w:val="0"/>
              <w:spacing w:before="0" w:beforeAutospacing="0" w:after="0" w:afterAutospacing="0" w:line="400" w:lineRule="exact"/>
              <w:ind w:right="0"/>
              <w:rPr>
                <w:rFonts w:hint="eastAsia" w:ascii="宋体" w:hAnsi="宋体" w:eastAsia="宋体" w:cs="宋体"/>
                <w:spacing w:val="-5"/>
                <w:sz w:val="24"/>
                <w:szCs w:val="24"/>
                <w:highlight w:val="yellow"/>
                <w:lang w:val="en-US" w:eastAsia="zh-CN"/>
              </w:rPr>
            </w:pPr>
            <w:r>
              <w:rPr>
                <w:rFonts w:hint="eastAsia" w:ascii="宋体" w:hAnsi="宋体" w:eastAsia="宋体" w:cs="宋体"/>
                <w:spacing w:val="-5"/>
                <w:sz w:val="24"/>
                <w:szCs w:val="24"/>
                <w:lang w:val="en-US" w:eastAsia="zh-CN"/>
              </w:rPr>
              <w:t>评标委员会构成：</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5"/>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人</w:t>
            </w:r>
            <w:r>
              <w:rPr>
                <w:rFonts w:hint="eastAsia" w:ascii="宋体" w:hAnsi="宋体" w:eastAsia="宋体" w:cs="宋体"/>
                <w:spacing w:val="-5"/>
                <w:sz w:val="24"/>
                <w:szCs w:val="24"/>
                <w:lang w:val="en-US" w:eastAsia="zh-CN"/>
              </w:rPr>
              <w:t>，</w:t>
            </w:r>
            <w:r>
              <w:rPr>
                <w:rFonts w:hint="eastAsia" w:ascii="宋体" w:hAnsi="宋体" w:eastAsia="宋体" w:cs="宋体"/>
                <w:spacing w:val="-5"/>
                <w:sz w:val="24"/>
                <w:szCs w:val="24"/>
                <w:highlight w:val="none"/>
                <w:lang w:val="en-US" w:eastAsia="zh-CN"/>
              </w:rPr>
              <w:t xml:space="preserve">其中招标人代表 1 人 </w:t>
            </w:r>
          </w:p>
          <w:p>
            <w:pPr>
              <w:keepNext w:val="0"/>
              <w:keepLines w:val="0"/>
              <w:suppressLineNumbers w:val="0"/>
              <w:spacing w:before="0" w:beforeAutospacing="0" w:after="0" w:afterAutospacing="0" w:line="400" w:lineRule="exact"/>
              <w:ind w:right="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评委确定方式：在新疆维吾尔自治区和田地区专家库中 </w:t>
            </w:r>
          </w:p>
          <w:p>
            <w:pPr>
              <w:keepNext w:val="0"/>
              <w:keepLines w:val="0"/>
              <w:suppressLineNumbers w:val="0"/>
              <w:spacing w:before="0" w:beforeAutospacing="0" w:after="0" w:afterAutospacing="0" w:line="400" w:lineRule="exact"/>
              <w:ind w:left="0" w:right="0"/>
              <w:rPr>
                <w:rFonts w:hint="eastAsia" w:cs="Courier New"/>
                <w:b/>
                <w:color w:val="auto"/>
                <w:sz w:val="24"/>
                <w:szCs w:val="24"/>
                <w:highlight w:val="none"/>
                <w:lang w:val="en-US" w:eastAsia="zh-CN"/>
              </w:rPr>
            </w:pPr>
            <w:r>
              <w:rPr>
                <w:rFonts w:hint="eastAsia" w:ascii="宋体" w:hAnsi="宋体" w:eastAsia="宋体" w:cs="宋体"/>
                <w:spacing w:val="-5"/>
                <w:sz w:val="24"/>
                <w:szCs w:val="24"/>
                <w:lang w:val="en-US" w:eastAsia="zh-CN"/>
              </w:rPr>
              <w:t xml:space="preserve">随机抽取此次评标专家。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 xml:space="preserve">  11</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pPr>
            <w:r>
              <w:rPr>
                <w:rFonts w:ascii="宋体" w:hAnsi="宋体" w:eastAsia="宋体" w:cs="宋体"/>
                <w:spacing w:val="-2"/>
                <w:sz w:val="24"/>
                <w:szCs w:val="24"/>
                <w14:textOutline w14:w="4354" w14:cap="flat" w14:cmpd="sng">
                  <w14:solidFill>
                    <w14:srgbClr w14:val="000000"/>
                  </w14:solidFill>
                  <w14:prstDash w14:val="solid"/>
                  <w14:miter w14:val="0"/>
                </w14:textOutline>
              </w:rPr>
              <w:t>投标文件</w:t>
            </w:r>
            <w:r>
              <w:rPr>
                <w:rFonts w:hint="eastAsia" w:cs="宋体"/>
                <w:spacing w:val="-2"/>
                <w:sz w:val="24"/>
                <w:szCs w:val="24"/>
                <w:lang w:val="en-US" w:eastAsia="zh-CN"/>
                <w14:textOutline w14:w="4354" w14:cap="flat" w14:cmpd="sng">
                  <w14:solidFill>
                    <w14:srgbClr w14:val="000000"/>
                  </w14:solidFill>
                  <w14:prstDash w14:val="solid"/>
                  <w14:miter w14:val="0"/>
                </w14:textOutline>
              </w:rPr>
              <w:t>要求</w:t>
            </w:r>
          </w:p>
        </w:tc>
        <w:tc>
          <w:tcPr>
            <w:tcW w:w="6077" w:type="dxa"/>
            <w:noWrap w:val="0"/>
            <w:vAlign w:val="center"/>
          </w:tcPr>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1、投标文件由正本1份和副本</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份，开标一览表一份，电子文件一份组成，投标文件正本和副本如有不一致之处，以正本为准。参考资料数量不限。（且正本副本开标一览表及电子文件均单独密封）</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2、投标文件正本与副本须用不褪色的墨水笔书写或打印。投标文件的书写应清楚工整，修改处应由投标人全权代表签章。</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3、投标文件应由企业法人或法人授权代表在凡规定签章处逐一签署及加盖单位公章，同时投标文件正本应逐页加盖单位公章，投标文件副本需提供投标文件正本复印件内容需保持一致。</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4、投标文件一律采用胶装方式进行装订。</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5、所有投标文件信袋及包装物上均应贴上封条，封条上应注明以下内容：</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（1）招标单位；</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（2）项目名称；</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（3）项目编号；</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（4）投标企业名称和地址；</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（5）联系人、联系电话；</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（6）法定代表人签字并盖章；</w:t>
            </w:r>
          </w:p>
          <w:p>
            <w:pPr>
              <w:keepNext w:val="0"/>
              <w:keepLines w:val="0"/>
              <w:suppressLineNumbers w:val="0"/>
              <w:spacing w:before="0" w:beforeAutospacing="0" w:after="0" w:afterAutospacing="0" w:line="400" w:lineRule="exact"/>
              <w:ind w:right="0"/>
              <w:jc w:val="left"/>
              <w:rPr>
                <w:rFonts w:hint="eastAsia" w:ascii="宋体" w:hAnsi="宋体" w:eastAsia="宋体" w:cs="宋体"/>
                <w:spacing w:val="-9"/>
                <w:sz w:val="24"/>
                <w:szCs w:val="24"/>
              </w:rPr>
            </w:pPr>
            <w:r>
              <w:rPr>
                <w:rFonts w:hint="eastAsia" w:ascii="宋体" w:hAnsi="宋体" w:eastAsia="宋体" w:cs="宋体"/>
                <w:spacing w:val="-9"/>
                <w:sz w:val="24"/>
                <w:szCs w:val="24"/>
              </w:rPr>
              <w:t>（7）“年月日时 分开标前不准启封”；</w:t>
            </w:r>
          </w:p>
          <w:p>
            <w:pPr>
              <w:keepNext w:val="0"/>
              <w:keepLines w:val="0"/>
              <w:suppressLineNumbers w:val="0"/>
              <w:spacing w:before="0" w:beforeAutospacing="0" w:after="0" w:afterAutospacing="0" w:line="400" w:lineRule="exact"/>
              <w:ind w:right="0"/>
              <w:jc w:val="left"/>
              <w:rPr>
                <w:rFonts w:ascii="宋体" w:hAnsi="宋体" w:eastAsia="宋体" w:cs="宋体"/>
                <w:spacing w:val="-9"/>
                <w:sz w:val="24"/>
                <w:szCs w:val="24"/>
              </w:rPr>
            </w:pPr>
            <w:r>
              <w:rPr>
                <w:rFonts w:hint="eastAsia" w:ascii="宋体" w:hAnsi="宋体" w:eastAsia="宋体" w:cs="宋体"/>
                <w:spacing w:val="-9"/>
                <w:sz w:val="24"/>
                <w:szCs w:val="24"/>
              </w:rPr>
              <w:t>6、未按本须知要求密封、标记和递交的投标文件将视为无效投标文件。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12</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ascii="宋体" w:hAnsi="宋体" w:eastAsia="宋体" w:cs="宋体"/>
                <w:spacing w:val="-2"/>
                <w:sz w:val="24"/>
                <w:szCs w:val="24"/>
                <w14:textOutline w14:w="4354" w14:cap="flat" w14:cmpd="sng">
                  <w14:solidFill>
                    <w14:srgbClr w14:val="000000"/>
                  </w14:solidFill>
                  <w14:prstDash w14:val="solid"/>
                  <w14:miter w14:val="0"/>
                </w14:textOutline>
              </w:rPr>
            </w:pPr>
            <w:r>
              <w:rPr>
                <w:rFonts w:ascii="宋体" w:hAnsi="宋体" w:eastAsia="宋体" w:cs="宋体"/>
                <w:spacing w:val="-1"/>
                <w:sz w:val="24"/>
                <w:szCs w:val="24"/>
                <w14:textOutline w14:w="4354" w14:cap="flat" w14:cmpd="sng">
                  <w14:solidFill>
                    <w14:srgbClr w14:val="000000"/>
                  </w14:solidFill>
                  <w14:prstDash w14:val="solid"/>
                  <w14:miter w14:val="0"/>
                </w14:textOutline>
              </w:rPr>
              <w:t>开标时间及地点</w:t>
            </w:r>
          </w:p>
        </w:tc>
        <w:tc>
          <w:tcPr>
            <w:tcW w:w="6077" w:type="dxa"/>
            <w:noWrap w:val="0"/>
            <w:vAlign w:val="center"/>
          </w:tcPr>
          <w:p>
            <w:pPr>
              <w:keepNext w:val="0"/>
              <w:keepLines w:val="0"/>
              <w:suppressLineNumbers w:val="0"/>
              <w:spacing w:before="0" w:beforeAutospacing="0" w:after="0" w:afterAutospacing="0" w:line="400" w:lineRule="exact"/>
              <w:ind w:right="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投标文件递交时间：</w:t>
            </w:r>
            <w:r>
              <w:rPr>
                <w:rFonts w:hint="eastAsia" w:ascii="宋体" w:hAnsi="宋体" w:eastAsia="宋体" w:cs="宋体"/>
                <w:spacing w:val="-5"/>
                <w:sz w:val="24"/>
                <w:szCs w:val="24"/>
                <w:highlight w:val="none"/>
                <w:lang w:val="en-US" w:eastAsia="zh-CN"/>
              </w:rPr>
              <w:t>202</w:t>
            </w:r>
            <w:r>
              <w:rPr>
                <w:rFonts w:hint="eastAsia" w:ascii="宋体" w:hAnsi="宋体" w:cs="宋体"/>
                <w:spacing w:val="-5"/>
                <w:sz w:val="24"/>
                <w:szCs w:val="24"/>
                <w:highlight w:val="none"/>
                <w:lang w:val="en-US" w:eastAsia="zh-CN"/>
              </w:rPr>
              <w:t>3</w:t>
            </w:r>
            <w:r>
              <w:rPr>
                <w:rFonts w:hint="eastAsia" w:ascii="宋体" w:hAnsi="宋体" w:eastAsia="宋体" w:cs="宋体"/>
                <w:spacing w:val="-5"/>
                <w:sz w:val="24"/>
                <w:szCs w:val="24"/>
                <w:highlight w:val="none"/>
                <w:lang w:val="en-US" w:eastAsia="zh-CN"/>
              </w:rPr>
              <w:t>年</w:t>
            </w:r>
            <w:r>
              <w:rPr>
                <w:rFonts w:hint="eastAsia" w:ascii="宋体" w:hAnsi="宋体" w:cs="宋体"/>
                <w:spacing w:val="-5"/>
                <w:sz w:val="24"/>
                <w:szCs w:val="24"/>
                <w:highlight w:val="none"/>
                <w:lang w:val="en-US" w:eastAsia="zh-CN"/>
              </w:rPr>
              <w:t>04</w:t>
            </w:r>
            <w:r>
              <w:rPr>
                <w:rFonts w:hint="eastAsia" w:ascii="宋体" w:hAnsi="宋体" w:eastAsia="宋体" w:cs="宋体"/>
                <w:spacing w:val="-5"/>
                <w:sz w:val="24"/>
                <w:szCs w:val="24"/>
                <w:highlight w:val="none"/>
                <w:lang w:val="en-US" w:eastAsia="zh-CN"/>
              </w:rPr>
              <w:t>月</w:t>
            </w:r>
            <w:r>
              <w:rPr>
                <w:rFonts w:hint="eastAsia" w:ascii="宋体" w:hAnsi="宋体" w:cs="宋体"/>
                <w:spacing w:val="-5"/>
                <w:sz w:val="24"/>
                <w:szCs w:val="24"/>
                <w:highlight w:val="none"/>
                <w:lang w:val="en-US" w:eastAsia="zh-CN"/>
              </w:rPr>
              <w:t>06</w:t>
            </w:r>
            <w:r>
              <w:rPr>
                <w:rFonts w:hint="eastAsia" w:ascii="宋体" w:hAnsi="宋体" w:eastAsia="宋体" w:cs="宋体"/>
                <w:spacing w:val="-5"/>
                <w:sz w:val="24"/>
                <w:szCs w:val="24"/>
                <w:highlight w:val="none"/>
                <w:lang w:val="en-US" w:eastAsia="zh-CN"/>
              </w:rPr>
              <w:t>日 1</w:t>
            </w:r>
            <w:r>
              <w:rPr>
                <w:rFonts w:hint="eastAsia" w:ascii="宋体" w:hAnsi="宋体" w:cs="宋体"/>
                <w:spacing w:val="-5"/>
                <w:sz w:val="24"/>
                <w:szCs w:val="24"/>
                <w:highlight w:val="none"/>
                <w:lang w:val="en-US" w:eastAsia="zh-CN"/>
              </w:rPr>
              <w:t>2</w:t>
            </w:r>
            <w:r>
              <w:rPr>
                <w:rFonts w:hint="eastAsia" w:ascii="宋体" w:hAnsi="宋体" w:eastAsia="宋体" w:cs="宋体"/>
                <w:spacing w:val="-5"/>
                <w:sz w:val="24"/>
                <w:szCs w:val="24"/>
                <w:highlight w:val="none"/>
                <w:lang w:val="en-US" w:eastAsia="zh-CN"/>
              </w:rPr>
              <w:t>:</w:t>
            </w:r>
            <w:r>
              <w:rPr>
                <w:rFonts w:hint="eastAsia" w:ascii="宋体" w:hAnsi="宋体" w:cs="宋体"/>
                <w:spacing w:val="-5"/>
                <w:sz w:val="24"/>
                <w:szCs w:val="24"/>
                <w:highlight w:val="none"/>
                <w:lang w:val="en-US" w:eastAsia="zh-CN"/>
              </w:rPr>
              <w:t>3</w:t>
            </w:r>
            <w:r>
              <w:rPr>
                <w:rFonts w:hint="eastAsia" w:ascii="宋体" w:hAnsi="宋体" w:eastAsia="宋体" w:cs="宋体"/>
                <w:spacing w:val="-5"/>
                <w:sz w:val="24"/>
                <w:szCs w:val="24"/>
                <w:highlight w:val="none"/>
                <w:lang w:val="en-US" w:eastAsia="zh-CN"/>
              </w:rPr>
              <w:t>0（北京时间）</w:t>
            </w:r>
          </w:p>
          <w:p>
            <w:pPr>
              <w:keepNext w:val="0"/>
              <w:keepLines w:val="0"/>
              <w:suppressLineNumbers w:val="0"/>
              <w:spacing w:before="0" w:beforeAutospacing="0" w:after="0" w:afterAutospacing="0" w:line="400" w:lineRule="exact"/>
              <w:ind w:right="0"/>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投标文件递交地点：民丰县行政服务和公共资源交易中心（民丰县友谊路75号）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13</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ascii="宋体" w:hAnsi="宋体" w:eastAsia="宋体" w:cs="宋体"/>
                <w:spacing w:val="-1"/>
                <w:sz w:val="24"/>
                <w:szCs w:val="24"/>
                <w14:textOutline w14:w="4354" w14:cap="flat" w14:cmpd="sng">
                  <w14:solidFill>
                    <w14:srgbClr w14:val="000000"/>
                  </w14:solidFill>
                  <w14:prstDash w14:val="solid"/>
                  <w14:miter w14:val="0"/>
                </w14:textOutline>
              </w:rPr>
            </w:pPr>
            <w:r>
              <w:rPr>
                <w:rFonts w:hint="eastAsia" w:ascii="宋体" w:hAnsi="宋体" w:cs="宋体"/>
                <w:b/>
                <w:bCs/>
                <w:color w:val="000000"/>
                <w:sz w:val="24"/>
                <w:szCs w:val="24"/>
              </w:rPr>
              <w:t>投标保证金</w:t>
            </w:r>
          </w:p>
        </w:tc>
        <w:tc>
          <w:tcPr>
            <w:tcW w:w="607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w:t>
            </w:r>
            <w:r>
              <w:rPr>
                <w:rFonts w:hint="eastAsia" w:ascii="宋体" w:hAnsi="宋体" w:eastAsia="宋体" w:cs="宋体"/>
                <w:b/>
                <w:color w:val="0000FF"/>
                <w:sz w:val="24"/>
                <w:highlight w:val="none"/>
                <w:lang w:val="en-US" w:eastAsia="zh-CN"/>
              </w:rPr>
              <w:t>¥12000元（壹万贰仟元整）</w:t>
            </w:r>
            <w:r>
              <w:rPr>
                <w:rFonts w:hint="eastAsia" w:ascii="宋体" w:hAnsi="宋体" w:eastAsia="宋体" w:cs="宋体"/>
                <w:b/>
                <w:color w:val="000000"/>
                <w:sz w:val="24"/>
                <w:highlight w:val="none"/>
                <w:lang w:val="en-US" w:eastAsia="zh-CN"/>
              </w:rPr>
              <w:t>；</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请于招标文件指定日期前将投标保证金足额汇入（存入）以下账户：</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开户名称：民丰县行政服务和公共资源交易中心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开户银行：中国农业银行股份有限公司民丰县支行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账号：30582301040020842</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投标保证金有效期应当与投标有效期一致。</w:t>
            </w:r>
          </w:p>
          <w:p>
            <w:pPr>
              <w:spacing w:line="360" w:lineRule="auto"/>
              <w:ind w:firstLine="0" w:firstLineChars="0"/>
              <w:rPr>
                <w:rFonts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由投标人基本账户汇出，且不得以分公司的名义转账。</w:t>
            </w:r>
          </w:p>
          <w:p>
            <w:pPr>
              <w:spacing w:line="360" w:lineRule="auto"/>
              <w:ind w:firstLine="0" w:firstLineChars="0"/>
              <w:rPr>
                <w:rFonts w:hint="eastAsia" w:ascii="宋体" w:hAnsi="宋体" w:eastAsia="宋体" w:cs="宋体"/>
                <w:spacing w:val="-5"/>
                <w:sz w:val="24"/>
                <w:szCs w:val="24"/>
                <w:lang w:val="en-US" w:eastAsia="zh-CN"/>
              </w:rPr>
            </w:pPr>
            <w:r>
              <w:rPr>
                <w:rFonts w:hint="eastAsia" w:ascii="宋体" w:hAnsi="Times New Roman" w:eastAsia="宋体" w:cs="Times New Roman"/>
                <w:b/>
                <w:color w:val="000000"/>
                <w:sz w:val="24"/>
                <w:highlight w:val="none"/>
              </w:rPr>
              <w:t>投标单位须在汇款单备注栏标明：XXX项目XXX包段（标段）及项目编号。</w:t>
            </w:r>
            <w:r>
              <w:rPr>
                <w:rFonts w:hint="eastAsia" w:ascii="宋体" w:hAnsi="Times New Roman" w:eastAsia="宋体" w:cs="Times New Roman"/>
                <w:b/>
                <w:color w:val="000000"/>
                <w:sz w:val="24"/>
                <w:highlight w:val="none"/>
                <w:lang w:val="en-US" w:eastAsia="zh-CN"/>
              </w:rPr>
              <w:t>退保证金需要：投标保证金回执单、开户许可证、退回保证金收据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14</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服务期限</w:t>
            </w:r>
          </w:p>
        </w:tc>
        <w:tc>
          <w:tcPr>
            <w:tcW w:w="6077" w:type="dxa"/>
            <w:noWrap w:val="0"/>
            <w:vAlign w:val="center"/>
          </w:tcPr>
          <w:p>
            <w:pPr>
              <w:keepNext w:val="0"/>
              <w:keepLines w:val="0"/>
              <w:suppressLineNumbers w:val="0"/>
              <w:spacing w:before="0" w:beforeAutospacing="0" w:after="0" w:afterAutospacing="0" w:line="400" w:lineRule="exact"/>
              <w:ind w:right="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服务期限：合同签订后1个月内完成系统开发建设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15</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评标办法</w:t>
            </w:r>
          </w:p>
        </w:tc>
        <w:tc>
          <w:tcPr>
            <w:tcW w:w="6077" w:type="dxa"/>
            <w:noWrap w:val="0"/>
            <w:vAlign w:val="center"/>
          </w:tcPr>
          <w:p>
            <w:pPr>
              <w:keepNext w:val="0"/>
              <w:keepLines w:val="0"/>
              <w:suppressLineNumbers w:val="0"/>
              <w:spacing w:before="0" w:beforeAutospacing="0" w:after="0" w:afterAutospacing="0" w:line="400" w:lineRule="exact"/>
              <w:ind w:right="0"/>
              <w:rPr>
                <w:rFonts w:hint="eastAsia"/>
              </w:rPr>
            </w:pPr>
            <w:r>
              <w:rPr>
                <w:rFonts w:hint="eastAsia"/>
              </w:rPr>
              <w:t>本项目评标办法：</w:t>
            </w:r>
            <w:r>
              <w:rPr>
                <w:rFonts w:hint="eastAsia"/>
                <w:b/>
                <w:bCs/>
              </w:rPr>
              <w:t>采用综合评分法。</w:t>
            </w:r>
          </w:p>
          <w:p>
            <w:pPr>
              <w:pStyle w:val="5"/>
              <w:numPr>
                <w:ilvl w:val="2"/>
                <w:numId w:val="0"/>
              </w:numPr>
              <w:rPr>
                <w:rFonts w:hint="eastAsia"/>
                <w:lang w:val="en-US" w:eastAsia="zh-CN"/>
              </w:rPr>
            </w:pPr>
            <w:r>
              <w:rPr>
                <w:rFonts w:hint="eastAsia" w:ascii="宋体" w:hAnsi="宋体" w:eastAsia="宋体" w:cs="宋体"/>
                <w:b w:val="0"/>
                <w:bCs/>
                <w:color w:val="191919"/>
                <w:kern w:val="2"/>
                <w:sz w:val="24"/>
                <w:szCs w:val="24"/>
                <w:shd w:val="clear" w:color="auto" w:fill="FFFFFF"/>
                <w:lang w:val="en-US" w:eastAsia="zh-CN" w:bidi="ar-SA"/>
              </w:rPr>
              <w:t>综合评分法是指在最大限度地满足招标文件实质性 要求前提下，按照招标文件中规定的评分细则评审后， 以评标最终得分最高的投标人作为中标人的评标方法。 每一投标人的最终得分为所有评委评分的算术平均值。 得分相同的， 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16</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eastAsia" w:cs="宋体"/>
                <w:b/>
                <w:bCs/>
                <w:color w:val="000000"/>
                <w:sz w:val="24"/>
                <w:szCs w:val="24"/>
                <w:lang w:val="en-US" w:eastAsia="zh-CN"/>
              </w:rPr>
            </w:pPr>
            <w:r>
              <w:rPr>
                <w:rFonts w:hint="eastAsia" w:cs="宋体"/>
                <w:b/>
                <w:bCs/>
                <w:color w:val="000000"/>
                <w:sz w:val="24"/>
                <w:szCs w:val="24"/>
                <w:lang w:val="en-US" w:eastAsia="zh-CN"/>
              </w:rPr>
              <w:t>资金来源、</w:t>
            </w:r>
          </w:p>
          <w:p>
            <w:pPr>
              <w:pStyle w:val="22"/>
              <w:keepNext w:val="0"/>
              <w:keepLines w:val="0"/>
              <w:suppressLineNumbers w:val="0"/>
              <w:spacing w:before="0" w:beforeAutospacing="0" w:after="0" w:afterAutospacing="0" w:line="400" w:lineRule="exact"/>
              <w:ind w:left="38" w:right="0"/>
              <w:jc w:val="center"/>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招标控制价</w:t>
            </w:r>
          </w:p>
        </w:tc>
        <w:tc>
          <w:tcPr>
            <w:tcW w:w="6077" w:type="dxa"/>
            <w:noWrap w:val="0"/>
            <w:vAlign w:val="center"/>
          </w:tcPr>
          <w:p>
            <w:pPr>
              <w:numPr>
                <w:ilvl w:val="0"/>
                <w:numId w:val="0"/>
              </w:numPr>
              <w:spacing w:line="400" w:lineRule="exact"/>
              <w:jc w:val="left"/>
              <w:rPr>
                <w:rFonts w:hint="eastAsia" w:ascii="宋体" w:hAnsi="宋体" w:cs="宋体"/>
                <w:b/>
                <w:color w:val="FF0000"/>
                <w:sz w:val="24"/>
                <w:szCs w:val="24"/>
                <w:lang w:val="en-US" w:eastAsia="zh-CN"/>
              </w:rPr>
            </w:pPr>
            <w:r>
              <w:rPr>
                <w:rFonts w:hint="eastAsia" w:ascii="宋体" w:hAnsi="宋体" w:cs="宋体"/>
                <w:b/>
                <w:sz w:val="24"/>
                <w:szCs w:val="24"/>
                <w:lang w:val="en-US" w:eastAsia="zh-CN"/>
              </w:rPr>
              <w:t>资金来源：</w:t>
            </w:r>
            <w:r>
              <w:rPr>
                <w:rFonts w:hint="eastAsia" w:ascii="宋体" w:hAnsi="宋体" w:cs="宋体"/>
                <w:b/>
                <w:color w:val="000000" w:themeColor="text1"/>
                <w:sz w:val="24"/>
                <w:szCs w:val="24"/>
                <w:lang w:val="en-US" w:eastAsia="zh-CN"/>
                <w14:textFill>
                  <w14:solidFill>
                    <w14:schemeClr w14:val="tx1"/>
                  </w14:solidFill>
                </w14:textFill>
              </w:rPr>
              <w:t>县财政资金</w:t>
            </w:r>
          </w:p>
          <w:p>
            <w:pPr>
              <w:numPr>
                <w:ilvl w:val="0"/>
                <w:numId w:val="0"/>
              </w:numPr>
              <w:spacing w:line="400" w:lineRule="exact"/>
              <w:jc w:val="left"/>
              <w:rPr>
                <w:rFonts w:hint="eastAsia" w:ascii="宋体" w:hAnsi="宋体" w:cs="宋体"/>
                <w:b/>
                <w:color w:val="FF0000"/>
                <w:sz w:val="24"/>
                <w:szCs w:val="24"/>
                <w:lang w:val="en-US" w:eastAsia="zh-CN"/>
              </w:rPr>
            </w:pPr>
            <w:r>
              <w:rPr>
                <w:rFonts w:hint="eastAsia" w:ascii="宋体" w:hAnsi="宋体" w:cs="宋体"/>
                <w:b/>
                <w:sz w:val="24"/>
                <w:szCs w:val="24"/>
              </w:rPr>
              <w:t>招标控制价：</w:t>
            </w:r>
            <w:r>
              <w:rPr>
                <w:rFonts w:hint="eastAsia" w:ascii="宋体" w:hAnsi="宋体" w:cs="宋体"/>
                <w:b/>
                <w:color w:val="auto"/>
                <w:sz w:val="24"/>
                <w:szCs w:val="24"/>
                <w:lang w:val="en-US" w:eastAsia="zh-CN"/>
              </w:rPr>
              <w:t>120万元</w:t>
            </w:r>
          </w:p>
          <w:p>
            <w:pPr>
              <w:numPr>
                <w:ilvl w:val="0"/>
                <w:numId w:val="0"/>
              </w:numPr>
              <w:spacing w:line="400" w:lineRule="exact"/>
              <w:jc w:val="left"/>
              <w:rPr>
                <w:rFonts w:hint="eastAsia" w:ascii="宋体" w:hAnsi="宋体" w:cs="宋体"/>
                <w:b/>
                <w:color w:val="auto"/>
                <w:sz w:val="24"/>
                <w:szCs w:val="24"/>
              </w:rPr>
            </w:pPr>
            <w:r>
              <w:rPr>
                <w:rFonts w:hint="eastAsia" w:ascii="宋体" w:hAnsi="宋体" w:cs="宋体"/>
                <w:b/>
                <w:color w:val="auto"/>
                <w:sz w:val="24"/>
                <w:szCs w:val="24"/>
                <w:lang w:val="en-US" w:eastAsia="zh-CN"/>
              </w:rPr>
              <w:t>（大写：壹佰贰拾万元整）</w:t>
            </w:r>
          </w:p>
          <w:p>
            <w:pPr>
              <w:spacing w:line="400" w:lineRule="exact"/>
              <w:ind w:left="1"/>
              <w:jc w:val="left"/>
              <w:rPr>
                <w:rFonts w:hint="eastAsia"/>
                <w:lang w:val="en-US" w:eastAsia="zh-CN"/>
              </w:rPr>
            </w:pPr>
            <w:r>
              <w:rPr>
                <w:rFonts w:hint="eastAsia" w:ascii="宋体" w:hAnsi="宋体" w:cs="宋体"/>
                <w:b/>
                <w:sz w:val="24"/>
                <w:szCs w:val="24"/>
              </w:rPr>
              <w:t>（此采购预算为最高限价、如超过此最高限价的报价为无效报价)</w:t>
            </w:r>
          </w:p>
          <w:p>
            <w:pPr>
              <w:keepNext w:val="0"/>
              <w:keepLines w:val="0"/>
              <w:suppressLineNumbers w:val="0"/>
              <w:spacing w:before="0" w:beforeAutospacing="0" w:after="0" w:afterAutospacing="0" w:line="400" w:lineRule="exact"/>
              <w:ind w:right="0"/>
              <w:rPr>
                <w:rFonts w:hint="eastAsia" w:ascii="宋体" w:hAnsi="宋体" w:cs="宋体"/>
                <w:sz w:val="24"/>
                <w:szCs w:val="24"/>
              </w:rPr>
            </w:pPr>
            <w:r>
              <w:rPr>
                <w:rFonts w:hint="eastAsia" w:ascii="宋体" w:hAnsi="宋体" w:cs="宋体"/>
                <w:b w:val="0"/>
                <w:bCs/>
                <w:color w:val="191919"/>
                <w:sz w:val="24"/>
                <w:szCs w:val="24"/>
                <w:shd w:val="clear" w:color="auto" w:fill="FFFFFF"/>
                <w:lang w:val="en-US" w:eastAsia="zh-CN"/>
              </w:rPr>
              <w:t>注：</w:t>
            </w:r>
            <w:r>
              <w:rPr>
                <w:rFonts w:hint="eastAsia" w:ascii="宋体" w:hAnsi="宋体" w:cs="宋体"/>
                <w:b w:val="0"/>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17</w:t>
            </w:r>
          </w:p>
        </w:tc>
        <w:tc>
          <w:tcPr>
            <w:tcW w:w="2406" w:type="dxa"/>
            <w:noWrap w:val="0"/>
            <w:vAlign w:val="center"/>
          </w:tcPr>
          <w:p>
            <w:pPr>
              <w:pStyle w:val="22"/>
              <w:keepNext w:val="0"/>
              <w:keepLines w:val="0"/>
              <w:suppressLineNumbers w:val="0"/>
              <w:spacing w:before="0" w:beforeAutospacing="0" w:after="0" w:afterAutospacing="0" w:line="400" w:lineRule="exact"/>
              <w:ind w:left="38" w:right="0"/>
              <w:jc w:val="center"/>
              <w:rPr>
                <w:rFonts w:hint="eastAsia" w:ascii="宋体" w:hAnsi="宋体" w:cs="宋体"/>
                <w:b/>
                <w:bCs/>
                <w:color w:val="000000"/>
                <w:sz w:val="24"/>
                <w:szCs w:val="24"/>
                <w:lang w:val="en-US" w:eastAsia="zh-CN"/>
              </w:rPr>
            </w:pPr>
            <w:r>
              <w:rPr>
                <w:rFonts w:ascii="宋体" w:hAnsi="宋体" w:eastAsia="宋体" w:cs="宋体"/>
                <w:spacing w:val="-1"/>
                <w:sz w:val="24"/>
                <w:szCs w:val="24"/>
                <w14:textOutline w14:w="4354" w14:cap="flat" w14:cmpd="sng">
                  <w14:solidFill>
                    <w14:srgbClr w14:val="000000"/>
                  </w14:solidFill>
                  <w14:prstDash w14:val="solid"/>
                  <w14:miter w14:val="0"/>
                </w14:textOutline>
              </w:rPr>
              <w:t>代理服务费</w:t>
            </w:r>
          </w:p>
        </w:tc>
        <w:tc>
          <w:tcPr>
            <w:tcW w:w="6077" w:type="dxa"/>
            <w:noWrap w:val="0"/>
            <w:vAlign w:val="center"/>
          </w:tcPr>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highlight w:val="none"/>
                <w:shd w:val="clear" w:color="auto" w:fill="FFFFFF"/>
                <w:lang w:val="en-US" w:eastAsia="zh-CN"/>
              </w:rPr>
            </w:pPr>
            <w:r>
              <w:rPr>
                <w:rFonts w:hint="eastAsia" w:ascii="宋体" w:hAnsi="宋体" w:cs="宋体"/>
                <w:b w:val="0"/>
                <w:bCs/>
                <w:color w:val="191919"/>
                <w:sz w:val="24"/>
                <w:szCs w:val="24"/>
                <w:highlight w:val="none"/>
                <w:shd w:val="clear" w:color="auto" w:fill="FFFFFF"/>
                <w:lang w:val="en-US" w:eastAsia="zh-CN"/>
              </w:rPr>
              <w:t>缴纳时间：招标工作结束后由招标人支付。</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缴纳金额：参照《招标代理服务收费管理暂行办法》计 价格[2002]1980 号、《关于招标代理服务收费有关问题 的通知》发改办价格[2003]857 号文收取招标代理费服务 费， 100 万以下按 1.5%计取、 100-500 万按 0.8%计取、 500- 1000 万按 0.45%计取，按差额定率累进法计算；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18</w:t>
            </w:r>
          </w:p>
        </w:tc>
        <w:tc>
          <w:tcPr>
            <w:tcW w:w="2406" w:type="dxa"/>
            <w:noWrap w:val="0"/>
            <w:vAlign w:val="center"/>
          </w:tcPr>
          <w:p>
            <w:pPr>
              <w:pStyle w:val="22"/>
              <w:keepNext w:val="0"/>
              <w:keepLines w:val="0"/>
              <w:suppressLineNumbers w:val="0"/>
              <w:spacing w:before="0" w:beforeAutospacing="0" w:after="0" w:afterAutospacing="0" w:line="400" w:lineRule="exact"/>
              <w:ind w:right="0"/>
              <w:jc w:val="center"/>
              <w:rPr>
                <w:rFonts w:hint="default" w:ascii="宋体" w:hAnsi="宋体" w:cs="宋体"/>
                <w:b/>
                <w:bCs/>
                <w:color w:val="000000"/>
                <w:sz w:val="24"/>
                <w:szCs w:val="24"/>
                <w:lang w:val="en-US" w:eastAsia="zh-CN"/>
              </w:rPr>
            </w:pPr>
            <w:r>
              <w:rPr>
                <w:rFonts w:hint="eastAsia" w:cs="宋体"/>
                <w:b/>
                <w:bCs/>
                <w:color w:val="000000"/>
                <w:sz w:val="24"/>
                <w:szCs w:val="24"/>
                <w:lang w:val="en-US" w:eastAsia="zh-CN"/>
              </w:rPr>
              <w:t>现场查验</w:t>
            </w:r>
          </w:p>
        </w:tc>
        <w:tc>
          <w:tcPr>
            <w:tcW w:w="6077" w:type="dxa"/>
            <w:noWrap w:val="0"/>
            <w:vAlign w:val="center"/>
          </w:tcPr>
          <w:p>
            <w:pPr>
              <w:keepNext w:val="0"/>
              <w:keepLines w:val="0"/>
              <w:suppressLineNumbers w:val="0"/>
              <w:spacing w:before="0" w:beforeAutospacing="0" w:after="0" w:afterAutospacing="0" w:line="400" w:lineRule="exact"/>
              <w:ind w:right="0"/>
              <w:rPr>
                <w:rFonts w:hint="eastAsia" w:ascii="宋体" w:hAnsi="宋体" w:cs="宋体"/>
                <w:b/>
                <w:bCs w:val="0"/>
                <w:color w:val="191919"/>
                <w:sz w:val="24"/>
                <w:szCs w:val="24"/>
                <w:shd w:val="clear" w:color="auto" w:fill="FFFFFF"/>
                <w:lang w:val="en-US" w:eastAsia="zh-CN"/>
              </w:rPr>
            </w:pPr>
            <w:r>
              <w:rPr>
                <w:rFonts w:hint="eastAsia" w:ascii="宋体" w:hAnsi="宋体" w:cs="宋体"/>
                <w:b/>
                <w:bCs w:val="0"/>
                <w:color w:val="191919"/>
                <w:sz w:val="24"/>
                <w:szCs w:val="24"/>
                <w:shd w:val="clear" w:color="auto" w:fill="FFFFFF"/>
                <w:lang w:val="en-US" w:eastAsia="zh-CN"/>
              </w:rPr>
              <w:t>开标现场随身携带：</w:t>
            </w:r>
          </w:p>
          <w:p>
            <w:pPr>
              <w:keepNext w:val="0"/>
              <w:keepLines w:val="0"/>
              <w:numPr>
                <w:ilvl w:val="0"/>
                <w:numId w:val="2"/>
              </w:numPr>
              <w:suppressLineNumbers w:val="0"/>
              <w:spacing w:before="0" w:beforeAutospacing="0" w:after="0" w:afterAutospacing="0" w:line="400" w:lineRule="exact"/>
              <w:ind w:right="0"/>
              <w:rPr>
                <w:rFonts w:hint="eastAsia"/>
                <w:lang w:val="en-US" w:eastAsia="zh-CN"/>
              </w:rPr>
            </w:pPr>
            <w:r>
              <w:rPr>
                <w:rFonts w:hint="eastAsia" w:ascii="宋体" w:hAnsi="宋体" w:cs="宋体"/>
                <w:b w:val="0"/>
                <w:bCs/>
                <w:color w:val="191919"/>
                <w:sz w:val="24"/>
                <w:szCs w:val="24"/>
                <w:shd w:val="clear" w:color="auto" w:fill="FFFFFF"/>
                <w:lang w:val="en-US" w:eastAsia="zh-CN"/>
              </w:rPr>
              <w:t>具有经年审合格的三证合一营业执照原件；</w:t>
            </w:r>
          </w:p>
          <w:p>
            <w:pPr>
              <w:keepNext w:val="0"/>
              <w:keepLines w:val="0"/>
              <w:numPr>
                <w:ilvl w:val="0"/>
                <w:numId w:val="0"/>
              </w:numPr>
              <w:suppressLineNumbers w:val="0"/>
              <w:spacing w:before="0" w:beforeAutospacing="0" w:after="0" w:afterAutospacing="0" w:line="400" w:lineRule="exact"/>
              <w:ind w:leftChars="0" w:right="0" w:rightChars="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（2）提供 2021 年度由第三方财务审计机构出具的财务审计报告；</w:t>
            </w:r>
          </w:p>
          <w:p>
            <w:pPr>
              <w:keepNext w:val="0"/>
              <w:keepLines w:val="0"/>
              <w:numPr>
                <w:ilvl w:val="0"/>
                <w:numId w:val="0"/>
              </w:numPr>
              <w:suppressLineNumbers w:val="0"/>
              <w:spacing w:before="0" w:beforeAutospacing="0" w:after="0" w:afterAutospacing="0" w:line="400" w:lineRule="exact"/>
              <w:ind w:leftChars="0" w:right="0" w:rightChars="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（3）提供 2023 年税务机关出具近一个月填报日期的完税证明；</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（4）法人应携带《法定代表人身份证明书》原件及身份证原件，委托代理人应携带《法定代表人授权委托书》原件及身份证原件；</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（5）提供本单位法人及委托人缴纳的近3个月社保缴纳证明；</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开标时交现场监督人员查验。如不按招标文件要求递交的均视为无效处理。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1012" w:type="dxa"/>
            <w:noWrap w:val="0"/>
            <w:vAlign w:val="center"/>
          </w:tcPr>
          <w:p>
            <w:pPr>
              <w:pStyle w:val="22"/>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en-US" w:eastAsia="zh-CN"/>
              </w:rPr>
            </w:pPr>
            <w:r>
              <w:rPr>
                <w:rFonts w:hint="eastAsia" w:cs="Courier New"/>
                <w:b/>
                <w:color w:val="auto"/>
                <w:sz w:val="24"/>
                <w:szCs w:val="24"/>
                <w:highlight w:val="none"/>
                <w:lang w:val="en-US" w:eastAsia="zh-CN"/>
              </w:rPr>
              <w:t>19</w:t>
            </w:r>
          </w:p>
        </w:tc>
        <w:tc>
          <w:tcPr>
            <w:tcW w:w="2406" w:type="dxa"/>
            <w:noWrap w:val="0"/>
            <w:vAlign w:val="center"/>
          </w:tcPr>
          <w:p>
            <w:pPr>
              <w:pStyle w:val="22"/>
              <w:keepNext w:val="0"/>
              <w:keepLines w:val="0"/>
              <w:suppressLineNumbers w:val="0"/>
              <w:spacing w:before="0" w:beforeAutospacing="0" w:after="0" w:afterAutospacing="0" w:line="400" w:lineRule="exact"/>
              <w:ind w:right="0"/>
              <w:jc w:val="center"/>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备注</w:t>
            </w:r>
          </w:p>
        </w:tc>
        <w:tc>
          <w:tcPr>
            <w:tcW w:w="6077" w:type="dxa"/>
            <w:noWrap w:val="0"/>
            <w:vAlign w:val="center"/>
          </w:tcPr>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其他要求：</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1、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2、各供应商提供的投标证明材料均应保证真实有效，若经现场及网上核查为虚假材料的，企业信息将上报民丰县公共资源交易中心政府采购办，在否决其本次投标活动资格的同时，录入和田地区民丰县政府采购黑名单！</w:t>
            </w:r>
          </w:p>
        </w:tc>
      </w:tr>
    </w:tbl>
    <w:p>
      <w:pPr>
        <w:pStyle w:val="20"/>
        <w:rPr>
          <w:rFonts w:hint="eastAsia"/>
        </w:rPr>
        <w:sectPr>
          <w:pgSz w:w="11906" w:h="16838"/>
          <w:pgMar w:top="1440" w:right="1800" w:bottom="1440" w:left="1800" w:header="851" w:footer="992" w:gutter="0"/>
          <w:pgNumType w:fmt="numberInDash"/>
          <w:cols w:space="425" w:num="1"/>
          <w:docGrid w:type="lines" w:linePitch="312" w:charSpace="0"/>
        </w:sect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一、</w:t>
      </w:r>
      <w:r>
        <w:rPr>
          <w:rFonts w:hint="eastAsia" w:ascii="宋体" w:hAnsi="宋体" w:cs="宋体"/>
          <w:b/>
          <w:color w:val="000000"/>
          <w:sz w:val="28"/>
          <w:szCs w:val="28"/>
        </w:rPr>
        <w:t>总  则</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1、适用范围</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bCs/>
          <w:color w:val="000000"/>
          <w:sz w:val="24"/>
          <w:szCs w:val="24"/>
        </w:rPr>
        <w:t>1.1</w:t>
      </w:r>
      <w:r>
        <w:rPr>
          <w:rFonts w:hint="eastAsia" w:ascii="宋体" w:hAnsi="宋体" w:cs="宋体"/>
          <w:color w:val="000000"/>
          <w:sz w:val="24"/>
          <w:szCs w:val="24"/>
        </w:rPr>
        <w:t xml:space="preserve"> </w:t>
      </w:r>
      <w:r>
        <w:rPr>
          <w:rFonts w:hint="eastAsia" w:ascii="宋体" w:hAnsi="宋体" w:cs="宋体"/>
          <w:b/>
          <w:color w:val="000000"/>
          <w:sz w:val="24"/>
          <w:szCs w:val="24"/>
        </w:rPr>
        <w:t>本采购文件仅适于本次投标中所述的所有项目的货物的供应、运输、装卸和相关服务。</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2、合格的投标人</w:t>
      </w:r>
    </w:p>
    <w:p>
      <w:pPr>
        <w:adjustRightInd w:val="0"/>
        <w:snapToGrid w:val="0"/>
        <w:spacing w:line="360" w:lineRule="auto"/>
        <w:ind w:firstLine="482" w:firstLineChars="200"/>
        <w:rPr>
          <w:rFonts w:hint="eastAsia" w:ascii="宋体" w:hAnsi="宋体" w:eastAsia="宋体" w:cs="宋体"/>
          <w:b/>
          <w:color w:val="000000"/>
          <w:sz w:val="24"/>
          <w:szCs w:val="24"/>
          <w:lang w:eastAsia="zh-CN"/>
        </w:rPr>
      </w:pPr>
      <w:r>
        <w:rPr>
          <w:rFonts w:hint="eastAsia" w:ascii="宋体" w:hAnsi="宋体" w:cs="宋体"/>
          <w:b/>
          <w:color w:val="000000"/>
          <w:sz w:val="24"/>
          <w:szCs w:val="24"/>
        </w:rPr>
        <w:t>2.1投标人资格要求</w:t>
      </w:r>
      <w:r>
        <w:rPr>
          <w:rFonts w:hint="eastAsia" w:ascii="宋体" w:hAnsi="宋体" w:cs="宋体"/>
          <w:b/>
          <w:color w:val="000000"/>
          <w:sz w:val="24"/>
          <w:szCs w:val="24"/>
          <w:lang w:eastAsia="zh-CN"/>
        </w:rPr>
        <w:t>：</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 xml:space="preserve">1.满足《中华人民共和国政府采购法》第二十二条规定； </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 xml:space="preserve">2.本项目满足《中华人民共和国政府采购法》第二十二条规定资格要求： </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（1）具有经年审合格的三证合一营业执照原件；</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w:t>
      </w:r>
      <w:r>
        <w:rPr>
          <w:rFonts w:hint="eastAsia" w:ascii="宋体" w:hAnsi="宋体" w:cs="宋体"/>
          <w:b/>
          <w:color w:val="000000"/>
          <w:sz w:val="24"/>
          <w:szCs w:val="24"/>
          <w:lang w:val="en-US" w:eastAsia="zh-CN"/>
        </w:rPr>
        <w:t>2</w:t>
      </w:r>
      <w:r>
        <w:rPr>
          <w:rFonts w:hint="eastAsia" w:ascii="宋体" w:hAnsi="宋体" w:cs="宋体"/>
          <w:b/>
          <w:color w:val="000000"/>
          <w:sz w:val="24"/>
          <w:szCs w:val="24"/>
        </w:rPr>
        <w:t xml:space="preserve">）提供 2021 年度由第三方财务审计机构出具的财务审计报告； </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w:t>
      </w:r>
      <w:r>
        <w:rPr>
          <w:rFonts w:hint="eastAsia" w:ascii="宋体" w:hAnsi="宋体" w:cs="宋体"/>
          <w:b/>
          <w:color w:val="000000"/>
          <w:sz w:val="24"/>
          <w:szCs w:val="24"/>
          <w:lang w:val="en-US" w:eastAsia="zh-CN"/>
        </w:rPr>
        <w:t>3</w:t>
      </w:r>
      <w:r>
        <w:rPr>
          <w:rFonts w:hint="eastAsia" w:ascii="宋体" w:hAnsi="宋体" w:cs="宋体"/>
          <w:b/>
          <w:color w:val="000000"/>
          <w:sz w:val="24"/>
          <w:szCs w:val="24"/>
        </w:rPr>
        <w:t xml:space="preserve">）提供 2023 年税务机关出具近一个月填报日期的完税证明； </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w:t>
      </w:r>
      <w:r>
        <w:rPr>
          <w:rFonts w:hint="eastAsia" w:ascii="宋体" w:hAnsi="宋体" w:cs="宋体"/>
          <w:b/>
          <w:color w:val="000000"/>
          <w:sz w:val="24"/>
          <w:szCs w:val="24"/>
          <w:lang w:val="en-US" w:eastAsia="zh-CN"/>
        </w:rPr>
        <w:t>4</w:t>
      </w:r>
      <w:r>
        <w:rPr>
          <w:rFonts w:hint="eastAsia" w:ascii="宋体" w:hAnsi="宋体" w:cs="宋体"/>
          <w:b/>
          <w:color w:val="000000"/>
          <w:sz w:val="24"/>
          <w:szCs w:val="24"/>
        </w:rPr>
        <w:t xml:space="preserve">）法人应携带《法定代表人身份证明书》原件及身份证原件，委托代理人应携带《法定代表人授权委托书》原件及身份证原件； </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w:t>
      </w:r>
      <w:r>
        <w:rPr>
          <w:rFonts w:hint="eastAsia" w:ascii="宋体" w:hAnsi="宋体" w:cs="宋体"/>
          <w:b/>
          <w:color w:val="000000"/>
          <w:sz w:val="24"/>
          <w:szCs w:val="24"/>
          <w:lang w:val="en-US" w:eastAsia="zh-CN"/>
        </w:rPr>
        <w:t>5</w:t>
      </w:r>
      <w:r>
        <w:rPr>
          <w:rFonts w:hint="eastAsia" w:ascii="宋体" w:hAnsi="宋体" w:cs="宋体"/>
          <w:b/>
          <w:color w:val="000000"/>
          <w:sz w:val="24"/>
          <w:szCs w:val="24"/>
        </w:rPr>
        <w:t xml:space="preserve">）提供本单位法人及委托人缴纳的近3个月社保缴纳证明； </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w:t>
      </w:r>
      <w:r>
        <w:rPr>
          <w:rFonts w:hint="eastAsia" w:ascii="宋体" w:hAnsi="宋体" w:cs="宋体"/>
          <w:b/>
          <w:color w:val="000000"/>
          <w:sz w:val="24"/>
          <w:szCs w:val="24"/>
          <w:lang w:val="en-US" w:eastAsia="zh-CN"/>
        </w:rPr>
        <w:t>6</w:t>
      </w:r>
      <w:r>
        <w:rPr>
          <w:rFonts w:hint="eastAsia" w:ascii="宋体" w:hAnsi="宋体" w:cs="宋体"/>
          <w:b/>
          <w:color w:val="000000"/>
          <w:sz w:val="24"/>
          <w:szCs w:val="24"/>
        </w:rPr>
        <w:t>）近三年内（本项目投标截止期前）如在“信用中国（www.creditchina.gov.cn）” 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w:t>
      </w:r>
    </w:p>
    <w:p>
      <w:pPr>
        <w:numPr>
          <w:ilvl w:val="0"/>
          <w:numId w:val="0"/>
        </w:num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3.本项目不接受联合体投标</w:t>
      </w:r>
    </w:p>
    <w:p>
      <w:pPr>
        <w:numPr>
          <w:ilvl w:val="0"/>
          <w:numId w:val="3"/>
        </w:num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定义</w:t>
      </w:r>
    </w:p>
    <w:p>
      <w:pPr>
        <w:autoSpaceDE w:val="0"/>
        <w:autoSpaceDN w:val="0"/>
        <w:adjustRightInd w:val="0"/>
        <w:snapToGrid w:val="0"/>
        <w:spacing w:line="360" w:lineRule="auto"/>
        <w:rPr>
          <w:rFonts w:hint="eastAsia" w:ascii="宋体" w:hAnsi="宋体" w:cs="宋体"/>
          <w:bCs/>
          <w:color w:val="000000"/>
          <w:sz w:val="24"/>
          <w:szCs w:val="24"/>
          <w:lang w:val="zh-CN"/>
        </w:rPr>
      </w:pPr>
      <w:r>
        <w:rPr>
          <w:rFonts w:hint="eastAsia" w:ascii="宋体" w:hAnsi="宋体" w:cs="宋体"/>
          <w:color w:val="000000"/>
          <w:sz w:val="24"/>
          <w:szCs w:val="24"/>
        </w:rPr>
        <w:t xml:space="preserve">    3.1 “招标人”系指合同中明确规定的实际购买货物和服务的法人、行政事业单位、团体组织。</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3.2 “投标人”系指响应招标，并按照采购文件的要求参与工程任务竞争的法人，中标后即为中标人，签定合同后即为卖方。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3.3 “招标机构”为</w:t>
      </w:r>
      <w:r>
        <w:rPr>
          <w:rFonts w:hint="eastAsia" w:ascii="宋体" w:hAnsi="宋体" w:cs="宋体"/>
          <w:color w:val="000000"/>
          <w:sz w:val="24"/>
          <w:szCs w:val="24"/>
          <w:lang w:val="en-US" w:eastAsia="zh-CN"/>
        </w:rPr>
        <w:t>新疆鼎之裕工程招标咨询有限公司</w:t>
      </w:r>
      <w:r>
        <w:rPr>
          <w:rFonts w:hint="eastAsia" w:ascii="宋体" w:hAnsi="宋体" w:cs="宋体"/>
          <w:color w:val="000000"/>
          <w:sz w:val="24"/>
          <w:szCs w:val="24"/>
        </w:rPr>
        <w:t>。</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3.4 “货物”系指卖方按合同要求，须向买方提供的一切产品及其它技术资料和材料。</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3.5 “服务”系指合同规定卖方须承担的技术协助、本地化开发、工期供货、安装、调试、运行维护完毕和交付使用后免费维护期内及质保期外应履行的义务及售后服务等其他类似的义务。</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3.6 “卖方”系指提供合同货物和服务的法人。</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3.7 “买方”系指购买货物的单位。</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4、投标费用</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4.1 无论投标结果如何，投标人须自行承担所有与参加投标有关的全部费用。</w:t>
      </w:r>
    </w:p>
    <w:p>
      <w:pPr>
        <w:adjustRightInd w:val="0"/>
        <w:snapToGrid w:val="0"/>
        <w:spacing w:line="360" w:lineRule="auto"/>
        <w:jc w:val="center"/>
        <w:rPr>
          <w:rFonts w:hint="eastAsia" w:ascii="宋体" w:hAnsi="宋体" w:cs="宋体"/>
          <w:b/>
          <w:color w:val="000000"/>
          <w:sz w:val="24"/>
          <w:szCs w:val="24"/>
        </w:rPr>
      </w:pPr>
      <w:r>
        <w:rPr>
          <w:rFonts w:hint="eastAsia" w:ascii="宋体" w:hAnsi="宋体" w:cs="宋体"/>
          <w:b/>
          <w:color w:val="000000"/>
          <w:sz w:val="24"/>
          <w:szCs w:val="24"/>
        </w:rPr>
        <w:t>二、采购文件</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5、采购文件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5.1 采购文件用以阐明所招标的内容，招标投标程序及合同条款，包括：</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5.1.1 投标人须知前附表；</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5.1.2 招标书；</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5.1.3 投标人须知；</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5.1.4 </w:t>
      </w:r>
      <w:r>
        <w:rPr>
          <w:rFonts w:hint="eastAsia" w:ascii="宋体" w:hAnsi="宋体" w:cs="宋体"/>
          <w:color w:val="000000"/>
          <w:sz w:val="24"/>
          <w:szCs w:val="24"/>
          <w:lang w:val="en-US" w:eastAsia="zh-CN"/>
        </w:rPr>
        <w:t>服务</w:t>
      </w:r>
      <w:r>
        <w:rPr>
          <w:rFonts w:hint="eastAsia" w:ascii="宋体" w:hAnsi="宋体" w:cs="宋体"/>
          <w:color w:val="000000"/>
          <w:sz w:val="24"/>
          <w:szCs w:val="24"/>
        </w:rPr>
        <w:t>要求；</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5.1.5 合同条款；</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5.1.6 投标文件格式。</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5.2投标人应仔细阅读采购文件中的所有内容。招标机构将拒绝未按采购文件的要求提供全部资料或提交的投标文件未对采购文件作出实质性响应的投标。</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6、采购文件的澄清</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6.1 任何要求澄清采购文件的投标人，均应在投标截止日期</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s="宋体"/>
          <w:color w:val="000000"/>
          <w:sz w:val="24"/>
          <w:szCs w:val="24"/>
        </w:rPr>
        <w:t>天前以书面形式或传真、电报通知招标机构。招标机构将以书面形式予以答复，同时将书面通知每个购买采购文件的投标人。投标人不得与招标人私下就工程招投标的有关实质性的问题进行磋商。</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7、采购文件的修改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7.1 在投标截止时间</w:t>
      </w:r>
      <w:r>
        <w:rPr>
          <w:rFonts w:hint="eastAsia" w:ascii="宋体" w:hAnsi="宋体" w:cs="宋体"/>
          <w:color w:val="000000"/>
          <w:sz w:val="24"/>
          <w:szCs w:val="24"/>
          <w:lang w:val="en-US" w:eastAsia="zh-CN"/>
        </w:rPr>
        <w:t>五</w:t>
      </w:r>
      <w:r>
        <w:rPr>
          <w:rFonts w:hint="eastAsia" w:ascii="宋体" w:hAnsi="宋体" w:cs="宋体"/>
          <w:color w:val="000000"/>
          <w:sz w:val="24"/>
          <w:szCs w:val="24"/>
        </w:rPr>
        <w:t>天以前，招标人都可能以《采购文件补充》的方式修改采购文件。并将以书面形式通知所有购买采购文件的投标人。</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pPr>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color w:val="000000"/>
          <w:sz w:val="24"/>
          <w:szCs w:val="24"/>
        </w:rPr>
        <w:t>7.3 为使投标人在编制投标文件时把《采购文件补充》内容考虑进去，招标人可以相应延长投标截止日期，具体时间将在《采购文件补充》中写明。</w:t>
      </w:r>
    </w:p>
    <w:p>
      <w:pPr>
        <w:adjustRightInd w:val="0"/>
        <w:snapToGrid w:val="0"/>
        <w:spacing w:line="360" w:lineRule="auto"/>
        <w:jc w:val="center"/>
        <w:rPr>
          <w:rFonts w:hint="eastAsia" w:ascii="宋体" w:hAnsi="宋体" w:cs="宋体"/>
          <w:b/>
          <w:color w:val="000000"/>
          <w:sz w:val="24"/>
          <w:szCs w:val="24"/>
        </w:rPr>
      </w:pPr>
    </w:p>
    <w:p>
      <w:pPr>
        <w:adjustRightInd w:val="0"/>
        <w:snapToGrid w:val="0"/>
        <w:spacing w:line="360" w:lineRule="auto"/>
        <w:jc w:val="center"/>
        <w:rPr>
          <w:rFonts w:hint="eastAsia" w:ascii="宋体" w:hAnsi="宋体" w:cs="宋体"/>
          <w:b/>
          <w:color w:val="000000"/>
          <w:sz w:val="24"/>
          <w:szCs w:val="24"/>
        </w:rPr>
      </w:pPr>
      <w:r>
        <w:rPr>
          <w:rFonts w:hint="eastAsia" w:ascii="宋体" w:hAnsi="宋体" w:cs="宋体"/>
          <w:b/>
          <w:color w:val="000000"/>
          <w:sz w:val="24"/>
          <w:szCs w:val="24"/>
        </w:rPr>
        <w:t>三、投标文件的编制</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8、 投标文件的编写</w:t>
      </w:r>
    </w:p>
    <w:p>
      <w:pPr>
        <w:widowControl/>
        <w:adjustRightInd w:val="0"/>
        <w:snapToGrid w:val="0"/>
        <w:spacing w:line="360" w:lineRule="auto"/>
        <w:ind w:firstLine="480" w:firstLineChars="200"/>
        <w:rPr>
          <w:rFonts w:hint="eastAsia" w:ascii="宋体" w:hAnsi="宋体" w:cs="宋体"/>
          <w:b/>
          <w:color w:val="000000"/>
          <w:sz w:val="24"/>
          <w:szCs w:val="24"/>
          <w:shd w:val="pct10" w:color="auto" w:fill="FFFFFF"/>
        </w:rPr>
      </w:pPr>
      <w:r>
        <w:rPr>
          <w:rFonts w:hint="eastAsia" w:ascii="宋体" w:hAnsi="宋体" w:cs="宋体"/>
          <w:color w:val="000000"/>
          <w:sz w:val="24"/>
          <w:szCs w:val="24"/>
        </w:rPr>
        <w:t>8.1 投标人应仔细阅读采购文件，了解采购文件的要求。在充分理解采购文件提出的技术要求、服务和商务条件后，编制投标文件。</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9、 投标的语言</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rPr>
          <w:rFonts w:hint="eastAsia" w:ascii="宋体" w:hAnsi="宋体" w:cs="宋体"/>
          <w:color w:val="000000"/>
          <w:sz w:val="24"/>
          <w:szCs w:val="24"/>
        </w:rPr>
      </w:pPr>
      <w:r>
        <w:rPr>
          <w:rFonts w:hint="eastAsia" w:ascii="宋体" w:hAnsi="宋体" w:cs="宋体"/>
          <w:color w:val="000000"/>
          <w:sz w:val="24"/>
          <w:szCs w:val="24"/>
        </w:rPr>
        <w:t>9.2投标文件中使用的计量单位除采购文件中有特殊规定外，一律使用法定计量单位。</w:t>
      </w:r>
    </w:p>
    <w:p>
      <w:pPr>
        <w:adjustRightInd w:val="0"/>
        <w:snapToGrid w:val="0"/>
        <w:spacing w:line="360" w:lineRule="auto"/>
        <w:ind w:firstLine="560"/>
        <w:rPr>
          <w:rFonts w:hint="eastAsia" w:ascii="宋体" w:hAnsi="宋体" w:cs="宋体"/>
          <w:b/>
          <w:bCs/>
          <w:color w:val="000000"/>
          <w:sz w:val="24"/>
          <w:szCs w:val="24"/>
        </w:rPr>
      </w:pPr>
      <w:r>
        <w:rPr>
          <w:rFonts w:hint="eastAsia" w:ascii="宋体" w:hAnsi="宋体" w:cs="宋体"/>
          <w:b/>
          <w:bCs/>
          <w:color w:val="000000"/>
          <w:sz w:val="24"/>
          <w:szCs w:val="24"/>
        </w:rPr>
        <w:t>10、投标文件的格式</w:t>
      </w:r>
    </w:p>
    <w:p>
      <w:pPr>
        <w:adjustRightInd w:val="0"/>
        <w:snapToGrid w:val="0"/>
        <w:spacing w:line="360" w:lineRule="auto"/>
        <w:ind w:firstLine="560"/>
        <w:rPr>
          <w:rFonts w:hint="eastAsia" w:ascii="宋体" w:hAnsi="宋体" w:cs="宋体"/>
          <w:color w:val="000000"/>
          <w:sz w:val="24"/>
          <w:szCs w:val="24"/>
        </w:rPr>
      </w:pPr>
      <w:r>
        <w:rPr>
          <w:rFonts w:hint="eastAsia" w:ascii="宋体" w:hAnsi="宋体" w:cs="宋体"/>
          <w:color w:val="000000"/>
          <w:sz w:val="24"/>
          <w:szCs w:val="24"/>
        </w:rPr>
        <w:t>10.1投标人应按采购文件提供的格式及投标报价说明完整地填写所提供的产品、品牌、服务、数量及价格。</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按废标处理。</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pPr>
        <w:spacing w:line="460" w:lineRule="exact"/>
        <w:ind w:firstLine="480" w:firstLineChars="200"/>
        <w:rPr>
          <w:rFonts w:hint="eastAsia" w:ascii="宋体" w:hAnsi="宋体" w:cs="宋体"/>
          <w:bCs/>
          <w:color w:val="0000FF"/>
          <w:sz w:val="24"/>
          <w:szCs w:val="24"/>
        </w:rPr>
      </w:pPr>
      <w:bookmarkStart w:id="4" w:name="_Hlk77189624"/>
      <w:bookmarkStart w:id="5" w:name="_Hlk77199132"/>
      <w:r>
        <w:rPr>
          <w:rFonts w:hint="eastAsia" w:ascii="宋体" w:hAnsi="宋体" w:cs="宋体"/>
          <w:bCs/>
          <w:color w:val="0000FF"/>
          <w:sz w:val="24"/>
          <w:szCs w:val="24"/>
        </w:rPr>
        <w:t>11.1.开标一览表；</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11.1.1报价明细表</w:t>
      </w:r>
      <w:bookmarkStart w:id="6" w:name="_Hlk77184169"/>
      <w:r>
        <w:rPr>
          <w:rFonts w:hint="eastAsia" w:ascii="宋体" w:hAnsi="宋体" w:cs="宋体"/>
          <w:bCs/>
          <w:color w:val="0000FF"/>
          <w:sz w:val="24"/>
          <w:szCs w:val="24"/>
        </w:rPr>
        <w:t>；</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11.1.2技术规格参数、功能要求偏离表</w:t>
      </w:r>
    </w:p>
    <w:p>
      <w:pPr>
        <w:spacing w:line="460" w:lineRule="exact"/>
        <w:ind w:firstLine="480" w:firstLineChars="200"/>
        <w:rPr>
          <w:rFonts w:ascii="宋体" w:hAnsi="宋体" w:cs="宋体"/>
          <w:bCs/>
          <w:color w:val="0000FF"/>
          <w:sz w:val="24"/>
          <w:szCs w:val="24"/>
        </w:rPr>
      </w:pPr>
      <w:r>
        <w:rPr>
          <w:rFonts w:hint="eastAsia" w:ascii="宋体" w:hAnsi="宋体" w:cs="宋体"/>
          <w:bCs/>
          <w:color w:val="0000FF"/>
          <w:sz w:val="24"/>
          <w:szCs w:val="24"/>
        </w:rPr>
        <w:t>11.1.3商务条款偏离表</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11.2.2 出具法人营业执照函（格式见附件）；</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11.2.3法定代表人投标需《法定代表人证明书》；</w:t>
      </w:r>
    </w:p>
    <w:p>
      <w:pPr>
        <w:spacing w:line="460" w:lineRule="exact"/>
        <w:ind w:firstLine="1200" w:firstLineChars="500"/>
        <w:rPr>
          <w:rFonts w:hint="eastAsia" w:ascii="宋体" w:hAnsi="宋体" w:cs="宋体"/>
          <w:bCs/>
          <w:color w:val="0000FF"/>
          <w:sz w:val="24"/>
          <w:szCs w:val="24"/>
        </w:rPr>
      </w:pPr>
      <w:r>
        <w:rPr>
          <w:rFonts w:hint="eastAsia" w:ascii="宋体" w:hAnsi="宋体" w:cs="宋体"/>
          <w:bCs/>
          <w:color w:val="0000FF"/>
          <w:sz w:val="24"/>
          <w:szCs w:val="24"/>
        </w:rPr>
        <w:t>委托代理人投标需《法定代表人授权委托书》；</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11.2.4投标供应商的依法缴纳税收（近一</w:t>
      </w:r>
      <w:r>
        <w:rPr>
          <w:rFonts w:hint="eastAsia" w:ascii="宋体" w:hAnsi="宋体" w:cs="宋体"/>
          <w:bCs/>
          <w:color w:val="0000FF"/>
          <w:sz w:val="24"/>
          <w:szCs w:val="24"/>
          <w:lang w:val="en-US" w:eastAsia="zh-CN"/>
        </w:rPr>
        <w:t>月</w:t>
      </w:r>
      <w:r>
        <w:rPr>
          <w:rFonts w:hint="eastAsia" w:ascii="宋体" w:hAnsi="宋体" w:cs="宋体"/>
          <w:bCs/>
          <w:color w:val="0000FF"/>
          <w:sz w:val="24"/>
          <w:szCs w:val="24"/>
        </w:rPr>
        <w:t>完税证明，新成立的公司按实际发生提供）</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11.2.5社会保障资金的良好记录（企业连续近3个月的社保）</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（新成立公司按实际发生提供）；</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11.2.6投标单位须提供 2021 年度由第三方财务审计机构出具的财务审计报告；</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11.2.7近三年内，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提供加盖鲜章的复印件（打印时间须在公告发出之日后）。</w:t>
      </w:r>
    </w:p>
    <w:p>
      <w:pPr>
        <w:pStyle w:val="29"/>
        <w:ind w:firstLine="480" w:firstLineChars="200"/>
      </w:pPr>
      <w:r>
        <w:rPr>
          <w:rFonts w:hint="eastAsia" w:hAnsi="宋体"/>
          <w:bCs/>
          <w:color w:val="0000FF"/>
        </w:rPr>
        <w:t>11.2.8具有履行合同所必需的设备和专业技术能力（提供声明函）</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11.3.1质量保证书</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11.3.2售后服务承诺书</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11.4.1投标供应商（供应商）反商业贿赂承诺书</w:t>
      </w:r>
    </w:p>
    <w:p>
      <w:pPr>
        <w:spacing w:line="460" w:lineRule="exact"/>
        <w:ind w:firstLine="480" w:firstLineChars="200"/>
        <w:rPr>
          <w:rFonts w:hint="eastAsia" w:ascii="宋体" w:hAnsi="宋体" w:cs="宋体"/>
          <w:bCs/>
          <w:color w:val="0000FF"/>
          <w:sz w:val="24"/>
          <w:szCs w:val="24"/>
        </w:rPr>
      </w:pPr>
      <w:r>
        <w:rPr>
          <w:rFonts w:hint="eastAsia" w:ascii="宋体" w:hAnsi="宋体" w:cs="宋体"/>
          <w:bCs/>
          <w:color w:val="0000FF"/>
          <w:sz w:val="24"/>
          <w:szCs w:val="24"/>
        </w:rPr>
        <w:t>11.4.2投标保证金缴纳凭证复印件；</w:t>
      </w:r>
    </w:p>
    <w:p>
      <w:pPr>
        <w:spacing w:line="460" w:lineRule="exact"/>
        <w:ind w:firstLine="480" w:firstLineChars="200"/>
        <w:rPr>
          <w:rFonts w:hint="eastAsia" w:ascii="宋体" w:hAnsi="宋体" w:cs="宋体"/>
          <w:bCs/>
          <w:color w:val="000000"/>
          <w:sz w:val="24"/>
          <w:szCs w:val="24"/>
        </w:rPr>
      </w:pPr>
      <w:r>
        <w:rPr>
          <w:rFonts w:hint="eastAsia" w:ascii="宋体" w:hAnsi="宋体" w:cs="宋体"/>
          <w:bCs/>
          <w:color w:val="0000FF"/>
          <w:sz w:val="24"/>
          <w:szCs w:val="24"/>
        </w:rPr>
        <w:t>11.4.3投标人认为有必要提供的声明及文件资料。</w:t>
      </w:r>
    </w:p>
    <w:bookmarkEnd w:id="4"/>
    <w:bookmarkEnd w:id="5"/>
    <w:bookmarkEnd w:id="6"/>
    <w:p>
      <w:pPr>
        <w:widowControl/>
        <w:adjustRightInd w:val="0"/>
        <w:snapToGrid w:val="0"/>
        <w:spacing w:line="360" w:lineRule="auto"/>
        <w:ind w:firstLine="460" w:firstLineChars="192"/>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11.3 </w:t>
      </w:r>
      <w:r>
        <w:rPr>
          <w:rFonts w:hint="eastAsia" w:ascii="宋体" w:hAnsi="宋体" w:cs="宋体"/>
          <w:b/>
          <w:color w:val="000000"/>
          <w:sz w:val="24"/>
          <w:szCs w:val="24"/>
          <w:highlight w:val="none"/>
        </w:rPr>
        <w:t>技术部分：</w:t>
      </w:r>
    </w:p>
    <w:p>
      <w:pPr>
        <w:widowControl/>
        <w:adjustRightInd w:val="0"/>
        <w:snapToGrid w:val="0"/>
        <w:spacing w:line="360" w:lineRule="auto"/>
        <w:ind w:firstLine="460" w:firstLineChars="192"/>
        <w:rPr>
          <w:rFonts w:hint="eastAsia" w:ascii="宋体" w:hAnsi="宋体" w:cs="宋体"/>
          <w:color w:val="000000"/>
          <w:sz w:val="24"/>
          <w:szCs w:val="24"/>
          <w:highlight w:val="none"/>
        </w:rPr>
      </w:pPr>
      <w:r>
        <w:rPr>
          <w:rFonts w:hint="eastAsia" w:ascii="宋体" w:hAnsi="宋体" w:cs="宋体"/>
          <w:color w:val="000000"/>
          <w:sz w:val="24"/>
          <w:szCs w:val="24"/>
          <w:highlight w:val="none"/>
        </w:rPr>
        <w:t>11.3.1 对本次</w:t>
      </w:r>
      <w:r>
        <w:rPr>
          <w:rFonts w:hint="eastAsia" w:ascii="宋体" w:hAnsi="宋体" w:cs="宋体"/>
          <w:color w:val="000000"/>
          <w:sz w:val="24"/>
          <w:szCs w:val="24"/>
          <w:highlight w:val="none"/>
          <w:lang w:val="en-US" w:eastAsia="zh-CN"/>
        </w:rPr>
        <w:t>投标项目的技术方案</w:t>
      </w:r>
      <w:r>
        <w:rPr>
          <w:rFonts w:hint="eastAsia" w:ascii="宋体" w:hAnsi="宋体" w:cs="宋体"/>
          <w:color w:val="000000"/>
          <w:sz w:val="24"/>
          <w:szCs w:val="24"/>
          <w:highlight w:val="none"/>
        </w:rPr>
        <w:t>(投标人视需要自行编写)；</w:t>
      </w:r>
    </w:p>
    <w:p>
      <w:pPr>
        <w:widowControl/>
        <w:adjustRightInd w:val="0"/>
        <w:snapToGrid w:val="0"/>
        <w:spacing w:line="360" w:lineRule="auto"/>
        <w:ind w:firstLine="460" w:firstLineChars="192"/>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 xml:space="preserve">11.3.2 </w:t>
      </w:r>
      <w:r>
        <w:rPr>
          <w:rFonts w:hint="eastAsia" w:ascii="宋体" w:hAnsi="宋体" w:cs="宋体"/>
          <w:color w:val="000000"/>
          <w:sz w:val="24"/>
          <w:szCs w:val="24"/>
          <w:highlight w:val="none"/>
          <w:lang w:val="en-US" w:eastAsia="zh-CN"/>
        </w:rPr>
        <w:t>投标项目的进度及质量控制措施</w:t>
      </w:r>
    </w:p>
    <w:p>
      <w:pPr>
        <w:widowControl/>
        <w:adjustRightInd w:val="0"/>
        <w:snapToGrid w:val="0"/>
        <w:spacing w:line="360" w:lineRule="auto"/>
        <w:ind w:firstLine="460" w:firstLineChars="192"/>
        <w:rPr>
          <w:rFonts w:hint="eastAsia" w:ascii="宋体" w:hAnsi="宋体" w:cs="宋体"/>
          <w:color w:val="000000"/>
          <w:sz w:val="24"/>
          <w:szCs w:val="24"/>
          <w:highlight w:val="none"/>
        </w:rPr>
      </w:pPr>
      <w:r>
        <w:rPr>
          <w:rFonts w:hint="eastAsia" w:ascii="宋体" w:hAnsi="宋体" w:cs="宋体"/>
          <w:color w:val="000000"/>
          <w:sz w:val="24"/>
          <w:szCs w:val="24"/>
          <w:highlight w:val="none"/>
        </w:rPr>
        <w:t>11.3.3 投标服务的</w:t>
      </w:r>
      <w:r>
        <w:rPr>
          <w:rFonts w:hint="eastAsia" w:ascii="宋体" w:hAnsi="宋体" w:cs="宋体"/>
          <w:color w:val="000000"/>
          <w:sz w:val="24"/>
          <w:szCs w:val="24"/>
          <w:highlight w:val="none"/>
          <w:lang w:val="en-US" w:eastAsia="zh-CN"/>
        </w:rPr>
        <w:t>售后服务方案</w:t>
      </w:r>
      <w:r>
        <w:rPr>
          <w:rFonts w:hint="eastAsia" w:ascii="宋体" w:hAnsi="宋体" w:cs="宋体"/>
          <w:color w:val="000000"/>
          <w:sz w:val="24"/>
          <w:szCs w:val="24"/>
          <w:highlight w:val="none"/>
        </w:rPr>
        <w:t>；</w:t>
      </w:r>
    </w:p>
    <w:p>
      <w:pPr>
        <w:widowControl/>
        <w:adjustRightInd w:val="0"/>
        <w:snapToGrid w:val="0"/>
        <w:spacing w:line="360" w:lineRule="auto"/>
        <w:ind w:firstLine="2"/>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11.3.4 </w:t>
      </w:r>
      <w:r>
        <w:rPr>
          <w:rFonts w:hint="eastAsia" w:ascii="宋体" w:hAnsi="宋体" w:cs="宋体"/>
          <w:color w:val="000000"/>
          <w:sz w:val="24"/>
          <w:szCs w:val="24"/>
          <w:highlight w:val="none"/>
          <w:lang w:val="en-US" w:eastAsia="zh-CN"/>
        </w:rPr>
        <w:t>对项目的保密措施</w:t>
      </w:r>
      <w:r>
        <w:rPr>
          <w:rFonts w:hint="eastAsia" w:ascii="宋体" w:hAnsi="宋体" w:cs="宋体"/>
          <w:color w:val="000000"/>
          <w:sz w:val="24"/>
          <w:szCs w:val="24"/>
          <w:highlight w:val="none"/>
        </w:rPr>
        <w:t xml:space="preserve">；    </w:t>
      </w:r>
    </w:p>
    <w:p>
      <w:pPr>
        <w:widowControl/>
        <w:adjustRightInd w:val="0"/>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11.3.5</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技术参数、功能偏离</w:t>
      </w:r>
      <w:r>
        <w:rPr>
          <w:rFonts w:hint="eastAsia" w:ascii="宋体" w:hAnsi="宋体" w:cs="宋体"/>
          <w:color w:val="000000"/>
          <w:sz w:val="24"/>
          <w:szCs w:val="24"/>
          <w:highlight w:val="none"/>
          <w:lang w:val="en-US" w:eastAsia="zh-CN"/>
        </w:rPr>
        <w:t>表</w:t>
      </w:r>
      <w:r>
        <w:rPr>
          <w:rFonts w:hint="eastAsia" w:ascii="宋体" w:hAnsi="宋体" w:cs="宋体"/>
          <w:color w:val="000000"/>
          <w:sz w:val="24"/>
          <w:szCs w:val="24"/>
          <w:highlight w:val="none"/>
        </w:rPr>
        <w:t xml:space="preserve">（格式见附件）； </w:t>
      </w:r>
    </w:p>
    <w:p>
      <w:pPr>
        <w:widowControl/>
        <w:adjustRightInd w:val="0"/>
        <w:snapToGrid w:val="0"/>
        <w:spacing w:line="360" w:lineRule="auto"/>
        <w:ind w:left="1440" w:leftChars="200" w:hanging="960" w:hangingChars="4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11.3.6 人员配置；</w:t>
      </w:r>
    </w:p>
    <w:p>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注：投标文件按统一格式、顺序编写。</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12、投标报价：</w:t>
      </w:r>
    </w:p>
    <w:p>
      <w:pPr>
        <w:adjustRightInd w:val="0"/>
        <w:snapToGrid w:val="0"/>
        <w:spacing w:line="360" w:lineRule="auto"/>
        <w:ind w:firstLine="480" w:firstLineChars="200"/>
        <w:rPr>
          <w:rFonts w:hint="eastAsia" w:ascii="宋体" w:hAnsi="宋体" w:cs="宋体"/>
          <w:color w:val="000000"/>
          <w:sz w:val="24"/>
          <w:szCs w:val="24"/>
        </w:rPr>
      </w:pPr>
      <w:bookmarkStart w:id="7" w:name="OLE_LINK1"/>
      <w:r>
        <w:rPr>
          <w:rFonts w:hint="eastAsia" w:ascii="宋体" w:hAnsi="宋体" w:cs="宋体"/>
          <w:color w:val="000000"/>
          <w:sz w:val="24"/>
          <w:szCs w:val="24"/>
        </w:rPr>
        <w:t>12.1投标单位应在投标的投价表上标明总价。</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（一）投标文件中开标一览表（报价表）内容与投标文件中相应内容不一致的，以开标一览表（报价表）为准；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（二）大写金额和小写金额不一致的，以大写金额为准；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（三）单价金额小数点或者百分比有明显错位的，以开标一览表的总价为准，并修改单价；</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12.4 一项投标内容只允许一个报价，招标人不接受任何有选择性的投标报价。</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12.5投标文件报价中的单价和总价全部采用人民币表示，除非合同的主要条款另有规定。</w:t>
      </w:r>
    </w:p>
    <w:bookmarkEnd w:id="7"/>
    <w:p>
      <w:p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 xml:space="preserve">    13、 投标人应逐条详细阅读采购文件有关要求，表明所提供的服务是否对采购文件做出实质性响应。</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14、投标文件的有效期</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14.1 投标文件从实际开标之</w:t>
      </w:r>
      <w:r>
        <w:rPr>
          <w:rFonts w:hint="eastAsia" w:ascii="宋体" w:hAnsi="宋体" w:cs="宋体"/>
          <w:sz w:val="24"/>
          <w:szCs w:val="24"/>
        </w:rPr>
        <w:t>日起</w:t>
      </w:r>
      <w:r>
        <w:rPr>
          <w:rFonts w:hint="eastAsia" w:ascii="宋体" w:hAnsi="宋体" w:cs="宋体"/>
          <w:b/>
          <w:bCs/>
          <w:sz w:val="24"/>
          <w:szCs w:val="24"/>
          <w:u w:val="single"/>
          <w:lang w:val="en-US" w:eastAsia="zh-CN"/>
        </w:rPr>
        <w:t>90</w:t>
      </w:r>
      <w:r>
        <w:rPr>
          <w:rFonts w:hint="eastAsia" w:ascii="宋体" w:hAnsi="宋体" w:cs="宋体"/>
          <w:sz w:val="24"/>
          <w:szCs w:val="24"/>
        </w:rPr>
        <w:t>天内有</w:t>
      </w:r>
      <w:r>
        <w:rPr>
          <w:rFonts w:hint="eastAsia" w:ascii="宋体" w:hAnsi="宋体" w:cs="宋体"/>
          <w:color w:val="000000"/>
          <w:sz w:val="24"/>
          <w:szCs w:val="24"/>
        </w:rPr>
        <w:t>效。</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14.2 如遇特殊情况，在原投标有效期届满之前，招标人可与投标人协商延长投标文件的有效期，并经投标人确认。</w:t>
      </w:r>
    </w:p>
    <w:p>
      <w:pPr>
        <w:adjustRightInd w:val="0"/>
        <w:snapToGrid w:val="0"/>
        <w:spacing w:line="360" w:lineRule="auto"/>
        <w:ind w:firstLine="482" w:firstLineChars="200"/>
        <w:rPr>
          <w:rFonts w:hint="eastAsia" w:ascii="宋体" w:hAnsi="宋体" w:eastAsia="宋体" w:cs="宋体"/>
          <w:b/>
          <w:color w:val="000000"/>
          <w:sz w:val="24"/>
          <w:szCs w:val="24"/>
          <w:lang w:val="en-US" w:eastAsia="zh-CN"/>
        </w:rPr>
      </w:pPr>
      <w:r>
        <w:rPr>
          <w:rFonts w:hint="eastAsia" w:ascii="宋体" w:hAnsi="宋体" w:cs="宋体"/>
          <w:b/>
          <w:color w:val="000000"/>
          <w:sz w:val="24"/>
          <w:szCs w:val="24"/>
        </w:rPr>
        <w:t>15、投标文件的份数、签署、字体、装订</w:t>
      </w:r>
      <w:r>
        <w:rPr>
          <w:rFonts w:hint="eastAsia" w:ascii="宋体" w:hAnsi="宋体" w:cs="宋体"/>
          <w:b/>
          <w:color w:val="000000"/>
          <w:sz w:val="24"/>
          <w:szCs w:val="24"/>
          <w:lang w:val="en-US" w:eastAsia="zh-CN"/>
        </w:rPr>
        <w:t>0</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15.2 投标文件正本与副本须用不褪色的墨水笔书写或打印。投标文件的书写应清楚工整，修改处应由投标人全权代表签章。</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15.3 投标文件应由企业法人或法人授权代表在凡规定签章处逐一签署及加盖单位公章，同时</w:t>
      </w:r>
      <w:r>
        <w:rPr>
          <w:rFonts w:hint="eastAsia" w:ascii="宋体" w:hAnsi="宋体" w:cs="宋体"/>
          <w:b w:val="0"/>
          <w:bCs/>
          <w:color w:val="000000"/>
          <w:sz w:val="24"/>
          <w:szCs w:val="24"/>
        </w:rPr>
        <w:t>投标文件应逐页加盖单位公章。</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15.4 投标文件一律采用胶装方式进行装订。</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16、投标保证金</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16.1 投标保证金数额</w:t>
      </w:r>
      <w:r>
        <w:rPr>
          <w:rFonts w:hint="eastAsia" w:ascii="宋体" w:hAnsi="宋体" w:cs="宋体"/>
          <w:b/>
          <w:color w:val="000000"/>
          <w:sz w:val="24"/>
          <w:szCs w:val="24"/>
          <w:u w:val="single"/>
        </w:rPr>
        <w:t>详见投标人须知前附表</w:t>
      </w:r>
      <w:r>
        <w:rPr>
          <w:rFonts w:hint="eastAsia" w:ascii="宋体" w:hAnsi="宋体" w:cs="宋体"/>
          <w:color w:val="000000"/>
          <w:sz w:val="24"/>
          <w:szCs w:val="24"/>
        </w:rPr>
        <w:t>。</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16.2 投标保证金用于应对本次招标因投标人违规、违约而产生的风险。</w:t>
      </w:r>
    </w:p>
    <w:p>
      <w:pPr>
        <w:widowControl/>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16.3 投标人必须于投标截止时间之前（</w:t>
      </w:r>
      <w:r>
        <w:rPr>
          <w:rFonts w:hint="eastAsia" w:ascii="宋体" w:hAnsi="宋体" w:cs="宋体"/>
          <w:b/>
          <w:color w:val="000000"/>
          <w:sz w:val="24"/>
          <w:szCs w:val="24"/>
          <w:u w:val="single"/>
        </w:rPr>
        <w:t>详见投标人须知前附表规定）</w:t>
      </w:r>
      <w:r>
        <w:rPr>
          <w:rFonts w:hint="eastAsia" w:ascii="宋体" w:hAnsi="宋体" w:cs="宋体"/>
          <w:color w:val="000000"/>
          <w:sz w:val="24"/>
          <w:szCs w:val="24"/>
        </w:rPr>
        <w:t>按将投标保证金交纳至规定的帐号，对未按要求提交投标保证金的投标文件，招标机构将视为不响应投标予以拒绝。</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16.4 投标保证金应以</w:t>
      </w:r>
      <w:r>
        <w:rPr>
          <w:rFonts w:hint="eastAsia" w:ascii="宋体" w:hAnsi="宋体" w:cs="宋体"/>
          <w:color w:val="000000"/>
          <w:sz w:val="24"/>
          <w:szCs w:val="24"/>
          <w:lang w:val="en-US" w:eastAsia="zh-CN"/>
        </w:rPr>
        <w:t>电汇、转账等方式</w:t>
      </w:r>
      <w:r>
        <w:rPr>
          <w:rFonts w:hint="eastAsia" w:ascii="宋体" w:hAnsi="宋体" w:cs="宋体"/>
          <w:color w:val="000000"/>
          <w:sz w:val="24"/>
          <w:szCs w:val="24"/>
        </w:rPr>
        <w:t>提交。</w:t>
      </w:r>
    </w:p>
    <w:p>
      <w:pPr>
        <w:widowControl/>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16.5《中标通知书》发出一日内，招标方向落标方发出《落标通知书》，并退还投标保证金。中标人的投标保证金自中标之日起自行转为履约保金。</w:t>
      </w:r>
    </w:p>
    <w:p>
      <w:pPr>
        <w:widowControl/>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16.6在招标方规定的投标有效期满之前，招标方将以书面形式 发出《中标通知书》，《中标通知书》一经发出即发生法律效力。</w:t>
      </w:r>
    </w:p>
    <w:p>
      <w:pPr>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16.7 发生以下情况投标保证金可能被没收：</w:t>
      </w:r>
    </w:p>
    <w:p>
      <w:pPr>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16.7.1 投标人在投标有效期内撤回投标的；</w:t>
      </w:r>
    </w:p>
    <w:p>
      <w:pPr>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16.7.2 中标人未能做到：</w:t>
      </w:r>
    </w:p>
    <w:p>
      <w:pPr>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①按本章规定签定合同；</w:t>
      </w:r>
    </w:p>
    <w:p>
      <w:pPr>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②按本章</w:t>
      </w:r>
      <w:r>
        <w:rPr>
          <w:rFonts w:hint="eastAsia" w:ascii="宋体" w:hAnsi="宋体" w:cs="宋体"/>
          <w:color w:val="000000"/>
          <w:sz w:val="24"/>
          <w:szCs w:val="24"/>
          <w:lang w:val="en-US" w:eastAsia="zh-CN"/>
        </w:rPr>
        <w:t>规定</w:t>
      </w:r>
      <w:r>
        <w:rPr>
          <w:rFonts w:hint="eastAsia" w:ascii="宋体" w:hAnsi="宋体" w:cs="宋体"/>
          <w:color w:val="000000"/>
          <w:sz w:val="24"/>
          <w:szCs w:val="24"/>
        </w:rPr>
        <w:t>交付中标服务费。</w:t>
      </w:r>
    </w:p>
    <w:p>
      <w:pPr>
        <w:adjustRightInd w:val="0"/>
        <w:snapToGrid w:val="0"/>
        <w:spacing w:line="360" w:lineRule="auto"/>
        <w:ind w:firstLine="460" w:firstLineChars="192"/>
        <w:rPr>
          <w:rFonts w:hint="eastAsia" w:ascii="宋体" w:hAnsi="宋体" w:cs="宋体"/>
          <w:color w:val="000000"/>
          <w:sz w:val="24"/>
          <w:szCs w:val="24"/>
        </w:rPr>
      </w:pPr>
      <w:r>
        <w:rPr>
          <w:rFonts w:hint="eastAsia" w:ascii="宋体" w:hAnsi="宋体" w:cs="宋体"/>
          <w:color w:val="000000"/>
          <w:sz w:val="24"/>
          <w:szCs w:val="24"/>
        </w:rPr>
        <w:t>16.7.3投标人在投标过程中有违反有关法律法规行为的。</w:t>
      </w:r>
    </w:p>
    <w:p>
      <w:pPr>
        <w:adjustRightInd w:val="0"/>
        <w:snapToGrid w:val="0"/>
        <w:spacing w:line="360" w:lineRule="auto"/>
        <w:jc w:val="center"/>
        <w:rPr>
          <w:rFonts w:hint="eastAsia" w:ascii="宋体" w:hAnsi="宋体" w:cs="宋体"/>
          <w:b/>
          <w:color w:val="000000"/>
          <w:sz w:val="24"/>
          <w:szCs w:val="24"/>
        </w:rPr>
      </w:pPr>
    </w:p>
    <w:p>
      <w:pPr>
        <w:adjustRightInd w:val="0"/>
        <w:snapToGrid w:val="0"/>
        <w:spacing w:line="360" w:lineRule="auto"/>
        <w:jc w:val="center"/>
        <w:rPr>
          <w:rFonts w:hint="eastAsia" w:ascii="宋体" w:hAnsi="宋体" w:cs="宋体"/>
          <w:b/>
          <w:color w:val="000000"/>
          <w:sz w:val="24"/>
          <w:szCs w:val="24"/>
        </w:rPr>
      </w:pPr>
      <w:r>
        <w:rPr>
          <w:rFonts w:hint="eastAsia" w:ascii="宋体" w:hAnsi="宋体" w:cs="宋体"/>
          <w:b/>
          <w:color w:val="000000"/>
          <w:sz w:val="24"/>
          <w:szCs w:val="24"/>
        </w:rPr>
        <w:t>四、投标文件的递交</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17、投标文件的密封与标记</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17.1将投标文件正、副本装入投标文件袋内加以密封，并在密封件的封面上标明投标厂家名称、法定代表人、单位公章、正本或副本，且开启处密封并加盖公章（或合同专用章）。</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17.2正本 1份、副本</w:t>
      </w:r>
      <w:r>
        <w:rPr>
          <w:rFonts w:hint="eastAsia" w:ascii="宋体" w:hAnsi="宋体" w:cs="宋体"/>
          <w:color w:val="000000"/>
          <w:sz w:val="24"/>
          <w:szCs w:val="24"/>
          <w:lang w:val="en-US" w:eastAsia="zh-CN"/>
        </w:rPr>
        <w:t>2</w:t>
      </w:r>
      <w:r>
        <w:rPr>
          <w:rFonts w:hint="eastAsia" w:ascii="宋体" w:hAnsi="宋体" w:cs="宋体"/>
          <w:color w:val="000000"/>
          <w:sz w:val="24"/>
          <w:szCs w:val="24"/>
        </w:rPr>
        <w:t>份，开标一览表及投标文件电子版（U盘）各1份且密封，投标文件一律采用胶装不得有掉页、漏页等现象，否则作否决投标处理。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17.3所有投标文件信袋及包装物上均应贴上封条，封条上应注明以下内容：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（1）招标单位；</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（2）项目名称；</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（3）项目编号；</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（4）投标企业名称和地址；</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（5）联系人、联系电话；</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）法定代表人签字并盖章；</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（7）“年月日时 分开标前不准启封”；</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17.4未按本须知要求密封、标记和递交的投标文件，后果自负。</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18、投标文件递交的截止日期</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18.1投标人必须按“投标人须知前附表”中规定的投标截止时间将投标文件送达</w:t>
      </w:r>
      <w:r>
        <w:rPr>
          <w:rFonts w:hint="eastAsia" w:ascii="宋体" w:hAnsi="宋体" w:cs="宋体"/>
          <w:b/>
          <w:color w:val="000000"/>
          <w:sz w:val="24"/>
          <w:szCs w:val="24"/>
          <w:u w:val="single"/>
        </w:rPr>
        <w:t xml:space="preserve"> 开标地点 </w:t>
      </w:r>
      <w:r>
        <w:rPr>
          <w:rFonts w:hint="eastAsia" w:ascii="宋体" w:hAnsi="宋体" w:cs="宋体"/>
          <w:color w:val="000000"/>
          <w:sz w:val="24"/>
          <w:szCs w:val="24"/>
        </w:rPr>
        <w:t>。</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18.2超过采购文件规定的投标截止时间送达或邮寄的投标文件将不予接受。</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19、投标文件的修改和撤消</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19.1 投标人可以在递交投标文件后，在规定的投标截止时间前，以书面形式向招标人递交通知修改或撤回其投标文件。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19.2 投标人对投标文件的修改或撤消应按本章第18和19条规定进行准备、密封、标注和递交。</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19.3 投标截止时间后不得修改投标文件。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19.4投标人不得在投标截止时间起至投标文件有效期满前撤消投标文件，否则招标机构将没收其投标保证金。作为对招标代理机构和招标人的违约赔偿金。</w:t>
      </w:r>
    </w:p>
    <w:p>
      <w:pPr>
        <w:adjustRightInd w:val="0"/>
        <w:snapToGrid w:val="0"/>
        <w:spacing w:line="360" w:lineRule="auto"/>
        <w:jc w:val="center"/>
        <w:rPr>
          <w:rFonts w:hint="eastAsia" w:ascii="宋体" w:hAnsi="宋体" w:cs="宋体"/>
          <w:b/>
          <w:color w:val="000000"/>
          <w:sz w:val="24"/>
          <w:szCs w:val="24"/>
        </w:rPr>
      </w:pPr>
    </w:p>
    <w:p>
      <w:pPr>
        <w:adjustRightInd w:val="0"/>
        <w:snapToGrid w:val="0"/>
        <w:spacing w:line="360" w:lineRule="auto"/>
        <w:jc w:val="center"/>
        <w:rPr>
          <w:rFonts w:hint="eastAsia" w:ascii="宋体" w:hAnsi="宋体" w:cs="宋体"/>
          <w:b/>
          <w:color w:val="000000"/>
          <w:sz w:val="24"/>
          <w:szCs w:val="24"/>
        </w:rPr>
      </w:pPr>
      <w:r>
        <w:rPr>
          <w:rFonts w:hint="eastAsia" w:ascii="宋体" w:hAnsi="宋体" w:cs="宋体"/>
          <w:b/>
          <w:color w:val="000000"/>
          <w:sz w:val="24"/>
          <w:szCs w:val="24"/>
        </w:rPr>
        <w:t>五、开    标</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20、开标</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20.1 招标代理机构按“投标人须知前附表”规定的时间和地点开标，届时请监督人和投标方代表参加并签到。</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20.3 有效证件</w:t>
      </w:r>
    </w:p>
    <w:p>
      <w:pPr>
        <w:adjustRightInd w:val="0"/>
        <w:snapToGrid w:val="0"/>
        <w:spacing w:line="360" w:lineRule="auto"/>
        <w:rPr>
          <w:rFonts w:hint="eastAsia" w:ascii="宋体" w:hAnsi="宋体" w:cs="宋体"/>
          <w:b w:val="0"/>
          <w:bCs/>
          <w:color w:val="191919"/>
          <w:sz w:val="24"/>
          <w:szCs w:val="24"/>
          <w:shd w:val="clear" w:color="auto" w:fill="FFFFFF"/>
          <w:lang w:val="en-US" w:eastAsia="zh-CN"/>
        </w:rPr>
      </w:pPr>
      <w:r>
        <w:rPr>
          <w:rFonts w:hint="eastAsia" w:ascii="宋体" w:hAnsi="宋体" w:cs="宋体"/>
          <w:b/>
          <w:color w:val="000000"/>
          <w:sz w:val="24"/>
          <w:szCs w:val="24"/>
        </w:rPr>
        <w:t>开标时，请各投标人随身携带以下有效证件原件以备查验：</w:t>
      </w:r>
      <w:r>
        <w:rPr>
          <w:rFonts w:hint="eastAsia" w:ascii="宋体" w:hAnsi="宋体" w:cs="宋体"/>
          <w:b w:val="0"/>
          <w:bCs/>
          <w:color w:val="191919"/>
          <w:sz w:val="24"/>
          <w:szCs w:val="24"/>
          <w:shd w:val="clear" w:color="auto" w:fill="FFFFFF"/>
          <w:lang w:val="en-US" w:eastAsia="zh-CN"/>
        </w:rPr>
        <w:t xml:space="preserve"> </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 xml:space="preserve">（1）具有经年审合格的三证合一营业执照原件； </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 xml:space="preserve">（2）提供 2021 年度由第三方财务审计机构出具的财务审计报告； </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 xml:space="preserve">（3）提供 2023 年税务机关出具近一个月填报日期的完税证明； </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 xml:space="preserve">（4）法人应携带《法定代表人身份证明书》原件及身份证原件，委托代理人应携带《法定代表人授权委托书》原件及身份证原件； </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 xml:space="preserve">（5）提供本单位法人及委托人缴纳的近3个月社保缴纳证明； </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（6）投标保证金收据；</w:t>
      </w:r>
    </w:p>
    <w:p>
      <w:pPr>
        <w:keepNext w:val="0"/>
        <w:keepLines w:val="0"/>
        <w:suppressLineNumbers w:val="0"/>
        <w:spacing w:before="0" w:beforeAutospacing="0" w:after="0" w:afterAutospacing="0" w:line="400" w:lineRule="exact"/>
        <w:ind w:right="0"/>
        <w:rPr>
          <w:rFonts w:hint="eastAsia" w:ascii="宋体" w:hAnsi="宋体" w:cs="宋体"/>
          <w:b w:val="0"/>
          <w:bCs/>
          <w:color w:val="191919"/>
          <w:sz w:val="24"/>
          <w:szCs w:val="24"/>
          <w:shd w:val="clear" w:color="auto" w:fill="FFFFFF"/>
          <w:lang w:val="en-US" w:eastAsia="zh-CN"/>
        </w:rPr>
      </w:pPr>
    </w:p>
    <w:p>
      <w:pPr>
        <w:numPr>
          <w:ilvl w:val="0"/>
          <w:numId w:val="0"/>
        </w:numPr>
        <w:adjustRightInd w:val="0"/>
        <w:snapToGrid w:val="0"/>
        <w:spacing w:line="360" w:lineRule="auto"/>
        <w:ind w:left="1" w:leftChars="0"/>
        <w:jc w:val="center"/>
        <w:rPr>
          <w:rFonts w:hint="eastAsia" w:ascii="宋体" w:hAnsi="宋体" w:cs="宋体"/>
          <w:b w:val="0"/>
          <w:bCs/>
          <w:color w:val="191919"/>
          <w:sz w:val="24"/>
          <w:szCs w:val="24"/>
          <w:shd w:val="clear" w:color="auto" w:fill="FFFFFF"/>
          <w:lang w:val="en-US" w:eastAsia="zh-CN"/>
        </w:rPr>
      </w:pPr>
      <w:r>
        <w:rPr>
          <w:rFonts w:hint="eastAsia" w:ascii="宋体" w:hAnsi="宋体" w:cs="宋体"/>
          <w:b w:val="0"/>
          <w:bCs/>
          <w:color w:val="191919"/>
          <w:sz w:val="24"/>
          <w:szCs w:val="24"/>
          <w:shd w:val="clear" w:color="auto" w:fill="FFFFFF"/>
          <w:lang w:val="en-US" w:eastAsia="zh-CN"/>
        </w:rPr>
        <w:t>开标时交现场监督人员查验。如不按招标文件要求递交的均视为无效处理。</w:t>
      </w:r>
    </w:p>
    <w:p>
      <w:pPr>
        <w:numPr>
          <w:ilvl w:val="0"/>
          <w:numId w:val="0"/>
        </w:numPr>
        <w:adjustRightInd w:val="0"/>
        <w:snapToGrid w:val="0"/>
        <w:spacing w:line="360" w:lineRule="auto"/>
        <w:ind w:left="1" w:leftChars="0"/>
        <w:jc w:val="center"/>
        <w:rPr>
          <w:rFonts w:hint="eastAsia" w:ascii="宋体" w:hAnsi="宋体" w:cs="宋体"/>
          <w:b/>
          <w:color w:val="000000"/>
          <w:sz w:val="24"/>
          <w:szCs w:val="24"/>
        </w:rPr>
      </w:pPr>
      <w:r>
        <w:rPr>
          <w:rFonts w:hint="eastAsia" w:ascii="宋体" w:hAnsi="宋体" w:cs="宋体"/>
          <w:b/>
          <w:color w:val="000000"/>
          <w:sz w:val="24"/>
          <w:szCs w:val="24"/>
        </w:rPr>
        <w:t>六、评标、定标</w:t>
      </w:r>
    </w:p>
    <w:p>
      <w:pPr>
        <w:adjustRightInd w:val="0"/>
        <w:snapToGrid w:val="0"/>
        <w:spacing w:line="360" w:lineRule="auto"/>
        <w:ind w:firstLine="472" w:firstLineChars="196"/>
        <w:rPr>
          <w:rFonts w:hint="eastAsia" w:ascii="宋体" w:hAnsi="宋体" w:cs="宋体"/>
          <w:b/>
          <w:color w:val="000000"/>
          <w:sz w:val="24"/>
          <w:szCs w:val="24"/>
        </w:rPr>
      </w:pPr>
      <w:r>
        <w:rPr>
          <w:rFonts w:hint="eastAsia" w:ascii="宋体" w:hAnsi="宋体" w:cs="宋体"/>
          <w:b/>
          <w:color w:val="000000"/>
          <w:sz w:val="24"/>
          <w:szCs w:val="24"/>
        </w:rPr>
        <w:t>21、评标</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21.1  </w:t>
      </w:r>
      <w:r>
        <w:rPr>
          <w:rFonts w:hint="eastAsia" w:ascii="宋体" w:hAnsi="宋体" w:cs="宋体"/>
          <w:b/>
          <w:color w:val="000000"/>
          <w:sz w:val="24"/>
          <w:szCs w:val="24"/>
        </w:rPr>
        <w:t xml:space="preserve">评标委员会或评标小组 </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21.1.3 评标委员会或评标小组负责具体的评标事务，并独立履行以下职责：</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21.1.3.1 审查投标文件是否符合采购文件的要求，并作出评价；</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21.1.3.2 可以要求投标供应商对投标文件有关事项作出解释或澄清；</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21.1.3.3 推荐中标候选供应商名单，或者受招标人委托按照事先确定的办法直接确定中标人；</w:t>
      </w:r>
    </w:p>
    <w:p>
      <w:pPr>
        <w:adjustRightInd w:val="0"/>
        <w:snapToGrid w:val="0"/>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21.1.3.4 向招标单位或者有关部门报告非法干预评标工作的行为。</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21.1.4 评标委员会成员应当履行下列义务：</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21.1.4.1 遵纪守法，客观、公正、廉洁地履行职责；</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21.1.4.2 按照采购文件规定的评标办法和评标标准进行评标，对评审意见承担个人责任；</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21.1.4.3 对评标过程和结果，以及投标人的商业秘密保密；</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21.1.4.4 参与评标报告的起草；</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21.1.4.5 配合财政部门的投诉处理工作；</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21.1.4.6 配合招标单位答复投标供应商提出的质疑。</w:t>
      </w:r>
    </w:p>
    <w:p>
      <w:pPr>
        <w:adjustRightInd w:val="0"/>
        <w:snapToGrid w:val="0"/>
        <w:spacing w:line="360" w:lineRule="auto"/>
        <w:rPr>
          <w:rFonts w:hint="eastAsia" w:ascii="宋体" w:hAnsi="宋体" w:cs="宋体"/>
          <w:b/>
          <w:color w:val="000000"/>
          <w:sz w:val="24"/>
          <w:szCs w:val="24"/>
        </w:rPr>
      </w:pPr>
      <w:r>
        <w:rPr>
          <w:rFonts w:hint="eastAsia" w:ascii="宋体" w:hAnsi="宋体" w:cs="宋体"/>
          <w:color w:val="000000"/>
          <w:sz w:val="24"/>
          <w:szCs w:val="24"/>
        </w:rPr>
        <w:t xml:space="preserve">    21.2按国家计委等七部委颁发的《评标委员会和评标方法暂行规定》，结合本工程特点，</w:t>
      </w:r>
      <w:r>
        <w:rPr>
          <w:rFonts w:hint="eastAsia" w:ascii="宋体" w:hAnsi="宋体" w:cs="宋体"/>
          <w:b/>
          <w:color w:val="000000"/>
          <w:sz w:val="24"/>
          <w:szCs w:val="24"/>
        </w:rPr>
        <w:t>本项目采用综合评分法，最低报价不是中标的唯一条件</w:t>
      </w:r>
      <w:r>
        <w:rPr>
          <w:rFonts w:hint="eastAsia" w:ascii="宋体" w:hAnsi="宋体" w:cs="宋体"/>
          <w:sz w:val="24"/>
          <w:szCs w:val="24"/>
        </w:rPr>
        <w:t>，</w:t>
      </w:r>
      <w:r>
        <w:rPr>
          <w:rFonts w:hint="eastAsia" w:ascii="宋体" w:hAnsi="宋体" w:cs="宋体"/>
          <w:b/>
          <w:color w:val="000000"/>
          <w:sz w:val="24"/>
          <w:szCs w:val="24"/>
        </w:rPr>
        <w:t>综合评分因素的主要因素为价格、技术、财务状况、信誉、业绩、服务以及对采购文件的响应程度等。每一投标人的最终得分为所有评委评分的算数平均值。</w:t>
      </w:r>
      <w:r>
        <w:rPr>
          <w:rFonts w:hint="eastAsia" w:ascii="宋体" w:hAnsi="宋体" w:cs="宋体"/>
          <w:b/>
          <w:bCs w:val="0"/>
          <w:color w:val="FF0000"/>
          <w:sz w:val="24"/>
          <w:szCs w:val="24"/>
        </w:rPr>
        <w:t>（总分100分：其中商务部分和技术部分占</w:t>
      </w:r>
      <w:r>
        <w:rPr>
          <w:rFonts w:hint="eastAsia" w:ascii="宋体" w:hAnsi="宋体" w:cs="宋体"/>
          <w:b/>
          <w:bCs w:val="0"/>
          <w:color w:val="FF0000"/>
          <w:sz w:val="24"/>
          <w:szCs w:val="24"/>
          <w:lang w:val="en-US" w:eastAsia="zh-CN"/>
        </w:rPr>
        <w:t>70</w:t>
      </w:r>
      <w:r>
        <w:rPr>
          <w:rFonts w:hint="eastAsia" w:ascii="宋体" w:hAnsi="宋体" w:cs="宋体"/>
          <w:b/>
          <w:bCs w:val="0"/>
          <w:color w:val="FF0000"/>
          <w:sz w:val="24"/>
          <w:szCs w:val="24"/>
        </w:rPr>
        <w:t>分，投标报价占</w:t>
      </w:r>
      <w:r>
        <w:rPr>
          <w:rFonts w:hint="eastAsia" w:ascii="宋体" w:hAnsi="宋体" w:cs="宋体"/>
          <w:b/>
          <w:bCs w:val="0"/>
          <w:color w:val="FF0000"/>
          <w:sz w:val="24"/>
          <w:szCs w:val="24"/>
          <w:lang w:val="en-US" w:eastAsia="zh-CN"/>
        </w:rPr>
        <w:t>30</w:t>
      </w:r>
      <w:r>
        <w:rPr>
          <w:rFonts w:hint="eastAsia" w:ascii="宋体" w:hAnsi="宋体" w:cs="宋体"/>
          <w:b/>
          <w:bCs w:val="0"/>
          <w:color w:val="FF0000"/>
          <w:sz w:val="24"/>
          <w:szCs w:val="24"/>
        </w:rPr>
        <w:t>分）</w:t>
      </w:r>
      <w:r>
        <w:rPr>
          <w:rFonts w:hint="eastAsia" w:ascii="宋体" w:hAnsi="宋体" w:cs="宋体"/>
          <w:b/>
          <w:bCs w:val="0"/>
          <w:color w:val="auto"/>
          <w:sz w:val="24"/>
          <w:szCs w:val="24"/>
        </w:rPr>
        <w:t>，</w:t>
      </w:r>
      <w:r>
        <w:rPr>
          <w:rFonts w:hint="eastAsia" w:ascii="宋体" w:hAnsi="宋体" w:cs="宋体"/>
          <w:b/>
          <w:color w:val="000000"/>
          <w:sz w:val="24"/>
          <w:szCs w:val="24"/>
        </w:rPr>
        <w:t>最终合计得分最高的投标人作为第一中标候选人，以此类推确定第二、第三中标候选人。</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21.3 评标的依据为采购文件和投标文件。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21.5 投标人在评标过程中所进行的力图影响评标结果、有悖于招标规则的活动，可能导致取消其中标资格。</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21.6 与采购文件有重大偏离的投标文件将被拒绝。且此重大偏离在开标后不许修改。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21.7 按国家计委等七部委颁发的《评标委员会和评标办法暂行规定</w:t>
      </w:r>
      <w:r>
        <w:rPr>
          <w:rFonts w:hint="eastAsia" w:ascii="宋体" w:hAnsi="宋体" w:cs="宋体"/>
          <w:sz w:val="24"/>
          <w:szCs w:val="24"/>
        </w:rPr>
        <w:t>》及政府采购货物和服务招标投标管理办法（财政部令第87号）以下为</w:t>
      </w:r>
      <w:r>
        <w:rPr>
          <w:rFonts w:hint="eastAsia" w:ascii="宋体" w:hAnsi="宋体" w:cs="宋体"/>
          <w:b/>
          <w:bCs/>
          <w:sz w:val="24"/>
          <w:szCs w:val="24"/>
        </w:rPr>
        <w:t>重大偏离：</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（一）投标保证金的缴纳主体与投标人不一致的，没有按照采购文件要求提供投标担保，或者所提供的投标担保有瑕疵的；</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（二）投标文件没有投标人法定代表人或其授权代表签字（章）和加盖投标单位公章的；</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（三）投标文件记载的招标项目完成期限超过采购文件规定的完成期限；</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（四）不具备采购文件中规定的资格要求的；</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（五）明显不符合技术规格和技术标准的要求；</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（六）投标附有招标人不能接受的条件；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（七）不符合采购文件中规定的其他实质性要求；</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（八）投标报价不符合采购文件规定的要求。</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投标文件有上述情形之一的，视为非实质性响应招标，并按规定作废标处理。采购文件对重大偏差另有规定的，从其规定。</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评标委员会应当审查每一投标文件是否对采购文件提出的所有实质性要求和条件作出响应。未能在实质上响应招标的投标，将作废标处理。</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22、对投标文件的初步审查</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22.1 评标委员会审查投标文件是否符合招标文件的基本要求：内容是否完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整、资格证明文件是否合格、文件签署是否齐全、有无计算错误等。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22.2 评标委员会审查投标文件是否实质上响应招标文件的要求。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1）实质上响应的投标是指与招标文件上的条款、条件和规格相符，没有重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大偏离或保留，否则将视为无效投标。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2）重大偏离或保留系指投标货物的质量、数量和交付日期等明显不能满足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招标文件的要求，或者实质上与招标文件不一致，纠正这些偏离或保留将对其他实质上响应要求的投标人的竞争地位产生不公正的影响。包括但不限于：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A、招标文件“投标文件格式”的证明文件不全或无效的；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B、投标文件未按招标文件的规定签章的；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C、未按投标文件份数要求提交投标文件的；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D、招标文件任意一款不满足要求的；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E、报价超过项目预算或经评标委员会认定低于成本的；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F、投标有效期不足的；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G、不符合招标文件中有关分包规定的；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H、有串通投标或弄虚作假或有其他违法行为的；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22.3 投标文件的细微偏差是指在实质上响应招标文件要求，但在个别地方存 在漏项或者提供了不完整的技术信息和数据等情况，并且补正这些遗漏或者不完 整，不会对其他投标人造成不公正的结果。细微偏差不影响投标文件的有效性。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22.4 初步评审中，对明显的文字和计算错误按下述原则处理，若出现相互矛 盾之处，应以排列在先的原则为准优先处理：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1）投标文件中的开标一览表与明细表内容不一致的，以开标一览表为准。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2）如果以文字表示的数据与数字表示的有差别，以文字为准修正数字。如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果大写金额和小写金额不一致的，以大写金额为准；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3）如果单价乘以数量不等于总价，以单价为准修正总价，但单价金额小数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点有明显错位的，应以总价为准，并修改单价。如果明细价格相加不等于汇总价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格，以明细价格为准。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4）调整后的数据对投标人具有约束力，投标人不同意以上修正，其投标将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被拒绝。 </w:t>
      </w:r>
    </w:p>
    <w:p>
      <w:pPr>
        <w:adjustRightInd w:val="0"/>
        <w:snapToGrid w:val="0"/>
        <w:spacing w:line="360" w:lineRule="auto"/>
        <w:ind w:firstLine="480" w:firstLineChars="200"/>
        <w:rPr>
          <w:rFonts w:hint="eastAsia"/>
        </w:rPr>
      </w:pPr>
      <w:r>
        <w:rPr>
          <w:rFonts w:hint="eastAsia" w:ascii="宋体" w:hAnsi="宋体" w:cs="宋体"/>
          <w:color w:val="000000"/>
          <w:sz w:val="24"/>
          <w:szCs w:val="24"/>
          <w:lang w:val="en-US" w:eastAsia="zh-CN"/>
        </w:rPr>
        <w:t>22.5 评标委员会对投标文件的判定，只依据投标文件内容本身，不依据其他外来证明</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23、投标文件的澄清</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23.1 评标委员会在评标过程中有权随时请投标人就投标文件中含混之处加以澄清或答疑。</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23.2 投标人对要求澄清的问题应以书面形式明确答复，并应有法人授权代表的签署。</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23.3 投标人的澄清文件是投标文件的组成部分，并取代投标文件中被澄清的部分。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23.4 投标文件的澄清不得改变投标的实质内容。</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23.5如果投标人在投标文件中未对采购文件中的条款或参数要求提出偏离意见或澄清将视同投标人同意采购文件的全部或部分要求。</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24、定标</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24.1 评标委员会有权选择和拒绝投标人中标，且无需向投标人进行任何有关评标的解释工作。</w:t>
      </w:r>
    </w:p>
    <w:p>
      <w:pPr>
        <w:pStyle w:val="25"/>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color w:val="000000"/>
          <w:sz w:val="24"/>
          <w:szCs w:val="24"/>
        </w:rPr>
        <w:t>24.2 评标委员会通过上述评标方法以</w:t>
      </w:r>
      <w:r>
        <w:rPr>
          <w:rFonts w:hint="eastAsia" w:ascii="宋体" w:hAnsi="宋体" w:cs="宋体"/>
          <w:b/>
          <w:color w:val="000000"/>
          <w:sz w:val="24"/>
          <w:szCs w:val="24"/>
        </w:rPr>
        <w:t>最终合计得分最高的投标人作为第一中标候选人，以此类推确定第二、第三中标候选人。</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25、中标的标准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25.1 资格审查文件完整无缺；</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25.2 已交纳投标保证金；</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25.3 报价合理，承诺条件优惠；</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25.4 投标文件与采购文件无重大偏离；</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25.5 有较强的技术力量，能提供完善的技术服务，有较好的行业业绩；</w:t>
      </w:r>
    </w:p>
    <w:p>
      <w:pPr>
        <w:adjustRightInd w:val="0"/>
        <w:snapToGrid w:val="0"/>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 xml:space="preserve">25.6 </w:t>
      </w:r>
      <w:r>
        <w:rPr>
          <w:rFonts w:hint="eastAsia" w:ascii="宋体" w:hAnsi="宋体" w:cs="宋体"/>
          <w:color w:val="000000"/>
          <w:sz w:val="24"/>
          <w:szCs w:val="24"/>
          <w:lang w:val="en-US" w:eastAsia="zh-CN"/>
        </w:rPr>
        <w:t>按招标人要求中标单位必须派研发人员驻场至少一年</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2</w:t>
      </w:r>
      <w:r>
        <w:rPr>
          <w:rFonts w:hint="eastAsia" w:ascii="宋体" w:hAnsi="宋体" w:cs="宋体"/>
          <w:color w:val="000000"/>
          <w:sz w:val="24"/>
          <w:szCs w:val="24"/>
          <w:lang w:val="en-US" w:eastAsia="zh-CN"/>
        </w:rPr>
        <w:t>6</w:t>
      </w:r>
      <w:r>
        <w:rPr>
          <w:rFonts w:hint="default" w:ascii="宋体" w:hAnsi="宋体" w:cs="宋体"/>
          <w:color w:val="000000"/>
          <w:sz w:val="24"/>
          <w:szCs w:val="24"/>
          <w:lang w:val="en-US" w:eastAsia="zh-CN"/>
        </w:rPr>
        <w:t>.</w:t>
      </w:r>
      <w:r>
        <w:rPr>
          <w:rFonts w:hint="eastAsia" w:ascii="宋体" w:hAnsi="宋体" w:cs="宋体"/>
          <w:b/>
          <w:bCs/>
          <w:color w:val="000000"/>
          <w:sz w:val="24"/>
          <w:szCs w:val="24"/>
          <w:lang w:val="en-US" w:eastAsia="zh-CN"/>
        </w:rPr>
        <w:t xml:space="preserve">采购项目废标 </w:t>
      </w:r>
    </w:p>
    <w:p>
      <w:pPr>
        <w:adjustRightInd w:val="0"/>
        <w:snapToGrid w:val="0"/>
        <w:spacing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2</w:t>
      </w:r>
      <w:r>
        <w:rPr>
          <w:rFonts w:hint="eastAsia" w:ascii="宋体" w:hAnsi="宋体" w:cs="宋体"/>
          <w:color w:val="000000"/>
          <w:sz w:val="24"/>
          <w:szCs w:val="24"/>
          <w:lang w:val="en-US" w:eastAsia="zh-CN"/>
        </w:rPr>
        <w:t>6</w:t>
      </w:r>
      <w:r>
        <w:rPr>
          <w:rFonts w:hint="default" w:ascii="宋体" w:hAnsi="宋体" w:cs="宋体"/>
          <w:color w:val="000000"/>
          <w:sz w:val="24"/>
          <w:szCs w:val="24"/>
          <w:lang w:val="en-US" w:eastAsia="zh-CN"/>
        </w:rPr>
        <w:t xml:space="preserve">.1 </w:t>
      </w:r>
      <w:r>
        <w:rPr>
          <w:rFonts w:hint="eastAsia" w:ascii="宋体" w:hAnsi="宋体" w:cs="宋体"/>
          <w:color w:val="000000"/>
          <w:sz w:val="24"/>
          <w:szCs w:val="24"/>
          <w:lang w:val="en-US" w:eastAsia="zh-CN"/>
        </w:rPr>
        <w:t xml:space="preserve">在评标过程中，评标委员会发现有下列情形之一的，应对采购项目予以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废标： </w:t>
      </w:r>
    </w:p>
    <w:p>
      <w:pPr>
        <w:adjustRightInd w:val="0"/>
        <w:snapToGrid w:val="0"/>
        <w:spacing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1</w:t>
      </w:r>
      <w:r>
        <w:rPr>
          <w:rFonts w:hint="eastAsia" w:ascii="宋体" w:hAnsi="宋体" w:cs="宋体"/>
          <w:color w:val="000000"/>
          <w:sz w:val="24"/>
          <w:szCs w:val="24"/>
          <w:lang w:val="en-US" w:eastAsia="zh-CN"/>
        </w:rPr>
        <w:t xml:space="preserve">）符合专业条件的供应商或者对招标文件作实质响应的供应商数量不足，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导致进入详细评审、打分阶段的供应商不足 </w:t>
      </w:r>
      <w:r>
        <w:rPr>
          <w:rFonts w:hint="default" w:ascii="宋体" w:hAnsi="宋体" w:cs="宋体"/>
          <w:color w:val="000000"/>
          <w:sz w:val="24"/>
          <w:szCs w:val="24"/>
          <w:lang w:val="en-US" w:eastAsia="zh-CN"/>
        </w:rPr>
        <w:t xml:space="preserve">3 </w:t>
      </w:r>
      <w:r>
        <w:rPr>
          <w:rFonts w:hint="eastAsia" w:ascii="宋体" w:hAnsi="宋体" w:cs="宋体"/>
          <w:color w:val="000000"/>
          <w:sz w:val="24"/>
          <w:szCs w:val="24"/>
          <w:lang w:val="en-US" w:eastAsia="zh-CN"/>
        </w:rPr>
        <w:t xml:space="preserve">家的； </w:t>
      </w:r>
    </w:p>
    <w:p>
      <w:pPr>
        <w:adjustRightInd w:val="0"/>
        <w:snapToGrid w:val="0"/>
        <w:spacing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2</w:t>
      </w:r>
      <w:r>
        <w:rPr>
          <w:rFonts w:hint="eastAsia" w:ascii="宋体" w:hAnsi="宋体" w:cs="宋体"/>
          <w:color w:val="000000"/>
          <w:sz w:val="24"/>
          <w:szCs w:val="24"/>
          <w:lang w:val="en-US" w:eastAsia="zh-CN"/>
        </w:rPr>
        <w:t xml:space="preserve">）投标人的报价均超过了采购预算； </w:t>
      </w:r>
    </w:p>
    <w:p>
      <w:pPr>
        <w:adjustRightInd w:val="0"/>
        <w:snapToGrid w:val="0"/>
        <w:spacing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3</w:t>
      </w:r>
      <w:r>
        <w:rPr>
          <w:rFonts w:hint="eastAsia" w:ascii="宋体" w:hAnsi="宋体" w:cs="宋体"/>
          <w:color w:val="000000"/>
          <w:sz w:val="24"/>
          <w:szCs w:val="24"/>
          <w:lang w:val="en-US" w:eastAsia="zh-CN"/>
        </w:rPr>
        <w:t xml:space="preserve">）出现影响采购公正的违法、违规行为的； </w:t>
      </w:r>
    </w:p>
    <w:p>
      <w:pPr>
        <w:adjustRightInd w:val="0"/>
        <w:snapToGrid w:val="0"/>
        <w:spacing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4</w:t>
      </w:r>
      <w:r>
        <w:rPr>
          <w:rFonts w:hint="eastAsia" w:ascii="宋体" w:hAnsi="宋体" w:cs="宋体"/>
          <w:color w:val="000000"/>
          <w:sz w:val="24"/>
          <w:szCs w:val="24"/>
          <w:lang w:val="en-US" w:eastAsia="zh-CN"/>
        </w:rPr>
        <w:t xml:space="preserve">）因重大变故，采购任务取消的。 </w:t>
      </w:r>
    </w:p>
    <w:p>
      <w:pPr>
        <w:adjustRightInd w:val="0"/>
        <w:snapToGrid w:val="0"/>
        <w:spacing w:line="360" w:lineRule="auto"/>
        <w:ind w:firstLine="480" w:firstLineChars="200"/>
        <w:rPr>
          <w:rFonts w:hint="eastAsia" w:ascii="宋体" w:hAnsi="宋体" w:cs="宋体"/>
          <w:color w:val="000000"/>
          <w:sz w:val="24"/>
          <w:szCs w:val="24"/>
        </w:rPr>
      </w:pPr>
      <w:r>
        <w:rPr>
          <w:rFonts w:hint="default" w:ascii="宋体" w:hAnsi="宋体" w:cs="宋体"/>
          <w:color w:val="000000"/>
          <w:sz w:val="24"/>
          <w:szCs w:val="24"/>
          <w:lang w:val="en-US" w:eastAsia="zh-CN"/>
        </w:rPr>
        <w:t>2</w:t>
      </w:r>
      <w:r>
        <w:rPr>
          <w:rFonts w:hint="eastAsia" w:ascii="宋体" w:hAnsi="宋体" w:cs="宋体"/>
          <w:color w:val="000000"/>
          <w:sz w:val="24"/>
          <w:szCs w:val="24"/>
          <w:lang w:val="en-US" w:eastAsia="zh-CN"/>
        </w:rPr>
        <w:t>6</w:t>
      </w:r>
      <w:r>
        <w:rPr>
          <w:rFonts w:hint="default" w:ascii="宋体" w:hAnsi="宋体" w:cs="宋体"/>
          <w:color w:val="000000"/>
          <w:sz w:val="24"/>
          <w:szCs w:val="24"/>
          <w:lang w:val="en-US" w:eastAsia="zh-CN"/>
        </w:rPr>
        <w:t xml:space="preserve">.2 </w:t>
      </w:r>
      <w:r>
        <w:rPr>
          <w:rFonts w:hint="eastAsia" w:ascii="宋体" w:hAnsi="宋体" w:cs="宋体"/>
          <w:color w:val="000000"/>
          <w:sz w:val="24"/>
          <w:szCs w:val="24"/>
          <w:lang w:val="en-US" w:eastAsia="zh-CN"/>
        </w:rPr>
        <w:t xml:space="preserve">投标人存在下列情况之一的投标无效；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（一）未按照招标文件的规定提交投标保证金的；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（二）投标文件未按招标文件要求签署、盖章的；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（三）不具备招标文件中规定的资格要求的；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（四）报价超过招标文件中规定的预算金额或者最高限价的； </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（五）投标文件含有采购人不能接受的附加条件的； </w:t>
      </w:r>
    </w:p>
    <w:p>
      <w:pPr>
        <w:adjustRightInd w:val="0"/>
        <w:snapToGrid w:val="0"/>
        <w:spacing w:line="360" w:lineRule="auto"/>
        <w:ind w:firstLine="480" w:firstLineChars="200"/>
        <w:rPr>
          <w:rFonts w:hint="eastAsia"/>
        </w:rPr>
      </w:pPr>
      <w:r>
        <w:rPr>
          <w:rFonts w:hint="eastAsia" w:ascii="宋体" w:hAnsi="宋体" w:cs="宋体"/>
          <w:color w:val="000000"/>
          <w:sz w:val="24"/>
          <w:szCs w:val="24"/>
          <w:lang w:val="en-US" w:eastAsia="zh-CN"/>
        </w:rPr>
        <w:t xml:space="preserve">（六）法律、法规和招标文件规定的其他无效情形； </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7</w:t>
      </w:r>
      <w:r>
        <w:rPr>
          <w:rFonts w:hint="eastAsia" w:ascii="宋体" w:hAnsi="宋体" w:cs="宋体"/>
          <w:b/>
          <w:color w:val="000000"/>
          <w:sz w:val="24"/>
          <w:szCs w:val="24"/>
        </w:rPr>
        <w:t>、中标通知</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7</w:t>
      </w:r>
      <w:r>
        <w:rPr>
          <w:rFonts w:hint="eastAsia" w:ascii="宋体" w:hAnsi="宋体" w:cs="宋体"/>
          <w:color w:val="000000"/>
          <w:sz w:val="24"/>
          <w:szCs w:val="24"/>
        </w:rPr>
        <w:t>.1中标公示期：</w:t>
      </w:r>
      <w:r>
        <w:rPr>
          <w:rFonts w:hint="eastAsia" w:ascii="宋体" w:hAnsi="宋体" w:cs="宋体"/>
          <w:color w:val="000000"/>
          <w:sz w:val="24"/>
          <w:szCs w:val="24"/>
          <w:u w:val="single"/>
        </w:rPr>
        <w:t>中标结果公示</w:t>
      </w:r>
      <w:r>
        <w:rPr>
          <w:rFonts w:hint="eastAsia" w:ascii="宋体" w:hAnsi="宋体" w:cs="宋体"/>
          <w:color w:val="000000"/>
          <w:sz w:val="24"/>
          <w:szCs w:val="24"/>
          <w:u w:val="single"/>
          <w:lang w:val="en-US" w:eastAsia="zh-CN"/>
        </w:rPr>
        <w:t>1</w:t>
      </w:r>
      <w:r>
        <w:rPr>
          <w:rFonts w:hint="eastAsia" w:ascii="宋体" w:hAnsi="宋体" w:cs="宋体"/>
          <w:color w:val="000000"/>
          <w:sz w:val="24"/>
          <w:szCs w:val="24"/>
          <w:u w:val="single"/>
        </w:rPr>
        <w:t>个工作日。</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7</w:t>
      </w:r>
      <w:r>
        <w:rPr>
          <w:rFonts w:hint="eastAsia" w:ascii="宋体" w:hAnsi="宋体" w:cs="宋体"/>
          <w:color w:val="000000"/>
          <w:sz w:val="24"/>
          <w:szCs w:val="24"/>
        </w:rPr>
        <w:t>.2招标代理机构根据定标结果，在投标有效期届满前，以书面形式向中标单位发出中标通知书。</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7</w:t>
      </w:r>
      <w:r>
        <w:rPr>
          <w:rFonts w:hint="eastAsia" w:ascii="宋体" w:hAnsi="宋体" w:cs="宋体"/>
          <w:color w:val="000000"/>
          <w:sz w:val="24"/>
          <w:szCs w:val="24"/>
        </w:rPr>
        <w:t>.3 招标代理机构将定标结果及时通知未中标单位并退还投标保证金。无需解释落标原因。</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8</w:t>
      </w:r>
      <w:r>
        <w:rPr>
          <w:rFonts w:hint="eastAsia" w:ascii="宋体" w:hAnsi="宋体" w:cs="宋体"/>
          <w:b/>
          <w:color w:val="000000"/>
          <w:sz w:val="24"/>
          <w:szCs w:val="24"/>
        </w:rPr>
        <w:t>、拒绝某些或所有投标的权力</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8</w:t>
      </w:r>
      <w:r>
        <w:rPr>
          <w:rFonts w:hint="eastAsia" w:ascii="宋体" w:hAnsi="宋体" w:cs="宋体"/>
          <w:color w:val="000000"/>
          <w:sz w:val="24"/>
          <w:szCs w:val="24"/>
        </w:rPr>
        <w:t>.1招标人有权在定标之前拒绝任何有不正当行为或扰乱正常招标工作的投标人，由此对投标人造成的损失不负任何责任，同时对此无需做任何解释。</w:t>
      </w:r>
    </w:p>
    <w:p>
      <w:pPr>
        <w:adjustRightInd w:val="0"/>
        <w:snapToGrid w:val="0"/>
        <w:spacing w:line="360" w:lineRule="auto"/>
        <w:jc w:val="center"/>
        <w:rPr>
          <w:rFonts w:hint="eastAsia" w:ascii="宋体" w:hAnsi="宋体" w:cs="宋体"/>
          <w:b/>
          <w:color w:val="000000"/>
          <w:sz w:val="24"/>
          <w:szCs w:val="24"/>
        </w:rPr>
      </w:pPr>
    </w:p>
    <w:p>
      <w:pPr>
        <w:adjustRightInd w:val="0"/>
        <w:snapToGrid w:val="0"/>
        <w:spacing w:line="360" w:lineRule="auto"/>
        <w:jc w:val="center"/>
        <w:rPr>
          <w:rFonts w:hint="eastAsia" w:ascii="宋体" w:hAnsi="宋体" w:cs="宋体"/>
          <w:b/>
          <w:color w:val="000000"/>
          <w:sz w:val="24"/>
          <w:szCs w:val="24"/>
        </w:rPr>
      </w:pPr>
      <w:r>
        <w:rPr>
          <w:rFonts w:hint="eastAsia" w:ascii="宋体" w:hAnsi="宋体" w:cs="宋体"/>
          <w:b/>
          <w:color w:val="000000"/>
          <w:sz w:val="24"/>
          <w:szCs w:val="24"/>
        </w:rPr>
        <w:t>七、签定合同</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29、签定合同</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29.1 招标人和中标人在自中标通知书发出之日起</w:t>
      </w:r>
      <w:r>
        <w:rPr>
          <w:rFonts w:hint="eastAsia" w:ascii="宋体" w:hAnsi="宋体" w:cs="宋体"/>
          <w:b/>
          <w:bCs/>
          <w:sz w:val="24"/>
          <w:szCs w:val="24"/>
          <w:lang w:val="en-US" w:eastAsia="zh-CN"/>
        </w:rPr>
        <w:t>3</w:t>
      </w:r>
      <w:r>
        <w:rPr>
          <w:rFonts w:hint="eastAsia" w:ascii="宋体" w:hAnsi="宋体" w:cs="宋体"/>
          <w:color w:val="000000"/>
          <w:sz w:val="24"/>
          <w:szCs w:val="24"/>
        </w:rPr>
        <w:t>日内，依据《中华人民共和国经济合同法》和有关法规及招、投标文件签定合同。</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29.2 中标合同不得转让。合同分包需在投标文件中予以说明，并需经招标人同意。否则，招标人有权取消中标人的中标资格。</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29.3 招标人如遇中标人违约，可从侯选中标人中重新选定中标人，并签定经济合同。</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29.4 合同的制订由招标人、中标人、招标代理机构三方参加，为确保合同双方的利益均等，由招标代理机构在合同制订过程中进行协调。</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29.5 合同一式</w:t>
      </w:r>
      <w:r>
        <w:rPr>
          <w:rFonts w:hint="eastAsia" w:ascii="宋体" w:hAnsi="宋体" w:cs="宋体"/>
          <w:b/>
          <w:color w:val="000000"/>
          <w:sz w:val="24"/>
          <w:szCs w:val="24"/>
          <w:lang w:val="en-US" w:eastAsia="zh-CN"/>
        </w:rPr>
        <w:t>肆</w:t>
      </w:r>
      <w:r>
        <w:rPr>
          <w:rFonts w:hint="eastAsia" w:ascii="宋体" w:hAnsi="宋体" w:cs="宋体"/>
          <w:b/>
          <w:color w:val="000000"/>
          <w:sz w:val="24"/>
          <w:szCs w:val="24"/>
        </w:rPr>
        <w:t>份，需经招标人、中标人双方签字盖章后即生效。招标人、中标人亦可自愿申请公证。</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30、合同的组成</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30.1 下列文件均为合同不可分割部分：</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30.1.1 专用合同；</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30.1.2 合同条款；</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30.1.3 中标通知书；</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30.1.4 乙方中标的投标文件；</w:t>
      </w:r>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30.1.5 采购文件；</w:t>
      </w: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30.1.6 评标答疑记录。</w:t>
      </w:r>
    </w:p>
    <w:p>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31、履约保证金</w:t>
      </w:r>
    </w:p>
    <w:p>
      <w:pPr>
        <w:pStyle w:val="6"/>
        <w:overflowPunct w:val="0"/>
        <w:snapToGrid w:val="0"/>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31.1 中标的投标人应按中标金额的</w:t>
      </w:r>
      <w:r>
        <w:rPr>
          <w:rFonts w:hint="eastAsia" w:ascii="宋体" w:hAnsi="宋体" w:cs="宋体"/>
          <w:b w:val="0"/>
          <w:bCs/>
          <w:sz w:val="24"/>
          <w:szCs w:val="24"/>
        </w:rPr>
        <w:t>10%</w:t>
      </w:r>
      <w:r>
        <w:rPr>
          <w:rFonts w:hint="eastAsia" w:ascii="宋体" w:hAnsi="宋体" w:eastAsia="宋体" w:cs="宋体"/>
          <w:color w:val="000000"/>
          <w:sz w:val="24"/>
          <w:szCs w:val="24"/>
        </w:rPr>
        <w:t>提交履约保证金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按签订合同为准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pStyle w:val="6"/>
        <w:overflowPunct w:val="0"/>
        <w:snapToGrid w:val="0"/>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hint="eastAsia" w:ascii="宋体" w:hAnsi="宋体" w:eastAsia="宋体" w:cs="宋体"/>
          <w:b/>
          <w:bCs/>
          <w:color w:val="000000"/>
          <w:sz w:val="24"/>
          <w:szCs w:val="24"/>
        </w:rPr>
        <w:t>，且三年内不得参加</w:t>
      </w:r>
      <w:r>
        <w:rPr>
          <w:rFonts w:hint="eastAsia" w:ascii="宋体" w:hAnsi="宋体" w:eastAsia="宋体" w:cs="宋体"/>
          <w:b/>
          <w:bCs/>
          <w:color w:val="000000"/>
          <w:sz w:val="24"/>
          <w:szCs w:val="24"/>
          <w:lang w:val="en-US" w:eastAsia="zh-CN"/>
        </w:rPr>
        <w:t>民丰县</w:t>
      </w:r>
      <w:r>
        <w:rPr>
          <w:rFonts w:hint="eastAsia" w:ascii="宋体" w:hAnsi="宋体" w:eastAsia="宋体" w:cs="宋体"/>
          <w:b/>
          <w:bCs/>
          <w:color w:val="000000"/>
          <w:sz w:val="24"/>
          <w:szCs w:val="24"/>
        </w:rPr>
        <w:t>所有政府采购招投标活动。</w:t>
      </w:r>
    </w:p>
    <w:p>
      <w:pPr>
        <w:pStyle w:val="6"/>
        <w:overflowPunct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31.3履约保证金（无息）将在乙方履行完成合同所有义务后凭乙方的收款收据在五天内退返乙方。</w:t>
      </w:r>
    </w:p>
    <w:p>
      <w:pPr>
        <w:pStyle w:val="6"/>
        <w:overflowPunct w:val="0"/>
        <w:snapToGrid w:val="0"/>
        <w:spacing w:line="360" w:lineRule="auto"/>
        <w:ind w:firstLine="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 xml:space="preserve">32、保密和披露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rPr>
        <w:t>3</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lang w:val="en-US" w:eastAsia="zh-CN"/>
        </w:rPr>
        <w:t xml:space="preserve">.1 </w:t>
      </w:r>
      <w:r>
        <w:rPr>
          <w:rFonts w:hint="eastAsia" w:ascii="宋体" w:hAnsi="宋体" w:eastAsia="宋体" w:cs="宋体"/>
          <w:color w:val="000000"/>
          <w:sz w:val="24"/>
          <w:szCs w:val="24"/>
          <w:lang w:val="en-US" w:eastAsia="zh-CN"/>
        </w:rPr>
        <w:t xml:space="preserve">投标人自领取招标文件之日起，须承担本招标项目保密义务，不得将因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本次招标获得的信息向第三人外传。由采购人向投标人提供的图纸、详细资料、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样品、模型、模件和所有其它资料，被视为保密资料，仅被用于它所规定的用途。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除非得到采购人的同意，不能向任何第三方透露。开标结束后，应采购人要求，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投标人应归还所有从采购人处获得的保密资料。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rPr>
        <w:t>3</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lang w:val="en-US" w:eastAsia="zh-CN"/>
        </w:rPr>
        <w:t xml:space="preserve">.2 </w:t>
      </w:r>
      <w:r>
        <w:rPr>
          <w:rFonts w:hint="eastAsia" w:ascii="宋体" w:hAnsi="宋体" w:eastAsia="宋体" w:cs="宋体"/>
          <w:color w:val="000000"/>
          <w:sz w:val="24"/>
          <w:szCs w:val="24"/>
          <w:lang w:val="en-US" w:eastAsia="zh-CN"/>
        </w:rPr>
        <w:t xml:space="preserve">采购代理机构有权将投标人提供的所有资料向有关政府部门或评审标书的有关人员披露。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rPr>
        <w:t>3</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lang w:val="en-US" w:eastAsia="zh-CN"/>
        </w:rPr>
        <w:t xml:space="preserve">.3 </w:t>
      </w:r>
      <w:r>
        <w:rPr>
          <w:rFonts w:hint="eastAsia" w:ascii="宋体" w:hAnsi="宋体" w:eastAsia="宋体" w:cs="宋体"/>
          <w:color w:val="000000"/>
          <w:sz w:val="24"/>
          <w:szCs w:val="24"/>
          <w:lang w:val="en-US" w:eastAsia="zh-CN"/>
        </w:rPr>
        <w:t xml:space="preserve">在采购代理机构认为适当时、国家机关调查、审查、审计时以及其他符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合法律规定的情形下，采购代理机构无须事先征求投标人同意而可以披露关于采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购过程、合同文本、签署情况的资料、投标人的名称及地址、投标文件的有关信 </w:t>
      </w:r>
    </w:p>
    <w:p>
      <w:pPr>
        <w:pStyle w:val="6"/>
        <w:overflowPunct w:val="0"/>
        <w:snapToGrid w:val="0"/>
        <w:spacing w:line="360" w:lineRule="auto"/>
        <w:ind w:firstLine="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息以及补充条款等，但应当在合理的必要范围内。对任何已经公布过的内容或与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之内容相同的资料，以及投标人已经泄露或公开的，无须再承担保密责任。 </w:t>
      </w:r>
    </w:p>
    <w:p>
      <w:pPr>
        <w:pStyle w:val="6"/>
        <w:overflowPunct w:val="0"/>
        <w:snapToGrid w:val="0"/>
        <w:spacing w:line="360" w:lineRule="auto"/>
        <w:ind w:firstLine="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33、质疑及处理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 质疑的提出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33.1.1 质疑人必须是直接参与本次采购活动的投标人。质疑不接受邮寄。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33.1.2 对采购公告有异议的，自采购公告发布后，潜在供应商根据采购公告内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容及时限要求，在报名和取得招标文件后，可对招标文件提出质疑；投标企业下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载招标文件后请仔细阅读，如对招标文件内容有质疑，投标人应自收到采购文件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之日（发售截止日之后收到采购文件的，以发售截止日为准）或者采购文件公告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期限届满之日起 5 个工作日内按招标文件中载明 的邮箱：2677750381@qq.com 地址，以书面形式、应加盖公章通知招标人。招标人认为必要时，将（澄清） 修 改 后 的 公 告 发 布 在 新 疆 政 府 采 购 网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（http://www.ccgp-xinjiang.gov.cn/）敬请投标企业及时关注。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在规定期限内投标企业未提出质疑的视为投标企业默认招标文件不存在质疑的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相关问题。超过招标文件质疑时间将不再接受投标企业所提出的质疑，未报名及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未取得招标文件的，不得提出质疑；对投标资质审查不合格的投标人，不得对招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标结果提出质疑。在开标评标过程中，凡招标方或评委小组明确提出须由投标人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确认的事项，且投标人当场确认无异议的，不得再提出相关质疑。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33.1.3 对成交公告有异议的，在成交公告发布之日起五个工作日内，以书面形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式并加盖公章和法人代表签字向招标方提出质疑。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33.1.4 提出质疑时，必须按照“实事求是”、“谁主张，谁举证”的原则，提供 相关证明材料，不能主观臆测。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33.1.5 质疑函采用实名制，不得进行虚假、恶意质疑。质疑人应在质疑有效期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内提交《质疑函》（格式后附），质疑函内容应包括质疑人相关信息、质疑事项、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事实依据、适应法规条款、佐证材料等。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33.1.6 质疑必须提供合法的信息来源或有效证据。质疑人保证所提出的质疑内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容及相关佐证材料的真实性及来源的合法性，并承担相应的法律责任。属于须由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相关部门调查、鉴定或者先行做出相关认定的事项，质疑人应当依法申请具有法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定职权的部门查清、认定，并将相关结果提供给招标方。招标方不具有法定调查、认定权限和义务。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33.1.7 佐证材料要具备客观性、关联性、合法性，无法查实的（如宣传册、媒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体报道、猜测、推理等）不能作为佐证材料。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33.1.8 对不能提供相关佐证材料的、涉及商业秘密的、非书面形式送达的、匿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名的质疑将不予受理。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33.1.9 对于有关资质要求、技术参数存在限制性、倾向性条款的及付款方式等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方面的质疑，可在规定的时间内直接向采购单位提出并抄送招标方。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33.2 受理和处理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33.2.1 《质疑函》必须由质疑方的法定代表人或投标代表以招标文件指定的方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式送达招标方或采购单位。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33.2.2 对符合要求的质疑，采购单位或招标方须签收。同一质疑人的质疑只接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受一次。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33.2.3 对于不符合上述所有条款要求的质疑，招标方将不予受理。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33.2.4 在处理过程中，发现需要质疑人进一步补充相关佐证材料的，要求质疑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人在规定时间内提供。质疑人不能按照要求提供相关佐证材料的，视同放弃质疑。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33.2.5 招标方或采购单位负责对质疑的回复工作，将质疑人的质疑材料提供给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相关专家或评标委员会，并将处理意见回复质疑人。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33.2.6 对招标（采购）文件参数的质疑成立的，招标方或采购单位将对质疑部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分进行调整；对中标（成交）结果质疑成立的，招标方将取消预中标供应商中标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资格，按照招标文件有关约定重新确定中标（成交）供应商。同时，将意见反馈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政府采购管理部门，视情对当事人进行处理。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33.3 质疑无效的处理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33.3.1 质疑人提供的相关佐证材料不能证明质疑成立的，招标方可要求质疑人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补充相关佐证材料，如补充材料仍不能证明质疑成立的，将不予受理。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33.3.2 对于质疑人在质疑期间不配合进行质疑调查处理的，视为自动放弃质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疑。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33.3.3 质疑人提出的质疑，经评标专家审定后驳回的，列为无效质疑。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33.3.4 对于质疑中使用虚假材料或恶意方式质疑的，按无效质疑处理，并列入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不良记录供应商名单。3.5 质疑人进行质疑后，招标方在法定时间内对质疑进行回复，质疑人认为回复不满意的，可向政府采购管理部门进行投诉。 </w:t>
      </w:r>
    </w:p>
    <w:p>
      <w:pPr>
        <w:pStyle w:val="6"/>
        <w:overflowPunct w:val="0"/>
        <w:snapToGrid w:val="0"/>
        <w:spacing w:line="360" w:lineRule="auto"/>
        <w:ind w:firstLine="0"/>
        <w:rPr>
          <w:rFonts w:hint="eastAsia" w:ascii="宋体" w:hAnsi="宋体" w:eastAsia="宋体" w:cs="宋体"/>
          <w:color w:val="000000"/>
          <w:sz w:val="24"/>
          <w:szCs w:val="24"/>
          <w:lang w:val="en-US" w:eastAsia="zh-CN"/>
        </w:rPr>
      </w:pP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pStyle w:val="26"/>
        <w:spacing w:line="450" w:lineRule="exact"/>
        <w:jc w:val="center"/>
        <w:outlineLvl w:val="0"/>
        <w:rPr>
          <w:rFonts w:ascii="宋体" w:hAnsi="宋体" w:cs="宋体"/>
          <w:b/>
          <w:bCs/>
          <w:sz w:val="28"/>
          <w:szCs w:val="28"/>
        </w:rPr>
      </w:pPr>
      <w:r>
        <w:rPr>
          <w:rFonts w:hint="eastAsia" w:ascii="宋体" w:hAnsi="宋体" w:cs="宋体"/>
          <w:b/>
          <w:bCs/>
          <w:sz w:val="28"/>
          <w:szCs w:val="28"/>
        </w:rPr>
        <w:t>质疑函</w:t>
      </w:r>
    </w:p>
    <w:p>
      <w:pPr>
        <w:spacing w:line="360" w:lineRule="auto"/>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依据政府采购相关法规，我公司对</w:t>
      </w:r>
      <w:r>
        <w:rPr>
          <w:rFonts w:hint="eastAsia" w:ascii="宋体" w:hAnsi="宋体" w:cs="宋体"/>
          <w:kern w:val="0"/>
          <w:sz w:val="24"/>
          <w:szCs w:val="24"/>
        </w:rPr>
        <w:tab/>
      </w:r>
      <w:r>
        <w:rPr>
          <w:rFonts w:hint="eastAsia" w:ascii="宋体" w:hAnsi="宋体" w:cs="宋体"/>
          <w:kern w:val="0"/>
          <w:sz w:val="24"/>
          <w:szCs w:val="24"/>
          <w:u w:val="single"/>
        </w:rPr>
        <w:t xml:space="preserve">           </w:t>
      </w:r>
      <w:r>
        <w:rPr>
          <w:rFonts w:hint="eastAsia" w:ascii="宋体" w:hAnsi="宋体" w:cs="宋体"/>
          <w:kern w:val="0"/>
          <w:sz w:val="24"/>
          <w:szCs w:val="24"/>
        </w:rPr>
        <w:t>的项目（项目编号：</w:t>
      </w:r>
      <w:r>
        <w:rPr>
          <w:rFonts w:hint="eastAsia" w:ascii="宋体" w:hAnsi="宋体" w:cs="宋体"/>
          <w:kern w:val="0"/>
          <w:sz w:val="24"/>
          <w:szCs w:val="24"/>
          <w:u w:val="single"/>
        </w:rPr>
        <w:t xml:space="preserve">           </w:t>
      </w:r>
      <w:r>
        <w:rPr>
          <w:rFonts w:hint="eastAsia" w:ascii="宋体" w:hAnsi="宋体" w:cs="宋体"/>
          <w:kern w:val="0"/>
          <w:sz w:val="24"/>
          <w:szCs w:val="24"/>
        </w:rPr>
        <w:tab/>
      </w:r>
      <w:r>
        <w:rPr>
          <w:rFonts w:hint="eastAsia" w:ascii="宋体" w:hAnsi="宋体" w:cs="宋体"/>
          <w:kern w:val="0"/>
          <w:sz w:val="24"/>
          <w:szCs w:val="24"/>
        </w:rPr>
        <w:t>）评审活动存在疑问，特提出质疑（详见下表）。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我公司和本人对此质疑函内容的真实性负责，并愿意承担由此引起的相应处理和法律责任。</w:t>
      </w:r>
    </w:p>
    <w:p>
      <w:pPr>
        <w:spacing w:line="360" w:lineRule="auto"/>
        <w:rPr>
          <w:rFonts w:ascii="宋体" w:hAnsi="宋体" w:cs="宋体"/>
          <w:kern w:val="0"/>
          <w:sz w:val="24"/>
          <w:szCs w:val="24"/>
        </w:rPr>
      </w:pPr>
      <w:r>
        <w:rPr>
          <w:rFonts w:hint="eastAsia" w:ascii="宋体" w:hAnsi="宋体" w:cs="宋体"/>
          <w:kern w:val="0"/>
          <w:sz w:val="24"/>
          <w:szCs w:val="24"/>
        </w:rPr>
        <w:t>法定代表人（签字并盖名章）：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本项目授权委托人（签字并盖名章）：</w:t>
      </w:r>
    </w:p>
    <w:p>
      <w:pPr>
        <w:spacing w:line="360" w:lineRule="auto"/>
        <w:rPr>
          <w:rFonts w:ascii="宋体" w:hAnsi="宋体" w:cs="宋体"/>
          <w:kern w:val="0"/>
          <w:sz w:val="24"/>
          <w:szCs w:val="24"/>
        </w:rPr>
      </w:pPr>
      <w:r>
        <w:rPr>
          <w:rFonts w:hint="eastAsia" w:ascii="宋体" w:hAnsi="宋体" w:cs="宋体"/>
          <w:kern w:val="0"/>
          <w:sz w:val="24"/>
          <w:szCs w:val="24"/>
        </w:rPr>
        <w:t>身份证号码：</w:t>
      </w:r>
    </w:p>
    <w:p>
      <w:pPr>
        <w:spacing w:line="360" w:lineRule="auto"/>
        <w:rPr>
          <w:rFonts w:ascii="宋体" w:hAnsi="宋体" w:cs="宋体"/>
          <w:kern w:val="0"/>
          <w:sz w:val="24"/>
          <w:szCs w:val="24"/>
        </w:rPr>
      </w:pPr>
      <w:r>
        <w:rPr>
          <w:rFonts w:hint="eastAsia" w:ascii="宋体" w:hAnsi="宋体" w:cs="宋体"/>
          <w:kern w:val="0"/>
          <w:sz w:val="24"/>
          <w:szCs w:val="24"/>
        </w:rPr>
        <w:t>固话：</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传真：</w:t>
      </w:r>
    </w:p>
    <w:p>
      <w:pPr>
        <w:spacing w:line="360" w:lineRule="auto"/>
        <w:rPr>
          <w:rFonts w:ascii="宋体" w:hAnsi="宋体" w:cs="宋体"/>
          <w:kern w:val="0"/>
          <w:sz w:val="24"/>
          <w:szCs w:val="24"/>
        </w:rPr>
      </w:pPr>
      <w:r>
        <w:rPr>
          <w:rFonts w:hint="eastAsia" w:ascii="宋体" w:hAnsi="宋体" w:cs="宋体"/>
          <w:kern w:val="0"/>
          <w:sz w:val="24"/>
          <w:szCs w:val="24"/>
        </w:rPr>
        <w:t>手机：</w:t>
      </w:r>
    </w:p>
    <w:p>
      <w:pPr>
        <w:spacing w:line="360" w:lineRule="auto"/>
        <w:rPr>
          <w:rFonts w:ascii="宋体" w:hAnsi="宋体" w:cs="宋体"/>
          <w:kern w:val="0"/>
          <w:sz w:val="24"/>
          <w:szCs w:val="24"/>
        </w:rPr>
      </w:pPr>
      <w:r>
        <w:rPr>
          <w:rFonts w:hint="eastAsia" w:ascii="宋体" w:hAnsi="宋体" w:cs="宋体"/>
          <w:kern w:val="0"/>
          <w:sz w:val="24"/>
          <w:szCs w:val="24"/>
        </w:rPr>
        <w:t>公司地址：</w:t>
      </w:r>
      <w:r>
        <w:rPr>
          <w:rFonts w:hint="eastAsia" w:ascii="宋体" w:hAnsi="宋体" w:cs="宋体"/>
          <w:kern w:val="0"/>
          <w:sz w:val="24"/>
          <w:szCs w:val="24"/>
        </w:rPr>
        <w:tab/>
      </w:r>
    </w:p>
    <w:p>
      <w:pPr>
        <w:spacing w:line="360" w:lineRule="auto"/>
        <w:rPr>
          <w:rFonts w:ascii="宋体" w:hAnsi="宋体" w:cs="宋体"/>
          <w:kern w:val="0"/>
          <w:sz w:val="24"/>
          <w:szCs w:val="24"/>
        </w:rPr>
      </w:pPr>
      <w:r>
        <w:rPr>
          <w:rFonts w:hint="eastAsia" w:ascii="宋体" w:hAnsi="宋体" w:cs="宋体"/>
          <w:kern w:val="0"/>
          <w:sz w:val="24"/>
          <w:szCs w:val="24"/>
        </w:rPr>
        <w:t>邮编：</w:t>
      </w:r>
    </w:p>
    <w:p>
      <w:pPr>
        <w:spacing w:line="360" w:lineRule="auto"/>
        <w:rPr>
          <w:rFonts w:ascii="宋体" w:hAnsi="宋体" w:cs="宋体"/>
          <w:kern w:val="0"/>
          <w:sz w:val="24"/>
          <w:szCs w:val="24"/>
        </w:rPr>
      </w:pPr>
      <w:r>
        <w:rPr>
          <w:rFonts w:hint="eastAsia" w:ascii="宋体" w:hAnsi="宋体" w:cs="宋体"/>
          <w:kern w:val="0"/>
          <w:sz w:val="24"/>
          <w:szCs w:val="24"/>
        </w:rPr>
        <w:t>质疑人（公章）</w:t>
      </w:r>
    </w:p>
    <w:p>
      <w:pPr>
        <w:spacing w:line="360" w:lineRule="auto"/>
        <w:jc w:val="both"/>
        <w:rPr>
          <w:rFonts w:hint="eastAsia" w:ascii="宋体" w:hAnsi="宋体" w:cs="宋体"/>
          <w:b/>
          <w:bCs/>
          <w:kern w:val="0"/>
          <w:sz w:val="24"/>
          <w:szCs w:val="24"/>
        </w:rPr>
      </w:pPr>
      <w:r>
        <w:rPr>
          <w:rFonts w:hint="eastAsia" w:ascii="宋体" w:hAnsi="宋体" w:cs="宋体"/>
          <w:kern w:val="0"/>
          <w:sz w:val="24"/>
          <w:szCs w:val="24"/>
        </w:rPr>
        <w:t>年</w:t>
      </w:r>
      <w:r>
        <w:rPr>
          <w:rFonts w:hint="eastAsia" w:ascii="宋体" w:hAnsi="宋体" w:cs="宋体"/>
          <w:kern w:val="0"/>
          <w:sz w:val="24"/>
          <w:szCs w:val="24"/>
        </w:rPr>
        <w:tab/>
      </w:r>
      <w:r>
        <w:rPr>
          <w:rFonts w:hint="eastAsia" w:ascii="宋体" w:hAnsi="宋体" w:cs="宋体"/>
          <w:kern w:val="0"/>
          <w:sz w:val="24"/>
          <w:szCs w:val="24"/>
        </w:rPr>
        <w:t xml:space="preserve">  月 </w:t>
      </w:r>
      <w:r>
        <w:rPr>
          <w:rFonts w:hint="eastAsia" w:ascii="宋体" w:hAnsi="宋体" w:cs="宋体"/>
          <w:kern w:val="0"/>
          <w:sz w:val="24"/>
          <w:szCs w:val="24"/>
        </w:rPr>
        <w:tab/>
      </w:r>
      <w:r>
        <w:rPr>
          <w:rFonts w:hint="eastAsia" w:ascii="宋体" w:hAnsi="宋体" w:cs="宋体"/>
          <w:kern w:val="0"/>
          <w:sz w:val="24"/>
          <w:szCs w:val="24"/>
        </w:rPr>
        <w:t>日</w:t>
      </w: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9"/>
        <w:rPr>
          <w:rFonts w:hint="eastAsia" w:ascii="宋体" w:hAnsi="宋体" w:cs="宋体"/>
          <w:b/>
          <w:bCs/>
          <w:kern w:val="0"/>
          <w:sz w:val="24"/>
          <w:szCs w:val="24"/>
        </w:rPr>
      </w:pPr>
    </w:p>
    <w:p>
      <w:pPr>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 xml:space="preserve"> </w:t>
      </w:r>
      <w:bookmarkStart w:id="8" w:name="_Toc946"/>
      <w:bookmarkStart w:id="9" w:name="_Toc18699"/>
      <w:bookmarkStart w:id="10" w:name="_Toc14905"/>
      <w:bookmarkStart w:id="11" w:name="_Toc15471"/>
      <w:bookmarkStart w:id="12" w:name="_Toc23273"/>
      <w:bookmarkStart w:id="13" w:name="_Toc29369"/>
      <w:bookmarkStart w:id="14" w:name="_Toc31245"/>
      <w:bookmarkStart w:id="15" w:name="_Toc5758"/>
      <w:bookmarkStart w:id="16" w:name="_Toc17131"/>
      <w:bookmarkStart w:id="17" w:name="_Toc11402"/>
      <w:r>
        <w:rPr>
          <w:rFonts w:hint="eastAsia" w:ascii="宋体" w:hAnsi="宋体" w:cs="宋体"/>
          <w:b/>
          <w:bCs/>
          <w:kern w:val="0"/>
          <w:sz w:val="24"/>
          <w:szCs w:val="24"/>
        </w:rPr>
        <w:t>质疑内容</w:t>
      </w:r>
      <w:bookmarkEnd w:id="8"/>
      <w:bookmarkEnd w:id="9"/>
      <w:bookmarkEnd w:id="10"/>
      <w:bookmarkEnd w:id="11"/>
      <w:bookmarkEnd w:id="12"/>
      <w:bookmarkEnd w:id="13"/>
      <w:bookmarkEnd w:id="14"/>
      <w:bookmarkEnd w:id="15"/>
      <w:bookmarkEnd w:id="16"/>
      <w:bookmarkEnd w:id="17"/>
    </w:p>
    <w:p>
      <w:pPr>
        <w:spacing w:line="360" w:lineRule="auto"/>
        <w:rPr>
          <w:rFonts w:ascii="宋体" w:hAnsi="宋体" w:cs="宋体"/>
          <w:sz w:val="24"/>
          <w:szCs w:val="24"/>
        </w:rPr>
      </w:pPr>
      <w:r>
        <w:rPr>
          <w:rFonts w:hint="eastAsia" w:ascii="宋体" w:hAnsi="宋体" w:cs="宋体"/>
          <w:kern w:val="0"/>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rPr>
          <w:rFonts w:ascii="宋体" w:hAnsi="宋体" w:cs="宋体"/>
          <w:kern w:val="0"/>
          <w:sz w:val="24"/>
          <w:szCs w:val="24"/>
        </w:rPr>
      </w:pPr>
      <w:r>
        <w:rPr>
          <w:rFonts w:hint="eastAsia" w:ascii="宋体" w:hAnsi="宋体" w:cs="宋体"/>
          <w:kern w:val="0"/>
          <w:sz w:val="24"/>
          <w:szCs w:val="24"/>
        </w:rPr>
        <w:t>项目编号：</w:t>
      </w:r>
      <w:r>
        <w:rPr>
          <w:rFonts w:hint="eastAsia" w:ascii="宋体" w:hAnsi="宋体" w:cs="宋体"/>
          <w:sz w:val="24"/>
          <w:szCs w:val="24"/>
          <w:u w:val="single"/>
        </w:rPr>
        <w:t xml:space="preserve">                        </w:t>
      </w:r>
    </w:p>
    <w:tbl>
      <w:tblPr>
        <w:tblStyle w:val="18"/>
        <w:tblW w:w="82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restart"/>
            <w:noWrap w:val="0"/>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具体内容</w:t>
            </w:r>
          </w:p>
        </w:tc>
        <w:tc>
          <w:tcPr>
            <w:tcW w:w="7409" w:type="dxa"/>
            <w:noWrap w:val="0"/>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continue"/>
            <w:noWrap w:val="0"/>
            <w:vAlign w:val="center"/>
          </w:tcPr>
          <w:p>
            <w:pPr>
              <w:spacing w:line="360" w:lineRule="auto"/>
              <w:jc w:val="center"/>
              <w:rPr>
                <w:rFonts w:ascii="宋体" w:hAnsi="宋体" w:cs="宋体"/>
                <w:kern w:val="0"/>
                <w:sz w:val="24"/>
                <w:szCs w:val="24"/>
              </w:rPr>
            </w:pPr>
          </w:p>
        </w:tc>
        <w:tc>
          <w:tcPr>
            <w:tcW w:w="7409" w:type="dxa"/>
            <w:noWrap w:val="0"/>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continue"/>
            <w:noWrap w:val="0"/>
            <w:vAlign w:val="center"/>
          </w:tcPr>
          <w:p>
            <w:pPr>
              <w:spacing w:line="360" w:lineRule="auto"/>
              <w:jc w:val="center"/>
              <w:rPr>
                <w:rFonts w:ascii="宋体" w:hAnsi="宋体" w:cs="宋体"/>
                <w:kern w:val="0"/>
                <w:sz w:val="24"/>
                <w:szCs w:val="24"/>
              </w:rPr>
            </w:pPr>
          </w:p>
        </w:tc>
        <w:tc>
          <w:tcPr>
            <w:tcW w:w="7409" w:type="dxa"/>
            <w:noWrap w:val="0"/>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823" w:type="dxa"/>
            <w:vMerge w:val="continue"/>
            <w:noWrap w:val="0"/>
            <w:vAlign w:val="center"/>
          </w:tcPr>
          <w:p>
            <w:pPr>
              <w:spacing w:line="360" w:lineRule="auto"/>
              <w:jc w:val="center"/>
              <w:rPr>
                <w:rFonts w:ascii="宋体" w:hAnsi="宋体" w:cs="宋体"/>
                <w:kern w:val="0"/>
                <w:sz w:val="24"/>
                <w:szCs w:val="24"/>
              </w:rPr>
            </w:pPr>
          </w:p>
        </w:tc>
        <w:tc>
          <w:tcPr>
            <w:tcW w:w="7409" w:type="dxa"/>
            <w:noWrap w:val="0"/>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jc w:val="center"/>
        </w:trPr>
        <w:tc>
          <w:tcPr>
            <w:tcW w:w="823" w:type="dxa"/>
            <w:vMerge w:val="continue"/>
            <w:noWrap w:val="0"/>
            <w:vAlign w:val="center"/>
          </w:tcPr>
          <w:p>
            <w:pPr>
              <w:spacing w:line="360" w:lineRule="auto"/>
              <w:jc w:val="center"/>
              <w:rPr>
                <w:rFonts w:ascii="宋体" w:hAnsi="宋体" w:cs="宋体"/>
                <w:kern w:val="0"/>
                <w:sz w:val="24"/>
                <w:szCs w:val="24"/>
              </w:rPr>
            </w:pPr>
          </w:p>
        </w:tc>
        <w:tc>
          <w:tcPr>
            <w:tcW w:w="7409" w:type="dxa"/>
            <w:noWrap w:val="0"/>
            <w:vAlign w:val="top"/>
          </w:tcPr>
          <w:p>
            <w:pPr>
              <w:spacing w:line="360" w:lineRule="auto"/>
              <w:rPr>
                <w:rFonts w:ascii="宋体" w:hAnsi="宋体" w:cs="宋体"/>
                <w:kern w:val="0"/>
                <w:sz w:val="24"/>
                <w:szCs w:val="24"/>
              </w:rPr>
            </w:pPr>
            <w:r>
              <w:rPr>
                <w:rFonts w:hint="eastAsia" w:ascii="宋体" w:hAnsi="宋体" w:cs="宋体"/>
                <w:kern w:val="0"/>
                <w:sz w:val="24"/>
                <w:szCs w:val="24"/>
              </w:rPr>
              <w:t>佐证材料：</w:t>
            </w:r>
          </w:p>
        </w:tc>
      </w:tr>
    </w:tbl>
    <w:p>
      <w:pPr>
        <w:spacing w:line="360" w:lineRule="auto"/>
        <w:rPr>
          <w:rFonts w:ascii="宋体" w:hAnsi="宋体" w:cs="宋体"/>
          <w:kern w:val="0"/>
          <w:sz w:val="24"/>
          <w:szCs w:val="24"/>
        </w:rPr>
      </w:pPr>
      <w:r>
        <w:rPr>
          <w:rFonts w:hint="eastAsia" w:ascii="宋体" w:hAnsi="宋体" w:cs="宋体"/>
          <w:kern w:val="0"/>
          <w:sz w:val="24"/>
          <w:szCs w:val="24"/>
        </w:rPr>
        <w:t>备注：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3、“具体的质疑事项及事实依据”一栏填写不下时，质疑人可另附页（A4），但附纸要求加盖质疑人公章。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4、与质疑事项有关的材料应与质疑函合并装订。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5、质疑函一式三份。</w:t>
      </w: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pStyle w:val="3"/>
        <w:spacing w:before="0" w:beforeLines="0" w:after="0" w:afterLines="0" w:line="360" w:lineRule="auto"/>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sectPr>
          <w:pgSz w:w="11906" w:h="16838"/>
          <w:pgMar w:top="1440" w:right="1800" w:bottom="1440" w:left="1800" w:header="851" w:footer="992" w:gutter="0"/>
          <w:pgNumType w:fmt="numberInDash"/>
          <w:cols w:space="425" w:num="1"/>
          <w:docGrid w:type="lines" w:linePitch="312" w:charSpace="0"/>
        </w:sectPr>
      </w:pPr>
      <w:bookmarkStart w:id="18" w:name="_Toc12074"/>
    </w:p>
    <w:p>
      <w:pPr>
        <w:pStyle w:val="3"/>
        <w:spacing w:before="0" w:beforeLines="0" w:after="0" w:afterLines="0" w:line="360" w:lineRule="auto"/>
        <w:rPr>
          <w:rFonts w:hint="eastAsia" w:ascii="宋体" w:hAnsi="宋体" w:eastAsia="宋体" w:cs="宋体"/>
          <w:b/>
        </w:rPr>
      </w:pPr>
      <w:r>
        <w:rPr>
          <w:rFonts w:hint="eastAsia" w:ascii="宋体" w:hAnsi="宋体" w:eastAsia="宋体" w:cs="宋体"/>
          <w:spacing w:val="-3"/>
          <w:sz w:val="36"/>
          <w:szCs w:val="36"/>
          <w:lang w:val="en-US" w:eastAsia="zh-CN"/>
          <w14:textOutline w14:w="6531" w14:cap="flat" w14:cmpd="sng">
            <w14:solidFill>
              <w14:srgbClr w14:val="000000"/>
            </w14:solidFill>
            <w14:prstDash w14:val="solid"/>
            <w14:miter w14:val="0"/>
          </w14:textOutline>
        </w:rPr>
        <w:t>第三章 项目服务需求</w:t>
      </w:r>
      <w:bookmarkEnd w:id="18"/>
    </w:p>
    <w:p>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一、工作内容</w:t>
      </w:r>
    </w:p>
    <w:p>
      <w:pPr>
        <w:keepNext/>
        <w:adjustRightInd w:val="0"/>
        <w:snapToGrid w:val="0"/>
        <w:spacing w:before="159" w:beforeLines="50" w:line="324" w:lineRule="auto"/>
        <w:jc w:val="left"/>
        <w:textAlignment w:val="baseline"/>
        <w:outlineLvl w:val="1"/>
        <w:rPr>
          <w:rFonts w:hint="eastAsia" w:ascii="宋体" w:hAnsi="宋体" w:eastAsia="宋体" w:cs="宋体"/>
          <w:b/>
          <w:kern w:val="0"/>
          <w:sz w:val="24"/>
          <w:szCs w:val="24"/>
        </w:rPr>
      </w:pPr>
      <w:bookmarkStart w:id="19" w:name="_Toc2024"/>
      <w:bookmarkStart w:id="20" w:name="_Toc8721"/>
      <w:bookmarkStart w:id="21" w:name="_Toc21165"/>
      <w:bookmarkStart w:id="22" w:name="_Toc74734385"/>
      <w:r>
        <w:rPr>
          <w:rFonts w:hint="eastAsia" w:ascii="宋体" w:hAnsi="宋体" w:eastAsia="宋体" w:cs="宋体"/>
          <w:b/>
          <w:kern w:val="0"/>
          <w:sz w:val="24"/>
          <w:szCs w:val="24"/>
        </w:rPr>
        <w:t>标准规范建设、数据资源建设、指标模型建设、国土空间规划“一张图”实施监督信息系统、国土空间规划“一张图”移动端系统、软硬件采购等需求</w:t>
      </w:r>
    </w:p>
    <w:p>
      <w:pPr>
        <w:keepNext/>
        <w:adjustRightInd w:val="0"/>
        <w:snapToGrid w:val="0"/>
        <w:spacing w:before="159" w:beforeLines="50" w:line="324"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二、工作依据</w:t>
      </w:r>
      <w:bookmarkEnd w:id="19"/>
      <w:bookmarkEnd w:id="20"/>
      <w:bookmarkEnd w:id="21"/>
      <w:bookmarkEnd w:id="22"/>
    </w:p>
    <w:p>
      <w:pPr>
        <w:keepNext/>
        <w:adjustRightInd w:val="0"/>
        <w:snapToGrid w:val="0"/>
        <w:spacing w:before="159" w:beforeLines="50" w:line="360"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1.《中共中央 国务院关于建立国土空间规划体系并监督实施的若干意见》（中发〔2019〕18号）；</w:t>
      </w:r>
    </w:p>
    <w:p>
      <w:pPr>
        <w:keepNext/>
        <w:adjustRightInd w:val="0"/>
        <w:snapToGrid w:val="0"/>
        <w:spacing w:before="159" w:beforeLines="50" w:line="360"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2.《自然资源部关于全面开展国土空间规划工作的通知》（自然资发〔2019〕87号）；</w:t>
      </w:r>
    </w:p>
    <w:p>
      <w:pPr>
        <w:keepNext/>
        <w:adjustRightInd w:val="0"/>
        <w:snapToGrid w:val="0"/>
        <w:spacing w:before="159" w:beforeLines="50" w:line="360"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3.《自然资源部办公厅关于开展国土空间规划“一张图”建设和现状评估工作的通知》（自然资办发〔2019〕38号）；</w:t>
      </w:r>
    </w:p>
    <w:p>
      <w:pPr>
        <w:keepNext/>
        <w:adjustRightInd w:val="0"/>
        <w:snapToGrid w:val="0"/>
        <w:spacing w:before="159" w:beforeLines="50" w:line="360"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4.《自然资源部办公厅关于加强国土空间规划监督管理的通知》（自然资办发〔2020〕27号）；</w:t>
      </w:r>
    </w:p>
    <w:p>
      <w:pPr>
        <w:keepNext/>
        <w:adjustRightInd w:val="0"/>
        <w:snapToGrid w:val="0"/>
        <w:spacing w:before="159" w:beforeLines="50" w:line="360"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5.《国土空间规划“一张图”实施监督信息系统技术规范》（GB／T 39972-2021）；</w:t>
      </w:r>
    </w:p>
    <w:p>
      <w:pPr>
        <w:keepNext/>
        <w:adjustRightInd w:val="0"/>
        <w:snapToGrid w:val="0"/>
        <w:spacing w:before="159" w:beforeLines="50" w:line="360"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6.《国土空间规划“一张图”实施监督信息系统功能评定规则》（自然资办函〔2021〕1238号）。</w:t>
      </w:r>
    </w:p>
    <w:p>
      <w:pPr>
        <w:keepNext/>
        <w:adjustRightInd w:val="0"/>
        <w:snapToGrid w:val="0"/>
        <w:spacing w:before="159" w:beforeLines="50" w:line="360" w:lineRule="auto"/>
        <w:jc w:val="left"/>
        <w:textAlignment w:val="baseline"/>
        <w:outlineLvl w:val="1"/>
        <w:rPr>
          <w:rFonts w:hint="eastAsia" w:ascii="宋体" w:hAnsi="宋体" w:eastAsia="宋体" w:cs="宋体"/>
          <w:b/>
          <w:kern w:val="0"/>
          <w:sz w:val="24"/>
          <w:szCs w:val="24"/>
        </w:rPr>
      </w:pPr>
      <w:r>
        <w:rPr>
          <w:rFonts w:hint="eastAsia" w:ascii="宋体" w:hAnsi="宋体" w:eastAsia="宋体" w:cs="宋体"/>
          <w:b/>
          <w:kern w:val="0"/>
          <w:sz w:val="24"/>
          <w:szCs w:val="24"/>
        </w:rPr>
        <w:t>三、项目实施内容及要求</w:t>
      </w:r>
    </w:p>
    <w:tbl>
      <w:tblPr>
        <w:tblStyle w:val="18"/>
        <w:tblW w:w="7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Align w:val="center"/>
          </w:tcPr>
          <w:p>
            <w:pPr>
              <w:ind w:firstLine="0" w:firstLineChars="0"/>
            </w:pPr>
            <w:r>
              <w:rPr>
                <w:rFonts w:hint="eastAsia"/>
              </w:rPr>
              <w:t>标准规范建设</w:t>
            </w:r>
          </w:p>
        </w:tc>
        <w:tc>
          <w:tcPr>
            <w:tcW w:w="6059" w:type="dxa"/>
          </w:tcPr>
          <w:p>
            <w:r>
              <w:rPr>
                <w:rFonts w:hint="eastAsia"/>
              </w:rPr>
              <w:t>主要包括</w:t>
            </w:r>
            <w:r>
              <w:t>《国土空间规划数据库建设规范》</w:t>
            </w:r>
            <w:r>
              <w:rPr>
                <w:rFonts w:hint="eastAsia"/>
              </w:rPr>
              <w:t>、</w:t>
            </w:r>
            <w:r>
              <w:t>《国土空间规划数据库质量检查细则》</w:t>
            </w:r>
            <w:r>
              <w:rPr>
                <w:rFonts w:hint="eastAsia"/>
              </w:rPr>
              <w:t>、</w:t>
            </w:r>
            <w:r>
              <w:t>《国土空间规划</w:t>
            </w:r>
            <w:r>
              <w:rPr>
                <w:rFonts w:hint="eastAsia"/>
              </w:rPr>
              <w:t>“一张图”实施监督信息系统</w:t>
            </w:r>
            <w:r>
              <w:t>接口规范》</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Align w:val="center"/>
          </w:tcPr>
          <w:p>
            <w:pPr>
              <w:ind w:firstLine="0" w:firstLineChars="0"/>
            </w:pPr>
            <w:r>
              <w:rPr>
                <w:rFonts w:hint="eastAsia"/>
              </w:rPr>
              <w:t>数据资源建设</w:t>
            </w:r>
          </w:p>
        </w:tc>
        <w:tc>
          <w:tcPr>
            <w:tcW w:w="6059" w:type="dxa"/>
          </w:tcPr>
          <w:p>
            <w:r>
              <w:t>立足于已有数据资源基础，集成基础地理、遥感影像、土地、地质、矿产、林草、湿地等各类全域、全要素的现状数据、规划数据、管理数据、社会经济数据，</w:t>
            </w:r>
            <w:r>
              <w:rPr>
                <w:rFonts w:hint="eastAsia"/>
              </w:rPr>
              <w:t>按照需求梳理、目录建设、规整建库、汇交更新、更新维护等技术路线，</w:t>
            </w:r>
            <w:r>
              <w:t>构建</w:t>
            </w:r>
            <w:r>
              <w:rPr>
                <w:rFonts w:hint="eastAsia"/>
              </w:rPr>
              <w:t>国土空间规划</w:t>
            </w:r>
            <w:r>
              <w:t>大数据体系。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Align w:val="center"/>
          </w:tcPr>
          <w:p>
            <w:pPr>
              <w:ind w:firstLine="0" w:firstLineChars="0"/>
            </w:pPr>
            <w:r>
              <w:rPr>
                <w:rFonts w:hint="eastAsia"/>
              </w:rPr>
              <w:t>指标模型库建设</w:t>
            </w:r>
          </w:p>
        </w:tc>
        <w:tc>
          <w:tcPr>
            <w:tcW w:w="6059" w:type="dxa"/>
          </w:tcPr>
          <w:p>
            <w:r>
              <w:t>在落实国家级与</w:t>
            </w:r>
            <w:r>
              <w:rPr>
                <w:rFonts w:hint="eastAsia"/>
              </w:rPr>
              <w:t>自治区</w:t>
            </w:r>
            <w:r>
              <w:t>级指标体系基础上，根据地方实际进行设计</w:t>
            </w:r>
            <w:r>
              <w:rPr>
                <w:rFonts w:hint="eastAsia"/>
              </w:rPr>
              <w:t>，包括国土空间总体规划指标体系、国土空间规划城市体检评估指标体系</w:t>
            </w:r>
            <w:r>
              <w:t>；针对国土空间规划基础分析评价、规划编制、实施评估、规划审查的相关需求，建设规则模型、评价模型</w:t>
            </w:r>
            <w:r>
              <w:rPr>
                <w:rFonts w:hint="eastAsia"/>
              </w:rPr>
              <w:t>、</w:t>
            </w:r>
            <w:r>
              <w:t>评估模型</w:t>
            </w:r>
            <w:r>
              <w:rPr>
                <w:rFonts w:hint="eastAsia"/>
              </w:rPr>
              <w:t>、城镇开发边界辅助划定模型、大数据分析模型、双碳核算模型等</w:t>
            </w:r>
            <w:r>
              <w:t>；并实现指标模型在</w:t>
            </w:r>
            <w:r>
              <w:rPr>
                <w:rFonts w:hint="eastAsia"/>
              </w:rPr>
              <w:t>“</w:t>
            </w:r>
            <w:r>
              <w:t>一张图</w:t>
            </w:r>
            <w:r>
              <w:rPr>
                <w:rFonts w:hint="eastAsia"/>
              </w:rPr>
              <w:t>”</w:t>
            </w:r>
            <w:r>
              <w:t>实施</w:t>
            </w:r>
            <w:r>
              <w:rPr>
                <w:rFonts w:hint="eastAsia"/>
              </w:rPr>
              <w:t>监督信息</w:t>
            </w:r>
            <w:r>
              <w:t>系统中易构建、可定制、可配置。</w:t>
            </w:r>
          </w:p>
          <w:p>
            <w:r>
              <w:rPr>
                <w:rFonts w:hint="eastAsia"/>
              </w:rPr>
              <w:t>1）指标库建设</w:t>
            </w:r>
          </w:p>
          <w:p>
            <w:pPr>
              <w:pStyle w:val="31"/>
              <w:numPr>
                <w:ilvl w:val="0"/>
                <w:numId w:val="4"/>
              </w:numPr>
              <w:ind w:left="0" w:firstLine="480"/>
            </w:pPr>
            <w:r>
              <w:rPr>
                <w:rFonts w:hint="eastAsia"/>
              </w:rPr>
              <w:t>国土空间总体规划指标体系</w:t>
            </w:r>
          </w:p>
          <w:p>
            <w:r>
              <w:rPr>
                <w:rFonts w:hint="eastAsia"/>
              </w:rPr>
              <w:t>基于民丰县国土空间总体规划编制成果，对相关规划目标指标构建算法模型，辅助指标自动计算。</w:t>
            </w:r>
          </w:p>
          <w:p>
            <w:pPr>
              <w:pStyle w:val="31"/>
              <w:numPr>
                <w:ilvl w:val="0"/>
                <w:numId w:val="4"/>
              </w:numPr>
              <w:ind w:left="0" w:firstLine="480"/>
            </w:pPr>
            <w:r>
              <w:rPr>
                <w:rFonts w:hint="eastAsia"/>
              </w:rPr>
              <w:t>国土空间规划城市体检评估指标体系</w:t>
            </w:r>
          </w:p>
          <w:p>
            <w:r>
              <w:rPr>
                <w:rFonts w:hint="eastAsia"/>
              </w:rPr>
              <w:t>落实《国土空间规划城市体检评估规程》（</w:t>
            </w:r>
            <w:r>
              <w:t>TD/T 1063-2021）要求，构建“安全、创新、协调、绿色、开放、共享”六大类体检评估指标的</w:t>
            </w:r>
            <w:r>
              <w:rPr>
                <w:rFonts w:hint="eastAsia"/>
              </w:rPr>
              <w:t>算法</w:t>
            </w:r>
            <w:r>
              <w:t>模型，辅助指标自动计算。</w:t>
            </w:r>
          </w:p>
          <w:p>
            <w:r>
              <w:rPr>
                <w:rFonts w:hint="eastAsia"/>
              </w:rPr>
              <w:t>2）模型库建设</w:t>
            </w:r>
          </w:p>
          <w:p>
            <w:pPr>
              <w:pStyle w:val="31"/>
              <w:numPr>
                <w:ilvl w:val="0"/>
                <w:numId w:val="4"/>
              </w:numPr>
              <w:ind w:left="0" w:firstLine="480"/>
            </w:pPr>
            <w:r>
              <w:rPr>
                <w:rFonts w:hint="eastAsia"/>
              </w:rPr>
              <w:t>规则模型</w:t>
            </w:r>
          </w:p>
          <w:p>
            <w:r>
              <w:rPr>
                <w:rFonts w:hint="eastAsia"/>
              </w:rPr>
              <w:t>基于和田地区对县级国土空间总体规划成果的汇交要求及审查细则，对民丰县国土空间总体规划的文本成果、数据库成果、图件成果等制定相应的审查规则，提升国土空间总体规划报批的技术审查效率。</w:t>
            </w:r>
          </w:p>
          <w:p>
            <w:r>
              <w:rPr>
                <w:rFonts w:hint="eastAsia"/>
              </w:rPr>
              <w:t>根据民丰县国土空间管控体系，以及各层面的管控要素、管控重点与管控要求，建立国土空间总体规划管控规则模型，主要包含规划传导管控规则模型、三线实施管控规则模型、指标监测管控规则模型。</w:t>
            </w:r>
          </w:p>
          <w:p>
            <w:pPr>
              <w:pStyle w:val="31"/>
              <w:numPr>
                <w:ilvl w:val="0"/>
                <w:numId w:val="4"/>
              </w:numPr>
              <w:ind w:left="0" w:firstLine="480"/>
            </w:pPr>
            <w:r>
              <w:rPr>
                <w:rFonts w:hint="eastAsia"/>
              </w:rPr>
              <w:t>评价模型</w:t>
            </w:r>
          </w:p>
          <w:p>
            <w:r>
              <w:rPr>
                <w:rFonts w:hint="eastAsia"/>
              </w:rPr>
              <w:t>针对国土空间规划基础的分析评价需求，构建资源环境承载能力评价和国土空间开发适宜性评价模型，为国土空间规划编制摸清现状、发现问题、识别风险、预判趋势提供基础支撑，为规划制定目标指标、划定三线、确定规模提供决策依据。</w:t>
            </w:r>
          </w:p>
          <w:p>
            <w:pPr>
              <w:pStyle w:val="31"/>
              <w:numPr>
                <w:ilvl w:val="0"/>
                <w:numId w:val="4"/>
              </w:numPr>
              <w:ind w:left="0" w:firstLine="480"/>
            </w:pPr>
            <w:r>
              <w:rPr>
                <w:rFonts w:hint="eastAsia"/>
              </w:rPr>
              <w:t>评估模型</w:t>
            </w:r>
          </w:p>
          <w:p>
            <w:r>
              <w:rPr>
                <w:rFonts w:hint="eastAsia"/>
              </w:rPr>
              <w:t>以充分获取的各类数据为基础，综合运用相关指标、模型进行分析和评价，开展国土空间规划实施评估、风险识别评估和专项评估。</w:t>
            </w:r>
          </w:p>
          <w:p>
            <w:pPr>
              <w:pStyle w:val="31"/>
              <w:numPr>
                <w:ilvl w:val="0"/>
                <w:numId w:val="4"/>
              </w:numPr>
              <w:ind w:left="0" w:firstLine="480"/>
            </w:pPr>
            <w:r>
              <w:rPr>
                <w:rFonts w:hint="eastAsia"/>
              </w:rPr>
              <w:t>城镇开发边界辅助划定模型</w:t>
            </w:r>
          </w:p>
          <w:p>
            <w:r>
              <w:rPr>
                <w:rFonts w:hint="eastAsia"/>
              </w:rPr>
              <w:t>集成未来土地利用模拟模型，基于行政区划数据、城镇开发适宜性评价结果、现状驱动因子、规划驱动因子，实现城镇开发边界模拟预测。</w:t>
            </w:r>
          </w:p>
          <w:p>
            <w:pPr>
              <w:pStyle w:val="31"/>
              <w:numPr>
                <w:ilvl w:val="0"/>
                <w:numId w:val="4"/>
              </w:numPr>
              <w:ind w:left="0" w:firstLine="480"/>
            </w:pPr>
            <w:r>
              <w:rPr>
                <w:rFonts w:hint="eastAsia"/>
              </w:rPr>
              <w:t>大数据分析模型</w:t>
            </w:r>
          </w:p>
          <w:p>
            <w:r>
              <w:rPr>
                <w:rFonts w:hint="eastAsia"/>
              </w:rPr>
              <w:t>针对规划编制或实施评估的应用需求，基于民丰县的人口、交通、产业发展、区域发展等基本情况，采用大数据分析方法，在用地、人口、区域战略、产业发展、综合交通、文化旅游、公服设施、公共应急等方面构建大数据分析模型，支撑规划编制和监测评估预警。</w:t>
            </w:r>
          </w:p>
          <w:p>
            <w:pPr>
              <w:pStyle w:val="31"/>
              <w:numPr>
                <w:ilvl w:val="0"/>
                <w:numId w:val="4"/>
              </w:numPr>
              <w:ind w:left="0" w:firstLine="480"/>
            </w:pPr>
            <w:r>
              <w:rPr>
                <w:rFonts w:hint="eastAsia"/>
              </w:rPr>
              <w:t>双碳核算模型</w:t>
            </w:r>
          </w:p>
          <w:p>
            <w:r>
              <w:rPr>
                <w:rFonts w:hint="eastAsia"/>
              </w:rPr>
              <w:t>建立基于国土空间的碳源碳汇核算指标模型体系，形成面向国土空间规划全周期“双碳”智能决策应用场景，为“双碳”目标下的国土空间优化提供技术支撑，促进自然资源管理领域的减排增汇管控。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Merge w:val="restart"/>
            <w:vAlign w:val="center"/>
          </w:tcPr>
          <w:p>
            <w:pPr>
              <w:ind w:firstLine="0" w:firstLineChars="0"/>
            </w:pPr>
            <w:r>
              <w:t>国土空间规划“一张图”实施监督信息系统建设</w:t>
            </w:r>
          </w:p>
        </w:tc>
        <w:tc>
          <w:tcPr>
            <w:tcW w:w="6059" w:type="dxa"/>
          </w:tcPr>
          <w:p>
            <w:r>
              <w:t>1</w:t>
            </w:r>
            <w:r>
              <w:rPr>
                <w:rFonts w:hint="eastAsia"/>
              </w:rPr>
              <w:t>）</w:t>
            </w:r>
            <w:r>
              <w:t>国土空间规划</w:t>
            </w:r>
            <w:r>
              <w:rPr>
                <w:rFonts w:hint="eastAsia"/>
              </w:rPr>
              <w:t>“</w:t>
            </w:r>
            <w:r>
              <w:t>一张图</w:t>
            </w:r>
            <w:r>
              <w:rPr>
                <w:rFonts w:hint="eastAsia"/>
              </w:rPr>
              <w:t>”</w:t>
            </w:r>
            <w:r>
              <w:t>应用</w:t>
            </w:r>
          </w:p>
          <w:p>
            <w:r>
              <w:t>建立国土空间规划一张图，为国土空间规划编制、管理提供以现状、规划、管理和社会经济数据为核心的国土空间规划数据相关应用。提供包括资源浏览、专题图制作、对比分析、查询统计、成果共享等功能。</w:t>
            </w:r>
          </w:p>
          <w:p>
            <w:pPr>
              <w:pStyle w:val="31"/>
              <w:numPr>
                <w:ilvl w:val="0"/>
                <w:numId w:val="4"/>
              </w:numPr>
              <w:ind w:left="0" w:firstLine="480"/>
            </w:pPr>
            <w:r>
              <w:rPr>
                <w:rFonts w:hint="eastAsia"/>
              </w:rPr>
              <w:t>资源浏览</w:t>
            </w:r>
          </w:p>
          <w:p>
            <w:r>
              <w:rPr>
                <w:rFonts w:hint="eastAsia"/>
              </w:rPr>
              <w:t>提供基础的数据浏览和地图操作功能，支持按照国土空间规划数据资源目录进行浏览、查询、定位；支持相关规划指标、规划文本和图件的浏览查看；满足多源数据的集成浏览展示与查询应用需求。</w:t>
            </w:r>
          </w:p>
          <w:p>
            <w:pPr>
              <w:pStyle w:val="31"/>
              <w:numPr>
                <w:ilvl w:val="0"/>
                <w:numId w:val="4"/>
              </w:numPr>
              <w:ind w:left="0" w:firstLine="480"/>
            </w:pPr>
            <w:r>
              <w:rPr>
                <w:rFonts w:hint="eastAsia"/>
              </w:rPr>
              <w:t>专题图制作</w:t>
            </w:r>
          </w:p>
          <w:p>
            <w:r>
              <w:rPr>
                <w:rFonts w:hint="eastAsia"/>
              </w:rPr>
              <w:t>以专题应用为导向，通过数据选取、数据组织、数据展现、数据导出等步骤实现专题图制作输出，专题制作流程可模板化定制并记录任务日志，以适应不同场景和多次使用需求。</w:t>
            </w:r>
          </w:p>
          <w:p>
            <w:pPr>
              <w:pStyle w:val="31"/>
              <w:numPr>
                <w:ilvl w:val="0"/>
                <w:numId w:val="4"/>
              </w:numPr>
              <w:ind w:left="0" w:firstLine="480"/>
            </w:pPr>
            <w:r>
              <w:rPr>
                <w:rFonts w:hint="eastAsia"/>
              </w:rPr>
              <w:t>对比分析</w:t>
            </w:r>
          </w:p>
          <w:p>
            <w:r>
              <w:rPr>
                <w:rFonts w:hint="eastAsia"/>
              </w:rPr>
              <w:t>通过叠加分析、对比分析等手段，分析不同类别、不同层次的国土空间规划数据、现状数据和建设项目数据等不同数据之间在空间位置、数量关系、内在联系等方面的情况。</w:t>
            </w:r>
          </w:p>
          <w:p>
            <w:pPr>
              <w:pStyle w:val="31"/>
              <w:numPr>
                <w:ilvl w:val="0"/>
                <w:numId w:val="4"/>
              </w:numPr>
              <w:ind w:left="0" w:firstLine="480"/>
            </w:pPr>
            <w:r>
              <w:rPr>
                <w:rFonts w:hint="eastAsia"/>
              </w:rPr>
              <w:t>查询统计</w:t>
            </w:r>
          </w:p>
          <w:p>
            <w:r>
              <w:rPr>
                <w:rFonts w:hint="eastAsia"/>
              </w:rPr>
              <w:t>提供属性筛选、空间筛选、图查数、数查图等查询方式，获得图数一体查询结果，对查询结果可按维度进行分类统计并输出统计结果。</w:t>
            </w:r>
          </w:p>
          <w:p>
            <w:pPr>
              <w:pStyle w:val="31"/>
              <w:numPr>
                <w:ilvl w:val="0"/>
                <w:numId w:val="4"/>
              </w:numPr>
              <w:ind w:left="0" w:firstLine="480"/>
            </w:pPr>
            <w:r>
              <w:rPr>
                <w:rFonts w:hint="eastAsia"/>
              </w:rPr>
              <w:t>成果共享</w:t>
            </w:r>
          </w:p>
          <w:p>
            <w:r>
              <w:rPr>
                <w:rFonts w:hint="eastAsia"/>
              </w:rPr>
              <w:t>针对相关部门业务需求，提供标准化国土空间规划“一张图”数据服务和功能服务，供相关系统集成和调用，促进成果应用。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Merge w:val="continue"/>
          </w:tcPr>
          <w:p>
            <w:pPr>
              <w:ind w:firstLine="0" w:firstLineChars="0"/>
            </w:pPr>
          </w:p>
        </w:tc>
        <w:tc>
          <w:tcPr>
            <w:tcW w:w="6059" w:type="dxa"/>
          </w:tcPr>
          <w:p>
            <w:r>
              <w:t>2</w:t>
            </w:r>
            <w:r>
              <w:rPr>
                <w:rFonts w:hint="eastAsia"/>
              </w:rPr>
              <w:t>）</w:t>
            </w:r>
            <w:r>
              <w:t>国土空间分析评价</w:t>
            </w:r>
          </w:p>
          <w:p>
            <w:r>
              <w:t>服务于国土空间规划编制和评估工作，以国土空间规划数据底板为基础，利用相关模型进行分析和评价，支撑资源环境承载能力和国土空间开发适宜性评价、国土空间规划实施评估和风险识别评估。</w:t>
            </w:r>
          </w:p>
          <w:p>
            <w:pPr>
              <w:pStyle w:val="31"/>
              <w:numPr>
                <w:ilvl w:val="0"/>
                <w:numId w:val="4"/>
              </w:numPr>
              <w:ind w:left="0" w:firstLine="480"/>
            </w:pPr>
            <w:r>
              <w:rPr>
                <w:rFonts w:hint="eastAsia"/>
              </w:rPr>
              <w:t>资源环境承载能力和国土空间开发适宜性评价</w:t>
            </w:r>
          </w:p>
          <w:p>
            <w:r>
              <w:rPr>
                <w:rFonts w:hint="eastAsia"/>
              </w:rPr>
              <w:t>在充分获取区域资源、生态、环境、灾害等数据基础上，利用相关模型支撑，辅助分析自然资源禀赋和生态环境本底情况，辅助分析国土空间进行生态保护的重要程度以及农业生产、城镇建设的适宜程度。</w:t>
            </w:r>
          </w:p>
          <w:p>
            <w:pPr>
              <w:pStyle w:val="31"/>
              <w:numPr>
                <w:ilvl w:val="0"/>
                <w:numId w:val="4"/>
              </w:numPr>
              <w:ind w:left="0" w:firstLine="480"/>
            </w:pPr>
            <w:r>
              <w:rPr>
                <w:rFonts w:hint="eastAsia"/>
              </w:rPr>
              <w:t>国土空间规划实施评估和风险识别评估</w:t>
            </w:r>
          </w:p>
          <w:p>
            <w:r>
              <w:rPr>
                <w:rFonts w:hint="eastAsia"/>
              </w:rPr>
              <w:t>基于国土空间规划“一张图”，利用相关模型支撑，识别国土空间开发保护的主要问题，为国土空间规划实施评估及风险识别评估提供分析成果。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Merge w:val="continue"/>
          </w:tcPr>
          <w:p>
            <w:pPr>
              <w:ind w:firstLine="0" w:firstLineChars="0"/>
            </w:pPr>
          </w:p>
        </w:tc>
        <w:tc>
          <w:tcPr>
            <w:tcW w:w="6059" w:type="dxa"/>
          </w:tcPr>
          <w:p>
            <w:r>
              <w:t>3</w:t>
            </w:r>
            <w:r>
              <w:rPr>
                <w:rFonts w:hint="eastAsia"/>
              </w:rPr>
              <w:t>）</w:t>
            </w:r>
            <w:r>
              <w:t>国土空间规划成果审查与管理</w:t>
            </w:r>
          </w:p>
          <w:p>
            <w:r>
              <w:t>面向国土空间规划成果审查过程，建立国土空间规划成果审查与管理应用，提供规划成果质检、规划成果辅助审查、规划成果管理和成果动态更新等功能，对审查各阶段的规划编制成果进行管理和利用。</w:t>
            </w:r>
          </w:p>
          <w:p>
            <w:pPr>
              <w:pStyle w:val="31"/>
              <w:numPr>
                <w:ilvl w:val="0"/>
                <w:numId w:val="4"/>
              </w:numPr>
              <w:ind w:left="0" w:firstLine="480"/>
            </w:pPr>
            <w:r>
              <w:rPr>
                <w:rFonts w:hint="eastAsia"/>
              </w:rPr>
              <w:t>规划成果质检</w:t>
            </w:r>
          </w:p>
          <w:p>
            <w:r>
              <w:rPr>
                <w:rFonts w:hint="eastAsia"/>
              </w:rPr>
              <w:t>基于统一的质检要求及细则，针对国土空间规划编制成果，提供成果质量检查工具，管理部门可利用该工具从成果数据的完整性、规范性、空间拓扑等方面对编制成果进行质量检查，自动生成质检报告，从而规范并提升规划成果质量。</w:t>
            </w:r>
          </w:p>
          <w:p>
            <w:pPr>
              <w:pStyle w:val="31"/>
              <w:numPr>
                <w:ilvl w:val="0"/>
                <w:numId w:val="4"/>
              </w:numPr>
              <w:ind w:left="0" w:firstLine="480"/>
            </w:pPr>
            <w:r>
              <w:rPr>
                <w:rFonts w:hint="eastAsia"/>
              </w:rPr>
              <w:t>规划成果辅助审查</w:t>
            </w:r>
          </w:p>
          <w:p>
            <w:r>
              <w:rPr>
                <w:rFonts w:hint="eastAsia"/>
              </w:rPr>
              <w:t>针对国土空间规划和相关专项规划的规划成果，按照审查办法及传导要求，提供图文一致性、图数一致性、指标符合性、空间布局符合性等审查功能，辅助审查结果并形成审查报告。</w:t>
            </w:r>
          </w:p>
          <w:p>
            <w:pPr>
              <w:pStyle w:val="31"/>
              <w:numPr>
                <w:ilvl w:val="0"/>
                <w:numId w:val="4"/>
              </w:numPr>
              <w:ind w:left="0" w:firstLine="480"/>
            </w:pPr>
            <w:r>
              <w:rPr>
                <w:rFonts w:hint="eastAsia"/>
              </w:rPr>
              <w:t>规划成果管理</w:t>
            </w:r>
          </w:p>
          <w:p>
            <w:r>
              <w:rPr>
                <w:rFonts w:hint="eastAsia"/>
              </w:rPr>
              <w:t>将国土空间规划成果与相关材料、审查意见等进行挂接，动态建立审查任务“一棵树”，关联管理每个阶段及每次审查的成果，便捷查询调阅成果图纸、审查报告、修改意见等，以及各阶段的成果批复文件。通过审查的最终规划成果纳入国土空间规划“一张图”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Merge w:val="continue"/>
          </w:tcPr>
          <w:p>
            <w:pPr>
              <w:ind w:firstLine="0" w:firstLineChars="0"/>
            </w:pPr>
          </w:p>
        </w:tc>
        <w:tc>
          <w:tcPr>
            <w:tcW w:w="6059" w:type="dxa"/>
          </w:tcPr>
          <w:p>
            <w:r>
              <w:t>4</w:t>
            </w:r>
            <w:r>
              <w:rPr>
                <w:rFonts w:hint="eastAsia"/>
              </w:rPr>
              <w:t>）</w:t>
            </w:r>
            <w:r>
              <w:t>国土空间规划实施监督</w:t>
            </w:r>
          </w:p>
          <w:p>
            <w:pPr>
              <w:pStyle w:val="31"/>
              <w:numPr>
                <w:ilvl w:val="0"/>
                <w:numId w:val="4"/>
              </w:numPr>
              <w:ind w:left="0" w:firstLine="480"/>
            </w:pPr>
            <w:r>
              <w:t>国土空间规划实施监测评估预警</w:t>
            </w:r>
          </w:p>
          <w:p>
            <w:r>
              <w:t>服务于国土空间规划监管工作，构建以目标和问题为导向的监测预警指标体系，包括针对重要控制线和重点区域的国土空间规划实施情况展开动态监测、定期评估和及时预警，以信息化手段支撑并落实国土空间监测评估预警工作。</w:t>
            </w:r>
          </w:p>
          <w:p>
            <w:pPr>
              <w:pStyle w:val="31"/>
              <w:numPr>
                <w:ilvl w:val="0"/>
                <w:numId w:val="4"/>
              </w:numPr>
              <w:ind w:left="0" w:firstLine="480"/>
            </w:pPr>
            <w:r>
              <w:t>资源环境承载能力监测预警</w:t>
            </w:r>
          </w:p>
          <w:p>
            <w:r>
              <w:t>整合集成或接入有关部门资源环境承载能力监测预警相关数据，基于现有资源环境承载能力监测预警数据，提供对资源环境承载能力的综合监管、动态评估和决策支持，实现资源环境承载能力监测预警智能分析和可视化动态展示。</w:t>
            </w:r>
          </w:p>
          <w:p>
            <w:pPr>
              <w:pStyle w:val="31"/>
              <w:numPr>
                <w:ilvl w:val="0"/>
                <w:numId w:val="4"/>
              </w:numPr>
              <w:ind w:left="0" w:firstLine="480"/>
            </w:pPr>
            <w:r>
              <w:t>国土空间规划全过程自动强制留痕</w:t>
            </w:r>
          </w:p>
          <w:p>
            <w:r>
              <w:t>按照国土空间规划编制、审批、修改和实施监督全过程留痕制度要求，具备对规划内容修改，规划许可变更或撤销，公开征求意见情况，提出、论证、审查过程及参与人员意见等自动强制记录归档功能，确保规划管理行为全过程可回溯、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Merge w:val="continue"/>
          </w:tcPr>
          <w:p>
            <w:pPr>
              <w:ind w:firstLine="0" w:firstLineChars="0"/>
            </w:pPr>
          </w:p>
        </w:tc>
        <w:tc>
          <w:tcPr>
            <w:tcW w:w="6059" w:type="dxa"/>
          </w:tcPr>
          <w:p>
            <w:r>
              <w:t>5</w:t>
            </w:r>
            <w:r>
              <w:rPr>
                <w:rFonts w:hint="eastAsia"/>
              </w:rPr>
              <w:t>）</w:t>
            </w:r>
            <w:r>
              <w:t>国土空间规划指标模型管理</w:t>
            </w:r>
          </w:p>
          <w:p>
            <w:r>
              <w:t>服务于系统运行维护工作，建设国土空间规划指标模型管理相关应用，实现指标管理和模型管理等功能，从而实现国土空间规划监测评估预警过程中指标和模型的可视化管理和配置，满足业务调整的需求。</w:t>
            </w:r>
          </w:p>
          <w:p>
            <w:pPr>
              <w:pStyle w:val="31"/>
              <w:numPr>
                <w:ilvl w:val="0"/>
                <w:numId w:val="4"/>
              </w:numPr>
              <w:ind w:left="0" w:firstLine="480"/>
            </w:pPr>
            <w:r>
              <w:rPr>
                <w:rFonts w:hint="eastAsia"/>
              </w:rPr>
              <w:t>指标管理</w:t>
            </w:r>
          </w:p>
          <w:p>
            <w:r>
              <w:rPr>
                <w:rFonts w:hint="eastAsia"/>
              </w:rPr>
              <w:t>通过指标管理、指标计算配置、指标值管理及数据字典管理功能实现对国土空间规划实施评估指标项、指标体系及指标元数据、指标维度、指标值、指标状态及指标计算方式的信息化管理，便于指标库的快速操作、更新维护以及指标的动态调整。</w:t>
            </w:r>
          </w:p>
          <w:p>
            <w:pPr>
              <w:pStyle w:val="31"/>
              <w:numPr>
                <w:ilvl w:val="0"/>
                <w:numId w:val="4"/>
              </w:numPr>
              <w:ind w:left="0" w:firstLine="480"/>
            </w:pPr>
            <w:r>
              <w:rPr>
                <w:rFonts w:hint="eastAsia"/>
              </w:rPr>
              <w:t>模型管理</w:t>
            </w:r>
          </w:p>
          <w:p>
            <w:r>
              <w:rPr>
                <w:rFonts w:hint="eastAsia"/>
              </w:rPr>
              <w:t>对国土空间规划的各类规则模型、评价模型、评估模型进行算法开发实现，通过算法注册、数据源管理及配套可视化工具进行模型构建，实现模型的统一管理和应用，为国土空间规划编制、审查、实施、监测、评估和预警等提供模型计算支撑。</w:t>
            </w:r>
          </w:p>
        </w:tc>
      </w:tr>
    </w:tbl>
    <w:p>
      <w:pPr>
        <w:pStyle w:val="27"/>
        <w:snapToGrid w:val="0"/>
        <w:ind w:left="0" w:leftChars="0" w:firstLine="0" w:firstLineChars="0"/>
        <w:rPr>
          <w:rFonts w:hint="eastAsia" w:ascii="宋体" w:hAnsi="宋体" w:eastAsia="宋体" w:cs="宋体"/>
          <w:sz w:val="24"/>
          <w:szCs w:val="24"/>
        </w:rPr>
      </w:pPr>
    </w:p>
    <w:tbl>
      <w:tblPr>
        <w:tblStyle w:val="18"/>
        <w:tblW w:w="7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6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Merge w:val="restart"/>
          </w:tcPr>
          <w:p>
            <w:pPr>
              <w:ind w:firstLine="0" w:firstLineChars="0"/>
            </w:pPr>
          </w:p>
        </w:tc>
        <w:tc>
          <w:tcPr>
            <w:tcW w:w="6059" w:type="dxa"/>
          </w:tcPr>
          <w:p>
            <w:r>
              <w:t>6</w:t>
            </w:r>
            <w:r>
              <w:rPr>
                <w:rFonts w:hint="eastAsia"/>
              </w:rPr>
              <w:t>）</w:t>
            </w:r>
            <w:r>
              <w:t>社会公众服务</w:t>
            </w:r>
          </w:p>
          <w:p>
            <w:r>
              <w:t>充分利用各种公开途径，提供面向公众的国土空间规划服务，支持多终端、多渠道的公开公示、意见征询和公众监督，促进规划公众参与。</w:t>
            </w:r>
          </w:p>
          <w:p>
            <w:pPr>
              <w:pStyle w:val="31"/>
              <w:numPr>
                <w:ilvl w:val="0"/>
                <w:numId w:val="4"/>
              </w:numPr>
              <w:ind w:left="0" w:firstLine="480"/>
            </w:pPr>
            <w:r>
              <w:rPr>
                <w:rFonts w:hint="eastAsia"/>
              </w:rPr>
              <w:t>公开公示</w:t>
            </w:r>
          </w:p>
          <w:p>
            <w:r>
              <w:rPr>
                <w:rFonts w:hint="eastAsia"/>
              </w:rPr>
              <w:t>提供有关国土空间规划公开公示信息的浏览和检索，构建基于地图的规划公示应用，实现公示信息的定期或实时更新。</w:t>
            </w:r>
          </w:p>
          <w:p>
            <w:pPr>
              <w:pStyle w:val="31"/>
              <w:numPr>
                <w:ilvl w:val="0"/>
                <w:numId w:val="4"/>
              </w:numPr>
              <w:ind w:left="0" w:firstLine="480"/>
            </w:pPr>
            <w:r>
              <w:rPr>
                <w:rFonts w:hint="eastAsia"/>
              </w:rPr>
              <w:t>意见征询</w:t>
            </w:r>
          </w:p>
          <w:p>
            <w:r>
              <w:rPr>
                <w:rFonts w:hint="eastAsia"/>
              </w:rPr>
              <w:t>提供意见征询表格定制功能；提供公众意见整理与分析功能。</w:t>
            </w:r>
          </w:p>
          <w:p>
            <w:pPr>
              <w:pStyle w:val="31"/>
              <w:numPr>
                <w:ilvl w:val="0"/>
                <w:numId w:val="4"/>
              </w:numPr>
              <w:ind w:left="0" w:firstLine="480"/>
            </w:pPr>
            <w:r>
              <w:rPr>
                <w:rFonts w:hint="eastAsia"/>
              </w:rPr>
              <w:t>公众监督</w:t>
            </w:r>
          </w:p>
          <w:p>
            <w:r>
              <w:rPr>
                <w:rFonts w:hint="eastAsia"/>
              </w:rPr>
              <w:t>提供社会公众留言、违规举报功能，接受群众监督；提供意见回复填写功能。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Merge w:val="continue"/>
          </w:tcPr>
          <w:p>
            <w:pPr>
              <w:ind w:firstLine="0" w:firstLineChars="0"/>
            </w:pPr>
          </w:p>
        </w:tc>
        <w:tc>
          <w:tcPr>
            <w:tcW w:w="6059" w:type="dxa"/>
          </w:tcPr>
          <w:p>
            <w:r>
              <w:rPr>
                <w:rFonts w:hint="eastAsia"/>
              </w:rPr>
              <w:t>7）遥感影像智能解译</w:t>
            </w:r>
          </w:p>
          <w:p>
            <w:r>
              <w:t>搭建一套用于遥感影像智能解译的深度学习框架，建设遥感影像智能解译</w:t>
            </w:r>
            <w:r>
              <w:rPr>
                <w:rFonts w:hint="eastAsia"/>
              </w:rPr>
              <w:t>模块</w:t>
            </w:r>
            <w:r>
              <w:t>，在自然资源</w:t>
            </w:r>
            <w:r>
              <w:rPr>
                <w:rFonts w:hint="eastAsia"/>
              </w:rPr>
              <w:t>和国土空间</w:t>
            </w:r>
            <w:r>
              <w:t>领域逐步应用深度学习技术，提升</w:t>
            </w:r>
            <w:r>
              <w:rPr>
                <w:rFonts w:hint="eastAsia"/>
              </w:rPr>
              <w:t>遥感地物识别</w:t>
            </w:r>
            <w:r>
              <w:t>工作的效率和智能化水平。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737" w:type="dxa"/>
            <w:vAlign w:val="center"/>
          </w:tcPr>
          <w:p>
            <w:pPr>
              <w:ind w:firstLine="0" w:firstLineChars="0"/>
            </w:pPr>
            <w:r>
              <w:rPr>
                <w:rFonts w:hint="eastAsia"/>
              </w:rPr>
              <w:t>国土空间规划“一张图”移动端系统</w:t>
            </w:r>
          </w:p>
        </w:tc>
        <w:tc>
          <w:tcPr>
            <w:tcW w:w="6059" w:type="dxa"/>
          </w:tcPr>
          <w:p>
            <w:r>
              <w:rPr>
                <w:rFonts w:hint="eastAsia"/>
              </w:rPr>
              <w:t>1）基础地图操作功能</w:t>
            </w:r>
          </w:p>
          <w:p>
            <w:r>
              <w:rPr>
                <w:rFonts w:hint="eastAsia"/>
              </w:rPr>
              <w:t>提供地图缩放、测量、定位、数据加载、透明度设置等地图操作功能。结合透明度设置，可与多个版本、多个类型数据进行叠加对比浏览。</w:t>
            </w:r>
          </w:p>
          <w:p>
            <w:r>
              <w:rPr>
                <w:rFonts w:hint="eastAsia"/>
              </w:rPr>
              <w:t>2）数据浏览</w:t>
            </w:r>
          </w:p>
          <w:p>
            <w:r>
              <w:rPr>
                <w:rFonts w:hint="eastAsia"/>
              </w:rPr>
              <w:t>提供基础的移动端数据浏览功能，按照现状数据、规划数据、管理数据、社会经济数据资源目录进行浏览；支持相关规划指标、规划文本和图件的浏览查看；提供多屏展示工具，满足多源数据的集成浏览展示。</w:t>
            </w:r>
          </w:p>
          <w:p>
            <w:r>
              <w:rPr>
                <w:rFonts w:hint="eastAsia"/>
              </w:rPr>
              <w:t>3）数据查询</w:t>
            </w:r>
          </w:p>
          <w:p>
            <w:r>
              <w:rPr>
                <w:rFonts w:hint="eastAsia"/>
              </w:rPr>
              <w:t>提供模糊查询、空间查询和定位查询等多种查询方式，高效快捷地获得查询对象的空间信息、属性信息。</w:t>
            </w:r>
          </w:p>
          <w:p>
            <w:r>
              <w:rPr>
                <w:rFonts w:hint="eastAsia"/>
              </w:rPr>
              <w:t>4）数据统计</w:t>
            </w:r>
          </w:p>
          <w:p>
            <w:r>
              <w:rPr>
                <w:rFonts w:hint="eastAsia"/>
              </w:rPr>
              <w:t>用户可根据需求选择相关数据进行数据统计，可基于属性查询、空间范围进行数值统计并输出统计结果，统计结果可导出和可视化显示。</w:t>
            </w:r>
          </w:p>
          <w:p>
            <w:r>
              <w:rPr>
                <w:rFonts w:hint="eastAsia"/>
              </w:rPr>
              <w:t>5）会议资料包</w:t>
            </w:r>
          </w:p>
          <w:p>
            <w:r>
              <w:rPr>
                <w:rFonts w:hint="eastAsia"/>
              </w:rPr>
              <w:t>为满足领导浏览相关技术规定、规划研究等电子文档资料，可利用服务器在线下载或通过PC端本地上传的各类文档材料信息，为满足用户离线使用数据，系统提供数据资源包在线下载功能。</w:t>
            </w:r>
          </w:p>
          <w:p>
            <w:r>
              <w:rPr>
                <w:rFonts w:hint="eastAsia"/>
              </w:rPr>
              <w:t>6）地图收藏夹</w:t>
            </w:r>
          </w:p>
          <w:p>
            <w:r>
              <w:rPr>
                <w:rFonts w:hint="eastAsia"/>
              </w:rPr>
              <w:t>地图收藏夹包括历史浏览查询记录、地名、坐标和国土空间规划成果数据等信息。</w:t>
            </w:r>
          </w:p>
        </w:tc>
      </w:tr>
    </w:tbl>
    <w:p>
      <w:pPr>
        <w:jc w:val="both"/>
        <w:rPr>
          <w:rFonts w:hint="default" w:ascii="宋体" w:hAnsi="宋体" w:eastAsia="宋体" w:cs="宋体"/>
          <w:spacing w:val="-3"/>
          <w:kern w:val="2"/>
          <w:sz w:val="36"/>
          <w:szCs w:val="36"/>
          <w:lang w:val="en-US" w:eastAsia="zh-CN" w:bidi="ar-SA"/>
          <w14:textOutline w14:w="6531" w14:cap="flat" w14:cmpd="sng">
            <w14:solidFill>
              <w14:srgbClr w14:val="000000"/>
            </w14:solidFill>
            <w14:prstDash w14:val="solid"/>
            <w14:miter w14:val="0"/>
          </w14:textOutline>
        </w:rPr>
        <w:sectPr>
          <w:pgSz w:w="11906" w:h="16838"/>
          <w:pgMar w:top="1440" w:right="1800" w:bottom="1440" w:left="1800" w:header="851" w:footer="992" w:gutter="0"/>
          <w:pgNumType w:fmt="numberInDash"/>
          <w:cols w:space="425" w:num="1"/>
          <w:docGrid w:type="lines" w:linePitch="312" w:charSpace="0"/>
        </w:sectPr>
      </w:pPr>
    </w:p>
    <w:p>
      <w:pPr>
        <w:jc w:val="center"/>
        <w:rPr>
          <w:rFonts w:hint="eastAsia" w:ascii="宋体" w:hAnsi="宋体" w:eastAsia="宋体" w:cs="宋体"/>
          <w:spacing w:val="-3"/>
          <w:kern w:val="2"/>
          <w:sz w:val="36"/>
          <w:szCs w:val="36"/>
          <w:lang w:val="en-US" w:eastAsia="zh-CN" w:bidi="ar-SA"/>
          <w14:textOutline w14:w="6531" w14:cap="flat" w14:cmpd="sng">
            <w14:solidFill>
              <w14:srgbClr w14:val="000000"/>
            </w14:solidFill>
            <w14:prstDash w14:val="solid"/>
            <w14:miter w14:val="0"/>
          </w14:textOutline>
        </w:rPr>
      </w:pPr>
      <w:r>
        <w:rPr>
          <w:rFonts w:hint="eastAsia" w:ascii="宋体" w:hAnsi="宋体" w:eastAsia="宋体" w:cs="宋体"/>
          <w:spacing w:val="-3"/>
          <w:kern w:val="2"/>
          <w:sz w:val="36"/>
          <w:szCs w:val="36"/>
          <w:lang w:val="en-US" w:eastAsia="zh-CN" w:bidi="ar-SA"/>
          <w14:textOutline w14:w="6531" w14:cap="flat" w14:cmpd="sng">
            <w14:solidFill>
              <w14:srgbClr w14:val="000000"/>
            </w14:solidFill>
            <w14:prstDash w14:val="solid"/>
            <w14:miter w14:val="0"/>
          </w14:textOutline>
        </w:rPr>
        <w:t>第四章 评分标准</w:t>
      </w:r>
    </w:p>
    <w:tbl>
      <w:tblPr>
        <w:tblStyle w:val="19"/>
        <w:tblW w:w="93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8"/>
        <w:gridCol w:w="1080"/>
        <w:gridCol w:w="915"/>
        <w:gridCol w:w="5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tblHeader/>
          <w:jc w:val="center"/>
        </w:trPr>
        <w:tc>
          <w:tcPr>
            <w:tcW w:w="1408" w:type="dxa"/>
            <w:noWrap w:val="0"/>
            <w:vAlign w:val="center"/>
          </w:tcPr>
          <w:p>
            <w:pPr>
              <w:pStyle w:val="10"/>
              <w:keepNext w:val="0"/>
              <w:keepLines w:val="0"/>
              <w:pageBreakBefore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bCs/>
                <w:color w:val="auto"/>
                <w:sz w:val="21"/>
                <w:szCs w:val="21"/>
                <w:highlight w:val="none"/>
              </w:rPr>
            </w:pPr>
            <w:bookmarkStart w:id="23" w:name="_Toc484198838"/>
            <w:bookmarkStart w:id="24" w:name="_Toc53"/>
            <w:r>
              <w:rPr>
                <w:rFonts w:hint="eastAsia" w:ascii="仿宋" w:hAnsi="仿宋" w:eastAsia="仿宋" w:cs="仿宋"/>
                <w:b/>
                <w:bCs/>
                <w:color w:val="auto"/>
                <w:sz w:val="21"/>
                <w:szCs w:val="21"/>
                <w:highlight w:val="none"/>
              </w:rPr>
              <w:t>评标因素</w:t>
            </w:r>
          </w:p>
        </w:tc>
        <w:tc>
          <w:tcPr>
            <w:tcW w:w="1080" w:type="dxa"/>
            <w:noWrap w:val="0"/>
            <w:vAlign w:val="center"/>
          </w:tcPr>
          <w:p>
            <w:pPr>
              <w:pStyle w:val="10"/>
              <w:keepNext w:val="0"/>
              <w:keepLines w:val="0"/>
              <w:pageBreakBefore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分项</w:t>
            </w:r>
          </w:p>
        </w:tc>
        <w:tc>
          <w:tcPr>
            <w:tcW w:w="915" w:type="dxa"/>
            <w:noWrap w:val="0"/>
            <w:vAlign w:val="center"/>
          </w:tcPr>
          <w:p>
            <w:pPr>
              <w:pStyle w:val="10"/>
              <w:keepNext w:val="0"/>
              <w:keepLines w:val="0"/>
              <w:pageBreakBefore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分项</w:t>
            </w:r>
          </w:p>
          <w:p>
            <w:pPr>
              <w:pStyle w:val="10"/>
              <w:keepNext w:val="0"/>
              <w:keepLines w:val="0"/>
              <w:pageBreakBefore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5996" w:type="dxa"/>
            <w:noWrap w:val="0"/>
            <w:vAlign w:val="center"/>
          </w:tcPr>
          <w:p>
            <w:pPr>
              <w:pStyle w:val="10"/>
              <w:keepNext w:val="0"/>
              <w:keepLines w:val="0"/>
              <w:pageBreakBefore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3" w:hRule="atLeast"/>
          <w:jc w:val="center"/>
        </w:trPr>
        <w:tc>
          <w:tcPr>
            <w:tcW w:w="1408"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评标价格（</w:t>
            </w:r>
            <w:r>
              <w:rPr>
                <w:rFonts w:hint="eastAsia" w:ascii="仿宋" w:hAnsi="仿宋" w:cs="仿宋"/>
                <w:b w:val="0"/>
                <w:bCs w:val="0"/>
                <w:color w:val="auto"/>
                <w:sz w:val="21"/>
                <w:szCs w:val="21"/>
                <w:highlight w:val="none"/>
                <w:lang w:val="en-US" w:eastAsia="zh-CN"/>
              </w:rPr>
              <w:t>30</w:t>
            </w:r>
            <w:r>
              <w:rPr>
                <w:rFonts w:hint="eastAsia" w:ascii="仿宋" w:hAnsi="仿宋" w:eastAsia="仿宋" w:cs="仿宋"/>
                <w:b w:val="0"/>
                <w:bCs w:val="0"/>
                <w:color w:val="auto"/>
                <w:sz w:val="21"/>
                <w:szCs w:val="21"/>
                <w:highlight w:val="none"/>
              </w:rPr>
              <w:t>分）</w:t>
            </w:r>
          </w:p>
        </w:tc>
        <w:tc>
          <w:tcPr>
            <w:tcW w:w="1080"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投标报价</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cs="仿宋"/>
                <w:b w:val="0"/>
                <w:bCs w:val="0"/>
                <w:color w:val="auto"/>
                <w:sz w:val="21"/>
                <w:szCs w:val="21"/>
                <w:highlight w:val="none"/>
                <w:lang w:val="en-US" w:eastAsia="zh-CN"/>
              </w:rPr>
              <w:t>30</w:t>
            </w:r>
            <w:r>
              <w:rPr>
                <w:rFonts w:hint="eastAsia" w:ascii="仿宋" w:hAnsi="仿宋" w:eastAsia="仿宋" w:cs="仿宋"/>
                <w:b w:val="0"/>
                <w:bCs w:val="0"/>
                <w:color w:val="auto"/>
                <w:sz w:val="21"/>
                <w:szCs w:val="21"/>
                <w:highlight w:val="none"/>
              </w:rPr>
              <w:t>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华文中宋" w:hAnsi="华文中宋" w:eastAsia="华文中宋" w:cs="华文中宋"/>
                <w:b w:val="0"/>
                <w:bCs w:val="0"/>
                <w:color w:val="auto"/>
                <w:sz w:val="21"/>
                <w:szCs w:val="21"/>
                <w:highlight w:val="none"/>
              </w:rPr>
            </w:pPr>
            <w:r>
              <w:rPr>
                <w:rFonts w:hint="eastAsia" w:ascii="华文中宋" w:hAnsi="华文中宋" w:eastAsia="华文中宋" w:cs="华文中宋"/>
                <w:b w:val="0"/>
                <w:bCs w:val="0"/>
                <w:color w:val="auto"/>
                <w:sz w:val="21"/>
                <w:szCs w:val="21"/>
                <w:highlight w:val="none"/>
              </w:rPr>
              <w:t>1.评标基准价：满足招标文件要求且投标价格最低的投标报价为评标基准价，评标基准价为满分</w:t>
            </w:r>
            <w:r>
              <w:rPr>
                <w:rFonts w:hint="eastAsia" w:ascii="华文中宋" w:hAnsi="华文中宋" w:eastAsia="华文中宋" w:cs="华文中宋"/>
                <w:b w:val="0"/>
                <w:bCs w:val="0"/>
                <w:color w:val="auto"/>
                <w:sz w:val="21"/>
                <w:szCs w:val="21"/>
                <w:highlight w:val="none"/>
                <w:lang w:val="en-US" w:eastAsia="zh-CN"/>
              </w:rPr>
              <w:t>30</w:t>
            </w:r>
            <w:r>
              <w:rPr>
                <w:rFonts w:hint="eastAsia" w:ascii="华文中宋" w:hAnsi="华文中宋" w:eastAsia="华文中宋" w:cs="华文中宋"/>
                <w:b w:val="0"/>
                <w:bCs w:val="0"/>
                <w:color w:val="auto"/>
                <w:sz w:val="21"/>
                <w:szCs w:val="21"/>
                <w:highlight w:val="none"/>
              </w:rPr>
              <w:t xml:space="preserve">分。 </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华文中宋" w:hAnsi="华文中宋" w:eastAsia="华文中宋" w:cs="华文中宋"/>
                <w:b w:val="0"/>
                <w:bCs w:val="0"/>
                <w:color w:val="auto"/>
                <w:sz w:val="21"/>
                <w:szCs w:val="21"/>
                <w:highlight w:val="none"/>
              </w:rPr>
            </w:pPr>
            <w:r>
              <w:rPr>
                <w:rFonts w:hint="eastAsia" w:ascii="华文中宋" w:hAnsi="华文中宋" w:eastAsia="华文中宋" w:cs="华文中宋"/>
                <w:b w:val="0"/>
                <w:bCs w:val="0"/>
                <w:color w:val="auto"/>
                <w:sz w:val="21"/>
                <w:szCs w:val="21"/>
                <w:highlight w:val="none"/>
              </w:rPr>
              <w:t>2.其他投标供应商的投标报价得分按照下列公式计算：投标报价得分＝（评标基准价／投标报价）×</w:t>
            </w:r>
            <w:r>
              <w:rPr>
                <w:rFonts w:hint="eastAsia" w:ascii="华文中宋" w:hAnsi="华文中宋" w:eastAsia="华文中宋" w:cs="华文中宋"/>
                <w:b w:val="0"/>
                <w:bCs w:val="0"/>
                <w:color w:val="auto"/>
                <w:sz w:val="21"/>
                <w:szCs w:val="21"/>
                <w:highlight w:val="none"/>
                <w:lang w:val="en-US" w:eastAsia="zh-CN"/>
              </w:rPr>
              <w:t>30</w:t>
            </w:r>
            <w:r>
              <w:rPr>
                <w:rFonts w:hint="eastAsia" w:ascii="华文中宋" w:hAnsi="华文中宋" w:eastAsia="华文中宋" w:cs="华文中宋"/>
                <w:b w:val="0"/>
                <w:bCs w:val="0"/>
                <w:color w:val="auto"/>
                <w:sz w:val="21"/>
                <w:szCs w:val="21"/>
                <w:highlight w:val="none"/>
              </w:rPr>
              <w:t xml:space="preserve">。 </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r>
              <w:rPr>
                <w:rFonts w:hint="eastAsia" w:ascii="华文中宋" w:hAnsi="华文中宋" w:eastAsia="华文中宋" w:cs="华文中宋"/>
                <w:b w:val="0"/>
                <w:bCs w:val="0"/>
                <w:color w:val="auto"/>
                <w:sz w:val="21"/>
                <w:szCs w:val="21"/>
                <w:highlight w:val="none"/>
              </w:rPr>
              <w:t>3. 得分保留至小数点后二位。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5" w:hRule="atLeast"/>
          <w:jc w:val="center"/>
        </w:trPr>
        <w:tc>
          <w:tcPr>
            <w:tcW w:w="1408" w:type="dxa"/>
            <w:vMerge w:val="restart"/>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商务</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部分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36</w:t>
            </w:r>
            <w:r>
              <w:rPr>
                <w:rFonts w:hint="eastAsia" w:ascii="仿宋" w:hAnsi="仿宋" w:eastAsia="仿宋" w:cs="仿宋"/>
                <w:b w:val="0"/>
                <w:bCs w:val="0"/>
                <w:color w:val="auto"/>
                <w:sz w:val="21"/>
                <w:szCs w:val="21"/>
                <w:highlight w:val="none"/>
              </w:rPr>
              <w:t>分）</w:t>
            </w:r>
          </w:p>
        </w:tc>
        <w:tc>
          <w:tcPr>
            <w:tcW w:w="1080"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业绩</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6</w:t>
            </w:r>
            <w:r>
              <w:rPr>
                <w:rFonts w:hint="eastAsia" w:ascii="仿宋" w:hAnsi="仿宋" w:eastAsia="仿宋" w:cs="仿宋"/>
                <w:b w:val="0"/>
                <w:bCs w:val="0"/>
                <w:color w:val="auto"/>
                <w:sz w:val="21"/>
                <w:szCs w:val="21"/>
                <w:highlight w:val="none"/>
              </w:rPr>
              <w:t>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投标人承担过国土空间规划“一张图”实施监督信息系统或国土空间基础信息平台建设项目类似业绩，提供市县级案例每个得</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分，最高得</w:t>
            </w: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分。此项满分</w:t>
            </w: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分。</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不提供者不得分）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注；</w:t>
            </w:r>
            <w:r>
              <w:rPr>
                <w:rFonts w:hint="eastAsia" w:asciiTheme="minorEastAsia" w:hAnsiTheme="minorEastAsia" w:eastAsiaTheme="minorEastAsia" w:cstheme="minorEastAsia"/>
                <w:b w:val="0"/>
                <w:bCs w:val="0"/>
                <w:color w:val="auto"/>
                <w:sz w:val="21"/>
                <w:szCs w:val="21"/>
                <w:highlight w:val="none"/>
              </w:rPr>
              <w:t>（需提供中标通知书及采购合同的原件扫描件并加盖公章放入投标文件中，且扫描件必须与原件一致。合同内容应真实可查，加盖投标人公章，并包含项目名称、甲方、乙方、合同金额等主要信息，否则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5"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项目经理</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6分</w:t>
            </w:r>
          </w:p>
        </w:tc>
        <w:tc>
          <w:tcPr>
            <w:tcW w:w="5996" w:type="dxa"/>
            <w:noWrap w:val="0"/>
            <w:vAlign w:val="center"/>
          </w:tcPr>
          <w:p>
            <w:pPr>
              <w:widowControl/>
              <w:jc w:val="left"/>
              <w:rPr>
                <w:rFonts w:hint="eastAsia"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（1）投标人承担本项目建设的项目负责人具有博士学位，且具有测绘类高级工程师职称得</w:t>
            </w:r>
            <w:r>
              <w:rPr>
                <w:rFonts w:hint="eastAsia" w:asciiTheme="minorEastAsia" w:hAnsiTheme="minorEastAsia" w:eastAsiaTheme="minorEastAsia" w:cstheme="minorEastAsia"/>
                <w:color w:val="000000"/>
                <w:kern w:val="0"/>
                <w:sz w:val="22"/>
                <w:lang w:val="en-US" w:eastAsia="zh-CN"/>
              </w:rPr>
              <w:t>3</w:t>
            </w:r>
            <w:r>
              <w:rPr>
                <w:rFonts w:hint="eastAsia" w:asciiTheme="minorEastAsia" w:hAnsiTheme="minorEastAsia" w:eastAsiaTheme="minorEastAsia" w:cstheme="minorEastAsia"/>
                <w:color w:val="000000"/>
                <w:kern w:val="0"/>
                <w:sz w:val="22"/>
              </w:rPr>
              <w:t>分，不具备不得分；</w:t>
            </w:r>
          </w:p>
          <w:p>
            <w:pPr>
              <w:widowControl/>
              <w:jc w:val="left"/>
              <w:rPr>
                <w:rFonts w:hint="eastAsia"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（2）项目负责人获得中国地理信息科技进步奖，每提供一项得</w:t>
            </w:r>
            <w:r>
              <w:rPr>
                <w:rFonts w:hint="eastAsia" w:asciiTheme="minorEastAsia" w:hAnsiTheme="minorEastAsia" w:eastAsiaTheme="minorEastAsia" w:cstheme="minorEastAsia"/>
                <w:color w:val="000000"/>
                <w:kern w:val="0"/>
                <w:sz w:val="22"/>
                <w:lang w:val="en-US" w:eastAsia="zh-CN"/>
              </w:rPr>
              <w:t>1</w:t>
            </w:r>
            <w:r>
              <w:rPr>
                <w:rFonts w:hint="eastAsia" w:asciiTheme="minorEastAsia" w:hAnsiTheme="minorEastAsia" w:eastAsiaTheme="minorEastAsia" w:cstheme="minorEastAsia"/>
                <w:color w:val="000000"/>
                <w:kern w:val="0"/>
                <w:sz w:val="22"/>
              </w:rPr>
              <w:t>分，最高得</w:t>
            </w:r>
            <w:r>
              <w:rPr>
                <w:rFonts w:hint="eastAsia" w:asciiTheme="minorEastAsia" w:hAnsiTheme="minorEastAsia" w:eastAsiaTheme="minorEastAsia" w:cstheme="minorEastAsia"/>
                <w:color w:val="000000"/>
                <w:kern w:val="0"/>
                <w:sz w:val="22"/>
                <w:lang w:val="en-US" w:eastAsia="zh-CN"/>
              </w:rPr>
              <w:t>3</w:t>
            </w:r>
            <w:r>
              <w:rPr>
                <w:rFonts w:hint="eastAsia" w:asciiTheme="minorEastAsia" w:hAnsiTheme="minorEastAsia" w:eastAsiaTheme="minorEastAsia" w:cstheme="minorEastAsia"/>
                <w:color w:val="000000"/>
                <w:kern w:val="0"/>
                <w:sz w:val="22"/>
              </w:rPr>
              <w:t>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000000"/>
                <w:kern w:val="0"/>
                <w:sz w:val="22"/>
              </w:rPr>
              <w:t>（注：提供人员职称证书、学历证书、投标人为其缴纳的近3个月的社保证明材料的原件扫描件或复印件）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5"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技术负责人</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1）投标人承担本项目建设的技术负责人具有硕士及以上学历，且具有测绘类高级工程师职称得</w:t>
            </w:r>
            <w:r>
              <w:rPr>
                <w:rFonts w:hint="eastAsia" w:asciiTheme="minorEastAsia" w:hAnsiTheme="minorEastAsia" w:eastAsiaTheme="minorEastAsia" w:cstheme="minorEastAsia"/>
                <w:color w:val="000000"/>
                <w:kern w:val="0"/>
                <w:sz w:val="22"/>
                <w:lang w:val="en-US" w:eastAsia="zh-CN"/>
              </w:rPr>
              <w:t>1分</w:t>
            </w:r>
            <w:r>
              <w:rPr>
                <w:rFonts w:hint="eastAsia" w:asciiTheme="minorEastAsia" w:hAnsiTheme="minorEastAsia" w:eastAsiaTheme="minorEastAsia" w:cstheme="minorEastAsia"/>
                <w:color w:val="000000"/>
                <w:kern w:val="0"/>
                <w:sz w:val="22"/>
              </w:rPr>
              <w:t>，不具备不得分；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（2）技术负责人具有获得中国地理信息产业优秀工程奖，每提供一项得</w:t>
            </w:r>
            <w:r>
              <w:rPr>
                <w:rFonts w:hint="eastAsia" w:asciiTheme="minorEastAsia" w:hAnsiTheme="minorEastAsia" w:eastAsiaTheme="minorEastAsia" w:cstheme="minorEastAsia"/>
                <w:color w:val="000000"/>
                <w:kern w:val="0"/>
                <w:sz w:val="22"/>
                <w:lang w:val="en-US" w:eastAsia="zh-CN"/>
              </w:rPr>
              <w:t>1</w:t>
            </w:r>
            <w:r>
              <w:rPr>
                <w:rFonts w:hint="eastAsia" w:asciiTheme="minorEastAsia" w:hAnsiTheme="minorEastAsia" w:eastAsiaTheme="minorEastAsia" w:cstheme="minorEastAsia"/>
                <w:color w:val="000000"/>
                <w:kern w:val="0"/>
                <w:sz w:val="22"/>
              </w:rPr>
              <w:t>分，最高得</w:t>
            </w:r>
            <w:r>
              <w:rPr>
                <w:rFonts w:hint="eastAsia" w:asciiTheme="minorEastAsia" w:hAnsiTheme="minorEastAsia" w:eastAsiaTheme="minorEastAsia" w:cstheme="minorEastAsia"/>
                <w:color w:val="000000"/>
                <w:kern w:val="0"/>
                <w:sz w:val="22"/>
                <w:lang w:val="en-US" w:eastAsia="zh-CN"/>
              </w:rPr>
              <w:t>2</w:t>
            </w:r>
            <w:r>
              <w:rPr>
                <w:rFonts w:hint="eastAsia" w:asciiTheme="minorEastAsia" w:hAnsiTheme="minorEastAsia" w:eastAsiaTheme="minorEastAsia" w:cstheme="minorEastAsia"/>
                <w:color w:val="000000"/>
                <w:kern w:val="0"/>
                <w:sz w:val="22"/>
              </w:rPr>
              <w:t>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000000"/>
                <w:kern w:val="0"/>
                <w:sz w:val="22"/>
              </w:rPr>
            </w:pPr>
            <w:r>
              <w:rPr>
                <w:rFonts w:hint="eastAsia" w:asciiTheme="minorEastAsia" w:hAnsiTheme="minorEastAsia" w:eastAsiaTheme="minorEastAsia" w:cstheme="minorEastAsia"/>
                <w:color w:val="000000"/>
                <w:kern w:val="0"/>
                <w:sz w:val="22"/>
              </w:rPr>
              <w:t>（注：提供人员职称证书、学历证书、投标人为其缴纳的近3个月的社保证明材料的原件扫描件或复印件；项目负责人和技术负责人不能为同一人。）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2"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投标人拟派本项目团队实力</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8</w:t>
            </w:r>
            <w:r>
              <w:rPr>
                <w:rFonts w:hint="eastAsia" w:ascii="仿宋" w:hAnsi="仿宋" w:eastAsia="仿宋" w:cs="仿宋"/>
                <w:b w:val="0"/>
                <w:bCs w:val="0"/>
                <w:color w:val="auto"/>
                <w:sz w:val="21"/>
                <w:szCs w:val="21"/>
                <w:highlight w:val="none"/>
              </w:rPr>
              <w:t>分</w:t>
            </w:r>
          </w:p>
        </w:tc>
        <w:tc>
          <w:tcPr>
            <w:tcW w:w="5996" w:type="dxa"/>
            <w:noWrap w:val="0"/>
            <w:vAlign w:val="center"/>
          </w:tcPr>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拟投入本项目的项目组成员（除项目负责人和技术负责人）：</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000000"/>
                <w:kern w:val="0"/>
                <w:sz w:val="24"/>
                <w:szCs w:val="24"/>
              </w:rPr>
              <w:t>项目组成员具有注册测绘师资格证书的，每人得</w:t>
            </w:r>
            <w:r>
              <w:rPr>
                <w:rFonts w:hint="eastAsia" w:asciiTheme="minorEastAsia" w:hAnsiTheme="minorEastAsia" w:eastAsiaTheme="minorEastAsia" w:cstheme="minorEastAsia"/>
                <w:color w:val="000000"/>
                <w:kern w:val="0"/>
                <w:sz w:val="24"/>
                <w:szCs w:val="24"/>
                <w:lang w:val="en-US" w:eastAsia="zh-CN"/>
              </w:rPr>
              <w:t>0，5</w:t>
            </w:r>
            <w:r>
              <w:rPr>
                <w:rFonts w:hint="eastAsia" w:asciiTheme="minorEastAsia" w:hAnsiTheme="minorEastAsia" w:eastAsiaTheme="minorEastAsia" w:cstheme="minorEastAsia"/>
                <w:color w:val="000000"/>
                <w:kern w:val="0"/>
                <w:sz w:val="24"/>
                <w:szCs w:val="24"/>
              </w:rPr>
              <w:t>分，本项最多得</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分；</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000000"/>
                <w:kern w:val="0"/>
                <w:sz w:val="24"/>
                <w:szCs w:val="24"/>
              </w:rPr>
              <w:t>项目组成员具有PMP证书的，每人得</w:t>
            </w:r>
            <w:r>
              <w:rPr>
                <w:rFonts w:hint="eastAsia" w:asciiTheme="minorEastAsia" w:hAnsiTheme="minorEastAsia" w:eastAsiaTheme="minorEastAsia" w:cstheme="minorEastAsia"/>
                <w:color w:val="000000"/>
                <w:kern w:val="0"/>
                <w:sz w:val="24"/>
                <w:szCs w:val="24"/>
                <w:lang w:val="en-US" w:eastAsia="zh-CN"/>
              </w:rPr>
              <w:t>0.5</w:t>
            </w:r>
            <w:r>
              <w:rPr>
                <w:rFonts w:hint="eastAsia" w:asciiTheme="minorEastAsia" w:hAnsiTheme="minorEastAsia" w:eastAsiaTheme="minorEastAsia" w:cstheme="minorEastAsia"/>
                <w:color w:val="000000"/>
                <w:kern w:val="0"/>
                <w:sz w:val="24"/>
                <w:szCs w:val="24"/>
              </w:rPr>
              <w:t>分，本项最多得</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分</w:t>
            </w:r>
          </w:p>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color w:val="000000"/>
                <w:kern w:val="0"/>
                <w:sz w:val="24"/>
                <w:szCs w:val="24"/>
              </w:rPr>
              <w:t>项目组成员具有测绘或地理信息系统类相关专业中级工程师的，每人得</w:t>
            </w:r>
            <w:r>
              <w:rPr>
                <w:rFonts w:hint="eastAsia" w:asciiTheme="minorEastAsia" w:hAnsiTheme="minorEastAsia" w:eastAsiaTheme="minorEastAsia" w:cstheme="minorEastAsia"/>
                <w:color w:val="000000"/>
                <w:kern w:val="0"/>
                <w:sz w:val="24"/>
                <w:szCs w:val="24"/>
                <w:lang w:val="en-US" w:eastAsia="zh-CN"/>
              </w:rPr>
              <w:t>0.5</w:t>
            </w:r>
            <w:r>
              <w:rPr>
                <w:rFonts w:hint="eastAsia" w:asciiTheme="minorEastAsia" w:hAnsiTheme="minorEastAsia" w:eastAsiaTheme="minorEastAsia" w:cstheme="minorEastAsia"/>
                <w:color w:val="000000"/>
                <w:kern w:val="0"/>
                <w:sz w:val="24"/>
                <w:szCs w:val="24"/>
              </w:rPr>
              <w:t>分，本项最多得</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分</w:t>
            </w: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color w:val="000000"/>
                <w:kern w:val="0"/>
                <w:sz w:val="24"/>
                <w:szCs w:val="24"/>
              </w:rPr>
              <w:t>项目组成员具有涉密测绘成果管理人员岗位培训证书的，每人得</w:t>
            </w:r>
            <w:r>
              <w:rPr>
                <w:rFonts w:hint="eastAsia" w:asciiTheme="minorEastAsia" w:hAnsiTheme="minorEastAsia" w:eastAsiaTheme="minorEastAsia" w:cstheme="minorEastAsia"/>
                <w:color w:val="000000"/>
                <w:kern w:val="0"/>
                <w:sz w:val="24"/>
                <w:szCs w:val="24"/>
                <w:lang w:val="en-US" w:eastAsia="zh-CN"/>
              </w:rPr>
              <w:t>0.5</w:t>
            </w:r>
            <w:r>
              <w:rPr>
                <w:rFonts w:hint="eastAsia" w:asciiTheme="minorEastAsia" w:hAnsiTheme="minorEastAsia" w:eastAsiaTheme="minorEastAsia" w:cstheme="minorEastAsia"/>
                <w:color w:val="000000"/>
                <w:kern w:val="0"/>
                <w:sz w:val="24"/>
                <w:szCs w:val="24"/>
              </w:rPr>
              <w:t>分，本项最多得2分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default" w:ascii="仿宋" w:hAnsi="仿宋" w:eastAsia="宋体" w:cs="仿宋"/>
                <w:b w:val="0"/>
                <w:bCs w:val="0"/>
                <w:color w:val="auto"/>
                <w:sz w:val="21"/>
                <w:szCs w:val="21"/>
                <w:highlight w:val="none"/>
                <w:lang w:val="en-US" w:eastAsia="zh-CN"/>
              </w:rPr>
            </w:pPr>
            <w:r>
              <w:rPr>
                <w:rFonts w:hint="eastAsia" w:asciiTheme="minorEastAsia" w:hAnsiTheme="minorEastAsia" w:eastAsiaTheme="minorEastAsia" w:cstheme="minorEastAsia"/>
                <w:b/>
                <w:bCs/>
                <w:sz w:val="24"/>
                <w:szCs w:val="24"/>
                <w:lang w:val="en-US" w:eastAsia="zh-CN"/>
              </w:rPr>
              <w:t>(注：投标人需在投标文件中提供相关资格证书、职称证书、近三个月的社保证明的复印件，未提供的不得分；项目负责人和技术负责人不能为同一人)提供驻场一年人员的近三个月的社保证明复印件及相关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6"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投标人综合实力</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13</w:t>
            </w:r>
            <w:r>
              <w:rPr>
                <w:rFonts w:hint="eastAsia" w:ascii="仿宋" w:hAnsi="仿宋" w:eastAsia="仿宋" w:cs="仿宋"/>
                <w:b w:val="0"/>
                <w:bCs w:val="0"/>
                <w:color w:val="auto"/>
                <w:sz w:val="21"/>
                <w:szCs w:val="21"/>
                <w:highlight w:val="none"/>
              </w:rPr>
              <w:t>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投标人具备质量管理体系认证证书、环境管理体系认证证书、职业健康安全管理体系认证证书、信息安全管理体系认证证书、信息技术服务管理体系认证证书、知识产权管理体系认证证书；以上证书每具备一项得</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分，满分为</w:t>
            </w: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2、投标人具备软件能力成熟度CMMI认证证书，具有CIMMI5级得</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分，CMMI4级得</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分，CMMI3级得</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3、投标人具有信息技术服务标准符合性证书（ITSS）二级及以上得</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分，三级得</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分，其他不得分。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4、投标人所提供的产品具有国土空间基础信息平台软件产品著作权、国土空间规划“一张图”实施监督信息系统软件产品著作权，每有1个得1分，满分2分。</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注：提供资质证书复印件加盖公章。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jc w:val="center"/>
        </w:trPr>
        <w:tc>
          <w:tcPr>
            <w:tcW w:w="1408" w:type="dxa"/>
            <w:vMerge w:val="restart"/>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技术</w:t>
            </w:r>
          </w:p>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部分</w:t>
            </w:r>
          </w:p>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34</w:t>
            </w:r>
            <w:r>
              <w:rPr>
                <w:rFonts w:hint="eastAsia" w:ascii="仿宋" w:hAnsi="仿宋" w:eastAsia="仿宋" w:cs="仿宋"/>
                <w:b w:val="0"/>
                <w:bCs w:val="0"/>
                <w:color w:val="auto"/>
                <w:sz w:val="21"/>
                <w:szCs w:val="21"/>
                <w:highlight w:val="none"/>
              </w:rPr>
              <w:t>分）</w:t>
            </w: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项目理解与分析</w:t>
            </w:r>
          </w:p>
        </w:tc>
        <w:tc>
          <w:tcPr>
            <w:tcW w:w="91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3分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投标人提出对本项目的理解与分析。包括但不限于：1、建设背景；2、目标定位；3、建设需求。</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投标文件中包含以上三项内容的，得3分；投标文件中每有一项上述内容不完整或投标文件中未提供相应内容的，扣1分，扣完为止。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9"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总体设计</w:t>
            </w:r>
          </w:p>
        </w:tc>
        <w:tc>
          <w:tcPr>
            <w:tcW w:w="91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
              </w:rPr>
              <w:t>5分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投标人根据采购需求和对业务的理解，提供合理的项目总体设计方案。包括但不限于：1、架构设计；2、技术路线；3、关键技术方法。</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投标文件中包含以上三项内容的，方案优良得5分、一般得3分、较差不得分；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9"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ind w:firstLine="0" w:firstLineChars="0"/>
              <w:rPr>
                <w:rFonts w:hint="eastAsia" w:ascii="Times New Roman" w:hAnsi="Times New Roman" w:eastAsia="宋体" w:cs="Times New Roman"/>
                <w:kern w:val="2"/>
                <w:sz w:val="24"/>
                <w:szCs w:val="24"/>
                <w:lang w:val="en-US" w:eastAsia="zh-CN" w:bidi="ar-SA"/>
              </w:rPr>
            </w:pPr>
            <w:r>
              <w:t>数据资源建设</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3分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投标人根据采购需求和对业务的理解，提供合理的数据资源建设方案。包括但不限于：1、数据目录建设；2、数据规整与建库；3、数据汇交与更新。</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投标文件中包含以上三项内容的，得3分；投标文件中每有一项上述内容不完整或投标文件中未提供相应内容的，扣1分，扣完为止。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88"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指标模型库建设</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8分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投标人提供的指标模型库建设方案：</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（一）指标库建设包含：1、国土空间总体规划指标体系；2、国土空间规划城市体检评估指标体系。</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对各指标体系的描述详细、全面、准确的，最高得4分，投标文件中每有一项上述内容不完整或投标文件中未提供相应内容的，扣2分，扣完为止。</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（二）模型库建设包含：1、规则模型；2、评价模型；3、评估模型；4、城镇开发边界辅助划定模型；5、大数据分析模型；6、双碳核算模型。</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对各模型体系的描述详细、全面、准确的，最高得4分，投标文件中每有一项上述内容不完整或投标文件中未提供相应内容的，扣2分，扣完为止。；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5"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仿宋" w:hAnsi="仿宋" w:eastAsia="仿宋" w:cs="仿宋"/>
                <w:b w:val="0"/>
                <w:bCs w:val="0"/>
                <w:color w:val="auto"/>
                <w:kern w:val="2"/>
                <w:sz w:val="21"/>
                <w:szCs w:val="21"/>
                <w:highlight w:val="none"/>
                <w:lang w:val="en-US" w:eastAsia="zh-CN" w:bidi="ar-SA"/>
              </w:rPr>
            </w:pPr>
            <w:r>
              <w:t>系统建设</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6分</w:t>
            </w:r>
          </w:p>
        </w:tc>
        <w:tc>
          <w:tcPr>
            <w:tcW w:w="5996" w:type="dxa"/>
            <w:noWrap w:val="0"/>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投标人提供的业务应用系统建设方案：</w:t>
            </w:r>
          </w:p>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系统功能模块包含国土空间规划“一张图”应用、国土空间规划分析评价、国土空间规划成果审查与管理、国土空间规划实施监督、国土空间规划指标模型管理等五项功能，并且每一项功能均提供建设内容、主体架构和主要功能的介绍，最高得</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分；方案中若有一项功能未提供建设内容、主体架构和主要功能中的任一项介绍的，扣</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分，扣完为止；</w:t>
            </w:r>
          </w:p>
          <w:p>
            <w:pPr>
              <w:widowControl/>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000000"/>
                <w:kern w:val="0"/>
                <w:sz w:val="24"/>
                <w:szCs w:val="24"/>
              </w:rPr>
              <w:t>2、开发接口建设方案提供与自治区地区国土空间规划“一张图”实施监督信息系统的接口、与局内其他业务系统接口、与横向其他部门对接接口等三项接口，并且每一项接口均提供建设内容、主体架构和主要功能的介绍，最高得</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分；方案中若有一项接口未提供建设内容、主体架构和主要功能中的任一项介绍的，扣</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12"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项目组织实施</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kern w:val="2"/>
                <w:sz w:val="21"/>
                <w:szCs w:val="21"/>
                <w:highlight w:val="none"/>
                <w:lang w:val="en-US" w:eastAsia="zh-CN" w:bidi="ar-SA"/>
              </w:rPr>
            </w:pPr>
            <w:r>
              <w:rPr>
                <w:rFonts w:hint="eastAsia" w:ascii="仿宋" w:hAnsi="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投标人根据采购需求，提供合理的项目组织实施方案。包括但不限于：1、项目实施计划；2、项目工期进度；3、项目管理制度。</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rPr>
              <w:t>投标文件中包含以上三项内容的，得</w:t>
            </w: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分；投标文件中每有一项上述内容不完整或投标文件中未提供相应内容的，扣</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0" w:hRule="atLeast"/>
          <w:jc w:val="center"/>
        </w:trPr>
        <w:tc>
          <w:tcPr>
            <w:tcW w:w="1408" w:type="dxa"/>
            <w:vMerge w:val="continue"/>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仿宋" w:hAnsi="仿宋" w:eastAsia="仿宋" w:cs="仿宋"/>
                <w:b w:val="0"/>
                <w:bCs w:val="0"/>
                <w:color w:val="auto"/>
                <w:sz w:val="21"/>
                <w:szCs w:val="21"/>
                <w:highlight w:val="none"/>
              </w:rPr>
            </w:pPr>
          </w:p>
        </w:tc>
        <w:tc>
          <w:tcPr>
            <w:tcW w:w="108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售后服务与培训</w:t>
            </w:r>
          </w:p>
        </w:tc>
        <w:tc>
          <w:tcPr>
            <w:tcW w:w="915"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仿宋" w:hAnsi="仿宋" w:eastAsia="仿宋" w:cs="仿宋"/>
                <w:b w:val="0"/>
                <w:bCs w:val="0"/>
                <w:color w:val="auto"/>
                <w:kern w:val="2"/>
                <w:sz w:val="21"/>
                <w:szCs w:val="21"/>
                <w:highlight w:val="none"/>
                <w:lang w:val="en-US" w:eastAsia="zh-CN" w:bidi="ar-SA"/>
              </w:rPr>
            </w:pPr>
            <w:r>
              <w:rPr>
                <w:rFonts w:hint="eastAsia" w:ascii="仿宋" w:hAnsi="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lang w:val="en-US" w:eastAsia="zh-CN"/>
              </w:rPr>
              <w:t>分</w:t>
            </w:r>
          </w:p>
        </w:tc>
        <w:tc>
          <w:tcPr>
            <w:tcW w:w="5996"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投标人根据采购需求，提供合理的售后服务与培训方案。包括但不限于：1、售后服务方案；2、培训方案；3、质量保障措施。</w:t>
            </w:r>
          </w:p>
          <w:p>
            <w:pPr>
              <w:pStyle w:val="10"/>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投标文件中包含以上三项内容的，</w:t>
            </w:r>
            <w:r>
              <w:rPr>
                <w:rFonts w:hint="eastAsia" w:asciiTheme="minorEastAsia" w:hAnsiTheme="minorEastAsia" w:eastAsiaTheme="minorEastAsia" w:cstheme="minorEastAsia"/>
                <w:b w:val="0"/>
                <w:bCs w:val="0"/>
                <w:color w:val="auto"/>
                <w:sz w:val="24"/>
                <w:szCs w:val="24"/>
                <w:highlight w:val="none"/>
                <w:lang w:val="en-US" w:eastAsia="zh-CN"/>
              </w:rPr>
              <w:t>方案优良得5分、一般得3分、较差不得分</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p>
        </w:tc>
      </w:tr>
      <w:bookmarkEnd w:id="23"/>
      <w:bookmarkEnd w:id="24"/>
    </w:tbl>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 标的条件时，由原评标委员会继续评标。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2、除非发生下列情况之一，评标委员会成员不得在评标中途更换：(1)因不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3、在任何评标环节中，需评标委员会就某项评审结论做出表决的，由评标委员会全体成员按照少数服从多数的原则，以记名投票方式表决。 </w:t>
      </w:r>
    </w:p>
    <w:p>
      <w:pPr>
        <w:pStyle w:val="27"/>
        <w:snapToGrid w:val="0"/>
        <w:ind w:left="0" w:leftChars="0" w:firstLine="0" w:firstLineChars="0"/>
        <w:rPr>
          <w:rFonts w:hint="eastAsia" w:ascii="宋体" w:hAnsi="宋体" w:eastAsia="宋体" w:cs="宋体"/>
          <w:sz w:val="24"/>
          <w:szCs w:val="24"/>
        </w:rPr>
        <w:sectPr>
          <w:pgSz w:w="11906" w:h="16838"/>
          <w:pgMar w:top="1440" w:right="1800" w:bottom="1440" w:left="1800" w:header="851" w:footer="992" w:gutter="0"/>
          <w:pgNumType w:fmt="numberInDash"/>
          <w:cols w:space="425" w:num="1"/>
          <w:docGrid w:type="lines" w:linePitch="312" w:charSpace="0"/>
        </w:sectPr>
      </w:pPr>
    </w:p>
    <w:p>
      <w:pPr>
        <w:jc w:val="center"/>
        <w:rPr>
          <w:rFonts w:hint="eastAsia" w:ascii="宋体" w:hAnsi="宋体" w:eastAsia="宋体" w:cs="宋体"/>
          <w:b/>
          <w:kern w:val="2"/>
          <w:sz w:val="44"/>
          <w:szCs w:val="24"/>
          <w:lang w:val="en-US" w:eastAsia="zh-CN" w:bidi="ar-SA"/>
        </w:rPr>
      </w:pPr>
      <w:r>
        <w:rPr>
          <w:rFonts w:hint="eastAsia" w:ascii="宋体" w:hAnsi="宋体" w:eastAsia="宋体" w:cs="宋体"/>
          <w:b/>
          <w:kern w:val="2"/>
          <w:sz w:val="44"/>
          <w:szCs w:val="24"/>
          <w:lang w:val="en-US" w:eastAsia="zh-CN" w:bidi="ar-SA"/>
        </w:rPr>
        <w:t xml:space="preserve">合同条款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甲方在本项目中所需货物和服务由</w:t>
      </w:r>
      <w:r>
        <w:rPr>
          <w:rFonts w:hint="default"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p>
    <w:p>
      <w:pPr>
        <w:numPr>
          <w:ilvl w:val="0"/>
          <w:numId w:val="5"/>
        </w:num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定义 </w:t>
      </w:r>
    </w:p>
    <w:p>
      <w:pPr>
        <w:numPr>
          <w:ilvl w:val="0"/>
          <w:numId w:val="0"/>
        </w:num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除非另有特别解释或说明，在本合同及与本合同相关的，双方另行签署的其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他文件（包括但不限于本合同的附件）中，下述词语均依如下定义进行解释：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、“合同”指甲乙双方签署的，与本项目相关的协议、附件、附录和其他一 切文件，还包括招标文件、投标文件中的相关内容及其有效补充文件。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、“附件”是指与本合同的订立、履行有关的，经甲乙双方认可的，对本合 同约定的内容进行细化、补充、修改、变更的文件、图纸、音像制品等资料。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、“货物”指合同货物清单（附件 </w:t>
      </w: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）（同投标文件中货物明细表，下同）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中所规定的硬件、软件、安装材料、备件及专用器具、文件资料等内容。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、“服务”指根据合同规定乙方应承担的与供货有关的辅助服务，包括（但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不限于）合同货物的乙方付费办妥清关、乙方付费运输、保险、安装、测试、调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试、培训、维修、提供技术指导和支持、保修期外的维护以及其他类似的义务。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w:t>
      </w:r>
      <w:r>
        <w:rPr>
          <w:rFonts w:hint="eastAsia" w:ascii="宋体" w:hAnsi="宋体" w:eastAsia="宋体" w:cs="宋体"/>
          <w:kern w:val="0"/>
          <w:sz w:val="24"/>
          <w:szCs w:val="24"/>
          <w:lang w:val="en-US" w:eastAsia="zh-CN"/>
        </w:rPr>
        <w:t xml:space="preserve">、“检验”指按照本合同约定的标准对合同货物进行的检测与查验。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w:t>
      </w:r>
      <w:r>
        <w:rPr>
          <w:rFonts w:hint="eastAsia" w:ascii="宋体" w:hAnsi="宋体" w:eastAsia="宋体" w:cs="宋体"/>
          <w:kern w:val="0"/>
          <w:sz w:val="24"/>
          <w:szCs w:val="24"/>
          <w:lang w:val="en-US" w:eastAsia="zh-CN"/>
        </w:rPr>
        <w:t xml:space="preserve">、“政府采购项目验收单”指甲、乙双方验收完成后由合同双方签署的最终验收确认书。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lang w:val="en-US" w:eastAsia="zh-CN"/>
        </w:rPr>
        <w:t xml:space="preserve">、“技术资料”指安装、调试、使用、维修合同货物所应具备的产品使用说 明书和／或使用指南、操作手册、维修指南、服务手册、电路图、产品演示等文 件。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8</w:t>
      </w:r>
      <w:r>
        <w:rPr>
          <w:rFonts w:hint="eastAsia" w:ascii="宋体" w:hAnsi="宋体" w:eastAsia="宋体" w:cs="宋体"/>
          <w:kern w:val="0"/>
          <w:sz w:val="24"/>
          <w:szCs w:val="24"/>
          <w:lang w:val="en-US" w:eastAsia="zh-CN"/>
        </w:rPr>
        <w:t xml:space="preserve">、“保修期”指自验收单签署之日起，乙方免费对所卖给甲方货物更换整件或零部件，维修、保养及技术支持、产品升级并以自担费用方式保证项目正常运行的时期。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9</w:t>
      </w:r>
      <w:r>
        <w:rPr>
          <w:rFonts w:hint="eastAsia" w:ascii="宋体" w:hAnsi="宋体" w:eastAsia="宋体" w:cs="宋体"/>
          <w:kern w:val="0"/>
          <w:sz w:val="24"/>
          <w:szCs w:val="24"/>
          <w:lang w:val="en-US" w:eastAsia="zh-CN"/>
        </w:rPr>
        <w:t xml:space="preserve">、“第三人”是指本合同双方以外的任何中国境内、外的自然人、法人或其他经济组织。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10</w:t>
      </w:r>
      <w:r>
        <w:rPr>
          <w:rFonts w:hint="eastAsia" w:ascii="宋体" w:hAnsi="宋体" w:eastAsia="宋体" w:cs="宋体"/>
          <w:kern w:val="0"/>
          <w:sz w:val="24"/>
          <w:szCs w:val="24"/>
          <w:lang w:val="en-US" w:eastAsia="zh-CN"/>
        </w:rPr>
        <w:t xml:space="preserve">、“法律、法规”是指由中国有关部门制定的法律、行政法规、地方性法规、规章及其他规范性文件以及经全国人民代表大会常务委员会批准的中国缔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结、参加的国际条（公）约的有关规定。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11</w:t>
      </w:r>
      <w:r>
        <w:rPr>
          <w:rFonts w:hint="eastAsia" w:ascii="宋体" w:hAnsi="宋体" w:eastAsia="宋体" w:cs="宋体"/>
          <w:kern w:val="0"/>
          <w:sz w:val="24"/>
          <w:szCs w:val="24"/>
          <w:lang w:val="en-US" w:eastAsia="zh-CN"/>
        </w:rPr>
        <w:t xml:space="preserve">、“招标文件”指采购代理机构发布的本项目招标文件。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12</w:t>
      </w:r>
      <w:r>
        <w:rPr>
          <w:rFonts w:hint="eastAsia" w:ascii="宋体" w:hAnsi="宋体" w:eastAsia="宋体" w:cs="宋体"/>
          <w:kern w:val="0"/>
          <w:sz w:val="24"/>
          <w:szCs w:val="24"/>
          <w:lang w:val="en-US" w:eastAsia="zh-CN"/>
        </w:rPr>
        <w:t xml:space="preserve">、“投标文件”指乙方按照本项目招标文件的要求编制和投递，并最终经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采购代理机构接收的投标文件。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二、货物、数量及规格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本合同所提供的货物、数量及规格详见合同货物清单（附件一）（同投标文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件中报价明细表）。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三、合同价格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、合同金额详见合同格式。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、除有另行规定外，本合同价格包括设备金额及运输、财产保险及第三方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、合同货物详细目录及销售价格详见合同格式附件 </w:t>
      </w:r>
      <w:r>
        <w:rPr>
          <w:rFonts w:hint="default" w:ascii="宋体" w:hAnsi="宋体" w:eastAsia="宋体" w:cs="宋体"/>
          <w:kern w:val="0"/>
          <w:sz w:val="24"/>
          <w:szCs w:val="24"/>
          <w:lang w:val="en-US" w:eastAsia="zh-CN"/>
        </w:rPr>
        <w:t xml:space="preserve">1 </w:t>
      </w:r>
      <w:r>
        <w:rPr>
          <w:rFonts w:hint="eastAsia" w:ascii="宋体" w:hAnsi="宋体" w:eastAsia="宋体" w:cs="宋体"/>
          <w:kern w:val="0"/>
          <w:sz w:val="24"/>
          <w:szCs w:val="24"/>
          <w:lang w:val="en-US" w:eastAsia="zh-CN"/>
        </w:rPr>
        <w:t xml:space="preserve">合同货物清单（同投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标文件中报价明细表）。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四、付款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、双方因本合同发生的一切费用均以人民币结算及支付。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、双方的帐户名称、开户银行及帐号以本合同提供的为准。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、付款途径：按照招标文件第二部分“投标人须知前附表”第 </w:t>
      </w:r>
      <w:r>
        <w:rPr>
          <w:rFonts w:hint="default" w:ascii="宋体" w:hAnsi="宋体" w:eastAsia="宋体" w:cs="宋体"/>
          <w:kern w:val="0"/>
          <w:sz w:val="24"/>
          <w:szCs w:val="24"/>
          <w:lang w:val="en-US" w:eastAsia="zh-CN"/>
        </w:rPr>
        <w:t xml:space="preserve">27 </w:t>
      </w:r>
      <w:r>
        <w:rPr>
          <w:rFonts w:hint="eastAsia" w:ascii="宋体" w:hAnsi="宋体" w:eastAsia="宋体" w:cs="宋体"/>
          <w:kern w:val="0"/>
          <w:sz w:val="24"/>
          <w:szCs w:val="24"/>
          <w:lang w:val="en-US" w:eastAsia="zh-CN"/>
        </w:rPr>
        <w:t xml:space="preserve">项的规定。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、付款方式：按照招标文件第二部分“投标人须知前附表”第 </w:t>
      </w:r>
      <w:r>
        <w:rPr>
          <w:rFonts w:hint="default" w:ascii="宋体" w:hAnsi="宋体" w:eastAsia="宋体" w:cs="宋体"/>
          <w:kern w:val="0"/>
          <w:sz w:val="24"/>
          <w:szCs w:val="24"/>
          <w:lang w:val="en-US" w:eastAsia="zh-CN"/>
        </w:rPr>
        <w:t xml:space="preserve">28 </w:t>
      </w:r>
      <w:r>
        <w:rPr>
          <w:rFonts w:hint="eastAsia" w:ascii="宋体" w:hAnsi="宋体" w:eastAsia="宋体" w:cs="宋体"/>
          <w:kern w:val="0"/>
          <w:sz w:val="24"/>
          <w:szCs w:val="24"/>
          <w:lang w:val="en-US" w:eastAsia="zh-CN"/>
        </w:rPr>
        <w:t xml:space="preserve">项的规定。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w:t>
      </w:r>
      <w:r>
        <w:rPr>
          <w:rFonts w:hint="eastAsia" w:ascii="宋体" w:hAnsi="宋体" w:eastAsia="宋体" w:cs="宋体"/>
          <w:kern w:val="0"/>
          <w:sz w:val="24"/>
          <w:szCs w:val="24"/>
          <w:lang w:val="en-US" w:eastAsia="zh-CN"/>
        </w:rPr>
        <w:t xml:space="preserve">、如乙方根据本合同约定有责任向甲方支付违约金、赔偿金时，甲方有权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r>
        <w:rPr>
          <w:rFonts w:hint="default" w:ascii="宋体" w:hAnsi="宋体" w:eastAsia="宋体" w:cs="宋体"/>
          <w:kern w:val="0"/>
          <w:sz w:val="24"/>
          <w:szCs w:val="24"/>
          <w:lang w:val="en-US" w:eastAsia="zh-CN"/>
        </w:rPr>
        <w:t xml:space="preserve">54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w:t>
      </w:r>
      <w:r>
        <w:rPr>
          <w:rFonts w:hint="eastAsia" w:ascii="宋体" w:hAnsi="宋体" w:eastAsia="宋体" w:cs="宋体"/>
          <w:kern w:val="0"/>
          <w:sz w:val="24"/>
          <w:szCs w:val="24"/>
          <w:lang w:val="en-US" w:eastAsia="zh-CN"/>
        </w:rPr>
        <w:t xml:space="preserve">、甲方直接与乙方付款结算，采购代理机构不对其付款承担连带责任或任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何其它责任，在任何情形下乙方亦只能直接向甲方追索而不应当向采购代理机构 追索。 </w:t>
      </w:r>
    </w:p>
    <w:p>
      <w:pPr>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五、交付</w:t>
      </w:r>
      <w:r>
        <w:rPr>
          <w:rFonts w:hint="eastAsia" w:ascii="宋体" w:hAnsi="宋体" w:eastAsia="宋体" w:cs="宋体"/>
          <w:kern w:val="0"/>
          <w:sz w:val="24"/>
          <w:szCs w:val="24"/>
          <w:lang w:val="en-US" w:eastAsia="zh-CN"/>
        </w:rPr>
        <w:t xml:space="preserve">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、乙方负责办理运输和保险，将货物运抵交货地点。有关运输、保险和装卸等一切相关的费用由乙方承担。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、货物应运至甲方指定地点，并卸至甲方指定位置，开箱清点及初步检验时双方应派人员参加。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、所有货物运抵现场并且安装完毕经检验合格交付甲方，该日期为交付日 期。双方签署交付收货单后为交付完毕。交付完毕货物所有权发生转移，此前货物毁坏的风险由乙方承担。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、交付日期：按照招标文件第二部分“投标人须知前附表”第 </w:t>
      </w:r>
      <w:r>
        <w:rPr>
          <w:rFonts w:hint="default" w:ascii="宋体" w:hAnsi="宋体" w:eastAsia="宋体" w:cs="宋体"/>
          <w:kern w:val="0"/>
          <w:sz w:val="24"/>
          <w:szCs w:val="24"/>
          <w:lang w:val="en-US" w:eastAsia="zh-CN"/>
        </w:rPr>
        <w:t xml:space="preserve">29 </w:t>
      </w:r>
      <w:r>
        <w:rPr>
          <w:rFonts w:hint="eastAsia" w:ascii="宋体" w:hAnsi="宋体" w:eastAsia="宋体" w:cs="宋体"/>
          <w:kern w:val="0"/>
          <w:sz w:val="24"/>
          <w:szCs w:val="24"/>
          <w:lang w:val="en-US" w:eastAsia="zh-CN"/>
        </w:rPr>
        <w:t xml:space="preserve">项的规定。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w:t>
      </w:r>
      <w:r>
        <w:rPr>
          <w:rFonts w:hint="eastAsia" w:ascii="宋体" w:hAnsi="宋体" w:eastAsia="宋体" w:cs="宋体"/>
          <w:kern w:val="0"/>
          <w:sz w:val="24"/>
          <w:szCs w:val="24"/>
          <w:lang w:val="en-US" w:eastAsia="zh-CN"/>
        </w:rPr>
        <w:t xml:space="preserve">、交付地点：按照招标文件第二部分“投标人须知前附表”第 </w:t>
      </w:r>
      <w:r>
        <w:rPr>
          <w:rFonts w:hint="default" w:ascii="宋体" w:hAnsi="宋体" w:eastAsia="宋体" w:cs="宋体"/>
          <w:kern w:val="0"/>
          <w:sz w:val="24"/>
          <w:szCs w:val="24"/>
          <w:lang w:val="en-US" w:eastAsia="zh-CN"/>
        </w:rPr>
        <w:t xml:space="preserve">30 </w:t>
      </w:r>
      <w:r>
        <w:rPr>
          <w:rFonts w:hint="eastAsia" w:ascii="宋体" w:hAnsi="宋体" w:eastAsia="宋体" w:cs="宋体"/>
          <w:kern w:val="0"/>
          <w:sz w:val="24"/>
          <w:szCs w:val="24"/>
          <w:lang w:val="en-US" w:eastAsia="zh-CN"/>
        </w:rPr>
        <w:t xml:space="preserve">项的规定。 </w:t>
      </w:r>
    </w:p>
    <w:p>
      <w:pPr>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六、包装和标记</w:t>
      </w:r>
      <w:r>
        <w:rPr>
          <w:rFonts w:hint="eastAsia" w:ascii="宋体" w:hAnsi="宋体" w:eastAsia="宋体" w:cs="宋体"/>
          <w:kern w:val="0"/>
          <w:sz w:val="24"/>
          <w:szCs w:val="24"/>
          <w:lang w:val="en-US" w:eastAsia="zh-CN"/>
        </w:rPr>
        <w:t xml:space="preserve">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、乙方交付的所有合同货物应具有适于运输的坚固包装，并且乙方应根据 合同货物的不同特性和要求采取防潮、防雨、防锈、防震、防腐等保护措施，以 确保合同货物安全无损地送达交货地点。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、凡由于乙方对合同货物包装不善、标记不明、防护措施不当或在合同货物装箱前保管不良，致使合同货物遭到损坏或丢失，乙方应负责免费修理或更换，并承担由此给甲方造成的一切损失。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七、质量标准和检验方式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、乙方应保证提供给甲方的合同货物是货物生产厂商原造的，全新、未使用过的，是用一流的工艺和优质材料制造而成的，并完全符合本项目招标文件规 定的质量、性能和规格的要求。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、乙方提供给甲方的合同货物应通过货物制造厂商的出厂检验，并提供质 量合格证书。乙方承诺提供给甲方的合同货物的技术规范应与本项目招标文件中 《项目说明》部分中的规定及投标文件中《货物技术规范偏离表》</w:t>
      </w:r>
      <w:r>
        <w:rPr>
          <w:rFonts w:hint="default" w:ascii="宋体" w:hAnsi="宋体" w:eastAsia="宋体" w:cs="宋体"/>
          <w:kern w:val="0"/>
          <w:sz w:val="24"/>
          <w:szCs w:val="24"/>
          <w:lang w:val="en-US" w:eastAsia="zh-CN"/>
        </w:rPr>
        <w:t>(</w:t>
      </w:r>
      <w:r>
        <w:rPr>
          <w:rFonts w:hint="eastAsia" w:ascii="宋体" w:hAnsi="宋体" w:eastAsia="宋体" w:cs="宋体"/>
          <w:kern w:val="0"/>
          <w:sz w:val="24"/>
          <w:szCs w:val="24"/>
          <w:lang w:val="en-US" w:eastAsia="zh-CN"/>
        </w:rPr>
        <w:t>如果被采购人接受</w:t>
      </w:r>
      <w:r>
        <w:rPr>
          <w:rFonts w:hint="default" w:ascii="宋体" w:hAnsi="宋体" w:eastAsia="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相一致，同时，乙方提供的货物质量应符合中华人民共和国相关标准及 相应的技术规范、本次采购相关文件中的全部相关要求及相关标准及相应的技术规范中之较高者。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、乙方保证提供的货物、服务符合中华人民共和国国家及行业的安全质量 标准、环保标准中之较高者；若货物、服务来源于中华人民共和国境外，还要同 时符合货物来源国的官方、行业及生产厂商的安全质量标准、环保标准中之较高 者。上述标准为已发布的且在货物、服务交付时有效的最新版本的标准；当货物 来源于中华人民共和国境外时，产品必须附有原产地证明、中华人民共和国商检 机构的检验证明、合法进货渠道证明及海关完税证明，此外，有关技术资料中须 附有全文翻译的中文文本。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、乙方应保证所提供的货物经正确安装、合理操作和维护保养在其使用寿 命期内具有令甲方满意的性能，并对由于合同货物的设计、工艺或材料的缺陷而 发生的任何故障负责。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w:t>
      </w:r>
      <w:r>
        <w:rPr>
          <w:rFonts w:hint="eastAsia" w:ascii="宋体" w:hAnsi="宋体" w:eastAsia="宋体" w:cs="宋体"/>
          <w:kern w:val="0"/>
          <w:sz w:val="24"/>
          <w:szCs w:val="24"/>
          <w:lang w:val="en-US" w:eastAsia="zh-CN"/>
        </w:rPr>
        <w:t xml:space="preserve">、乙方提供的货物抵达甲方指定地点后的开箱清点及初步检验，应依据乙 方提供的开箱要求和环境要求进行。乙方应在收到甲方的验货通知后到现场参加 开箱清点及初步检验，开箱清点及初步检验时双方均应派员参加，并签署《政府 采购项目验收单》，以此作为乙方履约进度的依据。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w:t>
      </w:r>
      <w:r>
        <w:rPr>
          <w:rFonts w:hint="eastAsia" w:ascii="宋体" w:hAnsi="宋体" w:eastAsia="宋体" w:cs="宋体"/>
          <w:kern w:val="0"/>
          <w:sz w:val="24"/>
          <w:szCs w:val="24"/>
          <w:lang w:val="en-US" w:eastAsia="zh-CN"/>
        </w:rPr>
        <w:t xml:space="preserve">、甲方对合同货物的数量、规格和质量的检验，应依据本项目招标文件中的有关规定进行。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lang w:val="en-US" w:eastAsia="zh-CN"/>
        </w:rPr>
        <w:t xml:space="preserve">、若检验时发现货物数量不足、规格与合同要求不符或开箱时虽然货物外 包装完好无损，但箱内货物短缺或损伤，双方应签署书面形式证明，乙方应根据 该证明及时补足或更换。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8</w:t>
      </w:r>
      <w:r>
        <w:rPr>
          <w:rFonts w:hint="eastAsia" w:ascii="宋体" w:hAnsi="宋体" w:eastAsia="宋体" w:cs="宋体"/>
          <w:kern w:val="0"/>
          <w:sz w:val="24"/>
          <w:szCs w:val="24"/>
          <w:lang w:val="en-US" w:eastAsia="zh-CN"/>
        </w:rPr>
        <w:t xml:space="preserve">、本合同各相关条款中凡与乙方责任或义务相关及由乙方原因所引起涉及 各项货物、零件、部件、配件及资料的更、换、补、退等情形，所发生相关的任 何价款、成本、费用，包括但不限于运输、安装、服务、维修、调试等，以及保 险、税、费等，均应当由乙方承担。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八、技术服务和保修责任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、乙方对合同货物、服务的保修期按照招标文件的规定。若厂家规定的保修期或合同货物主要部件的保修期长于本合同保修期，应适用其保修期。</w:t>
      </w:r>
      <w:r>
        <w:rPr>
          <w:rFonts w:hint="default" w:ascii="宋体" w:hAnsi="宋体" w:eastAsia="宋体" w:cs="宋体"/>
          <w:kern w:val="0"/>
          <w:sz w:val="24"/>
          <w:szCs w:val="24"/>
          <w:lang w:val="en-US" w:eastAsia="zh-CN"/>
        </w:rPr>
        <w:t>(</w:t>
      </w:r>
      <w:r>
        <w:rPr>
          <w:rFonts w:hint="eastAsia" w:ascii="宋体" w:hAnsi="宋体" w:eastAsia="宋体" w:cs="宋体"/>
          <w:kern w:val="0"/>
          <w:sz w:val="24"/>
          <w:szCs w:val="24"/>
          <w:lang w:val="en-US" w:eastAsia="zh-CN"/>
        </w:rPr>
        <w:t>在本次采购文件所规定的期限中，若有不同期限自动适用其中期限较长者</w:t>
      </w:r>
      <w:r>
        <w:rPr>
          <w:rFonts w:hint="default" w:ascii="宋体" w:hAnsi="宋体" w:eastAsia="宋体" w:cs="宋体"/>
          <w:kern w:val="0"/>
          <w:sz w:val="24"/>
          <w:szCs w:val="24"/>
          <w:lang w:val="en-US" w:eastAsia="zh-CN"/>
        </w:rPr>
        <w:t>)</w:t>
      </w:r>
      <w:r>
        <w:rPr>
          <w:rFonts w:hint="eastAsia" w:ascii="宋体" w:hAnsi="宋体" w:eastAsia="宋体" w:cs="宋体"/>
          <w:kern w:val="0"/>
          <w:sz w:val="24"/>
          <w:szCs w:val="24"/>
          <w:lang w:val="en-US" w:eastAsia="zh-CN"/>
        </w:rPr>
        <w:t xml:space="preserve">。本合同项下货物的免费保修期或与质量相关的其它期限均自按照本合同约定方式完成最终验收并由甲方签署了项目验收单之日起算。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、如因甲方在使用中自行变更货物的硬件或软件而引起的缺陷，或因甲方 人员维护不当而损坏的货物或零部件，乙方不负保修责任，乙方应按照或比照本 合同相关条款规定提供更换或修理服务，由此引起的合理费用由甲方负担。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、如因乙方提供的货物硬件或软件有缺陷、服务达不到要求，或乙方提供的技术资料有错误，或乙方在现场的技术人员指导有错误而使合同货物不能达到 合同规定的指标和技术性能，乙方应负责按本合同相关条款规定修理或更换，使 货物运行指标和技术性能以及相关服务达到合同规定</w:t>
      </w:r>
      <w:r>
        <w:rPr>
          <w:rFonts w:hint="default" w:ascii="宋体" w:hAnsi="宋体" w:eastAsia="宋体" w:cs="宋体"/>
          <w:kern w:val="0"/>
          <w:sz w:val="24"/>
          <w:szCs w:val="24"/>
          <w:lang w:val="en-US" w:eastAsia="zh-CN"/>
        </w:rPr>
        <w:t>,</w:t>
      </w:r>
      <w:r>
        <w:rPr>
          <w:rFonts w:hint="eastAsia" w:ascii="宋体" w:hAnsi="宋体" w:eastAsia="宋体" w:cs="宋体"/>
          <w:kern w:val="0"/>
          <w:sz w:val="24"/>
          <w:szCs w:val="24"/>
          <w:lang w:val="en-US" w:eastAsia="zh-CN"/>
        </w:rPr>
        <w:t xml:space="preserve">由此引起的全部费用由乙 方承担。若以上原因导致或引起甲方损失及导致或引起第三方受到损害的，全部 赔偿责任均应由乙方承担。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、在免费保修期内，如果由于乙方更换、修理和续补货物或更换服务，而造成本合同不得不停止运行，保修期应依照停止运行的实际时间加以延长，如因 此给甲方造成损失，乙方应负责赔偿。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w:t>
      </w:r>
      <w:r>
        <w:rPr>
          <w:rFonts w:hint="eastAsia" w:ascii="宋体" w:hAnsi="宋体" w:eastAsia="宋体" w:cs="宋体"/>
          <w:kern w:val="0"/>
          <w:sz w:val="24"/>
          <w:szCs w:val="24"/>
          <w:lang w:val="en-US" w:eastAsia="zh-CN"/>
        </w:rPr>
        <w:t xml:space="preserve">、在免费保修期届满后，乙方保证继续为甲方提供设备的维修服务，甲方应按乙方提供的不差于任何第三方的优惠价格向乙方支付相关费用，乙方保证在 合同货物使用期内以不高于本合同货物、相关配件及服务的价格，并且不差于任 何第三方的优惠价格，向甲方提供备品、备件及维修服务。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w:t>
      </w:r>
      <w:r>
        <w:rPr>
          <w:rFonts w:hint="eastAsia" w:ascii="宋体" w:hAnsi="宋体" w:eastAsia="宋体" w:cs="宋体"/>
          <w:kern w:val="0"/>
          <w:sz w:val="24"/>
          <w:szCs w:val="24"/>
          <w:lang w:val="en-US" w:eastAsia="zh-CN"/>
        </w:rPr>
        <w:t xml:space="preserve">、本合同签订后及货物使用中，如涉及增加或改进安全性的软件升级问题， 无论甲方是否知晓或是否向乙方提出，乙方均应当在其刚开始应用该等软件时的 第一时间内，立即主动地、无条件地给与免费更新并调试完好。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lang w:val="en-US" w:eastAsia="zh-CN"/>
        </w:rPr>
        <w:t xml:space="preserve">、若由于甲方提出增加并不涉及安全性的新功能而引起的软件升级，相关 成本费由甲方承担，乙方不得赚取利润或拒绝、拖延。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8</w:t>
      </w:r>
      <w:r>
        <w:rPr>
          <w:rFonts w:hint="eastAsia" w:ascii="宋体" w:hAnsi="宋体" w:eastAsia="宋体" w:cs="宋体"/>
          <w:kern w:val="0"/>
          <w:sz w:val="24"/>
          <w:szCs w:val="24"/>
          <w:lang w:val="en-US" w:eastAsia="zh-CN"/>
        </w:rPr>
        <w:t xml:space="preserve">、若由于乙方增加并不涉及安全性的新功能引起软件升级，而且甲方愿意 增加该新功能时，由双方协商解决。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9</w:t>
      </w:r>
      <w:r>
        <w:rPr>
          <w:rFonts w:hint="eastAsia" w:ascii="宋体" w:hAnsi="宋体" w:eastAsia="宋体" w:cs="宋体"/>
          <w:kern w:val="0"/>
          <w:sz w:val="24"/>
          <w:szCs w:val="24"/>
          <w:lang w:val="en-US" w:eastAsia="zh-CN"/>
        </w:rPr>
        <w:t xml:space="preserve">、乙方保证，乙方依据本合同提供的货物、服务及相关的软件和技术资料， 乙方均已得到有关知识产权的权利人的合法授权，如发生涉及到专利权、著作权、 商标权等争议，乙方负责处理，并承担由此引起的全部法律及经济责任。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九、违约责任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、对本合同的任何违反均构成违约。当一方认为对方的违约属于严重违约 时，若按照相关法律规定或按照通常的理解或认识，确属对合同的履行有重大影 响，则应当被认为属于严重违约。若双方对某一违约是否属于严重违约仍有争议， 可以由争议解决机构裁决认定。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、若乙方未如期按照合同约定交付合同货物或提供服务、补足或更换货物， 或乙方未能履行合同规定的任何其他义务时，甲方有权直接向乙方发出违约通知 书，乙方应按照甲方选择的下列一种或多种方式承担赔偿责任及违约责任：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）在甲方同意延长的期限内交付全部货物、提供服务并承担由此给甲方造 成的直接损失及甲方因此产生的对第三方的责任。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 及甲方因此产生的对第三方的责任。此时，相关货物的质量保修期也应相应延长。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）根据货物、服务低劣程度、损坏程度以及使甲方所遭受的损失及甲方因此产生的对第三方的责任，经双方商定降低货物、服务的价格或赔偿甲方所遭受的损失及甲方因此产生的对第三方的责任。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）按合同规定的同种货币将甲方所退货物已支付的货款全部退还给甲方， 并承担由此发生的直接损失和相关费用及甲方因此产生的对第三方的责任。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w:t>
      </w:r>
      <w:r>
        <w:rPr>
          <w:rFonts w:hint="eastAsia" w:ascii="宋体" w:hAnsi="宋体" w:eastAsia="宋体" w:cs="宋体"/>
          <w:kern w:val="0"/>
          <w:sz w:val="24"/>
          <w:szCs w:val="24"/>
          <w:lang w:val="en-US" w:eastAsia="zh-CN"/>
        </w:rPr>
        <w:t xml:space="preserve">）甲方有权部分或全部解除合同并要求乙方赔偿由此造成的损失及甲方因 此产生的对第三方的责任。此时甲方可采取必要的补救措施，相关费用由乙方承 担。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w:t>
      </w:r>
      <w:r>
        <w:rPr>
          <w:rFonts w:hint="eastAsia" w:ascii="宋体" w:hAnsi="宋体" w:eastAsia="宋体" w:cs="宋体"/>
          <w:kern w:val="0"/>
          <w:sz w:val="24"/>
          <w:szCs w:val="24"/>
          <w:lang w:val="en-US" w:eastAsia="zh-CN"/>
        </w:rPr>
        <w:t xml:space="preserve">）此外，上述情形下甲方为采取必要的补救措施或因防止损失扩大而支出 的合理费用应由乙方承担。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、如果乙方在收到甲方的违约通知书 </w:t>
      </w:r>
      <w:r>
        <w:rPr>
          <w:rFonts w:hint="default" w:ascii="宋体" w:hAnsi="宋体" w:eastAsia="宋体" w:cs="宋体"/>
          <w:kern w:val="0"/>
          <w:sz w:val="24"/>
          <w:szCs w:val="24"/>
          <w:lang w:val="en-US" w:eastAsia="zh-CN"/>
        </w:rPr>
        <w:t xml:space="preserve">5 </w:t>
      </w:r>
      <w:r>
        <w:rPr>
          <w:rFonts w:hint="eastAsia" w:ascii="宋体" w:hAnsi="宋体" w:eastAsia="宋体" w:cs="宋体"/>
          <w:kern w:val="0"/>
          <w:sz w:val="24"/>
          <w:szCs w:val="24"/>
          <w:lang w:val="en-US" w:eastAsia="zh-CN"/>
        </w:rPr>
        <w:t xml:space="preserve">个工作日内未作答复也没有按照甲 方选择的方式承担违约责任，则甲方有权从尚未支付的合同价款中扣回相当于甲 方选择的方式计算的索赔金额。如果这些金额不足以补偿，甲方有权向乙方提出 不足部分的赔偿要求。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、除有另行约定外，甲方如延期付款，每逾期 </w:t>
      </w:r>
      <w:r>
        <w:rPr>
          <w:rFonts w:hint="default" w:ascii="宋体" w:hAnsi="宋体" w:eastAsia="宋体" w:cs="宋体"/>
          <w:kern w:val="0"/>
          <w:sz w:val="24"/>
          <w:szCs w:val="24"/>
          <w:lang w:val="en-US" w:eastAsia="zh-CN"/>
        </w:rPr>
        <w:t xml:space="preserve">1 </w:t>
      </w:r>
      <w:r>
        <w:rPr>
          <w:rFonts w:hint="eastAsia" w:ascii="宋体" w:hAnsi="宋体" w:eastAsia="宋体" w:cs="宋体"/>
          <w:kern w:val="0"/>
          <w:sz w:val="24"/>
          <w:szCs w:val="24"/>
          <w:lang w:val="en-US" w:eastAsia="zh-CN"/>
        </w:rPr>
        <w:t xml:space="preserve">日，按应付金额 </w:t>
      </w:r>
      <w:r>
        <w:rPr>
          <w:rFonts w:hint="default" w:ascii="宋体" w:hAnsi="宋体" w:eastAsia="宋体" w:cs="宋体"/>
          <w:kern w:val="0"/>
          <w:sz w:val="24"/>
          <w:szCs w:val="24"/>
          <w:lang w:val="en-US" w:eastAsia="zh-CN"/>
        </w:rPr>
        <w:t>0.3</w:t>
      </w:r>
      <w:r>
        <w:rPr>
          <w:rFonts w:hint="eastAsia" w:ascii="宋体" w:hAnsi="宋体" w:eastAsia="宋体" w:cs="宋体"/>
          <w:kern w:val="0"/>
          <w:sz w:val="24"/>
          <w:szCs w:val="24"/>
          <w:lang w:val="en-US" w:eastAsia="zh-CN"/>
        </w:rPr>
        <w:t xml:space="preserve">‰支付违约金；乙方如延期交付，每延迟 </w:t>
      </w:r>
      <w:r>
        <w:rPr>
          <w:rFonts w:hint="default" w:ascii="宋体" w:hAnsi="宋体" w:eastAsia="宋体" w:cs="宋体"/>
          <w:kern w:val="0"/>
          <w:sz w:val="24"/>
          <w:szCs w:val="24"/>
          <w:lang w:val="en-US" w:eastAsia="zh-CN"/>
        </w:rPr>
        <w:t xml:space="preserve">1 </w:t>
      </w:r>
      <w:r>
        <w:rPr>
          <w:rFonts w:hint="eastAsia" w:ascii="宋体" w:hAnsi="宋体" w:eastAsia="宋体" w:cs="宋体"/>
          <w:kern w:val="0"/>
          <w:sz w:val="24"/>
          <w:szCs w:val="24"/>
          <w:lang w:val="en-US" w:eastAsia="zh-CN"/>
        </w:rPr>
        <w:t xml:space="preserve">日，按应交付货物总额 </w:t>
      </w:r>
      <w:r>
        <w:rPr>
          <w:rFonts w:hint="default" w:ascii="宋体" w:hAnsi="宋体" w:eastAsia="宋体" w:cs="宋体"/>
          <w:kern w:val="0"/>
          <w:sz w:val="24"/>
          <w:szCs w:val="24"/>
          <w:lang w:val="en-US" w:eastAsia="zh-CN"/>
        </w:rPr>
        <w:t>0.3</w:t>
      </w:r>
      <w:r>
        <w:rPr>
          <w:rFonts w:hint="eastAsia" w:ascii="宋体" w:hAnsi="宋体" w:eastAsia="宋体" w:cs="宋体"/>
          <w:kern w:val="0"/>
          <w:sz w:val="24"/>
          <w:szCs w:val="24"/>
          <w:lang w:val="en-US" w:eastAsia="zh-CN"/>
        </w:rPr>
        <w:t>‰支付违约金。</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w:t>
      </w:r>
      <w:r>
        <w:rPr>
          <w:rFonts w:hint="eastAsia" w:ascii="宋体" w:hAnsi="宋体" w:eastAsia="宋体" w:cs="宋体"/>
          <w:kern w:val="0"/>
          <w:sz w:val="24"/>
          <w:szCs w:val="24"/>
          <w:lang w:val="en-US" w:eastAsia="zh-CN"/>
        </w:rPr>
        <w:t xml:space="preserve">、当违约行为给对方造成损失时，若违约金不足以弥补全部损失，违约方还应当赔偿对方因此所受全部损失。当构成严重违约时，对方可以单方面决定解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除或终止合同履行，违约方同时还应当承担违约或赔偿责任。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lang w:val="en-US" w:eastAsia="zh-CN"/>
        </w:rPr>
        <w:t xml:space="preserve">、以上各项交付的违约金并不影响违约方履行合同的各项义务。 </w:t>
      </w:r>
    </w:p>
    <w:p>
      <w:pPr>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十、不可抗力</w:t>
      </w:r>
      <w:r>
        <w:rPr>
          <w:rFonts w:hint="eastAsia" w:ascii="宋体" w:hAnsi="宋体" w:eastAsia="宋体" w:cs="宋体"/>
          <w:kern w:val="0"/>
          <w:sz w:val="24"/>
          <w:szCs w:val="24"/>
          <w:lang w:val="en-US" w:eastAsia="zh-CN"/>
        </w:rPr>
        <w:t xml:space="preserve">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、不可抗力指下列事件：战争、动乱、瘟疫、严重火灾、洪水、地震、风暴或其他自然灾害，以及本合同各方不可预见、不可防止并不能避免或克服的一切其他因素及事件。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、任何一方因不可抗力不能履行本合同规定的全部或部分义务，该方应尽 快通知另一方，并须在不可抗力发生后三日内以书面形式向另一方提供详细情况报告及不可抗力对履行本合同的影响程度的说明。就上述不可抗力的发生须由受 到不可抗力影响的一方负责同时提供由公证机关做出的公证证明。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、发生不可抗力事件，任何一方均不对因不可抗力无法履行或迟延履行本 合同义务而使另一方蒙受的任何损失承担责任。但遭受不可抗力影响的一方有责 任尽可能及时采取适当或必要措施减少或消除不可抗力的影响。遭受不可抗力影 </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响的一方对因未尽本项责任而造成的相关损失承担责任。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、合同各方应根据不可抗力对本合同履行的影响程度，协商确定是否终止 本合同，或是继续履行本合同。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十一、联系方式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、合同双方发出与本合同有关的通知或回复，应以专人送递、传真或特快专递方式发出；如果以专人送递或特快专递发送，以送达至对方的住所地或通讯 联络地为送达；如果以传真方式发送，发件人在收到传真报告后视为送达；如果 采用电话或电子邮件的方式，则应在发送后由对方以书面方式予以确认。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、合同双方发出的与本合同有关的通知或回复均应发至招标文件与投标文 件中的通讯地址，一方变更通讯地址或帐号，应自变更之日起 </w:t>
      </w:r>
      <w:r>
        <w:rPr>
          <w:rFonts w:hint="default" w:ascii="宋体" w:hAnsi="宋体" w:eastAsia="宋体" w:cs="宋体"/>
          <w:kern w:val="0"/>
          <w:sz w:val="24"/>
          <w:szCs w:val="24"/>
          <w:lang w:val="en-US" w:eastAsia="zh-CN"/>
        </w:rPr>
        <w:t xml:space="preserve">3 </w:t>
      </w:r>
      <w:r>
        <w:rPr>
          <w:rFonts w:hint="eastAsia" w:ascii="宋体" w:hAnsi="宋体" w:eastAsia="宋体" w:cs="宋体"/>
          <w:kern w:val="0"/>
          <w:sz w:val="24"/>
          <w:szCs w:val="24"/>
          <w:lang w:val="en-US" w:eastAsia="zh-CN"/>
        </w:rPr>
        <w:t xml:space="preserve">个工作日内，将变更后的地址通知对方。变更方不履行通知义务的，应对此造成的一切后果承担法律责任。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、上述发出通知、回复的费用由发出一方承担。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十二、保密条款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1、任何一方对其获知的本合同及附件中其他各方的商业秘密和国家秘密负 有保密义务。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、在下列情形下：当发布中标公告和其他公告时，当国家机关调查、审查、 审计时，以及其他符合法律规定的情形下，无须事先征求乙方同意而可以披露关 于采购过程、合同文本、签署情况的资料、乙方的名称及地址、采购内容的有关 信息以及补充条款等，但应当在合理的必要范围内。对任何已经公布过的内容或 与之内容相同的资料，以及乙方已经泄露或公开的，无须再承担保密责任。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 信息之日止。 </w:t>
      </w:r>
    </w:p>
    <w:p>
      <w:pPr>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十三、合同的解释</w:t>
      </w:r>
      <w:r>
        <w:rPr>
          <w:rFonts w:hint="eastAsia" w:ascii="宋体" w:hAnsi="宋体" w:eastAsia="宋体" w:cs="宋体"/>
          <w:kern w:val="0"/>
          <w:sz w:val="24"/>
          <w:szCs w:val="24"/>
          <w:lang w:val="en-US" w:eastAsia="zh-CN"/>
        </w:rPr>
        <w:t xml:space="preserve">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、任何一方对本合同及其附件的解释均应遵循诚实信用原则</w:t>
      </w:r>
      <w:r>
        <w:rPr>
          <w:rFonts w:hint="default" w:ascii="宋体" w:hAnsi="宋体" w:eastAsia="宋体" w:cs="宋体"/>
          <w:kern w:val="0"/>
          <w:sz w:val="24"/>
          <w:szCs w:val="24"/>
          <w:lang w:val="en-US" w:eastAsia="zh-CN"/>
        </w:rPr>
        <w:t>,</w:t>
      </w:r>
      <w:r>
        <w:rPr>
          <w:rFonts w:hint="eastAsia" w:ascii="宋体" w:hAnsi="宋体" w:eastAsia="宋体" w:cs="宋体"/>
          <w:kern w:val="0"/>
          <w:sz w:val="24"/>
          <w:szCs w:val="24"/>
          <w:lang w:val="en-US" w:eastAsia="zh-CN"/>
        </w:rPr>
        <w:t xml:space="preserve">依照本合同签 订时有效的中国法律、法规以及通常的理解进行。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、本合同标题仅供查阅方便，并非对本合同的诠释或解释；本合同中以日表述的时间期限均指自然日。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、对本合同的任何解释均应以书面做出。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十四、合同的终止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、本合同因下列原因而终止：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）本合同正常履行完毕；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）合同双方协议终止本合同的履行；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）不可抗力事件导致本合同无法履行或履行不必要；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w:t>
      </w:r>
      <w:r>
        <w:rPr>
          <w:rFonts w:hint="eastAsia" w:ascii="宋体" w:hAnsi="宋体" w:eastAsia="宋体" w:cs="宋体"/>
          <w:kern w:val="0"/>
          <w:sz w:val="24"/>
          <w:szCs w:val="24"/>
          <w:lang w:val="en-US" w:eastAsia="zh-CN"/>
        </w:rPr>
        <w:t xml:space="preserve">）任何一方行使解除权，解除本合同。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、对本合同终止有过错的一方应赔偿另一方因合同终止而受到的损失。对 合同终止双方均无过错的，则各自承担所受到的损失。 </w:t>
      </w:r>
    </w:p>
    <w:p>
      <w:pPr>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十五、法律适用</w:t>
      </w:r>
      <w:r>
        <w:rPr>
          <w:rFonts w:hint="eastAsia" w:ascii="宋体" w:hAnsi="宋体" w:eastAsia="宋体" w:cs="宋体"/>
          <w:kern w:val="0"/>
          <w:sz w:val="24"/>
          <w:szCs w:val="24"/>
          <w:lang w:val="en-US" w:eastAsia="zh-CN"/>
        </w:rPr>
        <w:t xml:space="preserve">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、本合同及附件的订立、效力、解释、履行、争议的解决等适用本合同签订时有效的中华人民共和国法律、法规的有关规定。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在本合同履行期间，因中华人民共和国法律、法规、政策的变化致使本合同的部分条款相冲突、无效或失去可强制执行效力时，双方同意将密切合作，尽快修改本合同中相冲突或无效或失去强制执行效力的有关条款。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十六、权利的保留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、如果本合同部分条款依据现行有关法律、法规被确认为无效或无法履行，且该部分无效或无法履行的条款不影响本合同其他条款效力的，本合同其他条款 继续有效；同时，合同双方应根据现行有关法律、法规对该部分无效或无法履行 的条款进行调整，使其依法成为有效条款，并尽量符合本合同所体现的原则和精 神。 </w:t>
      </w:r>
    </w:p>
    <w:p>
      <w:pPr>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十七、争议的解决</w:t>
      </w:r>
      <w:r>
        <w:rPr>
          <w:rFonts w:hint="eastAsia" w:ascii="宋体" w:hAnsi="宋体" w:eastAsia="宋体" w:cs="宋体"/>
          <w:kern w:val="0"/>
          <w:sz w:val="24"/>
          <w:szCs w:val="24"/>
          <w:lang w:val="en-US" w:eastAsia="zh-CN"/>
        </w:rPr>
        <w:t xml:space="preserve">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、合同双方应通过友好协商解决因解释﹑执行本合同所发生的和本合同有关的一切争议。如果经协商不能达成协议，可以采用以下方式解决（按照招标文 件的规定）：</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）提交和田仲裁委员会仲 裁；</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）向甲方所在地人民法院起诉。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、本合同甲、乙双方一致认为，本合同仅属于甲、乙双方之间的协议，任何争议均只应当按照本合同的约定方式处理，任何情形下采购代理机构均不应当 成为该等争议的当事人，无论该等仲裁或诉讼均不得针对采购代理机构提起。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、在争议解决期间，除了诉讼或仲裁进行过程中正在解决的那部分问题外， 合同其余部分应继续履行。 </w:t>
      </w:r>
    </w:p>
    <w:p>
      <w:pPr>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十八、合同的生效 </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本合同经甲乙双方法定代表人或授权代理人签字加盖单位公章，乙方按时、 足额提交履约保证金，和田公共资源交易中心备案后生效。 </w:t>
      </w:r>
    </w:p>
    <w:p>
      <w:pPr>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十九、其他约定事项</w:t>
      </w:r>
      <w:r>
        <w:rPr>
          <w:rFonts w:hint="eastAsia" w:ascii="宋体" w:hAnsi="宋体" w:eastAsia="宋体" w:cs="宋体"/>
          <w:kern w:val="0"/>
          <w:sz w:val="24"/>
          <w:szCs w:val="24"/>
          <w:lang w:val="en-US" w:eastAsia="zh-CN"/>
        </w:rPr>
        <w:t xml:space="preserve">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w:t>
      </w:r>
      <w:r>
        <w:rPr>
          <w:rFonts w:hint="eastAsia" w:ascii="宋体" w:hAnsi="宋体" w:eastAsia="宋体" w:cs="宋体"/>
          <w:kern w:val="0"/>
          <w:sz w:val="24"/>
          <w:szCs w:val="24"/>
          <w:lang w:val="en-US" w:eastAsia="zh-CN"/>
        </w:rPr>
        <w:t xml:space="preserve">、本合同中的附件均为本合同不可分割的部分，与本合同具有相同的法律 效力。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r>
        <w:rPr>
          <w:rFonts w:hint="eastAsia" w:ascii="宋体" w:hAnsi="宋体" w:eastAsia="宋体" w:cs="宋体"/>
          <w:kern w:val="0"/>
          <w:sz w:val="24"/>
          <w:szCs w:val="24"/>
          <w:lang w:val="en-US" w:eastAsia="zh-CN"/>
        </w:rPr>
        <w:t xml:space="preserve">、不得将合同转让给第三人，有关分包事项或服务委托等须事先取得甲方和采购代理机构书面同意并且须遵守相关法律、法规；有关联合投标须在本次招 标允许的情况下并须符合本次招标的全部规定。 </w:t>
      </w:r>
    </w:p>
    <w:p>
      <w:pPr>
        <w:spacing w:line="360" w:lineRule="auto"/>
        <w:ind w:firstLine="480" w:firstLineChars="200"/>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w:t>
      </w:r>
      <w:r>
        <w:rPr>
          <w:rFonts w:hint="eastAsia" w:ascii="宋体" w:hAnsi="宋体" w:eastAsia="宋体" w:cs="宋体"/>
          <w:kern w:val="0"/>
          <w:sz w:val="24"/>
          <w:szCs w:val="24"/>
          <w:lang w:val="en-US" w:eastAsia="zh-CN"/>
        </w:rPr>
        <w:t xml:space="preserve">、本合同一式五份，具有同等法律效力。 </w:t>
      </w:r>
    </w:p>
    <w:p>
      <w:pPr>
        <w:pStyle w:val="27"/>
        <w:snapToGrid w:val="0"/>
        <w:ind w:left="0" w:leftChars="0" w:firstLine="0" w:firstLineChars="0"/>
        <w:rPr>
          <w:rFonts w:hint="eastAsia" w:ascii="宋体" w:hAnsi="宋体" w:eastAsia="宋体" w:cs="宋体"/>
          <w:sz w:val="24"/>
          <w:szCs w:val="24"/>
        </w:rPr>
      </w:pP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pStyle w:val="28"/>
        <w:jc w:val="center"/>
        <w:rPr>
          <w:rFonts w:hint="eastAsia" w:ascii="宋体" w:hAnsi="宋体" w:cs="宋体"/>
          <w:b/>
          <w:sz w:val="32"/>
          <w:szCs w:val="28"/>
          <w:lang w:val="en-US" w:eastAsia="zh-CN"/>
        </w:rPr>
      </w:pPr>
    </w:p>
    <w:p>
      <w:pPr>
        <w:pStyle w:val="28"/>
        <w:jc w:val="center"/>
        <w:rPr>
          <w:rFonts w:hint="eastAsia" w:ascii="宋体" w:hAnsi="宋体" w:cs="宋体"/>
          <w:b/>
          <w:sz w:val="32"/>
          <w:szCs w:val="28"/>
          <w:lang w:val="en-US" w:eastAsia="zh-CN"/>
        </w:rPr>
      </w:pPr>
    </w:p>
    <w:p>
      <w:pPr>
        <w:pStyle w:val="28"/>
        <w:jc w:val="center"/>
        <w:rPr>
          <w:rFonts w:hint="eastAsia" w:ascii="宋体" w:hAnsi="宋体" w:cs="宋体"/>
          <w:b/>
          <w:sz w:val="32"/>
          <w:szCs w:val="28"/>
          <w:lang w:val="en-US" w:eastAsia="zh-CN"/>
        </w:rPr>
      </w:pPr>
    </w:p>
    <w:p>
      <w:pPr>
        <w:pStyle w:val="28"/>
        <w:jc w:val="center"/>
        <w:rPr>
          <w:rFonts w:hint="eastAsia" w:ascii="宋体" w:hAnsi="宋体" w:cs="宋体"/>
          <w:b/>
          <w:sz w:val="32"/>
          <w:szCs w:val="28"/>
          <w:lang w:val="en-US" w:eastAsia="zh-CN"/>
        </w:rPr>
      </w:pPr>
    </w:p>
    <w:p>
      <w:pPr>
        <w:pStyle w:val="28"/>
        <w:jc w:val="center"/>
        <w:rPr>
          <w:rFonts w:hint="eastAsia" w:ascii="宋体" w:hAnsi="宋体" w:cs="宋体"/>
          <w:b/>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spacing w:val="-3"/>
          <w:kern w:val="2"/>
          <w:sz w:val="36"/>
          <w:szCs w:val="36"/>
          <w:lang w:val="en-US" w:eastAsia="zh-CN" w:bidi="ar-SA"/>
          <w14:textOutline w14:w="6531" w14:cap="flat" w14:cmpd="sng">
            <w14:solidFill>
              <w14:srgbClr w14:val="000000"/>
            </w14:solidFill>
            <w14:prstDash w14:val="solid"/>
            <w14:miter w14:val="0"/>
          </w14:textOutline>
        </w:rPr>
        <w:t>第五章 投标文件格式</w:t>
      </w:r>
    </w:p>
    <w:p>
      <w:pPr>
        <w:pStyle w:val="28"/>
        <w:jc w:val="both"/>
        <w:rPr>
          <w:rFonts w:hint="eastAsia" w:ascii="宋体" w:hAnsi="宋体" w:cs="宋体"/>
          <w:b/>
          <w:sz w:val="28"/>
          <w:szCs w:val="28"/>
        </w:rPr>
        <w:sectPr>
          <w:pgSz w:w="11906" w:h="16838"/>
          <w:pgMar w:top="1440" w:right="1800" w:bottom="1440" w:left="1800" w:header="851" w:footer="992" w:gutter="0"/>
          <w:pgNumType w:fmt="numberInDash"/>
          <w:cols w:space="425" w:num="1"/>
          <w:docGrid w:type="lines" w:linePitch="312" w:charSpace="0"/>
        </w:sectPr>
      </w:pPr>
    </w:p>
    <w:p>
      <w:pPr>
        <w:pStyle w:val="28"/>
        <w:jc w:val="center"/>
        <w:rPr>
          <w:rFonts w:hint="eastAsia" w:ascii="宋体" w:hAnsi="宋体" w:cs="宋体"/>
          <w:b/>
          <w:sz w:val="28"/>
          <w:szCs w:val="28"/>
        </w:rPr>
      </w:pPr>
      <w:r>
        <w:rPr>
          <w:rFonts w:hint="eastAsia" w:ascii="宋体" w:hAnsi="宋体" w:cs="宋体"/>
          <w:sz w:val="28"/>
        </w:rPr>
        <mc:AlternateContent>
          <mc:Choice Requires="wps">
            <w:drawing>
              <wp:anchor distT="0" distB="0" distL="114300" distR="114300" simplePos="0" relativeHeight="251660288" behindDoc="0" locked="0" layoutInCell="1" allowOverlap="1">
                <wp:simplePos x="0" y="0"/>
                <wp:positionH relativeFrom="column">
                  <wp:posOffset>4482465</wp:posOffset>
                </wp:positionH>
                <wp:positionV relativeFrom="paragraph">
                  <wp:posOffset>137160</wp:posOffset>
                </wp:positionV>
                <wp:extent cx="825500" cy="404495"/>
                <wp:effectExtent l="5080" t="4445" r="7620" b="1778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 id="文本框 68" o:spid="_x0000_s1026" o:spt="202" type="#_x0000_t202" style="position:absolute;left:0pt;margin-left:352.95pt;margin-top:10.8pt;height:31.85pt;width:65pt;z-index:251660288;mso-width-relative:page;mso-height-relative:page;" filled="f" stroked="t" coordsize="21600,21600" o:gfxdata="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cHyfDXAAAACQEAAA8AAAAAAAAAAQAgAAAA&#10;IgAAAGRycy9kb3ducmV2LnhtbFBLAQIUABQAAAAIAIdO4kAlquIODAIAAAEEAAAOAAAAAAAAAAEA&#10;IAAAACYBAABkcnMvZTJvRG9jLnhtbFBLBQYAAAAABgAGAFkBAACkBQAAA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v:shape>
            </w:pict>
          </mc:Fallback>
        </mc:AlternateContent>
      </w:r>
    </w:p>
    <w:p>
      <w:pPr>
        <w:pStyle w:val="28"/>
        <w:jc w:val="center"/>
        <w:rPr>
          <w:rFonts w:hint="eastAsia" w:ascii="宋体" w:hAnsi="宋体" w:cs="宋体"/>
          <w:sz w:val="28"/>
          <w:szCs w:val="28"/>
          <w:bdr w:val="single" w:color="auto" w:sz="4" w:space="0"/>
        </w:rPr>
      </w:pPr>
    </w:p>
    <w:p>
      <w:pPr>
        <w:pStyle w:val="28"/>
        <w:jc w:val="center"/>
        <w:rPr>
          <w:rFonts w:hint="eastAsia" w:ascii="宋体" w:hAnsi="宋体" w:cs="宋体"/>
          <w:sz w:val="28"/>
          <w:szCs w:val="28"/>
        </w:rPr>
      </w:pPr>
    </w:p>
    <w:p>
      <w:pPr>
        <w:ind w:right="980"/>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rPr>
          <w:rFonts w:hint="eastAsia" w:ascii="宋体" w:hAnsi="宋体" w:cs="宋体"/>
          <w:color w:val="000000"/>
          <w:sz w:val="28"/>
          <w:szCs w:val="28"/>
        </w:rPr>
      </w:pPr>
      <w:r>
        <w:rPr>
          <w:rFonts w:hint="eastAsia" w:ascii="宋体" w:hAnsi="宋体" w:cs="宋体"/>
          <w:color w:val="000000"/>
          <w:sz w:val="20"/>
        </w:rPr>
        <w:t xml:space="preserve">             </w:t>
      </w:r>
    </w:p>
    <w:p>
      <w:pPr>
        <w:ind w:firstLine="280" w:firstLineChars="100"/>
        <w:rPr>
          <w:rFonts w:hint="eastAsia" w:ascii="宋体" w:hAnsi="宋体" w:cs="宋体"/>
          <w:color w:val="000000"/>
          <w:sz w:val="28"/>
          <w:szCs w:val="28"/>
          <w:u w:val="single"/>
        </w:rPr>
      </w:pPr>
      <w:r>
        <w:rPr>
          <w:rFonts w:hint="eastAsia" w:ascii="宋体" w:hAnsi="宋体" w:cs="宋体"/>
          <w:color w:val="000000"/>
          <w:sz w:val="28"/>
          <w:szCs w:val="28"/>
        </w:rPr>
        <w:t xml:space="preserve">     采购文件编号： </w:t>
      </w:r>
      <w:r>
        <w:rPr>
          <w:rFonts w:hint="eastAsia" w:ascii="宋体" w:hAnsi="宋体" w:cs="宋体"/>
          <w:color w:val="000000"/>
          <w:sz w:val="28"/>
          <w:szCs w:val="28"/>
          <w:u w:val="single"/>
        </w:rPr>
        <w:t xml:space="preserve">                      </w:t>
      </w:r>
    </w:p>
    <w:p>
      <w:pPr>
        <w:rPr>
          <w:rFonts w:hint="eastAsia" w:ascii="宋体" w:hAnsi="宋体" w:cs="宋体"/>
          <w:color w:val="000000"/>
          <w:sz w:val="20"/>
        </w:rPr>
      </w:pPr>
    </w:p>
    <w:p>
      <w:pPr>
        <w:rPr>
          <w:rFonts w:hint="eastAsia" w:ascii="宋体" w:hAnsi="宋体" w:cs="宋体"/>
          <w:color w:val="000000"/>
          <w:sz w:val="20"/>
        </w:rPr>
      </w:pPr>
    </w:p>
    <w:p>
      <w:pPr>
        <w:pStyle w:val="29"/>
        <w:rPr>
          <w:rFonts w:hint="eastAsia"/>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投  标  文  件</w:t>
      </w:r>
    </w:p>
    <w:p>
      <w:pPr>
        <w:rPr>
          <w:rFonts w:hint="eastAsia" w:ascii="宋体" w:hAnsi="宋体" w:cs="宋体"/>
          <w:bCs/>
          <w:color w:val="000000"/>
          <w:sz w:val="30"/>
          <w:szCs w:val="30"/>
        </w:rPr>
      </w:pPr>
    </w:p>
    <w:p>
      <w:pPr>
        <w:rPr>
          <w:rFonts w:hint="eastAsia" w:ascii="宋体" w:hAnsi="宋体" w:cs="宋体"/>
          <w:bCs/>
          <w:color w:val="000000"/>
          <w:sz w:val="30"/>
          <w:szCs w:val="30"/>
        </w:rPr>
      </w:pPr>
    </w:p>
    <w:p>
      <w:pPr>
        <w:pStyle w:val="29"/>
        <w:rPr>
          <w:rFonts w:hint="eastAsia" w:ascii="宋体" w:hAnsi="宋体" w:cs="宋体"/>
          <w:bCs/>
          <w:color w:val="000000"/>
          <w:sz w:val="30"/>
          <w:szCs w:val="30"/>
        </w:rPr>
      </w:pPr>
    </w:p>
    <w:p>
      <w:pPr>
        <w:rPr>
          <w:rFonts w:hint="eastAsia" w:ascii="宋体" w:hAnsi="宋体" w:cs="宋体"/>
          <w:bCs/>
          <w:color w:val="000000"/>
          <w:sz w:val="30"/>
          <w:szCs w:val="30"/>
        </w:rPr>
      </w:pPr>
    </w:p>
    <w:p>
      <w:pPr>
        <w:jc w:val="both"/>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jc w:val="both"/>
        <w:rPr>
          <w:rFonts w:hint="eastAsia" w:ascii="宋体" w:hAnsi="宋体" w:cs="宋体"/>
          <w:color w:val="000000"/>
          <w:sz w:val="28"/>
          <w:szCs w:val="28"/>
        </w:rPr>
      </w:pPr>
    </w:p>
    <w:p>
      <w:pPr>
        <w:jc w:val="both"/>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r>
        <w:rPr>
          <w:rFonts w:hint="eastAsia" w:ascii="宋体" w:hAnsi="宋体" w:cs="宋体"/>
          <w:color w:val="000000"/>
          <w:sz w:val="28"/>
          <w:szCs w:val="28"/>
          <w:lang w:val="en-US" w:eastAsia="zh-CN"/>
        </w:rPr>
        <w:t>并</w:t>
      </w:r>
      <w:r>
        <w:rPr>
          <w:rFonts w:hint="eastAsia" w:ascii="宋体" w:hAnsi="宋体" w:cs="宋体"/>
          <w:color w:val="000000"/>
          <w:sz w:val="28"/>
          <w:szCs w:val="28"/>
        </w:rPr>
        <w:t>盖章）</w:t>
      </w:r>
    </w:p>
    <w:p>
      <w:pPr>
        <w:pStyle w:val="29"/>
        <w:jc w:val="both"/>
        <w:rPr>
          <w:rFonts w:hint="eastAsia" w:ascii="宋体" w:hAnsi="宋体" w:cs="宋体"/>
          <w:color w:val="000000"/>
          <w:sz w:val="28"/>
          <w:szCs w:val="28"/>
        </w:rPr>
      </w:pPr>
    </w:p>
    <w:p>
      <w:pPr>
        <w:jc w:val="center"/>
        <w:rPr>
          <w:rFonts w:hint="eastAsia" w:ascii="宋体" w:hAnsi="宋体" w:cs="宋体"/>
          <w:color w:val="000000"/>
        </w:rPr>
      </w:pPr>
      <w:r>
        <w:rPr>
          <w:rFonts w:hint="eastAsia" w:ascii="宋体" w:hAnsi="宋体" w:cs="宋体"/>
          <w:color w:val="000000"/>
        </w:rPr>
        <w:t xml:space="preserve">      </w:t>
      </w:r>
    </w:p>
    <w:p>
      <w:pPr>
        <w:jc w:val="center"/>
        <w:rPr>
          <w:rFonts w:hint="eastAsia" w:ascii="宋体" w:hAnsi="宋体" w:cs="宋体"/>
          <w:color w:val="000000"/>
        </w:rPr>
      </w:pPr>
    </w:p>
    <w:p>
      <w:pPr>
        <w:jc w:val="center"/>
        <w:rPr>
          <w:rFonts w:hint="eastAsia" w:ascii="宋体" w:hAnsi="宋体" w:cs="宋体"/>
          <w:color w:val="000000"/>
          <w:sz w:val="28"/>
          <w:szCs w:val="28"/>
        </w:rPr>
      </w:pPr>
      <w:r>
        <w:rPr>
          <w:rFonts w:hint="eastAsia" w:ascii="宋体" w:hAnsi="宋体" w:cs="宋体"/>
          <w:color w:val="000000"/>
          <w:sz w:val="28"/>
          <w:szCs w:val="28"/>
        </w:rPr>
        <w:t xml:space="preserve"> 年        月        日</w:t>
      </w: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jc w:val="center"/>
        <w:rPr>
          <w:rFonts w:hint="eastAsia" w:ascii="宋体" w:hAnsi="宋体" w:cs="宋体"/>
          <w:b/>
          <w:bCs/>
          <w:color w:val="000000"/>
          <w:sz w:val="32"/>
          <w:szCs w:val="44"/>
          <w:lang w:val="en-US" w:eastAsia="zh-CN"/>
        </w:rPr>
      </w:pPr>
      <w:r>
        <w:rPr>
          <w:rFonts w:hint="eastAsia" w:ascii="宋体" w:hAnsi="宋体" w:cs="宋体"/>
          <w:b/>
          <w:bCs/>
          <w:color w:val="000000"/>
          <w:sz w:val="32"/>
          <w:szCs w:val="44"/>
          <w:lang w:val="en-US" w:eastAsia="zh-CN"/>
        </w:rPr>
        <w:t>目录</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第一节 经济报价部分</w:t>
      </w:r>
    </w:p>
    <w:p>
      <w:pPr>
        <w:spacing w:line="360" w:lineRule="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投标书</w:t>
      </w:r>
    </w:p>
    <w:p>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开标一览表</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3、投标报价明细表</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第二节 商务部分</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1、投标单位简介</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2、出具法人营业执照函</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3、法定代表人身份证明</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4、法定代表人授权委托书</w:t>
      </w:r>
    </w:p>
    <w:p>
      <w:pPr>
        <w:pStyle w:val="2"/>
        <w:rPr>
          <w:rFonts w:hint="default"/>
          <w:lang w:val="en-US" w:eastAsia="zh-CN"/>
        </w:rPr>
      </w:pPr>
      <w:r>
        <w:rPr>
          <w:rFonts w:hint="eastAsia" w:ascii="宋体" w:hAnsi="宋体" w:cs="宋体"/>
          <w:kern w:val="0"/>
          <w:sz w:val="24"/>
          <w:szCs w:val="24"/>
          <w:lang w:val="en-US" w:eastAsia="zh-CN"/>
        </w:rPr>
        <w:t>5、中小企业声明函（如是）</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6、</w:t>
      </w:r>
      <w:r>
        <w:rPr>
          <w:rFonts w:hint="eastAsia"/>
        </w:rPr>
        <w:t>提供 202</w:t>
      </w:r>
      <w:r>
        <w:t>3</w:t>
      </w:r>
      <w:r>
        <w:rPr>
          <w:rFonts w:hint="eastAsia"/>
        </w:rPr>
        <w:t xml:space="preserve"> 年税务机关出具近一个月填报日期的完税证明</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7、国家企业信用信息公示（http://www.gsxt.gov.cn/）查询结果；</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8、信用中国（www.creditchina.gov.cn）查询结果；</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9、中国政府采购网（www.ccgp.gov.cn）查询结果；</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10、中国裁判文书网（http://wenshu.court.gov.cn/）查询结果；</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11、提供 2021 年度由第三方财务审计机构出具的财务审计报告； </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12、投标企业近三年的业绩表及相关证明</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13、售后服务承诺</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14、商务偏离表</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15、</w:t>
      </w:r>
      <w:r>
        <w:rPr>
          <w:rFonts w:hint="default" w:ascii="宋体" w:hAnsi="宋体" w:cs="宋体"/>
          <w:kern w:val="0"/>
          <w:sz w:val="24"/>
          <w:szCs w:val="24"/>
          <w:lang w:val="en-US" w:eastAsia="zh-CN"/>
        </w:rPr>
        <w:t>质量保证书</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16、</w:t>
      </w:r>
      <w:r>
        <w:rPr>
          <w:rFonts w:hint="default" w:ascii="宋体" w:hAnsi="宋体" w:cs="宋体"/>
          <w:kern w:val="0"/>
          <w:sz w:val="24"/>
          <w:szCs w:val="24"/>
          <w:lang w:val="en-US" w:eastAsia="zh-CN"/>
        </w:rPr>
        <w:t>供应商反商业贿赂承诺</w:t>
      </w:r>
      <w:r>
        <w:rPr>
          <w:rFonts w:hint="eastAsia" w:ascii="宋体" w:hAnsi="宋体" w:cs="宋体"/>
          <w:kern w:val="0"/>
          <w:sz w:val="24"/>
          <w:szCs w:val="24"/>
          <w:lang w:val="en-US" w:eastAsia="zh-CN"/>
        </w:rPr>
        <w:t>；</w:t>
      </w:r>
      <w:r>
        <w:rPr>
          <w:rFonts w:hint="default" w:ascii="宋体" w:hAnsi="宋体" w:cs="宋体"/>
          <w:kern w:val="0"/>
          <w:sz w:val="24"/>
          <w:szCs w:val="24"/>
          <w:lang w:val="en-US" w:eastAsia="zh-CN"/>
        </w:rPr>
        <w:t>无围标、串标等违法违规行为承诺书</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17、</w:t>
      </w:r>
      <w:r>
        <w:rPr>
          <w:rFonts w:hint="default" w:ascii="宋体" w:hAnsi="宋体" w:cs="宋体"/>
          <w:kern w:val="0"/>
          <w:sz w:val="24"/>
          <w:szCs w:val="24"/>
          <w:lang w:val="en-US" w:eastAsia="zh-CN"/>
        </w:rPr>
        <w:t>投标人企业信誉证明文件</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18、</w:t>
      </w:r>
      <w:r>
        <w:rPr>
          <w:rFonts w:hint="default" w:ascii="宋体" w:hAnsi="宋体" w:cs="宋体"/>
          <w:kern w:val="0"/>
          <w:sz w:val="24"/>
          <w:szCs w:val="24"/>
          <w:lang w:val="en-US" w:eastAsia="zh-CN"/>
        </w:rPr>
        <w:t>通过国家或国际认证资格证书（如有，须提供相关证书和查询网页截图复印件）</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19、投标保证金收据复印件</w:t>
      </w:r>
    </w:p>
    <w:p>
      <w:pPr>
        <w:spacing w:line="360" w:lineRule="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20、</w:t>
      </w:r>
      <w:r>
        <w:rPr>
          <w:rFonts w:hint="default" w:ascii="宋体" w:hAnsi="宋体" w:cs="宋体"/>
          <w:kern w:val="0"/>
          <w:sz w:val="24"/>
          <w:szCs w:val="24"/>
          <w:lang w:val="en-US" w:eastAsia="zh-CN"/>
        </w:rPr>
        <w:t>投标人认为有必要提供的声明及文件资料</w:t>
      </w:r>
    </w:p>
    <w:p>
      <w:pPr>
        <w:pStyle w:val="2"/>
        <w:rPr>
          <w:rFonts w:hint="default"/>
          <w:lang w:val="en-US" w:eastAsia="zh-CN"/>
        </w:rPr>
      </w:pPr>
      <w:r>
        <w:rPr>
          <w:rFonts w:hint="eastAsia" w:ascii="宋体" w:hAnsi="宋体" w:cs="宋体"/>
          <w:kern w:val="0"/>
          <w:sz w:val="24"/>
          <w:szCs w:val="24"/>
          <w:lang w:val="en-US" w:eastAsia="zh-CN"/>
        </w:rPr>
        <w:t>21、提供驻场一年人员的近三个月的社保证明复印件及相关资格证书</w:t>
      </w:r>
    </w:p>
    <w:p>
      <w:pPr>
        <w:spacing w:line="360" w:lineRule="auto"/>
        <w:rPr>
          <w:rFonts w:hint="default" w:ascii="宋体" w:hAnsi="宋体" w:cs="宋体"/>
          <w:kern w:val="0"/>
          <w:sz w:val="24"/>
          <w:szCs w:val="24"/>
          <w:lang w:val="en-US" w:eastAsia="zh-CN"/>
        </w:rPr>
      </w:pPr>
    </w:p>
    <w:p>
      <w:pPr>
        <w:spacing w:line="360" w:lineRule="auto"/>
        <w:rPr>
          <w:rFonts w:hint="default" w:ascii="宋体" w:hAnsi="宋体" w:cs="宋体"/>
          <w:kern w:val="0"/>
          <w:sz w:val="24"/>
          <w:szCs w:val="24"/>
          <w:lang w:val="en-US" w:eastAsia="zh-CN"/>
        </w:rPr>
      </w:pP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第三节 技术部分</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1、项目理解与分析</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2、总体设计</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3、数据资源建设</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4、指标模型库建设</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5、系统建设</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6、</w:t>
      </w:r>
      <w:r>
        <w:rPr>
          <w:rFonts w:hint="eastAsia"/>
        </w:rPr>
        <w:t>项目组织实施</w:t>
      </w:r>
    </w:p>
    <w:p>
      <w:pPr>
        <w:spacing w:line="360" w:lineRule="auto"/>
        <w:rPr>
          <w:rFonts w:hint="default"/>
          <w:lang w:val="en-US" w:eastAsia="zh-CN"/>
        </w:rPr>
      </w:pPr>
      <w:r>
        <w:rPr>
          <w:rFonts w:hint="eastAsia" w:ascii="宋体" w:hAnsi="宋体" w:cs="宋体"/>
          <w:kern w:val="0"/>
          <w:sz w:val="24"/>
          <w:szCs w:val="24"/>
          <w:lang w:val="en-US" w:eastAsia="zh-CN"/>
        </w:rPr>
        <w:t>7、售后服务与培训</w:t>
      </w:r>
    </w:p>
    <w:p>
      <w:pPr>
        <w:spacing w:line="360" w:lineRule="auto"/>
        <w:rPr>
          <w:rFonts w:hint="default" w:ascii="宋体" w:hAnsi="宋体" w:cs="宋体"/>
          <w:kern w:val="0"/>
          <w:sz w:val="24"/>
          <w:szCs w:val="24"/>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kern w:val="0"/>
          <w:sz w:val="24"/>
          <w:szCs w:val="24"/>
          <w:lang w:val="en-US" w:eastAsia="zh-CN"/>
        </w:rPr>
        <w:t xml:space="preserve">     </w:t>
      </w:r>
    </w:p>
    <w:p>
      <w:pPr>
        <w:numPr>
          <w:ilvl w:val="0"/>
          <w:numId w:val="0"/>
        </w:numPr>
        <w:jc w:val="center"/>
        <w:rPr>
          <w:rFonts w:hint="eastAsia" w:ascii="宋体" w:hAnsi="宋体" w:cs="宋体"/>
          <w:b/>
          <w:bCs/>
          <w:color w:val="000000"/>
          <w:sz w:val="32"/>
          <w:szCs w:val="44"/>
          <w:lang w:val="en-US" w:eastAsia="zh-CN"/>
        </w:rPr>
      </w:pPr>
    </w:p>
    <w:p>
      <w:pPr>
        <w:numPr>
          <w:ilvl w:val="0"/>
          <w:numId w:val="0"/>
        </w:numPr>
        <w:jc w:val="center"/>
        <w:rPr>
          <w:rFonts w:hint="eastAsia" w:ascii="宋体" w:hAnsi="宋体" w:cs="宋体"/>
          <w:b/>
          <w:bCs/>
          <w:color w:val="000000"/>
          <w:sz w:val="32"/>
          <w:szCs w:val="44"/>
          <w:lang w:val="en-US" w:eastAsia="zh-CN"/>
        </w:rPr>
      </w:pPr>
    </w:p>
    <w:p>
      <w:pPr>
        <w:numPr>
          <w:ilvl w:val="0"/>
          <w:numId w:val="0"/>
        </w:numPr>
        <w:jc w:val="center"/>
        <w:rPr>
          <w:rFonts w:hint="eastAsia" w:ascii="宋体" w:hAnsi="宋体" w:cs="宋体"/>
          <w:b/>
          <w:bCs/>
          <w:color w:val="000000"/>
          <w:sz w:val="32"/>
          <w:szCs w:val="44"/>
          <w:lang w:val="en-US" w:eastAsia="zh-CN"/>
        </w:rPr>
      </w:pPr>
    </w:p>
    <w:p>
      <w:pPr>
        <w:numPr>
          <w:ilvl w:val="0"/>
          <w:numId w:val="0"/>
        </w:numPr>
        <w:jc w:val="center"/>
        <w:rPr>
          <w:rFonts w:hint="eastAsia" w:ascii="宋体" w:hAnsi="宋体" w:cs="宋体"/>
          <w:b/>
          <w:bCs/>
          <w:color w:val="000000"/>
          <w:sz w:val="32"/>
          <w:szCs w:val="44"/>
          <w:lang w:val="en-US" w:eastAsia="zh-CN"/>
        </w:rPr>
      </w:pPr>
    </w:p>
    <w:p>
      <w:pPr>
        <w:numPr>
          <w:ilvl w:val="0"/>
          <w:numId w:val="0"/>
        </w:numPr>
        <w:jc w:val="center"/>
        <w:rPr>
          <w:rFonts w:hint="eastAsia" w:ascii="宋体" w:hAnsi="宋体" w:cs="宋体"/>
          <w:b/>
          <w:bCs/>
          <w:color w:val="000000"/>
          <w:sz w:val="32"/>
          <w:szCs w:val="44"/>
        </w:rPr>
      </w:pPr>
      <w:r>
        <w:rPr>
          <w:rFonts w:hint="eastAsia" w:ascii="宋体" w:hAnsi="宋体" w:cs="宋体"/>
          <w:b/>
          <w:bCs/>
          <w:color w:val="000000"/>
          <w:sz w:val="32"/>
          <w:szCs w:val="44"/>
          <w:lang w:val="en-US" w:eastAsia="zh-CN"/>
        </w:rPr>
        <w:t>第一节</w:t>
      </w:r>
      <w:r>
        <w:rPr>
          <w:rFonts w:hint="eastAsia" w:ascii="宋体" w:hAnsi="宋体" w:cs="宋体"/>
          <w:b/>
          <w:bCs/>
          <w:color w:val="000000"/>
          <w:sz w:val="32"/>
          <w:szCs w:val="44"/>
        </w:rPr>
        <w:t xml:space="preserve"> 经济报价部分</w:t>
      </w:r>
    </w:p>
    <w:p>
      <w:pPr>
        <w:pStyle w:val="20"/>
        <w:numPr>
          <w:ilvl w:val="0"/>
          <w:numId w:val="0"/>
        </w:numPr>
        <w:ind w:right="2160" w:rightChars="0"/>
        <w:rPr>
          <w:rFonts w:hint="eastAsia"/>
        </w:rPr>
      </w:pP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numPr>
          <w:ilvl w:val="0"/>
          <w:numId w:val="0"/>
        </w:numPr>
        <w:spacing w:line="440" w:lineRule="exact"/>
        <w:jc w:val="center"/>
        <w:rPr>
          <w:rFonts w:hint="eastAsia" w:ascii="宋体" w:hAnsi="宋体" w:cs="宋体"/>
          <w:b/>
          <w:color w:val="000000"/>
          <w:sz w:val="32"/>
          <w:szCs w:val="28"/>
        </w:rPr>
      </w:pPr>
      <w:r>
        <w:rPr>
          <w:rFonts w:hint="eastAsia" w:ascii="宋体" w:hAnsi="宋体" w:cs="宋体"/>
          <w:b/>
          <w:color w:val="000000"/>
          <w:sz w:val="32"/>
          <w:szCs w:val="28"/>
          <w:lang w:val="en-US" w:eastAsia="zh-CN"/>
        </w:rPr>
        <w:t>1、</w:t>
      </w:r>
      <w:r>
        <w:rPr>
          <w:rFonts w:hint="eastAsia" w:ascii="宋体" w:hAnsi="宋体" w:cs="宋体"/>
          <w:b/>
          <w:color w:val="000000"/>
          <w:sz w:val="32"/>
          <w:szCs w:val="28"/>
        </w:rPr>
        <w:t>投   标   书</w:t>
      </w:r>
    </w:p>
    <w:p>
      <w:pPr>
        <w:pStyle w:val="29"/>
        <w:numPr>
          <w:ilvl w:val="0"/>
          <w:numId w:val="0"/>
        </w:numPr>
        <w:rPr>
          <w:rFonts w:hint="eastAsia"/>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adjustRightInd w:val="0"/>
        <w:snapToGrid w:val="0"/>
        <w:spacing w:line="360" w:lineRule="auto"/>
        <w:ind w:firstLine="480" w:firstLineChars="200"/>
        <w:rPr>
          <w:rFonts w:hint="eastAsia" w:ascii="宋体" w:hAnsi="宋体" w:cs="宋体"/>
          <w:b/>
          <w:bCs/>
          <w:sz w:val="24"/>
          <w:szCs w:val="28"/>
        </w:rPr>
      </w:pPr>
      <w:r>
        <w:rPr>
          <w:rFonts w:hint="eastAsia" w:ascii="宋体" w:hAnsi="宋体" w:cs="宋体"/>
          <w:color w:val="000000"/>
          <w:sz w:val="24"/>
          <w:szCs w:val="28"/>
        </w:rPr>
        <w:t>1、按照采购文件中的一切要求，提供招标货物的供应、运输和相关服务。</w:t>
      </w:r>
      <w:r>
        <w:rPr>
          <w:rFonts w:hint="eastAsia" w:ascii="宋体" w:hAnsi="宋体" w:cs="宋体"/>
          <w:b/>
          <w:bCs/>
          <w:color w:val="000000"/>
          <w:sz w:val="24"/>
          <w:szCs w:val="28"/>
          <w:lang w:val="en-US" w:eastAsia="zh-CN"/>
        </w:rPr>
        <w:t>小写：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元</w:t>
      </w:r>
      <w:r>
        <w:rPr>
          <w:rFonts w:hint="eastAsia" w:ascii="宋体" w:hAnsi="宋体" w:cs="宋体"/>
          <w:b w:val="0"/>
          <w:bCs w:val="0"/>
          <w:sz w:val="24"/>
          <w:szCs w:val="28"/>
        </w:rPr>
        <w:t>（用阿拉伯数字书写）</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大写：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 xml:space="preserve"> 。</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lang w:val="en-US" w:eastAsia="zh-CN"/>
        </w:rPr>
        <w:t>6</w:t>
      </w:r>
      <w:r>
        <w:rPr>
          <w:rFonts w:hint="eastAsia" w:ascii="宋体" w:hAnsi="宋体" w:cs="宋体"/>
          <w:color w:val="000000"/>
          <w:sz w:val="24"/>
          <w:szCs w:val="28"/>
          <w:u w:val="single"/>
        </w:rPr>
        <w:t>0</w:t>
      </w:r>
      <w:r>
        <w:rPr>
          <w:rFonts w:hint="eastAsia" w:ascii="宋体" w:hAnsi="宋体" w:cs="宋体"/>
          <w:color w:val="000000"/>
          <w:sz w:val="24"/>
          <w:szCs w:val="28"/>
        </w:rPr>
        <w:t>天。</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hint="eastAsia" w:ascii="宋体" w:hAnsi="宋体" w:cs="宋体"/>
          <w:color w:val="000000"/>
          <w:sz w:val="24"/>
          <w:szCs w:val="28"/>
        </w:rPr>
      </w:pP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480" w:firstLineChars="200"/>
        <w:rPr>
          <w:rFonts w:hint="eastAsia"/>
        </w:rPr>
      </w:pPr>
      <w:r>
        <w:rPr>
          <w:rFonts w:hint="eastAsia" w:ascii="宋体" w:hAnsi="宋体" w:cs="宋体"/>
          <w:color w:val="000000"/>
          <w:sz w:val="24"/>
          <w:szCs w:val="28"/>
        </w:rPr>
        <w:t>联系人：</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480" w:firstLineChars="200"/>
        <w:rPr>
          <w:rFonts w:hint="eastAsia" w:ascii="宋体" w:hAnsi="宋体" w:cs="宋体"/>
          <w:color w:val="000000"/>
          <w:sz w:val="24"/>
          <w:szCs w:val="28"/>
          <w:lang w:val="en-US" w:eastAsia="zh-CN"/>
        </w:rPr>
      </w:pPr>
      <w:r>
        <w:rPr>
          <w:rFonts w:hint="eastAsia" w:ascii="宋体" w:hAnsi="宋体" w:cs="宋体"/>
          <w:color w:val="000000"/>
          <w:sz w:val="24"/>
          <w:szCs w:val="28"/>
        </w:rPr>
        <w:t>邮政编码：</w:t>
      </w: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lang w:val="en-US" w:eastAsia="zh-CN"/>
        </w:rPr>
        <w:t>日期：</w:t>
      </w:r>
      <w:r>
        <w:rPr>
          <w:rFonts w:hint="eastAsia" w:ascii="宋体" w:hAnsi="宋体" w:cs="宋体"/>
          <w:color w:val="000000"/>
          <w:sz w:val="24"/>
          <w:szCs w:val="28"/>
        </w:rPr>
        <w:t>年</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numPr>
          <w:ilvl w:val="0"/>
          <w:numId w:val="0"/>
        </w:numPr>
        <w:spacing w:line="440" w:lineRule="exact"/>
        <w:jc w:val="center"/>
        <w:rPr>
          <w:rFonts w:hint="eastAsia" w:ascii="宋体" w:hAnsi="宋体" w:cs="宋体"/>
          <w:b/>
          <w:color w:val="000000"/>
          <w:sz w:val="32"/>
          <w:szCs w:val="28"/>
        </w:rPr>
      </w:pPr>
      <w:r>
        <w:rPr>
          <w:rFonts w:hint="eastAsia" w:ascii="宋体" w:hAnsi="宋体" w:cs="宋体"/>
          <w:b/>
          <w:color w:val="000000"/>
          <w:sz w:val="32"/>
          <w:szCs w:val="28"/>
          <w:lang w:val="en-US" w:eastAsia="zh-CN"/>
        </w:rPr>
        <w:t>2、</w:t>
      </w:r>
      <w:r>
        <w:rPr>
          <w:rFonts w:hint="eastAsia" w:ascii="宋体" w:hAnsi="宋体" w:cs="宋体"/>
          <w:b/>
          <w:color w:val="000000"/>
          <w:sz w:val="32"/>
          <w:szCs w:val="28"/>
        </w:rPr>
        <w:t>开标一览表</w:t>
      </w:r>
    </w:p>
    <w:p>
      <w:pPr>
        <w:spacing w:line="370" w:lineRule="auto"/>
        <w:rPr>
          <w:rFonts w:ascii="宋体"/>
          <w:sz w:val="21"/>
        </w:rPr>
      </w:pPr>
    </w:p>
    <w:p>
      <w:pPr>
        <w:spacing w:before="227" w:line="185" w:lineRule="auto"/>
        <w:ind w:firstLine="617"/>
        <w:rPr>
          <w:rFonts w:ascii="宋体" w:hAnsi="宋体" w:eastAsia="宋体" w:cs="宋体"/>
          <w:spacing w:val="1"/>
          <w:sz w:val="24"/>
          <w:szCs w:val="24"/>
          <w:u w:val="single" w:color="auto"/>
        </w:rPr>
      </w:pPr>
      <w:r>
        <w:rPr>
          <w:rFonts w:ascii="宋体" w:hAnsi="宋体" w:eastAsia="宋体" w:cs="宋体"/>
          <w:spacing w:val="-17"/>
          <w:sz w:val="24"/>
          <w:szCs w:val="24"/>
        </w:rPr>
        <w:t>项目编号：</w:t>
      </w:r>
      <w:r>
        <w:rPr>
          <w:rFonts w:ascii="宋体" w:hAnsi="宋体" w:eastAsia="宋体" w:cs="宋体"/>
          <w:spacing w:val="1"/>
          <w:sz w:val="24"/>
          <w:szCs w:val="24"/>
          <w:u w:val="single" w:color="auto"/>
        </w:rPr>
        <w:t xml:space="preserve">                                          </w:t>
      </w:r>
    </w:p>
    <w:p>
      <w:pPr>
        <w:spacing w:line="100" w:lineRule="exact"/>
      </w:pPr>
    </w:p>
    <w:tbl>
      <w:tblPr>
        <w:tblStyle w:val="23"/>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4"/>
        <w:gridCol w:w="67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5" w:hRule="atLeast"/>
        </w:trPr>
        <w:tc>
          <w:tcPr>
            <w:tcW w:w="2264" w:type="dxa"/>
            <w:vAlign w:val="top"/>
          </w:tcPr>
          <w:p>
            <w:pPr>
              <w:spacing w:before="167" w:line="185" w:lineRule="auto"/>
              <w:ind w:firstLine="663"/>
              <w:rPr>
                <w:rFonts w:ascii="宋体" w:hAnsi="宋体" w:eastAsia="宋体" w:cs="宋体"/>
                <w:sz w:val="24"/>
                <w:szCs w:val="24"/>
              </w:rPr>
            </w:pPr>
            <w:r>
              <w:rPr>
                <w:rFonts w:ascii="宋体" w:hAnsi="宋体" w:eastAsia="宋体" w:cs="宋体"/>
                <w:spacing w:val="-3"/>
                <w:sz w:val="24"/>
                <w:szCs w:val="24"/>
              </w:rPr>
              <w:t>项目名称</w:t>
            </w:r>
          </w:p>
        </w:tc>
        <w:tc>
          <w:tcPr>
            <w:tcW w:w="6773"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17" w:hRule="atLeast"/>
        </w:trPr>
        <w:tc>
          <w:tcPr>
            <w:tcW w:w="2264" w:type="dxa"/>
            <w:vAlign w:val="top"/>
          </w:tcPr>
          <w:p>
            <w:pPr>
              <w:spacing w:line="245" w:lineRule="auto"/>
              <w:rPr>
                <w:rFonts w:ascii="宋体"/>
                <w:sz w:val="21"/>
              </w:rPr>
            </w:pPr>
          </w:p>
          <w:p>
            <w:pPr>
              <w:spacing w:line="246" w:lineRule="auto"/>
              <w:rPr>
                <w:rFonts w:ascii="宋体"/>
                <w:sz w:val="21"/>
              </w:rPr>
            </w:pPr>
          </w:p>
          <w:p>
            <w:pPr>
              <w:spacing w:before="78" w:line="185" w:lineRule="auto"/>
              <w:ind w:firstLine="482"/>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11"/>
                <w:sz w:val="24"/>
                <w:szCs w:val="24"/>
              </w:rPr>
              <w:t xml:space="preserve"> </w:t>
            </w:r>
            <w:r>
              <w:rPr>
                <w:rFonts w:ascii="宋体" w:hAnsi="宋体" w:eastAsia="宋体" w:cs="宋体"/>
                <w:spacing w:val="-10"/>
                <w:sz w:val="24"/>
                <w:szCs w:val="24"/>
              </w:rPr>
              <w:t>标</w:t>
            </w:r>
            <w:r>
              <w:rPr>
                <w:rFonts w:ascii="宋体" w:hAnsi="宋体" w:eastAsia="宋体" w:cs="宋体"/>
                <w:spacing w:val="16"/>
                <w:sz w:val="24"/>
                <w:szCs w:val="24"/>
              </w:rPr>
              <w:t xml:space="preserve"> </w:t>
            </w:r>
            <w:r>
              <w:rPr>
                <w:rFonts w:ascii="宋体" w:hAnsi="宋体" w:eastAsia="宋体" w:cs="宋体"/>
                <w:spacing w:val="-10"/>
                <w:sz w:val="24"/>
                <w:szCs w:val="24"/>
              </w:rPr>
              <w:t>总</w:t>
            </w:r>
            <w:r>
              <w:rPr>
                <w:rFonts w:ascii="宋体" w:hAnsi="宋体" w:eastAsia="宋体" w:cs="宋体"/>
                <w:spacing w:val="11"/>
                <w:sz w:val="24"/>
                <w:szCs w:val="24"/>
              </w:rPr>
              <w:t xml:space="preserve"> </w:t>
            </w:r>
            <w:r>
              <w:rPr>
                <w:rFonts w:ascii="宋体" w:hAnsi="宋体" w:eastAsia="宋体" w:cs="宋体"/>
                <w:spacing w:val="-10"/>
                <w:sz w:val="24"/>
                <w:szCs w:val="24"/>
              </w:rPr>
              <w:t>价</w:t>
            </w:r>
          </w:p>
        </w:tc>
        <w:tc>
          <w:tcPr>
            <w:tcW w:w="6773" w:type="dxa"/>
            <w:vAlign w:val="top"/>
          </w:tcPr>
          <w:p>
            <w:pPr>
              <w:spacing w:before="168" w:line="185" w:lineRule="auto"/>
              <w:ind w:firstLine="120"/>
              <w:rPr>
                <w:rFonts w:ascii="宋体" w:hAnsi="宋体" w:eastAsia="宋体" w:cs="宋体"/>
                <w:sz w:val="24"/>
                <w:szCs w:val="24"/>
              </w:rPr>
            </w:pPr>
            <w:r>
              <w:rPr>
                <w:rFonts w:ascii="宋体" w:hAnsi="宋体" w:eastAsia="宋体" w:cs="宋体"/>
                <w:spacing w:val="-23"/>
                <w:w w:val="96"/>
                <w:sz w:val="24"/>
                <w:szCs w:val="24"/>
              </w:rPr>
              <w:t>小写（元</w:t>
            </w:r>
            <w:r>
              <w:rPr>
                <w:rFonts w:ascii="宋体" w:hAnsi="宋体" w:eastAsia="宋体" w:cs="宋体"/>
                <w:spacing w:val="-11"/>
                <w:sz w:val="24"/>
                <w:szCs w:val="24"/>
              </w:rPr>
              <w:t>）：</w:t>
            </w:r>
          </w:p>
          <w:p>
            <w:pPr>
              <w:spacing w:line="271" w:lineRule="auto"/>
              <w:rPr>
                <w:rFonts w:ascii="宋体"/>
                <w:sz w:val="21"/>
              </w:rPr>
            </w:pPr>
          </w:p>
          <w:p>
            <w:pPr>
              <w:spacing w:line="272" w:lineRule="auto"/>
              <w:rPr>
                <w:rFonts w:ascii="宋体"/>
                <w:sz w:val="21"/>
              </w:rPr>
            </w:pPr>
          </w:p>
          <w:p>
            <w:pPr>
              <w:spacing w:before="78" w:line="185" w:lineRule="auto"/>
              <w:ind w:firstLine="117"/>
              <w:rPr>
                <w:rFonts w:ascii="宋体" w:hAnsi="宋体" w:eastAsia="宋体" w:cs="宋体"/>
                <w:sz w:val="24"/>
                <w:szCs w:val="24"/>
              </w:rPr>
            </w:pPr>
            <w:r>
              <w:rPr>
                <w:rFonts w:ascii="宋体" w:hAnsi="宋体" w:eastAsia="宋体" w:cs="宋体"/>
                <w:spacing w:val="-23"/>
                <w:w w:val="97"/>
                <w:sz w:val="24"/>
                <w:szCs w:val="24"/>
              </w:rPr>
              <w:t>大写（元</w:t>
            </w:r>
            <w:r>
              <w:rPr>
                <w:rFonts w:ascii="宋体" w:hAnsi="宋体" w:eastAsia="宋体" w:cs="宋体"/>
                <w:spacing w:val="-1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0" w:hRule="atLeast"/>
        </w:trPr>
        <w:tc>
          <w:tcPr>
            <w:tcW w:w="2264" w:type="dxa"/>
            <w:vAlign w:val="top"/>
          </w:tcPr>
          <w:p>
            <w:pPr>
              <w:spacing w:before="166" w:line="185" w:lineRule="auto"/>
              <w:ind w:firstLine="779"/>
              <w:rPr>
                <w:rFonts w:ascii="宋体" w:hAnsi="宋体" w:eastAsia="宋体" w:cs="宋体"/>
                <w:sz w:val="24"/>
                <w:szCs w:val="24"/>
              </w:rPr>
            </w:pPr>
            <w:r>
              <w:rPr>
                <w:rFonts w:ascii="宋体" w:hAnsi="宋体" w:eastAsia="宋体" w:cs="宋体"/>
                <w:spacing w:val="-3"/>
                <w:sz w:val="24"/>
                <w:szCs w:val="24"/>
              </w:rPr>
              <w:t>服务期</w:t>
            </w:r>
          </w:p>
        </w:tc>
        <w:tc>
          <w:tcPr>
            <w:tcW w:w="6773"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43" w:hRule="atLeast"/>
        </w:trPr>
        <w:tc>
          <w:tcPr>
            <w:tcW w:w="9037" w:type="dxa"/>
            <w:gridSpan w:val="2"/>
            <w:vAlign w:val="top"/>
          </w:tcPr>
          <w:p>
            <w:pPr>
              <w:spacing w:line="327" w:lineRule="auto"/>
              <w:rPr>
                <w:rFonts w:ascii="宋体"/>
                <w:sz w:val="21"/>
              </w:rPr>
            </w:pPr>
          </w:p>
          <w:p>
            <w:pPr>
              <w:spacing w:before="78" w:line="185" w:lineRule="auto"/>
              <w:ind w:firstLine="120"/>
              <w:rPr>
                <w:rFonts w:ascii="宋体" w:hAnsi="宋体" w:eastAsia="宋体" w:cs="宋体"/>
                <w:sz w:val="24"/>
                <w:szCs w:val="24"/>
              </w:rPr>
            </w:pPr>
            <w:r>
              <w:rPr>
                <w:rFonts w:ascii="宋体" w:hAnsi="宋体" w:eastAsia="宋体" w:cs="宋体"/>
                <w:spacing w:val="-15"/>
                <w:sz w:val="24"/>
                <w:szCs w:val="24"/>
              </w:rPr>
              <w:t>备注：</w:t>
            </w:r>
          </w:p>
        </w:tc>
      </w:tr>
    </w:tbl>
    <w:p>
      <w:pPr>
        <w:spacing w:line="261" w:lineRule="auto"/>
        <w:rPr>
          <w:rFonts w:ascii="宋体"/>
          <w:sz w:val="21"/>
        </w:rPr>
      </w:pPr>
    </w:p>
    <w:p>
      <w:pPr>
        <w:spacing w:line="261" w:lineRule="auto"/>
        <w:rPr>
          <w:rFonts w:ascii="宋体"/>
          <w:sz w:val="21"/>
        </w:rPr>
      </w:pPr>
    </w:p>
    <w:p>
      <w:pPr>
        <w:spacing w:line="262" w:lineRule="auto"/>
        <w:rPr>
          <w:rFonts w:ascii="宋体"/>
          <w:sz w:val="21"/>
        </w:rPr>
      </w:pPr>
    </w:p>
    <w:p>
      <w:pPr>
        <w:spacing w:before="78" w:line="468" w:lineRule="exact"/>
        <w:ind w:firstLine="856"/>
        <w:rPr>
          <w:rFonts w:ascii="宋体" w:hAnsi="宋体" w:eastAsia="宋体" w:cs="宋体"/>
          <w:sz w:val="24"/>
          <w:szCs w:val="24"/>
        </w:rPr>
      </w:pPr>
      <w:r>
        <w:rPr>
          <w:rFonts w:ascii="宋体" w:hAnsi="宋体" w:eastAsia="宋体" w:cs="宋体"/>
          <w:spacing w:val="-13"/>
          <w:position w:val="16"/>
          <w:sz w:val="24"/>
          <w:szCs w:val="24"/>
        </w:rPr>
        <w:t>投标人名称（</w:t>
      </w:r>
      <w:r>
        <w:rPr>
          <w:rFonts w:hint="eastAsia" w:ascii="宋体" w:hAnsi="宋体" w:eastAsia="宋体" w:cs="宋体"/>
          <w:spacing w:val="-13"/>
          <w:position w:val="16"/>
          <w:sz w:val="24"/>
          <w:szCs w:val="24"/>
          <w:lang w:eastAsia="zh-CN"/>
        </w:rPr>
        <w:t>盖章</w:t>
      </w:r>
      <w:r>
        <w:rPr>
          <w:rFonts w:ascii="宋体" w:hAnsi="宋体" w:eastAsia="宋体" w:cs="宋体"/>
          <w:spacing w:val="-84"/>
          <w:position w:val="16"/>
          <w:sz w:val="24"/>
          <w:szCs w:val="24"/>
        </w:rPr>
        <w:t>）：</w:t>
      </w:r>
      <w:r>
        <w:rPr>
          <w:rFonts w:ascii="宋体" w:hAnsi="宋体" w:eastAsia="宋体" w:cs="宋体"/>
          <w:position w:val="16"/>
          <w:sz w:val="24"/>
          <w:szCs w:val="24"/>
          <w:u w:val="single" w:color="auto"/>
        </w:rPr>
        <w:t xml:space="preserve">                         </w:t>
      </w:r>
    </w:p>
    <w:p>
      <w:pPr>
        <w:spacing w:before="1" w:line="204" w:lineRule="auto"/>
        <w:ind w:firstLine="855"/>
        <w:rPr>
          <w:rFonts w:ascii="宋体" w:hAnsi="宋体" w:eastAsia="宋体" w:cs="宋体"/>
          <w:sz w:val="24"/>
          <w:szCs w:val="24"/>
        </w:rPr>
      </w:pPr>
      <w:r>
        <w:rPr>
          <w:rFonts w:ascii="宋体" w:hAnsi="宋体" w:eastAsia="宋体" w:cs="宋体"/>
          <w:spacing w:val="-13"/>
          <w:sz w:val="24"/>
          <w:szCs w:val="24"/>
        </w:rPr>
        <w:t>法定代表人（</w:t>
      </w:r>
      <w:r>
        <w:rPr>
          <w:rFonts w:hint="eastAsia" w:ascii="宋体" w:hAnsi="宋体" w:eastAsia="宋体" w:cs="宋体"/>
          <w:spacing w:val="-13"/>
          <w:sz w:val="24"/>
          <w:szCs w:val="24"/>
          <w:lang w:eastAsia="zh-CN"/>
        </w:rPr>
        <w:t>签字或盖章</w:t>
      </w:r>
      <w:r>
        <w:rPr>
          <w:rFonts w:ascii="宋体" w:hAnsi="宋体" w:eastAsia="宋体" w:cs="宋体"/>
          <w:spacing w:val="-84"/>
          <w:sz w:val="24"/>
          <w:szCs w:val="24"/>
        </w:rPr>
        <w:t>）：</w:t>
      </w:r>
      <w:r>
        <w:rPr>
          <w:rFonts w:ascii="宋体" w:hAnsi="宋体" w:eastAsia="宋体" w:cs="宋体"/>
          <w:sz w:val="24"/>
          <w:szCs w:val="24"/>
          <w:u w:val="single" w:color="auto"/>
        </w:rPr>
        <w:t xml:space="preserve">                    </w:t>
      </w:r>
    </w:p>
    <w:p>
      <w:pPr>
        <w:spacing w:before="79" w:line="360" w:lineRule="auto"/>
        <w:ind w:left="373" w:right="369" w:firstLine="436" w:firstLineChars="200"/>
        <w:rPr>
          <w:rFonts w:ascii="宋体" w:hAnsi="宋体" w:eastAsia="宋体" w:cs="宋体"/>
          <w:spacing w:val="-11"/>
          <w:sz w:val="24"/>
          <w:szCs w:val="24"/>
        </w:rPr>
      </w:pPr>
      <w:r>
        <w:rPr>
          <w:rFonts w:ascii="宋体" w:hAnsi="宋体" w:eastAsia="宋体" w:cs="宋体"/>
          <w:spacing w:val="-11"/>
          <w:sz w:val="24"/>
          <w:szCs w:val="24"/>
        </w:rPr>
        <w:t>日期：       年      月     日</w:t>
      </w:r>
    </w:p>
    <w:p>
      <w:pPr>
        <w:spacing w:line="324" w:lineRule="auto"/>
        <w:rPr>
          <w:rFonts w:ascii="宋体"/>
          <w:sz w:val="21"/>
        </w:rPr>
      </w:pPr>
    </w:p>
    <w:p>
      <w:pPr>
        <w:spacing w:line="324" w:lineRule="auto"/>
        <w:rPr>
          <w:rFonts w:ascii="宋体"/>
          <w:sz w:val="21"/>
        </w:rPr>
      </w:pPr>
    </w:p>
    <w:p>
      <w:pPr>
        <w:spacing w:before="79" w:line="360" w:lineRule="auto"/>
        <w:ind w:left="373" w:right="369"/>
        <w:rPr>
          <w:rFonts w:ascii="宋体" w:hAnsi="宋体" w:eastAsia="宋体" w:cs="宋体"/>
          <w:sz w:val="24"/>
          <w:szCs w:val="24"/>
        </w:rPr>
      </w:pPr>
      <w:r>
        <w:rPr>
          <w:rFonts w:ascii="宋体" w:hAnsi="宋体" w:eastAsia="宋体" w:cs="宋体"/>
          <w:spacing w:val="-11"/>
          <w:sz w:val="24"/>
          <w:szCs w:val="24"/>
        </w:rPr>
        <w:t>注：</w:t>
      </w:r>
      <w:r>
        <w:rPr>
          <w:rFonts w:ascii="宋体" w:hAnsi="宋体" w:eastAsia="宋体" w:cs="宋体"/>
          <w:spacing w:val="95"/>
          <w:sz w:val="24"/>
          <w:szCs w:val="24"/>
        </w:rPr>
        <w:t xml:space="preserve"> </w:t>
      </w:r>
      <w:r>
        <w:rPr>
          <w:rFonts w:ascii="Times New Roman" w:hAnsi="Times New Roman" w:eastAsia="Times New Roman" w:cs="Times New Roman"/>
          <w:spacing w:val="-11"/>
          <w:sz w:val="24"/>
          <w:szCs w:val="24"/>
        </w:rPr>
        <w:t>1</w:t>
      </w:r>
      <w:r>
        <w:rPr>
          <w:rFonts w:ascii="宋体" w:hAnsi="宋体" w:eastAsia="宋体" w:cs="宋体"/>
          <w:spacing w:val="-11"/>
          <w:sz w:val="24"/>
          <w:szCs w:val="24"/>
        </w:rPr>
        <w:t>、投标人严格按照规定的格式填写。投标总价为优惠后报价，</w:t>
      </w:r>
      <w:r>
        <w:rPr>
          <w:rFonts w:ascii="宋体" w:hAnsi="宋体" w:eastAsia="宋体" w:cs="宋体"/>
          <w:spacing w:val="68"/>
          <w:sz w:val="24"/>
          <w:szCs w:val="24"/>
        </w:rPr>
        <w:t xml:space="preserve"> </w:t>
      </w:r>
      <w:r>
        <w:rPr>
          <w:rFonts w:ascii="宋体" w:hAnsi="宋体" w:eastAsia="宋体" w:cs="宋体"/>
          <w:spacing w:val="-11"/>
          <w:sz w:val="24"/>
          <w:szCs w:val="24"/>
        </w:rPr>
        <w:t>并作为评审</w:t>
      </w:r>
      <w:r>
        <w:rPr>
          <w:rFonts w:ascii="宋体" w:hAnsi="宋体" w:eastAsia="宋体" w:cs="宋体"/>
          <w:sz w:val="24"/>
          <w:szCs w:val="24"/>
        </w:rPr>
        <w:t xml:space="preserve"> </w:t>
      </w:r>
      <w:r>
        <w:rPr>
          <w:rFonts w:ascii="宋体" w:hAnsi="宋体" w:eastAsia="宋体" w:cs="宋体"/>
          <w:spacing w:val="-8"/>
          <w:sz w:val="24"/>
          <w:szCs w:val="24"/>
        </w:rPr>
        <w:t>及定标的依据；</w:t>
      </w:r>
    </w:p>
    <w:p>
      <w:pPr>
        <w:spacing w:before="1" w:line="272" w:lineRule="auto"/>
        <w:ind w:left="377" w:right="367" w:firstLine="472"/>
        <w:rPr>
          <w:rFonts w:ascii="宋体" w:hAnsi="宋体" w:eastAsia="宋体" w:cs="宋体"/>
          <w:sz w:val="24"/>
          <w:szCs w:val="24"/>
        </w:rPr>
      </w:pPr>
      <w:r>
        <w:rPr>
          <w:rFonts w:ascii="Times New Roman" w:hAnsi="Times New Roman" w:eastAsia="Times New Roman" w:cs="Times New Roman"/>
          <w:sz w:val="24"/>
          <w:szCs w:val="24"/>
        </w:rPr>
        <w:t>2</w:t>
      </w:r>
      <w:r>
        <w:rPr>
          <w:rFonts w:ascii="宋体" w:hAnsi="宋体" w:eastAsia="宋体" w:cs="宋体"/>
          <w:sz w:val="24"/>
          <w:szCs w:val="24"/>
        </w:rPr>
        <w:t>、任何有选择或有条件的投标总价或表中某一包填写多个报价，均将导致</w:t>
      </w:r>
      <w:r>
        <w:rPr>
          <w:rFonts w:ascii="宋体" w:hAnsi="宋体" w:eastAsia="宋体" w:cs="宋体"/>
          <w:spacing w:val="25"/>
          <w:sz w:val="24"/>
          <w:szCs w:val="24"/>
        </w:rPr>
        <w:t xml:space="preserve"> </w:t>
      </w:r>
      <w:r>
        <w:rPr>
          <w:rFonts w:ascii="宋体" w:hAnsi="宋体" w:eastAsia="宋体" w:cs="宋体"/>
          <w:spacing w:val="-10"/>
          <w:sz w:val="24"/>
          <w:szCs w:val="24"/>
        </w:rPr>
        <w:t>投标被拒绝；</w:t>
      </w:r>
    </w:p>
    <w:p>
      <w:pPr>
        <w:spacing w:before="228" w:line="185" w:lineRule="auto"/>
        <w:ind w:firstLine="854"/>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、投标报价包含完成服务成果的一切费用、售后维护费用、税费等</w:t>
      </w:r>
    </w:p>
    <w:p>
      <w:pPr>
        <w:spacing w:before="227" w:line="185" w:lineRule="auto"/>
        <w:ind w:firstLine="848"/>
        <w:rPr>
          <w:rFonts w:ascii="宋体" w:hAnsi="宋体" w:eastAsia="宋体" w:cs="宋体"/>
          <w:sz w:val="24"/>
          <w:szCs w:val="24"/>
        </w:rPr>
      </w:pPr>
      <w:r>
        <w:rPr>
          <w:rFonts w:ascii="Times New Roman" w:hAnsi="Times New Roman" w:eastAsia="Times New Roman" w:cs="Times New Roman"/>
          <w:spacing w:val="-2"/>
          <w:sz w:val="24"/>
          <w:szCs w:val="24"/>
        </w:rPr>
        <w:t>4</w:t>
      </w:r>
      <w:r>
        <w:rPr>
          <w:rFonts w:ascii="宋体" w:hAnsi="宋体" w:eastAsia="宋体" w:cs="宋体"/>
          <w:spacing w:val="-2"/>
          <w:sz w:val="24"/>
          <w:szCs w:val="24"/>
        </w:rPr>
        <w:t>、报价为含税金额，税票为增值税专用发票。</w:t>
      </w:r>
    </w:p>
    <w:p>
      <w:pPr>
        <w:sectPr>
          <w:footerReference r:id="rId6" w:type="default"/>
          <w:pgSz w:w="11907" w:h="16839"/>
          <w:pgMar w:top="1431" w:right="1430" w:bottom="1156" w:left="1433" w:header="0" w:footer="1032" w:gutter="0"/>
          <w:pgNumType w:fmt="numberInDash"/>
          <w:cols w:space="720" w:num="1"/>
        </w:sectPr>
      </w:pPr>
    </w:p>
    <w:p>
      <w:pPr>
        <w:numPr>
          <w:ilvl w:val="0"/>
          <w:numId w:val="0"/>
        </w:numPr>
        <w:spacing w:line="440" w:lineRule="exact"/>
        <w:jc w:val="center"/>
        <w:rPr>
          <w:rFonts w:hint="eastAsia" w:ascii="宋体" w:hAnsi="宋体" w:cs="宋体"/>
          <w:b/>
          <w:color w:val="000000"/>
          <w:sz w:val="32"/>
          <w:szCs w:val="28"/>
          <w:lang w:val="en-US" w:eastAsia="zh-CN"/>
        </w:rPr>
      </w:pPr>
      <w:r>
        <w:rPr>
          <w:rFonts w:hint="eastAsia" w:ascii="宋体" w:hAnsi="宋体" w:cs="宋体"/>
          <w:b/>
          <w:color w:val="000000"/>
          <w:sz w:val="32"/>
          <w:szCs w:val="28"/>
          <w:lang w:val="en-US" w:eastAsia="zh-CN"/>
        </w:rPr>
        <w:t>3、投标报价明细表</w:t>
      </w:r>
    </w:p>
    <w:p>
      <w:pPr>
        <w:spacing w:before="150" w:line="185" w:lineRule="auto"/>
        <w:ind w:firstLine="605"/>
        <w:rPr>
          <w:rFonts w:ascii="宋体" w:hAnsi="宋体" w:eastAsia="宋体" w:cs="宋体"/>
          <w:spacing w:val="2"/>
          <w:sz w:val="24"/>
          <w:szCs w:val="24"/>
          <w:u w:val="single" w:color="auto"/>
        </w:rPr>
      </w:pPr>
      <w:r>
        <w:rPr>
          <w:rFonts w:ascii="宋体" w:hAnsi="宋体" w:eastAsia="宋体" w:cs="宋体"/>
          <w:spacing w:val="-15"/>
          <w:sz w:val="24"/>
          <w:szCs w:val="24"/>
        </w:rPr>
        <w:t>项目编号、包号：</w:t>
      </w:r>
      <w:r>
        <w:rPr>
          <w:rFonts w:ascii="宋体" w:hAnsi="宋体" w:eastAsia="宋体" w:cs="宋体"/>
          <w:spacing w:val="2"/>
          <w:sz w:val="24"/>
          <w:szCs w:val="24"/>
          <w:u w:val="single" w:color="auto"/>
        </w:rPr>
        <w:t xml:space="preserve">                              </w:t>
      </w:r>
    </w:p>
    <w:p>
      <w:pPr>
        <w:spacing w:line="234" w:lineRule="exact"/>
      </w:pPr>
    </w:p>
    <w:tbl>
      <w:tblPr>
        <w:tblStyle w:val="23"/>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1586"/>
        <w:gridCol w:w="1701"/>
        <w:gridCol w:w="1559"/>
        <w:gridCol w:w="2162"/>
        <w:gridCol w:w="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trPr>
        <w:tc>
          <w:tcPr>
            <w:tcW w:w="794" w:type="dxa"/>
            <w:vAlign w:val="top"/>
          </w:tcPr>
          <w:p>
            <w:pPr>
              <w:spacing w:line="241" w:lineRule="auto"/>
              <w:rPr>
                <w:rFonts w:ascii="宋体"/>
                <w:sz w:val="21"/>
              </w:rPr>
            </w:pPr>
          </w:p>
          <w:p>
            <w:pPr>
              <w:spacing w:before="78" w:line="185" w:lineRule="auto"/>
              <w:ind w:firstLine="161"/>
              <w:rPr>
                <w:rFonts w:ascii="宋体" w:hAnsi="宋体" w:eastAsia="宋体" w:cs="宋体"/>
                <w:sz w:val="24"/>
                <w:szCs w:val="24"/>
              </w:rPr>
            </w:pPr>
            <w:r>
              <w:rPr>
                <w:rFonts w:ascii="宋体" w:hAnsi="宋体" w:eastAsia="宋体" w:cs="宋体"/>
                <w:spacing w:val="-3"/>
                <w:sz w:val="24"/>
                <w:szCs w:val="24"/>
              </w:rPr>
              <w:t>序号</w:t>
            </w:r>
          </w:p>
        </w:tc>
        <w:tc>
          <w:tcPr>
            <w:tcW w:w="1586" w:type="dxa"/>
            <w:vAlign w:val="top"/>
          </w:tcPr>
          <w:p>
            <w:pPr>
              <w:spacing w:line="241" w:lineRule="auto"/>
              <w:rPr>
                <w:rFonts w:ascii="宋体"/>
                <w:sz w:val="21"/>
              </w:rPr>
            </w:pPr>
          </w:p>
          <w:p>
            <w:pPr>
              <w:spacing w:before="78" w:line="185" w:lineRule="auto"/>
              <w:ind w:firstLine="314"/>
              <w:rPr>
                <w:rFonts w:ascii="宋体" w:hAnsi="宋体" w:eastAsia="宋体" w:cs="宋体"/>
                <w:sz w:val="24"/>
                <w:szCs w:val="24"/>
              </w:rPr>
            </w:pPr>
            <w:r>
              <w:rPr>
                <w:rFonts w:ascii="宋体" w:hAnsi="宋体" w:eastAsia="宋体" w:cs="宋体"/>
                <w:spacing w:val="-2"/>
                <w:sz w:val="24"/>
                <w:szCs w:val="24"/>
              </w:rPr>
              <w:t>报价项目</w:t>
            </w:r>
          </w:p>
        </w:tc>
        <w:tc>
          <w:tcPr>
            <w:tcW w:w="1701" w:type="dxa"/>
            <w:vAlign w:val="top"/>
          </w:tcPr>
          <w:p>
            <w:pPr>
              <w:spacing w:line="241" w:lineRule="auto"/>
              <w:rPr>
                <w:rFonts w:ascii="宋体"/>
                <w:sz w:val="21"/>
              </w:rPr>
            </w:pPr>
          </w:p>
          <w:p>
            <w:pPr>
              <w:spacing w:before="78" w:line="185" w:lineRule="auto"/>
              <w:ind w:firstLine="644"/>
              <w:rPr>
                <w:rFonts w:ascii="宋体" w:hAnsi="宋体" w:eastAsia="宋体" w:cs="宋体"/>
                <w:sz w:val="24"/>
                <w:szCs w:val="24"/>
              </w:rPr>
            </w:pPr>
            <w:r>
              <w:rPr>
                <w:rFonts w:ascii="宋体" w:hAnsi="宋体" w:eastAsia="宋体" w:cs="宋体"/>
                <w:spacing w:val="-10"/>
                <w:sz w:val="24"/>
                <w:szCs w:val="24"/>
              </w:rPr>
              <w:t>内容</w:t>
            </w:r>
          </w:p>
        </w:tc>
        <w:tc>
          <w:tcPr>
            <w:tcW w:w="1559" w:type="dxa"/>
            <w:vAlign w:val="top"/>
          </w:tcPr>
          <w:p>
            <w:pPr>
              <w:spacing w:line="241" w:lineRule="auto"/>
              <w:rPr>
                <w:rFonts w:ascii="宋体"/>
                <w:sz w:val="21"/>
              </w:rPr>
            </w:pPr>
          </w:p>
          <w:p>
            <w:pPr>
              <w:spacing w:before="78" w:line="185" w:lineRule="auto"/>
              <w:ind w:firstLine="550"/>
              <w:rPr>
                <w:rFonts w:ascii="宋体" w:hAnsi="宋体" w:eastAsia="宋体" w:cs="宋体"/>
                <w:sz w:val="24"/>
                <w:szCs w:val="24"/>
              </w:rPr>
            </w:pPr>
            <w:r>
              <w:rPr>
                <w:rFonts w:ascii="宋体" w:hAnsi="宋体" w:eastAsia="宋体" w:cs="宋体"/>
                <w:spacing w:val="-4"/>
                <w:sz w:val="24"/>
                <w:szCs w:val="24"/>
              </w:rPr>
              <w:t>总价</w:t>
            </w:r>
          </w:p>
        </w:tc>
        <w:tc>
          <w:tcPr>
            <w:tcW w:w="2162" w:type="dxa"/>
            <w:vAlign w:val="top"/>
          </w:tcPr>
          <w:p>
            <w:pPr>
              <w:spacing w:before="117" w:line="468" w:lineRule="exact"/>
              <w:ind w:firstLine="608"/>
              <w:rPr>
                <w:rFonts w:ascii="宋体" w:hAnsi="宋体" w:eastAsia="宋体" w:cs="宋体"/>
                <w:sz w:val="24"/>
                <w:szCs w:val="24"/>
              </w:rPr>
            </w:pPr>
            <w:r>
              <w:rPr>
                <w:rFonts w:ascii="宋体" w:hAnsi="宋体" w:eastAsia="宋体" w:cs="宋体"/>
                <w:spacing w:val="-3"/>
                <w:position w:val="16"/>
                <w:sz w:val="24"/>
                <w:szCs w:val="24"/>
              </w:rPr>
              <w:t>取费标准</w:t>
            </w:r>
          </w:p>
          <w:p>
            <w:pPr>
              <w:spacing w:line="204" w:lineRule="auto"/>
              <w:ind w:firstLine="848"/>
              <w:rPr>
                <w:rFonts w:ascii="宋体" w:hAnsi="宋体" w:eastAsia="宋体" w:cs="宋体"/>
                <w:sz w:val="24"/>
                <w:szCs w:val="24"/>
              </w:rPr>
            </w:pPr>
            <w:r>
              <w:rPr>
                <w:rFonts w:ascii="宋体" w:hAnsi="宋体" w:eastAsia="宋体" w:cs="宋体"/>
                <w:spacing w:val="-4"/>
                <w:sz w:val="24"/>
                <w:szCs w:val="24"/>
              </w:rPr>
              <w:t>说明</w:t>
            </w:r>
          </w:p>
        </w:tc>
        <w:tc>
          <w:tcPr>
            <w:tcW w:w="731" w:type="dxa"/>
            <w:vAlign w:val="top"/>
          </w:tcPr>
          <w:p>
            <w:pPr>
              <w:spacing w:line="241" w:lineRule="auto"/>
              <w:rPr>
                <w:rFonts w:ascii="宋体"/>
                <w:sz w:val="21"/>
              </w:rPr>
            </w:pPr>
          </w:p>
          <w:p>
            <w:pPr>
              <w:spacing w:before="78" w:line="185" w:lineRule="auto"/>
              <w:ind w:firstLine="133"/>
              <w:rPr>
                <w:rFonts w:ascii="宋体" w:hAnsi="宋体" w:eastAsia="宋体" w:cs="宋体"/>
                <w:sz w:val="24"/>
                <w:szCs w:val="24"/>
              </w:rPr>
            </w:pPr>
            <w:r>
              <w:rPr>
                <w:rFonts w:ascii="宋体" w:hAnsi="宋体" w:eastAsia="宋体" w:cs="宋体"/>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trPr>
        <w:tc>
          <w:tcPr>
            <w:tcW w:w="794" w:type="dxa"/>
            <w:vAlign w:val="top"/>
          </w:tcPr>
          <w:p>
            <w:pPr>
              <w:rPr>
                <w:rFonts w:ascii="宋体"/>
                <w:sz w:val="21"/>
              </w:rPr>
            </w:pPr>
          </w:p>
        </w:tc>
        <w:tc>
          <w:tcPr>
            <w:tcW w:w="1586" w:type="dxa"/>
            <w:vAlign w:val="top"/>
          </w:tcPr>
          <w:p>
            <w:pPr>
              <w:rPr>
                <w:rFonts w:ascii="宋体"/>
                <w:sz w:val="21"/>
              </w:rPr>
            </w:pPr>
          </w:p>
        </w:tc>
        <w:tc>
          <w:tcPr>
            <w:tcW w:w="1701" w:type="dxa"/>
            <w:vAlign w:val="top"/>
          </w:tcPr>
          <w:p>
            <w:pPr>
              <w:rPr>
                <w:rFonts w:ascii="宋体"/>
                <w:sz w:val="21"/>
              </w:rPr>
            </w:pPr>
          </w:p>
        </w:tc>
        <w:tc>
          <w:tcPr>
            <w:tcW w:w="1559" w:type="dxa"/>
            <w:vAlign w:val="top"/>
          </w:tcPr>
          <w:p>
            <w:pPr>
              <w:rPr>
                <w:rFonts w:ascii="宋体"/>
                <w:sz w:val="21"/>
              </w:rPr>
            </w:pPr>
          </w:p>
        </w:tc>
        <w:tc>
          <w:tcPr>
            <w:tcW w:w="2162" w:type="dxa"/>
            <w:vAlign w:val="top"/>
          </w:tcPr>
          <w:p>
            <w:pPr>
              <w:rPr>
                <w:rFonts w:ascii="宋体"/>
                <w:sz w:val="21"/>
              </w:rPr>
            </w:pPr>
          </w:p>
        </w:tc>
        <w:tc>
          <w:tcPr>
            <w:tcW w:w="731"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trPr>
        <w:tc>
          <w:tcPr>
            <w:tcW w:w="794" w:type="dxa"/>
            <w:vAlign w:val="top"/>
          </w:tcPr>
          <w:p>
            <w:pPr>
              <w:rPr>
                <w:rFonts w:ascii="宋体"/>
                <w:sz w:val="21"/>
              </w:rPr>
            </w:pPr>
          </w:p>
        </w:tc>
        <w:tc>
          <w:tcPr>
            <w:tcW w:w="1586" w:type="dxa"/>
            <w:vAlign w:val="top"/>
          </w:tcPr>
          <w:p>
            <w:pPr>
              <w:rPr>
                <w:rFonts w:ascii="宋体"/>
                <w:sz w:val="21"/>
              </w:rPr>
            </w:pPr>
          </w:p>
        </w:tc>
        <w:tc>
          <w:tcPr>
            <w:tcW w:w="1701" w:type="dxa"/>
            <w:vAlign w:val="top"/>
          </w:tcPr>
          <w:p>
            <w:pPr>
              <w:rPr>
                <w:rFonts w:ascii="宋体"/>
                <w:sz w:val="21"/>
              </w:rPr>
            </w:pPr>
          </w:p>
        </w:tc>
        <w:tc>
          <w:tcPr>
            <w:tcW w:w="1559" w:type="dxa"/>
            <w:vAlign w:val="top"/>
          </w:tcPr>
          <w:p>
            <w:pPr>
              <w:rPr>
                <w:rFonts w:ascii="宋体"/>
                <w:sz w:val="21"/>
              </w:rPr>
            </w:pPr>
          </w:p>
        </w:tc>
        <w:tc>
          <w:tcPr>
            <w:tcW w:w="2162" w:type="dxa"/>
            <w:vAlign w:val="top"/>
          </w:tcPr>
          <w:p>
            <w:pPr>
              <w:rPr>
                <w:rFonts w:ascii="宋体"/>
                <w:sz w:val="21"/>
              </w:rPr>
            </w:pPr>
          </w:p>
        </w:tc>
        <w:tc>
          <w:tcPr>
            <w:tcW w:w="731"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794" w:type="dxa"/>
            <w:vAlign w:val="top"/>
          </w:tcPr>
          <w:p>
            <w:pPr>
              <w:rPr>
                <w:rFonts w:ascii="宋体"/>
                <w:sz w:val="21"/>
              </w:rPr>
            </w:pPr>
          </w:p>
        </w:tc>
        <w:tc>
          <w:tcPr>
            <w:tcW w:w="1586" w:type="dxa"/>
            <w:vAlign w:val="top"/>
          </w:tcPr>
          <w:p>
            <w:pPr>
              <w:rPr>
                <w:rFonts w:ascii="宋体"/>
                <w:sz w:val="21"/>
              </w:rPr>
            </w:pPr>
          </w:p>
        </w:tc>
        <w:tc>
          <w:tcPr>
            <w:tcW w:w="1701" w:type="dxa"/>
            <w:vAlign w:val="top"/>
          </w:tcPr>
          <w:p>
            <w:pPr>
              <w:rPr>
                <w:rFonts w:ascii="宋体"/>
                <w:sz w:val="21"/>
              </w:rPr>
            </w:pPr>
          </w:p>
        </w:tc>
        <w:tc>
          <w:tcPr>
            <w:tcW w:w="1559" w:type="dxa"/>
            <w:vAlign w:val="top"/>
          </w:tcPr>
          <w:p>
            <w:pPr>
              <w:rPr>
                <w:rFonts w:ascii="宋体"/>
                <w:sz w:val="21"/>
              </w:rPr>
            </w:pPr>
          </w:p>
        </w:tc>
        <w:tc>
          <w:tcPr>
            <w:tcW w:w="2162" w:type="dxa"/>
            <w:vAlign w:val="top"/>
          </w:tcPr>
          <w:p>
            <w:pPr>
              <w:rPr>
                <w:rFonts w:ascii="宋体"/>
                <w:sz w:val="21"/>
              </w:rPr>
            </w:pPr>
          </w:p>
        </w:tc>
        <w:tc>
          <w:tcPr>
            <w:tcW w:w="731"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trPr>
        <w:tc>
          <w:tcPr>
            <w:tcW w:w="794" w:type="dxa"/>
            <w:vAlign w:val="top"/>
          </w:tcPr>
          <w:p>
            <w:pPr>
              <w:rPr>
                <w:rFonts w:ascii="宋体"/>
                <w:sz w:val="21"/>
              </w:rPr>
            </w:pPr>
          </w:p>
        </w:tc>
        <w:tc>
          <w:tcPr>
            <w:tcW w:w="1586" w:type="dxa"/>
            <w:vAlign w:val="top"/>
          </w:tcPr>
          <w:p>
            <w:pPr>
              <w:rPr>
                <w:rFonts w:ascii="宋体"/>
                <w:sz w:val="21"/>
              </w:rPr>
            </w:pPr>
          </w:p>
        </w:tc>
        <w:tc>
          <w:tcPr>
            <w:tcW w:w="1701" w:type="dxa"/>
            <w:vAlign w:val="top"/>
          </w:tcPr>
          <w:p>
            <w:pPr>
              <w:rPr>
                <w:rFonts w:ascii="宋体"/>
                <w:sz w:val="21"/>
              </w:rPr>
            </w:pPr>
          </w:p>
        </w:tc>
        <w:tc>
          <w:tcPr>
            <w:tcW w:w="1559" w:type="dxa"/>
            <w:vAlign w:val="top"/>
          </w:tcPr>
          <w:p>
            <w:pPr>
              <w:rPr>
                <w:rFonts w:ascii="宋体"/>
                <w:sz w:val="21"/>
              </w:rPr>
            </w:pPr>
          </w:p>
        </w:tc>
        <w:tc>
          <w:tcPr>
            <w:tcW w:w="2162" w:type="dxa"/>
            <w:vAlign w:val="top"/>
          </w:tcPr>
          <w:p>
            <w:pPr>
              <w:rPr>
                <w:rFonts w:ascii="宋体"/>
                <w:sz w:val="21"/>
              </w:rPr>
            </w:pPr>
          </w:p>
        </w:tc>
        <w:tc>
          <w:tcPr>
            <w:tcW w:w="731"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trPr>
        <w:tc>
          <w:tcPr>
            <w:tcW w:w="794" w:type="dxa"/>
            <w:vAlign w:val="top"/>
          </w:tcPr>
          <w:p>
            <w:pPr>
              <w:rPr>
                <w:rFonts w:ascii="宋体"/>
                <w:sz w:val="21"/>
              </w:rPr>
            </w:pPr>
          </w:p>
        </w:tc>
        <w:tc>
          <w:tcPr>
            <w:tcW w:w="1586" w:type="dxa"/>
            <w:vAlign w:val="top"/>
          </w:tcPr>
          <w:p>
            <w:pPr>
              <w:rPr>
                <w:rFonts w:ascii="宋体"/>
                <w:sz w:val="21"/>
              </w:rPr>
            </w:pPr>
          </w:p>
        </w:tc>
        <w:tc>
          <w:tcPr>
            <w:tcW w:w="1701" w:type="dxa"/>
            <w:vAlign w:val="top"/>
          </w:tcPr>
          <w:p>
            <w:pPr>
              <w:rPr>
                <w:rFonts w:ascii="宋体"/>
                <w:sz w:val="21"/>
              </w:rPr>
            </w:pPr>
          </w:p>
        </w:tc>
        <w:tc>
          <w:tcPr>
            <w:tcW w:w="1559" w:type="dxa"/>
            <w:vAlign w:val="top"/>
          </w:tcPr>
          <w:p>
            <w:pPr>
              <w:rPr>
                <w:rFonts w:ascii="宋体"/>
                <w:sz w:val="21"/>
              </w:rPr>
            </w:pPr>
          </w:p>
        </w:tc>
        <w:tc>
          <w:tcPr>
            <w:tcW w:w="2162" w:type="dxa"/>
            <w:vAlign w:val="top"/>
          </w:tcPr>
          <w:p>
            <w:pPr>
              <w:rPr>
                <w:rFonts w:ascii="宋体"/>
                <w:sz w:val="21"/>
              </w:rPr>
            </w:pPr>
          </w:p>
        </w:tc>
        <w:tc>
          <w:tcPr>
            <w:tcW w:w="731"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trPr>
        <w:tc>
          <w:tcPr>
            <w:tcW w:w="2380" w:type="dxa"/>
            <w:gridSpan w:val="2"/>
            <w:vAlign w:val="top"/>
          </w:tcPr>
          <w:p>
            <w:pPr>
              <w:spacing w:before="115" w:line="185" w:lineRule="auto"/>
              <w:ind w:firstLine="963"/>
              <w:rPr>
                <w:rFonts w:ascii="宋体" w:hAnsi="宋体" w:eastAsia="宋体" w:cs="宋体"/>
                <w:sz w:val="24"/>
                <w:szCs w:val="24"/>
              </w:rPr>
            </w:pPr>
            <w:r>
              <w:rPr>
                <w:rFonts w:ascii="宋体" w:hAnsi="宋体" w:eastAsia="宋体" w:cs="宋体"/>
                <w:spacing w:val="-4"/>
                <w:sz w:val="24"/>
                <w:szCs w:val="24"/>
              </w:rPr>
              <w:t>总计</w:t>
            </w:r>
          </w:p>
        </w:tc>
        <w:tc>
          <w:tcPr>
            <w:tcW w:w="6153" w:type="dxa"/>
            <w:gridSpan w:val="4"/>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70" w:hRule="atLeast"/>
        </w:trPr>
        <w:tc>
          <w:tcPr>
            <w:tcW w:w="2380" w:type="dxa"/>
            <w:gridSpan w:val="2"/>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line="266" w:lineRule="auto"/>
              <w:rPr>
                <w:rFonts w:ascii="宋体"/>
                <w:sz w:val="21"/>
              </w:rPr>
            </w:pPr>
          </w:p>
          <w:p>
            <w:pPr>
              <w:spacing w:before="78" w:line="185" w:lineRule="auto"/>
              <w:ind w:firstLine="719"/>
              <w:rPr>
                <w:rFonts w:ascii="宋体" w:hAnsi="宋体" w:eastAsia="宋体" w:cs="宋体"/>
                <w:sz w:val="24"/>
                <w:szCs w:val="24"/>
              </w:rPr>
            </w:pPr>
            <w:r>
              <w:rPr>
                <w:rFonts w:ascii="宋体" w:hAnsi="宋体" w:eastAsia="宋体" w:cs="宋体"/>
                <w:spacing w:val="-3"/>
                <w:sz w:val="24"/>
                <w:szCs w:val="24"/>
              </w:rPr>
              <w:t>投标总价</w:t>
            </w:r>
          </w:p>
        </w:tc>
        <w:tc>
          <w:tcPr>
            <w:tcW w:w="6153" w:type="dxa"/>
            <w:gridSpan w:val="4"/>
            <w:vAlign w:val="top"/>
          </w:tcPr>
          <w:p>
            <w:pPr>
              <w:spacing w:line="445" w:lineRule="auto"/>
              <w:rPr>
                <w:rFonts w:ascii="宋体"/>
                <w:sz w:val="21"/>
              </w:rPr>
            </w:pPr>
          </w:p>
          <w:p>
            <w:pPr>
              <w:spacing w:before="78" w:line="185" w:lineRule="auto"/>
              <w:ind w:firstLine="120"/>
              <w:rPr>
                <w:rFonts w:ascii="宋体" w:hAnsi="宋体" w:eastAsia="宋体" w:cs="宋体"/>
                <w:sz w:val="24"/>
                <w:szCs w:val="24"/>
              </w:rPr>
            </w:pPr>
            <w:r>
              <w:rPr>
                <w:rFonts w:ascii="宋体" w:hAnsi="宋体" w:eastAsia="宋体" w:cs="宋体"/>
                <w:spacing w:val="-24"/>
                <w:sz w:val="24"/>
                <w:szCs w:val="24"/>
              </w:rPr>
              <w:t>（大写）</w:t>
            </w:r>
            <w:r>
              <w:rPr>
                <w:rFonts w:ascii="宋体" w:hAnsi="宋体" w:eastAsia="宋体" w:cs="宋体"/>
                <w:spacing w:val="5"/>
                <w:sz w:val="24"/>
                <w:szCs w:val="24"/>
                <w:u w:val="single" w:color="auto"/>
              </w:rPr>
              <w:t xml:space="preserve">                    </w:t>
            </w:r>
            <w:r>
              <w:rPr>
                <w:rFonts w:ascii="宋体" w:hAnsi="宋体" w:eastAsia="宋体" w:cs="宋体"/>
                <w:spacing w:val="-24"/>
                <w:sz w:val="24"/>
                <w:szCs w:val="24"/>
              </w:rPr>
              <w:t>元。</w:t>
            </w:r>
          </w:p>
          <w:p>
            <w:pPr>
              <w:spacing w:line="271" w:lineRule="auto"/>
              <w:rPr>
                <w:rFonts w:ascii="宋体"/>
                <w:sz w:val="21"/>
              </w:rPr>
            </w:pPr>
          </w:p>
          <w:p>
            <w:pPr>
              <w:spacing w:line="271" w:lineRule="auto"/>
              <w:rPr>
                <w:rFonts w:ascii="宋体"/>
                <w:sz w:val="21"/>
              </w:rPr>
            </w:pPr>
          </w:p>
          <w:p>
            <w:pPr>
              <w:spacing w:before="78" w:line="185" w:lineRule="auto"/>
              <w:ind w:firstLine="120"/>
              <w:rPr>
                <w:rFonts w:ascii="宋体" w:hAnsi="宋体" w:eastAsia="宋体" w:cs="宋体"/>
                <w:sz w:val="24"/>
                <w:szCs w:val="24"/>
              </w:rPr>
            </w:pPr>
            <w:r>
              <w:rPr>
                <w:rFonts w:ascii="宋体" w:hAnsi="宋体" w:eastAsia="宋体" w:cs="宋体"/>
                <w:spacing w:val="-24"/>
                <w:sz w:val="24"/>
                <w:szCs w:val="24"/>
              </w:rPr>
              <w:t>（小写）</w:t>
            </w:r>
            <w:r>
              <w:rPr>
                <w:rFonts w:ascii="宋体" w:hAnsi="宋体" w:eastAsia="宋体" w:cs="宋体"/>
                <w:spacing w:val="5"/>
                <w:sz w:val="24"/>
                <w:szCs w:val="24"/>
                <w:u w:val="single" w:color="auto"/>
              </w:rPr>
              <w:t xml:space="preserve">                    </w:t>
            </w:r>
            <w:r>
              <w:rPr>
                <w:rFonts w:ascii="宋体" w:hAnsi="宋体" w:eastAsia="宋体" w:cs="宋体"/>
                <w:spacing w:val="-24"/>
                <w:sz w:val="24"/>
                <w:szCs w:val="24"/>
              </w:rPr>
              <w:t>元。</w:t>
            </w:r>
          </w:p>
          <w:p>
            <w:pPr>
              <w:spacing w:line="271" w:lineRule="auto"/>
              <w:rPr>
                <w:rFonts w:ascii="宋体"/>
                <w:sz w:val="21"/>
              </w:rPr>
            </w:pPr>
          </w:p>
          <w:p>
            <w:pPr>
              <w:spacing w:line="272" w:lineRule="auto"/>
              <w:rPr>
                <w:rFonts w:ascii="宋体"/>
                <w:sz w:val="21"/>
              </w:rPr>
            </w:pPr>
          </w:p>
          <w:p>
            <w:pPr>
              <w:spacing w:before="78" w:line="185" w:lineRule="auto"/>
              <w:ind w:firstLine="239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0" w:hRule="atLeast"/>
        </w:trPr>
        <w:tc>
          <w:tcPr>
            <w:tcW w:w="2380" w:type="dxa"/>
            <w:gridSpan w:val="2"/>
            <w:vAlign w:val="top"/>
          </w:tcPr>
          <w:p>
            <w:pPr>
              <w:spacing w:before="118" w:line="185" w:lineRule="auto"/>
              <w:ind w:firstLine="959"/>
              <w:rPr>
                <w:rFonts w:ascii="宋体" w:hAnsi="宋体" w:eastAsia="宋体" w:cs="宋体"/>
                <w:sz w:val="24"/>
                <w:szCs w:val="24"/>
              </w:rPr>
            </w:pPr>
            <w:r>
              <w:rPr>
                <w:rFonts w:ascii="宋体" w:hAnsi="宋体" w:eastAsia="宋体" w:cs="宋体"/>
                <w:spacing w:val="-4"/>
                <w:sz w:val="24"/>
                <w:szCs w:val="24"/>
              </w:rPr>
              <w:t>备注</w:t>
            </w:r>
          </w:p>
        </w:tc>
        <w:tc>
          <w:tcPr>
            <w:tcW w:w="6153" w:type="dxa"/>
            <w:gridSpan w:val="4"/>
            <w:vAlign w:val="top"/>
          </w:tcPr>
          <w:p>
            <w:pPr>
              <w:rPr>
                <w:rFonts w:ascii="宋体"/>
                <w:sz w:val="21"/>
              </w:rPr>
            </w:pPr>
          </w:p>
        </w:tc>
      </w:tr>
    </w:tbl>
    <w:p>
      <w:pPr>
        <w:spacing w:line="245" w:lineRule="auto"/>
        <w:rPr>
          <w:rFonts w:ascii="宋体"/>
          <w:sz w:val="21"/>
        </w:rPr>
      </w:pPr>
    </w:p>
    <w:p>
      <w:pPr>
        <w:spacing w:line="245" w:lineRule="auto"/>
        <w:rPr>
          <w:rFonts w:ascii="宋体"/>
          <w:sz w:val="21"/>
        </w:rPr>
      </w:pPr>
    </w:p>
    <w:p>
      <w:pPr>
        <w:spacing w:before="78" w:line="468" w:lineRule="exact"/>
        <w:ind w:firstLine="604"/>
        <w:rPr>
          <w:rFonts w:ascii="宋体" w:hAnsi="宋体" w:eastAsia="宋体" w:cs="宋体"/>
          <w:sz w:val="24"/>
          <w:szCs w:val="24"/>
        </w:rPr>
      </w:pPr>
      <w:r>
        <w:rPr>
          <w:rFonts w:ascii="宋体" w:hAnsi="宋体" w:eastAsia="宋体" w:cs="宋体"/>
          <w:spacing w:val="-13"/>
          <w:position w:val="16"/>
          <w:sz w:val="24"/>
          <w:szCs w:val="24"/>
        </w:rPr>
        <w:t>投标人名称（</w:t>
      </w:r>
      <w:r>
        <w:rPr>
          <w:rFonts w:hint="eastAsia" w:ascii="宋体" w:hAnsi="宋体" w:eastAsia="宋体" w:cs="宋体"/>
          <w:spacing w:val="-13"/>
          <w:position w:val="16"/>
          <w:sz w:val="24"/>
          <w:szCs w:val="24"/>
          <w:lang w:eastAsia="zh-CN"/>
        </w:rPr>
        <w:t>盖章</w:t>
      </w:r>
      <w:r>
        <w:rPr>
          <w:rFonts w:ascii="宋体" w:hAnsi="宋体" w:eastAsia="宋体" w:cs="宋体"/>
          <w:spacing w:val="-84"/>
          <w:position w:val="16"/>
          <w:sz w:val="24"/>
          <w:szCs w:val="24"/>
        </w:rPr>
        <w:t>）：</w:t>
      </w:r>
      <w:r>
        <w:rPr>
          <w:rFonts w:ascii="宋体" w:hAnsi="宋体" w:eastAsia="宋体" w:cs="宋体"/>
          <w:position w:val="16"/>
          <w:sz w:val="24"/>
          <w:szCs w:val="24"/>
          <w:u w:val="single" w:color="auto"/>
        </w:rPr>
        <w:t xml:space="preserve">                         </w:t>
      </w:r>
    </w:p>
    <w:p>
      <w:pPr>
        <w:spacing w:before="1" w:line="204" w:lineRule="auto"/>
        <w:ind w:firstLine="603"/>
        <w:rPr>
          <w:rFonts w:ascii="宋体" w:hAnsi="宋体" w:eastAsia="宋体" w:cs="宋体"/>
          <w:sz w:val="24"/>
          <w:szCs w:val="24"/>
        </w:rPr>
      </w:pPr>
      <w:r>
        <w:rPr>
          <w:rFonts w:ascii="宋体" w:hAnsi="宋体" w:eastAsia="宋体" w:cs="宋体"/>
          <w:spacing w:val="-13"/>
          <w:sz w:val="24"/>
          <w:szCs w:val="24"/>
        </w:rPr>
        <w:t>法定代表人（</w:t>
      </w:r>
      <w:r>
        <w:rPr>
          <w:rFonts w:hint="eastAsia" w:ascii="宋体" w:hAnsi="宋体" w:eastAsia="宋体" w:cs="宋体"/>
          <w:spacing w:val="-13"/>
          <w:sz w:val="24"/>
          <w:szCs w:val="24"/>
          <w:lang w:eastAsia="zh-CN"/>
        </w:rPr>
        <w:t>签字或盖章</w:t>
      </w:r>
      <w:r>
        <w:rPr>
          <w:rFonts w:ascii="宋体" w:hAnsi="宋体" w:eastAsia="宋体" w:cs="宋体"/>
          <w:spacing w:val="-84"/>
          <w:sz w:val="24"/>
          <w:szCs w:val="24"/>
        </w:rPr>
        <w:t>）：</w:t>
      </w:r>
      <w:r>
        <w:rPr>
          <w:rFonts w:ascii="宋体" w:hAnsi="宋体" w:eastAsia="宋体" w:cs="宋体"/>
          <w:sz w:val="24"/>
          <w:szCs w:val="24"/>
          <w:u w:val="single" w:color="auto"/>
        </w:rPr>
        <w:t xml:space="preserve">                    </w:t>
      </w:r>
    </w:p>
    <w:p>
      <w:pPr>
        <w:spacing w:before="279" w:line="185" w:lineRule="auto"/>
        <w:ind w:firstLine="643"/>
        <w:rPr>
          <w:rFonts w:ascii="宋体" w:hAnsi="宋体" w:eastAsia="宋体" w:cs="宋体"/>
          <w:sz w:val="24"/>
          <w:szCs w:val="24"/>
        </w:rPr>
      </w:pPr>
      <w:r>
        <w:rPr>
          <w:rFonts w:ascii="宋体" w:hAnsi="宋体" w:eastAsia="宋体" w:cs="宋体"/>
          <w:spacing w:val="-22"/>
          <w:w w:val="94"/>
          <w:sz w:val="24"/>
          <w:szCs w:val="24"/>
        </w:rPr>
        <w:t>日期：</w:t>
      </w:r>
      <w:r>
        <w:rPr>
          <w:rFonts w:ascii="宋体" w:hAnsi="宋体" w:eastAsia="宋体" w:cs="宋体"/>
          <w:spacing w:val="4"/>
          <w:sz w:val="24"/>
          <w:szCs w:val="24"/>
          <w:u w:val="single" w:color="auto"/>
        </w:rPr>
        <w:t xml:space="preserve">       </w:t>
      </w:r>
      <w:r>
        <w:rPr>
          <w:rFonts w:ascii="宋体" w:hAnsi="宋体" w:eastAsia="宋体" w:cs="宋体"/>
          <w:spacing w:val="-22"/>
          <w:w w:val="94"/>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22"/>
          <w:w w:val="94"/>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22"/>
          <w:w w:val="94"/>
          <w:sz w:val="24"/>
          <w:szCs w:val="24"/>
        </w:rPr>
        <w:t>日</w:t>
      </w:r>
    </w:p>
    <w:p>
      <w:pPr>
        <w:spacing w:line="271" w:lineRule="auto"/>
        <w:rPr>
          <w:rFonts w:ascii="宋体"/>
          <w:sz w:val="21"/>
        </w:rPr>
      </w:pPr>
    </w:p>
    <w:p>
      <w:pPr>
        <w:spacing w:before="79" w:line="185" w:lineRule="auto"/>
        <w:ind w:firstLine="122"/>
        <w:rPr>
          <w:rFonts w:ascii="宋体" w:hAnsi="宋体" w:eastAsia="宋体" w:cs="宋体"/>
          <w:sz w:val="24"/>
          <w:szCs w:val="24"/>
        </w:rPr>
      </w:pPr>
      <w:r>
        <w:rPr>
          <w:rFonts w:ascii="宋体" w:hAnsi="宋体" w:eastAsia="宋体" w:cs="宋体"/>
          <w:spacing w:val="-10"/>
          <w:sz w:val="24"/>
          <w:szCs w:val="24"/>
        </w:rPr>
        <w:t>注：</w:t>
      </w:r>
      <w:r>
        <w:rPr>
          <w:rFonts w:ascii="宋体" w:hAnsi="宋体" w:eastAsia="宋体" w:cs="宋体"/>
          <w:spacing w:val="31"/>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0"/>
          <w:sz w:val="24"/>
          <w:szCs w:val="24"/>
        </w:rPr>
        <w:t>、投标人必须填写报价明细表，否则将导致投标被拒绝。</w:t>
      </w:r>
    </w:p>
    <w:p>
      <w:pPr>
        <w:spacing w:before="228" w:line="185" w:lineRule="auto"/>
        <w:ind w:firstLine="837"/>
        <w:rPr>
          <w:rFonts w:ascii="宋体" w:hAnsi="宋体" w:eastAsia="宋体" w:cs="宋体"/>
          <w:sz w:val="24"/>
          <w:szCs w:val="24"/>
        </w:rPr>
      </w:pPr>
      <w:r>
        <w:rPr>
          <w:rFonts w:ascii="Times New Roman" w:hAnsi="Times New Roman" w:eastAsia="Times New Roman" w:cs="Times New Roman"/>
          <w:spacing w:val="-11"/>
          <w:sz w:val="24"/>
          <w:szCs w:val="24"/>
        </w:rPr>
        <w:t>2</w:t>
      </w:r>
      <w:r>
        <w:rPr>
          <w:rFonts w:ascii="宋体" w:hAnsi="宋体" w:eastAsia="宋体" w:cs="宋体"/>
          <w:spacing w:val="-11"/>
          <w:sz w:val="24"/>
          <w:szCs w:val="24"/>
        </w:rPr>
        <w:t>、报价分析表中的“投标总价”应等于“开标一览表”中的“投标总价”。</w:t>
      </w:r>
    </w:p>
    <w:p>
      <w:pPr>
        <w:spacing w:before="227" w:line="185" w:lineRule="auto"/>
        <w:ind w:firstLine="842"/>
        <w:rPr>
          <w:rFonts w:hint="eastAsia"/>
          <w:lang w:eastAsia="zh-CN"/>
        </w:rPr>
        <w:sectPr>
          <w:footerReference r:id="rId7"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Times New Roman" w:cs="Times New Roman"/>
          <w:spacing w:val="-3"/>
          <w:sz w:val="24"/>
          <w:szCs w:val="24"/>
        </w:rPr>
        <w:t>3</w:t>
      </w:r>
      <w:r>
        <w:rPr>
          <w:rFonts w:ascii="宋体" w:hAnsi="宋体" w:eastAsia="宋体" w:cs="宋体"/>
          <w:spacing w:val="-3"/>
          <w:sz w:val="24"/>
          <w:szCs w:val="24"/>
        </w:rPr>
        <w:t>、报价项目填报不下的，可自行扩</w:t>
      </w:r>
      <w:r>
        <w:rPr>
          <w:rFonts w:hint="eastAsia" w:ascii="宋体" w:hAnsi="宋体" w:cs="宋体"/>
          <w:spacing w:val="-3"/>
          <w:sz w:val="24"/>
          <w:szCs w:val="24"/>
          <w:lang w:val="en-US" w:eastAsia="zh-CN"/>
        </w:rPr>
        <w:t>展</w:t>
      </w:r>
    </w:p>
    <w:p>
      <w:pPr>
        <w:jc w:val="center"/>
        <w:rPr>
          <w:rFonts w:hint="eastAsia" w:ascii="宋体" w:hAnsi="宋体" w:cs="宋体"/>
          <w:b/>
          <w:bCs/>
          <w:color w:val="000000"/>
          <w:sz w:val="32"/>
          <w:szCs w:val="44"/>
        </w:rPr>
      </w:pPr>
      <w:r>
        <w:rPr>
          <w:rFonts w:hint="eastAsia" w:ascii="宋体" w:hAnsi="宋体" w:cs="宋体"/>
          <w:b/>
          <w:bCs/>
          <w:color w:val="000000"/>
          <w:sz w:val="32"/>
          <w:szCs w:val="44"/>
        </w:rPr>
        <w:t>第二</w:t>
      </w:r>
      <w:r>
        <w:rPr>
          <w:rFonts w:hint="eastAsia" w:ascii="宋体" w:hAnsi="宋体" w:cs="宋体"/>
          <w:b/>
          <w:bCs/>
          <w:color w:val="000000"/>
          <w:sz w:val="32"/>
          <w:szCs w:val="44"/>
          <w:lang w:val="en-US" w:eastAsia="zh-CN"/>
        </w:rPr>
        <w:t xml:space="preserve">节 </w:t>
      </w:r>
      <w:r>
        <w:rPr>
          <w:rFonts w:hint="eastAsia" w:ascii="宋体" w:hAnsi="宋体" w:cs="宋体"/>
          <w:b/>
          <w:bCs/>
          <w:color w:val="000000"/>
          <w:sz w:val="32"/>
          <w:szCs w:val="44"/>
        </w:rPr>
        <w:t>商务部分</w:t>
      </w:r>
    </w:p>
    <w:p>
      <w:pPr>
        <w:pStyle w:val="4"/>
        <w:numPr>
          <w:ilvl w:val="0"/>
          <w:numId w:val="0"/>
        </w:numPr>
        <w:spacing w:line="240" w:lineRule="auto"/>
        <w:jc w:val="center"/>
        <w:rPr>
          <w:rFonts w:hint="eastAsia" w:ascii="宋体" w:hAnsi="宋体" w:eastAsia="宋体" w:cs="宋体"/>
          <w:color w:val="000000"/>
          <w:szCs w:val="28"/>
        </w:rPr>
        <w:sectPr>
          <w:pgSz w:w="11906" w:h="16838"/>
          <w:pgMar w:top="1440" w:right="1800" w:bottom="1440" w:left="1800" w:header="851" w:footer="992" w:gutter="0"/>
          <w:pgNumType w:fmt="numberInDash"/>
          <w:cols w:space="425" w:num="1"/>
          <w:docGrid w:type="lines" w:linePitch="312" w:charSpace="0"/>
        </w:sectPr>
      </w:pPr>
    </w:p>
    <w:p>
      <w:pPr>
        <w:jc w:val="center"/>
        <w:rPr>
          <w:rFonts w:hint="eastAsia" w:ascii="宋体" w:hAnsi="宋体" w:cs="宋体"/>
          <w:b/>
          <w:color w:val="000000"/>
          <w:sz w:val="32"/>
          <w:szCs w:val="28"/>
        </w:rPr>
      </w:pPr>
      <w:r>
        <w:rPr>
          <w:rFonts w:hint="eastAsia" w:ascii="宋体" w:hAnsi="宋体" w:cs="宋体"/>
          <w:b/>
          <w:color w:val="000000"/>
          <w:sz w:val="32"/>
          <w:szCs w:val="28"/>
          <w:lang w:val="en-US" w:eastAsia="zh-CN"/>
        </w:rPr>
        <w:t>1、</w:t>
      </w:r>
      <w:r>
        <w:rPr>
          <w:rFonts w:hint="eastAsia" w:ascii="宋体" w:hAnsi="宋体" w:cs="宋体"/>
          <w:b/>
          <w:color w:val="000000"/>
          <w:sz w:val="32"/>
          <w:szCs w:val="28"/>
        </w:rPr>
        <w:t>投标单位简介</w:t>
      </w:r>
    </w:p>
    <w:p>
      <w:pPr>
        <w:rPr>
          <w:rFonts w:hint="eastAsia" w:ascii="宋体" w:hAnsi="宋体" w:cs="宋体"/>
          <w:b/>
          <w:color w:val="000000"/>
          <w:sz w:val="28"/>
          <w:szCs w:val="28"/>
        </w:rPr>
      </w:pPr>
      <w:r>
        <w:rPr>
          <w:rFonts w:hint="eastAsia" w:ascii="宋体" w:hAnsi="宋体" w:cs="宋体"/>
          <w:b/>
          <w:color w:val="000000"/>
          <w:sz w:val="28"/>
          <w:szCs w:val="28"/>
        </w:rPr>
        <w:t xml:space="preserve">    </w:t>
      </w:r>
    </w:p>
    <w:p>
      <w:pPr>
        <w:ind w:firstLine="482" w:firstLineChars="200"/>
        <w:jc w:val="center"/>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后附：投标人单位相关资质证件</w:t>
      </w: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pStyle w:val="9"/>
        <w:spacing w:line="240" w:lineRule="auto"/>
        <w:ind w:left="0" w:leftChars="0" w:firstLine="0" w:firstLineChars="0"/>
        <w:jc w:val="center"/>
        <w:rPr>
          <w:rFonts w:hint="eastAsia" w:ascii="宋体" w:hAnsi="宋体" w:cs="宋体"/>
          <w:b/>
          <w:color w:val="000000"/>
          <w:sz w:val="32"/>
          <w:szCs w:val="28"/>
        </w:rPr>
      </w:pPr>
      <w:r>
        <w:rPr>
          <w:rFonts w:hint="eastAsia" w:ascii="宋体" w:hAnsi="宋体" w:cs="宋体"/>
          <w:b/>
          <w:color w:val="000000"/>
          <w:sz w:val="32"/>
          <w:szCs w:val="28"/>
          <w:lang w:val="en-US" w:eastAsia="zh-CN"/>
        </w:rPr>
        <w:t>2、</w:t>
      </w:r>
      <w:r>
        <w:rPr>
          <w:rFonts w:hint="eastAsia" w:ascii="宋体" w:hAnsi="宋体" w:cs="宋体"/>
          <w:b/>
          <w:color w:val="000000"/>
          <w:sz w:val="32"/>
          <w:szCs w:val="28"/>
        </w:rPr>
        <w:t>出具法人营业执照函</w:t>
      </w:r>
    </w:p>
    <w:p>
      <w:pPr>
        <w:rPr>
          <w:rFonts w:hint="eastAsia" w:ascii="宋体" w:hAnsi="宋体" w:cs="宋体"/>
          <w:color w:val="000000"/>
          <w:sz w:val="28"/>
          <w:szCs w:val="28"/>
        </w:rPr>
      </w:pPr>
    </w:p>
    <w:p>
      <w:pPr>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 xml:space="preserve">    现附上由</w:t>
      </w:r>
      <w:r>
        <w:rPr>
          <w:rFonts w:hint="eastAsia" w:ascii="宋体" w:hAnsi="宋体" w:cs="宋体"/>
          <w:color w:val="000000"/>
          <w:sz w:val="24"/>
          <w:szCs w:val="24"/>
          <w:u w:val="single"/>
        </w:rPr>
        <w:t xml:space="preserve">                          </w:t>
      </w:r>
      <w:r>
        <w:rPr>
          <w:rFonts w:hint="eastAsia" w:ascii="宋体" w:hAnsi="宋体" w:cs="宋体"/>
          <w:color w:val="000000"/>
          <w:sz w:val="24"/>
          <w:szCs w:val="24"/>
        </w:rPr>
        <w:t>（签发机关名称）签发的我方法人营业执照复印件，该执照已经年检，真实有效。</w:t>
      </w: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投标单位名称</w:t>
      </w:r>
      <w:r>
        <w:rPr>
          <w:rFonts w:hint="eastAsia" w:ascii="宋体" w:hAnsi="宋体" w:cs="宋体"/>
          <w:color w:val="000000"/>
          <w:sz w:val="24"/>
          <w:szCs w:val="24"/>
          <w:lang w:eastAsia="zh-CN"/>
        </w:rPr>
        <w:t>：</w:t>
      </w:r>
      <w:r>
        <w:rPr>
          <w:rFonts w:hint="eastAsia" w:ascii="宋体" w:hAnsi="宋体" w:cs="宋体"/>
          <w:color w:val="000000"/>
          <w:sz w:val="24"/>
          <w:szCs w:val="24"/>
        </w:rPr>
        <w:t>（单位公章）</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8"/>
          <w:szCs w:val="28"/>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盖章）</w:t>
      </w:r>
      <w:r>
        <w:rPr>
          <w:rFonts w:hint="eastAsia" w:ascii="宋体" w:hAnsi="宋体" w:cs="宋体"/>
          <w:color w:val="000000"/>
          <w:sz w:val="24"/>
          <w:szCs w:val="24"/>
          <w:u w:val="single"/>
        </w:rPr>
        <w:t xml:space="preserve">   </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p>
    <w:p>
      <w:pPr>
        <w:rPr>
          <w:rFonts w:hint="eastAsia" w:ascii="宋体" w:hAnsi="宋体" w:cs="宋体"/>
          <w:color w:val="000000"/>
          <w:sz w:val="28"/>
          <w:szCs w:val="28"/>
        </w:rPr>
      </w:pPr>
    </w:p>
    <w:p>
      <w:pPr>
        <w:jc w:val="right"/>
        <w:rPr>
          <w:rFonts w:hint="eastAsia" w:ascii="宋体" w:hAnsi="宋体" w:cs="宋体"/>
          <w:color w:val="000000"/>
          <w:sz w:val="24"/>
          <w:szCs w:val="24"/>
        </w:rPr>
      </w:pPr>
      <w:r>
        <w:rPr>
          <w:rFonts w:hint="eastAsia" w:ascii="宋体" w:hAnsi="宋体" w:cs="宋体"/>
          <w:color w:val="000000"/>
          <w:sz w:val="24"/>
          <w:szCs w:val="24"/>
        </w:rPr>
        <w:t>日期： 年   月   日</w:t>
      </w:r>
    </w:p>
    <w:p>
      <w:pPr>
        <w:rPr>
          <w:rFonts w:hint="eastAsia" w:ascii="宋体" w:hAnsi="宋体" w:cs="宋体"/>
          <w:color w:val="000000"/>
          <w:sz w:val="28"/>
          <w:szCs w:val="28"/>
        </w:rPr>
      </w:pPr>
    </w:p>
    <w:p>
      <w:pPr>
        <w:jc w:val="left"/>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b/>
          <w:color w:val="000000"/>
          <w:sz w:val="24"/>
          <w:szCs w:val="24"/>
        </w:rPr>
        <w:t>后附：投标单位三合一营业执照复印件</w:t>
      </w:r>
    </w:p>
    <w:p>
      <w:pPr>
        <w:rPr>
          <w:rFonts w:hint="eastAsia" w:ascii="宋体" w:hAnsi="宋体" w:cs="宋体"/>
          <w:b/>
          <w:color w:val="000000"/>
          <w:sz w:val="32"/>
          <w:szCs w:val="28"/>
        </w:rPr>
      </w:pPr>
    </w:p>
    <w:p>
      <w:pPr>
        <w:pStyle w:val="9"/>
        <w:numPr>
          <w:ilvl w:val="0"/>
          <w:numId w:val="0"/>
        </w:numPr>
        <w:spacing w:line="240" w:lineRule="auto"/>
        <w:ind w:leftChars="200"/>
        <w:jc w:val="center"/>
        <w:rPr>
          <w:rFonts w:hint="eastAsia" w:ascii="宋体" w:hAnsi="宋体" w:cs="宋体"/>
          <w:b/>
          <w:color w:val="000000"/>
          <w:sz w:val="32"/>
          <w:szCs w:val="28"/>
        </w:rPr>
      </w:pPr>
      <w:r>
        <w:rPr>
          <w:rFonts w:hint="eastAsia" w:ascii="宋体" w:hAnsi="宋体" w:cs="宋体"/>
          <w:b/>
          <w:color w:val="000000"/>
          <w:sz w:val="32"/>
          <w:szCs w:val="28"/>
          <w:lang w:val="en-US" w:eastAsia="zh-CN"/>
        </w:rPr>
        <w:t>3</w:t>
      </w:r>
      <w:r>
        <w:rPr>
          <w:rFonts w:hint="eastAsia" w:ascii="宋体" w:hAnsi="宋体" w:cs="宋体"/>
          <w:b/>
          <w:color w:val="000000"/>
          <w:sz w:val="32"/>
          <w:szCs w:val="28"/>
        </w:rPr>
        <w:t>法定代表人身份证明</w:t>
      </w:r>
    </w:p>
    <w:p>
      <w:pPr>
        <w:pStyle w:val="9"/>
        <w:spacing w:line="240" w:lineRule="auto"/>
        <w:ind w:firstLine="562"/>
        <w:jc w:val="center"/>
        <w:rPr>
          <w:rFonts w:hint="eastAsia" w:ascii="宋体" w:hAnsi="宋体" w:cs="宋体"/>
          <w:b/>
          <w:color w:val="000000"/>
          <w:szCs w:val="28"/>
        </w:rPr>
      </w:pPr>
    </w:p>
    <w:p>
      <w:pPr>
        <w:spacing w:line="360" w:lineRule="auto"/>
        <w:rPr>
          <w:rFonts w:hint="eastAsia" w:ascii="宋体" w:hAnsi="宋体" w:cs="宋体"/>
          <w:color w:val="000000"/>
          <w:sz w:val="24"/>
          <w:szCs w:val="24"/>
          <w:u w:val="single"/>
        </w:rPr>
      </w:pPr>
      <w:r>
        <w:rPr>
          <w:rFonts w:hint="eastAsia" w:ascii="宋体" w:hAnsi="宋体" w:cs="宋体"/>
          <w:color w:val="000000"/>
          <w:sz w:val="24"/>
          <w:szCs w:val="24"/>
        </w:rPr>
        <w:t>单位名称：（单位公章）</w:t>
      </w:r>
      <w:r>
        <w:rPr>
          <w:rFonts w:hint="eastAsia" w:ascii="宋体" w:hAnsi="宋体" w:cs="宋体"/>
          <w:color w:val="000000"/>
          <w:sz w:val="24"/>
          <w:szCs w:val="24"/>
          <w:u w:val="single"/>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需附：法定代表人身份证复印件。</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6985</wp:posOffset>
                </wp:positionV>
                <wp:extent cx="2044700" cy="1219835"/>
                <wp:effectExtent l="7620" t="7620" r="20320" b="2222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1312;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gQa8NMAAAAIAQAADwAAAAAAAAABACAAAAAiAAAAZHJzL2Rvd25yZXYueG1sUEsBAhQAFAAA&#10;AAgAh07iQMqzTPT0AQAA0AMAAA4AAAAAAAAAAQAgAAAAIgEAAGRycy9lMm9Eb2MueG1sUEsFBgAA&#10;AAAGAAYAWQEAAIg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6985</wp:posOffset>
                </wp:positionV>
                <wp:extent cx="1990725" cy="1219835"/>
                <wp:effectExtent l="7620" t="7620" r="13335" b="2222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2336;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Tk6v1AAAAAkBAAAPAAAAAAAAAAEAIAAAACIAAABkcnMvZG93bnJldi54bWxQSwECFAAU&#10;AAAACACHTuJAEgE4FfUBAADPAwAADgAAAAAAAAABACAAAAAjAQAAZHJzL2Uyb0RvYy54bWxQSwUG&#10;AAAAAAYABgBZAQAAigU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jc w:val="left"/>
        <w:rPr>
          <w:rFonts w:hint="eastAsia" w:ascii="宋体" w:hAnsi="宋体" w:cs="宋体"/>
          <w:b/>
          <w:bCs/>
          <w:color w:val="000000"/>
          <w:sz w:val="28"/>
          <w:szCs w:val="28"/>
        </w:rPr>
      </w:pPr>
    </w:p>
    <w:p>
      <w:pPr>
        <w:pStyle w:val="29"/>
        <w:rPr>
          <w:rFonts w:hint="eastAsia" w:ascii="宋体" w:hAnsi="宋体" w:cs="宋体"/>
          <w:b/>
          <w:bCs/>
          <w:color w:val="000000"/>
          <w:sz w:val="28"/>
          <w:szCs w:val="28"/>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4"/>
        </w:rPr>
        <w:t>：</w:t>
      </w:r>
    </w:p>
    <w:p>
      <w:pPr>
        <w:spacing w:line="360" w:lineRule="auto"/>
        <w:rPr>
          <w:rFonts w:hint="eastAsia" w:ascii="宋体" w:hAnsi="宋体" w:cs="宋体"/>
          <w:color w:val="000000"/>
          <w:sz w:val="28"/>
          <w:szCs w:val="28"/>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jc w:val="left"/>
        <w:rPr>
          <w:rFonts w:hint="eastAsia" w:ascii="宋体" w:hAnsi="宋体" w:cs="宋体"/>
          <w:b/>
          <w:bCs/>
          <w:color w:val="000000"/>
          <w:sz w:val="32"/>
          <w:szCs w:val="28"/>
        </w:rPr>
      </w:pP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color w:val="000000"/>
          <w:sz w:val="32"/>
          <w:szCs w:val="28"/>
        </w:rPr>
        <w:br w:type="page"/>
      </w:r>
    </w:p>
    <w:p>
      <w:pPr>
        <w:jc w:val="center"/>
        <w:rPr>
          <w:rFonts w:hint="eastAsia" w:ascii="宋体" w:hAnsi="宋体" w:cs="宋体"/>
          <w:b/>
          <w:bCs w:val="0"/>
          <w:color w:val="auto"/>
          <w:sz w:val="28"/>
          <w:szCs w:val="28"/>
        </w:rPr>
      </w:pPr>
      <w:r>
        <w:rPr>
          <w:rFonts w:hint="eastAsia" w:ascii="宋体" w:hAnsi="宋体" w:cs="宋体"/>
          <w:b/>
          <w:bCs w:val="0"/>
          <w:color w:val="auto"/>
          <w:sz w:val="32"/>
          <w:szCs w:val="28"/>
          <w:lang w:val="en-US" w:eastAsia="zh-CN"/>
        </w:rPr>
        <w:t>4、</w:t>
      </w:r>
      <w:r>
        <w:rPr>
          <w:rFonts w:hint="eastAsia" w:ascii="宋体" w:hAnsi="宋体" w:cs="宋体"/>
          <w:b/>
          <w:bCs w:val="0"/>
          <w:color w:val="auto"/>
          <w:sz w:val="32"/>
          <w:szCs w:val="28"/>
        </w:rPr>
        <w:t>法定代表人授权委托书</w:t>
      </w:r>
    </w:p>
    <w:p>
      <w:pPr>
        <w:pStyle w:val="10"/>
        <w:spacing w:line="360" w:lineRule="auto"/>
        <w:ind w:firstLine="480" w:firstLineChars="20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pPr>
        <w:pStyle w:val="10"/>
        <w:spacing w:line="360" w:lineRule="auto"/>
        <w:ind w:firstLine="480" w:firstLineChars="200"/>
        <w:rPr>
          <w:rFonts w:hint="eastAsia"/>
          <w:color w:val="000000"/>
          <w:sz w:val="24"/>
          <w:szCs w:val="24"/>
        </w:rPr>
      </w:pPr>
    </w:p>
    <w:p>
      <w:pPr>
        <w:pStyle w:val="10"/>
        <w:spacing w:line="360" w:lineRule="auto"/>
        <w:ind w:firstLine="480" w:firstLineChars="200"/>
        <w:rPr>
          <w:color w:val="000000"/>
          <w:sz w:val="24"/>
          <w:szCs w:val="24"/>
        </w:rPr>
      </w:pPr>
      <w:r>
        <w:rPr>
          <w:rFonts w:hint="eastAsia"/>
          <w:color w:val="000000"/>
          <w:sz w:val="24"/>
          <w:szCs w:val="24"/>
        </w:rPr>
        <w:t>被授权人（投标人授权代表）无转委托权限。</w:t>
      </w:r>
    </w:p>
    <w:p>
      <w:pPr>
        <w:spacing w:line="360" w:lineRule="auto"/>
        <w:ind w:firstLine="480" w:firstLineChars="200"/>
        <w:rPr>
          <w:rFonts w:ascii="宋体"/>
          <w:color w:val="000000"/>
          <w:sz w:val="24"/>
        </w:rPr>
      </w:pPr>
      <w:r>
        <w:rPr>
          <w:rFonts w:hint="eastAsia" w:ascii="宋体"/>
          <w:color w:val="000000"/>
          <w:sz w:val="24"/>
        </w:rPr>
        <w:t>本授权书自法定代表人签字（盖个人名章）之日起生效，特此声明。</w:t>
      </w:r>
    </w:p>
    <w:p>
      <w:pP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需附：法定代表人、被授权人身份证复印件。</w:t>
      </w:r>
    </w:p>
    <w:p>
      <w:pPr>
        <w:pStyle w:val="7"/>
        <w:rPr>
          <w:rFonts w:hint="eastAsia"/>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0725" cy="1219835"/>
                <wp:effectExtent l="7620" t="7620" r="13335" b="2222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4384;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DUqRzWAAAACQEAAA8AAAAAAAAAAQAgAAAAIgAAAGRycy9kb3ducmV2LnhtbFBLAQIU&#10;ABQAAAAIAIdO4kDQVUsw9QEAAM8DAAAOAAAAAAAAAAEAIAAAACUBAABkcnMvZTJvRG9jLnhtbFBL&#10;BQYAAAAABgAGAFkBAACM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color w:val="FF0000"/>
          <w:sz w:val="28"/>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1990725" cy="1219835"/>
                <wp:effectExtent l="7620" t="7620" r="13335" b="2222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3360;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f42Z3UAAAACAEAAA8AAAAAAAAAAQAgAAAAIgAAAGRycy9kb3ducmV2LnhtbFBLAQIUABQA&#10;AAAIAIdO4kAzKtdV9AEAANADAAAOAAAAAAAAAAEAIAAAACMBAABkcnMvZTJvRG9jLnhtbFBLBQYA&#10;AAAABgAGAFkBAACJBQ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cs="宋体"/>
          <w:color w:val="FF0000"/>
          <w:sz w:val="28"/>
          <w:szCs w:val="28"/>
        </w:rPr>
      </w:pPr>
    </w:p>
    <w:p>
      <w:pPr>
        <w:rPr>
          <w:rFonts w:hint="eastAsia" w:ascii="宋体" w:hAnsi="宋体" w:cs="宋体"/>
          <w:color w:val="FF0000"/>
          <w:sz w:val="28"/>
          <w:szCs w:val="28"/>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154940</wp:posOffset>
                </wp:positionV>
                <wp:extent cx="1990725" cy="1219835"/>
                <wp:effectExtent l="7620" t="7620" r="13335" b="2222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文本框 6" o:spid="_x0000_s1026" o:spt="202" type="#_x0000_t202" style="position:absolute;left:0pt;margin-left:221.75pt;margin-top:12.2pt;height:96.05pt;width:156.75pt;z-index:251666432;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ldyPdYAAAAKAQAADwAAAAAAAAABACAAAAAiAAAAZHJzL2Rvd25yZXYueG1sUEsBAhQA&#10;FAAAAAgAh07iQE2RlaD0AQAAzwMAAA4AAAAAAAAAAQAgAAAAJQEAAGRycy9lMm9Eb2MueG1sUEsF&#10;BgAAAAAGAAYAWQEAAIs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color w:val="FF0000"/>
          <w:sz w:val="28"/>
        </w:rPr>
        <mc:AlternateContent>
          <mc:Choice Requires="wps">
            <w:drawing>
              <wp:anchor distT="0" distB="0" distL="114300" distR="114300" simplePos="0" relativeHeight="251665408" behindDoc="0" locked="0" layoutInCell="1" allowOverlap="1">
                <wp:simplePos x="0" y="0"/>
                <wp:positionH relativeFrom="column">
                  <wp:posOffset>95885</wp:posOffset>
                </wp:positionH>
                <wp:positionV relativeFrom="paragraph">
                  <wp:posOffset>154940</wp:posOffset>
                </wp:positionV>
                <wp:extent cx="1990725" cy="1219835"/>
                <wp:effectExtent l="7620" t="7620" r="13335" b="2222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7.55pt;margin-top:12.2pt;height:96.05pt;width:156.75pt;z-index:251665408;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nsIWHVAAAACQEAAA8AAAAAAAAAAQAgAAAAIgAAAGRycy9kb3ducmV2LnhtbFBLAQIU&#10;ABQAAAAIAIdO4kChKCu99gEAANADAAAOAAAAAAAAAAEAIAAAACQBAABkcnMvZTJvRG9jLnhtbFBL&#10;BQYAAAAABgAGAFkBAACMBQ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FF0000"/>
          <w:sz w:val="28"/>
          <w:szCs w:val="28"/>
        </w:rPr>
      </w:pPr>
    </w:p>
    <w:p>
      <w:pPr>
        <w:jc w:val="center"/>
        <w:rPr>
          <w:rFonts w:hint="eastAsia" w:ascii="宋体" w:hAnsi="宋体" w:cs="宋体"/>
          <w:b/>
          <w:color w:val="FF0000"/>
          <w:sz w:val="28"/>
          <w:szCs w:val="28"/>
        </w:rPr>
      </w:pPr>
    </w:p>
    <w:p>
      <w:pPr>
        <w:jc w:val="center"/>
        <w:rPr>
          <w:rFonts w:hint="eastAsia" w:ascii="宋体" w:hAnsi="宋体" w:cs="宋体"/>
          <w:b/>
          <w:color w:val="FF0000"/>
          <w:sz w:val="28"/>
          <w:szCs w:val="28"/>
        </w:rPr>
      </w:pP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投标单位名称：（单位公章）</w:t>
      </w: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授权代表人</w:t>
      </w:r>
      <w:r>
        <w:rPr>
          <w:rFonts w:hint="eastAsia" w:ascii="宋体" w:hAnsi="宋体" w:cs="宋体"/>
          <w:color w:val="auto"/>
          <w:sz w:val="24"/>
          <w:szCs w:val="28"/>
          <w:lang w:eastAsia="zh-CN"/>
        </w:rPr>
        <w:t>：</w:t>
      </w:r>
      <w:r>
        <w:rPr>
          <w:rFonts w:hint="eastAsia" w:ascii="宋体" w:hAnsi="宋体" w:cs="宋体"/>
          <w:color w:val="auto"/>
          <w:sz w:val="24"/>
          <w:szCs w:val="28"/>
        </w:rPr>
        <w:t>（签字</w:t>
      </w:r>
      <w:r>
        <w:rPr>
          <w:rFonts w:hint="eastAsia" w:ascii="宋体" w:hAnsi="宋体" w:cs="宋体"/>
          <w:color w:val="auto"/>
          <w:sz w:val="24"/>
          <w:szCs w:val="28"/>
          <w:lang w:val="en-US" w:eastAsia="zh-CN"/>
        </w:rPr>
        <w:t>并</w:t>
      </w:r>
      <w:r>
        <w:rPr>
          <w:rFonts w:hint="eastAsia" w:ascii="宋体" w:hAnsi="宋体" w:cs="宋体"/>
          <w:color w:val="auto"/>
          <w:sz w:val="24"/>
          <w:szCs w:val="28"/>
        </w:rPr>
        <w:t>盖章）：</w:t>
      </w:r>
    </w:p>
    <w:p>
      <w:pPr>
        <w:spacing w:line="360" w:lineRule="auto"/>
        <w:rPr>
          <w:rFonts w:hint="eastAsia" w:ascii="宋体" w:hAnsi="宋体" w:cs="宋体"/>
          <w:color w:val="auto"/>
          <w:sz w:val="24"/>
          <w:szCs w:val="28"/>
        </w:rPr>
      </w:pPr>
    </w:p>
    <w:p>
      <w:pPr>
        <w:spacing w:line="360" w:lineRule="auto"/>
        <w:jc w:val="right"/>
        <w:rPr>
          <w:rFonts w:hint="eastAsia" w:ascii="宋体" w:hAnsi="宋体" w:cs="宋体"/>
          <w:color w:val="auto"/>
          <w:sz w:val="24"/>
          <w:szCs w:val="28"/>
        </w:rPr>
      </w:pPr>
      <w:r>
        <w:rPr>
          <w:rFonts w:hint="eastAsia" w:ascii="宋体" w:hAnsi="宋体" w:cs="宋体"/>
          <w:color w:val="auto"/>
          <w:sz w:val="24"/>
          <w:szCs w:val="28"/>
        </w:rPr>
        <w:t>日期：年   月   日</w:t>
      </w:r>
    </w:p>
    <w:p>
      <w:pPr>
        <w:pStyle w:val="6"/>
        <w:overflowPunct w:val="0"/>
        <w:snapToGrid w:val="0"/>
        <w:spacing w:line="360" w:lineRule="auto"/>
        <w:ind w:firstLine="0"/>
        <w:rPr>
          <w:rFonts w:hint="eastAsia" w:ascii="宋体" w:hAnsi="宋体" w:eastAsia="宋体" w:cs="宋体"/>
          <w:color w:val="000000"/>
          <w:sz w:val="24"/>
          <w:szCs w:val="24"/>
          <w:lang w:eastAsia="zh-CN"/>
        </w:rPr>
        <w:sectPr>
          <w:pgSz w:w="11906" w:h="16838"/>
          <w:pgMar w:top="1440" w:right="1800" w:bottom="1440" w:left="1800" w:header="851" w:footer="992" w:gutter="0"/>
          <w:pgNumType w:fmt="numberInDash"/>
          <w:cols w:space="425" w:num="1"/>
          <w:docGrid w:type="lines" w:linePitch="312" w:charSpace="0"/>
        </w:sectPr>
      </w:pPr>
    </w:p>
    <w:p>
      <w:pPr>
        <w:pStyle w:val="6"/>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 xml:space="preserve">      5、提供 2023 年税务机关出具近一个月填报日期的完税证明</w:t>
      </w:r>
    </w:p>
    <w:p>
      <w:pPr>
        <w:rPr>
          <w:rFonts w:hint="eastAsia" w:ascii="宋体" w:hAnsi="宋体" w:cs="宋体"/>
          <w:kern w:val="0"/>
          <w:sz w:val="24"/>
          <w:szCs w:val="24"/>
          <w:lang w:val="en-US" w:eastAsia="zh-CN"/>
        </w:rPr>
      </w:pPr>
      <w:r>
        <w:rPr>
          <w:rFonts w:hint="eastAsia" w:ascii="宋体" w:hAnsi="宋体" w:cs="宋体"/>
          <w:kern w:val="0"/>
          <w:sz w:val="24"/>
          <w:szCs w:val="24"/>
          <w:lang w:val="en-US" w:eastAsia="zh-CN"/>
        </w:rPr>
        <w:br w:type="page"/>
      </w:r>
    </w:p>
    <w:p>
      <w:pPr>
        <w:pStyle w:val="6"/>
        <w:widowControl w:val="0"/>
        <w:numPr>
          <w:ilvl w:val="0"/>
          <w:numId w:val="0"/>
        </w:numPr>
        <w:overflowPunct w:val="0"/>
        <w:adjustRightInd w:val="0"/>
        <w:snapToGrid w:val="0"/>
        <w:spacing w:line="360" w:lineRule="auto"/>
        <w:jc w:val="center"/>
        <w:rPr>
          <w:rFonts w:hint="default" w:ascii="宋体" w:hAnsi="宋体" w:eastAsia="宋体" w:cs="宋体"/>
          <w:b/>
          <w:bCs w:val="0"/>
          <w:color w:val="auto"/>
          <w:kern w:val="2"/>
          <w:sz w:val="44"/>
          <w:szCs w:val="44"/>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kern w:val="0"/>
          <w:sz w:val="44"/>
          <w:szCs w:val="44"/>
          <w:lang w:val="en-US" w:eastAsia="zh-CN"/>
        </w:rPr>
        <w:t>6、中小企业声明函（如是）</w:t>
      </w: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ind w:firstLine="643" w:firstLineChars="200"/>
        <w:jc w:val="center"/>
        <w:rPr>
          <w:rFonts w:hint="eastAsia"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val="0"/>
          <w:color w:val="auto"/>
          <w:kern w:val="2"/>
          <w:sz w:val="32"/>
          <w:szCs w:val="28"/>
          <w:lang w:val="en-US" w:eastAsia="zh-CN" w:bidi="ar-SA"/>
        </w:rPr>
        <w:t>7、国家企业信用信息公示（http://www.gsxt.gov.cn/）查询结果；</w:t>
      </w: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8、信用中国（www.creditchina.gov.cn）查询结果；</w:t>
      </w: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9、中国政府采购网（www.ccgp.gov.cn）查询结果；</w:t>
      </w:r>
    </w:p>
    <w:p>
      <w:pPr>
        <w:pStyle w:val="6"/>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default"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val="0"/>
          <w:color w:val="auto"/>
          <w:kern w:val="2"/>
          <w:sz w:val="32"/>
          <w:szCs w:val="28"/>
          <w:lang w:val="en-US" w:eastAsia="zh-CN" w:bidi="ar-SA"/>
        </w:rPr>
        <w:t>10、中国裁判文书网（http://wenshu.court.gov.cn/）查询结果；</w:t>
      </w:r>
    </w:p>
    <w:p>
      <w:pPr>
        <w:pStyle w:val="6"/>
        <w:numPr>
          <w:ilvl w:val="0"/>
          <w:numId w:val="0"/>
        </w:numPr>
        <w:overflowPunct w:val="0"/>
        <w:snapToGrid w:val="0"/>
        <w:spacing w:line="360" w:lineRule="auto"/>
        <w:jc w:val="both"/>
        <w:rPr>
          <w:rFonts w:hint="default"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val="0"/>
          <w:color w:val="auto"/>
          <w:kern w:val="2"/>
          <w:sz w:val="32"/>
          <w:szCs w:val="28"/>
          <w:lang w:val="en-US" w:eastAsia="zh-CN" w:bidi="ar-SA"/>
        </w:rPr>
        <w:t xml:space="preserve">   11、提供 2021 年度由第三方财务审计机构出具的财务审计报告</w:t>
      </w:r>
    </w:p>
    <w:p>
      <w:pPr>
        <w:pStyle w:val="6"/>
        <w:numPr>
          <w:ilvl w:val="0"/>
          <w:numId w:val="0"/>
        </w:numPr>
        <w:overflowPunct w:val="0"/>
        <w:snapToGrid w:val="0"/>
        <w:spacing w:line="360" w:lineRule="auto"/>
        <w:ind w:leftChars="0"/>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12、投标企业近三年的业绩表及相关证明</w:t>
      </w:r>
    </w:p>
    <w:p>
      <w:pPr>
        <w:pStyle w:val="28"/>
        <w:tabs>
          <w:tab w:val="left" w:pos="540"/>
          <w:tab w:val="left" w:pos="1080"/>
        </w:tabs>
        <w:ind w:firstLine="235" w:firstLineChars="98"/>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项目名称： </w:t>
      </w:r>
    </w:p>
    <w:p>
      <w:pPr>
        <w:pStyle w:val="28"/>
        <w:tabs>
          <w:tab w:val="left" w:pos="540"/>
          <w:tab w:val="left" w:pos="1080"/>
        </w:tabs>
        <w:ind w:firstLine="235" w:firstLineChars="98"/>
        <w:jc w:val="left"/>
        <w:rPr>
          <w:rFonts w:hint="eastAsia" w:ascii="宋体" w:hAnsi="宋体" w:cs="宋体"/>
          <w:szCs w:val="24"/>
        </w:rPr>
      </w:pPr>
      <w:r>
        <w:rPr>
          <w:rFonts w:hint="eastAsia" w:ascii="宋体" w:hAnsi="宋体" w:cs="宋体"/>
          <w:szCs w:val="24"/>
          <w:lang w:val="en-US" w:eastAsia="zh-CN"/>
        </w:rPr>
        <w:t>项目编号：</w:t>
      </w:r>
      <w:r>
        <w:rPr>
          <w:rFonts w:hint="eastAsia" w:ascii="宋体" w:hAnsi="宋体" w:cs="宋体"/>
          <w:szCs w:val="24"/>
        </w:rPr>
        <w:t xml:space="preserve">                      </w:t>
      </w:r>
    </w:p>
    <w:tbl>
      <w:tblPr>
        <w:tblStyle w:val="18"/>
        <w:tblW w:w="9476" w:type="dxa"/>
        <w:jc w:val="center"/>
        <w:tblInd w:w="0" w:type="dxa"/>
        <w:tblLayout w:type="fixed"/>
        <w:tblCellMar>
          <w:top w:w="0" w:type="dxa"/>
          <w:left w:w="108" w:type="dxa"/>
          <w:bottom w:w="0" w:type="dxa"/>
          <w:right w:w="108" w:type="dxa"/>
        </w:tblCellMar>
      </w:tblPr>
      <w:tblGrid>
        <w:gridCol w:w="873"/>
        <w:gridCol w:w="1456"/>
        <w:gridCol w:w="1719"/>
        <w:gridCol w:w="1712"/>
        <w:gridCol w:w="1858"/>
        <w:gridCol w:w="1858"/>
      </w:tblGrid>
      <w:tr>
        <w:tblPrEx>
          <w:tblLayout w:type="fixed"/>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r>
              <w:rPr>
                <w:rFonts w:hint="eastAsia" w:ascii="宋体" w:hAnsi="宋体" w:cs="宋体"/>
              </w:rPr>
              <w:t>备  注</w:t>
            </w: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r>
        <w:tblPrEx>
          <w:tblLayout w:type="fixed"/>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30"/>
              <w:jc w:val="center"/>
              <w:rPr>
                <w:rFonts w:hint="eastAsia" w:ascii="宋体" w:hAnsi="宋体" w:cs="宋体"/>
                <w:szCs w:val="28"/>
              </w:rPr>
            </w:pPr>
          </w:p>
        </w:tc>
      </w:tr>
    </w:tbl>
    <w:p>
      <w:pPr>
        <w:spacing w:line="400" w:lineRule="exact"/>
        <w:rPr>
          <w:rFonts w:hint="eastAsia" w:ascii="宋体" w:hAnsi="宋体" w:cs="宋体"/>
          <w:color w:val="000000"/>
          <w:sz w:val="28"/>
          <w:szCs w:val="28"/>
        </w:rPr>
      </w:pPr>
    </w:p>
    <w:p>
      <w:pPr>
        <w:spacing w:line="360" w:lineRule="auto"/>
        <w:rPr>
          <w:rFonts w:hint="eastAsia" w:ascii="宋体" w:hAnsi="宋体" w:cs="宋体"/>
          <w:b/>
          <w:bCs/>
          <w:color w:val="000000"/>
          <w:sz w:val="24"/>
          <w:szCs w:val="28"/>
        </w:rPr>
      </w:pPr>
      <w:r>
        <w:rPr>
          <w:rFonts w:hint="eastAsia" w:ascii="宋体" w:hAnsi="宋体" w:cs="宋体"/>
          <w:b/>
          <w:bCs/>
          <w:color w:val="000000"/>
          <w:sz w:val="24"/>
          <w:szCs w:val="28"/>
        </w:rPr>
        <w:t>附:提供相关证明（经过行政主管部门备案的中标通知书及合同）</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pStyle w:val="28"/>
        <w:tabs>
          <w:tab w:val="left" w:pos="540"/>
          <w:tab w:val="left" w:pos="1080"/>
        </w:tabs>
        <w:spacing w:line="360" w:lineRule="auto"/>
        <w:rPr>
          <w:rFonts w:hint="eastAsia" w:ascii="宋体" w:hAnsi="宋体" w:cs="宋体"/>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pStyle w:val="6"/>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ind w:leftChars="0"/>
        <w:jc w:val="center"/>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13、售后服务承诺</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投标供应商：</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投标产品：</w:t>
      </w:r>
    </w:p>
    <w:p>
      <w:pPr>
        <w:adjustRightInd w:val="0"/>
        <w:snapToGrid w:val="0"/>
        <w:spacing w:line="360" w:lineRule="auto"/>
        <w:ind w:left="638" w:leftChars="266"/>
        <w:rPr>
          <w:rFonts w:hint="eastAsia" w:ascii="宋体" w:hAnsi="宋体" w:cs="宋体"/>
          <w:color w:val="000000"/>
          <w:sz w:val="24"/>
          <w:szCs w:val="24"/>
        </w:rPr>
      </w:pPr>
      <w:r>
        <w:rPr>
          <w:rFonts w:hint="eastAsia" w:ascii="宋体" w:hAnsi="宋体" w:cs="宋体"/>
          <w:color w:val="000000"/>
          <w:sz w:val="24"/>
          <w:szCs w:val="24"/>
        </w:rPr>
        <w:t>本公司如有幸中标，愿郑重承诺如下：</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1、在接到采购单位需要技术服务的通知后，保证在</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小时内</w:t>
      </w:r>
      <w:r>
        <w:rPr>
          <w:rFonts w:hint="eastAsia" w:ascii="宋体" w:hAnsi="宋体" w:cs="宋体"/>
          <w:bCs/>
          <w:color w:val="000000"/>
          <w:sz w:val="24"/>
          <w:szCs w:val="24"/>
        </w:rPr>
        <w:t xml:space="preserve">到达贵单位； </w:t>
      </w:r>
    </w:p>
    <w:p>
      <w:pPr>
        <w:adjustRightInd w:val="0"/>
        <w:snapToGrid w:val="0"/>
        <w:spacing w:line="360" w:lineRule="auto"/>
        <w:ind w:left="1" w:firstLine="480" w:firstLineChars="200"/>
        <w:rPr>
          <w:rFonts w:hint="eastAsia" w:ascii="宋体" w:hAnsi="宋体" w:cs="宋体"/>
          <w:bCs/>
          <w:color w:val="000000"/>
          <w:sz w:val="24"/>
          <w:szCs w:val="24"/>
        </w:rPr>
      </w:pPr>
      <w:r>
        <w:rPr>
          <w:rFonts w:hint="eastAsia" w:ascii="宋体" w:hAnsi="宋体" w:cs="宋体"/>
          <w:bCs/>
          <w:color w:val="000000"/>
          <w:sz w:val="24"/>
          <w:szCs w:val="24"/>
        </w:rPr>
        <w:t>2、如发生不及时到位、延误工作，本公司承担因此造成损失及不良影响的全部费用（费用额由贵单位确定）；</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3、如果发生产品质量问题，保证做到立即更换为合格产品，承担因此而引起一切后果，包括对贵单位的补偿责任。愿意接受国家管理部门的处罚；</w:t>
      </w:r>
    </w:p>
    <w:p>
      <w:pPr>
        <w:adjustRightInd w:val="0"/>
        <w:snapToGrid w:val="0"/>
        <w:spacing w:line="360" w:lineRule="auto"/>
        <w:ind w:firstLine="480" w:firstLineChars="200"/>
        <w:rPr>
          <w:rFonts w:hint="eastAsia" w:ascii="宋体" w:hAnsi="宋体" w:cs="宋体"/>
          <w:bCs/>
          <w:color w:val="0000FF"/>
          <w:sz w:val="24"/>
          <w:szCs w:val="24"/>
        </w:rPr>
      </w:pPr>
      <w:r>
        <w:rPr>
          <w:rFonts w:hint="eastAsia" w:ascii="宋体" w:hAnsi="宋体" w:cs="宋体"/>
          <w:bCs/>
          <w:color w:val="000000"/>
          <w:sz w:val="24"/>
          <w:szCs w:val="24"/>
        </w:rPr>
        <w:t>4、所有配件及</w:t>
      </w:r>
      <w:r>
        <w:rPr>
          <w:rFonts w:hint="eastAsia" w:ascii="宋体" w:hAnsi="宋体" w:cs="宋体"/>
          <w:bCs/>
          <w:sz w:val="24"/>
          <w:szCs w:val="24"/>
        </w:rPr>
        <w:t>服务</w:t>
      </w:r>
      <w:r>
        <w:rPr>
          <w:rFonts w:hint="eastAsia" w:ascii="宋体" w:hAnsi="宋体" w:cs="宋体"/>
          <w:b/>
          <w:bCs/>
          <w:sz w:val="24"/>
          <w:szCs w:val="24"/>
          <w:u w:val="single"/>
        </w:rPr>
        <w:t xml:space="preserve">     </w:t>
      </w:r>
      <w:r>
        <w:rPr>
          <w:rFonts w:hint="eastAsia" w:ascii="宋体" w:hAnsi="宋体" w:cs="宋体"/>
          <w:b/>
          <w:bCs/>
          <w:sz w:val="24"/>
          <w:szCs w:val="24"/>
        </w:rPr>
        <w:t>年内</w:t>
      </w:r>
      <w:r>
        <w:rPr>
          <w:rFonts w:hint="eastAsia" w:ascii="宋体" w:hAnsi="宋体" w:cs="宋体"/>
          <w:bCs/>
          <w:sz w:val="24"/>
          <w:szCs w:val="24"/>
        </w:rPr>
        <w:t>免费。如与技术参数中约定有冲突之处，以技术参数中要求为准。</w:t>
      </w:r>
    </w:p>
    <w:p>
      <w:pPr>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bCs/>
          <w:color w:val="000000"/>
          <w:sz w:val="24"/>
          <w:szCs w:val="24"/>
        </w:rPr>
        <w:t>以上承诺真实有效，本公司将严格履行，若做不到以上承诺，甘愿承担一切责任和经济赔偿。</w:t>
      </w: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before="100" w:beforeAutospacing="1" w:after="100" w:afterAutospacing="1" w:line="360" w:lineRule="auto"/>
        <w:rPr>
          <w:rFonts w:hint="eastAsia" w:ascii="宋体" w:hAnsi="宋体" w:cs="宋体"/>
          <w:color w:val="000000"/>
          <w:sz w:val="24"/>
          <w:szCs w:val="24"/>
          <w:u w:val="single"/>
        </w:rPr>
      </w:pPr>
      <w:r>
        <w:rPr>
          <w:rFonts w:hint="eastAsia" w:ascii="宋体" w:hAnsi="宋体" w:cs="宋体"/>
          <w:color w:val="000000"/>
          <w:sz w:val="24"/>
          <w:szCs w:val="24"/>
        </w:rPr>
        <w:t xml:space="preserve">  投标单位：</w:t>
      </w:r>
      <w:r>
        <w:rPr>
          <w:rFonts w:hint="eastAsia" w:ascii="宋体" w:hAnsi="宋体" w:cs="宋体"/>
          <w:color w:val="000000"/>
          <w:sz w:val="24"/>
          <w:szCs w:val="24"/>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4"/>
          <w:u w:val="single"/>
        </w:rPr>
      </w:pP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pStyle w:val="28"/>
        <w:snapToGrid w:val="0"/>
        <w:spacing w:line="360" w:lineRule="auto"/>
        <w:rPr>
          <w:rFonts w:hint="eastAsia" w:ascii="宋体" w:hAnsi="宋体" w:cs="宋体"/>
        </w:rPr>
      </w:pPr>
    </w:p>
    <w:p>
      <w:pPr>
        <w:pStyle w:val="28"/>
        <w:snapToGrid w:val="0"/>
        <w:spacing w:line="360" w:lineRule="auto"/>
        <w:rPr>
          <w:rFonts w:hint="eastAsia" w:ascii="宋体" w:hAnsi="宋体" w:cs="宋体"/>
        </w:rPr>
      </w:pPr>
    </w:p>
    <w:p>
      <w:pPr>
        <w:pStyle w:val="28"/>
        <w:snapToGrid w:val="0"/>
        <w:spacing w:line="360" w:lineRule="auto"/>
        <w:rPr>
          <w:rFonts w:hint="eastAsia"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b/>
        </w:rPr>
        <w:t>注：投标人必须按此要求承诺，如未承诺，则视为不响应采购文件要求。</w:t>
      </w:r>
    </w:p>
    <w:p>
      <w:pPr>
        <w:pStyle w:val="6"/>
        <w:numPr>
          <w:ilvl w:val="0"/>
          <w:numId w:val="0"/>
        </w:numPr>
        <w:tabs>
          <w:tab w:val="left" w:pos="2160"/>
        </w:tabs>
        <w:overflowPunct w:val="0"/>
        <w:snapToGrid w:val="0"/>
        <w:spacing w:line="360" w:lineRule="auto"/>
        <w:ind w:leftChars="0"/>
        <w:jc w:val="both"/>
        <w:rPr>
          <w:rFonts w:hint="eastAsia"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ab/>
      </w:r>
    </w:p>
    <w:p>
      <w:pPr>
        <w:jc w:val="center"/>
        <w:rPr>
          <w:rFonts w:hint="eastAsia"/>
        </w:rPr>
      </w:pPr>
      <w:r>
        <w:rPr>
          <w:rFonts w:hint="eastAsia" w:ascii="宋体" w:hAnsi="宋体" w:eastAsia="宋体" w:cs="宋体"/>
          <w:b/>
          <w:bCs w:val="0"/>
          <w:color w:val="auto"/>
          <w:kern w:val="2"/>
          <w:sz w:val="32"/>
          <w:szCs w:val="28"/>
          <w:lang w:val="en-US" w:eastAsia="zh-CN" w:bidi="ar-SA"/>
        </w:rPr>
        <w:t>1</w:t>
      </w:r>
      <w:r>
        <w:rPr>
          <w:rFonts w:hint="eastAsia" w:ascii="宋体" w:hAnsi="宋体" w:cs="宋体"/>
          <w:b/>
          <w:bCs w:val="0"/>
          <w:color w:val="auto"/>
          <w:kern w:val="2"/>
          <w:sz w:val="32"/>
          <w:szCs w:val="28"/>
          <w:lang w:val="en-US" w:eastAsia="zh-CN" w:bidi="ar-SA"/>
        </w:rPr>
        <w:t>4</w:t>
      </w:r>
      <w:r>
        <w:rPr>
          <w:rFonts w:hint="eastAsia" w:ascii="宋体" w:hAnsi="宋体" w:eastAsia="宋体" w:cs="宋体"/>
          <w:b/>
          <w:bCs w:val="0"/>
          <w:color w:val="auto"/>
          <w:kern w:val="2"/>
          <w:sz w:val="32"/>
          <w:szCs w:val="28"/>
          <w:lang w:val="en-US" w:eastAsia="zh-CN" w:bidi="ar-SA"/>
        </w:rPr>
        <w:t>、商务偏离表</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项目编号：</w:t>
      </w:r>
    </w:p>
    <w:tbl>
      <w:tblPr>
        <w:tblStyle w:val="18"/>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218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采购文件条目号</w:t>
            </w:r>
          </w:p>
        </w:tc>
        <w:tc>
          <w:tcPr>
            <w:tcW w:w="2552"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采购文件的商务条款</w:t>
            </w:r>
          </w:p>
        </w:tc>
        <w:tc>
          <w:tcPr>
            <w:tcW w:w="255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投标文件的商务条款</w:t>
            </w:r>
          </w:p>
        </w:tc>
        <w:tc>
          <w:tcPr>
            <w:tcW w:w="121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1、本项目商务条款至少包括：</w:t>
      </w:r>
      <w:r>
        <w:rPr>
          <w:rFonts w:hint="eastAsia" w:ascii="宋体" w:hAnsi="宋体" w:cs="宋体"/>
          <w:sz w:val="24"/>
          <w:szCs w:val="28"/>
          <w:lang w:val="en-US" w:eastAsia="zh-CN"/>
        </w:rPr>
        <w:t>服务</w:t>
      </w:r>
      <w:r>
        <w:rPr>
          <w:rFonts w:hint="eastAsia" w:ascii="宋体" w:hAnsi="宋体" w:cs="宋体"/>
          <w:sz w:val="24"/>
          <w:szCs w:val="28"/>
        </w:rPr>
        <w:t>期、采购内容、投标保证金响应、投标文件有效期、履约保证金等，投标人必须按采购文件给定的条款填写，否则视为不响应招标。</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sz w:val="24"/>
          <w:szCs w:val="28"/>
        </w:rPr>
        <w:t>2、采购文件条目号指投标须知所对应项目名称。</w:t>
      </w:r>
    </w:p>
    <w:p>
      <w:pPr>
        <w:adjustRightInd w:val="0"/>
        <w:snapToGrid w:val="0"/>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　投标单位：</w:t>
      </w:r>
      <w:r>
        <w:rPr>
          <w:rFonts w:hint="eastAsia" w:ascii="宋体" w:hAnsi="宋体" w:cs="宋体"/>
          <w:color w:val="000000"/>
          <w:sz w:val="24"/>
          <w:szCs w:val="28"/>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8"/>
          <w:u w:val="single"/>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 xml:space="preserve">  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pStyle w:val="6"/>
        <w:numPr>
          <w:ilvl w:val="0"/>
          <w:numId w:val="6"/>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p>
    <w:p>
      <w:pPr>
        <w:pStyle w:val="6"/>
        <w:numPr>
          <w:ilvl w:val="0"/>
          <w:numId w:val="0"/>
        </w:numPr>
        <w:overflowPunct w:val="0"/>
        <w:snapToGrid w:val="0"/>
        <w:spacing w:line="360" w:lineRule="auto"/>
        <w:ind w:leftChars="0"/>
        <w:jc w:val="center"/>
        <w:rPr>
          <w:rFonts w:hint="default"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15、</w:t>
      </w:r>
      <w:r>
        <w:rPr>
          <w:rFonts w:hint="default" w:ascii="宋体" w:hAnsi="宋体" w:eastAsia="宋体" w:cs="宋体"/>
          <w:b/>
          <w:bCs w:val="0"/>
          <w:color w:val="auto"/>
          <w:kern w:val="2"/>
          <w:sz w:val="32"/>
          <w:szCs w:val="28"/>
          <w:lang w:val="en-US" w:eastAsia="zh-CN" w:bidi="ar-SA"/>
        </w:rPr>
        <w:t>质量保证书</w:t>
      </w: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pStyle w:val="6"/>
        <w:numPr>
          <w:ilvl w:val="0"/>
          <w:numId w:val="0"/>
        </w:numPr>
        <w:overflowPunct w:val="0"/>
        <w:snapToGrid w:val="0"/>
        <w:spacing w:line="360" w:lineRule="auto"/>
        <w:ind w:leftChars="0"/>
        <w:jc w:val="center"/>
        <w:rPr>
          <w:rFonts w:hint="default"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p>
    <w:p>
      <w:pPr>
        <w:pStyle w:val="6"/>
        <w:numPr>
          <w:ilvl w:val="0"/>
          <w:numId w:val="0"/>
        </w:numPr>
        <w:overflowPunct w:val="0"/>
        <w:snapToGrid w:val="0"/>
        <w:spacing w:line="360" w:lineRule="auto"/>
        <w:ind w:leftChars="0"/>
        <w:jc w:val="both"/>
        <w:rPr>
          <w:rFonts w:hint="default"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default"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16、</w:t>
      </w:r>
      <w:r>
        <w:rPr>
          <w:rFonts w:hint="default" w:ascii="宋体" w:hAnsi="宋体" w:eastAsia="宋体" w:cs="宋体"/>
          <w:b/>
          <w:bCs w:val="0"/>
          <w:color w:val="auto"/>
          <w:kern w:val="2"/>
          <w:sz w:val="32"/>
          <w:szCs w:val="28"/>
          <w:lang w:val="en-US" w:eastAsia="zh-CN" w:bidi="ar-SA"/>
        </w:rPr>
        <w:t>供应商反商业贿赂承诺</w:t>
      </w:r>
    </w:p>
    <w:p>
      <w:pPr>
        <w:autoSpaceDE w:val="0"/>
        <w:autoSpaceDN w:val="0"/>
        <w:adjustRightInd w:val="0"/>
        <w:spacing w:line="48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600" w:firstLineChars="250"/>
        <w:rPr>
          <w:rFonts w:hint="eastAsia"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240" w:firstLineChars="100"/>
        <w:rPr>
          <w:rFonts w:hint="eastAsia" w:ascii="宋体" w:hAnsi="宋体" w:cs="宋体"/>
          <w:color w:val="000000"/>
          <w:sz w:val="24"/>
          <w:szCs w:val="24"/>
          <w:lang w:val="zh-CN"/>
        </w:rPr>
      </w:pPr>
    </w:p>
    <w:p>
      <w:pPr>
        <w:spacing w:before="100" w:beforeAutospacing="1" w:after="100" w:afterAutospacing="1" w:line="360" w:lineRule="auto"/>
        <w:ind w:firstLine="465"/>
        <w:rPr>
          <w:rFonts w:hint="eastAsia" w:ascii="宋体" w:hAnsi="宋体" w:cs="宋体"/>
          <w:color w:val="000000"/>
          <w:sz w:val="24"/>
          <w:szCs w:val="24"/>
          <w:lang w:val="zh-CN"/>
        </w:rPr>
      </w:pPr>
    </w:p>
    <w:p>
      <w:pPr>
        <w:spacing w:before="100" w:beforeAutospacing="1" w:after="100" w:afterAutospacing="1" w:line="360" w:lineRule="auto"/>
        <w:jc w:val="right"/>
        <w:rPr>
          <w:rFonts w:hint="eastAsia"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日期：年   月   日</w:t>
      </w:r>
    </w:p>
    <w:p>
      <w:pPr>
        <w:spacing w:before="100" w:beforeAutospacing="1" w:after="100" w:afterAutospacing="1" w:line="360" w:lineRule="auto"/>
        <w:jc w:val="right"/>
        <w:rPr>
          <w:rFonts w:hint="eastAsia" w:ascii="宋体" w:hAnsi="宋体" w:cs="宋体"/>
          <w:color w:val="000000"/>
          <w:sz w:val="24"/>
          <w:szCs w:val="24"/>
        </w:rPr>
      </w:pPr>
    </w:p>
    <w:p>
      <w:pPr>
        <w:pStyle w:val="6"/>
        <w:widowControl w:val="0"/>
        <w:numPr>
          <w:ilvl w:val="0"/>
          <w:numId w:val="0"/>
        </w:numPr>
        <w:overflowPunct w:val="0"/>
        <w:adjustRightInd w:val="0"/>
        <w:snapToGrid w:val="0"/>
        <w:spacing w:line="360" w:lineRule="auto"/>
        <w:jc w:val="center"/>
        <w:rPr>
          <w:rFonts w:hint="default"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p>
    <w:p>
      <w:pPr>
        <w:spacing w:line="640" w:lineRule="exact"/>
        <w:ind w:firstLine="569" w:firstLineChars="177"/>
        <w:jc w:val="center"/>
        <w:rPr>
          <w:rFonts w:ascii="华文中宋" w:hAnsi="华文中宋" w:eastAsia="华文中宋"/>
          <w:sz w:val="32"/>
          <w:szCs w:val="32"/>
          <w:highlight w:val="none"/>
        </w:rPr>
      </w:pPr>
      <w:r>
        <w:rPr>
          <w:rFonts w:hint="eastAsia" w:ascii="宋体" w:hAnsi="宋体" w:cs="宋体"/>
          <w:b/>
          <w:bCs w:val="0"/>
          <w:color w:val="auto"/>
          <w:kern w:val="2"/>
          <w:sz w:val="32"/>
          <w:szCs w:val="28"/>
          <w:highlight w:val="none"/>
          <w:lang w:val="en-US" w:eastAsia="zh-CN" w:bidi="ar-SA"/>
        </w:rPr>
        <w:t>17、</w:t>
      </w:r>
      <w:r>
        <w:rPr>
          <w:rFonts w:hint="default"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ascii="仿宋_GB2312" w:hAnsi="华文中宋" w:eastAsia="仿宋_GB2312"/>
          <w:sz w:val="24"/>
          <w:szCs w:val="24"/>
        </w:rPr>
      </w:pPr>
    </w:p>
    <w:p>
      <w:pPr>
        <w:spacing w:line="640" w:lineRule="exact"/>
        <w:ind w:firstLine="480" w:firstLineChars="200"/>
        <w:rPr>
          <w:rFonts w:ascii="宋体" w:hAnsi="宋体" w:cs="仿宋"/>
          <w:sz w:val="24"/>
          <w:szCs w:val="24"/>
        </w:rPr>
      </w:pPr>
      <w:r>
        <w:rPr>
          <w:rFonts w:hint="eastAsia" w:ascii="宋体" w:hAnsi="宋体" w:cs="仿宋"/>
          <w:sz w:val="24"/>
          <w:szCs w:val="24"/>
        </w:rPr>
        <w:t>本人作为</w:t>
      </w:r>
      <w:r>
        <w:rPr>
          <w:rFonts w:hint="eastAsia" w:ascii="宋体" w:hAnsi="宋体" w:cs="仿宋"/>
          <w:sz w:val="24"/>
          <w:szCs w:val="24"/>
          <w:u w:val="single"/>
        </w:rPr>
        <w:t xml:space="preserve">（单位名称）                    </w:t>
      </w:r>
      <w:r>
        <w:rPr>
          <w:rFonts w:hint="eastAsia" w:ascii="宋体" w:hAnsi="宋体" w:cs="仿宋"/>
          <w:sz w:val="24"/>
          <w:szCs w:val="24"/>
        </w:rPr>
        <w:t>的法人，清楚知晓我公司本项目投标活动，对以下事项作出承诺：</w:t>
      </w:r>
    </w:p>
    <w:p>
      <w:pPr>
        <w:spacing w:line="640" w:lineRule="exact"/>
        <w:ind w:firstLine="480" w:firstLineChars="200"/>
        <w:rPr>
          <w:rFonts w:ascii="宋体" w:hAnsi="宋体" w:cs="仿宋"/>
          <w:sz w:val="24"/>
          <w:szCs w:val="24"/>
        </w:rPr>
      </w:pPr>
      <w:r>
        <w:rPr>
          <w:rFonts w:hint="eastAsia" w:ascii="宋体" w:hAnsi="宋体" w:cs="仿宋"/>
          <w:sz w:val="24"/>
          <w:szCs w:val="24"/>
        </w:rPr>
        <w:t>一、我单位遵循公开、公平、公正、诚实守信的原则，依法依规参与本项目竞标。</w:t>
      </w:r>
    </w:p>
    <w:p>
      <w:pPr>
        <w:spacing w:line="640" w:lineRule="exact"/>
        <w:ind w:firstLine="480" w:firstLineChars="200"/>
        <w:rPr>
          <w:rFonts w:ascii="宋体" w:hAnsi="宋体" w:cs="仿宋"/>
          <w:sz w:val="24"/>
          <w:szCs w:val="24"/>
        </w:rPr>
      </w:pPr>
      <w:r>
        <w:rPr>
          <w:rFonts w:hint="eastAsia" w:ascii="宋体" w:hAnsi="宋体" w:cs="仿宋"/>
          <w:sz w:val="24"/>
          <w:szCs w:val="24"/>
        </w:rPr>
        <w:t>二、我单位在本项目招标投标活动中，未参与围标串标。</w:t>
      </w:r>
    </w:p>
    <w:p>
      <w:pPr>
        <w:spacing w:line="640" w:lineRule="exact"/>
        <w:ind w:firstLine="480" w:firstLineChars="200"/>
        <w:rPr>
          <w:rFonts w:ascii="宋体" w:hAnsi="宋体"/>
          <w:b/>
          <w:sz w:val="24"/>
          <w:szCs w:val="24"/>
        </w:rPr>
      </w:pPr>
      <w:r>
        <w:rPr>
          <w:rFonts w:hint="eastAsia" w:ascii="宋体" w:hAnsi="宋体" w:cs="仿宋"/>
          <w:sz w:val="24"/>
          <w:szCs w:val="24"/>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ascii="宋体" w:hAnsi="宋体"/>
          <w:sz w:val="24"/>
          <w:szCs w:val="24"/>
        </w:rPr>
      </w:pPr>
      <w:r>
        <w:rPr>
          <w:rFonts w:hint="eastAsia" w:ascii="宋体" w:hAnsi="宋体"/>
          <w:sz w:val="24"/>
          <w:szCs w:val="24"/>
        </w:rPr>
        <w:t>项目编号</w:t>
      </w:r>
      <w:r>
        <w:rPr>
          <w:rFonts w:ascii="宋体" w:hAnsi="宋体"/>
          <w:sz w:val="24"/>
          <w:szCs w:val="24"/>
        </w:rPr>
        <w:t xml:space="preserve">：    </w:t>
      </w:r>
    </w:p>
    <w:p>
      <w:pPr>
        <w:spacing w:line="640" w:lineRule="exact"/>
        <w:jc w:val="left"/>
        <w:rPr>
          <w:rFonts w:ascii="宋体" w:hAnsi="宋体"/>
          <w:sz w:val="24"/>
          <w:szCs w:val="24"/>
        </w:rPr>
      </w:pPr>
      <w:r>
        <w:rPr>
          <w:rFonts w:ascii="宋体" w:hAnsi="宋体"/>
          <w:sz w:val="24"/>
          <w:szCs w:val="24"/>
        </w:rPr>
        <w:t>标段号：</w:t>
      </w:r>
      <w:r>
        <w:rPr>
          <w:rFonts w:hint="eastAsia" w:ascii="宋体" w:hAnsi="宋体"/>
          <w:sz w:val="24"/>
          <w:szCs w:val="24"/>
        </w:rPr>
        <w:t xml:space="preserve">    </w:t>
      </w:r>
    </w:p>
    <w:p>
      <w:pPr>
        <w:spacing w:line="640" w:lineRule="exact"/>
        <w:jc w:val="left"/>
        <w:rPr>
          <w:rFonts w:ascii="宋体" w:hAnsi="宋体"/>
          <w:sz w:val="24"/>
          <w:szCs w:val="24"/>
        </w:rPr>
      </w:pPr>
      <w:r>
        <w:rPr>
          <w:rFonts w:hint="eastAsia" w:ascii="宋体" w:hAnsi="宋体"/>
          <w:sz w:val="24"/>
          <w:szCs w:val="24"/>
        </w:rPr>
        <w:t>供应商单位名称：</w:t>
      </w:r>
    </w:p>
    <w:p>
      <w:pPr>
        <w:spacing w:line="640" w:lineRule="exact"/>
        <w:jc w:val="left"/>
        <w:rPr>
          <w:rFonts w:ascii="宋体" w:hAnsi="宋体"/>
          <w:sz w:val="24"/>
          <w:szCs w:val="24"/>
        </w:rPr>
      </w:pPr>
      <w:r>
        <w:rPr>
          <w:rFonts w:hint="eastAsia" w:ascii="宋体" w:hAnsi="宋体"/>
          <w:sz w:val="24"/>
          <w:szCs w:val="24"/>
        </w:rPr>
        <w:t>供应商法人签名：</w:t>
      </w:r>
    </w:p>
    <w:p>
      <w:pPr>
        <w:spacing w:line="640" w:lineRule="exact"/>
        <w:jc w:val="left"/>
        <w:rPr>
          <w:rFonts w:ascii="宋体" w:hAnsi="宋体"/>
          <w:sz w:val="24"/>
          <w:szCs w:val="24"/>
        </w:rPr>
      </w:pPr>
      <w:r>
        <w:rPr>
          <w:rFonts w:hint="eastAsia" w:ascii="宋体" w:hAnsi="宋体"/>
          <w:sz w:val="24"/>
          <w:szCs w:val="24"/>
        </w:rPr>
        <w:t xml:space="preserve">                                  </w:t>
      </w:r>
    </w:p>
    <w:p>
      <w:pPr>
        <w:spacing w:line="640" w:lineRule="exact"/>
        <w:jc w:val="left"/>
        <w:rPr>
          <w:rFonts w:ascii="宋体" w:hAnsi="宋体"/>
          <w:sz w:val="24"/>
          <w:szCs w:val="24"/>
        </w:rPr>
      </w:pPr>
    </w:p>
    <w:p>
      <w:pPr>
        <w:spacing w:line="640" w:lineRule="exact"/>
        <w:ind w:firstLine="4080" w:firstLineChars="1700"/>
        <w:jc w:val="left"/>
        <w:rPr>
          <w:rFonts w:ascii="宋体" w:hAnsi="宋体"/>
          <w:sz w:val="24"/>
          <w:szCs w:val="24"/>
        </w:rPr>
      </w:pPr>
      <w:r>
        <w:rPr>
          <w:rFonts w:hint="eastAsia" w:ascii="宋体" w:hAnsi="宋体"/>
          <w:sz w:val="24"/>
          <w:szCs w:val="24"/>
        </w:rPr>
        <w:t xml:space="preserve">      盖  章</w:t>
      </w:r>
    </w:p>
    <w:p>
      <w:pPr>
        <w:ind w:firstLine="4560" w:firstLineChars="1900"/>
      </w:pPr>
      <w:r>
        <w:rPr>
          <w:rFonts w:hint="eastAsia" w:ascii="宋体" w:hAnsi="宋体"/>
          <w:sz w:val="24"/>
        </w:rPr>
        <w:t xml:space="preserve"> 年   月   日</w:t>
      </w:r>
    </w:p>
    <w:p>
      <w:pPr>
        <w:pStyle w:val="6"/>
        <w:numPr>
          <w:ilvl w:val="0"/>
          <w:numId w:val="0"/>
        </w:numPr>
        <w:overflowPunct w:val="0"/>
        <w:snapToGrid w:val="0"/>
        <w:spacing w:line="360" w:lineRule="auto"/>
        <w:ind w:leftChars="0"/>
        <w:jc w:val="center"/>
        <w:rPr>
          <w:rFonts w:hint="default" w:ascii="宋体" w:hAnsi="宋体" w:eastAsia="宋体" w:cs="宋体"/>
          <w:b/>
          <w:bCs w:val="0"/>
          <w:color w:val="auto"/>
          <w:kern w:val="2"/>
          <w:sz w:val="32"/>
          <w:szCs w:val="28"/>
          <w:highlight w:val="yellow"/>
          <w:lang w:val="en-US" w:eastAsia="zh-CN" w:bidi="ar-SA"/>
        </w:rPr>
        <w:sectPr>
          <w:pgSz w:w="11906" w:h="16838"/>
          <w:pgMar w:top="1440" w:right="1800" w:bottom="1440" w:left="1800" w:header="851" w:footer="992" w:gutter="0"/>
          <w:pgNumType w:fmt="numberInDash"/>
          <w:cols w:space="425" w:num="1"/>
          <w:docGrid w:type="lines" w:linePitch="312" w:charSpace="0"/>
        </w:sectPr>
      </w:pPr>
    </w:p>
    <w:p>
      <w:pPr>
        <w:pStyle w:val="6"/>
        <w:numPr>
          <w:ilvl w:val="0"/>
          <w:numId w:val="0"/>
        </w:numPr>
        <w:overflowPunct w:val="0"/>
        <w:snapToGrid w:val="0"/>
        <w:spacing w:line="360" w:lineRule="auto"/>
        <w:ind w:leftChars="0"/>
        <w:jc w:val="both"/>
        <w:rPr>
          <w:rFonts w:hint="default"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default"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val="0"/>
          <w:color w:val="auto"/>
          <w:kern w:val="2"/>
          <w:sz w:val="32"/>
          <w:szCs w:val="28"/>
          <w:lang w:val="en-US" w:eastAsia="zh-CN" w:bidi="ar-SA"/>
        </w:rPr>
        <w:t>18、</w:t>
      </w:r>
      <w:r>
        <w:rPr>
          <w:rFonts w:hint="default" w:ascii="宋体" w:hAnsi="宋体" w:eastAsia="宋体" w:cs="宋体"/>
          <w:b/>
          <w:bCs w:val="0"/>
          <w:color w:val="auto"/>
          <w:kern w:val="2"/>
          <w:sz w:val="32"/>
          <w:szCs w:val="28"/>
          <w:lang w:val="en-US" w:eastAsia="zh-CN" w:bidi="ar-SA"/>
        </w:rPr>
        <w:t>投标人企业信誉证明文件</w:t>
      </w:r>
    </w:p>
    <w:p>
      <w:pPr>
        <w:pStyle w:val="6"/>
        <w:numPr>
          <w:ilvl w:val="0"/>
          <w:numId w:val="0"/>
        </w:numPr>
        <w:overflowPunct w:val="0"/>
        <w:snapToGrid w:val="0"/>
        <w:spacing w:line="360" w:lineRule="auto"/>
        <w:jc w:val="both"/>
        <w:rPr>
          <w:rFonts w:hint="default"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default"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val="0"/>
          <w:color w:val="auto"/>
          <w:kern w:val="2"/>
          <w:sz w:val="32"/>
          <w:szCs w:val="28"/>
          <w:lang w:val="en-US" w:eastAsia="zh-CN" w:bidi="ar-SA"/>
        </w:rPr>
        <w:t>19、</w:t>
      </w:r>
      <w:r>
        <w:rPr>
          <w:rFonts w:hint="default" w:ascii="宋体" w:hAnsi="宋体" w:eastAsia="宋体" w:cs="宋体"/>
          <w:b/>
          <w:bCs w:val="0"/>
          <w:color w:val="auto"/>
          <w:kern w:val="2"/>
          <w:sz w:val="32"/>
          <w:szCs w:val="28"/>
          <w:lang w:val="en-US" w:eastAsia="zh-CN" w:bidi="ar-SA"/>
        </w:rPr>
        <w:t>通过国家或国际认证资格证书（如有，须提供相关证书和查询网页截图复印件）</w:t>
      </w:r>
    </w:p>
    <w:p>
      <w:pPr>
        <w:pStyle w:val="6"/>
        <w:numPr>
          <w:ilvl w:val="0"/>
          <w:numId w:val="0"/>
        </w:numPr>
        <w:overflowPunct w:val="0"/>
        <w:snapToGrid w:val="0"/>
        <w:spacing w:line="360" w:lineRule="auto"/>
        <w:jc w:val="both"/>
        <w:rPr>
          <w:rFonts w:hint="default"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eastAsia" w:ascii="宋体" w:hAnsi="宋体" w:eastAsia="宋体" w:cs="宋体"/>
          <w:b/>
          <w:bCs w:val="0"/>
          <w:color w:val="auto"/>
          <w:kern w:val="2"/>
          <w:sz w:val="32"/>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val="0"/>
          <w:color w:val="auto"/>
          <w:kern w:val="2"/>
          <w:sz w:val="32"/>
          <w:szCs w:val="28"/>
          <w:lang w:val="en-US" w:eastAsia="zh-CN" w:bidi="ar-SA"/>
        </w:rPr>
        <w:t>20、投标保证金收据复印件</w:t>
      </w:r>
    </w:p>
    <w:p>
      <w:pPr>
        <w:pStyle w:val="6"/>
        <w:numPr>
          <w:ilvl w:val="0"/>
          <w:numId w:val="0"/>
        </w:numPr>
        <w:overflowPunct w:val="0"/>
        <w:snapToGrid w:val="0"/>
        <w:spacing w:line="360" w:lineRule="auto"/>
        <w:jc w:val="both"/>
        <w:rPr>
          <w:rFonts w:hint="eastAsia" w:ascii="宋体" w:hAnsi="宋体" w:eastAsia="宋体" w:cs="宋体"/>
          <w:b/>
          <w:bCs w:val="0"/>
          <w:color w:val="auto"/>
          <w:kern w:val="2"/>
          <w:sz w:val="32"/>
          <w:szCs w:val="28"/>
          <w:lang w:val="en-US" w:eastAsia="zh-CN" w:bidi="ar-SA"/>
        </w:rPr>
      </w:pPr>
    </w:p>
    <w:p>
      <w:pPr>
        <w:pStyle w:val="6"/>
        <w:numPr>
          <w:ilvl w:val="0"/>
          <w:numId w:val="0"/>
        </w:numPr>
        <w:overflowPunct w:val="0"/>
        <w:snapToGrid w:val="0"/>
        <w:spacing w:line="360" w:lineRule="auto"/>
        <w:jc w:val="center"/>
        <w:rPr>
          <w:rFonts w:hint="default"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21、</w:t>
      </w:r>
      <w:r>
        <w:rPr>
          <w:rFonts w:hint="default" w:ascii="宋体" w:hAnsi="宋体" w:eastAsia="宋体" w:cs="宋体"/>
          <w:b/>
          <w:bCs w:val="0"/>
          <w:color w:val="auto"/>
          <w:kern w:val="2"/>
          <w:sz w:val="32"/>
          <w:szCs w:val="28"/>
          <w:lang w:val="en-US" w:eastAsia="zh-CN" w:bidi="ar-SA"/>
        </w:rPr>
        <w:t>投标人认为有必要提供的声明及文件资料</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center" w:pos="4153"/>
        </w:tabs>
        <w:bidi w:val="0"/>
        <w:jc w:val="left"/>
        <w:rPr>
          <w:rFonts w:hint="eastAsia"/>
          <w:lang w:val="en-US" w:eastAsia="zh-CN"/>
        </w:rPr>
      </w:pPr>
      <w:r>
        <w:rPr>
          <w:rFonts w:hint="eastAsia"/>
          <w:lang w:val="en-US" w:eastAsia="zh-CN"/>
        </w:rPr>
        <w:tab/>
      </w:r>
    </w:p>
    <w:p>
      <w:pPr>
        <w:tabs>
          <w:tab w:val="center" w:pos="4153"/>
        </w:tabs>
        <w:bidi w:val="0"/>
        <w:jc w:val="left"/>
        <w:rPr>
          <w:rFonts w:hint="eastAsia"/>
          <w:lang w:val="en-US" w:eastAsia="zh-CN"/>
        </w:rPr>
      </w:pPr>
    </w:p>
    <w:p>
      <w:pPr>
        <w:tabs>
          <w:tab w:val="center" w:pos="4153"/>
        </w:tabs>
        <w:bidi w:val="0"/>
        <w:jc w:val="left"/>
        <w:rPr>
          <w:rFonts w:hint="eastAsia"/>
          <w:lang w:val="en-US" w:eastAsia="zh-CN"/>
        </w:rPr>
      </w:pPr>
    </w:p>
    <w:p>
      <w:pPr>
        <w:tabs>
          <w:tab w:val="center" w:pos="4153"/>
        </w:tabs>
        <w:bidi w:val="0"/>
        <w:jc w:val="center"/>
        <w:rPr>
          <w:rFonts w:hint="default"/>
          <w:sz w:val="30"/>
          <w:szCs w:val="30"/>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sz w:val="36"/>
          <w:szCs w:val="36"/>
          <w:lang w:val="en-US" w:eastAsia="zh-CN"/>
        </w:rPr>
        <w:t xml:space="preserve">  22、</w:t>
      </w:r>
      <w:r>
        <w:rPr>
          <w:rFonts w:hint="eastAsia"/>
          <w:b/>
          <w:bCs/>
          <w:sz w:val="30"/>
          <w:szCs w:val="30"/>
          <w:lang w:val="en-US" w:eastAsia="zh-CN"/>
        </w:rPr>
        <w:t>提供驻场一年人员的近三个月的社保证明复印件及相关资格证书</w:t>
      </w:r>
    </w:p>
    <w:p>
      <w:pPr>
        <w:numPr>
          <w:ilvl w:val="0"/>
          <w:numId w:val="0"/>
        </w:numPr>
        <w:jc w:val="center"/>
        <w:rPr>
          <w:rFonts w:hint="default" w:ascii="宋体" w:hAnsi="宋体" w:eastAsia="宋体" w:cs="宋体"/>
          <w:b/>
          <w:bCs/>
          <w:color w:val="000000"/>
          <w:sz w:val="32"/>
          <w:szCs w:val="44"/>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color w:val="000000"/>
          <w:sz w:val="32"/>
          <w:szCs w:val="44"/>
          <w:lang w:val="en-US" w:eastAsia="zh-CN"/>
        </w:rPr>
        <w:t>第三</w:t>
      </w:r>
      <w:r>
        <w:rPr>
          <w:rFonts w:hint="eastAsia" w:ascii="宋体" w:hAnsi="宋体" w:cs="宋体"/>
          <w:b/>
          <w:bCs/>
          <w:color w:val="000000"/>
          <w:sz w:val="32"/>
          <w:szCs w:val="44"/>
          <w:lang w:val="en-US" w:eastAsia="zh-CN"/>
        </w:rPr>
        <w:t>节</w:t>
      </w:r>
      <w:r>
        <w:rPr>
          <w:rFonts w:hint="eastAsia" w:ascii="宋体" w:hAnsi="宋体" w:eastAsia="宋体" w:cs="宋体"/>
          <w:b/>
          <w:bCs/>
          <w:color w:val="000000"/>
          <w:sz w:val="32"/>
          <w:szCs w:val="44"/>
          <w:lang w:val="en-US" w:eastAsia="zh-CN"/>
        </w:rPr>
        <w:t xml:space="preserve"> 技术部分</w:t>
      </w:r>
    </w:p>
    <w:p>
      <w:pPr>
        <w:rPr>
          <w:rFonts w:hint="eastAsia"/>
          <w:lang w:val="en-US" w:eastAsia="zh-CN"/>
        </w:rPr>
      </w:pPr>
    </w:p>
    <w:p>
      <w:pPr>
        <w:widowControl/>
        <w:adjustRightInd w:val="0"/>
        <w:snapToGrid w:val="0"/>
        <w:spacing w:line="360" w:lineRule="auto"/>
        <w:jc w:val="center"/>
        <w:rPr>
          <w:rFonts w:hint="eastAsia"/>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b/>
          <w:bCs w:val="0"/>
          <w:color w:val="auto"/>
          <w:kern w:val="2"/>
          <w:sz w:val="32"/>
          <w:szCs w:val="28"/>
          <w:lang w:val="en-US" w:eastAsia="zh-CN" w:bidi="ar-SA"/>
        </w:rPr>
        <w:t>1</w:t>
      </w:r>
      <w:r>
        <w:rPr>
          <w:rFonts w:hint="eastAsia" w:ascii="宋体" w:hAnsi="宋体" w:eastAsia="宋体" w:cs="宋体"/>
          <w:b/>
          <w:bCs w:val="0"/>
          <w:color w:val="auto"/>
          <w:kern w:val="2"/>
          <w:sz w:val="32"/>
          <w:szCs w:val="28"/>
          <w:lang w:val="en-US" w:eastAsia="zh-CN" w:bidi="ar-SA"/>
        </w:rPr>
        <w:t>、项目理解与分析</w:t>
      </w:r>
    </w:p>
    <w:p>
      <w:pPr>
        <w:rPr>
          <w:rFonts w:hint="eastAsia"/>
          <w:lang w:val="en-US" w:eastAsia="zh-CN"/>
        </w:rPr>
      </w:pPr>
    </w:p>
    <w:p>
      <w:pPr>
        <w:widowControl/>
        <w:adjustRightInd w:val="0"/>
        <w:snapToGrid w:val="0"/>
        <w:spacing w:line="360" w:lineRule="auto"/>
        <w:jc w:val="center"/>
        <w:rPr>
          <w:rFonts w:hint="eastAsia"/>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b/>
          <w:bCs w:val="0"/>
          <w:color w:val="auto"/>
          <w:kern w:val="2"/>
          <w:sz w:val="32"/>
          <w:szCs w:val="28"/>
          <w:lang w:val="en-US" w:eastAsia="zh-CN" w:bidi="ar-SA"/>
        </w:rPr>
        <w:t>2</w:t>
      </w:r>
      <w:r>
        <w:rPr>
          <w:rFonts w:hint="eastAsia" w:ascii="宋体" w:hAnsi="宋体" w:eastAsia="宋体" w:cs="宋体"/>
          <w:b/>
          <w:bCs w:val="0"/>
          <w:color w:val="auto"/>
          <w:kern w:val="2"/>
          <w:sz w:val="32"/>
          <w:szCs w:val="28"/>
          <w:lang w:val="en-US" w:eastAsia="zh-CN" w:bidi="ar-SA"/>
        </w:rPr>
        <w:t>、总体设计</w:t>
      </w:r>
    </w:p>
    <w:p>
      <w:pPr>
        <w:rPr>
          <w:rFonts w:hint="eastAsia"/>
          <w:lang w:val="en-US" w:eastAsia="zh-CN"/>
        </w:rPr>
      </w:pPr>
    </w:p>
    <w:p>
      <w:pPr>
        <w:widowControl/>
        <w:adjustRightInd w:val="0"/>
        <w:snapToGrid w:val="0"/>
        <w:spacing w:line="360" w:lineRule="auto"/>
        <w:ind w:firstLine="2"/>
        <w:jc w:val="center"/>
        <w:rPr>
          <w:rFonts w:hint="eastAsia"/>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b/>
          <w:bCs w:val="0"/>
          <w:color w:val="auto"/>
          <w:kern w:val="2"/>
          <w:sz w:val="32"/>
          <w:szCs w:val="28"/>
          <w:lang w:val="en-US" w:eastAsia="zh-CN" w:bidi="ar-SA"/>
        </w:rPr>
        <w:t>3</w:t>
      </w:r>
      <w:r>
        <w:rPr>
          <w:rFonts w:hint="eastAsia" w:ascii="宋体" w:hAnsi="宋体" w:eastAsia="宋体" w:cs="宋体"/>
          <w:b/>
          <w:bCs w:val="0"/>
          <w:color w:val="auto"/>
          <w:kern w:val="2"/>
          <w:sz w:val="32"/>
          <w:szCs w:val="28"/>
          <w:lang w:val="en-US" w:eastAsia="zh-CN" w:bidi="ar-SA"/>
        </w:rPr>
        <w:t>、数据资源建设</w:t>
      </w:r>
    </w:p>
    <w:p>
      <w:pPr>
        <w:rPr>
          <w:rFonts w:hint="eastAsia"/>
          <w:lang w:val="en-US" w:eastAsia="zh-CN"/>
        </w:rPr>
      </w:pPr>
    </w:p>
    <w:p>
      <w:pPr>
        <w:widowControl/>
        <w:adjustRightInd w:val="0"/>
        <w:snapToGrid w:val="0"/>
        <w:spacing w:line="360" w:lineRule="auto"/>
        <w:ind w:firstLine="2"/>
        <w:jc w:val="center"/>
        <w:rPr>
          <w:rFonts w:hint="eastAsia"/>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宋体"/>
          <w:b/>
          <w:bCs w:val="0"/>
          <w:color w:val="auto"/>
          <w:kern w:val="2"/>
          <w:sz w:val="32"/>
          <w:szCs w:val="28"/>
          <w:lang w:val="en-US" w:eastAsia="zh-CN" w:bidi="ar-SA"/>
        </w:rPr>
        <w:t>4</w:t>
      </w:r>
      <w:r>
        <w:rPr>
          <w:rFonts w:hint="eastAsia" w:ascii="宋体" w:hAnsi="宋体" w:eastAsia="宋体" w:cs="宋体"/>
          <w:b/>
          <w:bCs w:val="0"/>
          <w:color w:val="auto"/>
          <w:kern w:val="2"/>
          <w:sz w:val="32"/>
          <w:szCs w:val="28"/>
          <w:lang w:val="en-US" w:eastAsia="zh-CN" w:bidi="ar-SA"/>
        </w:rPr>
        <w:t>、指标模型库建设</w:t>
      </w:r>
    </w:p>
    <w:p>
      <w:pPr>
        <w:rPr>
          <w:rFonts w:hint="eastAsia"/>
          <w:lang w:val="en-US" w:eastAsia="zh-CN"/>
        </w:rPr>
      </w:pPr>
    </w:p>
    <w:p>
      <w:pPr>
        <w:jc w:val="center"/>
        <w:rPr>
          <w:rFonts w:hint="eastAsia" w:ascii="宋体" w:hAnsi="宋体" w:cs="宋体"/>
          <w:b/>
          <w:color w:val="000000"/>
          <w:sz w:val="28"/>
          <w:szCs w:val="28"/>
        </w:rPr>
      </w:pPr>
      <w:r>
        <w:rPr>
          <w:rFonts w:hint="eastAsia" w:ascii="宋体" w:hAnsi="宋体" w:cs="宋体"/>
          <w:b/>
          <w:bCs w:val="0"/>
          <w:color w:val="auto"/>
          <w:kern w:val="2"/>
          <w:sz w:val="32"/>
          <w:szCs w:val="28"/>
          <w:lang w:val="en-US" w:eastAsia="zh-CN" w:bidi="ar-SA"/>
        </w:rPr>
        <w:t>5</w:t>
      </w:r>
      <w:r>
        <w:rPr>
          <w:rFonts w:hint="eastAsia" w:ascii="宋体" w:hAnsi="宋体" w:eastAsia="宋体" w:cs="宋体"/>
          <w:b/>
          <w:bCs w:val="0"/>
          <w:color w:val="auto"/>
          <w:kern w:val="2"/>
          <w:sz w:val="32"/>
          <w:szCs w:val="28"/>
          <w:lang w:val="en-US" w:eastAsia="zh-CN" w:bidi="ar-SA"/>
        </w:rPr>
        <w:t>、技术参数、功能偏离表</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招标编号：</w:t>
      </w:r>
    </w:p>
    <w:tbl>
      <w:tblPr>
        <w:tblStyle w:val="18"/>
        <w:tblW w:w="9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Layout w:type="fixed"/>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1619"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采购文件规格条目号</w:t>
            </w:r>
          </w:p>
        </w:tc>
        <w:tc>
          <w:tcPr>
            <w:tcW w:w="2093"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招标规格</w:t>
            </w:r>
          </w:p>
        </w:tc>
        <w:tc>
          <w:tcPr>
            <w:tcW w:w="2227"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投标规格</w:t>
            </w:r>
          </w:p>
        </w:tc>
        <w:tc>
          <w:tcPr>
            <w:tcW w:w="160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偏离</w:t>
            </w:r>
          </w:p>
        </w:tc>
        <w:tc>
          <w:tcPr>
            <w:tcW w:w="1134"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1619" w:type="dxa"/>
            <w:noWrap w:val="0"/>
            <w:vAlign w:val="center"/>
          </w:tcPr>
          <w:p>
            <w:pPr>
              <w:widowControl/>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注：与采购文件要求逐条对应填写。</w:t>
      </w:r>
    </w:p>
    <w:p>
      <w:pPr>
        <w:spacing w:before="100" w:beforeAutospacing="1" w:after="100" w:afterAutospacing="1" w:line="360" w:lineRule="auto"/>
        <w:rPr>
          <w:rFonts w:hint="eastAsia" w:ascii="宋体" w:hAnsi="宋体" w:cs="宋体"/>
          <w:color w:val="000000"/>
          <w:sz w:val="24"/>
          <w:szCs w:val="28"/>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before="100" w:beforeAutospacing="1" w:after="100" w:afterAutospacing="1"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widowControl/>
        <w:adjustRightInd w:val="0"/>
        <w:snapToGrid w:val="0"/>
        <w:spacing w:line="360" w:lineRule="auto"/>
        <w:jc w:val="center"/>
        <w:rPr>
          <w:rFonts w:hint="default"/>
          <w:lang w:val="en-US" w:eastAsia="zh-CN"/>
        </w:rPr>
        <w:sectPr>
          <w:pgSz w:w="11906" w:h="16838"/>
          <w:pgMar w:top="1440" w:right="1800" w:bottom="1440" w:left="1800" w:header="851" w:footer="992" w:gutter="0"/>
          <w:pgNumType w:fmt="numberInDash"/>
          <w:cols w:space="425" w:num="1"/>
          <w:docGrid w:type="lines" w:linePitch="312" w:charSpace="0"/>
        </w:sectPr>
      </w:pPr>
    </w:p>
    <w:p>
      <w:pPr>
        <w:rPr>
          <w:rFonts w:hint="eastAsia"/>
          <w:lang w:val="en-US" w:eastAsia="zh-CN"/>
        </w:rPr>
      </w:pPr>
    </w:p>
    <w:p>
      <w:pPr>
        <w:widowControl/>
        <w:numPr>
          <w:ilvl w:val="0"/>
          <w:numId w:val="7"/>
        </w:numPr>
        <w:adjustRightInd w:val="0"/>
        <w:snapToGrid w:val="0"/>
        <w:spacing w:line="360" w:lineRule="auto"/>
        <w:jc w:val="center"/>
        <w:rPr>
          <w:rFonts w:hint="default"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系统建设</w:t>
      </w:r>
    </w:p>
    <w:p>
      <w:pPr>
        <w:rPr>
          <w:rFonts w:hint="default"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br w:type="page"/>
      </w:r>
    </w:p>
    <w:p>
      <w:pPr>
        <w:widowControl/>
        <w:numPr>
          <w:ilvl w:val="0"/>
          <w:numId w:val="0"/>
        </w:numPr>
        <w:adjustRightInd w:val="0"/>
        <w:snapToGrid w:val="0"/>
        <w:spacing w:line="360" w:lineRule="auto"/>
        <w:jc w:val="center"/>
        <w:rPr>
          <w:rFonts w:hint="default" w:ascii="宋体" w:hAnsi="宋体" w:eastAsia="宋体" w:cs="宋体"/>
          <w:b/>
          <w:bCs w:val="0"/>
          <w:color w:val="auto"/>
          <w:kern w:val="2"/>
          <w:sz w:val="32"/>
          <w:szCs w:val="28"/>
          <w:lang w:val="en-US" w:eastAsia="zh-CN" w:bidi="ar-SA"/>
        </w:rPr>
      </w:pPr>
      <w:r>
        <w:rPr>
          <w:rFonts w:hint="eastAsia" w:ascii="宋体" w:hAnsi="宋体" w:eastAsia="宋体" w:cs="宋体"/>
          <w:b/>
          <w:bCs w:val="0"/>
          <w:color w:val="auto"/>
          <w:kern w:val="2"/>
          <w:sz w:val="32"/>
          <w:szCs w:val="28"/>
          <w:lang w:val="en-US" w:eastAsia="zh-CN" w:bidi="ar-SA"/>
        </w:rPr>
        <w:t>7、项目组织实施</w:t>
      </w:r>
    </w:p>
    <w:p>
      <w:pPr>
        <w:rPr>
          <w:rFonts w:hint="eastAsia"/>
          <w:lang w:val="en-US" w:eastAsia="zh-CN"/>
        </w:rPr>
      </w:pPr>
      <w:r>
        <w:rPr>
          <w:rFonts w:hint="eastAsia"/>
          <w:lang w:val="en-US" w:eastAsia="zh-CN"/>
        </w:rPr>
        <w:br w:type="page"/>
      </w:r>
    </w:p>
    <w:p>
      <w:pPr>
        <w:pStyle w:val="2"/>
        <w:jc w:val="center"/>
        <w:rPr>
          <w:rFonts w:hint="default"/>
          <w:sz w:val="30"/>
          <w:szCs w:val="30"/>
          <w:lang w:val="en-US" w:eastAsia="zh-CN"/>
        </w:rPr>
      </w:pPr>
      <w:r>
        <w:rPr>
          <w:rFonts w:hint="eastAsia"/>
          <w:sz w:val="30"/>
          <w:szCs w:val="30"/>
          <w:lang w:val="en-US" w:eastAsia="zh-CN"/>
        </w:rPr>
        <w:t>8</w:t>
      </w:r>
      <w:r>
        <w:rPr>
          <w:rFonts w:hint="eastAsia"/>
          <w:b/>
          <w:bCs/>
          <w:sz w:val="30"/>
          <w:szCs w:val="30"/>
          <w:lang w:val="en-US" w:eastAsia="zh-CN"/>
        </w:rPr>
        <w:t>售后服务与培训</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1" w:lineRule="exact"/>
      <w:ind w:firstLine="41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2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- 50 -</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fill="FFFFFE"/>
      </w:rPr>
      <w:t>79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1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- 51 -</w:t>
                    </w:r>
                    <w:r>
                      <w:fldChar w:fldCharType="end"/>
                    </w:r>
                  </w:p>
                </w:txbxContent>
              </v:textbox>
            </v:shape>
          </w:pict>
        </mc:Fallback>
      </mc:AlternateContent>
    </w:r>
    <w:r>
      <w:rPr>
        <w:rFonts w:ascii="Times New Roman" w:hAnsi="Times New Roman" w:eastAsia="Times New Roman" w:cs="Times New Roman"/>
        <w:spacing w:val="-3"/>
        <w:position w:val="-2"/>
        <w:sz w:val="18"/>
        <w:szCs w:val="18"/>
        <w:shd w:val="clear" w:fill="FFFFFE"/>
      </w:rPr>
      <w:t>80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DF607652"/>
    <w:multiLevelType w:val="singleLevel"/>
    <w:tmpl w:val="DF607652"/>
    <w:lvl w:ilvl="0" w:tentative="0">
      <w:start w:val="6"/>
      <w:numFmt w:val="decimal"/>
      <w:suff w:val="nothing"/>
      <w:lvlText w:val="%1、"/>
      <w:lvlJc w:val="left"/>
    </w:lvl>
  </w:abstractNum>
  <w:abstractNum w:abstractNumId="2">
    <w:nsid w:val="DF817161"/>
    <w:multiLevelType w:val="singleLevel"/>
    <w:tmpl w:val="DF817161"/>
    <w:lvl w:ilvl="0" w:tentative="0">
      <w:start w:val="1"/>
      <w:numFmt w:val="chineseCounting"/>
      <w:suff w:val="nothing"/>
      <w:lvlText w:val="%1、"/>
      <w:lvlJc w:val="left"/>
      <w:rPr>
        <w:rFonts w:hint="eastAsia"/>
      </w:rPr>
    </w:lvl>
  </w:abstractNum>
  <w:abstractNum w:abstractNumId="3">
    <w:nsid w:val="0A866A4D"/>
    <w:multiLevelType w:val="multilevel"/>
    <w:tmpl w:val="0A866A4D"/>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33AB309C"/>
    <w:multiLevelType w:val="singleLevel"/>
    <w:tmpl w:val="33AB309C"/>
    <w:lvl w:ilvl="0" w:tentative="0">
      <w:start w:val="1"/>
      <w:numFmt w:val="decimal"/>
      <w:suff w:val="nothing"/>
      <w:lvlText w:val="（%1）"/>
      <w:lvlJc w:val="left"/>
    </w:lvl>
  </w:abstractNum>
  <w:abstractNum w:abstractNumId="5">
    <w:nsid w:val="57A9A282"/>
    <w:multiLevelType w:val="singleLevel"/>
    <w:tmpl w:val="57A9A282"/>
    <w:lvl w:ilvl="0" w:tentative="0">
      <w:start w:val="3"/>
      <w:numFmt w:val="decimal"/>
      <w:suff w:val="nothing"/>
      <w:lvlText w:val="%1、"/>
      <w:lvlJc w:val="left"/>
    </w:lvl>
  </w:abstractNum>
  <w:abstractNum w:abstractNumId="6">
    <w:nsid w:val="5C3A6A29"/>
    <w:multiLevelType w:val="multilevel"/>
    <w:tmpl w:val="5C3A6A29"/>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6"/>
  </w:num>
  <w:num w:numId="2">
    <w:abstractNumId w:val="4"/>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MDJlMjYxNDZlMDM3ZjgzNjMwNzc0ZTFmNWQyYTMifQ=="/>
  </w:docVars>
  <w:rsids>
    <w:rsidRoot w:val="118725E6"/>
    <w:rsid w:val="002D0180"/>
    <w:rsid w:val="00FA17AB"/>
    <w:rsid w:val="01C20BC1"/>
    <w:rsid w:val="03D9468A"/>
    <w:rsid w:val="05A55D88"/>
    <w:rsid w:val="05C23970"/>
    <w:rsid w:val="06560593"/>
    <w:rsid w:val="07D71068"/>
    <w:rsid w:val="0B056B7A"/>
    <w:rsid w:val="0BD33FA5"/>
    <w:rsid w:val="0D744896"/>
    <w:rsid w:val="0EA602C8"/>
    <w:rsid w:val="0FFE43E2"/>
    <w:rsid w:val="100D19A3"/>
    <w:rsid w:val="10504CDA"/>
    <w:rsid w:val="10DE6AA0"/>
    <w:rsid w:val="118725E6"/>
    <w:rsid w:val="144A73DD"/>
    <w:rsid w:val="156F28A5"/>
    <w:rsid w:val="16AF2027"/>
    <w:rsid w:val="17C153DF"/>
    <w:rsid w:val="18CD5C99"/>
    <w:rsid w:val="1B9A0602"/>
    <w:rsid w:val="1C6547C7"/>
    <w:rsid w:val="1F8257CA"/>
    <w:rsid w:val="1F83741E"/>
    <w:rsid w:val="1F9173FD"/>
    <w:rsid w:val="203C2377"/>
    <w:rsid w:val="21DA2238"/>
    <w:rsid w:val="223E30F0"/>
    <w:rsid w:val="2244665F"/>
    <w:rsid w:val="24C745BD"/>
    <w:rsid w:val="261E16A4"/>
    <w:rsid w:val="27CC0591"/>
    <w:rsid w:val="28E62B38"/>
    <w:rsid w:val="2933723C"/>
    <w:rsid w:val="29AA157D"/>
    <w:rsid w:val="2B941CA8"/>
    <w:rsid w:val="2E7B1F74"/>
    <w:rsid w:val="2EF04DB1"/>
    <w:rsid w:val="32F12805"/>
    <w:rsid w:val="33CD0EE7"/>
    <w:rsid w:val="348510B6"/>
    <w:rsid w:val="357A0810"/>
    <w:rsid w:val="358C751C"/>
    <w:rsid w:val="37AB3E08"/>
    <w:rsid w:val="39113E9A"/>
    <w:rsid w:val="3B5B21A7"/>
    <w:rsid w:val="3C221C81"/>
    <w:rsid w:val="3D6E799E"/>
    <w:rsid w:val="3DFF3E5F"/>
    <w:rsid w:val="411B386E"/>
    <w:rsid w:val="41406E31"/>
    <w:rsid w:val="41B95122"/>
    <w:rsid w:val="42E44ACD"/>
    <w:rsid w:val="43CC3BB6"/>
    <w:rsid w:val="44763F32"/>
    <w:rsid w:val="464C7847"/>
    <w:rsid w:val="47003A7E"/>
    <w:rsid w:val="4756264E"/>
    <w:rsid w:val="48891602"/>
    <w:rsid w:val="4A8F64C4"/>
    <w:rsid w:val="4C871DB8"/>
    <w:rsid w:val="4E7A3680"/>
    <w:rsid w:val="52D3370B"/>
    <w:rsid w:val="55A37065"/>
    <w:rsid w:val="55BB49A2"/>
    <w:rsid w:val="55E4027B"/>
    <w:rsid w:val="5C116F0B"/>
    <w:rsid w:val="5ED74E2F"/>
    <w:rsid w:val="5F8B79B9"/>
    <w:rsid w:val="618F19E3"/>
    <w:rsid w:val="619176B8"/>
    <w:rsid w:val="622662A3"/>
    <w:rsid w:val="62EA41B2"/>
    <w:rsid w:val="62F04B0B"/>
    <w:rsid w:val="63AC7EFE"/>
    <w:rsid w:val="65B23EF2"/>
    <w:rsid w:val="66175797"/>
    <w:rsid w:val="67584E39"/>
    <w:rsid w:val="6C583095"/>
    <w:rsid w:val="6E827E70"/>
    <w:rsid w:val="75BA291C"/>
    <w:rsid w:val="75BE5F9B"/>
    <w:rsid w:val="76BE72BD"/>
    <w:rsid w:val="76F93C90"/>
    <w:rsid w:val="784950C6"/>
    <w:rsid w:val="7AD41DBD"/>
    <w:rsid w:val="7AEB6C37"/>
    <w:rsid w:val="7FA5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2"/>
        <w:numId w:val="1"/>
      </w:numPr>
      <w:spacing w:line="360" w:lineRule="auto"/>
      <w:outlineLvl w:val="2"/>
    </w:pPr>
    <w:rPr>
      <w:b/>
      <w:bCs/>
      <w:sz w:val="24"/>
      <w:szCs w:val="32"/>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_Style 1"/>
    <w:qFormat/>
    <w:uiPriority w:val="99"/>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adjustRightInd w:val="0"/>
      <w:ind w:firstLine="420"/>
    </w:pPr>
    <w:rPr>
      <w:rFonts w:eastAsia="楷体_GB2312"/>
      <w:kern w:val="0"/>
      <w:sz w:val="24"/>
    </w:rPr>
  </w:style>
  <w:style w:type="paragraph" w:styleId="7">
    <w:name w:val="Body Text"/>
    <w:basedOn w:val="1"/>
    <w:next w:val="8"/>
    <w:qFormat/>
    <w:uiPriority w:val="0"/>
    <w:pPr>
      <w:spacing w:after="120" w:afterLines="0"/>
    </w:pPr>
  </w:style>
  <w:style w:type="paragraph" w:styleId="8">
    <w:name w:val="Date"/>
    <w:basedOn w:val="1"/>
    <w:next w:val="1"/>
    <w:qFormat/>
    <w:uiPriority w:val="0"/>
    <w:pPr>
      <w:ind w:left="100" w:leftChars="2500"/>
    </w:pPr>
    <w:rPr>
      <w:szCs w:val="24"/>
    </w:rPr>
  </w:style>
  <w:style w:type="paragraph" w:styleId="9">
    <w:name w:val="Body Text Indent"/>
    <w:basedOn w:val="1"/>
    <w:next w:val="1"/>
    <w:qFormat/>
    <w:uiPriority w:val="0"/>
    <w:pPr>
      <w:spacing w:line="700" w:lineRule="exact"/>
      <w:ind w:left="960"/>
    </w:pPr>
    <w:rPr>
      <w:sz w:val="44"/>
    </w:rPr>
  </w:style>
  <w:style w:type="paragraph" w:styleId="10">
    <w:name w:val="Plain Text"/>
    <w:basedOn w:val="1"/>
    <w:qFormat/>
    <w:uiPriority w:val="0"/>
    <w:rPr>
      <w:rFonts w:ascii="宋体" w:hAnsi="Courier New"/>
      <w:sz w:val="11"/>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9"/>
    <w:next w:val="6"/>
    <w:qFormat/>
    <w:uiPriority w:val="99"/>
    <w:pPr>
      <w:adjustRightInd w:val="0"/>
      <w:spacing w:after="120" w:line="520" w:lineRule="exact"/>
      <w:ind w:firstLine="210" w:firstLineChars="0"/>
      <w:textAlignment w:val="baseline"/>
    </w:pPr>
    <w:rPr>
      <w:rFonts w:ascii="黑体" w:hAnsi="Arial" w:eastAsia="黑体" w:cs="黑体"/>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table" w:styleId="1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0">
    <w:name w:val="章节题目"/>
    <w:basedOn w:val="21"/>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21">
    <w:name w:val="基准标题"/>
    <w:basedOn w:val="1"/>
    <w:next w:val="7"/>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22">
    <w:name w:val="样式"/>
    <w:next w:val="10"/>
    <w:qFormat/>
    <w:uiPriority w:val="99"/>
    <w:pPr>
      <w:widowControl w:val="0"/>
      <w:autoSpaceDE w:val="0"/>
      <w:autoSpaceDN w:val="0"/>
      <w:adjustRightInd w:val="0"/>
    </w:pPr>
    <w:rPr>
      <w:rFonts w:ascii="宋体" w:hAnsi="宋体" w:eastAsia="宋体" w:cs="宋体"/>
      <w:sz w:val="24"/>
      <w:szCs w:val="24"/>
      <w:lang w:val="en-US" w:eastAsia="zh-CN" w:bidi="ar-SA"/>
    </w:rPr>
  </w:style>
  <w:style w:type="table" w:customStyle="1" w:styleId="23">
    <w:name w:val="Table Normal"/>
    <w:semiHidden/>
    <w:unhideWhenUsed/>
    <w:qFormat/>
    <w:uiPriority w:val="0"/>
    <w:tblPr>
      <w:tblLayout w:type="fixed"/>
      <w:tblCellMar>
        <w:top w:w="0" w:type="dxa"/>
        <w:left w:w="0" w:type="dxa"/>
        <w:bottom w:w="0" w:type="dxa"/>
        <w:right w:w="0" w:type="dxa"/>
      </w:tblCellMar>
    </w:tbl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5">
    <w:name w:val="_Style 7"/>
    <w:basedOn w:val="1"/>
    <w:qFormat/>
    <w:uiPriority w:val="0"/>
    <w:pPr>
      <w:tabs>
        <w:tab w:val="left" w:pos="360"/>
      </w:tabs>
      <w:ind w:firstLine="420" w:firstLineChars="150"/>
    </w:pPr>
    <w:rPr>
      <w:rFonts w:ascii="Arial" w:hAnsi="Arial" w:cs="Arial"/>
      <w:sz w:val="20"/>
    </w:rPr>
  </w:style>
  <w:style w:type="paragraph" w:customStyle="1" w:styleId="26">
    <w:name w:val="p0"/>
    <w:basedOn w:val="1"/>
    <w:qFormat/>
    <w:uiPriority w:val="0"/>
    <w:pPr>
      <w:widowControl/>
      <w:jc w:val="left"/>
    </w:pPr>
    <w:rPr>
      <w:kern w:val="0"/>
      <w:szCs w:val="21"/>
    </w:rPr>
  </w:style>
  <w:style w:type="paragraph" w:customStyle="1" w:styleId="27">
    <w:name w:val="市县风险普查大纲正文"/>
    <w:qFormat/>
    <w:uiPriority w:val="0"/>
    <w:pPr>
      <w:widowControl/>
      <w:spacing w:before="0" w:beforeAutospacing="0" w:after="0" w:afterAutospacing="0" w:line="360" w:lineRule="auto"/>
      <w:ind w:firstLine="720" w:firstLineChars="300"/>
      <w:jc w:val="left"/>
      <w:textAlignment w:val="baseline"/>
    </w:pPr>
    <w:rPr>
      <w:rFonts w:ascii="Arial" w:hAnsi="Arial" w:eastAsia="宋体" w:cs="Arial"/>
      <w:kern w:val="0"/>
      <w:sz w:val="24"/>
      <w:szCs w:val="24"/>
      <w:shd w:val="clear" w:color="auto" w:fill="FFFFFF"/>
      <w:lang w:val="en-US" w:eastAsia="zh-CN" w:bidi="ar-SA"/>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32479</Words>
  <Characters>34388</Characters>
  <Lines>0</Lines>
  <Paragraphs>0</Paragraphs>
  <TotalTime>13</TotalTime>
  <ScaleCrop>false</ScaleCrop>
  <LinksUpToDate>false</LinksUpToDate>
  <CharactersWithSpaces>36241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2021-12-15T08:59:00Z</dcterms:created>
  <dc:creator>丑鬼</dc:creator>
  <cp:lastModifiedBy>李阳</cp:lastModifiedBy>
  <cp:lastPrinted>2021-12-19T11:33:00Z</cp:lastPrinted>
  <dcterms:modified xsi:type="dcterms:W3CDTF">2023-03-15T02:21:00Z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F52E20BFAD5E4CA2B59542277425C72F</vt:lpwstr>
  </property>
</Properties>
</file>