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outlineLvl w:val="0"/>
        <w:rPr>
          <w:rFonts w:hint="eastAsia" w:ascii="宋体" w:hAnsi="宋体" w:cs="宋体"/>
          <w:b/>
          <w:bCs/>
          <w:sz w:val="44"/>
          <w:szCs w:val="44"/>
          <w:highlight w:val="none"/>
          <w:lang w:val="en-US" w:eastAsia="zh-CN"/>
        </w:rPr>
      </w:pPr>
      <w:r>
        <w:rPr>
          <w:rFonts w:hint="eastAsia" w:ascii="宋体" w:hAnsi="宋体" w:cs="宋体"/>
          <w:b/>
          <w:bCs/>
          <w:sz w:val="44"/>
          <w:szCs w:val="44"/>
          <w:highlight w:val="none"/>
          <w:lang w:val="en-US" w:eastAsia="zh-CN"/>
        </w:rPr>
        <w:t>和田地区民丰县尼雅镇兰帕村示范村项目（改造提升）-监理</w:t>
      </w:r>
    </w:p>
    <w:p>
      <w:pPr>
        <w:pStyle w:val="8"/>
        <w:rPr>
          <w:rFonts w:hint="eastAsia"/>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44"/>
          <w:szCs w:val="44"/>
          <w:highlight w:val="none"/>
          <w:lang w:val="en-US" w:eastAsia="zh-CN"/>
        </w:rPr>
      </w:pPr>
      <w:bookmarkStart w:id="0" w:name="_Toc26265"/>
      <w:r>
        <w:rPr>
          <w:rFonts w:hint="eastAsia" w:ascii="宋体" w:hAnsi="宋体" w:eastAsia="宋体" w:cs="宋体"/>
          <w:b/>
          <w:bCs/>
          <w:sz w:val="44"/>
          <w:szCs w:val="44"/>
          <w:highlight w:val="none"/>
          <w:lang w:val="en-US" w:eastAsia="zh-CN"/>
        </w:rPr>
        <w:t>竞争性磋商文件</w:t>
      </w:r>
      <w:bookmarkEnd w:id="0"/>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outlineLvl w:val="0"/>
        <w:rPr>
          <w:rFonts w:hint="eastAsia" w:ascii="宋体" w:hAnsi="宋体" w:eastAsia="宋体" w:cs="宋体"/>
          <w:b/>
          <w:bCs/>
          <w:sz w:val="32"/>
          <w:szCs w:val="32"/>
          <w:highlight w:val="none"/>
          <w:lang w:val="en-US" w:eastAsia="zh-CN"/>
        </w:rPr>
      </w:pPr>
      <w:bookmarkStart w:id="1" w:name="_Toc13876"/>
      <w:r>
        <w:rPr>
          <w:rFonts w:hint="eastAsia" w:ascii="宋体" w:hAnsi="宋体" w:eastAsia="宋体" w:cs="宋体"/>
          <w:b/>
          <w:bCs/>
          <w:sz w:val="32"/>
          <w:szCs w:val="32"/>
          <w:highlight w:val="none"/>
          <w:lang w:val="en-US" w:eastAsia="zh-CN"/>
        </w:rPr>
        <w:t>项目编号：</w:t>
      </w:r>
      <w:r>
        <w:rPr>
          <w:rFonts w:hint="eastAsia" w:ascii="宋体" w:hAnsi="宋体" w:cs="宋体"/>
          <w:b/>
          <w:bCs/>
          <w:sz w:val="32"/>
          <w:szCs w:val="32"/>
          <w:highlight w:val="none"/>
          <w:lang w:val="en-US" w:eastAsia="zh-CN"/>
        </w:rPr>
        <w:t>XJDJZFCG-MFX-2023-003</w:t>
      </w:r>
      <w:r>
        <w:rPr>
          <w:rFonts w:hint="eastAsia" w:ascii="宋体" w:hAnsi="宋体" w:eastAsia="宋体" w:cs="宋体"/>
          <w:b/>
          <w:bCs/>
          <w:sz w:val="32"/>
          <w:szCs w:val="32"/>
          <w:highlight w:val="none"/>
          <w:lang w:val="en-US" w:eastAsia="zh-CN"/>
        </w:rPr>
        <w:t>号</w:t>
      </w:r>
      <w:bookmarkEnd w:id="1"/>
    </w:p>
    <w:p>
      <w:pPr>
        <w:spacing w:line="360" w:lineRule="auto"/>
        <w:jc w:val="center"/>
        <w:rPr>
          <w:rFonts w:hint="eastAsia" w:ascii="宋体" w:hAnsi="宋体" w:eastAsia="宋体" w:cs="宋体"/>
          <w:b/>
          <w:bCs/>
          <w:sz w:val="44"/>
          <w:szCs w:val="44"/>
          <w:highlight w:val="none"/>
          <w:lang w:val="en-US" w:eastAsia="zh-CN"/>
        </w:rPr>
      </w:pPr>
    </w:p>
    <w:p>
      <w:pPr>
        <w:pStyle w:val="32"/>
        <w:rPr>
          <w:rFonts w:hint="eastAsia" w:ascii="宋体" w:hAnsi="宋体" w:eastAsia="宋体" w:cs="宋体"/>
          <w:b/>
          <w:bCs/>
          <w:sz w:val="44"/>
          <w:szCs w:val="44"/>
          <w:highlight w:val="none"/>
          <w:lang w:val="en-US" w:eastAsia="zh-CN"/>
        </w:rPr>
      </w:pPr>
      <w:r>
        <w:rPr>
          <w:rFonts w:hint="eastAsia" w:ascii="宋体" w:hAnsi="宋体" w:eastAsia="宋体" w:cs="宋体"/>
          <w:b/>
          <w:bCs/>
          <w:sz w:val="44"/>
          <w:szCs w:val="44"/>
          <w:highlight w:val="none"/>
          <w:lang w:val="en-US" w:eastAsia="zh-CN"/>
        </w:rPr>
        <w:drawing>
          <wp:anchor distT="0" distB="0" distL="114300" distR="114300" simplePos="0" relativeHeight="251659264" behindDoc="1" locked="0" layoutInCell="1" allowOverlap="1">
            <wp:simplePos x="0" y="0"/>
            <wp:positionH relativeFrom="column">
              <wp:posOffset>1035050</wp:posOffset>
            </wp:positionH>
            <wp:positionV relativeFrom="paragraph">
              <wp:posOffset>255270</wp:posOffset>
            </wp:positionV>
            <wp:extent cx="3249930" cy="2295525"/>
            <wp:effectExtent l="0" t="0" r="17145" b="19050"/>
            <wp:wrapThrough wrapText="bothSides">
              <wp:wrapPolygon>
                <wp:start x="0" y="0"/>
                <wp:lineTo x="0" y="21510"/>
                <wp:lineTo x="21524" y="21510"/>
                <wp:lineTo x="21524" y="0"/>
                <wp:lineTo x="0" y="0"/>
              </wp:wrapPolygon>
            </wp:wrapThrough>
            <wp:docPr id="1" name="图片 2" descr="c97ea7a7c3516a97135e97f0119f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97ea7a7c3516a97135e97f0119f824"/>
                    <pic:cNvPicPr>
                      <a:picLocks noChangeAspect="1"/>
                    </pic:cNvPicPr>
                  </pic:nvPicPr>
                  <pic:blipFill>
                    <a:blip r:embed="rId10"/>
                    <a:stretch>
                      <a:fillRect/>
                    </a:stretch>
                  </pic:blipFill>
                  <pic:spPr>
                    <a:xfrm>
                      <a:off x="0" y="0"/>
                      <a:ext cx="3249930" cy="2295525"/>
                    </a:xfrm>
                    <a:prstGeom prst="rect">
                      <a:avLst/>
                    </a:prstGeom>
                    <a:noFill/>
                    <a:ln>
                      <a:noFill/>
                    </a:ln>
                  </pic:spPr>
                </pic:pic>
              </a:graphicData>
            </a:graphic>
          </wp:anchor>
        </w:drawing>
      </w:r>
    </w:p>
    <w:p>
      <w:pPr>
        <w:jc w:val="center"/>
        <w:rPr>
          <w:rFonts w:hint="eastAsia" w:ascii="宋体" w:hAnsi="宋体" w:eastAsia="宋体" w:cs="宋体"/>
          <w:b/>
          <w:bCs/>
          <w:sz w:val="44"/>
          <w:szCs w:val="44"/>
          <w:highlight w:val="none"/>
          <w:lang w:val="en-US" w:eastAsia="zh-CN"/>
        </w:rPr>
      </w:pPr>
    </w:p>
    <w:p>
      <w:pPr>
        <w:spacing w:line="360" w:lineRule="auto"/>
        <w:ind w:firstLine="883" w:firstLineChars="200"/>
        <w:jc w:val="center"/>
        <w:rPr>
          <w:rFonts w:hint="eastAsia" w:ascii="宋体" w:hAnsi="宋体" w:eastAsia="宋体" w:cs="宋体"/>
          <w:b/>
          <w:bCs/>
          <w:sz w:val="44"/>
          <w:szCs w:val="44"/>
          <w:highlight w:val="none"/>
          <w:lang w:val="en-US" w:eastAsia="zh-CN"/>
        </w:rPr>
      </w:pPr>
    </w:p>
    <w:p>
      <w:pPr>
        <w:spacing w:line="360" w:lineRule="auto"/>
        <w:ind w:firstLine="883" w:firstLineChars="200"/>
        <w:jc w:val="center"/>
        <w:rPr>
          <w:rFonts w:hint="eastAsia" w:ascii="宋体" w:hAnsi="宋体" w:eastAsia="宋体" w:cs="宋体"/>
          <w:b/>
          <w:bCs/>
          <w:sz w:val="44"/>
          <w:szCs w:val="44"/>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2"/>
          <w:szCs w:val="32"/>
          <w:highlight w:val="none"/>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480" w:lineRule="auto"/>
        <w:ind w:firstLine="1606" w:firstLineChars="500"/>
        <w:jc w:val="both"/>
        <w:textAlignment w:val="auto"/>
        <w:outlineLvl w:val="0"/>
        <w:rPr>
          <w:rFonts w:hint="eastAsia" w:ascii="宋体" w:hAnsi="宋体" w:eastAsia="宋体" w:cs="宋体"/>
          <w:b/>
          <w:bCs/>
          <w:sz w:val="32"/>
          <w:szCs w:val="32"/>
          <w:u w:val="single"/>
        </w:rPr>
      </w:pPr>
      <w:bookmarkStart w:id="2" w:name="_Toc9167"/>
      <w:r>
        <w:rPr>
          <w:rFonts w:hint="eastAsia" w:ascii="宋体" w:hAnsi="宋体" w:eastAsia="宋体" w:cs="宋体"/>
          <w:b/>
          <w:sz w:val="32"/>
        </w:rPr>
        <w:t>招 标 人：</w:t>
      </w:r>
      <w:r>
        <w:rPr>
          <w:rFonts w:hint="eastAsia" w:ascii="宋体" w:hAnsi="宋体" w:cs="宋体"/>
          <w:b/>
          <w:kern w:val="0"/>
          <w:sz w:val="32"/>
          <w:szCs w:val="24"/>
          <w:lang w:val="en-US" w:eastAsia="zh-CN" w:bidi="ar-SA"/>
        </w:rPr>
        <w:t>民丰县尼雅镇人民政府</w:t>
      </w:r>
      <w:bookmarkEnd w:id="2"/>
    </w:p>
    <w:p>
      <w:pPr>
        <w:pStyle w:val="21"/>
        <w:spacing w:before="0" w:beforeAutospacing="0" w:after="0" w:afterAutospacing="0"/>
        <w:jc w:val="center"/>
        <w:outlineLvl w:val="0"/>
        <w:rPr>
          <w:rFonts w:hint="eastAsia" w:ascii="宋体" w:hAnsi="宋体" w:eastAsia="宋体" w:cs="宋体"/>
          <w:b/>
          <w:w w:val="92"/>
          <w:sz w:val="32"/>
          <w:szCs w:val="32"/>
          <w:lang w:eastAsia="zh-CN"/>
        </w:rPr>
      </w:pPr>
      <w:r>
        <w:rPr>
          <w:rFonts w:hint="eastAsia" w:eastAsia="宋体" w:cs="宋体"/>
          <w:b/>
          <w:sz w:val="32"/>
          <w:lang w:val="en-US" w:eastAsia="zh-CN"/>
        </w:rPr>
        <w:t xml:space="preserve"> </w:t>
      </w:r>
      <w:bookmarkStart w:id="3" w:name="_Toc6758"/>
      <w:r>
        <w:rPr>
          <w:rFonts w:hint="eastAsia" w:ascii="宋体" w:hAnsi="宋体" w:eastAsia="宋体" w:cs="宋体"/>
          <w:b/>
          <w:sz w:val="32"/>
        </w:rPr>
        <w:t>招 标 代 理：</w:t>
      </w:r>
      <w:r>
        <w:rPr>
          <w:rFonts w:hint="eastAsia" w:cs="宋体"/>
          <w:b/>
          <w:sz w:val="32"/>
          <w:lang w:eastAsia="zh-CN"/>
        </w:rPr>
        <w:t>鼎建项目管理有限公司</w:t>
      </w:r>
      <w:bookmarkEnd w:id="3"/>
    </w:p>
    <w:p>
      <w:pPr>
        <w:widowControl/>
        <w:spacing w:line="360" w:lineRule="auto"/>
        <w:rPr>
          <w:rFonts w:hint="eastAsia" w:ascii="宋体" w:hAnsi="宋体" w:eastAsia="宋体" w:cs="宋体"/>
          <w:b/>
          <w:w w:val="92"/>
          <w:sz w:val="32"/>
          <w:szCs w:val="32"/>
        </w:rPr>
      </w:pPr>
      <w:r>
        <w:rPr>
          <w:rFonts w:hint="eastAsia" w:ascii="宋体" w:hAnsi="宋体" w:eastAsia="宋体" w:cs="宋体"/>
          <w:b/>
          <w:w w:val="92"/>
          <w:sz w:val="32"/>
          <w:szCs w:val="32"/>
        </w:rPr>
        <w:t xml:space="preserve">       </w:t>
      </w:r>
    </w:p>
    <w:p>
      <w:pPr>
        <w:pStyle w:val="19"/>
        <w:rPr>
          <w:rFonts w:hint="eastAsia"/>
        </w:rPr>
      </w:pPr>
    </w:p>
    <w:p>
      <w:pPr>
        <w:spacing w:line="480" w:lineRule="auto"/>
        <w:ind w:firstLine="3012" w:firstLineChars="1000"/>
        <w:jc w:val="both"/>
        <w:rPr>
          <w:rFonts w:hint="eastAsia" w:ascii="宋体" w:hAnsi="宋体" w:eastAsia="宋体" w:cs="宋体"/>
          <w:b/>
          <w:sz w:val="30"/>
        </w:rPr>
      </w:pPr>
      <w:r>
        <w:rPr>
          <w:rFonts w:hint="eastAsia" w:ascii="宋体" w:hAnsi="宋体" w:eastAsia="宋体" w:cs="宋体"/>
          <w:b/>
          <w:sz w:val="30"/>
        </w:rPr>
        <w:t>二零</w:t>
      </w:r>
      <w:r>
        <w:rPr>
          <w:rFonts w:hint="eastAsia" w:ascii="宋体" w:hAnsi="宋体" w:cs="宋体"/>
          <w:b/>
          <w:sz w:val="30"/>
          <w:lang w:eastAsia="zh-CN"/>
        </w:rPr>
        <w:t>二</w:t>
      </w:r>
      <w:r>
        <w:rPr>
          <w:rFonts w:hint="eastAsia" w:ascii="宋体" w:hAnsi="宋体" w:cs="宋体"/>
          <w:b/>
          <w:sz w:val="30"/>
          <w:lang w:val="en-US" w:eastAsia="zh-CN"/>
        </w:rPr>
        <w:t>三</w:t>
      </w:r>
      <w:r>
        <w:rPr>
          <w:rFonts w:hint="eastAsia" w:ascii="宋体" w:hAnsi="宋体" w:eastAsia="宋体" w:cs="宋体"/>
          <w:b/>
          <w:sz w:val="30"/>
        </w:rPr>
        <w:t>年</w:t>
      </w:r>
      <w:r>
        <w:rPr>
          <w:rFonts w:hint="eastAsia" w:ascii="宋体" w:hAnsi="宋体" w:cs="宋体"/>
          <w:b/>
          <w:sz w:val="30"/>
          <w:lang w:val="en-US" w:eastAsia="zh-CN"/>
        </w:rPr>
        <w:t>三</w:t>
      </w:r>
      <w:r>
        <w:rPr>
          <w:rFonts w:hint="eastAsia" w:ascii="宋体" w:hAnsi="宋体" w:eastAsia="宋体" w:cs="宋体"/>
          <w:b/>
          <w:sz w:val="30"/>
        </w:rPr>
        <w:t>月</w:t>
      </w:r>
    </w:p>
    <w:p>
      <w:pPr>
        <w:rPr>
          <w:rFonts w:hint="default" w:ascii="宋体" w:hAnsi="宋体" w:eastAsia="宋体" w:cs="宋体"/>
          <w:b/>
          <w:bCs/>
          <w:sz w:val="28"/>
          <w:szCs w:val="28"/>
          <w:highlight w:val="none"/>
          <w:lang w:val="en-US" w:eastAsia="zh-CN"/>
        </w:rPr>
      </w:pPr>
    </w:p>
    <w:p>
      <w:pPr>
        <w:rPr>
          <w:rFonts w:hint="default" w:ascii="宋体" w:hAnsi="宋体" w:eastAsia="宋体" w:cs="宋体"/>
          <w:b/>
          <w:bCs/>
          <w:sz w:val="28"/>
          <w:szCs w:val="28"/>
          <w:highlight w:val="none"/>
          <w:lang w:val="en-US" w:eastAsia="zh-CN"/>
        </w:rPr>
      </w:pPr>
    </w:p>
    <w:p>
      <w:pPr>
        <w:rPr>
          <w:rFonts w:hint="eastAsia" w:ascii="宋体" w:hAnsi="宋体" w:eastAsia="宋体" w:cs="宋体"/>
          <w:b/>
          <w:bCs/>
          <w:sz w:val="28"/>
          <w:szCs w:val="28"/>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8" w:hRule="atLeast"/>
          <w:jc w:val="center"/>
        </w:trPr>
        <w:tc>
          <w:tcPr>
            <w:tcW w:w="9249" w:type="dxa"/>
            <w:noWrap w:val="0"/>
            <w:vAlign w:val="top"/>
          </w:tcPr>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ind w:left="0" w:leftChars="0" w:firstLine="560" w:firstLineChars="200"/>
              <w:jc w:val="center"/>
              <w:rPr>
                <w:rFonts w:hint="eastAsia" w:ascii="宋体" w:hAnsi="宋体" w:eastAsia="宋体" w:cs="宋体"/>
                <w:sz w:val="28"/>
                <w:szCs w:val="28"/>
                <w:highlight w:val="none"/>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ind w:left="0" w:leftChars="0" w:firstLine="560" w:firstLineChars="200"/>
              <w:rPr>
                <w:rFonts w:hint="eastAsia" w:ascii="宋体" w:hAnsi="宋体" w:eastAsia="宋体" w:cs="宋体"/>
                <w:bCs/>
                <w:sz w:val="28"/>
                <w:szCs w:val="28"/>
                <w:highlight w:val="none"/>
                <w:lang w:val="zh-CN"/>
              </w:rPr>
            </w:pPr>
          </w:p>
          <w:p>
            <w:pPr>
              <w:widowControl/>
              <w:spacing w:line="560" w:lineRule="exact"/>
              <w:jc w:val="center"/>
              <w:rPr>
                <w:rFonts w:hint="eastAsia" w:ascii="宋体" w:hAnsi="宋体" w:eastAsia="宋体" w:cs="宋体"/>
                <w:bCs/>
                <w:sz w:val="28"/>
                <w:szCs w:val="28"/>
                <w:highlight w:val="none"/>
                <w:lang w:val="zh-CN"/>
              </w:rPr>
            </w:pPr>
            <w:r>
              <w:rPr>
                <w:rFonts w:hint="eastAsia" w:ascii="宋体" w:hAnsi="宋体" w:eastAsia="宋体" w:cs="宋体"/>
                <w:bCs/>
                <w:sz w:val="28"/>
                <w:szCs w:val="28"/>
                <w:highlight w:val="none"/>
                <w:lang w:val="zh-CN"/>
              </w:rPr>
              <w:t>项目名称：</w:t>
            </w:r>
            <w:r>
              <w:rPr>
                <w:rFonts w:hint="eastAsia" w:ascii="宋体" w:hAnsi="宋体" w:eastAsia="宋体" w:cs="宋体"/>
                <w:bCs/>
                <w:sz w:val="28"/>
                <w:szCs w:val="28"/>
                <w:highlight w:val="none"/>
                <w:lang w:val="en-US" w:eastAsia="zh-CN"/>
              </w:rPr>
              <w:t xml:space="preserve"> </w:t>
            </w:r>
            <w:r>
              <w:rPr>
                <w:rFonts w:hint="eastAsia" w:ascii="宋体" w:hAnsi="宋体" w:cs="宋体"/>
                <w:bCs/>
                <w:sz w:val="28"/>
                <w:szCs w:val="28"/>
                <w:highlight w:val="none"/>
                <w:lang w:val="zh-CN" w:eastAsia="zh-CN"/>
              </w:rPr>
              <w:t>和田地区民丰县尼雅镇兰帕村示范村项目（改造提升）-监理</w:t>
            </w: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rPr>
                <w:rFonts w:hint="eastAsia" w:ascii="宋体" w:hAnsi="宋体" w:eastAsia="宋体" w:cs="宋体"/>
                <w:b/>
                <w:bCs/>
                <w:sz w:val="28"/>
                <w:szCs w:val="28"/>
                <w:highlight w:val="none"/>
                <w:lang w:eastAsia="zh-CN"/>
              </w:rPr>
            </w:pPr>
          </w:p>
          <w:p>
            <w:pPr>
              <w:jc w:val="right"/>
              <w:rPr>
                <w:rFonts w:hint="eastAsia" w:ascii="宋体" w:hAnsi="宋体" w:eastAsia="宋体" w:cs="宋体"/>
                <w:b/>
                <w:bCs/>
                <w:sz w:val="28"/>
                <w:szCs w:val="28"/>
                <w:highlight w:val="none"/>
              </w:rPr>
            </w:pPr>
          </w:p>
        </w:tc>
      </w:tr>
    </w:tbl>
    <w:p>
      <w:pPr>
        <w:ind w:firstLine="883" w:firstLineChars="200"/>
        <w:jc w:val="left"/>
        <w:rPr>
          <w:rFonts w:hint="eastAsia" w:ascii="宋体" w:hAnsi="宋体" w:eastAsia="宋体" w:cs="宋体"/>
          <w:highlight w:val="none"/>
        </w:rPr>
      </w:pPr>
      <w:r>
        <w:rPr>
          <w:rFonts w:hint="eastAsia" w:ascii="仿宋" w:hAnsi="仿宋" w:eastAsia="仿宋" w:cs="仿宋"/>
          <w:b/>
          <w:bCs/>
          <w:sz w:val="44"/>
          <w:szCs w:val="44"/>
          <w:highlight w:val="none"/>
        </w:rPr>
        <w:br w:type="page"/>
      </w:r>
    </w:p>
    <w:p>
      <w:pPr>
        <w:ind w:firstLine="883" w:firstLineChars="200"/>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目</w:t>
      </w:r>
      <w:r>
        <w:rPr>
          <w:rFonts w:hint="eastAsia" w:ascii="宋体" w:hAnsi="宋体" w:eastAsia="宋体" w:cs="宋体"/>
          <w:b/>
          <w:bCs/>
          <w:sz w:val="44"/>
          <w:szCs w:val="44"/>
          <w:highlight w:val="none"/>
          <w:lang w:eastAsia="zh-CN"/>
        </w:rPr>
        <w:t>录</w:t>
      </w:r>
      <w:r>
        <w:rPr>
          <w:rFonts w:hint="eastAsia" w:ascii="宋体" w:hAnsi="宋体" w:eastAsia="宋体" w:cs="宋体"/>
          <w:b/>
          <w:bCs/>
          <w:sz w:val="44"/>
          <w:szCs w:val="44"/>
          <w:highlight w:val="none"/>
        </w:rPr>
        <w:t xml:space="preserve">  </w:t>
      </w:r>
    </w:p>
    <w:sdt>
      <w:sdtPr>
        <w:rPr>
          <w:rFonts w:ascii="宋体" w:hAnsi="宋体" w:eastAsia="宋体" w:cs="Times New Roman"/>
          <w:kern w:val="2"/>
          <w:sz w:val="21"/>
          <w:szCs w:val="24"/>
          <w:lang w:val="en-US" w:eastAsia="zh-CN" w:bidi="ar-SA"/>
        </w:rPr>
        <w:id w:val="147463887"/>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4" w:name="_Toc16868"/>
          <w:bookmarkStart w:id="5" w:name="_Toc20127"/>
          <w:bookmarkStart w:id="6" w:name="_Toc32716"/>
        </w:p>
        <w:p>
          <w:pPr>
            <w:pStyle w:val="17"/>
            <w:tabs>
              <w:tab w:val="right" w:leader="dot" w:pos="9070"/>
            </w:tabs>
          </w:pPr>
          <w:r>
            <w:fldChar w:fldCharType="begin"/>
          </w:r>
          <w:r>
            <w:instrText xml:space="preserve">TOC \o "1-1" \h \u </w:instrText>
          </w:r>
          <w:r>
            <w:fldChar w:fldCharType="separate"/>
          </w:r>
        </w:p>
        <w:p>
          <w:pPr>
            <w:pStyle w:val="17"/>
            <w:tabs>
              <w:tab w:val="right" w:leader="dot" w:pos="9070"/>
            </w:tabs>
          </w:pPr>
          <w:r>
            <w:fldChar w:fldCharType="begin"/>
          </w:r>
          <w:r>
            <w:instrText xml:space="preserve"> HYPERLINK \l _Toc14938 </w:instrText>
          </w:r>
          <w:r>
            <w:fldChar w:fldCharType="separate"/>
          </w:r>
          <w:r>
            <w:rPr>
              <w:rFonts w:hint="eastAsia" w:ascii="宋体" w:hAnsi="宋体" w:eastAsia="宋体" w:cs="宋体"/>
              <w:bCs/>
              <w:kern w:val="0"/>
              <w:szCs w:val="32"/>
              <w:lang w:val="en-US" w:eastAsia="zh-CN" w:bidi="ar-SA"/>
            </w:rPr>
            <w:t>第一</w:t>
          </w:r>
          <w:r>
            <w:rPr>
              <w:rFonts w:hint="eastAsia" w:ascii="宋体" w:hAnsi="宋体" w:cs="宋体"/>
              <w:bCs/>
              <w:kern w:val="0"/>
              <w:szCs w:val="32"/>
              <w:lang w:val="en-US" w:eastAsia="zh-CN" w:bidi="ar-SA"/>
            </w:rPr>
            <w:t>部分</w:t>
          </w:r>
          <w:r>
            <w:rPr>
              <w:rFonts w:hint="eastAsia" w:ascii="宋体" w:hAnsi="宋体" w:eastAsia="宋体" w:cs="宋体"/>
              <w:bCs/>
              <w:kern w:val="0"/>
              <w:szCs w:val="32"/>
              <w:lang w:val="en-US" w:eastAsia="zh-CN" w:bidi="ar-SA"/>
            </w:rPr>
            <w:t xml:space="preserve"> </w:t>
          </w:r>
          <w:r>
            <w:rPr>
              <w:rFonts w:hint="eastAsia" w:ascii="宋体" w:hAnsi="宋体" w:cs="宋体"/>
              <w:bCs/>
              <w:kern w:val="0"/>
              <w:szCs w:val="32"/>
              <w:lang w:val="en-US" w:eastAsia="zh-CN" w:bidi="ar-SA"/>
            </w:rPr>
            <w:t xml:space="preserve">                                                                            </w:t>
          </w:r>
          <w:r>
            <w:rPr>
              <w:rFonts w:hint="eastAsia"/>
              <w:lang w:val="en-US" w:eastAsia="zh-CN"/>
            </w:rPr>
            <w:t>4</w:t>
          </w:r>
          <w:r>
            <w:fldChar w:fldCharType="end"/>
          </w:r>
        </w:p>
        <w:p>
          <w:pPr>
            <w:pStyle w:val="17"/>
            <w:tabs>
              <w:tab w:val="right" w:leader="dot" w:pos="9070"/>
            </w:tabs>
          </w:pPr>
          <w:r>
            <w:fldChar w:fldCharType="begin"/>
          </w:r>
          <w:r>
            <w:instrText xml:space="preserve"> HYPERLINK \l _Toc18821 </w:instrText>
          </w:r>
          <w:r>
            <w:fldChar w:fldCharType="separate"/>
          </w:r>
          <w:r>
            <w:rPr>
              <w:rFonts w:hint="eastAsia" w:ascii="宋体" w:hAnsi="宋体" w:eastAsia="宋体" w:cs="宋体"/>
              <w:bCs/>
              <w:szCs w:val="36"/>
              <w:highlight w:val="none"/>
            </w:rPr>
            <w:t>第二</w:t>
          </w:r>
          <w:r>
            <w:rPr>
              <w:rFonts w:hint="eastAsia" w:ascii="宋体" w:hAnsi="宋体" w:cs="宋体"/>
              <w:bCs/>
              <w:szCs w:val="36"/>
              <w:highlight w:val="none"/>
              <w:lang w:eastAsia="zh-CN"/>
            </w:rPr>
            <w:t>部分</w:t>
          </w:r>
          <w:r>
            <w:rPr>
              <w:rFonts w:hint="eastAsia" w:ascii="宋体" w:hAnsi="宋体" w:eastAsia="宋体" w:cs="宋体"/>
              <w:bCs/>
              <w:szCs w:val="36"/>
              <w:highlight w:val="none"/>
            </w:rPr>
            <w:t xml:space="preserve">  </w:t>
          </w:r>
          <w:r>
            <w:rPr>
              <w:rFonts w:hint="eastAsia" w:ascii="宋体" w:hAnsi="宋体" w:cs="宋体"/>
              <w:bCs/>
              <w:szCs w:val="36"/>
              <w:highlight w:val="none"/>
              <w:lang w:val="en-US" w:eastAsia="zh-CN"/>
            </w:rPr>
            <w:t xml:space="preserve">                                                                           </w:t>
          </w:r>
          <w:r>
            <w:rPr>
              <w:rFonts w:hint="eastAsia"/>
              <w:lang w:val="en-US" w:eastAsia="zh-CN"/>
            </w:rPr>
            <w:t>8</w:t>
          </w:r>
          <w:r>
            <w:fldChar w:fldCharType="end"/>
          </w:r>
        </w:p>
        <w:p>
          <w:pPr>
            <w:pStyle w:val="17"/>
            <w:tabs>
              <w:tab w:val="right" w:leader="dot" w:pos="9070"/>
            </w:tabs>
            <w:rPr>
              <w:rFonts w:hint="eastAsia" w:eastAsia="宋体"/>
              <w:lang w:val="en-US" w:eastAsia="zh-CN"/>
            </w:rPr>
          </w:pPr>
          <w:r>
            <w:fldChar w:fldCharType="begin"/>
          </w:r>
          <w:r>
            <w:instrText xml:space="preserve"> HYPERLINK \l _Toc19877 </w:instrText>
          </w:r>
          <w:r>
            <w:fldChar w:fldCharType="separate"/>
          </w:r>
          <w:r>
            <w:rPr>
              <w:rFonts w:hint="eastAsia" w:ascii="宋体" w:hAnsi="宋体" w:cs="宋体"/>
              <w:szCs w:val="36"/>
              <w:highlight w:val="none"/>
              <w:lang w:eastAsia="zh-CN"/>
            </w:rPr>
            <w:t>第三部分</w:t>
          </w:r>
          <w:r>
            <w:rPr>
              <w:rFonts w:hint="eastAsia" w:ascii="宋体" w:hAnsi="宋体" w:cs="宋体"/>
              <w:szCs w:val="36"/>
              <w:highlight w:val="none"/>
              <w:lang w:val="en-US" w:eastAsia="zh-CN"/>
            </w:rPr>
            <w:t xml:space="preserve">                                                                            </w:t>
          </w:r>
          <w:r>
            <w:rPr>
              <w:rFonts w:hint="eastAsia"/>
              <w:lang w:val="en-US" w:eastAsia="zh-CN"/>
            </w:rPr>
            <w:t>1</w:t>
          </w:r>
          <w:r>
            <w:fldChar w:fldCharType="end"/>
          </w:r>
          <w:r>
            <w:rPr>
              <w:rFonts w:hint="eastAsia"/>
              <w:lang w:val="en-US" w:eastAsia="zh-CN"/>
            </w:rPr>
            <w:t>5</w:t>
          </w:r>
        </w:p>
        <w:p>
          <w:pPr>
            <w:rPr>
              <w:rFonts w:hint="default" w:ascii="宋体" w:hAnsi="宋体" w:eastAsia="宋体" w:cs="宋体"/>
              <w:kern w:val="2"/>
              <w:sz w:val="21"/>
              <w:szCs w:val="36"/>
              <w:highlight w:val="none"/>
              <w:lang w:val="en-US" w:eastAsia="zh-CN" w:bidi="ar-SA"/>
            </w:rPr>
          </w:pPr>
          <w:r>
            <w:rPr>
              <w:rFonts w:hint="eastAsia" w:ascii="宋体" w:hAnsi="宋体" w:eastAsia="宋体" w:cs="宋体"/>
              <w:kern w:val="2"/>
              <w:sz w:val="21"/>
              <w:szCs w:val="36"/>
              <w:highlight w:val="none"/>
              <w:lang w:val="en-US" w:eastAsia="zh-CN" w:bidi="ar-SA"/>
            </w:rPr>
            <w:t>第四</w:t>
          </w:r>
          <w:r>
            <w:rPr>
              <w:rFonts w:hint="eastAsia" w:ascii="宋体" w:hAnsi="宋体" w:cs="宋体"/>
              <w:kern w:val="2"/>
              <w:sz w:val="21"/>
              <w:szCs w:val="36"/>
              <w:highlight w:val="none"/>
              <w:lang w:val="en-US" w:eastAsia="zh-CN" w:bidi="ar-SA"/>
            </w:rPr>
            <w:t>部分</w:t>
          </w:r>
          <w:r>
            <w:rPr>
              <w:rFonts w:hint="eastAsia" w:ascii="宋体" w:hAnsi="宋体" w:eastAsia="宋体" w:cs="宋体"/>
              <w:kern w:val="2"/>
              <w:sz w:val="21"/>
              <w:szCs w:val="36"/>
              <w:highlight w:val="none"/>
              <w:lang w:val="en-US" w:eastAsia="zh-CN" w:bidi="ar-SA"/>
            </w:rPr>
            <w:t xml:space="preserve">   </w:t>
          </w:r>
          <w:r>
            <w:tab/>
          </w:r>
          <w:r>
            <w:tab/>
          </w:r>
          <w:r>
            <w:rPr>
              <w:rFonts w:hint="eastAsia"/>
              <w:lang w:val="en-US" w:eastAsia="zh-CN"/>
            </w:rPr>
            <w:t xml:space="preserve">                                                                    37</w:t>
          </w:r>
        </w:p>
        <w:p>
          <w:pPr>
            <w:pStyle w:val="2"/>
            <w:rPr>
              <w:rFonts w:hint="default" w:ascii="宋体" w:hAnsi="宋体" w:eastAsia="宋体" w:cs="宋体"/>
              <w:kern w:val="2"/>
              <w:sz w:val="21"/>
              <w:szCs w:val="36"/>
              <w:highlight w:val="none"/>
              <w:lang w:val="en-US" w:eastAsia="zh-CN" w:bidi="ar-SA"/>
            </w:rPr>
          </w:pPr>
          <w:r>
            <w:rPr>
              <w:rFonts w:hint="eastAsia" w:ascii="宋体" w:hAnsi="宋体" w:eastAsia="宋体" w:cs="宋体"/>
              <w:kern w:val="2"/>
              <w:sz w:val="21"/>
              <w:szCs w:val="36"/>
              <w:highlight w:val="none"/>
              <w:lang w:val="en-US" w:eastAsia="zh-CN" w:bidi="ar-SA"/>
            </w:rPr>
            <w:t>第五部分</w:t>
          </w:r>
          <w:r>
            <w:rPr>
              <w:rFonts w:hint="eastAsia" w:hAnsi="宋体" w:cs="宋体"/>
              <w:kern w:val="2"/>
              <w:sz w:val="21"/>
              <w:szCs w:val="36"/>
              <w:highlight w:val="none"/>
              <w:lang w:val="en-US" w:eastAsia="zh-CN" w:bidi="ar-SA"/>
            </w:rPr>
            <w:t xml:space="preserve">                                                                            48</w:t>
          </w:r>
        </w:p>
        <w:p>
          <w:pPr>
            <w:rPr>
              <w:rFonts w:hint="default" w:ascii="宋体" w:hAnsi="宋体" w:eastAsia="宋体" w:cs="宋体"/>
              <w:kern w:val="2"/>
              <w:sz w:val="21"/>
              <w:szCs w:val="36"/>
              <w:highlight w:val="none"/>
              <w:lang w:val="en-US" w:eastAsia="zh-CN" w:bidi="ar-SA"/>
            </w:rPr>
          </w:pPr>
          <w:r>
            <w:rPr>
              <w:rFonts w:hint="eastAsia" w:ascii="宋体" w:hAnsi="宋体" w:eastAsia="宋体" w:cs="宋体"/>
              <w:kern w:val="2"/>
              <w:sz w:val="21"/>
              <w:szCs w:val="36"/>
              <w:highlight w:val="none"/>
              <w:lang w:val="en-US" w:eastAsia="zh-CN" w:bidi="ar-SA"/>
            </w:rPr>
            <w:t>第六部分</w:t>
          </w:r>
          <w:r>
            <w:rPr>
              <w:rFonts w:hint="eastAsia" w:ascii="宋体" w:hAnsi="宋体" w:cs="宋体"/>
              <w:kern w:val="2"/>
              <w:sz w:val="21"/>
              <w:szCs w:val="36"/>
              <w:highlight w:val="none"/>
              <w:lang w:val="en-US" w:eastAsia="zh-CN" w:bidi="ar-SA"/>
            </w:rPr>
            <w:t xml:space="preserve">                                                                            55</w:t>
          </w:r>
        </w:p>
        <w:p>
          <w:r>
            <w:fldChar w:fldCharType="end"/>
          </w:r>
        </w:p>
        <w:p/>
        <w:p/>
        <w:p/>
        <w:p/>
        <w:p/>
        <w:p/>
        <w:p/>
        <w:p/>
        <w:p/>
        <w:p/>
        <w:p/>
        <w:p/>
        <w:p/>
        <w:p/>
        <w:p/>
        <w:p/>
        <w:p/>
        <w:p/>
        <w:p/>
        <w:p/>
        <w:p/>
        <w:p/>
        <w:p/>
        <w:p/>
        <w:p/>
        <w:p/>
        <w:p/>
        <w:p/>
        <w:p/>
        <w:p/>
        <w:p/>
        <w:p/>
        <w:p/>
        <w:p/>
        <w:p/>
        <w:p/>
        <w:p/>
        <w:p/>
      </w:sdtContent>
    </w:sdt>
    <w:p>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kern w:val="0"/>
          <w:sz w:val="32"/>
          <w:szCs w:val="32"/>
          <w:lang w:val="en-US" w:eastAsia="zh-CN" w:bidi="ar-SA"/>
        </w:rPr>
      </w:pPr>
      <w:bookmarkStart w:id="7" w:name="_Toc14938"/>
    </w:p>
    <w:p>
      <w:pPr>
        <w:rPr>
          <w:rFonts w:hint="eastAsia" w:ascii="宋体" w:hAnsi="宋体" w:eastAsia="宋体" w:cs="宋体"/>
          <w:b/>
          <w:bCs/>
          <w:color w:val="auto"/>
          <w:kern w:val="0"/>
          <w:sz w:val="32"/>
          <w:szCs w:val="32"/>
          <w:lang w:val="en-US" w:eastAsia="zh-CN" w:bidi="ar-SA"/>
        </w:rPr>
      </w:pPr>
    </w:p>
    <w:p>
      <w:pPr>
        <w:pStyle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kern w:val="0"/>
          <w:sz w:val="32"/>
          <w:szCs w:val="32"/>
          <w:lang w:val="en-US" w:eastAsia="zh-CN" w:bidi="ar-SA"/>
        </w:rPr>
      </w:pPr>
      <w:r>
        <w:rPr>
          <w:rFonts w:hint="eastAsia" w:ascii="宋体" w:hAnsi="宋体" w:eastAsia="宋体" w:cs="宋体"/>
          <w:b/>
          <w:bCs/>
          <w:color w:val="auto"/>
          <w:kern w:val="0"/>
          <w:sz w:val="32"/>
          <w:szCs w:val="32"/>
          <w:lang w:val="en-US" w:eastAsia="zh-CN" w:bidi="ar-SA"/>
        </w:rPr>
        <w:t>第一部分 竞争性磋商招标公告</w:t>
      </w:r>
      <w:bookmarkEnd w:id="7"/>
    </w:p>
    <w:tbl>
      <w:tblPr>
        <w:tblStyle w:val="25"/>
        <w:tblW w:w="9733"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3"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仿宋" w:hAnsi="仿宋" w:eastAsia="仿宋" w:cs="仿宋"/>
                <w:sz w:val="24"/>
                <w:highlight w:val="none"/>
              </w:rPr>
            </w:pPr>
            <w:r>
              <w:rPr>
                <w:rFonts w:hint="eastAsia" w:ascii="仿宋" w:hAnsi="仿宋" w:eastAsia="仿宋" w:cs="仿宋"/>
                <w:sz w:val="24"/>
                <w:highlight w:val="none"/>
                <w:lang w:val="en-US" w:eastAsia="zh-CN"/>
              </w:rPr>
              <w:t>和田地区民丰县尼雅镇兰帕村示范村项目（改造提升）-监理的潜在供应商应在新疆政府采购网（http://www.ccgp-xinjiang.gov.cn/）查阅本项目公告，并在该项目采购公告附件中获取采购文件，并于04月07日13点00分（北京时间）前提交响应文件。</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bookmarkStart w:id="8" w:name="_Toc28359012"/>
      <w:bookmarkStart w:id="9" w:name="_Toc2875_WPSOffice_Level2"/>
      <w:bookmarkStart w:id="10" w:name="_Toc35393629"/>
      <w:bookmarkStart w:id="11" w:name="_Toc35393798"/>
      <w:bookmarkStart w:id="12" w:name="_Toc28359089"/>
      <w:bookmarkStart w:id="13" w:name="_Toc6237"/>
      <w:r>
        <w:rPr>
          <w:rFonts w:hint="eastAsia" w:ascii="仿宋" w:hAnsi="仿宋" w:eastAsia="仿宋" w:cs="仿宋"/>
          <w:b/>
          <w:bCs/>
          <w:sz w:val="24"/>
          <w:highlight w:val="none"/>
          <w:lang w:val="en-US" w:eastAsia="zh-CN"/>
        </w:rPr>
        <w:t>一、项目基本情况</w:t>
      </w:r>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bookmarkStart w:id="14" w:name="_Toc35393630"/>
      <w:bookmarkStart w:id="15" w:name="_Toc35393799"/>
      <w:bookmarkStart w:id="16" w:name="_Toc31877"/>
      <w:bookmarkStart w:id="17" w:name="_Toc28359090"/>
      <w:bookmarkStart w:id="18" w:name="_Toc13117_WPSOffice_Level2"/>
      <w:bookmarkStart w:id="19" w:name="_Toc28359013"/>
      <w:r>
        <w:rPr>
          <w:rFonts w:hint="eastAsia" w:ascii="仿宋" w:hAnsi="仿宋" w:eastAsia="仿宋" w:cs="仿宋"/>
          <w:b w:val="0"/>
          <w:bCs w:val="0"/>
          <w:sz w:val="24"/>
          <w:highlight w:val="none"/>
          <w:lang w:val="en-US" w:eastAsia="zh-CN"/>
        </w:rPr>
        <w:t>项目编号：</w:t>
      </w:r>
      <w:r>
        <w:rPr>
          <w:rFonts w:hint="eastAsia" w:ascii="宋体" w:hAnsi="宋体" w:cs="宋体"/>
          <w:i w:val="0"/>
          <w:iCs w:val="0"/>
          <w:caps w:val="0"/>
          <w:color w:val="000000"/>
          <w:spacing w:val="0"/>
          <w:sz w:val="24"/>
          <w:szCs w:val="24"/>
          <w:lang w:eastAsia="zh-CN"/>
        </w:rPr>
        <w:t>XJDJZFCG-MFX-2023-003号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项目名称：</w:t>
      </w:r>
      <w:r>
        <w:rPr>
          <w:rFonts w:hint="eastAsia" w:ascii="宋体" w:hAnsi="宋体" w:cs="宋体"/>
          <w:i w:val="0"/>
          <w:iCs w:val="0"/>
          <w:caps w:val="0"/>
          <w:color w:val="000000"/>
          <w:spacing w:val="0"/>
          <w:sz w:val="24"/>
          <w:szCs w:val="24"/>
          <w:lang w:val="en-US" w:eastAsia="zh-CN"/>
        </w:rPr>
        <w:t xml:space="preserve">和田地区民丰县尼雅镇兰帕村示范村项目（改造提升）-监理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采购方式：</w:t>
      </w:r>
      <w:r>
        <w:rPr>
          <w:rFonts w:hint="eastAsia" w:ascii="宋体" w:hAnsi="宋体" w:cs="宋体"/>
          <w:i w:val="0"/>
          <w:iCs w:val="0"/>
          <w:caps w:val="0"/>
          <w:color w:val="000000"/>
          <w:spacing w:val="0"/>
          <w:sz w:val="24"/>
          <w:szCs w:val="24"/>
          <w:lang w:val="en-US" w:eastAsia="zh-CN"/>
        </w:rPr>
        <w:t>竞争性磋商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highlight w:val="none"/>
          <w:lang w:val="en-US" w:eastAsia="zh-CN"/>
        </w:rPr>
      </w:pPr>
      <w:r>
        <w:rPr>
          <w:rFonts w:hint="eastAsia" w:ascii="仿宋" w:hAnsi="仿宋" w:eastAsia="仿宋" w:cs="仿宋"/>
          <w:b w:val="0"/>
          <w:bCs w:val="0"/>
          <w:sz w:val="24"/>
          <w:highlight w:val="none"/>
          <w:lang w:val="en-US" w:eastAsia="zh-CN"/>
        </w:rPr>
        <w:t>预算金额（元）:</w:t>
      </w:r>
      <w:r>
        <w:rPr>
          <w:rFonts w:hint="eastAsia" w:ascii="仿宋" w:hAnsi="仿宋" w:eastAsia="仿宋" w:cs="仿宋"/>
          <w:sz w:val="24"/>
          <w:highlight w:val="none"/>
          <w:lang w:val="en-US" w:eastAsia="zh-CN"/>
        </w:rPr>
        <w:t>108700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最高限价（元）:</w:t>
      </w:r>
      <w:r>
        <w:rPr>
          <w:rFonts w:hint="eastAsia" w:ascii="仿宋" w:hAnsi="仿宋" w:eastAsia="仿宋" w:cs="仿宋"/>
          <w:sz w:val="24"/>
          <w:highlight w:val="none"/>
          <w:lang w:val="en-US" w:eastAsia="zh-CN"/>
        </w:rPr>
        <w:t>108700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标项名称:和田地区民丰县尼雅镇兰帕村示范村项目（改造提升）-监理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简要规格描述：</w:t>
      </w:r>
      <w:r>
        <w:rPr>
          <w:rFonts w:hint="eastAsia" w:ascii="仿宋" w:hAnsi="仿宋" w:eastAsia="仿宋" w:cs="仿宋"/>
          <w:sz w:val="24"/>
          <w:highlight w:val="none"/>
          <w:lang w:val="en-US" w:eastAsia="zh-CN"/>
        </w:rPr>
        <w:t>和田地区民丰县尼雅镇兰帕村示范村项目（改造提升）施工全过程监理。</w:t>
      </w:r>
    </w:p>
    <w:p>
      <w:pPr>
        <w:spacing w:line="360" w:lineRule="exact"/>
        <w:ind w:firstLine="480" w:firstLineChars="200"/>
        <w:jc w:val="left"/>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合同履约期限：标项 1，监理期限：91日历天</w:t>
      </w:r>
      <w:r>
        <w:rPr>
          <w:rFonts w:hint="eastAsia" w:ascii="宋体" w:hAnsi="宋体" w:eastAsia="宋体" w:cs="宋体"/>
          <w:b w:val="0"/>
          <w:bCs w:val="0"/>
          <w:color w:val="000000"/>
          <w:sz w:val="24"/>
          <w:highlight w:val="none"/>
          <w:u w:val="none"/>
          <w:lang w:val="en-US" w:eastAsia="zh-CN"/>
        </w:rPr>
        <w:t xml:space="preserve"> </w:t>
      </w:r>
      <w:r>
        <w:rPr>
          <w:rFonts w:hint="eastAsia" w:ascii="宋体" w:hAnsi="宋体" w:cs="宋体"/>
          <w:b w:val="0"/>
          <w:bCs w:val="0"/>
          <w:color w:val="000000"/>
          <w:sz w:val="24"/>
          <w:highlight w:val="none"/>
          <w:u w:val="none"/>
          <w:lang w:val="en-US" w:eastAsia="zh-CN"/>
        </w:rPr>
        <w:t>。</w:t>
      </w:r>
      <w:r>
        <w:rPr>
          <w:rFonts w:hint="eastAsia" w:ascii="仿宋" w:hAnsi="仿宋" w:eastAsia="仿宋" w:cs="仿宋"/>
          <w:b w:val="0"/>
          <w:bCs w:val="0"/>
          <w:sz w:val="24"/>
          <w:highlight w:val="none"/>
          <w:lang w:val="en-US" w:eastAsia="zh-CN"/>
        </w:rPr>
        <w:t> （与施工同步）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sz w:val="24"/>
          <w:highlight w:val="none"/>
          <w:lang w:val="en-US" w:eastAsia="zh-CN"/>
        </w:rPr>
      </w:pPr>
      <w:r>
        <w:rPr>
          <w:rFonts w:hint="eastAsia" w:ascii="仿宋" w:hAnsi="仿宋" w:eastAsia="仿宋" w:cs="仿宋"/>
          <w:b w:val="0"/>
          <w:bCs w:val="0"/>
          <w:sz w:val="24"/>
          <w:highlight w:val="none"/>
          <w:lang w:val="en-US" w:eastAsia="zh-CN"/>
        </w:rPr>
        <w:t>本项目（否）接受联合体投标。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二、申请人的资格要求：</w:t>
      </w:r>
      <w:bookmarkEnd w:id="14"/>
      <w:bookmarkEnd w:id="15"/>
      <w:bookmarkEnd w:id="16"/>
      <w:bookmarkEnd w:id="17"/>
      <w:bookmarkEnd w:id="18"/>
      <w:bookmarkEnd w:id="19"/>
    </w:p>
    <w:p>
      <w:pPr>
        <w:pStyle w:val="21"/>
        <w:keepNext w:val="0"/>
        <w:keepLines w:val="0"/>
        <w:widowControl/>
        <w:suppressLineNumbers w:val="0"/>
        <w:spacing w:before="75" w:beforeAutospacing="0" w:after="75" w:afterAutospacing="0" w:line="360" w:lineRule="auto"/>
        <w:ind w:left="0" w:right="0" w:firstLine="657" w:firstLineChars="274"/>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满足《中华人民共和国政府采购法》第二十二条规定；</w:t>
      </w:r>
    </w:p>
    <w:p>
      <w:pPr>
        <w:pStyle w:val="21"/>
        <w:keepNext w:val="0"/>
        <w:keepLines w:val="0"/>
        <w:widowControl/>
        <w:suppressLineNumbers w:val="0"/>
        <w:spacing w:before="75" w:beforeAutospacing="0" w:after="75" w:afterAutospacing="0" w:line="360" w:lineRule="auto"/>
        <w:ind w:left="0" w:right="0" w:firstLine="657" w:firstLineChars="274"/>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rPr>
        <w:t>落实政府采购政策需满足的资格要求：</w:t>
      </w:r>
    </w:p>
    <w:p>
      <w:pPr>
        <w:pStyle w:val="21"/>
        <w:keepNext w:val="0"/>
        <w:keepLines w:val="0"/>
        <w:widowControl/>
        <w:suppressLineNumbers w:val="0"/>
        <w:spacing w:before="75" w:beforeAutospacing="0" w:after="75" w:afterAutospacing="0" w:line="360" w:lineRule="auto"/>
        <w:ind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供应商为中小企业/小微企业,供应商应为残疾人福利企业,落实国家政策：</w:t>
      </w:r>
    </w:p>
    <w:p>
      <w:pPr>
        <w:pStyle w:val="21"/>
        <w:keepNext w:val="0"/>
        <w:keepLines w:val="0"/>
        <w:widowControl/>
        <w:suppressLineNumbers w:val="0"/>
        <w:spacing w:before="75" w:beforeAutospacing="0" w:after="75" w:afterAutospacing="0" w:line="360" w:lineRule="auto"/>
        <w:ind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（1）根据财政部、工业和信息化部关于印发《政府采购促进中小企业发展暂行办法》的通知(财库[2020]46号)。</w:t>
      </w:r>
    </w:p>
    <w:p>
      <w:pPr>
        <w:pStyle w:val="21"/>
        <w:keepNext w:val="0"/>
        <w:keepLines w:val="0"/>
        <w:widowControl/>
        <w:suppressLineNumbers w:val="0"/>
        <w:spacing w:before="75" w:beforeAutospacing="0" w:after="75" w:afterAutospacing="0" w:line="360" w:lineRule="auto"/>
        <w:ind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pStyle w:val="21"/>
        <w:keepNext w:val="0"/>
        <w:keepLines w:val="0"/>
        <w:widowControl/>
        <w:suppressLineNumbers w:val="0"/>
        <w:spacing w:before="75" w:beforeAutospacing="0" w:after="75" w:afterAutospacing="0" w:line="360" w:lineRule="auto"/>
        <w:ind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xml:space="preserve">（3）《财政部、发展改革委、生态环境部市场监管总局关于调整优化节能产品、环境标志产品政府采购执行机制的通知》（财库〔2019〕9号）。 </w:t>
      </w:r>
    </w:p>
    <w:p>
      <w:pPr>
        <w:pStyle w:val="21"/>
        <w:keepNext w:val="0"/>
        <w:keepLines w:val="0"/>
        <w:widowControl/>
        <w:suppressLineNumbers w:val="0"/>
        <w:spacing w:before="75" w:beforeAutospacing="0" w:after="75" w:afterAutospacing="0" w:line="360" w:lineRule="auto"/>
        <w:ind w:right="0" w:firstLine="240" w:firstLineChars="1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  3.本项目的特定资格要求：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供应商必须符合《中华人民共和国政府采购法》第二十二条的规定；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（1）有效的“三证合一”的营业执照；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（2）法定代表人投标需携带法定代表人证明书及法定代表人身份证（原件），委托代理人投标需携带法定代表人授权委托书及委托代理人身份证（原件）；需提供社保部门出具的投标单位的缴纳社保证明（提供</w:t>
      </w:r>
      <w:r>
        <w:rPr>
          <w:rFonts w:hint="eastAsia" w:ascii="仿宋" w:hAnsi="仿宋" w:eastAsia="仿宋" w:cs="仿宋"/>
          <w:i w:val="0"/>
          <w:iCs w:val="0"/>
          <w:caps w:val="0"/>
          <w:color w:val="000000"/>
          <w:spacing w:val="0"/>
          <w:sz w:val="24"/>
          <w:szCs w:val="24"/>
          <w:highlight w:val="none"/>
          <w:lang w:eastAsia="zh-CN"/>
        </w:rPr>
        <w:t>公司</w:t>
      </w:r>
      <w:r>
        <w:rPr>
          <w:rFonts w:hint="eastAsia" w:ascii="仿宋" w:hAnsi="仿宋" w:eastAsia="仿宋" w:cs="仿宋"/>
          <w:i w:val="0"/>
          <w:iCs w:val="0"/>
          <w:caps w:val="0"/>
          <w:color w:val="000000"/>
          <w:spacing w:val="0"/>
          <w:sz w:val="24"/>
          <w:szCs w:val="24"/>
          <w:highlight w:val="none"/>
        </w:rPr>
        <w:t>近六个月社保缴费证明及社保局出具的缴费明细），如依法不需要缴纳社会保障资金的，应提供相应文件证明（新成立不足3个月的按实际情况发生提供，成立时间超过3个月的零申报的需提供依法报税资料）。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（3）具有良好的商业信誉和健全的财务会计制度需提供会计事务所出具</w:t>
      </w:r>
      <w:r>
        <w:rPr>
          <w:rFonts w:hint="eastAsia" w:ascii="仿宋" w:hAnsi="仿宋" w:eastAsia="仿宋" w:cs="仿宋"/>
          <w:i w:val="0"/>
          <w:iCs w:val="0"/>
          <w:caps w:val="0"/>
          <w:color w:val="000000"/>
          <w:spacing w:val="0"/>
          <w:sz w:val="24"/>
          <w:szCs w:val="24"/>
          <w:highlight w:val="none"/>
          <w:lang w:val="en-US" w:eastAsia="zh-CN"/>
        </w:rPr>
        <w:t>的近三年任一年的</w:t>
      </w:r>
      <w:r>
        <w:rPr>
          <w:rFonts w:hint="eastAsia" w:ascii="仿宋" w:hAnsi="仿宋" w:eastAsia="仿宋" w:cs="仿宋"/>
          <w:i w:val="0"/>
          <w:iCs w:val="0"/>
          <w:caps w:val="0"/>
          <w:color w:val="000000"/>
          <w:spacing w:val="0"/>
          <w:sz w:val="24"/>
          <w:szCs w:val="24"/>
          <w:highlight w:val="none"/>
        </w:rPr>
        <w:t>财务审计报告，202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年10月以后成立的公司可不提供但需提供银行出具的近三个月的资信证明和健全的财务会计制度。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4）提供税务机关出具近三个月的完税证明，以税款所属时期为准，企业代缴费的完税证明（如社保，公积金等）不作为完税证明的依据。（如有免税企业，需提供免税相关材料证明，新成立公司按实际发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（6）参加政府采购活动前三年内，在经营活动中没有重大违法记录，无失信行为，（投标人须出具企业及法定代表人无重大违法记录承诺书，无失信行为承诺书）；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（7）本项目不接受联合体投标；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（8）企业负责人为同一人或者存在直接控股、管理关系的不同供应商，不得参加同一合同项下的政府采购活动。否则，皆取消投标资格</w:t>
      </w:r>
      <w:r>
        <w:rPr>
          <w:rFonts w:hint="eastAsia" w:ascii="仿宋" w:hAnsi="仿宋" w:eastAsia="仿宋" w:cs="仿宋"/>
          <w:i w:val="0"/>
          <w:iCs w:val="0"/>
          <w:caps w:val="0"/>
          <w:color w:val="000000"/>
          <w:spacing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（9）同意招标文件条款声明。</w:t>
      </w:r>
    </w:p>
    <w:p>
      <w:pPr>
        <w:pStyle w:val="5"/>
        <w:rPr>
          <w:rFonts w:hint="eastAsia" w:ascii="仿宋" w:hAnsi="仿宋" w:eastAsia="仿宋" w:cs="仿宋"/>
          <w:b w:val="0"/>
          <w:i w:val="0"/>
          <w:iCs w:val="0"/>
          <w:caps w:val="0"/>
          <w:color w:val="000000"/>
          <w:spacing w:val="0"/>
          <w:kern w:val="2"/>
          <w:sz w:val="24"/>
          <w:szCs w:val="24"/>
          <w:highlight w:val="none"/>
          <w:lang w:val="en-US" w:eastAsia="zh-CN" w:bidi="ar-SA"/>
        </w:rPr>
      </w:pPr>
      <w:r>
        <w:rPr>
          <w:rFonts w:hint="eastAsia" w:ascii="仿宋" w:hAnsi="仿宋" w:eastAsia="仿宋" w:cs="仿宋"/>
          <w:b w:val="0"/>
          <w:i w:val="0"/>
          <w:iCs w:val="0"/>
          <w:caps w:val="0"/>
          <w:color w:val="000000"/>
          <w:spacing w:val="0"/>
          <w:kern w:val="2"/>
          <w:sz w:val="24"/>
          <w:szCs w:val="24"/>
          <w:highlight w:val="none"/>
          <w:lang w:val="en-US" w:eastAsia="zh-CN" w:bidi="ar-SA"/>
        </w:rPr>
        <w:t>（10）投标保证金证明材料。</w:t>
      </w:r>
    </w:p>
    <w:p>
      <w:pPr>
        <w:pageBreakBefore w:val="0"/>
        <w:kinsoku/>
        <w:wordWrap/>
        <w:overflowPunct/>
        <w:topLinePunct w:val="0"/>
        <w:bidi w:val="0"/>
        <w:snapToGrid/>
        <w:spacing w:line="360" w:lineRule="exact"/>
        <w:textAlignment w:val="auto"/>
        <w:rPr>
          <w:rFonts w:hint="eastAsia" w:ascii="仿宋" w:hAnsi="仿宋" w:eastAsia="仿宋" w:cs="宋体"/>
          <w:b w:val="0"/>
          <w:bCs/>
          <w:color w:val="auto"/>
          <w:kern w:val="2"/>
          <w:sz w:val="28"/>
          <w:szCs w:val="28"/>
          <w:highlight w:val="none"/>
          <w:u w:val="none"/>
          <w:shd w:val="clear" w:color="auto" w:fill="auto"/>
          <w:lang w:val="en-US" w:eastAsia="zh-CN" w:bidi="ar-SA"/>
        </w:rPr>
      </w:pPr>
      <w:r>
        <w:rPr>
          <w:rFonts w:hint="eastAsia" w:ascii="仿宋" w:hAnsi="仿宋" w:eastAsia="仿宋" w:cs="仿宋"/>
          <w:b w:val="0"/>
          <w:i w:val="0"/>
          <w:iCs w:val="0"/>
          <w:caps w:val="0"/>
          <w:color w:val="000000"/>
          <w:spacing w:val="0"/>
          <w:kern w:val="2"/>
          <w:sz w:val="24"/>
          <w:szCs w:val="24"/>
          <w:highlight w:val="none"/>
          <w:lang w:val="en-US" w:eastAsia="zh-CN" w:bidi="ar-SA"/>
        </w:rPr>
        <w:t>（11）</w:t>
      </w:r>
      <w:r>
        <w:rPr>
          <w:rFonts w:hint="eastAsia" w:ascii="仿宋" w:hAnsi="仿宋" w:eastAsia="仿宋" w:cs="宋体"/>
          <w:b w:val="0"/>
          <w:bCs/>
          <w:color w:val="auto"/>
          <w:kern w:val="2"/>
          <w:sz w:val="28"/>
          <w:szCs w:val="28"/>
          <w:highlight w:val="none"/>
          <w:u w:val="none"/>
          <w:shd w:val="clear" w:color="auto" w:fill="auto"/>
          <w:lang w:val="en-US" w:eastAsia="zh-CN" w:bidi="ar-SA"/>
        </w:rPr>
        <w:t>资质要求：</w:t>
      </w:r>
    </w:p>
    <w:p>
      <w:pPr>
        <w:rPr>
          <w:rFonts w:hint="default"/>
          <w:highlight w:val="none"/>
          <w:lang w:val="en-US" w:eastAsia="zh-CN"/>
        </w:rPr>
      </w:pPr>
      <w:r>
        <w:rPr>
          <w:rFonts w:hint="eastAsia" w:ascii="仿宋" w:hAnsi="仿宋" w:eastAsia="仿宋" w:cs="宋体"/>
          <w:b w:val="0"/>
          <w:bCs/>
          <w:color w:val="auto"/>
          <w:kern w:val="2"/>
          <w:sz w:val="28"/>
          <w:szCs w:val="28"/>
          <w:highlight w:val="none"/>
          <w:u w:val="none"/>
          <w:shd w:val="clear" w:color="auto" w:fill="auto"/>
          <w:lang w:val="en-US" w:eastAsia="zh-CN" w:bidi="ar-SA"/>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仿宋" w:hAnsi="仿宋" w:eastAsia="仿宋" w:cs="仿宋"/>
          <w:b/>
          <w:bCs/>
          <w:color w:val="auto"/>
          <w:sz w:val="24"/>
          <w:highlight w:val="none"/>
        </w:rPr>
      </w:pPr>
      <w:r>
        <w:rPr>
          <w:rFonts w:hint="eastAsia" w:ascii="仿宋" w:hAnsi="仿宋" w:eastAsia="仿宋" w:cs="仿宋"/>
          <w:b/>
          <w:bCs/>
          <w:sz w:val="24"/>
          <w:highlight w:val="none"/>
          <w:lang w:eastAsia="zh-CN"/>
        </w:rPr>
        <w:t>三</w:t>
      </w:r>
      <w:r>
        <w:rPr>
          <w:rFonts w:hint="eastAsia" w:ascii="仿宋" w:hAnsi="仿宋" w:eastAsia="仿宋" w:cs="仿宋"/>
          <w:b/>
          <w:bCs/>
          <w:sz w:val="24"/>
          <w:highlight w:val="none"/>
        </w:rPr>
        <w:t>、获</w:t>
      </w:r>
      <w:r>
        <w:rPr>
          <w:rFonts w:hint="eastAsia" w:ascii="仿宋" w:hAnsi="仿宋" w:eastAsia="仿宋" w:cs="仿宋"/>
          <w:b/>
          <w:bCs/>
          <w:color w:val="auto"/>
          <w:sz w:val="24"/>
          <w:highlight w:val="none"/>
        </w:rPr>
        <w:t>取</w:t>
      </w:r>
      <w:r>
        <w:rPr>
          <w:rFonts w:hint="eastAsia" w:ascii="仿宋" w:hAnsi="仿宋" w:eastAsia="仿宋" w:cs="仿宋"/>
          <w:b/>
          <w:bCs/>
          <w:color w:val="auto"/>
          <w:sz w:val="24"/>
          <w:highlight w:val="none"/>
          <w:lang w:eastAsia="zh-CN"/>
        </w:rPr>
        <w:t>采购</w:t>
      </w:r>
      <w:r>
        <w:rPr>
          <w:rFonts w:hint="eastAsia" w:ascii="仿宋" w:hAnsi="仿宋" w:eastAsia="仿宋" w:cs="仿宋"/>
          <w:b/>
          <w:bCs/>
          <w:color w:val="auto"/>
          <w:sz w:val="24"/>
          <w:highlight w:val="none"/>
        </w:rPr>
        <w:t>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i w:val="0"/>
          <w:iCs w:val="0"/>
          <w:caps w:val="0"/>
          <w:color w:val="000000"/>
          <w:spacing w:val="0"/>
          <w:kern w:val="0"/>
          <w:sz w:val="24"/>
          <w:szCs w:val="24"/>
          <w:highlight w:val="none"/>
          <w:lang w:val="en-US" w:eastAsia="zh-CN" w:bidi="ar-SA"/>
        </w:rPr>
      </w:pPr>
      <w:r>
        <w:rPr>
          <w:rFonts w:hint="default" w:ascii="仿宋" w:hAnsi="仿宋" w:eastAsia="仿宋" w:cs="仿宋"/>
          <w:i w:val="0"/>
          <w:iCs w:val="0"/>
          <w:caps w:val="0"/>
          <w:color w:val="000000"/>
          <w:spacing w:val="0"/>
          <w:kern w:val="0"/>
          <w:sz w:val="24"/>
          <w:szCs w:val="24"/>
          <w:highlight w:val="none"/>
          <w:lang w:val="en-US" w:eastAsia="zh-CN" w:bidi="ar-SA"/>
        </w:rPr>
        <w:t>时间：202</w:t>
      </w:r>
      <w:r>
        <w:rPr>
          <w:rFonts w:hint="eastAsia" w:ascii="仿宋" w:hAnsi="仿宋" w:eastAsia="仿宋" w:cs="仿宋"/>
          <w:i w:val="0"/>
          <w:iCs w:val="0"/>
          <w:caps w:val="0"/>
          <w:color w:val="000000"/>
          <w:spacing w:val="0"/>
          <w:kern w:val="0"/>
          <w:sz w:val="24"/>
          <w:szCs w:val="24"/>
          <w:highlight w:val="none"/>
          <w:lang w:val="en-US" w:eastAsia="zh-CN" w:bidi="ar-SA"/>
        </w:rPr>
        <w:t>3</w:t>
      </w:r>
      <w:r>
        <w:rPr>
          <w:rFonts w:hint="default" w:ascii="仿宋" w:hAnsi="仿宋" w:eastAsia="仿宋" w:cs="仿宋"/>
          <w:i w:val="0"/>
          <w:iCs w:val="0"/>
          <w:caps w:val="0"/>
          <w:color w:val="000000"/>
          <w:spacing w:val="0"/>
          <w:kern w:val="0"/>
          <w:sz w:val="24"/>
          <w:szCs w:val="24"/>
          <w:highlight w:val="none"/>
          <w:lang w:val="en-US" w:eastAsia="zh-CN" w:bidi="ar-SA"/>
        </w:rPr>
        <w:t>年</w:t>
      </w:r>
      <w:r>
        <w:rPr>
          <w:rFonts w:hint="eastAsia" w:ascii="仿宋" w:hAnsi="仿宋" w:eastAsia="仿宋" w:cs="仿宋"/>
          <w:i w:val="0"/>
          <w:iCs w:val="0"/>
          <w:caps w:val="0"/>
          <w:color w:val="000000"/>
          <w:spacing w:val="0"/>
          <w:kern w:val="0"/>
          <w:sz w:val="24"/>
          <w:szCs w:val="24"/>
          <w:highlight w:val="none"/>
          <w:lang w:val="en-US" w:eastAsia="zh-CN" w:bidi="ar-SA"/>
        </w:rPr>
        <w:t>03</w:t>
      </w:r>
      <w:r>
        <w:rPr>
          <w:rFonts w:hint="default" w:ascii="仿宋" w:hAnsi="仿宋" w:eastAsia="仿宋" w:cs="仿宋"/>
          <w:i w:val="0"/>
          <w:iCs w:val="0"/>
          <w:caps w:val="0"/>
          <w:color w:val="000000"/>
          <w:spacing w:val="0"/>
          <w:kern w:val="0"/>
          <w:sz w:val="24"/>
          <w:szCs w:val="24"/>
          <w:highlight w:val="none"/>
          <w:lang w:val="en-US" w:eastAsia="zh-CN" w:bidi="ar-SA"/>
        </w:rPr>
        <w:t>月</w:t>
      </w:r>
      <w:r>
        <w:rPr>
          <w:rFonts w:hint="eastAsia" w:ascii="仿宋" w:hAnsi="仿宋" w:eastAsia="仿宋" w:cs="仿宋"/>
          <w:i w:val="0"/>
          <w:iCs w:val="0"/>
          <w:caps w:val="0"/>
          <w:color w:val="000000"/>
          <w:spacing w:val="0"/>
          <w:kern w:val="0"/>
          <w:sz w:val="24"/>
          <w:szCs w:val="24"/>
          <w:highlight w:val="none"/>
          <w:lang w:val="en-US" w:eastAsia="zh-CN" w:bidi="ar-SA"/>
        </w:rPr>
        <w:t>28</w:t>
      </w:r>
      <w:r>
        <w:rPr>
          <w:rFonts w:hint="default" w:ascii="仿宋" w:hAnsi="仿宋" w:eastAsia="仿宋" w:cs="仿宋"/>
          <w:i w:val="0"/>
          <w:iCs w:val="0"/>
          <w:caps w:val="0"/>
          <w:color w:val="000000"/>
          <w:spacing w:val="0"/>
          <w:kern w:val="0"/>
          <w:sz w:val="24"/>
          <w:szCs w:val="24"/>
          <w:highlight w:val="none"/>
          <w:lang w:val="en-US" w:eastAsia="zh-CN" w:bidi="ar-SA"/>
        </w:rPr>
        <w:t>日至20</w:t>
      </w:r>
      <w:r>
        <w:rPr>
          <w:rFonts w:hint="eastAsia" w:ascii="仿宋" w:hAnsi="仿宋" w:eastAsia="仿宋" w:cs="仿宋"/>
          <w:i w:val="0"/>
          <w:iCs w:val="0"/>
          <w:caps w:val="0"/>
          <w:color w:val="000000"/>
          <w:spacing w:val="0"/>
          <w:kern w:val="0"/>
          <w:sz w:val="24"/>
          <w:szCs w:val="24"/>
          <w:highlight w:val="none"/>
          <w:lang w:val="en-US" w:eastAsia="zh-CN" w:bidi="ar-SA"/>
        </w:rPr>
        <w:t>23</w:t>
      </w:r>
      <w:r>
        <w:rPr>
          <w:rFonts w:hint="default" w:ascii="仿宋" w:hAnsi="仿宋" w:eastAsia="仿宋" w:cs="仿宋"/>
          <w:i w:val="0"/>
          <w:iCs w:val="0"/>
          <w:caps w:val="0"/>
          <w:color w:val="000000"/>
          <w:spacing w:val="0"/>
          <w:kern w:val="0"/>
          <w:sz w:val="24"/>
          <w:szCs w:val="24"/>
          <w:highlight w:val="none"/>
          <w:lang w:val="en-US" w:eastAsia="zh-CN" w:bidi="ar-SA"/>
        </w:rPr>
        <w:t>年0</w:t>
      </w:r>
      <w:r>
        <w:rPr>
          <w:rFonts w:hint="eastAsia" w:ascii="仿宋" w:hAnsi="仿宋" w:eastAsia="仿宋" w:cs="仿宋"/>
          <w:i w:val="0"/>
          <w:iCs w:val="0"/>
          <w:caps w:val="0"/>
          <w:color w:val="000000"/>
          <w:spacing w:val="0"/>
          <w:kern w:val="0"/>
          <w:sz w:val="24"/>
          <w:szCs w:val="24"/>
          <w:highlight w:val="none"/>
          <w:lang w:val="en-US" w:eastAsia="zh-CN" w:bidi="ar-SA"/>
        </w:rPr>
        <w:t>4</w:t>
      </w:r>
      <w:r>
        <w:rPr>
          <w:rFonts w:hint="default" w:ascii="仿宋" w:hAnsi="仿宋" w:eastAsia="仿宋" w:cs="仿宋"/>
          <w:i w:val="0"/>
          <w:iCs w:val="0"/>
          <w:caps w:val="0"/>
          <w:color w:val="000000"/>
          <w:spacing w:val="0"/>
          <w:kern w:val="0"/>
          <w:sz w:val="24"/>
          <w:szCs w:val="24"/>
          <w:highlight w:val="none"/>
          <w:lang w:val="en-US" w:eastAsia="zh-CN" w:bidi="ar-SA"/>
        </w:rPr>
        <w:t>月</w:t>
      </w:r>
      <w:r>
        <w:rPr>
          <w:rFonts w:hint="eastAsia" w:ascii="仿宋" w:hAnsi="仿宋" w:eastAsia="仿宋" w:cs="仿宋"/>
          <w:i w:val="0"/>
          <w:iCs w:val="0"/>
          <w:caps w:val="0"/>
          <w:color w:val="000000"/>
          <w:spacing w:val="0"/>
          <w:kern w:val="0"/>
          <w:sz w:val="24"/>
          <w:szCs w:val="24"/>
          <w:highlight w:val="none"/>
          <w:lang w:val="en-US" w:eastAsia="zh-CN" w:bidi="ar-SA"/>
        </w:rPr>
        <w:t>06</w:t>
      </w:r>
      <w:r>
        <w:rPr>
          <w:rFonts w:hint="default" w:ascii="仿宋" w:hAnsi="仿宋" w:eastAsia="仿宋" w:cs="仿宋"/>
          <w:i w:val="0"/>
          <w:iCs w:val="0"/>
          <w:caps w:val="0"/>
          <w:color w:val="000000"/>
          <w:spacing w:val="0"/>
          <w:kern w:val="0"/>
          <w:sz w:val="24"/>
          <w:szCs w:val="24"/>
          <w:highlight w:val="none"/>
          <w:lang w:val="en-US" w:eastAsia="zh-CN" w:bidi="ar-SA"/>
        </w:rPr>
        <w:t>日，每天上午00:00至12:00，下午12:00至23:59（北京时间，法定节假日除外）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地点：新疆政府采购网</w:t>
      </w:r>
      <w:r>
        <w:rPr>
          <w:rFonts w:hint="eastAsia" w:ascii="仿宋" w:hAnsi="仿宋" w:eastAsia="仿宋" w:cs="仿宋"/>
          <w:color w:val="auto"/>
          <w:sz w:val="24"/>
          <w:highlight w:val="none"/>
          <w:lang w:val="en-US" w:eastAsia="zh-CN"/>
        </w:rPr>
        <w:t>下载（http://www.cc</w:t>
      </w:r>
      <w:r>
        <w:rPr>
          <w:rFonts w:hint="eastAsia" w:ascii="仿宋" w:hAnsi="仿宋" w:eastAsia="仿宋" w:cs="仿宋"/>
          <w:sz w:val="24"/>
          <w:highlight w:val="none"/>
          <w:lang w:val="en-US" w:eastAsia="zh-CN"/>
        </w:rPr>
        <w:t>gp-xinjiang.gov.cn/)</w:t>
      </w:r>
    </w:p>
    <w:p>
      <w:pPr>
        <w:pStyle w:val="21"/>
        <w:keepNext w:val="0"/>
        <w:keepLines w:val="0"/>
        <w:widowControl/>
        <w:suppressLineNumbers w:val="0"/>
        <w:spacing w:before="75" w:beforeAutospacing="0" w:after="75" w:afterAutospacing="0" w:line="360" w:lineRule="auto"/>
        <w:ind w:left="0" w:right="0" w:firstLine="240" w:firstLineChars="100"/>
        <w:rPr>
          <w:rFonts w:hint="eastAsia" w:ascii="仿宋" w:hAnsi="仿宋" w:eastAsia="仿宋" w:cs="仿宋"/>
          <w:sz w:val="24"/>
          <w:highlight w:val="none"/>
          <w:lang w:val="en-US" w:eastAsia="zh-CN"/>
        </w:rPr>
      </w:pPr>
      <w:r>
        <w:rPr>
          <w:rFonts w:hint="eastAsia" w:ascii="仿宋" w:hAnsi="仿宋" w:eastAsia="仿宋" w:cs="仿宋"/>
          <w:color w:val="auto"/>
          <w:sz w:val="24"/>
          <w:highlight w:val="none"/>
          <w:lang w:val="en-US" w:eastAsia="zh-CN"/>
        </w:rPr>
        <w:t>方式：</w:t>
      </w:r>
      <w:r>
        <w:rPr>
          <w:rFonts w:hint="eastAsia" w:ascii="仿宋" w:hAnsi="仿宋" w:eastAsia="仿宋" w:cs="仿宋"/>
          <w:i w:val="0"/>
          <w:iCs w:val="0"/>
          <w:caps w:val="0"/>
          <w:color w:val="000000"/>
          <w:spacing w:val="0"/>
          <w:sz w:val="24"/>
          <w:szCs w:val="24"/>
          <w:highlight w:val="none"/>
        </w:rPr>
        <w:t>供应商企业自行登录新疆政府采购网官网（http://www.ccgp-xinjiang.gov.cn/），首页点击“采购公告”，进入项目公告中自行下载</w:t>
      </w:r>
      <w:r>
        <w:rPr>
          <w:rFonts w:hint="eastAsia" w:ascii="仿宋" w:hAnsi="仿宋" w:eastAsia="仿宋" w:cs="仿宋"/>
          <w:i w:val="0"/>
          <w:iCs w:val="0"/>
          <w:caps w:val="0"/>
          <w:color w:val="000000"/>
          <w:spacing w:val="0"/>
          <w:sz w:val="24"/>
          <w:szCs w:val="24"/>
          <w:highlight w:val="none"/>
          <w:lang w:val="en-US" w:eastAsia="zh-CN"/>
        </w:rPr>
        <w:t>磋商</w:t>
      </w:r>
      <w:r>
        <w:rPr>
          <w:rFonts w:hint="eastAsia" w:ascii="仿宋" w:hAnsi="仿宋" w:eastAsia="仿宋" w:cs="仿宋"/>
          <w:i w:val="0"/>
          <w:iCs w:val="0"/>
          <w:caps w:val="0"/>
          <w:color w:val="000000"/>
          <w:spacing w:val="0"/>
          <w:sz w:val="24"/>
          <w:szCs w:val="24"/>
          <w:highlight w:val="none"/>
        </w:rPr>
        <w:t>文件并参与投标。    </w:t>
      </w:r>
      <w:r>
        <w:rPr>
          <w:rFonts w:hint="eastAsia" w:ascii="仿宋" w:hAnsi="仿宋" w:eastAsia="仿宋" w:cs="仿宋"/>
          <w:sz w:val="24"/>
          <w:highlight w:val="none"/>
          <w:lang w:val="en-US" w:eastAsia="zh-CN"/>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售价（元）：0</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yellow"/>
          <w:lang w:val="en-US" w:eastAsia="zh-CN"/>
        </w:rPr>
      </w:pPr>
      <w:r>
        <w:rPr>
          <w:rFonts w:hint="default" w:ascii="仿宋" w:hAnsi="仿宋" w:eastAsia="仿宋" w:cs="仿宋"/>
          <w:color w:val="auto"/>
          <w:sz w:val="24"/>
          <w:highlight w:val="none"/>
          <w:lang w:val="en-US" w:eastAsia="zh-CN"/>
        </w:rPr>
        <w:t>截止时间：202</w:t>
      </w: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年0</w:t>
      </w:r>
      <w:r>
        <w:rPr>
          <w:rFonts w:hint="eastAsia" w:ascii="仿宋" w:hAnsi="仿宋" w:eastAsia="仿宋" w:cs="仿宋"/>
          <w:color w:val="auto"/>
          <w:sz w:val="24"/>
          <w:highlight w:val="none"/>
          <w:lang w:val="en-US" w:eastAsia="zh-CN"/>
        </w:rPr>
        <w:t>4</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07</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00</w:t>
      </w:r>
      <w:r>
        <w:rPr>
          <w:rFonts w:hint="default" w:ascii="仿宋" w:hAnsi="仿宋" w:eastAsia="仿宋" w:cs="仿宋"/>
          <w:color w:val="auto"/>
          <w:sz w:val="24"/>
          <w:highlight w:val="none"/>
          <w:lang w:val="en-US" w:eastAsia="zh-CN"/>
        </w:rPr>
        <w:t>（北京时间）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w:t>
      </w:r>
      <w:r>
        <w:rPr>
          <w:rFonts w:hint="eastAsia" w:ascii="仿宋" w:hAnsi="仿宋" w:eastAsia="仿宋" w:cs="仿宋"/>
          <w:color w:val="auto"/>
          <w:sz w:val="24"/>
          <w:highlight w:val="none"/>
          <w:lang w:val="en-US" w:eastAsia="zh-CN"/>
        </w:rPr>
        <w:t>民丰县行政服务和公共资源交易中心 （新疆民丰县友谊路75号）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2" w:firstLineChars="200"/>
        <w:textAlignment w:val="auto"/>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响应文件开启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开启时间：</w:t>
      </w:r>
      <w:r>
        <w:rPr>
          <w:rFonts w:hint="default" w:ascii="仿宋" w:hAnsi="仿宋" w:eastAsia="仿宋" w:cs="仿宋"/>
          <w:color w:val="auto"/>
          <w:sz w:val="24"/>
          <w:highlight w:val="none"/>
          <w:lang w:val="en-US" w:eastAsia="zh-CN"/>
        </w:rPr>
        <w:t>202</w:t>
      </w:r>
      <w:r>
        <w:rPr>
          <w:rFonts w:hint="eastAsia" w:ascii="仿宋" w:hAnsi="仿宋" w:eastAsia="仿宋" w:cs="仿宋"/>
          <w:color w:val="auto"/>
          <w:sz w:val="24"/>
          <w:highlight w:val="none"/>
          <w:lang w:val="en-US" w:eastAsia="zh-CN"/>
        </w:rPr>
        <w:t>3</w:t>
      </w:r>
      <w:r>
        <w:rPr>
          <w:rFonts w:hint="default" w:ascii="仿宋" w:hAnsi="仿宋" w:eastAsia="仿宋" w:cs="仿宋"/>
          <w:color w:val="auto"/>
          <w:sz w:val="24"/>
          <w:highlight w:val="none"/>
          <w:lang w:val="en-US" w:eastAsia="zh-CN"/>
        </w:rPr>
        <w:t>年0</w:t>
      </w:r>
      <w:r>
        <w:rPr>
          <w:rFonts w:hint="eastAsia" w:ascii="仿宋" w:hAnsi="仿宋" w:eastAsia="仿宋" w:cs="仿宋"/>
          <w:color w:val="auto"/>
          <w:sz w:val="24"/>
          <w:highlight w:val="none"/>
          <w:lang w:val="en-US" w:eastAsia="zh-CN"/>
        </w:rPr>
        <w:t>4</w:t>
      </w:r>
      <w:r>
        <w:rPr>
          <w:rFonts w:hint="default" w:ascii="仿宋" w:hAnsi="仿宋" w:eastAsia="仿宋" w:cs="仿宋"/>
          <w:color w:val="auto"/>
          <w:sz w:val="24"/>
          <w:highlight w:val="none"/>
          <w:lang w:val="en-US" w:eastAsia="zh-CN"/>
        </w:rPr>
        <w:t>月</w:t>
      </w:r>
      <w:r>
        <w:rPr>
          <w:rFonts w:hint="eastAsia" w:ascii="仿宋" w:hAnsi="仿宋" w:eastAsia="仿宋" w:cs="仿宋"/>
          <w:color w:val="auto"/>
          <w:sz w:val="24"/>
          <w:highlight w:val="none"/>
          <w:lang w:val="en-US" w:eastAsia="zh-CN"/>
        </w:rPr>
        <w:t>07</w:t>
      </w:r>
      <w:r>
        <w:rPr>
          <w:rFonts w:hint="default" w:ascii="仿宋" w:hAnsi="仿宋" w:eastAsia="仿宋" w:cs="仿宋"/>
          <w:color w:val="auto"/>
          <w:sz w:val="24"/>
          <w:highlight w:val="none"/>
          <w:lang w:val="en-US" w:eastAsia="zh-CN"/>
        </w:rPr>
        <w:t xml:space="preserve">日 </w:t>
      </w:r>
      <w:r>
        <w:rPr>
          <w:rFonts w:hint="eastAsia" w:ascii="仿宋" w:hAnsi="仿宋" w:eastAsia="仿宋" w:cs="仿宋"/>
          <w:color w:val="auto"/>
          <w:sz w:val="24"/>
          <w:highlight w:val="none"/>
          <w:lang w:val="en-US" w:eastAsia="zh-CN"/>
        </w:rPr>
        <w:t>13</w:t>
      </w:r>
      <w:r>
        <w:rPr>
          <w:rFonts w:hint="default" w:ascii="仿宋" w:hAnsi="仿宋" w:eastAsia="仿宋" w:cs="仿宋"/>
          <w:color w:val="auto"/>
          <w:sz w:val="24"/>
          <w:highlight w:val="none"/>
          <w:lang w:val="en-US" w:eastAsia="zh-CN"/>
        </w:rPr>
        <w:t>:</w:t>
      </w:r>
      <w:r>
        <w:rPr>
          <w:rFonts w:hint="eastAsia" w:ascii="仿宋" w:hAnsi="仿宋" w:eastAsia="仿宋" w:cs="仿宋"/>
          <w:color w:val="auto"/>
          <w:sz w:val="24"/>
          <w:highlight w:val="none"/>
          <w:lang w:val="en-US" w:eastAsia="zh-CN"/>
        </w:rPr>
        <w:t>00</w:t>
      </w:r>
      <w:r>
        <w:rPr>
          <w:rFonts w:hint="default" w:ascii="仿宋" w:hAnsi="仿宋" w:eastAsia="仿宋" w:cs="仿宋"/>
          <w:color w:val="auto"/>
          <w:sz w:val="24"/>
          <w:highlight w:val="none"/>
          <w:lang w:val="en-US" w:eastAsia="zh-CN"/>
        </w:rPr>
        <w:t>（北京时间）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地点：</w:t>
      </w:r>
      <w:r>
        <w:rPr>
          <w:rFonts w:hint="eastAsia" w:ascii="仿宋" w:hAnsi="仿宋" w:eastAsia="仿宋" w:cs="仿宋"/>
          <w:color w:val="auto"/>
          <w:sz w:val="24"/>
          <w:highlight w:val="none"/>
          <w:lang w:val="en-US" w:eastAsia="zh-CN"/>
        </w:rPr>
        <w:t>民丰县行政服务和公共资源交易中心 （新疆民丰县友谊路75号）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auto"/>
        <w:ind w:left="-60" w:leftChars="0" w:firstLine="482" w:firstLineChars="200"/>
        <w:textAlignment w:val="auto"/>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公告期限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firstLine="480" w:firstLineChars="200"/>
        <w:textAlignment w:val="auto"/>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自本公告发布之日起</w:t>
      </w:r>
      <w:r>
        <w:rPr>
          <w:rFonts w:hint="eastAsia" w:ascii="仿宋" w:hAnsi="仿宋" w:eastAsia="仿宋" w:cs="仿宋"/>
          <w:sz w:val="24"/>
          <w:highlight w:val="none"/>
          <w:lang w:val="en-US" w:eastAsia="zh-CN"/>
        </w:rPr>
        <w:t>5</w:t>
      </w:r>
      <w:r>
        <w:rPr>
          <w:rFonts w:hint="default" w:ascii="仿宋" w:hAnsi="仿宋" w:eastAsia="仿宋" w:cs="仿宋"/>
          <w:sz w:val="24"/>
          <w:highlight w:val="none"/>
          <w:lang w:val="en-US" w:eastAsia="zh-CN"/>
        </w:rPr>
        <w:t>个工作日。</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七、其他补充事宜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根据财政部、工业和信息化部关于印发《政府采购促进中小企业发展管理办法》的通知(财库[2020]46号)，第三条款：采购人在政府采购活动中应当通过加强采购需求管理，落实预留采购份额、价格评审优惠、优先采购等措施，提高中小企业在政府采购中的份额，支持中小企业发展。</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特别提示：</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八、凡对本次招标提出询问，请按以下方式联系</w:t>
      </w: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招标单位：民丰县尼雅镇人民政府</w:t>
      </w:r>
    </w:p>
    <w:p>
      <w:pPr>
        <w:pStyle w:val="21"/>
        <w:keepNext w:val="0"/>
        <w:keepLines w:val="0"/>
        <w:widowControl/>
        <w:suppressLineNumbers w:val="0"/>
        <w:spacing w:before="75" w:beforeAutospacing="0" w:after="75" w:afterAutospacing="0" w:line="240" w:lineRule="auto"/>
        <w:ind w:right="0"/>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 系 人：陈龙                     联系电话：0903-6750251</w:t>
      </w: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招标代理机构：鼎建项目管理有限公司</w:t>
      </w:r>
    </w:p>
    <w:p>
      <w:pPr>
        <w:pStyle w:val="21"/>
        <w:keepNext w:val="0"/>
        <w:keepLines w:val="0"/>
        <w:widowControl/>
        <w:suppressLineNumbers w:val="0"/>
        <w:spacing w:before="75" w:beforeAutospacing="0" w:after="75" w:afterAutospacing="0" w:line="240" w:lineRule="auto"/>
        <w:ind w:right="0"/>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联 系 人：宋丽                     联系电话：0903-2022612</w:t>
      </w: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监督单位：民丰县政府采购管理办公室</w:t>
      </w: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联 系 人：张涛                     联系电话：0903-6750784 </w:t>
      </w: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eastAsia="zh-CN"/>
        </w:rPr>
      </w:pP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eastAsia="zh-CN"/>
        </w:rPr>
        <w:t xml:space="preserve">民丰县尼雅镇人民政府  </w:t>
      </w:r>
      <w:r>
        <w:rPr>
          <w:rFonts w:hint="eastAsia" w:ascii="宋体" w:hAnsi="宋体" w:eastAsia="宋体" w:cs="宋体"/>
          <w:i w:val="0"/>
          <w:iCs w:val="0"/>
          <w:caps w:val="0"/>
          <w:color w:val="000000"/>
          <w:spacing w:val="0"/>
          <w:sz w:val="24"/>
          <w:szCs w:val="24"/>
          <w:lang w:val="en-US" w:eastAsia="zh-CN"/>
        </w:rPr>
        <w:t xml:space="preserve">                  </w:t>
      </w:r>
      <w:r>
        <w:rPr>
          <w:rFonts w:hint="eastAsia" w:ascii="宋体" w:hAnsi="宋体" w:eastAsia="宋体" w:cs="宋体"/>
          <w:i w:val="0"/>
          <w:iCs w:val="0"/>
          <w:caps w:val="0"/>
          <w:color w:val="000000"/>
          <w:spacing w:val="0"/>
          <w:sz w:val="24"/>
          <w:szCs w:val="24"/>
          <w:lang w:eastAsia="zh-CN"/>
        </w:rPr>
        <w:t>鼎建项目管理有限公司</w:t>
      </w:r>
    </w:p>
    <w:p>
      <w:pPr>
        <w:pStyle w:val="21"/>
        <w:keepNext w:val="0"/>
        <w:keepLines w:val="0"/>
        <w:widowControl/>
        <w:suppressLineNumbers w:val="0"/>
        <w:spacing w:before="75" w:beforeAutospacing="0" w:after="75" w:afterAutospacing="0" w:line="240" w:lineRule="auto"/>
        <w:ind w:right="0"/>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 xml:space="preserve">  2023年03月27日                       2023年03月27日</w:t>
      </w:r>
    </w:p>
    <w:p>
      <w:pPr>
        <w:pStyle w:val="8"/>
        <w:ind w:left="0" w:leftChars="0" w:firstLine="0" w:firstLineChars="0"/>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5"/>
        <w:outlineLvl w:val="9"/>
        <w:rPr>
          <w:rFonts w:hint="eastAsia"/>
          <w:highlight w:val="none"/>
        </w:rPr>
      </w:pPr>
    </w:p>
    <w:p>
      <w:pPr>
        <w:rPr>
          <w:rFonts w:hint="eastAsia"/>
          <w:highlight w:val="none"/>
        </w:rPr>
      </w:pPr>
    </w:p>
    <w:p>
      <w:pPr>
        <w:pStyle w:val="17"/>
        <w:tabs>
          <w:tab w:val="right" w:leader="dot" w:pos="9070"/>
        </w:tabs>
        <w:ind w:firstLine="723" w:firstLineChars="200"/>
        <w:jc w:val="center"/>
        <w:outlineLvl w:val="0"/>
        <w:rPr>
          <w:rFonts w:hint="eastAsia" w:ascii="宋体" w:hAnsi="宋体" w:eastAsia="宋体" w:cs="宋体"/>
          <w:b/>
          <w:bCs/>
          <w:sz w:val="36"/>
          <w:szCs w:val="36"/>
          <w:highlight w:val="none"/>
          <w:lang w:val="en-US" w:eastAsia="zh-CN"/>
        </w:rPr>
      </w:pPr>
      <w:bookmarkStart w:id="20" w:name="_Toc18821"/>
      <w:r>
        <w:rPr>
          <w:rFonts w:hint="eastAsia" w:ascii="宋体" w:hAnsi="宋体" w:eastAsia="宋体" w:cs="宋体"/>
          <w:b/>
          <w:bCs/>
          <w:sz w:val="36"/>
          <w:szCs w:val="36"/>
          <w:highlight w:val="none"/>
        </w:rPr>
        <w:t>第二</w:t>
      </w:r>
      <w:r>
        <w:rPr>
          <w:rFonts w:hint="eastAsia" w:ascii="宋体" w:hAnsi="宋体" w:cs="宋体"/>
          <w:b/>
          <w:bCs/>
          <w:sz w:val="36"/>
          <w:szCs w:val="36"/>
          <w:highlight w:val="none"/>
          <w:lang w:eastAsia="zh-CN"/>
        </w:rPr>
        <w:t>部分</w:t>
      </w:r>
      <w:r>
        <w:rPr>
          <w:rFonts w:hint="eastAsia" w:ascii="宋体" w:hAnsi="宋体" w:eastAsia="宋体" w:cs="宋体"/>
          <w:b/>
          <w:bCs/>
          <w:sz w:val="36"/>
          <w:szCs w:val="36"/>
          <w:highlight w:val="none"/>
        </w:rPr>
        <w:t xml:space="preserve">  </w:t>
      </w:r>
      <w:r>
        <w:rPr>
          <w:rFonts w:hint="eastAsia" w:ascii="宋体" w:hAnsi="宋体" w:eastAsia="宋体" w:cs="宋体"/>
          <w:b/>
          <w:bCs/>
          <w:sz w:val="36"/>
          <w:szCs w:val="36"/>
          <w:highlight w:val="none"/>
          <w:lang w:val="en-US" w:eastAsia="zh-CN"/>
        </w:rPr>
        <w:t>供</w:t>
      </w:r>
      <w:r>
        <w:rPr>
          <w:rFonts w:hint="eastAsia" w:ascii="宋体" w:hAnsi="宋体" w:eastAsia="宋体" w:cs="宋体"/>
          <w:b/>
          <w:bCs/>
          <w:sz w:val="36"/>
          <w:szCs w:val="36"/>
          <w:highlight w:val="none"/>
        </w:rPr>
        <w:t>应商须知</w:t>
      </w:r>
      <w:bookmarkEnd w:id="4"/>
      <w:bookmarkEnd w:id="5"/>
      <w:bookmarkEnd w:id="6"/>
      <w:r>
        <w:rPr>
          <w:rFonts w:hint="eastAsia" w:ascii="宋体" w:hAnsi="宋体" w:eastAsia="宋体" w:cs="宋体"/>
          <w:b/>
          <w:bCs/>
          <w:sz w:val="36"/>
          <w:szCs w:val="36"/>
          <w:highlight w:val="none"/>
          <w:lang w:val="en-US" w:eastAsia="zh-CN"/>
        </w:rPr>
        <w:t>前附表</w:t>
      </w:r>
      <w:bookmarkEnd w:id="20"/>
    </w:p>
    <w:tbl>
      <w:tblPr>
        <w:tblStyle w:val="24"/>
        <w:tblW w:w="9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025"/>
        <w:gridCol w:w="7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bookmarkStart w:id="21" w:name="_Toc21138"/>
            <w:bookmarkStart w:id="22" w:name="_Toc20870"/>
            <w:r>
              <w:rPr>
                <w:rFonts w:hint="eastAsia" w:ascii="宋体" w:hAnsi="宋体" w:eastAsia="宋体" w:cs="宋体"/>
                <w:sz w:val="24"/>
                <w:highlight w:val="none"/>
              </w:rPr>
              <w:t>项号</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项目</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fldChar w:fldCharType="begin"/>
            </w:r>
            <w:r>
              <w:rPr>
                <w:rFonts w:hint="eastAsia" w:ascii="宋体" w:hAnsi="宋体" w:eastAsia="宋体" w:cs="宋体"/>
                <w:sz w:val="24"/>
                <w:highlight w:val="none"/>
              </w:rPr>
              <w:instrText xml:space="preserve"> SEQ 前附表 \* MERGEFORMAT </w:instrText>
            </w:r>
            <w:r>
              <w:rPr>
                <w:rFonts w:hint="eastAsia" w:ascii="宋体" w:hAnsi="宋体" w:eastAsia="宋体" w:cs="宋体"/>
                <w:sz w:val="24"/>
                <w:highlight w:val="none"/>
              </w:rPr>
              <w:fldChar w:fldCharType="separate"/>
            </w:r>
            <w:r>
              <w:rPr>
                <w:rFonts w:hint="eastAsia" w:ascii="宋体" w:hAnsi="宋体" w:eastAsia="宋体" w:cs="宋体"/>
                <w:sz w:val="24"/>
                <w:highlight w:val="none"/>
              </w:rPr>
              <w:t>1</w:t>
            </w:r>
            <w:r>
              <w:rPr>
                <w:rFonts w:hint="eastAsia" w:ascii="宋体" w:hAnsi="宋体" w:eastAsia="宋体" w:cs="宋体"/>
                <w:sz w:val="24"/>
                <w:highlight w:val="none"/>
              </w:rPr>
              <w:fldChar w:fldCharType="end"/>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项目名称及编号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项目名称：</w:t>
            </w:r>
            <w:r>
              <w:rPr>
                <w:rFonts w:hint="eastAsia" w:ascii="宋体" w:hAnsi="宋体" w:cs="宋体"/>
                <w:sz w:val="24"/>
                <w:highlight w:val="none"/>
                <w:lang w:val="en-US" w:eastAsia="zh-CN"/>
              </w:rPr>
              <w:t>和田地区民丰县尼雅镇兰帕村示范村项目（改造提升）-监理</w:t>
            </w:r>
          </w:p>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项目编号：</w:t>
            </w:r>
            <w:r>
              <w:rPr>
                <w:rFonts w:hint="eastAsia" w:ascii="宋体" w:hAnsi="宋体" w:cs="宋体"/>
                <w:sz w:val="24"/>
                <w:highlight w:val="none"/>
                <w:lang w:val="en-US" w:eastAsia="zh-CN"/>
              </w:rPr>
              <w:t>XJDJZFCG-MFX-2023-003</w:t>
            </w:r>
            <w:r>
              <w:rPr>
                <w:rFonts w:hint="eastAsia" w:ascii="宋体" w:hAnsi="宋体" w:eastAsia="宋体" w:cs="宋体"/>
                <w:sz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kern w:val="0"/>
                <w:sz w:val="24"/>
                <w:highlight w:val="none"/>
                <w:lang w:eastAsia="zh-CN"/>
              </w:rPr>
            </w:pPr>
            <w:r>
              <w:rPr>
                <w:rFonts w:hint="eastAsia" w:ascii="宋体" w:hAnsi="宋体" w:eastAsia="宋体" w:cs="宋体"/>
                <w:bCs/>
                <w:kern w:val="0"/>
                <w:sz w:val="24"/>
                <w:highlight w:val="none"/>
              </w:rPr>
              <w:t>采购人</w:t>
            </w:r>
            <w:r>
              <w:rPr>
                <w:rFonts w:hint="eastAsia" w:ascii="宋体" w:hAnsi="宋体" w:eastAsia="宋体" w:cs="宋体"/>
                <w:bCs/>
                <w:kern w:val="0"/>
                <w:sz w:val="24"/>
                <w:highlight w:val="none"/>
                <w:lang w:eastAsia="zh-CN"/>
              </w:rPr>
              <w:t>及采购代理机构</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采购人名称：</w:t>
            </w:r>
            <w:r>
              <w:rPr>
                <w:rFonts w:hint="eastAsia" w:ascii="宋体" w:hAnsi="宋体" w:cs="宋体"/>
                <w:sz w:val="24"/>
                <w:highlight w:val="none"/>
                <w:lang w:val="en-US" w:eastAsia="zh-CN"/>
              </w:rPr>
              <w:t>民丰县尼雅镇人民政府</w:t>
            </w:r>
          </w:p>
          <w:p>
            <w:pPr>
              <w:spacing w:line="360" w:lineRule="auto"/>
              <w:rPr>
                <w:rFonts w:hint="eastAsia" w:ascii="宋体" w:hAnsi="宋体" w:eastAsia="宋体" w:cs="宋体"/>
                <w:sz w:val="24"/>
                <w:highlight w:val="none"/>
                <w:lang w:val="en-US" w:eastAsia="zh-CN"/>
              </w:rPr>
            </w:pPr>
            <w:r>
              <w:rPr>
                <w:rFonts w:hint="default" w:ascii="宋体" w:hAnsi="宋体" w:eastAsia="宋体" w:cs="宋体"/>
                <w:sz w:val="24"/>
                <w:highlight w:val="none"/>
                <w:lang w:val="en-US" w:eastAsia="zh-CN"/>
              </w:rPr>
              <w:t>地址：</w:t>
            </w:r>
            <w:r>
              <w:rPr>
                <w:rFonts w:hint="eastAsia" w:ascii="宋体" w:hAnsi="宋体" w:cs="宋体"/>
                <w:sz w:val="24"/>
                <w:highlight w:val="none"/>
                <w:lang w:val="en-US" w:eastAsia="zh-CN"/>
              </w:rPr>
              <w:t>民丰县尼雅镇人民政府</w:t>
            </w:r>
          </w:p>
          <w:p>
            <w:pPr>
              <w:spacing w:line="360" w:lineRule="auto"/>
              <w:rPr>
                <w:rFonts w:hint="default" w:ascii="宋体" w:hAnsi="宋体" w:eastAsia="宋体" w:cs="宋体"/>
                <w:sz w:val="24"/>
                <w:highlight w:val="none"/>
                <w:lang w:val="en-US" w:eastAsia="zh-CN"/>
              </w:rPr>
            </w:pPr>
            <w:r>
              <w:rPr>
                <w:rFonts w:hint="default" w:ascii="宋体" w:hAnsi="宋体" w:eastAsia="宋体" w:cs="宋体"/>
                <w:sz w:val="24"/>
                <w:highlight w:val="none"/>
                <w:lang w:val="en-US" w:eastAsia="zh-CN"/>
              </w:rPr>
              <w:t>联系人：</w:t>
            </w:r>
            <w:r>
              <w:rPr>
                <w:rFonts w:hint="eastAsia" w:ascii="宋体" w:hAnsi="宋体" w:cs="宋体"/>
                <w:sz w:val="24"/>
                <w:highlight w:val="none"/>
                <w:lang w:val="en-US" w:eastAsia="zh-CN"/>
              </w:rPr>
              <w:t>陈龙</w:t>
            </w:r>
          </w:p>
          <w:p>
            <w:pPr>
              <w:spacing w:line="360" w:lineRule="auto"/>
              <w:rPr>
                <w:rFonts w:hint="eastAsia" w:ascii="宋体" w:hAnsi="宋体" w:cs="宋体"/>
                <w:sz w:val="24"/>
                <w:highlight w:val="none"/>
                <w:lang w:val="en-US" w:eastAsia="zh-CN"/>
              </w:rPr>
            </w:pPr>
            <w:r>
              <w:rPr>
                <w:rFonts w:hint="default" w:ascii="宋体" w:hAnsi="宋体" w:eastAsia="宋体" w:cs="宋体"/>
                <w:sz w:val="24"/>
                <w:highlight w:val="none"/>
                <w:lang w:val="en-US" w:eastAsia="zh-CN"/>
              </w:rPr>
              <w:t>联系电话：</w:t>
            </w:r>
            <w:r>
              <w:rPr>
                <w:rFonts w:hint="eastAsia" w:ascii="宋体" w:hAnsi="宋体" w:cs="宋体"/>
                <w:sz w:val="24"/>
                <w:highlight w:val="none"/>
                <w:lang w:val="en-US" w:eastAsia="zh-CN"/>
              </w:rPr>
              <w:t>18699719315</w:t>
            </w:r>
          </w:p>
          <w:p>
            <w:pPr>
              <w:pStyle w:val="5"/>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联系地址：民丰县光明社区育才巷4号</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代 理 机构：鼎建项目管理有限公司</w:t>
            </w:r>
          </w:p>
          <w:p>
            <w:pPr>
              <w:spacing w:line="360" w:lineRule="auto"/>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联 系 人 ：宋丽</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联系电话：18197899000</w:t>
            </w:r>
          </w:p>
          <w:p>
            <w:pPr>
              <w:spacing w:line="360" w:lineRule="auto"/>
              <w:rPr>
                <w:rFonts w:hint="default"/>
                <w:highlight w:val="none"/>
                <w:lang w:val="en-US" w:eastAsia="zh-CN"/>
              </w:rPr>
            </w:pPr>
            <w:r>
              <w:rPr>
                <w:rFonts w:hint="eastAsia" w:ascii="宋体" w:hAnsi="宋体" w:eastAsia="宋体" w:cs="宋体"/>
                <w:sz w:val="24"/>
                <w:highlight w:val="none"/>
                <w:lang w:val="en-US" w:eastAsia="zh-CN"/>
              </w:rPr>
              <w:t xml:space="preserve">联系地址：和田市安泰广场写字楼17楼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资金来源</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highlight w:val="none"/>
                <w:lang w:val="en-US" w:eastAsia="zh-CN"/>
              </w:rPr>
            </w:pPr>
            <w:r>
              <w:rPr>
                <w:rFonts w:hint="eastAsia" w:ascii="宋体" w:hAnsi="宋体" w:cs="宋体"/>
                <w:sz w:val="24"/>
                <w:lang w:val="en-US" w:eastAsia="zh-CN"/>
              </w:rPr>
              <w:t>自治区衔接补助资金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监理期限、</w:t>
            </w:r>
          </w:p>
          <w:p>
            <w:pPr>
              <w:spacing w:line="360" w:lineRule="auto"/>
              <w:rPr>
                <w:rFonts w:hint="default" w:ascii="宋体" w:hAnsi="宋体" w:eastAsia="宋体" w:cs="宋体"/>
                <w:sz w:val="24"/>
                <w:highlight w:val="none"/>
                <w:lang w:val="en-US" w:eastAsia="zh-CN"/>
              </w:rPr>
            </w:pPr>
            <w:r>
              <w:rPr>
                <w:rFonts w:hint="eastAsia" w:ascii="宋体" w:hAnsi="宋体" w:eastAsia="宋体" w:cs="宋体"/>
                <w:color w:val="000000"/>
                <w:sz w:val="24"/>
                <w:highlight w:val="none"/>
                <w:lang w:val="en-US" w:eastAsia="zh-CN"/>
              </w:rPr>
              <w:t>监理范围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lang w:val="en-US" w:eastAsia="zh-CN"/>
              </w:rPr>
            </w:pPr>
            <w:r>
              <w:rPr>
                <w:rFonts w:hint="eastAsia" w:ascii="宋体" w:hAnsi="宋体" w:eastAsia="宋体" w:cs="宋体"/>
                <w:sz w:val="24"/>
                <w:lang w:val="en-US" w:eastAsia="zh-CN"/>
              </w:rPr>
              <w:t>监理期限：计划总监理期限 91 日历天 （与施工同步）</w:t>
            </w:r>
          </w:p>
          <w:p>
            <w:pPr>
              <w:spacing w:line="360" w:lineRule="auto"/>
              <w:rPr>
                <w:rFonts w:hint="default"/>
                <w:lang w:val="en-US" w:eastAsia="zh-CN"/>
              </w:rPr>
            </w:pPr>
            <w:r>
              <w:rPr>
                <w:rFonts w:hint="eastAsia" w:ascii="宋体" w:hAnsi="宋体" w:eastAsia="宋体" w:cs="宋体"/>
                <w:sz w:val="24"/>
                <w:lang w:val="en-US" w:eastAsia="zh-CN"/>
              </w:rPr>
              <w:t>监理范围：施工全过程监理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最高限价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108700</w:t>
            </w:r>
            <w:r>
              <w:rPr>
                <w:rFonts w:hint="default" w:ascii="仿宋" w:hAnsi="仿宋" w:eastAsia="仿宋" w:cs="仿宋"/>
                <w:b/>
                <w:bCs/>
                <w:sz w:val="24"/>
                <w:highlight w:val="none"/>
                <w:lang w:val="en-US" w:eastAsia="zh-CN"/>
              </w:rPr>
              <w:t>元</w:t>
            </w:r>
          </w:p>
          <w:p>
            <w:pPr>
              <w:spacing w:line="360" w:lineRule="auto"/>
              <w:rPr>
                <w:rFonts w:hint="eastAsia" w:ascii="宋体" w:hAnsi="宋体" w:eastAsia="宋体" w:cs="宋体"/>
                <w:color w:val="auto"/>
                <w:sz w:val="24"/>
                <w:highlight w:val="none"/>
                <w:lang w:val="en-US"/>
              </w:rPr>
            </w:pPr>
            <w:r>
              <w:rPr>
                <w:rFonts w:hint="eastAsia" w:ascii="宋体" w:hAnsi="宋体" w:eastAsia="宋体" w:cs="宋体"/>
                <w:bCs/>
                <w:color w:val="auto"/>
                <w:kern w:val="0"/>
                <w:sz w:val="24"/>
                <w:highlight w:val="none"/>
                <w:lang w:val="en-US" w:eastAsia="zh-CN"/>
              </w:rPr>
              <w:t>【供应商的报价高于最高限价视为无效报价（即作否决投标处理）】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资格</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供应商必须符合《中华人民共和国政府采购法》第二十二条的规定；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（1）有效的“三证合一”的营业执照；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（2）法定代表人投标需携带法定代表人证明书及法定代表人身份证（原件），委托代理人投标需携带法定代表人授权委托书及委托代理人身份证（原件）；需提供社保部门出具的投标单位的缴纳社保证明（提供</w:t>
            </w:r>
            <w:r>
              <w:rPr>
                <w:rFonts w:hint="eastAsia" w:ascii="仿宋" w:hAnsi="仿宋" w:eastAsia="仿宋" w:cs="仿宋"/>
                <w:i w:val="0"/>
                <w:iCs w:val="0"/>
                <w:caps w:val="0"/>
                <w:color w:val="000000"/>
                <w:spacing w:val="0"/>
                <w:sz w:val="24"/>
                <w:szCs w:val="24"/>
                <w:highlight w:val="none"/>
                <w:lang w:eastAsia="zh-CN"/>
              </w:rPr>
              <w:t>公司</w:t>
            </w:r>
            <w:r>
              <w:rPr>
                <w:rFonts w:hint="eastAsia" w:ascii="仿宋" w:hAnsi="仿宋" w:eastAsia="仿宋" w:cs="仿宋"/>
                <w:i w:val="0"/>
                <w:iCs w:val="0"/>
                <w:caps w:val="0"/>
                <w:color w:val="000000"/>
                <w:spacing w:val="0"/>
                <w:sz w:val="24"/>
                <w:szCs w:val="24"/>
                <w:highlight w:val="none"/>
              </w:rPr>
              <w:t>近六个月社保缴费证明及社保局出具的缴费明细），如依法不需要缴纳社会保障资金的，应提供相应文件证明（新成立不足3个月的按实际情况发生提供，成立时间超过3个月的零申报的需提供依法报税资料）。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（3）具有良好的商业信誉和健全的财务会计制度需提供会计事务所出具</w:t>
            </w:r>
            <w:r>
              <w:rPr>
                <w:rFonts w:hint="eastAsia" w:ascii="仿宋" w:hAnsi="仿宋" w:eastAsia="仿宋" w:cs="仿宋"/>
                <w:i w:val="0"/>
                <w:iCs w:val="0"/>
                <w:caps w:val="0"/>
                <w:color w:val="000000"/>
                <w:spacing w:val="0"/>
                <w:sz w:val="24"/>
                <w:szCs w:val="24"/>
                <w:highlight w:val="none"/>
                <w:lang w:val="en-US" w:eastAsia="zh-CN"/>
              </w:rPr>
              <w:t>的近三年任一年的</w:t>
            </w:r>
            <w:r>
              <w:rPr>
                <w:rFonts w:hint="eastAsia" w:ascii="仿宋" w:hAnsi="仿宋" w:eastAsia="仿宋" w:cs="仿宋"/>
                <w:i w:val="0"/>
                <w:iCs w:val="0"/>
                <w:caps w:val="0"/>
                <w:color w:val="000000"/>
                <w:spacing w:val="0"/>
                <w:sz w:val="24"/>
                <w:szCs w:val="24"/>
                <w:highlight w:val="none"/>
              </w:rPr>
              <w:t>财务审计报告，202</w:t>
            </w:r>
            <w:r>
              <w:rPr>
                <w:rFonts w:hint="eastAsia" w:ascii="仿宋" w:hAnsi="仿宋" w:eastAsia="仿宋" w:cs="仿宋"/>
                <w:i w:val="0"/>
                <w:iCs w:val="0"/>
                <w:caps w:val="0"/>
                <w:color w:val="000000"/>
                <w:spacing w:val="0"/>
                <w:sz w:val="24"/>
                <w:szCs w:val="24"/>
                <w:highlight w:val="none"/>
                <w:lang w:val="en-US" w:eastAsia="zh-CN"/>
              </w:rPr>
              <w:t>2</w:t>
            </w:r>
            <w:r>
              <w:rPr>
                <w:rFonts w:hint="eastAsia" w:ascii="仿宋" w:hAnsi="仿宋" w:eastAsia="仿宋" w:cs="仿宋"/>
                <w:i w:val="0"/>
                <w:iCs w:val="0"/>
                <w:caps w:val="0"/>
                <w:color w:val="000000"/>
                <w:spacing w:val="0"/>
                <w:sz w:val="24"/>
                <w:szCs w:val="24"/>
                <w:highlight w:val="none"/>
              </w:rPr>
              <w:t>年10月以后成立的公司可不提供但需提供银行出具的近三个月的资信证明和健全的财务会计制度。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4）提供税务机关出具近三个月的完税证明，以税款所属时期为准，企业代缴费的完税证明（如社保，公积金等）不作为完税证明的依据。（如有免税企业，需提供免税相关材料证明，新成立公司按实际发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（6）参加政府采购活动前三年内，在经营活动中没有重大违法记录，无失信行为，（投标人须出具企业及法定代表人无重大违法记录承诺书，无失信行为承诺书）；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（7）本项目不接受联合体投标；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lang w:eastAsia="zh-CN"/>
              </w:rPr>
            </w:pPr>
            <w:r>
              <w:rPr>
                <w:rFonts w:hint="eastAsia" w:ascii="仿宋" w:hAnsi="仿宋" w:eastAsia="仿宋" w:cs="仿宋"/>
                <w:i w:val="0"/>
                <w:iCs w:val="0"/>
                <w:caps w:val="0"/>
                <w:color w:val="000000"/>
                <w:spacing w:val="0"/>
                <w:sz w:val="24"/>
                <w:szCs w:val="24"/>
                <w:highlight w:val="none"/>
              </w:rPr>
              <w:t>（8）企业负责人为同一人或者存在直接控股、管理关系的不同供应商，不得参加同一合同项下的政府采购活动。否则，皆取消投标资格</w:t>
            </w:r>
            <w:r>
              <w:rPr>
                <w:rFonts w:hint="eastAsia" w:ascii="仿宋" w:hAnsi="仿宋" w:eastAsia="仿宋" w:cs="仿宋"/>
                <w:i w:val="0"/>
                <w:iCs w:val="0"/>
                <w:caps w:val="0"/>
                <w:color w:val="000000"/>
                <w:spacing w:val="0"/>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i w:val="0"/>
                <w:iCs w:val="0"/>
                <w:caps w:val="0"/>
                <w:color w:val="000000"/>
                <w:spacing w:val="0"/>
                <w:sz w:val="24"/>
                <w:szCs w:val="24"/>
                <w:highlight w:val="none"/>
              </w:rPr>
              <w:t>（9）同意招标文件条款声明。</w:t>
            </w:r>
          </w:p>
          <w:p>
            <w:pPr>
              <w:pStyle w:val="5"/>
              <w:rPr>
                <w:rFonts w:hint="eastAsia" w:ascii="仿宋" w:hAnsi="仿宋" w:eastAsia="仿宋" w:cs="仿宋"/>
                <w:b w:val="0"/>
                <w:i w:val="0"/>
                <w:iCs w:val="0"/>
                <w:caps w:val="0"/>
                <w:color w:val="000000"/>
                <w:spacing w:val="0"/>
                <w:kern w:val="2"/>
                <w:sz w:val="24"/>
                <w:szCs w:val="24"/>
                <w:highlight w:val="none"/>
                <w:lang w:val="en-US" w:eastAsia="zh-CN" w:bidi="ar-SA"/>
              </w:rPr>
            </w:pPr>
            <w:r>
              <w:rPr>
                <w:rFonts w:hint="eastAsia" w:ascii="仿宋" w:hAnsi="仿宋" w:eastAsia="仿宋" w:cs="仿宋"/>
                <w:b w:val="0"/>
                <w:i w:val="0"/>
                <w:iCs w:val="0"/>
                <w:caps w:val="0"/>
                <w:color w:val="000000"/>
                <w:spacing w:val="0"/>
                <w:kern w:val="2"/>
                <w:sz w:val="24"/>
                <w:szCs w:val="24"/>
                <w:highlight w:val="none"/>
                <w:lang w:val="en-US" w:eastAsia="zh-CN" w:bidi="ar-SA"/>
              </w:rPr>
              <w:t>（10）投标保证金证明材料。</w:t>
            </w:r>
          </w:p>
          <w:p>
            <w:pPr>
              <w:pageBreakBefore w:val="0"/>
              <w:kinsoku/>
              <w:wordWrap/>
              <w:overflowPunct/>
              <w:topLinePunct w:val="0"/>
              <w:bidi w:val="0"/>
              <w:snapToGrid/>
              <w:spacing w:line="360" w:lineRule="exact"/>
              <w:textAlignment w:val="auto"/>
              <w:rPr>
                <w:rFonts w:hint="eastAsia" w:ascii="仿宋" w:hAnsi="仿宋" w:eastAsia="仿宋" w:cs="宋体"/>
                <w:b w:val="0"/>
                <w:bCs/>
                <w:color w:val="auto"/>
                <w:kern w:val="2"/>
                <w:sz w:val="28"/>
                <w:szCs w:val="28"/>
                <w:highlight w:val="none"/>
                <w:u w:val="none"/>
                <w:shd w:val="clear" w:color="auto" w:fill="auto"/>
                <w:lang w:val="en-US" w:eastAsia="zh-CN" w:bidi="ar-SA"/>
              </w:rPr>
            </w:pPr>
            <w:r>
              <w:rPr>
                <w:rFonts w:hint="eastAsia" w:ascii="仿宋" w:hAnsi="仿宋" w:eastAsia="仿宋" w:cs="仿宋"/>
                <w:b w:val="0"/>
                <w:i w:val="0"/>
                <w:iCs w:val="0"/>
                <w:caps w:val="0"/>
                <w:color w:val="000000"/>
                <w:spacing w:val="0"/>
                <w:kern w:val="2"/>
                <w:sz w:val="24"/>
                <w:szCs w:val="24"/>
                <w:highlight w:val="none"/>
                <w:lang w:val="en-US" w:eastAsia="zh-CN" w:bidi="ar-SA"/>
              </w:rPr>
              <w:t>（11）</w:t>
            </w:r>
            <w:r>
              <w:rPr>
                <w:rFonts w:hint="eastAsia" w:ascii="仿宋" w:hAnsi="仿宋" w:eastAsia="仿宋" w:cs="宋体"/>
                <w:b w:val="0"/>
                <w:bCs/>
                <w:color w:val="auto"/>
                <w:kern w:val="2"/>
                <w:sz w:val="28"/>
                <w:szCs w:val="28"/>
                <w:highlight w:val="none"/>
                <w:u w:val="none"/>
                <w:shd w:val="clear" w:color="auto" w:fill="auto"/>
                <w:lang w:val="en-US" w:eastAsia="zh-CN" w:bidi="ar-SA"/>
              </w:rPr>
              <w:t>资质要求：</w:t>
            </w:r>
          </w:p>
          <w:p>
            <w:pPr>
              <w:rPr>
                <w:rFonts w:hint="default" w:ascii="宋体" w:hAnsi="宋体" w:eastAsia="宋体" w:cs="宋体"/>
                <w:bCs/>
                <w:color w:val="auto"/>
                <w:kern w:val="0"/>
                <w:sz w:val="24"/>
                <w:highlight w:val="none"/>
                <w:lang w:val="en-US" w:eastAsia="zh-CN"/>
              </w:rPr>
            </w:pPr>
            <w:r>
              <w:rPr>
                <w:rFonts w:hint="eastAsia" w:ascii="仿宋" w:hAnsi="仿宋" w:eastAsia="仿宋" w:cs="宋体"/>
                <w:b w:val="0"/>
                <w:bCs/>
                <w:color w:val="auto"/>
                <w:kern w:val="2"/>
                <w:sz w:val="28"/>
                <w:szCs w:val="28"/>
                <w:highlight w:val="none"/>
                <w:u w:val="none"/>
                <w:shd w:val="clear" w:color="auto" w:fill="auto"/>
                <w:lang w:val="en-US" w:eastAsia="zh-CN" w:bidi="ar-SA"/>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磋商有效期</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b w:val="0"/>
                <w:bCs w:val="0"/>
                <w:color w:val="auto"/>
                <w:sz w:val="24"/>
                <w:highlight w:val="none"/>
                <w:lang w:val="en-US" w:eastAsia="zh-CN"/>
              </w:rPr>
              <w:t>90</w:t>
            </w:r>
            <w:r>
              <w:rPr>
                <w:rFonts w:hint="eastAsia" w:ascii="宋体" w:hAnsi="宋体" w:eastAsia="宋体" w:cs="宋体"/>
                <w:b w:val="0"/>
                <w:bCs w:val="0"/>
                <w:color w:val="auto"/>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评标方法</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资格审查</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13</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是否接受联合体投标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14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磋商时间</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递交截止时间</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年0</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07</w:t>
            </w:r>
            <w:r>
              <w:rPr>
                <w:rFonts w:hint="eastAsia" w:ascii="宋体" w:hAnsi="宋体" w:eastAsia="宋体" w:cs="宋体"/>
                <w:color w:val="auto"/>
                <w:sz w:val="24"/>
                <w:highlight w:val="none"/>
                <w:lang w:val="en-US" w:eastAsia="zh-CN"/>
              </w:rPr>
              <w:t xml:space="preserve">日 </w:t>
            </w:r>
            <w:r>
              <w:rPr>
                <w:rFonts w:hint="eastAsia" w:ascii="宋体" w:hAnsi="宋体" w:cs="宋体"/>
                <w:color w:val="auto"/>
                <w:sz w:val="24"/>
                <w:highlight w:val="none"/>
                <w:lang w:val="en-US" w:eastAsia="zh-CN"/>
              </w:rPr>
              <w:t>13</w:t>
            </w:r>
            <w:r>
              <w:rPr>
                <w:rFonts w:hint="eastAsia" w:ascii="宋体" w:hAnsi="宋体" w:eastAsia="宋体" w:cs="宋体"/>
                <w:color w:val="auto"/>
                <w:sz w:val="24"/>
                <w:highlight w:val="none"/>
                <w:lang w:val="en-US" w:eastAsia="zh-CN"/>
              </w:rPr>
              <w:t>:00（北京时间）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递交及开标地点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民丰县行政服务和公共资源交易中心 （新疆民丰县友谊路75号）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磋商</w:t>
            </w:r>
            <w:r>
              <w:rPr>
                <w:rFonts w:hint="eastAsia" w:ascii="宋体" w:hAnsi="宋体" w:eastAsia="宋体" w:cs="宋体"/>
                <w:sz w:val="24"/>
                <w:highlight w:val="none"/>
              </w:rPr>
              <w:t>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pStyle w:val="5"/>
              <w:rPr>
                <w:rFonts w:hint="eastAsia" w:ascii="宋体" w:hAnsi="宋体" w:eastAsia="宋体" w:cs="宋体"/>
                <w:sz w:val="24"/>
                <w:highlight w:val="none"/>
              </w:rPr>
            </w:pPr>
            <w:r>
              <w:rPr>
                <w:rFonts w:hint="eastAsia" w:ascii="宋体" w:hAnsi="宋体" w:eastAsia="宋体" w:cs="宋体"/>
                <w:sz w:val="24"/>
                <w:highlight w:val="none"/>
              </w:rPr>
              <w:t>投标保证金的形式：转账、汇款（须从投标企业基本账户转出）</w:t>
            </w:r>
          </w:p>
          <w:p>
            <w:pPr>
              <w:pStyle w:val="5"/>
              <w:rPr>
                <w:rFonts w:hint="eastAsia" w:ascii="宋体" w:hAnsi="宋体" w:eastAsia="宋体" w:cs="宋体"/>
                <w:sz w:val="24"/>
                <w:highlight w:val="none"/>
              </w:rPr>
            </w:pPr>
            <w:r>
              <w:rPr>
                <w:rFonts w:hint="eastAsia" w:ascii="宋体" w:hAnsi="宋体" w:eastAsia="宋体" w:cs="宋体"/>
                <w:sz w:val="24"/>
                <w:highlight w:val="none"/>
              </w:rPr>
              <w:t>投标保证金：¥</w:t>
            </w:r>
            <w:r>
              <w:rPr>
                <w:rFonts w:hint="eastAsia" w:ascii="宋体" w:hAnsi="宋体" w:cs="宋体"/>
                <w:sz w:val="24"/>
                <w:highlight w:val="none"/>
                <w:lang w:val="en-US" w:eastAsia="zh-CN"/>
              </w:rPr>
              <w:t>1000</w:t>
            </w:r>
            <w:r>
              <w:rPr>
                <w:rFonts w:hint="eastAsia" w:ascii="宋体" w:hAnsi="宋体" w:eastAsia="宋体" w:cs="宋体"/>
                <w:sz w:val="24"/>
                <w:highlight w:val="none"/>
              </w:rPr>
              <w:t>.00元（</w:t>
            </w:r>
            <w:r>
              <w:rPr>
                <w:rFonts w:hint="eastAsia" w:ascii="宋体" w:hAnsi="宋体" w:cs="宋体"/>
                <w:sz w:val="24"/>
                <w:highlight w:val="none"/>
                <w:lang w:val="en-US" w:eastAsia="zh-CN"/>
              </w:rPr>
              <w:t>壹仟</w:t>
            </w:r>
            <w:r>
              <w:rPr>
                <w:rFonts w:hint="eastAsia" w:ascii="宋体" w:hAnsi="宋体" w:eastAsia="宋体" w:cs="宋体"/>
                <w:sz w:val="24"/>
                <w:highlight w:val="none"/>
              </w:rPr>
              <w:t>元整）</w:t>
            </w:r>
          </w:p>
          <w:p>
            <w:pPr>
              <w:pStyle w:val="5"/>
              <w:rPr>
                <w:rFonts w:hint="eastAsia" w:ascii="宋体" w:hAnsi="宋体" w:eastAsia="宋体" w:cs="宋体"/>
                <w:sz w:val="24"/>
                <w:highlight w:val="none"/>
              </w:rPr>
            </w:pPr>
            <w:r>
              <w:rPr>
                <w:rFonts w:hint="eastAsia" w:ascii="宋体" w:hAnsi="宋体" w:eastAsia="宋体" w:cs="宋体"/>
                <w:sz w:val="24"/>
                <w:highlight w:val="none"/>
              </w:rPr>
              <w:t>请于采购文件指定日期前将投标保证金足额汇入（存入）以下账户</w:t>
            </w:r>
          </w:p>
          <w:p>
            <w:pPr>
              <w:pStyle w:val="5"/>
              <w:rPr>
                <w:rFonts w:hint="eastAsia" w:ascii="宋体" w:hAnsi="宋体" w:eastAsia="宋体" w:cs="宋体"/>
                <w:sz w:val="24"/>
                <w:highlight w:val="none"/>
              </w:rPr>
            </w:pPr>
            <w:r>
              <w:rPr>
                <w:rFonts w:hint="eastAsia" w:ascii="宋体" w:hAnsi="宋体" w:eastAsia="宋体" w:cs="宋体"/>
                <w:sz w:val="24"/>
                <w:highlight w:val="none"/>
              </w:rPr>
              <w:t xml:space="preserve">开户名称：民丰县行政服务和公共资源交易中心 </w:t>
            </w:r>
          </w:p>
          <w:p>
            <w:pPr>
              <w:pStyle w:val="5"/>
              <w:rPr>
                <w:rFonts w:hint="eastAsia" w:ascii="宋体" w:hAnsi="宋体" w:eastAsia="宋体" w:cs="宋体"/>
                <w:sz w:val="24"/>
                <w:highlight w:val="none"/>
              </w:rPr>
            </w:pPr>
            <w:r>
              <w:rPr>
                <w:rFonts w:hint="eastAsia" w:ascii="宋体" w:hAnsi="宋体" w:eastAsia="宋体" w:cs="宋体"/>
                <w:sz w:val="24"/>
                <w:highlight w:val="none"/>
              </w:rPr>
              <w:t xml:space="preserve">开户银行：中国农业银行股份有限公司民丰县支行 </w:t>
            </w:r>
          </w:p>
          <w:p>
            <w:pPr>
              <w:pStyle w:val="5"/>
              <w:rPr>
                <w:rFonts w:hint="eastAsia" w:ascii="宋体" w:hAnsi="宋体" w:eastAsia="宋体" w:cs="宋体"/>
                <w:sz w:val="24"/>
                <w:highlight w:val="none"/>
              </w:rPr>
            </w:pPr>
            <w:r>
              <w:rPr>
                <w:rFonts w:hint="eastAsia" w:ascii="宋体" w:hAnsi="宋体" w:eastAsia="宋体" w:cs="宋体"/>
                <w:sz w:val="24"/>
                <w:highlight w:val="none"/>
              </w:rPr>
              <w:t>账号：30582301040020842</w:t>
            </w:r>
          </w:p>
          <w:p>
            <w:pPr>
              <w:pStyle w:val="5"/>
              <w:rPr>
                <w:rFonts w:hint="eastAsia" w:ascii="宋体" w:hAnsi="宋体" w:eastAsia="宋体" w:cs="宋体"/>
                <w:sz w:val="24"/>
                <w:highlight w:val="none"/>
              </w:rPr>
            </w:pPr>
            <w:r>
              <w:rPr>
                <w:rFonts w:hint="eastAsia" w:ascii="宋体" w:hAnsi="宋体" w:eastAsia="宋体" w:cs="宋体"/>
                <w:sz w:val="24"/>
                <w:highlight w:val="none"/>
              </w:rPr>
              <w:t>★特别注意：投标人请于投标截止时间及开标时间前将投标保证金缴入指定账户，注明项目名称及用途，以进账时间为准确定投标保证金缴纳的时效性，无须到民丰县公共资源交易中心换取收据，开标时需携带投标保证金电子回单。</w:t>
            </w:r>
          </w:p>
          <w:p>
            <w:pPr>
              <w:pStyle w:val="5"/>
              <w:rPr>
                <w:rFonts w:hint="eastAsia" w:ascii="宋体" w:hAnsi="宋体" w:eastAsia="宋体" w:cs="宋体"/>
                <w:sz w:val="24"/>
                <w:highlight w:val="none"/>
              </w:rPr>
            </w:pPr>
            <w:r>
              <w:rPr>
                <w:rFonts w:hint="eastAsia" w:ascii="宋体" w:hAnsi="宋体" w:eastAsia="宋体" w:cs="宋体"/>
                <w:sz w:val="24"/>
                <w:highlight w:val="none"/>
              </w:rPr>
              <w:t>投标保证金有效期应当与投标有效期一致。</w:t>
            </w:r>
          </w:p>
          <w:p>
            <w:pPr>
              <w:pStyle w:val="5"/>
              <w:rPr>
                <w:rFonts w:hint="eastAsia" w:ascii="宋体" w:hAnsi="宋体" w:eastAsia="宋体" w:cs="宋体"/>
                <w:sz w:val="24"/>
                <w:highlight w:val="none"/>
              </w:rPr>
            </w:pPr>
            <w:r>
              <w:rPr>
                <w:rFonts w:hint="eastAsia" w:ascii="宋体" w:hAnsi="宋体" w:eastAsia="宋体" w:cs="宋体"/>
                <w:sz w:val="24"/>
                <w:highlight w:val="none"/>
              </w:rPr>
              <w:t>由投标人基本账户汇出，且不得以分公司的名义转账。</w:t>
            </w:r>
          </w:p>
          <w:p>
            <w:pPr>
              <w:pStyle w:val="5"/>
              <w:rPr>
                <w:rFonts w:hint="eastAsia" w:ascii="宋体" w:hAnsi="宋体" w:eastAsia="宋体" w:cs="宋体"/>
                <w:sz w:val="24"/>
                <w:highlight w:val="none"/>
              </w:rPr>
            </w:pPr>
            <w:r>
              <w:rPr>
                <w:rFonts w:hint="eastAsia" w:ascii="宋体" w:hAnsi="宋体" w:eastAsia="宋体" w:cs="宋体"/>
                <w:sz w:val="24"/>
                <w:highlight w:val="none"/>
              </w:rPr>
              <w:t>投标单位须在汇款单备注栏标明：XXX项目XXX包段（标段）及项目编号。</w:t>
            </w:r>
          </w:p>
          <w:p>
            <w:pPr>
              <w:pStyle w:val="5"/>
              <w:rPr>
                <w:rFonts w:hint="default"/>
                <w:highlight w:val="none"/>
                <w:lang w:val="en-US" w:eastAsia="zh-CN"/>
              </w:rPr>
            </w:pPr>
            <w:r>
              <w:rPr>
                <w:rFonts w:hint="eastAsia" w:ascii="宋体" w:hAnsi="宋体" w:eastAsia="宋体" w:cs="宋体"/>
                <w:sz w:val="24"/>
                <w:highlight w:val="none"/>
              </w:rPr>
              <w:t>退保证金需要：投标保证金回执单、开户许可证、退回保证金收据。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pacing w:val="-14"/>
                <w:sz w:val="24"/>
                <w:highlight w:val="none"/>
              </w:rPr>
            </w:pPr>
            <w:r>
              <w:rPr>
                <w:rFonts w:hint="eastAsia" w:ascii="宋体" w:hAnsi="宋体" w:eastAsia="宋体" w:cs="宋体"/>
                <w:color w:val="auto"/>
                <w:sz w:val="24"/>
                <w:highlight w:val="none"/>
              </w:rPr>
              <w:t>招标代理服务费</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参考国家计委计价格【2002】1980号文及国家现行收费标准收取</w:t>
            </w:r>
            <w:r>
              <w:rPr>
                <w:rFonts w:hint="eastAsia" w:ascii="宋体" w:hAnsi="宋体" w:cs="宋体"/>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18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rPr>
            </w:pPr>
            <w:r>
              <w:rPr>
                <w:rFonts w:hint="eastAsia" w:ascii="宋体" w:hAnsi="宋体" w:eastAsia="宋体" w:cs="宋体"/>
                <w:spacing w:val="-14"/>
                <w:sz w:val="24"/>
                <w:highlight w:val="none"/>
                <w:lang w:eastAsia="zh-CN"/>
              </w:rPr>
              <w:t>响应文件</w:t>
            </w:r>
            <w:r>
              <w:rPr>
                <w:rFonts w:hint="eastAsia" w:ascii="宋体" w:hAnsi="宋体" w:eastAsia="宋体" w:cs="宋体"/>
                <w:sz w:val="24"/>
                <w:highlight w:val="none"/>
              </w:rPr>
              <w:t>份数</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纸质版文件：正本一份，副本三份。</w:t>
            </w:r>
          </w:p>
          <w:p>
            <w:p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开标一览表：一份</w:t>
            </w:r>
          </w:p>
          <w:p>
            <w:p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电子投标文件（PDF格式）：一份（包括投标文件正本全部内容；以U盘形式递交）；</w:t>
            </w:r>
          </w:p>
          <w:p>
            <w:pPr>
              <w:spacing w:line="360" w:lineRule="auto"/>
              <w:rPr>
                <w:rFonts w:hint="eastAsia" w:ascii="宋体" w:hAnsi="宋体"/>
                <w:b/>
                <w:bCs/>
                <w:color w:val="auto"/>
                <w:sz w:val="24"/>
                <w:highlight w:val="none"/>
                <w:lang w:val="en-US" w:eastAsia="zh-CN"/>
              </w:rPr>
            </w:pPr>
            <w:r>
              <w:rPr>
                <w:rFonts w:hint="eastAsia" w:ascii="宋体" w:hAnsi="宋体"/>
                <w:b/>
                <w:bCs/>
                <w:color w:val="auto"/>
                <w:sz w:val="24"/>
                <w:highlight w:val="none"/>
                <w:lang w:val="en-US" w:eastAsia="zh-CN"/>
              </w:rPr>
              <w:t>1、电子版文件要求包含投标文件正本全部内容，电子版表面标记单位名称。电子版文件内容与投标文件正本内容不一致时以投标文件正本为准。</w:t>
            </w:r>
          </w:p>
          <w:p>
            <w:pPr>
              <w:spacing w:line="360" w:lineRule="auto"/>
              <w:rPr>
                <w:rFonts w:hint="eastAsia" w:ascii="宋体" w:hAnsi="宋体" w:eastAsia="宋体" w:cs="宋体"/>
                <w:color w:val="auto"/>
                <w:sz w:val="24"/>
                <w:highlight w:val="none"/>
              </w:rPr>
            </w:pPr>
            <w:r>
              <w:rPr>
                <w:rFonts w:hint="eastAsia" w:ascii="宋体" w:hAnsi="宋体"/>
                <w:b/>
                <w:bCs/>
                <w:color w:val="auto"/>
                <w:sz w:val="24"/>
                <w:highlight w:val="none"/>
                <w:lang w:val="en-US" w:eastAsia="zh-CN"/>
              </w:rPr>
              <w:t>2、凡进入开标、唱标程序的投标文件概不退还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highlight w:val="none"/>
                <w:lang w:eastAsia="zh-CN"/>
              </w:rPr>
            </w:pPr>
            <w:r>
              <w:rPr>
                <w:rFonts w:hint="eastAsia" w:ascii="宋体" w:hAnsi="宋体" w:eastAsia="宋体" w:cs="宋体"/>
                <w:spacing w:val="-14"/>
                <w:sz w:val="24"/>
                <w:highlight w:val="none"/>
                <w:lang w:eastAsia="zh-CN"/>
              </w:rPr>
              <w:t>响应文</w:t>
            </w:r>
            <w:r>
              <w:rPr>
                <w:rFonts w:hint="eastAsia" w:ascii="宋体" w:hAnsi="宋体"/>
                <w:sz w:val="24"/>
                <w:highlight w:val="none"/>
                <w:lang w:eastAsia="zh-CN"/>
              </w:rPr>
              <w:t>件封面</w:t>
            </w:r>
            <w:r>
              <w:rPr>
                <w:rFonts w:hint="eastAsia" w:ascii="宋体" w:hAnsi="宋体"/>
                <w:sz w:val="24"/>
                <w:highlight w:val="none"/>
              </w:rPr>
              <w:t>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在谈判响应文件密封袋上均应：</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1、写明采购人名称；</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2、注明下列识别标志：</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(1)项目信息</w:t>
            </w:r>
          </w:p>
          <w:p>
            <w:pPr>
              <w:spacing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(2)投标单位信息</w:t>
            </w:r>
          </w:p>
          <w:p>
            <w:pPr>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（3）联系人姓名及联系方式</w:t>
            </w:r>
          </w:p>
          <w:p>
            <w:pPr>
              <w:spacing w:line="360" w:lineRule="auto"/>
              <w:rPr>
                <w:rFonts w:hint="eastAsia" w:ascii="宋体" w:hAnsi="宋体" w:eastAsia="宋体" w:cs="宋体"/>
                <w:sz w:val="24"/>
                <w:highlight w:val="none"/>
              </w:rPr>
            </w:pPr>
            <w:r>
              <w:rPr>
                <w:rFonts w:hint="eastAsia" w:ascii="宋体" w:hAnsi="宋体" w:eastAsia="宋体" w:cs="宋体"/>
                <w:color w:val="auto"/>
                <w:sz w:val="24"/>
                <w:highlight w:val="none"/>
                <w:lang w:val="en-US" w:eastAsia="zh-CN"/>
              </w:rPr>
              <w:t>(4)     年   月   日   上午    时    分谈判，此时间以前不得开封（北京时间）。</w:t>
            </w:r>
            <w:r>
              <w:rPr>
                <w:rFonts w:hint="eastAsia" w:ascii="宋体" w:hAnsi="宋体" w:eastAsia="宋体" w:cs="Times New Roman"/>
                <w:sz w:val="24"/>
                <w:highlight w:val="none"/>
                <w:lang w:eastAsia="zh-CN"/>
              </w:rPr>
              <w:t>并</w:t>
            </w:r>
            <w:r>
              <w:rPr>
                <w:rFonts w:hint="eastAsia" w:ascii="宋体" w:hAnsi="宋体" w:eastAsia="宋体" w:cs="Times New Roman"/>
                <w:sz w:val="24"/>
                <w:highlight w:val="none"/>
              </w:rPr>
              <w:t>加盖</w:t>
            </w:r>
            <w:r>
              <w:rPr>
                <w:rFonts w:hint="eastAsia" w:ascii="宋体" w:hAnsi="宋体" w:eastAsia="宋体" w:cs="Times New Roman"/>
                <w:sz w:val="24"/>
                <w:highlight w:val="none"/>
                <w:lang w:val="en-US" w:eastAsia="zh-CN"/>
              </w:rPr>
              <w:t>单位</w:t>
            </w:r>
            <w:r>
              <w:rPr>
                <w:rFonts w:hint="eastAsia" w:ascii="宋体" w:hAnsi="宋体" w:eastAsia="宋体" w:cs="Times New Roman"/>
                <w:sz w:val="24"/>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rPr>
              <w:t>20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left="106" w:leftChars="0" w:right="62" w:rightChars="0" w:hanging="106" w:hangingChars="50"/>
              <w:jc w:val="center"/>
              <w:textAlignment w:val="auto"/>
              <w:rPr>
                <w:rFonts w:hint="eastAsia" w:ascii="宋体" w:hAnsi="宋体" w:eastAsia="宋体" w:cs="宋体"/>
                <w:spacing w:val="-14"/>
                <w:sz w:val="24"/>
                <w:highlight w:val="none"/>
                <w:lang w:eastAsia="zh-CN"/>
              </w:rPr>
            </w:pPr>
            <w:r>
              <w:rPr>
                <w:rFonts w:hint="eastAsia" w:ascii="宋体" w:hAnsi="宋体" w:eastAsia="宋体" w:cs="宋体"/>
                <w:spacing w:val="-14"/>
                <w:sz w:val="24"/>
                <w:highlight w:val="none"/>
                <w:lang w:eastAsia="zh-CN"/>
              </w:rPr>
              <w:t>响应文件</w:t>
            </w:r>
            <w:r>
              <w:rPr>
                <w:rFonts w:hint="eastAsia" w:ascii="宋体" w:hAnsi="宋体"/>
                <w:sz w:val="24"/>
                <w:highlight w:val="none"/>
              </w:rPr>
              <w:t>外层密封袋的标注</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highlight w:val="none"/>
                <w:lang w:val="en-US" w:eastAsia="zh-CN"/>
              </w:rPr>
            </w:pPr>
            <w:r>
              <w:rPr>
                <w:rFonts w:hint="eastAsia" w:ascii="宋体" w:hAnsi="宋体" w:eastAsia="宋体" w:cs="宋体"/>
                <w:sz w:val="24"/>
                <w:szCs w:val="24"/>
                <w:lang w:val="en-US" w:eastAsia="zh-CN"/>
              </w:rPr>
              <w:t>谈判响应人应将所有的谈判响应文件的正本、副本及电子版分别密封在封袋中，在封袋正面注明：“谈判响应文件（正本）”、“谈判响应文件（副本）”、“谈判响应文件（电子版）”“</w:t>
            </w:r>
            <w:r>
              <w:rPr>
                <w:rFonts w:hint="eastAsia" w:ascii="宋体" w:hAnsi="宋体" w:eastAsia="宋体" w:cs="宋体"/>
                <w:color w:val="000000"/>
                <w:kern w:val="0"/>
                <w:sz w:val="24"/>
                <w:lang w:val="en-US" w:eastAsia="zh-CN"/>
              </w:rPr>
              <w:t>报价一览表</w:t>
            </w:r>
            <w:r>
              <w:rPr>
                <w:rFonts w:hint="default" w:ascii="宋体" w:hAnsi="宋体" w:eastAsia="宋体" w:cs="宋体"/>
                <w:color w:val="000000"/>
                <w:kern w:val="0"/>
                <w:sz w:val="24"/>
                <w:lang w:val="en-US" w:eastAsia="zh-CN"/>
              </w:rPr>
              <w:t>”</w:t>
            </w:r>
            <w:r>
              <w:rPr>
                <w:rFonts w:hint="eastAsia" w:ascii="宋体" w:hAnsi="宋体" w:eastAsia="宋体" w:cs="宋体"/>
                <w:sz w:val="24"/>
                <w:szCs w:val="24"/>
                <w:lang w:val="en-US" w:eastAsia="zh-CN"/>
              </w:rPr>
              <w:t>的响应字样。封袋上加贴封条，并在封袋的封口处加盖谈判响应人企业印章、企业法定代表人或其委托代理人印章。（否则为无效投标文件）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21</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firstLine="0" w:firstLineChars="0"/>
              <w:jc w:val="center"/>
              <w:rPr>
                <w:rFonts w:hint="eastAsia" w:ascii="宋体" w:hAnsi="宋体" w:eastAsia="宋体" w:cs="宋体"/>
                <w:spacing w:val="-14"/>
                <w:sz w:val="24"/>
                <w:highlight w:val="none"/>
                <w:lang w:eastAsia="zh-CN"/>
              </w:rPr>
            </w:pPr>
            <w:r>
              <w:rPr>
                <w:rFonts w:hint="eastAsia" w:ascii="宋体" w:hAnsi="宋体" w:eastAsia="宋体" w:cs="宋体"/>
                <w:color w:val="000000"/>
                <w:sz w:val="24"/>
                <w:lang w:eastAsia="zh-CN"/>
              </w:rPr>
              <w:t>签字或盖章</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cs="宋体"/>
                <w:sz w:val="24"/>
                <w:szCs w:val="24"/>
                <w:lang w:val="en-US" w:eastAsia="zh-CN"/>
              </w:rPr>
            </w:pPr>
            <w:r>
              <w:rPr>
                <w:rFonts w:hint="eastAsia" w:ascii="宋体" w:hAnsi="宋体" w:eastAsia="宋体" w:cs="宋体"/>
                <w:color w:val="000000"/>
                <w:sz w:val="24"/>
                <w:highlight w:val="none"/>
              </w:rPr>
              <w:t>投标人必须按照</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的规定和要求</w:t>
            </w:r>
            <w:r>
              <w:rPr>
                <w:rFonts w:hint="eastAsia" w:ascii="宋体" w:hAnsi="宋体" w:eastAsia="宋体" w:cs="宋体"/>
                <w:color w:val="000000"/>
                <w:sz w:val="24"/>
                <w:highlight w:val="none"/>
                <w:lang w:eastAsia="zh-CN"/>
              </w:rPr>
              <w:t>签字或盖章</w:t>
            </w:r>
            <w:r>
              <w:rPr>
                <w:rFonts w:hint="eastAsia" w:ascii="宋体" w:hAnsi="宋体" w:eastAsia="宋体" w:cs="宋体"/>
                <w:color w:val="000000"/>
                <w:sz w:val="24"/>
                <w:highlight w:val="none"/>
              </w:rPr>
              <w:t>（法人代表的签字可用具有法定效力的签字章）</w:t>
            </w:r>
            <w:r>
              <w:rPr>
                <w:rFonts w:hint="eastAsia" w:ascii="宋体" w:hAnsi="宋体" w:eastAsia="宋体" w:cs="宋体"/>
                <w:sz w:val="24"/>
                <w:szCs w:val="24"/>
                <w:lang w:val="en-US" w:eastAsia="zh-CN"/>
              </w:rPr>
              <w:t>（否则为无效投标文件）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22</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sz w:val="24"/>
                <w:highlight w:val="none"/>
              </w:rPr>
            </w:pPr>
            <w:r>
              <w:rPr>
                <w:rFonts w:hint="eastAsia" w:ascii="宋体" w:hAnsi="宋体" w:eastAsia="宋体" w:cs="宋体"/>
                <w:color w:val="000000"/>
                <w:sz w:val="24"/>
                <w:highlight w:val="none"/>
              </w:rPr>
              <w:t>评标委员的组建</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highlight w:val="none"/>
                <w:lang w:val="en-US" w:eastAsia="zh-CN"/>
              </w:rPr>
            </w:pPr>
            <w:r>
              <w:rPr>
                <w:rFonts w:hint="eastAsia" w:ascii="宋体" w:hAnsi="宋体" w:eastAsia="宋体" w:cs="宋体"/>
                <w:bCs/>
                <w:color w:val="auto"/>
                <w:sz w:val="24"/>
                <w:highlight w:val="none"/>
              </w:rPr>
              <w:t>评标委员会构成</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rPr>
              <w:t>人或</w:t>
            </w:r>
            <w:r>
              <w:rPr>
                <w:rFonts w:hint="eastAsia" w:ascii="宋体" w:hAnsi="宋体" w:cs="宋体"/>
                <w:bCs/>
                <w:color w:val="auto"/>
                <w:sz w:val="24"/>
                <w:highlight w:val="none"/>
                <w:lang w:val="en-US" w:eastAsia="zh-CN"/>
              </w:rPr>
              <w:t>3</w:t>
            </w:r>
            <w:r>
              <w:rPr>
                <w:rFonts w:hint="eastAsia" w:ascii="宋体" w:hAnsi="宋体" w:eastAsia="宋体" w:cs="宋体"/>
                <w:bCs/>
                <w:color w:val="auto"/>
                <w:sz w:val="24"/>
                <w:highlight w:val="none"/>
                <w:lang w:val="en-US" w:eastAsia="zh-CN"/>
              </w:rPr>
              <w:t>人</w:t>
            </w:r>
            <w:r>
              <w:rPr>
                <w:rFonts w:hint="eastAsia" w:ascii="宋体" w:hAnsi="宋体" w:eastAsia="宋体" w:cs="宋体"/>
                <w:bCs/>
                <w:color w:val="auto"/>
                <w:sz w:val="24"/>
                <w:highlight w:val="none"/>
              </w:rPr>
              <w:t>以上单数组成，</w:t>
            </w:r>
            <w:r>
              <w:rPr>
                <w:rFonts w:hint="eastAsia" w:ascii="宋体" w:hAnsi="宋体" w:eastAsia="宋体" w:cs="宋体"/>
                <w:bCs/>
                <w:color w:val="auto"/>
                <w:sz w:val="24"/>
                <w:highlight w:val="none"/>
                <w:lang w:val="en-US" w:eastAsia="zh-CN"/>
              </w:rPr>
              <w:t>其中</w:t>
            </w:r>
            <w:r>
              <w:rPr>
                <w:rFonts w:hint="eastAsia" w:ascii="宋体" w:hAnsi="宋体" w:eastAsia="宋体" w:cs="宋体"/>
                <w:bCs/>
                <w:color w:val="auto"/>
                <w:sz w:val="24"/>
                <w:highlight w:val="none"/>
              </w:rPr>
              <w:t>业主专家1人；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78" w:type="dxa"/>
            <w:tcBorders>
              <w:top w:val="single" w:color="auto" w:sz="4" w:space="0"/>
              <w:left w:val="single" w:color="auto" w:sz="4" w:space="0"/>
              <w:right w:val="single" w:color="auto" w:sz="4" w:space="0"/>
            </w:tcBorders>
            <w:noWrap w:val="0"/>
            <w:vAlign w:val="center"/>
          </w:tcPr>
          <w:p>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23</w:t>
            </w:r>
          </w:p>
        </w:tc>
        <w:tc>
          <w:tcPr>
            <w:tcW w:w="2025" w:type="dxa"/>
            <w:tcBorders>
              <w:top w:val="single" w:color="auto" w:sz="4" w:space="0"/>
              <w:left w:val="single" w:color="auto" w:sz="4" w:space="0"/>
              <w:right w:val="single" w:color="auto" w:sz="4" w:space="0"/>
            </w:tcBorders>
            <w:noWrap w:val="0"/>
            <w:vAlign w:val="center"/>
          </w:tcPr>
          <w:p>
            <w:pPr>
              <w:spacing w:line="240" w:lineRule="auto"/>
              <w:jc w:val="both"/>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履约保证金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履约保证金：不超成交价的10%、由中标人与采购人签订合同时自主协商。（具体以合同签订为准）</w:t>
            </w:r>
          </w:p>
          <w:p>
            <w:pPr>
              <w:spacing w:line="240" w:lineRule="auto"/>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履约保证金递交：成交供应商收到成交通知书后（签订合同前）向采购人缴纳；</w:t>
            </w:r>
          </w:p>
          <w:p>
            <w:pPr>
              <w:spacing w:line="240" w:lineRule="auto"/>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履约保证金形式：支票、汇票、本票等非现金形式；</w:t>
            </w:r>
          </w:p>
          <w:p>
            <w:pPr>
              <w:spacing w:line="240" w:lineRule="auto"/>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成交供应商人与采购人签订合同前提交履约保证金，如中标人未按招标文件规定的工期供货、安装和调试完毕，则扣除履约保证金。</w:t>
            </w:r>
          </w:p>
          <w:p>
            <w:pPr>
              <w:spacing w:line="240" w:lineRule="auto"/>
              <w:jc w:val="both"/>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成交供应商未按本文件规定缴纳履约保证金的，其保证金将不予退还。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24</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特别说明</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05" w:rightChars="50"/>
              <w:rPr>
                <w:rFonts w:ascii="宋体" w:hAnsi="宋体"/>
                <w:bCs/>
                <w:color w:val="000000"/>
                <w:sz w:val="24"/>
                <w:szCs w:val="24"/>
                <w:highlight w:val="none"/>
              </w:rPr>
            </w:pPr>
            <w:r>
              <w:rPr>
                <w:rFonts w:ascii="宋体" w:hAnsi="宋体"/>
                <w:bCs/>
                <w:color w:val="000000"/>
                <w:sz w:val="24"/>
                <w:szCs w:val="24"/>
                <w:highlight w:val="none"/>
              </w:rPr>
              <w:t>1.为保证本项目质量，良好的售后服务，低报价不作为中标的唯一依据。</w:t>
            </w:r>
          </w:p>
          <w:p>
            <w:pPr>
              <w:snapToGrid w:val="0"/>
              <w:spacing w:line="360" w:lineRule="auto"/>
              <w:ind w:right="105" w:rightChars="50"/>
              <w:rPr>
                <w:rFonts w:ascii="宋体" w:hAnsi="宋体"/>
                <w:sz w:val="24"/>
                <w:szCs w:val="24"/>
                <w:highlight w:val="none"/>
              </w:rPr>
            </w:pPr>
            <w:r>
              <w:rPr>
                <w:rFonts w:ascii="宋体" w:hAnsi="宋体"/>
                <w:bCs/>
                <w:sz w:val="24"/>
                <w:szCs w:val="24"/>
                <w:highlight w:val="none"/>
              </w:rPr>
              <w:t>2.</w:t>
            </w:r>
            <w:r>
              <w:rPr>
                <w:rFonts w:hint="eastAsia" w:ascii="宋体" w:hAnsi="宋体"/>
                <w:sz w:val="24"/>
                <w:szCs w:val="24"/>
                <w:highlight w:val="none"/>
              </w:rPr>
              <w:t>采购人若发现成交候选人在竞标过程中提供虚假证明文件，故意隐瞒公司不良信誉和财务状况，以及存在可能对合同圆满履行造成风险的其因素等，则按规定取消其成交资格，监管部门依法进行处理。</w:t>
            </w:r>
          </w:p>
          <w:p>
            <w:pPr>
              <w:spacing w:line="360" w:lineRule="auto"/>
              <w:ind w:right="105" w:rightChars="50"/>
              <w:rPr>
                <w:rFonts w:ascii="宋体" w:hAnsi="宋体"/>
                <w:sz w:val="24"/>
                <w:highlight w:val="none"/>
              </w:rPr>
            </w:pPr>
            <w:r>
              <w:rPr>
                <w:rFonts w:ascii="宋体" w:hAnsi="宋体"/>
                <w:sz w:val="24"/>
                <w:szCs w:val="24"/>
                <w:highlight w:val="none"/>
              </w:rPr>
              <w:t>3.</w:t>
            </w:r>
            <w:r>
              <w:rPr>
                <w:rFonts w:hint="eastAsia" w:ascii="宋体" w:hAnsi="宋体"/>
                <w:sz w:val="24"/>
                <w:highlight w:val="none"/>
              </w:rPr>
              <w:t>生产制造商供货后使用方对所供产品进行抽样到权威检验部门进行检测，如未达到招标要求，使用方有权做退货处理。</w:t>
            </w:r>
          </w:p>
          <w:p>
            <w:pPr>
              <w:spacing w:line="360" w:lineRule="auto"/>
              <w:ind w:right="105" w:rightChars="50"/>
              <w:rPr>
                <w:rFonts w:ascii="宋体" w:hAnsi="宋体"/>
                <w:sz w:val="24"/>
                <w:highlight w:val="none"/>
              </w:rPr>
            </w:pPr>
            <w:r>
              <w:rPr>
                <w:rFonts w:hint="eastAsia" w:ascii="宋体" w:hAnsi="宋体"/>
                <w:sz w:val="24"/>
                <w:highlight w:val="none"/>
              </w:rPr>
              <w:t>4.为确保产品质达标，在生产、供货过程中，使用方有权派人员到生产现场监督生产、发货过程。如产品质量、交货期未按合同履约，则使方有权终止合同；中标厂家不得分包、转包给第三方，否则做废标处理。</w:t>
            </w:r>
          </w:p>
          <w:p>
            <w:pPr>
              <w:spacing w:line="360" w:lineRule="auto"/>
              <w:rPr>
                <w:rFonts w:ascii="宋体" w:hAnsi="宋体" w:cs="宋体"/>
                <w:sz w:val="24"/>
                <w:szCs w:val="20"/>
                <w:highlight w:val="none"/>
              </w:rPr>
            </w:pPr>
            <w:r>
              <w:rPr>
                <w:rFonts w:hint="eastAsia" w:ascii="宋体" w:hAnsi="宋体"/>
                <w:b/>
                <w:bCs/>
                <w:sz w:val="24"/>
                <w:szCs w:val="24"/>
                <w:highlight w:val="none"/>
              </w:rPr>
              <w:t>5.</w:t>
            </w:r>
            <w:r>
              <w:rPr>
                <w:rFonts w:hint="eastAsia" w:ascii="宋体" w:hAnsi="宋体" w:cs="宋体"/>
                <w:sz w:val="24"/>
                <w:szCs w:val="20"/>
                <w:highlight w:val="none"/>
              </w:rPr>
              <w:t>本次竞争性磋商各项事宜执行《政府采购竞争性磋商采购方式管理暂行办法》（财库〔2014〕214号）和财政部关于政府采购竞争性商采购方式管理暂行办法有关问题的补充通知财库〔2015〕124号相关规定。</w:t>
            </w:r>
          </w:p>
          <w:p>
            <w:pPr>
              <w:widowControl/>
              <w:spacing w:line="360" w:lineRule="auto"/>
              <w:jc w:val="left"/>
              <w:rPr>
                <w:rFonts w:hint="eastAsia" w:ascii="宋体" w:hAnsi="宋体" w:eastAsia="宋体" w:cs="宋体"/>
                <w:b/>
                <w:kern w:val="0"/>
                <w:sz w:val="24"/>
                <w:highlight w:val="none"/>
              </w:rPr>
            </w:pPr>
            <w:r>
              <w:rPr>
                <w:rFonts w:ascii="宋体" w:hAnsi="宋体"/>
                <w:sz w:val="24"/>
                <w:szCs w:val="24"/>
                <w:highlight w:val="none"/>
              </w:rPr>
              <w:t>本项目无论中标与否，响应文件均不予退还。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sz w:val="24"/>
                <w:szCs w:val="24"/>
                <w:highlight w:val="none"/>
                <w:lang w:val="en-US" w:eastAsia="zh-CN"/>
              </w:rPr>
              <w:t>25</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0"/>
                <w:highlight w:val="none"/>
                <w:lang w:val="en-US" w:eastAsia="zh-CN"/>
              </w:rPr>
            </w:pPr>
            <w:r>
              <w:rPr>
                <w:rFonts w:hint="default" w:ascii="宋体" w:hAnsi="宋体" w:eastAsia="宋体" w:cs="宋体"/>
                <w:sz w:val="24"/>
                <w:szCs w:val="20"/>
                <w:highlight w:val="none"/>
                <w:lang w:val="en-US" w:eastAsia="zh-CN"/>
              </w:rPr>
              <w:t>付款方式</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招标工作结束后由采购人与中标人签订合同时自主协商。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26</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利害关系投标企业处理</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单位负责人为同一人或者存在直接控股、管理关系的不同投标企业不得参加同一合同项下的政府采购活动。采购项目实行资格预审的，单位负责人为同一人或者存在直接控股、管理关系的不同投标企业可以参加资格预审，但只能由投标企业确定其中一家符合条件的投标企业参加后续的政府采购活动，否则，其投标文件作为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27</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备选投标方案和报价</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28</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联合体投标</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29</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s="宋体"/>
                <w:sz w:val="24"/>
                <w:szCs w:val="20"/>
                <w:highlight w:val="none"/>
                <w:lang w:val="en-US" w:eastAsia="zh-CN"/>
              </w:rPr>
            </w:pPr>
            <w:r>
              <w:rPr>
                <w:rFonts w:hint="eastAsia" w:ascii="宋体" w:hAnsi="宋体" w:eastAsia="宋体" w:cs="宋体"/>
                <w:color w:val="000000"/>
                <w:sz w:val="24"/>
                <w:highlight w:val="none"/>
                <w:lang w:val="en-US" w:eastAsia="zh-CN"/>
              </w:rPr>
              <w:t>随身携带资料</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sz w:val="24"/>
                <w:szCs w:val="20"/>
                <w:highlight w:val="none"/>
              </w:rPr>
            </w:pPr>
            <w:r>
              <w:rPr>
                <w:rFonts w:hint="eastAsia" w:ascii="宋体" w:hAnsi="宋体" w:cs="宋体"/>
                <w:sz w:val="24"/>
                <w:szCs w:val="20"/>
                <w:highlight w:val="none"/>
              </w:rPr>
              <w:t>供应商必须符合《中华人民共和国政府采购法》第二十二条的规定；</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（1）有效的“三证合一”的营业执照；</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（2）法定代表人投标需携带法定代表人证明书及法定代表人身份证（原件），委托代理人投标需携带法定代表人授权委托书及委托代理人身份证（原件）；需提供社保部门出具的投标单位的缴纳社保证明（提供</w:t>
            </w:r>
            <w:r>
              <w:rPr>
                <w:rFonts w:hint="eastAsia" w:ascii="宋体" w:hAnsi="宋体" w:cs="宋体"/>
                <w:sz w:val="24"/>
                <w:szCs w:val="20"/>
                <w:highlight w:val="none"/>
                <w:lang w:eastAsia="zh-CN"/>
              </w:rPr>
              <w:t>公司</w:t>
            </w:r>
            <w:r>
              <w:rPr>
                <w:rFonts w:hint="eastAsia" w:ascii="宋体" w:hAnsi="宋体" w:cs="宋体"/>
                <w:sz w:val="24"/>
                <w:szCs w:val="20"/>
                <w:highlight w:val="none"/>
              </w:rPr>
              <w:t>近六个月社保缴费证明及社保局出具的缴费明细），如依法不需要缴纳社会保障资金的，应提供相应文件证明（新成立不足3个月的按实际情况发生提供，成立时间超过3个月的零申报的需提供依法报税资料）。</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（3）具有良好的商业信誉和健全的财务会计制度需提供会计事务所出具的近三年任一年的财务审计报告，2022年10月以后成立的公司可不提供但需提供银行出具的近三个月的资信证明和健全的财务会计制度。</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4）提供税务机关出具近三个月的完税证明，以税款所属时期为准，企业代缴费的完税证明（如社保，公积金等）不作为完税证明的依据。（如有免税企业，需提供免税相关材料证明，新成立公司按实际发生。）</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（6）参加政府采购活动前三年内，在经营活动中没有重大违法记录，无失信行为，（投标人须出具企业及法定代表人无重大违法记录承诺书，无失信行为承诺书）；</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（7）本项目不接受联合体投标；</w:t>
            </w:r>
          </w:p>
          <w:p>
            <w:pPr>
              <w:spacing w:line="360" w:lineRule="auto"/>
              <w:rPr>
                <w:rFonts w:hint="eastAsia" w:ascii="宋体" w:hAnsi="宋体" w:cs="宋体"/>
                <w:sz w:val="24"/>
                <w:szCs w:val="20"/>
                <w:highlight w:val="none"/>
                <w:lang w:eastAsia="zh-CN"/>
              </w:rPr>
            </w:pPr>
            <w:r>
              <w:rPr>
                <w:rFonts w:hint="eastAsia" w:ascii="宋体" w:hAnsi="宋体" w:cs="宋体"/>
                <w:sz w:val="24"/>
                <w:szCs w:val="20"/>
                <w:highlight w:val="none"/>
              </w:rPr>
              <w:t>（8）企业负责人为同一人或者存在直接控股、管理关系的不同供应商，不得参加同一合同项下的政府采购活动。否则，皆取消投标资格</w:t>
            </w:r>
            <w:r>
              <w:rPr>
                <w:rFonts w:hint="eastAsia" w:ascii="宋体" w:hAnsi="宋体" w:cs="宋体"/>
                <w:sz w:val="24"/>
                <w:szCs w:val="20"/>
                <w:highlight w:val="none"/>
                <w:lang w:eastAsia="zh-CN"/>
              </w:rPr>
              <w:t>。</w:t>
            </w:r>
          </w:p>
          <w:p>
            <w:pPr>
              <w:spacing w:line="360" w:lineRule="auto"/>
              <w:rPr>
                <w:rFonts w:hint="eastAsia" w:ascii="宋体" w:hAnsi="宋体" w:cs="宋体"/>
                <w:sz w:val="24"/>
                <w:szCs w:val="20"/>
                <w:highlight w:val="none"/>
              </w:rPr>
            </w:pPr>
            <w:r>
              <w:rPr>
                <w:rFonts w:hint="eastAsia" w:ascii="宋体" w:hAnsi="宋体" w:cs="宋体"/>
                <w:sz w:val="24"/>
                <w:szCs w:val="20"/>
                <w:highlight w:val="none"/>
              </w:rPr>
              <w:t>（9）同意招标文件条款声明。</w:t>
            </w:r>
          </w:p>
          <w:p>
            <w:pPr>
              <w:spacing w:line="360" w:lineRule="auto"/>
              <w:rPr>
                <w:rFonts w:hint="eastAsia" w:ascii="宋体" w:hAnsi="宋体" w:cs="宋体"/>
                <w:sz w:val="24"/>
                <w:szCs w:val="20"/>
                <w:highlight w:val="none"/>
                <w:lang w:val="en-US" w:eastAsia="zh-CN"/>
              </w:rPr>
            </w:pPr>
            <w:r>
              <w:rPr>
                <w:rFonts w:hint="eastAsia" w:ascii="宋体" w:hAnsi="宋体" w:cs="宋体"/>
                <w:sz w:val="24"/>
                <w:szCs w:val="20"/>
                <w:highlight w:val="none"/>
                <w:lang w:val="en-US" w:eastAsia="zh-CN"/>
              </w:rPr>
              <w:t>（10）投标保证金证明材料。</w:t>
            </w:r>
          </w:p>
          <w:p>
            <w:pPr>
              <w:spacing w:line="360" w:lineRule="auto"/>
              <w:rPr>
                <w:rFonts w:hint="eastAsia" w:ascii="宋体" w:hAnsi="宋体" w:cs="宋体"/>
                <w:sz w:val="24"/>
                <w:szCs w:val="20"/>
                <w:highlight w:val="none"/>
                <w:lang w:val="en-US" w:eastAsia="zh-CN"/>
              </w:rPr>
            </w:pPr>
            <w:r>
              <w:rPr>
                <w:rFonts w:hint="eastAsia" w:ascii="宋体" w:hAnsi="宋体" w:cs="宋体"/>
                <w:sz w:val="24"/>
                <w:szCs w:val="20"/>
                <w:highlight w:val="none"/>
                <w:lang w:val="en-US" w:eastAsia="zh-CN"/>
              </w:rPr>
              <w:t>（11）资质要求：</w:t>
            </w:r>
          </w:p>
          <w:p>
            <w:pPr>
              <w:spacing w:line="360" w:lineRule="auto"/>
              <w:rPr>
                <w:rFonts w:hint="default" w:ascii="宋体" w:hAnsi="宋体" w:cs="宋体"/>
                <w:sz w:val="24"/>
                <w:szCs w:val="20"/>
                <w:highlight w:val="none"/>
                <w:lang w:val="en-US" w:eastAsia="zh-CN"/>
              </w:rPr>
            </w:pPr>
            <w:r>
              <w:rPr>
                <w:rFonts w:hint="eastAsia" w:ascii="宋体" w:hAnsi="宋体" w:cs="宋体"/>
                <w:sz w:val="24"/>
                <w:szCs w:val="20"/>
                <w:highlight w:val="none"/>
                <w:lang w:val="en-US" w:eastAsia="zh-CN"/>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p>
            <w:pPr>
              <w:spacing w:line="360" w:lineRule="auto"/>
              <w:rPr>
                <w:rFonts w:hint="eastAsia" w:ascii="宋体" w:hAnsi="宋体" w:eastAsia="宋体" w:cs="宋体"/>
                <w:sz w:val="24"/>
                <w:szCs w:val="20"/>
                <w:highlight w:val="none"/>
                <w:lang w:val="en-US" w:eastAsia="zh-CN"/>
              </w:rPr>
            </w:pPr>
            <w:r>
              <w:rPr>
                <w:rFonts w:hint="eastAsia" w:ascii="宋体" w:hAnsi="宋体" w:cs="宋体"/>
                <w:sz w:val="24"/>
                <w:szCs w:val="20"/>
                <w:highlight w:val="none"/>
                <w:lang w:val="en-US" w:eastAsia="zh-CN"/>
              </w:rPr>
              <w:t>注：以上证件由监督人查验，未按照要求提供者，其响应文件将被拒绝评审。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5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adjustRightInd w:val="0"/>
              <w:snapToGrid w:val="0"/>
              <w:spacing w:line="336" w:lineRule="auto"/>
              <w:jc w:val="center"/>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30</w:t>
            </w:r>
          </w:p>
        </w:tc>
        <w:tc>
          <w:tcPr>
            <w:tcW w:w="202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rPr>
              <w:t>谈判答疑</w:t>
            </w:r>
          </w:p>
        </w:tc>
        <w:tc>
          <w:tcPr>
            <w:tcW w:w="719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cs="Times New Roman"/>
                <w:color w:val="000000"/>
                <w:sz w:val="24"/>
                <w:highlight w:val="yellow"/>
                <w:lang w:val="en-US" w:eastAsia="zh-CN"/>
              </w:rPr>
            </w:pPr>
            <w:r>
              <w:rPr>
                <w:rFonts w:hint="eastAsia" w:ascii="宋体" w:hAnsi="宋体" w:eastAsia="宋体" w:cs="宋体"/>
                <w:color w:val="000000"/>
                <w:sz w:val="24"/>
                <w:highlight w:val="none"/>
              </w:rPr>
              <w:t>自</w:t>
            </w:r>
            <w:r>
              <w:rPr>
                <w:rFonts w:hint="eastAsia" w:ascii="宋体" w:hAnsi="宋体" w:eastAsia="宋体" w:cs="宋体"/>
                <w:color w:val="000000"/>
                <w:sz w:val="24"/>
                <w:highlight w:val="none"/>
                <w:lang w:eastAsia="zh-CN"/>
              </w:rPr>
              <w:t>采购文件</w:t>
            </w:r>
            <w:r>
              <w:rPr>
                <w:rFonts w:hint="eastAsia" w:ascii="宋体" w:hAnsi="宋体" w:eastAsia="宋体" w:cs="宋体"/>
                <w:color w:val="000000"/>
                <w:sz w:val="24"/>
                <w:highlight w:val="none"/>
              </w:rPr>
              <w:t>发售时间起的</w:t>
            </w:r>
            <w:r>
              <w:rPr>
                <w:rFonts w:hint="eastAsia" w:ascii="宋体" w:hAnsi="宋体" w:eastAsia="宋体" w:cs="宋体"/>
                <w:color w:val="000000"/>
                <w:sz w:val="24"/>
                <w:highlight w:val="none"/>
                <w:lang w:eastAsia="zh-CN"/>
              </w:rPr>
              <w:t>三</w:t>
            </w:r>
            <w:r>
              <w:rPr>
                <w:rFonts w:hint="eastAsia" w:ascii="宋体" w:hAnsi="宋体" w:eastAsia="宋体" w:cs="宋体"/>
                <w:color w:val="000000"/>
                <w:sz w:val="24"/>
                <w:highlight w:val="none"/>
              </w:rPr>
              <w:t>个工作日内（各潜在投标人如有质疑，请于规定的日期内提出，以书面形式提出质疑，质疑书应列明理由、依据，加盖单位公章递交至</w:t>
            </w:r>
            <w:r>
              <w:rPr>
                <w:rFonts w:hint="eastAsia" w:ascii="宋体" w:hAnsi="宋体" w:eastAsia="宋体" w:cs="宋体"/>
                <w:color w:val="000000"/>
                <w:sz w:val="24"/>
                <w:highlight w:val="none"/>
                <w:lang w:eastAsia="zh-CN"/>
              </w:rPr>
              <w:t>鼎建项目管理有限公司</w:t>
            </w:r>
            <w:r>
              <w:rPr>
                <w:rFonts w:hint="eastAsia" w:ascii="宋体" w:hAnsi="宋体" w:eastAsia="宋体" w:cs="宋体"/>
                <w:color w:val="000000"/>
                <w:sz w:val="24"/>
                <w:highlight w:val="none"/>
              </w:rPr>
              <w:t>；投标人须对质疑内容的真实性承担责任，由</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人或</w:t>
            </w:r>
            <w:r>
              <w:rPr>
                <w:rFonts w:hint="eastAsia" w:ascii="宋体" w:hAnsi="宋体" w:eastAsia="宋体" w:cs="宋体"/>
                <w:color w:val="000000"/>
                <w:sz w:val="24"/>
                <w:highlight w:val="none"/>
                <w:lang w:eastAsia="zh-CN"/>
              </w:rPr>
              <w:t>采购</w:t>
            </w:r>
            <w:r>
              <w:rPr>
                <w:rFonts w:hint="eastAsia" w:ascii="宋体" w:hAnsi="宋体" w:eastAsia="宋体" w:cs="宋体"/>
                <w:color w:val="000000"/>
                <w:sz w:val="24"/>
                <w:highlight w:val="none"/>
              </w:rPr>
              <w:t>代理机构负责解释。如在规定的日期内未收到任何投标人递交的质疑书，视为投标人可完全响应。）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796" w:type="dxa"/>
            <w:gridSpan w:val="3"/>
            <w:tcBorders>
              <w:top w:val="single" w:color="auto" w:sz="4" w:space="0"/>
              <w:left w:val="single" w:color="auto" w:sz="4" w:space="0"/>
              <w:bottom w:val="single" w:color="auto" w:sz="4" w:space="0"/>
              <w:right w:val="single" w:color="auto" w:sz="4" w:space="0"/>
            </w:tcBorders>
            <w:noWrap w:val="0"/>
            <w:vAlign w:val="center"/>
          </w:tcPr>
          <w:p>
            <w:pPr>
              <w:spacing w:line="240"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注：1、以上内容如有变化将另行通知。</w:t>
            </w:r>
          </w:p>
          <w:p>
            <w:pPr>
              <w:spacing w:line="240"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2、本招标文件未尽事宜按国家、自治区、地区现行规定执行。</w:t>
            </w:r>
          </w:p>
          <w:p>
            <w:pPr>
              <w:spacing w:line="240"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3、本招标文件下述内容如与前附表不一致的，以本前附表为准。</w:t>
            </w:r>
          </w:p>
          <w:p>
            <w:pPr>
              <w:spacing w:line="240"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4、开标时需携带招标文件资格要求中所提及一切文件，否则做否决投标处理。</w:t>
            </w:r>
          </w:p>
          <w:p>
            <w:pPr>
              <w:spacing w:line="240" w:lineRule="auto"/>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5、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的同时不得耽误本项目服务工作。</w:t>
            </w:r>
          </w:p>
        </w:tc>
      </w:tr>
      <w:bookmarkEnd w:id="21"/>
      <w:bookmarkEnd w:id="22"/>
    </w:tbl>
    <w:p>
      <w:pPr>
        <w:spacing w:line="360" w:lineRule="auto"/>
        <w:ind w:firstLine="883" w:firstLineChars="200"/>
        <w:jc w:val="center"/>
        <w:outlineLvl w:val="9"/>
        <w:rPr>
          <w:rFonts w:hint="eastAsia" w:ascii="宋体" w:hAnsi="宋体" w:eastAsia="宋体" w:cs="宋体"/>
          <w:b/>
          <w:sz w:val="44"/>
          <w:szCs w:val="44"/>
          <w:highlight w:val="none"/>
          <w:lang w:val="en-US" w:eastAsia="zh-CN"/>
        </w:rPr>
      </w:pPr>
    </w:p>
    <w:p>
      <w:pPr>
        <w:spacing w:line="360" w:lineRule="auto"/>
        <w:ind w:firstLine="883" w:firstLineChars="200"/>
        <w:jc w:val="center"/>
        <w:outlineLvl w:val="9"/>
        <w:rPr>
          <w:rFonts w:hint="eastAsia" w:ascii="宋体" w:hAnsi="宋体" w:eastAsia="宋体" w:cs="宋体"/>
          <w:b/>
          <w:sz w:val="44"/>
          <w:szCs w:val="44"/>
          <w:highlight w:val="none"/>
          <w:lang w:val="en-US" w:eastAsia="zh-CN"/>
        </w:rPr>
      </w:pPr>
    </w:p>
    <w:p>
      <w:pPr>
        <w:pStyle w:val="5"/>
        <w:outlineLvl w:val="9"/>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5"/>
        <w:outlineLvl w:val="9"/>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2"/>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12"/>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12"/>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12"/>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12"/>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12"/>
        <w:rPr>
          <w:rFonts w:hint="eastAsia" w:ascii="宋体" w:hAnsi="宋体" w:eastAsia="宋体" w:cs="宋体"/>
          <w:b/>
          <w:sz w:val="44"/>
          <w:szCs w:val="44"/>
          <w:highlight w:val="none"/>
          <w:lang w:val="en-US" w:eastAsia="zh-CN"/>
        </w:rPr>
      </w:pPr>
    </w:p>
    <w:p>
      <w:pPr>
        <w:rPr>
          <w:rFonts w:hint="eastAsia" w:ascii="宋体" w:hAnsi="宋体" w:eastAsia="宋体" w:cs="宋体"/>
          <w:b/>
          <w:sz w:val="44"/>
          <w:szCs w:val="44"/>
          <w:highlight w:val="none"/>
          <w:lang w:val="en-US" w:eastAsia="zh-CN"/>
        </w:rPr>
      </w:pPr>
    </w:p>
    <w:p>
      <w:pPr>
        <w:pStyle w:val="12"/>
        <w:rPr>
          <w:rFonts w:hint="eastAsia"/>
          <w:lang w:val="en-US" w:eastAsia="zh-CN"/>
        </w:rPr>
      </w:pPr>
    </w:p>
    <w:p>
      <w:pPr>
        <w:pStyle w:val="2"/>
        <w:rPr>
          <w:rFonts w:hint="eastAsia"/>
          <w:lang w:val="en-US" w:eastAsia="zh-CN"/>
        </w:rPr>
      </w:pPr>
    </w:p>
    <w:p>
      <w:pPr>
        <w:pStyle w:val="5"/>
        <w:jc w:val="center"/>
        <w:outlineLvl w:val="9"/>
        <w:rPr>
          <w:rFonts w:hint="eastAsia" w:ascii="宋体" w:hAnsi="宋体" w:eastAsia="宋体" w:cs="宋体"/>
          <w:b/>
          <w:sz w:val="44"/>
          <w:szCs w:val="44"/>
          <w:highlight w:val="none"/>
          <w:lang w:val="en-US" w:eastAsia="zh-CN"/>
        </w:rPr>
      </w:pPr>
      <w:r>
        <w:rPr>
          <w:rFonts w:hint="eastAsia" w:ascii="宋体" w:hAnsi="宋体" w:cs="宋体"/>
          <w:b/>
          <w:sz w:val="44"/>
          <w:szCs w:val="44"/>
          <w:highlight w:val="none"/>
          <w:lang w:val="en-US" w:eastAsia="zh-CN"/>
        </w:rPr>
        <w:t>第三部分</w:t>
      </w:r>
    </w:p>
    <w:p>
      <w:pPr>
        <w:numPr>
          <w:ilvl w:val="0"/>
          <w:numId w:val="0"/>
        </w:numPr>
        <w:spacing w:line="360" w:lineRule="auto"/>
        <w:ind w:firstLine="482" w:firstLineChars="200"/>
        <w:jc w:val="left"/>
        <w:rPr>
          <w:rFonts w:hint="eastAsia" w:ascii="宋体" w:hAnsi="宋体" w:eastAsia="宋体" w:cs="宋体"/>
          <w:sz w:val="24"/>
          <w:highlight w:val="none"/>
        </w:rPr>
      </w:pPr>
      <w:bookmarkStart w:id="23" w:name="_Toc3132"/>
      <w:r>
        <w:rPr>
          <w:rFonts w:hint="eastAsia" w:ascii="宋体" w:hAnsi="宋体" w:eastAsia="宋体" w:cs="宋体"/>
          <w:b/>
          <w:bCs/>
          <w:sz w:val="24"/>
          <w:highlight w:val="none"/>
        </w:rPr>
        <w:t>（一）采购方式</w:t>
      </w:r>
      <w:bookmarkEnd w:id="23"/>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本项目采取竞争性磋商的招标方式采购。</w:t>
      </w:r>
    </w:p>
    <w:p>
      <w:pPr>
        <w:spacing w:line="360" w:lineRule="auto"/>
        <w:ind w:firstLine="482" w:firstLineChars="200"/>
        <w:jc w:val="left"/>
        <w:rPr>
          <w:rFonts w:hint="eastAsia" w:ascii="宋体" w:hAnsi="宋体" w:eastAsia="宋体" w:cs="宋体"/>
          <w:b/>
          <w:bCs/>
          <w:sz w:val="24"/>
          <w:highlight w:val="none"/>
          <w:lang w:eastAsia="zh-CN"/>
        </w:rPr>
      </w:pPr>
      <w:bookmarkStart w:id="24" w:name="_Toc14076"/>
      <w:r>
        <w:rPr>
          <w:rFonts w:hint="eastAsia" w:ascii="宋体" w:hAnsi="宋体" w:eastAsia="宋体" w:cs="宋体"/>
          <w:b/>
          <w:bCs/>
          <w:sz w:val="24"/>
          <w:highlight w:val="none"/>
        </w:rPr>
        <w:t>（二）合格的</w:t>
      </w:r>
      <w:r>
        <w:rPr>
          <w:rFonts w:hint="eastAsia" w:ascii="宋体" w:hAnsi="宋体" w:eastAsia="宋体" w:cs="宋体"/>
          <w:b/>
          <w:bCs/>
          <w:sz w:val="24"/>
          <w:highlight w:val="none"/>
          <w:lang w:eastAsia="zh-CN"/>
        </w:rPr>
        <w:t>供应商</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1、合格的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必须是有能力按照本竞争性磋商文件规定的要求提供服务，且具有独立承担民事等法律责任的法人或其它经济组织，本次磋商不接受联合体投标。</w:t>
      </w:r>
    </w:p>
    <w:p>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sz w:val="24"/>
          <w:highlight w:val="none"/>
        </w:rPr>
        <w:t>2、合格的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必须符合竞争性磋商文件第一部分《竞争性磋商招标公告》</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条规定，且具备独立完成本项目的能力。</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3、合格的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应遵守中华人民共和国《政府</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法》</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政府采购法实施条例</w:t>
      </w:r>
      <w:r>
        <w:rPr>
          <w:rFonts w:hint="eastAsia" w:ascii="宋体" w:hAnsi="宋体" w:eastAsia="宋体" w:cs="宋体"/>
          <w:sz w:val="24"/>
          <w:highlight w:val="none"/>
        </w:rPr>
        <w:t>》和《反不正当竞争法》等有关法律、法规。</w:t>
      </w:r>
    </w:p>
    <w:p>
      <w:pPr>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bCs/>
          <w:sz w:val="24"/>
          <w:highlight w:val="none"/>
        </w:rPr>
        <w:t>（三）适用法律</w:t>
      </w:r>
      <w:bookmarkEnd w:id="24"/>
    </w:p>
    <w:p>
      <w:pPr>
        <w:spacing w:line="360" w:lineRule="auto"/>
        <w:ind w:firstLine="480" w:firstLineChars="200"/>
        <w:jc w:val="left"/>
        <w:rPr>
          <w:rFonts w:hint="eastAsia" w:ascii="宋体" w:hAnsi="宋体" w:eastAsia="宋体" w:cs="宋体"/>
          <w:sz w:val="24"/>
          <w:highlight w:val="none"/>
        </w:rPr>
      </w:pPr>
      <w:bookmarkStart w:id="25" w:name="_Toc24127"/>
      <w:r>
        <w:rPr>
          <w:rFonts w:hint="eastAsia" w:ascii="宋体" w:hAnsi="宋体" w:eastAsia="宋体" w:cs="宋体"/>
          <w:sz w:val="24"/>
          <w:highlight w:val="none"/>
        </w:rPr>
        <w:t>本次磋商及由本次磋商产生的合同受中华人民共和国的相关法律、法规制约和保护。</w:t>
      </w:r>
    </w:p>
    <w:p>
      <w:pPr>
        <w:pStyle w:val="5"/>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依据《中华人民共和国政府采购法》、《中华人民共和国招标投标法》、《政府采购促进中小企业发展暂行办法》等有关法律法规制定本须知。</w:t>
      </w:r>
    </w:p>
    <w:p>
      <w:pPr>
        <w:pStyle w:val="5"/>
        <w:outlineLvl w:val="9"/>
        <w:rPr>
          <w:rFonts w:hint="default" w:eastAsia="宋体"/>
          <w:lang w:val="en-US" w:eastAsia="zh-CN"/>
        </w:rPr>
      </w:pPr>
      <w:r>
        <w:rPr>
          <w:rFonts w:hint="eastAsia" w:ascii="宋体" w:hAnsi="宋体" w:cs="宋体"/>
          <w:sz w:val="24"/>
          <w:highlight w:val="none"/>
          <w:lang w:val="en-US" w:eastAsia="zh-CN"/>
        </w:rPr>
        <w:t xml:space="preserve">    </w:t>
      </w:r>
    </w:p>
    <w:p>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（四）</w:t>
      </w:r>
      <w:bookmarkEnd w:id="25"/>
      <w:bookmarkStart w:id="26" w:name="_Toc15005"/>
      <w:r>
        <w:rPr>
          <w:rFonts w:hint="eastAsia" w:ascii="宋体" w:hAnsi="宋体" w:eastAsia="宋体" w:cs="宋体"/>
          <w:b/>
          <w:bCs/>
          <w:sz w:val="24"/>
          <w:highlight w:val="none"/>
        </w:rPr>
        <w:t>竞争性磋商文件的约束力</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一旦报名参加本项目竞标，即被认为接受了本竞争性磋商文件中的所有条件和规定。</w:t>
      </w:r>
    </w:p>
    <w:bookmarkEnd w:id="26"/>
    <w:p>
      <w:pPr>
        <w:spacing w:line="360" w:lineRule="auto"/>
        <w:ind w:firstLine="562" w:firstLineChars="200"/>
        <w:jc w:val="center"/>
        <w:outlineLvl w:val="1"/>
        <w:rPr>
          <w:rFonts w:hint="eastAsia" w:ascii="宋体" w:hAnsi="宋体" w:eastAsia="宋体" w:cs="宋体"/>
          <w:b/>
          <w:sz w:val="32"/>
          <w:szCs w:val="32"/>
          <w:highlight w:val="none"/>
        </w:rPr>
      </w:pPr>
      <w:bookmarkStart w:id="27" w:name="_Toc22908"/>
      <w:bookmarkStart w:id="28" w:name="_Toc26674"/>
      <w:r>
        <w:rPr>
          <w:rFonts w:hint="eastAsia" w:ascii="宋体" w:hAnsi="宋体" w:eastAsia="宋体" w:cs="宋体"/>
          <w:b/>
          <w:sz w:val="28"/>
          <w:szCs w:val="28"/>
          <w:highlight w:val="none"/>
        </w:rPr>
        <w:t>二、</w:t>
      </w:r>
      <w:bookmarkEnd w:id="27"/>
      <w:bookmarkEnd w:id="28"/>
      <w:r>
        <w:rPr>
          <w:rFonts w:hint="eastAsia" w:ascii="宋体" w:hAnsi="宋体" w:eastAsia="宋体" w:cs="宋体"/>
          <w:b/>
          <w:sz w:val="28"/>
          <w:szCs w:val="28"/>
          <w:highlight w:val="none"/>
        </w:rPr>
        <w:t>竞争性磋商文件</w:t>
      </w:r>
    </w:p>
    <w:p>
      <w:pPr>
        <w:spacing w:line="360" w:lineRule="auto"/>
        <w:ind w:firstLine="482" w:firstLineChars="200"/>
        <w:jc w:val="left"/>
        <w:rPr>
          <w:rFonts w:hint="eastAsia" w:ascii="宋体" w:hAnsi="宋体" w:eastAsia="宋体" w:cs="宋体"/>
          <w:sz w:val="24"/>
          <w:highlight w:val="none"/>
        </w:rPr>
      </w:pPr>
      <w:bookmarkStart w:id="29" w:name="_Toc8615"/>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一</w:t>
      </w:r>
      <w:r>
        <w:rPr>
          <w:rFonts w:hint="eastAsia" w:ascii="宋体" w:hAnsi="宋体" w:eastAsia="宋体" w:cs="宋体"/>
          <w:b/>
          <w:bCs/>
          <w:sz w:val="24"/>
          <w:highlight w:val="none"/>
        </w:rPr>
        <w:t>）竞争性磋商文件构成</w:t>
      </w:r>
      <w:bookmarkEnd w:id="29"/>
    </w:p>
    <w:p>
      <w:pPr>
        <w:spacing w:line="360" w:lineRule="auto"/>
        <w:ind w:firstLine="480" w:firstLineChars="200"/>
        <w:rPr>
          <w:rFonts w:hint="eastAsia" w:ascii="宋体" w:hAnsi="宋体" w:eastAsia="宋体" w:cs="宋体"/>
          <w:sz w:val="24"/>
          <w:highlight w:val="none"/>
        </w:rPr>
      </w:pPr>
      <w:bookmarkStart w:id="30" w:name="_Toc22722"/>
      <w:r>
        <w:rPr>
          <w:rFonts w:hint="eastAsia" w:ascii="宋体" w:hAnsi="宋体" w:eastAsia="宋体" w:cs="宋体"/>
          <w:sz w:val="24"/>
          <w:highlight w:val="none"/>
        </w:rPr>
        <w:t>竞争性磋商招标公告；</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供应商须知；</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授予合同；</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项目招标要求及说明；</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响应文件格式。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获取竞争性磋商文件后，应仔细检查磋商文件的所有内容，如有残缺等问题应在获得谈判文件3日内向采购人提出，否则，由此引起的损失由磋商响应人自己承担。磋商响应人同时应认真审阅磋商文件中所有的事项、格式、条款和规范要求等，若磋商响应人的磋商响应文件没有按磋商文件要求提交全部资料，或磋商响应文件没有对磋商文件做出实质性响应，其风险由磋商响应人自行承担，并根据有关条款规定，该磋商响应文件有可能被拒绝。</w:t>
      </w:r>
    </w:p>
    <w:p>
      <w:pPr>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二</w:t>
      </w:r>
      <w:r>
        <w:rPr>
          <w:rFonts w:hint="eastAsia" w:ascii="宋体" w:hAnsi="宋体" w:eastAsia="宋体" w:cs="宋体"/>
          <w:b/>
          <w:bCs/>
          <w:sz w:val="24"/>
          <w:highlight w:val="none"/>
        </w:rPr>
        <w:t>）竞争性磋商文件的澄清</w:t>
      </w:r>
      <w:bookmarkEnd w:id="30"/>
    </w:p>
    <w:p>
      <w:pPr>
        <w:spacing w:line="500" w:lineRule="exact"/>
        <w:ind w:firstLine="480"/>
        <w:rPr>
          <w:rFonts w:hint="eastAsia" w:ascii="宋体" w:hAnsi="宋体" w:eastAsia="宋体" w:cs="宋体"/>
          <w:bCs/>
          <w:kern w:val="2"/>
          <w:sz w:val="24"/>
          <w:szCs w:val="20"/>
        </w:rPr>
      </w:pPr>
      <w:bookmarkStart w:id="31" w:name="_Toc19148"/>
      <w:r>
        <w:rPr>
          <w:rFonts w:hint="eastAsia" w:ascii="宋体" w:hAnsi="宋体" w:eastAsia="宋体" w:cs="宋体"/>
          <w:sz w:val="24"/>
          <w:highlight w:val="none"/>
        </w:rPr>
        <w:t>自采购文件发售时间起的三个工作日内（各潜在投标人如有质疑，请于规定的日期内提出，以书面形式提出质疑，质疑书应列明理由、依据，加盖单位公章递交至鼎建项目管理有限公司；投标人须对质疑内容的真实性承担责任，由采购人或采购代理机构负责解释。如在规定的日期内未收到任何投标人递交的质疑书，视为投标人可完全响应。）采购代理机构对规定时间内收到的澄清要求以书面形式予以答复，</w:t>
      </w:r>
      <w:r>
        <w:rPr>
          <w:rFonts w:hint="eastAsia" w:ascii="宋体" w:hAnsi="宋体" w:eastAsia="宋体" w:cs="宋体"/>
          <w:bCs/>
          <w:kern w:val="2"/>
          <w:sz w:val="24"/>
          <w:szCs w:val="20"/>
        </w:rPr>
        <w:t>代理机构将答复发给所有谈判文件收受人( 包括对要求澄清问题的说明，但不指明问题的来源。</w:t>
      </w:r>
    </w:p>
    <w:p>
      <w:pPr>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三</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rPr>
        <w:t>竞争性磋商文件的修改</w:t>
      </w:r>
      <w:bookmarkEnd w:id="31"/>
    </w:p>
    <w:p>
      <w:pPr>
        <w:spacing w:line="360" w:lineRule="auto"/>
        <w:ind w:firstLine="480" w:firstLineChars="200"/>
        <w:jc w:val="left"/>
        <w:rPr>
          <w:rFonts w:hint="eastAsia" w:ascii="宋体" w:hAnsi="宋体" w:eastAsia="宋体" w:cs="宋体"/>
          <w:sz w:val="24"/>
          <w:highlight w:val="none"/>
        </w:rPr>
      </w:pPr>
      <w:bookmarkStart w:id="32" w:name="_Toc13840"/>
      <w:bookmarkStart w:id="33" w:name="_Toc7177"/>
      <w:r>
        <w:rPr>
          <w:rFonts w:hint="eastAsia" w:ascii="宋体" w:hAnsi="宋体" w:eastAsia="宋体" w:cs="宋体"/>
          <w:sz w:val="24"/>
          <w:highlight w:val="none"/>
        </w:rPr>
        <w:t>1、在响应文件接收截止日期前，采购人可以更正公告或补充文件的形式对竞争性磋商文件进行修改。</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2、竞争性磋商文件的修改将以书面形式通知所有已报名</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，并对</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具有约束力。</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收到修改文件后，应于1个工作日内回复采购人，逾期不回的，视同已收。</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3、为使</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有充分的时间对竞争性磋商文件的修改部分进行分析、研究，采购人有权推迟响应文件接收截止日期和磋商时间，并将此变更书面通知所有购买竞争性磋商文件的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4、采购人发出的所有补充、修改和变更文件均作为竞争性磋商文件的组成部分，与竞争性磋商文件具有同等法律效力。</w:t>
      </w:r>
    </w:p>
    <w:p>
      <w:pPr>
        <w:spacing w:line="360" w:lineRule="auto"/>
        <w:ind w:firstLine="562" w:firstLineChars="200"/>
        <w:jc w:val="center"/>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三、响应文件的编制</w:t>
      </w:r>
      <w:bookmarkEnd w:id="32"/>
      <w:bookmarkEnd w:id="33"/>
    </w:p>
    <w:p>
      <w:pPr>
        <w:spacing w:line="360" w:lineRule="auto"/>
        <w:ind w:firstLine="482" w:firstLineChars="200"/>
        <w:rPr>
          <w:rFonts w:hint="eastAsia" w:ascii="宋体" w:hAnsi="宋体" w:eastAsia="宋体" w:cs="宋体"/>
          <w:b/>
          <w:color w:val="000000"/>
          <w:sz w:val="24"/>
          <w:highlight w:val="none"/>
        </w:rPr>
      </w:pPr>
      <w:bookmarkStart w:id="34" w:name="_Toc32746"/>
      <w:r>
        <w:rPr>
          <w:rFonts w:hint="eastAsia" w:ascii="宋体" w:hAnsi="宋体" w:eastAsia="宋体" w:cs="宋体"/>
          <w:b/>
          <w:color w:val="000000"/>
          <w:sz w:val="24"/>
          <w:highlight w:val="none"/>
          <w:lang w:eastAsia="zh-CN"/>
        </w:rPr>
        <w:t>（一）</w:t>
      </w:r>
      <w:r>
        <w:rPr>
          <w:rFonts w:hint="eastAsia" w:ascii="宋体" w:hAnsi="宋体" w:eastAsia="宋体" w:cs="宋体"/>
          <w:b/>
          <w:color w:val="000000"/>
          <w:sz w:val="24"/>
          <w:highlight w:val="none"/>
        </w:rPr>
        <w:t>投标资质</w:t>
      </w:r>
    </w:p>
    <w:p>
      <w:pPr>
        <w:spacing w:line="360" w:lineRule="auto"/>
        <w:ind w:firstLine="480" w:firstLineChars="200"/>
        <w:jc w:val="left"/>
        <w:rPr>
          <w:rFonts w:hint="eastAsia" w:ascii="宋体" w:hAnsi="宋体" w:eastAsia="宋体" w:cs="宋体"/>
          <w:sz w:val="24"/>
          <w:highlight w:val="none"/>
          <w:lang w:val="en-US" w:eastAsia="zh-CN"/>
        </w:rPr>
      </w:pPr>
      <w:bookmarkStart w:id="35" w:name="_Toc13062_WPSOffice_Level2"/>
      <w:r>
        <w:rPr>
          <w:rFonts w:hint="eastAsia" w:ascii="宋体" w:hAnsi="宋体" w:eastAsia="宋体" w:cs="宋体"/>
          <w:sz w:val="24"/>
          <w:highlight w:val="none"/>
          <w:lang w:val="en-US" w:eastAsia="zh-CN"/>
        </w:rPr>
        <w:t>1、落实政府采购政策需满足的资格要求：</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供应商为中小企业/小微企业,供应商应为残疾人福利企业,落实国家政策：</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（1）根据财政部、工业和信息化部关于印发《政府采购促进中小企业发展暂行办法》的通知(财库[2020]46号)。</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投标人及其所投产品的制造商均属于《工业和信息化部、国家统计局、国家发展和改革委员会、财政部关于印发中小企业划型标准规定的通知》(工信部联企业[2020]108号)中规定的小型、微型企业标准的，按招标文件格式提供《中小企业声明函》等政府采购政策。</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（3）《财政部、发展改革委、生态环境部市场监管总局关于调整优化节能产品、环境标志产品政府采购执行机制的通知》（财库〔2019〕9号）。</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3.本项目的特定资格要求：</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供应商必须符合《中华人民共和国政府采购法》第二十二条的规定；</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（1）有效的“三证合一”的营业执照；</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法定代表人投标需携带法定代表人证明书及法定代表人身份证（原件），委托代理人投标需携带法定代表人授权委托书及委托代理人身份证（原件）；需提供社保部门出具的投标单位的缴纳社保证明（提供公司近六个月社保缴费证明及社保局出具的缴费明细），如依法不需要缴纳社会保障资金的，应提供相应文件证明（新成立不足3个月的按实际情况发生提供，成立时间超过3个月的零申报的需提供依法报税资料）。</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w:t>
      </w:r>
      <w:r>
        <w:rPr>
          <w:rFonts w:hint="eastAsia" w:ascii="宋体" w:hAnsi="宋体" w:cs="宋体"/>
          <w:sz w:val="24"/>
          <w:highlight w:val="none"/>
          <w:lang w:val="en-US" w:eastAsia="zh-CN"/>
        </w:rPr>
        <w:t>具有良好的商业信誉和健全的财务会计制度需提供会计事务所出具的近三年任一年的财务审计报告，2022年10月以后成立的公司可不提供但需提供银行出具的近三个月的资信证明和健全的财务会计制度。</w:t>
      </w:r>
      <w:r>
        <w:rPr>
          <w:rFonts w:hint="eastAsia" w:ascii="宋体" w:hAnsi="宋体" w:eastAsia="宋体" w:cs="宋体"/>
          <w:sz w:val="24"/>
          <w:highlight w:val="none"/>
          <w:lang w:val="en-US" w:eastAsia="zh-CN"/>
        </w:rPr>
        <w:t>（4）提供税务机关出具近三个月的完税证明，以税款所属时期为准，企业代缴费的完税证明（如社保，公积金等）不作为完税证明的依据。（如有免税企业，需提供免税相关材料证明，新成立公司按实际发生。）</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（6）参加政府采购活动前三年内，在经营活动中没有重大违法记录，无失信行为，（投标人须出具企业及法定代表人无重大违法记录承诺书，无失信行为承诺书）；</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（7）本项目不接受联合体投标；</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（8）企业负责人为同一人或者存在直接控股、管理关系的不同供应商，不得参加同一合同项下的政府采购活动。否则，皆取消投标资格。</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（9）同意招标文件条款声明。</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（10）投标保证金证明材料。</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（11）资质要求：</w:t>
      </w:r>
    </w:p>
    <w:p>
      <w:p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p>
      <w:pPr>
        <w:spacing w:line="360" w:lineRule="auto"/>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eastAsia="zh-CN"/>
        </w:rPr>
        <w:t>响应文件</w:t>
      </w:r>
      <w:r>
        <w:rPr>
          <w:rFonts w:hint="eastAsia" w:ascii="宋体" w:hAnsi="宋体" w:eastAsia="宋体" w:cs="宋体"/>
          <w:b/>
          <w:sz w:val="28"/>
          <w:szCs w:val="28"/>
          <w:highlight w:val="none"/>
        </w:rPr>
        <w:t>的编写及编制顺序</w:t>
      </w:r>
      <w:bookmarkEnd w:id="35"/>
    </w:p>
    <w:p>
      <w:pPr>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（二）</w:t>
      </w:r>
      <w:r>
        <w:rPr>
          <w:rFonts w:hint="eastAsia" w:ascii="宋体" w:hAnsi="宋体" w:eastAsia="宋体" w:cs="宋体"/>
          <w:b/>
          <w:sz w:val="24"/>
          <w:highlight w:val="none"/>
        </w:rPr>
        <w:t>要求</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应详细阅读</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中的条款、规范、表示、条件和格式等所有内容，按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的要求份数提供</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，并保证所提供部材料的真实性，以使其投标对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做出实质性响应。否则，其投标会被拒绝。</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（三）</w:t>
      </w:r>
      <w:r>
        <w:rPr>
          <w:rFonts w:hint="eastAsia" w:ascii="宋体" w:hAnsi="宋体" w:eastAsia="宋体" w:cs="宋体"/>
          <w:b/>
          <w:sz w:val="24"/>
          <w:highlight w:val="none"/>
        </w:rPr>
        <w:t xml:space="preserve"> </w:t>
      </w:r>
      <w:r>
        <w:rPr>
          <w:rFonts w:hint="eastAsia" w:ascii="宋体" w:hAnsi="宋体" w:eastAsia="宋体" w:cs="宋体"/>
          <w:b/>
          <w:sz w:val="24"/>
          <w:highlight w:val="none"/>
          <w:lang w:eastAsia="zh-CN"/>
        </w:rPr>
        <w:t>响应文件</w:t>
      </w:r>
      <w:r>
        <w:rPr>
          <w:rFonts w:hint="eastAsia" w:ascii="宋体" w:hAnsi="宋体" w:eastAsia="宋体" w:cs="宋体"/>
          <w:b/>
          <w:sz w:val="24"/>
          <w:highlight w:val="none"/>
        </w:rPr>
        <w:t>语言和度量单位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及</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和采购人就本次采购交换的文件和往来信件，须以中文书写。</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除在</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的术规格中另有规定外，计量单位应使用中华人民共和国法定计量单位。</w:t>
      </w:r>
    </w:p>
    <w:p>
      <w:pPr>
        <w:spacing w:line="360" w:lineRule="auto"/>
        <w:ind w:firstLine="480" w:firstLineChars="200"/>
        <w:rPr>
          <w:rFonts w:hint="eastAsia" w:ascii="宋体" w:hAnsi="宋体" w:eastAsia="宋体" w:cs="宋体"/>
          <w:sz w:val="24"/>
          <w:highlight w:val="none"/>
        </w:rPr>
      </w:pPr>
      <w:bookmarkStart w:id="36" w:name="_Toc47261054"/>
      <w:bookmarkStart w:id="37" w:name="_Toc48995835"/>
      <w:bookmarkStart w:id="38" w:name="_Toc47261869"/>
      <w:bookmarkStart w:id="39" w:name="_Toc47418239"/>
      <w:bookmarkStart w:id="40" w:name="_Toc48791219"/>
      <w:bookmarkStart w:id="41" w:name="_Toc49019220"/>
      <w:bookmarkStart w:id="42" w:name="_Toc47262053"/>
      <w:bookmarkStart w:id="43" w:name="_Toc47261674"/>
      <w:bookmarkStart w:id="44" w:name="_Toc205342862"/>
      <w:bookmarkStart w:id="45" w:name="_Toc47418715"/>
      <w:bookmarkStart w:id="46" w:name="_Toc47418922"/>
      <w:r>
        <w:rPr>
          <w:rFonts w:hint="eastAsia" w:ascii="宋体" w:hAnsi="宋体" w:eastAsia="宋体" w:cs="宋体"/>
          <w:sz w:val="24"/>
          <w:highlight w:val="none"/>
        </w:rPr>
        <w:t>3</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 xml:space="preserve">提供已印刷好的产品资料如产品样本、说明书等可以用其他语言，但在解释响应性文件时，以翻译成中文为准。 </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本</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所表述的时间均为北京时间。</w:t>
      </w:r>
    </w:p>
    <w:p>
      <w:pPr>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（四）响应文件</w:t>
      </w:r>
      <w:r>
        <w:rPr>
          <w:rFonts w:hint="eastAsia" w:ascii="宋体" w:hAnsi="宋体" w:eastAsia="宋体" w:cs="宋体"/>
          <w:b/>
          <w:sz w:val="24"/>
          <w:highlight w:val="none"/>
        </w:rPr>
        <w:t>的</w:t>
      </w:r>
      <w:bookmarkEnd w:id="36"/>
      <w:bookmarkEnd w:id="37"/>
      <w:bookmarkEnd w:id="38"/>
      <w:bookmarkEnd w:id="39"/>
      <w:bookmarkEnd w:id="40"/>
      <w:bookmarkEnd w:id="41"/>
      <w:bookmarkEnd w:id="42"/>
      <w:bookmarkEnd w:id="43"/>
      <w:bookmarkEnd w:id="44"/>
      <w:bookmarkEnd w:id="45"/>
      <w:bookmarkEnd w:id="46"/>
      <w:r>
        <w:rPr>
          <w:rFonts w:hint="eastAsia" w:ascii="宋体" w:hAnsi="宋体" w:eastAsia="宋体" w:cs="宋体"/>
          <w:b/>
          <w:sz w:val="24"/>
          <w:highlight w:val="none"/>
        </w:rPr>
        <w:t>构成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应认真阅读</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的所有内容，按</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的要求提供</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，并保证提供的全部资料的真实性，以使投标对</w:t>
      </w:r>
      <w:r>
        <w:rPr>
          <w:rFonts w:hint="eastAsia" w:ascii="宋体" w:hAnsi="宋体" w:eastAsia="宋体" w:cs="宋体"/>
          <w:color w:val="auto"/>
          <w:sz w:val="24"/>
          <w:highlight w:val="none"/>
          <w:lang w:eastAsia="zh-CN"/>
        </w:rPr>
        <w:t>磋商文件</w:t>
      </w:r>
      <w:r>
        <w:rPr>
          <w:rFonts w:hint="eastAsia" w:ascii="宋体" w:hAnsi="宋体" w:eastAsia="宋体" w:cs="宋体"/>
          <w:color w:val="auto"/>
          <w:sz w:val="24"/>
          <w:highlight w:val="none"/>
        </w:rPr>
        <w:t>作出实质性响应，否则，其投标将被拒绝。</w:t>
      </w:r>
    </w:p>
    <w:p>
      <w:pPr>
        <w:pStyle w:val="2"/>
        <w:spacing w:line="360" w:lineRule="auto"/>
        <w:ind w:firstLine="480" w:firstLineChars="200"/>
        <w:rPr>
          <w:rFonts w:hint="default" w:eastAsia="宋体"/>
          <w:color w:val="auto"/>
          <w:highlight w:val="none"/>
          <w:lang w:val="en-US" w:eastAsia="zh-CN"/>
        </w:rPr>
      </w:pPr>
      <w:r>
        <w:rPr>
          <w:rFonts w:hint="eastAsia"/>
          <w:color w:val="auto"/>
          <w:highlight w:val="none"/>
          <w:lang w:val="en-US" w:eastAsia="zh-CN"/>
        </w:rPr>
        <w:t>响应文件目录</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一、监理投标书</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二、法定代表人身份证明</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三、法定代表人授权委托书</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四、监理费用构成明细表</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五、项目总监理工程师情况一览表</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六、专业监理工程师、监理员配备一览表</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七、主要检测设备仪器一览表</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八、企业承担类似或相近工程情况一览表</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九、供应商资格条件提供材料</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十、监理大纲</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十一、保证金证明材料</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十二、承诺书</w:t>
      </w:r>
    </w:p>
    <w:p>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十三、中小企业声明函</w:t>
      </w:r>
    </w:p>
    <w:p>
      <w:pPr>
        <w:ind w:firstLine="480" w:firstLineChars="200"/>
        <w:rPr>
          <w:rFonts w:hint="eastAsia" w:ascii="宋体" w:hAnsi="宋体" w:eastAsia="宋体" w:cs="宋体"/>
          <w:sz w:val="24"/>
          <w:highlight w:val="none"/>
        </w:rPr>
      </w:pPr>
      <w:r>
        <w:rPr>
          <w:rFonts w:hint="eastAsia" w:ascii="宋体" w:hAnsi="宋体" w:eastAsia="宋体" w:cs="宋体"/>
          <w:color w:val="auto"/>
          <w:sz w:val="24"/>
          <w:highlight w:val="none"/>
        </w:rPr>
        <w:t>磋商响应人认为应附的其他资料（格式自拟）</w:t>
      </w:r>
      <w:r>
        <w:rPr>
          <w:rFonts w:hint="eastAsia" w:ascii="宋体" w:hAnsi="宋体" w:eastAsia="宋体" w:cs="宋体"/>
          <w:sz w:val="24"/>
          <w:highlight w:val="none"/>
        </w:rPr>
        <w:t>供应商必须编制完整的投标文件，按上述顺序编制目录及页码并装订成册，内容较多时可以分册装订。各册独立装订的投标文件封面必须加盖供应商单位法定印章并经供应商代表签署，供应商代表可由法定代表人或其委托代理人担任。由委托代理人签署的投标文件中，须同时提交由法定代表人签署的有效的授权委托书。</w:t>
      </w:r>
    </w:p>
    <w:p>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投标文件应装订牢固不可拆卸（如：胶订），如因装订不牢固导致的任何损失由供应商承担。供应商必须自行承担因其投标文件的任何错漏而导致的一切后果。</w:t>
      </w:r>
    </w:p>
    <w:p>
      <w:pPr>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（五）响应文件</w:t>
      </w:r>
      <w:r>
        <w:rPr>
          <w:rFonts w:hint="eastAsia" w:ascii="宋体" w:hAnsi="宋体" w:eastAsia="宋体" w:cs="宋体"/>
          <w:b/>
          <w:sz w:val="24"/>
          <w:highlight w:val="none"/>
        </w:rPr>
        <w:t>格式：</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应按</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的内容与要求和提供的格式编写其</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不得缺少或留空任何</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要求填写的格或提交的资料。如</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没有提供格式的，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可自行设置。</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响应文件应当使用</w:t>
      </w:r>
      <w:r>
        <w:rPr>
          <w:rFonts w:hint="eastAsia" w:ascii="宋体" w:hAnsi="宋体" w:eastAsia="宋体" w:cs="宋体"/>
          <w:color w:val="000000"/>
          <w:sz w:val="24"/>
          <w:lang w:val="en-US" w:eastAsia="zh-CN"/>
        </w:rPr>
        <w:t>磋商</w:t>
      </w:r>
      <w:r>
        <w:rPr>
          <w:rFonts w:hint="eastAsia" w:ascii="宋体" w:hAnsi="宋体" w:eastAsia="宋体" w:cs="宋体"/>
          <w:color w:val="000000"/>
          <w:sz w:val="24"/>
        </w:rPr>
        <w:t>文件所提供格式（表格可以按同样格式扩展）</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2.供应商</w:t>
      </w:r>
      <w:r>
        <w:rPr>
          <w:rFonts w:hint="eastAsia" w:ascii="宋体" w:hAnsi="宋体" w:eastAsia="宋体" w:cs="宋体"/>
          <w:sz w:val="24"/>
          <w:highlight w:val="none"/>
        </w:rPr>
        <w:t>应将</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按规定的顺序编排，应编制目录、逐页标注连续页码，</w:t>
      </w:r>
      <w:r>
        <w:rPr>
          <w:rFonts w:hint="eastAsia" w:ascii="宋体" w:hAnsi="宋体" w:eastAsia="宋体" w:cs="宋体"/>
          <w:sz w:val="24"/>
          <w:highlight w:val="none"/>
          <w:lang w:eastAsia="zh-CN"/>
        </w:rPr>
        <w:t>应</w:t>
      </w:r>
      <w:r>
        <w:rPr>
          <w:rFonts w:hint="eastAsia" w:ascii="宋体" w:hAnsi="宋体" w:eastAsia="宋体" w:cs="宋体"/>
          <w:sz w:val="24"/>
          <w:highlight w:val="none"/>
        </w:rPr>
        <w:t>采用胶装装订成册，</w:t>
      </w:r>
      <w:r>
        <w:rPr>
          <w:rFonts w:hint="eastAsia" w:ascii="宋体" w:hAnsi="宋体" w:eastAsia="宋体" w:cs="宋体"/>
          <w:b/>
          <w:sz w:val="24"/>
          <w:highlight w:val="none"/>
        </w:rPr>
        <w:t>不得采用活页装订，否则视为无效响应性文件。</w:t>
      </w:r>
    </w:p>
    <w:p>
      <w:pPr>
        <w:spacing w:line="360" w:lineRule="auto"/>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（六）竞标报价</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应在</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响应性明细报价表标明：所有报价均以验收后的全部费用，必须包括</w:t>
      </w:r>
      <w:r>
        <w:rPr>
          <w:rFonts w:hint="eastAsia" w:ascii="宋体" w:hAnsi="宋体" w:eastAsia="宋体" w:cs="宋体"/>
          <w:sz w:val="24"/>
          <w:highlight w:val="none"/>
          <w:lang w:val="en-US" w:eastAsia="zh-CN"/>
        </w:rPr>
        <w:t>完成本项目的所有工作的费用</w:t>
      </w:r>
      <w:r>
        <w:rPr>
          <w:rFonts w:hint="eastAsia" w:ascii="宋体" w:hAnsi="宋体" w:eastAsia="宋体" w:cs="宋体"/>
          <w:sz w:val="24"/>
          <w:highlight w:val="none"/>
        </w:rPr>
        <w:t>。</w:t>
      </w:r>
      <w:r>
        <w:rPr>
          <w:rFonts w:hint="eastAsia" w:ascii="宋体" w:hAnsi="宋体" w:eastAsia="宋体" w:cs="宋体"/>
          <w:b/>
          <w:sz w:val="24"/>
          <w:highlight w:val="none"/>
        </w:rPr>
        <w:t>何有选择的报价将不予接受。</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val="en-US" w:eastAsia="zh-CN"/>
        </w:rPr>
        <w:t>2.</w:t>
      </w:r>
      <w:r>
        <w:rPr>
          <w:rFonts w:hint="eastAsia" w:ascii="宋体" w:hAnsi="宋体" w:eastAsia="宋体" w:cs="宋体"/>
          <w:b/>
          <w:sz w:val="24"/>
          <w:highlight w:val="none"/>
          <w:lang w:eastAsia="zh-CN"/>
        </w:rPr>
        <w:t>竞标报价</w:t>
      </w:r>
      <w:r>
        <w:rPr>
          <w:rFonts w:hint="eastAsia" w:ascii="宋体" w:hAnsi="宋体" w:eastAsia="宋体" w:cs="宋体"/>
          <w:b/>
          <w:sz w:val="24"/>
          <w:highlight w:val="none"/>
        </w:rPr>
        <w:t>时应注意下列几点：</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.1本项目如非因重大需求变化导致成本增加，不得追加费用，</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应该考虑但没有考虑到的任何费用将由</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自行承担；</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w:t>
      </w:r>
      <w:r>
        <w:rPr>
          <w:rFonts w:hint="eastAsia" w:ascii="宋体" w:hAnsi="宋体" w:eastAsia="宋体" w:cs="宋体"/>
          <w:b/>
          <w:sz w:val="24"/>
          <w:highlight w:val="none"/>
        </w:rPr>
        <w:t xml:space="preserve"> </w:t>
      </w:r>
      <w:r>
        <w:rPr>
          <w:rFonts w:hint="eastAsia" w:ascii="宋体" w:hAnsi="宋体" w:eastAsia="宋体" w:cs="宋体"/>
          <w:sz w:val="24"/>
          <w:highlight w:val="none"/>
          <w:lang w:eastAsia="zh-CN"/>
        </w:rPr>
        <w:t>竞标报价</w:t>
      </w:r>
      <w:r>
        <w:rPr>
          <w:rFonts w:hint="eastAsia" w:ascii="宋体" w:hAnsi="宋体" w:eastAsia="宋体" w:cs="宋体"/>
          <w:sz w:val="24"/>
          <w:highlight w:val="none"/>
        </w:rPr>
        <w:t>超过</w:t>
      </w:r>
      <w:r>
        <w:rPr>
          <w:rFonts w:hint="eastAsia" w:ascii="宋体" w:hAnsi="宋体" w:eastAsia="宋体" w:cs="宋体"/>
          <w:sz w:val="24"/>
          <w:highlight w:val="none"/>
          <w:lang w:val="en-US" w:eastAsia="zh-CN"/>
        </w:rPr>
        <w:t>采购预算</w:t>
      </w:r>
      <w:r>
        <w:rPr>
          <w:rFonts w:hint="eastAsia" w:ascii="宋体" w:hAnsi="宋体" w:eastAsia="宋体" w:cs="宋体"/>
          <w:sz w:val="24"/>
          <w:highlight w:val="none"/>
        </w:rPr>
        <w:t>的，</w:t>
      </w:r>
      <w:r>
        <w:rPr>
          <w:rFonts w:hint="eastAsia" w:ascii="宋体" w:hAnsi="宋体" w:eastAsia="宋体" w:cs="宋体"/>
          <w:sz w:val="24"/>
          <w:highlight w:val="none"/>
          <w:lang w:val="en-US" w:eastAsia="zh-CN"/>
        </w:rPr>
        <w:t>按废标处理</w:t>
      </w:r>
      <w:r>
        <w:rPr>
          <w:rFonts w:hint="eastAsia" w:ascii="宋体" w:hAnsi="宋体" w:eastAsia="宋体" w:cs="宋体"/>
          <w:sz w:val="24"/>
          <w:highlight w:val="none"/>
        </w:rPr>
        <w:t>。</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2.3</w:t>
      </w:r>
      <w:r>
        <w:rPr>
          <w:rFonts w:hint="eastAsia" w:ascii="宋体" w:hAnsi="宋体" w:eastAsia="宋体" w:cs="宋体"/>
          <w:sz w:val="24"/>
          <w:highlight w:val="none"/>
          <w:lang w:val="en-US" w:eastAsia="zh-CN"/>
        </w:rPr>
        <w:t>本项目投标报价应包含但不限于以下全部费用，供应商不得再向采购人收取任何费用。主要包含（产品价款、备品备件价、易损件价、专用工具价、相关配件、附件、安装材料及零配件价）及其它的所有费用，包含所投产品的购置税、制作费、检验费、检测费、检定费、仓储费、运输费、装卸费、安装调试费，商检费用、银行费用、税费及一切技术和售后服务费（含相关技术指导与培训费）等所有不可预见的隐含费用（以上费用如涉及到多次需求，所有费用都包含在内），如涉及软件许可使用或技术指导、人员培训，还应包括软件许可费以及一切技术服务费、人员培训费。</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2.4</w:t>
      </w:r>
      <w:r>
        <w:rPr>
          <w:rFonts w:hint="eastAsia" w:ascii="宋体" w:hAnsi="宋体" w:eastAsia="宋体" w:cs="宋体"/>
          <w:sz w:val="24"/>
          <w:highlight w:val="none"/>
          <w:lang w:val="en-US" w:eastAsia="zh-CN"/>
        </w:rPr>
        <w:t>供应商应以人民币报价。供应商漏报的单价或每单价报价中漏报、少报的费用，视为此项费用已隐含在投标报价中，成交人不得再向采购人收取任何费用。</w:t>
      </w:r>
    </w:p>
    <w:p>
      <w:pPr>
        <w:snapToGrid w:val="0"/>
        <w:spacing w:line="400" w:lineRule="exact"/>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2.5</w:t>
      </w:r>
      <w:r>
        <w:rPr>
          <w:rFonts w:hint="eastAsia" w:ascii="宋体" w:hAnsi="宋体" w:eastAsia="宋体" w:cs="宋体"/>
          <w:sz w:val="24"/>
          <w:highlight w:val="none"/>
          <w:lang w:val="en-US" w:eastAsia="zh-CN"/>
        </w:rPr>
        <w:t>供应商的报价明显低于其他投标报价，使得其投标报价可能低于其个别成本的，应当要求该供应商作出书面说明并提供相关证明材料。供应商不能合理说明或者不能提供相关证明材料的，由评标委员会认定该供应商以低于成本报价竞标其投标应作无效标处理。</w:t>
      </w:r>
    </w:p>
    <w:p>
      <w:pPr>
        <w:snapToGrid w:val="0"/>
        <w:spacing w:line="4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   2.6本次报价须为人民币报价，中标后的价格为一次性不变价，在合同有效期内不做调整。 </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（七）竞标报价</w:t>
      </w:r>
      <w:r>
        <w:rPr>
          <w:rFonts w:hint="eastAsia" w:ascii="宋体" w:hAnsi="宋体" w:eastAsia="宋体" w:cs="宋体"/>
          <w:b/>
          <w:sz w:val="24"/>
          <w:highlight w:val="none"/>
        </w:rPr>
        <w:t>的货币单位</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1 </w:t>
      </w:r>
      <w:r>
        <w:rPr>
          <w:rFonts w:hint="eastAsia" w:ascii="宋体" w:hAnsi="宋体" w:eastAsia="宋体" w:cs="宋体"/>
          <w:sz w:val="24"/>
          <w:highlight w:val="none"/>
          <w:lang w:eastAsia="zh-CN"/>
        </w:rPr>
        <w:t>竞标报价</w:t>
      </w:r>
      <w:r>
        <w:rPr>
          <w:rFonts w:hint="eastAsia" w:ascii="宋体" w:hAnsi="宋体" w:eastAsia="宋体" w:cs="宋体"/>
          <w:sz w:val="24"/>
          <w:highlight w:val="none"/>
        </w:rPr>
        <w:t>应以人民币方式报价，各项价格必须清楚、准确、详细。</w:t>
      </w:r>
    </w:p>
    <w:p>
      <w:pPr>
        <w:spacing w:line="360" w:lineRule="auto"/>
        <w:ind w:firstLine="482" w:firstLineChars="200"/>
        <w:rPr>
          <w:rFonts w:hint="eastAsia" w:ascii="宋体" w:hAnsi="宋体" w:eastAsia="宋体" w:cs="宋体"/>
          <w:sz w:val="24"/>
          <w:highlight w:val="none"/>
          <w:lang w:eastAsia="zh-CN"/>
        </w:rPr>
      </w:pPr>
      <w:r>
        <w:rPr>
          <w:rFonts w:hint="eastAsia" w:ascii="宋体" w:hAnsi="宋体" w:eastAsia="宋体" w:cs="宋体"/>
          <w:b/>
          <w:sz w:val="24"/>
          <w:highlight w:val="none"/>
          <w:lang w:eastAsia="zh-CN"/>
        </w:rPr>
        <w:t>（八）磋商文件</w:t>
      </w:r>
      <w:r>
        <w:rPr>
          <w:rFonts w:hint="eastAsia" w:ascii="宋体" w:hAnsi="宋体" w:eastAsia="宋体" w:cs="宋体"/>
          <w:b/>
          <w:sz w:val="24"/>
          <w:highlight w:val="none"/>
        </w:rPr>
        <w:t>规定的技术</w:t>
      </w:r>
      <w:r>
        <w:rPr>
          <w:rFonts w:hint="eastAsia" w:ascii="宋体" w:hAnsi="宋体" w:eastAsia="宋体" w:cs="宋体"/>
          <w:b/>
          <w:sz w:val="24"/>
          <w:highlight w:val="none"/>
          <w:lang w:eastAsia="zh-CN"/>
        </w:rPr>
        <w:t>响应文件</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1供应商</w:t>
      </w:r>
      <w:r>
        <w:rPr>
          <w:rFonts w:hint="eastAsia" w:ascii="宋体" w:hAnsi="宋体" w:eastAsia="宋体" w:cs="宋体"/>
          <w:sz w:val="24"/>
          <w:highlight w:val="none"/>
        </w:rPr>
        <w:t>须提交证明</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证明其拟</w:t>
      </w:r>
      <w:r>
        <w:rPr>
          <w:rFonts w:hint="eastAsia" w:ascii="宋体" w:hAnsi="宋体" w:eastAsia="宋体" w:cs="宋体"/>
          <w:sz w:val="24"/>
          <w:highlight w:val="none"/>
        </w:rPr>
        <w:t>投标的服务符合</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规定，该证明文件作为</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的一部分。</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证明服务与</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要求一致的文件，可以是文字资料、图纸和数据，它包括：</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主要服务方案</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）对照</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技术规格、参数与要求，逐条说明所提供服务做出了实质性的响应，或申明与技术规格、参数与要求条文的偏差和例外。特别对于有具体参数要求的指标，</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必须提供所投设备的具体参数值。</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没有按要求提供资料或提供资料不完全的，将被视为对</w:t>
      </w:r>
      <w:r>
        <w:rPr>
          <w:rFonts w:hint="eastAsia" w:ascii="宋体" w:hAnsi="宋体" w:eastAsia="宋体" w:cs="宋体"/>
          <w:sz w:val="24"/>
          <w:highlight w:val="none"/>
          <w:lang w:eastAsia="zh-CN"/>
        </w:rPr>
        <w:t>磋商文件</w:t>
      </w:r>
      <w:r>
        <w:rPr>
          <w:rFonts w:hint="eastAsia" w:ascii="宋体" w:hAnsi="宋体" w:eastAsia="宋体" w:cs="宋体"/>
          <w:sz w:val="24"/>
          <w:highlight w:val="none"/>
        </w:rPr>
        <w:t>没有做出实质性响应，其风险由</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自行承担。</w:t>
      </w:r>
    </w:p>
    <w:p>
      <w:pPr>
        <w:pStyle w:val="5"/>
        <w:rPr>
          <w:rFonts w:hint="default"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4.供应商应对投标设备（货物）提供完整的详细的技术说明，如供应商对指定的技术要求建议做任何改动，应在投标文件中清楚地注明。</w:t>
      </w:r>
    </w:p>
    <w:p>
      <w:pPr>
        <w:spacing w:line="360" w:lineRule="auto"/>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lang w:eastAsia="zh-CN"/>
        </w:rPr>
        <w:t>（九）磋商有效期</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从开标之日起，</w:t>
      </w:r>
      <w:r>
        <w:rPr>
          <w:rFonts w:hint="eastAsia" w:ascii="宋体" w:hAnsi="宋体" w:eastAsia="宋体" w:cs="宋体"/>
          <w:sz w:val="24"/>
          <w:highlight w:val="none"/>
          <w:lang w:eastAsia="zh-CN"/>
        </w:rPr>
        <w:t>磋商有效期</w:t>
      </w:r>
      <w:r>
        <w:rPr>
          <w:rFonts w:hint="eastAsia" w:ascii="宋体" w:hAnsi="宋体" w:eastAsia="宋体" w:cs="宋体"/>
          <w:sz w:val="24"/>
          <w:highlight w:val="none"/>
          <w:lang w:val="en-US" w:eastAsia="zh-CN"/>
        </w:rPr>
        <w:t>90</w:t>
      </w:r>
      <w:r>
        <w:rPr>
          <w:rFonts w:hint="eastAsia" w:ascii="宋体" w:hAnsi="宋体" w:eastAsia="宋体" w:cs="宋体"/>
          <w:sz w:val="24"/>
          <w:highlight w:val="none"/>
          <w:lang w:eastAsia="zh-CN"/>
        </w:rPr>
        <w:t>天（如不</w:t>
      </w:r>
      <w:r>
        <w:rPr>
          <w:rFonts w:hint="eastAsia" w:ascii="宋体" w:hAnsi="宋体" w:eastAsia="宋体" w:cs="宋体"/>
          <w:sz w:val="24"/>
          <w:highlight w:val="none"/>
        </w:rPr>
        <w:t>满足将导致废标）在此期限内，凡符合本谈判文件要求的谈判响应文件均保持有效。。</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在特殊情况下，采购人在原定谈判有效期内，可以根据需要以书面形式向谈判响应人提出延长谈判有效期的要求，对此要求谈判响应人须以书面形式予以答复。同意延长谈判有效期的谈判响应人既不能要求也不允许修改其谈判响应文件。</w:t>
      </w: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lang w:eastAsia="zh-CN"/>
        </w:rPr>
        <w:t>（十）响应文件</w:t>
      </w:r>
      <w:r>
        <w:rPr>
          <w:rFonts w:hint="eastAsia" w:ascii="宋体" w:hAnsi="宋体" w:eastAsia="宋体" w:cs="宋体"/>
          <w:b/>
          <w:sz w:val="24"/>
          <w:highlight w:val="none"/>
        </w:rPr>
        <w:t>的签署规定</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的页面必须用印刷体打印。</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应清楚工整，一般不准修改。个别非实质性修改之处应由</w:t>
      </w:r>
      <w:r>
        <w:rPr>
          <w:rFonts w:hint="eastAsia" w:ascii="宋体" w:hAnsi="宋体" w:eastAsia="宋体" w:cs="宋体"/>
          <w:sz w:val="24"/>
          <w:highlight w:val="none"/>
          <w:lang w:val="en-US" w:eastAsia="zh-CN"/>
        </w:rPr>
        <w:t>应商</w:t>
      </w:r>
      <w:r>
        <w:rPr>
          <w:rFonts w:hint="eastAsia" w:ascii="宋体" w:hAnsi="宋体" w:eastAsia="宋体" w:cs="宋体"/>
          <w:sz w:val="24"/>
          <w:highlight w:val="none"/>
        </w:rPr>
        <w:t>的被授权人或法人代表签章。</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应由法人代表或授权代表在规定的签章处逐一</w:t>
      </w:r>
      <w:r>
        <w:rPr>
          <w:rFonts w:hint="eastAsia" w:ascii="宋体" w:hAnsi="宋体" w:eastAsia="宋体" w:cs="宋体"/>
          <w:sz w:val="24"/>
          <w:highlight w:val="none"/>
          <w:lang w:val="en-US" w:eastAsia="zh-CN"/>
        </w:rPr>
        <w:t>签字或盖章</w:t>
      </w:r>
      <w:r>
        <w:rPr>
          <w:rFonts w:hint="eastAsia" w:ascii="宋体" w:hAnsi="宋体" w:eastAsia="宋体" w:cs="宋体"/>
          <w:sz w:val="24"/>
          <w:highlight w:val="none"/>
        </w:rPr>
        <w:t>并加盖单位公章。所有法人代表、法人代表授权人签字</w:t>
      </w:r>
      <w:r>
        <w:rPr>
          <w:rFonts w:hint="eastAsia" w:ascii="宋体" w:hAnsi="宋体" w:eastAsia="宋体" w:cs="宋体"/>
          <w:sz w:val="24"/>
          <w:highlight w:val="none"/>
          <w:lang w:val="en-US" w:eastAsia="zh-CN"/>
        </w:rPr>
        <w:t>或盖章处，</w:t>
      </w:r>
      <w:r>
        <w:rPr>
          <w:rFonts w:hint="eastAsia" w:ascii="宋体" w:hAnsi="宋体" w:eastAsia="宋体" w:cs="宋体"/>
          <w:sz w:val="24"/>
          <w:highlight w:val="none"/>
        </w:rPr>
        <w:t>必须</w:t>
      </w:r>
      <w:r>
        <w:rPr>
          <w:rFonts w:hint="eastAsia" w:ascii="宋体" w:hAnsi="宋体" w:eastAsia="宋体" w:cs="宋体"/>
          <w:sz w:val="24"/>
          <w:highlight w:val="none"/>
          <w:lang w:val="en-US" w:eastAsia="zh-CN"/>
        </w:rPr>
        <w:t>签字或</w:t>
      </w:r>
      <w:r>
        <w:rPr>
          <w:rFonts w:hint="eastAsia" w:ascii="宋体" w:hAnsi="宋体" w:eastAsia="宋体" w:cs="宋体"/>
          <w:sz w:val="24"/>
          <w:highlight w:val="none"/>
        </w:rPr>
        <w:t>加盖</w:t>
      </w:r>
      <w:r>
        <w:rPr>
          <w:rFonts w:hint="eastAsia" w:ascii="宋体" w:hAnsi="宋体" w:eastAsia="宋体" w:cs="宋体"/>
          <w:sz w:val="24"/>
          <w:highlight w:val="none"/>
          <w:lang w:val="en-US" w:eastAsia="zh-CN"/>
        </w:rPr>
        <w:t>后才</w:t>
      </w:r>
      <w:r>
        <w:rPr>
          <w:rFonts w:hint="eastAsia" w:ascii="宋体" w:hAnsi="宋体" w:eastAsia="宋体" w:cs="宋体"/>
          <w:sz w:val="24"/>
          <w:highlight w:val="none"/>
        </w:rPr>
        <w:t>具有法律效力，</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方为有效。</w:t>
      </w:r>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所有</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必须提交一式</w:t>
      </w:r>
      <w:r>
        <w:rPr>
          <w:rFonts w:hint="eastAsia" w:ascii="宋体" w:hAnsi="宋体" w:eastAsia="宋体" w:cs="宋体"/>
          <w:sz w:val="24"/>
          <w:highlight w:val="none"/>
          <w:lang w:val="en-US" w:eastAsia="zh-CN"/>
        </w:rPr>
        <w:t>四</w:t>
      </w:r>
      <w:r>
        <w:rPr>
          <w:rFonts w:hint="eastAsia" w:ascii="宋体" w:hAnsi="宋体" w:eastAsia="宋体" w:cs="宋体"/>
          <w:sz w:val="24"/>
          <w:highlight w:val="none"/>
        </w:rPr>
        <w:t>份，其中正本一份、副本</w:t>
      </w:r>
      <w:r>
        <w:rPr>
          <w:rFonts w:hint="eastAsia" w:ascii="宋体" w:hAnsi="宋体" w:eastAsia="宋体" w:cs="宋体"/>
          <w:sz w:val="24"/>
          <w:highlight w:val="none"/>
          <w:lang w:val="en-US" w:eastAsia="zh-CN"/>
        </w:rPr>
        <w:t>三</w:t>
      </w:r>
      <w:r>
        <w:rPr>
          <w:rFonts w:hint="eastAsia" w:ascii="宋体" w:hAnsi="宋体" w:eastAsia="宋体" w:cs="宋体"/>
          <w:sz w:val="24"/>
          <w:highlight w:val="none"/>
        </w:rPr>
        <w:t>份（</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一律不退），并在</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封面清楚标明“正本”</w:t>
      </w:r>
      <w:r>
        <w:rPr>
          <w:rFonts w:hint="eastAsia" w:ascii="宋体" w:hAnsi="宋体" w:eastAsia="宋体" w:cs="宋体"/>
          <w:sz w:val="24"/>
          <w:highlight w:val="none"/>
          <w:lang w:eastAsia="zh-CN"/>
        </w:rPr>
        <w:t>、</w:t>
      </w:r>
      <w:r>
        <w:rPr>
          <w:rFonts w:hint="eastAsia" w:ascii="宋体" w:hAnsi="宋体" w:eastAsia="宋体" w:cs="宋体"/>
          <w:sz w:val="24"/>
          <w:highlight w:val="none"/>
        </w:rPr>
        <w:t>“副本”</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电子版响应文件</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sz w:val="24"/>
          <w:highlight w:val="none"/>
          <w:lang w:val="en-US" w:eastAsia="zh-CN"/>
        </w:rPr>
        <w:t>报价一览表</w:t>
      </w:r>
      <w:r>
        <w:rPr>
          <w:rFonts w:hint="eastAsia" w:ascii="宋体" w:hAnsi="宋体" w:eastAsia="宋体" w:cs="宋体"/>
          <w:sz w:val="24"/>
          <w:highlight w:val="none"/>
        </w:rPr>
        <w:t>”字样</w:t>
      </w:r>
      <w:r>
        <w:rPr>
          <w:rFonts w:hint="eastAsia" w:ascii="宋体" w:hAnsi="宋体"/>
          <w:sz w:val="24"/>
          <w:highlight w:val="none"/>
          <w:lang w:val="en-US" w:eastAsia="zh-CN"/>
        </w:rPr>
        <w:t>。</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w:t>
      </w:r>
      <w:r>
        <w:rPr>
          <w:rFonts w:hint="eastAsia" w:ascii="宋体" w:hAnsi="宋体" w:eastAsia="宋体" w:cs="宋体"/>
          <w:sz w:val="24"/>
          <w:highlight w:val="none"/>
        </w:rPr>
        <w:t>的正本与副本应当完全一致。当正本和副本之间出现差异时，以正本为准。</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 xml:space="preserve"> 电报、电话、传真、电子邮件等形式的投标概不接受。</w:t>
      </w:r>
    </w:p>
    <w:p>
      <w:pPr>
        <w:pStyle w:val="5"/>
        <w:ind w:firstLine="480" w:firstLineChars="200"/>
        <w:rPr>
          <w:rFonts w:hint="eastAsia" w:ascii="宋体" w:hAnsi="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7.供应商应仔细阅读招标文件的所有内容，按招标文件的要求制作并递交投标文件，并保证所提供的全部资料的真实性、准确性，以确保其投标对招标文件做出实质性响应；否则，将拒绝其投标。供应商在投标中提供不真实的材料，无论其材料是否重要，都将直接导致投标文件无效，并承担由此产生的法律责任。</w:t>
      </w:r>
      <w:r>
        <w:rPr>
          <w:rFonts w:hint="eastAsia" w:ascii="宋体" w:hAnsi="宋体" w:cs="宋体"/>
          <w:b w:val="0"/>
          <w:kern w:val="2"/>
          <w:sz w:val="24"/>
          <w:szCs w:val="24"/>
          <w:highlight w:val="none"/>
          <w:lang w:val="en-US" w:eastAsia="zh-CN" w:bidi="ar-SA"/>
        </w:rPr>
        <w:t xml:space="preserve"> </w:t>
      </w:r>
    </w:p>
    <w:p>
      <w:pPr>
        <w:spacing w:line="360" w:lineRule="auto"/>
        <w:ind w:firstLine="482" w:firstLineChars="200"/>
        <w:rPr>
          <w:rFonts w:hint="eastAsia" w:ascii="宋体" w:hAnsi="宋体" w:eastAsia="宋体" w:cs="宋体"/>
          <w:sz w:val="24"/>
          <w:highlight w:val="none"/>
          <w:lang w:val="en-US" w:eastAsia="zh-CN"/>
        </w:rPr>
      </w:pPr>
      <w:r>
        <w:rPr>
          <w:rFonts w:hint="eastAsia" w:ascii="宋体" w:hAnsi="宋体" w:eastAsia="宋体" w:cs="宋体"/>
          <w:b/>
          <w:sz w:val="24"/>
          <w:highlight w:val="none"/>
          <w:lang w:eastAsia="zh-CN"/>
        </w:rPr>
        <w:t>（十一）</w:t>
      </w:r>
      <w:r>
        <w:rPr>
          <w:rFonts w:hint="eastAsia" w:ascii="宋体" w:hAnsi="宋体" w:eastAsia="宋体" w:cs="宋体"/>
          <w:b/>
          <w:sz w:val="24"/>
          <w:highlight w:val="none"/>
          <w:lang w:val="en-US" w:eastAsia="zh-CN"/>
        </w:rPr>
        <w:t>招标代理</w:t>
      </w:r>
      <w:r>
        <w:rPr>
          <w:rFonts w:hint="eastAsia" w:ascii="宋体" w:hAnsi="宋体" w:eastAsia="宋体" w:cs="宋体"/>
          <w:b/>
          <w:sz w:val="24"/>
          <w:highlight w:val="none"/>
        </w:rPr>
        <w:t>服务费</w:t>
      </w:r>
      <w:bookmarkEnd w:id="34"/>
    </w:p>
    <w:p>
      <w:pPr>
        <w:spacing w:line="360" w:lineRule="auto"/>
        <w:ind w:firstLine="480" w:firstLineChars="200"/>
        <w:rPr>
          <w:rFonts w:hint="eastAsia" w:ascii="宋体" w:hAnsi="宋体" w:cs="宋体"/>
          <w:sz w:val="24"/>
          <w:highlight w:val="none"/>
          <w:lang w:val="en-US" w:eastAsia="zh-CN"/>
        </w:rPr>
      </w:pPr>
      <w:r>
        <w:rPr>
          <w:rFonts w:hint="eastAsia" w:ascii="宋体" w:hAnsi="宋体" w:eastAsia="宋体" w:cs="宋体"/>
          <w:sz w:val="24"/>
          <w:highlight w:val="none"/>
          <w:lang w:val="en-US" w:eastAsia="zh-CN"/>
        </w:rPr>
        <w:t>参考国家计委计价格【2002】1980号文及国家现行收费标准收取</w:t>
      </w:r>
      <w:r>
        <w:rPr>
          <w:rFonts w:hint="eastAsia" w:ascii="宋体" w:hAnsi="宋体" w:cs="宋体"/>
          <w:sz w:val="24"/>
          <w:highlight w:val="none"/>
          <w:lang w:val="en-US" w:eastAsia="zh-CN"/>
        </w:rPr>
        <w:t>。</w:t>
      </w:r>
    </w:p>
    <w:p>
      <w:pPr>
        <w:spacing w:line="360" w:lineRule="auto"/>
        <w:ind w:firstLine="480" w:firstLineChars="200"/>
        <w:rPr>
          <w:rFonts w:hint="default"/>
          <w:lang w:val="en-US" w:eastAsia="zh-CN"/>
        </w:rPr>
      </w:pPr>
      <w:r>
        <w:rPr>
          <w:rFonts w:hint="eastAsia" w:ascii="宋体" w:hAnsi="宋体" w:cs="宋体"/>
          <w:sz w:val="24"/>
          <w:highlight w:val="none"/>
          <w:lang w:val="en-US" w:eastAsia="zh-CN"/>
        </w:rPr>
        <w:t>无论本次结果如何，供应商须自行承担所有与投标有关的全部费用。</w:t>
      </w:r>
    </w:p>
    <w:p>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color w:val="auto"/>
          <w:sz w:val="24"/>
          <w:highlight w:val="none"/>
          <w:lang w:eastAsia="zh-CN"/>
        </w:rPr>
        <w:t>（十二）</w:t>
      </w:r>
      <w:r>
        <w:rPr>
          <w:rFonts w:hint="eastAsia" w:ascii="宋体" w:hAnsi="宋体" w:eastAsia="宋体" w:cs="宋体"/>
          <w:b/>
          <w:bCs/>
          <w:color w:val="auto"/>
          <w:sz w:val="24"/>
          <w:highlight w:val="none"/>
        </w:rPr>
        <w:t>磋商保证金</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供应商需提交投标保证金（投标保证金额、银行账号</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递交截止时间</w:t>
      </w:r>
      <w:r>
        <w:rPr>
          <w:rFonts w:hint="eastAsia" w:ascii="宋体" w:hAnsi="宋体" w:eastAsia="宋体" w:cs="宋体"/>
          <w:sz w:val="24"/>
          <w:highlight w:val="none"/>
        </w:rPr>
        <w:t>见前附表），并作为投标组成部分之一。</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于未按要求提交投标保证金的，将被视为非响应性投标而予以拒绝。</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下列任何情况发生时，投标保证金将被没收:</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（1）供应商在</w:t>
      </w:r>
      <w:r>
        <w:rPr>
          <w:rFonts w:hint="eastAsia" w:ascii="宋体" w:hAnsi="宋体" w:eastAsia="宋体" w:cs="宋体"/>
          <w:sz w:val="24"/>
          <w:highlight w:val="none"/>
          <w:lang w:eastAsia="zh-CN"/>
        </w:rPr>
        <w:t>磋商有效期</w:t>
      </w:r>
      <w:r>
        <w:rPr>
          <w:rFonts w:hint="eastAsia" w:ascii="宋体" w:hAnsi="宋体" w:eastAsia="宋体" w:cs="宋体"/>
          <w:sz w:val="24"/>
          <w:highlight w:val="none"/>
        </w:rPr>
        <w:t>内撤回其响应文件的；</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（2）成交人未在规定期限内及时签订项目合同的；</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响应人违反有关规定，串通作弊；</w:t>
      </w:r>
    </w:p>
    <w:p>
      <w:pPr>
        <w:spacing w:line="360" w:lineRule="auto"/>
        <w:ind w:firstLine="480" w:firstLineChars="200"/>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lang w:eastAsia="zh-CN"/>
        </w:rPr>
        <w:t>）磋商</w:t>
      </w:r>
      <w:r>
        <w:rPr>
          <w:rFonts w:hint="eastAsia" w:ascii="宋体" w:hAnsi="宋体" w:eastAsia="宋体" w:cs="宋体"/>
          <w:sz w:val="24"/>
          <w:highlight w:val="none"/>
        </w:rPr>
        <w:t>响应人提供假证件的</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）其它违反政府采购法律法规的有关情况。</w:t>
      </w:r>
    </w:p>
    <w:p>
      <w:pPr>
        <w:spacing w:line="520" w:lineRule="exact"/>
        <w:ind w:firstLine="500"/>
        <w:rPr>
          <w:rFonts w:hint="eastAsia" w:ascii="宋体" w:hAnsi="宋体" w:eastAsia="宋体" w:cs="宋体"/>
          <w:color w:val="000000"/>
          <w:sz w:val="24"/>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w:t>
      </w:r>
      <w:r>
        <w:rPr>
          <w:rFonts w:hint="eastAsia" w:ascii="宋体" w:hAnsi="宋体" w:eastAsia="宋体" w:cs="宋体"/>
          <w:color w:val="000000"/>
          <w:sz w:val="24"/>
        </w:rPr>
        <w:t>对于未能按要求提交</w:t>
      </w:r>
      <w:r>
        <w:rPr>
          <w:rFonts w:hint="eastAsia" w:ascii="宋体" w:hAnsi="宋体" w:eastAsia="宋体" w:cs="宋体"/>
          <w:sz w:val="24"/>
          <w:highlight w:val="none"/>
          <w:lang w:eastAsia="zh-CN"/>
        </w:rPr>
        <w:t>磋商</w:t>
      </w:r>
      <w:r>
        <w:rPr>
          <w:rFonts w:hint="eastAsia" w:ascii="宋体" w:hAnsi="宋体" w:eastAsia="宋体" w:cs="宋体"/>
          <w:color w:val="000000"/>
          <w:sz w:val="24"/>
        </w:rPr>
        <w:t>保证金的谈判，采购人将视为不响应</w:t>
      </w:r>
      <w:r>
        <w:rPr>
          <w:rFonts w:hint="eastAsia" w:ascii="宋体" w:hAnsi="宋体" w:eastAsia="宋体" w:cs="宋体"/>
          <w:sz w:val="24"/>
          <w:highlight w:val="none"/>
          <w:lang w:eastAsia="zh-CN"/>
        </w:rPr>
        <w:t>磋商</w:t>
      </w:r>
      <w:r>
        <w:rPr>
          <w:rFonts w:hint="eastAsia" w:ascii="宋体" w:hAnsi="宋体" w:eastAsia="宋体" w:cs="宋体"/>
          <w:color w:val="000000"/>
          <w:sz w:val="24"/>
        </w:rPr>
        <w:t>文件而予以拒绝。</w:t>
      </w:r>
    </w:p>
    <w:p>
      <w:pPr>
        <w:spacing w:line="520" w:lineRule="exact"/>
        <w:ind w:firstLine="500"/>
        <w:rPr>
          <w:rFonts w:hint="eastAsia" w:eastAsia="宋体"/>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lang w:eastAsia="zh-CN"/>
        </w:rPr>
        <w:t>）</w:t>
      </w:r>
      <w:r>
        <w:rPr>
          <w:rFonts w:hint="eastAsia" w:ascii="宋体" w:hAnsi="宋体" w:eastAsia="宋体" w:cs="宋体"/>
          <w:color w:val="000000"/>
          <w:sz w:val="24"/>
        </w:rPr>
        <w:t>在</w:t>
      </w:r>
      <w:r>
        <w:rPr>
          <w:rFonts w:hint="eastAsia" w:ascii="宋体" w:hAnsi="宋体" w:eastAsia="宋体" w:cs="宋体"/>
          <w:sz w:val="24"/>
          <w:highlight w:val="none"/>
          <w:lang w:eastAsia="zh-CN"/>
        </w:rPr>
        <w:t>磋商</w:t>
      </w:r>
      <w:r>
        <w:rPr>
          <w:rFonts w:hint="eastAsia" w:ascii="宋体" w:hAnsi="宋体" w:eastAsia="宋体" w:cs="宋体"/>
          <w:color w:val="000000"/>
          <w:sz w:val="24"/>
        </w:rPr>
        <w:t>有效期满后五个工作日内向未成交人退还</w:t>
      </w:r>
      <w:r>
        <w:rPr>
          <w:rFonts w:hint="eastAsia" w:ascii="宋体" w:hAnsi="宋体" w:eastAsia="宋体" w:cs="宋体"/>
          <w:sz w:val="24"/>
          <w:highlight w:val="none"/>
          <w:lang w:eastAsia="zh-CN"/>
        </w:rPr>
        <w:t>磋商</w:t>
      </w:r>
      <w:r>
        <w:rPr>
          <w:rFonts w:hint="eastAsia" w:ascii="宋体" w:hAnsi="宋体" w:eastAsia="宋体" w:cs="宋体"/>
          <w:color w:val="000000"/>
          <w:sz w:val="24"/>
        </w:rPr>
        <w:t>保证金。在</w:t>
      </w:r>
      <w:r>
        <w:rPr>
          <w:rFonts w:hint="eastAsia" w:ascii="宋体" w:hAnsi="宋体" w:eastAsia="宋体" w:cs="宋体"/>
          <w:sz w:val="24"/>
          <w:highlight w:val="none"/>
          <w:lang w:eastAsia="zh-CN"/>
        </w:rPr>
        <w:t>磋商</w:t>
      </w:r>
      <w:r>
        <w:rPr>
          <w:rFonts w:hint="eastAsia" w:ascii="宋体" w:hAnsi="宋体" w:eastAsia="宋体" w:cs="宋体"/>
          <w:color w:val="000000"/>
          <w:sz w:val="24"/>
        </w:rPr>
        <w:t>有效期满前确定成交人的，在确定成交人后五个工作日内退还。</w:t>
      </w:r>
    </w:p>
    <w:p>
      <w:pPr>
        <w:pStyle w:val="19"/>
        <w:rPr>
          <w:rFonts w:hint="eastAsia" w:eastAsia="宋体"/>
          <w:lang w:eastAsia="zh-CN"/>
        </w:rPr>
      </w:pPr>
    </w:p>
    <w:p>
      <w:pPr>
        <w:spacing w:line="360" w:lineRule="auto"/>
        <w:ind w:firstLine="482" w:firstLineChars="200"/>
        <w:jc w:val="left"/>
        <w:rPr>
          <w:rFonts w:hint="eastAsia" w:ascii="宋体" w:hAnsi="宋体" w:eastAsia="宋体" w:cs="宋体"/>
          <w:sz w:val="24"/>
          <w:highlight w:val="none"/>
          <w:lang w:eastAsia="zh-CN"/>
        </w:rPr>
      </w:pPr>
      <w:bookmarkStart w:id="47" w:name="_Toc4057"/>
      <w:r>
        <w:rPr>
          <w:rFonts w:hint="eastAsia" w:ascii="宋体" w:hAnsi="宋体" w:eastAsia="宋体" w:cs="宋体"/>
          <w:b/>
          <w:sz w:val="24"/>
          <w:highlight w:val="none"/>
          <w:lang w:eastAsia="zh-CN"/>
        </w:rPr>
        <w:t>（十三）</w:t>
      </w:r>
      <w:bookmarkEnd w:id="47"/>
      <w:r>
        <w:rPr>
          <w:rFonts w:hint="eastAsia" w:ascii="宋体" w:hAnsi="宋体" w:eastAsia="宋体" w:cs="宋体"/>
          <w:b/>
          <w:bCs/>
          <w:sz w:val="24"/>
          <w:highlight w:val="none"/>
          <w:lang w:eastAsia="zh-CN"/>
        </w:rPr>
        <w:t>磋商有效期</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磋商有效期</w:t>
      </w:r>
      <w:r>
        <w:rPr>
          <w:rFonts w:hint="eastAsia" w:ascii="宋体" w:hAnsi="宋体" w:eastAsia="宋体" w:cs="宋体"/>
          <w:sz w:val="24"/>
          <w:highlight w:val="none"/>
        </w:rPr>
        <w:t>为竞争性磋商文件规定的供应商提交响应文件截止之日起</w:t>
      </w:r>
      <w:r>
        <w:rPr>
          <w:rFonts w:hint="eastAsia" w:ascii="宋体" w:hAnsi="宋体" w:eastAsia="宋体" w:cs="宋体"/>
          <w:sz w:val="24"/>
          <w:highlight w:val="none"/>
          <w:lang w:val="en-US" w:eastAsia="zh-CN"/>
        </w:rPr>
        <w:t>90</w:t>
      </w:r>
      <w:r>
        <w:rPr>
          <w:rFonts w:hint="eastAsia" w:ascii="宋体" w:hAnsi="宋体" w:eastAsia="宋体" w:cs="宋体"/>
          <w:sz w:val="24"/>
          <w:highlight w:val="none"/>
        </w:rPr>
        <w:t>天。</w:t>
      </w:r>
      <w:r>
        <w:rPr>
          <w:rFonts w:hint="eastAsia" w:ascii="宋体" w:hAnsi="宋体" w:eastAsia="宋体" w:cs="宋体"/>
          <w:sz w:val="24"/>
          <w:highlight w:val="none"/>
          <w:lang w:eastAsia="zh-CN"/>
        </w:rPr>
        <w:t>磋商有效期</w:t>
      </w:r>
      <w:r>
        <w:rPr>
          <w:rFonts w:hint="eastAsia" w:ascii="宋体" w:hAnsi="宋体" w:eastAsia="宋体" w:cs="宋体"/>
          <w:sz w:val="24"/>
          <w:highlight w:val="none"/>
        </w:rPr>
        <w:t>不满足竞争性磋商文件要求将视为非响应性文件而予以拒绝。</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bookmarkStart w:id="48" w:name="_Toc32415"/>
      <w:r>
        <w:rPr>
          <w:rFonts w:hint="eastAsia" w:ascii="宋体" w:hAnsi="宋体" w:eastAsia="宋体" w:cs="宋体"/>
          <w:sz w:val="24"/>
          <w:highlight w:val="none"/>
          <w:lang w:val="en-US" w:eastAsia="zh-CN"/>
        </w:rPr>
        <w:t>.</w:t>
      </w:r>
      <w:r>
        <w:rPr>
          <w:rFonts w:hint="eastAsia" w:ascii="宋体" w:hAnsi="宋体" w:eastAsia="宋体" w:cs="宋体"/>
          <w:sz w:val="24"/>
          <w:highlight w:val="none"/>
        </w:rPr>
        <w:t>在特殊情况下，采购人于原</w:t>
      </w:r>
      <w:r>
        <w:rPr>
          <w:rFonts w:hint="eastAsia" w:ascii="宋体" w:hAnsi="宋体" w:eastAsia="宋体" w:cs="宋体"/>
          <w:sz w:val="24"/>
          <w:highlight w:val="none"/>
          <w:lang w:eastAsia="zh-CN"/>
        </w:rPr>
        <w:t>磋商有效期</w:t>
      </w:r>
      <w:r>
        <w:rPr>
          <w:rFonts w:hint="eastAsia" w:ascii="宋体" w:hAnsi="宋体" w:eastAsia="宋体" w:cs="宋体"/>
          <w:sz w:val="24"/>
          <w:highlight w:val="none"/>
        </w:rPr>
        <w:t>满之前，可向</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提出延长</w:t>
      </w:r>
      <w:r>
        <w:rPr>
          <w:rFonts w:hint="eastAsia" w:ascii="宋体" w:hAnsi="宋体" w:eastAsia="宋体" w:cs="宋体"/>
          <w:sz w:val="24"/>
          <w:highlight w:val="none"/>
          <w:lang w:eastAsia="zh-CN"/>
        </w:rPr>
        <w:t>磋商有效期</w:t>
      </w:r>
      <w:r>
        <w:rPr>
          <w:rFonts w:hint="eastAsia" w:ascii="宋体" w:hAnsi="宋体" w:eastAsia="宋体" w:cs="宋体"/>
          <w:sz w:val="24"/>
          <w:highlight w:val="none"/>
        </w:rPr>
        <w:t>的要求，这种要求与答复均应采用书面形式（如信件、传真或电报等），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可以拒绝采购人的这一要求而放弃参与磋商，磋商保证金予以退回；同意延长的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既不能要求也不允许修改其响应文件。第十四条有关磋商保证金的没收和退还的规定在延长期内继续有效。</w:t>
      </w:r>
    </w:p>
    <w:p>
      <w:pPr>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sz w:val="24"/>
          <w:highlight w:val="none"/>
          <w:lang w:eastAsia="zh-CN"/>
        </w:rPr>
        <w:t>（十四）</w:t>
      </w:r>
      <w:r>
        <w:rPr>
          <w:rFonts w:hint="eastAsia" w:ascii="宋体" w:hAnsi="宋体" w:eastAsia="宋体" w:cs="宋体"/>
          <w:b/>
          <w:bCs/>
          <w:sz w:val="24"/>
          <w:highlight w:val="none"/>
        </w:rPr>
        <w:t>响应文件份数和签署</w:t>
      </w:r>
      <w:bookmarkEnd w:id="48"/>
    </w:p>
    <w:p>
      <w:pPr>
        <w:spacing w:line="360" w:lineRule="auto"/>
        <w:ind w:firstLine="480" w:firstLineChars="200"/>
        <w:jc w:val="left"/>
        <w:rPr>
          <w:rFonts w:hint="eastAsia" w:ascii="宋体" w:hAnsi="宋体" w:eastAsia="宋体" w:cs="宋体"/>
          <w:sz w:val="24"/>
          <w:highlight w:val="none"/>
        </w:rPr>
      </w:pPr>
      <w:bookmarkStart w:id="49" w:name="_Toc11128"/>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应严格按照</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须知的要求准备响应文件，每份响应文件封面显著处必须清楚地标明“正本”</w:t>
      </w:r>
      <w:r>
        <w:rPr>
          <w:rFonts w:hint="eastAsia" w:ascii="宋体" w:hAnsi="宋体" w:eastAsia="宋体" w:cs="宋体"/>
          <w:sz w:val="24"/>
          <w:highlight w:val="none"/>
          <w:lang w:eastAsia="zh-CN"/>
        </w:rPr>
        <w:t>、</w:t>
      </w:r>
      <w:r>
        <w:rPr>
          <w:rFonts w:hint="eastAsia" w:ascii="宋体" w:hAnsi="宋体" w:eastAsia="宋体" w:cs="宋体"/>
          <w:sz w:val="24"/>
          <w:highlight w:val="none"/>
        </w:rPr>
        <w:t>“副本”</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电子版响应文件</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rPr>
        <w:t>“</w:t>
      </w:r>
      <w:r>
        <w:rPr>
          <w:rFonts w:hint="eastAsia" w:ascii="宋体" w:hAnsi="宋体" w:eastAsia="宋体"/>
          <w:sz w:val="24"/>
          <w:highlight w:val="none"/>
          <w:lang w:val="en-US" w:eastAsia="zh-CN"/>
        </w:rPr>
        <w:t>报价一览表</w:t>
      </w:r>
      <w:r>
        <w:rPr>
          <w:rFonts w:hint="eastAsia" w:ascii="宋体" w:hAnsi="宋体" w:eastAsia="宋体" w:cs="宋体"/>
          <w:sz w:val="24"/>
          <w:highlight w:val="none"/>
        </w:rPr>
        <w:t>”字样。响应文件的正本和副本均需打印，正本和副本不符的，以正本为准。响应文件包括：正本壹份，副本</w:t>
      </w:r>
      <w:r>
        <w:rPr>
          <w:rFonts w:hint="eastAsia" w:ascii="宋体" w:hAnsi="宋体" w:eastAsia="宋体" w:cs="宋体"/>
          <w:sz w:val="24"/>
          <w:highlight w:val="none"/>
          <w:lang w:val="en-US" w:eastAsia="zh-CN"/>
        </w:rPr>
        <w:t>叁</w:t>
      </w:r>
      <w:r>
        <w:rPr>
          <w:rFonts w:hint="eastAsia" w:ascii="宋体" w:hAnsi="宋体" w:eastAsia="宋体" w:cs="宋体"/>
          <w:sz w:val="24"/>
          <w:highlight w:val="none"/>
        </w:rPr>
        <w:t>份，</w:t>
      </w:r>
      <w:r>
        <w:rPr>
          <w:rFonts w:hint="eastAsia" w:ascii="宋体" w:hAnsi="宋体" w:eastAsia="宋体"/>
          <w:sz w:val="24"/>
          <w:highlight w:val="none"/>
          <w:lang w:val="en-US" w:eastAsia="zh-CN"/>
        </w:rPr>
        <w:t>报价一览表</w:t>
      </w:r>
      <w:r>
        <w:rPr>
          <w:rFonts w:hint="eastAsia" w:ascii="宋体" w:hAnsi="宋体" w:eastAsia="宋体" w:cs="宋体"/>
          <w:sz w:val="24"/>
          <w:highlight w:val="none"/>
        </w:rPr>
        <w:t>、电子版响应文件壹份。</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除谈判响应人对错误处须修改外，全套谈判响应文件应无涂改或行间插字和增删。如有修改，修改处应由谈判响应人加盖谈判响应人的印章或由谈判响应文件签字人签字或盖章。</w:t>
      </w:r>
    </w:p>
    <w:p>
      <w:pPr>
        <w:pStyle w:val="19"/>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3.谈判响应文件的正本和副本均需打印或使用不褪色的墨水笔书写，字迹应清晰易于辨认，正本和副本如有不一致之处，以正本为准。</w:t>
      </w:r>
    </w:p>
    <w:p>
      <w:pPr>
        <w:spacing w:line="360" w:lineRule="auto"/>
        <w:ind w:firstLine="480" w:firstLineChars="200"/>
        <w:jc w:val="left"/>
        <w:rPr>
          <w:rFonts w:hint="default"/>
          <w:lang w:val="en-US" w:eastAsia="zh-CN"/>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谈判响应文件封面、谈判函均应加盖谈判响应人印章并经法定代表人或其委托代理人签字或盖章。由委托代理人签字或盖章的在谈判响应文件中须同时提交谈判响应文件签署授权委托书。谈判响应文件签署授权委托书格式、签字、盖章及内容均应符合要求，否则谈判响应文件签署授权委托书无效。</w:t>
      </w:r>
    </w:p>
    <w:p>
      <w:pPr>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（十五）响应文件装订</w:t>
      </w:r>
      <w:bookmarkEnd w:id="49"/>
    </w:p>
    <w:p>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除特别说明外，全套响应文件的书面部分均使用A4规格纸张无线胶装方式装订，</w:t>
      </w:r>
      <w:r>
        <w:rPr>
          <w:rFonts w:hint="eastAsia" w:ascii="宋体" w:hAnsi="宋体" w:eastAsia="宋体" w:cs="宋体"/>
          <w:b/>
          <w:sz w:val="24"/>
          <w:highlight w:val="none"/>
        </w:rPr>
        <w:t>不得采用活页夹等可随时拆换的式装订。</w:t>
      </w:r>
    </w:p>
    <w:p>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密封件外层</w:t>
      </w:r>
      <w:r>
        <w:rPr>
          <w:rFonts w:hint="eastAsia" w:ascii="宋体" w:hAnsi="宋体" w:eastAsia="宋体" w:cs="宋体"/>
          <w:sz w:val="24"/>
          <w:highlight w:val="none"/>
          <w:lang w:val="en-US" w:eastAsia="zh-CN"/>
        </w:rPr>
        <w:t>要求详见前附表</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b/>
          <w:sz w:val="28"/>
          <w:szCs w:val="28"/>
          <w:highlight w:val="none"/>
        </w:rPr>
      </w:pPr>
      <w:r>
        <w:rPr>
          <w:rFonts w:hint="eastAsia" w:ascii="宋体" w:hAnsi="宋体" w:eastAsia="宋体" w:cs="宋体"/>
          <w:sz w:val="24"/>
          <w:highlight w:val="none"/>
        </w:rPr>
        <w:t>若响应文件未按第（</w:t>
      </w:r>
      <w:r>
        <w:rPr>
          <w:rFonts w:hint="eastAsia" w:ascii="宋体" w:hAnsi="宋体" w:eastAsia="宋体" w:cs="宋体"/>
          <w:sz w:val="24"/>
          <w:highlight w:val="none"/>
          <w:lang w:val="en-US" w:eastAsia="zh-CN"/>
        </w:rPr>
        <w:t>十四</w:t>
      </w:r>
      <w:r>
        <w:rPr>
          <w:rFonts w:hint="eastAsia" w:ascii="宋体" w:hAnsi="宋体" w:eastAsia="宋体" w:cs="宋体"/>
          <w:sz w:val="24"/>
          <w:highlight w:val="none"/>
        </w:rPr>
        <w:t>）条款和第（</w:t>
      </w:r>
      <w:r>
        <w:rPr>
          <w:rFonts w:hint="eastAsia" w:ascii="宋体" w:hAnsi="宋体" w:eastAsia="宋体" w:cs="宋体"/>
          <w:sz w:val="24"/>
          <w:highlight w:val="none"/>
          <w:lang w:val="en-US" w:eastAsia="zh-CN"/>
        </w:rPr>
        <w:t>十五</w:t>
      </w:r>
      <w:r>
        <w:rPr>
          <w:rFonts w:hint="eastAsia" w:ascii="宋体" w:hAnsi="宋体" w:eastAsia="宋体" w:cs="宋体"/>
          <w:sz w:val="24"/>
          <w:highlight w:val="none"/>
        </w:rPr>
        <w:t>）条款要求密封和加写标记，将作为无效标处理。</w:t>
      </w:r>
      <w:bookmarkStart w:id="50" w:name="_Toc10561"/>
      <w:bookmarkStart w:id="51" w:name="_Toc6236"/>
    </w:p>
    <w:p>
      <w:pPr>
        <w:spacing w:line="360" w:lineRule="auto"/>
        <w:ind w:firstLine="562" w:firstLine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四、响应文件的递交</w:t>
      </w:r>
      <w:bookmarkEnd w:id="50"/>
      <w:bookmarkEnd w:id="51"/>
    </w:p>
    <w:p>
      <w:pPr>
        <w:spacing w:line="360" w:lineRule="auto"/>
        <w:ind w:firstLine="482" w:firstLineChars="200"/>
        <w:rPr>
          <w:rFonts w:hint="eastAsia" w:ascii="宋体" w:hAnsi="宋体" w:eastAsia="宋体" w:cs="宋体"/>
          <w:b/>
          <w:sz w:val="24"/>
          <w:highlight w:val="none"/>
        </w:rPr>
      </w:pPr>
      <w:bookmarkStart w:id="52" w:name="_Toc6804"/>
      <w:r>
        <w:rPr>
          <w:rFonts w:hint="eastAsia" w:ascii="宋体" w:hAnsi="宋体" w:eastAsia="宋体" w:cs="宋体"/>
          <w:b/>
          <w:sz w:val="24"/>
          <w:highlight w:val="none"/>
        </w:rPr>
        <w:t>（</w:t>
      </w:r>
      <w:r>
        <w:rPr>
          <w:rFonts w:hint="eastAsia" w:ascii="宋体" w:hAnsi="宋体" w:eastAsia="宋体" w:cs="宋体"/>
          <w:b/>
          <w:sz w:val="24"/>
          <w:highlight w:val="none"/>
          <w:lang w:eastAsia="zh-CN"/>
        </w:rPr>
        <w:t>一</w:t>
      </w:r>
      <w:r>
        <w:rPr>
          <w:rFonts w:hint="eastAsia" w:ascii="宋体" w:hAnsi="宋体" w:eastAsia="宋体" w:cs="宋体"/>
          <w:b/>
          <w:sz w:val="24"/>
          <w:highlight w:val="none"/>
        </w:rPr>
        <w:t>）</w:t>
      </w:r>
      <w:bookmarkEnd w:id="52"/>
      <w:bookmarkStart w:id="53" w:name="_Toc16896"/>
      <w:bookmarkStart w:id="54" w:name="_Toc213839734"/>
      <w:bookmarkStart w:id="55" w:name="_Toc27048"/>
      <w:r>
        <w:rPr>
          <w:rFonts w:hint="eastAsia" w:ascii="宋体" w:hAnsi="宋体" w:eastAsia="宋体" w:cs="宋体"/>
          <w:b/>
          <w:sz w:val="24"/>
          <w:highlight w:val="none"/>
        </w:rPr>
        <w:t>响应文件递交截止日期及方式</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1、所有响应文件都必须在竞争性磋商文件规定的递交截止时间前送达指定磋商地，</w:t>
      </w:r>
      <w:r>
        <w:rPr>
          <w:rFonts w:hint="eastAsia" w:ascii="宋体" w:hAnsi="宋体" w:eastAsia="宋体" w:cs="宋体"/>
          <w:bCs/>
          <w:sz w:val="24"/>
          <w:highlight w:val="none"/>
          <w:lang w:val="en-US" w:eastAsia="zh-CN"/>
        </w:rPr>
        <w:t>未在规定时间内递到指定地点的响应文件将被拒收。</w:t>
      </w:r>
      <w:r>
        <w:rPr>
          <w:rFonts w:hint="eastAsia" w:ascii="宋体" w:hAnsi="宋体" w:eastAsia="宋体" w:cs="宋体"/>
          <w:bCs/>
          <w:sz w:val="24"/>
          <w:highlight w:val="none"/>
        </w:rPr>
        <w:t>采购人对误投概不负责。</w:t>
      </w:r>
    </w:p>
    <w:p>
      <w:pPr>
        <w:spacing w:line="360" w:lineRule="auto"/>
        <w:ind w:firstLine="480" w:firstLineChars="200"/>
        <w:rPr>
          <w:rFonts w:hint="eastAsia" w:ascii="宋体" w:hAnsi="宋体" w:eastAsia="宋体" w:cs="宋体"/>
          <w:b/>
          <w:sz w:val="24"/>
          <w:highlight w:val="none"/>
        </w:rPr>
      </w:pPr>
      <w:r>
        <w:rPr>
          <w:rFonts w:hint="eastAsia" w:ascii="宋体" w:hAnsi="宋体" w:eastAsia="宋体" w:cs="宋体"/>
          <w:bCs/>
          <w:sz w:val="24"/>
          <w:highlight w:val="none"/>
        </w:rPr>
        <w:t>2、采购代理机构将在竞争性磋商文件规定的时间和地点组织磋商会议，</w:t>
      </w:r>
      <w:r>
        <w:rPr>
          <w:rFonts w:hint="eastAsia" w:ascii="宋体" w:hAnsi="宋体" w:eastAsia="宋体" w:cs="宋体"/>
          <w:b/>
          <w:sz w:val="24"/>
          <w:highlight w:val="none"/>
          <w:lang w:eastAsia="zh-CN"/>
        </w:rPr>
        <w:t>供应商</w:t>
      </w:r>
      <w:r>
        <w:rPr>
          <w:rFonts w:hint="eastAsia" w:ascii="宋体" w:hAnsi="宋体" w:eastAsia="宋体" w:cs="宋体"/>
          <w:b/>
          <w:sz w:val="24"/>
          <w:highlight w:val="none"/>
        </w:rPr>
        <w:t>必须派法定代表人或其授权的委托人出席会议。</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3、采购人可以通过修改竞争性磋商文件酌情延长响应文件接收截止日期，在此情况下，</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的所有权利和义务以及</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受制约的截止日期均应以延长后新的截止日期为准。</w:t>
      </w:r>
    </w:p>
    <w:p>
      <w:pPr>
        <w:pStyle w:val="19"/>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4、谈判响应人应将所有谈判响应文件的正本和所有副本、电子文档密封。</w:t>
      </w:r>
    </w:p>
    <w:p>
      <w:pPr>
        <w:pStyle w:val="8"/>
        <w:ind w:left="0" w:leftChars="0" w:firstLine="0" w:firstLineChars="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5、在谈判响应文件密封袋上均应：</w:t>
      </w:r>
    </w:p>
    <w:p>
      <w:pPr>
        <w:pStyle w:val="8"/>
        <w:ind w:left="0" w:leftChars="0"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写明采购人名称；</w:t>
      </w:r>
    </w:p>
    <w:p>
      <w:pPr>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注明下列识别标志：</w:t>
      </w:r>
    </w:p>
    <w:p>
      <w:pPr>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(1)项目信息</w:t>
      </w:r>
    </w:p>
    <w:p>
      <w:pPr>
        <w:ind w:firstLine="720" w:firstLineChars="3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(2)投标单位信息</w:t>
      </w:r>
    </w:p>
    <w:p>
      <w:pPr>
        <w:pStyle w:val="19"/>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 xml:space="preserve">     （3）联系人姓名及联系方式</w:t>
      </w:r>
    </w:p>
    <w:p>
      <w:pPr>
        <w:spacing w:line="520" w:lineRule="exact"/>
        <w:ind w:firstLine="811" w:firstLineChars="338"/>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 年  月  日  上午  时  分谈判，此时间以前不得开封（北京时间）。</w:t>
      </w:r>
    </w:p>
    <w:p>
      <w:pPr>
        <w:spacing w:line="520" w:lineRule="exact"/>
        <w:ind w:firstLine="5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谈判响应人应将所有的谈判响应文件的正本、副本及电子版分别密封在封袋中，在封袋正面注明：“谈判响应文件（正本）”、“谈判响应文件（副本）”、“谈判响应文件（电子版）”“报价一览表”的响应字样。封袋上加贴封条，并在封袋的封口处加盖谈判响应人企业印章、企业法定代表人或其委托代理人印章。注：如不按以上格式密封的将拒绝接受其谈判响应文件！</w:t>
      </w:r>
    </w:p>
    <w:p>
      <w:pPr>
        <w:spacing w:line="520" w:lineRule="exact"/>
        <w:ind w:firstLine="500"/>
        <w:rPr>
          <w:rFonts w:hint="eastAsia" w:ascii="宋体" w:hAnsi="宋体" w:eastAsia="宋体" w:cs="宋体"/>
          <w:b w:val="0"/>
          <w:bCs w:val="0"/>
          <w:color w:val="000000"/>
          <w:sz w:val="24"/>
        </w:rPr>
      </w:pPr>
      <w:r>
        <w:rPr>
          <w:rFonts w:hint="eastAsia" w:ascii="宋体" w:hAnsi="宋体" w:eastAsia="宋体" w:cs="宋体"/>
          <w:bCs/>
          <w:kern w:val="2"/>
          <w:sz w:val="24"/>
          <w:szCs w:val="24"/>
          <w:highlight w:val="none"/>
          <w:lang w:val="en-US" w:eastAsia="zh-CN" w:bidi="ar-SA"/>
        </w:rPr>
        <w:t>6、</w:t>
      </w:r>
      <w:r>
        <w:rPr>
          <w:rFonts w:hint="eastAsia" w:ascii="宋体" w:hAnsi="宋体" w:eastAsia="宋体" w:cs="宋体"/>
          <w:b w:val="0"/>
          <w:bCs w:val="0"/>
          <w:color w:val="000000"/>
          <w:sz w:val="24"/>
        </w:rPr>
        <w:t>如果谈判响应文件没有按本谈判须知的规定装订(采用死页胶装)和加写标记及密封，采购人将不承担谈判响应文件提前开封的责任。对由此造成提前开封的谈判响应文件将予以拒绝，并退还给谈判响应人。</w:t>
      </w:r>
    </w:p>
    <w:p>
      <w:pPr>
        <w:numPr>
          <w:ilvl w:val="0"/>
          <w:numId w:val="0"/>
        </w:numPr>
        <w:tabs>
          <w:tab w:val="left" w:pos="735"/>
          <w:tab w:val="left" w:pos="1254"/>
        </w:tabs>
        <w:spacing w:line="360" w:lineRule="auto"/>
        <w:ind w:leftChars="0" w:firstLine="480" w:firstLineChars="200"/>
        <w:rPr>
          <w:rFonts w:eastAsia="微软雅黑"/>
        </w:rPr>
      </w:pPr>
      <w:r>
        <w:rPr>
          <w:rFonts w:hAnsi="宋体" w:eastAsia="微软雅黑"/>
          <w:sz w:val="24"/>
        </w:rPr>
        <w:t>包装的封面上写明：</w:t>
      </w:r>
    </w:p>
    <w:tbl>
      <w:tblPr>
        <w:tblStyle w:val="24"/>
        <w:tblW w:w="0" w:type="auto"/>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rFonts w:hint="eastAsia" w:eastAsia="微软雅黑"/>
                <w:b/>
                <w:sz w:val="24"/>
              </w:rPr>
            </w:pPr>
            <w:r>
              <w:rPr>
                <w:rFonts w:hAnsi="宋体" w:eastAsia="微软雅黑"/>
                <w:b/>
                <w:sz w:val="24"/>
              </w:rPr>
              <w:t>正本</w:t>
            </w:r>
            <w:r>
              <w:rPr>
                <w:rFonts w:eastAsia="微软雅黑"/>
                <w:b/>
                <w:sz w:val="24"/>
              </w:rPr>
              <w:t>/</w:t>
            </w:r>
            <w:r>
              <w:rPr>
                <w:rFonts w:hAnsi="宋体" w:eastAsia="微软雅黑"/>
                <w:b/>
                <w:sz w:val="24"/>
              </w:rPr>
              <w:t>副本/</w:t>
            </w:r>
            <w:r>
              <w:rPr>
                <w:rFonts w:hint="eastAsia" w:hAnsi="宋体" w:eastAsia="微软雅黑"/>
                <w:b/>
                <w:sz w:val="24"/>
              </w:rPr>
              <w:t>投标一览表/电子版</w:t>
            </w:r>
          </w:p>
          <w:p>
            <w:pPr>
              <w:spacing w:line="420" w:lineRule="exact"/>
              <w:ind w:firstLine="480" w:firstLineChars="200"/>
              <w:jc w:val="left"/>
              <w:rPr>
                <w:rFonts w:hint="eastAsia" w:eastAsia="微软雅黑" w:cs="Times New Roman"/>
                <w:sz w:val="24"/>
                <w:lang w:eastAsia="zh-CN"/>
              </w:rPr>
            </w:pPr>
            <w:r>
              <w:rPr>
                <w:rFonts w:hint="eastAsia" w:hAnsi="宋体" w:eastAsia="微软雅黑"/>
                <w:sz w:val="24"/>
              </w:rPr>
              <w:t>采购人</w:t>
            </w:r>
            <w:r>
              <w:rPr>
                <w:rFonts w:hAnsi="宋体" w:eastAsia="微软雅黑"/>
                <w:sz w:val="24"/>
              </w:rPr>
              <w:t>名称：</w:t>
            </w:r>
          </w:p>
          <w:p>
            <w:pPr>
              <w:spacing w:line="420" w:lineRule="exact"/>
              <w:ind w:firstLine="480" w:firstLineChars="200"/>
              <w:jc w:val="left"/>
              <w:rPr>
                <w:rFonts w:hint="eastAsia" w:eastAsia="微软雅黑" w:cs="Times New Roman"/>
                <w:sz w:val="24"/>
                <w:lang w:eastAsia="zh-CN"/>
              </w:rPr>
            </w:pPr>
            <w:r>
              <w:rPr>
                <w:rFonts w:hint="eastAsia" w:eastAsia="微软雅黑" w:cs="Times New Roman"/>
                <w:sz w:val="24"/>
                <w:lang w:eastAsia="zh-CN"/>
              </w:rPr>
              <w:t>采购编号：</w:t>
            </w:r>
          </w:p>
          <w:p>
            <w:pPr>
              <w:spacing w:line="420" w:lineRule="exact"/>
              <w:ind w:firstLine="480" w:firstLineChars="200"/>
              <w:jc w:val="left"/>
              <w:rPr>
                <w:rFonts w:hint="eastAsia" w:eastAsia="微软雅黑"/>
                <w:sz w:val="24"/>
                <w:lang w:eastAsia="zh-CN"/>
              </w:rPr>
            </w:pPr>
            <w:r>
              <w:rPr>
                <w:rFonts w:hint="eastAsia" w:hAnsi="宋体" w:eastAsia="微软雅黑"/>
                <w:sz w:val="24"/>
              </w:rPr>
              <w:t>项目名称：</w:t>
            </w:r>
          </w:p>
          <w:p>
            <w:pPr>
              <w:spacing w:line="420" w:lineRule="exact"/>
              <w:ind w:left="448"/>
              <w:jc w:val="left"/>
              <w:rPr>
                <w:rFonts w:eastAsia="微软雅黑"/>
                <w:sz w:val="24"/>
              </w:rPr>
            </w:pPr>
            <w:r>
              <w:rPr>
                <w:rFonts w:hint="eastAsia" w:hAnsi="宋体" w:eastAsia="微软雅黑"/>
                <w:sz w:val="24"/>
              </w:rPr>
              <w:t>供应商</w:t>
            </w:r>
            <w:r>
              <w:rPr>
                <w:rFonts w:hAnsi="宋体" w:eastAsia="微软雅黑"/>
                <w:sz w:val="24"/>
              </w:rPr>
              <w:t>名称：</w:t>
            </w:r>
          </w:p>
          <w:p>
            <w:pPr>
              <w:spacing w:line="420" w:lineRule="exact"/>
              <w:ind w:left="448"/>
              <w:jc w:val="left"/>
              <w:rPr>
                <w:rFonts w:eastAsia="微软雅黑"/>
                <w:sz w:val="24"/>
              </w:rPr>
            </w:pPr>
            <w:r>
              <w:rPr>
                <w:rFonts w:hint="eastAsia" w:hAnsi="宋体" w:eastAsia="微软雅黑"/>
                <w:sz w:val="24"/>
              </w:rPr>
              <w:t>供应商</w:t>
            </w:r>
            <w:r>
              <w:rPr>
                <w:rFonts w:hAnsi="宋体" w:eastAsia="微软雅黑"/>
                <w:sz w:val="24"/>
              </w:rPr>
              <w:t>地址：</w:t>
            </w:r>
          </w:p>
          <w:p>
            <w:pPr>
              <w:spacing w:line="420" w:lineRule="exact"/>
              <w:ind w:left="448"/>
              <w:jc w:val="left"/>
              <w:rPr>
                <w:rFonts w:eastAsia="微软雅黑"/>
                <w:sz w:val="24"/>
              </w:rPr>
            </w:pPr>
            <w:r>
              <w:rPr>
                <w:rFonts w:hAnsi="宋体" w:eastAsia="微软雅黑"/>
                <w:sz w:val="24"/>
              </w:rPr>
              <w:t>联系人：</w:t>
            </w:r>
          </w:p>
          <w:p>
            <w:pPr>
              <w:spacing w:line="420" w:lineRule="exact"/>
              <w:ind w:left="448"/>
              <w:jc w:val="left"/>
              <w:rPr>
                <w:rFonts w:hint="eastAsia" w:eastAsia="微软雅黑"/>
                <w:sz w:val="24"/>
                <w:lang w:val="en-US" w:eastAsia="zh-CN"/>
              </w:rPr>
            </w:pPr>
            <w:r>
              <w:rPr>
                <w:rFonts w:hAnsi="宋体" w:eastAsia="微软雅黑"/>
                <w:sz w:val="24"/>
              </w:rPr>
              <w:t>联系电话：</w:t>
            </w:r>
          </w:p>
          <w:p>
            <w:pPr>
              <w:spacing w:line="420" w:lineRule="exact"/>
              <w:ind w:left="448"/>
              <w:rPr>
                <w:rFonts w:eastAsia="微软雅黑"/>
                <w:b/>
                <w:sz w:val="24"/>
              </w:rPr>
            </w:pPr>
            <w:r>
              <w:rPr>
                <w:rFonts w:hAnsi="宋体" w:eastAsia="微软雅黑"/>
                <w:b/>
                <w:sz w:val="24"/>
              </w:rPr>
              <w:t>于</w:t>
            </w:r>
            <w:r>
              <w:rPr>
                <w:rFonts w:eastAsia="微软雅黑"/>
                <w:b/>
                <w:sz w:val="24"/>
              </w:rPr>
              <w:t xml:space="preserve">“     </w:t>
            </w:r>
            <w:r>
              <w:rPr>
                <w:rFonts w:hAnsi="宋体" w:eastAsia="微软雅黑"/>
                <w:b/>
                <w:sz w:val="24"/>
              </w:rPr>
              <w:t>年</w:t>
            </w:r>
            <w:r>
              <w:rPr>
                <w:rFonts w:eastAsia="微软雅黑"/>
                <w:b/>
                <w:sz w:val="24"/>
              </w:rPr>
              <w:t xml:space="preserve">   </w:t>
            </w:r>
            <w:r>
              <w:rPr>
                <w:rFonts w:hAnsi="宋体" w:eastAsia="微软雅黑"/>
                <w:b/>
                <w:sz w:val="24"/>
              </w:rPr>
              <w:t>月</w:t>
            </w:r>
            <w:r>
              <w:rPr>
                <w:rFonts w:eastAsia="微软雅黑"/>
                <w:b/>
                <w:sz w:val="24"/>
              </w:rPr>
              <w:t xml:space="preserve">   </w:t>
            </w:r>
            <w:r>
              <w:rPr>
                <w:rFonts w:hAnsi="宋体" w:eastAsia="微软雅黑"/>
                <w:b/>
                <w:sz w:val="24"/>
              </w:rPr>
              <w:t>日</w:t>
            </w:r>
            <w:r>
              <w:rPr>
                <w:rFonts w:eastAsia="微软雅黑"/>
                <w:b/>
                <w:sz w:val="24"/>
              </w:rPr>
              <w:t xml:space="preserve">   </w:t>
            </w:r>
            <w:r>
              <w:rPr>
                <w:rFonts w:hAnsi="宋体" w:eastAsia="微软雅黑"/>
                <w:b/>
                <w:sz w:val="24"/>
              </w:rPr>
              <w:t>时</w:t>
            </w:r>
            <w:r>
              <w:rPr>
                <w:rFonts w:eastAsia="微软雅黑"/>
                <w:b/>
                <w:sz w:val="24"/>
              </w:rPr>
              <w:t xml:space="preserve">  </w:t>
            </w:r>
            <w:r>
              <w:rPr>
                <w:rFonts w:hAnsi="宋体" w:eastAsia="微软雅黑"/>
                <w:b/>
                <w:sz w:val="24"/>
              </w:rPr>
              <w:t>分</w:t>
            </w:r>
            <w:r>
              <w:rPr>
                <w:rFonts w:eastAsia="微软雅黑"/>
                <w:b/>
                <w:sz w:val="24"/>
              </w:rPr>
              <w:t>”</w:t>
            </w:r>
            <w:r>
              <w:rPr>
                <w:rFonts w:hAnsi="宋体" w:eastAsia="微软雅黑"/>
                <w:b/>
                <w:sz w:val="24"/>
              </w:rPr>
              <w:t>之前不准启封（即投标截止时间）</w:t>
            </w:r>
          </w:p>
        </w:tc>
      </w:tr>
    </w:tbl>
    <w:p>
      <w:pPr>
        <w:pStyle w:val="5"/>
        <w:outlineLvl w:val="9"/>
        <w:rPr>
          <w:rFonts w:hint="eastAsia"/>
        </w:rPr>
      </w:pPr>
    </w:p>
    <w:p>
      <w:pPr>
        <w:pStyle w:val="19"/>
        <w:rPr>
          <w:rFonts w:hint="default"/>
          <w:lang w:val="en-US" w:eastAsia="zh-CN"/>
        </w:rPr>
      </w:pPr>
    </w:p>
    <w:p>
      <w:pPr>
        <w:pStyle w:val="8"/>
        <w:rPr>
          <w:rFonts w:hint="eastAsia" w:ascii="宋体" w:hAnsi="宋体" w:eastAsia="宋体" w:cs="宋体"/>
          <w:bCs/>
          <w:kern w:val="2"/>
          <w:sz w:val="24"/>
          <w:szCs w:val="24"/>
          <w:highlight w:val="none"/>
          <w:lang w:val="en-US" w:eastAsia="zh-CN" w:bidi="ar-SA"/>
        </w:rPr>
      </w:pPr>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二</w:t>
      </w:r>
      <w:r>
        <w:rPr>
          <w:rFonts w:hint="eastAsia" w:ascii="宋体" w:hAnsi="宋体" w:eastAsia="宋体" w:cs="宋体"/>
          <w:b/>
          <w:sz w:val="24"/>
          <w:highlight w:val="none"/>
        </w:rPr>
        <w:t>）迟交的响应文件</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采购人将拒绝接收在规定的截止</w:t>
      </w:r>
      <w:r>
        <w:rPr>
          <w:rFonts w:hint="eastAsia" w:ascii="宋体" w:hAnsi="宋体" w:eastAsia="宋体" w:cs="宋体"/>
          <w:bCs/>
          <w:sz w:val="24"/>
          <w:highlight w:val="none"/>
          <w:lang w:val="en-US" w:eastAsia="zh-CN"/>
        </w:rPr>
        <w:t>时间</w:t>
      </w:r>
      <w:r>
        <w:rPr>
          <w:rFonts w:hint="eastAsia" w:ascii="宋体" w:hAnsi="宋体" w:eastAsia="宋体" w:cs="宋体"/>
          <w:bCs/>
          <w:sz w:val="24"/>
          <w:highlight w:val="none"/>
        </w:rPr>
        <w:t>后递交的任何响应文件。</w:t>
      </w:r>
      <w:bookmarkStart w:id="56" w:name="_Toc213839733"/>
    </w:p>
    <w:p>
      <w:pPr>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三</w:t>
      </w:r>
      <w:r>
        <w:rPr>
          <w:rFonts w:hint="eastAsia" w:ascii="宋体" w:hAnsi="宋体" w:eastAsia="宋体" w:cs="宋体"/>
          <w:b/>
          <w:sz w:val="24"/>
          <w:highlight w:val="none"/>
        </w:rPr>
        <w:t>）响应文件的修改</w:t>
      </w:r>
      <w:bookmarkEnd w:id="56"/>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在递交响应文件截止时之前，</w:t>
      </w:r>
      <w:bookmarkStart w:id="57" w:name="_Toc5405"/>
      <w:r>
        <w:rPr>
          <w:rFonts w:hint="eastAsia" w:ascii="宋体" w:hAnsi="宋体" w:eastAsia="宋体" w:cs="宋体"/>
          <w:bCs/>
          <w:sz w:val="24"/>
          <w:highlight w:val="none"/>
        </w:rPr>
        <w:t>可以书面形式补充修改或撤回已提交的谈判响应文件，并以书面形式通知采购人。补充、修改的内容为谈判响应文件的组成部分。</w:t>
      </w:r>
    </w:p>
    <w:p>
      <w:pPr>
        <w:spacing w:line="360" w:lineRule="auto"/>
        <w:ind w:firstLine="480" w:firstLineChars="200"/>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2、</w:t>
      </w:r>
      <w:r>
        <w:rPr>
          <w:rFonts w:hint="eastAsia" w:ascii="宋体" w:hAnsi="宋体" w:eastAsia="宋体" w:cs="宋体"/>
          <w:bCs/>
          <w:sz w:val="24"/>
          <w:highlight w:val="none"/>
        </w:rPr>
        <w:t>谈判响应人对谈判响应文件的补充、修改，应按本须知有关规定密封、标记和提交，并在内外层谈判响应文件密封袋上清楚标明“补充、修改”或“撤回”字样。</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3、</w:t>
      </w:r>
      <w:r>
        <w:rPr>
          <w:rFonts w:hint="eastAsia" w:ascii="宋体" w:hAnsi="宋体" w:eastAsia="宋体" w:cs="宋体"/>
          <w:bCs/>
          <w:sz w:val="24"/>
          <w:highlight w:val="none"/>
        </w:rPr>
        <w:t>在谈判截止时间之后，谈判响应人不得补充、修改谈判文件。</w:t>
      </w:r>
    </w:p>
    <w:p>
      <w:pPr>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4、</w:t>
      </w:r>
      <w:r>
        <w:rPr>
          <w:rFonts w:hint="eastAsia" w:ascii="宋体" w:hAnsi="宋体" w:eastAsia="宋体" w:cs="宋体"/>
          <w:bCs/>
          <w:sz w:val="24"/>
          <w:highlight w:val="none"/>
        </w:rPr>
        <w:t>在谈判截止时间至谈判有效期满之前，谈判响应人不得撤回其谈判响应文件，否则其谈判保证金将被没收。</w:t>
      </w:r>
    </w:p>
    <w:p>
      <w:pPr>
        <w:pStyle w:val="8"/>
        <w:rPr>
          <w:rFonts w:hint="default"/>
          <w:lang w:val="en-US" w:eastAsia="zh-CN"/>
        </w:rPr>
      </w:pPr>
    </w:p>
    <w:p>
      <w:pPr>
        <w:snapToGrid w:val="0"/>
        <w:spacing w:line="360" w:lineRule="auto"/>
        <w:ind w:firstLine="562" w:firstLineChars="200"/>
        <w:jc w:val="center"/>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五、无效标、废标条款</w:t>
      </w:r>
      <w:bookmarkEnd w:id="57"/>
    </w:p>
    <w:p>
      <w:pPr>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（一）无效竞标条款</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资格不符合竞争性磋商文件规定或未按规定提交资质证件的；</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未在规定的时间内提交磋商保证</w:t>
      </w:r>
      <w:r>
        <w:rPr>
          <w:rFonts w:hint="eastAsia" w:ascii="宋体" w:hAnsi="宋体" w:eastAsia="宋体" w:cs="宋体"/>
          <w:sz w:val="24"/>
          <w:highlight w:val="none"/>
          <w:lang w:val="en-US" w:eastAsia="zh-CN"/>
        </w:rPr>
        <w:t>金款凭证</w:t>
      </w:r>
      <w:r>
        <w:rPr>
          <w:rFonts w:hint="eastAsia" w:ascii="宋体" w:hAnsi="宋体" w:eastAsia="宋体" w:cs="宋体"/>
          <w:sz w:val="24"/>
          <w:highlight w:val="none"/>
        </w:rPr>
        <w:t>的；</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3、响应文件密封、签署、盖章不符合竞争性磋商文件要求的；</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4、响应文件出现重大偏差，未对竞争性磋商文件进行实质性响应；</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5、被授权人不参加磋商仪式及质询事宜的；</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6、其它磋商小组认为有必要取消的投标；</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7、法律、法规规定的其他情况。</w:t>
      </w:r>
    </w:p>
    <w:p>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（二）废标条款</w:t>
      </w:r>
    </w:p>
    <w:p>
      <w:pPr>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1、符合专业条件的</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或者对竞争性磋商文件作实质响应的</w:t>
      </w:r>
      <w:r>
        <w:rPr>
          <w:rFonts w:hint="eastAsia" w:ascii="宋体" w:hAnsi="宋体" w:eastAsia="宋体" w:cs="宋体"/>
          <w:bCs/>
          <w:sz w:val="24"/>
          <w:highlight w:val="none"/>
          <w:lang w:eastAsia="zh-CN"/>
        </w:rPr>
        <w:t>供应商</w:t>
      </w:r>
      <w:r>
        <w:rPr>
          <w:rFonts w:hint="eastAsia" w:ascii="宋体" w:hAnsi="宋体" w:eastAsia="宋体" w:cs="宋体"/>
          <w:bCs/>
          <w:sz w:val="24"/>
          <w:highlight w:val="none"/>
        </w:rPr>
        <w:t>不足三家的；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2、出现影响招标公正的违法、违规行的；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的报价均超过了招标预算，采购人不能支付的；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4、因重大变故，招标任务取消的。</w:t>
      </w:r>
    </w:p>
    <w:p>
      <w:pPr>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（三）参与</w:t>
      </w:r>
      <w:r>
        <w:rPr>
          <w:rFonts w:hint="eastAsia" w:ascii="宋体" w:hAnsi="宋体" w:eastAsia="宋体" w:cs="宋体"/>
          <w:b/>
          <w:bCs/>
          <w:sz w:val="24"/>
          <w:highlight w:val="none"/>
          <w:lang w:eastAsia="zh-CN"/>
        </w:rPr>
        <w:t>供应商</w:t>
      </w:r>
      <w:r>
        <w:rPr>
          <w:rFonts w:hint="eastAsia" w:ascii="宋体" w:hAnsi="宋体" w:eastAsia="宋体" w:cs="宋体"/>
          <w:b/>
          <w:bCs/>
          <w:sz w:val="24"/>
          <w:highlight w:val="none"/>
        </w:rPr>
        <w:t>不得少于三家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根据《政府招标竞争性磋商招标方式管理暂行办法》的规定，参与项目的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不得少于三家。</w:t>
      </w:r>
    </w:p>
    <w:p>
      <w:pPr>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（四）取消交候选人资格条款</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1、提供虚假材料谋取成交的；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2、采取不正当手段诋毁、排挤其他</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3、与采购人、其他</w:t>
      </w:r>
      <w:r>
        <w:rPr>
          <w:rFonts w:hint="eastAsia" w:ascii="宋体" w:hAnsi="宋体" w:eastAsia="宋体" w:cs="宋体"/>
          <w:sz w:val="24"/>
          <w:highlight w:val="none"/>
          <w:lang w:eastAsia="zh-CN"/>
        </w:rPr>
        <w:t>供应</w:t>
      </w:r>
      <w:r>
        <w:rPr>
          <w:rFonts w:hint="eastAsia" w:ascii="宋体" w:hAnsi="宋体" w:eastAsia="宋体" w:cs="宋体"/>
          <w:sz w:val="24"/>
          <w:highlight w:val="none"/>
        </w:rPr>
        <w:t>或者采购代理机构恶意串通的；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4、向采购人、采购代理机构行贿或者提供其他不正当利益的；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5、在规定的时间内未与采购人签订招标合同的；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6、法律、法规规定的其他情况。</w:t>
      </w:r>
    </w:p>
    <w:bookmarkEnd w:id="53"/>
    <w:bookmarkEnd w:id="54"/>
    <w:bookmarkEnd w:id="55"/>
    <w:p>
      <w:pPr>
        <w:snapToGrid w:val="0"/>
        <w:spacing w:line="360" w:lineRule="auto"/>
        <w:ind w:firstLine="562" w:firstLineChars="200"/>
        <w:jc w:val="center"/>
        <w:outlineLvl w:val="1"/>
        <w:rPr>
          <w:rFonts w:hint="eastAsia" w:ascii="宋体" w:hAnsi="宋体" w:eastAsia="宋体" w:cs="宋体"/>
          <w:b/>
          <w:sz w:val="28"/>
          <w:szCs w:val="28"/>
          <w:highlight w:val="none"/>
        </w:rPr>
      </w:pPr>
      <w:bookmarkStart w:id="58" w:name="_Toc11937"/>
      <w:r>
        <w:rPr>
          <w:rFonts w:hint="eastAsia" w:ascii="宋体" w:hAnsi="宋体" w:eastAsia="宋体" w:cs="宋体"/>
          <w:b/>
          <w:sz w:val="28"/>
          <w:szCs w:val="28"/>
          <w:highlight w:val="none"/>
        </w:rPr>
        <w:t>六、磋商程序及最终报价</w:t>
      </w:r>
      <w:bookmarkEnd w:id="58"/>
    </w:p>
    <w:p>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一</w:t>
      </w:r>
      <w:r>
        <w:rPr>
          <w:rFonts w:hint="eastAsia" w:ascii="宋体" w:hAnsi="宋体" w:eastAsia="宋体" w:cs="宋体"/>
          <w:b/>
          <w:bCs/>
          <w:sz w:val="24"/>
          <w:highlight w:val="none"/>
        </w:rPr>
        <w:t>）磋商原则</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评、定标依据《</w:t>
      </w:r>
      <w:r>
        <w:rPr>
          <w:rFonts w:hint="eastAsia" w:ascii="宋体" w:hAnsi="宋体" w:eastAsia="宋体" w:cs="宋体"/>
          <w:sz w:val="24"/>
          <w:highlight w:val="none"/>
          <w:lang w:eastAsia="zh-CN"/>
        </w:rPr>
        <w:t>中华人民共和国政府采购法</w:t>
      </w:r>
      <w:r>
        <w:rPr>
          <w:rFonts w:hint="eastAsia" w:ascii="宋体" w:hAnsi="宋体" w:eastAsia="宋体" w:cs="宋体"/>
          <w:sz w:val="24"/>
          <w:highlight w:val="none"/>
        </w:rPr>
        <w:t>》及新疆维吾尔自治区财政厅</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和田地区及民丰县</w:t>
      </w:r>
      <w:r>
        <w:rPr>
          <w:rFonts w:hint="eastAsia" w:ascii="宋体" w:hAnsi="宋体" w:eastAsia="宋体" w:cs="宋体"/>
          <w:sz w:val="24"/>
          <w:highlight w:val="none"/>
        </w:rPr>
        <w:t>等相关规定，遵循公开、公平、正、竞争的原则。</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1、严格执行《</w:t>
      </w:r>
      <w:r>
        <w:rPr>
          <w:rFonts w:hint="eastAsia" w:ascii="宋体" w:hAnsi="宋体" w:eastAsia="宋体" w:cs="宋体"/>
          <w:sz w:val="24"/>
          <w:highlight w:val="none"/>
          <w:lang w:eastAsia="zh-CN"/>
        </w:rPr>
        <w:t>中华人民共和国政府采购法</w:t>
      </w:r>
      <w:r>
        <w:rPr>
          <w:rFonts w:hint="eastAsia" w:ascii="宋体" w:hAnsi="宋体" w:eastAsia="宋体" w:cs="宋体"/>
          <w:sz w:val="24"/>
          <w:highlight w:val="none"/>
        </w:rPr>
        <w:t>》及自治区有关法规、政策、维护采购人、</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的合法权益，选择对采购人最为有利的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或候选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2、磋商小组所有成员应当集中与单一</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分别进行磋商，并给予所有参加磋商的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平等的磋商机会。不应谈及与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所提供的服务质量、技术、价格等无关的话题。</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在磋商过程中，磋商小组可以根据竞争性磋商文件和磋商情况实质性变动招标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4、坚持价格合理、方案第一的原则，不以最低报价作为中标唯一标准。</w:t>
      </w:r>
    </w:p>
    <w:p>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5、磋商工作由评审专家及采购人代表共同组建的磋商小组承担。评审专家占磋商小组总数的三分之二以上。</w:t>
      </w:r>
    </w:p>
    <w:p>
      <w:pPr>
        <w:adjustRightInd w:val="0"/>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bCs/>
          <w:sz w:val="24"/>
          <w:highlight w:val="none"/>
        </w:rPr>
        <w:t>（二）</w:t>
      </w:r>
      <w:r>
        <w:rPr>
          <w:rFonts w:hint="eastAsia" w:ascii="宋体" w:hAnsi="宋体" w:eastAsia="宋体" w:cs="宋体"/>
          <w:b/>
          <w:sz w:val="24"/>
          <w:highlight w:val="none"/>
        </w:rPr>
        <w:t>磋商小组</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采购人根据本项目的特点，于开标前24小时内，从</w:t>
      </w:r>
      <w:r>
        <w:rPr>
          <w:rFonts w:hint="eastAsia" w:ascii="宋体" w:hAnsi="宋体" w:eastAsia="宋体" w:cs="宋体"/>
          <w:sz w:val="24"/>
          <w:highlight w:val="none"/>
          <w:lang w:val="en-US" w:eastAsia="zh-CN"/>
        </w:rPr>
        <w:t>和田地区</w:t>
      </w:r>
      <w:r>
        <w:rPr>
          <w:rFonts w:hint="eastAsia" w:ascii="宋体" w:hAnsi="宋体" w:eastAsia="宋体" w:cs="宋体"/>
          <w:sz w:val="24"/>
          <w:highlight w:val="none"/>
        </w:rPr>
        <w:t>评审专家库中随机抽取组建磋商小组，其成员由有关技术、经济方面的专家2人，业主代表1人组成。磋商小组在监督部门的监督下独立完成磋商工作，负责对响应文件进行审查、质询、评审、推选成交候选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pPr>
        <w:snapToGrid w:val="0"/>
        <w:spacing w:line="360" w:lineRule="auto"/>
        <w:ind w:firstLine="482" w:firstLineChars="200"/>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三</w:t>
      </w:r>
      <w:r>
        <w:rPr>
          <w:rFonts w:hint="eastAsia" w:ascii="宋体" w:hAnsi="宋体" w:eastAsia="宋体" w:cs="宋体"/>
          <w:b/>
          <w:bCs/>
          <w:sz w:val="24"/>
          <w:highlight w:val="none"/>
        </w:rPr>
        <w:t>）磋商程序</w:t>
      </w:r>
    </w:p>
    <w:p>
      <w:pPr>
        <w:widowControl/>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1、代理机构按竞争性磋商文件规定的时间、地点组织开标、磋商。招标单位代表及有关工作人员参加，政府招标监管部门视况参与。</w:t>
      </w:r>
    </w:p>
    <w:p>
      <w:pPr>
        <w:widowControl/>
        <w:snapToGrid w:val="0"/>
        <w:spacing w:line="360" w:lineRule="auto"/>
        <w:ind w:firstLine="480" w:firstLineChars="200"/>
        <w:rPr>
          <w:rFonts w:hint="eastAsia" w:ascii="宋体" w:hAnsi="宋体" w:eastAsia="宋体" w:cs="宋体"/>
          <w:b/>
          <w:sz w:val="24"/>
          <w:highlight w:val="none"/>
          <w:u w:val="singl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应委派法人或授权代表磋商活动</w:t>
      </w:r>
      <w:r>
        <w:rPr>
          <w:rFonts w:hint="eastAsia" w:ascii="宋体" w:hAnsi="宋体" w:eastAsia="宋体" w:cs="宋体"/>
          <w:b w:val="0"/>
          <w:bCs w:val="0"/>
          <w:sz w:val="24"/>
          <w:highlight w:val="none"/>
        </w:rPr>
        <w:t>，</w:t>
      </w:r>
      <w:r>
        <w:rPr>
          <w:rFonts w:hint="eastAsia" w:ascii="宋体" w:hAnsi="宋体" w:eastAsia="宋体" w:cs="宋体"/>
          <w:b w:val="0"/>
          <w:bCs w:val="0"/>
          <w:sz w:val="24"/>
          <w:highlight w:val="none"/>
          <w:u w:val="single"/>
        </w:rPr>
        <w:t>参加磋商的人员须持本人身份证原件签名报到</w:t>
      </w:r>
      <w:r>
        <w:rPr>
          <w:rFonts w:hint="eastAsia" w:ascii="宋体" w:hAnsi="宋体" w:eastAsia="宋体" w:cs="宋体"/>
          <w:b w:val="0"/>
          <w:bCs w:val="0"/>
          <w:sz w:val="24"/>
          <w:highlight w:val="none"/>
          <w:u w:val="single"/>
          <w:lang w:val="en-US" w:eastAsia="zh-CN"/>
        </w:rPr>
        <w:t>。</w:t>
      </w:r>
    </w:p>
    <w:p>
      <w:pPr>
        <w:pStyle w:val="32"/>
        <w:numPr>
          <w:ilvl w:val="0"/>
          <w:numId w:val="0"/>
        </w:numPr>
        <w:ind w:firstLine="480" w:firstLineChars="200"/>
        <w:rPr>
          <w:rFonts w:hint="eastAsia" w:ascii="宋体" w:hAnsi="宋体" w:cs="宋体"/>
          <w:b/>
          <w:bCs/>
          <w:sz w:val="24"/>
          <w:highlight w:val="none"/>
          <w:u w:val="none"/>
          <w:lang w:eastAsia="zh-CN"/>
        </w:rPr>
      </w:pPr>
      <w:r>
        <w:rPr>
          <w:rFonts w:hint="eastAsia" w:ascii="宋体" w:hAnsi="宋体" w:eastAsia="宋体" w:cs="宋体"/>
          <w:sz w:val="24"/>
          <w:highlight w:val="none"/>
        </w:rPr>
        <w:t>3、开标会议由代理机构主持。</w:t>
      </w:r>
      <w:r>
        <w:rPr>
          <w:rFonts w:hint="eastAsia" w:ascii="宋体" w:hAnsi="宋体" w:eastAsia="宋体" w:cs="宋体"/>
          <w:b/>
          <w:bCs/>
          <w:sz w:val="24"/>
          <w:highlight w:val="none"/>
          <w:u w:val="none"/>
        </w:rPr>
        <w:t>开标时，由采购人、监管部门检查</w:t>
      </w:r>
      <w:r>
        <w:rPr>
          <w:rFonts w:hint="eastAsia" w:ascii="宋体" w:hAnsi="宋体" w:cs="宋体"/>
          <w:b/>
          <w:bCs/>
          <w:sz w:val="24"/>
          <w:highlight w:val="none"/>
          <w:u w:val="none"/>
          <w:lang w:eastAsia="zh-CN"/>
        </w:rPr>
        <w:t>供应商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供应商必须符合《中华人民共和国政府采购法》第二十二条的规定；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（1）有效的“三证合一”的营业执照；</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2）法定代表人投标需携带法定代表人证明书及法定代表人身份证（原件），委托代理人投标需携带法定代表人授权委托书及委托代理人身份证（原件）；需提供社保部门出具的投标单位的缴纳社保证明（提供公司近六个月社保缴费证明及社保局出具的缴费明细），如依法不需要缴纳社会保障资金的，应提供相应文件证明（新成立不足3个月的按实际情况发生提供，成立时间超过3个月的零申报的需提供依法报税资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（3）</w:t>
      </w:r>
      <w:r>
        <w:rPr>
          <w:rFonts w:hint="eastAsia" w:ascii="宋体" w:hAnsi="宋体" w:cs="宋体"/>
          <w:kern w:val="2"/>
          <w:sz w:val="24"/>
          <w:szCs w:val="22"/>
          <w:highlight w:val="none"/>
          <w:lang w:val="en-US" w:eastAsia="zh-CN" w:bidi="ar-SA"/>
        </w:rPr>
        <w:t>具有良好的商业信誉和健全的财务会计制度需提供会计事务所出具的近三年任一年的财务审计报告，2022年10月以后成立的公司可不提供但需提供银行出具的近三个月的资信证明和健全的财务会计制度。</w:t>
      </w:r>
      <w:r>
        <w:rPr>
          <w:rFonts w:hint="eastAsia" w:ascii="宋体" w:hAnsi="宋体" w:eastAsia="宋体" w:cs="宋体"/>
          <w:kern w:val="2"/>
          <w:sz w:val="24"/>
          <w:szCs w:val="22"/>
          <w:highlight w:val="none"/>
          <w:lang w:val="en-US" w:eastAsia="zh-CN" w:bidi="ar-SA"/>
        </w:rPr>
        <w:t>（4）提供税务机关出具近三个月的完税证明，以税款所属时期为准，企业代缴费的完税证明（如社保，公积金等）不作为完税证明的依据。（如有免税企业，需提供免税相关材料证明，新成立公司按实际发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（6）参加政府采购活动前三年内，在经营活动中没有重大违法记录，无失信行为，（投标人须出具企业及法定代表人无重大违法记录承诺书，无失信行为承诺书）；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（7）本项目不接受联合体投标；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（8）企业负责人为同一人或者存在直接控股、管理关系的不同供应商，不得参加同一合同项下的政府采购活动。否则，皆取消投标资格。</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（9）同意招标文件条款声明。</w:t>
      </w:r>
    </w:p>
    <w:p>
      <w:pPr>
        <w:pStyle w:val="5"/>
        <w:rPr>
          <w:rFonts w:hint="eastAsia" w:ascii="宋体" w:hAnsi="宋体" w:eastAsia="宋体" w:cs="宋体"/>
          <w:b w:val="0"/>
          <w:kern w:val="2"/>
          <w:sz w:val="24"/>
          <w:szCs w:val="22"/>
          <w:highlight w:val="none"/>
          <w:lang w:val="en-US" w:eastAsia="zh-CN" w:bidi="ar-SA"/>
        </w:rPr>
      </w:pPr>
      <w:r>
        <w:rPr>
          <w:rFonts w:hint="eastAsia" w:ascii="宋体" w:hAnsi="宋体" w:eastAsia="宋体" w:cs="宋体"/>
          <w:b w:val="0"/>
          <w:kern w:val="2"/>
          <w:sz w:val="24"/>
          <w:szCs w:val="22"/>
          <w:highlight w:val="none"/>
          <w:lang w:val="en-US" w:eastAsia="zh-CN" w:bidi="ar-SA"/>
        </w:rPr>
        <w:t>（10）投标保证金证明材料。</w:t>
      </w:r>
    </w:p>
    <w:p>
      <w:pPr>
        <w:pageBreakBefore w:val="0"/>
        <w:kinsoku/>
        <w:wordWrap/>
        <w:overflowPunct/>
        <w:topLinePunct w:val="0"/>
        <w:bidi w:val="0"/>
        <w:snapToGrid/>
        <w:spacing w:line="360" w:lineRule="exact"/>
        <w:textAlignment w:val="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（11）资质要求：</w:t>
      </w:r>
    </w:p>
    <w:p>
      <w:pPr>
        <w:rPr>
          <w:rFonts w:hint="default"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p>
      <w:pPr>
        <w:pStyle w:val="32"/>
        <w:numPr>
          <w:ilvl w:val="0"/>
          <w:numId w:val="0"/>
        </w:num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⑴资格性</w:t>
      </w:r>
      <w:r>
        <w:rPr>
          <w:rFonts w:hint="eastAsia" w:ascii="宋体" w:hAnsi="宋体" w:cs="宋体"/>
          <w:sz w:val="24"/>
          <w:highlight w:val="none"/>
          <w:lang w:eastAsia="zh-CN"/>
        </w:rPr>
        <w:t>审查</w:t>
      </w:r>
      <w:r>
        <w:rPr>
          <w:rFonts w:hint="eastAsia" w:ascii="宋体" w:hAnsi="宋体" w:eastAsia="宋体" w:cs="宋体"/>
          <w:sz w:val="24"/>
          <w:highlight w:val="none"/>
        </w:rPr>
        <w:t>：磋商小组将根据法律法规和竞争性磋商文件的规定，对响应文件的资格证明文件、磋商保证金等进行审查，以确定</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是否具备竞争性磋商资格。</w:t>
      </w:r>
    </w:p>
    <w:p>
      <w:pPr>
        <w:widowControl/>
        <w:tabs>
          <w:tab w:val="left" w:pos="540"/>
        </w:tabs>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⑵符合性</w:t>
      </w:r>
      <w:r>
        <w:rPr>
          <w:rFonts w:hint="eastAsia" w:ascii="宋体" w:hAnsi="宋体" w:cs="宋体"/>
          <w:sz w:val="24"/>
          <w:highlight w:val="none"/>
          <w:lang w:eastAsia="zh-CN"/>
        </w:rPr>
        <w:t>审查</w:t>
      </w:r>
      <w:r>
        <w:rPr>
          <w:rFonts w:hint="eastAsia" w:ascii="宋体" w:hAnsi="宋体" w:eastAsia="宋体" w:cs="宋体"/>
          <w:sz w:val="24"/>
          <w:highlight w:val="none"/>
        </w:rPr>
        <w:t>：依据竞争性磋商文件的规定，从响应文件的有效性、完整性和对竞争性磋商文件的响应程度进行审查，以确定是否对竞争性磋商文件的要求做出了实质性的响应，存在重大偏离的响应文件为无效标。所谓重大偏离是指</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响应文件中所述服务质量、技术、规格、数量、交货期等和服务明显不能满足竞争性磋商文件要求。重大偏离的认定须经竞争性磋商小组三分之二以上组员同意。</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5、磋商小组判断“响应文件”的响应性，仅基于“响应文件”本身而不靠外部证据。对非实质性响应的响应文件，</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不能通过修正或撤销不符之处，而使其成为实质性响应。</w:t>
      </w:r>
    </w:p>
    <w:p>
      <w:pPr>
        <w:pStyle w:val="12"/>
        <w:tabs>
          <w:tab w:val="left" w:pos="1260"/>
        </w:tabs>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6、磋商小组根据竞争性磋商文件要求，讨论、通过磋商工作流程和磋商要点。</w:t>
      </w:r>
    </w:p>
    <w:p>
      <w:pPr>
        <w:pStyle w:val="12"/>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7、采购人按照签到逆顺序通知有效</w:t>
      </w:r>
      <w:r>
        <w:rPr>
          <w:rFonts w:hint="eastAsia" w:hAnsi="宋体" w:eastAsia="宋体" w:cs="宋体"/>
          <w:sz w:val="24"/>
          <w:szCs w:val="24"/>
          <w:highlight w:val="none"/>
          <w:lang w:eastAsia="zh-CN"/>
        </w:rPr>
        <w:t>供应商</w:t>
      </w:r>
      <w:r>
        <w:rPr>
          <w:rFonts w:hint="eastAsia" w:ascii="宋体" w:hAnsi="宋体" w:eastAsia="宋体" w:cs="宋体"/>
          <w:sz w:val="24"/>
          <w:szCs w:val="24"/>
          <w:highlight w:val="none"/>
        </w:rPr>
        <w:t>磋商。</w:t>
      </w:r>
    </w:p>
    <w:p>
      <w:pPr>
        <w:pStyle w:val="12"/>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参与二次及多次报价及服务承诺的人员须是</w:t>
      </w:r>
      <w:r>
        <w:rPr>
          <w:rFonts w:hint="eastAsia" w:hAnsi="宋体" w:eastAsia="宋体" w:cs="宋体"/>
          <w:sz w:val="24"/>
          <w:szCs w:val="24"/>
          <w:highlight w:val="none"/>
          <w:u w:val="single"/>
          <w:lang w:eastAsia="zh-CN"/>
        </w:rPr>
        <w:t>供应商</w:t>
      </w:r>
      <w:r>
        <w:rPr>
          <w:rFonts w:hint="eastAsia" w:ascii="宋体" w:hAnsi="宋体" w:eastAsia="宋体" w:cs="宋体"/>
          <w:sz w:val="24"/>
          <w:szCs w:val="24"/>
          <w:highlight w:val="none"/>
          <w:u w:val="single"/>
        </w:rPr>
        <w:t>法定代表人或其授权代表（核对身份证）。</w:t>
      </w:r>
    </w:p>
    <w:p>
      <w:pPr>
        <w:adjustRightInd w:val="0"/>
        <w:snapToGrid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8、围绕磋商要点，</w:t>
      </w:r>
      <w:r>
        <w:rPr>
          <w:rFonts w:hint="eastAsia" w:ascii="宋体" w:hAnsi="宋体" w:eastAsia="宋体" w:cs="宋体"/>
          <w:b/>
          <w:bCs/>
          <w:sz w:val="24"/>
          <w:highlight w:val="none"/>
        </w:rPr>
        <w:t>磋商小组全体成员集中与单一</w:t>
      </w:r>
      <w:r>
        <w:rPr>
          <w:rFonts w:hint="eastAsia" w:ascii="宋体" w:hAnsi="宋体" w:eastAsia="宋体" w:cs="宋体"/>
          <w:b/>
          <w:bCs/>
          <w:sz w:val="24"/>
          <w:highlight w:val="none"/>
          <w:lang w:eastAsia="zh-CN"/>
        </w:rPr>
        <w:t>供应商</w:t>
      </w:r>
      <w:r>
        <w:rPr>
          <w:rFonts w:hint="eastAsia" w:ascii="宋体" w:hAnsi="宋体" w:eastAsia="宋体" w:cs="宋体"/>
          <w:b/>
          <w:bCs/>
          <w:sz w:val="24"/>
          <w:highlight w:val="none"/>
        </w:rPr>
        <w:t>分别进行磋商，逐家磋商一次为一个轮次，磋商轮次原则上为两轮，具体由磋商小组视情况决定。</w:t>
      </w:r>
    </w:p>
    <w:p>
      <w:pPr>
        <w:pStyle w:val="12"/>
        <w:snapToGrid w:val="0"/>
        <w:spacing w:line="360" w:lineRule="auto"/>
        <w:ind w:firstLine="480" w:firstLineChars="200"/>
        <w:rPr>
          <w:rFonts w:hint="eastAsia" w:ascii="宋体" w:hAnsi="宋体" w:eastAsia="宋体" w:cs="宋体"/>
          <w:b/>
          <w:sz w:val="24"/>
          <w:szCs w:val="24"/>
          <w:highlight w:val="none"/>
          <w:u w:val="single"/>
        </w:rPr>
      </w:pPr>
      <w:r>
        <w:rPr>
          <w:rFonts w:hint="eastAsia" w:ascii="宋体" w:hAnsi="宋体" w:eastAsia="宋体" w:cs="宋体"/>
          <w:sz w:val="24"/>
          <w:szCs w:val="24"/>
          <w:highlight w:val="none"/>
        </w:rPr>
        <w:t>9、竞争性磋商文件有较大变动的，磋商小组将以书面形式通知所有参加磋商的</w:t>
      </w:r>
      <w:r>
        <w:rPr>
          <w:rFonts w:hint="eastAsia" w:hAnsi="宋体" w:eastAsia="宋体" w:cs="宋体"/>
          <w:sz w:val="24"/>
          <w:szCs w:val="24"/>
          <w:highlight w:val="none"/>
          <w:lang w:eastAsia="zh-CN"/>
        </w:rPr>
        <w:t>供应商</w:t>
      </w:r>
      <w:r>
        <w:rPr>
          <w:rFonts w:hint="eastAsia" w:ascii="宋体" w:hAnsi="宋体" w:eastAsia="宋体" w:cs="宋体"/>
          <w:sz w:val="24"/>
          <w:szCs w:val="24"/>
          <w:highlight w:val="none"/>
        </w:rPr>
        <w:t>。</w:t>
      </w:r>
    </w:p>
    <w:p>
      <w:pPr>
        <w:pStyle w:val="12"/>
        <w:snapToGrid w:val="0"/>
        <w:spacing w:line="360" w:lineRule="auto"/>
        <w:ind w:left="359" w:leftChars="171" w:firstLine="482" w:firstLineChars="200"/>
        <w:rPr>
          <w:rFonts w:hint="eastAsia" w:ascii="宋体" w:hAnsi="宋体" w:eastAsia="宋体" w:cs="宋体"/>
          <w:b/>
          <w:sz w:val="24"/>
          <w:szCs w:val="24"/>
          <w:highlight w:val="none"/>
          <w:u w:val="single"/>
        </w:rPr>
      </w:pPr>
      <w:r>
        <w:rPr>
          <w:rFonts w:hint="eastAsia" w:ascii="宋体" w:hAnsi="宋体" w:eastAsia="宋体" w:cs="宋体"/>
          <w:b/>
          <w:sz w:val="24"/>
          <w:szCs w:val="24"/>
          <w:highlight w:val="none"/>
          <w:u w:val="single"/>
        </w:rPr>
        <w:t>10、</w:t>
      </w:r>
      <w:r>
        <w:rPr>
          <w:rFonts w:hint="eastAsia" w:hAnsi="宋体" w:eastAsia="宋体" w:cs="宋体"/>
          <w:b/>
          <w:sz w:val="24"/>
          <w:szCs w:val="24"/>
          <w:highlight w:val="none"/>
          <w:u w:val="single"/>
          <w:lang w:eastAsia="zh-CN"/>
        </w:rPr>
        <w:t>供应商</w:t>
      </w:r>
      <w:r>
        <w:rPr>
          <w:rFonts w:hint="eastAsia" w:ascii="宋体" w:hAnsi="宋体" w:eastAsia="宋体" w:cs="宋体"/>
          <w:b/>
          <w:sz w:val="24"/>
          <w:szCs w:val="24"/>
          <w:highlight w:val="none"/>
          <w:u w:val="single"/>
        </w:rPr>
        <w:t>未及时参与磋商或多次报价的，视为自动放弃参与磋商</w:t>
      </w:r>
      <w:r>
        <w:rPr>
          <w:rFonts w:hint="eastAsia" w:hAnsi="宋体" w:eastAsia="宋体" w:cs="宋体"/>
          <w:b/>
          <w:sz w:val="24"/>
          <w:szCs w:val="24"/>
          <w:highlight w:val="none"/>
          <w:u w:val="single"/>
          <w:lang w:eastAsia="zh-CN"/>
        </w:rPr>
        <w:t>磋商</w:t>
      </w:r>
      <w:r>
        <w:rPr>
          <w:rFonts w:hint="eastAsia" w:ascii="宋体" w:hAnsi="宋体" w:eastAsia="宋体" w:cs="宋体"/>
          <w:b/>
          <w:sz w:val="24"/>
          <w:szCs w:val="24"/>
          <w:highlight w:val="none"/>
          <w:u w:val="single"/>
        </w:rPr>
        <w:t>的资格。</w:t>
      </w:r>
    </w:p>
    <w:p>
      <w:pPr>
        <w:pStyle w:val="12"/>
        <w:snapToGrid w:val="0"/>
        <w:spacing w:line="360" w:lineRule="auto"/>
        <w:ind w:firstLine="482" w:firstLineChars="200"/>
        <w:rPr>
          <w:rFonts w:hint="eastAsia" w:ascii="宋体" w:hAnsi="宋体" w:eastAsia="宋体" w:cs="宋体"/>
          <w:b/>
          <w:sz w:val="24"/>
          <w:szCs w:val="24"/>
          <w:highlight w:val="none"/>
        </w:rPr>
      </w:pPr>
      <w:bookmarkStart w:id="59" w:name="_Toc213839741"/>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四</w:t>
      </w:r>
      <w:r>
        <w:rPr>
          <w:rFonts w:hint="eastAsia" w:ascii="宋体" w:hAnsi="宋体" w:eastAsia="宋体" w:cs="宋体"/>
          <w:b/>
          <w:sz w:val="24"/>
          <w:szCs w:val="24"/>
          <w:highlight w:val="none"/>
        </w:rPr>
        <w:t>）最终报价</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磋商结束后，磋商小组将要求所有有效</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在规定时间内提交最终报价及服务承诺。</w:t>
      </w:r>
    </w:p>
    <w:p>
      <w:pPr>
        <w:snapToGrid w:val="0"/>
        <w:spacing w:line="360" w:lineRule="auto"/>
        <w:ind w:firstLine="482" w:firstLineChars="200"/>
        <w:rPr>
          <w:rFonts w:hint="eastAsia" w:ascii="宋体" w:hAnsi="宋体" w:eastAsia="宋体" w:cs="宋体"/>
          <w:b/>
          <w:sz w:val="24"/>
          <w:highlight w:val="none"/>
          <w:lang w:eastAsia="zh-CN"/>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五</w:t>
      </w:r>
      <w:r>
        <w:rPr>
          <w:rFonts w:hint="eastAsia" w:ascii="宋体" w:hAnsi="宋体" w:eastAsia="宋体" w:cs="宋体"/>
          <w:b/>
          <w:sz w:val="24"/>
          <w:highlight w:val="none"/>
        </w:rPr>
        <w:t>）确定成交候选</w:t>
      </w:r>
      <w:r>
        <w:rPr>
          <w:rFonts w:hint="eastAsia" w:ascii="宋体" w:hAnsi="宋体" w:eastAsia="宋体" w:cs="宋体"/>
          <w:b/>
          <w:sz w:val="24"/>
          <w:highlight w:val="none"/>
          <w:lang w:eastAsia="zh-CN"/>
        </w:rPr>
        <w:t>供应商</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经磋商定最终招标需求和提交最后报价的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后，由磋商小组采用综合评分法对提交最后报价的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的响应件和最后报价进行综合评分。</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综合评分法，是指响应文件满足磋商文件全部实质性要求且按评审因素的量化指标评审得分最高的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为成交候选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的评审方法。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磋商小组</w:t>
      </w:r>
      <w:r>
        <w:rPr>
          <w:rFonts w:hint="eastAsia" w:ascii="宋体" w:hAnsi="宋体" w:eastAsia="宋体" w:cs="宋体"/>
          <w:sz w:val="24"/>
          <w:highlight w:val="none"/>
        </w:rPr>
        <w:t>通过上述评标方法以最终合计得分【为所有评委评分总和的算术平均值】，并按得分由高到低顺序排列，选择前三名</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rPr>
        <w:t>依次推荐为第一名、第二名和第三名</w:t>
      </w:r>
      <w:r>
        <w:rPr>
          <w:rFonts w:hint="eastAsia" w:ascii="宋体" w:hAnsi="宋体" w:eastAsia="宋体" w:cs="宋体"/>
          <w:sz w:val="24"/>
          <w:highlight w:val="none"/>
          <w:lang w:val="en-US" w:eastAsia="zh-CN"/>
        </w:rPr>
        <w:t>成交</w:t>
      </w:r>
      <w:r>
        <w:rPr>
          <w:rFonts w:hint="eastAsia" w:ascii="宋体" w:hAnsi="宋体" w:eastAsia="宋体" w:cs="宋体"/>
          <w:sz w:val="24"/>
          <w:highlight w:val="none"/>
        </w:rPr>
        <w:t>候选人。</w:t>
      </w:r>
      <w:r>
        <w:rPr>
          <w:rFonts w:hint="eastAsia" w:ascii="宋体" w:hAnsi="宋体" w:eastAsia="宋体" w:cs="宋体"/>
          <w:color w:val="auto"/>
          <w:sz w:val="24"/>
          <w:highlight w:val="none"/>
        </w:rPr>
        <w:t>当</w:t>
      </w:r>
      <w:r>
        <w:rPr>
          <w:rFonts w:hint="eastAsia" w:ascii="宋体" w:hAnsi="宋体" w:eastAsia="宋体" w:cs="宋体"/>
          <w:color w:val="auto"/>
          <w:sz w:val="24"/>
          <w:highlight w:val="none"/>
          <w:lang w:val="en-US" w:eastAsia="zh-CN"/>
        </w:rPr>
        <w:t>供应商综合得分相等时，</w:t>
      </w:r>
      <w:r>
        <w:rPr>
          <w:rFonts w:hint="eastAsia" w:ascii="宋体" w:hAnsi="宋体" w:eastAsia="宋体" w:cs="宋体"/>
          <w:color w:val="auto"/>
          <w:sz w:val="24"/>
          <w:highlight w:val="none"/>
        </w:rPr>
        <w:t>以评标价较低者优先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报价得分相等时，以技术标得分高者优先。</w:t>
      </w:r>
    </w:p>
    <w:p>
      <w:pPr>
        <w:pStyle w:val="5"/>
        <w:ind w:firstLine="482" w:firstLineChars="200"/>
        <w:rPr>
          <w:rFonts w:hint="default"/>
          <w:highlight w:val="none"/>
          <w:lang w:val="en-US"/>
        </w:rPr>
      </w:pPr>
      <w:r>
        <w:rPr>
          <w:rFonts w:hint="eastAsia" w:ascii="宋体" w:hAnsi="宋体"/>
          <w:color w:val="000000"/>
          <w:sz w:val="24"/>
          <w:highlight w:val="none"/>
          <w:lang w:val="en-US" w:eastAsia="zh-CN"/>
        </w:rPr>
        <w:t xml:space="preserve">第一中标候选人未按规定缴纳履约保证金或因不可抗力未能按时履行合同或不符合法律法规规定得其他情形，招标人有权确认排名第二的中标候选人为中标人，也有权重新组织招标。 </w:t>
      </w:r>
    </w:p>
    <w:p>
      <w:pPr>
        <w:snapToGrid w:val="0"/>
        <w:spacing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b/>
          <w:sz w:val="24"/>
          <w:highlight w:val="none"/>
          <w:lang w:eastAsia="zh-CN"/>
        </w:rPr>
        <w:t>六</w:t>
      </w:r>
      <w:r>
        <w:rPr>
          <w:rFonts w:hint="eastAsia" w:ascii="宋体" w:hAnsi="宋体" w:eastAsia="宋体" w:cs="宋体"/>
          <w:b/>
          <w:sz w:val="24"/>
          <w:highlight w:val="none"/>
        </w:rPr>
        <w:t>）磋商过程</w:t>
      </w:r>
      <w:bookmarkEnd w:id="59"/>
      <w:r>
        <w:rPr>
          <w:rFonts w:hint="eastAsia" w:ascii="宋体" w:hAnsi="宋体" w:eastAsia="宋体" w:cs="宋体"/>
          <w:b/>
          <w:sz w:val="24"/>
          <w:highlight w:val="none"/>
        </w:rPr>
        <w:t>保密</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1、在宣布成交结果之前，凡属于审查、澄清、评价、比较竞争性磋商文件等有关信息，相关当事人均不得泄露给任何磋</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或与磋商工作无关的人员。</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不得探听上述信息，不得以任何行为影响磋商过程，否则其响应文件将被作为无效响应文件。</w:t>
      </w:r>
    </w:p>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3、在磋商期间，代理机构有专门工作人员与</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进行联络。</w:t>
      </w:r>
    </w:p>
    <w:p>
      <w:pPr>
        <w:snapToGrid w:val="0"/>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4、采购人和磋商小组不向未成交的</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解释未成交原因，也不对磋商过程中的细节问题进行公布</w:t>
      </w:r>
      <w:bookmarkStart w:id="60" w:name="_Toc3891"/>
      <w:bookmarkStart w:id="61" w:name="_Toc6582"/>
      <w:r>
        <w:rPr>
          <w:rFonts w:hint="eastAsia" w:ascii="宋体" w:hAnsi="宋体" w:eastAsia="宋体" w:cs="宋体"/>
          <w:sz w:val="24"/>
          <w:highlight w:val="none"/>
          <w:lang w:eastAsia="zh-CN"/>
        </w:rPr>
        <w:t>。</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七）1、本项目无论开评标结果如何，投标单位应自行承担投标费用。</w:t>
      </w:r>
    </w:p>
    <w:p>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对招标文件提出质疑的时间</w:t>
      </w:r>
      <w:r>
        <w:rPr>
          <w:rFonts w:hint="eastAsia" w:ascii="宋体" w:hAnsi="宋体" w:eastAsia="宋体" w:cs="宋体"/>
          <w:sz w:val="24"/>
          <w:highlight w:val="none"/>
          <w:lang w:eastAsia="zh-CN"/>
        </w:rPr>
        <w:t>：</w:t>
      </w:r>
      <w:r>
        <w:rPr>
          <w:rFonts w:hint="eastAsia" w:ascii="宋体" w:hAnsi="宋体" w:eastAsia="宋体" w:cs="宋体"/>
          <w:sz w:val="24"/>
          <w:highlight w:val="none"/>
        </w:rPr>
        <w:t>自招标文件发售时间起的</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个工作日内</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如在规定时间内未提出质疑，视为响应招标文件。</w:t>
      </w:r>
    </w:p>
    <w:p>
      <w:pPr>
        <w:pStyle w:val="9"/>
        <w:jc w:val="center"/>
        <w:rPr>
          <w:rFonts w:hint="eastAsia" w:ascii="宋体" w:hAnsi="宋体" w:eastAsia="宋体" w:cs="宋体"/>
          <w:b/>
          <w:kern w:val="2"/>
          <w:sz w:val="28"/>
          <w:szCs w:val="28"/>
          <w:highlight w:val="none"/>
          <w:lang w:val="en-US" w:eastAsia="zh-CN" w:bidi="ar-SA"/>
        </w:rPr>
      </w:pPr>
      <w:r>
        <w:rPr>
          <w:rFonts w:hint="eastAsia" w:ascii="宋体" w:hAnsi="宋体" w:eastAsia="宋体" w:cs="宋体"/>
          <w:b/>
          <w:kern w:val="2"/>
          <w:sz w:val="28"/>
          <w:szCs w:val="28"/>
          <w:highlight w:val="none"/>
          <w:lang w:val="en-US" w:eastAsia="zh-CN" w:bidi="ar-SA"/>
        </w:rPr>
        <w:t>七、其他说明</w:t>
      </w:r>
    </w:p>
    <w:p>
      <w:pPr>
        <w:rPr>
          <w:rFonts w:hint="default"/>
          <w:lang w:val="en-US" w:eastAsia="zh-CN"/>
        </w:rPr>
      </w:pP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1、应遵循的原则</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1.1.遵循公开、公平、公正和诚实信用原则。</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1.2.坚持价格合理、质量优先、服务优质原则。</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1.3.利用法律手段强化竞争机制，贯彻统一、规范、简化、高效的要求。</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1.4.投标文件递交地点：民丰县行政服务和公共资源交易中心 （新疆民丰县友谊路75号）</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1.5.合同的签订：自领取中标通知书之日起3日内完成合同签订。</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1.6.除非另有说明，本招标文件中所示的时间均指北京时间。以上工作时间计划如有变更，以新疆政府采购网公告发布通知为准，敬请投标企业及时关注。</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1.7.合格的货物和服务</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1.7.1.供应商提供的所有货物及服务，其来源地均应为中华人民共和国或与中华人民共和国有官方贸易关系的国家或地区。</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1.7.2.供应商提供的所有货物和服务，其质量、技术等特征必须符合国家、行业现行的标准及采购人需求。</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1.7.3.采购人将拒绝接受不合格的货物和服务，由此产生的费用及相关后果均由供应商自行承担。</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1.7.4.供应商应保证本项目下提供的服务或其任何一部分不会因第三方依法享有的专利权、商标权或其他知识产权而产生法律纠纷；如果供应商不拥有相应的知识产权，则须在报价中包括合法获取该知识产权的相关费用，并在投标文件中附有相关证明文件；如因第三方提出其专利权、商标权或其他知识产权的侵权之诉，则一切法律责任由供应商承担。</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1.8.保密</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招投标双方应分别为对方在投标文件和招标文件中涉及的商业和技术等秘密保密，违者应对由此造成的后果承担责任。投标方不得将参加此次投标活动的事实进行商业性宣传。</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1.9.质疑与受理</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1.9.1.供应商有质疑时，应当以书面形式（加盖供应商公章）在质疑有效期限内向采购代理机构提交质疑书原件，逾期质疑无效。供应商以电话、传真或电邮形式提交的质疑书属于无效质疑。</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1.9.2.质疑内容不得含有虚假、恶意成分。依据谁主张谁举证的原则，质疑者提供的质疑书应当包括下列主要内容：具体的质疑事项、事实依据及相关确凿的证明材料和注明事实的确切来源、供应商名称、联系人与联系电话、质疑时间，质疑书应当署名并由法定代表人签字盖章并加盖公章。采购代理机构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1.9.3.采购代理机构在收到供应商的有效书面质疑后三个工作日内作出答复，但答复的内容不涉及商业秘密，质疑供应商对采购人、采购代理机构的质疑答复不满意，或采购人、采购代理机构未在规定期限内作出答复的，可以在答复期满后15个工作日内向同级政府采购监督管理部门提出投诉。</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1.10.不得参与同一采购项目竞争的供应商</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不同的供应商之间有下列情形之一的，不接受作为参与同 竞争的供应商：</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1.10.1.彼此存在投资与被投资关系的；</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1.10.2.彼此的经营者、董事会（或同类管理机构）成员属于直系亲属或配偶关系的。</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1.11.通知</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对与本项目有关的通知，采购代理机构将以书面（包括书面材料、信函、传真、电报等，下同）或在本次招标公告刊登的媒体上以发布公告的形式，送达所有与通知有关的已领取了招标文件的供应商，邮箱及电话号码以供应商的登记为准。供应商应于收到通知的当日以书面方式予以回复确认。因供应商登记的电话及邮箱号码有误、电话及邮箱线路故障或其它任何意外情形，导致所发出的通知延迟送达或无法送达供应商，采购代理机构不承担责任。</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1.12.招标文件的解释权</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本招标文件的解释权归“鼎建项目管理有限公司或采购人”所有。</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1.13.联合体投标</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本项目不接受联合体投标。</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1.14.转包与分包</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1、本项目不允许转包。</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2、本项目不可以分包。</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3、供应商应仔细阅读招标文件的所有内容，按照招标文件的要求提交投标文件，并对所提供的全部资料的真实性承担法律责任。</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napToGrid w:val="0"/>
        <w:spacing w:line="360" w:lineRule="auto"/>
        <w:ind w:firstLine="480" w:firstLineChars="200"/>
        <w:rPr>
          <w:rFonts w:hint="eastAsia" w:ascii="宋体" w:hAnsi="宋体" w:eastAsia="宋体" w:cs="宋体"/>
          <w:sz w:val="24"/>
          <w:highlight w:val="none"/>
          <w:lang w:val="en-US" w:eastAsia="zh-CN"/>
        </w:rPr>
      </w:pPr>
    </w:p>
    <w:p>
      <w:pPr>
        <w:snapToGrid w:val="0"/>
        <w:spacing w:line="360" w:lineRule="auto"/>
        <w:ind w:firstLine="562" w:firstLineChars="200"/>
        <w:jc w:val="center"/>
        <w:outlineLvl w:val="0"/>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bookmarkStart w:id="62" w:name="_Toc8290"/>
      <w:r>
        <w:rPr>
          <w:rFonts w:hint="eastAsia" w:ascii="宋体" w:hAnsi="宋体" w:cs="宋体"/>
          <w:b/>
          <w:sz w:val="28"/>
          <w:szCs w:val="28"/>
          <w:highlight w:val="none"/>
          <w:lang w:val="en-US" w:eastAsia="zh-CN"/>
        </w:rPr>
        <w:t>八</w:t>
      </w:r>
      <w:r>
        <w:rPr>
          <w:rFonts w:hint="eastAsia" w:ascii="宋体" w:hAnsi="宋体" w:eastAsia="宋体" w:cs="宋体"/>
          <w:b/>
          <w:sz w:val="28"/>
          <w:szCs w:val="28"/>
          <w:highlight w:val="none"/>
        </w:rPr>
        <w:t>、评标办法</w:t>
      </w:r>
      <w:bookmarkEnd w:id="62"/>
    </w:p>
    <w:p>
      <w:pPr>
        <w:pStyle w:val="21"/>
        <w:snapToGrid w:val="0"/>
        <w:spacing w:line="360" w:lineRule="auto"/>
        <w:ind w:firstLine="482" w:firstLineChars="200"/>
        <w:jc w:val="center"/>
        <w:rPr>
          <w:rFonts w:hint="default" w:ascii="宋体" w:hAnsi="宋体" w:eastAsia="宋体" w:cs="宋体"/>
          <w:b/>
          <w:bCs/>
          <w:sz w:val="24"/>
          <w:highlight w:val="none"/>
          <w:lang w:val="en-US"/>
        </w:rPr>
      </w:pPr>
      <w:r>
        <w:rPr>
          <w:rFonts w:hint="eastAsia" w:ascii="宋体" w:hAnsi="宋体" w:eastAsia="宋体" w:cs="宋体"/>
          <w:b/>
          <w:sz w:val="24"/>
          <w:highlight w:val="none"/>
        </w:rPr>
        <w:t>（一）</w:t>
      </w:r>
      <w:bookmarkStart w:id="63" w:name="_Toc14921"/>
      <w:r>
        <w:rPr>
          <w:rFonts w:hint="eastAsia" w:ascii="宋体" w:hAnsi="宋体" w:eastAsia="宋体" w:cs="宋体"/>
          <w:b/>
          <w:bCs/>
          <w:highlight w:val="none"/>
        </w:rPr>
        <w:t>初步审查</w:t>
      </w:r>
      <w:r>
        <w:rPr>
          <w:rFonts w:hint="eastAsia" w:ascii="宋体" w:hAnsi="宋体" w:eastAsia="宋体" w:cs="宋体"/>
          <w:b/>
          <w:bCs/>
          <w:highlight w:val="none"/>
          <w:lang w:val="en-US" w:eastAsia="zh-CN"/>
        </w:rPr>
        <w:t>--资格审查表</w:t>
      </w:r>
    </w:p>
    <w:bookmarkEnd w:id="63"/>
    <w:tbl>
      <w:tblPr>
        <w:tblStyle w:val="24"/>
        <w:tblW w:w="10083" w:type="dxa"/>
        <w:tblInd w:w="-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50"/>
        <w:gridCol w:w="9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atLeast"/>
        </w:trPr>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93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评审因素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7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highlight w:val="none"/>
                <w:u w:val="none"/>
              </w:rPr>
            </w:pPr>
          </w:p>
        </w:tc>
        <w:tc>
          <w:tcPr>
            <w:tcW w:w="93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有效的“三证合一”的营业执照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4"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法定代表人投标需携带法定代表人证明书及法定代表人身份证（原件），委托代理人投标需携带法定代表人授权委托书及委托代理人身份证（原件）；需提供社保部门出具的投标单位的缴纳社保证明（提供公司近六个月社保缴费证明及社保局出具的缴费明细），如依法不需要缴纳社会保障资金的，应提供相应文件证明（新成立不足3个月的按实际情况发生提供，成立时间超过3个月的零申报的需提供依法报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3</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具有良好的商业信誉和健全的财务会计制度需提供会计事务所出具的近三年的财务审计报告（2020年，2021年，2022年），2022年10月以后成立的公司可不提供但需提供银行出具的近三个月的资信证明和健全的财务会计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4</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5</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参加政府采购活动前三年内，在经营活动中没有重大违法记录，无失信行为，（投标人须出具企业及法定代表人无重大违法记录承诺书，无失信行为承诺书）；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6</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同意招标文件条款声明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7</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投标保证金证明材料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7" w:hRule="atLeast"/>
        </w:trPr>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8</w:t>
            </w:r>
          </w:p>
        </w:tc>
        <w:tc>
          <w:tcPr>
            <w:tcW w:w="93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5" w:hRule="atLeast"/>
        </w:trPr>
        <w:tc>
          <w:tcPr>
            <w:tcW w:w="100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结论：（通过〝√〞，</w:t>
            </w:r>
            <w:r>
              <w:rPr>
                <w:rFonts w:hint="eastAsia" w:ascii="宋体" w:hAnsi="宋体" w:eastAsia="宋体" w:cs="宋体"/>
                <w:i w:val="0"/>
                <w:color w:val="000000"/>
                <w:kern w:val="0"/>
                <w:sz w:val="22"/>
                <w:szCs w:val="22"/>
                <w:highlight w:val="none"/>
                <w:u w:val="none"/>
                <w:lang w:val="en-US" w:eastAsia="zh-CN" w:bidi="ar"/>
              </w:rPr>
              <w:t>不通过</w:t>
            </w:r>
            <w:r>
              <w:rPr>
                <w:rFonts w:hint="eastAsia" w:ascii="宋体" w:hAnsi="宋体" w:eastAsia="宋体" w:cs="宋体"/>
                <w:i w:val="0"/>
                <w:color w:val="000000"/>
                <w:kern w:val="0"/>
                <w:sz w:val="24"/>
                <w:szCs w:val="24"/>
                <w:highlight w:val="none"/>
                <w:u w:val="none"/>
                <w:lang w:val="en-US" w:eastAsia="zh-CN" w:bidi="ar"/>
              </w:rPr>
              <w:t xml:space="preserve">〝×〞）  </w:t>
            </w:r>
          </w:p>
          <w:p>
            <w:pPr>
              <w:keepNext w:val="0"/>
              <w:keepLines w:val="0"/>
              <w:widowControl/>
              <w:suppressLineNumbers w:val="0"/>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（以上评审有任意一项不通过，则不进入下一环节）</w:t>
            </w:r>
          </w:p>
        </w:tc>
      </w:tr>
    </w:tbl>
    <w:p>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备注：如果</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提供的响应文件中初步审查有一项未通过上述审查标准，磋商小组将认定整个响应文件不响应竞争性磋商文件而</w:t>
      </w:r>
      <w:r>
        <w:rPr>
          <w:rFonts w:hint="eastAsia" w:ascii="宋体" w:hAnsi="宋体" w:eastAsia="宋体" w:cs="宋体"/>
          <w:sz w:val="24"/>
          <w:highlight w:val="none"/>
          <w:lang w:val="en-US" w:eastAsia="zh-CN"/>
        </w:rPr>
        <w:t>被视为无效投标</w:t>
      </w:r>
      <w:r>
        <w:rPr>
          <w:rFonts w:hint="eastAsia" w:ascii="宋体" w:hAnsi="宋体" w:eastAsia="宋体" w:cs="宋体"/>
          <w:sz w:val="24"/>
          <w:highlight w:val="none"/>
        </w:rPr>
        <w:t>，并且不允许</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通过修改或撤销其不符合要求的差异或保留，使之成为具有响应性的竞标。</w:t>
      </w:r>
    </w:p>
    <w:p>
      <w:pPr>
        <w:pStyle w:val="12"/>
        <w:rPr>
          <w:rFonts w:hint="eastAsia"/>
        </w:rPr>
      </w:pPr>
    </w:p>
    <w:p>
      <w:pPr>
        <w:pStyle w:val="21"/>
        <w:snapToGrid w:val="0"/>
        <w:spacing w:line="360" w:lineRule="auto"/>
        <w:ind w:firstLine="482" w:firstLineChars="200"/>
        <w:jc w:val="center"/>
        <w:rPr>
          <w:rFonts w:hint="eastAsia"/>
          <w:sz w:val="24"/>
          <w:szCs w:val="24"/>
          <w:highlight w:val="none"/>
        </w:rPr>
      </w:pPr>
      <w:r>
        <w:rPr>
          <w:rFonts w:hint="eastAsia" w:eastAsia="宋体" w:cs="宋体"/>
          <w:b/>
          <w:bCs/>
          <w:sz w:val="24"/>
          <w:szCs w:val="24"/>
          <w:highlight w:val="none"/>
          <w:lang w:eastAsia="zh-CN"/>
        </w:rPr>
        <w:t>（</w:t>
      </w:r>
      <w:r>
        <w:rPr>
          <w:rFonts w:hint="eastAsia" w:eastAsia="宋体" w:cs="宋体"/>
          <w:b/>
          <w:bCs/>
          <w:sz w:val="24"/>
          <w:szCs w:val="24"/>
          <w:highlight w:val="none"/>
          <w:lang w:val="en-US" w:eastAsia="zh-CN"/>
        </w:rPr>
        <w:t>二）</w:t>
      </w:r>
      <w:r>
        <w:rPr>
          <w:rFonts w:hint="eastAsia" w:ascii="宋体" w:hAnsi="宋体" w:eastAsia="宋体" w:cs="宋体"/>
          <w:b/>
          <w:bCs/>
          <w:sz w:val="24"/>
          <w:szCs w:val="24"/>
          <w:highlight w:val="none"/>
        </w:rPr>
        <w:t>初步审查表</w:t>
      </w:r>
      <w:r>
        <w:rPr>
          <w:rFonts w:hint="eastAsia" w:ascii="宋体" w:hAnsi="宋体" w:eastAsia="宋体" w:cs="宋体"/>
          <w:b/>
          <w:bCs/>
          <w:sz w:val="24"/>
          <w:szCs w:val="24"/>
          <w:highlight w:val="none"/>
          <w:lang w:val="en-US" w:eastAsia="zh-CN"/>
        </w:rPr>
        <w:t>--符合性审查</w:t>
      </w:r>
      <w:r>
        <w:rPr>
          <w:rFonts w:hint="eastAsia" w:ascii="宋体" w:hAnsi="宋体" w:eastAsia="宋体" w:cs="宋体"/>
          <w:b/>
          <w:bCs/>
          <w:highlight w:val="none"/>
          <w:lang w:val="en-US" w:eastAsia="zh-CN"/>
        </w:rPr>
        <w:t>表</w:t>
      </w:r>
    </w:p>
    <w:tbl>
      <w:tblPr>
        <w:tblStyle w:val="24"/>
        <w:tblpPr w:leftFromText="180" w:rightFromText="180" w:vertAnchor="text" w:horzAnchor="page" w:tblpXSpec="center" w:tblpY="16"/>
        <w:tblOverlap w:val="never"/>
        <w:tblW w:w="0" w:type="auto"/>
        <w:jc w:val="center"/>
        <w:tblLayout w:type="fixed"/>
        <w:tblCellMar>
          <w:top w:w="15" w:type="dxa"/>
          <w:left w:w="15" w:type="dxa"/>
          <w:bottom w:w="15" w:type="dxa"/>
          <w:right w:w="15" w:type="dxa"/>
        </w:tblCellMar>
      </w:tblPr>
      <w:tblGrid>
        <w:gridCol w:w="688"/>
        <w:gridCol w:w="5825"/>
        <w:gridCol w:w="2582"/>
      </w:tblGrid>
      <w:tr>
        <w:tblPrEx>
          <w:tblCellMar>
            <w:top w:w="15" w:type="dxa"/>
            <w:left w:w="15" w:type="dxa"/>
            <w:bottom w:w="15" w:type="dxa"/>
            <w:right w:w="15" w:type="dxa"/>
          </w:tblCellMar>
        </w:tblPrEx>
        <w:trPr>
          <w:trHeight w:val="9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序号</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评审内容</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是否通过评审（注：通过的打“√”，未通过的打“×”）</w:t>
            </w: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响应文件签字或盖章是否满足采购文件要求；</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77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响应文件是否按磋商文件要求编制，内容是否全面或字迹是否模糊、辨认不清的；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71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3</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响应文件</w:t>
            </w:r>
            <w:r>
              <w:rPr>
                <w:rFonts w:hint="eastAsia" w:ascii="宋体" w:hAnsi="宋体" w:eastAsia="宋体" w:cs="宋体"/>
                <w:color w:val="000000"/>
                <w:kern w:val="2"/>
                <w:sz w:val="24"/>
                <w:szCs w:val="24"/>
                <w:highlight w:val="none"/>
                <w:lang w:val="en-US" w:eastAsia="zh-CN"/>
              </w:rPr>
              <w:t>是否不齐全或者内容虚假的；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76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4</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both"/>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响应文件记载的项目工期是否超过采购文件规定的工期；</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5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5</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磋商有效期是否满足磋商文件要求的；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52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6</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响应文件</w:t>
            </w:r>
            <w:r>
              <w:rPr>
                <w:rFonts w:hint="eastAsia" w:ascii="宋体" w:hAnsi="宋体" w:eastAsia="宋体" w:cs="宋体"/>
                <w:i w:val="0"/>
                <w:color w:val="000000"/>
                <w:kern w:val="0"/>
                <w:sz w:val="24"/>
                <w:szCs w:val="24"/>
                <w:highlight w:val="none"/>
                <w:u w:val="none"/>
                <w:lang w:val="en-US" w:eastAsia="zh-CN" w:bidi="ar"/>
              </w:rPr>
              <w:t>没有高于最高限价；</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8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7</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响应人没有递交两份或两份以上内容不同的投标书，已声明哪一份有效的；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79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8</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明显不符合技术规格和技术标准（技术规格、合同条款有偏离情况的）；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69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9</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商务条款是否有偏离情况的；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66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10</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响应文件是否附有采购人不能接受条件的；</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7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11</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磋商保证金的缴纳主体与响应人是否一致；</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r>
        <w:tblPrEx>
          <w:tblCellMar>
            <w:top w:w="15" w:type="dxa"/>
            <w:left w:w="15" w:type="dxa"/>
            <w:bottom w:w="15" w:type="dxa"/>
            <w:right w:w="15" w:type="dxa"/>
          </w:tblCellMar>
        </w:tblPrEx>
        <w:trPr>
          <w:trHeight w:val="78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jc w:val="center"/>
              <w:rPr>
                <w:rFonts w:hint="default"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12</w:t>
            </w:r>
          </w:p>
        </w:tc>
        <w:tc>
          <w:tcPr>
            <w:tcW w:w="582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是否满足磋商文件实质性要求的其他情形；</w:t>
            </w:r>
          </w:p>
        </w:tc>
        <w:tc>
          <w:tcPr>
            <w:tcW w:w="2582"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240" w:lineRule="auto"/>
              <w:ind w:left="120" w:leftChars="0" w:right="62" w:rightChars="0" w:hanging="120" w:hangingChars="50"/>
              <w:rPr>
                <w:rFonts w:hint="eastAsia" w:ascii="宋体" w:hAnsi="宋体" w:eastAsia="宋体" w:cs="宋体"/>
                <w:color w:val="000000"/>
                <w:kern w:val="2"/>
                <w:sz w:val="24"/>
                <w:szCs w:val="24"/>
                <w:highlight w:val="none"/>
                <w:lang w:val="en-US" w:eastAsia="zh-CN"/>
              </w:rPr>
            </w:pPr>
          </w:p>
        </w:tc>
      </w:tr>
    </w:tbl>
    <w:p>
      <w:pPr>
        <w:snapToGrid w:val="0"/>
        <w:spacing w:line="360" w:lineRule="auto"/>
        <w:ind w:firstLine="480" w:firstLineChars="200"/>
        <w:rPr>
          <w:rFonts w:hint="eastAsia" w:ascii="宋体" w:hAnsi="宋体" w:eastAsia="宋体" w:cs="宋体"/>
          <w:b/>
          <w:sz w:val="32"/>
          <w:szCs w:val="32"/>
          <w:highlight w:val="none"/>
        </w:rPr>
      </w:pPr>
      <w:r>
        <w:rPr>
          <w:rFonts w:hint="eastAsia" w:ascii="宋体" w:hAnsi="宋体" w:eastAsia="宋体" w:cs="宋体"/>
          <w:sz w:val="24"/>
          <w:highlight w:val="none"/>
        </w:rPr>
        <w:t>备注：如果</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提供的响应文件中初步审查有一项未通过上述审查标准，磋商小组将认定整个响应文件不响应竞争性磋商文件而予以废标，并且不允许</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通过修改或撤销其不符合要求的差异或保留，使之成为具有响应性的竞标。</w:t>
      </w:r>
    </w:p>
    <w:p>
      <w:pPr>
        <w:jc w:val="both"/>
        <w:rPr>
          <w:rFonts w:hint="eastAsia" w:ascii="Tahoma" w:hAnsi="Tahoma" w:cs="Tahoma"/>
          <w:b/>
          <w:bCs/>
          <w:sz w:val="20"/>
          <w:szCs w:val="22"/>
          <w:highlight w:val="none"/>
          <w:lang w:val="en-US" w:eastAsia="zh-CN"/>
        </w:rPr>
      </w:pPr>
      <w:r>
        <w:rPr>
          <w:rFonts w:hint="eastAsia" w:ascii="Tahoma" w:hAnsi="Tahoma" w:cs="Tahoma"/>
          <w:b/>
          <w:bCs/>
          <w:sz w:val="20"/>
          <w:szCs w:val="22"/>
          <w:highlight w:val="none"/>
          <w:lang w:val="en-US" w:eastAsia="zh-CN"/>
        </w:rPr>
        <w:t xml:space="preserve">  </w:t>
      </w:r>
    </w:p>
    <w:p>
      <w:pPr>
        <w:jc w:val="both"/>
        <w:rPr>
          <w:rFonts w:hint="eastAsia" w:ascii="Tahoma" w:hAnsi="Tahoma" w:cs="Tahoma"/>
          <w:b/>
          <w:bCs/>
          <w:sz w:val="20"/>
          <w:szCs w:val="22"/>
          <w:highlight w:val="none"/>
          <w:lang w:val="en-US" w:eastAsia="zh-CN"/>
        </w:rPr>
      </w:pPr>
    </w:p>
    <w:p>
      <w:pPr>
        <w:pStyle w:val="2"/>
        <w:rPr>
          <w:rFonts w:hint="eastAsia" w:ascii="Tahoma" w:hAnsi="Tahoma" w:cs="Tahoma"/>
          <w:b/>
          <w:bCs/>
          <w:sz w:val="20"/>
          <w:szCs w:val="22"/>
          <w:highlight w:val="none"/>
          <w:lang w:val="en-US" w:eastAsia="zh-CN"/>
        </w:rPr>
      </w:pPr>
    </w:p>
    <w:p>
      <w:pPr>
        <w:rPr>
          <w:rFonts w:hint="eastAsia" w:ascii="Tahoma" w:hAnsi="Tahoma" w:cs="Tahoma"/>
          <w:b/>
          <w:bCs/>
          <w:sz w:val="20"/>
          <w:szCs w:val="22"/>
          <w:highlight w:val="none"/>
          <w:lang w:val="en-US" w:eastAsia="zh-CN"/>
        </w:rPr>
      </w:pPr>
    </w:p>
    <w:p>
      <w:pPr>
        <w:pStyle w:val="2"/>
        <w:rPr>
          <w:rFonts w:hint="eastAsia" w:ascii="Tahoma" w:hAnsi="Tahoma" w:cs="Tahoma"/>
          <w:b/>
          <w:bCs/>
          <w:sz w:val="20"/>
          <w:szCs w:val="22"/>
          <w:highlight w:val="none"/>
          <w:lang w:val="en-US" w:eastAsia="zh-CN"/>
        </w:rPr>
      </w:pPr>
    </w:p>
    <w:p>
      <w:pPr>
        <w:rPr>
          <w:rFonts w:hint="eastAsia" w:ascii="Tahoma" w:hAnsi="Tahoma" w:cs="Tahoma"/>
          <w:b/>
          <w:bCs/>
          <w:sz w:val="20"/>
          <w:szCs w:val="22"/>
          <w:highlight w:val="none"/>
          <w:lang w:val="en-US" w:eastAsia="zh-CN"/>
        </w:rPr>
      </w:pPr>
    </w:p>
    <w:p>
      <w:pPr>
        <w:pStyle w:val="2"/>
        <w:rPr>
          <w:rFonts w:hint="eastAsia"/>
          <w:lang w:val="en-US" w:eastAsia="zh-CN"/>
        </w:rPr>
      </w:pPr>
    </w:p>
    <w:p>
      <w:pPr>
        <w:pStyle w:val="19"/>
        <w:rPr>
          <w:rFonts w:hint="eastAsia" w:ascii="Tahoma" w:hAnsi="Tahoma" w:cs="Tahoma"/>
          <w:b/>
          <w:bCs/>
          <w:sz w:val="20"/>
          <w:szCs w:val="22"/>
          <w:highlight w:val="none"/>
          <w:lang w:val="en-US" w:eastAsia="zh-CN"/>
        </w:rPr>
      </w:pPr>
    </w:p>
    <w:p>
      <w:pPr>
        <w:jc w:val="center"/>
        <w:rPr>
          <w:rFonts w:hint="eastAsia" w:ascii="Tahoma" w:hAnsi="Tahoma" w:cs="Tahoma"/>
          <w:b/>
          <w:bCs/>
          <w:sz w:val="36"/>
          <w:szCs w:val="44"/>
          <w:highlight w:val="none"/>
          <w:lang w:val="en-US" w:eastAsia="zh-CN"/>
        </w:rPr>
      </w:pPr>
      <w:r>
        <w:rPr>
          <w:rFonts w:hint="eastAsia" w:ascii="Tahoma" w:hAnsi="Tahoma" w:cs="Tahoma"/>
          <w:b/>
          <w:bCs/>
          <w:sz w:val="36"/>
          <w:szCs w:val="44"/>
          <w:highlight w:val="none"/>
          <w:lang w:val="en-US" w:eastAsia="zh-CN"/>
        </w:rPr>
        <w:t>详细评审表</w:t>
      </w:r>
    </w:p>
    <w:tbl>
      <w:tblPr>
        <w:tblStyle w:val="24"/>
        <w:tblW w:w="9812"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7"/>
        <w:gridCol w:w="1393"/>
        <w:gridCol w:w="7007"/>
        <w:gridCol w:w="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8" w:hRule="atLeast"/>
        </w:trPr>
        <w:tc>
          <w:tcPr>
            <w:tcW w:w="9812" w:type="dxa"/>
            <w:gridSpan w:val="4"/>
            <w:noWrap w:val="0"/>
            <w:vAlign w:val="center"/>
          </w:tcPr>
          <w:p>
            <w:pPr>
              <w:spacing w:line="240" w:lineRule="auto"/>
              <w:jc w:val="center"/>
              <w:rPr>
                <w:rFonts w:hint="eastAsia" w:ascii="宋体" w:hAnsi="宋体" w:eastAsia="宋体" w:cs="宋体"/>
                <w:bCs/>
                <w:sz w:val="24"/>
                <w:szCs w:val="24"/>
                <w:highlight w:val="none"/>
                <w:lang w:eastAsia="zh-CN"/>
              </w:rPr>
            </w:pPr>
            <w:r>
              <w:rPr>
                <w:rFonts w:hint="eastAsia" w:ascii="宋体" w:hAnsi="宋体" w:cs="宋体"/>
                <w:b/>
                <w:bCs/>
                <w:sz w:val="24"/>
                <w:szCs w:val="24"/>
                <w:lang w:bidi="en-US"/>
              </w:rPr>
              <w:t>报价得分</w:t>
            </w:r>
            <w:r>
              <w:rPr>
                <w:rFonts w:hint="eastAsia" w:ascii="宋体" w:hAnsi="宋体" w:cs="宋体"/>
                <w:b/>
                <w:bCs/>
                <w:sz w:val="24"/>
                <w:szCs w:val="24"/>
                <w:lang w:eastAsia="zh-CN" w:bidi="en-US"/>
              </w:rPr>
              <w:t>（</w:t>
            </w:r>
            <w:r>
              <w:rPr>
                <w:rFonts w:hint="eastAsia" w:ascii="宋体" w:hAnsi="宋体" w:cs="宋体"/>
                <w:b/>
                <w:bCs/>
                <w:sz w:val="24"/>
                <w:szCs w:val="24"/>
                <w:lang w:val="en-US" w:eastAsia="zh-CN" w:bidi="en-US"/>
              </w:rPr>
              <w:t>30分</w:t>
            </w:r>
            <w:r>
              <w:rPr>
                <w:rFonts w:hint="eastAsia" w:ascii="宋体" w:hAnsi="宋体" w:cs="宋体"/>
                <w:b/>
                <w:bCs/>
                <w:sz w:val="24"/>
                <w:szCs w:val="24"/>
                <w:lang w:eastAsia="zh-CN" w:bidi="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7" w:type="dxa"/>
            <w:noWrap w:val="0"/>
            <w:vAlign w:val="center"/>
          </w:tcPr>
          <w:p>
            <w:pPr>
              <w:spacing w:line="240" w:lineRule="auto"/>
              <w:jc w:val="center"/>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序号</w:t>
            </w:r>
          </w:p>
        </w:tc>
        <w:tc>
          <w:tcPr>
            <w:tcW w:w="1393" w:type="dxa"/>
            <w:noWrap w:val="0"/>
            <w:vAlign w:val="center"/>
          </w:tcPr>
          <w:p>
            <w:pPr>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分类</w:t>
            </w:r>
          </w:p>
        </w:tc>
        <w:tc>
          <w:tcPr>
            <w:tcW w:w="7007" w:type="dxa"/>
            <w:noWrap w:val="0"/>
            <w:vAlign w:val="center"/>
          </w:tcPr>
          <w:p>
            <w:pPr>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评分标准</w:t>
            </w:r>
          </w:p>
        </w:tc>
        <w:tc>
          <w:tcPr>
            <w:tcW w:w="705" w:type="dxa"/>
            <w:noWrap w:val="0"/>
            <w:vAlign w:val="center"/>
          </w:tcPr>
          <w:p>
            <w:pPr>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68" w:hRule="atLeast"/>
        </w:trPr>
        <w:tc>
          <w:tcPr>
            <w:tcW w:w="707" w:type="dxa"/>
            <w:noWrap w:val="0"/>
            <w:vAlign w:val="center"/>
          </w:tcPr>
          <w:p>
            <w:pPr>
              <w:spacing w:line="24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1393" w:type="dxa"/>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磋商总报价（30分）</w:t>
            </w:r>
          </w:p>
        </w:tc>
        <w:tc>
          <w:tcPr>
            <w:tcW w:w="7007" w:type="dxa"/>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以满足磋商文件要求且最终报价最低的报价为评标基准价，其价格分为满分30分，其他供应商的价格得分按照下列公式计算：报价得分=（评标基准价/最终报价）×30%×100，报价高于预算价的，按无效报价处理。</w:t>
            </w:r>
          </w:p>
        </w:tc>
        <w:tc>
          <w:tcPr>
            <w:tcW w:w="705" w:type="dxa"/>
            <w:noWrap w:val="0"/>
            <w:vAlign w:val="center"/>
          </w:tcPr>
          <w:p>
            <w:pPr>
              <w:tabs>
                <w:tab w:val="left" w:pos="1007"/>
              </w:tabs>
              <w:snapToGrid w:val="0"/>
              <w:spacing w:line="360" w:lineRule="exact"/>
              <w:jc w:val="center"/>
              <w:rPr>
                <w:rFonts w:hint="eastAsia" w:ascii="宋体" w:hAnsi="宋体" w:eastAsia="宋体" w:cs="宋体"/>
                <w:bCs/>
                <w:sz w:val="24"/>
                <w:szCs w:val="24"/>
                <w:highlight w:val="none"/>
              </w:rPr>
            </w:pPr>
            <w:r>
              <w:rPr>
                <w:rFonts w:hint="eastAsia" w:ascii="宋体" w:hAnsi="宋体"/>
                <w:color w:val="auto"/>
                <w:sz w:val="22"/>
                <w:szCs w:val="22"/>
                <w:highlight w:val="none"/>
                <w:lang w:val="en-US"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49" w:hRule="atLeast"/>
        </w:trPr>
        <w:tc>
          <w:tcPr>
            <w:tcW w:w="9812" w:type="dxa"/>
            <w:gridSpan w:val="4"/>
            <w:noWrap w:val="0"/>
            <w:vAlign w:val="center"/>
          </w:tcPr>
          <w:p>
            <w:pPr>
              <w:tabs>
                <w:tab w:val="left" w:pos="3632"/>
              </w:tabs>
              <w:spacing w:line="240" w:lineRule="auto"/>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ab/>
            </w:r>
            <w:r>
              <w:rPr>
                <w:rFonts w:hint="eastAsia" w:ascii="宋体" w:hAnsi="宋体" w:cs="宋体"/>
                <w:b/>
                <w:sz w:val="24"/>
                <w:szCs w:val="24"/>
              </w:rPr>
              <w:t>商务部分评分</w:t>
            </w:r>
            <w:r>
              <w:rPr>
                <w:rFonts w:hint="eastAsia" w:ascii="宋体" w:hAnsi="宋体" w:cs="宋体"/>
                <w:b/>
                <w:sz w:val="24"/>
                <w:szCs w:val="24"/>
                <w:lang w:eastAsia="zh-CN"/>
              </w:rPr>
              <w:t>（</w:t>
            </w:r>
            <w:r>
              <w:rPr>
                <w:rFonts w:hint="eastAsia" w:ascii="宋体" w:hAnsi="宋体" w:cs="宋体"/>
                <w:b/>
                <w:sz w:val="24"/>
                <w:szCs w:val="24"/>
                <w:lang w:val="en-US" w:eastAsia="zh-CN"/>
              </w:rPr>
              <w:t>20分</w:t>
            </w:r>
            <w:r>
              <w:rPr>
                <w:rFonts w:hint="eastAsia" w:ascii="宋体" w:hAnsi="宋体" w:cs="宋体"/>
                <w:b/>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49" w:hRule="atLeast"/>
        </w:trPr>
        <w:tc>
          <w:tcPr>
            <w:tcW w:w="707" w:type="dxa"/>
            <w:noWrap w:val="0"/>
            <w:vAlign w:val="center"/>
          </w:tcPr>
          <w:p>
            <w:pPr>
              <w:spacing w:line="240" w:lineRule="auto"/>
              <w:jc w:val="center"/>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val="en-US" w:eastAsia="zh-CN"/>
              </w:rPr>
              <w:t>2</w:t>
            </w:r>
          </w:p>
        </w:tc>
        <w:tc>
          <w:tcPr>
            <w:tcW w:w="1393" w:type="dxa"/>
            <w:tcBorders>
              <w:bottom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类似业绩</w:t>
            </w:r>
          </w:p>
        </w:tc>
        <w:tc>
          <w:tcPr>
            <w:tcW w:w="7007" w:type="dxa"/>
            <w:tcBorders>
              <w:bottom w:val="single" w:color="auto" w:sz="4" w:space="0"/>
            </w:tcBorders>
            <w:noWrap w:val="0"/>
            <w:vAlign w:val="center"/>
          </w:tcPr>
          <w:p>
            <w:pPr>
              <w:pStyle w:val="2"/>
              <w:rPr>
                <w:rFonts w:hint="eastAsia"/>
                <w:lang w:eastAsia="zh-CN"/>
              </w:rPr>
            </w:pPr>
            <w:r>
              <w:rPr>
                <w:rFonts w:hint="eastAsia"/>
                <w:lang w:val="en-US" w:eastAsia="zh-CN"/>
              </w:rPr>
              <w:t>类似</w:t>
            </w:r>
            <w:r>
              <w:rPr>
                <w:rFonts w:hint="eastAsia"/>
              </w:rPr>
              <w:t>业绩</w:t>
            </w:r>
            <w:r>
              <w:rPr>
                <w:rFonts w:hint="eastAsia"/>
                <w:lang w:eastAsia="zh-CN"/>
              </w:rPr>
              <w:t>：响应人</w:t>
            </w:r>
            <w:r>
              <w:rPr>
                <w:rFonts w:hint="eastAsia"/>
              </w:rPr>
              <w:t>近三</w:t>
            </w:r>
            <w:r>
              <w:rPr>
                <w:rFonts w:hint="eastAsia"/>
                <w:lang w:eastAsia="zh-CN"/>
              </w:rPr>
              <w:t>年（</w:t>
            </w:r>
            <w:r>
              <w:rPr>
                <w:rFonts w:hint="eastAsia"/>
                <w:lang w:val="en-US" w:eastAsia="zh-CN"/>
              </w:rPr>
              <w:t>2020年03月至今）</w:t>
            </w:r>
            <w:r>
              <w:rPr>
                <w:rFonts w:hint="eastAsia"/>
                <w:lang w:eastAsia="zh-CN"/>
              </w:rPr>
              <w:t>承担过类似项目（</w:t>
            </w:r>
            <w:r>
              <w:rPr>
                <w:rFonts w:hint="eastAsia"/>
                <w:lang w:val="en-US" w:eastAsia="zh-CN"/>
              </w:rPr>
              <w:t>须附合同协议书和中标通知书复印件）</w:t>
            </w:r>
            <w:r>
              <w:rPr>
                <w:rFonts w:hint="eastAsia"/>
                <w:lang w:eastAsia="zh-CN"/>
              </w:rPr>
              <w:t>每</w:t>
            </w:r>
            <w:r>
              <w:rPr>
                <w:rFonts w:hint="eastAsia"/>
                <w:lang w:val="en-US" w:eastAsia="zh-CN"/>
              </w:rPr>
              <w:t>个得1.5</w:t>
            </w:r>
            <w:r>
              <w:rPr>
                <w:rFonts w:hint="eastAsia"/>
                <w:lang w:eastAsia="zh-CN"/>
              </w:rPr>
              <w:t>分，最高得</w:t>
            </w:r>
            <w:r>
              <w:rPr>
                <w:rFonts w:hint="eastAsia"/>
                <w:lang w:val="en-US" w:eastAsia="zh-CN"/>
              </w:rPr>
              <w:t>6</w:t>
            </w:r>
            <w:r>
              <w:rPr>
                <w:rFonts w:hint="eastAsia"/>
                <w:lang w:eastAsia="zh-CN"/>
              </w:rPr>
              <w:t>分。</w:t>
            </w:r>
          </w:p>
          <w:p>
            <w:pPr>
              <w:rPr>
                <w:rFonts w:hint="eastAsia"/>
                <w:lang w:val="en-US" w:eastAsia="zh-CN"/>
              </w:rPr>
            </w:pPr>
            <w:r>
              <w:rPr>
                <w:rFonts w:hint="eastAsia" w:ascii="宋体" w:hAnsi="宋体" w:eastAsia="宋体" w:cs="宋体"/>
                <w:sz w:val="24"/>
                <w:szCs w:val="24"/>
                <w:lang w:eastAsia="zh-CN"/>
              </w:rPr>
              <w:t>总监理工程师</w:t>
            </w:r>
            <w:r>
              <w:rPr>
                <w:rFonts w:hint="eastAsia" w:ascii="宋体" w:hAnsi="宋体" w:eastAsia="宋体" w:cs="宋体"/>
                <w:sz w:val="24"/>
                <w:szCs w:val="24"/>
              </w:rPr>
              <w:t>：近三</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2020年03月至今）</w:t>
            </w:r>
            <w:r>
              <w:rPr>
                <w:rFonts w:hint="eastAsia" w:ascii="宋体" w:hAnsi="宋体" w:eastAsia="宋体" w:cs="宋体"/>
                <w:sz w:val="24"/>
                <w:szCs w:val="24"/>
                <w:lang w:eastAsia="zh-CN"/>
              </w:rPr>
              <w:t>承担过类似项目（</w:t>
            </w:r>
            <w:r>
              <w:rPr>
                <w:rFonts w:hint="eastAsia" w:ascii="宋体" w:hAnsi="宋体" w:eastAsia="宋体" w:cs="宋体"/>
                <w:sz w:val="24"/>
                <w:szCs w:val="24"/>
                <w:lang w:val="en-US" w:eastAsia="zh-CN"/>
              </w:rPr>
              <w:t>须附合同协议书和中标通知书复印件）</w:t>
            </w:r>
            <w:r>
              <w:rPr>
                <w:rFonts w:hint="eastAsia" w:ascii="宋体" w:hAnsi="宋体" w:eastAsia="宋体" w:cs="宋体"/>
                <w:sz w:val="24"/>
                <w:szCs w:val="24"/>
                <w:lang w:eastAsia="zh-CN"/>
              </w:rPr>
              <w:t>每</w:t>
            </w:r>
            <w:r>
              <w:rPr>
                <w:rFonts w:hint="eastAsia" w:ascii="宋体" w:hAnsi="宋体" w:eastAsia="宋体" w:cs="宋体"/>
                <w:sz w:val="24"/>
                <w:szCs w:val="24"/>
                <w:lang w:val="en-US" w:eastAsia="zh-CN"/>
              </w:rPr>
              <w:t>个得3</w:t>
            </w:r>
            <w:r>
              <w:rPr>
                <w:rFonts w:hint="eastAsia" w:ascii="宋体" w:hAnsi="宋体" w:eastAsia="宋体" w:cs="宋体"/>
                <w:sz w:val="24"/>
                <w:szCs w:val="24"/>
                <w:lang w:eastAsia="zh-CN"/>
              </w:rPr>
              <w:t>分，最高得</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分。</w:t>
            </w:r>
          </w:p>
        </w:tc>
        <w:tc>
          <w:tcPr>
            <w:tcW w:w="705" w:type="dxa"/>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7" w:hRule="atLeast"/>
        </w:trPr>
        <w:tc>
          <w:tcPr>
            <w:tcW w:w="707" w:type="dxa"/>
            <w:noWrap w:val="0"/>
            <w:vAlign w:val="center"/>
          </w:tcPr>
          <w:p>
            <w:pPr>
              <w:spacing w:line="240" w:lineRule="auto"/>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3</w:t>
            </w:r>
          </w:p>
        </w:tc>
        <w:tc>
          <w:tcPr>
            <w:tcW w:w="1393" w:type="dxa"/>
            <w:tcBorders>
              <w:bottom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人员配备</w:t>
            </w:r>
          </w:p>
        </w:tc>
        <w:tc>
          <w:tcPr>
            <w:tcW w:w="7007" w:type="dxa"/>
            <w:tcBorders>
              <w:bottom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eastAsia="zh-CN"/>
              </w:rPr>
              <w:t>人员配备情况：</w:t>
            </w:r>
            <w:r>
              <w:rPr>
                <w:rFonts w:hint="eastAsia" w:ascii="宋体" w:hAnsi="宋体" w:eastAsia="宋体" w:cs="宋体"/>
                <w:sz w:val="24"/>
                <w:szCs w:val="24"/>
                <w:lang w:val="en-US" w:eastAsia="zh-CN"/>
              </w:rPr>
              <w:t>副总监、各专业监理工程师、监理员其他人员工作经历、监理资历及相关资格证书、岗位证书（每个得1分，最多的6分）</w:t>
            </w:r>
          </w:p>
        </w:tc>
        <w:tc>
          <w:tcPr>
            <w:tcW w:w="705" w:type="dxa"/>
            <w:noWrap w:val="0"/>
            <w:vAlign w:val="center"/>
          </w:tcPr>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7" w:type="dxa"/>
            <w:noWrap w:val="0"/>
            <w:vAlign w:val="center"/>
          </w:tcPr>
          <w:p>
            <w:pPr>
              <w:spacing w:line="240" w:lineRule="auto"/>
              <w:jc w:val="center"/>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4</w:t>
            </w:r>
          </w:p>
        </w:tc>
        <w:tc>
          <w:tcPr>
            <w:tcW w:w="1393" w:type="dxa"/>
            <w:tcBorders>
              <w:bottom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投标文件编制的响应程度</w:t>
            </w:r>
          </w:p>
        </w:tc>
        <w:tc>
          <w:tcPr>
            <w:tcW w:w="7007" w:type="dxa"/>
            <w:tcBorders>
              <w:bottom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投标文件编制的响应程度：</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A、按招标文件要求的编排顺序编制内容的得（0.5分）；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B、按招标文件要求对投标文件编排页码的得（0.5分），没有编排页码或页码编排不完全的不得分；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C、按招标文件要求采用胶订方式装订投标文件的得（0.5分）；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D、按招标文件要求使用计量单位编制投标文件的得（0.5分）。</w:t>
            </w:r>
          </w:p>
        </w:tc>
        <w:tc>
          <w:tcPr>
            <w:tcW w:w="705" w:type="dxa"/>
            <w:noWrap w:val="0"/>
            <w:vAlign w:val="center"/>
          </w:tcPr>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31" w:hRule="atLeast"/>
        </w:trPr>
        <w:tc>
          <w:tcPr>
            <w:tcW w:w="9812" w:type="dxa"/>
            <w:gridSpan w:val="4"/>
            <w:noWrap w:val="0"/>
            <w:vAlign w:val="center"/>
          </w:tcPr>
          <w:p>
            <w:pPr>
              <w:spacing w:line="240" w:lineRule="auto"/>
              <w:jc w:val="center"/>
              <w:rPr>
                <w:rFonts w:hint="eastAsia" w:ascii="宋体" w:hAnsi="宋体" w:eastAsia="宋体" w:cs="宋体"/>
                <w:bCs/>
                <w:sz w:val="24"/>
                <w:szCs w:val="24"/>
                <w:highlight w:val="none"/>
                <w:lang w:val="en-US" w:eastAsia="zh-CN"/>
              </w:rPr>
            </w:pPr>
            <w:r>
              <w:rPr>
                <w:rFonts w:hint="eastAsia" w:ascii="宋体" w:hAnsi="宋体" w:cs="宋体"/>
                <w:b/>
                <w:sz w:val="24"/>
                <w:szCs w:val="24"/>
              </w:rPr>
              <w:t>技术部分评分</w:t>
            </w:r>
            <w:r>
              <w:rPr>
                <w:rFonts w:hint="eastAsia" w:ascii="宋体" w:hAnsi="宋体" w:cs="宋体"/>
                <w:b/>
                <w:sz w:val="24"/>
                <w:szCs w:val="24"/>
                <w:lang w:eastAsia="zh-CN"/>
              </w:rPr>
              <w:t>（</w:t>
            </w:r>
            <w:r>
              <w:rPr>
                <w:rFonts w:hint="eastAsia" w:ascii="宋体" w:hAnsi="宋体" w:cs="宋体"/>
                <w:b/>
                <w:sz w:val="24"/>
                <w:szCs w:val="24"/>
                <w:lang w:val="en-US" w:eastAsia="zh-CN"/>
              </w:rPr>
              <w:t>50分</w:t>
            </w:r>
            <w:r>
              <w:rPr>
                <w:rFonts w:hint="eastAsia" w:ascii="宋体" w:hAnsi="宋体" w:cs="宋体"/>
                <w:b/>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7" w:type="dxa"/>
            <w:noWrap w:val="0"/>
            <w:vAlign w:val="center"/>
          </w:tcPr>
          <w:p>
            <w:pPr>
              <w:keepNext w:val="0"/>
              <w:keepLines w:val="0"/>
              <w:widowControl/>
              <w:suppressLineNumbers w:val="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w:t>
            </w:r>
          </w:p>
        </w:tc>
        <w:tc>
          <w:tcPr>
            <w:tcW w:w="1393" w:type="dxa"/>
            <w:tcBorders>
              <w:top w:val="single" w:color="auto" w:sz="4" w:space="0"/>
              <w:bottom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监理大纲</w:t>
            </w:r>
          </w:p>
        </w:tc>
        <w:tc>
          <w:tcPr>
            <w:tcW w:w="7007" w:type="dxa"/>
            <w:tcBorders>
              <w:top w:val="single" w:color="auto" w:sz="4" w:space="0"/>
            </w:tcBorders>
            <w:noWrap w:val="0"/>
            <w:vAlign w:val="center"/>
          </w:tcPr>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（1）</w:t>
            </w:r>
            <w:r>
              <w:rPr>
                <w:rFonts w:hint="eastAsia" w:ascii="宋体" w:hAnsi="宋体" w:eastAsia="宋体" w:cs="宋体"/>
                <w:sz w:val="24"/>
                <w:szCs w:val="24"/>
                <w:highlight w:val="none"/>
                <w:lang w:val="en-US" w:eastAsia="zh-CN"/>
              </w:rPr>
              <w:t>工程分析</w:t>
            </w:r>
            <w:r>
              <w:rPr>
                <w:rFonts w:hint="eastAsia" w:ascii="宋体" w:hAnsi="宋体" w:cs="宋体"/>
                <w:b/>
                <w:bCs/>
                <w:sz w:val="24"/>
                <w:szCs w:val="24"/>
                <w:highlight w:val="none"/>
                <w:lang w:val="en-US" w:eastAsia="zh-CN"/>
              </w:rPr>
              <w:t>9分；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工程的各项主要参数以及现场状况表述清晰，非常好得3分，较好得2分，一般得1分。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监理工程涉及专业阐述全面、准确，非常好得3分，较好得2分，一般得1分。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监理工程特点、实施难点分析全面，非常好得3分，较好得2分，一般得1分。</w:t>
            </w:r>
          </w:p>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sz w:val="24"/>
                <w:szCs w:val="24"/>
                <w:highlight w:val="none"/>
                <w:lang w:val="en-US" w:eastAsia="zh-CN"/>
              </w:rPr>
              <w:t>质量控制</w:t>
            </w:r>
            <w:r>
              <w:rPr>
                <w:rFonts w:hint="eastAsia" w:ascii="宋体" w:hAnsi="宋体" w:cs="宋体"/>
                <w:b/>
                <w:bCs/>
                <w:sz w:val="24"/>
                <w:szCs w:val="24"/>
                <w:highlight w:val="none"/>
                <w:lang w:val="en-US" w:eastAsia="zh-CN"/>
              </w:rPr>
              <w:t>6分；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质量有总目标，对各分部分项工程提出控制点，并提出相应的控制方法，非常好得3分，较好得2分，一般得1分。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质量控制的基本程序（包括质量事故的处理程序）及预控措施切实可行，非常好得3分，较好得2分，一般得1分。</w:t>
            </w:r>
          </w:p>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sz w:val="24"/>
                <w:szCs w:val="24"/>
                <w:highlight w:val="none"/>
                <w:lang w:val="en-US" w:eastAsia="zh-CN"/>
              </w:rPr>
              <w:t>进度控制</w:t>
            </w:r>
            <w:r>
              <w:rPr>
                <w:rFonts w:hint="eastAsia" w:ascii="宋体" w:hAnsi="宋体" w:cs="宋体"/>
                <w:b/>
                <w:bCs/>
                <w:sz w:val="24"/>
                <w:szCs w:val="24"/>
                <w:highlight w:val="none"/>
                <w:lang w:val="en-US" w:eastAsia="zh-CN"/>
              </w:rPr>
              <w:t>6分；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对总进度目标的分解合理，能体现预控水平和全面控制水平，非常好得3分，较好得2分，一般得1分。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工程进度控制要点和减少工程延期发生的防范对策可行，非常好得3分，较好得2分，一般得1分。</w:t>
            </w:r>
          </w:p>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sz w:val="24"/>
                <w:szCs w:val="24"/>
                <w:highlight w:val="none"/>
                <w:lang w:val="en-US" w:eastAsia="zh-CN"/>
              </w:rPr>
              <w:t xml:space="preserve">造价控制 </w:t>
            </w:r>
            <w:r>
              <w:rPr>
                <w:rFonts w:hint="eastAsia" w:ascii="宋体" w:hAnsi="宋体" w:cs="宋体"/>
                <w:b/>
                <w:bCs/>
                <w:sz w:val="24"/>
                <w:szCs w:val="24"/>
                <w:highlight w:val="none"/>
                <w:lang w:val="en-US" w:eastAsia="zh-CN"/>
              </w:rPr>
              <w:t>6分；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针对工程的实际，造价控制程序合理、可行，造价控制有具体措施，非常好得3分，较好得2分，一般得1分。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工程造价目标风险分析全面，防范性对策有针对性，非常好得3分，较好得2分，一般得1分。</w:t>
            </w:r>
          </w:p>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（5）</w:t>
            </w:r>
            <w:r>
              <w:rPr>
                <w:rFonts w:hint="eastAsia" w:ascii="宋体" w:hAnsi="宋体" w:eastAsia="宋体" w:cs="宋体"/>
                <w:sz w:val="24"/>
                <w:szCs w:val="24"/>
                <w:highlight w:val="none"/>
                <w:lang w:val="en-US" w:eastAsia="zh-CN"/>
              </w:rPr>
              <w:t>安全生产管理</w:t>
            </w:r>
            <w:r>
              <w:rPr>
                <w:rFonts w:hint="eastAsia" w:ascii="宋体" w:hAnsi="宋体" w:cs="宋体"/>
                <w:b/>
                <w:bCs/>
                <w:sz w:val="24"/>
                <w:szCs w:val="24"/>
                <w:highlight w:val="none"/>
                <w:lang w:val="en-US" w:eastAsia="zh-CN"/>
              </w:rPr>
              <w:t>6分；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安全生产管理目标明确，工作制度合理，非常好得3分，较好得2分，一般得1分。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安全生产监理责任明确，管理方法合理可行，非常好得3分，较好得2分，一般得1分。</w:t>
            </w:r>
          </w:p>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（6）</w:t>
            </w:r>
            <w:r>
              <w:rPr>
                <w:rFonts w:hint="eastAsia" w:ascii="宋体" w:hAnsi="宋体" w:eastAsia="宋体" w:cs="宋体"/>
                <w:sz w:val="24"/>
                <w:szCs w:val="24"/>
                <w:highlight w:val="none"/>
                <w:lang w:val="en-US" w:eastAsia="zh-CN"/>
              </w:rPr>
              <w:t>组织协调</w:t>
            </w:r>
            <w:r>
              <w:rPr>
                <w:rFonts w:hint="eastAsia" w:ascii="宋体" w:hAnsi="宋体" w:cs="宋体"/>
                <w:b/>
                <w:bCs/>
                <w:sz w:val="24"/>
                <w:szCs w:val="24"/>
                <w:highlight w:val="none"/>
                <w:lang w:val="en-US" w:eastAsia="zh-CN"/>
              </w:rPr>
              <w:t>6分；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结合工程提出的组织协调的内容全面，非常好得3分，较好得2分，一般得1分。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协调的方法、程序和协调措施可行，非常好得3分，较好得2分，一般得1分。</w:t>
            </w:r>
          </w:p>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（7）</w:t>
            </w:r>
            <w:r>
              <w:rPr>
                <w:rFonts w:hint="eastAsia" w:ascii="宋体" w:hAnsi="宋体" w:eastAsia="宋体" w:cs="宋体"/>
                <w:sz w:val="24"/>
                <w:szCs w:val="24"/>
                <w:highlight w:val="none"/>
                <w:lang w:val="en-US" w:eastAsia="zh-CN"/>
              </w:rPr>
              <w:t>合同信息资料管理</w:t>
            </w:r>
            <w:r>
              <w:rPr>
                <w:rFonts w:hint="eastAsia" w:ascii="宋体" w:hAnsi="宋体" w:cs="宋体"/>
                <w:b/>
                <w:bCs/>
                <w:sz w:val="24"/>
                <w:szCs w:val="24"/>
                <w:highlight w:val="none"/>
                <w:lang w:val="en-US" w:eastAsia="zh-CN"/>
              </w:rPr>
              <w:t>9分；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根据工程特点，索赔与反索赔措施有针对性，非常好得3分，较好得2分，一般得1分。</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合同履行纠纷预防和协调方案合理、可行，非常好得3分，较好得2分，一般得1分。</w:t>
            </w:r>
          </w:p>
          <w:p>
            <w:pPr>
              <w:keepNext w:val="0"/>
              <w:keepLines w:val="0"/>
              <w:widowControl/>
              <w:suppressLineNumbers w:val="0"/>
              <w:jc w:val="left"/>
              <w:rPr>
                <w:rFonts w:hint="eastAsia"/>
                <w:lang w:val="en-US" w:eastAsia="zh-CN"/>
              </w:rPr>
            </w:pPr>
            <w:r>
              <w:rPr>
                <w:rFonts w:hint="eastAsia" w:ascii="宋体" w:hAnsi="宋体" w:eastAsia="宋体" w:cs="宋体"/>
                <w:sz w:val="24"/>
                <w:szCs w:val="24"/>
                <w:highlight w:val="none"/>
                <w:lang w:val="en-US" w:eastAsia="zh-CN"/>
              </w:rPr>
              <w:t>工程信息管理的内容全面，监理资料管理制度健全，非常好得3分，较好得2分，一般得1分。</w:t>
            </w:r>
          </w:p>
        </w:tc>
        <w:tc>
          <w:tcPr>
            <w:tcW w:w="705" w:type="dxa"/>
            <w:noWrap w:val="0"/>
            <w:vAlign w:val="center"/>
          </w:tcPr>
          <w:p>
            <w:pPr>
              <w:keepNext w:val="0"/>
              <w:keepLines w:val="0"/>
              <w:widowControl/>
              <w:suppressLineNumbers w:val="0"/>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48</w:t>
            </w:r>
            <w:r>
              <w:rPr>
                <w:rFonts w:hint="eastAsia" w:ascii="宋体" w:hAnsi="宋体" w:eastAsia="宋体" w:cs="宋体"/>
                <w:color w:val="auto"/>
                <w:sz w:val="22"/>
                <w:szCs w:val="22"/>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707" w:type="dxa"/>
            <w:tcBorders>
              <w:bottom w:val="single" w:color="auto" w:sz="4" w:space="0"/>
            </w:tcBorders>
            <w:noWrap w:val="0"/>
            <w:vAlign w:val="center"/>
          </w:tcPr>
          <w:p>
            <w:pPr>
              <w:keepNext w:val="0"/>
              <w:keepLines w:val="0"/>
              <w:widowControl/>
              <w:suppressLineNumbers w:val="0"/>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6</w:t>
            </w:r>
          </w:p>
        </w:tc>
        <w:tc>
          <w:tcPr>
            <w:tcW w:w="1393" w:type="dxa"/>
            <w:tcBorders>
              <w:top w:val="single" w:color="auto" w:sz="4" w:space="0"/>
              <w:bottom w:val="single" w:color="auto" w:sz="4" w:space="0"/>
            </w:tcBorders>
            <w:noWrap w:val="0"/>
            <w:vAlign w:val="center"/>
          </w:tcPr>
          <w:p>
            <w:pPr>
              <w:keepNext w:val="0"/>
              <w:keepLines w:val="0"/>
              <w:widowControl/>
              <w:suppressLineNumbers w:val="0"/>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设备仪器</w:t>
            </w:r>
          </w:p>
        </w:tc>
        <w:tc>
          <w:tcPr>
            <w:tcW w:w="7007" w:type="dxa"/>
            <w:noWrap w:val="0"/>
            <w:vAlign w:val="center"/>
          </w:tcPr>
          <w:p>
            <w:pPr>
              <w:spacing w:beforeLines="30" w:line="312" w:lineRule="auto"/>
              <w:rPr>
                <w:rFonts w:hint="eastAsia" w:ascii="宋体" w:hAnsi="宋体" w:eastAsia="宋体" w:cs="宋体"/>
                <w:sz w:val="24"/>
                <w:szCs w:val="24"/>
              </w:rPr>
            </w:pPr>
            <w:r>
              <w:rPr>
                <w:rFonts w:hint="eastAsia" w:ascii="宋体" w:hAnsi="宋体" w:eastAsia="宋体" w:cs="宋体"/>
                <w:sz w:val="24"/>
                <w:szCs w:val="24"/>
                <w:lang w:val="en-US" w:eastAsia="zh-CN"/>
              </w:rPr>
              <w:t xml:space="preserve">针对招标工程特点，配备的监理设备、仪器满足招标工程要 </w:t>
            </w:r>
          </w:p>
          <w:p>
            <w:pPr>
              <w:keepNext w:val="0"/>
              <w:keepLines w:val="0"/>
              <w:widowControl/>
              <w:suppressLineNumbers w:val="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求，得2 分，一般得1分，未提供</w:t>
            </w:r>
            <w:r>
              <w:rPr>
                <w:rFonts w:hint="eastAsia" w:ascii="宋体" w:hAnsi="宋体" w:eastAsia="宋体" w:cs="宋体"/>
                <w:sz w:val="24"/>
                <w:szCs w:val="24"/>
              </w:rPr>
              <w:t>得0分</w:t>
            </w:r>
            <w:r>
              <w:rPr>
                <w:rFonts w:hint="eastAsia" w:ascii="宋体" w:hAnsi="宋体" w:eastAsia="宋体" w:cs="宋体"/>
                <w:sz w:val="24"/>
                <w:szCs w:val="24"/>
                <w:lang w:eastAsia="zh-CN"/>
              </w:rPr>
              <w:t>。</w:t>
            </w:r>
          </w:p>
        </w:tc>
        <w:tc>
          <w:tcPr>
            <w:tcW w:w="705" w:type="dxa"/>
            <w:noWrap w:val="0"/>
            <w:vAlign w:val="center"/>
          </w:tcPr>
          <w:p>
            <w:pPr>
              <w:keepNext w:val="0"/>
              <w:keepLines w:val="0"/>
              <w:widowControl/>
              <w:suppressLineNumbers w:val="0"/>
              <w:jc w:val="left"/>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9812" w:type="dxa"/>
            <w:gridSpan w:val="4"/>
            <w:noWrap w:val="0"/>
            <w:vAlign w:val="center"/>
          </w:tcPr>
          <w:p>
            <w:pPr>
              <w:spacing w:line="240" w:lineRule="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合计：                                    </w:t>
            </w:r>
            <w:r>
              <w:rPr>
                <w:rFonts w:hint="eastAsia" w:ascii="宋体" w:hAnsi="宋体" w:cs="宋体"/>
                <w:bCs/>
                <w:sz w:val="24"/>
                <w:szCs w:val="24"/>
                <w:highlight w:val="none"/>
                <w:lang w:val="en-US" w:eastAsia="zh-CN"/>
              </w:rPr>
              <w:t>100</w:t>
            </w:r>
            <w:r>
              <w:rPr>
                <w:rFonts w:hint="eastAsia" w:ascii="宋体" w:hAnsi="宋体" w:eastAsia="宋体" w:cs="宋体"/>
                <w:bCs/>
                <w:sz w:val="24"/>
                <w:szCs w:val="24"/>
                <w:highlight w:val="none"/>
                <w:lang w:val="en-US" w:eastAsia="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2" w:hRule="atLeast"/>
        </w:trPr>
        <w:tc>
          <w:tcPr>
            <w:tcW w:w="9812" w:type="dxa"/>
            <w:gridSpan w:val="4"/>
            <w:noWrap w:val="0"/>
            <w:vAlign w:val="center"/>
          </w:tcPr>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注：  1、评分中出现无证明资料或专家无法凭所提供资料判断是否得分的情况，一律作不得分处理。所有原件备查。</w:t>
            </w:r>
          </w:p>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2、计算过程中，算术平均值保留 2 位小数（百分比亦取 2 位小数），第三位小数四舍五入。</w:t>
            </w:r>
          </w:p>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3、供应商的最终得分为所有评委对其评分的算术平均值。</w:t>
            </w:r>
          </w:p>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4、经评标委员会认可小、微企业产品和产品报价后，投标人相应产品政策计算公式如下：</w:t>
            </w:r>
          </w:p>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中小微企业产品价格扣除后的投标人报价=投标人总报价-中小微企业产品报价*扣除幅度。（以价格扣除后的投标人报价作为评审依据）</w:t>
            </w:r>
          </w:p>
        </w:tc>
      </w:tr>
    </w:tbl>
    <w:p>
      <w:pPr>
        <w:pStyle w:val="12"/>
        <w:rPr>
          <w:rFonts w:hint="eastAsia" w:ascii="Tahoma" w:hAnsi="Tahoma" w:cs="Tahoma"/>
          <w:b/>
          <w:bCs/>
          <w:sz w:val="36"/>
          <w:szCs w:val="44"/>
          <w:highlight w:val="none"/>
          <w:lang w:val="en-US" w:eastAsia="zh-CN"/>
        </w:rPr>
      </w:pPr>
    </w:p>
    <w:p>
      <w:pPr>
        <w:spacing w:beforeLines="100" w:afterLines="50" w:line="400" w:lineRule="exact"/>
        <w:jc w:val="center"/>
        <w:outlineLvl w:val="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政策加分以及计算方法</w:t>
      </w:r>
    </w:p>
    <w:tbl>
      <w:tblPr>
        <w:tblStyle w:val="24"/>
        <w:tblpPr w:leftFromText="180" w:rightFromText="180" w:vertAnchor="text" w:horzAnchor="page" w:tblpX="919" w:tblpY="177"/>
        <w:tblOverlap w:val="never"/>
        <w:tblW w:w="101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8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52" w:type="dxa"/>
            <w:gridSpan w:val="2"/>
            <w:noWrap w:val="0"/>
            <w:vAlign w:val="center"/>
          </w:tcPr>
          <w:p>
            <w:pPr>
              <w:tabs>
                <w:tab w:val="left" w:pos="3236"/>
              </w:tabs>
              <w:spacing w:beforeLines="30" w:line="312"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小型、微型企业产品价格扣除的要求：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17" w:type="dxa"/>
            <w:noWrap w:val="0"/>
            <w:vAlign w:val="center"/>
          </w:tcPr>
          <w:p>
            <w:pPr>
              <w:spacing w:beforeLines="30" w:line="312"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评审内容</w:t>
            </w:r>
          </w:p>
        </w:tc>
        <w:tc>
          <w:tcPr>
            <w:tcW w:w="8535" w:type="dxa"/>
            <w:noWrap w:val="0"/>
            <w:vAlign w:val="center"/>
          </w:tcPr>
          <w:p>
            <w:pPr>
              <w:spacing w:beforeLines="30" w:line="312"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atLeast"/>
        </w:trPr>
        <w:tc>
          <w:tcPr>
            <w:tcW w:w="1617" w:type="dxa"/>
            <w:noWrap w:val="0"/>
            <w:vAlign w:val="center"/>
          </w:tcPr>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中小微型企业有关政策</w:t>
            </w:r>
          </w:p>
        </w:tc>
        <w:tc>
          <w:tcPr>
            <w:tcW w:w="8535" w:type="dxa"/>
            <w:noWrap w:val="0"/>
            <w:vAlign w:val="center"/>
          </w:tcPr>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(1)财政部印发《</w:t>
            </w:r>
            <w:r>
              <w:rPr>
                <w:rFonts w:hint="default" w:ascii="宋体" w:hAnsi="宋体" w:eastAsia="宋体" w:cs="宋体"/>
                <w:bCs/>
                <w:sz w:val="24"/>
                <w:szCs w:val="24"/>
                <w:highlight w:val="none"/>
                <w:lang w:val="en-US" w:eastAsia="zh-CN"/>
              </w:rPr>
              <w:t>关于进一步加大政府采购支持中小企业力度的通知</w:t>
            </w:r>
            <w:r>
              <w:rPr>
                <w:rFonts w:hint="eastAsia" w:ascii="宋体" w:hAnsi="宋体" w:eastAsia="宋体" w:cs="宋体"/>
                <w:bCs/>
                <w:sz w:val="24"/>
                <w:szCs w:val="24"/>
                <w:highlight w:val="none"/>
                <w:lang w:val="en-US" w:eastAsia="zh-CN"/>
              </w:rPr>
              <w:t>》</w:t>
            </w:r>
          </w:p>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 按照《关于进一步加大政府采购支持中小企业力度的通知》财库〔2022〕19号文件规定，非专门面向中小企业采购的项目，自治区、兵团各级预单位应当按照《通知》规定，对小微企业报价给予扣除，用扣除后的价格参加评审。对超过200万元的货物和服务采购项目，面向小微企业的价格扣除比例由6%-10%提高至10%-20%，大中型企业与小微企业组成联合体或大中型企业向小微企业分包的，评审优惠幅度由2%-3%提高至4%-6%。适用招标投标法的政府采购工程建设项目，采用综合评估法但未采用低价优先法计算价格分的，评标时应当在采用原报价进行评分的基础上阶段性增加其价格得分的6%-10%作为其价格分。</w:t>
            </w:r>
          </w:p>
          <w:p>
            <w:pPr>
              <w:spacing w:line="240" w:lineRule="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(3)本项目的价格扣除幅度为：</w:t>
            </w:r>
            <w:r>
              <w:rPr>
                <w:rFonts w:hint="eastAsia" w:ascii="宋体" w:hAnsi="宋体" w:eastAsia="宋体" w:cs="宋体"/>
                <w:b/>
                <w:bCs w:val="0"/>
                <w:sz w:val="24"/>
                <w:szCs w:val="24"/>
                <w:highlight w:val="none"/>
                <w:lang w:val="en-US" w:eastAsia="zh-CN"/>
              </w:rPr>
              <w:t>10%</w:t>
            </w:r>
          </w:p>
        </w:tc>
      </w:tr>
    </w:tbl>
    <w:p>
      <w:pPr>
        <w:spacing w:line="360" w:lineRule="auto"/>
        <w:ind w:firstLine="643" w:firstLineChars="200"/>
        <w:jc w:val="center"/>
        <w:outlineLvl w:val="1"/>
        <w:rPr>
          <w:rFonts w:hint="eastAsia" w:ascii="宋体" w:hAnsi="宋体" w:eastAsia="宋体" w:cs="宋体"/>
          <w:b/>
          <w:sz w:val="32"/>
          <w:szCs w:val="32"/>
          <w:highlight w:val="none"/>
        </w:rPr>
      </w:pPr>
      <w:bookmarkStart w:id="98" w:name="_GoBack"/>
      <w:bookmarkEnd w:id="98"/>
      <w:r>
        <w:rPr>
          <w:rFonts w:hint="eastAsia" w:ascii="宋体" w:hAnsi="宋体" w:eastAsia="宋体" w:cs="宋体"/>
          <w:b/>
          <w:sz w:val="32"/>
          <w:szCs w:val="32"/>
          <w:highlight w:val="none"/>
        </w:rPr>
        <w:br w:type="page"/>
      </w:r>
      <w:r>
        <w:rPr>
          <w:rFonts w:hint="eastAsia" w:ascii="宋体" w:hAnsi="宋体" w:cs="宋体"/>
          <w:b/>
          <w:sz w:val="32"/>
          <w:szCs w:val="32"/>
          <w:highlight w:val="none"/>
          <w:lang w:val="en-US" w:eastAsia="zh-CN"/>
        </w:rPr>
        <w:t>九</w:t>
      </w:r>
      <w:r>
        <w:rPr>
          <w:rFonts w:hint="eastAsia" w:ascii="宋体" w:hAnsi="宋体" w:eastAsia="宋体" w:cs="宋体"/>
          <w:b/>
          <w:sz w:val="32"/>
          <w:szCs w:val="32"/>
          <w:highlight w:val="none"/>
        </w:rPr>
        <w:t>、成交及合同签订</w:t>
      </w:r>
      <w:bookmarkEnd w:id="60"/>
      <w:bookmarkEnd w:id="61"/>
    </w:p>
    <w:p>
      <w:pPr>
        <w:snapToGrid w:val="0"/>
        <w:spacing w:line="360" w:lineRule="auto"/>
        <w:ind w:firstLine="482" w:firstLineChars="200"/>
        <w:jc w:val="left"/>
        <w:rPr>
          <w:rFonts w:hint="eastAsia" w:ascii="宋体" w:hAnsi="宋体" w:eastAsia="宋体" w:cs="宋体"/>
          <w:sz w:val="24"/>
          <w:highlight w:val="none"/>
          <w:lang w:eastAsia="zh-CN"/>
        </w:rPr>
      </w:pPr>
      <w:bookmarkStart w:id="64" w:name="_Toc13949"/>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一</w:t>
      </w:r>
      <w:r>
        <w:rPr>
          <w:rFonts w:hint="eastAsia" w:ascii="宋体" w:hAnsi="宋体" w:eastAsia="宋体" w:cs="宋体"/>
          <w:b/>
          <w:bCs/>
          <w:sz w:val="24"/>
          <w:highlight w:val="none"/>
        </w:rPr>
        <w:t>）</w:t>
      </w:r>
      <w:bookmarkEnd w:id="64"/>
      <w:r>
        <w:rPr>
          <w:rFonts w:hint="eastAsia" w:ascii="宋体" w:hAnsi="宋体" w:eastAsia="宋体" w:cs="宋体"/>
          <w:b/>
          <w:bCs/>
          <w:sz w:val="24"/>
          <w:highlight w:val="none"/>
          <w:lang w:val="en-US" w:eastAsia="zh-CN"/>
        </w:rPr>
        <w:t>评标办法</w:t>
      </w:r>
    </w:p>
    <w:p>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综合评分法，是指响应文件满足磋商文件全部实质性要求，且按照评审因素的量化指标评审得分最高得供应商为中标候选人的评标办法。</w:t>
      </w:r>
    </w:p>
    <w:p>
      <w:pPr>
        <w:snapToGrid w:val="0"/>
        <w:spacing w:line="360" w:lineRule="auto"/>
        <w:ind w:firstLine="482" w:firstLineChars="200"/>
        <w:rPr>
          <w:rFonts w:hint="eastAsia"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二</w:t>
      </w:r>
      <w:r>
        <w:rPr>
          <w:rFonts w:hint="eastAsia" w:ascii="宋体" w:hAnsi="宋体" w:eastAsia="宋体" w:cs="宋体"/>
          <w:b/>
          <w:bCs/>
          <w:sz w:val="24"/>
          <w:highlight w:val="none"/>
        </w:rPr>
        <w:t>）资格条件</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1、采购人将在签订合同前对成交候选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是否能圆满地履行合同进行审查。审查包括成交候选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响应文件中提供的所资格证明材料原件，成交候选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响应文件及补充承诺中涉及的其他相关资料原件，以及对本项目实施可能存在风险的其他因素。</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2、采购人若发现成交候选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3、如果成交候选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被确认为不具备执行合同的能力，采购人将考虑按同样的程序审查下一个成交候选</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w:t>
      </w:r>
    </w:p>
    <w:p>
      <w:pPr>
        <w:snapToGrid w:val="0"/>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bCs/>
          <w:sz w:val="24"/>
          <w:highlight w:val="none"/>
        </w:rPr>
        <w:t>（三）成交通知书</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1、成交结果在</w:t>
      </w:r>
      <w:r>
        <w:rPr>
          <w:rFonts w:hint="eastAsia" w:ascii="宋体" w:hAnsi="宋体" w:eastAsia="宋体" w:cs="宋体"/>
          <w:i w:val="0"/>
          <w:iCs w:val="0"/>
          <w:caps w:val="0"/>
          <w:color w:val="000000"/>
          <w:spacing w:val="0"/>
          <w:sz w:val="24"/>
          <w:szCs w:val="24"/>
          <w:highlight w:val="none"/>
        </w:rPr>
        <w:t>新疆政府采购网官网（http://www.ccgp-xinjiang.gov.cn/)</w:t>
      </w:r>
      <w:r>
        <w:rPr>
          <w:rFonts w:hint="eastAsia" w:ascii="宋体" w:hAnsi="宋体" w:eastAsia="宋体" w:cs="宋体"/>
          <w:sz w:val="24"/>
          <w:highlight w:val="none"/>
        </w:rPr>
        <w:t>发布公告，采购人将向成交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发出成交通知书。</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2、成交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应及时到政府采购人领取成交通知书，成交通知书是签订合同的依据和组成部分。</w:t>
      </w:r>
    </w:p>
    <w:p>
      <w:pPr>
        <w:snapToGrid w:val="0"/>
        <w:spacing w:line="360" w:lineRule="auto"/>
        <w:ind w:firstLine="482" w:firstLineChars="200"/>
        <w:jc w:val="left"/>
        <w:rPr>
          <w:rFonts w:hint="eastAsia" w:ascii="宋体" w:hAnsi="宋体" w:eastAsia="宋体" w:cs="宋体"/>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四</w:t>
      </w:r>
      <w:r>
        <w:rPr>
          <w:rFonts w:hint="eastAsia" w:ascii="宋体" w:hAnsi="宋体" w:eastAsia="宋体" w:cs="宋体"/>
          <w:b/>
          <w:bCs/>
          <w:sz w:val="24"/>
          <w:highlight w:val="none"/>
        </w:rPr>
        <w:t>）签订合同</w:t>
      </w:r>
    </w:p>
    <w:p>
      <w:pPr>
        <w:snapToGrid w:val="0"/>
        <w:spacing w:line="360" w:lineRule="auto"/>
        <w:ind w:firstLine="480" w:firstLineChars="200"/>
        <w:jc w:val="left"/>
        <w:rPr>
          <w:rFonts w:hint="eastAsia" w:ascii="宋体" w:hAnsi="宋体" w:eastAsia="宋体" w:cs="宋体"/>
          <w:b/>
          <w:sz w:val="24"/>
          <w:highlight w:val="none"/>
        </w:rPr>
      </w:pPr>
      <w:r>
        <w:rPr>
          <w:rFonts w:hint="eastAsia" w:ascii="宋体" w:hAnsi="宋体" w:eastAsia="宋体" w:cs="宋体"/>
          <w:sz w:val="24"/>
          <w:highlight w:val="none"/>
        </w:rPr>
        <w:t>成交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应在规定的时间、地点与采购人签订合同，竞争性磋商文件、成交人的响应文件、分次报价及服务承诺文件以及评过程中有关澄清文件均作为合同附件，</w:t>
      </w:r>
      <w:r>
        <w:rPr>
          <w:rFonts w:hint="eastAsia" w:ascii="宋体" w:hAnsi="宋体" w:eastAsia="宋体" w:cs="宋体"/>
          <w:b/>
          <w:sz w:val="24"/>
          <w:highlight w:val="none"/>
        </w:rPr>
        <w:t>合同经采购人审核盖章后实施</w:t>
      </w:r>
      <w:r>
        <w:rPr>
          <w:rFonts w:hint="eastAsia" w:ascii="宋体" w:hAnsi="宋体" w:eastAsia="宋体" w:cs="宋体"/>
          <w:sz w:val="24"/>
          <w:highlight w:val="none"/>
        </w:rPr>
        <w:t>。</w:t>
      </w:r>
    </w:p>
    <w:p>
      <w:pPr>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成交</w:t>
      </w:r>
      <w:r>
        <w:rPr>
          <w:rFonts w:hint="eastAsia" w:ascii="宋体" w:hAnsi="宋体" w:eastAsia="宋体" w:cs="宋体"/>
          <w:sz w:val="24"/>
          <w:highlight w:val="none"/>
          <w:lang w:eastAsia="zh-CN"/>
        </w:rPr>
        <w:t>供应商</w:t>
      </w:r>
      <w:r>
        <w:rPr>
          <w:rFonts w:hint="eastAsia" w:ascii="宋体" w:hAnsi="宋体" w:eastAsia="宋体" w:cs="宋体"/>
          <w:sz w:val="24"/>
          <w:highlight w:val="none"/>
        </w:rPr>
        <w:t>无正当理由未在规定时间内与采购人签订合同的，采购人有权建议取消其成交资格，监管部门将对其依法处理。</w:t>
      </w:r>
    </w:p>
    <w:p>
      <w:pPr>
        <w:spacing w:line="540" w:lineRule="exact"/>
        <w:ind w:firstLine="500"/>
        <w:rPr>
          <w:rFonts w:hint="eastAsia" w:ascii="宋体" w:hAnsi="宋体" w:eastAsia="宋体" w:cs="宋体"/>
          <w:color w:val="000000"/>
          <w:sz w:val="24"/>
        </w:rPr>
      </w:pPr>
      <w:r>
        <w:rPr>
          <w:rFonts w:hint="eastAsia" w:ascii="宋体" w:hAnsi="宋体" w:eastAsia="宋体" w:cs="宋体"/>
          <w:color w:val="000000"/>
          <w:sz w:val="24"/>
        </w:rPr>
        <w:t>成交人应当按照合同约定履行义务，完成成交项目供货，不得将成交项目转让（转包）给他人,否则采购人有权提出赔偿。</w:t>
      </w:r>
    </w:p>
    <w:p>
      <w:pPr>
        <w:pStyle w:val="19"/>
        <w:rPr>
          <w:rFonts w:hint="eastAsia"/>
        </w:rPr>
      </w:pPr>
    </w:p>
    <w:p>
      <w:pPr>
        <w:pStyle w:val="19"/>
        <w:rPr>
          <w:rFonts w:hint="eastAsia"/>
        </w:rPr>
      </w:pPr>
    </w:p>
    <w:p>
      <w:pPr>
        <w:snapToGrid w:val="0"/>
        <w:spacing w:line="360" w:lineRule="auto"/>
        <w:ind w:firstLine="602" w:firstLineChars="200"/>
        <w:jc w:val="center"/>
        <w:outlineLvl w:val="9"/>
        <w:rPr>
          <w:rFonts w:hint="eastAsia" w:ascii="宋体" w:hAnsi="宋体" w:cs="宋体"/>
          <w:b/>
          <w:sz w:val="30"/>
          <w:szCs w:val="30"/>
          <w:highlight w:val="none"/>
          <w:lang w:val="en-US" w:eastAsia="zh-CN"/>
        </w:rPr>
      </w:pPr>
      <w:bookmarkStart w:id="65" w:name="_Toc5106"/>
    </w:p>
    <w:p>
      <w:pPr>
        <w:snapToGrid w:val="0"/>
        <w:spacing w:line="360" w:lineRule="auto"/>
        <w:ind w:firstLine="602" w:firstLineChars="200"/>
        <w:jc w:val="center"/>
        <w:outlineLvl w:val="9"/>
        <w:rPr>
          <w:rFonts w:hint="eastAsia" w:ascii="宋体" w:hAnsi="宋体" w:cs="宋体"/>
          <w:b/>
          <w:sz w:val="30"/>
          <w:szCs w:val="30"/>
          <w:highlight w:val="none"/>
          <w:lang w:val="en-US" w:eastAsia="zh-CN"/>
        </w:rPr>
      </w:pPr>
    </w:p>
    <w:p>
      <w:pPr>
        <w:snapToGrid w:val="0"/>
        <w:spacing w:line="360" w:lineRule="auto"/>
        <w:ind w:firstLine="602" w:firstLineChars="200"/>
        <w:jc w:val="center"/>
        <w:outlineLvl w:val="9"/>
        <w:rPr>
          <w:rFonts w:hint="eastAsia" w:ascii="宋体" w:hAnsi="宋体" w:cs="宋体"/>
          <w:b/>
          <w:sz w:val="30"/>
          <w:szCs w:val="30"/>
          <w:highlight w:val="none"/>
          <w:lang w:val="en-US" w:eastAsia="zh-CN"/>
        </w:rPr>
      </w:pPr>
    </w:p>
    <w:p>
      <w:pPr>
        <w:snapToGrid w:val="0"/>
        <w:spacing w:line="360" w:lineRule="auto"/>
        <w:ind w:firstLine="602" w:firstLineChars="200"/>
        <w:jc w:val="center"/>
        <w:outlineLvl w:val="1"/>
        <w:rPr>
          <w:rFonts w:hint="eastAsia" w:ascii="宋体" w:hAnsi="宋体" w:eastAsia="宋体" w:cs="宋体"/>
          <w:b/>
          <w:sz w:val="30"/>
          <w:szCs w:val="30"/>
          <w:highlight w:val="none"/>
        </w:rPr>
      </w:pPr>
      <w:r>
        <w:rPr>
          <w:rFonts w:hint="eastAsia" w:ascii="宋体" w:hAnsi="宋体" w:cs="宋体"/>
          <w:b/>
          <w:sz w:val="30"/>
          <w:szCs w:val="30"/>
          <w:highlight w:val="none"/>
          <w:lang w:val="en-US" w:eastAsia="zh-CN"/>
        </w:rPr>
        <w:t>十</w:t>
      </w:r>
      <w:r>
        <w:rPr>
          <w:rFonts w:hint="eastAsia" w:ascii="宋体" w:hAnsi="宋体" w:eastAsia="宋体" w:cs="宋体"/>
          <w:b/>
          <w:sz w:val="30"/>
          <w:szCs w:val="30"/>
          <w:highlight w:val="none"/>
        </w:rPr>
        <w:t>、验收及付款</w:t>
      </w:r>
      <w:bookmarkEnd w:id="65"/>
    </w:p>
    <w:p>
      <w:pPr>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一</w:t>
      </w:r>
      <w:r>
        <w:rPr>
          <w:rFonts w:hint="eastAsia" w:ascii="宋体" w:hAnsi="宋体" w:eastAsia="宋体" w:cs="宋体"/>
          <w:b/>
          <w:bCs/>
          <w:sz w:val="24"/>
          <w:highlight w:val="none"/>
        </w:rPr>
        <w:t>）验收</w:t>
      </w:r>
    </w:p>
    <w:p>
      <w:pPr>
        <w:snapToGrid w:val="0"/>
        <w:spacing w:line="360" w:lineRule="auto"/>
        <w:ind w:right="105" w:rightChars="50"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招标单位组建验收小组，验收小组由招标单位三人以上组成，按</w:t>
      </w:r>
      <w:r>
        <w:rPr>
          <w:rFonts w:hint="eastAsia" w:ascii="宋体" w:hAnsi="宋体" w:eastAsia="宋体" w:cs="宋体"/>
          <w:bCs/>
          <w:sz w:val="24"/>
          <w:highlight w:val="none"/>
        </w:rPr>
        <w:t>招标合同约定的时间组织验收。</w:t>
      </w:r>
    </w:p>
    <w:p>
      <w:pPr>
        <w:snapToGrid w:val="0"/>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eastAsia="宋体" w:cs="宋体"/>
          <w:b/>
          <w:bCs/>
          <w:sz w:val="24"/>
          <w:highlight w:val="none"/>
          <w:lang w:eastAsia="zh-CN"/>
        </w:rPr>
        <w:t>二</w:t>
      </w:r>
      <w:r>
        <w:rPr>
          <w:rFonts w:hint="eastAsia" w:ascii="宋体" w:hAnsi="宋体" w:eastAsia="宋体" w:cs="宋体"/>
          <w:b/>
          <w:bCs/>
          <w:sz w:val="24"/>
          <w:highlight w:val="none"/>
        </w:rPr>
        <w:t>）项目办结及付款</w:t>
      </w:r>
    </w:p>
    <w:p>
      <w:pPr>
        <w:pageBreakBefore w:val="0"/>
        <w:topLinePunct w:val="0"/>
        <w:bidi w:val="0"/>
        <w:spacing w:line="240" w:lineRule="auto"/>
        <w:ind w:firstLine="480" w:firstLineChars="200"/>
        <w:jc w:val="left"/>
        <w:outlineLvl w:val="0"/>
        <w:rPr>
          <w:rFonts w:ascii="宋体"/>
          <w:b/>
          <w:color w:val="auto"/>
          <w:sz w:val="32"/>
          <w:szCs w:val="32"/>
          <w:highlight w:val="none"/>
        </w:rPr>
      </w:pPr>
      <w:r>
        <w:rPr>
          <w:rFonts w:hint="eastAsia" w:ascii="宋体" w:hAnsi="宋体" w:eastAsia="宋体" w:cs="宋体"/>
          <w:sz w:val="24"/>
          <w:highlight w:val="none"/>
        </w:rPr>
        <w:t>采购人项目合同、验收报告和经政府招标处签章的发票原件在合同约定的时间内办理招标款支付手续。</w:t>
      </w:r>
      <w:bookmarkStart w:id="66" w:name="_Toc21912"/>
      <w:bookmarkStart w:id="67" w:name="_Toc1613"/>
      <w:r>
        <w:rPr>
          <w:rFonts w:hint="eastAsia" w:ascii="宋体" w:hAnsi="宋体" w:eastAsia="宋体" w:cs="宋体"/>
          <w:b/>
          <w:sz w:val="28"/>
          <w:szCs w:val="28"/>
          <w:highlight w:val="none"/>
        </w:rPr>
        <w:br w:type="page"/>
      </w:r>
      <w:bookmarkEnd w:id="66"/>
      <w:bookmarkEnd w:id="67"/>
      <w:bookmarkStart w:id="68" w:name="_Toc23208"/>
      <w:r>
        <w:rPr>
          <w:rFonts w:hint="eastAsia" w:ascii="宋体" w:hAnsi="宋体" w:cs="宋体"/>
          <w:b/>
          <w:sz w:val="28"/>
          <w:szCs w:val="28"/>
          <w:highlight w:val="none"/>
          <w:lang w:val="en-US" w:eastAsia="zh-CN"/>
        </w:rPr>
        <w:t xml:space="preserve">                  </w:t>
      </w:r>
      <w:r>
        <w:rPr>
          <w:rFonts w:hint="eastAsia" w:ascii="宋体" w:hAnsi="宋体" w:cs="宋体"/>
          <w:b/>
          <w:sz w:val="36"/>
          <w:szCs w:val="36"/>
          <w:highlight w:val="none"/>
          <w:lang w:eastAsia="zh-CN"/>
        </w:rPr>
        <w:t>第四部分</w:t>
      </w:r>
      <w:r>
        <w:rPr>
          <w:rFonts w:hint="eastAsia" w:ascii="宋体" w:hAnsi="宋体" w:cs="宋体"/>
          <w:b/>
          <w:sz w:val="36"/>
          <w:szCs w:val="36"/>
          <w:highlight w:val="none"/>
          <w:lang w:val="en-US" w:eastAsia="zh-CN"/>
        </w:rPr>
        <w:t xml:space="preserve">  </w:t>
      </w:r>
      <w:bookmarkEnd w:id="68"/>
      <w:bookmarkStart w:id="69" w:name="_Toc18512"/>
      <w:r>
        <w:rPr>
          <w:rFonts w:hint="eastAsia" w:ascii="宋体" w:hAnsi="宋体"/>
          <w:b/>
          <w:color w:val="auto"/>
          <w:sz w:val="32"/>
          <w:szCs w:val="32"/>
          <w:highlight w:val="none"/>
        </w:rPr>
        <w:t>采购合同</w:t>
      </w:r>
      <w:r>
        <w:rPr>
          <w:rFonts w:ascii="宋体" w:hAnsi="宋体"/>
          <w:b/>
          <w:color w:val="auto"/>
          <w:sz w:val="32"/>
          <w:szCs w:val="32"/>
          <w:highlight w:val="none"/>
        </w:rPr>
        <w:t>(</w:t>
      </w:r>
      <w:r>
        <w:rPr>
          <w:rFonts w:hint="eastAsia" w:ascii="宋体" w:hAnsi="宋体"/>
          <w:b/>
          <w:color w:val="auto"/>
          <w:sz w:val="32"/>
          <w:szCs w:val="32"/>
          <w:highlight w:val="none"/>
        </w:rPr>
        <w:t>范本</w:t>
      </w:r>
      <w:r>
        <w:rPr>
          <w:rFonts w:ascii="宋体" w:hAnsi="宋体"/>
          <w:b/>
          <w:color w:val="auto"/>
          <w:sz w:val="32"/>
          <w:szCs w:val="32"/>
          <w:highlight w:val="none"/>
        </w:rPr>
        <w:t>)</w:t>
      </w:r>
    </w:p>
    <w:p>
      <w:pPr>
        <w:pStyle w:val="18"/>
        <w:numPr>
          <w:ilvl w:val="0"/>
          <w:numId w:val="0"/>
        </w:numPr>
        <w:adjustRightInd w:val="0"/>
        <w:spacing w:line="360" w:lineRule="auto"/>
        <w:jc w:val="center"/>
        <w:textAlignment w:val="baseline"/>
        <w:rPr>
          <w:rFonts w:hint="eastAsia"/>
          <w:color w:val="auto"/>
        </w:rPr>
      </w:pPr>
      <w:r>
        <w:rPr>
          <w:rFonts w:hint="eastAsia"/>
          <w:b/>
          <w:bCs/>
          <w:color w:val="auto"/>
        </w:rPr>
        <w:t>第一部分  协议书</w:t>
      </w:r>
    </w:p>
    <w:p>
      <w:pPr>
        <w:pStyle w:val="18"/>
        <w:numPr>
          <w:ilvl w:val="0"/>
          <w:numId w:val="0"/>
        </w:numPr>
        <w:adjustRightInd w:val="0"/>
        <w:spacing w:line="360" w:lineRule="auto"/>
        <w:textAlignment w:val="baseline"/>
        <w:rPr>
          <w:rFonts w:hint="eastAsia"/>
          <w:b/>
          <w:bCs/>
          <w:color w:val="auto"/>
          <w:u w:val="single"/>
        </w:rPr>
      </w:pPr>
      <w:r>
        <w:rPr>
          <w:rFonts w:hint="eastAsia"/>
          <w:b/>
          <w:bCs/>
          <w:color w:val="auto"/>
        </w:rPr>
        <w:t>委托人（全称）：</w:t>
      </w:r>
      <w:r>
        <w:rPr>
          <w:rFonts w:hint="eastAsia" w:eastAsia="宋体"/>
          <w:b/>
          <w:bCs/>
          <w:color w:val="auto"/>
          <w:u w:val="single"/>
          <w:lang w:val="en-US" w:eastAsia="zh-CN"/>
        </w:rPr>
        <w:t xml:space="preserve">                                                      </w:t>
      </w:r>
      <w:r>
        <w:rPr>
          <w:rFonts w:hint="eastAsia"/>
          <w:b/>
          <w:bCs/>
          <w:color w:val="auto"/>
          <w:u w:val="single"/>
        </w:rPr>
        <w:t xml:space="preserve"> </w:t>
      </w:r>
      <w:r>
        <w:rPr>
          <w:rFonts w:hint="eastAsia" w:eastAsia="宋体"/>
          <w:b/>
          <w:bCs/>
          <w:color w:val="auto"/>
          <w:u w:val="single"/>
          <w:lang w:val="en-US" w:eastAsia="zh-CN"/>
        </w:rPr>
        <w:t xml:space="preserve">  </w:t>
      </w:r>
      <w:r>
        <w:rPr>
          <w:rFonts w:hint="eastAsia"/>
          <w:b/>
          <w:bCs/>
          <w:color w:val="auto"/>
          <w:u w:val="single"/>
        </w:rPr>
        <w:tab/>
      </w:r>
    </w:p>
    <w:p>
      <w:pPr>
        <w:pStyle w:val="18"/>
        <w:numPr>
          <w:ilvl w:val="0"/>
          <w:numId w:val="0"/>
        </w:numPr>
        <w:adjustRightInd w:val="0"/>
        <w:spacing w:line="360" w:lineRule="auto"/>
        <w:textAlignment w:val="baseline"/>
        <w:rPr>
          <w:rFonts w:hint="default"/>
          <w:b/>
          <w:bCs/>
          <w:color w:val="auto"/>
          <w:lang w:val="en-US"/>
        </w:rPr>
      </w:pPr>
      <w:r>
        <w:rPr>
          <w:rFonts w:hint="eastAsia"/>
          <w:b/>
          <w:bCs/>
          <w:color w:val="auto"/>
        </w:rPr>
        <w:t>监理人（全称）：</w:t>
      </w:r>
      <w:r>
        <w:rPr>
          <w:rFonts w:hint="eastAsia"/>
          <w:b/>
          <w:bCs/>
          <w:color w:val="auto"/>
          <w:u w:val="single"/>
        </w:rPr>
        <w:t xml:space="preserve"> </w:t>
      </w:r>
      <w:r>
        <w:rPr>
          <w:rFonts w:hint="eastAsia" w:eastAsia="宋体"/>
          <w:b/>
          <w:bCs/>
          <w:color w:val="auto"/>
          <w:u w:val="single"/>
          <w:lang w:val="en-US" w:eastAsia="zh-CN"/>
        </w:rPr>
        <w:t xml:space="preserve">                                                         </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根据《中华人民共和国</w:t>
      </w:r>
      <w:r>
        <w:rPr>
          <w:rFonts w:hint="eastAsia"/>
          <w:color w:val="auto"/>
          <w:lang w:val="en-US" w:eastAsia="zh-CN"/>
        </w:rPr>
        <w:t>民法典</w:t>
      </w:r>
      <w:r>
        <w:rPr>
          <w:rFonts w:hint="eastAsia"/>
          <w:color w:val="auto"/>
        </w:rPr>
        <w:t>》、《中华人民共和国建筑法》、《中华人民共和国</w:t>
      </w:r>
      <w:r>
        <w:rPr>
          <w:rFonts w:hint="eastAsia" w:eastAsia="宋体"/>
          <w:color w:val="auto"/>
          <w:lang w:val="en-US" w:eastAsia="zh-CN"/>
        </w:rPr>
        <w:t>政府采购法</w:t>
      </w:r>
      <w:r>
        <w:rPr>
          <w:rFonts w:hint="eastAsia"/>
          <w:color w:val="auto"/>
        </w:rPr>
        <w:t>》及其他有关法律、法规，遵循平等、自愿、公平和诚信的原则，双方就下述工程委托监理与相关服务事项协商一致，订立本合同。</w:t>
      </w:r>
    </w:p>
    <w:p>
      <w:pPr>
        <w:pStyle w:val="18"/>
        <w:numPr>
          <w:ilvl w:val="0"/>
          <w:numId w:val="0"/>
        </w:numPr>
        <w:adjustRightInd w:val="0"/>
        <w:spacing w:line="360" w:lineRule="auto"/>
        <w:textAlignment w:val="baseline"/>
        <w:rPr>
          <w:rFonts w:hint="eastAsia"/>
          <w:color w:val="auto"/>
        </w:rPr>
      </w:pPr>
      <w:r>
        <w:rPr>
          <w:rFonts w:hint="eastAsia"/>
          <w:color w:val="auto"/>
        </w:rPr>
        <w:t>一、工程概况</w:t>
      </w:r>
    </w:p>
    <w:p>
      <w:pPr>
        <w:pStyle w:val="18"/>
        <w:numPr>
          <w:ilvl w:val="0"/>
          <w:numId w:val="0"/>
        </w:numPr>
        <w:adjustRightInd w:val="0"/>
        <w:spacing w:line="360" w:lineRule="auto"/>
        <w:textAlignment w:val="baseline"/>
        <w:rPr>
          <w:rFonts w:hint="eastAsia"/>
          <w:color w:val="auto"/>
        </w:rPr>
      </w:pPr>
      <w:r>
        <w:rPr>
          <w:rFonts w:hint="eastAsia"/>
          <w:color w:val="auto"/>
        </w:rPr>
        <w:t>1.工程名称：</w:t>
      </w:r>
      <w:r>
        <w:rPr>
          <w:rFonts w:hint="eastAsia" w:eastAsia="宋体"/>
          <w:color w:val="auto"/>
          <w:u w:val="single"/>
          <w:lang w:val="en-US" w:eastAsia="zh-CN"/>
        </w:rPr>
        <w:t xml:space="preserve">                                                </w:t>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2.工程地点：</w:t>
      </w:r>
      <w:r>
        <w:rPr>
          <w:rFonts w:hint="eastAsia" w:eastAsia="宋体"/>
          <w:color w:val="auto"/>
          <w:u w:val="single"/>
          <w:lang w:val="en-US" w:eastAsia="zh-CN"/>
        </w:rPr>
        <w:t xml:space="preserve">                                                </w:t>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3.工程规模：</w:t>
      </w:r>
      <w:r>
        <w:rPr>
          <w:rFonts w:hint="eastAsia" w:eastAsia="宋体"/>
          <w:color w:val="auto"/>
          <w:u w:val="single"/>
          <w:lang w:val="en-US" w:eastAsia="zh-CN"/>
        </w:rPr>
        <w:t xml:space="preserve">                                                </w:t>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4.工程概算投资额或建筑安装工程费：</w:t>
      </w:r>
      <w:r>
        <w:rPr>
          <w:rFonts w:hint="eastAsia" w:eastAsia="宋体"/>
          <w:color w:val="auto"/>
          <w:u w:val="single"/>
          <w:lang w:val="en-US" w:eastAsia="zh-CN"/>
        </w:rPr>
        <w:t xml:space="preserve">                          </w:t>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二、词语限定</w:t>
      </w:r>
    </w:p>
    <w:p>
      <w:pPr>
        <w:pStyle w:val="18"/>
        <w:numPr>
          <w:ilvl w:val="0"/>
          <w:numId w:val="0"/>
        </w:numPr>
        <w:adjustRightInd w:val="0"/>
        <w:spacing w:line="360" w:lineRule="auto"/>
        <w:textAlignment w:val="baseline"/>
        <w:rPr>
          <w:rFonts w:hint="eastAsia"/>
          <w:color w:val="auto"/>
        </w:rPr>
      </w:pPr>
      <w:r>
        <w:rPr>
          <w:rFonts w:hint="eastAsia"/>
          <w:color w:val="auto"/>
        </w:rPr>
        <w:t>协议书中相关词语的含义与通用条件中的定义与解释相同三、组成本合同的文件</w:t>
      </w:r>
    </w:p>
    <w:p>
      <w:pPr>
        <w:pStyle w:val="18"/>
        <w:numPr>
          <w:ilvl w:val="0"/>
          <w:numId w:val="0"/>
        </w:numPr>
        <w:adjustRightInd w:val="0"/>
        <w:spacing w:line="360" w:lineRule="auto"/>
        <w:textAlignment w:val="baseline"/>
        <w:rPr>
          <w:rFonts w:hint="eastAsia"/>
          <w:color w:val="auto"/>
        </w:rPr>
      </w:pPr>
      <w:r>
        <w:rPr>
          <w:rFonts w:hint="eastAsia"/>
          <w:color w:val="auto"/>
        </w:rPr>
        <w:t>1.协议书；</w:t>
      </w:r>
    </w:p>
    <w:p>
      <w:pPr>
        <w:pStyle w:val="18"/>
        <w:numPr>
          <w:ilvl w:val="0"/>
          <w:numId w:val="0"/>
        </w:numPr>
        <w:adjustRightInd w:val="0"/>
        <w:spacing w:line="360" w:lineRule="auto"/>
        <w:textAlignment w:val="baseline"/>
        <w:rPr>
          <w:rFonts w:hint="eastAsia"/>
          <w:color w:val="auto"/>
        </w:rPr>
      </w:pPr>
      <w:r>
        <w:rPr>
          <w:rFonts w:hint="eastAsia"/>
          <w:color w:val="auto"/>
        </w:rPr>
        <w:t>2.中标通知书（适用于招标工程）或委托书（适用于非招标工程）；</w:t>
      </w:r>
    </w:p>
    <w:p>
      <w:pPr>
        <w:pStyle w:val="18"/>
        <w:numPr>
          <w:ilvl w:val="0"/>
          <w:numId w:val="0"/>
        </w:numPr>
        <w:adjustRightInd w:val="0"/>
        <w:spacing w:line="360" w:lineRule="auto"/>
        <w:textAlignment w:val="baseline"/>
        <w:rPr>
          <w:rFonts w:hint="eastAsia"/>
          <w:color w:val="auto"/>
        </w:rPr>
      </w:pPr>
      <w:r>
        <w:rPr>
          <w:rFonts w:hint="eastAsia"/>
          <w:color w:val="auto"/>
        </w:rPr>
        <w:t>3.投标文件（适用于招标工程）或监理与相关服务建议书（适用于非招标工程）；</w:t>
      </w:r>
    </w:p>
    <w:p>
      <w:pPr>
        <w:pStyle w:val="18"/>
        <w:numPr>
          <w:ilvl w:val="0"/>
          <w:numId w:val="0"/>
        </w:numPr>
        <w:adjustRightInd w:val="0"/>
        <w:spacing w:line="360" w:lineRule="auto"/>
        <w:textAlignment w:val="baseline"/>
        <w:rPr>
          <w:rFonts w:hint="eastAsia"/>
          <w:color w:val="auto"/>
        </w:rPr>
      </w:pPr>
      <w:r>
        <w:rPr>
          <w:rFonts w:hint="eastAsia"/>
          <w:color w:val="auto"/>
        </w:rPr>
        <w:t>4.专用条件；</w:t>
      </w:r>
    </w:p>
    <w:p>
      <w:pPr>
        <w:pStyle w:val="18"/>
        <w:numPr>
          <w:ilvl w:val="0"/>
          <w:numId w:val="0"/>
        </w:numPr>
        <w:adjustRightInd w:val="0"/>
        <w:spacing w:line="360" w:lineRule="auto"/>
        <w:textAlignment w:val="baseline"/>
        <w:rPr>
          <w:rFonts w:hint="eastAsia"/>
          <w:color w:val="auto"/>
        </w:rPr>
      </w:pPr>
      <w:r>
        <w:rPr>
          <w:rFonts w:hint="eastAsia"/>
          <w:color w:val="auto"/>
        </w:rPr>
        <w:t>5.通用条件；</w:t>
      </w:r>
    </w:p>
    <w:p>
      <w:pPr>
        <w:pStyle w:val="18"/>
        <w:numPr>
          <w:ilvl w:val="0"/>
          <w:numId w:val="0"/>
        </w:numPr>
        <w:adjustRightInd w:val="0"/>
        <w:spacing w:line="360" w:lineRule="auto"/>
        <w:textAlignment w:val="baseline"/>
        <w:rPr>
          <w:rFonts w:hint="eastAsia"/>
          <w:color w:val="auto"/>
        </w:rPr>
      </w:pPr>
      <w:r>
        <w:rPr>
          <w:rFonts w:hint="eastAsia"/>
          <w:color w:val="auto"/>
        </w:rPr>
        <w:t>6.附录，即：</w:t>
      </w:r>
    </w:p>
    <w:p>
      <w:pPr>
        <w:pStyle w:val="18"/>
        <w:numPr>
          <w:ilvl w:val="0"/>
          <w:numId w:val="0"/>
        </w:numPr>
        <w:adjustRightInd w:val="0"/>
        <w:spacing w:line="360" w:lineRule="auto"/>
        <w:textAlignment w:val="baseline"/>
        <w:rPr>
          <w:rFonts w:hint="eastAsia"/>
          <w:color w:val="auto"/>
        </w:rPr>
      </w:pPr>
      <w:r>
        <w:rPr>
          <w:rFonts w:hint="eastAsia"/>
          <w:color w:val="auto"/>
        </w:rPr>
        <w:t>附录A</w:t>
      </w:r>
      <w:r>
        <w:rPr>
          <w:rFonts w:hint="eastAsia"/>
          <w:color w:val="auto"/>
        </w:rPr>
        <w:tab/>
      </w:r>
      <w:r>
        <w:rPr>
          <w:rFonts w:hint="eastAsia"/>
          <w:color w:val="auto"/>
        </w:rPr>
        <w:t>相关服务的范围和内容</w:t>
      </w:r>
    </w:p>
    <w:p>
      <w:pPr>
        <w:pStyle w:val="18"/>
        <w:numPr>
          <w:ilvl w:val="0"/>
          <w:numId w:val="0"/>
        </w:numPr>
        <w:adjustRightInd w:val="0"/>
        <w:spacing w:line="360" w:lineRule="auto"/>
        <w:textAlignment w:val="baseline"/>
        <w:rPr>
          <w:rFonts w:hint="eastAsia"/>
          <w:color w:val="auto"/>
        </w:rPr>
      </w:pPr>
      <w:r>
        <w:rPr>
          <w:rFonts w:hint="eastAsia"/>
          <w:color w:val="auto"/>
        </w:rPr>
        <w:t>附录B</w:t>
      </w:r>
      <w:r>
        <w:rPr>
          <w:rFonts w:hint="eastAsia"/>
          <w:color w:val="auto"/>
        </w:rPr>
        <w:tab/>
      </w:r>
      <w:r>
        <w:rPr>
          <w:rFonts w:hint="eastAsia"/>
          <w:color w:val="auto"/>
        </w:rPr>
        <w:t>委托人派遣的人员和提供的房屋、资料、设备本合同签订后，双方依法签订的补充协议也是本合同文件的组成部分。</w:t>
      </w:r>
    </w:p>
    <w:p>
      <w:pPr>
        <w:pStyle w:val="18"/>
        <w:numPr>
          <w:ilvl w:val="0"/>
          <w:numId w:val="0"/>
        </w:numPr>
        <w:adjustRightInd w:val="0"/>
        <w:spacing w:line="360" w:lineRule="auto"/>
        <w:textAlignment w:val="baseline"/>
        <w:rPr>
          <w:rFonts w:hint="eastAsia"/>
          <w:color w:val="auto"/>
        </w:rPr>
      </w:pPr>
      <w:r>
        <w:rPr>
          <w:rFonts w:hint="eastAsia"/>
          <w:color w:val="auto"/>
        </w:rPr>
        <w:t>四、总监理工程师</w:t>
      </w:r>
    </w:p>
    <w:p>
      <w:pPr>
        <w:pStyle w:val="18"/>
        <w:numPr>
          <w:ilvl w:val="0"/>
          <w:numId w:val="0"/>
        </w:numPr>
        <w:adjustRightInd w:val="0"/>
        <w:spacing w:line="360" w:lineRule="auto"/>
        <w:textAlignment w:val="baseline"/>
        <w:rPr>
          <w:rFonts w:hint="eastAsia"/>
          <w:color w:val="auto"/>
        </w:rPr>
      </w:pPr>
      <w:r>
        <w:rPr>
          <w:rFonts w:hint="eastAsia"/>
          <w:color w:val="auto"/>
        </w:rPr>
        <w:t>总监理工程师姓名：</w:t>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color w:val="auto"/>
        </w:rPr>
        <w:t>，身份证号码：</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 注册号：</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五、签约酬金</w:t>
      </w:r>
    </w:p>
    <w:p>
      <w:pPr>
        <w:pStyle w:val="18"/>
        <w:numPr>
          <w:ilvl w:val="0"/>
          <w:numId w:val="0"/>
        </w:numPr>
        <w:adjustRightInd w:val="0"/>
        <w:spacing w:line="360" w:lineRule="auto"/>
        <w:textAlignment w:val="baseline"/>
        <w:rPr>
          <w:rFonts w:hint="eastAsia"/>
          <w:color w:val="auto"/>
        </w:rPr>
      </w:pPr>
      <w:r>
        <w:rPr>
          <w:rFonts w:hint="eastAsia"/>
          <w:color w:val="auto"/>
        </w:rPr>
        <w:t>签约酬金（大写）：</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r>
        <w:rPr>
          <w:rFonts w:hint="eastAsia"/>
          <w:color w:val="auto"/>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）。包括：</w:t>
      </w:r>
    </w:p>
    <w:p>
      <w:pPr>
        <w:pStyle w:val="18"/>
        <w:numPr>
          <w:ilvl w:val="0"/>
          <w:numId w:val="0"/>
        </w:numPr>
        <w:adjustRightInd w:val="0"/>
        <w:spacing w:line="360" w:lineRule="auto"/>
        <w:textAlignment w:val="baseline"/>
        <w:rPr>
          <w:rFonts w:hint="eastAsia"/>
          <w:color w:val="auto"/>
        </w:rPr>
      </w:pPr>
      <w:r>
        <w:rPr>
          <w:rFonts w:hint="eastAsia"/>
          <w:color w:val="auto"/>
        </w:rPr>
        <w:t>1.监理酬金：</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2.相关服务酬金：</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其中：</w:t>
      </w:r>
    </w:p>
    <w:p>
      <w:pPr>
        <w:pStyle w:val="18"/>
        <w:numPr>
          <w:ilvl w:val="0"/>
          <w:numId w:val="0"/>
        </w:numPr>
        <w:adjustRightInd w:val="0"/>
        <w:spacing w:line="360" w:lineRule="auto"/>
        <w:textAlignment w:val="baseline"/>
        <w:rPr>
          <w:rFonts w:hint="eastAsia"/>
          <w:color w:val="auto"/>
        </w:rPr>
      </w:pPr>
      <w:r>
        <w:rPr>
          <w:rFonts w:hint="eastAsia"/>
          <w:color w:val="auto"/>
        </w:rPr>
        <w:t>（1）勘察阶段服务酬金：</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（2）设计阶段服务酬金：</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（3）保修阶段服务酬金：</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（4）其他相关服务酬金：</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六、期限</w:t>
      </w:r>
    </w:p>
    <w:p>
      <w:pPr>
        <w:pStyle w:val="18"/>
        <w:numPr>
          <w:ilvl w:val="0"/>
          <w:numId w:val="0"/>
        </w:numPr>
        <w:adjustRightInd w:val="0"/>
        <w:spacing w:line="360" w:lineRule="auto"/>
        <w:textAlignment w:val="baseline"/>
        <w:rPr>
          <w:rFonts w:hint="eastAsia"/>
          <w:color w:val="auto"/>
        </w:rPr>
      </w:pPr>
      <w:r>
        <w:rPr>
          <w:rFonts w:hint="eastAsia"/>
          <w:color w:val="auto"/>
        </w:rPr>
        <w:t>1.监理期限：</w:t>
      </w:r>
    </w:p>
    <w:p>
      <w:pPr>
        <w:pStyle w:val="18"/>
        <w:numPr>
          <w:ilvl w:val="0"/>
          <w:numId w:val="0"/>
        </w:numPr>
        <w:adjustRightInd w:val="0"/>
        <w:spacing w:line="360" w:lineRule="auto"/>
        <w:textAlignment w:val="baseline"/>
        <w:rPr>
          <w:rFonts w:hint="eastAsia"/>
          <w:color w:val="auto"/>
        </w:rPr>
      </w:pPr>
      <w:r>
        <w:rPr>
          <w:rFonts w:hint="eastAsia"/>
          <w:color w:val="auto"/>
        </w:rPr>
        <w:t>自</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u w:val="single"/>
        </w:rPr>
        <w:tab/>
      </w:r>
      <w:r>
        <w:rPr>
          <w:rFonts w:hint="eastAsia"/>
          <w:color w:val="auto"/>
        </w:rPr>
        <w:t>月</w:t>
      </w:r>
      <w:r>
        <w:rPr>
          <w:rFonts w:hint="eastAsia"/>
          <w:color w:val="auto"/>
          <w:u w:val="single"/>
        </w:rPr>
        <w:tab/>
      </w:r>
      <w:r>
        <w:rPr>
          <w:rFonts w:hint="eastAsia"/>
          <w:color w:val="auto"/>
          <w:u w:val="single"/>
        </w:rPr>
        <w:tab/>
      </w:r>
      <w:r>
        <w:rPr>
          <w:rFonts w:hint="eastAsia"/>
          <w:color w:val="auto"/>
        </w:rPr>
        <w:t>日始，至</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u w:val="single"/>
        </w:rPr>
        <w:tab/>
      </w:r>
      <w:r>
        <w:rPr>
          <w:rFonts w:hint="eastAsia"/>
          <w:color w:val="auto"/>
        </w:rPr>
        <w:t>月</w:t>
      </w:r>
      <w:r>
        <w:rPr>
          <w:rFonts w:hint="eastAsia"/>
          <w:color w:val="auto"/>
          <w:u w:val="single"/>
        </w:rPr>
        <w:tab/>
      </w:r>
      <w:r>
        <w:rPr>
          <w:rFonts w:hint="eastAsia"/>
          <w:color w:val="auto"/>
          <w:u w:val="single"/>
        </w:rPr>
        <w:tab/>
      </w:r>
      <w:r>
        <w:rPr>
          <w:rFonts w:hint="eastAsia"/>
          <w:color w:val="auto"/>
        </w:rPr>
        <w:t>日止。</w:t>
      </w:r>
    </w:p>
    <w:p>
      <w:pPr>
        <w:pStyle w:val="18"/>
        <w:numPr>
          <w:ilvl w:val="0"/>
          <w:numId w:val="0"/>
        </w:numPr>
        <w:adjustRightInd w:val="0"/>
        <w:spacing w:line="360" w:lineRule="auto"/>
        <w:textAlignment w:val="baseline"/>
        <w:rPr>
          <w:rFonts w:hint="eastAsia"/>
          <w:color w:val="auto"/>
        </w:rPr>
      </w:pPr>
      <w:r>
        <w:rPr>
          <w:rFonts w:hint="eastAsia"/>
          <w:color w:val="auto"/>
        </w:rPr>
        <w:t>2.相关服务期限：</w:t>
      </w:r>
    </w:p>
    <w:p>
      <w:pPr>
        <w:pStyle w:val="18"/>
        <w:numPr>
          <w:ilvl w:val="0"/>
          <w:numId w:val="0"/>
        </w:numPr>
        <w:adjustRightInd w:val="0"/>
        <w:spacing w:line="360" w:lineRule="auto"/>
        <w:textAlignment w:val="baseline"/>
        <w:rPr>
          <w:rFonts w:hint="eastAsia"/>
          <w:color w:val="auto"/>
        </w:rPr>
      </w:pPr>
      <w:r>
        <w:rPr>
          <w:rFonts w:hint="eastAsia" w:eastAsia="宋体"/>
          <w:color w:val="auto"/>
          <w:lang w:eastAsia="zh-CN"/>
        </w:rPr>
        <w:t>（</w:t>
      </w:r>
      <w:r>
        <w:rPr>
          <w:rFonts w:hint="eastAsia" w:eastAsia="宋体"/>
          <w:color w:val="auto"/>
          <w:lang w:val="en-US" w:eastAsia="zh-CN"/>
        </w:rPr>
        <w:t>1</w:t>
      </w:r>
      <w:r>
        <w:rPr>
          <w:rFonts w:hint="eastAsia" w:eastAsia="宋体"/>
          <w:color w:val="auto"/>
          <w:lang w:eastAsia="zh-CN"/>
        </w:rPr>
        <w:t>）</w:t>
      </w:r>
      <w:r>
        <w:rPr>
          <w:rFonts w:hint="eastAsia"/>
          <w:color w:val="auto"/>
        </w:rPr>
        <w:t>勘察阶段服务期限自</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日始，至</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日止。</w:t>
      </w:r>
    </w:p>
    <w:p>
      <w:pPr>
        <w:pStyle w:val="18"/>
        <w:numPr>
          <w:ilvl w:val="0"/>
          <w:numId w:val="0"/>
        </w:numPr>
        <w:adjustRightInd w:val="0"/>
        <w:spacing w:line="360" w:lineRule="auto"/>
        <w:textAlignment w:val="baseline"/>
        <w:rPr>
          <w:rFonts w:hint="eastAsia"/>
          <w:color w:val="auto"/>
        </w:rPr>
      </w:pPr>
      <w:r>
        <w:rPr>
          <w:rFonts w:hint="eastAsia"/>
          <w:color w:val="auto"/>
        </w:rPr>
        <w:t>（2）设计阶段服务期限自</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日始，至</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日止。</w:t>
      </w:r>
    </w:p>
    <w:p>
      <w:pPr>
        <w:pStyle w:val="18"/>
        <w:numPr>
          <w:ilvl w:val="0"/>
          <w:numId w:val="0"/>
        </w:numPr>
        <w:adjustRightInd w:val="0"/>
        <w:spacing w:line="360" w:lineRule="auto"/>
        <w:textAlignment w:val="baseline"/>
        <w:rPr>
          <w:rFonts w:hint="eastAsia"/>
          <w:color w:val="auto"/>
        </w:rPr>
      </w:pPr>
      <w:r>
        <w:rPr>
          <w:rFonts w:hint="eastAsia"/>
          <w:color w:val="auto"/>
        </w:rPr>
        <w:t>（3）保修阶段服务期限自</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日始，至</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日止。</w:t>
      </w:r>
    </w:p>
    <w:p>
      <w:pPr>
        <w:pStyle w:val="18"/>
        <w:numPr>
          <w:ilvl w:val="0"/>
          <w:numId w:val="0"/>
        </w:numPr>
        <w:adjustRightInd w:val="0"/>
        <w:spacing w:line="360" w:lineRule="auto"/>
        <w:textAlignment w:val="baseline"/>
        <w:rPr>
          <w:rFonts w:hint="eastAsia"/>
          <w:color w:val="auto"/>
        </w:rPr>
      </w:pPr>
      <w:r>
        <w:rPr>
          <w:rFonts w:hint="eastAsia"/>
          <w:color w:val="auto"/>
        </w:rPr>
        <w:t>（4）其他相关服务期限自</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日始，至</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rPr>
        <w:t>月</w:t>
      </w:r>
      <w:r>
        <w:rPr>
          <w:rFonts w:hint="eastAsia"/>
          <w:color w:val="auto"/>
          <w:u w:val="single"/>
        </w:rPr>
        <w:tab/>
      </w:r>
      <w:r>
        <w:rPr>
          <w:rFonts w:hint="eastAsia"/>
          <w:color w:val="auto"/>
        </w:rPr>
        <w:t>日止。</w:t>
      </w:r>
    </w:p>
    <w:p>
      <w:pPr>
        <w:pStyle w:val="18"/>
        <w:numPr>
          <w:ilvl w:val="0"/>
          <w:numId w:val="0"/>
        </w:numPr>
        <w:adjustRightInd w:val="0"/>
        <w:spacing w:line="360" w:lineRule="auto"/>
        <w:textAlignment w:val="baseline"/>
        <w:rPr>
          <w:rFonts w:hint="eastAsia"/>
          <w:color w:val="auto"/>
        </w:rPr>
      </w:pPr>
      <w:r>
        <w:rPr>
          <w:rFonts w:hint="eastAsia"/>
          <w:color w:val="auto"/>
        </w:rPr>
        <w:t>七、双方承诺</w:t>
      </w:r>
    </w:p>
    <w:p>
      <w:pPr>
        <w:pStyle w:val="18"/>
        <w:numPr>
          <w:ilvl w:val="0"/>
          <w:numId w:val="0"/>
        </w:numPr>
        <w:adjustRightInd w:val="0"/>
        <w:spacing w:line="360" w:lineRule="auto"/>
        <w:textAlignment w:val="baseline"/>
        <w:rPr>
          <w:rFonts w:hint="eastAsia"/>
          <w:color w:val="auto"/>
        </w:rPr>
      </w:pPr>
      <w:r>
        <w:rPr>
          <w:rFonts w:hint="eastAsia"/>
          <w:color w:val="auto"/>
        </w:rPr>
        <w:t>1.监理人向委托人承诺，按照本合同约定提供监理与相关服务。</w:t>
      </w:r>
    </w:p>
    <w:p>
      <w:pPr>
        <w:pStyle w:val="18"/>
        <w:numPr>
          <w:ilvl w:val="0"/>
          <w:numId w:val="0"/>
        </w:numPr>
        <w:adjustRightInd w:val="0"/>
        <w:spacing w:line="360" w:lineRule="auto"/>
        <w:textAlignment w:val="baseline"/>
        <w:rPr>
          <w:rFonts w:hint="eastAsia"/>
          <w:color w:val="auto"/>
        </w:rPr>
      </w:pPr>
      <w:r>
        <w:rPr>
          <w:rFonts w:hint="eastAsia"/>
          <w:color w:val="auto"/>
        </w:rPr>
        <w:t>2.委托人向监理人承诺，按照本合同约定派遣相应的人员，提供房屋、资料、设备，并按本合同约定支付酬金。</w:t>
      </w:r>
    </w:p>
    <w:p>
      <w:pPr>
        <w:pStyle w:val="18"/>
        <w:numPr>
          <w:ilvl w:val="0"/>
          <w:numId w:val="0"/>
        </w:numPr>
        <w:adjustRightInd w:val="0"/>
        <w:spacing w:line="360" w:lineRule="auto"/>
        <w:textAlignment w:val="baseline"/>
        <w:rPr>
          <w:rFonts w:hint="eastAsia"/>
          <w:color w:val="auto"/>
        </w:rPr>
      </w:pPr>
      <w:r>
        <w:rPr>
          <w:rFonts w:hint="eastAsia"/>
          <w:color w:val="auto"/>
        </w:rPr>
        <w:t>八、合同订立</w:t>
      </w:r>
    </w:p>
    <w:p>
      <w:pPr>
        <w:pStyle w:val="18"/>
        <w:numPr>
          <w:ilvl w:val="0"/>
          <w:numId w:val="0"/>
        </w:numPr>
        <w:adjustRightInd w:val="0"/>
        <w:spacing w:line="360" w:lineRule="auto"/>
        <w:textAlignment w:val="baseline"/>
        <w:rPr>
          <w:rFonts w:hint="eastAsia"/>
          <w:color w:val="auto"/>
        </w:rPr>
      </w:pPr>
      <w:r>
        <w:rPr>
          <w:rFonts w:hint="eastAsia"/>
          <w:color w:val="auto"/>
        </w:rPr>
        <w:t>1.订立时间：</w:t>
      </w:r>
      <w:r>
        <w:rPr>
          <w:rFonts w:hint="eastAsia"/>
          <w:color w:val="auto"/>
          <w:u w:val="single"/>
        </w:rPr>
        <w:tab/>
      </w:r>
      <w:r>
        <w:rPr>
          <w:rFonts w:hint="eastAsia"/>
          <w:color w:val="auto"/>
          <w:u w:val="single"/>
        </w:rPr>
        <w:tab/>
      </w:r>
      <w:r>
        <w:rPr>
          <w:rFonts w:hint="eastAsia"/>
          <w:color w:val="auto"/>
        </w:rPr>
        <w:t>年</w:t>
      </w:r>
      <w:r>
        <w:rPr>
          <w:rFonts w:hint="eastAsia"/>
          <w:color w:val="auto"/>
          <w:u w:val="single"/>
        </w:rPr>
        <w:tab/>
      </w:r>
      <w:r>
        <w:rPr>
          <w:rFonts w:hint="eastAsia"/>
          <w:color w:val="auto"/>
          <w:u w:val="single"/>
        </w:rPr>
        <w:tab/>
      </w:r>
      <w:r>
        <w:rPr>
          <w:rFonts w:hint="eastAsia"/>
          <w:color w:val="auto"/>
        </w:rPr>
        <w:t>月</w:t>
      </w:r>
      <w:r>
        <w:rPr>
          <w:rFonts w:hint="eastAsia"/>
          <w:color w:val="auto"/>
          <w:u w:val="single"/>
        </w:rPr>
        <w:tab/>
      </w:r>
      <w:r>
        <w:rPr>
          <w:rFonts w:hint="eastAsia"/>
          <w:color w:val="auto"/>
          <w:u w:val="single"/>
        </w:rPr>
        <w:tab/>
      </w:r>
      <w:r>
        <w:rPr>
          <w:rFonts w:hint="eastAsia"/>
          <w:color w:val="auto"/>
        </w:rPr>
        <w:t>日。</w:t>
      </w:r>
    </w:p>
    <w:p>
      <w:pPr>
        <w:pStyle w:val="18"/>
        <w:numPr>
          <w:ilvl w:val="0"/>
          <w:numId w:val="0"/>
        </w:numPr>
        <w:adjustRightInd w:val="0"/>
        <w:spacing w:line="360" w:lineRule="auto"/>
        <w:textAlignment w:val="baseline"/>
        <w:rPr>
          <w:rFonts w:hint="eastAsia"/>
          <w:color w:val="auto"/>
        </w:rPr>
      </w:pPr>
      <w:r>
        <w:rPr>
          <w:rFonts w:hint="eastAsia"/>
          <w:color w:val="auto"/>
        </w:rPr>
        <w:t>2.订立地点：</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w:t>
      </w:r>
    </w:p>
    <w:p>
      <w:pPr>
        <w:pStyle w:val="18"/>
        <w:numPr>
          <w:ilvl w:val="0"/>
          <w:numId w:val="0"/>
        </w:numPr>
        <w:adjustRightInd w:val="0"/>
        <w:spacing w:line="360" w:lineRule="auto"/>
        <w:textAlignment w:val="baseline"/>
        <w:rPr>
          <w:rFonts w:hint="eastAsia"/>
          <w:color w:val="auto"/>
        </w:rPr>
      </w:pPr>
      <w:r>
        <w:rPr>
          <w:rFonts w:hint="eastAsia"/>
          <w:color w:val="auto"/>
        </w:rPr>
        <w:t>3.本合同一式</w:t>
      </w:r>
      <w:r>
        <w:rPr>
          <w:rFonts w:hint="eastAsia"/>
          <w:color w:val="auto"/>
          <w:u w:val="single"/>
        </w:rPr>
        <w:tab/>
      </w:r>
      <w:r>
        <w:rPr>
          <w:rFonts w:hint="eastAsia"/>
          <w:color w:val="auto"/>
          <w:u w:val="single"/>
        </w:rPr>
        <w:tab/>
      </w:r>
      <w:r>
        <w:rPr>
          <w:rFonts w:hint="eastAsia"/>
          <w:color w:val="auto"/>
        </w:rPr>
        <w:t>份，具有同等法律效力，双方各执</w:t>
      </w:r>
      <w:r>
        <w:rPr>
          <w:rFonts w:hint="eastAsia"/>
          <w:color w:val="auto"/>
          <w:u w:val="single"/>
        </w:rPr>
        <w:tab/>
      </w:r>
      <w:r>
        <w:rPr>
          <w:rFonts w:hint="eastAsia"/>
          <w:color w:val="auto"/>
          <w:u w:val="single"/>
        </w:rPr>
        <w:tab/>
      </w:r>
      <w:r>
        <w:rPr>
          <w:rFonts w:hint="eastAsia"/>
          <w:color w:val="auto"/>
        </w:rPr>
        <w:t>份。</w:t>
      </w:r>
    </w:p>
    <w:p>
      <w:pPr>
        <w:pStyle w:val="18"/>
        <w:numPr>
          <w:ilvl w:val="0"/>
          <w:numId w:val="0"/>
        </w:numPr>
        <w:adjustRightInd w:val="0"/>
        <w:spacing w:line="360" w:lineRule="auto"/>
        <w:textAlignment w:val="baseline"/>
        <w:rPr>
          <w:rFonts w:hint="eastAsia"/>
          <w:color w:val="auto"/>
        </w:rPr>
      </w:pPr>
      <w:r>
        <w:rPr>
          <w:rFonts w:hint="eastAsia"/>
          <w:color w:val="auto"/>
        </w:rPr>
        <w:t>委托人：</w:t>
      </w:r>
      <w:r>
        <w:rPr>
          <w:rFonts w:hint="eastAsia"/>
          <w:color w:val="auto"/>
          <w:u w:val="single"/>
        </w:rPr>
        <w:t xml:space="preserve"> </w:t>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（盖章）</w:t>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color w:val="auto"/>
        </w:rPr>
        <w:tab/>
      </w:r>
      <w:r>
        <w:rPr>
          <w:rFonts w:hint="eastAsia" w:eastAsia="宋体"/>
          <w:color w:val="auto"/>
          <w:lang w:val="en-US" w:eastAsia="zh-CN"/>
        </w:rPr>
        <w:t xml:space="preserve">      </w:t>
      </w:r>
      <w:r>
        <w:rPr>
          <w:rFonts w:hint="eastAsia"/>
          <w:color w:val="auto"/>
        </w:rPr>
        <w:t xml:space="preserve">监理人： </w:t>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（盖章）</w:t>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color w:val="auto"/>
        </w:rPr>
        <w:t xml:space="preserve"> </w:t>
      </w:r>
    </w:p>
    <w:p>
      <w:pPr>
        <w:pStyle w:val="18"/>
        <w:numPr>
          <w:ilvl w:val="0"/>
          <w:numId w:val="0"/>
        </w:numPr>
        <w:adjustRightInd w:val="0"/>
        <w:spacing w:line="360" w:lineRule="auto"/>
        <w:textAlignment w:val="baseline"/>
        <w:rPr>
          <w:rFonts w:hint="eastAsia"/>
          <w:color w:val="auto"/>
        </w:rPr>
      </w:pPr>
      <w:r>
        <w:rPr>
          <w:rFonts w:hint="eastAsia"/>
          <w:color w:val="auto"/>
        </w:rPr>
        <w:t>住所：</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ab/>
      </w:r>
      <w:r>
        <w:rPr>
          <w:rFonts w:hint="eastAsia" w:eastAsia="宋体"/>
          <w:color w:val="auto"/>
          <w:lang w:val="en-US" w:eastAsia="zh-CN"/>
        </w:rPr>
        <w:t xml:space="preserve">      </w:t>
      </w:r>
      <w:r>
        <w:rPr>
          <w:rFonts w:hint="eastAsia"/>
          <w:color w:val="auto"/>
        </w:rPr>
        <w:t>住所：</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color w:val="auto"/>
          <w:u w:val="single"/>
        </w:rPr>
        <w:tab/>
      </w:r>
      <w:r>
        <w:rPr>
          <w:rFonts w:hint="eastAsia"/>
          <w:color w:val="auto"/>
        </w:rPr>
        <w:t xml:space="preserve">  </w:t>
      </w:r>
      <w:r>
        <w:rPr>
          <w:rFonts w:hint="eastAsia"/>
          <w:color w:val="auto"/>
        </w:rPr>
        <w:tab/>
      </w:r>
      <w:r>
        <w:rPr>
          <w:rFonts w:hint="eastAsia"/>
          <w:color w:val="auto"/>
        </w:rPr>
        <w:tab/>
      </w:r>
      <w:r>
        <w:rPr>
          <w:rFonts w:hint="eastAsia"/>
          <w:color w:val="auto"/>
        </w:rPr>
        <w:tab/>
      </w:r>
      <w:r>
        <w:rPr>
          <w:rFonts w:hint="eastAsia"/>
          <w:color w:val="auto"/>
        </w:rPr>
        <w:tab/>
      </w:r>
      <w:r>
        <w:rPr>
          <w:rFonts w:hint="eastAsia"/>
          <w:color w:val="auto"/>
        </w:rPr>
        <w:t xml:space="preserve"> </w:t>
      </w:r>
    </w:p>
    <w:p>
      <w:pPr>
        <w:pStyle w:val="18"/>
        <w:numPr>
          <w:ilvl w:val="0"/>
          <w:numId w:val="0"/>
        </w:numPr>
        <w:adjustRightInd w:val="0"/>
        <w:spacing w:line="360" w:lineRule="auto"/>
        <w:textAlignment w:val="baseline"/>
        <w:rPr>
          <w:rFonts w:hint="eastAsia" w:eastAsia="宋体"/>
          <w:color w:val="auto"/>
          <w:lang w:val="en-US" w:eastAsia="zh-CN"/>
        </w:rPr>
      </w:pPr>
      <w:r>
        <w:rPr>
          <w:rFonts w:hint="eastAsia"/>
          <w:color w:val="auto"/>
        </w:rPr>
        <w:t>邮政编码：</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rPr>
        <w:t xml:space="preserve"> </w:t>
      </w:r>
      <w:r>
        <w:rPr>
          <w:rFonts w:hint="eastAsia"/>
          <w:color w:val="auto"/>
        </w:rPr>
        <w:tab/>
      </w:r>
      <w:r>
        <w:rPr>
          <w:rFonts w:hint="eastAsia" w:eastAsia="宋体"/>
          <w:color w:val="auto"/>
          <w:lang w:val="en-US" w:eastAsia="zh-CN"/>
        </w:rPr>
        <w:t xml:space="preserve">   </w:t>
      </w:r>
      <w:r>
        <w:rPr>
          <w:rFonts w:hint="eastAsia"/>
          <w:color w:val="auto"/>
        </w:rPr>
        <w:t>邮政编码：</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p>
    <w:p>
      <w:pPr>
        <w:pStyle w:val="18"/>
        <w:numPr>
          <w:ilvl w:val="0"/>
          <w:numId w:val="0"/>
        </w:numPr>
        <w:adjustRightInd w:val="0"/>
        <w:spacing w:line="360" w:lineRule="auto"/>
        <w:textAlignment w:val="baseline"/>
        <w:rPr>
          <w:rFonts w:hint="eastAsia"/>
          <w:color w:val="auto"/>
        </w:rPr>
      </w:pPr>
      <w:r>
        <w:rPr>
          <w:rFonts w:hint="eastAsia"/>
          <w:color w:val="auto"/>
        </w:rPr>
        <w:t>法定代表人或其授权</w:t>
      </w:r>
      <w:r>
        <w:rPr>
          <w:rFonts w:hint="eastAsia"/>
          <w:color w:val="auto"/>
        </w:rPr>
        <w:tab/>
      </w:r>
      <w:r>
        <w:rPr>
          <w:rFonts w:hint="eastAsia"/>
          <w:color w:val="auto"/>
        </w:rPr>
        <w:tab/>
      </w:r>
      <w:r>
        <w:rPr>
          <w:rFonts w:hint="eastAsia"/>
          <w:color w:val="auto"/>
        </w:rPr>
        <w:tab/>
      </w:r>
      <w:r>
        <w:rPr>
          <w:rFonts w:hint="eastAsia"/>
          <w:color w:val="auto"/>
        </w:rPr>
        <w:tab/>
      </w:r>
      <w:r>
        <w:rPr>
          <w:rFonts w:hint="eastAsia" w:eastAsia="宋体"/>
          <w:color w:val="auto"/>
          <w:lang w:val="en-US" w:eastAsia="zh-CN"/>
        </w:rPr>
        <w:t xml:space="preserve">   </w:t>
      </w:r>
      <w:r>
        <w:rPr>
          <w:rFonts w:hint="eastAsia"/>
          <w:color w:val="auto"/>
        </w:rPr>
        <w:t>法定代表人或其授权</w:t>
      </w:r>
    </w:p>
    <w:p>
      <w:pPr>
        <w:pStyle w:val="18"/>
        <w:numPr>
          <w:ilvl w:val="0"/>
          <w:numId w:val="0"/>
        </w:numPr>
        <w:adjustRightInd w:val="0"/>
        <w:spacing w:line="360" w:lineRule="auto"/>
        <w:textAlignment w:val="baseline"/>
        <w:rPr>
          <w:rFonts w:hint="eastAsia"/>
          <w:color w:val="auto"/>
          <w:u w:val="single"/>
        </w:rPr>
      </w:pPr>
      <w:r>
        <w:rPr>
          <w:rFonts w:hint="eastAsia"/>
          <w:color w:val="auto"/>
        </w:rPr>
        <w:t>的代理人：</w:t>
      </w:r>
      <w:r>
        <w:rPr>
          <w:rFonts w:hint="eastAsia"/>
          <w:color w:val="auto"/>
          <w:u w:val="single"/>
        </w:rPr>
        <w:t xml:space="preserve"> </w:t>
      </w:r>
      <w:r>
        <w:rPr>
          <w:rFonts w:hint="eastAsia"/>
          <w:color w:val="auto"/>
          <w:u w:val="single"/>
        </w:rPr>
        <w:tab/>
      </w:r>
      <w:r>
        <w:rPr>
          <w:rFonts w:hint="eastAsia"/>
          <w:color w:val="auto"/>
          <w:u w:val="single"/>
        </w:rPr>
        <w:t>（签字）</w:t>
      </w:r>
      <w:r>
        <w:rPr>
          <w:rFonts w:hint="eastAsia"/>
          <w:color w:val="auto"/>
          <w:u w:val="single"/>
        </w:rPr>
        <w:tab/>
      </w:r>
      <w:r>
        <w:rPr>
          <w:rFonts w:hint="eastAsia"/>
          <w:color w:val="auto"/>
          <w:u w:val="single"/>
        </w:rPr>
        <w:tab/>
      </w:r>
      <w:r>
        <w:rPr>
          <w:rFonts w:hint="eastAsia"/>
          <w:color w:val="auto"/>
        </w:rPr>
        <w:tab/>
      </w:r>
      <w:r>
        <w:rPr>
          <w:rFonts w:hint="eastAsia" w:eastAsia="宋体"/>
          <w:color w:val="auto"/>
          <w:lang w:val="en-US" w:eastAsia="zh-CN"/>
        </w:rPr>
        <w:t xml:space="preserve">   </w:t>
      </w:r>
      <w:r>
        <w:rPr>
          <w:rFonts w:hint="eastAsia"/>
          <w:color w:val="auto"/>
        </w:rPr>
        <w:t>的代理人：</w:t>
      </w:r>
      <w:r>
        <w:rPr>
          <w:rFonts w:hint="eastAsia"/>
          <w:color w:val="auto"/>
          <w:u w:val="single"/>
        </w:rPr>
        <w:t xml:space="preserve"> </w:t>
      </w:r>
      <w:r>
        <w:rPr>
          <w:rFonts w:hint="eastAsia"/>
          <w:color w:val="auto"/>
          <w:u w:val="single"/>
        </w:rPr>
        <w:tab/>
      </w:r>
      <w:r>
        <w:rPr>
          <w:rFonts w:hint="eastAsia"/>
          <w:color w:val="auto"/>
          <w:u w:val="single"/>
        </w:rPr>
        <w:t>（签字）</w:t>
      </w:r>
      <w:r>
        <w:rPr>
          <w:rFonts w:hint="eastAsia"/>
          <w:color w:val="auto"/>
          <w:u w:val="single"/>
        </w:rPr>
        <w:tab/>
      </w:r>
      <w:r>
        <w:rPr>
          <w:rFonts w:hint="eastAsia"/>
          <w:color w:val="auto"/>
          <w:u w:val="single"/>
        </w:rPr>
        <w:t xml:space="preserve"> </w:t>
      </w:r>
    </w:p>
    <w:p>
      <w:pPr>
        <w:pStyle w:val="18"/>
        <w:numPr>
          <w:ilvl w:val="0"/>
          <w:numId w:val="0"/>
        </w:numPr>
        <w:adjustRightInd w:val="0"/>
        <w:spacing w:line="360" w:lineRule="auto"/>
        <w:textAlignment w:val="baseline"/>
        <w:rPr>
          <w:rFonts w:hint="eastAsia"/>
          <w:color w:val="auto"/>
          <w:u w:val="single"/>
        </w:rPr>
      </w:pPr>
      <w:r>
        <w:rPr>
          <w:rFonts w:hint="eastAsia"/>
          <w:color w:val="auto"/>
        </w:rPr>
        <w:t>开户银行：</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eastAsia="宋体"/>
          <w:color w:val="auto"/>
          <w:lang w:val="en-US" w:eastAsia="zh-CN"/>
        </w:rPr>
        <w:t xml:space="preserve">       </w:t>
      </w:r>
      <w:r>
        <w:rPr>
          <w:rFonts w:hint="eastAsia"/>
          <w:color w:val="auto"/>
        </w:rPr>
        <w:t>开户银行：</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p>
    <w:p>
      <w:pPr>
        <w:pStyle w:val="18"/>
        <w:numPr>
          <w:ilvl w:val="0"/>
          <w:numId w:val="0"/>
        </w:numPr>
        <w:adjustRightInd w:val="0"/>
        <w:spacing w:line="360" w:lineRule="auto"/>
        <w:textAlignment w:val="baseline"/>
        <w:rPr>
          <w:rFonts w:hint="eastAsia"/>
          <w:color w:val="auto"/>
        </w:rPr>
      </w:pPr>
      <w:r>
        <w:rPr>
          <w:rFonts w:hint="eastAsia"/>
          <w:color w:val="auto"/>
        </w:rPr>
        <w:t>账号：</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eastAsia="宋体"/>
          <w:color w:val="auto"/>
          <w:u w:val="single"/>
          <w:lang w:val="en-US" w:eastAsia="zh-CN"/>
        </w:rPr>
        <w:t xml:space="preserve">  </w:t>
      </w:r>
      <w:r>
        <w:rPr>
          <w:rFonts w:hint="eastAsia" w:eastAsia="宋体"/>
          <w:color w:val="auto"/>
          <w:lang w:val="en-US" w:eastAsia="zh-CN"/>
        </w:rPr>
        <w:t xml:space="preserve">     </w:t>
      </w:r>
      <w:r>
        <w:rPr>
          <w:rFonts w:hint="eastAsia"/>
          <w:color w:val="auto"/>
        </w:rPr>
        <w:tab/>
      </w:r>
      <w:r>
        <w:rPr>
          <w:rFonts w:hint="eastAsia"/>
          <w:color w:val="auto"/>
        </w:rPr>
        <w:t xml:space="preserve">账号： </w:t>
      </w:r>
      <w:r>
        <w:rPr>
          <w:rFonts w:hint="eastAsia"/>
          <w:color w:val="auto"/>
          <w:u w:val="single"/>
        </w:rPr>
        <w:t xml:space="preserve"> </w:t>
      </w:r>
      <w:r>
        <w:rPr>
          <w:rFonts w:hint="eastAsia"/>
          <w:color w:val="auto"/>
          <w:u w:val="single"/>
        </w:rPr>
        <w:tab/>
      </w:r>
      <w:r>
        <w:rPr>
          <w:rFonts w:hint="eastAsia"/>
          <w:color w:val="auto"/>
          <w:u w:val="single"/>
        </w:rPr>
        <w:tab/>
      </w:r>
      <w:r>
        <w:rPr>
          <w:rFonts w:hint="eastAsia"/>
          <w:color w:val="auto"/>
          <w:u w:val="single"/>
        </w:rPr>
        <w:tab/>
      </w:r>
      <w:r>
        <w:rPr>
          <w:rFonts w:hint="eastAsia" w:eastAsia="宋体"/>
          <w:color w:val="auto"/>
          <w:u w:val="single"/>
          <w:lang w:val="en-US" w:eastAsia="zh-CN"/>
        </w:rPr>
        <w:t xml:space="preserve">  </w:t>
      </w:r>
      <w:r>
        <w:rPr>
          <w:rFonts w:hint="eastAsia"/>
          <w:color w:val="auto"/>
          <w:u w:val="single"/>
        </w:rPr>
        <w:tab/>
      </w:r>
      <w:r>
        <w:rPr>
          <w:rFonts w:hint="eastAsia"/>
          <w:color w:val="auto"/>
          <w:u w:val="single"/>
        </w:rPr>
        <w:tab/>
      </w:r>
    </w:p>
    <w:p>
      <w:pPr>
        <w:pStyle w:val="18"/>
        <w:numPr>
          <w:ilvl w:val="0"/>
          <w:numId w:val="0"/>
        </w:numPr>
        <w:adjustRightInd w:val="0"/>
        <w:spacing w:line="360" w:lineRule="auto"/>
        <w:textAlignment w:val="baseline"/>
        <w:rPr>
          <w:rFonts w:hint="default" w:eastAsia="宋体"/>
          <w:color w:val="auto"/>
          <w:u w:val="single"/>
          <w:lang w:val="en-US" w:eastAsia="zh-CN"/>
        </w:rPr>
      </w:pPr>
      <w:r>
        <w:rPr>
          <w:rFonts w:hint="eastAsia" w:eastAsia="宋体"/>
          <w:color w:val="auto"/>
          <w:lang w:val="en-US" w:eastAsia="zh-CN"/>
        </w:rPr>
        <w:t>电话：</w:t>
      </w:r>
      <w:r>
        <w:rPr>
          <w:rFonts w:hint="eastAsia" w:eastAsia="宋体"/>
          <w:color w:val="auto"/>
          <w:u w:val="single"/>
          <w:lang w:val="en-US" w:eastAsia="zh-CN"/>
        </w:rPr>
        <w:t xml:space="preserve">                      </w:t>
      </w:r>
      <w:r>
        <w:rPr>
          <w:rFonts w:hint="eastAsia" w:eastAsia="宋体"/>
          <w:color w:val="auto"/>
          <w:u w:val="none"/>
          <w:lang w:val="en-US" w:eastAsia="zh-CN"/>
        </w:rPr>
        <w:t xml:space="preserve">       电话：</w:t>
      </w:r>
      <w:r>
        <w:rPr>
          <w:rFonts w:hint="eastAsia" w:eastAsia="宋体"/>
          <w:color w:val="auto"/>
          <w:u w:val="single"/>
          <w:lang w:val="en-US" w:eastAsia="zh-CN"/>
        </w:rPr>
        <w:t xml:space="preserve">                    </w:t>
      </w:r>
    </w:p>
    <w:p>
      <w:pPr>
        <w:pStyle w:val="18"/>
        <w:numPr>
          <w:ilvl w:val="0"/>
          <w:numId w:val="0"/>
        </w:numPr>
        <w:adjustRightInd w:val="0"/>
        <w:spacing w:line="360" w:lineRule="auto"/>
        <w:textAlignment w:val="baseline"/>
        <w:rPr>
          <w:rFonts w:hint="eastAsia"/>
          <w:color w:val="auto"/>
        </w:rPr>
      </w:pPr>
    </w:p>
    <w:p>
      <w:pPr>
        <w:pStyle w:val="18"/>
        <w:numPr>
          <w:ilvl w:val="0"/>
          <w:numId w:val="0"/>
        </w:numPr>
        <w:adjustRightInd w:val="0"/>
        <w:spacing w:line="360" w:lineRule="auto"/>
        <w:textAlignment w:val="baseline"/>
        <w:rPr>
          <w:rFonts w:hint="eastAsia"/>
          <w:color w:val="auto"/>
        </w:rPr>
      </w:pPr>
    </w:p>
    <w:p>
      <w:pPr>
        <w:pStyle w:val="18"/>
        <w:numPr>
          <w:ilvl w:val="0"/>
          <w:numId w:val="0"/>
        </w:numPr>
        <w:adjustRightInd w:val="0"/>
        <w:spacing w:line="360" w:lineRule="auto"/>
        <w:textAlignment w:val="baseline"/>
        <w:rPr>
          <w:rFonts w:hint="eastAsia"/>
          <w:color w:val="auto"/>
        </w:rPr>
      </w:pPr>
    </w:p>
    <w:p>
      <w:pPr>
        <w:pStyle w:val="18"/>
        <w:numPr>
          <w:ilvl w:val="0"/>
          <w:numId w:val="0"/>
        </w:numPr>
        <w:adjustRightInd w:val="0"/>
        <w:spacing w:line="360" w:lineRule="auto"/>
        <w:jc w:val="center"/>
        <w:textAlignment w:val="baseline"/>
        <w:rPr>
          <w:rFonts w:hint="eastAsia"/>
          <w:color w:val="auto"/>
        </w:rPr>
      </w:pPr>
      <w:r>
        <w:rPr>
          <w:rFonts w:hint="eastAsia"/>
          <w:b/>
          <w:bCs/>
          <w:color w:val="auto"/>
        </w:rPr>
        <w:t>第二部分 通用条件</w:t>
      </w:r>
    </w:p>
    <w:p>
      <w:pPr>
        <w:pStyle w:val="18"/>
        <w:numPr>
          <w:ilvl w:val="0"/>
          <w:numId w:val="0"/>
        </w:numPr>
        <w:adjustRightInd w:val="0"/>
        <w:spacing w:line="360" w:lineRule="auto"/>
        <w:textAlignment w:val="baseline"/>
        <w:rPr>
          <w:rFonts w:hint="eastAsia"/>
          <w:color w:val="auto"/>
        </w:rPr>
      </w:pPr>
    </w:p>
    <w:p>
      <w:pPr>
        <w:pStyle w:val="18"/>
        <w:numPr>
          <w:ilvl w:val="0"/>
          <w:numId w:val="0"/>
        </w:numPr>
        <w:adjustRightInd w:val="0"/>
        <w:spacing w:line="360" w:lineRule="auto"/>
        <w:textAlignment w:val="baseline"/>
        <w:rPr>
          <w:rFonts w:hint="eastAsia"/>
          <w:b/>
          <w:bCs/>
          <w:color w:val="auto"/>
        </w:rPr>
      </w:pPr>
      <w:r>
        <w:rPr>
          <w:rFonts w:hint="eastAsia"/>
          <w:b/>
          <w:bCs/>
          <w:color w:val="auto"/>
        </w:rPr>
        <w:t>1.定义与解释</w:t>
      </w:r>
    </w:p>
    <w:p>
      <w:pPr>
        <w:pStyle w:val="18"/>
        <w:numPr>
          <w:ilvl w:val="0"/>
          <w:numId w:val="0"/>
        </w:numPr>
        <w:adjustRightInd w:val="0"/>
        <w:spacing w:line="360" w:lineRule="auto"/>
        <w:textAlignment w:val="baseline"/>
        <w:rPr>
          <w:rFonts w:hint="eastAsia"/>
          <w:b w:val="0"/>
          <w:bCs w:val="0"/>
          <w:color w:val="auto"/>
        </w:rPr>
      </w:pPr>
      <w:r>
        <w:rPr>
          <w:rFonts w:hint="eastAsia"/>
          <w:b w:val="0"/>
          <w:bCs w:val="0"/>
          <w:color w:val="auto"/>
        </w:rPr>
        <w:t>1.1定义</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除根据上下文另有其意义外，组成本合同的全部文件中的下列名词和用语应具有本款所赋予的含义：</w:t>
      </w:r>
    </w:p>
    <w:p>
      <w:pPr>
        <w:pStyle w:val="18"/>
        <w:numPr>
          <w:ilvl w:val="0"/>
          <w:numId w:val="0"/>
        </w:numPr>
        <w:adjustRightInd w:val="0"/>
        <w:spacing w:line="360" w:lineRule="auto"/>
        <w:textAlignment w:val="baseline"/>
        <w:rPr>
          <w:rFonts w:hint="eastAsia"/>
          <w:color w:val="auto"/>
        </w:rPr>
      </w:pPr>
      <w:r>
        <w:rPr>
          <w:rFonts w:hint="eastAsia"/>
          <w:color w:val="auto"/>
        </w:rPr>
        <w:t>1.1.1“工程”是指按照本合同约定实施监理与相关服务的建设工程。</w:t>
      </w:r>
    </w:p>
    <w:p>
      <w:pPr>
        <w:pStyle w:val="18"/>
        <w:numPr>
          <w:ilvl w:val="0"/>
          <w:numId w:val="0"/>
        </w:numPr>
        <w:adjustRightInd w:val="0"/>
        <w:spacing w:line="360" w:lineRule="auto"/>
        <w:textAlignment w:val="baseline"/>
        <w:rPr>
          <w:rFonts w:hint="eastAsia"/>
          <w:color w:val="auto"/>
        </w:rPr>
      </w:pPr>
      <w:r>
        <w:rPr>
          <w:rFonts w:hint="eastAsia"/>
          <w:color w:val="auto"/>
        </w:rPr>
        <w:t>1.1.2“委托人”是指本合同中委托监理与相关服务的一方，及其合法的继承人或受让人。</w:t>
      </w:r>
    </w:p>
    <w:p>
      <w:pPr>
        <w:pStyle w:val="18"/>
        <w:numPr>
          <w:ilvl w:val="0"/>
          <w:numId w:val="0"/>
        </w:numPr>
        <w:adjustRightInd w:val="0"/>
        <w:spacing w:line="360" w:lineRule="auto"/>
        <w:textAlignment w:val="baseline"/>
        <w:rPr>
          <w:rFonts w:hint="eastAsia"/>
          <w:color w:val="auto"/>
        </w:rPr>
      </w:pPr>
      <w:r>
        <w:rPr>
          <w:rFonts w:hint="eastAsia"/>
          <w:color w:val="auto"/>
        </w:rPr>
        <w:t>1.1.3“监理人”是指本合同中提供监理与相关服务的一方，及其合法的继承人。</w:t>
      </w:r>
    </w:p>
    <w:p>
      <w:pPr>
        <w:pStyle w:val="18"/>
        <w:numPr>
          <w:ilvl w:val="0"/>
          <w:numId w:val="0"/>
        </w:numPr>
        <w:adjustRightInd w:val="0"/>
        <w:spacing w:line="360" w:lineRule="auto"/>
        <w:textAlignment w:val="baseline"/>
        <w:rPr>
          <w:rFonts w:hint="eastAsia"/>
          <w:color w:val="auto"/>
        </w:rPr>
      </w:pPr>
      <w:r>
        <w:rPr>
          <w:rFonts w:hint="eastAsia"/>
          <w:color w:val="auto"/>
        </w:rPr>
        <w:t>1.1.4“承包人”是指在工程范围内与委托人签订勘察、设计、施工等有关合同的当事人，及其合法的继承人。</w:t>
      </w:r>
    </w:p>
    <w:p>
      <w:pPr>
        <w:pStyle w:val="18"/>
        <w:numPr>
          <w:ilvl w:val="0"/>
          <w:numId w:val="0"/>
        </w:numPr>
        <w:adjustRightInd w:val="0"/>
        <w:spacing w:line="360" w:lineRule="auto"/>
        <w:textAlignment w:val="baseline"/>
        <w:rPr>
          <w:rFonts w:hint="eastAsia"/>
          <w:color w:val="auto"/>
        </w:rPr>
      </w:pPr>
      <w:r>
        <w:rPr>
          <w:rFonts w:hint="eastAsia"/>
          <w:color w:val="auto"/>
        </w:rPr>
        <w:t>1.1.5“监理”是指监理人受委托人的委托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pStyle w:val="18"/>
        <w:numPr>
          <w:ilvl w:val="0"/>
          <w:numId w:val="0"/>
        </w:numPr>
        <w:adjustRightInd w:val="0"/>
        <w:spacing w:line="360" w:lineRule="auto"/>
        <w:textAlignment w:val="baseline"/>
        <w:rPr>
          <w:rFonts w:hint="eastAsia"/>
          <w:color w:val="auto"/>
        </w:rPr>
      </w:pPr>
      <w:r>
        <w:rPr>
          <w:rFonts w:hint="eastAsia"/>
          <w:color w:val="auto"/>
        </w:rPr>
        <w:t>1.1.6“相关服务”是指监理人受委托人的委托 ，按照本合同约定，在勘察、设计、保修等阶段提供的服务活动。</w:t>
      </w:r>
    </w:p>
    <w:p>
      <w:pPr>
        <w:pStyle w:val="18"/>
        <w:numPr>
          <w:ilvl w:val="0"/>
          <w:numId w:val="0"/>
        </w:numPr>
        <w:adjustRightInd w:val="0"/>
        <w:spacing w:line="360" w:lineRule="auto"/>
        <w:textAlignment w:val="baseline"/>
        <w:rPr>
          <w:rFonts w:hint="eastAsia"/>
          <w:color w:val="auto"/>
        </w:rPr>
      </w:pPr>
      <w:r>
        <w:rPr>
          <w:rFonts w:hint="eastAsia"/>
          <w:color w:val="auto"/>
        </w:rPr>
        <w:t>1.1.7“正常工作”指本合同订立时通用条件和专用条件中约定的监理人的工作。</w:t>
      </w:r>
    </w:p>
    <w:p>
      <w:pPr>
        <w:pStyle w:val="18"/>
        <w:numPr>
          <w:ilvl w:val="0"/>
          <w:numId w:val="0"/>
        </w:numPr>
        <w:adjustRightInd w:val="0"/>
        <w:spacing w:line="360" w:lineRule="auto"/>
        <w:textAlignment w:val="baseline"/>
        <w:rPr>
          <w:rFonts w:hint="eastAsia"/>
          <w:color w:val="auto"/>
        </w:rPr>
      </w:pPr>
      <w:r>
        <w:rPr>
          <w:rFonts w:hint="eastAsia"/>
          <w:color w:val="auto"/>
        </w:rPr>
        <w:t>1.1.8“附加工作”是指本合同约定的正常工作以外监理人的工作。</w:t>
      </w:r>
    </w:p>
    <w:p>
      <w:pPr>
        <w:pStyle w:val="18"/>
        <w:numPr>
          <w:ilvl w:val="0"/>
          <w:numId w:val="0"/>
        </w:numPr>
        <w:adjustRightInd w:val="0"/>
        <w:spacing w:line="360" w:lineRule="auto"/>
        <w:textAlignment w:val="baseline"/>
        <w:rPr>
          <w:rFonts w:hint="eastAsia"/>
          <w:color w:val="auto"/>
        </w:rPr>
      </w:pPr>
      <w:r>
        <w:rPr>
          <w:rFonts w:hint="eastAsia"/>
          <w:color w:val="auto"/>
        </w:rPr>
        <w:t>1.1.9“项目监理机构”是指监理人派驻工程负责履行本合同的组织机构。</w:t>
      </w:r>
    </w:p>
    <w:p>
      <w:pPr>
        <w:pStyle w:val="18"/>
        <w:numPr>
          <w:ilvl w:val="0"/>
          <w:numId w:val="0"/>
        </w:numPr>
        <w:adjustRightInd w:val="0"/>
        <w:spacing w:line="360" w:lineRule="auto"/>
        <w:textAlignment w:val="baseline"/>
        <w:rPr>
          <w:rFonts w:hint="eastAsia"/>
          <w:color w:val="auto"/>
        </w:rPr>
      </w:pPr>
      <w:r>
        <w:rPr>
          <w:rFonts w:hint="eastAsia"/>
          <w:color w:val="auto"/>
        </w:rPr>
        <w:t>1.1.10“总监理工程师”是指由监理人的法定代表人书面授权，全面负责履行本合同、主持项目监理机构工作的注册监理工程师。</w:t>
      </w:r>
    </w:p>
    <w:p>
      <w:pPr>
        <w:pStyle w:val="18"/>
        <w:numPr>
          <w:ilvl w:val="0"/>
          <w:numId w:val="0"/>
        </w:numPr>
        <w:adjustRightInd w:val="0"/>
        <w:spacing w:line="360" w:lineRule="auto"/>
        <w:textAlignment w:val="baseline"/>
        <w:rPr>
          <w:rFonts w:hint="eastAsia"/>
          <w:color w:val="auto"/>
        </w:rPr>
      </w:pPr>
      <w:r>
        <w:rPr>
          <w:rFonts w:hint="eastAsia"/>
          <w:color w:val="auto"/>
        </w:rPr>
        <w:t>1.1.11“酬金”是指监理人履行本合同义务，委托人按照本合同约定给付监理人的金额。</w:t>
      </w:r>
    </w:p>
    <w:p>
      <w:pPr>
        <w:pStyle w:val="18"/>
        <w:numPr>
          <w:ilvl w:val="0"/>
          <w:numId w:val="0"/>
        </w:numPr>
        <w:adjustRightInd w:val="0"/>
        <w:spacing w:line="360" w:lineRule="auto"/>
        <w:textAlignment w:val="baseline"/>
        <w:rPr>
          <w:rFonts w:hint="eastAsia"/>
          <w:color w:val="auto"/>
        </w:rPr>
      </w:pPr>
      <w:r>
        <w:rPr>
          <w:rFonts w:hint="eastAsia"/>
          <w:color w:val="auto"/>
        </w:rPr>
        <w:t>1.1.12“正常工作酬金”是指监理人完成正常工作，委托人应给付监理人并在协议书中载明的签约酬金额。</w:t>
      </w:r>
    </w:p>
    <w:p>
      <w:pPr>
        <w:pStyle w:val="18"/>
        <w:numPr>
          <w:ilvl w:val="0"/>
          <w:numId w:val="0"/>
        </w:numPr>
        <w:adjustRightInd w:val="0"/>
        <w:spacing w:line="360" w:lineRule="auto"/>
        <w:textAlignment w:val="baseline"/>
        <w:rPr>
          <w:rFonts w:hint="eastAsia"/>
          <w:color w:val="auto"/>
        </w:rPr>
      </w:pPr>
      <w:r>
        <w:rPr>
          <w:rFonts w:hint="eastAsia"/>
          <w:color w:val="auto"/>
        </w:rPr>
        <w:t>1.1.13“附加工作酬金”是指监理人完成附加工作，委托人应给付监理人的金额。</w:t>
      </w:r>
    </w:p>
    <w:p>
      <w:pPr>
        <w:pStyle w:val="18"/>
        <w:numPr>
          <w:ilvl w:val="0"/>
          <w:numId w:val="0"/>
        </w:numPr>
        <w:adjustRightInd w:val="0"/>
        <w:spacing w:line="360" w:lineRule="auto"/>
        <w:textAlignment w:val="baseline"/>
        <w:rPr>
          <w:rFonts w:hint="eastAsia"/>
          <w:color w:val="auto"/>
        </w:rPr>
      </w:pPr>
      <w:r>
        <w:rPr>
          <w:rFonts w:hint="eastAsia"/>
          <w:color w:val="auto"/>
        </w:rPr>
        <w:t>1.1.14“一方”是指委托人或监理人；“双方”是指委托人和监理人；“第三方”是指除委托人和监理人以外的有关方。</w:t>
      </w:r>
    </w:p>
    <w:p>
      <w:pPr>
        <w:pStyle w:val="18"/>
        <w:numPr>
          <w:ilvl w:val="0"/>
          <w:numId w:val="0"/>
        </w:numPr>
        <w:adjustRightInd w:val="0"/>
        <w:spacing w:line="360" w:lineRule="auto"/>
        <w:textAlignment w:val="baseline"/>
        <w:rPr>
          <w:rFonts w:hint="eastAsia"/>
          <w:color w:val="auto"/>
        </w:rPr>
      </w:pPr>
      <w:r>
        <w:rPr>
          <w:rFonts w:hint="eastAsia"/>
          <w:color w:val="auto"/>
        </w:rPr>
        <w:t>1.1.15“书面形式”是指合同书、信件和数据电文（包括电报、电传、传真、电子数据交换和电子邮件）等可以有形地表现所载内容的形式。</w:t>
      </w:r>
    </w:p>
    <w:p>
      <w:pPr>
        <w:pStyle w:val="18"/>
        <w:numPr>
          <w:ilvl w:val="0"/>
          <w:numId w:val="0"/>
        </w:numPr>
        <w:adjustRightInd w:val="0"/>
        <w:spacing w:line="360" w:lineRule="auto"/>
        <w:textAlignment w:val="baseline"/>
        <w:rPr>
          <w:rFonts w:hint="eastAsia"/>
          <w:color w:val="auto"/>
        </w:rPr>
      </w:pPr>
      <w:r>
        <w:rPr>
          <w:rFonts w:hint="eastAsia"/>
          <w:color w:val="auto"/>
        </w:rPr>
        <w:t>1.1.16“天”是指第一天零时至第二天零时的时间。</w:t>
      </w:r>
    </w:p>
    <w:p>
      <w:pPr>
        <w:pStyle w:val="18"/>
        <w:numPr>
          <w:ilvl w:val="0"/>
          <w:numId w:val="0"/>
        </w:numPr>
        <w:adjustRightInd w:val="0"/>
        <w:spacing w:line="360" w:lineRule="auto"/>
        <w:textAlignment w:val="baseline"/>
        <w:rPr>
          <w:rFonts w:hint="eastAsia"/>
          <w:color w:val="auto"/>
        </w:rPr>
      </w:pPr>
      <w:r>
        <w:rPr>
          <w:rFonts w:hint="eastAsia"/>
          <w:color w:val="auto"/>
        </w:rPr>
        <w:t>1.1.17“月”是指按公历从一个月中任何一天开始的一个公历月时间。</w:t>
      </w:r>
    </w:p>
    <w:p>
      <w:pPr>
        <w:pStyle w:val="18"/>
        <w:numPr>
          <w:ilvl w:val="0"/>
          <w:numId w:val="0"/>
        </w:numPr>
        <w:adjustRightInd w:val="0"/>
        <w:spacing w:line="360" w:lineRule="auto"/>
        <w:textAlignment w:val="baseline"/>
        <w:rPr>
          <w:rFonts w:hint="eastAsia"/>
          <w:color w:val="auto"/>
        </w:rPr>
      </w:pPr>
      <w:r>
        <w:rPr>
          <w:rFonts w:hint="eastAsia"/>
          <w:color w:val="auto"/>
        </w:rPr>
        <w:t>1.1.18“不可抗力”是指委托人和监理人在订立本合同时不可预见，在工程施工过程中不可避免发生并不能克服的自然灾害和社会性突发事件，如地震、海啸、瘟疫、水灾、骚乱、暴动、战争和专用条件约定的其他情形。</w:t>
      </w:r>
    </w:p>
    <w:p>
      <w:pPr>
        <w:pStyle w:val="18"/>
        <w:numPr>
          <w:ilvl w:val="0"/>
          <w:numId w:val="0"/>
        </w:numPr>
        <w:adjustRightInd w:val="0"/>
        <w:spacing w:line="360" w:lineRule="auto"/>
        <w:textAlignment w:val="baseline"/>
        <w:rPr>
          <w:rFonts w:hint="eastAsia"/>
          <w:color w:val="auto"/>
        </w:rPr>
      </w:pPr>
      <w:r>
        <w:rPr>
          <w:rFonts w:hint="eastAsia"/>
          <w:color w:val="auto"/>
        </w:rPr>
        <w:t>1.2解释</w:t>
      </w:r>
    </w:p>
    <w:p>
      <w:pPr>
        <w:pStyle w:val="18"/>
        <w:numPr>
          <w:ilvl w:val="0"/>
          <w:numId w:val="0"/>
        </w:numPr>
        <w:adjustRightInd w:val="0"/>
        <w:spacing w:line="360" w:lineRule="auto"/>
        <w:textAlignment w:val="baseline"/>
        <w:rPr>
          <w:rFonts w:hint="eastAsia"/>
          <w:color w:val="auto"/>
        </w:rPr>
      </w:pPr>
      <w:r>
        <w:rPr>
          <w:rFonts w:hint="eastAsia"/>
          <w:color w:val="auto"/>
        </w:rPr>
        <w:t>1.2.1本合同使用中文书写、解释和说明。如专用条件约定使用两种及以上语言文字时，应以中文为准。</w:t>
      </w:r>
    </w:p>
    <w:p>
      <w:pPr>
        <w:pStyle w:val="18"/>
        <w:numPr>
          <w:ilvl w:val="0"/>
          <w:numId w:val="0"/>
        </w:numPr>
        <w:adjustRightInd w:val="0"/>
        <w:spacing w:line="360" w:lineRule="auto"/>
        <w:textAlignment w:val="baseline"/>
        <w:rPr>
          <w:rFonts w:hint="eastAsia"/>
          <w:color w:val="auto"/>
        </w:rPr>
      </w:pPr>
      <w:r>
        <w:rPr>
          <w:rFonts w:hint="eastAsia"/>
          <w:color w:val="auto"/>
        </w:rPr>
        <w:t>1.2.2组成本合同的下列文件彼此应能相互解释、互为说明。除专用条件另有约定外，本合同文件的解释顺序如下：</w:t>
      </w:r>
    </w:p>
    <w:p>
      <w:pPr>
        <w:pStyle w:val="18"/>
        <w:numPr>
          <w:ilvl w:val="0"/>
          <w:numId w:val="0"/>
        </w:numPr>
        <w:adjustRightInd w:val="0"/>
        <w:spacing w:line="360" w:lineRule="auto"/>
        <w:textAlignment w:val="baseline"/>
        <w:rPr>
          <w:rFonts w:hint="eastAsia"/>
          <w:color w:val="auto"/>
        </w:rPr>
      </w:pPr>
      <w:r>
        <w:rPr>
          <w:rFonts w:hint="eastAsia"/>
          <w:color w:val="auto"/>
        </w:rPr>
        <w:t>（1）协议书；</w:t>
      </w:r>
    </w:p>
    <w:p>
      <w:pPr>
        <w:pStyle w:val="18"/>
        <w:numPr>
          <w:ilvl w:val="0"/>
          <w:numId w:val="0"/>
        </w:numPr>
        <w:adjustRightInd w:val="0"/>
        <w:spacing w:line="360" w:lineRule="auto"/>
        <w:textAlignment w:val="baseline"/>
        <w:rPr>
          <w:rFonts w:hint="eastAsia"/>
          <w:color w:val="auto"/>
        </w:rPr>
      </w:pPr>
      <w:r>
        <w:rPr>
          <w:rFonts w:hint="eastAsia"/>
          <w:color w:val="auto"/>
        </w:rPr>
        <w:t>（2）中标通知书（适用于招标工程）或委托书（适用于非招标工程）；</w:t>
      </w:r>
    </w:p>
    <w:p>
      <w:pPr>
        <w:pStyle w:val="18"/>
        <w:numPr>
          <w:ilvl w:val="0"/>
          <w:numId w:val="0"/>
        </w:numPr>
        <w:adjustRightInd w:val="0"/>
        <w:spacing w:line="360" w:lineRule="auto"/>
        <w:textAlignment w:val="baseline"/>
        <w:rPr>
          <w:rFonts w:hint="eastAsia"/>
          <w:color w:val="auto"/>
        </w:rPr>
      </w:pPr>
      <w:r>
        <w:rPr>
          <w:rFonts w:hint="eastAsia"/>
          <w:color w:val="auto"/>
        </w:rPr>
        <w:t>（3）专用条件及附录 A、附录B；</w:t>
      </w:r>
    </w:p>
    <w:p>
      <w:pPr>
        <w:pStyle w:val="18"/>
        <w:numPr>
          <w:ilvl w:val="0"/>
          <w:numId w:val="0"/>
        </w:numPr>
        <w:adjustRightInd w:val="0"/>
        <w:spacing w:line="360" w:lineRule="auto"/>
        <w:textAlignment w:val="baseline"/>
        <w:rPr>
          <w:rFonts w:hint="eastAsia"/>
          <w:color w:val="auto"/>
        </w:rPr>
      </w:pPr>
      <w:r>
        <w:rPr>
          <w:rFonts w:hint="eastAsia"/>
          <w:color w:val="auto"/>
        </w:rPr>
        <w:t>（4）通用条件；</w:t>
      </w:r>
    </w:p>
    <w:p>
      <w:pPr>
        <w:pStyle w:val="18"/>
        <w:numPr>
          <w:ilvl w:val="0"/>
          <w:numId w:val="0"/>
        </w:numPr>
        <w:adjustRightInd w:val="0"/>
        <w:spacing w:line="360" w:lineRule="auto"/>
        <w:textAlignment w:val="baseline"/>
        <w:rPr>
          <w:rFonts w:hint="eastAsia"/>
          <w:color w:val="auto"/>
        </w:rPr>
      </w:pPr>
      <w:r>
        <w:rPr>
          <w:rFonts w:hint="eastAsia"/>
          <w:color w:val="auto"/>
        </w:rPr>
        <w:t>（5）投标文件（适用于招标工程）或监理与相关服务建议书（适用于非招标工程）。</w:t>
      </w:r>
    </w:p>
    <w:p>
      <w:pPr>
        <w:pStyle w:val="18"/>
        <w:numPr>
          <w:ilvl w:val="0"/>
          <w:numId w:val="0"/>
        </w:numPr>
        <w:adjustRightInd w:val="0"/>
        <w:spacing w:line="360" w:lineRule="auto"/>
        <w:textAlignment w:val="baseline"/>
        <w:rPr>
          <w:rFonts w:hint="eastAsia"/>
          <w:color w:val="auto"/>
        </w:rPr>
      </w:pPr>
      <w:r>
        <w:rPr>
          <w:rFonts w:hint="eastAsia"/>
          <w:color w:val="auto"/>
        </w:rPr>
        <w:t>双方签订的补充协议与其他文件发生矛盾或歧义时，属于同一类内容的文件，应以最新签署的为准。</w:t>
      </w:r>
    </w:p>
    <w:p>
      <w:pPr>
        <w:pStyle w:val="18"/>
        <w:numPr>
          <w:ilvl w:val="0"/>
          <w:numId w:val="0"/>
        </w:numPr>
        <w:adjustRightInd w:val="0"/>
        <w:spacing w:line="360" w:lineRule="auto"/>
        <w:textAlignment w:val="baseline"/>
        <w:rPr>
          <w:rFonts w:hint="eastAsia"/>
          <w:b/>
          <w:bCs/>
          <w:color w:val="auto"/>
        </w:rPr>
      </w:pPr>
      <w:r>
        <w:rPr>
          <w:rFonts w:hint="eastAsia"/>
          <w:b/>
          <w:bCs/>
          <w:color w:val="auto"/>
        </w:rPr>
        <w:t>2.监理人的义务</w:t>
      </w:r>
    </w:p>
    <w:p>
      <w:pPr>
        <w:pStyle w:val="18"/>
        <w:numPr>
          <w:ilvl w:val="0"/>
          <w:numId w:val="0"/>
        </w:numPr>
        <w:adjustRightInd w:val="0"/>
        <w:spacing w:line="360" w:lineRule="auto"/>
        <w:textAlignment w:val="baseline"/>
        <w:rPr>
          <w:rFonts w:hint="eastAsia"/>
          <w:color w:val="auto"/>
        </w:rPr>
      </w:pPr>
      <w:r>
        <w:rPr>
          <w:rFonts w:hint="eastAsia"/>
          <w:color w:val="auto"/>
        </w:rPr>
        <w:t>2.1监理的范围和工作内容</w:t>
      </w:r>
    </w:p>
    <w:p>
      <w:pPr>
        <w:pStyle w:val="18"/>
        <w:numPr>
          <w:ilvl w:val="0"/>
          <w:numId w:val="0"/>
        </w:numPr>
        <w:adjustRightInd w:val="0"/>
        <w:spacing w:line="360" w:lineRule="auto"/>
        <w:textAlignment w:val="baseline"/>
        <w:rPr>
          <w:rFonts w:hint="eastAsia"/>
          <w:color w:val="auto"/>
        </w:rPr>
      </w:pPr>
      <w:r>
        <w:rPr>
          <w:rFonts w:hint="eastAsia"/>
          <w:color w:val="auto"/>
        </w:rPr>
        <w:t>2.1.1监理范围在专用条件中约定。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2.1.2除专用条件另有约定外，监理工作内容包括：</w:t>
      </w:r>
    </w:p>
    <w:p>
      <w:pPr>
        <w:pStyle w:val="18"/>
        <w:numPr>
          <w:ilvl w:val="0"/>
          <w:numId w:val="0"/>
        </w:numPr>
        <w:adjustRightInd w:val="0"/>
        <w:spacing w:line="360" w:lineRule="auto"/>
        <w:textAlignment w:val="baseline"/>
        <w:rPr>
          <w:rFonts w:hint="eastAsia"/>
          <w:color w:val="auto"/>
        </w:rPr>
      </w:pPr>
      <w:r>
        <w:rPr>
          <w:rFonts w:hint="eastAsia"/>
          <w:color w:val="auto"/>
        </w:rPr>
        <w:t>（1）收到工程设计文件后编制监理规划，并在第一次工地会议 7 天前报委托人。根据有关规定和监理工作需要，编制监理实施细则；</w:t>
      </w:r>
    </w:p>
    <w:p>
      <w:pPr>
        <w:pStyle w:val="18"/>
        <w:numPr>
          <w:ilvl w:val="0"/>
          <w:numId w:val="0"/>
        </w:numPr>
        <w:adjustRightInd w:val="0"/>
        <w:spacing w:line="360" w:lineRule="auto"/>
        <w:textAlignment w:val="baseline"/>
        <w:rPr>
          <w:rFonts w:hint="eastAsia"/>
          <w:color w:val="auto"/>
        </w:rPr>
      </w:pPr>
      <w:r>
        <w:rPr>
          <w:rFonts w:hint="eastAsia"/>
          <w:color w:val="auto"/>
        </w:rPr>
        <w:t>（2）熟悉工程设计文件，并参加由委托人主持的图纸会审和设计交底会议；</w:t>
      </w:r>
    </w:p>
    <w:p>
      <w:pPr>
        <w:pStyle w:val="18"/>
        <w:numPr>
          <w:ilvl w:val="0"/>
          <w:numId w:val="0"/>
        </w:numPr>
        <w:adjustRightInd w:val="0"/>
        <w:spacing w:line="360" w:lineRule="auto"/>
        <w:textAlignment w:val="baseline"/>
        <w:rPr>
          <w:rFonts w:hint="eastAsia"/>
          <w:color w:val="auto"/>
        </w:rPr>
      </w:pPr>
      <w:r>
        <w:rPr>
          <w:rFonts w:hint="eastAsia"/>
          <w:color w:val="auto"/>
        </w:rPr>
        <w:t>（3）参加由委托人主持的第一次工地会议；主持监理例会并根据工程需要主持或参加专题会议；</w:t>
      </w:r>
    </w:p>
    <w:p>
      <w:pPr>
        <w:pStyle w:val="18"/>
        <w:numPr>
          <w:ilvl w:val="0"/>
          <w:numId w:val="0"/>
        </w:numPr>
        <w:adjustRightInd w:val="0"/>
        <w:spacing w:line="360" w:lineRule="auto"/>
        <w:textAlignment w:val="baseline"/>
        <w:rPr>
          <w:rFonts w:hint="eastAsia"/>
          <w:color w:val="auto"/>
        </w:rPr>
      </w:pPr>
      <w:r>
        <w:rPr>
          <w:rFonts w:hint="eastAsia"/>
          <w:color w:val="auto"/>
        </w:rPr>
        <w:t>（4）审查施工承包人提交的施工组织设计，重点审查其中的质量安全技术措施、专项施工方案与工程建设强制性标准的符合性；</w:t>
      </w:r>
    </w:p>
    <w:p>
      <w:pPr>
        <w:pStyle w:val="18"/>
        <w:numPr>
          <w:ilvl w:val="0"/>
          <w:numId w:val="0"/>
        </w:numPr>
        <w:adjustRightInd w:val="0"/>
        <w:spacing w:line="360" w:lineRule="auto"/>
        <w:textAlignment w:val="baseline"/>
        <w:rPr>
          <w:rFonts w:hint="eastAsia"/>
          <w:color w:val="auto"/>
        </w:rPr>
      </w:pPr>
      <w:r>
        <w:rPr>
          <w:rFonts w:hint="eastAsia"/>
          <w:color w:val="auto"/>
        </w:rPr>
        <w:t>（5）检查施工承包人工程质量、安全生产管理制度及组织机构和人员资格；</w:t>
      </w:r>
    </w:p>
    <w:p>
      <w:pPr>
        <w:pStyle w:val="18"/>
        <w:numPr>
          <w:ilvl w:val="0"/>
          <w:numId w:val="0"/>
        </w:numPr>
        <w:adjustRightInd w:val="0"/>
        <w:spacing w:line="360" w:lineRule="auto"/>
        <w:textAlignment w:val="baseline"/>
        <w:rPr>
          <w:rFonts w:hint="eastAsia"/>
          <w:color w:val="auto"/>
        </w:rPr>
      </w:pPr>
      <w:r>
        <w:rPr>
          <w:rFonts w:hint="eastAsia"/>
          <w:color w:val="auto"/>
        </w:rPr>
        <w:t>（6）检查施工承包人专职安全生产管理人员的配备情况；</w:t>
      </w:r>
    </w:p>
    <w:p>
      <w:pPr>
        <w:pStyle w:val="18"/>
        <w:numPr>
          <w:ilvl w:val="0"/>
          <w:numId w:val="0"/>
        </w:numPr>
        <w:adjustRightInd w:val="0"/>
        <w:spacing w:line="360" w:lineRule="auto"/>
        <w:textAlignment w:val="baseline"/>
        <w:rPr>
          <w:rFonts w:hint="eastAsia"/>
          <w:color w:val="auto"/>
        </w:rPr>
      </w:pPr>
      <w:r>
        <w:rPr>
          <w:rFonts w:hint="eastAsia"/>
          <w:color w:val="auto"/>
        </w:rPr>
        <w:t>（7）审查施工承包人提交的施工进度计划，核查承包人对施工进度计划的调整；</w:t>
      </w:r>
    </w:p>
    <w:p>
      <w:pPr>
        <w:pStyle w:val="18"/>
        <w:numPr>
          <w:ilvl w:val="0"/>
          <w:numId w:val="0"/>
        </w:numPr>
        <w:adjustRightInd w:val="0"/>
        <w:spacing w:line="360" w:lineRule="auto"/>
        <w:textAlignment w:val="baseline"/>
        <w:rPr>
          <w:rFonts w:hint="eastAsia"/>
          <w:color w:val="auto"/>
        </w:rPr>
      </w:pPr>
      <w:r>
        <w:rPr>
          <w:rFonts w:hint="eastAsia"/>
          <w:color w:val="auto"/>
        </w:rPr>
        <w:t>（8）检查施工承包人的试验室；</w:t>
      </w:r>
    </w:p>
    <w:p>
      <w:pPr>
        <w:pStyle w:val="18"/>
        <w:numPr>
          <w:ilvl w:val="0"/>
          <w:numId w:val="0"/>
        </w:numPr>
        <w:adjustRightInd w:val="0"/>
        <w:spacing w:line="360" w:lineRule="auto"/>
        <w:textAlignment w:val="baseline"/>
        <w:rPr>
          <w:rFonts w:hint="eastAsia"/>
          <w:color w:val="auto"/>
        </w:rPr>
      </w:pPr>
      <w:r>
        <w:rPr>
          <w:rFonts w:hint="eastAsia"/>
          <w:color w:val="auto"/>
        </w:rPr>
        <w:t>（9）审核施工分包人资质条件；</w:t>
      </w:r>
    </w:p>
    <w:p>
      <w:pPr>
        <w:pStyle w:val="18"/>
        <w:numPr>
          <w:ilvl w:val="0"/>
          <w:numId w:val="0"/>
        </w:numPr>
        <w:adjustRightInd w:val="0"/>
        <w:spacing w:line="360" w:lineRule="auto"/>
        <w:textAlignment w:val="baseline"/>
        <w:rPr>
          <w:rFonts w:hint="eastAsia"/>
          <w:color w:val="auto"/>
        </w:rPr>
      </w:pPr>
      <w:r>
        <w:rPr>
          <w:rFonts w:hint="eastAsia"/>
          <w:color w:val="auto"/>
        </w:rPr>
        <w:t>（10）查验施工承包人的施工测量放线成果；</w:t>
      </w:r>
    </w:p>
    <w:p>
      <w:pPr>
        <w:pStyle w:val="18"/>
        <w:numPr>
          <w:ilvl w:val="0"/>
          <w:numId w:val="0"/>
        </w:numPr>
        <w:adjustRightInd w:val="0"/>
        <w:spacing w:line="360" w:lineRule="auto"/>
        <w:textAlignment w:val="baseline"/>
        <w:rPr>
          <w:rFonts w:hint="eastAsia"/>
          <w:color w:val="auto"/>
        </w:rPr>
      </w:pPr>
      <w:r>
        <w:rPr>
          <w:rFonts w:hint="eastAsia"/>
          <w:color w:val="auto"/>
        </w:rPr>
        <w:t>（11）审查工程开工条件，对条件具备的签发开工令；</w:t>
      </w:r>
    </w:p>
    <w:p>
      <w:pPr>
        <w:pStyle w:val="18"/>
        <w:numPr>
          <w:ilvl w:val="0"/>
          <w:numId w:val="0"/>
        </w:numPr>
        <w:adjustRightInd w:val="0"/>
        <w:spacing w:line="360" w:lineRule="auto"/>
        <w:textAlignment w:val="baseline"/>
        <w:rPr>
          <w:rFonts w:hint="eastAsia"/>
          <w:color w:val="auto"/>
        </w:rPr>
      </w:pPr>
      <w:r>
        <w:rPr>
          <w:rFonts w:hint="eastAsia"/>
          <w:color w:val="auto"/>
        </w:rPr>
        <w:t>（12）审查施工承包人报送的工程材料、构配件、设备质量证明文件的有效性和符合性，并按规定对用于工程的材料采取平行检验或见证取样方式进行抽检；</w:t>
      </w:r>
    </w:p>
    <w:p>
      <w:pPr>
        <w:pStyle w:val="18"/>
        <w:numPr>
          <w:ilvl w:val="0"/>
          <w:numId w:val="0"/>
        </w:numPr>
        <w:adjustRightInd w:val="0"/>
        <w:spacing w:line="360" w:lineRule="auto"/>
        <w:textAlignment w:val="baseline"/>
        <w:rPr>
          <w:rFonts w:hint="eastAsia"/>
          <w:color w:val="auto"/>
        </w:rPr>
      </w:pPr>
      <w:r>
        <w:rPr>
          <w:rFonts w:hint="eastAsia"/>
          <w:color w:val="auto"/>
        </w:rPr>
        <w:t>（13）审核施工承包人提交的工程款支付申请，签发或出具工程款支付证书，并报委托人审核、批准；</w:t>
      </w:r>
    </w:p>
    <w:p>
      <w:pPr>
        <w:pStyle w:val="18"/>
        <w:numPr>
          <w:ilvl w:val="0"/>
          <w:numId w:val="0"/>
        </w:numPr>
        <w:adjustRightInd w:val="0"/>
        <w:spacing w:line="360" w:lineRule="auto"/>
        <w:textAlignment w:val="baseline"/>
        <w:rPr>
          <w:rFonts w:hint="eastAsia"/>
          <w:color w:val="auto"/>
        </w:rPr>
      </w:pPr>
      <w:r>
        <w:rPr>
          <w:rFonts w:hint="eastAsia"/>
          <w:color w:val="auto"/>
        </w:rPr>
        <w:t>（14）在巡视、旁站和检验过程中，发现工程质量、施工安全存在事故隐患的，要求施工承包人整改并报委托人；</w:t>
      </w:r>
    </w:p>
    <w:p>
      <w:pPr>
        <w:pStyle w:val="18"/>
        <w:numPr>
          <w:ilvl w:val="0"/>
          <w:numId w:val="0"/>
        </w:numPr>
        <w:adjustRightInd w:val="0"/>
        <w:spacing w:line="360" w:lineRule="auto"/>
        <w:textAlignment w:val="baseline"/>
        <w:rPr>
          <w:rFonts w:hint="eastAsia"/>
          <w:color w:val="auto"/>
        </w:rPr>
      </w:pPr>
      <w:r>
        <w:rPr>
          <w:rFonts w:hint="eastAsia"/>
          <w:color w:val="auto"/>
        </w:rPr>
        <w:t>（15）经委托人同意，签发工程暂停令和复工令；</w:t>
      </w:r>
    </w:p>
    <w:p>
      <w:pPr>
        <w:pStyle w:val="18"/>
        <w:numPr>
          <w:ilvl w:val="0"/>
          <w:numId w:val="0"/>
        </w:numPr>
        <w:adjustRightInd w:val="0"/>
        <w:spacing w:line="360" w:lineRule="auto"/>
        <w:textAlignment w:val="baseline"/>
        <w:rPr>
          <w:rFonts w:hint="eastAsia"/>
          <w:color w:val="auto"/>
        </w:rPr>
      </w:pPr>
      <w:r>
        <w:rPr>
          <w:rFonts w:hint="eastAsia"/>
          <w:color w:val="auto"/>
        </w:rPr>
        <w:t>（16）审查施工承包人提交的采用新材料、新工艺、新技术、新设备的论证材料及相关验收标准；</w:t>
      </w:r>
    </w:p>
    <w:p>
      <w:pPr>
        <w:pStyle w:val="18"/>
        <w:numPr>
          <w:ilvl w:val="0"/>
          <w:numId w:val="0"/>
        </w:numPr>
        <w:adjustRightInd w:val="0"/>
        <w:spacing w:line="360" w:lineRule="auto"/>
        <w:textAlignment w:val="baseline"/>
        <w:rPr>
          <w:rFonts w:hint="eastAsia"/>
          <w:color w:val="auto"/>
        </w:rPr>
      </w:pPr>
      <w:r>
        <w:rPr>
          <w:rFonts w:hint="eastAsia"/>
          <w:color w:val="auto"/>
        </w:rPr>
        <w:t>（17）验收隐蔽工程、分部分项工程；</w:t>
      </w:r>
    </w:p>
    <w:p>
      <w:pPr>
        <w:pStyle w:val="18"/>
        <w:numPr>
          <w:ilvl w:val="0"/>
          <w:numId w:val="0"/>
        </w:numPr>
        <w:adjustRightInd w:val="0"/>
        <w:spacing w:line="360" w:lineRule="auto"/>
        <w:textAlignment w:val="baseline"/>
        <w:rPr>
          <w:rFonts w:hint="eastAsia"/>
          <w:color w:val="auto"/>
        </w:rPr>
      </w:pPr>
      <w:r>
        <w:rPr>
          <w:rFonts w:hint="eastAsia"/>
          <w:color w:val="auto"/>
        </w:rPr>
        <w:t>（18）审查施工承包人提交的工程变更申请，协调处理施工进度调整、费用索赔、合同争议等事项；</w:t>
      </w:r>
    </w:p>
    <w:p>
      <w:pPr>
        <w:pStyle w:val="18"/>
        <w:numPr>
          <w:ilvl w:val="0"/>
          <w:numId w:val="0"/>
        </w:numPr>
        <w:adjustRightInd w:val="0"/>
        <w:spacing w:line="360" w:lineRule="auto"/>
        <w:textAlignment w:val="baseline"/>
        <w:rPr>
          <w:rFonts w:hint="eastAsia"/>
          <w:color w:val="auto"/>
        </w:rPr>
      </w:pPr>
      <w:r>
        <w:rPr>
          <w:rFonts w:hint="eastAsia"/>
          <w:color w:val="auto"/>
        </w:rPr>
        <w:t>（19）审查施工承包人提交的竣工验收申请，编写工程质量评估报告；</w:t>
      </w:r>
    </w:p>
    <w:p>
      <w:pPr>
        <w:pStyle w:val="18"/>
        <w:numPr>
          <w:ilvl w:val="0"/>
          <w:numId w:val="0"/>
        </w:numPr>
        <w:adjustRightInd w:val="0"/>
        <w:spacing w:line="360" w:lineRule="auto"/>
        <w:textAlignment w:val="baseline"/>
        <w:rPr>
          <w:rFonts w:hint="eastAsia"/>
          <w:color w:val="auto"/>
        </w:rPr>
      </w:pPr>
      <w:r>
        <w:rPr>
          <w:rFonts w:hint="eastAsia"/>
          <w:color w:val="auto"/>
        </w:rPr>
        <w:t>（20）参加工程竣工验收，签署竣工验收意见；</w:t>
      </w:r>
    </w:p>
    <w:p>
      <w:pPr>
        <w:pStyle w:val="18"/>
        <w:numPr>
          <w:ilvl w:val="0"/>
          <w:numId w:val="0"/>
        </w:numPr>
        <w:adjustRightInd w:val="0"/>
        <w:spacing w:line="360" w:lineRule="auto"/>
        <w:textAlignment w:val="baseline"/>
        <w:rPr>
          <w:rFonts w:hint="eastAsia"/>
          <w:color w:val="auto"/>
        </w:rPr>
      </w:pPr>
      <w:r>
        <w:rPr>
          <w:rFonts w:hint="eastAsia"/>
          <w:color w:val="auto"/>
        </w:rPr>
        <w:t>（21）审查施工承包人提交的竣工结算申请并报委托人；</w:t>
      </w:r>
    </w:p>
    <w:p>
      <w:pPr>
        <w:pStyle w:val="18"/>
        <w:numPr>
          <w:ilvl w:val="0"/>
          <w:numId w:val="0"/>
        </w:numPr>
        <w:adjustRightInd w:val="0"/>
        <w:spacing w:line="360" w:lineRule="auto"/>
        <w:textAlignment w:val="baseline"/>
        <w:rPr>
          <w:rFonts w:hint="eastAsia"/>
          <w:color w:val="auto"/>
        </w:rPr>
      </w:pPr>
      <w:r>
        <w:rPr>
          <w:rFonts w:hint="eastAsia"/>
          <w:color w:val="auto"/>
        </w:rPr>
        <w:t>（22）编制、整理工程监理归档文件并报委托人。</w:t>
      </w:r>
    </w:p>
    <w:p>
      <w:pPr>
        <w:pStyle w:val="18"/>
        <w:numPr>
          <w:ilvl w:val="0"/>
          <w:numId w:val="0"/>
        </w:numPr>
        <w:adjustRightInd w:val="0"/>
        <w:spacing w:line="360" w:lineRule="auto"/>
        <w:textAlignment w:val="baseline"/>
        <w:rPr>
          <w:rFonts w:hint="eastAsia"/>
          <w:color w:val="auto"/>
        </w:rPr>
      </w:pPr>
      <w:r>
        <w:rPr>
          <w:rFonts w:hint="eastAsia"/>
          <w:color w:val="auto"/>
        </w:rPr>
        <w:t>2.1.3相关服务的范围和内容在附录 A 中约定。</w:t>
      </w:r>
    </w:p>
    <w:p>
      <w:pPr>
        <w:pStyle w:val="18"/>
        <w:numPr>
          <w:ilvl w:val="0"/>
          <w:numId w:val="0"/>
        </w:numPr>
        <w:adjustRightInd w:val="0"/>
        <w:spacing w:line="360" w:lineRule="auto"/>
        <w:textAlignment w:val="baseline"/>
        <w:rPr>
          <w:rFonts w:hint="eastAsia"/>
          <w:color w:val="auto"/>
        </w:rPr>
      </w:pPr>
      <w:r>
        <w:rPr>
          <w:rFonts w:hint="eastAsia"/>
          <w:color w:val="auto"/>
        </w:rPr>
        <w:t>2.2监理与相关服务依据</w:t>
      </w:r>
    </w:p>
    <w:p>
      <w:pPr>
        <w:pStyle w:val="18"/>
        <w:numPr>
          <w:ilvl w:val="0"/>
          <w:numId w:val="0"/>
        </w:numPr>
        <w:adjustRightInd w:val="0"/>
        <w:spacing w:line="360" w:lineRule="auto"/>
        <w:textAlignment w:val="baseline"/>
        <w:rPr>
          <w:rFonts w:hint="eastAsia"/>
          <w:color w:val="auto"/>
        </w:rPr>
      </w:pPr>
      <w:r>
        <w:rPr>
          <w:rFonts w:hint="eastAsia"/>
          <w:color w:val="auto"/>
        </w:rPr>
        <w:t>2.2.1监理依据包括：</w:t>
      </w:r>
    </w:p>
    <w:p>
      <w:pPr>
        <w:pStyle w:val="18"/>
        <w:numPr>
          <w:ilvl w:val="0"/>
          <w:numId w:val="0"/>
        </w:numPr>
        <w:adjustRightInd w:val="0"/>
        <w:spacing w:line="360" w:lineRule="auto"/>
        <w:textAlignment w:val="baseline"/>
        <w:rPr>
          <w:rFonts w:hint="eastAsia"/>
          <w:color w:val="auto"/>
        </w:rPr>
      </w:pPr>
      <w:r>
        <w:rPr>
          <w:rFonts w:hint="eastAsia"/>
          <w:color w:val="auto"/>
        </w:rPr>
        <w:t>（1）适用的法律、行政法规及部门规章；</w:t>
      </w:r>
    </w:p>
    <w:p>
      <w:pPr>
        <w:pStyle w:val="18"/>
        <w:numPr>
          <w:ilvl w:val="0"/>
          <w:numId w:val="0"/>
        </w:numPr>
        <w:adjustRightInd w:val="0"/>
        <w:spacing w:line="360" w:lineRule="auto"/>
        <w:textAlignment w:val="baseline"/>
        <w:rPr>
          <w:rFonts w:hint="eastAsia"/>
          <w:color w:val="auto"/>
        </w:rPr>
      </w:pPr>
      <w:r>
        <w:rPr>
          <w:rFonts w:hint="eastAsia"/>
          <w:color w:val="auto"/>
        </w:rPr>
        <w:t>（2）与工程有关的标准；</w:t>
      </w:r>
    </w:p>
    <w:p>
      <w:pPr>
        <w:pStyle w:val="18"/>
        <w:numPr>
          <w:ilvl w:val="0"/>
          <w:numId w:val="0"/>
        </w:numPr>
        <w:adjustRightInd w:val="0"/>
        <w:spacing w:line="360" w:lineRule="auto"/>
        <w:textAlignment w:val="baseline"/>
        <w:rPr>
          <w:rFonts w:hint="eastAsia"/>
          <w:color w:val="auto"/>
        </w:rPr>
      </w:pPr>
      <w:r>
        <w:rPr>
          <w:rFonts w:hint="eastAsia"/>
          <w:color w:val="auto"/>
        </w:rPr>
        <w:t>（3）工程设计及有关文件；</w:t>
      </w:r>
    </w:p>
    <w:p>
      <w:pPr>
        <w:pStyle w:val="18"/>
        <w:numPr>
          <w:ilvl w:val="0"/>
          <w:numId w:val="0"/>
        </w:numPr>
        <w:adjustRightInd w:val="0"/>
        <w:spacing w:line="360" w:lineRule="auto"/>
        <w:textAlignment w:val="baseline"/>
        <w:rPr>
          <w:rFonts w:hint="eastAsia"/>
          <w:color w:val="auto"/>
        </w:rPr>
      </w:pPr>
      <w:r>
        <w:rPr>
          <w:rFonts w:hint="eastAsia"/>
          <w:color w:val="auto"/>
        </w:rPr>
        <w:t>（4）本合同及委托人与第三方签订的与实施工程有关的其他合同。</w:t>
      </w:r>
    </w:p>
    <w:p>
      <w:pPr>
        <w:pStyle w:val="18"/>
        <w:numPr>
          <w:ilvl w:val="0"/>
          <w:numId w:val="0"/>
        </w:numPr>
        <w:adjustRightInd w:val="0"/>
        <w:spacing w:line="360" w:lineRule="auto"/>
        <w:textAlignment w:val="baseline"/>
        <w:rPr>
          <w:rFonts w:hint="eastAsia"/>
          <w:color w:val="auto"/>
        </w:rPr>
      </w:pPr>
      <w:r>
        <w:rPr>
          <w:rFonts w:hint="eastAsia"/>
          <w:color w:val="auto"/>
        </w:rPr>
        <w:t>双方根据工程的行业和地域特点，在专用条件中具体约定监理依据。</w:t>
      </w:r>
    </w:p>
    <w:p>
      <w:pPr>
        <w:pStyle w:val="18"/>
        <w:numPr>
          <w:ilvl w:val="0"/>
          <w:numId w:val="0"/>
        </w:numPr>
        <w:adjustRightInd w:val="0"/>
        <w:spacing w:line="360" w:lineRule="auto"/>
        <w:textAlignment w:val="baseline"/>
        <w:rPr>
          <w:rFonts w:hint="eastAsia"/>
          <w:color w:val="auto"/>
        </w:rPr>
      </w:pPr>
      <w:r>
        <w:rPr>
          <w:rFonts w:hint="eastAsia"/>
          <w:color w:val="auto"/>
        </w:rPr>
        <w:t>2.2.2相关服务依据在专用条件中约定。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2.3项目监理机构和人员</w:t>
      </w:r>
    </w:p>
    <w:p>
      <w:pPr>
        <w:pStyle w:val="18"/>
        <w:numPr>
          <w:ilvl w:val="0"/>
          <w:numId w:val="0"/>
        </w:numPr>
        <w:adjustRightInd w:val="0"/>
        <w:spacing w:line="360" w:lineRule="auto"/>
        <w:textAlignment w:val="baseline"/>
        <w:rPr>
          <w:rFonts w:hint="eastAsia"/>
          <w:color w:val="auto"/>
        </w:rPr>
      </w:pPr>
      <w:r>
        <w:rPr>
          <w:rFonts w:hint="eastAsia"/>
          <w:color w:val="auto"/>
        </w:rPr>
        <w:t>2.3.1监理人应组建满足工作需要的项目监理机构，配备必要的检测设备。项目监理机构的主要人员应具有相应的资格条件。</w:t>
      </w:r>
    </w:p>
    <w:p>
      <w:pPr>
        <w:pStyle w:val="18"/>
        <w:numPr>
          <w:ilvl w:val="0"/>
          <w:numId w:val="0"/>
        </w:numPr>
        <w:adjustRightInd w:val="0"/>
        <w:spacing w:line="360" w:lineRule="auto"/>
        <w:textAlignment w:val="baseline"/>
        <w:rPr>
          <w:rFonts w:hint="eastAsia"/>
          <w:color w:val="auto"/>
        </w:rPr>
      </w:pPr>
      <w:r>
        <w:rPr>
          <w:rFonts w:hint="eastAsia"/>
          <w:color w:val="auto"/>
        </w:rPr>
        <w:t>2.3.2本合同履行过程中，总监理工程师及重要岗位监理人员应保持相对稳定，以保证监理工作正常进行。</w:t>
      </w:r>
    </w:p>
    <w:p>
      <w:pPr>
        <w:pStyle w:val="18"/>
        <w:numPr>
          <w:ilvl w:val="0"/>
          <w:numId w:val="0"/>
        </w:numPr>
        <w:adjustRightInd w:val="0"/>
        <w:spacing w:line="360" w:lineRule="auto"/>
        <w:textAlignment w:val="baseline"/>
        <w:rPr>
          <w:rFonts w:hint="eastAsia"/>
          <w:color w:val="auto"/>
        </w:rPr>
      </w:pPr>
      <w:r>
        <w:rPr>
          <w:rFonts w:hint="eastAsia"/>
          <w:color w:val="auto"/>
        </w:rPr>
        <w:t>2.3.3监理人可根据工程进展和工作需要调整项目监理机构人员。监理人更换总监理工程师时，应提前 7 天向委托人书面报告，经委托人同意后方可更换；监理人更换项目监理机构其他监理人员，应以相当资格与能力的人员替换，并通知委托人。</w:t>
      </w:r>
    </w:p>
    <w:p>
      <w:pPr>
        <w:pStyle w:val="18"/>
        <w:numPr>
          <w:ilvl w:val="0"/>
          <w:numId w:val="0"/>
        </w:numPr>
        <w:adjustRightInd w:val="0"/>
        <w:spacing w:line="360" w:lineRule="auto"/>
        <w:textAlignment w:val="baseline"/>
        <w:rPr>
          <w:rFonts w:hint="eastAsia"/>
          <w:color w:val="auto"/>
        </w:rPr>
      </w:pPr>
      <w:r>
        <w:rPr>
          <w:rFonts w:hint="eastAsia"/>
          <w:color w:val="auto"/>
        </w:rPr>
        <w:t>2.3.4监理人应及时更换有下列情形之一的监理人员：</w:t>
      </w:r>
    </w:p>
    <w:p>
      <w:pPr>
        <w:pStyle w:val="18"/>
        <w:numPr>
          <w:ilvl w:val="0"/>
          <w:numId w:val="0"/>
        </w:numPr>
        <w:adjustRightInd w:val="0"/>
        <w:spacing w:line="360" w:lineRule="auto"/>
        <w:textAlignment w:val="baseline"/>
        <w:rPr>
          <w:rFonts w:hint="eastAsia"/>
          <w:color w:val="auto"/>
        </w:rPr>
      </w:pPr>
      <w:r>
        <w:rPr>
          <w:rFonts w:hint="eastAsia"/>
          <w:color w:val="auto"/>
        </w:rPr>
        <w:t>（1）严重过失行为的；</w:t>
      </w:r>
    </w:p>
    <w:p>
      <w:pPr>
        <w:pStyle w:val="18"/>
        <w:numPr>
          <w:ilvl w:val="0"/>
          <w:numId w:val="0"/>
        </w:numPr>
        <w:adjustRightInd w:val="0"/>
        <w:spacing w:line="360" w:lineRule="auto"/>
        <w:textAlignment w:val="baseline"/>
        <w:rPr>
          <w:rFonts w:hint="eastAsia"/>
          <w:color w:val="auto"/>
        </w:rPr>
      </w:pPr>
      <w:r>
        <w:rPr>
          <w:rFonts w:hint="eastAsia"/>
          <w:color w:val="auto"/>
        </w:rPr>
        <w:t>（2）有违法行为不能履行职责的；</w:t>
      </w:r>
    </w:p>
    <w:p>
      <w:pPr>
        <w:pStyle w:val="18"/>
        <w:numPr>
          <w:ilvl w:val="0"/>
          <w:numId w:val="0"/>
        </w:numPr>
        <w:adjustRightInd w:val="0"/>
        <w:spacing w:line="360" w:lineRule="auto"/>
        <w:textAlignment w:val="baseline"/>
        <w:rPr>
          <w:rFonts w:hint="eastAsia"/>
          <w:color w:val="auto"/>
        </w:rPr>
      </w:pPr>
      <w:r>
        <w:rPr>
          <w:rFonts w:hint="eastAsia"/>
          <w:color w:val="auto"/>
        </w:rPr>
        <w:t>（3）涉嫌犯罪的；</w:t>
      </w:r>
    </w:p>
    <w:p>
      <w:pPr>
        <w:pStyle w:val="18"/>
        <w:numPr>
          <w:ilvl w:val="0"/>
          <w:numId w:val="0"/>
        </w:numPr>
        <w:adjustRightInd w:val="0"/>
        <w:spacing w:line="360" w:lineRule="auto"/>
        <w:textAlignment w:val="baseline"/>
        <w:rPr>
          <w:rFonts w:hint="eastAsia"/>
          <w:color w:val="auto"/>
        </w:rPr>
      </w:pPr>
      <w:r>
        <w:rPr>
          <w:rFonts w:hint="eastAsia"/>
          <w:color w:val="auto"/>
        </w:rPr>
        <w:t>（4）不能胜任岗位职责的；</w:t>
      </w:r>
    </w:p>
    <w:p>
      <w:pPr>
        <w:pStyle w:val="18"/>
        <w:numPr>
          <w:ilvl w:val="0"/>
          <w:numId w:val="0"/>
        </w:numPr>
        <w:adjustRightInd w:val="0"/>
        <w:spacing w:line="360" w:lineRule="auto"/>
        <w:textAlignment w:val="baseline"/>
        <w:rPr>
          <w:rFonts w:hint="eastAsia"/>
          <w:color w:val="auto"/>
        </w:rPr>
      </w:pPr>
      <w:r>
        <w:rPr>
          <w:rFonts w:hint="eastAsia"/>
          <w:color w:val="auto"/>
        </w:rPr>
        <w:t>（5）严重违反职业道德的；</w:t>
      </w:r>
    </w:p>
    <w:p>
      <w:pPr>
        <w:pStyle w:val="18"/>
        <w:numPr>
          <w:ilvl w:val="0"/>
          <w:numId w:val="0"/>
        </w:numPr>
        <w:adjustRightInd w:val="0"/>
        <w:spacing w:line="360" w:lineRule="auto"/>
        <w:textAlignment w:val="baseline"/>
        <w:rPr>
          <w:rFonts w:hint="eastAsia"/>
          <w:color w:val="auto"/>
        </w:rPr>
      </w:pPr>
      <w:r>
        <w:rPr>
          <w:rFonts w:hint="eastAsia"/>
          <w:color w:val="auto"/>
        </w:rPr>
        <w:t>（6）专用条件约定的其他情形。</w:t>
      </w:r>
    </w:p>
    <w:p>
      <w:pPr>
        <w:pStyle w:val="18"/>
        <w:numPr>
          <w:ilvl w:val="0"/>
          <w:numId w:val="0"/>
        </w:numPr>
        <w:adjustRightInd w:val="0"/>
        <w:spacing w:line="360" w:lineRule="auto"/>
        <w:textAlignment w:val="baseline"/>
        <w:rPr>
          <w:rFonts w:hint="eastAsia"/>
          <w:color w:val="auto"/>
        </w:rPr>
      </w:pPr>
      <w:r>
        <w:rPr>
          <w:rFonts w:hint="eastAsia"/>
          <w:color w:val="auto"/>
        </w:rPr>
        <w:t>2.3.5委托人可要求监理人更换不能胜任本职工作的项目监理机构人员。</w:t>
      </w:r>
    </w:p>
    <w:p>
      <w:pPr>
        <w:pStyle w:val="18"/>
        <w:numPr>
          <w:ilvl w:val="0"/>
          <w:numId w:val="0"/>
        </w:numPr>
        <w:adjustRightInd w:val="0"/>
        <w:spacing w:line="360" w:lineRule="auto"/>
        <w:textAlignment w:val="baseline"/>
        <w:rPr>
          <w:rFonts w:hint="eastAsia"/>
          <w:color w:val="auto"/>
        </w:rPr>
      </w:pPr>
      <w:r>
        <w:rPr>
          <w:rFonts w:hint="eastAsia"/>
          <w:color w:val="auto"/>
        </w:rPr>
        <w:t>2.4履行职责</w:t>
      </w:r>
    </w:p>
    <w:p>
      <w:pPr>
        <w:pStyle w:val="18"/>
        <w:numPr>
          <w:ilvl w:val="0"/>
          <w:numId w:val="0"/>
        </w:numPr>
        <w:adjustRightInd w:val="0"/>
        <w:spacing w:line="360" w:lineRule="auto"/>
        <w:textAlignment w:val="baseline"/>
        <w:rPr>
          <w:rFonts w:hint="eastAsia"/>
          <w:color w:val="auto"/>
        </w:rPr>
      </w:pPr>
      <w:r>
        <w:rPr>
          <w:rFonts w:hint="eastAsia"/>
          <w:color w:val="auto"/>
        </w:rPr>
        <w:t>监理人应遵循职业道德准则和行为规范，严格按照法律法规、工程建设有关标准及本合同履行职责。</w:t>
      </w:r>
    </w:p>
    <w:p>
      <w:pPr>
        <w:pStyle w:val="18"/>
        <w:numPr>
          <w:ilvl w:val="0"/>
          <w:numId w:val="0"/>
        </w:numPr>
        <w:adjustRightInd w:val="0"/>
        <w:spacing w:line="360" w:lineRule="auto"/>
        <w:textAlignment w:val="baseline"/>
        <w:rPr>
          <w:rFonts w:hint="eastAsia"/>
          <w:color w:val="auto"/>
        </w:rPr>
      </w:pPr>
      <w:r>
        <w:rPr>
          <w:rFonts w:hint="eastAsia"/>
          <w:color w:val="auto"/>
        </w:rPr>
        <w:t>2.4.1在监理与相关服务范围内，委托人和承包人提出的意见和要求，监理人应及时提出处置意见。当委托人与承包人之间发生合同争议时，监理人应协助委托人、承包人协商解决。</w:t>
      </w:r>
    </w:p>
    <w:p>
      <w:pPr>
        <w:pStyle w:val="18"/>
        <w:numPr>
          <w:ilvl w:val="0"/>
          <w:numId w:val="0"/>
        </w:numPr>
        <w:adjustRightInd w:val="0"/>
        <w:spacing w:line="360" w:lineRule="auto"/>
        <w:textAlignment w:val="baseline"/>
        <w:rPr>
          <w:rFonts w:hint="eastAsia"/>
          <w:color w:val="auto"/>
        </w:rPr>
      </w:pPr>
      <w:r>
        <w:rPr>
          <w:rFonts w:hint="eastAsia"/>
          <w:color w:val="auto"/>
        </w:rPr>
        <w:t>2.4.2当委托人与承包人之间的合同争议提交仲裁机构仲裁或人民法院审理时，监理人应提供必要的证明资料。</w:t>
      </w:r>
    </w:p>
    <w:p>
      <w:pPr>
        <w:pStyle w:val="18"/>
        <w:numPr>
          <w:ilvl w:val="0"/>
          <w:numId w:val="0"/>
        </w:numPr>
        <w:adjustRightInd w:val="0"/>
        <w:spacing w:line="360" w:lineRule="auto"/>
        <w:textAlignment w:val="baseline"/>
        <w:rPr>
          <w:rFonts w:hint="eastAsia"/>
          <w:color w:val="auto"/>
        </w:rPr>
      </w:pPr>
      <w:r>
        <w:rPr>
          <w:rFonts w:hint="eastAsia"/>
          <w:color w:val="auto"/>
        </w:rPr>
        <w:t>2.4.3监理人应在专用条件约定的授权范围内，处理委托人与承包人所签订合同的变更事宜。如果变更超过授权范围， 应以书面形式报委托人批准。</w:t>
      </w:r>
    </w:p>
    <w:p>
      <w:pPr>
        <w:pStyle w:val="18"/>
        <w:numPr>
          <w:ilvl w:val="0"/>
          <w:numId w:val="0"/>
        </w:numPr>
        <w:adjustRightInd w:val="0"/>
        <w:spacing w:line="360" w:lineRule="auto"/>
        <w:textAlignment w:val="baseline"/>
        <w:rPr>
          <w:rFonts w:hint="eastAsia"/>
          <w:color w:val="auto"/>
        </w:rPr>
      </w:pPr>
      <w:r>
        <w:rPr>
          <w:rFonts w:hint="eastAsia"/>
          <w:color w:val="auto"/>
        </w:rPr>
        <w:t>在紧急情况下，为了保护财产和人身安全，监理人所发出的指令未能事先报委托人批准时，应在发出指令后的 24 小时内以书面形式报委托人。</w:t>
      </w:r>
    </w:p>
    <w:p>
      <w:pPr>
        <w:pStyle w:val="18"/>
        <w:numPr>
          <w:ilvl w:val="0"/>
          <w:numId w:val="0"/>
        </w:numPr>
        <w:adjustRightInd w:val="0"/>
        <w:spacing w:line="360" w:lineRule="auto"/>
        <w:textAlignment w:val="baseline"/>
        <w:rPr>
          <w:rFonts w:hint="eastAsia"/>
          <w:color w:val="auto"/>
        </w:rPr>
      </w:pPr>
      <w:r>
        <w:rPr>
          <w:rFonts w:hint="eastAsia"/>
          <w:color w:val="auto"/>
        </w:rPr>
        <w:t>2.4.4除专用条件另有约定外，监理人发现承包人的人员不能胜任本职工作的，有权要求承包人予以调换。</w:t>
      </w:r>
    </w:p>
    <w:p>
      <w:pPr>
        <w:pStyle w:val="18"/>
        <w:numPr>
          <w:ilvl w:val="0"/>
          <w:numId w:val="0"/>
        </w:numPr>
        <w:adjustRightInd w:val="0"/>
        <w:spacing w:line="360" w:lineRule="auto"/>
        <w:textAlignment w:val="baseline"/>
        <w:rPr>
          <w:rFonts w:hint="eastAsia"/>
          <w:color w:val="auto"/>
        </w:rPr>
      </w:pPr>
      <w:r>
        <w:rPr>
          <w:rFonts w:hint="eastAsia"/>
          <w:color w:val="auto"/>
        </w:rPr>
        <w:t>2.5提交报告</w:t>
      </w:r>
    </w:p>
    <w:p>
      <w:pPr>
        <w:pStyle w:val="18"/>
        <w:numPr>
          <w:ilvl w:val="0"/>
          <w:numId w:val="0"/>
        </w:numPr>
        <w:adjustRightInd w:val="0"/>
        <w:spacing w:line="360" w:lineRule="auto"/>
        <w:textAlignment w:val="baseline"/>
        <w:rPr>
          <w:rFonts w:hint="eastAsia"/>
          <w:color w:val="auto"/>
        </w:rPr>
      </w:pPr>
      <w:r>
        <w:rPr>
          <w:rFonts w:hint="eastAsia"/>
          <w:color w:val="auto"/>
        </w:rPr>
        <w:t>监理人应按专用条件约定的种类、时间和份数向委托人提交监理与相关服务的报告。</w:t>
      </w:r>
    </w:p>
    <w:p>
      <w:pPr>
        <w:pStyle w:val="18"/>
        <w:numPr>
          <w:ilvl w:val="0"/>
          <w:numId w:val="0"/>
        </w:numPr>
        <w:adjustRightInd w:val="0"/>
        <w:spacing w:line="360" w:lineRule="auto"/>
        <w:textAlignment w:val="baseline"/>
        <w:rPr>
          <w:rFonts w:hint="eastAsia"/>
          <w:color w:val="auto"/>
        </w:rPr>
      </w:pPr>
      <w:r>
        <w:rPr>
          <w:rFonts w:hint="eastAsia"/>
          <w:color w:val="auto"/>
        </w:rPr>
        <w:t>2.6文件资料</w:t>
      </w:r>
    </w:p>
    <w:p>
      <w:pPr>
        <w:pStyle w:val="18"/>
        <w:numPr>
          <w:ilvl w:val="0"/>
          <w:numId w:val="0"/>
        </w:numPr>
        <w:adjustRightInd w:val="0"/>
        <w:spacing w:line="360" w:lineRule="auto"/>
        <w:textAlignment w:val="baseline"/>
        <w:rPr>
          <w:rFonts w:hint="eastAsia"/>
          <w:color w:val="auto"/>
        </w:rPr>
      </w:pPr>
      <w:r>
        <w:rPr>
          <w:rFonts w:hint="eastAsia"/>
          <w:color w:val="auto"/>
        </w:rPr>
        <w:t>在本合同履行期内，监理人应在现场保留工作所用的图 纸、报告及记录监理工作的相关文件。工程竣工后，应当按照档案管理规定将监理有关文件归档。</w:t>
      </w:r>
    </w:p>
    <w:p>
      <w:pPr>
        <w:pStyle w:val="18"/>
        <w:numPr>
          <w:ilvl w:val="0"/>
          <w:numId w:val="0"/>
        </w:numPr>
        <w:adjustRightInd w:val="0"/>
        <w:spacing w:line="360" w:lineRule="auto"/>
        <w:textAlignment w:val="baseline"/>
        <w:rPr>
          <w:rFonts w:hint="eastAsia"/>
          <w:color w:val="auto"/>
        </w:rPr>
      </w:pPr>
      <w:r>
        <w:rPr>
          <w:rFonts w:hint="eastAsia"/>
          <w:color w:val="auto"/>
        </w:rPr>
        <w:t>2.7使用委托人的财产</w:t>
      </w:r>
    </w:p>
    <w:p>
      <w:pPr>
        <w:pStyle w:val="18"/>
        <w:numPr>
          <w:ilvl w:val="0"/>
          <w:numId w:val="0"/>
        </w:numPr>
        <w:adjustRightInd w:val="0"/>
        <w:spacing w:line="360" w:lineRule="auto"/>
        <w:textAlignment w:val="baseline"/>
        <w:rPr>
          <w:rFonts w:hint="eastAsia"/>
          <w:color w:val="auto"/>
        </w:rPr>
      </w:pPr>
      <w:r>
        <w:rPr>
          <w:rFonts w:hint="eastAsia"/>
          <w:color w:val="auto"/>
        </w:rPr>
        <w:t>监理人无偿使用附录 B 中由委托人派遣的人员和提供的房屋、资料、设备。除专用条件另有约定外，委托人提供的房 屋、设备属于委托人的财产，监理人应妥善使用和保管，在本合同终止时将这些房屋、设备的清单提交委托人，并按专用条件约定的时间和方式移交。</w:t>
      </w:r>
    </w:p>
    <w:p>
      <w:pPr>
        <w:pStyle w:val="18"/>
        <w:numPr>
          <w:ilvl w:val="0"/>
          <w:numId w:val="0"/>
        </w:numPr>
        <w:adjustRightInd w:val="0"/>
        <w:spacing w:line="360" w:lineRule="auto"/>
        <w:textAlignment w:val="baseline"/>
        <w:rPr>
          <w:rFonts w:hint="eastAsia"/>
          <w:b/>
          <w:bCs/>
          <w:color w:val="auto"/>
        </w:rPr>
      </w:pPr>
      <w:r>
        <w:rPr>
          <w:rFonts w:hint="eastAsia"/>
          <w:b/>
          <w:bCs/>
          <w:color w:val="auto"/>
        </w:rPr>
        <w:t>3.委托人的义务</w:t>
      </w:r>
    </w:p>
    <w:p>
      <w:pPr>
        <w:pStyle w:val="18"/>
        <w:numPr>
          <w:ilvl w:val="0"/>
          <w:numId w:val="0"/>
        </w:numPr>
        <w:adjustRightInd w:val="0"/>
        <w:spacing w:line="360" w:lineRule="auto"/>
        <w:textAlignment w:val="baseline"/>
        <w:rPr>
          <w:rFonts w:hint="eastAsia"/>
          <w:color w:val="auto"/>
        </w:rPr>
      </w:pPr>
      <w:r>
        <w:rPr>
          <w:rFonts w:hint="eastAsia"/>
          <w:color w:val="auto"/>
        </w:rPr>
        <w:t>3.1告知</w:t>
      </w:r>
    </w:p>
    <w:p>
      <w:pPr>
        <w:pStyle w:val="18"/>
        <w:numPr>
          <w:ilvl w:val="0"/>
          <w:numId w:val="0"/>
        </w:numPr>
        <w:adjustRightInd w:val="0"/>
        <w:spacing w:line="360" w:lineRule="auto"/>
        <w:textAlignment w:val="baseline"/>
        <w:rPr>
          <w:rFonts w:hint="eastAsia"/>
          <w:color w:val="auto"/>
        </w:rPr>
      </w:pPr>
      <w:r>
        <w:rPr>
          <w:rFonts w:hint="eastAsia"/>
          <w:color w:val="auto"/>
        </w:rPr>
        <w:t>委托人应在委托人与承包人签订的合同中明确监理人、总监理工程师和授予项目监理机构的权限。如有变更，应及时通知承包人。</w:t>
      </w:r>
    </w:p>
    <w:p>
      <w:pPr>
        <w:pStyle w:val="18"/>
        <w:numPr>
          <w:ilvl w:val="0"/>
          <w:numId w:val="0"/>
        </w:numPr>
        <w:adjustRightInd w:val="0"/>
        <w:spacing w:line="360" w:lineRule="auto"/>
        <w:textAlignment w:val="baseline"/>
        <w:rPr>
          <w:rFonts w:hint="eastAsia"/>
          <w:color w:val="auto"/>
        </w:rPr>
      </w:pPr>
      <w:r>
        <w:rPr>
          <w:rFonts w:hint="eastAsia"/>
          <w:color w:val="auto"/>
        </w:rPr>
        <w:t>3.2提供资料</w:t>
      </w:r>
    </w:p>
    <w:p>
      <w:pPr>
        <w:pStyle w:val="18"/>
        <w:numPr>
          <w:ilvl w:val="0"/>
          <w:numId w:val="0"/>
        </w:numPr>
        <w:adjustRightInd w:val="0"/>
        <w:spacing w:line="360" w:lineRule="auto"/>
        <w:textAlignment w:val="baseline"/>
        <w:rPr>
          <w:rFonts w:hint="eastAsia"/>
          <w:color w:val="auto"/>
        </w:rPr>
      </w:pPr>
      <w:r>
        <w:rPr>
          <w:rFonts w:hint="eastAsia"/>
          <w:color w:val="auto"/>
        </w:rPr>
        <w:t>委托人应按照附录 B 约定，无偿向监理人提供工程有关的资料。在本合同履行过程中，委托人应及时向监理人提供最新的与工程有关的资料。</w:t>
      </w:r>
    </w:p>
    <w:p>
      <w:pPr>
        <w:pStyle w:val="18"/>
        <w:numPr>
          <w:ilvl w:val="0"/>
          <w:numId w:val="0"/>
        </w:numPr>
        <w:adjustRightInd w:val="0"/>
        <w:spacing w:line="360" w:lineRule="auto"/>
        <w:textAlignment w:val="baseline"/>
        <w:rPr>
          <w:rFonts w:hint="eastAsia"/>
          <w:color w:val="auto"/>
        </w:rPr>
      </w:pPr>
      <w:r>
        <w:rPr>
          <w:rFonts w:hint="eastAsia"/>
          <w:color w:val="auto"/>
        </w:rPr>
        <w:t>3.3提供工作条件</w:t>
      </w:r>
    </w:p>
    <w:p>
      <w:pPr>
        <w:pStyle w:val="18"/>
        <w:numPr>
          <w:ilvl w:val="0"/>
          <w:numId w:val="0"/>
        </w:numPr>
        <w:adjustRightInd w:val="0"/>
        <w:spacing w:line="360" w:lineRule="auto"/>
        <w:textAlignment w:val="baseline"/>
        <w:rPr>
          <w:rFonts w:hint="eastAsia"/>
          <w:color w:val="auto"/>
        </w:rPr>
      </w:pPr>
      <w:r>
        <w:rPr>
          <w:rFonts w:hint="eastAsia"/>
          <w:color w:val="auto"/>
        </w:rPr>
        <w:t>委托人应为监理人完成监理与相关服务提供必要的条件。</w:t>
      </w:r>
    </w:p>
    <w:p>
      <w:pPr>
        <w:pStyle w:val="18"/>
        <w:numPr>
          <w:ilvl w:val="0"/>
          <w:numId w:val="0"/>
        </w:numPr>
        <w:adjustRightInd w:val="0"/>
        <w:spacing w:line="360" w:lineRule="auto"/>
        <w:textAlignment w:val="baseline"/>
        <w:rPr>
          <w:rFonts w:hint="eastAsia"/>
          <w:color w:val="auto"/>
        </w:rPr>
      </w:pPr>
      <w:r>
        <w:rPr>
          <w:rFonts w:hint="eastAsia"/>
          <w:color w:val="auto"/>
        </w:rPr>
        <w:t>3.3.1委托人应按照附录 B 约定，派遣相应的人员，提供房屋、设备，供监理人无偿使用。</w:t>
      </w:r>
    </w:p>
    <w:p>
      <w:pPr>
        <w:pStyle w:val="18"/>
        <w:numPr>
          <w:ilvl w:val="0"/>
          <w:numId w:val="0"/>
        </w:numPr>
        <w:adjustRightInd w:val="0"/>
        <w:spacing w:line="360" w:lineRule="auto"/>
        <w:textAlignment w:val="baseline"/>
        <w:rPr>
          <w:rFonts w:hint="eastAsia"/>
          <w:color w:val="auto"/>
        </w:rPr>
      </w:pPr>
      <w:r>
        <w:rPr>
          <w:rFonts w:hint="eastAsia"/>
          <w:color w:val="auto"/>
        </w:rPr>
        <w:t>3.3.2委托人应负责协调工程建设中所有外部关系，为监理人履行本合同提供必要的外部条件。</w:t>
      </w:r>
    </w:p>
    <w:p>
      <w:pPr>
        <w:pStyle w:val="18"/>
        <w:numPr>
          <w:ilvl w:val="0"/>
          <w:numId w:val="0"/>
        </w:numPr>
        <w:adjustRightInd w:val="0"/>
        <w:spacing w:line="360" w:lineRule="auto"/>
        <w:textAlignment w:val="baseline"/>
        <w:rPr>
          <w:rFonts w:hint="eastAsia"/>
          <w:color w:val="auto"/>
        </w:rPr>
      </w:pPr>
      <w:r>
        <w:rPr>
          <w:rFonts w:hint="eastAsia"/>
          <w:color w:val="auto"/>
        </w:rPr>
        <w:t>3.4委托人代表委托人应授权一名熟悉工程情况的代表，负责与监理人联系。委托人应在双方签订本合同后 7 天内，将委托人代表的姓名和职责书面告知监理人。当委托人更换委托人代表时，应提前 7 天通知监理人。</w:t>
      </w:r>
    </w:p>
    <w:p>
      <w:pPr>
        <w:pStyle w:val="18"/>
        <w:numPr>
          <w:ilvl w:val="0"/>
          <w:numId w:val="0"/>
        </w:numPr>
        <w:adjustRightInd w:val="0"/>
        <w:spacing w:line="360" w:lineRule="auto"/>
        <w:textAlignment w:val="baseline"/>
        <w:rPr>
          <w:rFonts w:hint="eastAsia"/>
          <w:color w:val="auto"/>
        </w:rPr>
      </w:pPr>
      <w:r>
        <w:rPr>
          <w:rFonts w:hint="eastAsia"/>
          <w:color w:val="auto"/>
        </w:rPr>
        <w:t>3.5委托人意见或要求</w:t>
      </w:r>
    </w:p>
    <w:p>
      <w:pPr>
        <w:pStyle w:val="18"/>
        <w:numPr>
          <w:ilvl w:val="0"/>
          <w:numId w:val="0"/>
        </w:numPr>
        <w:adjustRightInd w:val="0"/>
        <w:spacing w:line="360" w:lineRule="auto"/>
        <w:textAlignment w:val="baseline"/>
        <w:rPr>
          <w:rFonts w:hint="eastAsia"/>
          <w:color w:val="auto"/>
        </w:rPr>
      </w:pPr>
      <w:r>
        <w:rPr>
          <w:rFonts w:hint="eastAsia"/>
          <w:color w:val="auto"/>
        </w:rPr>
        <w:t>在本合同约定的监理与相关服务工作范围内，委托人对承包人的任何意见或要求应通知监理人，由监理人向承包人发出相应指令。</w:t>
      </w:r>
    </w:p>
    <w:p>
      <w:pPr>
        <w:pStyle w:val="18"/>
        <w:numPr>
          <w:ilvl w:val="0"/>
          <w:numId w:val="0"/>
        </w:numPr>
        <w:adjustRightInd w:val="0"/>
        <w:spacing w:line="360" w:lineRule="auto"/>
        <w:textAlignment w:val="baseline"/>
        <w:rPr>
          <w:rFonts w:hint="eastAsia"/>
          <w:color w:val="auto"/>
        </w:rPr>
      </w:pPr>
      <w:r>
        <w:rPr>
          <w:rFonts w:hint="eastAsia"/>
          <w:color w:val="auto"/>
        </w:rPr>
        <w:t>3.6答复</w:t>
      </w:r>
    </w:p>
    <w:p>
      <w:pPr>
        <w:pStyle w:val="18"/>
        <w:numPr>
          <w:ilvl w:val="0"/>
          <w:numId w:val="0"/>
        </w:numPr>
        <w:adjustRightInd w:val="0"/>
        <w:spacing w:line="360" w:lineRule="auto"/>
        <w:textAlignment w:val="baseline"/>
        <w:rPr>
          <w:rFonts w:hint="eastAsia"/>
          <w:color w:val="auto"/>
        </w:rPr>
      </w:pPr>
      <w:r>
        <w:rPr>
          <w:rFonts w:hint="eastAsia"/>
          <w:color w:val="auto"/>
        </w:rPr>
        <w:t>委托人应在专用条件约定的时间内，对监理人以书面形式提交并要求作出决定的事宜，给予书面答复。逾期未答复的， 视为委托人认可。</w:t>
      </w:r>
    </w:p>
    <w:p>
      <w:pPr>
        <w:pStyle w:val="18"/>
        <w:numPr>
          <w:ilvl w:val="0"/>
          <w:numId w:val="0"/>
        </w:numPr>
        <w:adjustRightInd w:val="0"/>
        <w:spacing w:line="360" w:lineRule="auto"/>
        <w:textAlignment w:val="baseline"/>
        <w:rPr>
          <w:rFonts w:hint="eastAsia"/>
          <w:color w:val="auto"/>
        </w:rPr>
      </w:pPr>
      <w:r>
        <w:rPr>
          <w:rFonts w:hint="eastAsia"/>
          <w:color w:val="auto"/>
        </w:rPr>
        <w:t>3.7支付</w:t>
      </w:r>
    </w:p>
    <w:p>
      <w:pPr>
        <w:pStyle w:val="18"/>
        <w:numPr>
          <w:ilvl w:val="0"/>
          <w:numId w:val="0"/>
        </w:numPr>
        <w:adjustRightInd w:val="0"/>
        <w:spacing w:line="360" w:lineRule="auto"/>
        <w:textAlignment w:val="baseline"/>
        <w:rPr>
          <w:rFonts w:hint="eastAsia"/>
          <w:color w:val="auto"/>
        </w:rPr>
      </w:pPr>
      <w:r>
        <w:rPr>
          <w:rFonts w:hint="eastAsia"/>
          <w:color w:val="auto"/>
        </w:rPr>
        <w:t>委托人应按本合同约定，向监理人支付酬金。</w:t>
      </w:r>
    </w:p>
    <w:p>
      <w:pPr>
        <w:pStyle w:val="18"/>
        <w:numPr>
          <w:ilvl w:val="0"/>
          <w:numId w:val="0"/>
        </w:numPr>
        <w:adjustRightInd w:val="0"/>
        <w:spacing w:line="360" w:lineRule="auto"/>
        <w:textAlignment w:val="baseline"/>
        <w:rPr>
          <w:rFonts w:hint="eastAsia"/>
          <w:b/>
          <w:bCs/>
          <w:color w:val="auto"/>
        </w:rPr>
      </w:pPr>
      <w:r>
        <w:rPr>
          <w:rFonts w:hint="eastAsia"/>
          <w:b/>
          <w:bCs/>
          <w:color w:val="auto"/>
        </w:rPr>
        <w:t>4.违约责任</w:t>
      </w:r>
    </w:p>
    <w:p>
      <w:pPr>
        <w:pStyle w:val="18"/>
        <w:numPr>
          <w:ilvl w:val="0"/>
          <w:numId w:val="0"/>
        </w:numPr>
        <w:adjustRightInd w:val="0"/>
        <w:spacing w:line="360" w:lineRule="auto"/>
        <w:textAlignment w:val="baseline"/>
        <w:rPr>
          <w:rFonts w:hint="eastAsia"/>
          <w:color w:val="auto"/>
        </w:rPr>
      </w:pPr>
      <w:r>
        <w:rPr>
          <w:rFonts w:hint="eastAsia"/>
          <w:color w:val="auto"/>
        </w:rPr>
        <w:t>4.1监理人的违约责任监理人未履行本合同义务的，应承担相应的责任。</w:t>
      </w:r>
    </w:p>
    <w:p>
      <w:pPr>
        <w:pStyle w:val="18"/>
        <w:numPr>
          <w:ilvl w:val="0"/>
          <w:numId w:val="0"/>
        </w:numPr>
        <w:adjustRightInd w:val="0"/>
        <w:spacing w:line="360" w:lineRule="auto"/>
        <w:textAlignment w:val="baseline"/>
        <w:rPr>
          <w:rFonts w:hint="eastAsia"/>
          <w:color w:val="auto"/>
        </w:rPr>
      </w:pPr>
      <w:r>
        <w:rPr>
          <w:rFonts w:hint="eastAsia"/>
          <w:color w:val="auto"/>
        </w:rPr>
        <w:t>4.1.1因监理人违反本合同约定给委托人造成损失的，监理人应当赔偿委托人损失。赔偿金额的确定方法在专用条件中约定。监理人承担部分赔偿责任的，其承担赔偿金额由双方协商确定。</w:t>
      </w:r>
    </w:p>
    <w:p>
      <w:pPr>
        <w:pStyle w:val="18"/>
        <w:numPr>
          <w:ilvl w:val="0"/>
          <w:numId w:val="0"/>
        </w:numPr>
        <w:adjustRightInd w:val="0"/>
        <w:spacing w:line="360" w:lineRule="auto"/>
        <w:textAlignment w:val="baseline"/>
        <w:rPr>
          <w:rFonts w:hint="eastAsia"/>
          <w:color w:val="auto"/>
        </w:rPr>
      </w:pPr>
      <w:r>
        <w:rPr>
          <w:rFonts w:hint="eastAsia"/>
          <w:color w:val="auto"/>
        </w:rPr>
        <w:t>4.1.2监理人向委托人的索赔不成立时，监理人应赔偿委</w:t>
      </w:r>
    </w:p>
    <w:p>
      <w:pPr>
        <w:pStyle w:val="18"/>
        <w:numPr>
          <w:ilvl w:val="0"/>
          <w:numId w:val="0"/>
        </w:numPr>
        <w:adjustRightInd w:val="0"/>
        <w:spacing w:line="360" w:lineRule="auto"/>
        <w:textAlignment w:val="baseline"/>
        <w:rPr>
          <w:rFonts w:hint="eastAsia"/>
          <w:color w:val="auto"/>
        </w:rPr>
      </w:pPr>
      <w:r>
        <w:rPr>
          <w:rFonts w:hint="eastAsia"/>
          <w:color w:val="auto"/>
        </w:rPr>
        <w:t>托人由此发生的费用。</w:t>
      </w:r>
    </w:p>
    <w:p>
      <w:pPr>
        <w:pStyle w:val="18"/>
        <w:numPr>
          <w:ilvl w:val="0"/>
          <w:numId w:val="0"/>
        </w:numPr>
        <w:adjustRightInd w:val="0"/>
        <w:spacing w:line="360" w:lineRule="auto"/>
        <w:textAlignment w:val="baseline"/>
        <w:rPr>
          <w:rFonts w:hint="eastAsia"/>
          <w:color w:val="auto"/>
        </w:rPr>
      </w:pPr>
      <w:r>
        <w:rPr>
          <w:rFonts w:hint="eastAsia"/>
          <w:color w:val="auto"/>
        </w:rPr>
        <w:t>4.2委托人的违约责任</w:t>
      </w:r>
    </w:p>
    <w:p>
      <w:pPr>
        <w:pStyle w:val="18"/>
        <w:numPr>
          <w:ilvl w:val="0"/>
          <w:numId w:val="0"/>
        </w:numPr>
        <w:adjustRightInd w:val="0"/>
        <w:spacing w:line="360" w:lineRule="auto"/>
        <w:textAlignment w:val="baseline"/>
        <w:rPr>
          <w:rFonts w:hint="eastAsia"/>
          <w:color w:val="auto"/>
        </w:rPr>
      </w:pPr>
      <w:r>
        <w:rPr>
          <w:rFonts w:hint="eastAsia"/>
          <w:color w:val="auto"/>
        </w:rPr>
        <w:t>委托人未履行本合同义务的，应承担相应的责任。</w:t>
      </w:r>
    </w:p>
    <w:p>
      <w:pPr>
        <w:pStyle w:val="18"/>
        <w:numPr>
          <w:ilvl w:val="0"/>
          <w:numId w:val="0"/>
        </w:numPr>
        <w:adjustRightInd w:val="0"/>
        <w:spacing w:line="360" w:lineRule="auto"/>
        <w:textAlignment w:val="baseline"/>
        <w:rPr>
          <w:rFonts w:hint="eastAsia"/>
          <w:color w:val="auto"/>
        </w:rPr>
      </w:pPr>
      <w:r>
        <w:rPr>
          <w:rFonts w:hint="eastAsia"/>
          <w:color w:val="auto"/>
        </w:rPr>
        <w:t>4.2.1委托人违反本合同约定造成监理人损失的，委托人应予以赔偿。</w:t>
      </w:r>
    </w:p>
    <w:p>
      <w:pPr>
        <w:pStyle w:val="18"/>
        <w:numPr>
          <w:ilvl w:val="0"/>
          <w:numId w:val="0"/>
        </w:numPr>
        <w:adjustRightInd w:val="0"/>
        <w:spacing w:line="360" w:lineRule="auto"/>
        <w:textAlignment w:val="baseline"/>
        <w:rPr>
          <w:rFonts w:hint="eastAsia"/>
          <w:color w:val="auto"/>
        </w:rPr>
      </w:pPr>
      <w:r>
        <w:rPr>
          <w:rFonts w:hint="eastAsia"/>
          <w:color w:val="auto"/>
        </w:rPr>
        <w:t>4.2.2委托人向监理人的索赔不成立时，应赔偿监理人由此引起的费用。</w:t>
      </w:r>
    </w:p>
    <w:p>
      <w:pPr>
        <w:pStyle w:val="18"/>
        <w:numPr>
          <w:ilvl w:val="0"/>
          <w:numId w:val="0"/>
        </w:numPr>
        <w:adjustRightInd w:val="0"/>
        <w:spacing w:line="360" w:lineRule="auto"/>
        <w:textAlignment w:val="baseline"/>
        <w:rPr>
          <w:rFonts w:hint="eastAsia"/>
          <w:color w:val="auto"/>
        </w:rPr>
      </w:pPr>
      <w:r>
        <w:rPr>
          <w:rFonts w:hint="eastAsia"/>
          <w:color w:val="auto"/>
        </w:rPr>
        <w:t>4.2.3委托人未能按期支付酬金超过 28 天，应按专用条件约定支付逾期付款利息。</w:t>
      </w:r>
    </w:p>
    <w:p>
      <w:pPr>
        <w:pStyle w:val="18"/>
        <w:numPr>
          <w:ilvl w:val="0"/>
          <w:numId w:val="0"/>
        </w:numPr>
        <w:adjustRightInd w:val="0"/>
        <w:spacing w:line="360" w:lineRule="auto"/>
        <w:textAlignment w:val="baseline"/>
        <w:rPr>
          <w:rFonts w:hint="eastAsia"/>
          <w:color w:val="auto"/>
        </w:rPr>
      </w:pPr>
      <w:r>
        <w:rPr>
          <w:rFonts w:hint="eastAsia"/>
          <w:color w:val="auto"/>
        </w:rPr>
        <w:t>4.3除外责任</w:t>
      </w:r>
    </w:p>
    <w:p>
      <w:pPr>
        <w:pStyle w:val="18"/>
        <w:numPr>
          <w:ilvl w:val="0"/>
          <w:numId w:val="0"/>
        </w:numPr>
        <w:adjustRightInd w:val="0"/>
        <w:spacing w:line="360" w:lineRule="auto"/>
        <w:textAlignment w:val="baseline"/>
        <w:rPr>
          <w:rFonts w:hint="eastAsia"/>
          <w:color w:val="auto"/>
        </w:rPr>
      </w:pPr>
      <w:r>
        <w:rPr>
          <w:rFonts w:hint="eastAsia"/>
          <w:color w:val="auto"/>
        </w:rPr>
        <w:t>因非监理人的原因，且监理人无过错，发生工程质量事 故、安全事故、工期延误等造成的损失，监理人不承担赔偿责任。因不可抗力导致本合同全部或部分不能履行时，双方各自承担其因此而造成的损失、损害。</w:t>
      </w:r>
    </w:p>
    <w:p>
      <w:pPr>
        <w:pStyle w:val="18"/>
        <w:numPr>
          <w:ilvl w:val="0"/>
          <w:numId w:val="0"/>
        </w:numPr>
        <w:adjustRightInd w:val="0"/>
        <w:spacing w:line="360" w:lineRule="auto"/>
        <w:textAlignment w:val="baseline"/>
        <w:rPr>
          <w:rFonts w:hint="eastAsia"/>
          <w:b/>
          <w:bCs/>
          <w:color w:val="auto"/>
        </w:rPr>
      </w:pPr>
      <w:r>
        <w:rPr>
          <w:rFonts w:hint="eastAsia"/>
          <w:b/>
          <w:bCs/>
          <w:color w:val="auto"/>
        </w:rPr>
        <w:t>5.支付</w:t>
      </w:r>
    </w:p>
    <w:p>
      <w:pPr>
        <w:pStyle w:val="18"/>
        <w:numPr>
          <w:ilvl w:val="0"/>
          <w:numId w:val="0"/>
        </w:numPr>
        <w:adjustRightInd w:val="0"/>
        <w:spacing w:line="360" w:lineRule="auto"/>
        <w:textAlignment w:val="baseline"/>
        <w:rPr>
          <w:rFonts w:hint="eastAsia"/>
          <w:color w:val="auto"/>
        </w:rPr>
      </w:pPr>
      <w:r>
        <w:rPr>
          <w:rFonts w:hint="eastAsia"/>
          <w:color w:val="auto"/>
        </w:rPr>
        <w:t>5.1支付货币</w:t>
      </w:r>
    </w:p>
    <w:p>
      <w:pPr>
        <w:pStyle w:val="18"/>
        <w:numPr>
          <w:ilvl w:val="0"/>
          <w:numId w:val="0"/>
        </w:numPr>
        <w:adjustRightInd w:val="0"/>
        <w:spacing w:line="360" w:lineRule="auto"/>
        <w:textAlignment w:val="baseline"/>
        <w:rPr>
          <w:rFonts w:hint="eastAsia"/>
          <w:color w:val="auto"/>
        </w:rPr>
      </w:pPr>
      <w:r>
        <w:rPr>
          <w:rFonts w:hint="eastAsia"/>
          <w:color w:val="auto"/>
        </w:rPr>
        <w:t>除专用条件另有约定外，酬金均以人民币支付。涉及外币支付的，所采用的货币种类、比例和汇率在专用条件中约定。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5.2支付申请</w:t>
      </w:r>
    </w:p>
    <w:p>
      <w:pPr>
        <w:pStyle w:val="18"/>
        <w:numPr>
          <w:ilvl w:val="0"/>
          <w:numId w:val="0"/>
        </w:numPr>
        <w:adjustRightInd w:val="0"/>
        <w:spacing w:line="360" w:lineRule="auto"/>
        <w:textAlignment w:val="baseline"/>
        <w:rPr>
          <w:rFonts w:hint="eastAsia"/>
          <w:color w:val="auto"/>
        </w:rPr>
      </w:pPr>
      <w:r>
        <w:rPr>
          <w:rFonts w:hint="eastAsia"/>
          <w:color w:val="auto"/>
        </w:rPr>
        <w:t>监理人应在本合同约定的每次应付款时间的 7 天前，向委托人提交支付申请书。支付申请书应当说明当期应付款总额， 并列出当期应支付的款项及其金额。</w:t>
      </w:r>
    </w:p>
    <w:p>
      <w:pPr>
        <w:pStyle w:val="18"/>
        <w:numPr>
          <w:ilvl w:val="0"/>
          <w:numId w:val="0"/>
        </w:numPr>
        <w:adjustRightInd w:val="0"/>
        <w:spacing w:line="360" w:lineRule="auto"/>
        <w:textAlignment w:val="baseline"/>
        <w:rPr>
          <w:rFonts w:hint="eastAsia"/>
          <w:color w:val="auto"/>
        </w:rPr>
      </w:pPr>
      <w:r>
        <w:rPr>
          <w:rFonts w:hint="eastAsia"/>
          <w:color w:val="auto"/>
        </w:rPr>
        <w:t>5.3支付酬金</w:t>
      </w:r>
    </w:p>
    <w:p>
      <w:pPr>
        <w:pStyle w:val="18"/>
        <w:numPr>
          <w:ilvl w:val="0"/>
          <w:numId w:val="0"/>
        </w:numPr>
        <w:adjustRightInd w:val="0"/>
        <w:spacing w:line="360" w:lineRule="auto"/>
        <w:textAlignment w:val="baseline"/>
        <w:rPr>
          <w:rFonts w:hint="eastAsia"/>
          <w:color w:val="auto"/>
        </w:rPr>
      </w:pPr>
      <w:r>
        <w:rPr>
          <w:rFonts w:hint="eastAsia"/>
          <w:color w:val="auto"/>
        </w:rPr>
        <w:t>支付的酬金包括正常工作酬金、附加工作酬金、合理化建议奖励金额及费用。</w:t>
      </w:r>
    </w:p>
    <w:p>
      <w:pPr>
        <w:pStyle w:val="18"/>
        <w:numPr>
          <w:ilvl w:val="0"/>
          <w:numId w:val="0"/>
        </w:numPr>
        <w:adjustRightInd w:val="0"/>
        <w:spacing w:line="360" w:lineRule="auto"/>
        <w:textAlignment w:val="baseline"/>
        <w:rPr>
          <w:rFonts w:hint="eastAsia"/>
          <w:color w:val="auto"/>
        </w:rPr>
      </w:pPr>
      <w:r>
        <w:rPr>
          <w:rFonts w:hint="eastAsia"/>
          <w:color w:val="auto"/>
        </w:rPr>
        <w:t>5.4有争议部分的付款委托人对监理人提交的支付申请书有异议时，应当在收到监理人提交的支付申请书后 7 天内，以书面形式向监理人发出异议通知。无异议部分的款项应按期支付，有异议部分的款项按第 7 条约定办理。</w:t>
      </w:r>
    </w:p>
    <w:p>
      <w:pPr>
        <w:pStyle w:val="18"/>
        <w:numPr>
          <w:ilvl w:val="0"/>
          <w:numId w:val="0"/>
        </w:numPr>
        <w:adjustRightInd w:val="0"/>
        <w:spacing w:line="360" w:lineRule="auto"/>
        <w:textAlignment w:val="baseline"/>
        <w:rPr>
          <w:rFonts w:hint="eastAsia"/>
          <w:b/>
          <w:bCs/>
          <w:color w:val="auto"/>
        </w:rPr>
      </w:pPr>
      <w:r>
        <w:rPr>
          <w:rFonts w:hint="eastAsia"/>
          <w:b/>
          <w:bCs/>
          <w:color w:val="auto"/>
        </w:rPr>
        <w:t>6.合同生效、变更、暂停、解除与终止</w:t>
      </w:r>
    </w:p>
    <w:p>
      <w:pPr>
        <w:pStyle w:val="18"/>
        <w:numPr>
          <w:ilvl w:val="0"/>
          <w:numId w:val="0"/>
        </w:numPr>
        <w:adjustRightInd w:val="0"/>
        <w:spacing w:line="360" w:lineRule="auto"/>
        <w:textAlignment w:val="baseline"/>
        <w:rPr>
          <w:rFonts w:hint="eastAsia"/>
          <w:b w:val="0"/>
          <w:bCs w:val="0"/>
          <w:color w:val="auto"/>
        </w:rPr>
      </w:pPr>
      <w:r>
        <w:rPr>
          <w:rFonts w:hint="eastAsia"/>
          <w:b w:val="0"/>
          <w:bCs w:val="0"/>
          <w:color w:val="auto"/>
        </w:rPr>
        <w:t>6.1生效</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除法律另有规定或者专用条件另有约定外，委托人和监理人的法定代表人或其授权代理人在协议书上签字并盖单位章后本合同生效。</w:t>
      </w:r>
    </w:p>
    <w:p>
      <w:pPr>
        <w:pStyle w:val="18"/>
        <w:numPr>
          <w:ilvl w:val="0"/>
          <w:numId w:val="0"/>
        </w:numPr>
        <w:adjustRightInd w:val="0"/>
        <w:spacing w:line="360" w:lineRule="auto"/>
        <w:textAlignment w:val="baseline"/>
        <w:rPr>
          <w:rFonts w:hint="eastAsia"/>
          <w:b w:val="0"/>
          <w:bCs w:val="0"/>
          <w:color w:val="auto"/>
        </w:rPr>
      </w:pPr>
      <w:r>
        <w:rPr>
          <w:rFonts w:hint="eastAsia"/>
          <w:b w:val="0"/>
          <w:bCs w:val="0"/>
          <w:color w:val="auto"/>
        </w:rPr>
        <w:t>6.2变更</w:t>
      </w:r>
    </w:p>
    <w:p>
      <w:pPr>
        <w:pStyle w:val="18"/>
        <w:numPr>
          <w:ilvl w:val="0"/>
          <w:numId w:val="0"/>
        </w:numPr>
        <w:adjustRightInd w:val="0"/>
        <w:spacing w:line="360" w:lineRule="auto"/>
        <w:textAlignment w:val="baseline"/>
        <w:rPr>
          <w:rFonts w:hint="eastAsia"/>
          <w:color w:val="auto"/>
        </w:rPr>
      </w:pPr>
      <w:r>
        <w:rPr>
          <w:rFonts w:hint="eastAsia"/>
          <w:color w:val="auto"/>
        </w:rPr>
        <w:t>6.2.1任何一方提出变更请求时，双方经协商一致后可进行变更。</w:t>
      </w:r>
    </w:p>
    <w:p>
      <w:pPr>
        <w:pStyle w:val="18"/>
        <w:numPr>
          <w:ilvl w:val="0"/>
          <w:numId w:val="0"/>
        </w:numPr>
        <w:adjustRightInd w:val="0"/>
        <w:spacing w:line="360" w:lineRule="auto"/>
        <w:textAlignment w:val="baseline"/>
        <w:rPr>
          <w:rFonts w:hint="eastAsia"/>
          <w:color w:val="auto"/>
        </w:rPr>
      </w:pPr>
      <w:r>
        <w:rPr>
          <w:rFonts w:hint="eastAsia"/>
          <w:color w:val="auto"/>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6.2.3合同生效后，如果实际情况发生变化使得监理人不能完成全部或部分工作时，监理人应立即通知委托人。除不可抗力外，其善后工作以及恢复服务的准备工作应为附加工作， 附加工作酬金的确定方法在专用条件中约定。监理人用于恢复服务的准备时间不应超过 28 天。</w:t>
      </w:r>
    </w:p>
    <w:p>
      <w:pPr>
        <w:pStyle w:val="18"/>
        <w:numPr>
          <w:ilvl w:val="0"/>
          <w:numId w:val="0"/>
        </w:numPr>
        <w:adjustRightInd w:val="0"/>
        <w:spacing w:line="360" w:lineRule="auto"/>
        <w:textAlignment w:val="baseline"/>
        <w:rPr>
          <w:rFonts w:hint="eastAsia"/>
          <w:color w:val="auto"/>
        </w:rPr>
      </w:pPr>
      <w:r>
        <w:rPr>
          <w:rFonts w:hint="eastAsia"/>
          <w:color w:val="auto"/>
        </w:rPr>
        <w:t>6.2.4合同签订后，遇有与工程相关的法律法规、标准颁布或修订的，双方应遵照执行。由此引起监理与相关服务的范围、时间、酬金变化的，双方应通过协商进行相应调整。</w:t>
      </w:r>
    </w:p>
    <w:p>
      <w:pPr>
        <w:pStyle w:val="18"/>
        <w:numPr>
          <w:ilvl w:val="0"/>
          <w:numId w:val="0"/>
        </w:numPr>
        <w:adjustRightInd w:val="0"/>
        <w:spacing w:line="360" w:lineRule="auto"/>
        <w:textAlignment w:val="baseline"/>
        <w:rPr>
          <w:rFonts w:hint="eastAsia"/>
          <w:color w:val="auto"/>
        </w:rPr>
      </w:pPr>
      <w:r>
        <w:rPr>
          <w:rFonts w:hint="eastAsia"/>
          <w:color w:val="auto"/>
        </w:rPr>
        <w:t>6.2.5因非监理人原因造成工程概算投资额或建筑安装工程费增加时，正常工作酬金应作相应调整。调整方法在专用条件中约定。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6.2.6因工程规模、监理范围的变化导致监理人的正常工作量减少时，正常工作酬金应作相应调整。调整方法在专用条件中约定。</w:t>
      </w:r>
    </w:p>
    <w:p>
      <w:pPr>
        <w:pStyle w:val="18"/>
        <w:numPr>
          <w:ilvl w:val="0"/>
          <w:numId w:val="0"/>
        </w:numPr>
        <w:adjustRightInd w:val="0"/>
        <w:spacing w:line="360" w:lineRule="auto"/>
        <w:textAlignment w:val="baseline"/>
        <w:rPr>
          <w:rFonts w:hint="eastAsia"/>
          <w:b w:val="0"/>
          <w:bCs w:val="0"/>
          <w:color w:val="auto"/>
        </w:rPr>
      </w:pPr>
      <w:r>
        <w:rPr>
          <w:rFonts w:hint="eastAsia"/>
          <w:b w:val="0"/>
          <w:bCs w:val="0"/>
          <w:color w:val="auto"/>
        </w:rPr>
        <w:t>6.3暂停与解除</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除双方协商一致可以解除本合同外，当一方无正当理由未履行本合同约定的义务时，另一方可以根据本合同约定暂停履行本合同直至解除本合同。</w:t>
      </w:r>
    </w:p>
    <w:p>
      <w:pPr>
        <w:pStyle w:val="18"/>
        <w:numPr>
          <w:ilvl w:val="0"/>
          <w:numId w:val="0"/>
        </w:numPr>
        <w:adjustRightInd w:val="0"/>
        <w:spacing w:line="360" w:lineRule="auto"/>
        <w:textAlignment w:val="baseline"/>
        <w:rPr>
          <w:rFonts w:hint="eastAsia"/>
          <w:color w:val="auto"/>
        </w:rPr>
      </w:pPr>
      <w:r>
        <w:rPr>
          <w:rFonts w:hint="eastAsia"/>
          <w:color w:val="auto"/>
        </w:rPr>
        <w:t>6.3.1在本合同有效期内，由于双方无法预见和控制的原因导致本合同全部或部分无法继续履行或继续履行已无意义， 经双方协商一致，可以解除本合同或监理人的部分义务。在解除之前，监理人应作出合理安排，使开支减至最小。</w:t>
      </w:r>
    </w:p>
    <w:p>
      <w:pPr>
        <w:pStyle w:val="18"/>
        <w:numPr>
          <w:ilvl w:val="0"/>
          <w:numId w:val="0"/>
        </w:numPr>
        <w:adjustRightInd w:val="0"/>
        <w:spacing w:line="360" w:lineRule="auto"/>
        <w:textAlignment w:val="baseline"/>
        <w:rPr>
          <w:rFonts w:hint="eastAsia"/>
          <w:color w:val="auto"/>
        </w:rPr>
      </w:pPr>
      <w:r>
        <w:rPr>
          <w:rFonts w:hint="eastAsia"/>
          <w:color w:val="auto"/>
        </w:rPr>
        <w:t>因解除本合同或解除监理人的部分义务导致监理人遭受的损失，除依法可以免除责任的情况外，应由委托人予以补偿， 补偿金额由双方协商确定。</w:t>
      </w:r>
    </w:p>
    <w:p>
      <w:pPr>
        <w:pStyle w:val="18"/>
        <w:numPr>
          <w:ilvl w:val="0"/>
          <w:numId w:val="0"/>
        </w:numPr>
        <w:adjustRightInd w:val="0"/>
        <w:spacing w:line="360" w:lineRule="auto"/>
        <w:textAlignment w:val="baseline"/>
        <w:rPr>
          <w:rFonts w:hint="eastAsia"/>
          <w:color w:val="auto"/>
        </w:rPr>
      </w:pPr>
      <w:r>
        <w:rPr>
          <w:rFonts w:hint="eastAsia"/>
          <w:color w:val="auto"/>
        </w:rPr>
        <w:t>解除本合同的协议必须采取书面形式，协议未达成之前， 本合同仍然有效。</w:t>
      </w:r>
    </w:p>
    <w:p>
      <w:pPr>
        <w:pStyle w:val="18"/>
        <w:numPr>
          <w:ilvl w:val="0"/>
          <w:numId w:val="0"/>
        </w:numPr>
        <w:adjustRightInd w:val="0"/>
        <w:spacing w:line="360" w:lineRule="auto"/>
        <w:textAlignment w:val="baseline"/>
        <w:rPr>
          <w:rFonts w:hint="eastAsia"/>
          <w:color w:val="auto"/>
        </w:rPr>
      </w:pPr>
      <w:r>
        <w:rPr>
          <w:rFonts w:hint="eastAsia"/>
          <w:color w:val="auto"/>
        </w:rPr>
        <w:t>6.3.2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暂停部分监理与相关服务时间超过 182 天，监理人可发出解除本合同约定的该部分义务的通知；暂停全部工作时间超过182 天，监理人可发出解除本合同的通知，本合同自通知到达委托人时解除。委托人应将监理与相关服务的酬金支付至本合同解除日，且应承担第 4.2 款约定的责任。</w:t>
      </w:r>
    </w:p>
    <w:p>
      <w:pPr>
        <w:pStyle w:val="18"/>
        <w:numPr>
          <w:ilvl w:val="0"/>
          <w:numId w:val="0"/>
        </w:numPr>
        <w:adjustRightInd w:val="0"/>
        <w:spacing w:line="360" w:lineRule="auto"/>
        <w:textAlignment w:val="baseline"/>
        <w:rPr>
          <w:rFonts w:hint="eastAsia"/>
          <w:color w:val="auto"/>
        </w:rPr>
      </w:pPr>
      <w:r>
        <w:rPr>
          <w:rFonts w:hint="eastAsia"/>
          <w:color w:val="auto"/>
        </w:rPr>
        <w:t>6.3.3当监理人无正当理由未履行本合同约定的义务时， 委托人应通知监理人限期改正。若委托人在监理人接到通知后的 7 天内未收到监理人书面形式的合理解释，则可在 7 天内发出解除本合同的通知，自通知到达监理人时本合同解除。委托人应将监理与相关服务的酬金支付至限期改正通知到达监理人之日，但监理人应承担第 4.1 款约定的责任。</w:t>
      </w:r>
    </w:p>
    <w:p>
      <w:pPr>
        <w:pStyle w:val="18"/>
        <w:numPr>
          <w:ilvl w:val="0"/>
          <w:numId w:val="0"/>
        </w:numPr>
        <w:adjustRightInd w:val="0"/>
        <w:spacing w:line="360" w:lineRule="auto"/>
        <w:textAlignment w:val="baseline"/>
        <w:rPr>
          <w:rFonts w:hint="eastAsia"/>
          <w:color w:val="auto"/>
        </w:rPr>
      </w:pPr>
      <w:r>
        <w:rPr>
          <w:rFonts w:hint="eastAsia"/>
          <w:color w:val="auto"/>
        </w:rPr>
        <w:t>6.3.4监理人在专用条件 5.3 中约定的支付之日起 28 天后仍未收到委托人按本合同约定应付的款项，可向委托人发出催付通知。委托人接到通知 14 天后仍未支付或未提出监理人可以接受的延期支付安排，监理人可向委托人发出暂停工作的通知并可自行暂停全部或部分工作。暂停工作后 14 天内监理人仍未获得委托人应付酬金或委托人的合理答复，监理人可向委托人发出解除本合同的通知，自通知到达委托人时本合同解除。委托人应承担第 4.2.3 款约定的责任。</w:t>
      </w:r>
    </w:p>
    <w:p>
      <w:pPr>
        <w:pStyle w:val="18"/>
        <w:numPr>
          <w:ilvl w:val="0"/>
          <w:numId w:val="0"/>
        </w:numPr>
        <w:adjustRightInd w:val="0"/>
        <w:spacing w:line="360" w:lineRule="auto"/>
        <w:textAlignment w:val="baseline"/>
        <w:rPr>
          <w:rFonts w:hint="eastAsia"/>
          <w:color w:val="auto"/>
        </w:rPr>
      </w:pPr>
      <w:r>
        <w:rPr>
          <w:rFonts w:hint="eastAsia"/>
          <w:color w:val="auto"/>
        </w:rPr>
        <w:t>6.3.5因不可抗力致使本合同部分或全部不能履行时，一方应立即通知另一方，可暂停或解除本合同。</w:t>
      </w:r>
    </w:p>
    <w:p>
      <w:pPr>
        <w:pStyle w:val="18"/>
        <w:numPr>
          <w:ilvl w:val="0"/>
          <w:numId w:val="0"/>
        </w:numPr>
        <w:adjustRightInd w:val="0"/>
        <w:spacing w:line="360" w:lineRule="auto"/>
        <w:textAlignment w:val="baseline"/>
        <w:rPr>
          <w:rFonts w:hint="eastAsia"/>
          <w:color w:val="auto"/>
        </w:rPr>
      </w:pPr>
      <w:r>
        <w:rPr>
          <w:rFonts w:hint="eastAsia"/>
          <w:color w:val="auto"/>
        </w:rPr>
        <w:t>6.3.6本合同解除后，本合同约定的有关结算、清理、争议解决方式的条件仍然有效。</w:t>
      </w:r>
    </w:p>
    <w:p>
      <w:pPr>
        <w:pStyle w:val="18"/>
        <w:numPr>
          <w:ilvl w:val="0"/>
          <w:numId w:val="0"/>
        </w:numPr>
        <w:adjustRightInd w:val="0"/>
        <w:spacing w:line="360" w:lineRule="auto"/>
        <w:textAlignment w:val="baseline"/>
        <w:rPr>
          <w:rFonts w:hint="eastAsia"/>
          <w:color w:val="auto"/>
        </w:rPr>
      </w:pPr>
      <w:r>
        <w:rPr>
          <w:rFonts w:hint="eastAsia"/>
          <w:color w:val="auto"/>
        </w:rPr>
        <w:t>6.4终止</w:t>
      </w:r>
    </w:p>
    <w:p>
      <w:pPr>
        <w:pStyle w:val="18"/>
        <w:numPr>
          <w:ilvl w:val="0"/>
          <w:numId w:val="0"/>
        </w:numPr>
        <w:adjustRightInd w:val="0"/>
        <w:spacing w:line="360" w:lineRule="auto"/>
        <w:textAlignment w:val="baseline"/>
        <w:rPr>
          <w:rFonts w:hint="eastAsia"/>
          <w:color w:val="auto"/>
        </w:rPr>
      </w:pPr>
      <w:r>
        <w:rPr>
          <w:rFonts w:hint="eastAsia"/>
          <w:color w:val="auto"/>
        </w:rPr>
        <w:t>以下条件全部满足时，本合同即告终止：</w:t>
      </w:r>
    </w:p>
    <w:p>
      <w:pPr>
        <w:pStyle w:val="18"/>
        <w:numPr>
          <w:ilvl w:val="0"/>
          <w:numId w:val="0"/>
        </w:numPr>
        <w:adjustRightInd w:val="0"/>
        <w:spacing w:line="360" w:lineRule="auto"/>
        <w:textAlignment w:val="baseline"/>
        <w:rPr>
          <w:rFonts w:hint="eastAsia"/>
          <w:color w:val="auto"/>
        </w:rPr>
      </w:pPr>
      <w:r>
        <w:rPr>
          <w:rFonts w:hint="eastAsia"/>
          <w:color w:val="auto"/>
        </w:rPr>
        <w:t>（1）监理人完成本合同约定的全部工作；</w:t>
      </w:r>
    </w:p>
    <w:p>
      <w:pPr>
        <w:pStyle w:val="18"/>
        <w:numPr>
          <w:ilvl w:val="0"/>
          <w:numId w:val="0"/>
        </w:numPr>
        <w:adjustRightInd w:val="0"/>
        <w:spacing w:line="360" w:lineRule="auto"/>
        <w:textAlignment w:val="baseline"/>
        <w:rPr>
          <w:rFonts w:hint="eastAsia"/>
          <w:color w:val="auto"/>
        </w:rPr>
      </w:pPr>
      <w:r>
        <w:rPr>
          <w:rFonts w:hint="eastAsia"/>
          <w:color w:val="auto"/>
        </w:rPr>
        <w:t>（2）委托人与监理人结清并支付全部酬金。</w:t>
      </w:r>
    </w:p>
    <w:p>
      <w:pPr>
        <w:pStyle w:val="18"/>
        <w:numPr>
          <w:ilvl w:val="0"/>
          <w:numId w:val="0"/>
        </w:numPr>
        <w:adjustRightInd w:val="0"/>
        <w:spacing w:line="360" w:lineRule="auto"/>
        <w:textAlignment w:val="baseline"/>
        <w:rPr>
          <w:rFonts w:hint="eastAsia"/>
          <w:b/>
          <w:bCs/>
          <w:color w:val="auto"/>
        </w:rPr>
      </w:pPr>
      <w:r>
        <w:rPr>
          <w:rFonts w:hint="eastAsia"/>
          <w:b/>
          <w:bCs/>
          <w:color w:val="auto"/>
        </w:rPr>
        <w:t>7.争议解决</w:t>
      </w:r>
    </w:p>
    <w:p>
      <w:pPr>
        <w:pStyle w:val="18"/>
        <w:numPr>
          <w:ilvl w:val="0"/>
          <w:numId w:val="0"/>
        </w:numPr>
        <w:adjustRightInd w:val="0"/>
        <w:spacing w:line="360" w:lineRule="auto"/>
        <w:textAlignment w:val="baseline"/>
        <w:rPr>
          <w:rFonts w:hint="eastAsia"/>
          <w:color w:val="auto"/>
        </w:rPr>
      </w:pPr>
      <w:r>
        <w:rPr>
          <w:rFonts w:hint="eastAsia"/>
          <w:color w:val="auto"/>
        </w:rPr>
        <w:t>7.1协商</w:t>
      </w:r>
    </w:p>
    <w:p>
      <w:pPr>
        <w:pStyle w:val="18"/>
        <w:numPr>
          <w:ilvl w:val="0"/>
          <w:numId w:val="0"/>
        </w:numPr>
        <w:adjustRightInd w:val="0"/>
        <w:spacing w:line="360" w:lineRule="auto"/>
        <w:textAlignment w:val="baseline"/>
        <w:rPr>
          <w:rFonts w:hint="eastAsia"/>
          <w:color w:val="auto"/>
        </w:rPr>
      </w:pPr>
    </w:p>
    <w:p>
      <w:pPr>
        <w:pStyle w:val="18"/>
        <w:numPr>
          <w:ilvl w:val="0"/>
          <w:numId w:val="0"/>
        </w:numPr>
        <w:adjustRightInd w:val="0"/>
        <w:spacing w:line="360" w:lineRule="auto"/>
        <w:textAlignment w:val="baseline"/>
        <w:rPr>
          <w:rFonts w:hint="eastAsia"/>
          <w:color w:val="auto"/>
        </w:rPr>
      </w:pPr>
      <w:r>
        <w:rPr>
          <w:rFonts w:hint="eastAsia"/>
          <w:color w:val="auto"/>
        </w:rPr>
        <w:t>双方应本着诚信原则协商解决彼此间的争议。</w:t>
      </w:r>
    </w:p>
    <w:p>
      <w:pPr>
        <w:pStyle w:val="18"/>
        <w:numPr>
          <w:ilvl w:val="0"/>
          <w:numId w:val="0"/>
        </w:numPr>
        <w:adjustRightInd w:val="0"/>
        <w:spacing w:line="360" w:lineRule="auto"/>
        <w:textAlignment w:val="baseline"/>
        <w:rPr>
          <w:rFonts w:hint="eastAsia"/>
          <w:color w:val="auto"/>
        </w:rPr>
      </w:pPr>
      <w:r>
        <w:rPr>
          <w:rFonts w:hint="eastAsia"/>
          <w:color w:val="auto"/>
        </w:rPr>
        <w:t>7.2调解</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如果双方不能在 14 天内或双方商定的其他时间内解决本合同争议，可以将其提交给专用条件约定的或事后达成协议的调解人进行调解。</w:t>
      </w:r>
    </w:p>
    <w:p>
      <w:pPr>
        <w:pStyle w:val="18"/>
        <w:numPr>
          <w:ilvl w:val="0"/>
          <w:numId w:val="0"/>
        </w:numPr>
        <w:adjustRightInd w:val="0"/>
        <w:spacing w:line="360" w:lineRule="auto"/>
        <w:textAlignment w:val="baseline"/>
        <w:rPr>
          <w:rFonts w:hint="eastAsia"/>
          <w:color w:val="auto"/>
        </w:rPr>
      </w:pPr>
      <w:r>
        <w:rPr>
          <w:rFonts w:hint="eastAsia"/>
          <w:color w:val="auto"/>
        </w:rPr>
        <w:t>7.3仲裁或诉讼</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双方均有权不经调解直接向专用条件约定的仲裁机构申请仲裁或向有管辖权的人民法院提起诉讼。</w:t>
      </w:r>
    </w:p>
    <w:p>
      <w:pPr>
        <w:pStyle w:val="18"/>
        <w:numPr>
          <w:ilvl w:val="0"/>
          <w:numId w:val="0"/>
        </w:numPr>
        <w:adjustRightInd w:val="0"/>
        <w:spacing w:line="360" w:lineRule="auto"/>
        <w:textAlignment w:val="baseline"/>
        <w:rPr>
          <w:rFonts w:hint="eastAsia"/>
          <w:b/>
          <w:bCs/>
          <w:color w:val="auto"/>
        </w:rPr>
      </w:pPr>
      <w:r>
        <w:rPr>
          <w:rFonts w:hint="eastAsia"/>
          <w:b/>
          <w:bCs/>
          <w:color w:val="auto"/>
        </w:rPr>
        <w:t>8.其他</w:t>
      </w:r>
    </w:p>
    <w:p>
      <w:pPr>
        <w:pStyle w:val="18"/>
        <w:numPr>
          <w:ilvl w:val="0"/>
          <w:numId w:val="0"/>
        </w:numPr>
        <w:adjustRightInd w:val="0"/>
        <w:spacing w:line="360" w:lineRule="auto"/>
        <w:textAlignment w:val="baseline"/>
        <w:rPr>
          <w:rFonts w:hint="eastAsia"/>
          <w:color w:val="auto"/>
        </w:rPr>
      </w:pPr>
      <w:r>
        <w:rPr>
          <w:rFonts w:hint="eastAsia"/>
          <w:color w:val="auto"/>
        </w:rPr>
        <w:t>8.1外出考察费用</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经委托人同意，监理人员外出考察发生的费用由委托人审核后支付。</w:t>
      </w:r>
    </w:p>
    <w:p>
      <w:pPr>
        <w:pStyle w:val="18"/>
        <w:numPr>
          <w:ilvl w:val="0"/>
          <w:numId w:val="0"/>
        </w:numPr>
        <w:adjustRightInd w:val="0"/>
        <w:spacing w:line="360" w:lineRule="auto"/>
        <w:textAlignment w:val="baseline"/>
        <w:rPr>
          <w:rFonts w:hint="eastAsia"/>
          <w:color w:val="auto"/>
        </w:rPr>
      </w:pPr>
      <w:r>
        <w:rPr>
          <w:rFonts w:hint="eastAsia"/>
          <w:color w:val="auto"/>
        </w:rPr>
        <w:t>8.2检测费用</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委托人要求监理人进行的材料和设备检测所发生的费用， 由委托人支付，支付时间在专用条件中约定。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8.3咨询费用</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经委托人同意，根据工程需要由监理人组织的相关咨询论证会以及聘请相关专家等发生的费用由委托人支付，支付时间在专用条件中约定。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8.4奖励</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监理人在服务过程中提出的合理化建议，使委托人获得经济效益的，双方在专用条件中约定奖励金额的确定方法。奖励金额在合理化建议被采纳后，与最近一期的正常工作酬金同期支付。</w:t>
      </w:r>
    </w:p>
    <w:p>
      <w:pPr>
        <w:pStyle w:val="18"/>
        <w:numPr>
          <w:ilvl w:val="0"/>
          <w:numId w:val="0"/>
        </w:numPr>
        <w:adjustRightInd w:val="0"/>
        <w:spacing w:line="360" w:lineRule="auto"/>
        <w:textAlignment w:val="baseline"/>
        <w:rPr>
          <w:rFonts w:hint="eastAsia"/>
          <w:color w:val="auto"/>
        </w:rPr>
      </w:pPr>
      <w:r>
        <w:rPr>
          <w:rFonts w:hint="eastAsia"/>
          <w:color w:val="auto"/>
        </w:rPr>
        <w:t>8.5守法诚信</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监理人及其工作人员不得从与实施工程有关的第三方处获得任何经济利益。</w:t>
      </w:r>
    </w:p>
    <w:p>
      <w:pPr>
        <w:pStyle w:val="18"/>
        <w:numPr>
          <w:ilvl w:val="0"/>
          <w:numId w:val="0"/>
        </w:numPr>
        <w:adjustRightInd w:val="0"/>
        <w:spacing w:line="360" w:lineRule="auto"/>
        <w:textAlignment w:val="baseline"/>
        <w:rPr>
          <w:rFonts w:hint="eastAsia"/>
          <w:color w:val="auto"/>
        </w:rPr>
      </w:pPr>
      <w:r>
        <w:rPr>
          <w:rFonts w:hint="eastAsia"/>
          <w:color w:val="auto"/>
        </w:rPr>
        <w:t>8.6保密</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双方不得泄露对方申明的保密资料，亦不得泄露与实施工程有关的第三方所提供的保密资料，保密事项在专用条件中约定。</w:t>
      </w:r>
    </w:p>
    <w:p>
      <w:pPr>
        <w:pStyle w:val="18"/>
        <w:numPr>
          <w:ilvl w:val="0"/>
          <w:numId w:val="0"/>
        </w:numPr>
        <w:adjustRightInd w:val="0"/>
        <w:spacing w:line="360" w:lineRule="auto"/>
        <w:textAlignment w:val="baseline"/>
        <w:rPr>
          <w:rFonts w:hint="eastAsia"/>
          <w:color w:val="auto"/>
        </w:rPr>
      </w:pPr>
      <w:r>
        <w:rPr>
          <w:rFonts w:hint="eastAsia"/>
          <w:color w:val="auto"/>
        </w:rPr>
        <w:t>8.7通知</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本合同涉及的通知均应当采用书面形式，并在送达对方时生效，收件人应书面签收。</w:t>
      </w:r>
    </w:p>
    <w:p>
      <w:pPr>
        <w:pStyle w:val="18"/>
        <w:numPr>
          <w:ilvl w:val="0"/>
          <w:numId w:val="0"/>
        </w:numPr>
        <w:adjustRightInd w:val="0"/>
        <w:spacing w:line="360" w:lineRule="auto"/>
        <w:textAlignment w:val="baseline"/>
        <w:rPr>
          <w:rFonts w:hint="eastAsia"/>
          <w:color w:val="auto"/>
        </w:rPr>
      </w:pPr>
      <w:r>
        <w:rPr>
          <w:rFonts w:hint="eastAsia"/>
          <w:color w:val="auto"/>
        </w:rPr>
        <w:t>8.8著作权</w:t>
      </w:r>
    </w:p>
    <w:p>
      <w:pPr>
        <w:pStyle w:val="18"/>
        <w:numPr>
          <w:ilvl w:val="0"/>
          <w:numId w:val="0"/>
        </w:numPr>
        <w:adjustRightInd w:val="0"/>
        <w:spacing w:line="360" w:lineRule="auto"/>
        <w:ind w:firstLine="480" w:firstLineChars="200"/>
        <w:textAlignment w:val="baseline"/>
        <w:rPr>
          <w:rFonts w:hint="eastAsia"/>
          <w:color w:val="auto"/>
        </w:rPr>
      </w:pPr>
      <w:r>
        <w:rPr>
          <w:rFonts w:hint="eastAsia"/>
          <w:color w:val="auto"/>
        </w:rPr>
        <w:t>监理人对其编制的文件拥有著作权。</w:t>
      </w:r>
    </w:p>
    <w:p>
      <w:pPr>
        <w:pStyle w:val="18"/>
        <w:numPr>
          <w:ilvl w:val="0"/>
          <w:numId w:val="0"/>
        </w:numPr>
        <w:adjustRightInd w:val="0"/>
        <w:spacing w:line="360" w:lineRule="auto"/>
        <w:textAlignment w:val="baseline"/>
        <w:rPr>
          <w:rFonts w:hint="eastAsia"/>
          <w:color w:val="auto"/>
        </w:rPr>
      </w:pPr>
      <w:r>
        <w:rPr>
          <w:rFonts w:hint="eastAsia"/>
          <w:color w:val="auto"/>
        </w:rPr>
        <w:t>监理人可单独或与他人联合出版有关监理与相关服务的资料。除专用条件另有约定外，如果监理人在本合同履行期间及本合同终止后两年内出版涉及本工程的有关监理与相关服务的资 料，应当征得委托人的同意。</w:t>
      </w:r>
    </w:p>
    <w:p>
      <w:pPr>
        <w:pStyle w:val="18"/>
        <w:numPr>
          <w:ilvl w:val="0"/>
          <w:numId w:val="0"/>
        </w:numPr>
        <w:adjustRightInd w:val="0"/>
        <w:spacing w:line="360" w:lineRule="auto"/>
        <w:jc w:val="center"/>
        <w:textAlignment w:val="baseline"/>
        <w:rPr>
          <w:rFonts w:hint="eastAsia" w:ascii="宋体" w:hAnsi="宋体"/>
          <w:color w:val="auto"/>
          <w:sz w:val="24"/>
          <w:szCs w:val="24"/>
        </w:rPr>
      </w:pPr>
      <w:r>
        <w:rPr>
          <w:rFonts w:hint="eastAsia" w:ascii="宋体" w:hAnsi="宋体"/>
          <w:b/>
          <w:bCs/>
          <w:color w:val="auto"/>
          <w:sz w:val="24"/>
          <w:szCs w:val="24"/>
        </w:rPr>
        <w:t>第三部分 专用条件</w:t>
      </w: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1.定义与解释</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1.2解释</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1.2.1本合同文件除使用中文外，还可用</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1.2.2约定本合同文件的解释顺序为：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2.监理人义务</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2.1监理的范围和内容</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2.1.1监理范围包括：</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2.1.2监理工作内容还包括：</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2.2监理与相关服务依据</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2.2.1监理依据包括：</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2.2.2相关服务依据包括：</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2.3项目监理机构和人员</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2.3.4 更换监理人员的其他情形：</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2.4履行职责</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2.4.3对监理人的授权范围：</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在涉及工程延期</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天内和（或）金额</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万元内的变更，监理人不需请示委托人即可向承包人发布变更通知。</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2.4.4监理人有权要求承包人调换其人员的限制条件：</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2.5提交报告</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监理人应提交报告的种类(包括监理规划、监理月报及约定的专项报告)、时间和份数：</w:t>
      </w:r>
    </w:p>
    <w:p>
      <w:pPr>
        <w:pStyle w:val="18"/>
        <w:numPr>
          <w:ilvl w:val="0"/>
          <w:numId w:val="0"/>
        </w:numPr>
        <w:adjustRightInd w:val="0"/>
        <w:spacing w:line="360" w:lineRule="auto"/>
        <w:textAlignment w:val="baseline"/>
        <w:rPr>
          <w:rFonts w:hint="eastAsia" w:ascii="宋体" w:hAnsi="宋体" w:eastAsia="宋体"/>
          <w:color w:val="auto"/>
          <w:sz w:val="24"/>
          <w:szCs w:val="24"/>
          <w:u w:val="single"/>
          <w:lang w:val="en-US" w:eastAsia="zh-CN"/>
        </w:rPr>
      </w:pPr>
      <w:r>
        <w:rPr>
          <w:rFonts w:hint="eastAsia" w:ascii="宋体" w:hAnsi="宋体" w:eastAsia="宋体"/>
          <w:color w:val="auto"/>
          <w:sz w:val="24"/>
          <w:szCs w:val="24"/>
          <w:u w:val="single"/>
          <w:lang w:val="en-US" w:eastAsia="zh-CN"/>
        </w:rPr>
        <w:t xml:space="preserve">                                                                           </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2.7 使用委托人的财产</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附录B 中由委托人无偿提供的房屋、设备的所有权属于：</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监理人应在本合同终止后</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天内移交委托人无偿提供的房屋、设备，移交的时间和方式为：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3.委托人义务</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3.4 委托人代表</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委托人代表为：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3.6 答复</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委托人同意在</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天内，对监理人书面提交并要求做出决定的事宜给予书面答复。</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4.违约责任</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4.1监理人的违约责任</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4.1.1监理人赔偿金额按下列方法确定：</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赔偿金＝直接经济损失×正常工作酬金÷工程概算投资额（或建筑安装工程费）</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4.2委托人的违约责任</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4.2.3 委托人逾期付款利息按下列方法确定：</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逾期付款利息＝当期应付款总额×银行同期贷款利率×拖延支付天数</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5.支付</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5.1支付货币</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币种为：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，比例为：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，汇率为：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ab/>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5.3 支付酬金</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正常工作酬金的支付：</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2728"/>
        <w:gridCol w:w="1865"/>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支付次数</w:t>
            </w:r>
          </w:p>
        </w:tc>
        <w:tc>
          <w:tcPr>
            <w:tcW w:w="2728"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支付时间</w:t>
            </w:r>
          </w:p>
        </w:tc>
        <w:tc>
          <w:tcPr>
            <w:tcW w:w="1865"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支付比例</w:t>
            </w: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首付款</w:t>
            </w:r>
          </w:p>
        </w:tc>
        <w:tc>
          <w:tcPr>
            <w:tcW w:w="2728"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本合同签订后7 天内</w:t>
            </w:r>
          </w:p>
        </w:tc>
        <w:tc>
          <w:tcPr>
            <w:tcW w:w="1865"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第二次付款</w:t>
            </w:r>
          </w:p>
        </w:tc>
        <w:tc>
          <w:tcPr>
            <w:tcW w:w="2728"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1865"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第三次付款</w:t>
            </w:r>
          </w:p>
        </w:tc>
        <w:tc>
          <w:tcPr>
            <w:tcW w:w="2728"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1865"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w:t>
            </w:r>
          </w:p>
        </w:tc>
        <w:tc>
          <w:tcPr>
            <w:tcW w:w="2728"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1865"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最后付款</w:t>
            </w:r>
          </w:p>
        </w:tc>
        <w:tc>
          <w:tcPr>
            <w:tcW w:w="2728"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监理与相关服务期届满 14 天内</w:t>
            </w:r>
          </w:p>
        </w:tc>
        <w:tc>
          <w:tcPr>
            <w:tcW w:w="1865"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bl>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6.合同生效、变更、暂停、解除与终止</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6.1生效</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本合同生效条件：</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6.2变更</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6.2.2除不可抗力外， 因非监理人原因导致本合同期限延长时，附加工作酬金按下列方法确定：</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附加工作酬金=本合同期限延长时间（天）×正常工作酬金÷协议书约定的监理与相关服务期限（天）</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6.2.3附加工作酬金按下列方法确定：</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附加工作酬金=善后工作及恢复服务的准备工作时间（天）×正常工作酬金÷协议书约定的监理与相关服务期限（天）</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6.2.5正常工作酬金增加额按下列方法确定：</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正常工作酬金增加额=工程投资额或建筑安装工程费增加额×正常工作酬金÷工程概算投资额（或建筑安装工程费）</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6.2.6因工程规模、监理范围的变化导致监理人的正常工作量减少时，按减少工作量的比例从协议书约定的正常工作酬金中扣减相同比例的酬金。</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7.争议解决</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7.2调解</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本合同争议进行调解时，可提交</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进行调解。</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7.3仲裁或诉讼</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合同争议的最终解决方式为下列第</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种方式：</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（1）提请</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仲裁委员会进行仲裁。</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（2）向</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人民法院提起诉讼。</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8.其他</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8.2检测费用</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 xml:space="preserve">委托人应在检测工作完成后 </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天内支付检测费用。</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8.3咨询费用</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委托人应在咨询工作完成后</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天内支付咨询费用。</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8.4奖励</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合理化建议的奖励金额按下列方法确定为：</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奖励金额＝工程投资节省额×奖励金额的比率；</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奖励金额的比率为</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8.6 保密</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委托人申明的保密事项和期限：</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监理人申明的保密事项和期限：</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第三方申明的保密事项和期限：</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8.8 著作权</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监理人在本合同履行期间及本合同终止后两年内出版涉及本工程的有关监理与相关服务的资料的限制条件：</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tabs>
          <w:tab w:val="clear" w:pos="425"/>
        </w:tabs>
        <w:adjustRightInd w:val="0"/>
        <w:spacing w:line="360" w:lineRule="auto"/>
        <w:ind w:leftChars="0"/>
        <w:textAlignment w:val="baseline"/>
        <w:rPr>
          <w:rFonts w:hint="eastAsia" w:ascii="宋体" w:hAnsi="宋体" w:eastAsia="宋体"/>
          <w:b/>
          <w:bCs/>
          <w:color w:val="auto"/>
          <w:sz w:val="24"/>
          <w:szCs w:val="24"/>
          <w:lang w:val="en-US" w:eastAsia="zh-CN"/>
        </w:rPr>
      </w:pPr>
      <w:r>
        <w:rPr>
          <w:rFonts w:hint="eastAsia" w:ascii="宋体" w:hAnsi="宋体" w:eastAsia="宋体"/>
          <w:b/>
          <w:bCs/>
          <w:color w:val="auto"/>
          <w:sz w:val="24"/>
          <w:szCs w:val="24"/>
          <w:lang w:val="en-US" w:eastAsia="zh-CN"/>
        </w:rPr>
        <w:t>9.补充条款</w:t>
      </w:r>
    </w:p>
    <w:p>
      <w:pPr>
        <w:pStyle w:val="18"/>
        <w:numPr>
          <w:ilvl w:val="0"/>
          <w:numId w:val="0"/>
        </w:numPr>
        <w:tabs>
          <w:tab w:val="clear" w:pos="425"/>
        </w:tabs>
        <w:adjustRightInd w:val="0"/>
        <w:spacing w:line="360" w:lineRule="auto"/>
        <w:ind w:leftChars="0"/>
        <w:textAlignment w:val="baseline"/>
        <w:rPr>
          <w:rFonts w:hint="eastAsia" w:ascii="宋体" w:hAnsi="宋体" w:eastAsia="宋体"/>
          <w:color w:val="auto"/>
          <w:sz w:val="24"/>
          <w:szCs w:val="24"/>
          <w:u w:val="single"/>
          <w:lang w:val="en-US" w:eastAsia="zh-CN"/>
        </w:rPr>
      </w:pPr>
      <w:r>
        <w:rPr>
          <w:rFonts w:hint="eastAsia" w:ascii="宋体" w:hAnsi="宋体" w:eastAsia="宋体"/>
          <w:color w:val="auto"/>
          <w:sz w:val="24"/>
          <w:szCs w:val="24"/>
          <w:u w:val="single"/>
          <w:lang w:val="en-US" w:eastAsia="zh-CN"/>
        </w:rPr>
        <w:t xml:space="preserve">                                                                           </w:t>
      </w:r>
    </w:p>
    <w:p>
      <w:pPr>
        <w:pStyle w:val="18"/>
        <w:numPr>
          <w:ilvl w:val="0"/>
          <w:numId w:val="0"/>
        </w:numPr>
        <w:tabs>
          <w:tab w:val="clear" w:pos="425"/>
        </w:tabs>
        <w:adjustRightInd w:val="0"/>
        <w:spacing w:line="360" w:lineRule="auto"/>
        <w:ind w:leftChars="0"/>
        <w:textAlignment w:val="baseline"/>
        <w:rPr>
          <w:rFonts w:hint="default" w:ascii="宋体" w:hAnsi="宋体" w:eastAsia="宋体"/>
          <w:color w:val="auto"/>
          <w:sz w:val="24"/>
          <w:szCs w:val="24"/>
          <w:lang w:val="en-US" w:eastAsia="zh-CN"/>
        </w:rPr>
      </w:pPr>
      <w:r>
        <w:rPr>
          <w:rFonts w:hint="eastAsia" w:ascii="宋体" w:hAnsi="宋体" w:eastAsia="宋体"/>
          <w:color w:val="auto"/>
          <w:sz w:val="24"/>
          <w:szCs w:val="24"/>
          <w:u w:val="single"/>
          <w:lang w:val="en-US" w:eastAsia="zh-CN"/>
        </w:rPr>
        <w:t xml:space="preserve">                                                                         </w:t>
      </w:r>
      <w:r>
        <w:rPr>
          <w:rFonts w:hint="eastAsia" w:ascii="宋体" w:hAnsi="宋体" w:eastAsia="宋体"/>
          <w:color w:val="auto"/>
          <w:sz w:val="24"/>
          <w:szCs w:val="24"/>
          <w:u w:val="none"/>
          <w:lang w:val="en-US" w:eastAsia="zh-CN"/>
        </w:rPr>
        <w:t>。</w:t>
      </w: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keepNext w:val="0"/>
        <w:keepLines w:val="0"/>
        <w:pageBreakBefore w:val="0"/>
        <w:widowControl/>
        <w:numPr>
          <w:ilvl w:val="0"/>
          <w:numId w:val="0"/>
        </w:numPr>
        <w:kinsoku/>
        <w:wordWrap/>
        <w:overflowPunct/>
        <w:topLinePunct w:val="0"/>
        <w:autoSpaceDE/>
        <w:autoSpaceDN/>
        <w:bidi w:val="0"/>
        <w:adjustRightInd w:val="0"/>
        <w:snapToGrid/>
        <w:spacing w:line="720" w:lineRule="auto"/>
        <w:textAlignment w:val="baseline"/>
        <w:rPr>
          <w:rFonts w:hint="eastAsia" w:ascii="宋体" w:hAnsi="宋体"/>
          <w:b/>
          <w:bCs/>
          <w:color w:val="auto"/>
          <w:sz w:val="24"/>
          <w:szCs w:val="24"/>
        </w:rPr>
      </w:pPr>
      <w:r>
        <w:rPr>
          <w:rFonts w:hint="eastAsia" w:ascii="宋体" w:hAnsi="宋体"/>
          <w:b/>
          <w:bCs/>
          <w:color w:val="auto"/>
          <w:sz w:val="24"/>
          <w:szCs w:val="24"/>
        </w:rPr>
        <w:t>附录A</w:t>
      </w:r>
      <w:r>
        <w:rPr>
          <w:rFonts w:hint="eastAsia" w:ascii="宋体" w:hAnsi="宋体"/>
          <w:b/>
          <w:bCs/>
          <w:color w:val="auto"/>
          <w:sz w:val="24"/>
          <w:szCs w:val="24"/>
        </w:rPr>
        <w:tab/>
      </w:r>
      <w:r>
        <w:rPr>
          <w:rFonts w:hint="eastAsia" w:ascii="宋体" w:hAnsi="宋体"/>
          <w:b/>
          <w:bCs/>
          <w:color w:val="auto"/>
          <w:sz w:val="24"/>
          <w:szCs w:val="24"/>
        </w:rPr>
        <w:t>相关服务的范围和内容</w:t>
      </w:r>
    </w:p>
    <w:p>
      <w:pPr>
        <w:pStyle w:val="18"/>
        <w:keepNext w:val="0"/>
        <w:keepLines w:val="0"/>
        <w:pageBreakBefore w:val="0"/>
        <w:widowControl/>
        <w:numPr>
          <w:ilvl w:val="0"/>
          <w:numId w:val="0"/>
        </w:numPr>
        <w:kinsoku/>
        <w:wordWrap/>
        <w:overflowPunct/>
        <w:topLinePunct w:val="0"/>
        <w:autoSpaceDE/>
        <w:autoSpaceDN/>
        <w:bidi w:val="0"/>
        <w:adjustRightInd w:val="0"/>
        <w:snapToGrid/>
        <w:spacing w:line="720" w:lineRule="auto"/>
        <w:textAlignment w:val="baseline"/>
        <w:rPr>
          <w:rFonts w:hint="eastAsia" w:ascii="宋体" w:hAnsi="宋体"/>
          <w:color w:val="auto"/>
          <w:sz w:val="24"/>
          <w:szCs w:val="24"/>
        </w:rPr>
      </w:pPr>
      <w:r>
        <w:rPr>
          <w:rFonts w:hint="eastAsia" w:ascii="宋体" w:hAnsi="宋体"/>
          <w:color w:val="auto"/>
          <w:sz w:val="24"/>
          <w:szCs w:val="24"/>
        </w:rPr>
        <w:t>A-1 勘察阶段：</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。A-2 设计阶段</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。A-3 保修阶段</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。A-4 其他（专业技术咨询、外部协调工作等</w:t>
      </w:r>
      <w:r>
        <w:rPr>
          <w:rFonts w:hint="eastAsia" w:ascii="宋体" w:hAnsi="宋体" w:eastAsia="宋体"/>
          <w:color w:val="auto"/>
          <w:sz w:val="24"/>
          <w:szCs w:val="24"/>
          <w:u w:val="single"/>
          <w:lang w:val="en-US" w:eastAsia="zh-CN"/>
        </w:rPr>
        <w:t xml:space="preserve">                                   </w:t>
      </w:r>
      <w:r>
        <w:rPr>
          <w:rFonts w:hint="eastAsia" w:ascii="宋体" w:hAnsi="宋体"/>
          <w:color w:val="auto"/>
          <w:sz w:val="24"/>
          <w:szCs w:val="24"/>
        </w:rPr>
        <w:t>。</w:t>
      </w: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color w:val="auto"/>
          <w:sz w:val="24"/>
          <w:szCs w:val="24"/>
        </w:rPr>
      </w:pP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附录B</w:t>
      </w:r>
      <w:r>
        <w:rPr>
          <w:rFonts w:hint="eastAsia" w:ascii="宋体" w:hAnsi="宋体"/>
          <w:b/>
          <w:bCs/>
          <w:color w:val="auto"/>
          <w:sz w:val="24"/>
          <w:szCs w:val="24"/>
        </w:rPr>
        <w:tab/>
      </w:r>
      <w:r>
        <w:rPr>
          <w:rFonts w:hint="eastAsia" w:ascii="宋体" w:hAnsi="宋体"/>
          <w:b/>
          <w:bCs/>
          <w:color w:val="auto"/>
          <w:sz w:val="24"/>
          <w:szCs w:val="24"/>
        </w:rPr>
        <w:t>委托人派遣的人员和提供的房屋、资料、设备</w:t>
      </w:r>
    </w:p>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B-1委托人派遣的人员</w:t>
      </w:r>
    </w:p>
    <w:tbl>
      <w:tblPr>
        <w:tblStyle w:val="25"/>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2299"/>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名称</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数量</w:t>
            </w: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工作要求</w:t>
            </w: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1.工程技术人员</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2.辅助工作人员</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3.其他人员</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bl>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B-2委托人提供的房屋</w:t>
      </w:r>
    </w:p>
    <w:tbl>
      <w:tblPr>
        <w:tblStyle w:val="25"/>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2299"/>
        <w:gridCol w:w="2300"/>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名称</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数量</w:t>
            </w: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面积</w:t>
            </w: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1.办公用房</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2.生活用房</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3.试验用房</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4.样品用房</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用餐及其他生活条件</w:t>
            </w:r>
          </w:p>
        </w:tc>
        <w:tc>
          <w:tcPr>
            <w:tcW w:w="2299"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300"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bl>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B-3委托人提供的资料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2296"/>
        <w:gridCol w:w="2297"/>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名称</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份数</w:t>
            </w: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提供时间</w:t>
            </w: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1.工程立项文件</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2.工程勘察文件</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3.工程设计及施工图纸</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4.工程承包合同及其他相关合同</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5.施工许可文件</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6.其他文件</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bl>
    <w:p>
      <w:pPr>
        <w:pStyle w:val="18"/>
        <w:numPr>
          <w:ilvl w:val="0"/>
          <w:numId w:val="0"/>
        </w:numPr>
        <w:adjustRightInd w:val="0"/>
        <w:spacing w:line="360" w:lineRule="auto"/>
        <w:textAlignment w:val="baseline"/>
        <w:rPr>
          <w:rFonts w:hint="eastAsia" w:ascii="宋体" w:hAnsi="宋体"/>
          <w:b/>
          <w:bCs/>
          <w:color w:val="auto"/>
          <w:sz w:val="24"/>
          <w:szCs w:val="24"/>
        </w:rPr>
      </w:pPr>
      <w:r>
        <w:rPr>
          <w:rFonts w:hint="eastAsia" w:ascii="宋体" w:hAnsi="宋体"/>
          <w:b/>
          <w:bCs/>
          <w:color w:val="auto"/>
          <w:sz w:val="24"/>
          <w:szCs w:val="24"/>
        </w:rPr>
        <w:t>B-4委托人提供的设备</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2296"/>
        <w:gridCol w:w="2297"/>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名称</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数量</w:t>
            </w: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型号与规格</w:t>
            </w: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1.通讯设备</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2.办公设备</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3.交通工具</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r>
              <w:rPr>
                <w:rFonts w:hint="eastAsia" w:ascii="宋体" w:hAnsi="宋体"/>
                <w:color w:val="auto"/>
                <w:sz w:val="24"/>
                <w:szCs w:val="24"/>
              </w:rPr>
              <w:t>4.检测和试验设备</w:t>
            </w:r>
          </w:p>
        </w:tc>
        <w:tc>
          <w:tcPr>
            <w:tcW w:w="2296"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c>
          <w:tcPr>
            <w:tcW w:w="2297" w:type="dxa"/>
            <w:noWrap w:val="0"/>
            <w:vAlign w:val="center"/>
          </w:tcPr>
          <w:p>
            <w:pPr>
              <w:pStyle w:val="18"/>
              <w:keepNext w:val="0"/>
              <w:keepLines w:val="0"/>
              <w:pageBreakBefore w:val="0"/>
              <w:widowControl/>
              <w:numPr>
                <w:ilvl w:val="0"/>
                <w:numId w:val="0"/>
              </w:numPr>
              <w:kinsoku/>
              <w:wordWrap/>
              <w:overflowPunct/>
              <w:topLinePunct w:val="0"/>
              <w:autoSpaceDE/>
              <w:autoSpaceDN/>
              <w:bidi w:val="0"/>
              <w:adjustRightInd w:val="0"/>
              <w:snapToGrid/>
              <w:spacing w:line="240" w:lineRule="auto"/>
              <w:jc w:val="center"/>
              <w:textAlignment w:val="baseline"/>
              <w:rPr>
                <w:rFonts w:hint="eastAsia" w:ascii="宋体" w:hAnsi="宋体"/>
                <w:color w:val="auto"/>
                <w:sz w:val="24"/>
                <w:szCs w:val="24"/>
                <w:vertAlign w:val="baseline"/>
              </w:rPr>
            </w:pPr>
          </w:p>
        </w:tc>
      </w:tr>
    </w:tbl>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附加协议条款：</w:t>
      </w:r>
    </w:p>
    <w:p>
      <w:pPr>
        <w:pStyle w:val="18"/>
        <w:numPr>
          <w:ilvl w:val="0"/>
          <w:numId w:val="0"/>
        </w:numPr>
        <w:adjustRightInd w:val="0"/>
        <w:spacing w:line="360" w:lineRule="auto"/>
        <w:textAlignment w:val="baseline"/>
        <w:rPr>
          <w:rFonts w:hint="eastAsia" w:ascii="宋体" w:hAnsi="宋体"/>
          <w:color w:val="auto"/>
          <w:sz w:val="24"/>
          <w:szCs w:val="24"/>
        </w:rPr>
      </w:pPr>
      <w:r>
        <w:rPr>
          <w:rFonts w:hint="eastAsia" w:ascii="宋体" w:hAnsi="宋体"/>
          <w:color w:val="auto"/>
          <w:sz w:val="24"/>
          <w:szCs w:val="24"/>
        </w:rPr>
        <w:t>说明：除招标文件中已经约定的内容，专用条件中的其他条款有中标人与业主另行协商确定。</w:t>
      </w:r>
    </w:p>
    <w:p>
      <w:pPr>
        <w:keepNext w:val="0"/>
        <w:keepLines w:val="0"/>
        <w:pageBreakBefore w:val="0"/>
        <w:widowControl w:val="0"/>
        <w:numPr>
          <w:ilvl w:val="0"/>
          <w:numId w:val="0"/>
        </w:numPr>
        <w:kinsoku/>
        <w:wordWrap/>
        <w:overflowPunct/>
        <w:topLinePunct w:val="0"/>
        <w:bidi w:val="0"/>
        <w:adjustRightInd w:val="0"/>
        <w:snapToGrid/>
        <w:spacing w:line="360" w:lineRule="auto"/>
        <w:ind w:leftChars="0" w:right="0" w:rightChars="0"/>
        <w:textAlignment w:val="baseline"/>
        <w:rPr>
          <w:rFonts w:hint="eastAsia" w:ascii="宋体" w:hAnsi="宋体" w:eastAsia="宋体" w:cs="宋体"/>
          <w:color w:val="000000"/>
          <w:sz w:val="24"/>
          <w:szCs w:val="24"/>
          <w:lang w:val="en-US" w:eastAsia="zh-CN"/>
        </w:rPr>
      </w:pPr>
    </w:p>
    <w:p>
      <w:pPr>
        <w:pStyle w:val="12"/>
        <w:rPr>
          <w:rFonts w:hint="eastAsia"/>
          <w:lang w:val="en-US" w:eastAsia="zh-CN"/>
        </w:rPr>
      </w:pPr>
    </w:p>
    <w:p>
      <w:pPr>
        <w:numPr>
          <w:ilvl w:val="0"/>
          <w:numId w:val="0"/>
        </w:numPr>
        <w:snapToGrid w:val="0"/>
        <w:spacing w:line="360" w:lineRule="auto"/>
        <w:jc w:val="center"/>
        <w:rPr>
          <w:rFonts w:hint="default" w:ascii="宋体" w:hAnsi="宋体" w:eastAsia="宋体" w:cs="宋体"/>
          <w:b/>
          <w:sz w:val="52"/>
          <w:szCs w:val="52"/>
          <w:lang w:val="en-US" w:eastAsia="zh-CN" w:bidi="ar-SA"/>
        </w:rPr>
      </w:pPr>
      <w:r>
        <w:rPr>
          <w:rFonts w:hint="eastAsia" w:ascii="宋体" w:hAnsi="宋体" w:cs="宋体"/>
          <w:b/>
          <w:sz w:val="40"/>
          <w:szCs w:val="40"/>
          <w:lang w:val="en-US" w:eastAsia="zh-CN" w:bidi="ar-SA"/>
        </w:rPr>
        <w:t>第五部分</w:t>
      </w:r>
      <w:r>
        <w:rPr>
          <w:rFonts w:hint="eastAsia" w:ascii="宋体" w:hAnsi="宋体" w:cs="宋体"/>
          <w:b/>
          <w:sz w:val="44"/>
          <w:szCs w:val="44"/>
          <w:lang w:val="en-US" w:eastAsia="zh-CN" w:bidi="ar-SA"/>
        </w:rPr>
        <w:t xml:space="preserve"> </w:t>
      </w:r>
      <w:r>
        <w:rPr>
          <w:rFonts w:hint="eastAsia" w:ascii="宋体" w:hAnsi="宋体" w:eastAsia="宋体" w:cs="宋体"/>
          <w:b/>
          <w:sz w:val="44"/>
          <w:szCs w:val="44"/>
          <w:lang w:val="en-US" w:eastAsia="zh-CN" w:bidi="ar-SA"/>
        </w:rPr>
        <w:t>招标清单及技术参数</w:t>
      </w:r>
    </w:p>
    <w:p>
      <w:pPr>
        <w:pStyle w:val="7"/>
        <w:keepNext w:val="0"/>
        <w:keepLines w:val="0"/>
        <w:pageBreakBefore w:val="0"/>
        <w:widowControl/>
        <w:kinsoku/>
        <w:wordWrap/>
        <w:overflowPunct/>
        <w:topLinePunct w:val="0"/>
        <w:autoSpaceDE/>
        <w:autoSpaceDN/>
        <w:bidi w:val="0"/>
        <w:adjustRightInd/>
        <w:snapToGrid w:val="0"/>
        <w:spacing w:line="360" w:lineRule="auto"/>
        <w:ind w:firstLine="0"/>
        <w:jc w:val="left"/>
        <w:textAlignment w:val="auto"/>
        <w:rPr>
          <w:rFonts w:hint="default" w:ascii="宋体" w:hAnsi="宋体" w:eastAsia="宋体" w:cs="宋体"/>
          <w:b w:val="0"/>
          <w:bCs w:val="0"/>
          <w:color w:val="auto"/>
          <w:sz w:val="24"/>
          <w:szCs w:val="11"/>
          <w:lang w:val="en-US" w:eastAsia="zh-CN"/>
        </w:rPr>
      </w:pPr>
      <w:r>
        <w:rPr>
          <w:rFonts w:hint="eastAsia" w:ascii="宋体" w:hAnsi="宋体" w:eastAsia="宋体" w:cs="宋体"/>
          <w:b w:val="0"/>
          <w:bCs w:val="0"/>
          <w:color w:val="auto"/>
          <w:sz w:val="24"/>
          <w:szCs w:val="11"/>
          <w:lang w:val="en-US" w:eastAsia="zh-CN"/>
        </w:rPr>
        <w:t>1、本次监理内容：和田地区民丰县尼雅镇兰帕村示范村项目（改造提升）施工全过程监理。</w:t>
      </w:r>
    </w:p>
    <w:p>
      <w:pPr>
        <w:pStyle w:val="7"/>
        <w:keepNext w:val="0"/>
        <w:keepLines w:val="0"/>
        <w:pageBreakBefore w:val="0"/>
        <w:widowControl/>
        <w:kinsoku/>
        <w:wordWrap/>
        <w:overflowPunct/>
        <w:topLinePunct w:val="0"/>
        <w:autoSpaceDE/>
        <w:autoSpaceDN/>
        <w:bidi w:val="0"/>
        <w:adjustRightInd/>
        <w:snapToGrid w:val="0"/>
        <w:spacing w:line="360" w:lineRule="auto"/>
        <w:ind w:firstLine="0"/>
        <w:jc w:val="left"/>
        <w:textAlignment w:val="auto"/>
        <w:rPr>
          <w:rFonts w:hint="eastAsia" w:ascii="宋体" w:hAnsi="宋体" w:eastAsia="宋体" w:cs="宋体"/>
          <w:b w:val="0"/>
          <w:bCs w:val="0"/>
          <w:color w:val="auto"/>
          <w:sz w:val="24"/>
          <w:szCs w:val="11"/>
          <w:lang w:val="en-US" w:eastAsia="zh-CN"/>
        </w:rPr>
      </w:pPr>
      <w:r>
        <w:rPr>
          <w:rFonts w:hint="eastAsia" w:ascii="宋体" w:hAnsi="宋体" w:eastAsia="宋体" w:cs="宋体"/>
          <w:b w:val="0"/>
          <w:bCs w:val="0"/>
          <w:color w:val="auto"/>
          <w:sz w:val="24"/>
          <w:szCs w:val="11"/>
          <w:lang w:val="en-US" w:eastAsia="zh-CN"/>
        </w:rPr>
        <w:t>2、监理期限：计划总监理期限91 日历天。（与施工同步） </w:t>
      </w:r>
    </w:p>
    <w:p>
      <w:pPr>
        <w:pStyle w:val="7"/>
        <w:keepNext w:val="0"/>
        <w:keepLines w:val="0"/>
        <w:pageBreakBefore w:val="0"/>
        <w:widowControl/>
        <w:kinsoku/>
        <w:wordWrap/>
        <w:overflowPunct/>
        <w:topLinePunct w:val="0"/>
        <w:autoSpaceDE/>
        <w:autoSpaceDN/>
        <w:bidi w:val="0"/>
        <w:adjustRightInd/>
        <w:snapToGrid w:val="0"/>
        <w:spacing w:line="360" w:lineRule="auto"/>
        <w:ind w:firstLine="0"/>
        <w:jc w:val="left"/>
        <w:textAlignment w:val="auto"/>
        <w:rPr>
          <w:rFonts w:hint="default" w:ascii="Tahoma" w:hAnsi="Tahoma" w:eastAsia="黑体" w:cs="Tahoma"/>
          <w:b/>
          <w:bCs/>
          <w:color w:val="auto"/>
          <w:sz w:val="44"/>
        </w:rPr>
      </w:pPr>
      <w:r>
        <w:rPr>
          <w:rFonts w:hint="eastAsia" w:ascii="宋体" w:hAnsi="宋体" w:eastAsia="宋体" w:cs="宋体"/>
          <w:b w:val="0"/>
          <w:bCs w:val="0"/>
          <w:color w:val="auto"/>
          <w:sz w:val="24"/>
          <w:szCs w:val="11"/>
          <w:lang w:val="en-US" w:eastAsia="zh-CN"/>
        </w:rPr>
        <w:t>3、</w:t>
      </w:r>
      <w:r>
        <w:rPr>
          <w:rFonts w:hint="eastAsia" w:ascii="宋体" w:hAnsi="宋体" w:eastAsia="宋体" w:cs="宋体"/>
          <w:b w:val="0"/>
          <w:bCs w:val="0"/>
          <w:color w:val="auto"/>
          <w:sz w:val="24"/>
          <w:szCs w:val="11"/>
        </w:rPr>
        <w:t>本工程的监理服务均须执行中华人民共和国国家标准及住房和城乡建设部颁发的有关建筑工程、市政工程现行的规程、标准、规范、办法，以及住房和城乡建设部、新疆维吾尔自治区住房和城乡建设行政主管部门下发的有关建设工程监理方面的文件、规定。</w:t>
      </w:r>
    </w:p>
    <w:p>
      <w:pPr>
        <w:numPr>
          <w:ilvl w:val="0"/>
          <w:numId w:val="0"/>
        </w:numPr>
        <w:snapToGrid w:val="0"/>
        <w:spacing w:line="360" w:lineRule="auto"/>
        <w:jc w:val="center"/>
        <w:rPr>
          <w:rFonts w:hint="eastAsia" w:ascii="宋体" w:hAnsi="宋体" w:eastAsia="宋体" w:cs="宋体"/>
          <w:b w:val="0"/>
          <w:bCs/>
          <w:sz w:val="40"/>
          <w:szCs w:val="40"/>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p>
    <w:p>
      <w:pPr>
        <w:numPr>
          <w:ilvl w:val="0"/>
          <w:numId w:val="0"/>
        </w:numPr>
        <w:snapToGrid w:val="0"/>
        <w:spacing w:line="360" w:lineRule="auto"/>
        <w:jc w:val="center"/>
        <w:rPr>
          <w:rFonts w:hint="eastAsia" w:ascii="宋体" w:hAnsi="宋体" w:eastAsia="宋体" w:cs="宋体"/>
          <w:b/>
          <w:sz w:val="52"/>
          <w:szCs w:val="52"/>
          <w:lang w:val="en-US" w:eastAsia="zh-CN" w:bidi="ar-SA"/>
        </w:rPr>
      </w:pPr>
      <w:r>
        <w:rPr>
          <w:rFonts w:hint="eastAsia" w:ascii="宋体" w:hAnsi="宋体" w:eastAsia="宋体" w:cs="宋体"/>
          <w:b/>
          <w:sz w:val="52"/>
          <w:szCs w:val="52"/>
          <w:lang w:val="en-US" w:eastAsia="zh-CN" w:bidi="ar-SA"/>
        </w:rPr>
        <w:t>第六部分、谈判响应文件格式</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一、</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提交投标文件须知：</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应严格按照以下顺序填写和提交下述规定的全部格式文件以及其他有关资料，混乱的编排导致投标文件被误读或评标小组查找不到有效文件是</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的风险。</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2、所附表格中要求回答的全部问题和/或信息都必须正面回答。</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3、本声明书的签字人应保证全部声明和问题的回答是真实的和准确的。</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4、评标委员会将应用</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提交的资料根据自己的判断和考虑决定</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履行合同的合格性及能力。</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5、</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提交的材料将在一定期限内被保密保存，但不退还。</w:t>
      </w:r>
    </w:p>
    <w:p>
      <w:pPr>
        <w:pageBreakBefore w:val="0"/>
        <w:kinsoku/>
        <w:wordWrap/>
        <w:topLinePunct w:val="0"/>
        <w:bidi w:val="0"/>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rPr>
        <w:t>6、全部文件应按</w:t>
      </w:r>
      <w:r>
        <w:rPr>
          <w:rFonts w:hint="eastAsia" w:ascii="宋体" w:hAnsi="宋体" w:eastAsia="宋体" w:cs="宋体"/>
          <w:sz w:val="28"/>
          <w:szCs w:val="28"/>
          <w:highlight w:val="none"/>
          <w:lang w:eastAsia="zh-CN"/>
        </w:rPr>
        <w:t>供应商</w:t>
      </w:r>
      <w:r>
        <w:rPr>
          <w:rFonts w:hint="eastAsia" w:ascii="宋体" w:hAnsi="宋体" w:eastAsia="宋体" w:cs="宋体"/>
          <w:sz w:val="28"/>
          <w:szCs w:val="28"/>
          <w:highlight w:val="none"/>
        </w:rPr>
        <w:t>须知中规定的语言和份数提交。投标文件组成漏项或未按规定的格式编制或投标文件正、副本份数不足，内容不全或内容字迹模糊辨认不清的情况，将有可能被评标小组认定为投标无效。</w:t>
      </w:r>
    </w:p>
    <w:p>
      <w:pPr>
        <w:pageBreakBefore w:val="0"/>
        <w:kinsoku/>
        <w:wordWrap/>
        <w:topLinePunct w:val="0"/>
        <w:bidi w:val="0"/>
        <w:spacing w:line="360" w:lineRule="auto"/>
        <w:ind w:firstLine="1040" w:firstLineChars="200"/>
        <w:rPr>
          <w:rFonts w:hint="eastAsia" w:ascii="宋体" w:hAnsi="宋体" w:eastAsia="宋体" w:cs="宋体"/>
          <w:b w:val="0"/>
          <w:bCs/>
          <w:sz w:val="52"/>
          <w:szCs w:val="52"/>
          <w:lang w:val="en-US" w:eastAsia="zh-CN" w:bidi="ar-SA"/>
        </w:rPr>
      </w:pPr>
    </w:p>
    <w:p>
      <w:pPr>
        <w:rPr>
          <w:rFonts w:hint="eastAsia" w:ascii="宋体" w:hAnsi="宋体" w:eastAsia="宋体" w:cs="宋体"/>
          <w:b/>
          <w:sz w:val="52"/>
          <w:szCs w:val="52"/>
          <w:lang w:val="en-US" w:eastAsia="zh-CN" w:bidi="ar-SA"/>
        </w:rPr>
      </w:pPr>
    </w:p>
    <w:p>
      <w:pPr>
        <w:pStyle w:val="5"/>
        <w:outlineLvl w:val="9"/>
        <w:rPr>
          <w:rFonts w:hint="eastAsia" w:ascii="宋体" w:hAnsi="宋体" w:eastAsia="宋体" w:cs="宋体"/>
          <w:b/>
          <w:sz w:val="52"/>
          <w:szCs w:val="52"/>
          <w:lang w:val="en-US" w:eastAsia="zh-CN" w:bidi="ar-SA"/>
        </w:rPr>
      </w:pPr>
    </w:p>
    <w:p>
      <w:pPr>
        <w:rPr>
          <w:rFonts w:hint="eastAsia" w:ascii="宋体" w:hAnsi="宋体" w:eastAsia="宋体" w:cs="宋体"/>
          <w:b/>
          <w:sz w:val="52"/>
          <w:szCs w:val="52"/>
          <w:lang w:val="en-US" w:eastAsia="zh-CN" w:bidi="ar-SA"/>
        </w:rPr>
      </w:pPr>
    </w:p>
    <w:p>
      <w:pPr>
        <w:pStyle w:val="5"/>
        <w:outlineLvl w:val="9"/>
        <w:rPr>
          <w:rFonts w:hint="eastAsia" w:ascii="宋体" w:hAnsi="宋体" w:eastAsia="宋体" w:cs="宋体"/>
          <w:b/>
          <w:sz w:val="52"/>
          <w:szCs w:val="52"/>
          <w:lang w:val="en-US" w:eastAsia="zh-CN" w:bidi="ar-SA"/>
        </w:rPr>
      </w:pPr>
    </w:p>
    <w:p>
      <w:pPr>
        <w:rPr>
          <w:rFonts w:hint="eastAsia" w:ascii="宋体" w:hAnsi="宋体" w:eastAsia="宋体" w:cs="宋体"/>
          <w:b/>
          <w:sz w:val="52"/>
          <w:szCs w:val="52"/>
          <w:lang w:val="en-US" w:eastAsia="zh-CN" w:bidi="ar-SA"/>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tbl>
      <w:tblPr>
        <w:tblStyle w:val="24"/>
        <w:tblpPr w:leftFromText="180" w:rightFromText="180" w:vertAnchor="text" w:horzAnchor="page" w:tblpX="9168" w:tblpY="764"/>
        <w:tblW w:w="1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70" w:type="dxa"/>
            <w:noWrap w:val="0"/>
            <w:vAlign w:val="center"/>
          </w:tcPr>
          <w:p>
            <w:pPr>
              <w:rPr>
                <w:rFonts w:hint="default" w:ascii="仿宋" w:hAnsi="仿宋" w:eastAsia="仿宋" w:cs="仿宋"/>
                <w:b/>
                <w:color w:val="000000"/>
                <w:highlight w:val="none"/>
                <w:lang w:val="en-US" w:eastAsia="zh-CN"/>
              </w:rPr>
            </w:pPr>
            <w:bookmarkStart w:id="70" w:name="_Toc30075_WPSOffice_Level2"/>
            <w:r>
              <w:br w:type="page"/>
            </w:r>
            <w:r>
              <w:rPr>
                <w:rFonts w:hint="eastAsia" w:ascii="仿宋" w:hAnsi="仿宋" w:eastAsia="仿宋" w:cs="仿宋"/>
                <w:b/>
                <w:color w:val="000000"/>
                <w:highlight w:val="none"/>
              </w:rPr>
              <w:t>正本</w:t>
            </w:r>
            <w:r>
              <w:rPr>
                <w:rFonts w:hint="eastAsia" w:ascii="仿宋" w:hAnsi="仿宋" w:eastAsia="仿宋" w:cs="仿宋"/>
                <w:b/>
                <w:color w:val="000000"/>
                <w:highlight w:val="none"/>
                <w:lang w:val="en-US" w:eastAsia="zh-CN"/>
              </w:rPr>
              <w:t>/副本</w:t>
            </w:r>
          </w:p>
        </w:tc>
      </w:tr>
    </w:tbl>
    <w:p>
      <w:pPr>
        <w:ind w:firstLine="562"/>
        <w:rPr>
          <w:rFonts w:hint="eastAsia" w:ascii="宋体" w:hAnsi="宋体"/>
          <w:b/>
          <w:sz w:val="28"/>
          <w:szCs w:val="28"/>
        </w:rPr>
      </w:pPr>
    </w:p>
    <w:p>
      <w:pPr>
        <w:ind w:firstLine="562"/>
        <w:rPr>
          <w:rFonts w:hint="eastAsia" w:ascii="宋体" w:hAnsi="宋体" w:eastAsia="微软雅黑"/>
          <w:b/>
          <w:sz w:val="28"/>
          <w:szCs w:val="28"/>
        </w:rPr>
      </w:pPr>
    </w:p>
    <w:p>
      <w:pPr>
        <w:ind w:firstLine="562"/>
        <w:rPr>
          <w:rFonts w:hint="eastAsia" w:ascii="宋体" w:hAnsi="宋体" w:eastAsia="微软雅黑"/>
          <w:b/>
          <w:sz w:val="28"/>
          <w:szCs w:val="28"/>
        </w:rPr>
      </w:pPr>
    </w:p>
    <w:p>
      <w:pPr>
        <w:adjustRightInd w:val="0"/>
        <w:snapToGrid w:val="0"/>
        <w:spacing w:line="500" w:lineRule="atLeast"/>
        <w:ind w:firstLine="480"/>
        <w:jc w:val="center"/>
        <w:rPr>
          <w:rFonts w:hint="eastAsia" w:ascii="宋体" w:hAnsi="宋体" w:eastAsia="微软雅黑"/>
          <w:u w:val="single"/>
        </w:rPr>
      </w:pPr>
    </w:p>
    <w:p>
      <w:pPr>
        <w:adjustRightInd w:val="0"/>
        <w:snapToGrid w:val="0"/>
        <w:spacing w:line="500" w:lineRule="atLeast"/>
        <w:ind w:firstLine="1920" w:firstLineChars="600"/>
        <w:rPr>
          <w:rFonts w:hint="eastAsia" w:ascii="宋体" w:hAnsi="宋体" w:eastAsia="微软雅黑"/>
          <w:sz w:val="32"/>
        </w:rPr>
      </w:pPr>
      <w:r>
        <w:rPr>
          <w:rFonts w:hint="eastAsia" w:ascii="宋体" w:hAnsi="宋体" w:eastAsia="微软雅黑"/>
          <w:sz w:val="32"/>
          <w:u w:val="single"/>
        </w:rPr>
        <w:t xml:space="preserve">                            </w:t>
      </w:r>
      <w:r>
        <w:rPr>
          <w:rFonts w:hint="eastAsia" w:ascii="宋体" w:hAnsi="宋体" w:eastAsia="微软雅黑"/>
          <w:sz w:val="32"/>
        </w:rPr>
        <w:t>项目</w:t>
      </w:r>
    </w:p>
    <w:p>
      <w:pPr>
        <w:adjustRightInd w:val="0"/>
        <w:snapToGrid w:val="0"/>
        <w:spacing w:line="500" w:lineRule="atLeast"/>
        <w:ind w:firstLine="482"/>
        <w:jc w:val="center"/>
        <w:rPr>
          <w:rFonts w:hint="eastAsia" w:ascii="宋体" w:hAnsi="宋体" w:eastAsia="微软雅黑"/>
          <w:b/>
          <w:bCs/>
        </w:rPr>
      </w:pPr>
    </w:p>
    <w:p>
      <w:pPr>
        <w:adjustRightInd w:val="0"/>
        <w:snapToGrid w:val="0"/>
        <w:spacing w:line="500" w:lineRule="atLeast"/>
        <w:ind w:firstLine="2521" w:firstLineChars="300"/>
        <w:rPr>
          <w:rFonts w:hint="eastAsia" w:ascii="宋体" w:hAnsi="宋体" w:eastAsia="微软雅黑"/>
          <w:b/>
          <w:bCs/>
          <w:sz w:val="84"/>
          <w:szCs w:val="84"/>
        </w:rPr>
      </w:pPr>
      <w:r>
        <w:rPr>
          <w:rFonts w:hint="eastAsia" w:ascii="宋体" w:hAnsi="宋体" w:eastAsia="微软雅黑"/>
          <w:b/>
          <w:bCs/>
          <w:sz w:val="84"/>
          <w:szCs w:val="84"/>
        </w:rPr>
        <w:t>投标文件</w:t>
      </w:r>
    </w:p>
    <w:p>
      <w:pPr>
        <w:adjustRightInd w:val="0"/>
        <w:snapToGrid w:val="0"/>
        <w:spacing w:line="500" w:lineRule="atLeast"/>
        <w:ind w:firstLine="2560" w:firstLineChars="800"/>
        <w:rPr>
          <w:rFonts w:hint="eastAsia" w:ascii="宋体" w:hAnsi="宋体" w:eastAsia="微软雅黑"/>
          <w:sz w:val="32"/>
          <w:szCs w:val="32"/>
        </w:rPr>
      </w:pPr>
      <w:r>
        <w:rPr>
          <w:rFonts w:hint="eastAsia" w:ascii="宋体" w:hAnsi="宋体" w:eastAsia="微软雅黑"/>
          <w:sz w:val="32"/>
          <w:szCs w:val="32"/>
        </w:rPr>
        <w:t>（采购编号：         ）</w:t>
      </w: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rPr>
          <w:rFonts w:hint="eastAsia" w:ascii="宋体" w:hAnsi="宋体" w:eastAsia="微软雅黑"/>
        </w:rPr>
      </w:pPr>
      <w:r>
        <w:rPr>
          <w:rFonts w:hint="eastAsia" w:ascii="宋体" w:hAnsi="宋体" w:eastAsia="微软雅黑"/>
        </w:rPr>
        <w:t xml:space="preserve">                                       </w:t>
      </w:r>
    </w:p>
    <w:p>
      <w:pPr>
        <w:adjustRightInd w:val="0"/>
        <w:snapToGrid w:val="0"/>
        <w:spacing w:line="500" w:lineRule="atLeast"/>
        <w:ind w:firstLine="480"/>
        <w:jc w:val="center"/>
        <w:rPr>
          <w:rFonts w:hint="eastAsia" w:ascii="宋体" w:hAnsi="宋体" w:eastAsia="微软雅黑"/>
        </w:rPr>
      </w:pPr>
    </w:p>
    <w:p>
      <w:pPr>
        <w:adjustRightInd w:val="0"/>
        <w:snapToGrid w:val="0"/>
        <w:spacing w:line="500" w:lineRule="atLeast"/>
        <w:ind w:firstLine="480"/>
        <w:jc w:val="center"/>
        <w:rPr>
          <w:rFonts w:hint="eastAsia" w:ascii="宋体" w:hAnsi="宋体" w:eastAsia="微软雅黑"/>
        </w:rPr>
      </w:pPr>
    </w:p>
    <w:p>
      <w:pPr>
        <w:widowControl w:val="0"/>
        <w:spacing w:line="360" w:lineRule="auto"/>
        <w:ind w:firstLine="560"/>
        <w:jc w:val="both"/>
        <w:rPr>
          <w:rFonts w:hint="eastAsia" w:ascii="宋体" w:hAnsi="Courier New" w:eastAsia="宋体" w:cs="Times New Roman"/>
          <w:kern w:val="2"/>
          <w:sz w:val="24"/>
          <w:szCs w:val="24"/>
          <w:lang w:val="en-US" w:eastAsia="zh-CN" w:bidi="ar-SA"/>
        </w:rPr>
      </w:pPr>
    </w:p>
    <w:p>
      <w:pPr>
        <w:adjustRightInd w:val="0"/>
        <w:snapToGrid w:val="0"/>
        <w:spacing w:line="500" w:lineRule="atLeast"/>
        <w:ind w:firstLine="932" w:firstLineChars="444"/>
        <w:rPr>
          <w:rFonts w:hint="eastAsia" w:ascii="宋体" w:hAnsi="宋体" w:eastAsia="微软雅黑"/>
        </w:rPr>
      </w:pPr>
    </w:p>
    <w:p>
      <w:pPr>
        <w:adjustRightInd w:val="0"/>
        <w:snapToGrid w:val="0"/>
        <w:spacing w:line="500" w:lineRule="atLeast"/>
        <w:ind w:firstLine="1523" w:firstLineChars="544"/>
        <w:rPr>
          <w:rFonts w:hint="eastAsia" w:ascii="宋体" w:hAnsi="宋体" w:eastAsia="微软雅黑"/>
          <w:sz w:val="28"/>
          <w:szCs w:val="28"/>
          <w:u w:val="single"/>
        </w:rPr>
      </w:pPr>
      <w:r>
        <w:rPr>
          <w:rFonts w:hint="eastAsia" w:ascii="宋体" w:hAnsi="宋体" w:eastAsia="微软雅黑"/>
          <w:sz w:val="28"/>
          <w:szCs w:val="28"/>
        </w:rPr>
        <w:t>投标人：</w:t>
      </w:r>
      <w:r>
        <w:rPr>
          <w:rFonts w:hint="eastAsia" w:ascii="宋体" w:hAnsi="宋体" w:eastAsia="微软雅黑"/>
          <w:sz w:val="28"/>
          <w:szCs w:val="28"/>
          <w:u w:val="single"/>
        </w:rPr>
        <w:t xml:space="preserve">          （盖章）           </w:t>
      </w:r>
    </w:p>
    <w:p>
      <w:pPr>
        <w:adjustRightInd w:val="0"/>
        <w:snapToGrid w:val="0"/>
        <w:spacing w:line="500" w:lineRule="atLeast"/>
        <w:ind w:firstLine="1500" w:firstLineChars="536"/>
        <w:rPr>
          <w:rFonts w:hint="eastAsia" w:ascii="宋体" w:hAnsi="宋体" w:eastAsia="微软雅黑"/>
          <w:sz w:val="28"/>
          <w:szCs w:val="28"/>
        </w:rPr>
      </w:pPr>
      <w:r>
        <w:rPr>
          <w:rFonts w:hint="eastAsia" w:ascii="宋体" w:hAnsi="宋体" w:eastAsia="微软雅黑"/>
          <w:sz w:val="28"/>
          <w:szCs w:val="28"/>
        </w:rPr>
        <w:t>法定代表人或委托代理人：</w:t>
      </w:r>
      <w:r>
        <w:rPr>
          <w:rFonts w:hint="eastAsia" w:ascii="宋体" w:hAnsi="宋体" w:eastAsia="微软雅黑"/>
          <w:sz w:val="28"/>
          <w:szCs w:val="28"/>
          <w:u w:val="single"/>
        </w:rPr>
        <w:t xml:space="preserve">（签字或盖章）   </w:t>
      </w:r>
    </w:p>
    <w:p>
      <w:pPr>
        <w:adjustRightInd w:val="0"/>
        <w:snapToGrid w:val="0"/>
        <w:spacing w:line="500" w:lineRule="atLeast"/>
        <w:ind w:firstLine="1523" w:firstLineChars="544"/>
        <w:rPr>
          <w:rFonts w:hint="eastAsia" w:ascii="宋体" w:hAnsi="宋体" w:eastAsia="微软雅黑"/>
          <w:sz w:val="28"/>
          <w:szCs w:val="28"/>
        </w:rPr>
      </w:pPr>
      <w:r>
        <w:rPr>
          <w:rFonts w:hint="eastAsia" w:ascii="宋体" w:hAnsi="宋体" w:eastAsia="微软雅黑"/>
          <w:sz w:val="28"/>
          <w:szCs w:val="28"/>
        </w:rPr>
        <w:t>日      期：</w:t>
      </w:r>
      <w:r>
        <w:rPr>
          <w:rFonts w:hint="eastAsia" w:ascii="宋体" w:hAnsi="宋体" w:eastAsia="微软雅黑"/>
          <w:sz w:val="28"/>
          <w:szCs w:val="28"/>
          <w:u w:val="single"/>
        </w:rPr>
        <w:t xml:space="preserve">        </w:t>
      </w:r>
      <w:r>
        <w:rPr>
          <w:rFonts w:hint="eastAsia" w:ascii="宋体" w:hAnsi="宋体" w:eastAsia="微软雅黑"/>
          <w:sz w:val="28"/>
          <w:szCs w:val="28"/>
        </w:rPr>
        <w:t>年</w:t>
      </w:r>
      <w:r>
        <w:rPr>
          <w:rFonts w:hint="eastAsia" w:ascii="宋体" w:hAnsi="宋体" w:eastAsia="微软雅黑"/>
          <w:sz w:val="28"/>
          <w:szCs w:val="28"/>
          <w:u w:val="single"/>
        </w:rPr>
        <w:t xml:space="preserve">      </w:t>
      </w:r>
      <w:r>
        <w:rPr>
          <w:rFonts w:hint="eastAsia" w:ascii="宋体" w:hAnsi="宋体" w:eastAsia="微软雅黑"/>
          <w:sz w:val="28"/>
          <w:szCs w:val="28"/>
        </w:rPr>
        <w:t>月</w:t>
      </w:r>
      <w:r>
        <w:rPr>
          <w:rFonts w:hint="eastAsia" w:ascii="宋体" w:hAnsi="宋体" w:eastAsia="微软雅黑"/>
          <w:sz w:val="28"/>
          <w:szCs w:val="28"/>
          <w:u w:val="single"/>
        </w:rPr>
        <w:t xml:space="preserve">     </w:t>
      </w:r>
      <w:r>
        <w:rPr>
          <w:rFonts w:hint="eastAsia" w:ascii="宋体" w:hAnsi="宋体" w:eastAsia="微软雅黑"/>
          <w:sz w:val="28"/>
          <w:szCs w:val="28"/>
        </w:rPr>
        <w:t>日</w:t>
      </w:r>
    </w:p>
    <w:p>
      <w:pPr>
        <w:pStyle w:val="8"/>
        <w:rPr>
          <w:rFonts w:hint="eastAsia"/>
          <w:lang w:val="en-US" w:eastAsia="zh-CN"/>
        </w:rPr>
      </w:pPr>
    </w:p>
    <w:p>
      <w:pPr>
        <w:pStyle w:val="22"/>
        <w:rPr>
          <w:rFonts w:hint="eastAsia"/>
          <w:highlight w:val="none"/>
          <w:lang w:val="en-US" w:eastAsia="zh-CN"/>
        </w:rPr>
      </w:pPr>
    </w:p>
    <w:bookmarkEnd w:id="69"/>
    <w:bookmarkEnd w:id="70"/>
    <w:p>
      <w:pPr>
        <w:adjustRightInd w:val="0"/>
        <w:snapToGrid w:val="0"/>
        <w:spacing w:line="480" w:lineRule="atLeast"/>
        <w:jc w:val="both"/>
        <w:rPr>
          <w:rFonts w:hint="eastAsia" w:ascii="宋体" w:hAnsi="宋体" w:eastAsia="宋体" w:cs="宋体"/>
          <w:color w:val="000000"/>
          <w:sz w:val="24"/>
          <w:highlight w:val="none"/>
        </w:rPr>
      </w:pPr>
    </w:p>
    <w:p>
      <w:pPr>
        <w:pStyle w:val="5"/>
        <w:outlineLvl w:val="9"/>
        <w:rPr>
          <w:rFonts w:hint="eastAsia" w:ascii="宋体" w:hAnsi="宋体" w:eastAsia="宋体" w:cs="宋体"/>
          <w:color w:val="000000"/>
          <w:sz w:val="24"/>
          <w:highlight w:val="none"/>
        </w:rPr>
      </w:pPr>
    </w:p>
    <w:p>
      <w:pPr>
        <w:rPr>
          <w:rFonts w:hint="eastAsia" w:ascii="宋体" w:hAnsi="宋体" w:eastAsia="宋体" w:cs="宋体"/>
          <w:color w:val="000000"/>
          <w:sz w:val="24"/>
          <w:highlight w:val="none"/>
        </w:rPr>
      </w:pPr>
    </w:p>
    <w:p>
      <w:pPr>
        <w:pStyle w:val="2"/>
        <w:rPr>
          <w:rFonts w:hint="eastAsia"/>
        </w:rPr>
      </w:pPr>
    </w:p>
    <w:p>
      <w:pPr>
        <w:rPr>
          <w:rFonts w:hint="eastAsia"/>
        </w:rPr>
      </w:pPr>
    </w:p>
    <w:p>
      <w:pPr>
        <w:adjustRightInd w:val="0"/>
        <w:snapToGrid w:val="0"/>
        <w:spacing w:line="480" w:lineRule="atLeast"/>
        <w:jc w:val="center"/>
        <w:rPr>
          <w:rFonts w:hint="eastAsia" w:ascii="宋体" w:hAnsi="宋体" w:eastAsia="宋体" w:cs="宋体"/>
          <w:b/>
          <w:color w:val="000000"/>
          <w:spacing w:val="40"/>
          <w:sz w:val="44"/>
          <w:highlight w:val="none"/>
        </w:rPr>
      </w:pPr>
      <w:r>
        <w:rPr>
          <w:rFonts w:hint="eastAsia" w:ascii="宋体" w:hAnsi="宋体" w:eastAsia="宋体" w:cs="宋体"/>
          <w:b/>
          <w:color w:val="000000"/>
          <w:spacing w:val="40"/>
          <w:sz w:val="44"/>
          <w:highlight w:val="none"/>
        </w:rPr>
        <w:t>响应文件目录</w:t>
      </w:r>
    </w:p>
    <w:p>
      <w:pPr>
        <w:adjustRightInd w:val="0"/>
        <w:snapToGrid w:val="0"/>
        <w:spacing w:line="480" w:lineRule="auto"/>
        <w:rPr>
          <w:rFonts w:hint="eastAsia" w:ascii="宋体" w:hAnsi="宋体" w:eastAsia="宋体" w:cs="宋体"/>
          <w:b/>
          <w:bCs/>
          <w:color w:val="000000"/>
          <w:kern w:val="2"/>
          <w:sz w:val="32"/>
          <w:szCs w:val="22"/>
          <w:highlight w:val="none"/>
          <w:lang w:val="en-US" w:eastAsia="zh-CN" w:bidi="ar-SA"/>
        </w:rPr>
      </w:pP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监理投标书</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法定代表人身份证明</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法定代表人授权委托书</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监理费用构成明细表</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项目总监理工程师情况一览表</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专业监理工程师、监理员配备一览表</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主要检测设备仪器一览表</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企业承担类似或相近工程情况一览表</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供应商资格条件提供材料</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监理大纲</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保证金证明材料</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承诺书</w:t>
      </w:r>
    </w:p>
    <w:p>
      <w:pPr>
        <w:numPr>
          <w:ilvl w:val="0"/>
          <w:numId w:val="3"/>
        </w:numPr>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中小企业声明函</w:t>
      </w:r>
    </w:p>
    <w:p>
      <w:pPr>
        <w:pStyle w:val="7"/>
        <w:ind w:left="0" w:leftChars="0" w:firstLine="0" w:firstLineChars="0"/>
        <w:rPr>
          <w:rFonts w:hint="eastAsia" w:ascii="宋体" w:hAnsi="宋体" w:eastAsia="宋体" w:cs="宋体"/>
          <w:b/>
          <w:bCs/>
          <w:color w:val="000000"/>
          <w:kern w:val="2"/>
          <w:sz w:val="28"/>
          <w:szCs w:val="21"/>
          <w:highlight w:val="none"/>
          <w:lang w:val="en-US" w:eastAsia="zh-CN" w:bidi="ar-SA"/>
        </w:rPr>
      </w:pPr>
      <w:r>
        <w:rPr>
          <w:rFonts w:hint="eastAsia" w:ascii="宋体" w:hAnsi="宋体" w:eastAsia="宋体" w:cs="宋体"/>
          <w:b/>
          <w:bCs/>
          <w:color w:val="000000"/>
          <w:kern w:val="2"/>
          <w:sz w:val="28"/>
          <w:szCs w:val="21"/>
          <w:highlight w:val="none"/>
          <w:lang w:val="en-US" w:eastAsia="zh-CN" w:bidi="ar-SA"/>
        </w:rPr>
        <w:t>十四、磋商响应人认为应附的其他资料（格式自拟）</w:t>
      </w: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注：1、投标文件须按以上顺序排列和装订投标文件，须有连续标注页码和目录</w:t>
      </w:r>
    </w:p>
    <w:p>
      <w:pPr>
        <w:pStyle w:val="7"/>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2、只接受 A4 纸张大小的投标文件</w:t>
      </w:r>
      <w:r>
        <w:rPr>
          <w:rFonts w:hint="eastAsia" w:ascii="宋体" w:hAnsi="宋体" w:eastAsia="宋体" w:cs="宋体"/>
          <w:b/>
          <w:bCs/>
          <w:color w:val="000000"/>
          <w:sz w:val="24"/>
          <w:highlight w:val="none"/>
        </w:rPr>
        <w:tab/>
      </w:r>
    </w:p>
    <w:p>
      <w:pPr>
        <w:pStyle w:val="7"/>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3、投标文件不接受双面打印</w:t>
      </w:r>
    </w:p>
    <w:p>
      <w:pPr>
        <w:pStyle w:val="7"/>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4、文件中所附文件复印件或影印件含糊不清，导致无法辨认的，其投标将被否决。</w:t>
      </w:r>
    </w:p>
    <w:p>
      <w:pPr>
        <w:pStyle w:val="7"/>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投标文件未按要求制作将作为废标处理</w:t>
      </w:r>
    </w:p>
    <w:p>
      <w:pPr>
        <w:pStyle w:val="7"/>
        <w:rPr>
          <w:rFonts w:hint="eastAsia" w:ascii="宋体" w:hAnsi="宋体" w:eastAsia="宋体" w:cs="宋体"/>
          <w:highlight w:val="none"/>
        </w:rPr>
      </w:pPr>
      <w:r>
        <w:rPr>
          <w:rFonts w:hint="eastAsia" w:ascii="宋体" w:hAnsi="宋体" w:eastAsia="宋体" w:cs="宋体"/>
          <w:b/>
          <w:bCs/>
          <w:color w:val="000000"/>
          <w:sz w:val="24"/>
          <w:highlight w:val="none"/>
        </w:rPr>
        <w:t>投标文件的内容包括但不仅限于上述内容，如有不足请自行补充。</w:t>
      </w: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rPr>
          <w:rFonts w:hint="eastAsia" w:ascii="宋体" w:hAnsi="宋体" w:eastAsia="宋体" w:cs="宋体"/>
          <w:highlight w:val="none"/>
        </w:rPr>
      </w:pPr>
    </w:p>
    <w:p>
      <w:pPr>
        <w:pStyle w:val="12"/>
        <w:rPr>
          <w:rFonts w:hint="eastAsia" w:ascii="宋体" w:hAnsi="宋体" w:eastAsia="宋体" w:cs="宋体"/>
          <w:highlight w:val="none"/>
        </w:rPr>
      </w:pPr>
    </w:p>
    <w:p>
      <w:pPr>
        <w:rPr>
          <w:rFonts w:hint="eastAsia" w:ascii="宋体" w:hAnsi="宋体" w:eastAsia="宋体" w:cs="宋体"/>
          <w:highlight w:val="none"/>
        </w:rPr>
      </w:pPr>
    </w:p>
    <w:p>
      <w:pPr>
        <w:pStyle w:val="12"/>
        <w:rPr>
          <w:rFonts w:hint="eastAsia" w:ascii="宋体" w:hAnsi="宋体" w:eastAsia="宋体" w:cs="宋体"/>
          <w:highlight w:val="none"/>
        </w:rPr>
      </w:pPr>
    </w:p>
    <w:p>
      <w:pPr>
        <w:rPr>
          <w:rFonts w:hint="eastAsia" w:ascii="宋体" w:hAnsi="宋体" w:eastAsia="宋体" w:cs="宋体"/>
          <w:highlight w:val="none"/>
        </w:rPr>
      </w:pPr>
    </w:p>
    <w:p>
      <w:pPr>
        <w:pStyle w:val="12"/>
        <w:rPr>
          <w:rFonts w:hint="eastAsia" w:ascii="宋体" w:hAnsi="宋体" w:eastAsia="宋体" w:cs="宋体"/>
          <w:highlight w:val="none"/>
        </w:rPr>
      </w:pPr>
    </w:p>
    <w:p>
      <w:pPr>
        <w:rPr>
          <w:rFonts w:hint="eastAsia" w:ascii="宋体" w:hAnsi="宋体" w:eastAsia="宋体" w:cs="宋体"/>
          <w:highlight w:val="none"/>
        </w:rPr>
      </w:pPr>
    </w:p>
    <w:p>
      <w:pPr>
        <w:pStyle w:val="12"/>
        <w:rPr>
          <w:rFonts w:hint="eastAsia"/>
        </w:rPr>
      </w:pPr>
    </w:p>
    <w:p>
      <w:pPr>
        <w:pStyle w:val="7"/>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ascii="宋体" w:hAnsi="宋体" w:eastAsia="宋体" w:cs="宋体"/>
          <w:highlight w:val="none"/>
        </w:rPr>
      </w:pPr>
    </w:p>
    <w:p>
      <w:pPr>
        <w:rPr>
          <w:rFonts w:hint="eastAsia" w:ascii="宋体" w:hAnsi="宋体" w:eastAsia="宋体" w:cs="宋体"/>
          <w:highlight w:val="none"/>
        </w:rPr>
      </w:pPr>
    </w:p>
    <w:p>
      <w:pPr>
        <w:pStyle w:val="2"/>
        <w:rPr>
          <w:rFonts w:hint="eastAsia"/>
        </w:rPr>
      </w:pPr>
    </w:p>
    <w:p>
      <w:pPr>
        <w:rPr>
          <w:rFonts w:hint="eastAsia" w:ascii="宋体" w:hAnsi="宋体" w:eastAsia="宋体" w:cs="宋体"/>
          <w:highlight w:val="none"/>
        </w:rPr>
      </w:pPr>
    </w:p>
    <w:p>
      <w:pPr>
        <w:pStyle w:val="4"/>
        <w:keepLines w:val="0"/>
        <w:spacing w:before="0" w:after="0" w:line="360" w:lineRule="auto"/>
        <w:ind w:right="-441" w:rightChars="-210"/>
        <w:jc w:val="center"/>
        <w:rPr>
          <w:rFonts w:hint="eastAsia" w:eastAsia="宋体"/>
          <w:sz w:val="36"/>
          <w:szCs w:val="36"/>
          <w:lang w:eastAsia="zh-CN"/>
        </w:rPr>
      </w:pPr>
      <w:r>
        <w:rPr>
          <w:rFonts w:hint="eastAsia" w:ascii="Times New Roman" w:hAnsi="Times New Roman" w:eastAsia="宋体"/>
          <w:sz w:val="32"/>
          <w:szCs w:val="32"/>
          <w:lang w:eastAsia="zh-CN"/>
        </w:rPr>
        <w:t>一、监理投标书</w:t>
      </w:r>
    </w:p>
    <w:p>
      <w:pPr>
        <w:pStyle w:val="9"/>
        <w:ind w:firstLine="720" w:firstLineChars="300"/>
        <w:rPr>
          <w:rFonts w:hint="eastAsia" w:ascii="宋体" w:hAnsi="宋体" w:eastAsia="宋体" w:cs="宋体"/>
          <w:color w:val="000000"/>
          <w:kern w:val="2"/>
          <w:sz w:val="24"/>
          <w:szCs w:val="24"/>
          <w:highlight w:val="none"/>
          <w:u w:val="single"/>
          <w:lang w:val="en-US" w:eastAsia="zh-CN" w:bidi="ar-SA"/>
        </w:rPr>
      </w:pPr>
      <w:r>
        <w:rPr>
          <w:rFonts w:hint="eastAsia" w:ascii="宋体" w:hAnsi="宋体" w:eastAsia="宋体" w:cs="宋体"/>
          <w:color w:val="000000"/>
          <w:kern w:val="2"/>
          <w:sz w:val="24"/>
          <w:szCs w:val="24"/>
          <w:highlight w:val="none"/>
          <w:lang w:val="en-US" w:eastAsia="zh-CN" w:bidi="ar-SA"/>
        </w:rPr>
        <w:t>致（项目法人）：</w:t>
      </w:r>
      <w:r>
        <w:rPr>
          <w:rFonts w:hint="eastAsia" w:ascii="宋体" w:hAnsi="宋体" w:eastAsia="宋体" w:cs="宋体"/>
          <w:color w:val="000000"/>
          <w:kern w:val="2"/>
          <w:sz w:val="24"/>
          <w:szCs w:val="24"/>
          <w:highlight w:val="none"/>
          <w:u w:val="single"/>
          <w:lang w:val="en-US" w:eastAsia="zh-CN" w:bidi="ar-SA"/>
        </w:rPr>
        <w:t xml:space="preserve">                                      </w:t>
      </w:r>
    </w:p>
    <w:p>
      <w:pPr>
        <w:rPr>
          <w:rFonts w:hint="eastAsia"/>
          <w:lang w:val="en-US" w:eastAsia="zh-CN"/>
        </w:rPr>
      </w:pP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我方收到并研究了贵方 </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工程施工监理的招标文件，愿意按照招标文件规定的内容承担该工程的施工监理任务，严格执行我方所承诺的责任和义务。</w:t>
      </w: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1、我方愿以</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（分别用大写和小写）的监理投标报价，监理服务期：</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，承担本招标文件所述招标范围内的全部建设监理任务；</w:t>
      </w: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2、我们同意在投标有效期内遵守本投标文件，在此期限期满前的任何时间，本投标文件一直对我们具有约束力；</w:t>
      </w: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3、如果我方中标，我方将按照招标文件的规定，提交约定数额的履约担保，并对此共同地和分别地承担责任；</w:t>
      </w: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4、在签署合同协议书之前，你方的中标通知书和本投标文件， 将成为我们双方之间有约束力的契约；</w:t>
      </w: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5、我方理解你们将不必接受你们所收到的最低标价或者其他任何投标书的约束。</w:t>
      </w: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投</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标</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人：</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（盖章）</w:t>
      </w: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法定代表人或其委托代理人：</w:t>
      </w:r>
      <w:r>
        <w:rPr>
          <w:rFonts w:hint="eastAsia" w:ascii="宋体" w:hAnsi="宋体" w:eastAsia="宋体" w:cs="宋体"/>
          <w:color w:val="000000"/>
          <w:kern w:val="2"/>
          <w:sz w:val="24"/>
          <w:szCs w:val="24"/>
          <w:highlight w:val="none"/>
          <w:u w:val="single"/>
          <w:lang w:val="en-US" w:eastAsia="zh-CN" w:bidi="ar-SA"/>
        </w:rPr>
        <w:t xml:space="preserve">                           </w:t>
      </w:r>
      <w:r>
        <w:rPr>
          <w:rFonts w:hint="eastAsia" w:ascii="宋体" w:hAnsi="宋体" w:eastAsia="宋体" w:cs="宋体"/>
          <w:color w:val="000000"/>
          <w:kern w:val="2"/>
          <w:sz w:val="24"/>
          <w:szCs w:val="24"/>
          <w:highlight w:val="none"/>
          <w:lang w:val="en-US" w:eastAsia="zh-CN" w:bidi="ar-SA"/>
        </w:rPr>
        <w:t>（签字）</w:t>
      </w:r>
    </w:p>
    <w:p>
      <w:pPr>
        <w:pStyle w:val="9"/>
        <w:ind w:firstLine="720" w:firstLineChars="300"/>
        <w:rPr>
          <w:rFonts w:hint="eastAsia" w:ascii="宋体" w:hAnsi="宋体" w:eastAsia="宋体" w:cs="宋体"/>
          <w:color w:val="000000"/>
          <w:kern w:val="2"/>
          <w:sz w:val="24"/>
          <w:szCs w:val="24"/>
          <w:highlight w:val="none"/>
          <w:lang w:val="en-US" w:eastAsia="zh-CN" w:bidi="ar-SA"/>
        </w:rPr>
      </w:pPr>
    </w:p>
    <w:p>
      <w:pPr>
        <w:pStyle w:val="9"/>
        <w:ind w:firstLine="720" w:firstLineChars="300"/>
        <w:jc w:val="righ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年</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月</w:t>
      </w:r>
      <w:r>
        <w:rPr>
          <w:rFonts w:hint="eastAsia" w:ascii="宋体" w:hAnsi="宋体" w:eastAsia="宋体" w:cs="宋体"/>
          <w:color w:val="000000"/>
          <w:kern w:val="2"/>
          <w:sz w:val="24"/>
          <w:szCs w:val="24"/>
          <w:highlight w:val="none"/>
          <w:lang w:val="en-US" w:eastAsia="zh-CN" w:bidi="ar-SA"/>
        </w:rPr>
        <w:tab/>
      </w:r>
      <w:r>
        <w:rPr>
          <w:rFonts w:hint="eastAsia" w:ascii="宋体" w:hAnsi="宋体" w:eastAsia="宋体" w:cs="宋体"/>
          <w:color w:val="000000"/>
          <w:kern w:val="2"/>
          <w:sz w:val="24"/>
          <w:szCs w:val="24"/>
          <w:highlight w:val="none"/>
          <w:lang w:val="en-US" w:eastAsia="zh-CN" w:bidi="ar-SA"/>
        </w:rPr>
        <w:t>日</w:t>
      </w:r>
    </w:p>
    <w:p>
      <w:pPr>
        <w:rPr>
          <w:rFonts w:hint="eastAsia"/>
          <w:sz w:val="24"/>
        </w:rPr>
      </w:pPr>
    </w:p>
    <w:p>
      <w:pPr>
        <w:pStyle w:val="12"/>
        <w:rPr>
          <w:rFonts w:hint="eastAsia"/>
          <w:sz w:val="24"/>
        </w:rPr>
      </w:pPr>
    </w:p>
    <w:p>
      <w:pPr>
        <w:rPr>
          <w:rFonts w:hint="eastAsia"/>
          <w:sz w:val="24"/>
        </w:rPr>
      </w:pPr>
    </w:p>
    <w:p>
      <w:pPr>
        <w:pStyle w:val="12"/>
        <w:rPr>
          <w:rFonts w:hint="eastAsia"/>
          <w:sz w:val="24"/>
        </w:rPr>
      </w:pPr>
    </w:p>
    <w:p>
      <w:pPr>
        <w:rPr>
          <w:rFonts w:hint="eastAsia"/>
          <w:sz w:val="24"/>
        </w:rPr>
      </w:pPr>
    </w:p>
    <w:p>
      <w:pPr>
        <w:pStyle w:val="12"/>
        <w:rPr>
          <w:rFonts w:hint="eastAsia"/>
          <w:sz w:val="24"/>
        </w:rPr>
      </w:pPr>
    </w:p>
    <w:p>
      <w:pPr>
        <w:rPr>
          <w:rFonts w:hint="eastAsia"/>
          <w:sz w:val="24"/>
        </w:rPr>
      </w:pPr>
    </w:p>
    <w:p>
      <w:pPr>
        <w:pStyle w:val="12"/>
        <w:rPr>
          <w:rFonts w:hint="eastAsia"/>
          <w:sz w:val="24"/>
        </w:rPr>
      </w:pPr>
    </w:p>
    <w:p>
      <w:pPr>
        <w:rPr>
          <w:rFonts w:hint="eastAsia"/>
          <w:sz w:val="24"/>
        </w:rPr>
      </w:pPr>
    </w:p>
    <w:p>
      <w:pPr>
        <w:pStyle w:val="12"/>
        <w:rPr>
          <w:rFonts w:hint="eastAsia"/>
        </w:rPr>
      </w:pPr>
    </w:p>
    <w:p>
      <w:pPr>
        <w:rPr>
          <w:rFonts w:hint="eastAsia"/>
        </w:rPr>
      </w:pPr>
    </w:p>
    <w:p>
      <w:pPr>
        <w:rPr>
          <w:rFonts w:hint="eastAsia"/>
          <w:highlight w:val="none"/>
        </w:rPr>
      </w:pPr>
    </w:p>
    <w:p>
      <w:pPr>
        <w:ind w:firstLine="1204" w:firstLineChars="300"/>
        <w:jc w:val="center"/>
        <w:rPr>
          <w:rFonts w:hint="eastAsia" w:ascii="宋体" w:hAnsi="宋体" w:eastAsia="宋体" w:cs="宋体"/>
          <w:sz w:val="24"/>
          <w:highlight w:val="none"/>
          <w:lang w:val="en-US" w:eastAsia="zh-CN"/>
        </w:rPr>
      </w:pPr>
      <w:r>
        <w:rPr>
          <w:rFonts w:hint="eastAsia" w:ascii="宋体" w:hAnsi="宋体" w:cs="宋体"/>
          <w:b/>
          <w:color w:val="000000"/>
          <w:spacing w:val="40"/>
          <w:sz w:val="32"/>
          <w:szCs w:val="32"/>
          <w:highlight w:val="none"/>
          <w:lang w:val="en-US" w:eastAsia="zh-CN"/>
        </w:rPr>
        <w:t>二</w:t>
      </w:r>
      <w:r>
        <w:rPr>
          <w:rFonts w:hint="eastAsia" w:ascii="宋体" w:hAnsi="宋体" w:eastAsia="宋体" w:cs="宋体"/>
          <w:b/>
          <w:color w:val="000000"/>
          <w:spacing w:val="40"/>
          <w:sz w:val="32"/>
          <w:szCs w:val="32"/>
          <w:highlight w:val="none"/>
        </w:rPr>
        <w:t>、</w:t>
      </w:r>
      <w:r>
        <w:rPr>
          <w:rFonts w:hint="eastAsia" w:ascii="宋体" w:hAnsi="宋体" w:eastAsia="宋体" w:cs="宋体"/>
          <w:b/>
          <w:sz w:val="32"/>
          <w:szCs w:val="32"/>
          <w:highlight w:val="none"/>
        </w:rPr>
        <w:t>法定代表人身份证明</w:t>
      </w:r>
    </w:p>
    <w:p>
      <w:pPr>
        <w:ind w:firstLine="720" w:firstLineChars="300"/>
        <w:rPr>
          <w:rFonts w:hint="eastAsia" w:ascii="宋体" w:hAnsi="宋体" w:eastAsia="宋体" w:cs="宋体"/>
          <w:sz w:val="24"/>
          <w:highlight w:val="none"/>
        </w:rPr>
      </w:pPr>
      <w:r>
        <w:rPr>
          <w:rFonts w:hint="eastAsia" w:ascii="宋体" w:hAnsi="宋体" w:eastAsia="宋体" w:cs="宋体"/>
          <w:color w:val="000000"/>
          <w:sz w:val="24"/>
          <w:highlight w:val="none"/>
          <w:lang w:eastAsia="zh-CN"/>
        </w:rPr>
        <w:t>磋商响应人</w:t>
      </w:r>
      <w:r>
        <w:rPr>
          <w:rFonts w:hint="eastAsia" w:ascii="宋体" w:hAnsi="宋体" w:eastAsia="宋体" w:cs="宋体"/>
          <w:sz w:val="24"/>
          <w:highlight w:val="none"/>
        </w:rPr>
        <w:t>名称：</w:t>
      </w:r>
      <w:r>
        <w:rPr>
          <w:rFonts w:hint="eastAsia" w:ascii="宋体" w:hAnsi="宋体" w:eastAsia="宋体" w:cs="宋体"/>
          <w:sz w:val="24"/>
          <w:highlight w:val="none"/>
          <w:u w:val="single"/>
        </w:rPr>
        <w:t xml:space="preserve">               </w:t>
      </w:r>
      <w:r>
        <w:rPr>
          <w:rFonts w:hint="eastAsia" w:ascii="宋体" w:hAnsi="宋体" w:eastAsia="宋体" w:cs="宋体"/>
          <w:color w:val="FFFFFF"/>
          <w:sz w:val="24"/>
          <w:highlight w:val="none"/>
          <w:u w:val="single"/>
        </w:rPr>
        <w:t>。</w:t>
      </w:r>
    </w:p>
    <w:p>
      <w:pPr>
        <w:ind w:firstLine="480"/>
        <w:rPr>
          <w:rFonts w:hint="eastAsia" w:ascii="宋体" w:hAnsi="宋体" w:eastAsia="宋体" w:cs="宋体"/>
          <w:sz w:val="24"/>
          <w:highlight w:val="none"/>
        </w:rPr>
      </w:pPr>
    </w:p>
    <w:p>
      <w:pPr>
        <w:ind w:firstLine="720" w:firstLineChars="300"/>
        <w:rPr>
          <w:rFonts w:hint="eastAsia" w:ascii="宋体" w:hAnsi="宋体" w:eastAsia="宋体" w:cs="宋体"/>
          <w:sz w:val="24"/>
          <w:highlight w:val="none"/>
          <w:u w:val="single"/>
        </w:rPr>
      </w:pPr>
      <w:r>
        <w:rPr>
          <w:rFonts w:hint="eastAsia" w:ascii="宋体" w:hAnsi="宋体" w:eastAsia="宋体" w:cs="宋体"/>
          <w:sz w:val="24"/>
          <w:highlight w:val="none"/>
        </w:rPr>
        <w:t>单位性质：</w:t>
      </w:r>
      <w:r>
        <w:rPr>
          <w:rFonts w:hint="eastAsia" w:ascii="宋体" w:hAnsi="宋体" w:eastAsia="宋体" w:cs="宋体"/>
          <w:sz w:val="24"/>
          <w:highlight w:val="none"/>
          <w:u w:val="single"/>
        </w:rPr>
        <w:t xml:space="preserve">                     </w:t>
      </w:r>
      <w:r>
        <w:rPr>
          <w:rFonts w:hint="eastAsia" w:ascii="宋体" w:hAnsi="宋体" w:eastAsia="宋体" w:cs="宋体"/>
          <w:color w:val="FFFFFF"/>
          <w:sz w:val="24"/>
          <w:highlight w:val="none"/>
          <w:u w:val="single"/>
        </w:rPr>
        <w:t>。</w:t>
      </w:r>
    </w:p>
    <w:p>
      <w:pPr>
        <w:tabs>
          <w:tab w:val="left" w:pos="760"/>
        </w:tabs>
        <w:ind w:firstLine="480"/>
        <w:rPr>
          <w:rFonts w:hint="eastAsia" w:ascii="宋体" w:hAnsi="宋体" w:eastAsia="宋体" w:cs="宋体"/>
          <w:sz w:val="24"/>
          <w:highlight w:val="none"/>
        </w:rPr>
      </w:pPr>
    </w:p>
    <w:p>
      <w:pPr>
        <w:tabs>
          <w:tab w:val="left" w:pos="760"/>
        </w:tabs>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sz w:val="24"/>
          <w:highlight w:val="none"/>
          <w:u w:val="single"/>
        </w:rPr>
        <w:t xml:space="preserve">                     </w:t>
      </w:r>
      <w:r>
        <w:rPr>
          <w:rFonts w:hint="eastAsia" w:ascii="宋体" w:hAnsi="宋体" w:eastAsia="宋体" w:cs="宋体"/>
          <w:color w:val="FFFFFF"/>
          <w:sz w:val="24"/>
          <w:highlight w:val="none"/>
          <w:u w:val="single"/>
        </w:rPr>
        <w:t>。</w:t>
      </w:r>
    </w:p>
    <w:p>
      <w:pPr>
        <w:tabs>
          <w:tab w:val="left" w:pos="2280"/>
          <w:tab w:val="left" w:pos="3195"/>
          <w:tab w:val="left" w:pos="4245"/>
        </w:tabs>
        <w:ind w:firstLine="480"/>
        <w:rPr>
          <w:rFonts w:hint="eastAsia" w:ascii="宋体" w:hAnsi="宋体" w:eastAsia="宋体" w:cs="宋体"/>
          <w:sz w:val="24"/>
          <w:highlight w:val="none"/>
        </w:rPr>
      </w:pPr>
    </w:p>
    <w:p>
      <w:pPr>
        <w:tabs>
          <w:tab w:val="left" w:pos="2520"/>
          <w:tab w:val="left" w:pos="3435"/>
          <w:tab w:val="left" w:pos="4485"/>
        </w:tabs>
        <w:ind w:firstLine="720" w:firstLineChars="300"/>
        <w:rPr>
          <w:rFonts w:hint="eastAsia" w:ascii="宋体" w:hAnsi="宋体" w:eastAsia="宋体" w:cs="宋体"/>
          <w:sz w:val="24"/>
          <w:highlight w:val="none"/>
        </w:rPr>
      </w:pPr>
      <w:r>
        <w:rPr>
          <w:rFonts w:hint="eastAsia" w:ascii="宋体" w:hAnsi="宋体" w:eastAsia="宋体" w:cs="宋体"/>
          <w:sz w:val="24"/>
          <w:highlight w:val="none"/>
        </w:rPr>
        <w:t>成立时间：</w:t>
      </w:r>
      <w:r>
        <w:rPr>
          <w:rFonts w:hint="eastAsia" w:ascii="宋体" w:hAnsi="宋体" w:eastAsia="宋体" w:cs="宋体"/>
          <w:sz w:val="24"/>
          <w:highlight w:val="none"/>
          <w:u w:val="single"/>
        </w:rPr>
        <w:tab/>
      </w:r>
      <w:r>
        <w:rPr>
          <w:rFonts w:hint="eastAsia" w:ascii="宋体" w:hAnsi="宋体" w:eastAsia="宋体" w:cs="宋体"/>
          <w:sz w:val="24"/>
          <w:highlight w:val="none"/>
        </w:rPr>
        <w:t>年</w:t>
      </w:r>
      <w:r>
        <w:rPr>
          <w:rFonts w:hint="eastAsia" w:ascii="宋体" w:hAnsi="宋体" w:eastAsia="宋体" w:cs="宋体"/>
          <w:sz w:val="24"/>
          <w:highlight w:val="none"/>
          <w:u w:val="single"/>
        </w:rPr>
        <w:tab/>
      </w:r>
      <w:r>
        <w:rPr>
          <w:rFonts w:hint="eastAsia" w:ascii="宋体" w:hAnsi="宋体" w:eastAsia="宋体" w:cs="宋体"/>
          <w:sz w:val="24"/>
          <w:highlight w:val="none"/>
        </w:rPr>
        <w:t>月</w:t>
      </w:r>
      <w:r>
        <w:rPr>
          <w:rFonts w:hint="eastAsia" w:ascii="宋体" w:hAnsi="宋体" w:eastAsia="宋体" w:cs="宋体"/>
          <w:sz w:val="24"/>
          <w:highlight w:val="none"/>
          <w:u w:val="single"/>
        </w:rPr>
        <w:tab/>
      </w:r>
      <w:r>
        <w:rPr>
          <w:rFonts w:hint="eastAsia" w:ascii="宋体" w:hAnsi="宋体" w:eastAsia="宋体" w:cs="宋体"/>
          <w:sz w:val="24"/>
          <w:highlight w:val="none"/>
        </w:rPr>
        <w:t>日</w:t>
      </w:r>
    </w:p>
    <w:p>
      <w:pPr>
        <w:ind w:firstLine="480"/>
        <w:rPr>
          <w:rFonts w:hint="eastAsia" w:ascii="宋体" w:hAnsi="宋体" w:eastAsia="宋体" w:cs="宋体"/>
          <w:sz w:val="24"/>
          <w:highlight w:val="none"/>
        </w:rPr>
      </w:pPr>
    </w:p>
    <w:p>
      <w:pPr>
        <w:ind w:firstLine="720" w:firstLineChars="300"/>
        <w:rPr>
          <w:rFonts w:hint="eastAsia" w:ascii="宋体" w:hAnsi="宋体" w:eastAsia="宋体" w:cs="宋体"/>
          <w:sz w:val="24"/>
          <w:highlight w:val="none"/>
          <w:u w:val="single"/>
        </w:rPr>
      </w:pPr>
      <w:r>
        <w:rPr>
          <w:rFonts w:hint="eastAsia" w:ascii="宋体" w:hAnsi="宋体" w:eastAsia="宋体" w:cs="宋体"/>
          <w:sz w:val="24"/>
          <w:highlight w:val="none"/>
        </w:rPr>
        <w:t>经营期限：</w:t>
      </w:r>
      <w:r>
        <w:rPr>
          <w:rFonts w:hint="eastAsia" w:ascii="宋体" w:hAnsi="宋体" w:eastAsia="宋体" w:cs="宋体"/>
          <w:sz w:val="24"/>
          <w:highlight w:val="none"/>
          <w:u w:val="single"/>
        </w:rPr>
        <w:t xml:space="preserve">                      </w:t>
      </w:r>
      <w:r>
        <w:rPr>
          <w:rFonts w:hint="eastAsia" w:ascii="宋体" w:hAnsi="宋体" w:eastAsia="宋体" w:cs="宋体"/>
          <w:color w:val="FFFFFF"/>
          <w:sz w:val="24"/>
          <w:highlight w:val="none"/>
          <w:u w:val="single"/>
        </w:rPr>
        <w:t>。</w:t>
      </w:r>
    </w:p>
    <w:p>
      <w:pPr>
        <w:ind w:firstLine="720" w:firstLineChars="300"/>
        <w:rPr>
          <w:rFonts w:hint="eastAsia" w:ascii="宋体" w:hAnsi="宋体" w:eastAsia="宋体" w:cs="宋体"/>
          <w:sz w:val="24"/>
          <w:highlight w:val="none"/>
        </w:rPr>
      </w:pPr>
    </w:p>
    <w:p>
      <w:pPr>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姓名：</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性别：</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年龄：</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职务：</w:t>
      </w:r>
      <w:r>
        <w:rPr>
          <w:rFonts w:hint="eastAsia" w:ascii="宋体" w:hAnsi="宋体" w:eastAsia="宋体" w:cs="宋体"/>
          <w:sz w:val="24"/>
          <w:highlight w:val="none"/>
          <w:u w:val="single"/>
        </w:rPr>
        <w:t xml:space="preserve">    </w:t>
      </w:r>
      <w:r>
        <w:rPr>
          <w:rFonts w:hint="eastAsia" w:ascii="宋体" w:hAnsi="宋体" w:eastAsia="宋体" w:cs="宋体"/>
          <w:color w:val="FFFFFF"/>
          <w:sz w:val="24"/>
          <w:highlight w:val="none"/>
          <w:u w:val="single"/>
        </w:rPr>
        <w:t>。</w:t>
      </w:r>
    </w:p>
    <w:p>
      <w:pPr>
        <w:ind w:firstLine="711" w:firstLineChars="300"/>
        <w:rPr>
          <w:rFonts w:hint="eastAsia" w:ascii="宋体" w:hAnsi="宋体" w:eastAsia="宋体" w:cs="宋体"/>
          <w:w w:val="99"/>
          <w:sz w:val="24"/>
          <w:highlight w:val="none"/>
        </w:rPr>
      </w:pPr>
    </w:p>
    <w:p>
      <w:pPr>
        <w:ind w:firstLine="720" w:firstLineChars="300"/>
        <w:rPr>
          <w:rFonts w:hint="eastAsia" w:ascii="宋体" w:hAnsi="宋体" w:eastAsia="宋体" w:cs="宋体"/>
          <w:sz w:val="24"/>
          <w:highlight w:val="none"/>
        </w:rPr>
      </w:pPr>
      <w:r>
        <w:rPr>
          <w:rFonts w:hint="eastAsia" w:ascii="宋体" w:hAnsi="宋体" w:eastAsia="宋体" w:cs="宋体"/>
          <w:sz w:val="24"/>
          <w:highlight w:val="none"/>
        </w:rPr>
        <w:t>系</w:t>
      </w:r>
      <w:r>
        <w:rPr>
          <w:rFonts w:hint="eastAsia" w:ascii="宋体" w:hAnsi="宋体" w:eastAsia="宋体" w:cs="宋体"/>
          <w:w w:val="99"/>
          <w:sz w:val="24"/>
          <w:highlight w:val="none"/>
          <w:u w:val="single"/>
        </w:rPr>
        <w:t xml:space="preserve">                       </w:t>
      </w:r>
      <w:r>
        <w:rPr>
          <w:rFonts w:hint="eastAsia" w:ascii="宋体" w:hAnsi="宋体" w:eastAsia="宋体" w:cs="宋体"/>
          <w:sz w:val="24"/>
          <w:highlight w:val="none"/>
        </w:rPr>
        <w:t>（</w:t>
      </w:r>
      <w:r>
        <w:rPr>
          <w:rFonts w:hint="eastAsia" w:ascii="宋体" w:hAnsi="宋体" w:eastAsia="宋体" w:cs="宋体"/>
          <w:color w:val="000000"/>
          <w:sz w:val="24"/>
          <w:highlight w:val="none"/>
          <w:lang w:eastAsia="zh-CN"/>
        </w:rPr>
        <w:t>磋商响应人</w:t>
      </w:r>
      <w:r>
        <w:rPr>
          <w:rFonts w:hint="eastAsia" w:ascii="宋体" w:hAnsi="宋体" w:eastAsia="宋体" w:cs="宋体"/>
          <w:sz w:val="24"/>
          <w:highlight w:val="none"/>
        </w:rPr>
        <w:t>名称）的法定代表人。</w:t>
      </w:r>
    </w:p>
    <w:tbl>
      <w:tblPr>
        <w:tblStyle w:val="24"/>
        <w:tblpPr w:leftFromText="180" w:rightFromText="180" w:vertAnchor="text" w:horzAnchor="page" w:tblpX="1627" w:tblpY="375"/>
        <w:tblOverlap w:val="never"/>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09"/>
        <w:gridCol w:w="4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8" w:hRule="atLeast"/>
        </w:trPr>
        <w:tc>
          <w:tcPr>
            <w:tcW w:w="4709"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b/>
                <w:color w:val="000000"/>
                <w:sz w:val="24"/>
                <w:highlight w:val="none"/>
              </w:rPr>
              <w:t>授权人身份证复印件</w:t>
            </w:r>
            <w:r>
              <w:rPr>
                <w:rFonts w:hint="eastAsia" w:ascii="宋体" w:hAnsi="宋体" w:eastAsia="宋体" w:cs="宋体"/>
                <w:b/>
                <w:color w:val="000000"/>
                <w:sz w:val="24"/>
                <w:highlight w:val="none"/>
                <w:lang w:val="en-US" w:eastAsia="zh-CN"/>
              </w:rPr>
              <w:t>正面</w:t>
            </w:r>
          </w:p>
        </w:tc>
        <w:tc>
          <w:tcPr>
            <w:tcW w:w="4730"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color w:val="000000"/>
                <w:sz w:val="24"/>
                <w:highlight w:val="none"/>
                <w:lang w:val="en-US" w:eastAsia="zh-CN"/>
              </w:rPr>
            </w:pPr>
            <w:r>
              <w:rPr>
                <w:rFonts w:hint="eastAsia" w:ascii="宋体" w:hAnsi="宋体" w:eastAsia="宋体" w:cs="宋体"/>
                <w:b/>
                <w:color w:val="000000"/>
                <w:sz w:val="24"/>
                <w:highlight w:val="none"/>
              </w:rPr>
              <w:t>授权人身份证复印件</w:t>
            </w:r>
            <w:r>
              <w:rPr>
                <w:rFonts w:hint="eastAsia" w:ascii="宋体" w:hAnsi="宋体" w:eastAsia="宋体" w:cs="宋体"/>
                <w:b/>
                <w:color w:val="000000"/>
                <w:sz w:val="24"/>
                <w:highlight w:val="none"/>
                <w:lang w:val="en-US" w:eastAsia="zh-CN"/>
              </w:rPr>
              <w:t>反面</w:t>
            </w:r>
          </w:p>
        </w:tc>
      </w:tr>
    </w:tbl>
    <w:p>
      <w:pPr>
        <w:pStyle w:val="19"/>
        <w:rPr>
          <w:rFonts w:hint="eastAsia"/>
          <w:highlight w:val="none"/>
        </w:rPr>
      </w:pPr>
    </w:p>
    <w:p>
      <w:pPr>
        <w:spacing w:line="240" w:lineRule="exact"/>
        <w:rPr>
          <w:rFonts w:hint="eastAsia" w:ascii="宋体" w:hAnsi="宋体" w:eastAsia="宋体" w:cs="宋体"/>
          <w:sz w:val="24"/>
          <w:highlight w:val="none"/>
          <w:u w:val="single"/>
        </w:rPr>
      </w:pPr>
    </w:p>
    <w:p>
      <w:pPr>
        <w:spacing w:line="240" w:lineRule="exact"/>
        <w:rPr>
          <w:rFonts w:hint="eastAsia" w:ascii="宋体" w:hAnsi="宋体" w:eastAsia="宋体" w:cs="宋体"/>
          <w:sz w:val="24"/>
          <w:highlight w:val="none"/>
          <w:u w:val="single"/>
        </w:rPr>
      </w:pPr>
    </w:p>
    <w:p>
      <w:pPr>
        <w:spacing w:line="240" w:lineRule="exact"/>
        <w:rPr>
          <w:rFonts w:hint="eastAsia" w:ascii="宋体" w:hAnsi="宋体" w:eastAsia="宋体" w:cs="宋体"/>
          <w:sz w:val="24"/>
          <w:highlight w:val="none"/>
          <w:u w:val="single"/>
        </w:rPr>
      </w:pPr>
    </w:p>
    <w:p>
      <w:pPr>
        <w:ind w:left="520" w:firstLine="480"/>
        <w:rPr>
          <w:rFonts w:hint="eastAsia" w:ascii="宋体" w:hAnsi="宋体" w:eastAsia="宋体" w:cs="宋体"/>
          <w:sz w:val="24"/>
          <w:highlight w:val="none"/>
        </w:rPr>
      </w:pPr>
      <w:r>
        <w:rPr>
          <w:rFonts w:hint="eastAsia" w:ascii="宋体" w:hAnsi="宋体" w:eastAsia="宋体" w:cs="宋体"/>
          <w:sz w:val="24"/>
          <w:highlight w:val="none"/>
        </w:rPr>
        <w:t>特此证明。</w:t>
      </w:r>
    </w:p>
    <w:p>
      <w:pPr>
        <w:spacing w:line="240" w:lineRule="exact"/>
        <w:rPr>
          <w:rFonts w:hint="eastAsia" w:ascii="宋体" w:hAnsi="宋体" w:eastAsia="宋体" w:cs="宋体"/>
          <w:sz w:val="24"/>
          <w:highlight w:val="none"/>
          <w:u w:val="single"/>
        </w:rPr>
      </w:pPr>
    </w:p>
    <w:p>
      <w:pPr>
        <w:spacing w:line="240" w:lineRule="exact"/>
        <w:ind w:firstLine="4560" w:firstLineChars="1900"/>
        <w:rPr>
          <w:rFonts w:hint="eastAsia" w:ascii="宋体" w:hAnsi="宋体" w:eastAsia="宋体" w:cs="宋体"/>
          <w:sz w:val="24"/>
          <w:highlight w:val="none"/>
          <w:u w:val="single"/>
        </w:rPr>
      </w:pPr>
    </w:p>
    <w:p>
      <w:pPr>
        <w:spacing w:line="240" w:lineRule="exact"/>
        <w:ind w:firstLine="3360" w:firstLineChars="1400"/>
        <w:jc w:val="left"/>
        <w:rPr>
          <w:rFonts w:hint="eastAsia" w:ascii="宋体" w:hAnsi="宋体" w:eastAsia="宋体" w:cs="宋体"/>
          <w:sz w:val="24"/>
          <w:highlight w:val="none"/>
          <w:u w:val="single"/>
        </w:rPr>
      </w:pPr>
      <w:r>
        <w:rPr>
          <w:rFonts w:hint="eastAsia" w:ascii="宋体" w:hAnsi="宋体" w:eastAsia="宋体" w:cs="宋体"/>
          <w:color w:val="000000"/>
          <w:sz w:val="24"/>
          <w:highlight w:val="none"/>
          <w:lang w:eastAsia="zh-CN"/>
        </w:rPr>
        <w:t>磋商响应人</w:t>
      </w:r>
      <w:r>
        <w:rPr>
          <w:rFonts w:hint="eastAsia" w:ascii="宋体" w:hAnsi="宋体" w:eastAsia="宋体" w:cs="宋体"/>
          <w:sz w:val="24"/>
          <w:highlight w:val="none"/>
        </w:rPr>
        <w:t>：</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 xml:space="preserve">               （盖单位公章）</w:t>
      </w:r>
    </w:p>
    <w:p>
      <w:pPr>
        <w:tabs>
          <w:tab w:val="left" w:pos="7575"/>
          <w:tab w:val="left" w:pos="8835"/>
        </w:tabs>
        <w:ind w:firstLine="199" w:firstLineChars="83"/>
        <w:rPr>
          <w:rFonts w:hint="eastAsia" w:ascii="宋体" w:hAnsi="宋体" w:eastAsia="宋体" w:cs="宋体"/>
          <w:sz w:val="24"/>
          <w:highlight w:val="none"/>
        </w:rPr>
      </w:pPr>
      <w:r>
        <w:rPr>
          <w:rFonts w:hint="eastAsia" w:ascii="宋体" w:hAnsi="宋体" w:eastAsia="宋体" w:cs="宋体"/>
          <w:sz w:val="24"/>
          <w:highlight w:val="none"/>
        </w:rPr>
        <w:t xml:space="preserve">                                             </w:t>
      </w:r>
    </w:p>
    <w:p>
      <w:pPr>
        <w:tabs>
          <w:tab w:val="left" w:pos="7575"/>
          <w:tab w:val="left" w:pos="8835"/>
        </w:tabs>
        <w:ind w:firstLine="4279" w:firstLineChars="1783"/>
        <w:rPr>
          <w:rFonts w:hint="eastAsia" w:ascii="宋体" w:hAnsi="宋体" w:eastAsia="宋体" w:cs="宋体"/>
          <w:sz w:val="24"/>
          <w:highlight w:val="none"/>
        </w:rPr>
      </w:pP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月       日</w:t>
      </w:r>
    </w:p>
    <w:p>
      <w:pPr>
        <w:spacing w:line="240" w:lineRule="exact"/>
        <w:rPr>
          <w:rFonts w:hint="eastAsia" w:ascii="宋体" w:hAnsi="宋体" w:eastAsia="宋体" w:cs="宋体"/>
          <w:highlight w:val="none"/>
          <w:u w:val="single"/>
        </w:rPr>
      </w:pPr>
    </w:p>
    <w:p>
      <w:pPr>
        <w:pStyle w:val="7"/>
        <w:ind w:left="0" w:leftChars="0" w:firstLine="0" w:firstLineChars="0"/>
        <w:rPr>
          <w:rFonts w:hint="eastAsia" w:ascii="宋体" w:hAnsi="宋体" w:eastAsia="宋体" w:cs="宋体"/>
          <w:highlight w:val="none"/>
        </w:rPr>
      </w:pPr>
    </w:p>
    <w:p>
      <w:pPr>
        <w:rPr>
          <w:rFonts w:hint="eastAsia"/>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pStyle w:val="2"/>
        <w:rPr>
          <w:rFonts w:hint="eastAsia" w:ascii="宋体" w:hAnsi="宋体" w:eastAsia="宋体" w:cs="宋体"/>
          <w:b/>
          <w:color w:val="000000"/>
          <w:spacing w:val="40"/>
          <w:sz w:val="32"/>
          <w:szCs w:val="32"/>
          <w:highlight w:val="none"/>
        </w:rPr>
      </w:pPr>
    </w:p>
    <w:p>
      <w:pPr>
        <w:rPr>
          <w:rFonts w:hint="eastAsia"/>
        </w:rPr>
      </w:pPr>
    </w:p>
    <w:p>
      <w:pPr>
        <w:pStyle w:val="2"/>
        <w:rPr>
          <w:rFonts w:hint="eastAsia" w:ascii="宋体" w:hAnsi="宋体" w:eastAsia="宋体" w:cs="宋体"/>
          <w:b/>
          <w:color w:val="000000"/>
          <w:spacing w:val="40"/>
          <w:sz w:val="32"/>
          <w:szCs w:val="32"/>
          <w:highlight w:val="none"/>
        </w:rPr>
      </w:pPr>
    </w:p>
    <w:p>
      <w:pPr>
        <w:rPr>
          <w:rFonts w:hint="eastAsia" w:ascii="宋体" w:hAnsi="宋体" w:eastAsia="宋体" w:cs="宋体"/>
          <w:b/>
          <w:color w:val="000000"/>
          <w:spacing w:val="40"/>
          <w:sz w:val="32"/>
          <w:szCs w:val="32"/>
          <w:highlight w:val="none"/>
        </w:rPr>
      </w:pPr>
    </w:p>
    <w:p>
      <w:pPr>
        <w:pStyle w:val="12"/>
        <w:rPr>
          <w:rFonts w:hint="eastAsia"/>
        </w:rPr>
      </w:pPr>
    </w:p>
    <w:p>
      <w:pPr>
        <w:rPr>
          <w:rFonts w:hint="eastAsia" w:ascii="宋体" w:hAnsi="宋体" w:eastAsia="宋体" w:cs="宋体"/>
          <w:b/>
          <w:color w:val="000000"/>
          <w:spacing w:val="40"/>
          <w:sz w:val="32"/>
          <w:szCs w:val="32"/>
          <w:highlight w:val="none"/>
        </w:rPr>
      </w:pPr>
    </w:p>
    <w:p>
      <w:pPr>
        <w:pStyle w:val="2"/>
        <w:rPr>
          <w:rFonts w:hint="eastAsia"/>
        </w:rPr>
      </w:pPr>
    </w:p>
    <w:p>
      <w:pPr>
        <w:pStyle w:val="5"/>
        <w:outlineLvl w:val="9"/>
        <w:rPr>
          <w:rFonts w:hint="eastAsia"/>
        </w:rPr>
      </w:pPr>
    </w:p>
    <w:p>
      <w:pPr>
        <w:adjustRightInd w:val="0"/>
        <w:snapToGrid w:val="0"/>
        <w:spacing w:line="480" w:lineRule="atLeast"/>
        <w:jc w:val="center"/>
        <w:rPr>
          <w:rFonts w:hint="eastAsia" w:ascii="宋体" w:hAnsi="宋体" w:eastAsia="宋体" w:cs="宋体"/>
          <w:color w:val="000000"/>
          <w:sz w:val="24"/>
          <w:szCs w:val="24"/>
          <w:highlight w:val="none"/>
        </w:rPr>
      </w:pPr>
      <w:r>
        <w:rPr>
          <w:rFonts w:hint="eastAsia" w:ascii="宋体" w:hAnsi="宋体" w:cs="宋体"/>
          <w:b/>
          <w:color w:val="000000"/>
          <w:spacing w:val="40"/>
          <w:sz w:val="32"/>
          <w:szCs w:val="32"/>
          <w:highlight w:val="none"/>
          <w:lang w:val="en-US" w:eastAsia="zh-CN"/>
        </w:rPr>
        <w:t>三</w:t>
      </w:r>
      <w:r>
        <w:rPr>
          <w:rFonts w:hint="eastAsia" w:ascii="宋体" w:hAnsi="宋体" w:eastAsia="宋体" w:cs="宋体"/>
          <w:b/>
          <w:color w:val="000000"/>
          <w:spacing w:val="40"/>
          <w:sz w:val="32"/>
          <w:szCs w:val="32"/>
          <w:highlight w:val="none"/>
        </w:rPr>
        <w:t>、法定代表人授权委托书</w:t>
      </w:r>
    </w:p>
    <w:p>
      <w:pPr>
        <w:spacing w:line="440" w:lineRule="exact"/>
        <w:rPr>
          <w:rFonts w:hint="eastAsia" w:eastAsia="微软雅黑" w:cs="Times New Roman"/>
          <w:sz w:val="24"/>
          <w:lang w:val="en-US" w:eastAsia="zh-CN"/>
        </w:rPr>
      </w:pPr>
      <w:r>
        <w:rPr>
          <w:rFonts w:hint="eastAsia" w:eastAsia="微软雅黑" w:cs="Times New Roman"/>
          <w:sz w:val="24"/>
          <w:lang w:val="en-US" w:eastAsia="zh-CN"/>
        </w:rPr>
        <w:t>致：（招标采购单位名称）：</w:t>
      </w:r>
      <w:r>
        <w:rPr>
          <w:rFonts w:hint="eastAsia" w:eastAsia="微软雅黑" w:cs="Times New Roman"/>
          <w:sz w:val="24"/>
          <w:u w:val="single"/>
          <w:lang w:val="en-US" w:eastAsia="zh-CN"/>
        </w:rPr>
        <w:t xml:space="preserve">               </w:t>
      </w:r>
      <w:r>
        <w:rPr>
          <w:rFonts w:hint="eastAsia" w:eastAsia="微软雅黑" w:cs="Times New Roman"/>
          <w:sz w:val="24"/>
          <w:lang w:val="en-US" w:eastAsia="zh-CN"/>
        </w:rPr>
        <w:t xml:space="preserve">                    </w:t>
      </w:r>
    </w:p>
    <w:p>
      <w:pPr>
        <w:spacing w:line="440" w:lineRule="exact"/>
        <w:rPr>
          <w:rFonts w:hint="eastAsia" w:eastAsia="微软雅黑" w:cs="Times New Roman"/>
          <w:sz w:val="24"/>
          <w:lang w:val="en-US" w:eastAsia="zh-CN"/>
        </w:rPr>
      </w:pPr>
      <w:r>
        <w:rPr>
          <w:rFonts w:hint="eastAsia" w:eastAsia="微软雅黑" w:cs="Times New Roman"/>
          <w:sz w:val="24"/>
          <w:lang w:val="en-US" w:eastAsia="zh-CN"/>
        </w:rPr>
        <w:t>本人</w:t>
      </w:r>
      <w:r>
        <w:rPr>
          <w:rFonts w:hint="eastAsia" w:eastAsia="微软雅黑" w:cs="Times New Roman"/>
          <w:sz w:val="24"/>
          <w:u w:val="single"/>
          <w:lang w:val="en-US" w:eastAsia="zh-CN"/>
        </w:rPr>
        <w:t xml:space="preserve">      </w:t>
      </w:r>
      <w:r>
        <w:rPr>
          <w:rFonts w:hint="eastAsia" w:eastAsia="微软雅黑" w:cs="Times New Roman"/>
          <w:sz w:val="24"/>
          <w:lang w:val="en-US" w:eastAsia="zh-CN"/>
        </w:rPr>
        <w:t>姓名</w:t>
      </w:r>
      <w:r>
        <w:rPr>
          <w:rFonts w:hint="eastAsia" w:eastAsia="微软雅黑" w:cs="Times New Roman"/>
          <w:sz w:val="24"/>
          <w:u w:val="single"/>
          <w:lang w:val="en-US" w:eastAsia="zh-CN"/>
        </w:rPr>
        <w:t xml:space="preserve">     </w:t>
      </w:r>
      <w:r>
        <w:rPr>
          <w:rFonts w:hint="eastAsia" w:eastAsia="微软雅黑" w:cs="Times New Roman"/>
          <w:sz w:val="24"/>
          <w:lang w:val="en-US" w:eastAsia="zh-CN"/>
        </w:rPr>
        <w:t>系</w:t>
      </w:r>
      <w:r>
        <w:rPr>
          <w:rFonts w:hint="eastAsia" w:eastAsia="微软雅黑" w:cs="Times New Roman"/>
          <w:sz w:val="24"/>
          <w:u w:val="single"/>
          <w:lang w:val="en-US" w:eastAsia="zh-CN"/>
        </w:rPr>
        <w:t xml:space="preserve">        （供应商全称）        </w:t>
      </w:r>
      <w:r>
        <w:rPr>
          <w:rFonts w:hint="eastAsia" w:eastAsia="微软雅黑" w:cs="Times New Roman"/>
          <w:sz w:val="24"/>
          <w:lang w:val="en-US" w:eastAsia="zh-CN"/>
        </w:rPr>
        <w:t>的法定代表人授权我公司   （供应商代表姓名）  为供应商代表，代表本公司参加贵司组织的     项目名称、包段、招标编号     ）投标活动，全权代表本公司处理招标过程的一切事宜，包括但不限于：投标、参与开标、签约等。供应商代表在投标过程中所签署的一切文件和处理与之有关的一切事务，本公司均予以认可并对此承担责任。供应商代表无转委托权。特此授权。</w:t>
      </w:r>
    </w:p>
    <w:p>
      <w:pPr>
        <w:spacing w:line="440" w:lineRule="exact"/>
        <w:rPr>
          <w:rFonts w:hint="eastAsia" w:eastAsia="微软雅黑" w:cs="Times New Roman"/>
          <w:sz w:val="24"/>
          <w:lang w:val="en-US" w:eastAsia="zh-CN"/>
        </w:rPr>
      </w:pPr>
      <w:r>
        <w:rPr>
          <w:rFonts w:hint="eastAsia" w:eastAsia="微软雅黑" w:cs="Times New Roman"/>
          <w:sz w:val="24"/>
          <w:lang w:val="en-US" w:eastAsia="zh-CN"/>
        </w:rPr>
        <w:t>本授权书自出具之日起生效。</w:t>
      </w:r>
    </w:p>
    <w:p>
      <w:pPr>
        <w:ind w:left="126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3217545</wp:posOffset>
                </wp:positionH>
                <wp:positionV relativeFrom="paragraph">
                  <wp:posOffset>19050</wp:posOffset>
                </wp:positionV>
                <wp:extent cx="2290445" cy="1324610"/>
                <wp:effectExtent l="4445" t="4445" r="10160" b="13970"/>
                <wp:wrapNone/>
                <wp:docPr id="10" name="矩形 10"/>
                <wp:cNvGraphicFramePr/>
                <a:graphic xmlns:a="http://schemas.openxmlformats.org/drawingml/2006/main">
                  <a:graphicData uri="http://schemas.microsoft.com/office/word/2010/wordprocessingShape">
                    <wps:wsp>
                      <wps:cNvSpPr/>
                      <wps:spPr>
                        <a:xfrm>
                          <a:off x="0" y="0"/>
                          <a:ext cx="2290445" cy="13246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微软雅黑"/>
                              </w:rPr>
                            </w:pPr>
                          </w:p>
                          <w:p>
                            <w:pPr>
                              <w:rPr>
                                <w:rFonts w:hint="eastAsia" w:eastAsia="微软雅黑"/>
                              </w:rPr>
                            </w:pPr>
                          </w:p>
                          <w:p>
                            <w:pPr>
                              <w:rPr>
                                <w:rFonts w:hint="eastAsia" w:eastAsia="微软雅黑" w:cs="Times New Roman"/>
                                <w:sz w:val="24"/>
                                <w:lang w:val="en-US" w:eastAsia="zh-CN"/>
                              </w:rPr>
                            </w:pPr>
                            <w:r>
                              <w:rPr>
                                <w:rFonts w:hint="eastAsia" w:eastAsia="微软雅黑" w:cs="Times New Roman"/>
                                <w:sz w:val="24"/>
                                <w:lang w:val="en-US" w:eastAsia="zh-CN"/>
                              </w:rPr>
                              <w:t>授权代表身份证复印件正面</w:t>
                            </w:r>
                          </w:p>
                        </w:txbxContent>
                      </wps:txbx>
                      <wps:bodyPr wrap="square" upright="1"/>
                    </wps:wsp>
                  </a:graphicData>
                </a:graphic>
              </wp:anchor>
            </w:drawing>
          </mc:Choice>
          <mc:Fallback>
            <w:pict>
              <v:rect id="_x0000_s1026" o:spid="_x0000_s1026" o:spt="1" style="position:absolute;left:0pt;margin-left:253.35pt;margin-top:1.5pt;height:104.3pt;width:180.35pt;z-index:251662336;mso-width-relative:page;mso-height-relative:page;" fillcolor="#FFFFFF" filled="t" stroked="t" coordsize="21600,21600" o:gfxdata="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G4eAf2AAAAAkBAAAPAAAAAAAA&#10;AAEAIAAAACIAAABkcnMvZG93bnJldi54bWxQSwECFAAUAAAACACHTuJAeBPXhhICAABIBAAADgAA&#10;AAAAAAABACAAAAAnAQAAZHJzL2Uyb0RvYy54bWxQSwUGAAAAAAYABgBZAQAAqwUAAAAA&#10;">
                <v:fill on="t" focussize="0,0"/>
                <v:stroke color="#000000" joinstyle="miter"/>
                <v:imagedata o:title=""/>
                <o:lock v:ext="edit" aspectratio="f"/>
                <v:textbox>
                  <w:txbxContent>
                    <w:p>
                      <w:pPr>
                        <w:rPr>
                          <w:rFonts w:hint="eastAsia" w:eastAsia="微软雅黑"/>
                        </w:rPr>
                      </w:pPr>
                    </w:p>
                    <w:p>
                      <w:pPr>
                        <w:rPr>
                          <w:rFonts w:hint="eastAsia" w:eastAsia="微软雅黑"/>
                        </w:rPr>
                      </w:pPr>
                    </w:p>
                    <w:p>
                      <w:pPr>
                        <w:rPr>
                          <w:rFonts w:hint="eastAsia" w:eastAsia="微软雅黑" w:cs="Times New Roman"/>
                          <w:sz w:val="24"/>
                          <w:lang w:val="en-US" w:eastAsia="zh-CN"/>
                        </w:rPr>
                      </w:pPr>
                      <w:r>
                        <w:rPr>
                          <w:rFonts w:hint="eastAsia" w:eastAsia="微软雅黑" w:cs="Times New Roman"/>
                          <w:sz w:val="24"/>
                          <w:lang w:val="en-US" w:eastAsia="zh-CN"/>
                        </w:rPr>
                        <w:t>授权代表身份证复印件正面</w:t>
                      </w:r>
                    </w:p>
                  </w:txbxContent>
                </v:textbox>
              </v:rect>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50800</wp:posOffset>
                </wp:positionV>
                <wp:extent cx="2540000" cy="1311910"/>
                <wp:effectExtent l="5080" t="4445" r="7620" b="7620"/>
                <wp:wrapNone/>
                <wp:docPr id="9" name="矩形 9"/>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eastAsia="微软雅黑"/>
                              </w:rPr>
                            </w:pPr>
                          </w:p>
                          <w:p>
                            <w:pPr>
                              <w:jc w:val="center"/>
                              <w:rPr>
                                <w:rFonts w:hint="eastAsia" w:eastAsia="微软雅黑"/>
                                <w:sz w:val="24"/>
                                <w:szCs w:val="22"/>
                              </w:rPr>
                            </w:pPr>
                          </w:p>
                          <w:p>
                            <w:pPr>
                              <w:spacing w:line="440" w:lineRule="exact"/>
                              <w:jc w:val="center"/>
                              <w:rPr>
                                <w:rFonts w:hint="eastAsia" w:eastAsia="微软雅黑" w:cs="Times New Roman"/>
                                <w:sz w:val="24"/>
                                <w:lang w:val="en-US" w:eastAsia="zh-CN"/>
                              </w:rPr>
                            </w:pPr>
                            <w:r>
                              <w:rPr>
                                <w:rFonts w:hint="eastAsia" w:eastAsia="微软雅黑" w:cs="Times New Roman"/>
                                <w:sz w:val="24"/>
                                <w:lang w:val="en-US" w:eastAsia="zh-CN"/>
                              </w:rPr>
                              <w:t>法人身份证复印件正面</w:t>
                            </w:r>
                          </w:p>
                        </w:txbxContent>
                      </wps:txbx>
                      <wps:bodyPr wrap="square" upright="1"/>
                    </wps:wsp>
                  </a:graphicData>
                </a:graphic>
              </wp:anchor>
            </w:drawing>
          </mc:Choice>
          <mc:Fallback>
            <w:pict>
              <v:rect id="_x0000_s1026" o:spid="_x0000_s1026" o:spt="1" style="position:absolute;left:0pt;margin-left:4.85pt;margin-top:4pt;height:103.3pt;width:200pt;z-index:251661312;mso-width-relative:page;mso-height-relative:page;" fillcolor="#FFFFFF" filled="t" stroked="t" coordsize="21600,21600" o:gfxdata="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p1wLbVAAAABwEAAA8AAAAAAAAAAQAg&#10;AAAAIgAAAGRycy9kb3ducmV2LnhtbFBLAQIUABQAAAAIAIdO4kCg17LMEQIAAEYEAAAOAAAAAAAA&#10;AAEAIAAAACQBAABkcnMvZTJvRG9jLnhtbFBLBQYAAAAABgAGAFkBAACnBQAAAAA=&#10;">
                <v:fill on="t" focussize="0,0"/>
                <v:stroke color="#000000" joinstyle="miter"/>
                <v:imagedata o:title=""/>
                <o:lock v:ext="edit" aspectratio="f"/>
                <v:textbox>
                  <w:txbxContent>
                    <w:p>
                      <w:pPr>
                        <w:rPr>
                          <w:rFonts w:hint="eastAsia" w:eastAsia="微软雅黑"/>
                        </w:rPr>
                      </w:pPr>
                    </w:p>
                    <w:p>
                      <w:pPr>
                        <w:jc w:val="center"/>
                        <w:rPr>
                          <w:rFonts w:hint="eastAsia" w:eastAsia="微软雅黑"/>
                          <w:sz w:val="24"/>
                          <w:szCs w:val="22"/>
                        </w:rPr>
                      </w:pPr>
                    </w:p>
                    <w:p>
                      <w:pPr>
                        <w:spacing w:line="440" w:lineRule="exact"/>
                        <w:jc w:val="center"/>
                        <w:rPr>
                          <w:rFonts w:hint="eastAsia" w:eastAsia="微软雅黑" w:cs="Times New Roman"/>
                          <w:sz w:val="24"/>
                          <w:lang w:val="en-US" w:eastAsia="zh-CN"/>
                        </w:rPr>
                      </w:pPr>
                      <w:r>
                        <w:rPr>
                          <w:rFonts w:hint="eastAsia" w:eastAsia="微软雅黑" w:cs="Times New Roman"/>
                          <w:sz w:val="24"/>
                          <w:lang w:val="en-US" w:eastAsia="zh-CN"/>
                        </w:rPr>
                        <w:t>法人身份证复印件正面</w:t>
                      </w:r>
                    </w:p>
                  </w:txbxContent>
                </v:textbox>
              </v:rect>
            </w:pict>
          </mc:Fallback>
        </mc:AlternateContent>
      </w:r>
    </w:p>
    <w:p>
      <w:pPr>
        <w:ind w:left="1260"/>
        <w:outlineLvl w:val="9"/>
        <w:rPr>
          <w:rFonts w:hint="eastAsia" w:ascii="宋体" w:hAnsi="宋体" w:eastAsia="宋体" w:cs="宋体"/>
          <w:color w:val="auto"/>
          <w:sz w:val="28"/>
          <w:szCs w:val="28"/>
          <w:highlight w:val="none"/>
        </w:rPr>
      </w:pPr>
    </w:p>
    <w:p>
      <w:pPr>
        <w:outlineLvl w:val="9"/>
        <w:rPr>
          <w:rFonts w:hint="eastAsia" w:ascii="宋体" w:hAnsi="宋体" w:eastAsia="宋体" w:cs="宋体"/>
          <w:color w:val="auto"/>
          <w:sz w:val="28"/>
          <w:szCs w:val="28"/>
          <w:highlight w:val="none"/>
        </w:rPr>
      </w:pPr>
    </w:p>
    <w:p>
      <w:pPr>
        <w:keepNext/>
        <w:widowControl w:val="0"/>
        <w:spacing w:line="460" w:lineRule="exact"/>
        <w:jc w:val="both"/>
        <w:outlineLvl w:val="9"/>
        <w:rPr>
          <w:rFonts w:hint="eastAsia" w:ascii="宋体" w:hAnsi="宋体" w:eastAsia="微软雅黑" w:cs="Times New Roman"/>
          <w:b/>
          <w:bCs/>
          <w:kern w:val="2"/>
          <w:sz w:val="30"/>
          <w:szCs w:val="24"/>
          <w:lang w:val="en-US" w:eastAsia="zh-CN" w:bidi="ar-SA"/>
        </w:rPr>
      </w:pPr>
    </w:p>
    <w:p>
      <w:pPr>
        <w:ind w:left="1260"/>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132715</wp:posOffset>
                </wp:positionV>
                <wp:extent cx="2540000" cy="1311910"/>
                <wp:effectExtent l="5080" t="4445" r="7620" b="7620"/>
                <wp:wrapNone/>
                <wp:docPr id="8" name="矩形 8"/>
                <wp:cNvGraphicFramePr/>
                <a:graphic xmlns:a="http://schemas.openxmlformats.org/drawingml/2006/main">
                  <a:graphicData uri="http://schemas.microsoft.com/office/word/2010/wordprocessingShape">
                    <wps:wsp>
                      <wps:cNvSpPr/>
                      <wps:spPr>
                        <a:xfrm>
                          <a:off x="0" y="0"/>
                          <a:ext cx="254000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微软雅黑"/>
                              </w:rPr>
                            </w:pPr>
                          </w:p>
                          <w:p>
                            <w:pPr>
                              <w:rPr>
                                <w:rFonts w:hint="eastAsia" w:eastAsia="微软雅黑"/>
                              </w:rPr>
                            </w:pPr>
                          </w:p>
                          <w:p>
                            <w:pPr>
                              <w:rPr>
                                <w:rFonts w:hint="eastAsia" w:eastAsia="微软雅黑"/>
                                <w:sz w:val="22"/>
                                <w:szCs w:val="21"/>
                              </w:rPr>
                            </w:pPr>
                            <w:r>
                              <w:rPr>
                                <w:rFonts w:hint="eastAsia" w:eastAsia="微软雅黑"/>
                              </w:rPr>
                              <w:t xml:space="preserve">        </w:t>
                            </w:r>
                            <w:r>
                              <w:rPr>
                                <w:rFonts w:hint="eastAsia" w:eastAsia="微软雅黑"/>
                                <w:sz w:val="22"/>
                                <w:szCs w:val="21"/>
                              </w:rPr>
                              <w:t xml:space="preserve"> </w:t>
                            </w:r>
                            <w:r>
                              <w:rPr>
                                <w:rFonts w:hint="eastAsia" w:eastAsia="微软雅黑" w:cs="Times New Roman"/>
                                <w:sz w:val="24"/>
                                <w:lang w:val="en-US" w:eastAsia="zh-CN"/>
                              </w:rPr>
                              <w:t>法人身份证复印件反面</w:t>
                            </w:r>
                          </w:p>
                        </w:txbxContent>
                      </wps:txbx>
                      <wps:bodyPr wrap="square" upright="1"/>
                    </wps:wsp>
                  </a:graphicData>
                </a:graphic>
              </wp:anchor>
            </w:drawing>
          </mc:Choice>
          <mc:Fallback>
            <w:pict>
              <v:rect id="_x0000_s1026" o:spid="_x0000_s1026" o:spt="1" style="position:absolute;left:0pt;margin-left:4.85pt;margin-top:10.45pt;height:103.3pt;width:200pt;z-index:251663360;mso-width-relative:page;mso-height-relative:page;" fillcolor="#FFFFFF" filled="t" stroked="t" coordsize="21600,21600" o:gfxdata="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MQITnWAAAACAEAAA8AAAAAAAAA&#10;AQAgAAAAIgAAAGRycy9kb3ducmV2LnhtbFBLAQIUABQAAAAIAIdO4kBifV5NEwIAAEYEAAAOAAAA&#10;AAAAAAEAIAAAACUBAABkcnMvZTJvRG9jLnhtbFBLBQYAAAAABgAGAFkBAACqBQAAAAA=&#10;">
                <v:fill on="t" focussize="0,0"/>
                <v:stroke color="#000000" joinstyle="miter"/>
                <v:imagedata o:title=""/>
                <o:lock v:ext="edit" aspectratio="f"/>
                <v:textbox>
                  <w:txbxContent>
                    <w:p>
                      <w:pPr>
                        <w:jc w:val="center"/>
                        <w:rPr>
                          <w:rFonts w:hint="eastAsia" w:eastAsia="微软雅黑"/>
                        </w:rPr>
                      </w:pPr>
                    </w:p>
                    <w:p>
                      <w:pPr>
                        <w:rPr>
                          <w:rFonts w:hint="eastAsia" w:eastAsia="微软雅黑"/>
                        </w:rPr>
                      </w:pPr>
                    </w:p>
                    <w:p>
                      <w:pPr>
                        <w:rPr>
                          <w:rFonts w:hint="eastAsia" w:eastAsia="微软雅黑"/>
                          <w:sz w:val="22"/>
                          <w:szCs w:val="21"/>
                        </w:rPr>
                      </w:pPr>
                      <w:r>
                        <w:rPr>
                          <w:rFonts w:hint="eastAsia" w:eastAsia="微软雅黑"/>
                        </w:rPr>
                        <w:t xml:space="preserve">        </w:t>
                      </w:r>
                      <w:r>
                        <w:rPr>
                          <w:rFonts w:hint="eastAsia" w:eastAsia="微软雅黑"/>
                          <w:sz w:val="22"/>
                          <w:szCs w:val="21"/>
                        </w:rPr>
                        <w:t xml:space="preserve"> </w:t>
                      </w:r>
                      <w:r>
                        <w:rPr>
                          <w:rFonts w:hint="eastAsia" w:eastAsia="微软雅黑" w:cs="Times New Roman"/>
                          <w:sz w:val="24"/>
                          <w:lang w:val="en-US" w:eastAsia="zh-CN"/>
                        </w:rPr>
                        <w:t>法人身份证复印件反面</w:t>
                      </w:r>
                    </w:p>
                  </w:txbxContent>
                </v:textbox>
              </v:rect>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3204845</wp:posOffset>
                </wp:positionH>
                <wp:positionV relativeFrom="paragraph">
                  <wp:posOffset>100965</wp:posOffset>
                </wp:positionV>
                <wp:extent cx="2316480" cy="1311910"/>
                <wp:effectExtent l="4445" t="4445" r="12700" b="7620"/>
                <wp:wrapNone/>
                <wp:docPr id="11" name="矩形 11"/>
                <wp:cNvGraphicFramePr/>
                <a:graphic xmlns:a="http://schemas.openxmlformats.org/drawingml/2006/main">
                  <a:graphicData uri="http://schemas.microsoft.com/office/word/2010/wordprocessingShape">
                    <wps:wsp>
                      <wps:cNvSpPr/>
                      <wps:spPr>
                        <a:xfrm>
                          <a:off x="0" y="0"/>
                          <a:ext cx="2316480" cy="13119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微软雅黑"/>
                              </w:rPr>
                            </w:pPr>
                          </w:p>
                          <w:p>
                            <w:pPr>
                              <w:rPr>
                                <w:rFonts w:hint="eastAsia" w:eastAsia="微软雅黑"/>
                              </w:rPr>
                            </w:pPr>
                          </w:p>
                          <w:p>
                            <w:pPr>
                              <w:rPr>
                                <w:rFonts w:hint="eastAsia" w:eastAsia="微软雅黑"/>
                              </w:rPr>
                            </w:pPr>
                            <w:r>
                              <w:rPr>
                                <w:rFonts w:hint="eastAsia" w:eastAsia="微软雅黑"/>
                              </w:rPr>
                              <w:t xml:space="preserve">  </w:t>
                            </w:r>
                            <w:r>
                              <w:rPr>
                                <w:rFonts w:hint="eastAsia" w:eastAsia="微软雅黑" w:cs="Times New Roman"/>
                                <w:sz w:val="24"/>
                                <w:lang w:val="en-US" w:eastAsia="zh-CN"/>
                              </w:rPr>
                              <w:t xml:space="preserve">  授权代表身份证复印件反面</w:t>
                            </w:r>
                          </w:p>
                        </w:txbxContent>
                      </wps:txbx>
                      <wps:bodyPr wrap="square" upright="1"/>
                    </wps:wsp>
                  </a:graphicData>
                </a:graphic>
              </wp:anchor>
            </w:drawing>
          </mc:Choice>
          <mc:Fallback>
            <w:pict>
              <v:rect id="_x0000_s1026" o:spid="_x0000_s1026" o:spt="1" style="position:absolute;left:0pt;margin-left:252.35pt;margin-top:7.95pt;height:103.3pt;width:182.4pt;z-index:251664384;mso-width-relative:page;mso-height-relative:page;" fillcolor="#FFFFFF" filled="t" stroked="t" coordsize="21600,21600" o:gfxdata="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jyF92AAAAAoBAAAPAAAA&#10;AAAAAAEAIAAAACIAAABkcnMvZG93bnJldi54bWxQSwECFAAUAAAACACHTuJAUIGKsRUCAABIBAAA&#10;DgAAAAAAAAABACAAAAAnAQAAZHJzL2Uyb0RvYy54bWxQSwUGAAAAAAYABgBZAQAArgUAAAAA&#10;">
                <v:fill on="t" focussize="0,0"/>
                <v:stroke color="#000000" joinstyle="miter"/>
                <v:imagedata o:title=""/>
                <o:lock v:ext="edit" aspectratio="f"/>
                <v:textbox>
                  <w:txbxContent>
                    <w:p>
                      <w:pPr>
                        <w:jc w:val="center"/>
                        <w:rPr>
                          <w:rFonts w:hint="eastAsia" w:eastAsia="微软雅黑"/>
                        </w:rPr>
                      </w:pPr>
                    </w:p>
                    <w:p>
                      <w:pPr>
                        <w:rPr>
                          <w:rFonts w:hint="eastAsia" w:eastAsia="微软雅黑"/>
                        </w:rPr>
                      </w:pPr>
                    </w:p>
                    <w:p>
                      <w:pPr>
                        <w:rPr>
                          <w:rFonts w:hint="eastAsia" w:eastAsia="微软雅黑"/>
                        </w:rPr>
                      </w:pPr>
                      <w:r>
                        <w:rPr>
                          <w:rFonts w:hint="eastAsia" w:eastAsia="微软雅黑"/>
                        </w:rPr>
                        <w:t xml:space="preserve">  </w:t>
                      </w:r>
                      <w:r>
                        <w:rPr>
                          <w:rFonts w:hint="eastAsia" w:eastAsia="微软雅黑" w:cs="Times New Roman"/>
                          <w:sz w:val="24"/>
                          <w:lang w:val="en-US" w:eastAsia="zh-CN"/>
                        </w:rPr>
                        <w:t xml:space="preserve">  授权代表身份证复印件反面</w:t>
                      </w:r>
                    </w:p>
                  </w:txbxContent>
                </v:textbox>
              </v:rect>
            </w:pict>
          </mc:Fallback>
        </mc:AlternateContent>
      </w:r>
    </w:p>
    <w:p>
      <w:pPr>
        <w:ind w:left="1260"/>
        <w:outlineLvl w:val="9"/>
        <w:rPr>
          <w:rFonts w:hint="eastAsia" w:ascii="宋体" w:hAnsi="宋体" w:eastAsia="宋体" w:cs="宋体"/>
          <w:color w:val="auto"/>
          <w:sz w:val="28"/>
          <w:szCs w:val="28"/>
          <w:highlight w:val="none"/>
        </w:rPr>
      </w:pPr>
    </w:p>
    <w:p>
      <w:pPr>
        <w:ind w:left="1260"/>
        <w:outlineLvl w:val="9"/>
        <w:rPr>
          <w:rFonts w:hint="eastAsia" w:ascii="宋体" w:hAnsi="宋体" w:eastAsia="宋体" w:cs="宋体"/>
          <w:color w:val="auto"/>
          <w:sz w:val="28"/>
          <w:szCs w:val="28"/>
          <w:highlight w:val="none"/>
        </w:rPr>
      </w:pPr>
    </w:p>
    <w:p>
      <w:pPr>
        <w:outlineLvl w:val="9"/>
        <w:rPr>
          <w:rFonts w:hint="eastAsia" w:ascii="宋体" w:hAnsi="宋体" w:eastAsia="宋体" w:cs="宋体"/>
          <w:color w:val="auto"/>
          <w:sz w:val="28"/>
          <w:szCs w:val="28"/>
          <w:highlight w:val="none"/>
        </w:rPr>
      </w:pPr>
    </w:p>
    <w:p>
      <w:pPr>
        <w:outlineLvl w:val="9"/>
        <w:rPr>
          <w:rFonts w:hint="eastAsia" w:ascii="宋体" w:hAnsi="宋体" w:eastAsia="宋体" w:cs="宋体"/>
          <w:color w:val="auto"/>
          <w:sz w:val="28"/>
          <w:szCs w:val="28"/>
          <w:highlight w:val="none"/>
        </w:rPr>
      </w:pPr>
    </w:p>
    <w:p>
      <w:pPr>
        <w:outlineLvl w:val="9"/>
        <w:rPr>
          <w:rFonts w:hint="eastAsia" w:ascii="宋体" w:hAnsi="宋体" w:eastAsia="宋体" w:cs="宋体"/>
          <w:color w:val="auto"/>
          <w:sz w:val="28"/>
          <w:szCs w:val="28"/>
          <w:highlight w:val="none"/>
        </w:rPr>
      </w:pPr>
    </w:p>
    <w:p>
      <w:pPr>
        <w:widowControl w:val="0"/>
        <w:snapToGrid w:val="0"/>
        <w:jc w:val="left"/>
        <w:rPr>
          <w:rFonts w:hint="eastAsia" w:ascii="宋体" w:hAnsi="宋体" w:eastAsia="宋体" w:cs="宋体"/>
          <w:color w:val="auto"/>
          <w:kern w:val="2"/>
          <w:sz w:val="28"/>
          <w:szCs w:val="28"/>
          <w:highlight w:val="none"/>
          <w:lang w:val="en-US" w:eastAsia="zh-CN" w:bidi="ar-SA"/>
        </w:rPr>
      </w:pPr>
    </w:p>
    <w:p>
      <w:pPr>
        <w:widowControl w:val="0"/>
        <w:ind w:left="1680" w:leftChars="800"/>
        <w:jc w:val="both"/>
        <w:rPr>
          <w:rFonts w:hint="eastAsia" w:ascii="宋体" w:hAnsi="宋体" w:eastAsia="宋体" w:cs="宋体"/>
          <w:color w:val="auto"/>
          <w:kern w:val="2"/>
          <w:sz w:val="28"/>
          <w:szCs w:val="28"/>
          <w:highlight w:val="none"/>
          <w:lang w:val="en-US" w:eastAsia="zh-CN" w:bidi="ar-SA"/>
        </w:rPr>
      </w:pPr>
    </w:p>
    <w:p>
      <w:pPr>
        <w:spacing w:line="360" w:lineRule="auto"/>
        <w:ind w:firstLine="480" w:firstLineChars="200"/>
        <w:rPr>
          <w:rFonts w:hint="eastAsia" w:ascii="宋体" w:hAnsi="宋体" w:eastAsia="微软雅黑"/>
          <w:sz w:val="24"/>
        </w:rPr>
      </w:pPr>
      <w:r>
        <w:rPr>
          <w:rFonts w:hint="eastAsia" w:ascii="宋体" w:hAnsi="宋体" w:eastAsia="微软雅黑"/>
          <w:sz w:val="24"/>
        </w:rPr>
        <w:t>供应商：</w:t>
      </w:r>
      <w:r>
        <w:rPr>
          <w:rFonts w:hint="eastAsia" w:ascii="宋体" w:hAnsi="宋体" w:eastAsia="微软雅黑"/>
          <w:sz w:val="24"/>
          <w:u w:val="single"/>
        </w:rPr>
        <w:t xml:space="preserve">                                      </w:t>
      </w:r>
      <w:r>
        <w:rPr>
          <w:rFonts w:hint="eastAsia" w:ascii="宋体" w:hAnsi="宋体" w:eastAsia="微软雅黑"/>
          <w:sz w:val="24"/>
        </w:rPr>
        <w:t>（盖单位章）</w:t>
      </w:r>
    </w:p>
    <w:p>
      <w:pPr>
        <w:spacing w:line="360" w:lineRule="auto"/>
        <w:ind w:firstLine="480" w:firstLineChars="200"/>
        <w:rPr>
          <w:rFonts w:hint="eastAsia" w:ascii="宋体" w:hAnsi="宋体" w:eastAsia="微软雅黑"/>
          <w:sz w:val="24"/>
        </w:rPr>
      </w:pPr>
      <w:r>
        <w:rPr>
          <w:rFonts w:hint="eastAsia" w:ascii="宋体" w:hAnsi="宋体" w:eastAsia="微软雅黑"/>
          <w:sz w:val="24"/>
        </w:rPr>
        <w:t>法定代表人：</w:t>
      </w:r>
      <w:r>
        <w:rPr>
          <w:rFonts w:hint="eastAsia" w:ascii="宋体" w:hAnsi="宋体" w:eastAsia="微软雅黑"/>
          <w:sz w:val="24"/>
          <w:u w:val="single"/>
        </w:rPr>
        <w:t xml:space="preserve">                                   </w:t>
      </w:r>
      <w:r>
        <w:rPr>
          <w:rFonts w:hint="eastAsia" w:ascii="宋体" w:hAnsi="宋体" w:eastAsia="微软雅黑"/>
          <w:sz w:val="24"/>
        </w:rPr>
        <w:t>（签字</w:t>
      </w:r>
      <w:r>
        <w:rPr>
          <w:rFonts w:hint="eastAsia" w:ascii="宋体" w:hAnsi="宋体" w:eastAsia="微软雅黑"/>
          <w:sz w:val="24"/>
          <w:lang w:val="en-US" w:eastAsia="zh-CN"/>
        </w:rPr>
        <w:t>并</w:t>
      </w:r>
      <w:r>
        <w:rPr>
          <w:rFonts w:hint="eastAsia" w:ascii="宋体" w:hAnsi="宋体" w:eastAsia="微软雅黑"/>
          <w:sz w:val="24"/>
        </w:rPr>
        <w:t>盖章）</w:t>
      </w:r>
    </w:p>
    <w:p>
      <w:pPr>
        <w:spacing w:line="360" w:lineRule="auto"/>
        <w:ind w:firstLine="480" w:firstLineChars="200"/>
        <w:rPr>
          <w:rFonts w:hint="eastAsia" w:ascii="宋体" w:hAnsi="宋体" w:eastAsia="微软雅黑"/>
          <w:sz w:val="24"/>
        </w:rPr>
      </w:pPr>
      <w:r>
        <w:rPr>
          <w:rFonts w:hint="eastAsia" w:ascii="宋体" w:hAnsi="宋体" w:eastAsia="微软雅黑"/>
          <w:sz w:val="24"/>
        </w:rPr>
        <w:t>身份证号码：</w:t>
      </w:r>
      <w:r>
        <w:rPr>
          <w:rFonts w:hint="eastAsia" w:ascii="宋体" w:hAnsi="宋体" w:eastAsia="微软雅黑"/>
          <w:sz w:val="24"/>
          <w:u w:val="single"/>
        </w:rPr>
        <w:t xml:space="preserve">                                   </w:t>
      </w:r>
    </w:p>
    <w:p>
      <w:pPr>
        <w:spacing w:line="360" w:lineRule="auto"/>
        <w:ind w:firstLine="480" w:firstLineChars="200"/>
        <w:rPr>
          <w:rFonts w:hint="eastAsia" w:ascii="宋体" w:hAnsi="宋体" w:eastAsia="微软雅黑"/>
          <w:sz w:val="24"/>
        </w:rPr>
      </w:pPr>
      <w:r>
        <w:rPr>
          <w:rFonts w:hint="eastAsia" w:ascii="宋体" w:hAnsi="宋体" w:eastAsia="微软雅黑"/>
          <w:sz w:val="24"/>
        </w:rPr>
        <w:t>委托代理人：</w:t>
      </w:r>
      <w:r>
        <w:rPr>
          <w:rFonts w:hint="eastAsia" w:ascii="宋体" w:hAnsi="宋体" w:eastAsia="微软雅黑"/>
          <w:sz w:val="24"/>
          <w:u w:val="single"/>
        </w:rPr>
        <w:t xml:space="preserve">                                   </w:t>
      </w:r>
      <w:r>
        <w:rPr>
          <w:rFonts w:hint="eastAsia" w:ascii="宋体" w:hAnsi="宋体" w:eastAsia="微软雅黑"/>
          <w:sz w:val="24"/>
        </w:rPr>
        <w:t xml:space="preserve">（签字或盖章） </w:t>
      </w:r>
    </w:p>
    <w:p>
      <w:pPr>
        <w:spacing w:line="360" w:lineRule="auto"/>
        <w:ind w:firstLine="480" w:firstLineChars="200"/>
        <w:rPr>
          <w:rFonts w:hint="eastAsia" w:ascii="宋体" w:hAnsi="宋体" w:eastAsia="微软雅黑"/>
          <w:sz w:val="24"/>
          <w:lang w:val="en-US" w:eastAsia="zh-CN"/>
        </w:rPr>
      </w:pPr>
      <w:r>
        <w:rPr>
          <w:rFonts w:hint="eastAsia" w:ascii="宋体" w:hAnsi="宋体" w:eastAsia="微软雅黑"/>
          <w:sz w:val="24"/>
        </w:rPr>
        <w:t>身份证号码：</w:t>
      </w:r>
      <w:r>
        <w:rPr>
          <w:rFonts w:hint="eastAsia" w:ascii="宋体" w:hAnsi="宋体" w:eastAsia="微软雅黑"/>
          <w:sz w:val="24"/>
          <w:u w:val="single"/>
        </w:rPr>
        <w:t xml:space="preserve">                                  </w:t>
      </w:r>
      <w:r>
        <w:rPr>
          <w:rFonts w:hint="eastAsia" w:ascii="宋体" w:hAnsi="宋体" w:eastAsia="微软雅黑"/>
          <w:sz w:val="24"/>
          <w:u w:val="single"/>
          <w:lang w:val="en-US" w:eastAsia="zh-CN"/>
        </w:rPr>
        <w:t xml:space="preserve"> </w:t>
      </w:r>
    </w:p>
    <w:p>
      <w:pPr>
        <w:spacing w:line="440" w:lineRule="exact"/>
        <w:rPr>
          <w:rFonts w:hint="eastAsia" w:ascii="宋体" w:hAnsi="宋体" w:eastAsia="微软雅黑"/>
          <w:sz w:val="24"/>
        </w:rPr>
      </w:pPr>
    </w:p>
    <w:p>
      <w:pPr>
        <w:jc w:val="center"/>
        <w:rPr>
          <w:rFonts w:hint="eastAsia" w:ascii="宋体" w:hAnsi="宋体" w:eastAsia="微软雅黑"/>
          <w:sz w:val="24"/>
        </w:rPr>
      </w:pPr>
      <w:r>
        <w:rPr>
          <w:rFonts w:hint="eastAsia" w:ascii="宋体" w:hAnsi="宋体" w:eastAsia="微软雅黑"/>
          <w:sz w:val="24"/>
        </w:rPr>
        <w:t xml:space="preserve">                                       </w:t>
      </w:r>
      <w:r>
        <w:rPr>
          <w:rFonts w:hint="eastAsia" w:ascii="宋体" w:hAnsi="宋体" w:eastAsia="微软雅黑"/>
          <w:sz w:val="24"/>
          <w:u w:val="single"/>
        </w:rPr>
        <w:t xml:space="preserve">         </w:t>
      </w:r>
      <w:r>
        <w:rPr>
          <w:rFonts w:hint="eastAsia" w:ascii="宋体" w:hAnsi="宋体" w:eastAsia="微软雅黑"/>
          <w:sz w:val="24"/>
        </w:rPr>
        <w:t>年</w:t>
      </w:r>
      <w:r>
        <w:rPr>
          <w:rFonts w:hint="eastAsia" w:ascii="宋体" w:hAnsi="宋体" w:eastAsia="微软雅黑"/>
          <w:sz w:val="24"/>
          <w:u w:val="single"/>
        </w:rPr>
        <w:t xml:space="preserve">       </w:t>
      </w:r>
      <w:r>
        <w:rPr>
          <w:rFonts w:hint="eastAsia" w:ascii="宋体" w:hAnsi="宋体" w:eastAsia="微软雅黑"/>
          <w:sz w:val="24"/>
        </w:rPr>
        <w:t>月</w:t>
      </w:r>
      <w:r>
        <w:rPr>
          <w:rFonts w:hint="eastAsia" w:ascii="宋体" w:hAnsi="宋体" w:eastAsia="微软雅黑"/>
          <w:sz w:val="24"/>
          <w:u w:val="single"/>
        </w:rPr>
        <w:t xml:space="preserve">       </w:t>
      </w:r>
      <w:r>
        <w:rPr>
          <w:rFonts w:hint="eastAsia" w:ascii="宋体" w:hAnsi="宋体" w:eastAsia="微软雅黑"/>
          <w:sz w:val="24"/>
        </w:rPr>
        <w:t>日</w:t>
      </w: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pStyle w:val="5"/>
        <w:outlineLvl w:val="9"/>
        <w:rPr>
          <w:rFonts w:hint="eastAsia" w:ascii="宋体" w:hAnsi="宋体" w:eastAsia="宋体" w:cs="宋体"/>
          <w:b/>
          <w:color w:val="000000"/>
          <w:spacing w:val="40"/>
          <w:sz w:val="32"/>
          <w:szCs w:val="32"/>
          <w:highlight w:val="none"/>
        </w:rPr>
      </w:pPr>
    </w:p>
    <w:p>
      <w:pPr>
        <w:rPr>
          <w:rFonts w:hint="eastAsia" w:ascii="宋体" w:hAnsi="宋体" w:eastAsia="宋体" w:cs="宋体"/>
          <w:b/>
          <w:color w:val="000000"/>
          <w:spacing w:val="40"/>
          <w:sz w:val="32"/>
          <w:szCs w:val="32"/>
          <w:highlight w:val="none"/>
        </w:rPr>
      </w:pPr>
    </w:p>
    <w:p>
      <w:pPr>
        <w:spacing w:line="360" w:lineRule="auto"/>
        <w:ind w:left="0" w:leftChars="0" w:firstLine="0" w:firstLineChars="0"/>
        <w:jc w:val="center"/>
        <w:rPr>
          <w:rFonts w:hint="eastAsia" w:ascii="宋体" w:hAnsi="宋体" w:eastAsia="宋体" w:cs="宋体"/>
          <w:b/>
          <w:bCs w:val="0"/>
          <w:color w:val="auto"/>
          <w:sz w:val="28"/>
          <w:szCs w:val="28"/>
          <w:lang w:val="en-US" w:eastAsia="zh-CN"/>
        </w:rPr>
      </w:pPr>
      <w:r>
        <w:rPr>
          <w:rFonts w:hint="eastAsia" w:ascii="宋体" w:hAnsi="宋体" w:cs="宋体"/>
          <w:b/>
          <w:color w:val="000000"/>
          <w:spacing w:val="40"/>
          <w:sz w:val="32"/>
          <w:szCs w:val="32"/>
          <w:highlight w:val="none"/>
          <w:lang w:val="en-US" w:eastAsia="zh-CN"/>
        </w:rPr>
        <w:t>四、</w:t>
      </w:r>
      <w:bookmarkStart w:id="71" w:name="_Toc130139086"/>
      <w:r>
        <w:rPr>
          <w:rFonts w:hint="eastAsia" w:ascii="宋体" w:hAnsi="宋体" w:eastAsia="宋体" w:cs="宋体"/>
          <w:b/>
          <w:color w:val="000000"/>
          <w:spacing w:val="40"/>
          <w:sz w:val="32"/>
          <w:szCs w:val="32"/>
          <w:highlight w:val="none"/>
          <w:lang w:val="en-US" w:eastAsia="zh-CN"/>
        </w:rPr>
        <w:t>监理费用构成明细表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600"/>
        <w:gridCol w:w="1661"/>
        <w:gridCol w:w="1561"/>
        <w:gridCol w:w="980"/>
        <w:gridCol w:w="1422"/>
        <w:gridCol w:w="1636"/>
        <w:gridCol w:w="15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jc w:val="center"/>
        </w:trPr>
        <w:tc>
          <w:tcPr>
            <w:tcW w:w="646" w:type="dxa"/>
            <w:vMerge w:val="restart"/>
            <w:noWrap w:val="0"/>
            <w:vAlign w:val="top"/>
          </w:tcPr>
          <w:p>
            <w:pPr>
              <w:widowControl w:val="0"/>
              <w:spacing w:before="2"/>
              <w:jc w:val="both"/>
              <w:rPr>
                <w:rFonts w:hint="eastAsia" w:ascii="宋体" w:hAnsi="宋体" w:eastAsia="宋体" w:cs="宋体"/>
                <w:b/>
                <w:color w:val="auto"/>
                <w:kern w:val="2"/>
                <w:sz w:val="21"/>
                <w:szCs w:val="21"/>
                <w:lang w:val="en-US" w:eastAsia="zh-TW" w:bidi="ar-SA"/>
              </w:rPr>
            </w:pPr>
          </w:p>
          <w:p>
            <w:pPr>
              <w:widowControl w:val="0"/>
              <w:spacing w:line="242" w:lineRule="auto"/>
              <w:ind w:left="203" w:right="19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序号</w:t>
            </w:r>
          </w:p>
        </w:tc>
        <w:tc>
          <w:tcPr>
            <w:tcW w:w="3822" w:type="dxa"/>
            <w:gridSpan w:val="3"/>
            <w:vMerge w:val="restart"/>
            <w:noWrap w:val="0"/>
            <w:vAlign w:val="top"/>
          </w:tcPr>
          <w:p>
            <w:pPr>
              <w:widowControl w:val="0"/>
              <w:spacing w:before="5"/>
              <w:jc w:val="both"/>
              <w:rPr>
                <w:rFonts w:hint="eastAsia" w:ascii="宋体" w:hAnsi="宋体" w:eastAsia="宋体" w:cs="宋体"/>
                <w:b/>
                <w:color w:val="auto"/>
                <w:kern w:val="2"/>
                <w:sz w:val="21"/>
                <w:szCs w:val="21"/>
                <w:lang w:val="en-US" w:eastAsia="zh-TW" w:bidi="ar-SA"/>
              </w:rPr>
            </w:pPr>
          </w:p>
          <w:p>
            <w:pPr>
              <w:widowControl w:val="0"/>
              <w:ind w:left="89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分 项 费 用 名 称</w:t>
            </w:r>
          </w:p>
        </w:tc>
        <w:tc>
          <w:tcPr>
            <w:tcW w:w="5599" w:type="dxa"/>
            <w:gridSpan w:val="4"/>
            <w:noWrap w:val="0"/>
            <w:vAlign w:val="top"/>
          </w:tcPr>
          <w:p>
            <w:pPr>
              <w:widowControl w:val="0"/>
              <w:tabs>
                <w:tab w:val="left" w:pos="1082"/>
              </w:tabs>
              <w:spacing w:before="60"/>
              <w:ind w:left="2"/>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金</w:t>
            </w:r>
            <w:r>
              <w:rPr>
                <w:rFonts w:hint="eastAsia" w:ascii="宋体" w:hAnsi="宋体" w:eastAsia="宋体" w:cs="宋体"/>
                <w:color w:val="auto"/>
                <w:kern w:val="2"/>
                <w:sz w:val="21"/>
                <w:szCs w:val="21"/>
                <w:lang w:val="en-US" w:eastAsia="zh-TW" w:bidi="ar-SA"/>
              </w:rPr>
              <w:tab/>
            </w:r>
            <w:r>
              <w:rPr>
                <w:rFonts w:hint="eastAsia" w:ascii="宋体" w:hAnsi="宋体" w:eastAsia="宋体" w:cs="宋体"/>
                <w:color w:val="auto"/>
                <w:kern w:val="2"/>
                <w:sz w:val="21"/>
                <w:szCs w:val="21"/>
                <w:lang w:val="en-US" w:eastAsia="zh-TW" w:bidi="ar-SA"/>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3822" w:type="dxa"/>
            <w:gridSpan w:val="3"/>
            <w:vMerge w:val="continue"/>
            <w:tcBorders>
              <w:top w:val="nil"/>
            </w:tcBorders>
            <w:noWrap w:val="0"/>
            <w:vAlign w:val="top"/>
          </w:tcPr>
          <w:p>
            <w:pPr>
              <w:rPr>
                <w:rFonts w:hint="eastAsia" w:ascii="宋体" w:hAnsi="宋体" w:eastAsia="宋体" w:cs="宋体"/>
                <w:color w:val="auto"/>
                <w:sz w:val="21"/>
                <w:szCs w:val="21"/>
              </w:rPr>
            </w:pPr>
          </w:p>
        </w:tc>
        <w:tc>
          <w:tcPr>
            <w:tcW w:w="980" w:type="dxa"/>
            <w:noWrap w:val="0"/>
            <w:vAlign w:val="top"/>
          </w:tcPr>
          <w:p>
            <w:pPr>
              <w:widowControl w:val="0"/>
              <w:spacing w:before="2"/>
              <w:ind w:left="16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spacing w:val="-20"/>
                <w:kern w:val="2"/>
                <w:sz w:val="21"/>
                <w:szCs w:val="21"/>
                <w:lang w:val="en-US" w:eastAsia="zh-TW" w:bidi="ar-SA"/>
              </w:rPr>
              <w:t xml:space="preserve">人数 </w:t>
            </w:r>
            <w:r>
              <w:rPr>
                <w:rFonts w:hint="eastAsia" w:ascii="宋体" w:hAnsi="宋体" w:eastAsia="宋体" w:cs="宋体"/>
                <w:color w:val="auto"/>
                <w:kern w:val="2"/>
                <w:sz w:val="21"/>
                <w:szCs w:val="21"/>
                <w:lang w:val="en-US" w:eastAsia="zh-TW" w:bidi="ar-SA"/>
              </w:rPr>
              <w:t>A</w:t>
            </w:r>
          </w:p>
          <w:p>
            <w:pPr>
              <w:widowControl w:val="0"/>
              <w:spacing w:before="4" w:line="289" w:lineRule="exact"/>
              <w:ind w:left="128"/>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（人）</w:t>
            </w:r>
          </w:p>
        </w:tc>
        <w:tc>
          <w:tcPr>
            <w:tcW w:w="1422" w:type="dxa"/>
            <w:noWrap w:val="0"/>
            <w:vAlign w:val="top"/>
          </w:tcPr>
          <w:p>
            <w:pPr>
              <w:widowControl w:val="0"/>
              <w:spacing w:before="2"/>
              <w:ind w:left="14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spacing w:val="-12"/>
                <w:kern w:val="2"/>
                <w:sz w:val="21"/>
                <w:szCs w:val="21"/>
                <w:lang w:val="en-US" w:eastAsia="zh-TW" w:bidi="ar-SA"/>
              </w:rPr>
              <w:t xml:space="preserve">人员工资 </w:t>
            </w:r>
            <w:r>
              <w:rPr>
                <w:rFonts w:hint="eastAsia" w:ascii="宋体" w:hAnsi="宋体" w:eastAsia="宋体" w:cs="宋体"/>
                <w:color w:val="auto"/>
                <w:kern w:val="2"/>
                <w:sz w:val="21"/>
                <w:szCs w:val="21"/>
                <w:lang w:val="en-US" w:eastAsia="zh-TW" w:bidi="ar-SA"/>
              </w:rPr>
              <w:t>B</w:t>
            </w:r>
          </w:p>
          <w:p>
            <w:pPr>
              <w:widowControl w:val="0"/>
              <w:spacing w:before="4" w:line="289" w:lineRule="exact"/>
              <w:ind w:left="168"/>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（元/人）</w:t>
            </w:r>
          </w:p>
        </w:tc>
        <w:tc>
          <w:tcPr>
            <w:tcW w:w="1636" w:type="dxa"/>
            <w:noWrap w:val="0"/>
            <w:vAlign w:val="top"/>
          </w:tcPr>
          <w:p>
            <w:pPr>
              <w:widowControl w:val="0"/>
              <w:spacing w:before="2"/>
              <w:ind w:left="213"/>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小计（元）</w:t>
            </w:r>
          </w:p>
          <w:p>
            <w:pPr>
              <w:widowControl w:val="0"/>
              <w:spacing w:before="4" w:line="289" w:lineRule="exact"/>
              <w:ind w:left="153"/>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C（C=A×B）</w:t>
            </w:r>
          </w:p>
        </w:tc>
        <w:tc>
          <w:tcPr>
            <w:tcW w:w="1561" w:type="dxa"/>
            <w:noWrap w:val="0"/>
            <w:vAlign w:val="top"/>
          </w:tcPr>
          <w:p>
            <w:pPr>
              <w:widowControl w:val="0"/>
              <w:spacing w:before="2"/>
              <w:ind w:left="153"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合计</w:t>
            </w:r>
          </w:p>
          <w:p>
            <w:pPr>
              <w:widowControl w:val="0"/>
              <w:spacing w:before="4" w:line="289" w:lineRule="exact"/>
              <w:ind w:left="153"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46" w:type="dxa"/>
            <w:vMerge w:val="restart"/>
            <w:noWrap w:val="0"/>
            <w:vAlign w:val="top"/>
          </w:tcPr>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spacing w:before="10"/>
              <w:jc w:val="both"/>
              <w:rPr>
                <w:rFonts w:hint="eastAsia" w:ascii="宋体" w:hAnsi="宋体" w:eastAsia="宋体" w:cs="宋体"/>
                <w:b/>
                <w:color w:val="auto"/>
                <w:kern w:val="2"/>
                <w:sz w:val="21"/>
                <w:szCs w:val="21"/>
                <w:lang w:val="en-US" w:eastAsia="zh-TW" w:bidi="ar-SA"/>
              </w:rPr>
            </w:pPr>
          </w:p>
          <w:p>
            <w:pPr>
              <w:widowControl w:val="0"/>
              <w:ind w:left="1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1</w:t>
            </w:r>
          </w:p>
        </w:tc>
        <w:tc>
          <w:tcPr>
            <w:tcW w:w="600" w:type="dxa"/>
            <w:vMerge w:val="restart"/>
            <w:noWrap w:val="0"/>
            <w:vAlign w:val="top"/>
          </w:tcPr>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spacing w:before="3"/>
              <w:jc w:val="both"/>
              <w:rPr>
                <w:rFonts w:hint="eastAsia" w:ascii="宋体" w:hAnsi="宋体" w:eastAsia="宋体" w:cs="宋体"/>
                <w:b/>
                <w:color w:val="auto"/>
                <w:kern w:val="2"/>
                <w:sz w:val="21"/>
                <w:szCs w:val="21"/>
                <w:lang w:val="en-US" w:eastAsia="zh-TW" w:bidi="ar-SA"/>
              </w:rPr>
            </w:pPr>
          </w:p>
          <w:p>
            <w:pPr>
              <w:widowControl w:val="0"/>
              <w:spacing w:before="1" w:line="242" w:lineRule="auto"/>
              <w:ind w:left="182" w:right="165"/>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直接成本</w:t>
            </w:r>
          </w:p>
        </w:tc>
        <w:tc>
          <w:tcPr>
            <w:tcW w:w="1661" w:type="dxa"/>
            <w:vMerge w:val="restart"/>
            <w:noWrap w:val="0"/>
            <w:vAlign w:val="top"/>
          </w:tcPr>
          <w:p>
            <w:pPr>
              <w:widowControl w:val="0"/>
              <w:spacing w:before="1"/>
              <w:jc w:val="both"/>
              <w:rPr>
                <w:rFonts w:hint="eastAsia" w:ascii="宋体" w:hAnsi="宋体" w:eastAsia="宋体" w:cs="宋体"/>
                <w:b/>
                <w:color w:val="auto"/>
                <w:kern w:val="2"/>
                <w:sz w:val="21"/>
                <w:szCs w:val="21"/>
                <w:lang w:val="en-US" w:eastAsia="zh-TW" w:bidi="ar-SA"/>
              </w:rPr>
            </w:pPr>
          </w:p>
          <w:p>
            <w:pPr>
              <w:widowControl w:val="0"/>
              <w:ind w:left="11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监理人员费用</w:t>
            </w:r>
          </w:p>
          <w:p>
            <w:pPr>
              <w:widowControl w:val="0"/>
              <w:spacing w:before="4" w:line="244" w:lineRule="auto"/>
              <w:ind w:left="110" w:right="98"/>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w:t>
            </w:r>
            <w:r>
              <w:rPr>
                <w:rFonts w:hint="eastAsia" w:ascii="宋体" w:hAnsi="宋体" w:eastAsia="宋体" w:cs="宋体"/>
                <w:color w:val="auto"/>
                <w:spacing w:val="-4"/>
                <w:kern w:val="2"/>
                <w:sz w:val="21"/>
                <w:szCs w:val="21"/>
                <w:lang w:val="en-US" w:eastAsia="zh-TW" w:bidi="ar-SA"/>
              </w:rPr>
              <w:t>包括监理人</w:t>
            </w:r>
            <w:r>
              <w:rPr>
                <w:rFonts w:hint="eastAsia" w:ascii="宋体" w:hAnsi="宋体" w:eastAsia="宋体" w:cs="宋体"/>
                <w:color w:val="auto"/>
                <w:spacing w:val="-3"/>
                <w:kern w:val="2"/>
                <w:sz w:val="21"/>
                <w:szCs w:val="21"/>
                <w:lang w:val="en-US" w:eastAsia="zh-TW" w:bidi="ar-SA"/>
              </w:rPr>
              <w:t>员的工资总额及一切辅助工</w:t>
            </w:r>
            <w:r>
              <w:rPr>
                <w:rFonts w:hint="eastAsia" w:ascii="宋体" w:hAnsi="宋体" w:eastAsia="宋体" w:cs="宋体"/>
                <w:color w:val="auto"/>
                <w:kern w:val="2"/>
                <w:sz w:val="21"/>
                <w:szCs w:val="21"/>
                <w:lang w:val="en-US" w:eastAsia="zh-TW" w:bidi="ar-SA"/>
              </w:rPr>
              <w:t>资、奖金等</w:t>
            </w:r>
            <w:r>
              <w:rPr>
                <w:rFonts w:hint="eastAsia" w:ascii="宋体" w:hAnsi="宋体" w:eastAsia="宋体" w:cs="宋体"/>
                <w:color w:val="auto"/>
                <w:spacing w:val="-17"/>
                <w:kern w:val="2"/>
                <w:sz w:val="21"/>
                <w:szCs w:val="21"/>
                <w:lang w:val="en-US" w:eastAsia="zh-TW" w:bidi="ar-SA"/>
              </w:rPr>
              <w:t>）</w:t>
            </w:r>
          </w:p>
        </w:tc>
        <w:tc>
          <w:tcPr>
            <w:tcW w:w="1561" w:type="dxa"/>
            <w:noWrap w:val="0"/>
            <w:vAlign w:val="top"/>
          </w:tcPr>
          <w:p>
            <w:pPr>
              <w:widowControl w:val="0"/>
              <w:spacing w:before="2"/>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总监理工程</w:t>
            </w:r>
          </w:p>
          <w:p>
            <w:pPr>
              <w:widowControl w:val="0"/>
              <w:spacing w:before="4" w:line="289" w:lineRule="exact"/>
              <w:ind w:left="9"/>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师</w:t>
            </w:r>
          </w:p>
        </w:tc>
        <w:tc>
          <w:tcPr>
            <w:tcW w:w="980"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422"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636"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restart"/>
            <w:noWrap w:val="0"/>
            <w:vAlign w:val="top"/>
          </w:tcPr>
          <w:p>
            <w:pPr>
              <w:widowControl w:val="0"/>
              <w:jc w:val="both"/>
              <w:rPr>
                <w:rFonts w:hint="eastAsia" w:ascii="宋体" w:hAnsi="宋体" w:eastAsia="宋体" w:cs="宋体"/>
                <w:color w:val="auto"/>
                <w:kern w:val="2"/>
                <w:sz w:val="21"/>
                <w:szCs w:val="21"/>
                <w:lang w:val="en-US" w:eastAsia="zh-TW"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19" w:line="310" w:lineRule="atLeast"/>
              <w:ind w:left="420" w:right="288" w:hanging="12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专业监理工程师</w:t>
            </w:r>
          </w:p>
        </w:tc>
        <w:tc>
          <w:tcPr>
            <w:tcW w:w="980"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422"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636"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100"/>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监理员</w:t>
            </w:r>
          </w:p>
        </w:tc>
        <w:tc>
          <w:tcPr>
            <w:tcW w:w="980"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422"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636"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36"/>
              <w:ind w:left="9"/>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w:t>
            </w:r>
          </w:p>
        </w:tc>
        <w:tc>
          <w:tcPr>
            <w:tcW w:w="980"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422"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636" w:type="dxa"/>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restart"/>
            <w:noWrap w:val="0"/>
            <w:vAlign w:val="top"/>
          </w:tcPr>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jc w:val="both"/>
              <w:rPr>
                <w:rFonts w:hint="eastAsia" w:ascii="宋体" w:hAnsi="宋体" w:eastAsia="宋体" w:cs="宋体"/>
                <w:b/>
                <w:color w:val="auto"/>
                <w:kern w:val="2"/>
                <w:sz w:val="21"/>
                <w:szCs w:val="21"/>
                <w:lang w:val="en-US" w:eastAsia="zh-TW" w:bidi="ar-SA"/>
              </w:rPr>
            </w:pPr>
          </w:p>
          <w:p>
            <w:pPr>
              <w:widowControl w:val="0"/>
              <w:spacing w:before="7"/>
              <w:jc w:val="both"/>
              <w:rPr>
                <w:rFonts w:hint="eastAsia" w:ascii="宋体" w:hAnsi="宋体" w:eastAsia="宋体" w:cs="宋体"/>
                <w:b/>
                <w:color w:val="auto"/>
                <w:kern w:val="2"/>
                <w:sz w:val="21"/>
                <w:szCs w:val="21"/>
                <w:lang w:val="en-US" w:eastAsia="zh-TW" w:bidi="ar-SA"/>
              </w:rPr>
            </w:pPr>
          </w:p>
          <w:p>
            <w:pPr>
              <w:widowControl w:val="0"/>
              <w:spacing w:before="1"/>
              <w:ind w:left="11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专项费用开支</w:t>
            </w:r>
          </w:p>
        </w:tc>
        <w:tc>
          <w:tcPr>
            <w:tcW w:w="1561" w:type="dxa"/>
            <w:noWrap w:val="0"/>
            <w:vAlign w:val="top"/>
          </w:tcPr>
          <w:p>
            <w:pPr>
              <w:widowControl w:val="0"/>
              <w:spacing w:before="110"/>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现场办公费</w:t>
            </w:r>
          </w:p>
        </w:tc>
        <w:tc>
          <w:tcPr>
            <w:tcW w:w="4038" w:type="dxa"/>
            <w:gridSpan w:val="3"/>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50"/>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电讯费</w:t>
            </w:r>
          </w:p>
        </w:tc>
        <w:tc>
          <w:tcPr>
            <w:tcW w:w="4038" w:type="dxa"/>
            <w:gridSpan w:val="3"/>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2"/>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交通、差</w:t>
            </w:r>
          </w:p>
          <w:p>
            <w:pPr>
              <w:widowControl w:val="0"/>
              <w:spacing w:before="4" w:line="289" w:lineRule="exact"/>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旅、住宿费</w:t>
            </w:r>
          </w:p>
        </w:tc>
        <w:tc>
          <w:tcPr>
            <w:tcW w:w="4038" w:type="dxa"/>
            <w:gridSpan w:val="3"/>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165"/>
              <w:ind w:left="160" w:right="151"/>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试验检测费</w:t>
            </w:r>
          </w:p>
        </w:tc>
        <w:tc>
          <w:tcPr>
            <w:tcW w:w="4038" w:type="dxa"/>
            <w:gridSpan w:val="3"/>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77" w:line="242" w:lineRule="auto"/>
              <w:ind w:left="540" w:right="168" w:hanging="360"/>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现场临时设施费</w:t>
            </w:r>
          </w:p>
        </w:tc>
        <w:tc>
          <w:tcPr>
            <w:tcW w:w="4038" w:type="dxa"/>
            <w:gridSpan w:val="3"/>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646" w:type="dxa"/>
            <w:vMerge w:val="continue"/>
            <w:tcBorders>
              <w:top w:val="nil"/>
            </w:tcBorders>
            <w:noWrap w:val="0"/>
            <w:vAlign w:val="top"/>
          </w:tcPr>
          <w:p>
            <w:pPr>
              <w:rPr>
                <w:rFonts w:hint="eastAsia" w:ascii="宋体" w:hAnsi="宋体" w:eastAsia="宋体" w:cs="宋体"/>
                <w:color w:val="auto"/>
                <w:sz w:val="21"/>
                <w:szCs w:val="21"/>
              </w:rPr>
            </w:pPr>
          </w:p>
        </w:tc>
        <w:tc>
          <w:tcPr>
            <w:tcW w:w="600" w:type="dxa"/>
            <w:vMerge w:val="continue"/>
            <w:tcBorders>
              <w:top w:val="nil"/>
            </w:tcBorders>
            <w:noWrap w:val="0"/>
            <w:vAlign w:val="top"/>
          </w:tcPr>
          <w:p>
            <w:pPr>
              <w:rPr>
                <w:rFonts w:hint="eastAsia" w:ascii="宋体" w:hAnsi="宋体" w:eastAsia="宋体" w:cs="宋体"/>
                <w:color w:val="auto"/>
                <w:sz w:val="21"/>
                <w:szCs w:val="21"/>
              </w:rPr>
            </w:pPr>
          </w:p>
        </w:tc>
        <w:tc>
          <w:tcPr>
            <w:tcW w:w="1661" w:type="dxa"/>
            <w:vMerge w:val="continue"/>
            <w:tcBorders>
              <w:top w:val="nil"/>
            </w:tcBorders>
            <w:noWrap w:val="0"/>
            <w:vAlign w:val="top"/>
          </w:tcPr>
          <w:p>
            <w:pPr>
              <w:rPr>
                <w:rFonts w:hint="eastAsia" w:ascii="宋体" w:hAnsi="宋体" w:eastAsia="宋体" w:cs="宋体"/>
                <w:color w:val="auto"/>
                <w:sz w:val="21"/>
                <w:szCs w:val="21"/>
              </w:rPr>
            </w:pPr>
          </w:p>
        </w:tc>
        <w:tc>
          <w:tcPr>
            <w:tcW w:w="1561" w:type="dxa"/>
            <w:noWrap w:val="0"/>
            <w:vAlign w:val="top"/>
          </w:tcPr>
          <w:p>
            <w:pPr>
              <w:widowControl w:val="0"/>
              <w:spacing w:before="74"/>
              <w:ind w:left="9"/>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w:t>
            </w:r>
          </w:p>
        </w:tc>
        <w:tc>
          <w:tcPr>
            <w:tcW w:w="4038" w:type="dxa"/>
            <w:gridSpan w:val="3"/>
            <w:noWrap w:val="0"/>
            <w:vAlign w:val="top"/>
          </w:tcPr>
          <w:p>
            <w:pPr>
              <w:widowControl w:val="0"/>
              <w:jc w:val="both"/>
              <w:rPr>
                <w:rFonts w:hint="eastAsia" w:ascii="宋体" w:hAnsi="宋体" w:eastAsia="宋体" w:cs="宋体"/>
                <w:color w:val="auto"/>
                <w:kern w:val="2"/>
                <w:sz w:val="21"/>
                <w:szCs w:val="21"/>
                <w:lang w:val="en-US" w:eastAsia="zh-TW" w:bidi="ar-SA"/>
              </w:rPr>
            </w:pPr>
          </w:p>
        </w:tc>
        <w:tc>
          <w:tcPr>
            <w:tcW w:w="1561" w:type="dxa"/>
            <w:vMerge w:val="continue"/>
            <w:tcBorders>
              <w:top w:val="nil"/>
            </w:tcBorders>
            <w:noWrap w:val="0"/>
            <w:vAlign w:val="top"/>
          </w:tcPr>
          <w:p>
            <w:pPr>
              <w:rPr>
                <w:rFonts w:hint="eastAsia" w:ascii="宋体" w:hAnsi="宋体" w:eastAsia="宋体" w:cs="宋体"/>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646" w:type="dxa"/>
            <w:noWrap w:val="0"/>
            <w:vAlign w:val="top"/>
          </w:tcPr>
          <w:p>
            <w:pPr>
              <w:widowControl w:val="0"/>
              <w:spacing w:before="143"/>
              <w:ind w:left="263"/>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2</w:t>
            </w:r>
          </w:p>
        </w:tc>
        <w:tc>
          <w:tcPr>
            <w:tcW w:w="7860" w:type="dxa"/>
            <w:gridSpan w:val="6"/>
            <w:noWrap w:val="0"/>
            <w:vAlign w:val="top"/>
          </w:tcPr>
          <w:p>
            <w:pPr>
              <w:widowControl w:val="0"/>
              <w:spacing w:before="143"/>
              <w:ind w:left="8"/>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企业管理费</w:t>
            </w:r>
          </w:p>
        </w:tc>
        <w:tc>
          <w:tcPr>
            <w:tcW w:w="1561" w:type="dxa"/>
            <w:noWrap w:val="0"/>
            <w:vAlign w:val="top"/>
          </w:tcPr>
          <w:p>
            <w:pPr>
              <w:widowControl w:val="0"/>
              <w:jc w:val="both"/>
              <w:rPr>
                <w:rFonts w:hint="eastAsia" w:ascii="宋体" w:hAnsi="宋体" w:eastAsia="宋体" w:cs="宋体"/>
                <w:color w:val="auto"/>
                <w:kern w:val="2"/>
                <w:sz w:val="21"/>
                <w:szCs w:val="21"/>
                <w:lang w:val="en-US" w:eastAsia="zh-TW"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646" w:type="dxa"/>
            <w:noWrap w:val="0"/>
            <w:vAlign w:val="top"/>
          </w:tcPr>
          <w:p>
            <w:pPr>
              <w:widowControl w:val="0"/>
              <w:spacing w:before="127"/>
              <w:ind w:left="263"/>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3</w:t>
            </w:r>
          </w:p>
        </w:tc>
        <w:tc>
          <w:tcPr>
            <w:tcW w:w="7860" w:type="dxa"/>
            <w:gridSpan w:val="6"/>
            <w:noWrap w:val="0"/>
            <w:vAlign w:val="top"/>
          </w:tcPr>
          <w:p>
            <w:pPr>
              <w:widowControl w:val="0"/>
              <w:tabs>
                <w:tab w:val="left" w:pos="848"/>
              </w:tabs>
              <w:spacing w:before="127"/>
              <w:ind w:left="8"/>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利</w:t>
            </w:r>
            <w:r>
              <w:rPr>
                <w:rFonts w:hint="eastAsia" w:ascii="宋体" w:hAnsi="宋体" w:eastAsia="宋体" w:cs="宋体"/>
                <w:color w:val="auto"/>
                <w:kern w:val="2"/>
                <w:sz w:val="21"/>
                <w:szCs w:val="21"/>
                <w:lang w:val="en-US" w:eastAsia="zh-TW" w:bidi="ar-SA"/>
              </w:rPr>
              <w:tab/>
            </w:r>
            <w:r>
              <w:rPr>
                <w:rFonts w:hint="eastAsia" w:ascii="宋体" w:hAnsi="宋体" w:eastAsia="宋体" w:cs="宋体"/>
                <w:color w:val="auto"/>
                <w:kern w:val="2"/>
                <w:sz w:val="21"/>
                <w:szCs w:val="21"/>
                <w:lang w:val="en-US" w:eastAsia="zh-TW" w:bidi="ar-SA"/>
              </w:rPr>
              <w:t>润</w:t>
            </w:r>
          </w:p>
        </w:tc>
        <w:tc>
          <w:tcPr>
            <w:tcW w:w="1561" w:type="dxa"/>
            <w:noWrap w:val="0"/>
            <w:vAlign w:val="top"/>
          </w:tcPr>
          <w:p>
            <w:pPr>
              <w:widowControl w:val="0"/>
              <w:jc w:val="both"/>
              <w:rPr>
                <w:rFonts w:hint="eastAsia" w:ascii="宋体" w:hAnsi="宋体" w:eastAsia="宋体" w:cs="宋体"/>
                <w:color w:val="auto"/>
                <w:kern w:val="2"/>
                <w:sz w:val="21"/>
                <w:szCs w:val="21"/>
                <w:lang w:val="en-US" w:eastAsia="zh-TW"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jc w:val="center"/>
        </w:trPr>
        <w:tc>
          <w:tcPr>
            <w:tcW w:w="646" w:type="dxa"/>
            <w:noWrap w:val="0"/>
            <w:vAlign w:val="top"/>
          </w:tcPr>
          <w:p>
            <w:pPr>
              <w:widowControl w:val="0"/>
              <w:spacing w:before="122"/>
              <w:ind w:left="263"/>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4</w:t>
            </w:r>
          </w:p>
        </w:tc>
        <w:tc>
          <w:tcPr>
            <w:tcW w:w="7860" w:type="dxa"/>
            <w:gridSpan w:val="6"/>
            <w:noWrap w:val="0"/>
            <w:vAlign w:val="top"/>
          </w:tcPr>
          <w:p>
            <w:pPr>
              <w:widowControl w:val="0"/>
              <w:spacing w:before="122"/>
              <w:ind w:left="7"/>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税金（包含企业所得税、增值税等）</w:t>
            </w:r>
          </w:p>
        </w:tc>
        <w:tc>
          <w:tcPr>
            <w:tcW w:w="1561" w:type="dxa"/>
            <w:noWrap w:val="0"/>
            <w:vAlign w:val="top"/>
          </w:tcPr>
          <w:p>
            <w:pPr>
              <w:widowControl w:val="0"/>
              <w:jc w:val="both"/>
              <w:rPr>
                <w:rFonts w:hint="eastAsia" w:ascii="宋体" w:hAnsi="宋体" w:eastAsia="宋体" w:cs="宋体"/>
                <w:color w:val="auto"/>
                <w:kern w:val="2"/>
                <w:sz w:val="21"/>
                <w:szCs w:val="21"/>
                <w:lang w:val="en-US" w:eastAsia="zh-TW"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646" w:type="dxa"/>
            <w:noWrap w:val="0"/>
            <w:vAlign w:val="top"/>
          </w:tcPr>
          <w:p>
            <w:pPr>
              <w:widowControl w:val="0"/>
              <w:spacing w:before="117"/>
              <w:ind w:left="263"/>
              <w:jc w:val="both"/>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5</w:t>
            </w:r>
          </w:p>
        </w:tc>
        <w:tc>
          <w:tcPr>
            <w:tcW w:w="7860" w:type="dxa"/>
            <w:gridSpan w:val="6"/>
            <w:noWrap w:val="0"/>
            <w:vAlign w:val="top"/>
          </w:tcPr>
          <w:p>
            <w:pPr>
              <w:widowControl w:val="0"/>
              <w:spacing w:before="117"/>
              <w:ind w:left="8"/>
              <w:jc w:val="center"/>
              <w:rPr>
                <w:rFonts w:hint="eastAsia" w:ascii="宋体" w:hAnsi="宋体" w:eastAsia="宋体" w:cs="宋体"/>
                <w:color w:val="auto"/>
                <w:kern w:val="2"/>
                <w:sz w:val="21"/>
                <w:szCs w:val="21"/>
                <w:lang w:val="en-US" w:eastAsia="zh-TW" w:bidi="ar-SA"/>
              </w:rPr>
            </w:pPr>
            <w:r>
              <w:rPr>
                <w:rFonts w:hint="eastAsia" w:ascii="宋体" w:hAnsi="宋体" w:eastAsia="宋体" w:cs="宋体"/>
                <w:color w:val="auto"/>
                <w:kern w:val="2"/>
                <w:sz w:val="21"/>
                <w:szCs w:val="21"/>
                <w:lang w:val="en-US" w:eastAsia="zh-TW" w:bidi="ar-SA"/>
              </w:rPr>
              <w:t>监 理 费 用 合 计</w:t>
            </w:r>
          </w:p>
        </w:tc>
        <w:tc>
          <w:tcPr>
            <w:tcW w:w="1561" w:type="dxa"/>
            <w:noWrap w:val="0"/>
            <w:vAlign w:val="top"/>
          </w:tcPr>
          <w:p>
            <w:pPr>
              <w:widowControl w:val="0"/>
              <w:jc w:val="both"/>
              <w:rPr>
                <w:rFonts w:hint="eastAsia" w:ascii="宋体" w:hAnsi="宋体" w:eastAsia="宋体" w:cs="宋体"/>
                <w:color w:val="auto"/>
                <w:kern w:val="2"/>
                <w:sz w:val="21"/>
                <w:szCs w:val="21"/>
                <w:lang w:val="en-US" w:eastAsia="zh-TW" w:bidi="ar-SA"/>
              </w:rPr>
            </w:pPr>
          </w:p>
        </w:tc>
      </w:tr>
    </w:tbl>
    <w:p>
      <w:pPr>
        <w:spacing w:before="0" w:line="242" w:lineRule="auto"/>
        <w:ind w:left="0" w:leftChars="0" w:right="-70" w:rightChars="0" w:firstLine="0" w:firstLineChars="0"/>
        <w:jc w:val="left"/>
        <w:rPr>
          <w:rFonts w:hint="eastAsia" w:ascii="宋体" w:hAnsi="宋体" w:eastAsia="宋体" w:cs="宋体"/>
          <w:color w:val="auto"/>
          <w:sz w:val="21"/>
          <w:szCs w:val="21"/>
        </w:rPr>
      </w:pPr>
      <w:r>
        <w:rPr>
          <w:rFonts w:hint="eastAsia" w:ascii="宋体" w:hAnsi="宋体" w:eastAsia="宋体" w:cs="宋体"/>
          <w:color w:val="auto"/>
          <w:sz w:val="21"/>
          <w:szCs w:val="21"/>
        </w:rPr>
        <w:t>备注：1、若监理费用构成明细表中监理费用合计与监理投标书所报投标报价不一致，以监理投标书投标报价为准;</w:t>
      </w:r>
    </w:p>
    <w:p>
      <w:pPr>
        <w:spacing w:before="0" w:line="242" w:lineRule="auto"/>
        <w:ind w:left="0" w:leftChars="0" w:right="-70" w:rightChars="0" w:firstLine="0" w:firstLineChars="0"/>
        <w:jc w:val="left"/>
        <w:rPr>
          <w:rFonts w:ascii="Times New Roman" w:hAnsi="Times New Roman" w:eastAsia="宋体" w:cs="Times New Roman"/>
          <w:color w:val="auto"/>
          <w:sz w:val="24"/>
        </w:rPr>
      </w:pPr>
      <w:r>
        <w:rPr>
          <w:rFonts w:hint="eastAsia" w:ascii="宋体" w:hAnsi="宋体" w:eastAsia="宋体" w:cs="宋体"/>
          <w:color w:val="auto"/>
          <w:sz w:val="21"/>
          <w:szCs w:val="21"/>
        </w:rPr>
        <w:t>2、监理企业可根据企业实际情况增加分项费用进行报价。（本表可扩展）</w:t>
      </w:r>
    </w:p>
    <w:p>
      <w:pPr>
        <w:widowControl w:val="0"/>
        <w:spacing w:line="276" w:lineRule="auto"/>
        <w:ind w:firstLine="482" w:firstLineChars="200"/>
        <w:jc w:val="left"/>
        <w:rPr>
          <w:rFonts w:hint="eastAsia" w:ascii="宋体" w:hAnsi="宋体" w:eastAsia="宋体" w:cs="宋体"/>
          <w:b/>
          <w:bCs w:val="0"/>
          <w:color w:val="auto"/>
          <w:kern w:val="0"/>
          <w:sz w:val="24"/>
          <w:szCs w:val="24"/>
          <w:lang w:val="en-US" w:eastAsia="zh-CN" w:bidi="ar-SA"/>
        </w:rPr>
      </w:pPr>
    </w:p>
    <w:p>
      <w:pPr>
        <w:pStyle w:val="44"/>
        <w:spacing w:line="500" w:lineRule="exact"/>
        <w:ind w:left="0" w:leftChars="0" w:firstLine="2100" w:firstLineChars="1000"/>
        <w:jc w:val="left"/>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投 标 人：</w:t>
      </w:r>
      <w:r>
        <w:rPr>
          <w:rStyle w:val="26"/>
          <w:rFonts w:hint="eastAsia" w:ascii="宋体" w:hAnsi="宋体" w:eastAsia="宋体" w:cs="宋体"/>
          <w:color w:val="auto"/>
          <w:sz w:val="21"/>
          <w:szCs w:val="18"/>
          <w:u w:val="single"/>
        </w:rPr>
        <w:t xml:space="preserve">    </w:t>
      </w:r>
      <w:r>
        <w:rPr>
          <w:rStyle w:val="26"/>
          <w:rFonts w:hint="eastAsia" w:ascii="宋体" w:hAnsi="宋体" w:cs="宋体"/>
          <w:color w:val="auto"/>
          <w:sz w:val="21"/>
          <w:szCs w:val="18"/>
          <w:u w:val="single"/>
          <w:lang w:val="en-US"/>
        </w:rPr>
        <w:t xml:space="preserve">         </w:t>
      </w:r>
      <w:r>
        <w:rPr>
          <w:rStyle w:val="26"/>
          <w:rFonts w:hint="eastAsia" w:ascii="宋体" w:hAnsi="宋体" w:eastAsia="宋体" w:cs="宋体"/>
          <w:color w:val="auto"/>
          <w:sz w:val="21"/>
          <w:szCs w:val="18"/>
          <w:u w:val="single"/>
        </w:rPr>
        <w:t xml:space="preserve">                </w:t>
      </w:r>
      <w:r>
        <w:rPr>
          <w:rStyle w:val="26"/>
          <w:rFonts w:hint="eastAsia" w:ascii="宋体" w:hAnsi="宋体" w:eastAsia="宋体" w:cs="宋体"/>
          <w:color w:val="auto"/>
          <w:sz w:val="21"/>
          <w:szCs w:val="18"/>
        </w:rPr>
        <w:t>（盖章）</w:t>
      </w:r>
    </w:p>
    <w:p>
      <w:pPr>
        <w:pStyle w:val="44"/>
        <w:spacing w:line="500" w:lineRule="exact"/>
        <w:ind w:firstLine="2100" w:firstLineChars="1000"/>
        <w:jc w:val="left"/>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法定代表人或授权代表人：</w:t>
      </w:r>
      <w:r>
        <w:rPr>
          <w:rStyle w:val="26"/>
          <w:rFonts w:hint="eastAsia" w:ascii="宋体" w:hAnsi="宋体" w:eastAsia="宋体" w:cs="宋体"/>
          <w:color w:val="auto"/>
          <w:sz w:val="21"/>
          <w:szCs w:val="18"/>
          <w:u w:val="single"/>
        </w:rPr>
        <w:t xml:space="preserve">               </w:t>
      </w:r>
    </w:p>
    <w:p>
      <w:pPr>
        <w:pStyle w:val="44"/>
        <w:spacing w:line="500" w:lineRule="exact"/>
        <w:jc w:val="left"/>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 xml:space="preserve">                   </w:t>
      </w:r>
    </w:p>
    <w:p>
      <w:pPr>
        <w:widowControl w:val="0"/>
        <w:spacing w:line="276" w:lineRule="auto"/>
        <w:ind w:firstLine="5670" w:firstLineChars="2700"/>
        <w:jc w:val="left"/>
        <w:rPr>
          <w:rFonts w:hint="eastAsia" w:ascii="宋体" w:hAnsi="宋体" w:eastAsia="宋体" w:cs="宋体"/>
          <w:b/>
          <w:bCs w:val="0"/>
          <w:color w:val="auto"/>
          <w:kern w:val="0"/>
          <w:sz w:val="32"/>
          <w:szCs w:val="32"/>
          <w:lang w:val="en-US" w:eastAsia="zh-CN" w:bidi="ar-SA"/>
        </w:rPr>
      </w:pPr>
      <w:r>
        <w:rPr>
          <w:rStyle w:val="26"/>
          <w:rFonts w:hint="eastAsia" w:ascii="宋体" w:hAnsi="宋体" w:eastAsia="宋体" w:cs="宋体"/>
          <w:color w:val="auto"/>
          <w:kern w:val="0"/>
          <w:sz w:val="21"/>
          <w:szCs w:val="18"/>
          <w:u w:val="single"/>
          <w:lang w:val="en-US" w:eastAsia="en-US" w:bidi="ar-SA"/>
        </w:rPr>
        <w:t xml:space="preserve">      </w:t>
      </w:r>
      <w:r>
        <w:rPr>
          <w:rStyle w:val="26"/>
          <w:rFonts w:hint="eastAsia" w:ascii="宋体" w:hAnsi="宋体" w:eastAsia="宋体" w:cs="宋体"/>
          <w:color w:val="auto"/>
          <w:kern w:val="0"/>
          <w:sz w:val="21"/>
          <w:szCs w:val="18"/>
          <w:lang w:val="en-US" w:eastAsia="en-US" w:bidi="ar-SA"/>
        </w:rPr>
        <w:t>年</w:t>
      </w:r>
      <w:r>
        <w:rPr>
          <w:rStyle w:val="26"/>
          <w:rFonts w:hint="eastAsia" w:ascii="宋体" w:hAnsi="宋体" w:eastAsia="宋体" w:cs="宋体"/>
          <w:color w:val="auto"/>
          <w:kern w:val="0"/>
          <w:sz w:val="21"/>
          <w:szCs w:val="18"/>
          <w:u w:val="single"/>
          <w:lang w:val="en-US" w:eastAsia="en-US" w:bidi="ar-SA"/>
        </w:rPr>
        <w:t xml:space="preserve">    </w:t>
      </w:r>
      <w:r>
        <w:rPr>
          <w:rStyle w:val="26"/>
          <w:rFonts w:hint="eastAsia" w:ascii="宋体" w:hAnsi="宋体" w:eastAsia="宋体" w:cs="宋体"/>
          <w:color w:val="auto"/>
          <w:kern w:val="0"/>
          <w:sz w:val="21"/>
          <w:szCs w:val="18"/>
          <w:lang w:val="en-US" w:eastAsia="en-US" w:bidi="ar-SA"/>
        </w:rPr>
        <w:t>月</w:t>
      </w:r>
      <w:r>
        <w:rPr>
          <w:rStyle w:val="26"/>
          <w:rFonts w:hint="eastAsia" w:ascii="宋体" w:hAnsi="宋体" w:eastAsia="宋体" w:cs="宋体"/>
          <w:color w:val="auto"/>
          <w:kern w:val="0"/>
          <w:sz w:val="21"/>
          <w:szCs w:val="18"/>
          <w:u w:val="single"/>
          <w:lang w:val="en-US" w:eastAsia="en-US" w:bidi="ar-SA"/>
        </w:rPr>
        <w:t xml:space="preserve">    </w:t>
      </w:r>
      <w:r>
        <w:rPr>
          <w:rStyle w:val="26"/>
          <w:rFonts w:hint="eastAsia" w:ascii="宋体" w:hAnsi="宋体" w:eastAsia="宋体" w:cs="宋体"/>
          <w:color w:val="auto"/>
          <w:kern w:val="0"/>
          <w:sz w:val="21"/>
          <w:szCs w:val="18"/>
          <w:u w:val="single"/>
          <w:lang w:val="en-US" w:eastAsia="zh-CN" w:bidi="ar-SA"/>
        </w:rPr>
        <w:t>日</w:t>
      </w:r>
    </w:p>
    <w:p>
      <w:pPr>
        <w:spacing w:line="360" w:lineRule="auto"/>
        <w:ind w:left="420" w:leftChars="200"/>
        <w:rPr>
          <w:rFonts w:hint="eastAsia" w:eastAsia="微软雅黑"/>
          <w:sz w:val="24"/>
          <w:lang w:val="en-US" w:eastAsia="zh-CN"/>
        </w:rPr>
      </w:pPr>
    </w:p>
    <w:p>
      <w:pPr>
        <w:pStyle w:val="12"/>
        <w:rPr>
          <w:rFonts w:hint="eastAsia" w:eastAsia="微软雅黑"/>
          <w:sz w:val="24"/>
          <w:lang w:val="en-US" w:eastAsia="zh-CN"/>
        </w:rPr>
      </w:pPr>
    </w:p>
    <w:p>
      <w:pPr>
        <w:rPr>
          <w:rFonts w:hint="eastAsia" w:eastAsia="微软雅黑"/>
          <w:sz w:val="24"/>
          <w:lang w:val="en-US" w:eastAsia="zh-CN"/>
        </w:rPr>
      </w:pPr>
    </w:p>
    <w:p>
      <w:pPr>
        <w:pStyle w:val="12"/>
        <w:rPr>
          <w:rFonts w:hint="eastAsia" w:eastAsia="微软雅黑"/>
          <w:sz w:val="24"/>
          <w:lang w:val="en-US" w:eastAsia="zh-CN"/>
        </w:rPr>
      </w:pPr>
    </w:p>
    <w:p>
      <w:pPr>
        <w:rPr>
          <w:rFonts w:hint="eastAsia" w:eastAsia="微软雅黑"/>
          <w:sz w:val="24"/>
          <w:lang w:val="en-US" w:eastAsia="zh-CN"/>
        </w:rPr>
      </w:pPr>
    </w:p>
    <w:p>
      <w:pPr>
        <w:adjustRightInd w:val="0"/>
        <w:snapToGrid w:val="0"/>
        <w:spacing w:line="240" w:lineRule="auto"/>
        <w:jc w:val="center"/>
        <w:rPr>
          <w:rFonts w:hint="eastAsia" w:ascii="宋体" w:hAnsi="宋体" w:eastAsia="宋体" w:cs="宋体"/>
          <w:b/>
          <w:color w:val="000000"/>
          <w:spacing w:val="40"/>
          <w:sz w:val="32"/>
          <w:szCs w:val="32"/>
          <w:highlight w:val="none"/>
        </w:rPr>
      </w:pPr>
      <w:r>
        <w:rPr>
          <w:rFonts w:hint="eastAsia" w:ascii="宋体" w:hAnsi="宋体" w:eastAsia="宋体" w:cs="宋体"/>
          <w:b/>
          <w:color w:val="000000"/>
          <w:spacing w:val="40"/>
          <w:sz w:val="32"/>
          <w:szCs w:val="32"/>
          <w:highlight w:val="none"/>
          <w:lang w:val="en-US" w:eastAsia="zh-CN"/>
        </w:rPr>
        <w:t>报价一览表</w:t>
      </w:r>
    </w:p>
    <w:p>
      <w:pPr>
        <w:spacing w:line="460" w:lineRule="exact"/>
        <w:jc w:val="center"/>
        <w:rPr>
          <w:rFonts w:hint="eastAsia" w:ascii="宋体" w:hAnsi="宋体" w:eastAsia="宋体" w:cs="宋体"/>
          <w:color w:val="000000"/>
          <w:sz w:val="30"/>
          <w:highlight w:val="none"/>
        </w:rPr>
      </w:pPr>
    </w:p>
    <w:tbl>
      <w:tblPr>
        <w:tblStyle w:val="24"/>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7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微软雅黑" w:cs="Times New Roman"/>
                <w:sz w:val="24"/>
              </w:rPr>
            </w:pPr>
            <w:r>
              <w:rPr>
                <w:rFonts w:hint="eastAsia" w:ascii="宋体" w:hAnsi="宋体" w:eastAsia="微软雅黑" w:cs="Times New Roman"/>
                <w:sz w:val="24"/>
              </w:rPr>
              <w:t>项目名称</w:t>
            </w:r>
          </w:p>
        </w:tc>
        <w:tc>
          <w:tcPr>
            <w:tcW w:w="7547" w:type="dxa"/>
            <w:noWrap w:val="0"/>
            <w:vAlign w:val="center"/>
          </w:tcPr>
          <w:p>
            <w:pPr>
              <w:spacing w:line="44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微软雅黑" w:cs="Times New Roman"/>
                <w:sz w:val="24"/>
              </w:rPr>
            </w:pPr>
            <w:r>
              <w:rPr>
                <w:rFonts w:hint="eastAsia" w:ascii="宋体" w:hAnsi="宋体" w:eastAsia="微软雅黑" w:cs="Times New Roman"/>
                <w:sz w:val="24"/>
              </w:rPr>
              <w:t>项目编号</w:t>
            </w:r>
          </w:p>
        </w:tc>
        <w:tc>
          <w:tcPr>
            <w:tcW w:w="7547" w:type="dxa"/>
            <w:noWrap w:val="0"/>
            <w:vAlign w:val="top"/>
          </w:tcPr>
          <w:p>
            <w:pPr>
              <w:spacing w:line="44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微软雅黑" w:cs="Times New Roman"/>
                <w:sz w:val="24"/>
              </w:rPr>
            </w:pPr>
            <w:r>
              <w:rPr>
                <w:rFonts w:hint="eastAsia" w:ascii="宋体" w:hAnsi="宋体" w:eastAsia="微软雅黑" w:cs="Times New Roman"/>
                <w:sz w:val="24"/>
                <w:lang w:eastAsia="zh-CN"/>
              </w:rPr>
              <w:t>监理</w:t>
            </w:r>
            <w:r>
              <w:rPr>
                <w:rFonts w:hint="eastAsia" w:ascii="宋体" w:hAnsi="宋体" w:eastAsia="微软雅黑" w:cs="Times New Roman"/>
                <w:sz w:val="24"/>
              </w:rPr>
              <w:t>内容</w:t>
            </w:r>
          </w:p>
        </w:tc>
        <w:tc>
          <w:tcPr>
            <w:tcW w:w="7547" w:type="dxa"/>
            <w:noWrap w:val="0"/>
            <w:vAlign w:val="top"/>
          </w:tcPr>
          <w:p>
            <w:pPr>
              <w:spacing w:line="44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微软雅黑" w:cs="Times New Roman"/>
                <w:sz w:val="24"/>
              </w:rPr>
            </w:pPr>
            <w:r>
              <w:rPr>
                <w:rFonts w:hint="eastAsia" w:ascii="宋体" w:hAnsi="宋体" w:eastAsia="微软雅黑" w:cs="Times New Roman"/>
                <w:sz w:val="24"/>
                <w:lang w:val="en-US" w:eastAsia="zh-CN"/>
              </w:rPr>
              <w:t>监理期限</w:t>
            </w:r>
          </w:p>
        </w:tc>
        <w:tc>
          <w:tcPr>
            <w:tcW w:w="7547" w:type="dxa"/>
            <w:noWrap w:val="0"/>
            <w:vAlign w:val="top"/>
          </w:tcPr>
          <w:p>
            <w:pPr>
              <w:spacing w:line="44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微软雅黑" w:cs="Times New Roman"/>
                <w:sz w:val="24"/>
                <w:highlight w:val="none"/>
                <w:lang w:val="en-US" w:eastAsia="zh-CN"/>
              </w:rPr>
            </w:pPr>
            <w:r>
              <w:rPr>
                <w:rFonts w:hint="eastAsia" w:ascii="宋体" w:hAnsi="宋体" w:eastAsia="微软雅黑" w:cs="Times New Roman"/>
                <w:sz w:val="24"/>
                <w:highlight w:val="none"/>
                <w:lang w:val="en-US" w:eastAsia="zh-CN"/>
              </w:rPr>
              <w:t>项目负责人</w:t>
            </w:r>
          </w:p>
        </w:tc>
        <w:tc>
          <w:tcPr>
            <w:tcW w:w="7547" w:type="dxa"/>
            <w:noWrap w:val="0"/>
            <w:vAlign w:val="top"/>
          </w:tcPr>
          <w:p>
            <w:pPr>
              <w:spacing w:line="44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微软雅黑" w:cs="Times New Roman"/>
                <w:sz w:val="24"/>
                <w:highlight w:val="none"/>
                <w:lang w:val="en-US" w:eastAsia="zh-CN"/>
              </w:rPr>
            </w:pPr>
            <w:r>
              <w:rPr>
                <w:rFonts w:hint="eastAsia" w:ascii="宋体" w:hAnsi="宋体" w:eastAsia="微软雅黑" w:cs="Times New Roman"/>
                <w:sz w:val="24"/>
                <w:highlight w:val="none"/>
                <w:lang w:val="en-US" w:eastAsia="zh-TW"/>
              </w:rPr>
              <w:t>监理注册证书注册号</w:t>
            </w:r>
          </w:p>
        </w:tc>
        <w:tc>
          <w:tcPr>
            <w:tcW w:w="7547" w:type="dxa"/>
            <w:noWrap w:val="0"/>
            <w:vAlign w:val="top"/>
          </w:tcPr>
          <w:p>
            <w:pPr>
              <w:spacing w:line="440" w:lineRule="exact"/>
              <w:jc w:val="center"/>
              <w:rPr>
                <w:rFonts w:hint="eastAsia" w:ascii="宋体" w:hAnsi="宋体" w:eastAsia="宋体" w:cs="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微软雅黑" w:cs="Times New Roman"/>
                <w:sz w:val="24"/>
              </w:rPr>
            </w:pPr>
            <w:r>
              <w:rPr>
                <w:rFonts w:hint="eastAsia" w:ascii="宋体" w:hAnsi="宋体" w:eastAsia="微软雅黑" w:cs="Times New Roman"/>
                <w:sz w:val="24"/>
              </w:rPr>
              <w:t>投标报价</w:t>
            </w:r>
          </w:p>
        </w:tc>
        <w:tc>
          <w:tcPr>
            <w:tcW w:w="7547" w:type="dxa"/>
            <w:noWrap w:val="0"/>
            <w:vAlign w:val="center"/>
          </w:tcPr>
          <w:p>
            <w:pPr>
              <w:spacing w:line="44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p>
          <w:p>
            <w:pPr>
              <w:spacing w:line="440" w:lineRule="exac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大写：</w:t>
            </w:r>
            <w:r>
              <w:rPr>
                <w:rFonts w:hint="eastAsia" w:ascii="宋体" w:hAnsi="宋体" w:eastAsia="宋体" w:cs="宋体"/>
                <w:color w:val="auto"/>
                <w:sz w:val="28"/>
                <w:szCs w:val="28"/>
                <w:highlight w:val="none"/>
                <w:u w:val="single"/>
              </w:rPr>
              <w:t xml:space="preserve">                     </w:t>
            </w:r>
          </w:p>
          <w:p>
            <w:pPr>
              <w:spacing w:line="440" w:lineRule="exact"/>
              <w:rPr>
                <w:rFonts w:hint="default" w:ascii="宋体" w:hAnsi="宋体" w:eastAsia="微软雅黑" w:cs="宋体"/>
                <w:color w:val="auto"/>
                <w:sz w:val="28"/>
                <w:szCs w:val="28"/>
                <w:highlight w:val="none"/>
                <w:u w:val="single"/>
                <w:lang w:val="en-US" w:eastAsia="zh-CN"/>
              </w:rPr>
            </w:pPr>
            <w:r>
              <w:rPr>
                <w:rFonts w:hint="eastAsia" w:ascii="宋体" w:hAnsi="宋体" w:eastAsia="宋体" w:cs="宋体"/>
                <w:color w:val="auto"/>
                <w:sz w:val="28"/>
                <w:szCs w:val="28"/>
                <w:highlight w:val="none"/>
              </w:rPr>
              <w:t>（注：</w:t>
            </w:r>
            <w:r>
              <w:rPr>
                <w:rFonts w:hint="eastAsia" w:ascii="宋体" w:hAnsi="宋体" w:eastAsia="微软雅黑" w:cs="Times New Roman"/>
                <w:sz w:val="24"/>
              </w:rPr>
              <w:t>包含</w:t>
            </w:r>
            <w:r>
              <w:rPr>
                <w:rFonts w:hint="eastAsia" w:ascii="宋体" w:hAnsi="宋体" w:eastAsia="微软雅黑" w:cs="Times New Roman"/>
                <w:sz w:val="24"/>
                <w:lang w:val="en-US" w:eastAsia="zh-CN"/>
              </w:rPr>
              <w:t>本次项目</w:t>
            </w:r>
            <w:r>
              <w:rPr>
                <w:rFonts w:hint="eastAsia" w:ascii="宋体" w:hAnsi="宋体" w:eastAsia="微软雅黑" w:cs="Times New Roman"/>
                <w:sz w:val="24"/>
              </w:rPr>
              <w:t>一切税费及相关费用（货物的运输、安装调试、检测验收、培训、质保期保障等</w:t>
            </w:r>
            <w:r>
              <w:rPr>
                <w:rFonts w:hint="eastAsia" w:ascii="宋体" w:hAnsi="宋体" w:eastAsia="微软雅黑" w:cs="Times New Roman"/>
                <w:sz w:val="24"/>
                <w:lang w:val="en-US" w:eastAsia="zh-CN"/>
              </w:rPr>
              <w:t>所有</w:t>
            </w:r>
            <w:r>
              <w:rPr>
                <w:rFonts w:hint="eastAsia" w:ascii="宋体" w:hAnsi="宋体" w:eastAsia="微软雅黑" w:cs="Times New Roman"/>
                <w:sz w:val="24"/>
              </w:rPr>
              <w:t>费用</w:t>
            </w:r>
            <w:r>
              <w:rPr>
                <w:rFonts w:hint="eastAsia" w:ascii="宋体" w:hAnsi="宋体" w:eastAsia="微软雅黑"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953"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微软雅黑" w:cs="Times New Roman"/>
                <w:sz w:val="24"/>
              </w:rPr>
            </w:pPr>
            <w:r>
              <w:rPr>
                <w:rFonts w:hint="eastAsia" w:ascii="宋体" w:hAnsi="宋体" w:eastAsia="微软雅黑" w:cs="Times New Roman"/>
                <w:sz w:val="24"/>
              </w:rPr>
              <w:t>备注</w:t>
            </w:r>
          </w:p>
        </w:tc>
        <w:tc>
          <w:tcPr>
            <w:tcW w:w="7547" w:type="dxa"/>
            <w:noWrap w:val="0"/>
            <w:vAlign w:val="top"/>
          </w:tcPr>
          <w:p>
            <w:pPr>
              <w:spacing w:line="440" w:lineRule="exact"/>
              <w:jc w:val="center"/>
              <w:rPr>
                <w:rFonts w:hint="eastAsia" w:ascii="宋体" w:hAnsi="宋体" w:eastAsia="宋体" w:cs="宋体"/>
                <w:color w:val="auto"/>
                <w:sz w:val="28"/>
                <w:szCs w:val="28"/>
                <w:highlight w:val="none"/>
              </w:rPr>
            </w:pPr>
          </w:p>
        </w:tc>
      </w:tr>
    </w:tbl>
    <w:p>
      <w:pPr>
        <w:pageBreakBefore w:val="0"/>
        <w:kinsoku/>
        <w:wordWrap/>
        <w:overflowPunct/>
        <w:topLinePunct w:val="0"/>
        <w:bidi w:val="0"/>
        <w:spacing w:line="360" w:lineRule="auto"/>
        <w:outlineLvl w:val="9"/>
        <w:rPr>
          <w:rFonts w:hint="eastAsia" w:ascii="宋体" w:hAnsi="宋体" w:eastAsia="宋体" w:cs="宋体"/>
          <w:color w:val="auto"/>
          <w:sz w:val="28"/>
          <w:szCs w:val="28"/>
          <w:highlight w:val="none"/>
        </w:rPr>
      </w:pPr>
      <w:r>
        <w:rPr>
          <w:rFonts w:hint="eastAsia" w:eastAsia="微软雅黑" w:cs="Times New Roman"/>
          <w:sz w:val="24"/>
          <w:lang w:val="en-US" w:eastAsia="zh-CN"/>
        </w:rPr>
        <w:t>投标人名称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eastAsia="微软雅黑" w:cs="Times New Roman"/>
          <w:sz w:val="24"/>
          <w:lang w:val="en-US" w:eastAsia="zh-CN"/>
        </w:rPr>
        <w:t>公章</w:t>
      </w:r>
      <w:r>
        <w:rPr>
          <w:rFonts w:hint="eastAsia" w:ascii="宋体" w:hAnsi="宋体" w:eastAsia="宋体" w:cs="宋体"/>
          <w:color w:val="auto"/>
          <w:sz w:val="28"/>
          <w:szCs w:val="28"/>
          <w:highlight w:val="none"/>
        </w:rPr>
        <w:t>）</w:t>
      </w:r>
    </w:p>
    <w:p>
      <w:pPr>
        <w:spacing w:line="440" w:lineRule="exact"/>
        <w:rPr>
          <w:rFonts w:hint="eastAsia" w:ascii="宋体" w:hAnsi="宋体" w:eastAsia="宋体" w:cs="宋体"/>
          <w:color w:val="auto"/>
          <w:sz w:val="28"/>
          <w:szCs w:val="28"/>
          <w:highlight w:val="none"/>
        </w:rPr>
      </w:pPr>
      <w:r>
        <w:rPr>
          <w:rFonts w:hint="eastAsia" w:eastAsia="微软雅黑" w:cs="Times New Roman"/>
          <w:sz w:val="24"/>
          <w:lang w:val="en-US" w:eastAsia="zh-CN"/>
        </w:rPr>
        <w:t>法定代表人或授权代表人</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eastAsia="微软雅黑" w:cs="Times New Roman"/>
          <w:sz w:val="24"/>
          <w:lang w:val="en-US" w:eastAsia="zh-CN"/>
        </w:rPr>
        <w:t>签字并盖章</w:t>
      </w:r>
      <w:r>
        <w:rPr>
          <w:rFonts w:hint="eastAsia" w:ascii="宋体" w:hAnsi="宋体" w:eastAsia="宋体" w:cs="宋体"/>
          <w:color w:val="auto"/>
          <w:sz w:val="28"/>
          <w:szCs w:val="28"/>
          <w:highlight w:val="none"/>
        </w:rPr>
        <w:t>）</w:t>
      </w:r>
    </w:p>
    <w:p>
      <w:pPr>
        <w:pageBreakBefore w:val="0"/>
        <w:kinsoku/>
        <w:wordWrap/>
        <w:overflowPunct/>
        <w:topLinePunct w:val="0"/>
        <w:bidi w:val="0"/>
        <w:spacing w:line="360" w:lineRule="auto"/>
        <w:outlineLvl w:val="9"/>
        <w:rPr>
          <w:rFonts w:hint="eastAsia" w:eastAsia="微软雅黑" w:cs="Times New Roman"/>
          <w:sz w:val="24"/>
          <w:lang w:val="en-US" w:eastAsia="zh-CN"/>
        </w:rPr>
      </w:pPr>
    </w:p>
    <w:p>
      <w:pPr>
        <w:pageBreakBefore w:val="0"/>
        <w:kinsoku/>
        <w:wordWrap/>
        <w:overflowPunct/>
        <w:topLinePunct w:val="0"/>
        <w:bidi w:val="0"/>
        <w:spacing w:line="360" w:lineRule="auto"/>
        <w:outlineLvl w:val="9"/>
        <w:rPr>
          <w:rFonts w:eastAsia="微软雅黑"/>
        </w:rPr>
      </w:pPr>
      <w:r>
        <w:rPr>
          <w:rFonts w:hint="eastAsia" w:eastAsia="微软雅黑" w:cs="Times New Roman"/>
          <w:sz w:val="24"/>
          <w:lang w:val="en-US" w:eastAsia="zh-CN"/>
        </w:rPr>
        <w:t>日      期：      年      月     日</w:t>
      </w:r>
    </w:p>
    <w:p>
      <w:pPr>
        <w:spacing w:line="360" w:lineRule="auto"/>
        <w:ind w:left="738" w:hanging="735" w:hangingChars="350"/>
        <w:rPr>
          <w:rFonts w:hint="eastAsia" w:ascii="宋体" w:hAnsi="宋体" w:eastAsia="微软雅黑" w:cs="Times New Roman"/>
          <w:lang w:val="en-US" w:eastAsia="zh-CN"/>
        </w:rPr>
      </w:pPr>
      <w:r>
        <w:rPr>
          <w:rFonts w:eastAsia="微软雅黑"/>
          <w:b/>
        </w:rPr>
        <w:t>注：</w:t>
      </w:r>
      <w:r>
        <w:rPr>
          <w:rFonts w:eastAsia="微软雅黑"/>
        </w:rPr>
        <w:t>1、</w:t>
      </w:r>
      <w:r>
        <w:rPr>
          <w:rFonts w:hint="eastAsia" w:ascii="宋体" w:hAnsi="宋体" w:eastAsia="微软雅黑"/>
        </w:rPr>
        <w:t>此表一式两份，一份装在单独的“投标一览表”内密封，封口盖公章；另一份装订在投标文件中；</w:t>
      </w:r>
      <w:r>
        <w:rPr>
          <w:rFonts w:hint="eastAsia" w:ascii="宋体" w:hAnsi="宋体" w:eastAsia="微软雅黑"/>
          <w:lang w:eastAsia="zh-CN"/>
        </w:rPr>
        <w:t>（</w:t>
      </w:r>
      <w:r>
        <w:rPr>
          <w:rFonts w:hint="eastAsia" w:ascii="宋体" w:hAnsi="宋体" w:eastAsia="微软雅黑"/>
          <w:lang w:val="en-US" w:eastAsia="zh-CN"/>
        </w:rPr>
        <w:t>供应商严格按照本格式文本填写投标报价一览表，严禁修改，</w:t>
      </w:r>
      <w:r>
        <w:rPr>
          <w:rFonts w:hint="eastAsia" w:ascii="宋体" w:hAnsi="宋体" w:eastAsia="微软雅黑" w:cs="Times New Roman"/>
          <w:lang w:val="en-US" w:eastAsia="zh-CN"/>
        </w:rPr>
        <w:t>机打为准，手写无效。）</w:t>
      </w:r>
    </w:p>
    <w:p>
      <w:pPr>
        <w:spacing w:line="360" w:lineRule="auto"/>
        <w:ind w:left="732" w:leftChars="200" w:hanging="312" w:hangingChars="149"/>
        <w:rPr>
          <w:rFonts w:hint="eastAsia" w:ascii="宋体" w:hAnsi="宋体" w:eastAsia="微软雅黑"/>
        </w:rPr>
      </w:pPr>
      <w:r>
        <w:rPr>
          <w:rFonts w:hint="eastAsia" w:ascii="宋体" w:hAnsi="宋体" w:eastAsia="微软雅黑"/>
        </w:rPr>
        <w:t>2、投标总价为供应商最终报价，包含本次项目一切税费及相关费用（货物的运输、安装调试、检测验收、培训、质保期保障等所有费用）</w:t>
      </w:r>
      <w:r>
        <w:rPr>
          <w:rFonts w:hint="eastAsia" w:ascii="宋体" w:hAnsi="宋体" w:eastAsia="微软雅黑"/>
          <w:b/>
        </w:rPr>
        <w:t>。</w:t>
      </w:r>
      <w:r>
        <w:rPr>
          <w:rFonts w:hint="eastAsia" w:ascii="宋体" w:hAnsi="宋体" w:eastAsia="微软雅黑"/>
        </w:rPr>
        <w:t>与详细报价表中相应包的投标总价一致；</w:t>
      </w:r>
    </w:p>
    <w:p>
      <w:pPr>
        <w:spacing w:line="360" w:lineRule="auto"/>
        <w:ind w:left="420" w:leftChars="200"/>
        <w:rPr>
          <w:rFonts w:hint="eastAsia" w:ascii="宋体" w:hAnsi="宋体" w:eastAsia="微软雅黑"/>
        </w:rPr>
      </w:pPr>
      <w:r>
        <w:rPr>
          <w:rFonts w:hint="eastAsia" w:ascii="宋体" w:hAnsi="宋体" w:eastAsia="微软雅黑"/>
        </w:rPr>
        <w:t>3、上述日期均以日历日为单位，包括法定节假日；</w:t>
      </w:r>
    </w:p>
    <w:p>
      <w:pPr>
        <w:spacing w:line="360" w:lineRule="auto"/>
        <w:ind w:left="420" w:leftChars="200"/>
        <w:rPr>
          <w:rFonts w:hint="eastAsia" w:eastAsia="微软雅黑"/>
          <w:sz w:val="24"/>
          <w:lang w:val="en-US" w:eastAsia="zh-CN"/>
        </w:rPr>
        <w:sectPr>
          <w:footerReference r:id="rId6" w:type="first"/>
          <w:footerReference r:id="rId5" w:type="default"/>
          <w:pgSz w:w="11906" w:h="16838"/>
          <w:pgMar w:top="1191" w:right="1418" w:bottom="1191" w:left="1418" w:header="737" w:footer="737" w:gutter="0"/>
          <w:pgNumType w:fmt="decimal"/>
          <w:cols w:space="720" w:num="1"/>
          <w:docGrid w:linePitch="312" w:charSpace="0"/>
        </w:sectPr>
      </w:pPr>
      <w:r>
        <w:rPr>
          <w:rFonts w:hint="eastAsia" w:ascii="宋体" w:hAnsi="宋体" w:eastAsia="微软雅黑"/>
        </w:rPr>
        <w:t>4、对含糊不清或不确定的报价将视为无效报价</w:t>
      </w:r>
      <w:r>
        <w:rPr>
          <w:rFonts w:hint="eastAsia" w:ascii="宋体" w:hAnsi="宋体" w:eastAsia="微软雅黑"/>
          <w:lang w:eastAsia="zh-CN"/>
        </w:rPr>
        <w:t>。</w:t>
      </w:r>
    </w:p>
    <w:bookmarkEnd w:id="71"/>
    <w:p>
      <w:pPr>
        <w:adjustRightInd w:val="0"/>
        <w:snapToGrid w:val="0"/>
        <w:spacing w:line="240" w:lineRule="auto"/>
        <w:jc w:val="center"/>
        <w:rPr>
          <w:rFonts w:hint="eastAsia" w:ascii="宋体" w:hAnsi="宋体" w:eastAsia="宋体" w:cs="宋体"/>
          <w:b/>
          <w:color w:val="000000"/>
          <w:spacing w:val="40"/>
          <w:sz w:val="32"/>
          <w:szCs w:val="32"/>
          <w:highlight w:val="none"/>
          <w:lang w:eastAsia="zh-CN"/>
        </w:rPr>
      </w:pPr>
      <w:bookmarkStart w:id="72" w:name="_Toc4648"/>
      <w:bookmarkStart w:id="73" w:name="_Toc163"/>
      <w:bookmarkStart w:id="74" w:name="_Toc2215_WPSOffice_Level2"/>
      <w:r>
        <w:rPr>
          <w:rFonts w:hint="eastAsia" w:ascii="宋体" w:hAnsi="宋体" w:cs="宋体"/>
          <w:b/>
          <w:color w:val="000000"/>
          <w:spacing w:val="40"/>
          <w:sz w:val="32"/>
          <w:szCs w:val="32"/>
          <w:highlight w:val="none"/>
          <w:lang w:eastAsia="zh-CN"/>
        </w:rPr>
        <w:t>五、</w:t>
      </w:r>
      <w:r>
        <w:rPr>
          <w:rFonts w:hint="eastAsia" w:ascii="宋体" w:hAnsi="宋体" w:eastAsia="宋体" w:cs="宋体"/>
          <w:b/>
          <w:color w:val="000000"/>
          <w:spacing w:val="40"/>
          <w:sz w:val="32"/>
          <w:szCs w:val="32"/>
          <w:highlight w:val="none"/>
          <w:lang w:val="en-US" w:eastAsia="zh-CN"/>
        </w:rPr>
        <w:t>项目总监理工程师情况一览表</w:t>
      </w:r>
    </w:p>
    <w:bookmarkEnd w:id="72"/>
    <w:bookmarkEnd w:id="73"/>
    <w:tbl>
      <w:tblPr>
        <w:tblStyle w:val="24"/>
        <w:tblW w:w="0" w:type="auto"/>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486"/>
        <w:gridCol w:w="1491"/>
        <w:gridCol w:w="994"/>
        <w:gridCol w:w="492"/>
        <w:gridCol w:w="1210"/>
        <w:gridCol w:w="434"/>
        <w:gridCol w:w="1428"/>
        <w:gridCol w:w="547"/>
        <w:gridCol w:w="142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9507" w:type="dxa"/>
            <w:gridSpan w:val="9"/>
            <w:tcBorders>
              <w:bottom w:val="single" w:color="000000" w:sz="4" w:space="0"/>
            </w:tcBorders>
            <w:noWrap w:val="0"/>
            <w:vAlign w:val="top"/>
          </w:tcPr>
          <w:p>
            <w:pPr>
              <w:widowControl w:val="0"/>
              <w:spacing w:before="137"/>
              <w:ind w:left="2763" w:right="2734"/>
              <w:jc w:val="center"/>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总监理工程师</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tabs>
                <w:tab w:val="left" w:pos="579"/>
              </w:tabs>
              <w:spacing w:before="135"/>
              <w:ind w:left="15"/>
              <w:jc w:val="center"/>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姓</w:t>
            </w:r>
            <w:r>
              <w:rPr>
                <w:rFonts w:hint="eastAsia" w:ascii="宋体" w:hAnsi="宋体" w:eastAsia="宋体" w:cs="宋体"/>
                <w:b w:val="0"/>
                <w:bCs/>
                <w:color w:val="auto"/>
                <w:kern w:val="2"/>
                <w:sz w:val="21"/>
                <w:szCs w:val="21"/>
                <w:lang w:val="en-US" w:eastAsia="zh-TW" w:bidi="ar-SA"/>
              </w:rPr>
              <w:tab/>
            </w:r>
            <w:r>
              <w:rPr>
                <w:rFonts w:hint="eastAsia" w:ascii="宋体" w:hAnsi="宋体" w:eastAsia="宋体" w:cs="宋体"/>
                <w:b w:val="0"/>
                <w:bCs/>
                <w:color w:val="auto"/>
                <w:kern w:val="2"/>
                <w:sz w:val="21"/>
                <w:szCs w:val="21"/>
                <w:lang w:val="en-US" w:eastAsia="zh-TW" w:bidi="ar-SA"/>
              </w:rPr>
              <w:t>名</w:t>
            </w:r>
          </w:p>
        </w:tc>
        <w:tc>
          <w:tcPr>
            <w:tcW w:w="1491" w:type="dxa"/>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tabs>
                <w:tab w:val="left" w:pos="894"/>
              </w:tabs>
              <w:spacing w:before="135"/>
              <w:ind w:left="330"/>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性</w:t>
            </w:r>
            <w:r>
              <w:rPr>
                <w:rFonts w:hint="eastAsia" w:ascii="宋体" w:hAnsi="宋体" w:eastAsia="宋体" w:cs="宋体"/>
                <w:b w:val="0"/>
                <w:bCs/>
                <w:color w:val="auto"/>
                <w:kern w:val="2"/>
                <w:sz w:val="21"/>
                <w:szCs w:val="21"/>
                <w:lang w:val="en-US" w:eastAsia="zh-TW" w:bidi="ar-SA"/>
              </w:rPr>
              <w:tab/>
            </w:r>
            <w:r>
              <w:rPr>
                <w:rFonts w:hint="eastAsia" w:ascii="宋体" w:hAnsi="宋体" w:eastAsia="宋体" w:cs="宋体"/>
                <w:b w:val="0"/>
                <w:bCs/>
                <w:color w:val="auto"/>
                <w:kern w:val="2"/>
                <w:sz w:val="21"/>
                <w:szCs w:val="21"/>
                <w:lang w:val="en-US" w:eastAsia="zh-TW" w:bidi="ar-SA"/>
              </w:rPr>
              <w:t>别</w:t>
            </w:r>
          </w:p>
        </w:tc>
        <w:tc>
          <w:tcPr>
            <w:tcW w:w="164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8" w:type="dxa"/>
            <w:tcBorders>
              <w:top w:val="single" w:color="000000" w:sz="4" w:space="0"/>
              <w:left w:val="single" w:color="000000" w:sz="4" w:space="0"/>
              <w:bottom w:val="single" w:color="000000" w:sz="4" w:space="0"/>
              <w:right w:val="single" w:color="000000" w:sz="4" w:space="0"/>
            </w:tcBorders>
            <w:noWrap w:val="0"/>
            <w:vAlign w:val="top"/>
          </w:tcPr>
          <w:p>
            <w:pPr>
              <w:widowControl w:val="0"/>
              <w:tabs>
                <w:tab w:val="left" w:pos="563"/>
              </w:tabs>
              <w:spacing w:before="135"/>
              <w:ind w:right="269"/>
              <w:jc w:val="right"/>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年</w:t>
            </w:r>
            <w:r>
              <w:rPr>
                <w:rFonts w:hint="eastAsia" w:ascii="宋体" w:hAnsi="宋体" w:eastAsia="宋体" w:cs="宋体"/>
                <w:b w:val="0"/>
                <w:bCs/>
                <w:color w:val="auto"/>
                <w:kern w:val="2"/>
                <w:sz w:val="21"/>
                <w:szCs w:val="21"/>
                <w:lang w:val="en-US" w:eastAsia="zh-TW" w:bidi="ar-SA"/>
              </w:rPr>
              <w:tab/>
            </w:r>
            <w:r>
              <w:rPr>
                <w:rFonts w:hint="eastAsia" w:ascii="宋体" w:hAnsi="宋体" w:eastAsia="宋体" w:cs="宋体"/>
                <w:b w:val="0"/>
                <w:bCs/>
                <w:color w:val="auto"/>
                <w:w w:val="95"/>
                <w:kern w:val="2"/>
                <w:sz w:val="21"/>
                <w:szCs w:val="21"/>
                <w:lang w:val="en-US" w:eastAsia="zh-TW" w:bidi="ar-SA"/>
              </w:rPr>
              <w:t>龄</w:t>
            </w:r>
          </w:p>
        </w:tc>
        <w:tc>
          <w:tcPr>
            <w:tcW w:w="1972" w:type="dxa"/>
            <w:gridSpan w:val="2"/>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tabs>
                <w:tab w:val="left" w:pos="579"/>
              </w:tabs>
              <w:spacing w:before="135"/>
              <w:ind w:left="15"/>
              <w:jc w:val="center"/>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职</w:t>
            </w:r>
            <w:r>
              <w:rPr>
                <w:rFonts w:hint="eastAsia" w:ascii="宋体" w:hAnsi="宋体" w:eastAsia="宋体" w:cs="宋体"/>
                <w:b w:val="0"/>
                <w:bCs/>
                <w:color w:val="auto"/>
                <w:kern w:val="2"/>
                <w:sz w:val="21"/>
                <w:szCs w:val="21"/>
                <w:lang w:val="en-US" w:eastAsia="zh-TW" w:bidi="ar-SA"/>
              </w:rPr>
              <w:tab/>
            </w:r>
            <w:r>
              <w:rPr>
                <w:rFonts w:hint="eastAsia" w:ascii="宋体" w:hAnsi="宋体" w:eastAsia="宋体" w:cs="宋体"/>
                <w:b w:val="0"/>
                <w:bCs/>
                <w:color w:val="auto"/>
                <w:kern w:val="2"/>
                <w:sz w:val="21"/>
                <w:szCs w:val="21"/>
                <w:lang w:val="en-US" w:eastAsia="zh-TW" w:bidi="ar-SA"/>
              </w:rPr>
              <w:t>务</w:t>
            </w:r>
          </w:p>
        </w:tc>
        <w:tc>
          <w:tcPr>
            <w:tcW w:w="1491" w:type="dxa"/>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86"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tabs>
                <w:tab w:val="left" w:pos="894"/>
              </w:tabs>
              <w:spacing w:before="135"/>
              <w:ind w:left="330"/>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职</w:t>
            </w:r>
            <w:r>
              <w:rPr>
                <w:rFonts w:hint="eastAsia" w:ascii="宋体" w:hAnsi="宋体" w:eastAsia="宋体" w:cs="宋体"/>
                <w:b w:val="0"/>
                <w:bCs/>
                <w:color w:val="auto"/>
                <w:kern w:val="2"/>
                <w:sz w:val="21"/>
                <w:szCs w:val="21"/>
                <w:lang w:val="en-US" w:eastAsia="zh-TW" w:bidi="ar-SA"/>
              </w:rPr>
              <w:tab/>
            </w:r>
            <w:r>
              <w:rPr>
                <w:rFonts w:hint="eastAsia" w:ascii="宋体" w:hAnsi="宋体" w:eastAsia="宋体" w:cs="宋体"/>
                <w:b w:val="0"/>
                <w:bCs/>
                <w:color w:val="auto"/>
                <w:kern w:val="2"/>
                <w:sz w:val="21"/>
                <w:szCs w:val="21"/>
                <w:lang w:val="en-US" w:eastAsia="zh-TW" w:bidi="ar-SA"/>
              </w:rPr>
              <w:t>称</w:t>
            </w:r>
          </w:p>
        </w:tc>
        <w:tc>
          <w:tcPr>
            <w:tcW w:w="1644"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8" w:type="dxa"/>
            <w:tcBorders>
              <w:top w:val="single" w:color="000000" w:sz="4" w:space="0"/>
              <w:left w:val="single" w:color="000000" w:sz="4" w:space="0"/>
              <w:bottom w:val="single" w:color="000000" w:sz="4" w:space="0"/>
              <w:right w:val="single" w:color="000000" w:sz="4" w:space="0"/>
            </w:tcBorders>
            <w:noWrap w:val="0"/>
            <w:vAlign w:val="top"/>
          </w:tcPr>
          <w:p>
            <w:pPr>
              <w:widowControl w:val="0"/>
              <w:tabs>
                <w:tab w:val="left" w:pos="563"/>
              </w:tabs>
              <w:spacing w:before="135"/>
              <w:ind w:right="269"/>
              <w:jc w:val="right"/>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学</w:t>
            </w:r>
            <w:r>
              <w:rPr>
                <w:rFonts w:hint="eastAsia" w:ascii="宋体" w:hAnsi="宋体" w:eastAsia="宋体" w:cs="宋体"/>
                <w:b w:val="0"/>
                <w:bCs/>
                <w:color w:val="auto"/>
                <w:kern w:val="2"/>
                <w:sz w:val="21"/>
                <w:szCs w:val="21"/>
                <w:lang w:val="en-US" w:eastAsia="zh-TW" w:bidi="ar-SA"/>
              </w:rPr>
              <w:tab/>
            </w:r>
            <w:r>
              <w:rPr>
                <w:rFonts w:hint="eastAsia" w:ascii="宋体" w:hAnsi="宋体" w:eastAsia="宋体" w:cs="宋体"/>
                <w:b w:val="0"/>
                <w:bCs/>
                <w:color w:val="auto"/>
                <w:w w:val="95"/>
                <w:kern w:val="2"/>
                <w:sz w:val="21"/>
                <w:szCs w:val="21"/>
                <w:lang w:val="en-US" w:eastAsia="zh-TW" w:bidi="ar-SA"/>
              </w:rPr>
              <w:t>历</w:t>
            </w:r>
          </w:p>
        </w:tc>
        <w:tc>
          <w:tcPr>
            <w:tcW w:w="1972" w:type="dxa"/>
            <w:gridSpan w:val="2"/>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2977" w:type="dxa"/>
            <w:gridSpan w:val="2"/>
            <w:tcBorders>
              <w:top w:val="single" w:color="000000" w:sz="4" w:space="0"/>
              <w:bottom w:val="single" w:color="000000" w:sz="4" w:space="0"/>
              <w:right w:val="single" w:color="000000" w:sz="4" w:space="0"/>
            </w:tcBorders>
            <w:noWrap w:val="0"/>
            <w:vAlign w:val="top"/>
          </w:tcPr>
          <w:p>
            <w:pPr>
              <w:widowControl w:val="0"/>
              <w:spacing w:before="135"/>
              <w:ind w:left="668"/>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参加工作时间</w:t>
            </w:r>
          </w:p>
        </w:tc>
        <w:tc>
          <w:tcPr>
            <w:tcW w:w="1486"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3072"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spacing w:before="135"/>
              <w:ind w:left="421"/>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从事项目监理年限</w:t>
            </w:r>
          </w:p>
        </w:tc>
        <w:tc>
          <w:tcPr>
            <w:tcW w:w="1972" w:type="dxa"/>
            <w:gridSpan w:val="2"/>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2977" w:type="dxa"/>
            <w:gridSpan w:val="2"/>
            <w:tcBorders>
              <w:top w:val="single" w:color="000000" w:sz="4" w:space="0"/>
              <w:bottom w:val="single" w:color="000000" w:sz="4" w:space="0"/>
              <w:right w:val="single" w:color="000000" w:sz="4" w:space="0"/>
            </w:tcBorders>
            <w:noWrap w:val="0"/>
            <w:vAlign w:val="top"/>
          </w:tcPr>
          <w:p>
            <w:pPr>
              <w:widowControl w:val="0"/>
              <w:spacing w:before="135"/>
              <w:ind w:left="222"/>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监理注册证书注册号</w:t>
            </w:r>
          </w:p>
        </w:tc>
        <w:tc>
          <w:tcPr>
            <w:tcW w:w="6530" w:type="dxa"/>
            <w:gridSpan w:val="7"/>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2977" w:type="dxa"/>
            <w:gridSpan w:val="2"/>
            <w:tcBorders>
              <w:top w:val="single" w:color="000000" w:sz="4" w:space="0"/>
              <w:right w:val="single" w:color="000000" w:sz="4" w:space="0"/>
            </w:tcBorders>
            <w:noWrap w:val="0"/>
            <w:vAlign w:val="top"/>
          </w:tcPr>
          <w:p>
            <w:pPr>
              <w:widowControl w:val="0"/>
              <w:spacing w:before="135"/>
              <w:ind w:left="923"/>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注册专业</w:t>
            </w:r>
          </w:p>
        </w:tc>
        <w:tc>
          <w:tcPr>
            <w:tcW w:w="6530" w:type="dxa"/>
            <w:gridSpan w:val="7"/>
            <w:tcBorders>
              <w:top w:val="single" w:color="000000" w:sz="4" w:space="0"/>
              <w:lef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9507" w:type="dxa"/>
            <w:gridSpan w:val="9"/>
            <w:tcBorders>
              <w:bottom w:val="single" w:color="000000" w:sz="4" w:space="0"/>
            </w:tcBorders>
            <w:noWrap w:val="0"/>
            <w:vAlign w:val="top"/>
          </w:tcPr>
          <w:p>
            <w:pPr>
              <w:widowControl w:val="0"/>
              <w:spacing w:before="137"/>
              <w:ind w:left="2763" w:right="2737"/>
              <w:jc w:val="center"/>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近三年承担同类或相近工程项目</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spacing w:before="135"/>
              <w:ind w:left="13"/>
              <w:jc w:val="center"/>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建设单位</w:t>
            </w:r>
          </w:p>
        </w:tc>
        <w:tc>
          <w:tcPr>
            <w:tcW w:w="24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spacing w:before="135"/>
              <w:ind w:left="688"/>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项目名称</w:t>
            </w:r>
          </w:p>
        </w:tc>
        <w:tc>
          <w:tcPr>
            <w:tcW w:w="2136"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spacing w:before="135"/>
              <w:ind w:left="512"/>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建设规模</w:t>
            </w:r>
          </w:p>
        </w:tc>
        <w:tc>
          <w:tcPr>
            <w:tcW w:w="197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spacing w:before="135"/>
              <w:ind w:left="152"/>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竣工验收日期</w:t>
            </w:r>
          </w:p>
        </w:tc>
        <w:tc>
          <w:tcPr>
            <w:tcW w:w="1425" w:type="dxa"/>
            <w:tcBorders>
              <w:top w:val="single" w:color="000000" w:sz="4" w:space="0"/>
              <w:left w:val="single" w:color="000000" w:sz="4" w:space="0"/>
              <w:bottom w:val="single" w:color="000000" w:sz="4" w:space="0"/>
            </w:tcBorders>
            <w:noWrap w:val="0"/>
            <w:vAlign w:val="top"/>
          </w:tcPr>
          <w:p>
            <w:pPr>
              <w:widowControl w:val="0"/>
              <w:spacing w:before="135"/>
              <w:ind w:left="158"/>
              <w:jc w:val="both"/>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质量等级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136"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97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5" w:type="dxa"/>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4"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136"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97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5" w:type="dxa"/>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136"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97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5" w:type="dxa"/>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85" w:type="dxa"/>
            <w:gridSpan w:val="2"/>
            <w:tcBorders>
              <w:top w:val="single" w:color="000000" w:sz="4" w:space="0"/>
              <w:left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136" w:type="dxa"/>
            <w:gridSpan w:val="3"/>
            <w:tcBorders>
              <w:top w:val="single" w:color="000000" w:sz="4" w:space="0"/>
              <w:left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975" w:type="dxa"/>
            <w:gridSpan w:val="2"/>
            <w:tcBorders>
              <w:top w:val="single" w:color="000000" w:sz="4" w:space="0"/>
              <w:left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5" w:type="dxa"/>
            <w:tcBorders>
              <w:top w:val="single" w:color="000000" w:sz="4" w:space="0"/>
              <w:lef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9507" w:type="dxa"/>
            <w:gridSpan w:val="9"/>
            <w:tcBorders>
              <w:bottom w:val="single" w:color="000000" w:sz="4" w:space="0"/>
            </w:tcBorders>
            <w:noWrap w:val="0"/>
            <w:vAlign w:val="top"/>
          </w:tcPr>
          <w:p>
            <w:pPr>
              <w:widowControl w:val="0"/>
              <w:spacing w:before="134"/>
              <w:ind w:left="2763" w:right="2736"/>
              <w:jc w:val="center"/>
              <w:rPr>
                <w:rFonts w:hint="eastAsia" w:ascii="宋体" w:hAnsi="宋体" w:eastAsia="宋体" w:cs="宋体"/>
                <w:b w:val="0"/>
                <w:bCs/>
                <w:color w:val="auto"/>
                <w:kern w:val="2"/>
                <w:sz w:val="21"/>
                <w:szCs w:val="21"/>
                <w:lang w:val="en-US" w:eastAsia="zh-TW" w:bidi="ar-SA"/>
              </w:rPr>
            </w:pPr>
            <w:r>
              <w:rPr>
                <w:rFonts w:hint="eastAsia" w:ascii="宋体" w:hAnsi="宋体" w:eastAsia="宋体" w:cs="宋体"/>
                <w:b w:val="0"/>
                <w:bCs/>
                <w:color w:val="auto"/>
                <w:kern w:val="2"/>
                <w:sz w:val="21"/>
                <w:szCs w:val="21"/>
                <w:lang w:val="en-US" w:eastAsia="zh-TW" w:bidi="ar-SA"/>
              </w:rPr>
              <w:t>目 前 正 在 监 理 工 程</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702"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09" w:type="dxa"/>
            <w:gridSpan w:val="3"/>
            <w:tcBorders>
              <w:top w:val="single" w:color="000000" w:sz="4" w:space="0"/>
              <w:left w:val="single" w:color="000000" w:sz="4" w:space="0"/>
              <w:bottom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5" w:type="dxa"/>
            <w:tcBorders>
              <w:top w:val="single" w:color="000000" w:sz="4" w:space="0"/>
              <w:left w:val="single" w:color="000000" w:sz="4" w:space="0"/>
              <w:bottom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486" w:type="dxa"/>
            <w:tcBorders>
              <w:top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85" w:type="dxa"/>
            <w:gridSpan w:val="2"/>
            <w:tcBorders>
              <w:top w:val="single" w:color="000000" w:sz="4" w:space="0"/>
              <w:left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702" w:type="dxa"/>
            <w:gridSpan w:val="2"/>
            <w:tcBorders>
              <w:top w:val="single" w:color="000000" w:sz="4" w:space="0"/>
              <w:left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2409" w:type="dxa"/>
            <w:gridSpan w:val="3"/>
            <w:tcBorders>
              <w:top w:val="single" w:color="000000" w:sz="4" w:space="0"/>
              <w:left w:val="single" w:color="000000" w:sz="4" w:space="0"/>
              <w:righ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c>
          <w:tcPr>
            <w:tcW w:w="1425" w:type="dxa"/>
            <w:tcBorders>
              <w:top w:val="single" w:color="000000" w:sz="4" w:space="0"/>
              <w:left w:val="single" w:color="000000" w:sz="4" w:space="0"/>
            </w:tcBorders>
            <w:noWrap w:val="0"/>
            <w:vAlign w:val="top"/>
          </w:tcPr>
          <w:p>
            <w:pPr>
              <w:widowControl w:val="0"/>
              <w:jc w:val="both"/>
              <w:rPr>
                <w:rFonts w:hint="eastAsia" w:ascii="宋体" w:hAnsi="宋体" w:eastAsia="宋体" w:cs="宋体"/>
                <w:b w:val="0"/>
                <w:bCs/>
                <w:color w:val="auto"/>
                <w:kern w:val="2"/>
                <w:sz w:val="21"/>
                <w:szCs w:val="21"/>
                <w:lang w:val="en-US" w:eastAsia="zh-TW" w:bidi="ar-SA"/>
              </w:rPr>
            </w:pPr>
          </w:p>
        </w:tc>
      </w:tr>
    </w:tbl>
    <w:p>
      <w:pPr>
        <w:spacing w:line="360" w:lineRule="auto"/>
        <w:ind w:firstLine="359" w:firstLineChars="171"/>
        <w:jc w:val="left"/>
        <w:rPr>
          <w:rFonts w:hint="default"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注：后附聘用书、证件等材料。</w:t>
      </w:r>
    </w:p>
    <w:p>
      <w:pPr>
        <w:spacing w:line="360" w:lineRule="auto"/>
        <w:ind w:firstLine="359" w:firstLineChars="171"/>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我方承诺上述填报内容真实。如不真实，将按照有关规定接受处理。</w:t>
      </w:r>
    </w:p>
    <w:p>
      <w:pPr>
        <w:spacing w:line="360" w:lineRule="auto"/>
        <w:ind w:firstLine="359" w:firstLineChars="171"/>
        <w:jc w:val="left"/>
        <w:rPr>
          <w:rFonts w:hint="eastAsia" w:ascii="宋体" w:hAnsi="宋体" w:eastAsia="宋体" w:cs="宋体"/>
          <w:b w:val="0"/>
          <w:bCs/>
          <w:color w:val="auto"/>
          <w:sz w:val="21"/>
          <w:szCs w:val="21"/>
          <w:lang w:val="en-US" w:eastAsia="zh-CN"/>
        </w:rPr>
      </w:pPr>
    </w:p>
    <w:p>
      <w:pPr>
        <w:spacing w:line="360" w:lineRule="auto"/>
        <w:ind w:firstLine="359" w:firstLineChars="171"/>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投</w:t>
      </w: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标</w:t>
      </w:r>
      <w:r>
        <w:rPr>
          <w:rFonts w:hint="eastAsia" w:ascii="宋体" w:hAnsi="宋体" w:eastAsia="宋体" w:cs="宋体"/>
          <w:b w:val="0"/>
          <w:bCs/>
          <w:color w:val="auto"/>
          <w:sz w:val="21"/>
          <w:szCs w:val="21"/>
          <w:lang w:val="en-US" w:eastAsia="zh-CN"/>
        </w:rPr>
        <w:tab/>
      </w:r>
      <w:r>
        <w:rPr>
          <w:rFonts w:hint="eastAsia" w:ascii="宋体" w:hAnsi="宋体" w:eastAsia="宋体" w:cs="宋体"/>
          <w:b w:val="0"/>
          <w:bCs/>
          <w:color w:val="auto"/>
          <w:sz w:val="21"/>
          <w:szCs w:val="21"/>
          <w:lang w:val="en-US" w:eastAsia="zh-CN"/>
        </w:rPr>
        <w:t>人：</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lang w:val="en-US" w:eastAsia="zh-CN"/>
        </w:rPr>
        <w:t>（盖章）</w:t>
      </w:r>
    </w:p>
    <w:p>
      <w:pPr>
        <w:spacing w:line="360" w:lineRule="auto"/>
        <w:ind w:firstLine="359" w:firstLineChars="171"/>
        <w:jc w:val="left"/>
        <w:rPr>
          <w:rFonts w:hint="eastAsia" w:ascii="宋体" w:hAnsi="宋体" w:eastAsia="宋体" w:cs="宋体"/>
          <w:b w:val="0"/>
          <w:bCs/>
          <w:color w:val="auto"/>
          <w:sz w:val="21"/>
          <w:szCs w:val="21"/>
          <w:lang w:val="en-US" w:eastAsia="zh-CN"/>
        </w:rPr>
      </w:pPr>
    </w:p>
    <w:p>
      <w:pPr>
        <w:spacing w:line="360" w:lineRule="auto"/>
        <w:ind w:firstLine="359" w:firstLineChars="171"/>
        <w:jc w:val="left"/>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法定代表人或其委托代理人： </w:t>
      </w:r>
      <w:r>
        <w:rPr>
          <w:rFonts w:hint="eastAsia" w:ascii="宋体" w:hAnsi="宋体" w:eastAsia="宋体" w:cs="宋体"/>
          <w:b w:val="0"/>
          <w:bCs/>
          <w:color w:val="auto"/>
          <w:sz w:val="21"/>
          <w:szCs w:val="21"/>
          <w:u w:val="single"/>
          <w:lang w:val="en-US" w:eastAsia="zh-CN"/>
        </w:rPr>
        <w:t xml:space="preserve">                          </w:t>
      </w:r>
      <w:r>
        <w:rPr>
          <w:rFonts w:hint="eastAsia" w:ascii="宋体" w:hAnsi="宋体" w:eastAsia="宋体" w:cs="宋体"/>
          <w:b w:val="0"/>
          <w:bCs/>
          <w:color w:val="auto"/>
          <w:sz w:val="21"/>
          <w:szCs w:val="21"/>
          <w:lang w:val="en-US" w:eastAsia="zh-CN"/>
        </w:rPr>
        <w:t>（签字）</w:t>
      </w:r>
    </w:p>
    <w:p>
      <w:pPr>
        <w:spacing w:line="360" w:lineRule="auto"/>
        <w:ind w:firstLine="359" w:firstLineChars="171"/>
        <w:jc w:val="left"/>
        <w:rPr>
          <w:rFonts w:hint="eastAsia" w:ascii="宋体" w:hAnsi="宋体" w:eastAsia="宋体" w:cs="宋体"/>
          <w:b w:val="0"/>
          <w:bCs/>
          <w:color w:val="auto"/>
          <w:sz w:val="21"/>
          <w:szCs w:val="21"/>
          <w:lang w:val="en-US" w:eastAsia="zh-CN"/>
        </w:rPr>
      </w:pPr>
    </w:p>
    <w:p>
      <w:pPr>
        <w:pStyle w:val="12"/>
        <w:rPr>
          <w:rFonts w:hint="eastAsia"/>
          <w:lang w:val="en-US" w:eastAsia="zh-CN"/>
        </w:rPr>
      </w:pPr>
    </w:p>
    <w:p>
      <w:pPr>
        <w:spacing w:line="500" w:lineRule="exact"/>
        <w:jc w:val="center"/>
        <w:rPr>
          <w:rFonts w:eastAsia="微软雅黑"/>
          <w:sz w:val="28"/>
          <w:szCs w:val="28"/>
        </w:rPr>
      </w:pPr>
      <w:bookmarkStart w:id="75" w:name="_Toc31186"/>
      <w:r>
        <w:rPr>
          <w:rFonts w:hint="eastAsia" w:ascii="Times New Roman" w:hAnsi="Times New Roman" w:cs="Times New Roman"/>
          <w:b/>
          <w:bCs/>
          <w:kern w:val="2"/>
          <w:sz w:val="32"/>
          <w:szCs w:val="32"/>
          <w:lang w:val="en-US" w:eastAsia="zh-CN" w:bidi="ar-SA"/>
        </w:rPr>
        <w:t>六、</w:t>
      </w:r>
      <w:bookmarkEnd w:id="75"/>
      <w:r>
        <w:rPr>
          <w:rFonts w:hint="eastAsia" w:ascii="宋体" w:hAnsi="宋体" w:eastAsia="宋体" w:cs="宋体"/>
          <w:b/>
          <w:color w:val="000000"/>
          <w:spacing w:val="40"/>
          <w:sz w:val="32"/>
          <w:szCs w:val="32"/>
          <w:highlight w:val="none"/>
          <w:lang w:val="en-US" w:eastAsia="zh-CN"/>
        </w:rPr>
        <w:t>专业监理工程师、监理员配备一览表</w:t>
      </w:r>
    </w:p>
    <w:p>
      <w:pPr>
        <w:rPr>
          <w:rFonts w:eastAsia="微软雅黑"/>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275"/>
        <w:gridCol w:w="851"/>
        <w:gridCol w:w="992"/>
        <w:gridCol w:w="1418"/>
        <w:gridCol w:w="56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9742"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bookmarkStart w:id="76" w:name="_Toc7412"/>
            <w:bookmarkStart w:id="77" w:name="_Toc3365"/>
            <w:bookmarkStart w:id="78" w:name="_Toc29190"/>
            <w:bookmarkStart w:id="79" w:name="_Toc1702"/>
            <w:r>
              <w:rPr>
                <w:rFonts w:hint="eastAsia" w:ascii="宋体" w:hAnsi="宋体" w:eastAsia="宋体" w:cs="宋体"/>
                <w:b/>
                <w:bCs/>
                <w:color w:val="auto"/>
                <w:kern w:val="0"/>
                <w:sz w:val="21"/>
                <w:szCs w:val="21"/>
              </w:rPr>
              <w:t>主要专业监理工程师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951" w:type="dxa"/>
            <w:tcBorders>
              <w:top w:val="single" w:color="auto" w:sz="4" w:space="0"/>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监理职务</w:t>
            </w:r>
          </w:p>
        </w:tc>
        <w:tc>
          <w:tcPr>
            <w:tcW w:w="851" w:type="dxa"/>
            <w:tcBorders>
              <w:top w:val="single" w:color="auto" w:sz="4"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275" w:type="dxa"/>
            <w:tcBorders>
              <w:top w:val="nil"/>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851" w:type="dxa"/>
            <w:tcBorders>
              <w:top w:val="nil"/>
            </w:tcBorders>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年龄</w:t>
            </w:r>
          </w:p>
        </w:tc>
        <w:tc>
          <w:tcPr>
            <w:tcW w:w="992" w:type="dxa"/>
            <w:tcBorders>
              <w:top w:val="nil"/>
            </w:tcBorders>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职称</w:t>
            </w:r>
          </w:p>
        </w:tc>
        <w:tc>
          <w:tcPr>
            <w:tcW w:w="1418" w:type="dxa"/>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注册号</w:t>
            </w:r>
          </w:p>
        </w:tc>
        <w:tc>
          <w:tcPr>
            <w:tcW w:w="2404" w:type="dxa"/>
            <w:gridSpan w:val="2"/>
            <w:tcBorders>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正在承担监理</w:t>
            </w:r>
          </w:p>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restart"/>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vMerge w:val="restart"/>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continue"/>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vMerge w:val="continue"/>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742" w:type="dxa"/>
            <w:gridSpan w:val="8"/>
            <w:tcBorders>
              <w:left w:val="single" w:color="auto" w:sz="12" w:space="0"/>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tcBorders>
              <w:top w:val="nil"/>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tcBorders>
              <w:top w:val="nil"/>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tcBorders>
              <w:top w:val="single" w:color="auto" w:sz="4"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tcBorders>
              <w:top w:val="single" w:color="auto" w:sz="4"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418"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2404" w:type="dxa"/>
            <w:gridSpan w:val="2"/>
            <w:tcBorders>
              <w:bottom w:val="single" w:color="auto" w:sz="12" w:space="0"/>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2" w:type="dxa"/>
            <w:gridSpan w:val="8"/>
            <w:tcBorders>
              <w:top w:val="single" w:color="auto" w:sz="12" w:space="0"/>
              <w:left w:val="single" w:color="auto" w:sz="12" w:space="0"/>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监理职务</w:t>
            </w: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275" w:type="dxa"/>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年龄</w:t>
            </w: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职称</w:t>
            </w:r>
          </w:p>
        </w:tc>
        <w:tc>
          <w:tcPr>
            <w:tcW w:w="1985" w:type="dxa"/>
            <w:gridSpan w:val="2"/>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专业</w:t>
            </w:r>
          </w:p>
        </w:tc>
        <w:tc>
          <w:tcPr>
            <w:tcW w:w="1837" w:type="dxa"/>
            <w:tcBorders>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restart"/>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现场监理员</w:t>
            </w:r>
          </w:p>
        </w:tc>
        <w:tc>
          <w:tcPr>
            <w:tcW w:w="851" w:type="dxa"/>
            <w:vMerge w:val="restart"/>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985" w:type="dxa"/>
            <w:gridSpan w:val="2"/>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837" w:type="dxa"/>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continue"/>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vMerge w:val="continue"/>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985" w:type="dxa"/>
            <w:gridSpan w:val="2"/>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837" w:type="dxa"/>
            <w:tcBorders>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vMerge w:val="continue"/>
            <w:tcBorders>
              <w:left w:val="single" w:color="auto" w:sz="12" w:space="0"/>
              <w:bottom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p>
        </w:tc>
        <w:tc>
          <w:tcPr>
            <w:tcW w:w="851" w:type="dxa"/>
            <w:vMerge w:val="continue"/>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985" w:type="dxa"/>
            <w:gridSpan w:val="2"/>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837" w:type="dxa"/>
            <w:tcBorders>
              <w:bottom w:val="single" w:color="auto" w:sz="12" w:space="0"/>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742" w:type="dxa"/>
            <w:gridSpan w:val="8"/>
            <w:tcBorders>
              <w:top w:val="single" w:color="auto" w:sz="12" w:space="0"/>
              <w:left w:val="single" w:color="auto" w:sz="12" w:space="0"/>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51" w:type="dxa"/>
            <w:tcBorders>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监理职务</w:t>
            </w: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275" w:type="dxa"/>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姓名</w:t>
            </w: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年龄</w:t>
            </w: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职称</w:t>
            </w:r>
          </w:p>
        </w:tc>
        <w:tc>
          <w:tcPr>
            <w:tcW w:w="1985" w:type="dxa"/>
            <w:gridSpan w:val="2"/>
            <w:tcBorders>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专业</w:t>
            </w:r>
          </w:p>
        </w:tc>
        <w:tc>
          <w:tcPr>
            <w:tcW w:w="1837" w:type="dxa"/>
            <w:tcBorders>
              <w:left w:val="single" w:color="auto" w:sz="4" w:space="0"/>
              <w:righ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951" w:type="dxa"/>
            <w:tcBorders>
              <w:lef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985" w:type="dxa"/>
            <w:gridSpan w:val="2"/>
            <w:tcBorders>
              <w:right w:val="single" w:color="auto" w:sz="4"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837" w:type="dxa"/>
            <w:tcBorders>
              <w:left w:val="single" w:color="auto" w:sz="4" w:space="0"/>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51" w:type="dxa"/>
            <w:tcBorders>
              <w:left w:val="single" w:color="auto" w:sz="12" w:space="0"/>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275"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851"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992" w:type="dxa"/>
            <w:tcBorders>
              <w:bottom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985" w:type="dxa"/>
            <w:gridSpan w:val="2"/>
            <w:tcBorders>
              <w:bottom w:val="single" w:color="auto" w:sz="12" w:space="0"/>
              <w:right w:val="single" w:color="auto" w:sz="4"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c>
          <w:tcPr>
            <w:tcW w:w="1837" w:type="dxa"/>
            <w:tcBorders>
              <w:left w:val="single" w:color="auto" w:sz="4" w:space="0"/>
              <w:bottom w:val="single" w:color="auto" w:sz="12" w:space="0"/>
              <w:right w:val="single" w:color="auto" w:sz="12" w:space="0"/>
            </w:tcBorders>
            <w:noWrap w:val="0"/>
            <w:vAlign w:val="center"/>
          </w:tcPr>
          <w:p>
            <w:pPr>
              <w:autoSpaceDE w:val="0"/>
              <w:autoSpaceDN w:val="0"/>
              <w:adjustRightInd w:val="0"/>
              <w:rPr>
                <w:rFonts w:hint="eastAsia" w:ascii="宋体" w:hAnsi="宋体" w:eastAsia="宋体" w:cs="宋体"/>
                <w:b/>
                <w:bCs/>
                <w:color w:val="auto"/>
                <w:kern w:val="0"/>
                <w:sz w:val="21"/>
                <w:szCs w:val="21"/>
              </w:rPr>
            </w:pPr>
          </w:p>
        </w:tc>
      </w:tr>
    </w:tbl>
    <w:p>
      <w:pPr>
        <w:spacing w:line="360" w:lineRule="auto"/>
        <w:ind w:firstLine="424" w:firstLineChars="202"/>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注：后附证件等材料。</w:t>
      </w:r>
    </w:p>
    <w:p>
      <w:pPr>
        <w:spacing w:line="360" w:lineRule="auto"/>
        <w:ind w:firstLine="424" w:firstLineChars="202"/>
        <w:rPr>
          <w:rFonts w:hint="eastAsia" w:ascii="宋体" w:hAnsi="宋体" w:eastAsia="宋体" w:cs="宋体"/>
          <w:color w:val="auto"/>
          <w:kern w:val="0"/>
          <w:sz w:val="21"/>
          <w:szCs w:val="21"/>
        </w:rPr>
      </w:pPr>
      <w:r>
        <w:rPr>
          <w:rFonts w:hint="eastAsia" w:ascii="宋体" w:hAnsi="宋体" w:eastAsia="宋体" w:cs="宋体"/>
          <w:color w:val="auto"/>
          <w:sz w:val="21"/>
          <w:szCs w:val="21"/>
        </w:rPr>
        <w:t>我方承诺上述填报内容真实。如不真实，将按照有关规定接受处理。</w:t>
      </w:r>
      <w:r>
        <w:rPr>
          <w:rFonts w:hint="eastAsia" w:ascii="宋体" w:hAnsi="宋体" w:eastAsia="宋体" w:cs="宋体"/>
          <w:b/>
          <w:color w:val="auto"/>
          <w:kern w:val="0"/>
          <w:sz w:val="21"/>
          <w:szCs w:val="21"/>
        </w:rPr>
        <w:t>以上人员不得漏缺并不得在本</w:t>
      </w:r>
      <w:r>
        <w:rPr>
          <w:rFonts w:hint="eastAsia" w:ascii="宋体" w:hAnsi="宋体" w:eastAsia="宋体" w:cs="宋体"/>
          <w:b/>
          <w:color w:val="auto"/>
          <w:kern w:val="0"/>
          <w:sz w:val="21"/>
          <w:szCs w:val="21"/>
          <w:lang w:val="en-US" w:eastAsia="zh-CN"/>
        </w:rPr>
        <w:t>项目</w:t>
      </w:r>
      <w:r>
        <w:rPr>
          <w:rFonts w:hint="eastAsia" w:ascii="宋体" w:hAnsi="宋体" w:eastAsia="宋体" w:cs="宋体"/>
          <w:b/>
          <w:color w:val="auto"/>
          <w:kern w:val="0"/>
          <w:sz w:val="21"/>
          <w:szCs w:val="21"/>
        </w:rPr>
        <w:t>同时担任两个及以上监理职务。</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  标  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（盖章）</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ind w:firstLine="3675" w:firstLineChars="1750"/>
        <w:jc w:val="left"/>
        <w:rPr>
          <w:rFonts w:hint="eastAsia" w:ascii="宋体" w:hAnsi="宋体" w:eastAsia="宋体" w:cs="宋体"/>
          <w:color w:val="auto"/>
          <w:sz w:val="21"/>
          <w:szCs w:val="21"/>
        </w:rPr>
      </w:pPr>
    </w:p>
    <w:p>
      <w:pPr>
        <w:pStyle w:val="5"/>
        <w:numPr>
          <w:ilvl w:val="0"/>
          <w:numId w:val="0"/>
        </w:numPr>
        <w:ind w:leftChars="0"/>
        <w:jc w:val="center"/>
        <w:rPr>
          <w:rFonts w:hint="eastAsia" w:ascii="宋体" w:hAnsi="宋体" w:eastAsia="宋体" w:cs="宋体"/>
          <w:b/>
          <w:bCs w:val="0"/>
          <w:color w:val="auto"/>
          <w:sz w:val="28"/>
          <w:szCs w:val="28"/>
          <w:lang w:val="en-US" w:eastAsia="zh-CN"/>
        </w:rPr>
      </w:pPr>
      <w:r>
        <w:rPr>
          <w:rFonts w:hint="eastAsia" w:ascii="宋体" w:hAnsi="宋体" w:eastAsia="宋体" w:cs="宋体"/>
          <w:b/>
          <w:bCs w:val="0"/>
          <w:color w:val="auto"/>
          <w:sz w:val="28"/>
          <w:szCs w:val="28"/>
          <w:lang w:val="en-US" w:eastAsia="zh-CN"/>
        </w:rPr>
        <w:t>七</w:t>
      </w:r>
      <w:r>
        <w:rPr>
          <w:rFonts w:hint="eastAsia" w:ascii="宋体" w:hAnsi="宋体" w:eastAsia="宋体" w:cs="宋体"/>
          <w:b/>
          <w:color w:val="000000"/>
          <w:spacing w:val="40"/>
          <w:kern w:val="2"/>
          <w:sz w:val="32"/>
          <w:szCs w:val="32"/>
          <w:highlight w:val="none"/>
          <w:lang w:val="en-US" w:eastAsia="zh-CN" w:bidi="ar-SA"/>
        </w:rPr>
        <w:t>、</w:t>
      </w:r>
      <w:bookmarkEnd w:id="76"/>
      <w:bookmarkEnd w:id="77"/>
      <w:bookmarkEnd w:id="78"/>
      <w:bookmarkEnd w:id="79"/>
      <w:r>
        <w:rPr>
          <w:rFonts w:hint="eastAsia" w:ascii="宋体" w:hAnsi="宋体" w:eastAsia="宋体" w:cs="宋体"/>
          <w:b/>
          <w:color w:val="000000"/>
          <w:spacing w:val="40"/>
          <w:kern w:val="2"/>
          <w:sz w:val="32"/>
          <w:szCs w:val="32"/>
          <w:highlight w:val="none"/>
          <w:lang w:val="en-US" w:eastAsia="zh-CN" w:bidi="ar-SA"/>
        </w:rPr>
        <w:t>主要检测设备仪器一览表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top w:val="single" w:color="auto" w:sz="12" w:space="0"/>
              <w:left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1"/>
                <w:szCs w:val="21"/>
              </w:rPr>
            </w:pPr>
            <w:bookmarkStart w:id="80" w:name="_Toc8808"/>
            <w:r>
              <w:rPr>
                <w:rFonts w:hint="eastAsia" w:ascii="宋体" w:hAnsi="宋体" w:eastAsia="宋体" w:cs="宋体"/>
                <w:b/>
                <w:color w:val="auto"/>
                <w:sz w:val="21"/>
                <w:szCs w:val="21"/>
              </w:rPr>
              <w:t>序号</w:t>
            </w:r>
          </w:p>
        </w:tc>
        <w:tc>
          <w:tcPr>
            <w:tcW w:w="2268" w:type="dxa"/>
            <w:tcBorders>
              <w:top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仪器或设备名称</w:t>
            </w:r>
          </w:p>
        </w:tc>
        <w:tc>
          <w:tcPr>
            <w:tcW w:w="1923" w:type="dxa"/>
            <w:tcBorders>
              <w:top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型号、规格</w:t>
            </w:r>
          </w:p>
        </w:tc>
        <w:tc>
          <w:tcPr>
            <w:tcW w:w="959" w:type="dxa"/>
            <w:tcBorders>
              <w:top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数量</w:t>
            </w:r>
          </w:p>
        </w:tc>
        <w:tc>
          <w:tcPr>
            <w:tcW w:w="3069" w:type="dxa"/>
            <w:tcBorders>
              <w:top w:val="single" w:color="auto" w:sz="12" w:space="0"/>
              <w:right w:val="single" w:color="auto" w:sz="12" w:space="0"/>
            </w:tcBorders>
            <w:noWrap w:val="0"/>
            <w:vAlign w:val="center"/>
          </w:tcPr>
          <w:p>
            <w:pPr>
              <w:adjustRightInd w:val="0"/>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vertAlign w:val="subscript"/>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vertAlign w:val="subscript"/>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2268" w:type="dxa"/>
            <w:noWrap w:val="0"/>
            <w:vAlign w:val="center"/>
          </w:tcPr>
          <w:p>
            <w:pPr>
              <w:spacing w:line="360" w:lineRule="auto"/>
              <w:jc w:val="center"/>
              <w:rPr>
                <w:rFonts w:hint="eastAsia" w:ascii="宋体" w:hAnsi="宋体" w:eastAsia="宋体" w:cs="宋体"/>
                <w:color w:val="auto"/>
                <w:sz w:val="21"/>
                <w:szCs w:val="21"/>
              </w:rPr>
            </w:pPr>
          </w:p>
        </w:tc>
        <w:tc>
          <w:tcPr>
            <w:tcW w:w="1923" w:type="dxa"/>
            <w:noWrap w:val="0"/>
            <w:vAlign w:val="center"/>
          </w:tcPr>
          <w:p>
            <w:pPr>
              <w:spacing w:line="360" w:lineRule="auto"/>
              <w:jc w:val="center"/>
              <w:rPr>
                <w:rFonts w:hint="eastAsia" w:ascii="宋体" w:hAnsi="宋体" w:eastAsia="宋体" w:cs="宋体"/>
                <w:color w:val="auto"/>
                <w:sz w:val="21"/>
                <w:szCs w:val="21"/>
              </w:rPr>
            </w:pPr>
          </w:p>
        </w:tc>
        <w:tc>
          <w:tcPr>
            <w:tcW w:w="959" w:type="dxa"/>
            <w:noWrap w:val="0"/>
            <w:vAlign w:val="center"/>
          </w:tcPr>
          <w:p>
            <w:pPr>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2268"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1" w:type="dxa"/>
            <w:tcBorders>
              <w:left w:val="single" w:color="auto" w:sz="12" w:space="0"/>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2268" w:type="dxa"/>
            <w:tcBorders>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1923" w:type="dxa"/>
            <w:tcBorders>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959" w:type="dxa"/>
            <w:tcBorders>
              <w:bottom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c>
          <w:tcPr>
            <w:tcW w:w="3069" w:type="dxa"/>
            <w:tcBorders>
              <w:bottom w:val="single" w:color="auto" w:sz="12" w:space="0"/>
              <w:right w:val="single" w:color="auto" w:sz="12" w:space="0"/>
            </w:tcBorders>
            <w:noWrap w:val="0"/>
            <w:vAlign w:val="center"/>
          </w:tcPr>
          <w:p>
            <w:pPr>
              <w:adjustRightInd w:val="0"/>
              <w:snapToGrid w:val="0"/>
              <w:spacing w:line="360" w:lineRule="auto"/>
              <w:jc w:val="center"/>
              <w:rPr>
                <w:rFonts w:hint="eastAsia" w:ascii="宋体" w:hAnsi="宋体" w:eastAsia="宋体" w:cs="宋体"/>
                <w:color w:val="auto"/>
                <w:sz w:val="21"/>
                <w:szCs w:val="21"/>
              </w:rPr>
            </w:pPr>
          </w:p>
        </w:tc>
      </w:tr>
    </w:tbl>
    <w:p>
      <w:pPr>
        <w:autoSpaceDE w:val="0"/>
        <w:autoSpaceDN w:val="0"/>
        <w:adjustRightInd w:val="0"/>
        <w:rPr>
          <w:rFonts w:hint="eastAsia" w:ascii="宋体" w:hAnsi="宋体" w:eastAsia="宋体" w:cs="宋体"/>
          <w:b/>
          <w:bCs/>
          <w:color w:val="auto"/>
          <w:kern w:val="0"/>
          <w:sz w:val="21"/>
          <w:szCs w:val="21"/>
        </w:rPr>
      </w:pPr>
    </w:p>
    <w:p>
      <w:pPr>
        <w:autoSpaceDE w:val="0"/>
        <w:autoSpaceDN w:val="0"/>
        <w:adjustRightInd w:val="0"/>
        <w:ind w:firstLine="525" w:firstLineChars="250"/>
        <w:rPr>
          <w:rFonts w:hint="eastAsia" w:ascii="宋体" w:hAnsi="宋体" w:eastAsia="宋体" w:cs="宋体"/>
          <w:b/>
          <w:bCs/>
          <w:color w:val="auto"/>
          <w:kern w:val="0"/>
          <w:sz w:val="21"/>
          <w:szCs w:val="21"/>
        </w:rPr>
      </w:pPr>
      <w:r>
        <w:rPr>
          <w:rFonts w:hint="eastAsia" w:ascii="宋体" w:hAnsi="宋体" w:eastAsia="宋体" w:cs="宋体"/>
          <w:color w:val="auto"/>
          <w:sz w:val="21"/>
          <w:szCs w:val="21"/>
        </w:rPr>
        <w:t>我方承诺上述填报内容真实。如不真实，将按照有关规定接受处理。</w:t>
      </w:r>
    </w:p>
    <w:p>
      <w:pPr>
        <w:autoSpaceDE w:val="0"/>
        <w:autoSpaceDN w:val="0"/>
        <w:adjustRightInd w:val="0"/>
        <w:jc w:val="center"/>
        <w:rPr>
          <w:rFonts w:hint="eastAsia" w:ascii="宋体" w:hAnsi="宋体" w:eastAsia="宋体" w:cs="宋体"/>
          <w:b/>
          <w:bCs/>
          <w:color w:val="auto"/>
          <w:kern w:val="0"/>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  标  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（盖章）</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ind w:firstLine="840" w:firstLineChars="400"/>
        <w:rPr>
          <w:rFonts w:hint="eastAsia" w:ascii="宋体" w:hAnsi="宋体" w:eastAsia="宋体" w:cs="宋体"/>
          <w:color w:val="auto"/>
          <w:sz w:val="21"/>
          <w:szCs w:val="21"/>
          <w:u w:val="single"/>
        </w:rPr>
      </w:pPr>
    </w:p>
    <w:p>
      <w:pPr>
        <w:pStyle w:val="23"/>
        <w:ind w:firstLine="5880" w:firstLineChars="2800"/>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rPr>
        <w:t>年    月    日</w:t>
      </w:r>
    </w:p>
    <w:p>
      <w:pPr>
        <w:spacing w:line="360" w:lineRule="auto"/>
        <w:ind w:firstLine="359" w:firstLineChars="171"/>
        <w:jc w:val="left"/>
        <w:rPr>
          <w:rFonts w:hint="eastAsia" w:ascii="宋体" w:hAnsi="宋体" w:eastAsia="宋体" w:cs="宋体"/>
          <w:b w:val="0"/>
          <w:bCs/>
          <w:color w:val="auto"/>
          <w:sz w:val="21"/>
          <w:szCs w:val="21"/>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12"/>
        <w:rPr>
          <w:rFonts w:hint="eastAsia"/>
          <w:lang w:val="en-US" w:eastAsia="zh-CN"/>
        </w:rPr>
      </w:pPr>
    </w:p>
    <w:p>
      <w:pPr>
        <w:rPr>
          <w:rFonts w:hint="eastAsia"/>
          <w:lang w:val="en-US" w:eastAsia="zh-CN"/>
        </w:rPr>
      </w:pPr>
    </w:p>
    <w:p>
      <w:pPr>
        <w:pStyle w:val="5"/>
        <w:numPr>
          <w:ilvl w:val="0"/>
          <w:numId w:val="0"/>
        </w:numPr>
        <w:ind w:leftChars="0"/>
        <w:jc w:val="center"/>
        <w:rPr>
          <w:rFonts w:hint="eastAsia" w:ascii="宋体" w:hAnsi="宋体" w:eastAsia="宋体" w:cs="宋体"/>
          <w:b/>
          <w:bCs w:val="0"/>
          <w:highlight w:val="none"/>
        </w:rPr>
      </w:pPr>
      <w:r>
        <w:rPr>
          <w:rFonts w:hint="eastAsia" w:ascii="宋体" w:hAnsi="宋体" w:cs="宋体"/>
          <w:b/>
          <w:bCs w:val="0"/>
          <w:sz w:val="32"/>
          <w:szCs w:val="32"/>
          <w:highlight w:val="none"/>
          <w:lang w:val="en-US" w:eastAsia="zh-CN"/>
        </w:rPr>
        <w:t>八</w:t>
      </w:r>
      <w:r>
        <w:rPr>
          <w:rFonts w:hint="eastAsia" w:ascii="宋体" w:hAnsi="宋体" w:eastAsia="宋体" w:cs="宋体"/>
          <w:b/>
          <w:bCs w:val="0"/>
          <w:sz w:val="32"/>
          <w:szCs w:val="32"/>
          <w:highlight w:val="none"/>
          <w:lang w:val="en-US" w:eastAsia="zh-CN"/>
        </w:rPr>
        <w:t>、</w:t>
      </w:r>
      <w:bookmarkEnd w:id="80"/>
      <w:r>
        <w:rPr>
          <w:rFonts w:hint="eastAsia" w:ascii="宋体" w:hAnsi="宋体" w:eastAsia="宋体" w:cs="宋体"/>
          <w:b/>
          <w:bCs w:val="0"/>
          <w:color w:val="auto"/>
          <w:sz w:val="28"/>
          <w:szCs w:val="28"/>
          <w:lang w:val="en-US" w:eastAsia="zh-CN"/>
        </w:rPr>
        <w:t>企业承担类似或相近工程情况一览表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bookmarkStart w:id="81" w:name="_Toc14137"/>
            <w:bookmarkStart w:id="82" w:name="_Toc21580"/>
            <w:bookmarkStart w:id="83" w:name="_Toc22"/>
            <w:r>
              <w:rPr>
                <w:rFonts w:hint="eastAsia" w:ascii="宋体" w:hAnsi="宋体" w:eastAsia="宋体" w:cs="宋体"/>
                <w:b/>
                <w:bCs/>
                <w:color w:val="auto"/>
                <w:kern w:val="0"/>
                <w:sz w:val="21"/>
                <w:szCs w:val="21"/>
              </w:rPr>
              <w:t>建设单位</w:t>
            </w:r>
          </w:p>
        </w:tc>
        <w:tc>
          <w:tcPr>
            <w:tcW w:w="1985"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工程项目名称</w:t>
            </w:r>
          </w:p>
        </w:tc>
        <w:tc>
          <w:tcPr>
            <w:tcW w:w="1275"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建设</w:t>
            </w:r>
          </w:p>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规模</w:t>
            </w:r>
          </w:p>
        </w:tc>
        <w:tc>
          <w:tcPr>
            <w:tcW w:w="1418"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竣工日期</w:t>
            </w:r>
          </w:p>
        </w:tc>
        <w:tc>
          <w:tcPr>
            <w:tcW w:w="850" w:type="dxa"/>
            <w:tcBorders>
              <w:top w:val="single" w:color="auto" w:sz="12"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质量等级</w:t>
            </w:r>
          </w:p>
        </w:tc>
        <w:tc>
          <w:tcPr>
            <w:tcW w:w="1134" w:type="dxa"/>
            <w:tcBorders>
              <w:top w:val="single" w:color="auto" w:sz="12" w:space="0"/>
              <w:right w:val="single" w:color="auto" w:sz="4" w:space="0"/>
            </w:tcBorders>
            <w:noWrap w:val="0"/>
            <w:vAlign w:val="center"/>
          </w:tcPr>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项目</w:t>
            </w:r>
          </w:p>
          <w:p>
            <w:pPr>
              <w:autoSpaceDE w:val="0"/>
              <w:autoSpaceDN w:val="0"/>
              <w:adjustRightInd w:val="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总监</w:t>
            </w:r>
          </w:p>
        </w:tc>
        <w:tc>
          <w:tcPr>
            <w:tcW w:w="1696" w:type="dxa"/>
            <w:tcBorders>
              <w:top w:val="single" w:color="auto" w:sz="12" w:space="0"/>
              <w:left w:val="single" w:color="auto" w:sz="4" w:space="0"/>
              <w:right w:val="single" w:color="auto" w:sz="12" w:space="0"/>
            </w:tcBorders>
            <w:noWrap w:val="0"/>
            <w:vAlign w:val="center"/>
          </w:tcPr>
          <w:p>
            <w:pPr>
              <w:widowControl/>
              <w:jc w:val="left"/>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建设单位联系人\电话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985"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275"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418"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850" w:type="dxa"/>
            <w:tcBorders>
              <w:bottom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134" w:type="dxa"/>
            <w:tcBorders>
              <w:bottom w:val="single" w:color="auto" w:sz="12" w:space="0"/>
              <w:right w:val="single" w:color="auto" w:sz="4"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c>
          <w:tcPr>
            <w:tcW w:w="1696" w:type="dxa"/>
            <w:tcBorders>
              <w:left w:val="single" w:color="auto" w:sz="4" w:space="0"/>
              <w:bottom w:val="single" w:color="auto" w:sz="12" w:space="0"/>
              <w:right w:val="single" w:color="auto" w:sz="12" w:space="0"/>
            </w:tcBorders>
            <w:noWrap w:val="0"/>
            <w:vAlign w:val="top"/>
          </w:tcPr>
          <w:p>
            <w:pPr>
              <w:autoSpaceDE w:val="0"/>
              <w:autoSpaceDN w:val="0"/>
              <w:adjustRightInd w:val="0"/>
              <w:rPr>
                <w:rFonts w:hint="eastAsia" w:ascii="宋体" w:hAnsi="宋体" w:eastAsia="宋体" w:cs="宋体"/>
                <w:b/>
                <w:bCs/>
                <w:color w:val="auto"/>
                <w:kern w:val="0"/>
                <w:sz w:val="21"/>
                <w:szCs w:val="21"/>
              </w:rPr>
            </w:pPr>
          </w:p>
        </w:tc>
      </w:tr>
    </w:tbl>
    <w:p>
      <w:pPr>
        <w:autoSpaceDE w:val="0"/>
        <w:autoSpaceDN w:val="0"/>
        <w:adjustRightInd w:val="0"/>
        <w:rPr>
          <w:rFonts w:hint="default"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注：近三年（2020年3月至今），后附合同、中标通知书等证明材料。</w:t>
      </w:r>
    </w:p>
    <w:p>
      <w:pPr>
        <w:autoSpaceDE w:val="0"/>
        <w:autoSpaceDN w:val="0"/>
        <w:adjustRightInd w:val="0"/>
        <w:spacing w:line="56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我方承诺上述填报内容真实，如不真实，将按照有关规定接受处理。</w:t>
      </w:r>
    </w:p>
    <w:p>
      <w:pPr>
        <w:autoSpaceDE w:val="0"/>
        <w:autoSpaceDN w:val="0"/>
        <w:adjustRightInd w:val="0"/>
        <w:spacing w:line="560" w:lineRule="exact"/>
        <w:jc w:val="left"/>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  标  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（盖章）</w:t>
      </w:r>
    </w:p>
    <w:p>
      <w:pPr>
        <w:spacing w:line="360" w:lineRule="auto"/>
        <w:ind w:firstLine="420" w:firstLineChars="200"/>
        <w:rPr>
          <w:rFonts w:hint="eastAsia" w:ascii="宋体" w:hAnsi="宋体" w:eastAsia="宋体" w:cs="宋体"/>
          <w:color w:val="auto"/>
          <w:sz w:val="21"/>
          <w:szCs w:val="21"/>
        </w:rPr>
      </w:pP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360" w:lineRule="auto"/>
        <w:ind w:firstLine="840" w:firstLineChars="400"/>
        <w:rPr>
          <w:rFonts w:hint="eastAsia" w:ascii="宋体" w:hAnsi="宋体" w:eastAsia="宋体" w:cs="宋体"/>
          <w:color w:val="auto"/>
          <w:sz w:val="21"/>
          <w:szCs w:val="21"/>
          <w:u w:val="single"/>
        </w:rPr>
      </w:pPr>
    </w:p>
    <w:p>
      <w:pPr>
        <w:spacing w:line="360" w:lineRule="auto"/>
        <w:ind w:firstLine="6237" w:firstLineChars="2970"/>
        <w:jc w:val="left"/>
        <w:rPr>
          <w:rFonts w:hint="eastAsia" w:ascii="宋体" w:hAnsi="宋体" w:eastAsia="宋体" w:cs="宋体"/>
          <w:b w:val="0"/>
          <w:bCs/>
          <w:color w:val="auto"/>
          <w:sz w:val="21"/>
          <w:szCs w:val="21"/>
          <w:lang w:val="en-US" w:eastAsia="zh-CN"/>
        </w:rPr>
      </w:pPr>
      <w:r>
        <w:rPr>
          <w:rFonts w:hint="eastAsia" w:ascii="宋体" w:hAnsi="宋体" w:eastAsia="宋体" w:cs="宋体"/>
          <w:color w:val="auto"/>
          <w:sz w:val="21"/>
          <w:szCs w:val="21"/>
        </w:rPr>
        <w:t>年    月    日</w:t>
      </w:r>
    </w:p>
    <w:p>
      <w:pPr>
        <w:spacing w:line="760" w:lineRule="exact"/>
        <w:ind w:firstLine="5783" w:firstLineChars="1800"/>
        <w:jc w:val="center"/>
        <w:rPr>
          <w:rFonts w:hint="eastAsia" w:ascii="宋体" w:hAnsi="宋体" w:eastAsia="宋体" w:cs="宋体"/>
          <w:b/>
          <w:bCs w:val="0"/>
          <w:kern w:val="2"/>
          <w:sz w:val="32"/>
          <w:szCs w:val="32"/>
          <w:highlight w:val="none"/>
          <w:lang w:val="en-US" w:eastAsia="zh-CN" w:bidi="ar-SA"/>
        </w:rPr>
      </w:pPr>
    </w:p>
    <w:p>
      <w:pPr>
        <w:spacing w:line="760" w:lineRule="exact"/>
        <w:ind w:firstLine="5783" w:firstLineChars="1800"/>
        <w:jc w:val="center"/>
        <w:rPr>
          <w:rFonts w:hint="eastAsia" w:ascii="宋体" w:hAnsi="宋体" w:eastAsia="宋体" w:cs="宋体"/>
          <w:b/>
          <w:bCs w:val="0"/>
          <w:kern w:val="2"/>
          <w:sz w:val="32"/>
          <w:szCs w:val="32"/>
          <w:highlight w:val="none"/>
          <w:lang w:val="en-US" w:eastAsia="zh-CN" w:bidi="ar-SA"/>
        </w:rPr>
      </w:pPr>
    </w:p>
    <w:p>
      <w:pPr>
        <w:spacing w:line="760" w:lineRule="exact"/>
        <w:ind w:firstLine="5783" w:firstLineChars="1800"/>
        <w:jc w:val="center"/>
        <w:rPr>
          <w:rFonts w:hint="eastAsia" w:ascii="宋体" w:hAnsi="宋体" w:eastAsia="宋体" w:cs="宋体"/>
          <w:b/>
          <w:bCs w:val="0"/>
          <w:kern w:val="2"/>
          <w:sz w:val="32"/>
          <w:szCs w:val="32"/>
          <w:highlight w:val="none"/>
          <w:lang w:val="en-US" w:eastAsia="zh-CN" w:bidi="ar-SA"/>
        </w:rPr>
      </w:pPr>
    </w:p>
    <w:p>
      <w:pPr>
        <w:spacing w:line="760" w:lineRule="exact"/>
        <w:jc w:val="center"/>
        <w:rPr>
          <w:rFonts w:hint="eastAsia" w:ascii="宋体" w:hAnsi="宋体" w:eastAsia="宋体" w:cs="宋体"/>
          <w:b/>
          <w:bCs/>
          <w:sz w:val="28"/>
          <w:szCs w:val="36"/>
          <w:highlight w:val="none"/>
          <w:lang w:eastAsia="zh-CN"/>
        </w:rPr>
      </w:pPr>
      <w:r>
        <w:rPr>
          <w:rFonts w:hint="eastAsia" w:ascii="宋体" w:hAnsi="宋体" w:eastAsia="宋体" w:cs="宋体"/>
          <w:b/>
          <w:bCs w:val="0"/>
          <w:kern w:val="2"/>
          <w:sz w:val="32"/>
          <w:szCs w:val="32"/>
          <w:highlight w:val="none"/>
          <w:lang w:val="en-US" w:eastAsia="zh-CN" w:bidi="ar-SA"/>
        </w:rPr>
        <w:t>九、</w:t>
      </w:r>
      <w:bookmarkEnd w:id="81"/>
      <w:bookmarkEnd w:id="82"/>
      <w:bookmarkEnd w:id="83"/>
      <w:r>
        <w:rPr>
          <w:rFonts w:hint="eastAsia" w:ascii="宋体" w:hAnsi="宋体" w:eastAsia="宋体" w:cs="宋体"/>
          <w:b/>
          <w:bCs w:val="0"/>
          <w:kern w:val="2"/>
          <w:sz w:val="32"/>
          <w:szCs w:val="32"/>
          <w:highlight w:val="none"/>
          <w:lang w:val="en-US" w:eastAsia="zh-CN" w:bidi="ar-SA"/>
        </w:rPr>
        <w:t>供应商资格条件提供材料</w:t>
      </w:r>
    </w:p>
    <w:p>
      <w:pPr>
        <w:spacing w:line="360" w:lineRule="auto"/>
        <w:ind w:firstLine="221" w:firstLineChars="100"/>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供应商必须符合《中华人民共和国政府采购法》第二十二条的规定；</w:t>
      </w:r>
    </w:p>
    <w:p>
      <w:pPr>
        <w:spacing w:line="360" w:lineRule="auto"/>
        <w:ind w:firstLine="221" w:firstLineChars="100"/>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（1）有效的“三证合一”的营业执照；</w:t>
      </w:r>
    </w:p>
    <w:p>
      <w:pPr>
        <w:spacing w:line="360" w:lineRule="auto"/>
        <w:ind w:firstLine="221" w:firstLineChars="100"/>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2）法定代表人投标需携带法定代表人证明书及法定代表人身份证（原件），委托代理人投标需携带法定代表人授权委托书及委托代理人身份证（原件）；需提供社保部门出具的投标单位的缴纳社保证明（提供公司近六个月社保缴费证明及社保局出具的缴费明细），如依法不需要缴纳社会保障资金的，应提供相应文件证明（新成立不足3个月的按实际情况发生提供，成立时间超过3个月的零申报的需提供依法报税资料）。</w:t>
      </w:r>
    </w:p>
    <w:p>
      <w:pPr>
        <w:spacing w:line="360" w:lineRule="auto"/>
        <w:ind w:firstLine="221" w:firstLineChars="100"/>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（3）</w:t>
      </w:r>
      <w:r>
        <w:rPr>
          <w:rFonts w:hint="eastAsia" w:ascii="宋体" w:hAnsi="宋体" w:cs="宋体"/>
          <w:b/>
          <w:bCs/>
          <w:color w:val="0000FF"/>
          <w:sz w:val="22"/>
          <w:szCs w:val="22"/>
          <w:highlight w:val="none"/>
          <w:lang w:eastAsia="zh-CN"/>
        </w:rPr>
        <w:t>具有良好的商业信誉和健全的财务会计制度需提供会计事务所出具的近三年任一年的财务审计报告，2022年10月以后成立的公司可不提供但需提供银行出具的近三个月的资信证明和健全的财务会计制度。</w:t>
      </w:r>
      <w:r>
        <w:rPr>
          <w:rFonts w:hint="eastAsia" w:ascii="宋体" w:hAnsi="宋体" w:eastAsia="宋体" w:cs="宋体"/>
          <w:b/>
          <w:bCs/>
          <w:color w:val="0000FF"/>
          <w:sz w:val="22"/>
          <w:szCs w:val="22"/>
          <w:highlight w:val="none"/>
        </w:rPr>
        <w:t>（4）提供税务机关出具近三个月的完税证明，以税款所属时期为准，企业代缴费的完税证明（如社保，公积金等）不作为完税证明的依据。（如有免税企业，需提供免税相关材料证明，新成立公司按实际发生。）</w:t>
      </w:r>
    </w:p>
    <w:p>
      <w:pPr>
        <w:spacing w:line="360" w:lineRule="auto"/>
        <w:ind w:firstLine="221" w:firstLineChars="100"/>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5）凡拟参加本次招标项目的投标人，如在“信用中国”网站（www.creditchina.gov.cn）、中国政府采购网（www.ccgp.gov.cn）、国家企业信用信息公示系统（http://www.gsxt.gov.cn）、中国裁判文书网（http://wenshu.court.gov.cn）被列入失信被执行人、重大税收违法案件当事人名单、政府采购严重违法失信行为记录名单的（尚在处罚期内的）、经营异常名录、近三年在“中国裁判文书网”有行贿犯罪记录的将拒绝其参本次政府采购活动；（查询日期自本公告发布日期至投标截止之日为止）</w:t>
      </w:r>
    </w:p>
    <w:p>
      <w:pPr>
        <w:spacing w:line="360" w:lineRule="auto"/>
        <w:ind w:firstLine="221" w:firstLineChars="100"/>
        <w:rPr>
          <w:rFonts w:hint="eastAsia" w:ascii="宋体" w:hAnsi="宋体" w:eastAsia="宋体" w:cs="宋体"/>
          <w:b/>
          <w:bCs/>
          <w:color w:val="0000FF"/>
          <w:sz w:val="22"/>
          <w:szCs w:val="22"/>
          <w:highlight w:val="none"/>
        </w:rPr>
      </w:pPr>
      <w:r>
        <w:rPr>
          <w:rFonts w:hint="eastAsia" w:ascii="宋体" w:hAnsi="宋体" w:eastAsia="宋体" w:cs="宋体"/>
          <w:b/>
          <w:bCs/>
          <w:color w:val="0000FF"/>
          <w:sz w:val="22"/>
          <w:szCs w:val="22"/>
          <w:highlight w:val="none"/>
        </w:rPr>
        <w:t>（11）资质要求：</w:t>
      </w:r>
    </w:p>
    <w:p>
      <w:pPr>
        <w:spacing w:line="360" w:lineRule="auto"/>
        <w:ind w:firstLine="221" w:firstLineChars="100"/>
        <w:rPr>
          <w:rFonts w:hint="eastAsia" w:ascii="宋体" w:hAnsi="宋体" w:eastAsia="宋体" w:cs="宋体"/>
          <w:b/>
          <w:bCs/>
          <w:color w:val="auto"/>
          <w:sz w:val="22"/>
          <w:szCs w:val="22"/>
          <w:highlight w:val="none"/>
        </w:rPr>
      </w:pPr>
      <w:r>
        <w:rPr>
          <w:rFonts w:hint="eastAsia" w:ascii="宋体" w:hAnsi="宋体" w:eastAsia="宋体" w:cs="宋体"/>
          <w:b/>
          <w:bCs/>
          <w:color w:val="0000FF"/>
          <w:sz w:val="22"/>
          <w:szCs w:val="22"/>
          <w:highlight w:val="none"/>
        </w:rPr>
        <w:t>需具备[专业资质·房屋建筑工程·房屋建筑工程丙级](含)及以上资质，项目负责人资格：[注册监理工程师·房屋建筑工程](含)以上资质且总监理工程师在同一区域内（皮山县、墨玉县、和田市、和田县、洛浦县、策勒县、于田县、民丰县）不得超过 2 个在监项目（不得跨区域承揽监理业务）；外省企业进疆从事监理活动，应登录新疆工程建设云（网址：http//jsy.xjjs.gov.cn）注册报送企业基本信息和人员信息，其项目人员为信息报送册注册人员，且在人员、设备、资金等方面具有承揽本工程的能力。</w:t>
      </w:r>
    </w:p>
    <w:p>
      <w:pPr>
        <w:spacing w:line="360" w:lineRule="auto"/>
        <w:ind w:firstLine="241" w:firstLineChars="100"/>
        <w:rPr>
          <w:rFonts w:hint="eastAsia" w:ascii="宋体" w:hAnsi="宋体" w:eastAsia="宋体" w:cs="宋体"/>
          <w:b/>
          <w:bCs/>
          <w:color w:val="auto"/>
          <w:sz w:val="24"/>
          <w:szCs w:val="24"/>
          <w:highlight w:val="none"/>
        </w:rPr>
      </w:pP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）磋商响应人</w:t>
      </w:r>
      <w:r>
        <w:rPr>
          <w:rFonts w:hint="eastAsia" w:ascii="宋体" w:hAnsi="宋体" w:eastAsia="宋体" w:cs="宋体"/>
          <w:b/>
          <w:bCs/>
          <w:color w:val="auto"/>
          <w:sz w:val="24"/>
          <w:szCs w:val="24"/>
          <w:highlight w:val="none"/>
        </w:rPr>
        <w:t>应自行承担所提供上述资料任何错漏而导致的一切后果。</w:t>
      </w:r>
    </w:p>
    <w:p>
      <w:pPr>
        <w:keepNext w:val="0"/>
        <w:keepLines w:val="0"/>
        <w:pageBreakBefore w:val="0"/>
        <w:kinsoku/>
        <w:wordWrap/>
        <w:overflowPunct/>
        <w:topLinePunct w:val="0"/>
        <w:autoSpaceDE/>
        <w:autoSpaceDN/>
        <w:bidi w:val="0"/>
        <w:adjustRightInd/>
        <w:snapToGrid/>
        <w:spacing w:line="320" w:lineRule="exact"/>
        <w:ind w:firstLine="718" w:firstLineChars="298"/>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）所附的资格证明文件的复印件或影印件含糊不清，导致无法辨认的，其投标将被否决。</w:t>
      </w:r>
    </w:p>
    <w:p>
      <w:pPr>
        <w:pStyle w:val="19"/>
        <w:rPr>
          <w:rFonts w:hint="eastAsia" w:ascii="宋体" w:hAnsi="宋体" w:eastAsia="宋体" w:cs="宋体"/>
          <w:b/>
          <w:bCs w:val="0"/>
          <w:kern w:val="2"/>
          <w:sz w:val="32"/>
          <w:szCs w:val="32"/>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pStyle w:val="12"/>
        <w:rPr>
          <w:rFonts w:hint="eastAsia" w:ascii="宋体" w:hAnsi="宋体" w:eastAsia="宋体" w:cs="宋体"/>
          <w:b/>
          <w:bCs w:val="0"/>
          <w:kern w:val="2"/>
          <w:sz w:val="32"/>
          <w:szCs w:val="32"/>
          <w:highlight w:val="none"/>
          <w:lang w:val="en-US" w:eastAsia="zh-CN" w:bidi="ar-SA"/>
        </w:rPr>
      </w:pPr>
    </w:p>
    <w:p>
      <w:pPr>
        <w:rPr>
          <w:rFonts w:hint="eastAsia" w:ascii="宋体" w:hAnsi="宋体" w:eastAsia="宋体" w:cs="宋体"/>
          <w:b/>
          <w:bCs w:val="0"/>
          <w:kern w:val="2"/>
          <w:sz w:val="32"/>
          <w:szCs w:val="32"/>
          <w:highlight w:val="none"/>
          <w:lang w:val="en-US" w:eastAsia="zh-CN" w:bidi="ar-SA"/>
        </w:rPr>
      </w:pPr>
    </w:p>
    <w:p>
      <w:pPr>
        <w:pStyle w:val="12"/>
        <w:rPr>
          <w:rFonts w:hint="eastAsia" w:ascii="宋体" w:hAnsi="宋体" w:eastAsia="宋体" w:cs="宋体"/>
          <w:b/>
          <w:bCs w:val="0"/>
          <w:kern w:val="2"/>
          <w:sz w:val="32"/>
          <w:szCs w:val="32"/>
          <w:highlight w:val="none"/>
          <w:lang w:val="en-US" w:eastAsia="zh-CN" w:bidi="ar-SA"/>
        </w:rPr>
      </w:pPr>
    </w:p>
    <w:p>
      <w:pPr>
        <w:rPr>
          <w:rFonts w:hint="eastAsia" w:ascii="宋体" w:hAnsi="宋体" w:eastAsia="宋体" w:cs="宋体"/>
          <w:b/>
          <w:bCs w:val="0"/>
          <w:kern w:val="2"/>
          <w:sz w:val="32"/>
          <w:szCs w:val="32"/>
          <w:highlight w:val="none"/>
          <w:lang w:val="en-US" w:eastAsia="zh-CN" w:bidi="ar-SA"/>
        </w:rPr>
      </w:pPr>
    </w:p>
    <w:p>
      <w:pPr>
        <w:pStyle w:val="12"/>
        <w:rPr>
          <w:rFonts w:hint="eastAsia" w:ascii="宋体" w:hAnsi="宋体" w:eastAsia="宋体" w:cs="宋体"/>
          <w:b/>
          <w:bCs w:val="0"/>
          <w:kern w:val="2"/>
          <w:sz w:val="32"/>
          <w:szCs w:val="32"/>
          <w:highlight w:val="none"/>
          <w:lang w:val="en-US" w:eastAsia="zh-CN" w:bidi="ar-SA"/>
        </w:rPr>
      </w:pPr>
    </w:p>
    <w:p>
      <w:pPr>
        <w:rPr>
          <w:rFonts w:hint="eastAsia" w:ascii="宋体" w:hAnsi="宋体" w:eastAsia="宋体" w:cs="宋体"/>
          <w:b/>
          <w:bCs w:val="0"/>
          <w:kern w:val="2"/>
          <w:sz w:val="32"/>
          <w:szCs w:val="32"/>
          <w:highlight w:val="none"/>
          <w:lang w:val="en-US" w:eastAsia="zh-CN" w:bidi="ar-SA"/>
        </w:rPr>
      </w:pPr>
    </w:p>
    <w:p>
      <w:pPr>
        <w:pStyle w:val="12"/>
        <w:rPr>
          <w:rFonts w:hint="eastAsia" w:ascii="宋体" w:hAnsi="宋体" w:eastAsia="宋体" w:cs="宋体"/>
          <w:b/>
          <w:bCs w:val="0"/>
          <w:kern w:val="2"/>
          <w:sz w:val="32"/>
          <w:szCs w:val="32"/>
          <w:highlight w:val="none"/>
          <w:lang w:val="en-US" w:eastAsia="zh-CN" w:bidi="ar-SA"/>
        </w:rPr>
      </w:pPr>
    </w:p>
    <w:p>
      <w:pPr>
        <w:rPr>
          <w:rFonts w:hint="eastAsia" w:ascii="宋体" w:hAnsi="宋体" w:eastAsia="宋体" w:cs="宋体"/>
          <w:b/>
          <w:bCs w:val="0"/>
          <w:kern w:val="2"/>
          <w:sz w:val="32"/>
          <w:szCs w:val="32"/>
          <w:highlight w:val="none"/>
          <w:lang w:val="en-US" w:eastAsia="zh-CN" w:bidi="ar-SA"/>
        </w:rPr>
      </w:pPr>
    </w:p>
    <w:p>
      <w:pPr>
        <w:pStyle w:val="12"/>
        <w:rPr>
          <w:rFonts w:hint="eastAsia"/>
          <w:lang w:val="en-US" w:eastAsia="zh-CN"/>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p>
    <w:p>
      <w:pPr>
        <w:spacing w:line="760" w:lineRule="exact"/>
        <w:ind w:left="0" w:leftChars="0" w:firstLine="0" w:firstLineChars="0"/>
        <w:jc w:val="center"/>
        <w:rPr>
          <w:rFonts w:hint="default" w:ascii="宋体" w:hAnsi="宋体" w:eastAsia="宋体" w:cs="宋体"/>
          <w:b/>
          <w:bCs w:val="0"/>
          <w:kern w:val="2"/>
          <w:sz w:val="32"/>
          <w:szCs w:val="32"/>
          <w:highlight w:val="none"/>
          <w:lang w:val="en-US" w:eastAsia="zh-CN" w:bidi="ar-SA"/>
        </w:rPr>
      </w:pPr>
      <w:r>
        <w:rPr>
          <w:rFonts w:hint="eastAsia" w:ascii="宋体" w:hAnsi="宋体" w:eastAsia="宋体" w:cs="宋体"/>
          <w:b/>
          <w:bCs w:val="0"/>
          <w:kern w:val="2"/>
          <w:sz w:val="32"/>
          <w:szCs w:val="32"/>
          <w:highlight w:val="none"/>
          <w:lang w:val="en-US" w:eastAsia="zh-CN" w:bidi="ar-SA"/>
        </w:rPr>
        <w:t>十、</w:t>
      </w:r>
      <w:r>
        <w:rPr>
          <w:rFonts w:hint="eastAsia" w:ascii="宋体" w:hAnsi="宋体" w:eastAsia="宋体" w:cs="宋体"/>
          <w:b/>
          <w:bCs w:val="0"/>
          <w:color w:val="auto"/>
          <w:sz w:val="28"/>
          <w:szCs w:val="28"/>
          <w:lang w:val="en-US" w:eastAsia="zh-CN"/>
        </w:rPr>
        <w:t>监理大纲</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监理大纲应包括（但不限于）下列内容：</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一、监理工程概况；</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二、监理范围和服务内容，监理依据；</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三、监理机构设置（框图）、组成人员名单，监理人员岗位职责；</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四、监理工作程序、方法和制度；</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五、监理人员进场工作计划表；</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六、质量、安全、资金、进度、环境控制措施；</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七、合同管理方案；</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八、组织协调内容及措施；</w:t>
      </w:r>
    </w:p>
    <w:p>
      <w:pPr>
        <w:pStyle w:val="34"/>
        <w:spacing w:line="500" w:lineRule="exact"/>
        <w:ind w:firstLine="570"/>
        <w:rPr>
          <w:rStyle w:val="26"/>
          <w:rFonts w:hint="eastAsia" w:ascii="宋体" w:hAnsi="宋体" w:eastAsia="宋体" w:cs="宋体"/>
          <w:color w:val="auto"/>
          <w:sz w:val="21"/>
          <w:szCs w:val="18"/>
        </w:rPr>
      </w:pPr>
      <w:r>
        <w:rPr>
          <w:rStyle w:val="26"/>
          <w:rFonts w:hint="eastAsia" w:ascii="宋体" w:hAnsi="宋体" w:eastAsia="宋体" w:cs="宋体"/>
          <w:color w:val="auto"/>
          <w:sz w:val="21"/>
          <w:szCs w:val="18"/>
        </w:rPr>
        <w:t>九、监理工作重点与难点分析及对策；</w:t>
      </w:r>
    </w:p>
    <w:p>
      <w:pPr>
        <w:pStyle w:val="34"/>
        <w:spacing w:line="500" w:lineRule="exact"/>
        <w:ind w:firstLine="570"/>
        <w:rPr>
          <w:rFonts w:hint="eastAsia" w:ascii="宋体" w:hAnsi="宋体" w:eastAsia="宋体" w:cs="宋体"/>
          <w:b w:val="0"/>
          <w:bCs/>
          <w:color w:val="auto"/>
          <w:sz w:val="21"/>
          <w:szCs w:val="21"/>
          <w:lang w:val="en-US" w:eastAsia="zh-CN"/>
        </w:rPr>
      </w:pPr>
      <w:r>
        <w:rPr>
          <w:rStyle w:val="26"/>
          <w:rFonts w:hint="eastAsia" w:ascii="宋体" w:hAnsi="宋体" w:eastAsia="宋体" w:cs="宋体"/>
          <w:color w:val="auto"/>
          <w:sz w:val="21"/>
          <w:szCs w:val="18"/>
        </w:rPr>
        <w:t>十、拟投入的监理设施、设备及配置计划；</w:t>
      </w:r>
    </w:p>
    <w:p>
      <w:pPr>
        <w:pStyle w:val="23"/>
        <w:rPr>
          <w:rFonts w:hint="eastAsia" w:ascii="宋体" w:hAnsi="宋体" w:eastAsia="宋体" w:cs="宋体"/>
          <w:b w:val="0"/>
          <w:bCs/>
          <w:color w:val="auto"/>
          <w:sz w:val="21"/>
          <w:szCs w:val="21"/>
          <w:lang w:val="en-US" w:eastAsia="zh-CN"/>
        </w:rPr>
      </w:pPr>
    </w:p>
    <w:p>
      <w:pPr>
        <w:spacing w:line="360" w:lineRule="auto"/>
        <w:ind w:firstLine="480" w:firstLineChars="200"/>
        <w:jc w:val="both"/>
        <w:rPr>
          <w:rFonts w:hint="eastAsia" w:ascii="宋体" w:hAnsi="宋体" w:eastAsia="宋体" w:cs="宋体"/>
          <w:sz w:val="24"/>
          <w:highlight w:val="none"/>
        </w:rPr>
      </w:pPr>
    </w:p>
    <w:p>
      <w:pPr>
        <w:pStyle w:val="9"/>
        <w:rPr>
          <w:rFonts w:hint="eastAsia" w:ascii="宋体" w:hAnsi="宋体" w:eastAsia="宋体" w:cs="宋体"/>
          <w:sz w:val="24"/>
          <w:highlight w:val="none"/>
        </w:rPr>
      </w:pPr>
    </w:p>
    <w:p>
      <w:pPr>
        <w:pStyle w:val="8"/>
        <w:rPr>
          <w:rFonts w:hint="eastAsia"/>
          <w:highlight w:val="none"/>
          <w:lang w:val="en-US" w:eastAsia="zh-CN"/>
        </w:rPr>
      </w:pPr>
    </w:p>
    <w:p>
      <w:pPr>
        <w:pStyle w:val="29"/>
        <w:rPr>
          <w:rFonts w:hint="eastAsia" w:ascii="宋体" w:hAnsi="宋体" w:eastAsia="宋体" w:cs="宋体"/>
          <w:b/>
          <w:bCs w:val="0"/>
          <w:kern w:val="2"/>
          <w:sz w:val="32"/>
          <w:szCs w:val="32"/>
          <w:highlight w:val="none"/>
          <w:lang w:val="en-US" w:eastAsia="zh-CN" w:bidi="ar-SA"/>
        </w:rPr>
      </w:pPr>
    </w:p>
    <w:p>
      <w:pPr>
        <w:pStyle w:val="29"/>
        <w:rPr>
          <w:rFonts w:hint="eastAsia" w:ascii="宋体" w:hAnsi="宋体" w:eastAsia="宋体" w:cs="宋体"/>
          <w:b/>
          <w:bCs w:val="0"/>
          <w:kern w:val="2"/>
          <w:sz w:val="32"/>
          <w:szCs w:val="32"/>
          <w:highlight w:val="none"/>
          <w:lang w:val="en-US" w:eastAsia="zh-CN" w:bidi="ar-SA"/>
        </w:rPr>
      </w:pPr>
    </w:p>
    <w:p>
      <w:pPr>
        <w:pStyle w:val="29"/>
        <w:rPr>
          <w:rFonts w:hint="eastAsia" w:ascii="宋体" w:hAnsi="宋体" w:eastAsia="宋体" w:cs="宋体"/>
          <w:b/>
          <w:bCs w:val="0"/>
          <w:kern w:val="2"/>
          <w:sz w:val="32"/>
          <w:szCs w:val="32"/>
          <w:highlight w:val="none"/>
          <w:lang w:val="en-US" w:eastAsia="zh-CN" w:bidi="ar-SA"/>
        </w:rPr>
      </w:pPr>
    </w:p>
    <w:p>
      <w:pPr>
        <w:pStyle w:val="29"/>
        <w:rPr>
          <w:rFonts w:hint="eastAsia" w:ascii="宋体" w:hAnsi="宋体" w:eastAsia="宋体" w:cs="宋体"/>
          <w:b/>
          <w:bCs w:val="0"/>
          <w:kern w:val="2"/>
          <w:sz w:val="32"/>
          <w:szCs w:val="32"/>
          <w:highlight w:val="none"/>
          <w:lang w:val="en-US" w:eastAsia="zh-CN" w:bidi="ar-SA"/>
        </w:rPr>
      </w:pPr>
    </w:p>
    <w:p>
      <w:pPr>
        <w:jc w:val="center"/>
        <w:rPr>
          <w:rStyle w:val="30"/>
          <w:rFonts w:hint="eastAsia"/>
          <w:color w:val="000000"/>
          <w:sz w:val="32"/>
          <w:szCs w:val="15"/>
          <w:highlight w:val="none"/>
        </w:rPr>
      </w:pPr>
      <w:bookmarkStart w:id="84" w:name="_Toc21023"/>
      <w:bookmarkStart w:id="85" w:name="_Toc18903"/>
      <w:bookmarkStart w:id="86" w:name="_Toc12646"/>
    </w:p>
    <w:p>
      <w:pPr>
        <w:pStyle w:val="2"/>
        <w:rPr>
          <w:rStyle w:val="30"/>
          <w:rFonts w:hint="eastAsia"/>
          <w:color w:val="000000"/>
          <w:sz w:val="32"/>
          <w:szCs w:val="15"/>
          <w:highlight w:val="none"/>
        </w:rPr>
      </w:pPr>
    </w:p>
    <w:p>
      <w:pPr>
        <w:rPr>
          <w:rStyle w:val="30"/>
          <w:rFonts w:hint="eastAsia"/>
          <w:color w:val="000000"/>
          <w:sz w:val="32"/>
          <w:szCs w:val="15"/>
          <w:highlight w:val="none"/>
        </w:rPr>
      </w:pPr>
    </w:p>
    <w:p>
      <w:pPr>
        <w:pStyle w:val="2"/>
        <w:rPr>
          <w:rStyle w:val="30"/>
          <w:rFonts w:hint="eastAsia"/>
          <w:color w:val="000000"/>
          <w:sz w:val="32"/>
          <w:szCs w:val="15"/>
          <w:highlight w:val="none"/>
        </w:rPr>
      </w:pPr>
    </w:p>
    <w:p>
      <w:pPr>
        <w:rPr>
          <w:rFonts w:hint="eastAsia"/>
        </w:rPr>
      </w:pPr>
    </w:p>
    <w:bookmarkEnd w:id="74"/>
    <w:bookmarkEnd w:id="84"/>
    <w:bookmarkEnd w:id="85"/>
    <w:bookmarkEnd w:id="86"/>
    <w:p>
      <w:pPr>
        <w:spacing w:line="760" w:lineRule="exact"/>
        <w:ind w:left="0" w:leftChars="0" w:firstLine="0" w:firstLineChars="0"/>
        <w:jc w:val="center"/>
        <w:rPr>
          <w:rFonts w:hint="eastAsia" w:ascii="宋体" w:hAnsi="宋体" w:eastAsia="宋体" w:cs="宋体"/>
          <w:b/>
          <w:bCs w:val="0"/>
          <w:kern w:val="2"/>
          <w:sz w:val="32"/>
          <w:szCs w:val="32"/>
          <w:highlight w:val="none"/>
          <w:lang w:val="en-US" w:eastAsia="zh-CN" w:bidi="ar-SA"/>
        </w:rPr>
      </w:pPr>
      <w:r>
        <w:rPr>
          <w:rFonts w:hint="eastAsia" w:ascii="宋体" w:hAnsi="宋体" w:eastAsia="宋体" w:cs="宋体"/>
          <w:b/>
          <w:bCs w:val="0"/>
          <w:kern w:val="2"/>
          <w:sz w:val="32"/>
          <w:szCs w:val="32"/>
          <w:highlight w:val="none"/>
          <w:lang w:val="en-US" w:eastAsia="zh-CN" w:bidi="ar-SA"/>
        </w:rPr>
        <w:t>十</w:t>
      </w:r>
      <w:r>
        <w:rPr>
          <w:rFonts w:hint="eastAsia" w:ascii="宋体" w:hAnsi="宋体" w:cs="宋体"/>
          <w:b/>
          <w:bCs w:val="0"/>
          <w:kern w:val="2"/>
          <w:sz w:val="32"/>
          <w:szCs w:val="32"/>
          <w:highlight w:val="none"/>
          <w:lang w:val="en-US" w:eastAsia="zh-CN" w:bidi="ar-SA"/>
        </w:rPr>
        <w:t>一</w:t>
      </w:r>
      <w:r>
        <w:rPr>
          <w:rFonts w:hint="eastAsia" w:ascii="宋体" w:hAnsi="宋体" w:eastAsia="宋体" w:cs="宋体"/>
          <w:b/>
          <w:bCs w:val="0"/>
          <w:kern w:val="2"/>
          <w:sz w:val="32"/>
          <w:szCs w:val="32"/>
          <w:highlight w:val="none"/>
          <w:lang w:val="en-US" w:eastAsia="zh-CN" w:bidi="ar-SA"/>
        </w:rPr>
        <w:t>、</w:t>
      </w:r>
      <w:r>
        <w:rPr>
          <w:rFonts w:hint="eastAsia" w:ascii="宋体" w:hAnsi="宋体" w:cs="宋体"/>
          <w:b/>
          <w:bCs w:val="0"/>
          <w:kern w:val="2"/>
          <w:sz w:val="32"/>
          <w:szCs w:val="32"/>
          <w:highlight w:val="none"/>
          <w:lang w:val="en-US" w:eastAsia="zh-CN" w:bidi="ar-SA"/>
        </w:rPr>
        <w:t>保证金证明材料</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（采购单位名称）</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eastAsia="zh-CN"/>
        </w:rPr>
        <w:t>磋商响应人</w:t>
      </w:r>
      <w:r>
        <w:rPr>
          <w:rFonts w:hint="eastAsia" w:ascii="宋体" w:hAnsi="宋体" w:eastAsia="宋体" w:cs="宋体"/>
          <w:color w:val="000000"/>
          <w:sz w:val="24"/>
          <w:szCs w:val="24"/>
          <w:highlight w:val="none"/>
          <w:u w:val="single"/>
        </w:rPr>
        <w:t xml:space="preserve">全称)   </w:t>
      </w:r>
      <w:r>
        <w:rPr>
          <w:rFonts w:hint="eastAsia" w:ascii="宋体" w:hAnsi="宋体" w:eastAsia="宋体" w:cs="宋体"/>
          <w:color w:val="000000"/>
          <w:sz w:val="24"/>
          <w:szCs w:val="24"/>
          <w:highlight w:val="none"/>
        </w:rPr>
        <w:t>参加贵方组织的</w:t>
      </w:r>
      <w:r>
        <w:rPr>
          <w:rFonts w:hint="eastAsia" w:ascii="宋体" w:hAnsi="宋体" w:eastAsia="宋体" w:cs="宋体"/>
          <w:color w:val="000000"/>
          <w:sz w:val="24"/>
          <w:szCs w:val="24"/>
          <w:highlight w:val="none"/>
          <w:u w:val="single"/>
        </w:rPr>
        <w:t>(项目编号/项目名称)</w:t>
      </w:r>
      <w:r>
        <w:rPr>
          <w:rFonts w:hint="eastAsia" w:ascii="宋体" w:hAnsi="宋体" w:eastAsia="宋体" w:cs="宋体"/>
          <w:color w:val="000000"/>
          <w:sz w:val="24"/>
          <w:szCs w:val="24"/>
          <w:highlight w:val="none"/>
        </w:rPr>
        <w:t>项目采购活动。按</w:t>
      </w:r>
      <w:r>
        <w:rPr>
          <w:rFonts w:hint="eastAsia" w:ascii="宋体" w:hAnsi="宋体" w:eastAsia="宋体" w:cs="宋体"/>
          <w:color w:val="000000"/>
          <w:sz w:val="24"/>
          <w:szCs w:val="24"/>
          <w:highlight w:val="none"/>
          <w:lang w:eastAsia="zh-CN"/>
        </w:rPr>
        <w:t>采购文件</w:t>
      </w:r>
      <w:r>
        <w:rPr>
          <w:rFonts w:hint="eastAsia" w:ascii="宋体" w:hAnsi="宋体" w:eastAsia="宋体" w:cs="宋体"/>
          <w:color w:val="000000"/>
          <w:sz w:val="24"/>
          <w:szCs w:val="24"/>
          <w:highlight w:val="none"/>
        </w:rPr>
        <w:t>的规定，已递交人民币</w:t>
      </w:r>
      <w:r>
        <w:rPr>
          <w:rFonts w:hint="eastAsia" w:ascii="宋体" w:hAnsi="宋体" w:eastAsia="宋体" w:cs="宋体"/>
          <w:color w:val="000000"/>
          <w:sz w:val="24"/>
          <w:szCs w:val="24"/>
          <w:highlight w:val="none"/>
          <w:u w:val="single"/>
        </w:rPr>
        <w:t xml:space="preserve">（大写）  　　  </w:t>
      </w:r>
      <w:r>
        <w:rPr>
          <w:rFonts w:hint="eastAsia" w:ascii="宋体" w:hAnsi="宋体" w:eastAsia="宋体" w:cs="宋体"/>
          <w:color w:val="000000"/>
          <w:sz w:val="24"/>
          <w:szCs w:val="24"/>
          <w:highlight w:val="none"/>
        </w:rPr>
        <w:t>元的投标保证金。</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磋商响应人</w:t>
      </w:r>
      <w:r>
        <w:rPr>
          <w:rFonts w:hint="eastAsia" w:ascii="宋体" w:hAnsi="宋体" w:eastAsia="宋体" w:cs="宋体"/>
          <w:color w:val="000000"/>
          <w:sz w:val="24"/>
          <w:szCs w:val="24"/>
          <w:highlight w:val="none"/>
        </w:rPr>
        <w:t>名称：</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磋商响应人</w:t>
      </w:r>
      <w:r>
        <w:rPr>
          <w:rFonts w:hint="eastAsia" w:ascii="宋体" w:hAnsi="宋体" w:eastAsia="宋体" w:cs="宋体"/>
          <w:color w:val="000000"/>
          <w:sz w:val="24"/>
          <w:szCs w:val="24"/>
          <w:highlight w:val="none"/>
        </w:rPr>
        <w:t>开户银行：</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lang w:eastAsia="zh-CN"/>
        </w:rPr>
        <w:t>磋商响应人</w:t>
      </w:r>
      <w:r>
        <w:rPr>
          <w:rFonts w:hint="eastAsia" w:ascii="宋体" w:hAnsi="宋体" w:eastAsia="宋体" w:cs="宋体"/>
          <w:color w:val="000000"/>
          <w:sz w:val="24"/>
          <w:szCs w:val="24"/>
          <w:highlight w:val="none"/>
        </w:rPr>
        <w:t>银行帐号：</w:t>
      </w:r>
      <w:r>
        <w:rPr>
          <w:rFonts w:hint="eastAsia" w:ascii="宋体" w:hAnsi="宋体" w:eastAsia="宋体" w:cs="宋体"/>
          <w:color w:val="000000"/>
          <w:sz w:val="24"/>
          <w:szCs w:val="24"/>
          <w:highlight w:val="none"/>
          <w:u w:val="single"/>
        </w:rPr>
        <w:t xml:space="preserve">                 </w:t>
      </w:r>
    </w:p>
    <w:p>
      <w:pPr>
        <w:keepNext w:val="0"/>
        <w:keepLines w:val="0"/>
        <w:pageBreakBefore w:val="0"/>
        <w:widowControl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highlight w:val="none"/>
          <w:lang w:eastAsia="zh-CN"/>
        </w:rPr>
        <w:t>磋商响应人</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u w:val="single"/>
        </w:rPr>
        <w:t xml:space="preserve">(公章) </w:t>
      </w:r>
    </w:p>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法定代表人或法定代表人授权代表：</w:t>
      </w:r>
      <w:r>
        <w:rPr>
          <w:rFonts w:hint="eastAsia" w:ascii="宋体" w:hAnsi="宋体" w:eastAsia="宋体" w:cs="宋体"/>
          <w:color w:val="000000"/>
          <w:sz w:val="24"/>
          <w:szCs w:val="24"/>
          <w:highlight w:val="none"/>
          <w:u w:val="single"/>
        </w:rPr>
        <w:t>（签字</w:t>
      </w:r>
      <w:r>
        <w:rPr>
          <w:rFonts w:hint="eastAsia" w:ascii="宋体" w:hAnsi="宋体" w:eastAsia="宋体" w:cs="宋体"/>
          <w:color w:val="000000"/>
          <w:sz w:val="24"/>
          <w:szCs w:val="24"/>
          <w:highlight w:val="none"/>
          <w:u w:val="single"/>
          <w:lang w:val="en-US" w:eastAsia="zh-CN"/>
        </w:rPr>
        <w:t>或</w:t>
      </w:r>
      <w:r>
        <w:rPr>
          <w:rFonts w:hint="eastAsia" w:ascii="宋体" w:hAnsi="宋体" w:eastAsia="宋体" w:cs="宋体"/>
          <w:color w:val="000000"/>
          <w:sz w:val="24"/>
          <w:szCs w:val="24"/>
          <w:highlight w:val="none"/>
          <w:u w:val="single"/>
        </w:rPr>
        <w:t>盖章）</w:t>
      </w:r>
    </w:p>
    <w:p>
      <w:pPr>
        <w:keepNext w:val="0"/>
        <w:keepLines w:val="0"/>
        <w:pageBreakBefore w:val="0"/>
        <w:widowControl w:val="0"/>
        <w:kinsoku/>
        <w:wordWrap/>
        <w:overflowPunct/>
        <w:topLinePunct w:val="0"/>
        <w:bidi w:val="0"/>
        <w:adjustRightInd/>
        <w:snapToGrid/>
        <w:spacing w:line="360" w:lineRule="auto"/>
        <w:jc w:val="right"/>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86" w:type="dxa"/>
            <w:noWrap w:val="0"/>
            <w:vAlign w:val="top"/>
          </w:tcPr>
          <w:p>
            <w:pPr>
              <w:keepNext w:val="0"/>
              <w:keepLines w:val="0"/>
              <w:pageBreakBefore w:val="0"/>
              <w:widowControl w:val="0"/>
              <w:kinsoku/>
              <w:wordWrap/>
              <w:overflowPunct/>
              <w:topLinePunct w:val="0"/>
              <w:bidi w:val="0"/>
              <w:adjustRightInd/>
              <w:snapToGrid/>
              <w:spacing w:line="360" w:lineRule="auto"/>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rPr>
              <w:t xml:space="preserve"> 票 据 复 印 件</w:t>
            </w:r>
            <w:r>
              <w:rPr>
                <w:rFonts w:hint="eastAsia" w:ascii="宋体" w:hAnsi="宋体" w:eastAsia="宋体" w:cs="宋体"/>
                <w:color w:val="000000"/>
                <w:sz w:val="24"/>
                <w:szCs w:val="24"/>
              </w:rPr>
              <w:t>（清晰复印件）</w:t>
            </w:r>
          </w:p>
        </w:tc>
      </w:tr>
    </w:tbl>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注：请</w:t>
      </w:r>
      <w:r>
        <w:rPr>
          <w:rFonts w:hint="eastAsia" w:ascii="宋体" w:hAnsi="宋体" w:eastAsia="宋体" w:cs="宋体"/>
          <w:color w:val="000000"/>
          <w:sz w:val="24"/>
          <w:szCs w:val="24"/>
          <w:highlight w:val="none"/>
          <w:lang w:eastAsia="zh-CN"/>
        </w:rPr>
        <w:t>投标企业</w:t>
      </w:r>
      <w:r>
        <w:rPr>
          <w:rFonts w:hint="eastAsia" w:ascii="宋体" w:hAnsi="宋体" w:eastAsia="宋体" w:cs="宋体"/>
          <w:color w:val="000000"/>
          <w:sz w:val="24"/>
          <w:szCs w:val="24"/>
          <w:highlight w:val="none"/>
        </w:rPr>
        <w:t>认真填写银行信息，并要求与银行凭证的相关信息一致。</w:t>
      </w: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adjustRightInd w:val="0"/>
        <w:snapToGrid w:val="0"/>
        <w:spacing w:line="480" w:lineRule="atLeast"/>
        <w:jc w:val="center"/>
        <w:rPr>
          <w:rFonts w:hint="eastAsia" w:ascii="宋体" w:hAnsi="宋体" w:eastAsia="宋体" w:cs="宋体"/>
          <w:b/>
          <w:color w:val="000000"/>
          <w:spacing w:val="40"/>
          <w:sz w:val="32"/>
          <w:szCs w:val="32"/>
          <w:highlight w:val="none"/>
        </w:rPr>
      </w:pPr>
    </w:p>
    <w:p>
      <w:pPr>
        <w:pStyle w:val="19"/>
        <w:rPr>
          <w:rFonts w:hint="eastAsia" w:ascii="宋体" w:hAnsi="宋体" w:eastAsia="宋体" w:cs="宋体"/>
          <w:b/>
          <w:color w:val="000000"/>
          <w:spacing w:val="40"/>
          <w:sz w:val="32"/>
          <w:szCs w:val="32"/>
          <w:highlight w:val="none"/>
        </w:rPr>
      </w:pPr>
    </w:p>
    <w:p>
      <w:pPr>
        <w:spacing w:line="400" w:lineRule="exact"/>
        <w:rPr>
          <w:rFonts w:hint="eastAsia" w:ascii="宋体" w:hAnsi="宋体" w:eastAsia="宋体" w:cs="宋体"/>
          <w:szCs w:val="21"/>
          <w:highlight w:val="none"/>
        </w:rPr>
      </w:pPr>
    </w:p>
    <w:p>
      <w:pPr>
        <w:numPr>
          <w:ilvl w:val="0"/>
          <w:numId w:val="0"/>
        </w:numPr>
        <w:spacing w:line="760" w:lineRule="exact"/>
        <w:ind w:leftChars="0"/>
        <w:jc w:val="center"/>
        <w:rPr>
          <w:rFonts w:hint="eastAsia" w:ascii="宋体" w:hAnsi="宋体" w:eastAsia="宋体" w:cs="宋体"/>
          <w:b/>
          <w:bCs w:val="0"/>
          <w:kern w:val="2"/>
          <w:sz w:val="32"/>
          <w:szCs w:val="32"/>
          <w:highlight w:val="none"/>
          <w:lang w:val="en-US" w:eastAsia="zh-CN" w:bidi="ar-SA"/>
        </w:rPr>
      </w:pPr>
      <w:r>
        <w:rPr>
          <w:rFonts w:hint="eastAsia" w:ascii="宋体" w:hAnsi="宋体" w:cs="宋体"/>
          <w:b/>
          <w:bCs w:val="0"/>
          <w:kern w:val="2"/>
          <w:sz w:val="32"/>
          <w:szCs w:val="32"/>
          <w:highlight w:val="none"/>
          <w:lang w:val="en-US" w:eastAsia="zh-CN" w:bidi="ar-SA"/>
        </w:rPr>
        <w:t>十二、</w:t>
      </w:r>
      <w:r>
        <w:rPr>
          <w:rFonts w:hint="eastAsia" w:ascii="宋体" w:hAnsi="宋体" w:eastAsia="宋体" w:cs="宋体"/>
          <w:b/>
          <w:bCs w:val="0"/>
          <w:kern w:val="2"/>
          <w:sz w:val="32"/>
          <w:szCs w:val="32"/>
          <w:highlight w:val="none"/>
          <w:lang w:val="en-US" w:eastAsia="zh-CN" w:bidi="ar-SA"/>
        </w:rPr>
        <w:t>承诺书</w:t>
      </w:r>
    </w:p>
    <w:p>
      <w:pPr>
        <w:pStyle w:val="2"/>
        <w:numPr>
          <w:ilvl w:val="0"/>
          <w:numId w:val="0"/>
        </w:numPr>
        <w:rPr>
          <w:rFonts w:hint="default"/>
          <w:lang w:val="en-US" w:eastAsia="zh-CN"/>
        </w:rPr>
      </w:pPr>
    </w:p>
    <w:p>
      <w:pPr>
        <w:rPr>
          <w:rFonts w:hint="default"/>
          <w:lang w:val="en-US" w:eastAsia="zh-CN"/>
        </w:rPr>
      </w:pPr>
    </w:p>
    <w:p>
      <w:pPr>
        <w:pStyle w:val="19"/>
        <w:numPr>
          <w:ilvl w:val="0"/>
          <w:numId w:val="0"/>
        </w:numPr>
        <w:ind w:left="840" w:leftChars="0"/>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cs="Times New Roman"/>
          <w:b/>
          <w:bCs/>
          <w:kern w:val="2"/>
          <w:sz w:val="32"/>
          <w:szCs w:val="32"/>
          <w:lang w:val="en-US" w:eastAsia="zh-CN" w:bidi="ar-SA"/>
        </w:rPr>
        <w:t>（一）</w:t>
      </w:r>
      <w:r>
        <w:rPr>
          <w:rFonts w:hint="eastAsia" w:ascii="Times New Roman" w:hAnsi="Times New Roman" w:eastAsia="宋体" w:cs="Times New Roman"/>
          <w:b/>
          <w:bCs/>
          <w:kern w:val="2"/>
          <w:sz w:val="32"/>
          <w:szCs w:val="32"/>
          <w:lang w:val="en-US" w:eastAsia="zh-CN" w:bidi="ar-SA"/>
        </w:rPr>
        <w:t>在经营活动中没有重大违法记录的书面声明</w:t>
      </w:r>
    </w:p>
    <w:p>
      <w:pPr>
        <w:pStyle w:val="8"/>
        <w:widowControl w:val="0"/>
        <w:numPr>
          <w:ilvl w:val="0"/>
          <w:numId w:val="0"/>
        </w:numPr>
        <w:jc w:val="both"/>
        <w:rPr>
          <w:rFonts w:hint="eastAsia"/>
          <w:lang w:val="en-US" w:eastAsia="zh-CN"/>
        </w:rPr>
      </w:pPr>
    </w:p>
    <w:p>
      <w:pPr>
        <w:rPr>
          <w:rFonts w:hint="eastAsia"/>
          <w:lang w:val="en-US" w:eastAsia="zh-CN"/>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我方在参加 </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（项目名称）政府采购活动前3年内，我方被公开披露或查处的违法违规行为有：</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，但在经营活动中没有重大违法记录（重大违法记录指</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因违法经营受到刑事处罚或者责令停产停业、吊销许可证或者执照、较大数额罚款等行政处罚）。</w:t>
      </w:r>
    </w:p>
    <w:p>
      <w:pPr>
        <w:rPr>
          <w:rFonts w:hint="eastAsia" w:ascii="微软雅黑" w:hAnsi="微软雅黑" w:eastAsia="微软雅黑" w:cs="微软雅黑"/>
          <w:sz w:val="24"/>
          <w:szCs w:val="24"/>
        </w:rPr>
      </w:pPr>
    </w:p>
    <w:p>
      <w:pPr>
        <w:spacing w:line="440" w:lineRule="exact"/>
        <w:ind w:firstLine="560" w:firstLineChars="200"/>
        <w:rPr>
          <w:rFonts w:hint="eastAsia" w:ascii="宋体" w:hAnsi="宋体" w:eastAsia="宋体" w:cs="宋体"/>
          <w:color w:val="auto"/>
          <w:sz w:val="28"/>
          <w:szCs w:val="28"/>
          <w:highlight w:val="none"/>
        </w:rPr>
      </w:pPr>
    </w:p>
    <w:p>
      <w:pPr>
        <w:spacing w:line="480" w:lineRule="auto"/>
        <w:rPr>
          <w:bCs/>
          <w:sz w:val="24"/>
        </w:rPr>
      </w:pPr>
      <w:r>
        <w:rPr>
          <w:rFonts w:hint="eastAsia"/>
          <w:bCs/>
          <w:sz w:val="24"/>
        </w:rPr>
        <w:t>供应商</w:t>
      </w:r>
      <w:r>
        <w:rPr>
          <w:bCs/>
          <w:sz w:val="24"/>
        </w:rPr>
        <w:t>全称（盖公章）：</w:t>
      </w:r>
    </w:p>
    <w:p>
      <w:pPr>
        <w:spacing w:line="480" w:lineRule="auto"/>
        <w:rPr>
          <w:bCs/>
          <w:sz w:val="24"/>
        </w:rPr>
      </w:pPr>
      <w:r>
        <w:rPr>
          <w:bCs/>
          <w:sz w:val="24"/>
        </w:rPr>
        <w:t>法定代表人或授权代表（签名或盖章）：</w:t>
      </w:r>
    </w:p>
    <w:p>
      <w:pPr>
        <w:spacing w:line="480" w:lineRule="auto"/>
        <w:rPr>
          <w:rFonts w:hint="eastAsia" w:ascii="宋体" w:hAnsi="宋体" w:eastAsia="宋体" w:cs="宋体"/>
          <w:color w:val="auto"/>
          <w:sz w:val="28"/>
          <w:szCs w:val="28"/>
          <w:highlight w:val="none"/>
        </w:rPr>
      </w:pPr>
      <w:r>
        <w:rPr>
          <w:bCs/>
          <w:sz w:val="24"/>
        </w:rPr>
        <w:t>日    期：     年   月   日</w:t>
      </w:r>
    </w:p>
    <w:p>
      <w:pPr>
        <w:spacing w:line="440" w:lineRule="exact"/>
        <w:ind w:firstLine="560" w:firstLineChars="200"/>
        <w:rPr>
          <w:rFonts w:hint="eastAsia" w:ascii="宋体" w:hAnsi="宋体" w:eastAsia="宋体" w:cs="宋体"/>
          <w:color w:val="auto"/>
          <w:sz w:val="28"/>
          <w:szCs w:val="28"/>
          <w:highlight w:val="none"/>
        </w:rPr>
      </w:pPr>
    </w:p>
    <w:p>
      <w:pPr>
        <w:spacing w:line="440" w:lineRule="exact"/>
        <w:rPr>
          <w:rFonts w:hint="eastAsia" w:ascii="宋体" w:hAnsi="宋体" w:eastAsia="宋体" w:cs="宋体"/>
          <w:color w:val="auto"/>
          <w:sz w:val="28"/>
          <w:szCs w:val="28"/>
          <w:highlight w:val="none"/>
        </w:rPr>
      </w:pPr>
    </w:p>
    <w:p>
      <w:pPr>
        <w:rPr>
          <w:rFonts w:hint="eastAsia"/>
          <w:sz w:val="28"/>
          <w:szCs w:val="36"/>
          <w:lang w:eastAsia="zh-CN"/>
        </w:rPr>
      </w:pPr>
      <w:r>
        <w:rPr>
          <w:rFonts w:hint="eastAsia"/>
          <w:sz w:val="28"/>
          <w:szCs w:val="36"/>
        </w:rPr>
        <w:t>备注：</w:t>
      </w:r>
      <w:r>
        <w:rPr>
          <w:rFonts w:hint="eastAsia"/>
          <w:sz w:val="28"/>
          <w:szCs w:val="36"/>
          <w:lang w:eastAsia="zh-CN"/>
        </w:rPr>
        <w:t>供应商</w:t>
      </w:r>
      <w:r>
        <w:rPr>
          <w:rFonts w:hint="eastAsia"/>
          <w:sz w:val="28"/>
          <w:szCs w:val="36"/>
        </w:rPr>
        <w:t>没有被公开披露或查处违法违规行为的，注明“无”即可。</w:t>
      </w:r>
    </w:p>
    <w:p>
      <w:pPr>
        <w:widowControl/>
        <w:snapToGrid w:val="0"/>
        <w:spacing w:before="100" w:beforeLines="0" w:beforeAutospacing="1" w:after="100" w:afterLines="0" w:afterAutospacing="1"/>
        <w:jc w:val="center"/>
        <w:rPr>
          <w:rFonts w:hint="eastAsia" w:ascii="宋体" w:hAnsi="宋体" w:eastAsia="宋体" w:cs="宋体"/>
          <w:b/>
          <w:bCs/>
          <w:sz w:val="32"/>
          <w:szCs w:val="32"/>
          <w:highlight w:val="none"/>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highlight w:val="none"/>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highlight w:val="none"/>
          <w:lang w:val="en-US" w:eastAsia="zh-CN"/>
        </w:rPr>
      </w:pPr>
    </w:p>
    <w:p>
      <w:pPr>
        <w:widowControl/>
        <w:snapToGrid w:val="0"/>
        <w:spacing w:before="100" w:beforeLines="0" w:beforeAutospacing="1" w:after="100" w:afterLines="0" w:afterAutospacing="1"/>
        <w:jc w:val="center"/>
        <w:rPr>
          <w:rFonts w:hint="eastAsia" w:ascii="宋体" w:hAnsi="宋体" w:eastAsia="宋体" w:cs="宋体"/>
          <w:b/>
          <w:bCs/>
          <w:sz w:val="32"/>
          <w:szCs w:val="32"/>
          <w:highlight w:val="none"/>
          <w:lang w:val="en-US" w:eastAsia="zh-CN"/>
        </w:rPr>
      </w:pPr>
    </w:p>
    <w:p>
      <w:pPr>
        <w:pStyle w:val="5"/>
        <w:outlineLvl w:val="9"/>
        <w:rPr>
          <w:rFonts w:hint="eastAsia"/>
          <w:lang w:val="en-US" w:eastAsia="zh-CN"/>
        </w:rPr>
      </w:pPr>
    </w:p>
    <w:p>
      <w:pPr>
        <w:pStyle w:val="19"/>
        <w:numPr>
          <w:ilvl w:val="0"/>
          <w:numId w:val="0"/>
        </w:numPr>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cs="Times New Roman"/>
          <w:b/>
          <w:bCs/>
          <w:kern w:val="2"/>
          <w:sz w:val="32"/>
          <w:szCs w:val="32"/>
          <w:lang w:val="en-US" w:eastAsia="zh-CN" w:bidi="ar-SA"/>
        </w:rPr>
        <w:t>（二）</w:t>
      </w:r>
      <w:r>
        <w:rPr>
          <w:rFonts w:hint="eastAsia" w:ascii="Times New Roman" w:hAnsi="Times New Roman" w:eastAsia="宋体" w:cs="Times New Roman"/>
          <w:b/>
          <w:bCs/>
          <w:kern w:val="2"/>
          <w:sz w:val="32"/>
          <w:szCs w:val="32"/>
          <w:lang w:val="en-US" w:eastAsia="zh-CN" w:bidi="ar-SA"/>
        </w:rPr>
        <w:t>政府采购诚信承诺书</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w:t>
      </w:r>
      <w:r>
        <w:rPr>
          <w:rFonts w:hint="eastAsia" w:ascii="微软雅黑" w:hAnsi="微软雅黑" w:cs="微软雅黑"/>
          <w:sz w:val="24"/>
          <w:szCs w:val="24"/>
          <w:u w:val="single"/>
          <w:lang w:val="en-US" w:eastAsia="zh-CN"/>
        </w:rPr>
        <w:t xml:space="preserve">        </w:t>
      </w:r>
      <w:r>
        <w:rPr>
          <w:rFonts w:hint="eastAsia" w:ascii="微软雅黑" w:hAnsi="微软雅黑" w:eastAsia="微软雅黑" w:cs="微软雅黑"/>
          <w:sz w:val="24"/>
          <w:szCs w:val="24"/>
        </w:rPr>
        <w:t>（采购人） ：</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我公司</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供应商</w:t>
      </w:r>
      <w:r>
        <w:rPr>
          <w:rFonts w:hint="eastAsia" w:ascii="微软雅黑" w:hAnsi="微软雅黑" w:eastAsia="微软雅黑" w:cs="微软雅黑"/>
          <w:sz w:val="24"/>
          <w:szCs w:val="24"/>
        </w:rPr>
        <w:t>名称）已详细阅读了</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项目（项目编号：</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）招标文件，自愿参加本次投标，现就有关事项做出郑重承诺如下：</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一、诚信投标，材料真实。我公司保证所提供的全部材料、投标内容均真实、合法、有效，保证不出借或者借用其他企业资质，不以他人名义投标，不弄虚作假；</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二、遵纪守法，公平竞争。不与其他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相互串通、哄抬价格，不排挤其他</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，不损害采购人的合法权益；不向评标委员会、采购人提供利益以牟取中标。</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keepNext w:val="0"/>
        <w:keepLines w:val="0"/>
        <w:pageBreakBefore w:val="0"/>
        <w:widowControl w:val="0"/>
        <w:kinsoku/>
        <w:wordWrap/>
        <w:overflowPunct/>
        <w:topLinePunct w:val="0"/>
        <w:autoSpaceDE w:val="0"/>
        <w:autoSpaceDN w:val="0"/>
        <w:bidi w:val="0"/>
        <w:adjustRightInd/>
        <w:snapToGrid/>
        <w:spacing w:line="360" w:lineRule="auto"/>
        <w:ind w:left="482" w:hanging="482"/>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rPr>
          <w:rFonts w:hint="eastAsia" w:ascii="宋体" w:hAnsi="宋体" w:eastAsia="宋体" w:cs="宋体"/>
          <w:color w:val="auto"/>
          <w:kern w:val="1"/>
          <w:sz w:val="28"/>
          <w:szCs w:val="28"/>
          <w:highlight w:val="none"/>
        </w:rPr>
      </w:pPr>
    </w:p>
    <w:p>
      <w:pPr>
        <w:spacing w:line="480" w:lineRule="auto"/>
        <w:rPr>
          <w:bCs/>
          <w:sz w:val="24"/>
        </w:rPr>
      </w:pPr>
      <w:r>
        <w:rPr>
          <w:rFonts w:hint="eastAsia"/>
          <w:bCs/>
          <w:sz w:val="24"/>
        </w:rPr>
        <w:t>供应商</w:t>
      </w:r>
      <w:r>
        <w:rPr>
          <w:bCs/>
          <w:sz w:val="24"/>
        </w:rPr>
        <w:t>全称（盖公章）：</w:t>
      </w:r>
    </w:p>
    <w:p>
      <w:pPr>
        <w:spacing w:line="480" w:lineRule="auto"/>
        <w:rPr>
          <w:bCs/>
          <w:sz w:val="24"/>
        </w:rPr>
      </w:pPr>
      <w:r>
        <w:rPr>
          <w:bCs/>
          <w:sz w:val="24"/>
        </w:rPr>
        <w:t>法定代表人或授权代表（签名或盖章）：</w:t>
      </w:r>
    </w:p>
    <w:p>
      <w:pPr>
        <w:spacing w:line="480" w:lineRule="auto"/>
        <w:rPr>
          <w:bCs/>
          <w:sz w:val="24"/>
        </w:rPr>
      </w:pPr>
      <w:r>
        <w:rPr>
          <w:bCs/>
          <w:sz w:val="24"/>
        </w:rPr>
        <w:t>日    期：     年   月   日</w:t>
      </w:r>
    </w:p>
    <w:p>
      <w:pPr>
        <w:pStyle w:val="2"/>
        <w:rPr>
          <w:bCs/>
          <w:sz w:val="24"/>
        </w:rPr>
      </w:pPr>
    </w:p>
    <w:p>
      <w:pPr>
        <w:rPr>
          <w:bCs/>
          <w:sz w:val="24"/>
        </w:rPr>
      </w:pPr>
    </w:p>
    <w:p>
      <w:pPr>
        <w:pStyle w:val="2"/>
        <w:rPr>
          <w:bCs/>
          <w:sz w:val="24"/>
        </w:rPr>
      </w:pPr>
    </w:p>
    <w:p>
      <w:pPr>
        <w:rPr>
          <w:bCs/>
          <w:sz w:val="24"/>
        </w:rPr>
      </w:pPr>
    </w:p>
    <w:p>
      <w:pPr>
        <w:pStyle w:val="2"/>
        <w:rPr>
          <w:bCs/>
          <w:sz w:val="24"/>
        </w:rPr>
      </w:pPr>
    </w:p>
    <w:p/>
    <w:p>
      <w:pPr>
        <w:pStyle w:val="2"/>
        <w:rPr>
          <w:rFonts w:hint="eastAsia"/>
        </w:rPr>
      </w:pPr>
    </w:p>
    <w:p>
      <w:pPr>
        <w:pStyle w:val="19"/>
        <w:numPr>
          <w:ilvl w:val="0"/>
          <w:numId w:val="0"/>
        </w:numPr>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cs="Times New Roman"/>
          <w:b/>
          <w:bCs/>
          <w:kern w:val="2"/>
          <w:sz w:val="32"/>
          <w:szCs w:val="32"/>
          <w:lang w:val="en-US" w:eastAsia="zh-CN" w:bidi="ar-SA"/>
        </w:rPr>
        <w:t>（三）</w:t>
      </w:r>
      <w:r>
        <w:rPr>
          <w:rFonts w:hint="eastAsia" w:ascii="Times New Roman" w:hAnsi="Times New Roman" w:eastAsia="宋体" w:cs="Times New Roman"/>
          <w:b/>
          <w:bCs/>
          <w:kern w:val="2"/>
          <w:sz w:val="32"/>
          <w:szCs w:val="32"/>
          <w:lang w:val="en-US" w:eastAsia="zh-CN" w:bidi="ar-SA"/>
        </w:rPr>
        <w:t>关于对本投标文件（响应文件）中资料真实性的承诺</w:t>
      </w:r>
    </w:p>
    <w:p>
      <w:pPr>
        <w:pStyle w:val="19"/>
        <w:numPr>
          <w:ilvl w:val="0"/>
          <w:numId w:val="0"/>
        </w:numPr>
        <w:rPr>
          <w:rFonts w:hint="eastAsia"/>
          <w:lang w:val="en-US" w:eastAsia="zh-CN"/>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致</w:t>
      </w:r>
      <w:r>
        <w:rPr>
          <w:rFonts w:hint="eastAsia" w:ascii="微软雅黑" w:hAnsi="微软雅黑" w:eastAsia="微软雅黑" w:cs="微软雅黑"/>
          <w:sz w:val="24"/>
          <w:szCs w:val="24"/>
        </w:rPr>
        <w:t>：</w:t>
      </w:r>
      <w:r>
        <w:rPr>
          <w:rFonts w:hint="eastAsia" w:ascii="微软雅黑" w:hAnsi="微软雅黑" w:cs="微软雅黑"/>
          <w:sz w:val="24"/>
          <w:szCs w:val="24"/>
          <w:u w:val="single"/>
          <w:lang w:val="en-US" w:eastAsia="zh-CN"/>
        </w:rPr>
        <w:t xml:space="preserve">              </w:t>
      </w:r>
      <w:r>
        <w:rPr>
          <w:rFonts w:hint="eastAsia" w:ascii="微软雅黑" w:hAnsi="微软雅黑" w:eastAsia="微软雅黑" w:cs="微软雅黑"/>
          <w:sz w:val="24"/>
          <w:szCs w:val="24"/>
        </w:rPr>
        <w:t xml:space="preserve">（项目、包段名称）评标委员会  </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根据《中华人民共和国政府采购法》、《中华人民共和国政府采购法实施条例》等有关法律、法规的规定和</w:t>
      </w:r>
      <w:r>
        <w:rPr>
          <w:rFonts w:hint="eastAsia" w:ascii="微软雅黑" w:hAnsi="微软雅黑" w:cs="微软雅黑"/>
          <w:sz w:val="24"/>
          <w:szCs w:val="24"/>
          <w:u w:val="single"/>
          <w:lang w:val="en-US" w:eastAsia="zh-CN"/>
        </w:rPr>
        <w:t xml:space="preserve">        </w:t>
      </w:r>
      <w:r>
        <w:rPr>
          <w:rFonts w:hint="eastAsia" w:ascii="微软雅黑" w:hAnsi="微软雅黑" w:eastAsia="微软雅黑" w:cs="微软雅黑"/>
          <w:sz w:val="24"/>
          <w:szCs w:val="24"/>
          <w:u w:val="single"/>
        </w:rPr>
        <w:t>（项目、包段名称）    </w:t>
      </w:r>
      <w:r>
        <w:rPr>
          <w:rFonts w:hint="eastAsia" w:ascii="微软雅黑" w:hAnsi="微软雅黑" w:eastAsia="微软雅黑" w:cs="微软雅黑"/>
          <w:sz w:val="24"/>
          <w:szCs w:val="24"/>
        </w:rPr>
        <w:t>的招标文件的要求，我公司在</w:t>
      </w:r>
      <w:r>
        <w:rPr>
          <w:rFonts w:hint="eastAsia" w:ascii="微软雅黑" w:hAnsi="微软雅黑" w:eastAsia="微软雅黑" w:cs="微软雅黑"/>
          <w:sz w:val="24"/>
          <w:szCs w:val="24"/>
          <w:u w:val="single"/>
        </w:rPr>
        <w:t>   （项目、包段名称）  </w:t>
      </w:r>
      <w:r>
        <w:rPr>
          <w:rFonts w:hint="eastAsia" w:ascii="微软雅黑" w:hAnsi="微软雅黑" w:eastAsia="微软雅黑" w:cs="微软雅黑"/>
          <w:sz w:val="24"/>
          <w:szCs w:val="24"/>
        </w:rPr>
        <w:t> 投标文件（响应文件）中所提供资料真实性作如下承诺：</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我公司将严格按招标文件要求，在编制本投标文件（响应文件）时，对投标文件中所提供的资料全部真实和正确，并对提供的所有资料（资格、业绩、其他材料等）的真实性负责！ </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若</w:t>
      </w:r>
      <w:r>
        <w:rPr>
          <w:rFonts w:hint="eastAsia" w:ascii="微软雅黑" w:hAnsi="微软雅黑" w:eastAsia="微软雅黑" w:cs="微软雅黑"/>
          <w:sz w:val="24"/>
          <w:szCs w:val="24"/>
        </w:rPr>
        <w:t>提供的全部资料中存在不真实（伪造或租借等虚假资料）情形，将无条件接受任何处罚，自行承担由此引起的一切责任！</w:t>
      </w:r>
    </w:p>
    <w:p>
      <w:pPr>
        <w:ind w:firstLine="480" w:firstLineChars="200"/>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特此承诺</w:t>
      </w:r>
      <w:r>
        <w:rPr>
          <w:rFonts w:hint="eastAsia" w:ascii="微软雅黑" w:hAnsi="微软雅黑" w:eastAsia="微软雅黑" w:cs="微软雅黑"/>
          <w:sz w:val="24"/>
          <w:szCs w:val="24"/>
          <w:lang w:eastAsia="zh-CN"/>
        </w:rPr>
        <w:t>！</w:t>
      </w:r>
    </w:p>
    <w:p>
      <w:pPr>
        <w:spacing w:line="480" w:lineRule="auto"/>
        <w:rPr>
          <w:bCs/>
          <w:sz w:val="24"/>
        </w:rPr>
      </w:pPr>
      <w:r>
        <w:rPr>
          <w:rFonts w:hint="eastAsia" w:ascii="微软雅黑" w:hAnsi="微软雅黑" w:eastAsia="微软雅黑" w:cs="微软雅黑"/>
          <w:sz w:val="24"/>
          <w:szCs w:val="24"/>
        </w:rPr>
        <w:br w:type="textWrapping"/>
      </w:r>
      <w:r>
        <w:rPr>
          <w:rFonts w:hint="eastAsia"/>
          <w:bCs/>
          <w:sz w:val="24"/>
        </w:rPr>
        <w:t>供应商</w:t>
      </w:r>
      <w:r>
        <w:rPr>
          <w:bCs/>
          <w:sz w:val="24"/>
        </w:rPr>
        <w:t>全称（盖公章）：</w:t>
      </w:r>
    </w:p>
    <w:p>
      <w:pPr>
        <w:spacing w:line="480" w:lineRule="auto"/>
        <w:rPr>
          <w:bCs/>
          <w:sz w:val="24"/>
        </w:rPr>
      </w:pPr>
      <w:r>
        <w:rPr>
          <w:bCs/>
          <w:sz w:val="24"/>
        </w:rPr>
        <w:t>法定代表人或授权代表（签名或盖章）：</w:t>
      </w:r>
    </w:p>
    <w:p>
      <w:pPr>
        <w:spacing w:line="480" w:lineRule="auto"/>
        <w:rPr>
          <w:rFonts w:hint="eastAsia" w:ascii="宋体" w:hAnsi="宋体" w:eastAsia="宋体" w:cs="宋体"/>
          <w:color w:val="auto"/>
          <w:sz w:val="28"/>
          <w:szCs w:val="28"/>
          <w:highlight w:val="none"/>
        </w:rPr>
      </w:pPr>
      <w:r>
        <w:rPr>
          <w:bCs/>
          <w:sz w:val="24"/>
        </w:rPr>
        <w:t>日    期：     年   月   日</w:t>
      </w: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说明：投标供应商未提供此承诺的，内容应填写完整，否则其投标将被拒绝！</w:t>
      </w:r>
    </w:p>
    <w:p>
      <w:pPr>
        <w:pStyle w:val="5"/>
        <w:outlineLvl w:val="9"/>
        <w:rPr>
          <w:rFonts w:hint="eastAsia" w:ascii="微软雅黑" w:hAnsi="微软雅黑" w:eastAsia="微软雅黑" w:cs="微软雅黑"/>
          <w:sz w:val="24"/>
          <w:szCs w:val="24"/>
        </w:rPr>
      </w:pPr>
    </w:p>
    <w:p>
      <w:pPr>
        <w:rPr>
          <w:rFonts w:hint="eastAsia" w:ascii="微软雅黑" w:hAnsi="微软雅黑" w:eastAsia="微软雅黑" w:cs="微软雅黑"/>
          <w:sz w:val="24"/>
          <w:szCs w:val="24"/>
        </w:rPr>
      </w:pPr>
    </w:p>
    <w:p>
      <w:pPr>
        <w:pStyle w:val="5"/>
        <w:outlineLvl w:val="9"/>
        <w:rPr>
          <w:rFonts w:hint="eastAsia"/>
          <w:lang w:val="en-US" w:eastAsia="zh-CN"/>
        </w:rPr>
      </w:pPr>
    </w:p>
    <w:p>
      <w:pPr>
        <w:pStyle w:val="5"/>
        <w:outlineLvl w:val="9"/>
        <w:rPr>
          <w:rFonts w:hint="eastAsia"/>
          <w:lang w:val="en-US" w:eastAsia="zh-CN"/>
        </w:rPr>
      </w:pPr>
    </w:p>
    <w:p>
      <w:pPr>
        <w:rPr>
          <w:rFonts w:hint="eastAsia"/>
          <w:lang w:val="en-US" w:eastAsia="zh-CN"/>
        </w:rPr>
      </w:pPr>
    </w:p>
    <w:p>
      <w:pPr>
        <w:pStyle w:val="9"/>
        <w:numPr>
          <w:ilvl w:val="0"/>
          <w:numId w:val="0"/>
        </w:numPr>
        <w:ind w:firstLine="321" w:firstLineChars="100"/>
        <w:jc w:val="center"/>
        <w:rPr>
          <w:rFonts w:hint="default"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（四）同意招标文件条款声明</w:t>
      </w:r>
    </w:p>
    <w:p>
      <w:pPr>
        <w:pStyle w:val="12"/>
        <w:spacing w:line="400" w:lineRule="atLeast"/>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致:</w:t>
      </w:r>
      <w:r>
        <w:rPr>
          <w:rFonts w:hint="eastAsia" w:ascii="宋体" w:hAnsi="宋体" w:eastAsia="宋体" w:cs="宋体"/>
          <w:b/>
          <w:bCs/>
          <w:color w:val="auto"/>
          <w:sz w:val="24"/>
          <w:szCs w:val="24"/>
          <w:highlight w:val="none"/>
          <w:lang w:val="en-US" w:eastAsia="zh-CN"/>
        </w:rPr>
        <w:t>鼎建项目管理有限公司</w:t>
      </w:r>
    </w:p>
    <w:p>
      <w:pPr>
        <w:pStyle w:val="12"/>
        <w:spacing w:line="400" w:lineRule="atLeast"/>
        <w:rPr>
          <w:rFonts w:hint="eastAsia" w:ascii="宋体" w:hAnsi="宋体" w:eastAsia="宋体" w:cs="宋体"/>
          <w:color w:val="auto"/>
          <w:sz w:val="24"/>
          <w:szCs w:val="24"/>
          <w:highlight w:val="none"/>
        </w:rPr>
      </w:pPr>
    </w:p>
    <w:p>
      <w:pPr>
        <w:pStyle w:val="12"/>
        <w:spacing w:line="400" w:lineRule="atLeas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为响应你方组织的</w:t>
      </w:r>
      <w:r>
        <w:rPr>
          <w:rFonts w:hint="eastAsia" w:ascii="宋体" w:hAnsi="宋体" w:eastAsia="宋体" w:cs="宋体"/>
          <w:color w:val="auto"/>
          <w:kern w:val="28"/>
          <w:sz w:val="24"/>
          <w:szCs w:val="24"/>
          <w:highlight w:val="none"/>
          <w:u w:val="single"/>
        </w:rPr>
        <w:t>（项目名称）</w:t>
      </w:r>
      <w:r>
        <w:rPr>
          <w:rFonts w:hint="eastAsia" w:ascii="宋体" w:hAnsi="宋体" w:eastAsia="宋体" w:cs="宋体"/>
          <w:color w:val="auto"/>
          <w:sz w:val="24"/>
          <w:szCs w:val="24"/>
          <w:highlight w:val="none"/>
        </w:rPr>
        <w:t>的公开招标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我方在参与投标（报价）前已详细研究了采购文件的所有内容，包括修改文件（如果有的话）和所有已提供的参考资料以及有关附件，我方完全明白并认为此采购文件没有倾向性，也没有存在排斥潜在投标（报价）人的内容，我方同意采购文件的相关条款。</w:t>
      </w:r>
    </w:p>
    <w:p>
      <w:pPr>
        <w:pStyle w:val="12"/>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pPr>
        <w:pStyle w:val="12"/>
        <w:spacing w:line="400" w:lineRule="atLeast"/>
        <w:rPr>
          <w:rFonts w:hint="eastAsia" w:ascii="宋体" w:hAnsi="宋体" w:eastAsia="宋体" w:cs="宋体"/>
          <w:color w:val="auto"/>
          <w:sz w:val="24"/>
          <w:szCs w:val="24"/>
          <w:highlight w:val="none"/>
        </w:rPr>
      </w:pPr>
    </w:p>
    <w:p>
      <w:pPr>
        <w:pStyle w:val="12"/>
        <w:spacing w:line="400" w:lineRule="atLeast"/>
        <w:rPr>
          <w:rFonts w:hint="eastAsia" w:ascii="宋体" w:hAnsi="宋体" w:eastAsia="宋体" w:cs="宋体"/>
          <w:color w:val="auto"/>
          <w:sz w:val="24"/>
          <w:szCs w:val="24"/>
          <w:highlight w:val="none"/>
        </w:rPr>
      </w:pPr>
    </w:p>
    <w:p>
      <w:pPr>
        <w:pStyle w:val="12"/>
        <w:spacing w:line="400" w:lineRule="atLeast"/>
        <w:rPr>
          <w:rFonts w:hint="eastAsia" w:ascii="宋体" w:hAnsi="宋体" w:eastAsia="宋体" w:cs="宋体"/>
          <w:color w:val="auto"/>
          <w:sz w:val="24"/>
          <w:szCs w:val="24"/>
          <w:highlight w:val="none"/>
        </w:rPr>
      </w:pPr>
    </w:p>
    <w:p>
      <w:pPr>
        <w:pStyle w:val="12"/>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投标人（公章）：</w:t>
      </w:r>
      <w:r>
        <w:rPr>
          <w:rFonts w:hint="eastAsia" w:ascii="宋体" w:hAnsi="宋体" w:eastAsia="宋体" w:cs="宋体"/>
          <w:color w:val="auto"/>
          <w:sz w:val="24"/>
          <w:szCs w:val="24"/>
          <w:highlight w:val="none"/>
          <w:u w:val="single"/>
        </w:rPr>
        <w:t xml:space="preserve">                       .</w:t>
      </w:r>
    </w:p>
    <w:p>
      <w:pPr>
        <w:pStyle w:val="12"/>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 定 地 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2"/>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       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12"/>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w:t>
      </w:r>
      <w:r>
        <w:rPr>
          <w:rFonts w:hint="eastAsia" w:ascii="宋体" w:hAnsi="宋体" w:eastAsia="宋体" w:cs="宋体"/>
          <w:color w:val="auto"/>
          <w:sz w:val="24"/>
          <w:szCs w:val="24"/>
          <w:highlight w:val="none"/>
        </w:rPr>
        <w:t>（签</w:t>
      </w:r>
      <w:r>
        <w:rPr>
          <w:rFonts w:hint="eastAsia" w:ascii="宋体" w:hAnsi="宋体" w:eastAsia="宋体" w:cs="宋体"/>
          <w:color w:val="auto"/>
          <w:sz w:val="24"/>
          <w:szCs w:val="24"/>
          <w:highlight w:val="none"/>
          <w:lang w:val="en-US" w:eastAsia="zh-CN"/>
        </w:rPr>
        <w:t>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2"/>
        <w:spacing w:line="40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napToGrid w:val="0"/>
        <w:spacing w:line="400" w:lineRule="atLeast"/>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传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rPr>
          <w:rFonts w:hint="eastAsia"/>
          <w:lang w:val="en-US" w:eastAsia="zh-CN"/>
        </w:rPr>
      </w:pPr>
    </w:p>
    <w:p>
      <w:pPr>
        <w:pStyle w:val="5"/>
        <w:outlineLvl w:val="9"/>
        <w:rPr>
          <w:rFonts w:hint="eastAsia"/>
          <w:lang w:val="en-US" w:eastAsia="zh-CN"/>
        </w:rPr>
      </w:pPr>
    </w:p>
    <w:p>
      <w:pPr>
        <w:pStyle w:val="9"/>
        <w:numPr>
          <w:ilvl w:val="0"/>
          <w:numId w:val="0"/>
        </w:numPr>
        <w:ind w:firstLine="321" w:firstLineChars="100"/>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（五）履约期限承诺书</w:t>
      </w:r>
    </w:p>
    <w:p>
      <w:pPr>
        <w:pStyle w:val="9"/>
        <w:jc w:val="center"/>
        <w:rPr>
          <w:rFonts w:hint="eastAsia" w:ascii="仿宋" w:hAnsi="仿宋" w:eastAsia="仿宋" w:cs="仿宋"/>
          <w:color w:val="000000"/>
          <w:kern w:val="2"/>
          <w:sz w:val="28"/>
          <w:szCs w:val="28"/>
          <w:highlight w:val="none"/>
          <w:lang w:val="en-US" w:eastAsia="zh-CN" w:bidi="ar-SA"/>
        </w:rPr>
      </w:pPr>
      <w:r>
        <w:rPr>
          <w:rFonts w:hint="eastAsia" w:ascii="仿宋" w:hAnsi="仿宋" w:cs="仿宋"/>
          <w:color w:val="000000"/>
          <w:kern w:val="2"/>
          <w:sz w:val="28"/>
          <w:szCs w:val="28"/>
          <w:highlight w:val="none"/>
          <w:lang w:val="en-US" w:eastAsia="zh-CN" w:bidi="ar-SA"/>
        </w:rPr>
        <w:t>投标</w:t>
      </w:r>
      <w:r>
        <w:rPr>
          <w:rFonts w:hint="eastAsia" w:ascii="仿宋" w:hAnsi="仿宋" w:eastAsia="仿宋" w:cs="仿宋"/>
          <w:color w:val="000000"/>
          <w:kern w:val="2"/>
          <w:sz w:val="28"/>
          <w:szCs w:val="28"/>
          <w:highlight w:val="none"/>
          <w:lang w:val="en-US" w:eastAsia="zh-CN" w:bidi="ar-SA"/>
        </w:rPr>
        <w:t>响应人认为应附的其他资料（格式自拟）</w:t>
      </w:r>
    </w:p>
    <w:p>
      <w:pPr>
        <w:pStyle w:val="11"/>
        <w:spacing w:line="360" w:lineRule="auto"/>
        <w:ind w:left="46" w:leftChars="22"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特别提示：投标人可根据各自实际情况，提供有利于投标评审相关资质、各类证书、信誉等资料或</w:t>
      </w:r>
      <w:r>
        <w:rPr>
          <w:rFonts w:hint="eastAsia" w:ascii="仿宋" w:hAnsi="仿宋" w:eastAsia="仿宋" w:cs="仿宋"/>
          <w:color w:val="000000"/>
          <w:sz w:val="28"/>
          <w:szCs w:val="28"/>
          <w:highlight w:val="none"/>
          <w:lang w:val="en-US" w:eastAsia="zh-CN"/>
        </w:rPr>
        <w:t>关于采购内容的相关检测报告</w:t>
      </w:r>
      <w:r>
        <w:rPr>
          <w:rFonts w:hint="eastAsia" w:ascii="仿宋" w:hAnsi="仿宋" w:eastAsia="仿宋" w:cs="仿宋"/>
          <w:color w:val="000000"/>
          <w:sz w:val="28"/>
          <w:szCs w:val="28"/>
          <w:highlight w:val="none"/>
        </w:rPr>
        <w:t>文件，所提供的证明材料须满足本招标评审的具体要求， 且投标人须对证明材料的真实性和有效性负责；若提供虚假证明材料，则按相关法规规定执行处罚。</w:t>
      </w: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9"/>
        <w:numPr>
          <w:ilvl w:val="0"/>
          <w:numId w:val="0"/>
        </w:numPr>
        <w:ind w:firstLine="321" w:firstLineChars="100"/>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（六）反商业贿赂承诺书</w:t>
      </w:r>
    </w:p>
    <w:p>
      <w:pPr>
        <w:pStyle w:val="11"/>
        <w:spacing w:line="480" w:lineRule="auto"/>
        <w:ind w:left="46" w:leftChars="22"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1"/>
        <w:spacing w:line="480" w:lineRule="auto"/>
        <w:ind w:left="46" w:leftChars="22" w:right="2240"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投标单位：（盖章）     </w:t>
      </w:r>
    </w:p>
    <w:p>
      <w:pPr>
        <w:pStyle w:val="11"/>
        <w:spacing w:line="360" w:lineRule="auto"/>
        <w:ind w:left="46" w:leftChars="22"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法定代表人或授权代理人：（签字或盖章）</w:t>
      </w:r>
    </w:p>
    <w:p>
      <w:pPr>
        <w:pStyle w:val="11"/>
        <w:spacing w:line="360" w:lineRule="auto"/>
        <w:ind w:left="46" w:leftChars="22" w:right="2240" w:firstLine="480" w:firstLineChars="200"/>
        <w:jc w:val="righ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年  月  日</w:t>
      </w: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pStyle w:val="9"/>
        <w:numPr>
          <w:ilvl w:val="0"/>
          <w:numId w:val="0"/>
        </w:numPr>
        <w:ind w:firstLine="321" w:firstLineChars="100"/>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（七）供应商资格声明函</w:t>
      </w:r>
    </w:p>
    <w:p>
      <w:pPr>
        <w:jc w:val="center"/>
      </w:pPr>
    </w:p>
    <w:p>
      <w:pPr>
        <w:rPr>
          <w:sz w:val="24"/>
        </w:rPr>
      </w:pPr>
      <w:r>
        <w:rPr>
          <w:rFonts w:hint="eastAsia"/>
          <w:sz w:val="24"/>
          <w:lang w:eastAsia="zh-CN"/>
        </w:rPr>
        <w:t>鼎建项目管理有限公司</w:t>
      </w:r>
      <w:r>
        <w:rPr>
          <w:rFonts w:hint="eastAsia"/>
          <w:sz w:val="24"/>
        </w:rPr>
        <w:t xml:space="preserve"> </w:t>
      </w:r>
      <w:r>
        <w:rPr>
          <w:sz w:val="24"/>
        </w:rPr>
        <w:t>：</w:t>
      </w:r>
    </w:p>
    <w:p>
      <w:pPr>
        <w:rPr>
          <w:sz w:val="24"/>
        </w:rPr>
      </w:pPr>
    </w:p>
    <w:p>
      <w:pPr>
        <w:snapToGrid w:val="0"/>
        <w:spacing w:before="120" w:beforeLines="50" w:line="360" w:lineRule="auto"/>
        <w:ind w:firstLine="600" w:firstLineChars="250"/>
        <w:rPr>
          <w:sz w:val="24"/>
        </w:rPr>
      </w:pPr>
      <w:r>
        <w:rPr>
          <w:sz w:val="24"/>
        </w:rPr>
        <w:t>关于贵公司</w:t>
      </w:r>
      <w:r>
        <w:rPr>
          <w:sz w:val="24"/>
          <w:u w:val="single"/>
        </w:rPr>
        <w:t>　　　</w:t>
      </w:r>
      <w:r>
        <w:rPr>
          <w:sz w:val="24"/>
        </w:rPr>
        <w:t>年</w:t>
      </w:r>
      <w:r>
        <w:rPr>
          <w:sz w:val="24"/>
          <w:u w:val="single"/>
        </w:rPr>
        <w:t>　　</w:t>
      </w:r>
      <w:r>
        <w:rPr>
          <w:sz w:val="24"/>
        </w:rPr>
        <w:t>月</w:t>
      </w:r>
      <w:r>
        <w:rPr>
          <w:sz w:val="24"/>
          <w:u w:val="single"/>
        </w:rPr>
        <w:t>　　</w:t>
      </w:r>
      <w:r>
        <w:rPr>
          <w:sz w:val="24"/>
        </w:rPr>
        <w:t>日发布</w:t>
      </w:r>
      <w:r>
        <w:rPr>
          <w:rFonts w:hint="eastAsia"/>
          <w:sz w:val="24"/>
          <w:u w:val="single"/>
          <w:lang w:eastAsia="zh-CN"/>
        </w:rPr>
        <w:t>和田地区民丰县尼雅镇兰帕村示范村项目（改造提升）-监理</w:t>
      </w:r>
      <w:r>
        <w:rPr>
          <w:sz w:val="24"/>
        </w:rPr>
        <w:t>（招标编号：</w:t>
      </w:r>
      <w:r>
        <w:rPr>
          <w:rFonts w:hint="eastAsia" w:ascii="宋体" w:hAnsi="宋体" w:cs="宋体"/>
          <w:sz w:val="24"/>
          <w:lang w:eastAsia="zh-CN"/>
        </w:rPr>
        <w:t>XJDJZFCG-MFX-2023-001号</w:t>
      </w:r>
      <w:r>
        <w:rPr>
          <w:sz w:val="24"/>
        </w:rPr>
        <w:t>的采购</w:t>
      </w:r>
      <w:r>
        <w:rPr>
          <w:rFonts w:hint="eastAsia"/>
          <w:sz w:val="24"/>
        </w:rPr>
        <w:t>公告</w:t>
      </w:r>
      <w:r>
        <w:rPr>
          <w:sz w:val="24"/>
        </w:rPr>
        <w:t>，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招标文件的要求及有关文件规定。并承诺在本次招标采购活动中，如有违法、违规、弄虚作假行为，所造成的损失、不良后果及法律责任，一律由我公司（企业）承担。</w:t>
      </w:r>
    </w:p>
    <w:p>
      <w:pPr>
        <w:spacing w:line="360" w:lineRule="auto"/>
        <w:ind w:firstLine="420"/>
        <w:rPr>
          <w:sz w:val="24"/>
        </w:rPr>
      </w:pPr>
    </w:p>
    <w:p>
      <w:pPr>
        <w:spacing w:line="360" w:lineRule="auto"/>
        <w:ind w:firstLine="420"/>
        <w:rPr>
          <w:sz w:val="24"/>
        </w:rPr>
      </w:pPr>
    </w:p>
    <w:p>
      <w:pPr>
        <w:spacing w:line="360" w:lineRule="auto"/>
        <w:ind w:firstLine="420"/>
        <w:rPr>
          <w:sz w:val="24"/>
        </w:rPr>
      </w:pPr>
      <w:r>
        <w:rPr>
          <w:sz w:val="24"/>
        </w:rPr>
        <w:t>特此声明！</w:t>
      </w:r>
    </w:p>
    <w:p>
      <w:pPr>
        <w:spacing w:line="360" w:lineRule="auto"/>
        <w:ind w:firstLine="420"/>
        <w:rPr>
          <w:sz w:val="24"/>
        </w:rPr>
      </w:pPr>
    </w:p>
    <w:p>
      <w:pPr>
        <w:spacing w:line="360" w:lineRule="auto"/>
        <w:ind w:firstLine="420"/>
        <w:rPr>
          <w:sz w:val="24"/>
        </w:rPr>
      </w:pPr>
    </w:p>
    <w:p>
      <w:pPr>
        <w:spacing w:line="480" w:lineRule="auto"/>
        <w:ind w:firstLine="420"/>
        <w:rPr>
          <w:sz w:val="24"/>
        </w:rPr>
      </w:pPr>
      <w:r>
        <w:rPr>
          <w:sz w:val="24"/>
        </w:rPr>
        <w:t>单位名称：　　　　　　　　　　　　　　　　　　公司（企业）法定代表人签字：</w:t>
      </w:r>
    </w:p>
    <w:p>
      <w:pPr>
        <w:spacing w:line="480" w:lineRule="auto"/>
        <w:ind w:firstLine="420"/>
        <w:rPr>
          <w:sz w:val="24"/>
        </w:rPr>
      </w:pPr>
      <w:r>
        <w:rPr>
          <w:sz w:val="24"/>
        </w:rPr>
        <w:t>单位地址：　　　　　　　　　　　　　　　　　　单位公章：</w:t>
      </w:r>
    </w:p>
    <w:p>
      <w:pPr>
        <w:spacing w:line="480" w:lineRule="auto"/>
        <w:ind w:firstLine="420"/>
        <w:rPr>
          <w:sz w:val="24"/>
        </w:rPr>
      </w:pPr>
      <w:r>
        <w:rPr>
          <w:sz w:val="24"/>
        </w:rPr>
        <w:t>邮政编码：　　　　　　　　　　　　　　　　　　日期：</w:t>
      </w:r>
    </w:p>
    <w:p>
      <w:pPr>
        <w:spacing w:line="480" w:lineRule="auto"/>
        <w:ind w:firstLine="420" w:firstLineChars="175"/>
        <w:rPr>
          <w:sz w:val="24"/>
        </w:rPr>
      </w:pPr>
      <w:r>
        <w:rPr>
          <w:sz w:val="24"/>
        </w:rPr>
        <w:t>联系电话：</w:t>
      </w:r>
    </w:p>
    <w:p>
      <w:pPr>
        <w:pStyle w:val="43"/>
        <w:rPr>
          <w:sz w:val="24"/>
        </w:rPr>
      </w:pPr>
    </w:p>
    <w:p>
      <w:pPr>
        <w:rPr>
          <w:rFonts w:hint="eastAsia"/>
          <w:lang w:val="en-US" w:eastAsia="zh-CN"/>
        </w:rPr>
      </w:pPr>
    </w:p>
    <w:p>
      <w:pPr>
        <w:pStyle w:val="5"/>
        <w:outlineLvl w:val="9"/>
        <w:rPr>
          <w:rFonts w:hint="eastAsia"/>
          <w:lang w:val="en-US" w:eastAsia="zh-CN"/>
        </w:rPr>
      </w:pPr>
    </w:p>
    <w:p>
      <w:pPr>
        <w:widowControl/>
        <w:snapToGrid w:val="0"/>
        <w:spacing w:before="100" w:beforeLines="0" w:beforeAutospacing="1" w:after="100" w:afterLines="0" w:afterAutospacing="1"/>
        <w:jc w:val="both"/>
        <w:rPr>
          <w:rFonts w:hint="eastAsia" w:ascii="宋体" w:hAnsi="宋体" w:eastAsia="宋体" w:cs="宋体"/>
          <w:b/>
          <w:bCs/>
          <w:sz w:val="32"/>
          <w:szCs w:val="32"/>
          <w:highlight w:val="none"/>
          <w:lang w:val="en-US" w:eastAsia="zh-CN"/>
        </w:rPr>
      </w:pPr>
    </w:p>
    <w:p>
      <w:pPr>
        <w:pStyle w:val="8"/>
        <w:ind w:left="0" w:leftChars="0" w:firstLine="0" w:firstLineChars="0"/>
        <w:rPr>
          <w:rFonts w:hint="eastAsia"/>
          <w:lang w:val="en-US" w:eastAsia="zh-CN"/>
        </w:rPr>
      </w:pPr>
    </w:p>
    <w:p>
      <w:pPr>
        <w:rPr>
          <w:rFonts w:hint="eastAsia"/>
          <w:lang w:val="en-US" w:eastAsia="zh-CN"/>
        </w:rPr>
      </w:pPr>
    </w:p>
    <w:p>
      <w:pPr>
        <w:pStyle w:val="19"/>
        <w:numPr>
          <w:ilvl w:val="0"/>
          <w:numId w:val="0"/>
        </w:numPr>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十</w:t>
      </w:r>
      <w:r>
        <w:rPr>
          <w:rFonts w:hint="eastAsia" w:ascii="Times New Roman" w:hAnsi="Times New Roman" w:cs="Times New Roman"/>
          <w:b/>
          <w:bCs/>
          <w:kern w:val="2"/>
          <w:sz w:val="32"/>
          <w:szCs w:val="32"/>
          <w:lang w:val="en-US" w:eastAsia="zh-CN" w:bidi="ar-SA"/>
        </w:rPr>
        <w:t>三</w:t>
      </w:r>
      <w:r>
        <w:rPr>
          <w:rFonts w:hint="eastAsia" w:ascii="Times New Roman" w:hAnsi="Times New Roman" w:eastAsia="宋体" w:cs="Times New Roman"/>
          <w:b/>
          <w:bCs/>
          <w:kern w:val="2"/>
          <w:sz w:val="32"/>
          <w:szCs w:val="32"/>
          <w:lang w:val="en-US" w:eastAsia="zh-CN" w:bidi="ar-SA"/>
        </w:rPr>
        <w:t>、中小企业声明函</w:t>
      </w:r>
    </w:p>
    <w:p>
      <w:pPr>
        <w:pStyle w:val="9"/>
        <w:rPr>
          <w:rFonts w:hint="eastAsia" w:ascii="宋体" w:hAnsi="宋体" w:eastAsia="宋体" w:cs="宋体"/>
          <w:b/>
          <w:bCs/>
          <w:color w:val="auto"/>
          <w:kern w:val="1"/>
          <w:sz w:val="28"/>
          <w:szCs w:val="28"/>
          <w:highlight w:val="none"/>
          <w:lang w:val="en-US" w:eastAsia="zh-CN"/>
        </w:rPr>
      </w:pPr>
    </w:p>
    <w:p>
      <w:pPr>
        <w:pStyle w:val="7"/>
        <w:jc w:val="center"/>
        <w:outlineLvl w:val="0"/>
        <w:rPr>
          <w:rFonts w:hint="eastAsia" w:ascii="宋体" w:hAnsi="宋体" w:eastAsia="宋体" w:cs="宋体"/>
          <w:b/>
          <w:bCs/>
          <w:kern w:val="0"/>
          <w:sz w:val="36"/>
          <w:szCs w:val="36"/>
          <w:highlight w:val="none"/>
        </w:rPr>
      </w:pPr>
      <w:bookmarkStart w:id="87" w:name="_Toc14676"/>
      <w:r>
        <w:rPr>
          <w:rFonts w:hint="eastAsia" w:ascii="宋体" w:hAnsi="宋体" w:eastAsia="宋体" w:cs="宋体"/>
          <w:b/>
          <w:bCs/>
          <w:kern w:val="0"/>
          <w:sz w:val="36"/>
          <w:szCs w:val="36"/>
          <w:highlight w:val="none"/>
        </w:rPr>
        <w:t>符合中小企业条件证明</w:t>
      </w:r>
      <w:bookmarkEnd w:id="87"/>
    </w:p>
    <w:p>
      <w:pPr>
        <w:numPr>
          <w:ilvl w:val="0"/>
          <w:numId w:val="4"/>
        </w:numPr>
        <w:spacing w:line="42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符合中小企业划分标准；</w:t>
      </w:r>
    </w:p>
    <w:p>
      <w:pPr>
        <w:numPr>
          <w:ilvl w:val="0"/>
          <w:numId w:val="0"/>
        </w:numPr>
        <w:spacing w:line="42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rPr>
        <w:t>（二）提供本企业制造的货物、承担的工程或者服务，或者提供其他中小企业制造的货物。本项所称货物不包括使用大型企业注册商标的货物。</w:t>
      </w:r>
    </w:p>
    <w:p>
      <w:pPr>
        <w:numPr>
          <w:ilvl w:val="0"/>
          <w:numId w:val="0"/>
        </w:numPr>
        <w:spacing w:line="42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lang w:val="en-US" w:eastAsia="zh-CN"/>
        </w:rPr>
        <w:t>三</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rPr>
        <w:t>本办法所称中小企业划分标准，是指国务院有关部门根据企业从业人员、营业收入、资产总额等指标制定的中小企业划型标准。</w:t>
      </w:r>
    </w:p>
    <w:p>
      <w:pPr>
        <w:numPr>
          <w:ilvl w:val="0"/>
          <w:numId w:val="0"/>
        </w:numPr>
        <w:spacing w:line="420" w:lineRule="auto"/>
        <w:ind w:firstLine="480" w:firstLineChars="200"/>
        <w:rPr>
          <w:rFonts w:hint="eastAsia" w:ascii="宋体" w:hAnsi="宋体" w:eastAsia="宋体" w:cs="宋体"/>
          <w:color w:val="000000"/>
          <w:sz w:val="24"/>
          <w:highlight w:val="none"/>
          <w:shd w:val="clear" w:color="auto" w:fill="FFFFFF"/>
        </w:rPr>
      </w:pP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lang w:val="en-US" w:eastAsia="zh-CN"/>
        </w:rPr>
        <w:t>四</w:t>
      </w:r>
      <w:r>
        <w:rPr>
          <w:rFonts w:hint="eastAsia" w:ascii="宋体" w:hAnsi="宋体" w:eastAsia="宋体" w:cs="宋体"/>
          <w:color w:val="000000"/>
          <w:sz w:val="24"/>
          <w:highlight w:val="none"/>
          <w:shd w:val="clear" w:color="auto" w:fill="FFFFFF"/>
          <w:lang w:eastAsia="zh-CN"/>
        </w:rPr>
        <w:t>）</w:t>
      </w:r>
      <w:r>
        <w:rPr>
          <w:rFonts w:hint="eastAsia" w:ascii="宋体" w:hAnsi="宋体" w:eastAsia="宋体" w:cs="宋体"/>
          <w:color w:val="000000"/>
          <w:sz w:val="24"/>
          <w:highlight w:val="none"/>
          <w:shd w:val="clear" w:color="auto" w:fill="FFFFFF"/>
        </w:rPr>
        <w:t>小型、微型企业提供中型企业制造的货物的，视同为中型企业。</w:t>
      </w:r>
    </w:p>
    <w:p>
      <w:pPr>
        <w:numPr>
          <w:ilvl w:val="0"/>
          <w:numId w:val="0"/>
        </w:numPr>
        <w:spacing w:line="420" w:lineRule="auto"/>
        <w:ind w:firstLine="480" w:firstLineChars="200"/>
        <w:rPr>
          <w:rFonts w:hint="default" w:ascii="宋体" w:hAnsi="宋体" w:eastAsia="宋体" w:cs="宋体"/>
          <w:color w:val="000000"/>
          <w:sz w:val="24"/>
          <w:highlight w:val="none"/>
          <w:shd w:val="clear" w:color="auto" w:fill="FFFFFF"/>
          <w:lang w:val="en-US" w:eastAsia="zh-CN"/>
        </w:rPr>
      </w:pPr>
      <w:r>
        <w:rPr>
          <w:rFonts w:hint="eastAsia" w:ascii="宋体" w:hAnsi="宋体" w:eastAsia="宋体" w:cs="宋体"/>
          <w:color w:val="000000"/>
          <w:sz w:val="24"/>
          <w:highlight w:val="none"/>
          <w:shd w:val="clear" w:color="auto" w:fill="FFFFFF"/>
          <w:lang w:val="en-US" w:eastAsia="zh-CN"/>
        </w:rPr>
        <w:t>（五）本项目为专门面相中小企业，未提供此函者视为无效投标</w:t>
      </w:r>
    </w:p>
    <w:p>
      <w:pPr>
        <w:rPr>
          <w:rFonts w:hint="eastAsia"/>
          <w:lang w:val="en-US" w:eastAsia="zh-CN"/>
        </w:rPr>
      </w:pPr>
    </w:p>
    <w:p>
      <w:pPr>
        <w:pStyle w:val="9"/>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rPr>
          <w:rFonts w:hint="eastAsia"/>
          <w:lang w:val="en-US" w:eastAsia="zh-CN"/>
        </w:rPr>
      </w:pPr>
    </w:p>
    <w:p>
      <w:pPr>
        <w:pStyle w:val="19"/>
        <w:rPr>
          <w:rFonts w:hint="eastAsia"/>
          <w:lang w:val="en-US" w:eastAsia="zh-CN"/>
        </w:rPr>
      </w:pPr>
    </w:p>
    <w:p>
      <w:pPr>
        <w:pStyle w:val="8"/>
        <w:rPr>
          <w:rFonts w:hint="eastAsia"/>
          <w:lang w:val="en-US" w:eastAsia="zh-CN"/>
        </w:rPr>
      </w:pPr>
    </w:p>
    <w:p>
      <w:pPr>
        <w:pStyle w:val="21"/>
        <w:keepNext w:val="0"/>
        <w:keepLines w:val="0"/>
        <w:widowControl/>
        <w:suppressLineNumbers w:val="0"/>
        <w:spacing w:before="75" w:beforeAutospacing="0" w:after="75" w:afterAutospacing="0" w:line="420" w:lineRule="atLeast"/>
        <w:ind w:right="0"/>
        <w:rPr>
          <w:rStyle w:val="27"/>
          <w:rFonts w:hint="eastAsia" w:ascii="宋体" w:hAnsi="宋体" w:eastAsia="宋体" w:cs="宋体"/>
          <w:i w:val="0"/>
          <w:iCs w:val="0"/>
          <w:caps w:val="0"/>
          <w:color w:val="000000"/>
          <w:spacing w:val="0"/>
          <w:sz w:val="30"/>
          <w:szCs w:val="30"/>
        </w:rPr>
      </w:pPr>
    </w:p>
    <w:p>
      <w:pPr>
        <w:pStyle w:val="21"/>
        <w:keepNext w:val="0"/>
        <w:keepLines w:val="0"/>
        <w:widowControl/>
        <w:suppressLineNumbers w:val="0"/>
        <w:spacing w:before="75" w:beforeAutospacing="0" w:after="75" w:afterAutospacing="0" w:line="420" w:lineRule="atLeast"/>
        <w:ind w:right="0"/>
        <w:rPr>
          <w:rFonts w:hint="eastAsia" w:ascii="宋体" w:hAnsi="宋体" w:eastAsia="宋体" w:cs="宋体"/>
          <w:i w:val="0"/>
          <w:iCs w:val="0"/>
          <w:caps w:val="0"/>
          <w:color w:val="000000"/>
          <w:spacing w:val="0"/>
          <w:sz w:val="24"/>
          <w:szCs w:val="24"/>
        </w:rPr>
      </w:pPr>
      <w:r>
        <w:rPr>
          <w:rStyle w:val="27"/>
          <w:rFonts w:hint="eastAsia" w:ascii="宋体" w:hAnsi="宋体" w:eastAsia="宋体" w:cs="宋体"/>
          <w:i w:val="0"/>
          <w:iCs w:val="0"/>
          <w:caps w:val="0"/>
          <w:color w:val="000000"/>
          <w:spacing w:val="0"/>
          <w:sz w:val="30"/>
          <w:szCs w:val="30"/>
        </w:rPr>
        <w:t>附件</w:t>
      </w:r>
      <w:r>
        <w:rPr>
          <w:rStyle w:val="27"/>
          <w:rFonts w:hint="eastAsia" w:ascii="宋体" w:hAnsi="宋体" w:eastAsia="宋体" w:cs="宋体"/>
          <w:i w:val="0"/>
          <w:iCs w:val="0"/>
          <w:caps w:val="0"/>
          <w:color w:val="000000"/>
          <w:spacing w:val="0"/>
          <w:sz w:val="30"/>
          <w:szCs w:val="30"/>
          <w:lang w:val="en-US" w:eastAsia="zh-CN"/>
        </w:rPr>
        <w:t>1</w:t>
      </w:r>
      <w:r>
        <w:rPr>
          <w:rStyle w:val="27"/>
          <w:rFonts w:hint="eastAsia" w:ascii="宋体" w:hAnsi="宋体" w:eastAsia="宋体" w:cs="宋体"/>
          <w:i w:val="0"/>
          <w:iCs w:val="0"/>
          <w:caps w:val="0"/>
          <w:color w:val="000000"/>
          <w:spacing w:val="0"/>
          <w:sz w:val="30"/>
          <w:szCs w:val="30"/>
        </w:rPr>
        <w:t>：</w:t>
      </w:r>
    </w:p>
    <w:p>
      <w:pPr>
        <w:keepNext w:val="0"/>
        <w:keepLines w:val="0"/>
        <w:widowControl/>
        <w:suppressLineNumbers w:val="0"/>
        <w:spacing w:before="75" w:beforeAutospacing="0" w:after="75" w:afterAutospacing="0" w:line="540" w:lineRule="atLeast"/>
        <w:ind w:left="1275" w:right="0" w:firstLine="660"/>
        <w:jc w:val="both"/>
        <w:rPr>
          <w:rFonts w:hint="eastAsia" w:ascii="宋体" w:hAnsi="宋体" w:eastAsia="宋体" w:cs="宋体"/>
          <w:b/>
          <w:bCs/>
          <w:kern w:val="0"/>
          <w:sz w:val="36"/>
          <w:szCs w:val="36"/>
          <w:highlight w:val="none"/>
          <w:lang w:val="en-US" w:eastAsia="zh-CN" w:bidi="ar-SA"/>
        </w:rPr>
      </w:pPr>
      <w:r>
        <w:rPr>
          <w:rFonts w:hint="default" w:ascii="宋体" w:hAnsi="宋体" w:eastAsia="宋体" w:cs="宋体"/>
          <w:b/>
          <w:bCs/>
          <w:kern w:val="0"/>
          <w:sz w:val="36"/>
          <w:szCs w:val="36"/>
          <w:highlight w:val="none"/>
          <w:lang w:val="en-US" w:eastAsia="zh-CN" w:bidi="ar-SA"/>
        </w:rPr>
        <w:t>中小企业声明函（货物）</w:t>
      </w:r>
    </w:p>
    <w:p>
      <w:pPr>
        <w:pStyle w:val="19"/>
        <w:numPr>
          <w:ilvl w:val="0"/>
          <w:numId w:val="0"/>
        </w:numPr>
        <w:jc w:val="center"/>
        <w:rPr>
          <w:rFonts w:ascii="Calibri" w:hAnsi="Calibri" w:eastAsia="宋体" w:cs="Times New Roman"/>
          <w:kern w:val="0"/>
          <w:sz w:val="24"/>
          <w:szCs w:val="24"/>
          <w:lang w:val="en-US" w:eastAsia="zh-CN" w:bidi="ar"/>
        </w:rPr>
      </w:pPr>
      <w:r>
        <w:rPr>
          <w:rFonts w:hint="default" w:ascii="仿宋_GB2312" w:hAnsi="Calibri" w:eastAsia="仿宋_GB2312" w:cs="仿宋_GB2312"/>
          <w:kern w:val="0"/>
          <w:sz w:val="31"/>
          <w:szCs w:val="31"/>
          <w:lang w:val="en-US" w:eastAsia="zh-CN" w:bidi="ar"/>
        </w:rPr>
        <w:t> </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本公司（联合体）郑重声明，根据《政府采购促进中小企业发展管理办法》（财库〔2020〕46号）的规定，本公司（联合体）参加</w:t>
      </w:r>
      <w:r>
        <w:rPr>
          <w:rFonts w:hint="eastAsia" w:asciiTheme="minorEastAsia" w:hAnsiTheme="minorEastAsia" w:eastAsiaTheme="minorEastAsia" w:cstheme="minorEastAsia"/>
          <w:i/>
          <w:kern w:val="0"/>
          <w:sz w:val="24"/>
          <w:szCs w:val="24"/>
          <w:u w:val="single"/>
          <w:lang w:val="en-US" w:eastAsia="zh-CN" w:bidi="ar"/>
        </w:rPr>
        <w:t>（单位名称）</w:t>
      </w:r>
      <w:r>
        <w:rPr>
          <w:rFonts w:hint="eastAsia" w:asciiTheme="minorEastAsia" w:hAnsiTheme="minorEastAsia" w:eastAsiaTheme="minorEastAsia" w:cstheme="minorEastAsia"/>
          <w:kern w:val="0"/>
          <w:sz w:val="24"/>
          <w:szCs w:val="24"/>
          <w:lang w:val="en-US" w:eastAsia="zh-CN" w:bidi="ar"/>
        </w:rPr>
        <w:t>的</w:t>
      </w:r>
      <w:r>
        <w:rPr>
          <w:rFonts w:hint="eastAsia" w:asciiTheme="minorEastAsia" w:hAnsiTheme="minorEastAsia" w:eastAsiaTheme="minorEastAsia" w:cstheme="minorEastAsia"/>
          <w:i/>
          <w:kern w:val="0"/>
          <w:sz w:val="24"/>
          <w:szCs w:val="24"/>
          <w:u w:val="single"/>
          <w:lang w:val="en-US" w:eastAsia="zh-CN" w:bidi="ar"/>
        </w:rPr>
        <w:t>（项目名称）</w:t>
      </w:r>
      <w:r>
        <w:rPr>
          <w:rFonts w:hint="eastAsia" w:asciiTheme="minorEastAsia" w:hAnsiTheme="minorEastAsia" w:eastAsiaTheme="minorEastAsia" w:cstheme="minorEastAsia"/>
          <w:kern w:val="0"/>
          <w:sz w:val="24"/>
          <w:szCs w:val="24"/>
          <w:lang w:val="en-US" w:eastAsia="zh-CN" w:bidi="ar"/>
        </w:rPr>
        <w:t>采购活动，提供的货物全部由符合政策要求的中小企业制造。相关企业（含联合体中的中小企业、签订分包意向协议的中小企业）的具体情况如下：</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i/>
          <w:kern w:val="0"/>
          <w:sz w:val="24"/>
          <w:szCs w:val="24"/>
          <w:u w:val="single"/>
          <w:lang w:val="en-US" w:eastAsia="zh-CN" w:bidi="ar"/>
        </w:rPr>
        <w:t>（标的名称）</w:t>
      </w:r>
      <w:r>
        <w:rPr>
          <w:rFonts w:hint="eastAsia" w:asciiTheme="minorEastAsia" w:hAnsiTheme="minorEastAsia" w:eastAsiaTheme="minorEastAsia" w:cstheme="minorEastAsia"/>
          <w:kern w:val="0"/>
          <w:sz w:val="24"/>
          <w:szCs w:val="24"/>
          <w:lang w:val="en-US" w:eastAsia="zh-CN" w:bidi="ar"/>
        </w:rPr>
        <w:t>，属于</w:t>
      </w:r>
      <w:r>
        <w:rPr>
          <w:rFonts w:hint="eastAsia" w:asciiTheme="minorEastAsia" w:hAnsiTheme="minorEastAsia" w:eastAsiaTheme="minorEastAsia" w:cstheme="minorEastAsia"/>
          <w:i/>
          <w:kern w:val="0"/>
          <w:sz w:val="24"/>
          <w:szCs w:val="24"/>
          <w:u w:val="single"/>
          <w:lang w:val="en-US" w:eastAsia="zh-CN" w:bidi="ar"/>
        </w:rPr>
        <w:t>（采购文件中明确的所属行业）</w:t>
      </w:r>
      <w:r>
        <w:rPr>
          <w:rFonts w:hint="eastAsia" w:asciiTheme="minorEastAsia" w:hAnsiTheme="minorEastAsia" w:eastAsiaTheme="minorEastAsia" w:cstheme="minorEastAsia"/>
          <w:kern w:val="0"/>
          <w:sz w:val="24"/>
          <w:szCs w:val="24"/>
          <w:lang w:val="en-US" w:eastAsia="zh-CN" w:bidi="ar"/>
        </w:rPr>
        <w:t>；制造商为</w:t>
      </w:r>
      <w:r>
        <w:rPr>
          <w:rFonts w:hint="eastAsia" w:asciiTheme="minorEastAsia" w:hAnsiTheme="minorEastAsia" w:eastAsiaTheme="minorEastAsia" w:cstheme="minorEastAsia"/>
          <w:i/>
          <w:kern w:val="0"/>
          <w:sz w:val="24"/>
          <w:szCs w:val="24"/>
          <w:u w:val="single"/>
          <w:lang w:val="en-US" w:eastAsia="zh-CN" w:bidi="ar"/>
        </w:rPr>
        <w:t>（企业名称）</w:t>
      </w:r>
      <w:r>
        <w:rPr>
          <w:rFonts w:hint="eastAsia" w:asciiTheme="minorEastAsia" w:hAnsiTheme="minorEastAsia" w:eastAsiaTheme="minorEastAsia" w:cstheme="minorEastAsia"/>
          <w:kern w:val="0"/>
          <w:sz w:val="24"/>
          <w:szCs w:val="24"/>
          <w:lang w:val="en-US" w:eastAsia="zh-CN" w:bidi="ar"/>
        </w:rPr>
        <w:t>，从业人员</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人，营业收入为</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万元，资产总额为</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万元，属于</w:t>
      </w:r>
      <w:r>
        <w:rPr>
          <w:rFonts w:hint="eastAsia" w:asciiTheme="minorEastAsia" w:hAnsiTheme="minorEastAsia" w:eastAsiaTheme="minorEastAsia" w:cstheme="minorEastAsia"/>
          <w:i/>
          <w:kern w:val="0"/>
          <w:sz w:val="24"/>
          <w:szCs w:val="24"/>
          <w:u w:val="single"/>
          <w:lang w:val="en-US" w:eastAsia="zh-CN" w:bidi="ar"/>
        </w:rPr>
        <w:t>（中型企业、小型企业、微型企业）</w:t>
      </w:r>
      <w:r>
        <w:rPr>
          <w:rFonts w:hint="eastAsia" w:asciiTheme="minorEastAsia" w:hAnsiTheme="minorEastAsia" w:eastAsiaTheme="minorEastAsia" w:cstheme="minorEastAsia"/>
          <w:kern w:val="0"/>
          <w:sz w:val="24"/>
          <w:szCs w:val="24"/>
          <w:lang w:val="en-US" w:eastAsia="zh-CN" w:bidi="ar"/>
        </w:rPr>
        <w:t>；</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2. </w:t>
      </w:r>
      <w:r>
        <w:rPr>
          <w:rFonts w:hint="eastAsia" w:asciiTheme="minorEastAsia" w:hAnsiTheme="minorEastAsia" w:eastAsiaTheme="minorEastAsia" w:cstheme="minorEastAsia"/>
          <w:i/>
          <w:kern w:val="0"/>
          <w:sz w:val="24"/>
          <w:szCs w:val="24"/>
          <w:u w:val="single"/>
          <w:lang w:val="en-US" w:eastAsia="zh-CN" w:bidi="ar"/>
        </w:rPr>
        <w:t>（标的名称）</w:t>
      </w:r>
      <w:r>
        <w:rPr>
          <w:rFonts w:hint="eastAsia" w:asciiTheme="minorEastAsia" w:hAnsiTheme="minorEastAsia" w:eastAsiaTheme="minorEastAsia" w:cstheme="minorEastAsia"/>
          <w:kern w:val="0"/>
          <w:sz w:val="24"/>
          <w:szCs w:val="24"/>
          <w:lang w:val="en-US" w:eastAsia="zh-CN" w:bidi="ar"/>
        </w:rPr>
        <w:t>，属于</w:t>
      </w:r>
      <w:r>
        <w:rPr>
          <w:rFonts w:hint="eastAsia" w:asciiTheme="minorEastAsia" w:hAnsiTheme="minorEastAsia" w:eastAsiaTheme="minorEastAsia" w:cstheme="minorEastAsia"/>
          <w:i/>
          <w:kern w:val="0"/>
          <w:sz w:val="24"/>
          <w:szCs w:val="24"/>
          <w:u w:val="single"/>
          <w:lang w:val="en-US" w:eastAsia="zh-CN" w:bidi="ar"/>
        </w:rPr>
        <w:t>（采购文件中明确的所属行业）</w:t>
      </w:r>
      <w:r>
        <w:rPr>
          <w:rFonts w:hint="eastAsia" w:asciiTheme="minorEastAsia" w:hAnsiTheme="minorEastAsia" w:eastAsiaTheme="minorEastAsia" w:cstheme="minorEastAsia"/>
          <w:kern w:val="0"/>
          <w:sz w:val="24"/>
          <w:szCs w:val="24"/>
          <w:lang w:val="en-US" w:eastAsia="zh-CN" w:bidi="ar"/>
        </w:rPr>
        <w:t>；制造商为</w:t>
      </w:r>
      <w:r>
        <w:rPr>
          <w:rFonts w:hint="eastAsia" w:asciiTheme="minorEastAsia" w:hAnsiTheme="minorEastAsia" w:eastAsiaTheme="minorEastAsia" w:cstheme="minorEastAsia"/>
          <w:i/>
          <w:kern w:val="0"/>
          <w:sz w:val="24"/>
          <w:szCs w:val="24"/>
          <w:u w:val="single"/>
          <w:lang w:val="en-US" w:eastAsia="zh-CN" w:bidi="ar"/>
        </w:rPr>
        <w:t>（企业名称）</w:t>
      </w:r>
      <w:r>
        <w:rPr>
          <w:rFonts w:hint="eastAsia" w:asciiTheme="minorEastAsia" w:hAnsiTheme="minorEastAsia" w:eastAsiaTheme="minorEastAsia" w:cstheme="minorEastAsia"/>
          <w:kern w:val="0"/>
          <w:sz w:val="24"/>
          <w:szCs w:val="24"/>
          <w:lang w:val="en-US" w:eastAsia="zh-CN" w:bidi="ar"/>
        </w:rPr>
        <w:t>，从业人员</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人，营业收入为</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万元，资产总额为</w:t>
      </w:r>
      <w:r>
        <w:rPr>
          <w:rFonts w:hint="eastAsia" w:asciiTheme="minorEastAsia" w:hAnsiTheme="minorEastAsia" w:eastAsiaTheme="minorEastAsia" w:cstheme="minorEastAsia"/>
          <w:kern w:val="0"/>
          <w:sz w:val="24"/>
          <w:szCs w:val="24"/>
          <w:u w:val="single"/>
          <w:lang w:val="en-US" w:eastAsia="zh-CN" w:bidi="ar"/>
        </w:rPr>
        <w:t>  </w:t>
      </w:r>
      <w:r>
        <w:rPr>
          <w:rFonts w:hint="eastAsia" w:asciiTheme="minorEastAsia" w:hAnsiTheme="minorEastAsia" w:eastAsiaTheme="minorEastAsia" w:cstheme="minorEastAsia"/>
          <w:kern w:val="0"/>
          <w:sz w:val="24"/>
          <w:szCs w:val="24"/>
          <w:lang w:val="en-US" w:eastAsia="zh-CN" w:bidi="ar"/>
        </w:rPr>
        <w:t>万元，属于</w:t>
      </w:r>
      <w:r>
        <w:rPr>
          <w:rFonts w:hint="eastAsia" w:asciiTheme="minorEastAsia" w:hAnsiTheme="minorEastAsia" w:eastAsiaTheme="minorEastAsia" w:cstheme="minorEastAsia"/>
          <w:i/>
          <w:kern w:val="0"/>
          <w:sz w:val="24"/>
          <w:szCs w:val="24"/>
          <w:u w:val="single"/>
          <w:lang w:val="en-US" w:eastAsia="zh-CN" w:bidi="ar"/>
        </w:rPr>
        <w:t>（中型企业、小型企业、微型企业）</w:t>
      </w:r>
      <w:r>
        <w:rPr>
          <w:rFonts w:hint="eastAsia" w:asciiTheme="minorEastAsia" w:hAnsiTheme="minorEastAsia" w:eastAsiaTheme="minorEastAsia" w:cstheme="minorEastAsia"/>
          <w:kern w:val="0"/>
          <w:sz w:val="24"/>
          <w:szCs w:val="24"/>
          <w:lang w:val="en-US" w:eastAsia="zh-CN" w:bidi="ar"/>
        </w:rPr>
        <w:t>；</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本企业对上述声明内容的真实性负责。如有虚假，将依法承担相应责任。</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企业名称（盖章）：</w:t>
      </w:r>
    </w:p>
    <w:p>
      <w:pPr>
        <w:keepNext w:val="0"/>
        <w:keepLines w:val="0"/>
        <w:widowControl/>
        <w:suppressLineNumbers w:val="0"/>
        <w:spacing w:before="75" w:beforeAutospacing="0" w:after="75" w:afterAutospacing="0" w:line="540" w:lineRule="atLeast"/>
        <w:ind w:left="0" w:right="0" w:firstLine="645"/>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                      日期：</w:t>
      </w:r>
    </w:p>
    <w:p>
      <w:pPr>
        <w:rPr>
          <w:rFonts w:hint="eastAsia" w:ascii="宋体" w:hAnsi="宋体" w:eastAsia="宋体" w:cs="宋体"/>
          <w:lang w:val="en-US" w:eastAsia="zh-CN"/>
        </w:rPr>
      </w:pPr>
    </w:p>
    <w:p>
      <w:pPr>
        <w:pStyle w:val="9"/>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9"/>
        <w:rPr>
          <w:rFonts w:hint="eastAsia"/>
          <w:lang w:val="en-US" w:eastAsia="zh-CN"/>
        </w:rPr>
      </w:pPr>
    </w:p>
    <w:p>
      <w:pPr>
        <w:rPr>
          <w:rFonts w:hint="eastAsia"/>
          <w:lang w:val="en-US" w:eastAsia="zh-CN"/>
        </w:rPr>
      </w:pPr>
    </w:p>
    <w:p>
      <w:pPr>
        <w:spacing w:line="360" w:lineRule="auto"/>
        <w:jc w:val="center"/>
        <w:rPr>
          <w:rFonts w:hint="eastAsia" w:ascii="宋体" w:hAnsi="宋体" w:eastAsia="宋体" w:cs="宋体"/>
          <w:spacing w:val="6"/>
          <w:sz w:val="28"/>
          <w:szCs w:val="28"/>
          <w:highlight w:val="none"/>
          <w:lang w:eastAsia="zh-CN"/>
        </w:rPr>
      </w:pPr>
      <w:r>
        <w:rPr>
          <w:rFonts w:hint="eastAsia" w:ascii="宋体" w:hAnsi="宋体" w:eastAsia="宋体" w:cs="宋体"/>
          <w:b/>
          <w:sz w:val="28"/>
          <w:szCs w:val="28"/>
          <w:highlight w:val="none"/>
        </w:rPr>
        <w:t>残疾人福利性单位声明函</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eastAsia="zh-CN"/>
        </w:rPr>
        <w:t>）</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       项目采购活动提供本单位制造的服务或产品（由本单位承担工程/提供服务），或者提供其他残疾人福利性单位制造的服务或产品（不包括使用非残疾人福利性单位注册商标的服务或产品）。</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本单位在本次政府采购活动中提供的残疾人福利单位产品报价合计为人民币（大写）      </w:t>
      </w:r>
      <w:r>
        <w:rPr>
          <w:rFonts w:hint="eastAsia" w:ascii="微软雅黑" w:hAnsi="微软雅黑" w:eastAsia="微软雅黑" w:cs="微软雅黑"/>
          <w:sz w:val="24"/>
          <w:szCs w:val="24"/>
          <w:lang w:val="en-US" w:eastAsia="zh-CN"/>
        </w:rPr>
        <w:t>元</w:t>
      </w:r>
      <w:r>
        <w:rPr>
          <w:rFonts w:hint="eastAsia" w:ascii="微软雅黑" w:hAnsi="微软雅黑" w:eastAsia="微软雅黑" w:cs="微软雅黑"/>
          <w:sz w:val="24"/>
          <w:szCs w:val="24"/>
        </w:rPr>
        <w:t>整（￥：     ）。</w:t>
      </w: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本单位对上述声明的真实性负责。如有虚假，将依法承担相应责任。</w:t>
      </w: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（备注：1、供应商如不提供此声明函，价格将不做相应扣除。2、中标供应商为残疾人福利单位的，此声明函将随中标结果同时公告，接受社会监督）</w:t>
      </w:r>
    </w:p>
    <w:p>
      <w:pPr>
        <w:spacing w:before="156" w:beforeLines="50" w:after="156" w:afterLines="50" w:line="300" w:lineRule="auto"/>
        <w:ind w:firstLine="584" w:firstLineChars="200"/>
        <w:rPr>
          <w:rFonts w:hint="eastAsia" w:ascii="宋体" w:hAnsi="宋体" w:eastAsia="宋体" w:cs="宋体"/>
          <w:spacing w:val="6"/>
          <w:sz w:val="28"/>
          <w:szCs w:val="28"/>
          <w:highlight w:val="none"/>
        </w:rPr>
      </w:pPr>
    </w:p>
    <w:p>
      <w:pPr>
        <w:spacing w:line="480" w:lineRule="auto"/>
        <w:rPr>
          <w:bCs/>
          <w:sz w:val="24"/>
        </w:rPr>
      </w:pPr>
      <w:r>
        <w:rPr>
          <w:rFonts w:hint="eastAsia"/>
          <w:bCs/>
          <w:sz w:val="24"/>
        </w:rPr>
        <w:t>供应商</w:t>
      </w:r>
      <w:r>
        <w:rPr>
          <w:bCs/>
          <w:sz w:val="24"/>
        </w:rPr>
        <w:t>全称（盖公章）：</w:t>
      </w:r>
    </w:p>
    <w:p>
      <w:pPr>
        <w:spacing w:line="480" w:lineRule="auto"/>
        <w:rPr>
          <w:bCs/>
          <w:sz w:val="24"/>
        </w:rPr>
      </w:pPr>
      <w:r>
        <w:rPr>
          <w:bCs/>
          <w:sz w:val="24"/>
        </w:rPr>
        <w:t>法定代表人或授权代表（签名或盖章）：</w:t>
      </w:r>
    </w:p>
    <w:p>
      <w:pPr>
        <w:spacing w:line="480" w:lineRule="auto"/>
        <w:rPr>
          <w:rFonts w:hint="eastAsia" w:ascii="宋体" w:hAnsi="宋体" w:eastAsia="宋体" w:cs="宋体"/>
          <w:color w:val="auto"/>
          <w:sz w:val="28"/>
          <w:szCs w:val="28"/>
          <w:highlight w:val="none"/>
        </w:rPr>
      </w:pPr>
      <w:r>
        <w:rPr>
          <w:bCs/>
          <w:sz w:val="24"/>
        </w:rPr>
        <w:t>日    期：     年   月   日</w:t>
      </w:r>
    </w:p>
    <w:p>
      <w:pPr>
        <w:tabs>
          <w:tab w:val="left" w:pos="4860"/>
        </w:tabs>
        <w:spacing w:before="156" w:beforeLines="50" w:after="156" w:afterLines="50" w:line="300" w:lineRule="auto"/>
        <w:ind w:right="1560" w:firstLine="560" w:firstLineChars="200"/>
        <w:jc w:val="center"/>
        <w:rPr>
          <w:rFonts w:hint="eastAsia" w:ascii="宋体" w:hAnsi="宋体" w:eastAsia="宋体" w:cs="宋体"/>
          <w:sz w:val="28"/>
          <w:szCs w:val="28"/>
          <w:highlight w:val="none"/>
        </w:rPr>
      </w:pPr>
    </w:p>
    <w:p>
      <w:pPr>
        <w:spacing w:before="156" w:beforeLines="50" w:after="156" w:afterLines="50" w:line="300" w:lineRule="auto"/>
        <w:rPr>
          <w:rFonts w:hint="eastAsia" w:ascii="宋体" w:hAnsi="宋体" w:eastAsia="宋体" w:cs="宋体"/>
          <w:b/>
          <w:bCs/>
          <w:sz w:val="24"/>
          <w:highlight w:val="none"/>
        </w:rPr>
      </w:pPr>
      <w:r>
        <w:rPr>
          <w:rFonts w:hint="eastAsia" w:ascii="宋体" w:hAnsi="宋体" w:eastAsia="宋体" w:cs="宋体"/>
          <w:b/>
          <w:bCs/>
          <w:sz w:val="24"/>
          <w:highlight w:val="none"/>
        </w:rPr>
        <w:t>（备注：</w:t>
      </w:r>
      <w:r>
        <w:rPr>
          <w:rFonts w:hint="eastAsia" w:ascii="宋体" w:hAnsi="宋体" w:eastAsia="宋体" w:cs="宋体"/>
          <w:b/>
          <w:bCs/>
          <w:sz w:val="24"/>
          <w:highlight w:val="none"/>
          <w:lang w:eastAsia="zh-CN"/>
        </w:rPr>
        <w:t>供应商</w:t>
      </w:r>
      <w:r>
        <w:rPr>
          <w:rFonts w:hint="eastAsia" w:ascii="宋体" w:hAnsi="宋体" w:eastAsia="宋体" w:cs="宋体"/>
          <w:b/>
          <w:bCs/>
          <w:sz w:val="24"/>
          <w:highlight w:val="none"/>
        </w:rPr>
        <w:t>如未提供此声明函，价格将不做相应扣除，但投标不会被拒绝；如未如实声明，需承担相应法律责任。）</w:t>
      </w:r>
    </w:p>
    <w:p>
      <w:pPr>
        <w:pStyle w:val="19"/>
        <w:numPr>
          <w:ilvl w:val="0"/>
          <w:numId w:val="0"/>
        </w:numPr>
        <w:ind w:leftChars="-221"/>
        <w:rPr>
          <w:rFonts w:hint="eastAsia"/>
          <w:lang w:val="en-US" w:eastAsia="zh-CN"/>
        </w:rPr>
      </w:pPr>
    </w:p>
    <w:p>
      <w:pPr>
        <w:pStyle w:val="19"/>
        <w:rPr>
          <w:rFonts w:hint="eastAsia"/>
          <w:lang w:eastAsia="zh-CN"/>
        </w:rPr>
      </w:pPr>
    </w:p>
    <w:p>
      <w:pPr>
        <w:spacing w:line="360" w:lineRule="auto"/>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lang w:val="zh-CN" w:eastAsia="zh-CN"/>
        </w:rPr>
        <w:t>节能、环保产品证明（</w:t>
      </w:r>
      <w:r>
        <w:rPr>
          <w:rFonts w:hint="eastAsia" w:ascii="宋体" w:hAnsi="宋体" w:eastAsia="宋体" w:cs="宋体"/>
          <w:b/>
          <w:sz w:val="28"/>
          <w:szCs w:val="28"/>
          <w:highlight w:val="none"/>
          <w:lang w:val="en-US" w:eastAsia="zh-CN"/>
        </w:rPr>
        <w:t>如有</w:t>
      </w:r>
      <w:r>
        <w:rPr>
          <w:rFonts w:hint="eastAsia" w:ascii="宋体" w:hAnsi="宋体" w:eastAsia="宋体" w:cs="宋体"/>
          <w:b/>
          <w:sz w:val="28"/>
          <w:szCs w:val="28"/>
          <w:highlight w:val="none"/>
          <w:lang w:val="zh-CN" w:eastAsia="zh-CN"/>
        </w:rPr>
        <w:t>）</w:t>
      </w:r>
    </w:p>
    <w:p>
      <w:pPr>
        <w:spacing w:line="400" w:lineRule="exact"/>
        <w:rPr>
          <w:rFonts w:hint="eastAsia" w:ascii="仿宋" w:hAnsi="仿宋" w:eastAsia="仿宋" w:cs="仿宋"/>
          <w:b/>
          <w:bCs/>
          <w:color w:val="000000"/>
          <w:sz w:val="28"/>
          <w:szCs w:val="28"/>
          <w:highlight w:val="none"/>
        </w:rPr>
      </w:pPr>
    </w:p>
    <w:p>
      <w:pPr>
        <w:spacing w:line="400" w:lineRule="exact"/>
        <w:rPr>
          <w:rFonts w:hint="eastAsia" w:ascii="仿宋" w:hAnsi="仿宋" w:eastAsia="仿宋" w:cs="仿宋"/>
          <w:color w:val="000000"/>
          <w:szCs w:val="21"/>
          <w:highlight w:val="none"/>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致：</w:t>
      </w:r>
      <w:r>
        <w:rPr>
          <w:rFonts w:hint="eastAsia" w:ascii="微软雅黑" w:hAnsi="微软雅黑" w:eastAsia="微软雅黑" w:cs="微软雅黑"/>
          <w:sz w:val="24"/>
          <w:szCs w:val="24"/>
          <w:u w:val="single"/>
        </w:rPr>
        <w:t xml:space="preserve">         采购人名称         </w:t>
      </w:r>
      <w:r>
        <w:rPr>
          <w:rFonts w:hint="eastAsia" w:ascii="微软雅黑" w:hAnsi="微软雅黑" w:eastAsia="微软雅黑" w:cs="微软雅黑"/>
          <w:sz w:val="24"/>
          <w:szCs w:val="24"/>
        </w:rPr>
        <w:t xml:space="preserve"> ：</w:t>
      </w: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    现附上</w:t>
      </w:r>
      <w:r>
        <w:rPr>
          <w:rFonts w:hint="eastAsia" w:ascii="微软雅黑" w:hAnsi="微软雅黑" w:eastAsia="微软雅黑" w:cs="微软雅黑"/>
          <w:sz w:val="24"/>
          <w:szCs w:val="24"/>
          <w:u w:val="single"/>
        </w:rPr>
        <w:t xml:space="preserve">         （节能、环保产品产品目录）         </w:t>
      </w:r>
      <w:r>
        <w:rPr>
          <w:rFonts w:hint="eastAsia" w:ascii="微软雅黑" w:hAnsi="微软雅黑" w:eastAsia="微软雅黑" w:cs="微软雅黑"/>
          <w:sz w:val="24"/>
          <w:szCs w:val="24"/>
        </w:rPr>
        <w:t>证明文件（可在 网站名称 网站进行查询）复印件，该证件真实有效。</w:t>
      </w: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节能、环保产品须提供“财政部、国家发展改革委公布的节能、环保产品清单目录”并在有效期内的复印件或影印件，并能在投标人提供的网站上查询到相关内容（未提供查询网站，或在其提供的查询网站上查询不到相关内容的，将不予认可），由投标人加盖公章并注明“与原件一致”。</w:t>
      </w: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p>
    <w:p>
      <w:pPr>
        <w:ind w:firstLine="480" w:firstLineChars="200"/>
        <w:rPr>
          <w:rFonts w:hint="eastAsia" w:ascii="微软雅黑" w:hAnsi="微软雅黑" w:eastAsia="微软雅黑" w:cs="微软雅黑"/>
          <w:sz w:val="24"/>
          <w:szCs w:val="24"/>
        </w:rPr>
      </w:pPr>
    </w:p>
    <w:p>
      <w:pPr>
        <w:spacing w:line="360" w:lineRule="exact"/>
        <w:rPr>
          <w:rFonts w:hint="eastAsia" w:ascii="仿宋" w:hAnsi="仿宋" w:eastAsia="仿宋" w:cs="仿宋"/>
          <w:color w:val="000000"/>
          <w:sz w:val="24"/>
          <w:highlight w:val="none"/>
        </w:rPr>
      </w:pPr>
    </w:p>
    <w:p>
      <w:pPr>
        <w:spacing w:line="360" w:lineRule="exact"/>
        <w:rPr>
          <w:rFonts w:hint="eastAsia" w:ascii="仿宋" w:hAnsi="仿宋" w:eastAsia="仿宋" w:cs="仿宋"/>
          <w:color w:val="000000"/>
          <w:sz w:val="24"/>
          <w:highlight w:val="none"/>
        </w:rPr>
      </w:pPr>
    </w:p>
    <w:p>
      <w:pPr>
        <w:spacing w:line="480" w:lineRule="auto"/>
        <w:rPr>
          <w:bCs/>
          <w:sz w:val="24"/>
        </w:rPr>
      </w:pPr>
      <w:r>
        <w:rPr>
          <w:rFonts w:hint="eastAsia" w:ascii="仿宋" w:hAnsi="仿宋" w:eastAsia="仿宋" w:cs="仿宋"/>
          <w:color w:val="000000"/>
          <w:szCs w:val="21"/>
          <w:highlight w:val="none"/>
        </w:rPr>
        <w:t xml:space="preserve">  </w:t>
      </w:r>
      <w:r>
        <w:rPr>
          <w:rFonts w:hint="eastAsia"/>
          <w:bCs/>
          <w:sz w:val="24"/>
        </w:rPr>
        <w:t>供应商</w:t>
      </w:r>
      <w:r>
        <w:rPr>
          <w:bCs/>
          <w:sz w:val="24"/>
        </w:rPr>
        <w:t>全称（盖公章）：</w:t>
      </w:r>
    </w:p>
    <w:p>
      <w:pPr>
        <w:spacing w:line="480" w:lineRule="auto"/>
        <w:rPr>
          <w:bCs/>
          <w:sz w:val="24"/>
        </w:rPr>
      </w:pPr>
      <w:r>
        <w:rPr>
          <w:bCs/>
          <w:sz w:val="24"/>
        </w:rPr>
        <w:t>法定代表人或授权代表（签名或盖章）：</w:t>
      </w:r>
    </w:p>
    <w:p>
      <w:pPr>
        <w:spacing w:line="480" w:lineRule="auto"/>
        <w:rPr>
          <w:rFonts w:hint="eastAsia" w:ascii="宋体" w:hAnsi="宋体" w:eastAsia="宋体" w:cs="宋体"/>
          <w:color w:val="auto"/>
          <w:sz w:val="28"/>
          <w:szCs w:val="28"/>
          <w:highlight w:val="none"/>
        </w:rPr>
      </w:pPr>
      <w:r>
        <w:rPr>
          <w:bCs/>
          <w:sz w:val="24"/>
        </w:rPr>
        <w:t>日    期：     年   月   日</w:t>
      </w:r>
    </w:p>
    <w:p>
      <w:pPr>
        <w:numPr>
          <w:ilvl w:val="0"/>
          <w:numId w:val="0"/>
        </w:numPr>
        <w:spacing w:line="360" w:lineRule="auto"/>
        <w:ind w:firstLine="964" w:firstLineChars="300"/>
        <w:jc w:val="both"/>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十</w:t>
      </w:r>
      <w:r>
        <w:rPr>
          <w:rFonts w:hint="eastAsia" w:ascii="Times New Roman" w:hAnsi="Times New Roman" w:cs="Times New Roman"/>
          <w:b/>
          <w:bCs/>
          <w:kern w:val="2"/>
          <w:sz w:val="32"/>
          <w:szCs w:val="32"/>
          <w:lang w:val="en-US" w:eastAsia="zh-CN" w:bidi="ar-SA"/>
        </w:rPr>
        <w:t>四</w:t>
      </w:r>
      <w:r>
        <w:rPr>
          <w:rFonts w:hint="eastAsia" w:ascii="Times New Roman" w:hAnsi="Times New Roman" w:eastAsia="宋体" w:cs="Times New Roman"/>
          <w:b/>
          <w:bCs/>
          <w:kern w:val="2"/>
          <w:sz w:val="32"/>
          <w:szCs w:val="32"/>
          <w:lang w:val="en-US" w:eastAsia="zh-CN" w:bidi="ar-SA"/>
        </w:rPr>
        <w:t>、磋商响应人认为应附的其他资料（格式自拟）</w:t>
      </w:r>
    </w:p>
    <w:p>
      <w:pPr>
        <w:rPr>
          <w:rFonts w:hint="eastAsia" w:ascii="Times New Roman" w:hAnsi="Times New Roman" w:eastAsia="宋体" w:cs="Times New Roman"/>
          <w:b/>
          <w:bCs/>
          <w:kern w:val="2"/>
          <w:sz w:val="32"/>
          <w:szCs w:val="32"/>
          <w:lang w:val="en-US" w:eastAsia="zh-CN" w:bidi="ar-SA"/>
        </w:rPr>
      </w:pPr>
    </w:p>
    <w:p>
      <w:pPr>
        <w:pStyle w:val="5"/>
        <w:outlineLvl w:val="9"/>
        <w:rPr>
          <w:highlight w:val="none"/>
        </w:rPr>
      </w:pPr>
    </w:p>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pStyle w:val="5"/>
        <w:outlineLvl w:val="9"/>
        <w:rPr>
          <w:highlight w:val="none"/>
        </w:rPr>
      </w:pPr>
    </w:p>
    <w:p>
      <w:pPr>
        <w:rPr>
          <w:highlight w:val="none"/>
        </w:rPr>
      </w:pPr>
    </w:p>
    <w:p>
      <w:pPr>
        <w:numPr>
          <w:ilvl w:val="0"/>
          <w:numId w:val="0"/>
        </w:numPr>
        <w:spacing w:line="360" w:lineRule="auto"/>
        <w:ind w:firstLine="964" w:firstLineChars="300"/>
        <w:jc w:val="center"/>
        <w:rPr>
          <w:rFonts w:hint="eastAsia" w:ascii="Times New Roman" w:hAnsi="Times New Roman" w:eastAsia="宋体" w:cs="Times New Roman"/>
          <w:b/>
          <w:bCs/>
          <w:kern w:val="2"/>
          <w:sz w:val="32"/>
          <w:szCs w:val="32"/>
          <w:lang w:val="en-US" w:eastAsia="zh-CN" w:bidi="ar-SA"/>
        </w:rPr>
      </w:pPr>
      <w:r>
        <w:rPr>
          <w:rFonts w:hint="eastAsia" w:ascii="Times New Roman" w:hAnsi="Times New Roman" w:eastAsia="宋体" w:cs="Times New Roman"/>
          <w:b/>
          <w:bCs/>
          <w:kern w:val="2"/>
          <w:sz w:val="32"/>
          <w:szCs w:val="32"/>
          <w:lang w:val="en-US" w:eastAsia="zh-CN" w:bidi="ar-SA"/>
        </w:rPr>
        <w:t>质疑及处理</w:t>
      </w:r>
    </w:p>
    <w:p>
      <w:pPr>
        <w:spacing w:line="360" w:lineRule="auto"/>
        <w:rPr>
          <w:rFonts w:hint="eastAsia" w:ascii="宋体" w:hAnsi="宋体" w:cs="Times New Roman"/>
          <w:sz w:val="22"/>
          <w:szCs w:val="22"/>
        </w:rPr>
      </w:pPr>
      <w:r>
        <w:rPr>
          <w:rFonts w:hint="eastAsia" w:ascii="宋体" w:hAnsi="宋体" w:cs="Times New Roman"/>
          <w:sz w:val="22"/>
          <w:szCs w:val="22"/>
        </w:rPr>
        <w:t>1 质疑的提出</w:t>
      </w:r>
    </w:p>
    <w:p>
      <w:pPr>
        <w:spacing w:line="360" w:lineRule="auto"/>
        <w:rPr>
          <w:rFonts w:hint="eastAsia" w:ascii="宋体" w:hAnsi="宋体" w:cs="Times New Roman"/>
          <w:sz w:val="22"/>
          <w:szCs w:val="22"/>
        </w:rPr>
      </w:pPr>
      <w:r>
        <w:rPr>
          <w:rFonts w:hint="eastAsia" w:ascii="宋体" w:hAnsi="宋体" w:cs="Times New Roman"/>
          <w:sz w:val="22"/>
          <w:szCs w:val="22"/>
        </w:rPr>
        <w:t>1.1 质疑人必须是直接参与本次采购活动的投标人。质疑不接受邮寄。</w:t>
      </w:r>
    </w:p>
    <w:p>
      <w:pPr>
        <w:spacing w:line="360" w:lineRule="auto"/>
        <w:rPr>
          <w:rFonts w:hint="eastAsia" w:ascii="宋体" w:hAnsi="宋体" w:cs="Times New Roman"/>
          <w:sz w:val="22"/>
          <w:szCs w:val="22"/>
        </w:rPr>
      </w:pPr>
      <w:r>
        <w:rPr>
          <w:rFonts w:hint="eastAsia" w:ascii="宋体" w:hAnsi="宋体" w:cs="Times New Roman"/>
          <w:sz w:val="22"/>
          <w:szCs w:val="22"/>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3个工作日）起</w:t>
      </w:r>
      <w:r>
        <w:rPr>
          <w:rFonts w:hint="eastAsia" w:ascii="宋体" w:hAnsi="宋体" w:cs="Times New Roman"/>
          <w:sz w:val="22"/>
          <w:szCs w:val="22"/>
          <w:lang w:val="en-US" w:eastAsia="zh-CN"/>
        </w:rPr>
        <w:t>7</w:t>
      </w:r>
      <w:r>
        <w:rPr>
          <w:rFonts w:hint="eastAsia" w:ascii="宋体" w:hAnsi="宋体" w:cs="Times New Roman"/>
          <w:sz w:val="22"/>
          <w:szCs w:val="22"/>
        </w:rPr>
        <w:t>个工作日内按招标文件中载明的邮箱：</w:t>
      </w:r>
      <w:r>
        <w:rPr>
          <w:rFonts w:hint="eastAsia" w:ascii="宋体" w:hAnsi="宋体" w:cs="Times New Roman"/>
          <w:sz w:val="22"/>
          <w:szCs w:val="22"/>
        </w:rPr>
        <w:fldChar w:fldCharType="begin"/>
      </w:r>
      <w:r>
        <w:rPr>
          <w:rFonts w:hint="eastAsia" w:ascii="宋体" w:hAnsi="宋体" w:cs="Times New Roman"/>
          <w:sz w:val="22"/>
          <w:szCs w:val="22"/>
        </w:rPr>
        <w:instrText xml:space="preserve"> HYPERLINK "mailto:458000655@qq.com地址，以书面形式、应加盖公章通知招标人。招标人认为必要时，将（澄清）修改后的公告发布在新疆政府采购网（http:/www.ccgp-xinjiang.gov.cn/）与和田市人民政府网（http:/www.hts.gov.cn/），敬请投标企业及时关注。在规定期限内投标企业未提出质疑的视为投标企业默认招标文件不存在质疑的相关问题。超过招标文件质疑时间将不再接受投标企业所提出的质疑。" </w:instrText>
      </w:r>
      <w:r>
        <w:rPr>
          <w:rFonts w:hint="eastAsia" w:ascii="宋体" w:hAnsi="宋体" w:cs="Times New Roman"/>
          <w:sz w:val="22"/>
          <w:szCs w:val="22"/>
        </w:rPr>
        <w:fldChar w:fldCharType="separate"/>
      </w:r>
      <w:r>
        <w:rPr>
          <w:rFonts w:hint="eastAsia" w:ascii="宋体" w:hAnsi="宋体" w:cs="Times New Roman"/>
          <w:sz w:val="22"/>
          <w:szCs w:val="22"/>
          <w:lang w:val="en-US" w:eastAsia="zh-CN"/>
        </w:rPr>
        <w:t>244273844@qq.com</w:t>
      </w:r>
      <w:r>
        <w:rPr>
          <w:rFonts w:hint="eastAsia" w:ascii="宋体" w:hAnsi="宋体" w:cs="Times New Roman"/>
          <w:sz w:val="22"/>
          <w:szCs w:val="22"/>
        </w:rPr>
        <w:t>地址，以书面形式、应加盖公章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r>
        <w:rPr>
          <w:rFonts w:hint="eastAsia" w:ascii="宋体" w:hAnsi="宋体" w:cs="Times New Roman"/>
          <w:sz w:val="22"/>
          <w:szCs w:val="22"/>
        </w:rPr>
        <w:fldChar w:fldCharType="end"/>
      </w:r>
      <w:r>
        <w:rPr>
          <w:rFonts w:hint="eastAsia" w:ascii="宋体" w:hAnsi="宋体" w:cs="Times New Roman"/>
          <w:sz w:val="22"/>
          <w:szCs w:val="22"/>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360" w:lineRule="auto"/>
        <w:rPr>
          <w:rFonts w:hint="eastAsia" w:ascii="宋体" w:hAnsi="宋体" w:cs="Times New Roman"/>
          <w:sz w:val="22"/>
          <w:szCs w:val="22"/>
        </w:rPr>
      </w:pPr>
      <w:r>
        <w:rPr>
          <w:rFonts w:hint="eastAsia" w:ascii="宋体" w:hAnsi="宋体" w:cs="Times New Roman"/>
          <w:sz w:val="22"/>
          <w:szCs w:val="22"/>
        </w:rPr>
        <w:t>1.3 对成交公告有异议的，在成交公告发布之日起五个工作日内，以书面形式并加盖公章和法人代表签字向招标方提出质疑。</w:t>
      </w:r>
    </w:p>
    <w:p>
      <w:pPr>
        <w:spacing w:line="360" w:lineRule="auto"/>
        <w:rPr>
          <w:rFonts w:hint="eastAsia" w:ascii="宋体" w:hAnsi="宋体" w:cs="Times New Roman"/>
          <w:sz w:val="22"/>
          <w:szCs w:val="22"/>
        </w:rPr>
      </w:pPr>
      <w:r>
        <w:rPr>
          <w:rFonts w:hint="eastAsia" w:ascii="宋体" w:hAnsi="宋体" w:cs="Times New Roman"/>
          <w:sz w:val="22"/>
          <w:szCs w:val="22"/>
        </w:rPr>
        <w:t>1.4 提出质疑时，必须按照“实事求是”、“谁主张，谁举证”的原则，提供相关证明材料，不能主观臆测。</w:t>
      </w:r>
    </w:p>
    <w:p>
      <w:pPr>
        <w:spacing w:line="360" w:lineRule="auto"/>
        <w:rPr>
          <w:rFonts w:hint="eastAsia" w:ascii="宋体" w:hAnsi="宋体" w:cs="Times New Roman"/>
          <w:sz w:val="22"/>
          <w:szCs w:val="22"/>
        </w:rPr>
      </w:pPr>
      <w:r>
        <w:rPr>
          <w:rFonts w:hint="eastAsia" w:ascii="宋体" w:hAnsi="宋体" w:cs="Times New Roman"/>
          <w:sz w:val="22"/>
          <w:szCs w:val="22"/>
        </w:rPr>
        <w:t>1.5 质疑函采用实名制，不得进行虚假、恶意质疑。质疑人应在质疑有效期内提交《质疑函》（格式后附），质疑函内容应包括质疑人相关信息、质疑事项、事实依据、适应法规条款、佐证材料等。</w:t>
      </w:r>
    </w:p>
    <w:p>
      <w:pPr>
        <w:spacing w:line="360" w:lineRule="auto"/>
        <w:rPr>
          <w:rFonts w:hint="eastAsia" w:ascii="宋体" w:hAnsi="宋体" w:cs="Times New Roman"/>
          <w:sz w:val="22"/>
          <w:szCs w:val="22"/>
        </w:rPr>
      </w:pPr>
      <w:r>
        <w:rPr>
          <w:rFonts w:hint="eastAsia" w:ascii="宋体" w:hAnsi="宋体" w:cs="Times New Roman"/>
          <w:sz w:val="22"/>
          <w:szCs w:val="22"/>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360" w:lineRule="auto"/>
        <w:rPr>
          <w:rFonts w:hint="eastAsia" w:ascii="宋体" w:hAnsi="宋体" w:cs="Times New Roman"/>
          <w:sz w:val="22"/>
          <w:szCs w:val="22"/>
        </w:rPr>
      </w:pPr>
      <w:r>
        <w:rPr>
          <w:rFonts w:hint="eastAsia" w:ascii="宋体" w:hAnsi="宋体" w:cs="Times New Roman"/>
          <w:sz w:val="22"/>
          <w:szCs w:val="22"/>
        </w:rPr>
        <w:t>1.7 佐证材料要具备客观性、关联性、合法性，无法查实的（如宣传册、媒体报道、猜测、推理等）不能作为佐证材料。</w:t>
      </w:r>
    </w:p>
    <w:p>
      <w:pPr>
        <w:spacing w:line="360" w:lineRule="auto"/>
        <w:rPr>
          <w:rFonts w:hint="eastAsia" w:ascii="宋体" w:hAnsi="宋体" w:cs="Times New Roman"/>
          <w:sz w:val="22"/>
          <w:szCs w:val="22"/>
        </w:rPr>
      </w:pPr>
      <w:r>
        <w:rPr>
          <w:rFonts w:hint="eastAsia" w:ascii="宋体" w:hAnsi="宋体" w:cs="Times New Roman"/>
          <w:sz w:val="22"/>
          <w:szCs w:val="22"/>
        </w:rPr>
        <w:t>1.8 对不能提供相关佐证材料的、涉及商业秘密的、非书面形式送达的、匿名的质疑将不予受理。</w:t>
      </w:r>
    </w:p>
    <w:p>
      <w:pPr>
        <w:spacing w:line="360" w:lineRule="auto"/>
        <w:rPr>
          <w:rFonts w:hint="eastAsia" w:ascii="宋体" w:hAnsi="宋体" w:cs="Times New Roman"/>
          <w:sz w:val="22"/>
          <w:szCs w:val="22"/>
        </w:rPr>
      </w:pPr>
      <w:r>
        <w:rPr>
          <w:rFonts w:hint="eastAsia" w:ascii="宋体" w:hAnsi="宋体" w:cs="Times New Roman"/>
          <w:sz w:val="22"/>
          <w:szCs w:val="22"/>
        </w:rPr>
        <w:t>1.9 对于有关资质要求、技术参数存在限制性、倾向性条款的及付款方式等方面的质疑，可在规定的时间内直接向采购单位提出并抄送招标方。</w:t>
      </w:r>
    </w:p>
    <w:p>
      <w:pPr>
        <w:spacing w:line="360" w:lineRule="auto"/>
        <w:rPr>
          <w:rFonts w:hint="eastAsia" w:ascii="宋体" w:hAnsi="宋体" w:cs="Times New Roman"/>
          <w:sz w:val="22"/>
          <w:szCs w:val="22"/>
        </w:rPr>
      </w:pPr>
      <w:r>
        <w:rPr>
          <w:rFonts w:hint="eastAsia" w:ascii="宋体" w:hAnsi="宋体" w:cs="Times New Roman"/>
          <w:sz w:val="22"/>
          <w:szCs w:val="22"/>
        </w:rPr>
        <w:t>2 受理和处理</w:t>
      </w:r>
    </w:p>
    <w:p>
      <w:pPr>
        <w:spacing w:line="360" w:lineRule="auto"/>
        <w:rPr>
          <w:rFonts w:hint="eastAsia" w:ascii="宋体" w:hAnsi="宋体" w:cs="Times New Roman"/>
          <w:sz w:val="22"/>
          <w:szCs w:val="22"/>
        </w:rPr>
      </w:pPr>
      <w:r>
        <w:rPr>
          <w:rFonts w:hint="eastAsia" w:ascii="宋体" w:hAnsi="宋体" w:cs="Times New Roman"/>
          <w:sz w:val="22"/>
          <w:szCs w:val="22"/>
        </w:rPr>
        <w:t>2.1 《质疑函》必须由质疑方的法定代表人或投标代表以招标文件指定的方式送达招标方或采购单位。</w:t>
      </w:r>
    </w:p>
    <w:p>
      <w:pPr>
        <w:spacing w:line="360" w:lineRule="auto"/>
        <w:rPr>
          <w:rFonts w:hint="eastAsia" w:ascii="宋体" w:hAnsi="宋体" w:cs="Times New Roman"/>
          <w:sz w:val="22"/>
          <w:szCs w:val="22"/>
        </w:rPr>
      </w:pPr>
      <w:r>
        <w:rPr>
          <w:rFonts w:hint="eastAsia" w:ascii="宋体" w:hAnsi="宋体" w:cs="Times New Roman"/>
          <w:sz w:val="22"/>
          <w:szCs w:val="22"/>
        </w:rPr>
        <w:t>2.2 对符合要求的质疑，采购单位或招标方须签收。同一质疑人的质疑只接受一次。</w:t>
      </w:r>
    </w:p>
    <w:p>
      <w:pPr>
        <w:spacing w:line="360" w:lineRule="auto"/>
        <w:rPr>
          <w:rFonts w:hint="eastAsia" w:ascii="宋体" w:hAnsi="宋体" w:cs="Times New Roman"/>
          <w:sz w:val="22"/>
          <w:szCs w:val="22"/>
        </w:rPr>
      </w:pPr>
      <w:r>
        <w:rPr>
          <w:rFonts w:hint="eastAsia" w:ascii="宋体" w:hAnsi="宋体" w:cs="Times New Roman"/>
          <w:sz w:val="22"/>
          <w:szCs w:val="22"/>
        </w:rPr>
        <w:t>2.3 对于不符合上述所有条款要求的质疑，招标方将不予受理。</w:t>
      </w:r>
    </w:p>
    <w:p>
      <w:pPr>
        <w:spacing w:line="360" w:lineRule="auto"/>
        <w:rPr>
          <w:rFonts w:hint="eastAsia" w:ascii="宋体" w:hAnsi="宋体" w:cs="Times New Roman"/>
          <w:sz w:val="22"/>
          <w:szCs w:val="22"/>
        </w:rPr>
      </w:pPr>
      <w:r>
        <w:rPr>
          <w:rFonts w:hint="eastAsia" w:ascii="宋体" w:hAnsi="宋体" w:cs="Times New Roman"/>
          <w:sz w:val="22"/>
          <w:szCs w:val="22"/>
        </w:rPr>
        <w:t>2.4 在处理过程中，发现需要质疑人进一步补充相关佐证材料的，要求质疑人在规定时间内提供。质疑人不能按照要求提供相关佐证材料的，视同放弃质疑。</w:t>
      </w:r>
    </w:p>
    <w:p>
      <w:pPr>
        <w:spacing w:line="360" w:lineRule="auto"/>
        <w:rPr>
          <w:rFonts w:hint="eastAsia" w:ascii="宋体" w:hAnsi="宋体" w:cs="Times New Roman"/>
          <w:sz w:val="22"/>
          <w:szCs w:val="22"/>
        </w:rPr>
      </w:pPr>
      <w:r>
        <w:rPr>
          <w:rFonts w:hint="eastAsia" w:ascii="宋体" w:hAnsi="宋体" w:cs="Times New Roman"/>
          <w:sz w:val="22"/>
          <w:szCs w:val="22"/>
        </w:rPr>
        <w:t>2.5 招标方或采购单位负责对质疑的回复工作，将质疑人的质疑材料提供给相关专家或评标委员会，并将处理意见回复质疑人。</w:t>
      </w:r>
    </w:p>
    <w:p>
      <w:pPr>
        <w:spacing w:line="360" w:lineRule="auto"/>
        <w:rPr>
          <w:rFonts w:hint="eastAsia" w:ascii="宋体" w:hAnsi="宋体" w:cs="Times New Roman"/>
          <w:sz w:val="22"/>
          <w:szCs w:val="22"/>
        </w:rPr>
      </w:pPr>
      <w:r>
        <w:rPr>
          <w:rFonts w:hint="eastAsia" w:ascii="宋体" w:hAnsi="宋体" w:cs="Times New Roman"/>
          <w:sz w:val="22"/>
          <w:szCs w:val="22"/>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360" w:lineRule="auto"/>
        <w:rPr>
          <w:rFonts w:hint="eastAsia" w:ascii="宋体" w:hAnsi="宋体" w:cs="Times New Roman"/>
          <w:sz w:val="22"/>
          <w:szCs w:val="22"/>
        </w:rPr>
      </w:pPr>
      <w:r>
        <w:rPr>
          <w:rFonts w:hint="eastAsia" w:ascii="宋体" w:hAnsi="宋体" w:cs="Times New Roman"/>
          <w:sz w:val="22"/>
          <w:szCs w:val="22"/>
        </w:rPr>
        <w:t>3 质疑无效的处理</w:t>
      </w:r>
    </w:p>
    <w:p>
      <w:pPr>
        <w:spacing w:line="360" w:lineRule="auto"/>
        <w:rPr>
          <w:rFonts w:hint="eastAsia" w:ascii="宋体" w:hAnsi="宋体" w:cs="Times New Roman"/>
          <w:sz w:val="22"/>
          <w:szCs w:val="22"/>
        </w:rPr>
      </w:pPr>
      <w:r>
        <w:rPr>
          <w:rFonts w:hint="eastAsia" w:ascii="宋体" w:hAnsi="宋体" w:cs="Times New Roman"/>
          <w:sz w:val="22"/>
          <w:szCs w:val="22"/>
        </w:rPr>
        <w:t>3.1 质疑人提供的相关佐证材料不能证明质疑成立的，招标方可要求质疑人补充相关佐证材料，如补充材料仍不能证明质疑成立的，将不予受理。</w:t>
      </w:r>
    </w:p>
    <w:p>
      <w:pPr>
        <w:spacing w:line="360" w:lineRule="auto"/>
        <w:rPr>
          <w:rFonts w:hint="eastAsia" w:ascii="宋体" w:hAnsi="宋体" w:cs="Times New Roman"/>
          <w:sz w:val="22"/>
          <w:szCs w:val="22"/>
        </w:rPr>
      </w:pPr>
      <w:r>
        <w:rPr>
          <w:rFonts w:hint="eastAsia" w:ascii="宋体" w:hAnsi="宋体" w:cs="Times New Roman"/>
          <w:sz w:val="22"/>
          <w:szCs w:val="22"/>
        </w:rPr>
        <w:t>3.2 对于质疑人在质疑期间不配合进行质疑调查处理的，视为自动放弃质疑。</w:t>
      </w:r>
    </w:p>
    <w:p>
      <w:pPr>
        <w:spacing w:line="360" w:lineRule="auto"/>
        <w:rPr>
          <w:rFonts w:hint="eastAsia" w:ascii="宋体" w:hAnsi="宋体" w:cs="Times New Roman"/>
          <w:sz w:val="22"/>
          <w:szCs w:val="22"/>
        </w:rPr>
      </w:pPr>
      <w:r>
        <w:rPr>
          <w:rFonts w:hint="eastAsia" w:ascii="宋体" w:hAnsi="宋体" w:cs="Times New Roman"/>
          <w:sz w:val="22"/>
          <w:szCs w:val="22"/>
        </w:rPr>
        <w:t>3.3 质疑人提出的质疑，经评标专家审定后驳回的，列为无效质疑。</w:t>
      </w:r>
    </w:p>
    <w:p>
      <w:pPr>
        <w:spacing w:line="360" w:lineRule="auto"/>
        <w:rPr>
          <w:rFonts w:hint="eastAsia" w:ascii="宋体" w:hAnsi="宋体" w:cs="Times New Roman"/>
          <w:sz w:val="22"/>
          <w:szCs w:val="22"/>
        </w:rPr>
      </w:pPr>
      <w:r>
        <w:rPr>
          <w:rFonts w:hint="eastAsia" w:ascii="宋体" w:hAnsi="宋体" w:cs="Times New Roman"/>
          <w:sz w:val="22"/>
          <w:szCs w:val="22"/>
        </w:rPr>
        <w:t>3.4 对于质疑中使用虚假材料或恶意方式质疑的，按无效质疑处理，并列入不良记录供应商名单。</w:t>
      </w:r>
    </w:p>
    <w:p>
      <w:pPr>
        <w:spacing w:line="360" w:lineRule="auto"/>
        <w:rPr>
          <w:rFonts w:hint="eastAsia" w:ascii="宋体" w:hAnsi="宋体" w:cs="Times New Roman"/>
          <w:sz w:val="22"/>
          <w:szCs w:val="22"/>
        </w:rPr>
      </w:pPr>
      <w:r>
        <w:rPr>
          <w:rFonts w:hint="eastAsia" w:ascii="宋体" w:hAnsi="宋体" w:cs="Times New Roman"/>
          <w:sz w:val="22"/>
          <w:szCs w:val="22"/>
        </w:rPr>
        <w:t>3.5质疑人进行质疑后，招标方在法定时间内对质疑进行回复，质疑人认为回复不满意的，可向政府采购管理部门进行投诉。</w:t>
      </w:r>
    </w:p>
    <w:p>
      <w:pPr>
        <w:overflowPunct w:val="0"/>
        <w:spacing w:line="440" w:lineRule="exact"/>
        <w:jc w:val="center"/>
        <w:outlineLvl w:val="0"/>
        <w:rPr>
          <w:rStyle w:val="41"/>
          <w:rFonts w:hint="eastAsia" w:ascii="仿宋" w:hAnsi="仿宋" w:eastAsia="仿宋" w:cs="仿宋"/>
          <w:color w:val="000000"/>
          <w:sz w:val="36"/>
          <w:szCs w:val="36"/>
          <w:highlight w:val="none"/>
        </w:rPr>
      </w:pPr>
      <w:r>
        <w:rPr>
          <w:rFonts w:hint="eastAsia" w:ascii="仿宋" w:hAnsi="仿宋" w:eastAsia="仿宋" w:cs="仿宋"/>
          <w:bCs/>
          <w:color w:val="000000"/>
          <w:highlight w:val="none"/>
        </w:rPr>
        <w:br w:type="page"/>
      </w:r>
      <w:bookmarkStart w:id="88" w:name="_Toc5029"/>
      <w:bookmarkStart w:id="89" w:name="_Toc11998"/>
      <w:bookmarkStart w:id="90" w:name="_Toc22619"/>
      <w:bookmarkStart w:id="91" w:name="_Toc25594"/>
      <w:bookmarkStart w:id="92" w:name="_Toc27170"/>
      <w:bookmarkStart w:id="93" w:name="_Toc14886"/>
      <w:bookmarkStart w:id="94" w:name="_Toc2183"/>
      <w:bookmarkStart w:id="95" w:name="_Toc1020"/>
      <w:bookmarkStart w:id="96" w:name="_Toc27328"/>
      <w:bookmarkStart w:id="97" w:name="_Toc30135"/>
      <w:r>
        <w:rPr>
          <w:rStyle w:val="41"/>
          <w:rFonts w:hint="eastAsia" w:ascii="仿宋" w:hAnsi="仿宋" w:eastAsia="仿宋" w:cs="仿宋"/>
          <w:color w:val="000000"/>
          <w:sz w:val="36"/>
          <w:szCs w:val="36"/>
          <w:highlight w:val="none"/>
        </w:rPr>
        <w:t>质疑函</w:t>
      </w:r>
      <w:bookmarkEnd w:id="88"/>
      <w:bookmarkEnd w:id="89"/>
      <w:bookmarkEnd w:id="90"/>
      <w:bookmarkEnd w:id="91"/>
      <w:bookmarkEnd w:id="92"/>
    </w:p>
    <w:bookmarkEnd w:id="93"/>
    <w:bookmarkEnd w:id="94"/>
    <w:bookmarkEnd w:id="95"/>
    <w:bookmarkEnd w:id="96"/>
    <w:bookmarkEnd w:id="97"/>
    <w:p>
      <w:pPr>
        <w:overflowPunct w:val="0"/>
        <w:spacing w:line="440" w:lineRule="exact"/>
        <w:rPr>
          <w:rFonts w:hint="eastAsia" w:ascii="仿宋" w:hAnsi="仿宋" w:eastAsia="仿宋" w:cs="仿宋"/>
          <w:bCs/>
          <w:color w:val="000000"/>
          <w:highlight w:val="none"/>
        </w:rPr>
      </w:pPr>
      <w:r>
        <w:rPr>
          <w:rFonts w:hint="eastAsia" w:ascii="仿宋" w:hAnsi="仿宋" w:eastAsia="仿宋" w:cs="仿宋"/>
          <w:bCs/>
          <w:color w:val="000000"/>
          <w:highlight w:val="none"/>
          <w:u w:val="single"/>
        </w:rPr>
        <w:t xml:space="preserve">                    </w:t>
      </w:r>
      <w:r>
        <w:rPr>
          <w:rFonts w:hint="eastAsia" w:ascii="仿宋" w:hAnsi="仿宋" w:eastAsia="仿宋" w:cs="仿宋"/>
          <w:bCs/>
          <w:color w:val="000000"/>
          <w:highlight w:val="none"/>
        </w:rPr>
        <w:t>：</w:t>
      </w:r>
    </w:p>
    <w:p>
      <w:pPr>
        <w:spacing w:line="360" w:lineRule="auto"/>
        <w:rPr>
          <w:rFonts w:hint="eastAsia" w:ascii="宋体" w:hAnsi="宋体" w:cs="Times New Roman"/>
          <w:sz w:val="22"/>
          <w:szCs w:val="22"/>
        </w:rPr>
      </w:pPr>
      <w:r>
        <w:rPr>
          <w:rFonts w:hint="eastAsia" w:ascii="宋体" w:hAnsi="宋体" w:cs="Times New Roman"/>
          <w:sz w:val="22"/>
          <w:szCs w:val="22"/>
        </w:rPr>
        <w:t>依据政府采购相关法规，我公司对           项目的（项目编号：         ）招标活动存在疑问，特提出质疑（详见下表）。</w:t>
      </w:r>
    </w:p>
    <w:p>
      <w:pPr>
        <w:spacing w:line="360" w:lineRule="auto"/>
        <w:rPr>
          <w:rFonts w:hint="eastAsia" w:ascii="宋体" w:hAnsi="宋体" w:cs="Times New Roman"/>
          <w:sz w:val="22"/>
          <w:szCs w:val="22"/>
        </w:rPr>
      </w:pPr>
      <w:r>
        <w:rPr>
          <w:rFonts w:hint="eastAsia" w:ascii="宋体" w:hAnsi="宋体" w:cs="Times New Roman"/>
          <w:sz w:val="22"/>
          <w:szCs w:val="22"/>
        </w:rPr>
        <w:t>我公司和本人对此质疑函内容的真实性负责，并愿意承担由此引起的相应处理和法律责任。</w:t>
      </w: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r>
        <w:rPr>
          <w:rFonts w:hint="eastAsia" w:ascii="宋体" w:hAnsi="宋体" w:cs="Times New Roman"/>
          <w:sz w:val="22"/>
          <w:szCs w:val="22"/>
        </w:rPr>
        <w:t>法定代表人（签字并盖名章）：</w:t>
      </w:r>
    </w:p>
    <w:p>
      <w:pPr>
        <w:spacing w:line="360" w:lineRule="auto"/>
        <w:rPr>
          <w:rFonts w:hint="eastAsia" w:ascii="宋体" w:hAnsi="宋体" w:cs="Times New Roman"/>
          <w:sz w:val="22"/>
          <w:szCs w:val="22"/>
        </w:rPr>
      </w:pPr>
      <w:r>
        <w:rPr>
          <w:rFonts w:hint="eastAsia" w:ascii="宋体" w:hAnsi="宋体" w:cs="Times New Roman"/>
          <w:sz w:val="22"/>
          <w:szCs w:val="22"/>
        </w:rPr>
        <w:t>身份证号码：</w:t>
      </w:r>
    </w:p>
    <w:p>
      <w:pPr>
        <w:spacing w:line="360" w:lineRule="auto"/>
        <w:rPr>
          <w:rFonts w:hint="eastAsia" w:ascii="宋体" w:hAnsi="宋体" w:cs="Times New Roman"/>
          <w:sz w:val="22"/>
          <w:szCs w:val="22"/>
        </w:rPr>
      </w:pPr>
      <w:r>
        <w:rPr>
          <w:rFonts w:hint="eastAsia" w:ascii="宋体" w:hAnsi="宋体" w:cs="Times New Roman"/>
          <w:sz w:val="22"/>
          <w:szCs w:val="22"/>
        </w:rPr>
        <w:t>固话：      传真：     手机：</w:t>
      </w: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r>
        <w:rPr>
          <w:rFonts w:hint="eastAsia" w:ascii="宋体" w:hAnsi="宋体" w:cs="Times New Roman"/>
          <w:sz w:val="22"/>
          <w:szCs w:val="22"/>
        </w:rPr>
        <w:t>本项目授权委托人（签字并盖名章）：</w:t>
      </w:r>
    </w:p>
    <w:p>
      <w:pPr>
        <w:spacing w:line="360" w:lineRule="auto"/>
        <w:rPr>
          <w:rFonts w:hint="eastAsia" w:ascii="宋体" w:hAnsi="宋体" w:cs="Times New Roman"/>
          <w:sz w:val="22"/>
          <w:szCs w:val="22"/>
        </w:rPr>
      </w:pPr>
      <w:r>
        <w:rPr>
          <w:rFonts w:hint="eastAsia" w:ascii="宋体" w:hAnsi="宋体" w:cs="Times New Roman"/>
          <w:sz w:val="22"/>
          <w:szCs w:val="22"/>
        </w:rPr>
        <w:t>身份证号码：</w:t>
      </w:r>
    </w:p>
    <w:p>
      <w:pPr>
        <w:spacing w:line="360" w:lineRule="auto"/>
        <w:rPr>
          <w:rFonts w:hint="eastAsia" w:ascii="宋体" w:hAnsi="宋体" w:cs="Times New Roman"/>
          <w:sz w:val="22"/>
          <w:szCs w:val="22"/>
        </w:rPr>
      </w:pPr>
      <w:r>
        <w:rPr>
          <w:rFonts w:hint="eastAsia" w:ascii="宋体" w:hAnsi="宋体" w:cs="Times New Roman"/>
          <w:sz w:val="22"/>
          <w:szCs w:val="22"/>
        </w:rPr>
        <w:t>固话：        传真：    手机：</w:t>
      </w: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r>
        <w:rPr>
          <w:rFonts w:hint="eastAsia" w:ascii="宋体" w:hAnsi="宋体" w:cs="Times New Roman"/>
          <w:sz w:val="22"/>
          <w:szCs w:val="22"/>
        </w:rPr>
        <w:t>公司地址：              邮编：</w:t>
      </w:r>
    </w:p>
    <w:p>
      <w:pPr>
        <w:spacing w:line="360" w:lineRule="auto"/>
        <w:rPr>
          <w:rFonts w:hint="eastAsia" w:ascii="宋体" w:hAnsi="宋体" w:cs="Times New Roman"/>
          <w:sz w:val="22"/>
          <w:szCs w:val="22"/>
        </w:rPr>
      </w:pPr>
      <w:r>
        <w:rPr>
          <w:rFonts w:hint="eastAsia" w:ascii="宋体" w:hAnsi="宋体" w:cs="Times New Roman"/>
          <w:sz w:val="22"/>
          <w:szCs w:val="22"/>
        </w:rPr>
        <w:t>（如法人为质疑人则不需要填此项）</w:t>
      </w:r>
    </w:p>
    <w:p>
      <w:pPr>
        <w:spacing w:line="360" w:lineRule="auto"/>
        <w:rPr>
          <w:rFonts w:hint="eastAsia" w:ascii="宋体" w:hAnsi="宋体" w:cs="Times New Roman"/>
          <w:sz w:val="22"/>
          <w:szCs w:val="22"/>
        </w:rPr>
      </w:pPr>
      <w:r>
        <w:rPr>
          <w:rFonts w:hint="eastAsia" w:ascii="宋体" w:hAnsi="宋体" w:cs="Times New Roman"/>
          <w:sz w:val="22"/>
          <w:szCs w:val="22"/>
        </w:rPr>
        <w:t xml:space="preserve">质疑人（公章）：            </w:t>
      </w: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r>
        <w:rPr>
          <w:rFonts w:hint="eastAsia" w:ascii="宋体" w:hAnsi="宋体" w:cs="Times New Roman"/>
          <w:sz w:val="22"/>
          <w:szCs w:val="22"/>
        </w:rPr>
        <w:t xml:space="preserve">年   月   日 </w:t>
      </w:r>
    </w:p>
    <w:p>
      <w:pPr>
        <w:overflowPunct w:val="0"/>
        <w:spacing w:line="440" w:lineRule="exact"/>
        <w:rPr>
          <w:rFonts w:hint="eastAsia" w:ascii="仿宋" w:hAnsi="仿宋" w:eastAsia="仿宋" w:cs="仿宋"/>
          <w:bCs/>
          <w:color w:val="000000"/>
          <w:highlight w:val="none"/>
        </w:rPr>
      </w:pPr>
    </w:p>
    <w:p>
      <w:pPr>
        <w:overflowPunct w:val="0"/>
        <w:spacing w:line="440" w:lineRule="exact"/>
        <w:rPr>
          <w:rFonts w:hint="eastAsia" w:ascii="仿宋" w:hAnsi="仿宋" w:eastAsia="仿宋" w:cs="仿宋"/>
          <w:bCs/>
          <w:color w:val="000000"/>
          <w:highlight w:val="none"/>
        </w:rPr>
      </w:pPr>
    </w:p>
    <w:p>
      <w:pPr>
        <w:overflowPunct w:val="0"/>
        <w:spacing w:line="440" w:lineRule="exact"/>
        <w:rPr>
          <w:rFonts w:hint="eastAsia" w:ascii="仿宋" w:hAnsi="仿宋" w:eastAsia="仿宋" w:cs="仿宋"/>
          <w:bCs/>
          <w:color w:val="000000"/>
          <w:highlight w:val="none"/>
        </w:rPr>
      </w:pPr>
    </w:p>
    <w:p>
      <w:pPr>
        <w:overflowPunct w:val="0"/>
        <w:spacing w:line="440" w:lineRule="exact"/>
        <w:rPr>
          <w:rFonts w:hint="eastAsia" w:ascii="仿宋" w:hAnsi="仿宋" w:eastAsia="仿宋" w:cs="仿宋"/>
          <w:bCs/>
          <w:color w:val="000000"/>
          <w:highlight w:val="none"/>
        </w:rPr>
      </w:pPr>
    </w:p>
    <w:p>
      <w:pPr>
        <w:pStyle w:val="5"/>
        <w:outlineLvl w:val="9"/>
        <w:rPr>
          <w:rFonts w:hint="eastAsia" w:ascii="仿宋" w:hAnsi="仿宋" w:eastAsia="仿宋" w:cs="仿宋"/>
          <w:bCs/>
          <w:color w:val="000000"/>
          <w:highlight w:val="none"/>
        </w:rPr>
      </w:pPr>
    </w:p>
    <w:p>
      <w:pPr>
        <w:rPr>
          <w:rFonts w:hint="eastAsia" w:ascii="仿宋" w:hAnsi="仿宋" w:eastAsia="仿宋" w:cs="仿宋"/>
          <w:bCs/>
          <w:color w:val="000000"/>
          <w:highlight w:val="none"/>
        </w:rPr>
      </w:pPr>
    </w:p>
    <w:p>
      <w:pPr>
        <w:pStyle w:val="5"/>
        <w:outlineLvl w:val="9"/>
        <w:rPr>
          <w:rFonts w:hint="eastAsia" w:ascii="仿宋" w:hAnsi="仿宋" w:eastAsia="仿宋" w:cs="仿宋"/>
          <w:bCs/>
          <w:color w:val="000000"/>
          <w:highlight w:val="none"/>
        </w:rPr>
      </w:pPr>
    </w:p>
    <w:p>
      <w:pPr>
        <w:rPr>
          <w:rFonts w:hint="eastAsia"/>
        </w:rPr>
      </w:pPr>
    </w:p>
    <w:p>
      <w:pPr>
        <w:overflowPunct w:val="0"/>
        <w:spacing w:line="440" w:lineRule="exact"/>
        <w:rPr>
          <w:rFonts w:hint="eastAsia" w:ascii="仿宋" w:hAnsi="仿宋" w:eastAsia="仿宋" w:cs="仿宋"/>
          <w:bCs/>
          <w:color w:val="000000"/>
          <w:highlight w:val="none"/>
        </w:rPr>
      </w:pPr>
    </w:p>
    <w:p>
      <w:pPr>
        <w:overflowPunct w:val="0"/>
        <w:spacing w:line="440" w:lineRule="exact"/>
        <w:jc w:val="center"/>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质   疑  内  容</w:t>
      </w:r>
    </w:p>
    <w:p>
      <w:pPr>
        <w:overflowPunct w:val="0"/>
        <w:spacing w:line="440" w:lineRule="exact"/>
        <w:rPr>
          <w:rFonts w:hint="eastAsia" w:ascii="仿宋" w:hAnsi="仿宋" w:eastAsia="仿宋" w:cs="仿宋"/>
          <w:bCs/>
          <w:color w:val="000000"/>
          <w:highlight w:val="none"/>
        </w:rPr>
      </w:pPr>
    </w:p>
    <w:tbl>
      <w:tblPr>
        <w:tblStyle w:val="24"/>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sz w:val="22"/>
                <w:szCs w:val="22"/>
              </w:rPr>
            </w:pPr>
            <w:r>
              <w:rPr>
                <w:rFonts w:hint="eastAsia" w:ascii="宋体" w:hAnsi="宋体" w:cs="Times New Roman"/>
                <w:sz w:val="22"/>
                <w:szCs w:val="22"/>
              </w:rPr>
              <w:t>项目名称</w:t>
            </w:r>
          </w:p>
        </w:tc>
        <w:tc>
          <w:tcPr>
            <w:tcW w:w="7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sz w:val="22"/>
                <w:szCs w:val="22"/>
              </w:rPr>
            </w:pPr>
            <w:r>
              <w:rPr>
                <w:rFonts w:hint="eastAsia" w:ascii="宋体" w:hAnsi="宋体" w:cs="Times New Roman"/>
                <w:sz w:val="22"/>
                <w:szCs w:val="22"/>
              </w:rPr>
              <w:t>项目编号</w:t>
            </w:r>
          </w:p>
        </w:tc>
        <w:tc>
          <w:tcPr>
            <w:tcW w:w="71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Times New Roman"/>
                <w:sz w:val="22"/>
                <w:szCs w:val="22"/>
              </w:rPr>
            </w:pPr>
            <w:r>
              <w:rPr>
                <w:rFonts w:hint="eastAsia" w:ascii="宋体" w:hAnsi="宋体" w:cs="Times New Roman"/>
                <w:sz w:val="22"/>
                <w:szCs w:val="22"/>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s="Times New Roman"/>
                <w:sz w:val="22"/>
                <w:szCs w:val="22"/>
              </w:rPr>
            </w:pPr>
            <w:r>
              <w:rPr>
                <w:rFonts w:hint="eastAsia" w:ascii="宋体" w:hAnsi="宋体" w:cs="Times New Roman"/>
                <w:sz w:val="22"/>
                <w:szCs w:val="22"/>
              </w:rPr>
              <w:t>一、质疑事项1：</w:t>
            </w:r>
          </w:p>
          <w:p>
            <w:pPr>
              <w:spacing w:line="360" w:lineRule="auto"/>
              <w:rPr>
                <w:rFonts w:hint="eastAsia" w:ascii="宋体" w:hAnsi="宋体" w:cs="Times New Roman"/>
                <w:sz w:val="22"/>
                <w:szCs w:val="22"/>
              </w:rPr>
            </w:pPr>
            <w:r>
              <w:rPr>
                <w:rFonts w:hint="eastAsia" w:ascii="宋体" w:hAnsi="宋体" w:cs="Times New Roman"/>
                <w:sz w:val="22"/>
                <w:szCs w:val="22"/>
              </w:rPr>
              <w:t>主要内容：</w:t>
            </w:r>
          </w:p>
          <w:p>
            <w:pPr>
              <w:spacing w:line="360" w:lineRule="auto"/>
              <w:rPr>
                <w:rFonts w:hint="eastAsia" w:ascii="宋体" w:hAnsi="宋体" w:cs="Times New Roman"/>
                <w:sz w:val="22"/>
                <w:szCs w:val="22"/>
              </w:rPr>
            </w:pPr>
            <w:r>
              <w:rPr>
                <w:rFonts w:hint="eastAsia" w:ascii="宋体" w:hAnsi="宋体" w:cs="Times New Roman"/>
                <w:sz w:val="22"/>
                <w:szCs w:val="22"/>
              </w:rPr>
              <w:t>事实依据：</w:t>
            </w:r>
          </w:p>
          <w:p>
            <w:pPr>
              <w:spacing w:line="360" w:lineRule="auto"/>
              <w:rPr>
                <w:rFonts w:hint="eastAsia" w:ascii="宋体" w:hAnsi="宋体" w:cs="Times New Roman"/>
                <w:sz w:val="22"/>
                <w:szCs w:val="22"/>
              </w:rPr>
            </w:pPr>
            <w:r>
              <w:rPr>
                <w:rFonts w:hint="eastAsia" w:ascii="宋体" w:hAnsi="宋体" w:cs="Times New Roman"/>
                <w:sz w:val="22"/>
                <w:szCs w:val="22"/>
              </w:rPr>
              <w:t>适应法规条款：</w:t>
            </w:r>
          </w:p>
          <w:p>
            <w:pPr>
              <w:spacing w:line="360" w:lineRule="auto"/>
              <w:rPr>
                <w:rFonts w:hint="eastAsia" w:ascii="宋体" w:hAnsi="宋体" w:cs="Times New Roman"/>
                <w:sz w:val="22"/>
                <w:szCs w:val="22"/>
              </w:rPr>
            </w:pPr>
            <w:r>
              <w:rPr>
                <w:rFonts w:hint="eastAsia" w:ascii="宋体" w:hAnsi="宋体" w:cs="Times New Roman"/>
                <w:sz w:val="22"/>
                <w:szCs w:val="22"/>
              </w:rPr>
              <w:t>佐证材料：</w:t>
            </w: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r>
              <w:rPr>
                <w:rFonts w:hint="eastAsia" w:ascii="宋体" w:hAnsi="宋体" w:cs="Times New Roman"/>
                <w:sz w:val="22"/>
                <w:szCs w:val="22"/>
              </w:rPr>
              <w:t>二、质疑事项2：</w:t>
            </w:r>
          </w:p>
          <w:p>
            <w:pPr>
              <w:spacing w:line="360" w:lineRule="auto"/>
              <w:rPr>
                <w:rFonts w:hint="eastAsia" w:ascii="宋体" w:hAnsi="宋体" w:cs="Times New Roman"/>
                <w:sz w:val="22"/>
                <w:szCs w:val="22"/>
              </w:rPr>
            </w:pPr>
            <w:r>
              <w:rPr>
                <w:rFonts w:hint="eastAsia" w:ascii="宋体" w:hAnsi="宋体" w:cs="Times New Roman"/>
                <w:sz w:val="22"/>
                <w:szCs w:val="22"/>
              </w:rPr>
              <w:t>主要内容：</w:t>
            </w:r>
          </w:p>
          <w:p>
            <w:pPr>
              <w:spacing w:line="360" w:lineRule="auto"/>
              <w:rPr>
                <w:rFonts w:hint="eastAsia" w:ascii="宋体" w:hAnsi="宋体" w:cs="Times New Roman"/>
                <w:sz w:val="22"/>
                <w:szCs w:val="22"/>
              </w:rPr>
            </w:pPr>
            <w:r>
              <w:rPr>
                <w:rFonts w:hint="eastAsia" w:ascii="宋体" w:hAnsi="宋体" w:cs="Times New Roman"/>
                <w:sz w:val="22"/>
                <w:szCs w:val="22"/>
              </w:rPr>
              <w:t>事实依据：</w:t>
            </w:r>
          </w:p>
          <w:p>
            <w:pPr>
              <w:spacing w:line="360" w:lineRule="auto"/>
              <w:rPr>
                <w:rFonts w:hint="eastAsia" w:ascii="宋体" w:hAnsi="宋体" w:cs="Times New Roman"/>
                <w:sz w:val="22"/>
                <w:szCs w:val="22"/>
              </w:rPr>
            </w:pPr>
            <w:r>
              <w:rPr>
                <w:rFonts w:hint="eastAsia" w:ascii="宋体" w:hAnsi="宋体" w:cs="Times New Roman"/>
                <w:sz w:val="22"/>
                <w:szCs w:val="22"/>
              </w:rPr>
              <w:t>适应法规条款：</w:t>
            </w:r>
          </w:p>
          <w:p>
            <w:pPr>
              <w:spacing w:line="360" w:lineRule="auto"/>
              <w:rPr>
                <w:rFonts w:hint="eastAsia" w:ascii="宋体" w:hAnsi="宋体" w:cs="Times New Roman"/>
                <w:sz w:val="22"/>
                <w:szCs w:val="22"/>
              </w:rPr>
            </w:pPr>
            <w:r>
              <w:rPr>
                <w:rFonts w:hint="eastAsia" w:ascii="宋体" w:hAnsi="宋体" w:cs="Times New Roman"/>
                <w:sz w:val="22"/>
                <w:szCs w:val="22"/>
              </w:rPr>
              <w:t>佐证材料：</w:t>
            </w:r>
          </w:p>
          <w:p>
            <w:pPr>
              <w:spacing w:line="360" w:lineRule="auto"/>
              <w:rPr>
                <w:rFonts w:hint="eastAsia" w:ascii="宋体" w:hAnsi="宋体" w:cs="Times New Roman"/>
                <w:sz w:val="22"/>
                <w:szCs w:val="22"/>
              </w:rPr>
            </w:pPr>
          </w:p>
          <w:p>
            <w:pPr>
              <w:spacing w:line="360" w:lineRule="auto"/>
              <w:rPr>
                <w:rFonts w:hint="eastAsia" w:ascii="宋体" w:hAnsi="宋体" w:cs="Times New Roman"/>
                <w:sz w:val="22"/>
                <w:szCs w:val="22"/>
              </w:rPr>
            </w:pPr>
            <w:r>
              <w:rPr>
                <w:rFonts w:hint="eastAsia" w:ascii="宋体" w:hAnsi="宋体" w:cs="Times New Roman"/>
                <w:sz w:val="22"/>
                <w:szCs w:val="22"/>
              </w:rPr>
              <w:t>三、同上</w:t>
            </w:r>
          </w:p>
        </w:tc>
      </w:tr>
    </w:tbl>
    <w:p>
      <w:pPr>
        <w:spacing w:line="360" w:lineRule="auto"/>
        <w:rPr>
          <w:rFonts w:hint="eastAsia" w:ascii="宋体" w:hAnsi="宋体" w:cs="Times New Roman"/>
          <w:sz w:val="22"/>
          <w:szCs w:val="22"/>
        </w:rPr>
      </w:pPr>
      <w:r>
        <w:rPr>
          <w:rFonts w:hint="eastAsia" w:ascii="宋体" w:hAnsi="宋体" w:cs="Times New Roman"/>
          <w:sz w:val="22"/>
          <w:szCs w:val="22"/>
        </w:rPr>
        <w:t>备注：</w:t>
      </w:r>
    </w:p>
    <w:p>
      <w:pPr>
        <w:spacing w:line="360" w:lineRule="auto"/>
        <w:rPr>
          <w:rFonts w:hint="eastAsia" w:ascii="宋体" w:hAnsi="宋体" w:cs="Times New Roman"/>
          <w:sz w:val="22"/>
          <w:szCs w:val="22"/>
        </w:rPr>
      </w:pPr>
      <w:r>
        <w:rPr>
          <w:rFonts w:hint="eastAsia" w:ascii="宋体" w:hAnsi="宋体" w:cs="Times New Roman"/>
          <w:sz w:val="22"/>
          <w:szCs w:val="22"/>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rPr>
          <w:rFonts w:hint="eastAsia" w:ascii="宋体" w:hAnsi="宋体" w:cs="Times New Roman"/>
          <w:sz w:val="22"/>
          <w:szCs w:val="22"/>
        </w:rPr>
      </w:pPr>
      <w:r>
        <w:rPr>
          <w:rFonts w:hint="eastAsia" w:ascii="宋体" w:hAnsi="宋体" w:cs="Times New Roman"/>
          <w:sz w:val="22"/>
          <w:szCs w:val="22"/>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rPr>
          <w:rFonts w:hint="eastAsia" w:ascii="宋体" w:hAnsi="宋体" w:cs="Times New Roman"/>
          <w:sz w:val="22"/>
          <w:szCs w:val="22"/>
        </w:rPr>
      </w:pPr>
      <w:r>
        <w:rPr>
          <w:rFonts w:hint="eastAsia" w:ascii="宋体" w:hAnsi="宋体" w:cs="Times New Roman"/>
          <w:sz w:val="22"/>
          <w:szCs w:val="22"/>
        </w:rPr>
        <w:t>3、“具体的质疑事项及事实依据”一栏填写不下时，质疑人可另附页（A4），但附纸要求加盖质疑人公章。</w:t>
      </w:r>
    </w:p>
    <w:p>
      <w:pPr>
        <w:spacing w:line="360" w:lineRule="auto"/>
        <w:rPr>
          <w:rFonts w:hint="eastAsia" w:ascii="宋体" w:hAnsi="宋体" w:cs="Times New Roman"/>
          <w:sz w:val="22"/>
          <w:szCs w:val="22"/>
        </w:rPr>
      </w:pPr>
      <w:r>
        <w:rPr>
          <w:rFonts w:hint="eastAsia" w:ascii="宋体" w:hAnsi="宋体" w:cs="Times New Roman"/>
          <w:sz w:val="22"/>
          <w:szCs w:val="22"/>
        </w:rPr>
        <w:t>4、与质疑事项有关的材料应与质疑函合并装订。</w:t>
      </w:r>
    </w:p>
    <w:p>
      <w:pPr>
        <w:spacing w:line="360" w:lineRule="auto"/>
        <w:rPr>
          <w:rFonts w:hint="eastAsia" w:ascii="仿宋" w:hAnsi="仿宋" w:eastAsia="仿宋" w:cs="仿宋"/>
          <w:bCs/>
          <w:color w:val="000000"/>
          <w:highlight w:val="none"/>
        </w:rPr>
      </w:pPr>
      <w:r>
        <w:rPr>
          <w:rFonts w:hint="eastAsia" w:ascii="宋体" w:hAnsi="宋体" w:cs="Times New Roman"/>
          <w:sz w:val="22"/>
          <w:szCs w:val="22"/>
        </w:rPr>
        <w:t>5、质疑函一式三份。</w:t>
      </w:r>
    </w:p>
    <w:p>
      <w:pPr>
        <w:jc w:val="center"/>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ind w:firstLine="3240" w:firstLineChars="180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2</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lang w:eastAsia="zh-CN"/>
      </w:rPr>
      <w:t>鼎建项目管理有限公司</w:t>
    </w:r>
    <w:r>
      <w:rPr>
        <w:rFonts w:hint="eastAsia"/>
      </w:rPr>
      <w:t xml:space="preserve"> </w:t>
    </w:r>
    <w:r>
      <w:t>编制</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single" w:color="auto" w:sz="4" w:space="1"/>
      </w:pBdr>
      <w:snapToGrid w:val="0"/>
      <w:jc w:val="left"/>
      <w:rPr>
        <w:rFonts w:ascii="Calibri" w:hAnsi="Calibri" w:eastAsia="微软雅黑" w:cs="Times New Roman"/>
        <w:kern w:val="2"/>
        <w:sz w:val="18"/>
        <w:szCs w:val="18"/>
        <w:lang w:val="en-US" w:eastAsia="zh-CN" w:bidi="ar-SA"/>
      </w:rPr>
    </w:pPr>
    <w:r>
      <w:rPr>
        <w:rFonts w:hint="eastAsia" w:ascii="Calibri" w:hAnsi="Calibri" w:eastAsia="微软雅黑" w:cs="Times New Roman"/>
        <w:kern w:val="2"/>
        <w:sz w:val="18"/>
        <w:szCs w:val="18"/>
        <w:lang w:val="en-US" w:eastAsia="zh-CN" w:bidi="ar-SA"/>
      </w:rPr>
      <w:t>鼎建项目管理有限公司                                                                            5-</w:t>
    </w:r>
    <w:r>
      <w:rPr>
        <w:rFonts w:ascii="Calibri" w:hAnsi="Calibri" w:eastAsia="微软雅黑" w:cs="Times New Roman"/>
        <w:kern w:val="2"/>
        <w:sz w:val="18"/>
        <w:szCs w:val="18"/>
        <w:lang w:val="en-US" w:eastAsia="zh-CN" w:bidi="ar-SA"/>
      </w:rPr>
      <w:fldChar w:fldCharType="begin"/>
    </w:r>
    <w:r>
      <w:rPr>
        <w:rFonts w:ascii="Times New Roman" w:hAnsi="Times New Roman" w:eastAsia="宋体" w:cs="Times New Roman"/>
        <w:spacing w:val="0"/>
        <w:kern w:val="18"/>
        <w:position w:val="0"/>
        <w:sz w:val="18"/>
        <w:szCs w:val="18"/>
        <w:lang w:val="en-US" w:eastAsia="zh-CN" w:bidi="ar-SA"/>
      </w:rPr>
      <w:instrText xml:space="preserve"> PAGE </w:instrText>
    </w:r>
    <w:r>
      <w:rPr>
        <w:rFonts w:ascii="Calibri" w:hAnsi="Calibri" w:eastAsia="微软雅黑" w:cs="Times New Roman"/>
        <w:kern w:val="2"/>
        <w:sz w:val="18"/>
        <w:szCs w:val="18"/>
        <w:lang w:val="en-US" w:eastAsia="zh-CN" w:bidi="ar-SA"/>
      </w:rPr>
      <w:fldChar w:fldCharType="separate"/>
    </w:r>
    <w:r>
      <w:rPr>
        <w:rFonts w:ascii="Times New Roman" w:hAnsi="Times New Roman" w:eastAsia="宋体" w:cs="Times New Roman"/>
        <w:spacing w:val="0"/>
        <w:kern w:val="18"/>
        <w:position w:val="0"/>
        <w:sz w:val="18"/>
        <w:szCs w:val="18"/>
        <w:lang w:val="en-US" w:eastAsia="zh-CN" w:bidi="ar-SA"/>
      </w:rPr>
      <w:t>31</w:t>
    </w:r>
    <w:r>
      <w:rPr>
        <w:rFonts w:ascii="Calibri" w:hAnsi="Calibri" w:eastAsia="微软雅黑" w:cs="Times New Roman"/>
        <w:kern w:val="2"/>
        <w:sz w:val="18"/>
        <w:szCs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49</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hAnsi="宋体" w:eastAsia="宋体" w:cs="宋体"/>
        <w:color w:val="000000"/>
        <w:sz w:val="21"/>
        <w:szCs w:val="24"/>
        <w:lang w:val="en-US" w:eastAsia="zh-CN"/>
      </w:rPr>
    </w:pPr>
    <w:r>
      <w:rPr>
        <w:rFonts w:hint="eastAsia" w:ascii="宋体" w:hAnsi="宋体" w:eastAsia="宋体" w:cs="宋体"/>
        <w:color w:val="000000"/>
        <w:sz w:val="32"/>
        <w:szCs w:val="40"/>
        <w:shd w:val="clear" w:color="auto" w:fill="auto"/>
        <w:lang w:val="en-US" w:eastAsia="zh-CN"/>
      </w:rPr>
      <w:t>鼎建项目管理有限公司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hint="eastAsia" w:ascii="宋体" w:hAnsi="宋体" w:eastAsia="宋体" w:cs="宋体"/>
        <w:color w:val="000000"/>
        <w:sz w:val="32"/>
        <w:szCs w:val="40"/>
        <w:shd w:val="clear" w:color="auto" w:fill="auto"/>
        <w:lang w:val="en-US" w:eastAsia="zh-CN"/>
      </w:rPr>
    </w:pPr>
    <w:r>
      <w:rPr>
        <w:rFonts w:hint="eastAsia" w:ascii="宋体" w:hAnsi="宋体" w:eastAsia="宋体" w:cs="宋体"/>
        <w:color w:val="000000"/>
        <w:sz w:val="32"/>
        <w:szCs w:val="40"/>
        <w:shd w:val="clear" w:color="auto" w:fill="auto"/>
        <w:lang w:val="en-US" w:eastAsia="zh-CN"/>
      </w:rPr>
      <w:t>鼎建项目管理有限公司</w:t>
    </w:r>
  </w:p>
  <w:p>
    <w:pPr>
      <w:pStyle w:val="16"/>
      <w:pBdr>
        <w:bottom w:val="none" w:color="auto" w:sz="0" w:space="0"/>
      </w:pBdr>
    </w:pPr>
  </w:p>
  <w:p>
    <w:pPr>
      <w:pStyle w:val="16"/>
      <w:pBdr>
        <w:bottom w:val="none" w:color="auto" w:sz="0" w:space="1"/>
      </w:pBdr>
    </w:pPr>
    <w:r>
      <w:rPr>
        <w:rFonts w:hint="eastAsia" w:ascii="宋体" w:hAnsi="宋体" w:eastAsia="宋体" w:cs="宋体"/>
        <w:color w:val="FF0000"/>
        <w:spacing w:val="60"/>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C5F7C"/>
    <w:multiLevelType w:val="singleLevel"/>
    <w:tmpl w:val="BEEC5F7C"/>
    <w:lvl w:ilvl="0" w:tentative="0">
      <w:start w:val="1"/>
      <w:numFmt w:val="chineseCounting"/>
      <w:suff w:val="nothing"/>
      <w:lvlText w:val="（%1）"/>
      <w:lvlJc w:val="left"/>
      <w:rPr>
        <w:rFonts w:hint="eastAsia"/>
      </w:rPr>
    </w:lvl>
  </w:abstractNum>
  <w:abstractNum w:abstractNumId="1">
    <w:nsid w:val="D92CDEE2"/>
    <w:multiLevelType w:val="singleLevel"/>
    <w:tmpl w:val="D92CDEE2"/>
    <w:lvl w:ilvl="0" w:tentative="0">
      <w:start w:val="1"/>
      <w:numFmt w:val="chineseCounting"/>
      <w:suff w:val="nothing"/>
      <w:lvlText w:val="%1、"/>
      <w:lvlJc w:val="left"/>
      <w:rPr>
        <w:rFonts w:hint="eastAsia"/>
      </w:rPr>
    </w:lvl>
  </w:abstractNum>
  <w:abstractNum w:abstractNumId="2">
    <w:nsid w:val="3983044D"/>
    <w:multiLevelType w:val="multilevel"/>
    <w:tmpl w:val="3983044D"/>
    <w:lvl w:ilvl="0" w:tentative="0">
      <w:start w:val="1"/>
      <w:numFmt w:val="decimal"/>
      <w:pStyle w:val="18"/>
      <w:lvlText w:val="第%1章"/>
      <w:lvlJc w:val="left"/>
      <w:pPr>
        <w:tabs>
          <w:tab w:val="left" w:pos="425"/>
        </w:tabs>
        <w:ind w:left="425" w:hanging="425"/>
      </w:pPr>
      <w:rPr>
        <w:rFonts w:hint="eastAsia" w:ascii="Times New Roman" w:hAnsi="Times New Roman" w:cs="Times New Roman"/>
        <w:i w:val="0"/>
        <w:iCs w:val="0"/>
        <w:caps w:val="0"/>
        <w:smallCaps w:val="0"/>
        <w:strike w:val="0"/>
        <w:dstrike w:val="0"/>
        <w:vanish w:val="0"/>
        <w:spacing w:val="0"/>
        <w:position w:val="0"/>
        <w:u w:val="none"/>
        <w:vertAlign w:val="baseline"/>
      </w:rPr>
    </w:lvl>
    <w:lvl w:ilvl="1" w:tentative="0">
      <w:start w:val="1"/>
      <w:numFmt w:val="decimal"/>
      <w:isLgl/>
      <w:lvlText w:val="%1.%2"/>
      <w:lvlJc w:val="left"/>
      <w:pPr>
        <w:tabs>
          <w:tab w:val="left" w:pos="709"/>
        </w:tabs>
        <w:ind w:left="709" w:hanging="567"/>
      </w:pPr>
      <w:rPr>
        <w:rFonts w:hint="default" w:ascii="Times New Roman" w:hAnsi="Times New Roman" w:cs="Times New Roman"/>
        <w:lang w:val="en-US"/>
      </w:rPr>
    </w:lvl>
    <w:lvl w:ilvl="2" w:tentative="0">
      <w:start w:val="1"/>
      <w:numFmt w:val="decimal"/>
      <w:isLgl/>
      <w:lvlText w:val="%1.%2.%3"/>
      <w:lvlJc w:val="left"/>
      <w:pPr>
        <w:tabs>
          <w:tab w:val="left" w:pos="709"/>
        </w:tabs>
        <w:ind w:left="709" w:hanging="709"/>
      </w:pPr>
      <w:rPr>
        <w:rFonts w:hint="eastAsia"/>
        <w:sz w:val="32"/>
        <w:szCs w:val="32"/>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74F44CAA"/>
    <w:multiLevelType w:val="singleLevel"/>
    <w:tmpl w:val="74F44CAA"/>
    <w:lvl w:ilvl="0" w:tentative="0">
      <w:start w:val="4"/>
      <w:numFmt w:val="chineseCounting"/>
      <w:suff w:val="nothing"/>
      <w:lvlText w:val="%1、"/>
      <w:lvlJc w:val="left"/>
      <w:pPr>
        <w:ind w:left="-60"/>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jMjQ3Mzk1M2RhMGRjOTllYWQ3MTg4NjZhYWYwMjEifQ=="/>
  </w:docVars>
  <w:rsids>
    <w:rsidRoot w:val="00000000"/>
    <w:rsid w:val="008878D1"/>
    <w:rsid w:val="00B00BD6"/>
    <w:rsid w:val="0187402D"/>
    <w:rsid w:val="02AD1871"/>
    <w:rsid w:val="03343D40"/>
    <w:rsid w:val="050339CA"/>
    <w:rsid w:val="06A97572"/>
    <w:rsid w:val="08136322"/>
    <w:rsid w:val="08573D5E"/>
    <w:rsid w:val="08686061"/>
    <w:rsid w:val="091B3957"/>
    <w:rsid w:val="0AF344E1"/>
    <w:rsid w:val="0C087889"/>
    <w:rsid w:val="0C1741FF"/>
    <w:rsid w:val="0CA808FC"/>
    <w:rsid w:val="0CEC2F96"/>
    <w:rsid w:val="0D762349"/>
    <w:rsid w:val="0DC02ED1"/>
    <w:rsid w:val="109B5C30"/>
    <w:rsid w:val="13000A0B"/>
    <w:rsid w:val="13A66595"/>
    <w:rsid w:val="141C2CAD"/>
    <w:rsid w:val="15694116"/>
    <w:rsid w:val="15CC0995"/>
    <w:rsid w:val="15DA5093"/>
    <w:rsid w:val="1637097E"/>
    <w:rsid w:val="170D7EC3"/>
    <w:rsid w:val="1821268E"/>
    <w:rsid w:val="19A1335A"/>
    <w:rsid w:val="19DF4CED"/>
    <w:rsid w:val="19E80F89"/>
    <w:rsid w:val="1A6920CA"/>
    <w:rsid w:val="1C054AE5"/>
    <w:rsid w:val="1C4F52EF"/>
    <w:rsid w:val="1E0D4952"/>
    <w:rsid w:val="1E785C31"/>
    <w:rsid w:val="1F1958DC"/>
    <w:rsid w:val="1F996698"/>
    <w:rsid w:val="1FB0070F"/>
    <w:rsid w:val="203513A8"/>
    <w:rsid w:val="205E3D53"/>
    <w:rsid w:val="20931C4F"/>
    <w:rsid w:val="209904F7"/>
    <w:rsid w:val="2166781C"/>
    <w:rsid w:val="22770F29"/>
    <w:rsid w:val="23356FED"/>
    <w:rsid w:val="235E117A"/>
    <w:rsid w:val="237C0D0C"/>
    <w:rsid w:val="23897339"/>
    <w:rsid w:val="254018F4"/>
    <w:rsid w:val="25B66898"/>
    <w:rsid w:val="26C32B62"/>
    <w:rsid w:val="26DC1D94"/>
    <w:rsid w:val="281453D9"/>
    <w:rsid w:val="282C6710"/>
    <w:rsid w:val="28D76AB0"/>
    <w:rsid w:val="2A3A75DF"/>
    <w:rsid w:val="2D5068B0"/>
    <w:rsid w:val="2DC061C2"/>
    <w:rsid w:val="2EA65243"/>
    <w:rsid w:val="2F713AA3"/>
    <w:rsid w:val="30461B45"/>
    <w:rsid w:val="30661B0C"/>
    <w:rsid w:val="30B5176D"/>
    <w:rsid w:val="314D2DA3"/>
    <w:rsid w:val="31591C88"/>
    <w:rsid w:val="315C608D"/>
    <w:rsid w:val="31AD1696"/>
    <w:rsid w:val="323246E5"/>
    <w:rsid w:val="324E3C27"/>
    <w:rsid w:val="333346EB"/>
    <w:rsid w:val="33E028B1"/>
    <w:rsid w:val="354937D2"/>
    <w:rsid w:val="354E03E2"/>
    <w:rsid w:val="35DD6F48"/>
    <w:rsid w:val="35EB79DF"/>
    <w:rsid w:val="36152C2D"/>
    <w:rsid w:val="36C67C45"/>
    <w:rsid w:val="377B22BE"/>
    <w:rsid w:val="39AB49F4"/>
    <w:rsid w:val="39B76556"/>
    <w:rsid w:val="39C12F31"/>
    <w:rsid w:val="3AE81156"/>
    <w:rsid w:val="3AF63BCD"/>
    <w:rsid w:val="3CB84B6E"/>
    <w:rsid w:val="3CE5165D"/>
    <w:rsid w:val="3D077570"/>
    <w:rsid w:val="3D1F4DF1"/>
    <w:rsid w:val="3D2A16CB"/>
    <w:rsid w:val="3DB7715A"/>
    <w:rsid w:val="3E037273"/>
    <w:rsid w:val="3E6F3DAD"/>
    <w:rsid w:val="3F9A387D"/>
    <w:rsid w:val="3FA1108B"/>
    <w:rsid w:val="418F600A"/>
    <w:rsid w:val="42A134B2"/>
    <w:rsid w:val="42FB7C6F"/>
    <w:rsid w:val="43715224"/>
    <w:rsid w:val="444D12D7"/>
    <w:rsid w:val="44EB1FDB"/>
    <w:rsid w:val="45BB73CE"/>
    <w:rsid w:val="46507C6A"/>
    <w:rsid w:val="480C4F1F"/>
    <w:rsid w:val="481B2230"/>
    <w:rsid w:val="49465201"/>
    <w:rsid w:val="49B06B1E"/>
    <w:rsid w:val="4A2748F7"/>
    <w:rsid w:val="4AE47587"/>
    <w:rsid w:val="4BB3680B"/>
    <w:rsid w:val="4D030E0F"/>
    <w:rsid w:val="4DCD4142"/>
    <w:rsid w:val="4EA133C5"/>
    <w:rsid w:val="50A17BDE"/>
    <w:rsid w:val="50FD1842"/>
    <w:rsid w:val="51172425"/>
    <w:rsid w:val="51A258E6"/>
    <w:rsid w:val="52522E41"/>
    <w:rsid w:val="52AD4542"/>
    <w:rsid w:val="52B72CCB"/>
    <w:rsid w:val="52C24EDE"/>
    <w:rsid w:val="53065322"/>
    <w:rsid w:val="537555BC"/>
    <w:rsid w:val="53941AE3"/>
    <w:rsid w:val="539526D0"/>
    <w:rsid w:val="53D578AD"/>
    <w:rsid w:val="556531FC"/>
    <w:rsid w:val="57414DAE"/>
    <w:rsid w:val="576B22D6"/>
    <w:rsid w:val="5779093F"/>
    <w:rsid w:val="57E36310"/>
    <w:rsid w:val="58230E7D"/>
    <w:rsid w:val="58733B38"/>
    <w:rsid w:val="588C25DB"/>
    <w:rsid w:val="58AD704A"/>
    <w:rsid w:val="58AF79F4"/>
    <w:rsid w:val="58FD3402"/>
    <w:rsid w:val="59684893"/>
    <w:rsid w:val="59C06909"/>
    <w:rsid w:val="59F92AD4"/>
    <w:rsid w:val="5A372131"/>
    <w:rsid w:val="5AA55E50"/>
    <w:rsid w:val="5C695B3A"/>
    <w:rsid w:val="5D5C4B9B"/>
    <w:rsid w:val="5DEF3C61"/>
    <w:rsid w:val="5E6F4DA2"/>
    <w:rsid w:val="5F706027"/>
    <w:rsid w:val="5F9E566F"/>
    <w:rsid w:val="622A7A5A"/>
    <w:rsid w:val="65037FF2"/>
    <w:rsid w:val="65D11E9E"/>
    <w:rsid w:val="65D6688D"/>
    <w:rsid w:val="65F00576"/>
    <w:rsid w:val="66CF4D8D"/>
    <w:rsid w:val="682755F6"/>
    <w:rsid w:val="68680F9D"/>
    <w:rsid w:val="68F4037D"/>
    <w:rsid w:val="69790883"/>
    <w:rsid w:val="6A970319"/>
    <w:rsid w:val="6AC84E7A"/>
    <w:rsid w:val="6B911012"/>
    <w:rsid w:val="6CE40709"/>
    <w:rsid w:val="6D2D664F"/>
    <w:rsid w:val="70137F05"/>
    <w:rsid w:val="71066EA0"/>
    <w:rsid w:val="712D6B22"/>
    <w:rsid w:val="77732DB5"/>
    <w:rsid w:val="777E1E79"/>
    <w:rsid w:val="793A6280"/>
    <w:rsid w:val="79607369"/>
    <w:rsid w:val="7A0F2927"/>
    <w:rsid w:val="7A652085"/>
    <w:rsid w:val="7B9D6653"/>
    <w:rsid w:val="7CC0084B"/>
    <w:rsid w:val="7D185DFA"/>
    <w:rsid w:val="7EBD7CF9"/>
    <w:rsid w:val="7F2C1D1C"/>
    <w:rsid w:val="7FD46F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9"/>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widowControl w:val="0"/>
      <w:spacing w:before="340" w:beforeLines="0" w:after="330" w:afterLines="0" w:line="576" w:lineRule="auto"/>
      <w:outlineLvl w:val="0"/>
    </w:pPr>
    <w:rPr>
      <w:b/>
      <w:kern w:val="44"/>
      <w:sz w:val="44"/>
      <w:szCs w:val="20"/>
    </w:rPr>
  </w:style>
  <w:style w:type="paragraph" w:styleId="4">
    <w:name w:val="heading 2"/>
    <w:basedOn w:val="1"/>
    <w:next w:val="1"/>
    <w:link w:val="41"/>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paragraph" w:styleId="5">
    <w:name w:val="heading 3"/>
    <w:basedOn w:val="1"/>
    <w:next w:val="1"/>
    <w:unhideWhenUsed/>
    <w:qFormat/>
    <w:uiPriority w:val="0"/>
    <w:pPr>
      <w:tabs>
        <w:tab w:val="left" w:pos="540"/>
      </w:tabs>
      <w:adjustRightInd w:val="0"/>
      <w:snapToGrid w:val="0"/>
      <w:spacing w:line="360" w:lineRule="auto"/>
      <w:jc w:val="left"/>
      <w:outlineLvl w:val="2"/>
    </w:pPr>
    <w:rPr>
      <w:rFonts w:ascii="Times New Roman" w:hAnsi="Times New Roman"/>
      <w:b/>
      <w:sz w:val="24"/>
      <w:szCs w:val="20"/>
    </w:rPr>
  </w:style>
  <w:style w:type="paragraph" w:styleId="6">
    <w:name w:val="heading 4"/>
    <w:basedOn w:val="1"/>
    <w:next w:val="1"/>
    <w:qFormat/>
    <w:uiPriority w:val="99"/>
    <w:pPr>
      <w:keepNext/>
      <w:widowControl w:val="0"/>
      <w:jc w:val="center"/>
      <w:outlineLvl w:val="3"/>
    </w:pPr>
    <w:rPr>
      <w:rFonts w:ascii="宋体" w:hAnsi="宋体" w:eastAsia="宋体" w:cs="Times New Roman"/>
      <w:bCs/>
      <w:kern w:val="2"/>
      <w:sz w:val="28"/>
      <w:szCs w:val="20"/>
      <w:lang w:val="en-US" w:eastAsia="zh-CN" w:bidi="ar-SA"/>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left"/>
    </w:pPr>
    <w:rPr>
      <w:rFonts w:ascii="宋体"/>
      <w:sz w:val="24"/>
    </w:rPr>
  </w:style>
  <w:style w:type="paragraph" w:styleId="7">
    <w:name w:val="Normal Indent"/>
    <w:basedOn w:val="1"/>
    <w:next w:val="1"/>
    <w:qFormat/>
    <w:uiPriority w:val="0"/>
    <w:pPr>
      <w:ind w:firstLine="420"/>
    </w:pPr>
    <w:rPr>
      <w:szCs w:val="20"/>
    </w:rPr>
  </w:style>
  <w:style w:type="paragraph" w:styleId="8">
    <w:name w:val="index 5"/>
    <w:basedOn w:val="1"/>
    <w:next w:val="1"/>
    <w:qFormat/>
    <w:uiPriority w:val="0"/>
    <w:pPr>
      <w:ind w:left="800" w:leftChars="800"/>
    </w:pPr>
  </w:style>
  <w:style w:type="paragraph" w:styleId="9">
    <w:name w:val="toa heading"/>
    <w:basedOn w:val="1"/>
    <w:next w:val="1"/>
    <w:qFormat/>
    <w:uiPriority w:val="99"/>
    <w:pPr>
      <w:spacing w:before="120"/>
    </w:pPr>
    <w:rPr>
      <w:rFonts w:ascii="Arial" w:hAnsi="Arial" w:eastAsia="仿宋"/>
      <w:sz w:val="24"/>
      <w:szCs w:val="20"/>
    </w:rPr>
  </w:style>
  <w:style w:type="paragraph" w:styleId="10">
    <w:name w:val="Body Text Indent"/>
    <w:basedOn w:val="1"/>
    <w:next w:val="6"/>
    <w:qFormat/>
    <w:uiPriority w:val="0"/>
    <w:pPr>
      <w:ind w:firstLine="720" w:firstLineChars="225"/>
    </w:pPr>
    <w:rPr>
      <w:rFonts w:ascii="仿宋_GB2312" w:eastAsia="仿宋_GB2312"/>
      <w:sz w:val="32"/>
    </w:rPr>
  </w:style>
  <w:style w:type="paragraph" w:styleId="11">
    <w:name w:val="List 2"/>
    <w:basedOn w:val="1"/>
    <w:qFormat/>
    <w:uiPriority w:val="99"/>
    <w:pPr>
      <w:ind w:left="100" w:leftChars="200" w:hanging="200" w:hangingChars="200"/>
      <w:contextualSpacing/>
    </w:pPr>
  </w:style>
  <w:style w:type="paragraph" w:styleId="12">
    <w:name w:val="Plain Text"/>
    <w:basedOn w:val="1"/>
    <w:next w:val="1"/>
    <w:qFormat/>
    <w:uiPriority w:val="0"/>
    <w:rPr>
      <w:rFonts w:ascii="宋体" w:hAnsi="Courier New"/>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widowControl/>
      <w:overflowPunct w:val="0"/>
      <w:autoSpaceDE w:val="0"/>
      <w:autoSpaceDN w:val="0"/>
      <w:adjustRightInd w:val="0"/>
      <w:spacing w:line="360" w:lineRule="auto"/>
      <w:ind w:firstLine="555"/>
      <w:textAlignment w:val="baseline"/>
    </w:pPr>
    <w:rPr>
      <w:rFonts w:ascii="宋体" w:hAnsi="MS Sans Serif"/>
      <w:spacing w:val="12"/>
      <w:sz w:val="24"/>
      <w:szCs w:val="20"/>
    </w:rPr>
  </w:style>
  <w:style w:type="paragraph" w:styleId="15">
    <w:name w:val="footer"/>
    <w:basedOn w:val="1"/>
    <w:next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numPr>
        <w:ilvl w:val="0"/>
        <w:numId w:val="1"/>
      </w:numPr>
      <w:adjustRightInd w:val="0"/>
      <w:spacing w:line="360" w:lineRule="auto"/>
      <w:textAlignment w:val="baseline"/>
    </w:pPr>
    <w:rPr>
      <w:rFonts w:ascii="Arial" w:hAnsi="Arial"/>
      <w:kern w:val="0"/>
      <w:sz w:val="24"/>
      <w:szCs w:val="24"/>
    </w:rPr>
  </w:style>
  <w:style w:type="paragraph" w:styleId="19">
    <w:name w:val="footnote text"/>
    <w:basedOn w:val="1"/>
    <w:next w:val="8"/>
    <w:qFormat/>
    <w:uiPriority w:val="0"/>
    <w:pPr>
      <w:snapToGrid w:val="0"/>
      <w:jc w:val="left"/>
    </w:pPr>
    <w:rPr>
      <w:sz w:val="18"/>
    </w:rPr>
  </w:style>
  <w:style w:type="paragraph" w:styleId="20">
    <w:name w:val="Body Text 2"/>
    <w:basedOn w:val="1"/>
    <w:qFormat/>
    <w:uiPriority w:val="0"/>
    <w:pPr>
      <w:autoSpaceDE w:val="0"/>
      <w:autoSpaceDN w:val="0"/>
      <w:adjustRightInd w:val="0"/>
      <w:jc w:val="center"/>
    </w:pPr>
    <w:rPr>
      <w:rFonts w:ascii="幼圆" w:eastAsia="幼圆"/>
      <w:b/>
      <w:bCs/>
      <w:color w:val="000000"/>
      <w:kern w:val="0"/>
      <w:sz w:val="72"/>
      <w:szCs w:val="44"/>
    </w:rPr>
  </w:style>
  <w:style w:type="paragraph" w:styleId="21">
    <w:name w:val="Normal (Web)"/>
    <w:basedOn w:val="1"/>
    <w:qFormat/>
    <w:uiPriority w:val="0"/>
    <w:pPr>
      <w:widowControl/>
      <w:spacing w:beforeAutospacing="1" w:afterAutospacing="1"/>
      <w:jc w:val="left"/>
    </w:pPr>
    <w:rPr>
      <w:rFonts w:ascii="宋体" w:hAnsi="宋体" w:cs="宋体"/>
      <w:kern w:val="0"/>
      <w:sz w:val="24"/>
    </w:rPr>
  </w:style>
  <w:style w:type="paragraph" w:styleId="22">
    <w:name w:val="Body Text First Indent"/>
    <w:basedOn w:val="2"/>
    <w:qFormat/>
    <w:uiPriority w:val="0"/>
    <w:pPr>
      <w:ind w:firstLine="420" w:firstLineChars="100"/>
    </w:pPr>
    <w:rPr>
      <w:szCs w:val="24"/>
    </w:rPr>
  </w:style>
  <w:style w:type="paragraph" w:styleId="23">
    <w:name w:val="Body Text First Indent 2"/>
    <w:basedOn w:val="10"/>
    <w:next w:val="7"/>
    <w:qFormat/>
    <w:uiPriority w:val="0"/>
    <w:pPr>
      <w:ind w:firstLine="420" w:firstLineChars="200"/>
    </w:pPr>
    <w:rPr>
      <w:sz w:val="21"/>
    </w:rPr>
  </w:style>
  <w:style w:type="table" w:styleId="25">
    <w:name w:val="Table Grid"/>
    <w:basedOn w:val="2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Strong"/>
    <w:basedOn w:val="26"/>
    <w:qFormat/>
    <w:uiPriority w:val="0"/>
    <w:rPr>
      <w:b/>
      <w:bCs/>
    </w:rPr>
  </w:style>
  <w:style w:type="character" w:styleId="28">
    <w:name w:val="page number"/>
    <w:basedOn w:val="26"/>
    <w:qFormat/>
    <w:uiPriority w:val="0"/>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标题 2 Char"/>
    <w:link w:val="4"/>
    <w:qFormat/>
    <w:uiPriority w:val="0"/>
    <w:rPr>
      <w:rFonts w:ascii="Arial" w:hAnsi="Arial" w:eastAsia="黑体"/>
      <w:b/>
      <w:bCs/>
      <w:sz w:val="32"/>
      <w:szCs w:val="32"/>
    </w:rPr>
  </w:style>
  <w:style w:type="paragraph" w:customStyle="1" w:styleId="31">
    <w:name w:val="WPSOffice手动目录 1"/>
    <w:qFormat/>
    <w:uiPriority w:val="0"/>
    <w:rPr>
      <w:rFonts w:ascii="Times New Roman" w:hAnsi="Times New Roman" w:eastAsia="宋体" w:cs="Times New Roman"/>
      <w:lang w:val="en-US" w:eastAsia="zh-CN" w:bidi="ar-SA"/>
    </w:rPr>
  </w:style>
  <w:style w:type="paragraph" w:customStyle="1" w:styleId="32">
    <w:name w:val="_Style 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33">
    <w:name w:val="font11"/>
    <w:basedOn w:val="26"/>
    <w:qFormat/>
    <w:uiPriority w:val="0"/>
    <w:rPr>
      <w:rFonts w:ascii="方正仿宋简体" w:hAnsi="方正仿宋简体" w:eastAsia="方正仿宋简体" w:cs="方正仿宋简体"/>
      <w:color w:val="000000"/>
      <w:sz w:val="28"/>
      <w:szCs w:val="28"/>
      <w:u w:val="none"/>
    </w:rPr>
  </w:style>
  <w:style w:type="paragraph" w:customStyle="1" w:styleId="34">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sz w:val="28"/>
      <w:szCs w:val="20"/>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正文"/>
    <w:basedOn w:val="1"/>
    <w:next w:val="1"/>
    <w:qFormat/>
    <w:uiPriority w:val="0"/>
    <w:pPr>
      <w:widowControl/>
      <w:ind w:firstLine="482"/>
    </w:pPr>
    <w:rPr>
      <w:rFonts w:ascii="微软雅黑" w:hAnsi="微软雅黑" w:eastAsia="微软雅黑"/>
      <w:sz w:val="21"/>
    </w:rPr>
  </w:style>
  <w:style w:type="character" w:customStyle="1" w:styleId="39">
    <w:name w:val="NormalCharacter"/>
    <w:link w:val="1"/>
    <w:qFormat/>
    <w:uiPriority w:val="0"/>
    <w:rPr>
      <w:rFonts w:ascii="Calibri" w:hAnsi="Calibri" w:eastAsia="宋体" w:cs="Times New Roman"/>
      <w:kern w:val="2"/>
      <w:sz w:val="21"/>
      <w:szCs w:val="24"/>
      <w:lang w:val="en-US" w:eastAsia="zh-CN" w:bidi="ar-SA"/>
    </w:rPr>
  </w:style>
  <w:style w:type="paragraph" w:customStyle="1" w:styleId="40">
    <w:name w:val="样式3"/>
    <w:basedOn w:val="12"/>
    <w:qFormat/>
    <w:uiPriority w:val="0"/>
    <w:pPr>
      <w:spacing w:line="0" w:lineRule="atLeast"/>
      <w:outlineLvl w:val="0"/>
    </w:pPr>
    <w:rPr>
      <w:sz w:val="28"/>
    </w:rPr>
  </w:style>
  <w:style w:type="character" w:customStyle="1" w:styleId="41">
    <w:name w:val="标题 2 字符"/>
    <w:link w:val="4"/>
    <w:qFormat/>
    <w:uiPriority w:val="0"/>
    <w:rPr>
      <w:rFonts w:ascii="Arial" w:hAnsi="Arial" w:eastAsia="黑体" w:cs="Times New Roman"/>
      <w:b/>
      <w:bCs/>
      <w:sz w:val="32"/>
      <w:szCs w:val="32"/>
    </w:rPr>
  </w:style>
  <w:style w:type="paragraph" w:customStyle="1" w:styleId="42">
    <w:name w:val="页脚2"/>
    <w:qFormat/>
    <w:uiPriority w:val="0"/>
    <w:pPr>
      <w:widowControl/>
      <w:pBdr>
        <w:top w:val="single" w:color="auto" w:sz="6" w:space="0"/>
      </w:pBdr>
      <w:jc w:val="right"/>
      <w:textAlignment w:val="center"/>
    </w:pPr>
    <w:rPr>
      <w:rFonts w:ascii="宋体" w:hAnsi="宋体" w:eastAsia="宋体" w:cs="Times New Roman"/>
      <w:kern w:val="2"/>
      <w:sz w:val="18"/>
      <w:szCs w:val="18"/>
      <w:lang w:val="en-US" w:eastAsia="zh-CN" w:bidi="ar-SA"/>
    </w:rPr>
  </w:style>
  <w:style w:type="paragraph" w:customStyle="1" w:styleId="43">
    <w:name w:val="文件正文"/>
    <w:basedOn w:val="1"/>
    <w:qFormat/>
    <w:uiPriority w:val="0"/>
    <w:pPr>
      <w:widowControl/>
      <w:ind w:firstLine="420"/>
      <w:jc w:val="left"/>
    </w:pPr>
    <w:rPr>
      <w:rFonts w:ascii="Calibri" w:hAnsi="Calibri"/>
    </w:rPr>
  </w:style>
  <w:style w:type="paragraph" w:customStyle="1" w:styleId="44">
    <w:name w:val="正文_13"/>
    <w:qFormat/>
    <w:uiPriority w:val="0"/>
    <w:pPr>
      <w:widowControl w:val="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41636</Words>
  <Characters>43750</Characters>
  <Lines>0</Lines>
  <Paragraphs>0</Paragraphs>
  <TotalTime>3</TotalTime>
  <ScaleCrop>false</ScaleCrop>
  <LinksUpToDate>false</LinksUpToDate>
  <CharactersWithSpaces>51622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2021-12-01T14:29:00Z</dcterms:created>
  <dc:creator>lly</dc:creator>
  <cp:lastModifiedBy>Lamb of god</cp:lastModifiedBy>
  <dcterms:modified xsi:type="dcterms:W3CDTF">2023-03-27T12:15:29Z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CFF0AC40E4DC485690BF050C6608E2F3</vt:lpwstr>
  </property>
</Properties>
</file>