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79" w:lineRule="exact"/>
        <w:ind w:right="39" w:firstLine="640" w:firstLineChars="200"/>
        <w:jc w:val="right"/>
        <w:rPr>
          <w:rFonts w:hint="default" w:ascii="仿宋" w:hAnsi="仿宋" w:eastAsia="仿宋" w:cs="仿宋"/>
          <w:color w:val="000000" w:themeColor="text1"/>
          <w:sz w:val="32"/>
          <w:szCs w:val="21"/>
          <w:highlight w:val="none"/>
          <w:lang w:val="en-US" w:eastAsia="zh-CN"/>
          <w14:textFill>
            <w14:solidFill>
              <w14:schemeClr w14:val="tx1"/>
            </w14:solidFill>
          </w14:textFill>
        </w:rPr>
      </w:pPr>
      <w:r>
        <w:rPr>
          <w:rFonts w:hint="eastAsia" w:ascii="仿宋" w:hAnsi="仿宋" w:eastAsia="仿宋" w:cs="仿宋"/>
          <w:color w:val="000000" w:themeColor="text1"/>
          <w:sz w:val="32"/>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21"/>
          <w:highlight w:val="none"/>
          <w:lang w:eastAsia="zh-CN"/>
          <w14:textFill>
            <w14:solidFill>
              <w14:schemeClr w14:val="tx1"/>
            </w14:solidFill>
          </w14:textFill>
        </w:rPr>
        <w:t>项目编号:</w:t>
      </w:r>
      <w:r>
        <w:rPr>
          <w:rFonts w:hint="eastAsia" w:ascii="仿宋" w:hAnsi="仿宋" w:eastAsia="仿宋" w:cs="仿宋"/>
          <w:color w:val="000000" w:themeColor="text1"/>
          <w:sz w:val="32"/>
          <w:szCs w:val="21"/>
          <w:highlight w:val="none"/>
          <w:lang w:val="en-US" w:eastAsia="zh-CN"/>
          <w14:textFill>
            <w14:solidFill>
              <w14:schemeClr w14:val="tx1"/>
            </w14:solidFill>
          </w14:textFill>
        </w:rPr>
        <w:t xml:space="preserve"> NO-2023(JKJ)060 </w:t>
      </w:r>
    </w:p>
    <w:p>
      <w:pPr>
        <w:spacing w:line="360" w:lineRule="auto"/>
        <w:jc w:val="center"/>
        <w:rPr>
          <w:rFonts w:ascii="仿宋" w:hAnsi="仿宋" w:eastAsia="仿宋" w:cs="仿宋"/>
          <w:color w:val="000000" w:themeColor="text1"/>
          <w:sz w:val="44"/>
          <w:highlight w:val="none"/>
          <w:lang w:eastAsia="zh-CN"/>
          <w14:textFill>
            <w14:solidFill>
              <w14:schemeClr w14:val="tx1"/>
            </w14:solidFill>
          </w14:textFill>
        </w:rPr>
      </w:pPr>
      <w:r>
        <w:rPr>
          <w:rFonts w:hint="eastAsia" w:ascii="仿宋" w:hAnsi="仿宋" w:eastAsia="仿宋" w:cs="仿宋"/>
          <w:color w:val="000000" w:themeColor="text1"/>
          <w:sz w:val="44"/>
          <w:highlight w:val="none"/>
          <w:lang w:eastAsia="zh-CN"/>
          <w14:textFill>
            <w14:solidFill>
              <w14:schemeClr w14:val="tx1"/>
            </w14:solidFill>
          </w14:textFill>
        </w:rPr>
        <w:t>新疆组团参展第二届中国（武汉）文化旅游博览会项目</w:t>
      </w:r>
    </w:p>
    <w:p>
      <w:pPr>
        <w:spacing w:line="360" w:lineRule="auto"/>
        <w:jc w:val="center"/>
        <w:rPr>
          <w:rFonts w:hint="default" w:ascii="仿宋" w:hAnsi="仿宋" w:eastAsia="仿宋" w:cs="仿宋"/>
          <w:color w:val="000000" w:themeColor="text1"/>
          <w:sz w:val="44"/>
          <w:highlight w:val="none"/>
          <w:lang w:val="en-US" w:eastAsia="zh-CN"/>
          <w14:textFill>
            <w14:solidFill>
              <w14:schemeClr w14:val="tx1"/>
            </w14:solidFill>
          </w14:textFill>
        </w:rPr>
      </w:pPr>
    </w:p>
    <w:p>
      <w:pPr>
        <w:spacing w:line="579" w:lineRule="exact"/>
        <w:jc w:val="center"/>
        <w:rPr>
          <w:rFonts w:ascii="仿宋" w:hAnsi="仿宋" w:eastAsia="仿宋" w:cs="仿宋"/>
          <w:color w:val="000000" w:themeColor="text1"/>
          <w:sz w:val="44"/>
          <w:szCs w:val="36"/>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44"/>
          <w:szCs w:val="36"/>
          <w:highlight w:val="none"/>
          <w:lang w:eastAsia="zh-CN"/>
          <w14:textFill>
            <w14:solidFill>
              <w14:schemeClr w14:val="tx1"/>
            </w14:solidFill>
          </w14:textFill>
        </w:rPr>
      </w:pPr>
      <w:r>
        <w:rPr>
          <w:rFonts w:hint="eastAsia" w:ascii="仿宋" w:hAnsi="仿宋" w:eastAsia="仿宋" w:cs="仿宋"/>
          <w:color w:val="000000" w:themeColor="text1"/>
          <w:sz w:val="44"/>
          <w:szCs w:val="36"/>
          <w:highlight w:val="none"/>
          <w:lang w:eastAsia="zh-CN"/>
          <w14:textFill>
            <w14:solidFill>
              <w14:schemeClr w14:val="tx1"/>
            </w14:solidFill>
          </w14:textFill>
        </w:rPr>
        <w:t>竞争性磋商文件</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14:textFill>
            <w14:solidFill>
              <w14:schemeClr w14:val="tx1"/>
            </w14:solidFill>
          </w14:textFill>
        </w:rPr>
        <w:t xml:space="preserve"> </w:t>
      </w:r>
      <w:bookmarkStart w:id="252" w:name="_GoBack"/>
      <w:bookmarkEnd w:id="252"/>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pStyle w:val="7"/>
        <w:spacing w:line="579" w:lineRule="exact"/>
        <w:ind w:firstLine="56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left="1200" w:hanging="1200" w:hangingChars="5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项目名称：新疆组团参展第二届中国（武汉）文化旅游博览会项目</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 购 人：</w:t>
      </w:r>
      <w:r>
        <w:rPr>
          <w:rStyle w:val="30"/>
          <w:rFonts w:hint="eastAsia" w:ascii="仿宋" w:hAnsi="仿宋" w:eastAsia="仿宋" w:cs="仿宋"/>
          <w:i w:val="0"/>
          <w:iCs w:val="0"/>
          <w:caps w:val="0"/>
          <w:color w:val="000000"/>
          <w:spacing w:val="0"/>
          <w:sz w:val="24"/>
          <w:szCs w:val="24"/>
          <w:highlight w:val="none"/>
          <w:lang w:eastAsia="zh-CN"/>
        </w:rPr>
        <w:t>新疆维吾尔自治区文化和旅游厅</w:t>
      </w:r>
      <w:r>
        <w:rPr>
          <w:rFonts w:hint="eastAsia" w:ascii="仿宋" w:hAnsi="仿宋" w:eastAsia="仿宋" w:cs="仿宋"/>
          <w:color w:val="000000" w:themeColor="text1"/>
          <w:sz w:val="24"/>
          <w:highlight w:val="none"/>
          <w:lang w:eastAsia="zh-CN"/>
          <w14:textFill>
            <w14:solidFill>
              <w14:schemeClr w14:val="tx1"/>
            </w14:solidFill>
          </w14:textFill>
        </w:rPr>
        <w:t>（公章）</w:t>
      </w:r>
    </w:p>
    <w:p>
      <w:pPr>
        <w:pStyle w:val="39"/>
        <w:tabs>
          <w:tab w:val="left" w:pos="775"/>
        </w:tabs>
        <w:spacing w:line="579" w:lineRule="exact"/>
        <w:ind w:right="2837"/>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w:t>
      </w:r>
      <w:r>
        <w:rPr>
          <w:rFonts w:hint="eastAsia" w:ascii="仿宋" w:hAnsi="仿宋" w:eastAsia="仿宋" w:cs="仿宋"/>
          <w:color w:val="000000" w:themeColor="text1"/>
          <w:sz w:val="24"/>
          <w:highlight w:val="none"/>
          <w:lang w:val="en-US" w:eastAsia="zh-CN"/>
          <w14:textFill>
            <w14:solidFill>
              <w14:schemeClr w14:val="tx1"/>
            </w14:solidFill>
          </w14:textFill>
        </w:rPr>
        <w:t>梁超</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联系电话：0991-8808511 </w:t>
      </w:r>
    </w:p>
    <w:p>
      <w:pPr>
        <w:pStyle w:val="9"/>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101600</wp:posOffset>
                </wp:positionV>
                <wp:extent cx="592645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635"/>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0.55pt;margin-top:8pt;height:0.05pt;width:466.65pt;z-index:251661312;mso-width-relative:page;mso-height-relative:page;" filled="f" stroked="t" coordsize="21600,21600" o:gfxdata="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IzQ71AAAAAcBAAAPAAAAAAAAAAEAIAAAACIAAABkcnMvZG93bnJldi54bWxQSwECFAAU&#10;AAAACACHTuJA3lrq/fUBAADqAwAADgAAAAAAAAABACAAAAAjAQAAZHJzL2Uyb0RvYy54bWxQSwUG&#10;AAAAAAYABgBZAQAAigUAAAAA&#10;">
                <v:fill on="f" focussize="0,0"/>
                <v:stroke weight="1pt" color="#000000" joinstyle="round" dashstyle="1 1"/>
                <v:imagedata o:title=""/>
                <o:lock v:ext="edit" aspectratio="f"/>
              </v:line>
            </w:pict>
          </mc:Fallback>
        </mc:AlternateConten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采购代理机构：新疆君凯杰工程项目管理有限公司（公章）</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人：牛少鹏</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电      话：18690975279</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邮      箱：571445279@qq.com</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地      址：乌鲁木齐市水磨沟区会展大道1119号大成尔雅A座80</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lang w:eastAsia="zh-CN"/>
          <w14:textFill>
            <w14:solidFill>
              <w14:schemeClr w14:val="tx1"/>
            </w14:solidFill>
          </w14:textFill>
        </w:rPr>
        <w:t>室</w:t>
      </w:r>
    </w:p>
    <w:p>
      <w:pPr>
        <w:spacing w:line="579"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二〇二</w:t>
      </w:r>
      <w:r>
        <w:rPr>
          <w:rFonts w:hint="eastAsia" w:ascii="仿宋" w:hAnsi="仿宋" w:eastAsia="仿宋" w:cs="仿宋"/>
          <w:color w:val="000000" w:themeColor="text1"/>
          <w:sz w:val="24"/>
          <w:highlight w:val="none"/>
          <w:lang w:val="en-US"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四</w:t>
      </w:r>
      <w:r>
        <w:rPr>
          <w:rFonts w:hint="eastAsia" w:ascii="仿宋" w:hAnsi="仿宋" w:eastAsia="仿宋" w:cs="仿宋"/>
          <w:color w:val="000000" w:themeColor="text1"/>
          <w:sz w:val="24"/>
          <w:highlight w:val="none"/>
          <w14:textFill>
            <w14:solidFill>
              <w14:schemeClr w14:val="tx1"/>
            </w14:solidFill>
          </w14:textFill>
        </w:rPr>
        <w:t>月</w:t>
      </w:r>
    </w:p>
    <w:p>
      <w:pPr>
        <w:spacing w:line="579" w:lineRule="exact"/>
        <w:rPr>
          <w:rFonts w:ascii="仿宋" w:hAnsi="仿宋" w:eastAsia="仿宋" w:cs="仿宋"/>
          <w:color w:val="000000" w:themeColor="text1"/>
          <w:sz w:val="24"/>
          <w:szCs w:val="20"/>
          <w:highlight w:val="none"/>
          <w14:textFill>
            <w14:solidFill>
              <w14:schemeClr w14:val="tx1"/>
            </w14:solidFill>
          </w14:textFill>
        </w:rPr>
        <w:sectPr>
          <w:pgSz w:w="11906" w:h="16838"/>
          <w:pgMar w:top="1418" w:right="1826" w:bottom="1418" w:left="1361" w:header="851" w:footer="992" w:gutter="0"/>
          <w:cols w:space="720" w:num="1"/>
          <w:docGrid w:type="linesAndChars" w:linePitch="332" w:charSpace="0"/>
        </w:sectPr>
      </w:pPr>
    </w:p>
    <w:p>
      <w:pPr>
        <w:pStyle w:val="18"/>
        <w:tabs>
          <w:tab w:val="right" w:leader="dot" w:pos="9050"/>
        </w:tabs>
        <w:spacing w:line="579" w:lineRule="exact"/>
        <w:jc w:val="center"/>
        <w:rPr>
          <w:rStyle w:val="31"/>
          <w:rFonts w:ascii="仿宋" w:hAnsi="仿宋" w:eastAsia="仿宋" w:cs="仿宋"/>
          <w:color w:val="000000" w:themeColor="text1"/>
          <w:sz w:val="36"/>
          <w:szCs w:val="36"/>
          <w:highlight w:val="none"/>
          <w:lang w:eastAsia="zh-CN"/>
          <w14:textFill>
            <w14:solidFill>
              <w14:schemeClr w14:val="tx1"/>
            </w14:solidFill>
          </w14:textFill>
        </w:rPr>
      </w:pPr>
      <w:r>
        <w:rPr>
          <w:rStyle w:val="31"/>
          <w:rFonts w:hint="eastAsia" w:ascii="仿宋" w:hAnsi="仿宋" w:eastAsia="仿宋" w:cs="仿宋"/>
          <w:color w:val="000000" w:themeColor="text1"/>
          <w:sz w:val="36"/>
          <w:szCs w:val="36"/>
          <w:highlight w:val="none"/>
          <w:lang w:eastAsia="zh-CN"/>
          <w14:textFill>
            <w14:solidFill>
              <w14:schemeClr w14:val="tx1"/>
            </w14:solidFill>
          </w14:textFill>
        </w:rPr>
        <w:t>目录</w:t>
      </w:r>
    </w:p>
    <w:p>
      <w:pPr>
        <w:pStyle w:val="18"/>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Style w:val="31"/>
          <w:rFonts w:hint="eastAsia" w:ascii="仿宋" w:hAnsi="仿宋" w:eastAsia="仿宋" w:cs="仿宋"/>
          <w:sz w:val="24"/>
          <w:szCs w:val="24"/>
          <w:highlight w:val="none"/>
        </w:rPr>
        <w:fldChar w:fldCharType="begin"/>
      </w:r>
      <w:r>
        <w:rPr>
          <w:rStyle w:val="31"/>
          <w:rFonts w:hint="eastAsia" w:ascii="仿宋" w:hAnsi="仿宋" w:eastAsia="仿宋" w:cs="仿宋"/>
          <w:color w:val="000000" w:themeColor="text1"/>
          <w:sz w:val="24"/>
          <w:szCs w:val="24"/>
          <w:highlight w:val="none"/>
          <w:lang w:eastAsia="zh-CN"/>
          <w14:textFill>
            <w14:solidFill>
              <w14:schemeClr w14:val="tx1"/>
            </w14:solidFill>
          </w14:textFill>
        </w:rPr>
        <w:instrText xml:space="preserve">TOC \o "1-3" \h \u </w:instrText>
      </w:r>
      <w:r>
        <w:rPr>
          <w:rStyle w:val="31"/>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_Toc13367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第一部分</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竞争性磋商公告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_Toc13367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8"/>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_Toc958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w w:val="95"/>
          <w:sz w:val="24"/>
          <w:szCs w:val="24"/>
          <w:highlight w:val="none"/>
          <w:lang w:eastAsia="zh-CN"/>
        </w:rPr>
        <w:t>第二部分</w:t>
      </w:r>
      <w:r>
        <w:rPr>
          <w:rFonts w:hint="eastAsia" w:ascii="仿宋" w:hAnsi="仿宋" w:eastAsia="仿宋" w:cs="仿宋"/>
          <w:bCs/>
          <w:w w:val="95"/>
          <w:sz w:val="24"/>
          <w:szCs w:val="24"/>
          <w:highlight w:val="none"/>
          <w:lang w:val="en-US" w:eastAsia="zh-CN"/>
        </w:rPr>
        <w:t xml:space="preserve"> </w:t>
      </w:r>
      <w:r>
        <w:rPr>
          <w:rFonts w:hint="eastAsia" w:ascii="仿宋" w:hAnsi="仿宋" w:eastAsia="仿宋" w:cs="仿宋"/>
          <w:bCs/>
          <w:w w:val="95"/>
          <w:sz w:val="24"/>
          <w:szCs w:val="24"/>
          <w:highlight w:val="none"/>
          <w:lang w:eastAsia="zh-CN"/>
        </w:rPr>
        <w:t>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_Toc958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_Toc14261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第一章供应商须知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_Toc14261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_Toc18971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第二章 竞争性磋商文件的编写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_Toc18971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_Toc1595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第三章 响应文件的编写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_Toc1595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_Toc15698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第四章 响应文件的递交</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_Toc15698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_Toc17748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第五章 开标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_Toc17748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_Toc5737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第六章 评标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_Toc5737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_Toc21773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第七章 授予合同</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_Toc21773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_Toc31718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第八章 其他</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_Toc31718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32</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_Toc13753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第九章 质疑的提出及处理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_Toc13753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32</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8"/>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_Toc14614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第三部分采购</w:t>
      </w:r>
      <w:r>
        <w:rPr>
          <w:rFonts w:hint="eastAsia" w:ascii="仿宋" w:hAnsi="仿宋" w:eastAsia="仿宋" w:cs="仿宋"/>
          <w:bCs/>
          <w:sz w:val="24"/>
          <w:szCs w:val="24"/>
          <w:highlight w:val="none"/>
          <w:lang w:val="en-US" w:eastAsia="zh-CN"/>
        </w:rPr>
        <w:t>需求</w:t>
      </w:r>
      <w:r>
        <w:rPr>
          <w:rFonts w:hint="eastAsia" w:ascii="仿宋" w:hAnsi="仿宋" w:eastAsia="仿宋" w:cs="仿宋"/>
          <w:bCs/>
          <w:sz w:val="24"/>
          <w:szCs w:val="24"/>
          <w:highlight w:val="none"/>
          <w:lang w:eastAsia="zh-CN"/>
        </w:rPr>
        <w:t>及要求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_Toc14614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38</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8"/>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_Toc10415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第四部分  合同条款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_Toc10415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39</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8"/>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_Toc2116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第五部分附件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_Toc2116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_Toc19478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第一部分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资格证明文件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_Toc19478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_Toc20446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第二部分</w:t>
      </w:r>
      <w:r>
        <w:rPr>
          <w:rFonts w:hint="eastAsia" w:ascii="仿宋" w:hAnsi="仿宋" w:eastAsia="仿宋" w:cs="仿宋"/>
          <w:sz w:val="24"/>
          <w:szCs w:val="24"/>
          <w:highlight w:val="none"/>
          <w:lang w:eastAsia="zh-CN"/>
        </w:rPr>
        <w:t>）报价文件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_Toc20446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62</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20"/>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_Toc12799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第三部分</w:t>
      </w:r>
      <w:r>
        <w:rPr>
          <w:rFonts w:hint="eastAsia" w:ascii="仿宋" w:hAnsi="仿宋" w:eastAsia="仿宋" w:cs="仿宋"/>
          <w:sz w:val="24"/>
          <w:szCs w:val="24"/>
          <w:highlight w:val="none"/>
          <w:lang w:eastAsia="zh-CN"/>
        </w:rPr>
        <w:t>）商务及技术部分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_Toc12799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_Toc29089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（一）投标函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_Toc29089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65</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_Toc13658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（二）法定代表人诚信投标承诺书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_Toc13658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66</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_Toc1088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三</w:t>
      </w:r>
      <w:r>
        <w:rPr>
          <w:rFonts w:hint="eastAsia" w:ascii="仿宋" w:hAnsi="仿宋" w:eastAsia="仿宋" w:cs="仿宋"/>
          <w:sz w:val="24"/>
          <w:szCs w:val="24"/>
          <w:highlight w:val="none"/>
          <w:lang w:eastAsia="zh-CN" w:bidi="ar"/>
        </w:rPr>
        <w:t>）磋商保证金</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_Toc1088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_Toc9099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四</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企业</w:t>
      </w:r>
      <w:r>
        <w:rPr>
          <w:rFonts w:hint="eastAsia" w:ascii="仿宋" w:hAnsi="仿宋" w:eastAsia="仿宋" w:cs="仿宋"/>
          <w:sz w:val="24"/>
          <w:szCs w:val="24"/>
          <w:highlight w:val="none"/>
          <w:lang w:eastAsia="zh-CN" w:bidi="ar"/>
        </w:rPr>
        <w:t>业绩一览表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_Toc9099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68</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_Toc21282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五</w:t>
      </w:r>
      <w:r>
        <w:rPr>
          <w:rFonts w:hint="eastAsia" w:ascii="仿宋" w:hAnsi="仿宋" w:eastAsia="仿宋" w:cs="仿宋"/>
          <w:sz w:val="24"/>
          <w:szCs w:val="24"/>
          <w:highlight w:val="none"/>
          <w:lang w:eastAsia="zh-CN" w:bidi="ar"/>
        </w:rPr>
        <w:t>）项目团队成员一览表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_Toc21282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70</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_Toc18344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（六）对本项目的理解与认识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_Toc18344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_Toc7463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（七）组织架构方案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_Toc7463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_Toc3238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lang w:eastAsia="zh-CN"/>
        </w:rPr>
        <w:t>）总体</w:t>
      </w:r>
      <w:r>
        <w:rPr>
          <w:rFonts w:hint="eastAsia" w:ascii="仿宋" w:hAnsi="仿宋" w:eastAsia="仿宋" w:cs="仿宋"/>
          <w:sz w:val="24"/>
          <w:szCs w:val="24"/>
          <w:highlight w:val="none"/>
          <w:lang w:val="en-US" w:eastAsia="zh-CN"/>
        </w:rPr>
        <w:t>实施</w:t>
      </w:r>
      <w:r>
        <w:rPr>
          <w:rFonts w:hint="eastAsia" w:ascii="仿宋" w:hAnsi="仿宋" w:eastAsia="仿宋" w:cs="仿宋"/>
          <w:sz w:val="24"/>
          <w:szCs w:val="24"/>
          <w:highlight w:val="none"/>
          <w:lang w:eastAsia="zh-CN"/>
        </w:rPr>
        <w:t>方案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_Toc3238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73</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_Toc4767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展馆设计搭建方案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_Toc4767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_Toc22023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（十）质量保证措施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_Toc22023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_Toc21450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（十一）工作进度控制措施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_Toc21450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74</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_Toc27324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（十二）应急预备方案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_Toc27324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75</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_Toc31910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（十三）配套服务措施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_Toc31910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75</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_Toc27739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lang w:eastAsia="zh-CN"/>
        </w:rPr>
        <w:t>条款偏离表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_Toc27739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76</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_Toc28625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技术（服务）</w:t>
      </w:r>
      <w:r>
        <w:rPr>
          <w:rFonts w:hint="eastAsia" w:ascii="仿宋" w:hAnsi="仿宋" w:eastAsia="仿宋" w:cs="仿宋"/>
          <w:sz w:val="24"/>
          <w:szCs w:val="24"/>
          <w:highlight w:val="none"/>
          <w:lang w:eastAsia="zh-CN"/>
        </w:rPr>
        <w:t>条款偏离表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_Toc28625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77</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_Toc25826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lang w:eastAsia="zh-CN"/>
        </w:rPr>
        <w:t>）供应商企业类型声明函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_Toc25826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78</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3"/>
        <w:keepNext w:val="0"/>
        <w:keepLines w:val="0"/>
        <w:pageBreakBefore w:val="0"/>
        <w:widowControl/>
        <w:tabs>
          <w:tab w:val="right" w:leader="dot" w:pos="9050"/>
        </w:tabs>
        <w:kinsoku/>
        <w:wordWrap/>
        <w:overflowPunct/>
        <w:topLinePunct w:val="0"/>
        <w:autoSpaceDE/>
        <w:autoSpaceDN/>
        <w:bidi w:val="0"/>
        <w:adjustRightInd/>
        <w:snapToGrid/>
        <w:spacing w:line="360" w:lineRule="exact"/>
        <w:textAlignment w:val="baseline"/>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_Toc25027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十七</w:t>
      </w:r>
      <w:r>
        <w:rPr>
          <w:rFonts w:hint="eastAsia" w:ascii="仿宋" w:hAnsi="仿宋" w:eastAsia="仿宋" w:cs="仿宋"/>
          <w:sz w:val="24"/>
          <w:szCs w:val="24"/>
          <w:highlight w:val="none"/>
          <w:lang w:eastAsia="zh-CN"/>
        </w:rPr>
        <w:t>）供应商认为有必要提交的其他资料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_Toc25027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80</w:t>
      </w:r>
      <w:r>
        <w:rPr>
          <w:rFonts w:hint="eastAsia" w:ascii="仿宋" w:hAnsi="仿宋" w:eastAsia="仿宋" w:cs="仿宋"/>
          <w:sz w:val="24"/>
          <w:szCs w:val="24"/>
          <w:highlight w:val="none"/>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baseline"/>
        <w:rPr>
          <w:rStyle w:val="31"/>
          <w:rFonts w:ascii="仿宋" w:hAnsi="仿宋" w:eastAsia="仿宋" w:cs="仿宋"/>
          <w:color w:val="000000" w:themeColor="text1"/>
          <w:sz w:val="44"/>
          <w:highlight w:val="none"/>
          <w:lang w:eastAsia="zh-CN"/>
          <w14:textFill>
            <w14:solidFill>
              <w14:schemeClr w14:val="tx1"/>
            </w14:solidFill>
          </w14:textFill>
        </w:rPr>
        <w:sectPr>
          <w:footerReference r:id="rId3" w:type="default"/>
          <w:pgSz w:w="11910" w:h="16840"/>
          <w:pgMar w:top="1400" w:right="1220" w:bottom="980" w:left="1640" w:header="720" w:footer="796" w:gutter="0"/>
          <w:pgNumType w:start="1"/>
          <w:cols w:space="720" w:num="1"/>
        </w:sect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spacing w:before="108" w:line="360" w:lineRule="auto"/>
        <w:ind w:right="-29" w:rightChars="-13"/>
        <w:jc w:val="center"/>
        <w:outlineLvl w:val="0"/>
        <w:rPr>
          <w:rFonts w:ascii="仿宋" w:hAnsi="仿宋" w:eastAsia="仿宋" w:cs="仿宋"/>
          <w:color w:val="000000" w:themeColor="text1"/>
          <w:sz w:val="36"/>
          <w:szCs w:val="36"/>
          <w:highlight w:val="none"/>
          <w:lang w:eastAsia="zh-CN"/>
          <w14:textFill>
            <w14:solidFill>
              <w14:schemeClr w14:val="tx1"/>
            </w14:solidFill>
          </w14:textFill>
        </w:rPr>
      </w:pPr>
      <w:bookmarkStart w:id="0" w:name="_Toc20541"/>
      <w:bookmarkStart w:id="1" w:name="_Toc25337"/>
      <w:bookmarkStart w:id="2" w:name="_Toc13367"/>
      <w:bookmarkStart w:id="3" w:name="_Toc20343"/>
      <w:bookmarkStart w:id="4" w:name="_Toc326"/>
      <w:bookmarkStart w:id="5" w:name="_Toc4733"/>
      <w:bookmarkStart w:id="6" w:name="_Toc29792"/>
      <w:r>
        <w:rPr>
          <w:rStyle w:val="31"/>
          <w:rFonts w:hint="eastAsia" w:ascii="仿宋" w:hAnsi="仿宋" w:eastAsia="仿宋" w:cs="仿宋"/>
          <w:b/>
          <w:color w:val="000000" w:themeColor="text1"/>
          <w:sz w:val="30"/>
          <w:szCs w:val="30"/>
          <w:highlight w:val="none"/>
          <w:lang w:eastAsia="zh-CN"/>
          <w14:textFill>
            <w14:solidFill>
              <w14:schemeClr w14:val="tx1"/>
            </w14:solidFill>
          </w14:textFill>
        </w:rPr>
        <w:t>第一部分</w:t>
      </w:r>
      <w:r>
        <w:rPr>
          <w:rStyle w:val="31"/>
          <w:rFonts w:hint="eastAsia" w:ascii="仿宋" w:hAnsi="仿宋" w:eastAsia="仿宋" w:cs="仿宋"/>
          <w:b/>
          <w:color w:val="000000" w:themeColor="text1"/>
          <w:sz w:val="30"/>
          <w:szCs w:val="30"/>
          <w:highlight w:val="none"/>
          <w:lang w:val="en-US" w:eastAsia="zh-CN"/>
          <w14:textFill>
            <w14:solidFill>
              <w14:schemeClr w14:val="tx1"/>
            </w14:solidFill>
          </w14:textFill>
        </w:rPr>
        <w:t xml:space="preserve"> </w:t>
      </w:r>
      <w:r>
        <w:rPr>
          <w:rStyle w:val="31"/>
          <w:rFonts w:hint="eastAsia" w:ascii="仿宋" w:hAnsi="仿宋" w:eastAsia="仿宋" w:cs="仿宋"/>
          <w:b/>
          <w:color w:val="000000" w:themeColor="text1"/>
          <w:sz w:val="30"/>
          <w:szCs w:val="30"/>
          <w:highlight w:val="none"/>
          <w:lang w:eastAsia="zh-CN"/>
          <w14:textFill>
            <w14:solidFill>
              <w14:schemeClr w14:val="tx1"/>
            </w14:solidFill>
          </w14:textFill>
        </w:rPr>
        <w:t>竞争性磋商公告</w:t>
      </w:r>
      <w:bookmarkEnd w:id="0"/>
      <w:bookmarkEnd w:id="1"/>
      <w:bookmarkEnd w:id="2"/>
      <w:bookmarkEnd w:id="3"/>
      <w:bookmarkEnd w:id="4"/>
      <w:bookmarkEnd w:id="5"/>
    </w:p>
    <w:bookmarkEnd w:id="6"/>
    <w:p>
      <w:pPr>
        <w:overflowPunct w:val="0"/>
        <w:spacing w:line="579" w:lineRule="exact"/>
        <w:textAlignment w:val="auto"/>
        <w:rPr>
          <w:rFonts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项目概况:</w:t>
      </w:r>
    </w:p>
    <w:p>
      <w:pPr>
        <w:pStyle w:val="21"/>
        <w:keepNext w:val="0"/>
        <w:keepLines w:val="0"/>
        <w:pageBreakBefore w:val="0"/>
        <w:widowControl/>
        <w:kinsoku/>
        <w:wordWrap/>
        <w:overflowPunct/>
        <w:topLinePunct w:val="0"/>
        <w:autoSpaceDE/>
        <w:autoSpaceDN/>
        <w:bidi w:val="0"/>
        <w:adjustRightInd/>
        <w:snapToGrid/>
        <w:spacing w:before="20" w:beforeAutospacing="0" w:after="20" w:afterAutospacing="0" w:line="579" w:lineRule="exact"/>
        <w:ind w:firstLine="480" w:firstLineChars="200"/>
        <w:jc w:val="both"/>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新疆组团参展第二届中国（武汉）文化旅游博览会项目</w:t>
      </w:r>
      <w:r>
        <w:rPr>
          <w:rFonts w:hint="eastAsia" w:ascii="仿宋" w:hAnsi="仿宋" w:eastAsia="仿宋" w:cs="仿宋"/>
          <w:color w:val="000000" w:themeColor="text1"/>
          <w:highlight w:val="none"/>
          <w14:textFill>
            <w14:solidFill>
              <w14:schemeClr w14:val="tx1"/>
            </w14:solidFill>
          </w14:textFill>
        </w:rPr>
        <w:t>的潜在供应商应在中国政府采购网新疆分网（政府采购云平台）获取</w:t>
      </w:r>
      <w:r>
        <w:rPr>
          <w:rFonts w:hint="eastAsia" w:ascii="仿宋" w:hAnsi="仿宋" w:eastAsia="仿宋" w:cs="仿宋"/>
          <w:color w:val="000000" w:themeColor="text1"/>
          <w:highlight w:val="none"/>
          <w:lang w:val="en-US" w:eastAsia="zh-CN"/>
          <w14:textFill>
            <w14:solidFill>
              <w14:schemeClr w14:val="tx1"/>
            </w14:solidFill>
          </w14:textFill>
        </w:rPr>
        <w:t>采购</w:t>
      </w:r>
      <w:r>
        <w:rPr>
          <w:rFonts w:hint="eastAsia" w:ascii="仿宋" w:hAnsi="仿宋" w:eastAsia="仿宋" w:cs="仿宋"/>
          <w:color w:val="000000" w:themeColor="text1"/>
          <w:highlight w:val="none"/>
          <w14:textFill>
            <w14:solidFill>
              <w14:schemeClr w14:val="tx1"/>
            </w14:solidFill>
          </w14:textFill>
        </w:rPr>
        <w:t>文件，并于202</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17</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18</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00</w:t>
      </w:r>
      <w:r>
        <w:rPr>
          <w:rFonts w:hint="eastAsia" w:ascii="仿宋" w:hAnsi="仿宋" w:eastAsia="仿宋" w:cs="仿宋"/>
          <w:color w:val="000000" w:themeColor="text1"/>
          <w:highlight w:val="none"/>
          <w14:textFill>
            <w14:solidFill>
              <w14:schemeClr w14:val="tx1"/>
            </w14:solidFill>
          </w14:textFill>
        </w:rPr>
        <w:t>（北京时间）前递交投标文件。</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8"/>
          <w:rFonts w:hint="eastAsia" w:ascii="仿宋" w:hAnsi="仿宋" w:eastAsia="仿宋" w:cs="仿宋"/>
          <w:i w:val="0"/>
          <w:iCs w:val="0"/>
          <w:caps w:val="0"/>
          <w:color w:val="000000"/>
          <w:spacing w:val="0"/>
          <w:sz w:val="24"/>
          <w:szCs w:val="24"/>
          <w:highlight w:val="none"/>
        </w:rPr>
        <w:t>一、项目基本情况</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xml:space="preserve">    </w:t>
      </w:r>
      <w:r>
        <w:rPr>
          <w:rFonts w:hint="eastAsia" w:ascii="仿宋" w:hAnsi="仿宋" w:eastAsia="仿宋" w:cs="仿宋"/>
          <w:i w:val="0"/>
          <w:iCs w:val="0"/>
          <w:caps w:val="0"/>
          <w:color w:val="000000"/>
          <w:spacing w:val="0"/>
          <w:sz w:val="24"/>
          <w:szCs w:val="24"/>
          <w:highlight w:val="none"/>
          <w:lang w:eastAsia="zh-CN"/>
        </w:rPr>
        <w:t>项目编号:</w:t>
      </w:r>
      <w:r>
        <w:rPr>
          <w:rFonts w:hint="eastAsia" w:ascii="仿宋" w:hAnsi="仿宋" w:eastAsia="仿宋" w:cs="仿宋"/>
          <w:i w:val="0"/>
          <w:iCs w:val="0"/>
          <w:caps w:val="0"/>
          <w:color w:val="000000"/>
          <w:spacing w:val="0"/>
          <w:sz w:val="24"/>
          <w:szCs w:val="24"/>
          <w:highlight w:val="none"/>
          <w:lang w:val="en-US" w:eastAsia="zh-CN"/>
        </w:rPr>
        <w:t xml:space="preserve">NO-2023(JKJ)060 </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项目名称：</w:t>
      </w:r>
      <w:r>
        <w:rPr>
          <w:rFonts w:hint="eastAsia" w:ascii="仿宋" w:hAnsi="仿宋" w:eastAsia="仿宋" w:cs="仿宋"/>
          <w:i w:val="0"/>
          <w:iCs w:val="0"/>
          <w:caps w:val="0"/>
          <w:color w:val="000000"/>
          <w:spacing w:val="0"/>
          <w:sz w:val="24"/>
          <w:szCs w:val="24"/>
          <w:highlight w:val="none"/>
          <w:lang w:eastAsia="zh-CN"/>
        </w:rPr>
        <w:t>新疆组团参展第二届中国（武汉）文化旅游博览会项目</w:t>
      </w:r>
      <w:r>
        <w:rPr>
          <w:rFonts w:hint="eastAsia" w:ascii="仿宋" w:hAnsi="仿宋" w:eastAsia="仿宋" w:cs="仿宋"/>
          <w:i w:val="0"/>
          <w:iCs w:val="0"/>
          <w:caps w:val="0"/>
          <w:color w:val="000000"/>
          <w:spacing w:val="0"/>
          <w:sz w:val="24"/>
          <w:szCs w:val="24"/>
          <w:highlight w:val="none"/>
        </w:rPr>
        <w:t> </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采购方式：竞争性磋商 </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500000.00</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最高限价（元）：</w:t>
      </w:r>
      <w:r>
        <w:rPr>
          <w:rFonts w:hint="eastAsia" w:ascii="仿宋" w:hAnsi="仿宋" w:eastAsia="仿宋" w:cs="仿宋"/>
          <w:i w:val="0"/>
          <w:iCs w:val="0"/>
          <w:caps w:val="0"/>
          <w:color w:val="000000"/>
          <w:spacing w:val="0"/>
          <w:sz w:val="24"/>
          <w:szCs w:val="24"/>
          <w:highlight w:val="none"/>
          <w:lang w:val="en-US" w:eastAsia="zh-CN"/>
        </w:rPr>
        <w:t>500000.00</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579" w:lineRule="exact"/>
        <w:ind w:left="0" w:firstLine="0"/>
        <w:jc w:val="left"/>
        <w:rPr>
          <w:rFonts w:hint="eastAsia" w:ascii="仿宋" w:hAnsi="仿宋" w:eastAsia="仿宋" w:cs="仿宋"/>
          <w:i w:val="0"/>
          <w:iCs w:val="0"/>
          <w:caps w:val="0"/>
          <w:color w:val="000000"/>
          <w:spacing w:val="0"/>
          <w:kern w:val="0"/>
          <w:sz w:val="24"/>
          <w:szCs w:val="24"/>
          <w:highlight w:val="none"/>
          <w:lang w:val="en-US" w:eastAsia="zh-CN" w:bidi="ar"/>
        </w:rPr>
      </w:pPr>
      <w:r>
        <w:rPr>
          <w:rFonts w:hint="eastAsia" w:ascii="仿宋" w:hAnsi="仿宋" w:eastAsia="仿宋" w:cs="仿宋"/>
          <w:i w:val="0"/>
          <w:iCs w:val="0"/>
          <w:caps w:val="0"/>
          <w:color w:val="000000"/>
          <w:spacing w:val="0"/>
          <w:kern w:val="0"/>
          <w:sz w:val="24"/>
          <w:szCs w:val="24"/>
          <w:highlight w:val="none"/>
          <w:lang w:val="en-US" w:eastAsia="zh-CN" w:bidi="ar"/>
        </w:rPr>
        <w:t>      标项一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579" w:lineRule="exact"/>
        <w:ind w:left="0" w:firstLine="0"/>
        <w:jc w:val="left"/>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kern w:val="0"/>
          <w:sz w:val="24"/>
          <w:szCs w:val="24"/>
          <w:highlight w:val="none"/>
          <w:lang w:val="en-US" w:eastAsia="zh-CN" w:bidi="ar"/>
        </w:rPr>
        <w:t>   数量：不限     </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500000.00</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单位：批 </w:t>
      </w:r>
    </w:p>
    <w:p>
      <w:pPr>
        <w:keepNext w:val="0"/>
        <w:keepLines w:val="0"/>
        <w:pageBreakBefore w:val="0"/>
        <w:widowControl w:val="0"/>
        <w:kinsoku/>
        <w:wordWrap/>
        <w:overflowPunct/>
        <w:topLinePunct w:val="0"/>
        <w:autoSpaceDE w:val="0"/>
        <w:autoSpaceDN w:val="0"/>
        <w:bidi w:val="0"/>
        <w:adjustRightInd/>
        <w:snapToGrid/>
        <w:spacing w:before="0" w:line="480" w:lineRule="exact"/>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简要规格描述：</w:t>
      </w:r>
      <w:r>
        <w:rPr>
          <w:rFonts w:hint="eastAsia" w:ascii="仿宋" w:hAnsi="仿宋" w:eastAsia="仿宋" w:cs="仿宋"/>
          <w:i w:val="0"/>
          <w:iCs w:val="0"/>
          <w:caps w:val="0"/>
          <w:color w:val="000000"/>
          <w:spacing w:val="0"/>
          <w:sz w:val="24"/>
          <w:szCs w:val="24"/>
          <w:highlight w:val="none"/>
          <w:lang w:eastAsia="zh-CN"/>
        </w:rPr>
        <w:t>新疆组团参展第二届中国（武汉）文化旅游博览会项目</w:t>
      </w:r>
      <w:r>
        <w:rPr>
          <w:rFonts w:hint="eastAsia" w:ascii="仿宋" w:hAnsi="仿宋" w:eastAsia="仿宋" w:cs="仿宋"/>
          <w:i w:val="0"/>
          <w:iCs w:val="0"/>
          <w:caps w:val="0"/>
          <w:color w:val="000000"/>
          <w:spacing w:val="0"/>
          <w:sz w:val="24"/>
          <w:szCs w:val="24"/>
          <w:highlight w:val="none"/>
          <w:lang w:val="en-US" w:eastAsia="zh-CN"/>
        </w:rPr>
        <w:t>展馆设计、搭建、展区设置等全流程服务及相关配套服务。</w:t>
      </w:r>
      <w:r>
        <w:rPr>
          <w:rFonts w:hint="eastAsia" w:ascii="仿宋" w:hAnsi="仿宋" w:eastAsia="仿宋" w:cs="仿宋"/>
          <w:i w:val="0"/>
          <w:iCs w:val="0"/>
          <w:caps w:val="0"/>
          <w:color w:val="000000"/>
          <w:spacing w:val="0"/>
          <w:sz w:val="24"/>
          <w:szCs w:val="24"/>
          <w:highlight w:val="none"/>
        </w:rPr>
        <w:t>（详细参数及要求见</w:t>
      </w:r>
      <w:r>
        <w:rPr>
          <w:rFonts w:hint="eastAsia" w:ascii="仿宋" w:hAnsi="仿宋" w:eastAsia="仿宋" w:cs="仿宋"/>
          <w:i w:val="0"/>
          <w:iCs w:val="0"/>
          <w:caps w:val="0"/>
          <w:color w:val="000000"/>
          <w:spacing w:val="0"/>
          <w:sz w:val="24"/>
          <w:szCs w:val="24"/>
          <w:highlight w:val="none"/>
          <w:lang w:val="en-US" w:eastAsia="zh-CN"/>
        </w:rPr>
        <w:t>竞争性磋商</w:t>
      </w:r>
      <w:r>
        <w:rPr>
          <w:rFonts w:hint="eastAsia" w:ascii="仿宋" w:hAnsi="仿宋" w:eastAsia="仿宋" w:cs="仿宋"/>
          <w:i w:val="0"/>
          <w:iCs w:val="0"/>
          <w:caps w:val="0"/>
          <w:color w:val="000000"/>
          <w:spacing w:val="0"/>
          <w:sz w:val="24"/>
          <w:szCs w:val="24"/>
          <w:highlight w:val="none"/>
        </w:rPr>
        <w:t>文件）</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备注： </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合同履约期限：标项 1，</w:t>
      </w:r>
      <w:r>
        <w:rPr>
          <w:rFonts w:hint="eastAsia" w:ascii="仿宋" w:hAnsi="仿宋" w:eastAsia="仿宋" w:cs="仿宋"/>
          <w:i w:val="0"/>
          <w:iCs w:val="0"/>
          <w:caps w:val="0"/>
          <w:color w:val="000000"/>
          <w:spacing w:val="0"/>
          <w:sz w:val="24"/>
          <w:szCs w:val="24"/>
          <w:highlight w:val="none"/>
          <w:lang w:val="en-US" w:eastAsia="zh-CN"/>
        </w:rPr>
        <w:t>签订合同之日起至本项目结束止（参展时间：2023年4月21日—4月23日）</w:t>
      </w:r>
      <w:r>
        <w:rPr>
          <w:rFonts w:hint="eastAsia" w:ascii="仿宋" w:hAnsi="仿宋" w:eastAsia="仿宋" w:cs="仿宋"/>
          <w:i w:val="0"/>
          <w:iCs w:val="0"/>
          <w:caps w:val="0"/>
          <w:color w:val="000000"/>
          <w:spacing w:val="0"/>
          <w:sz w:val="24"/>
          <w:szCs w:val="24"/>
          <w:highlight w:val="none"/>
          <w:lang w:val="zh-CN"/>
        </w:rPr>
        <w:t>；</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标项 1，本标项（</w:t>
      </w:r>
      <w:r>
        <w:rPr>
          <w:rFonts w:hint="eastAsia" w:ascii="仿宋" w:hAnsi="仿宋" w:eastAsia="仿宋" w:cs="仿宋"/>
          <w:i w:val="0"/>
          <w:iCs w:val="0"/>
          <w:caps w:val="0"/>
          <w:color w:val="000000"/>
          <w:spacing w:val="0"/>
          <w:sz w:val="24"/>
          <w:szCs w:val="24"/>
          <w:highlight w:val="none"/>
          <w:lang w:val="en-US" w:eastAsia="zh-CN"/>
        </w:rPr>
        <w:t>否</w:t>
      </w:r>
      <w:r>
        <w:rPr>
          <w:rFonts w:hint="eastAsia" w:ascii="仿宋" w:hAnsi="仿宋" w:eastAsia="仿宋" w:cs="仿宋"/>
          <w:i w:val="0"/>
          <w:iCs w:val="0"/>
          <w:caps w:val="0"/>
          <w:color w:val="000000"/>
          <w:spacing w:val="0"/>
          <w:sz w:val="24"/>
          <w:szCs w:val="24"/>
          <w:highlight w:val="none"/>
        </w:rPr>
        <w:t>）接受联合体投标。</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8"/>
          <w:rFonts w:hint="eastAsia" w:ascii="仿宋" w:hAnsi="仿宋" w:eastAsia="仿宋" w:cs="仿宋"/>
          <w:i w:val="0"/>
          <w:iCs w:val="0"/>
          <w:caps w:val="0"/>
          <w:color w:val="000000"/>
          <w:spacing w:val="0"/>
          <w:sz w:val="24"/>
          <w:szCs w:val="24"/>
          <w:highlight w:val="none"/>
        </w:rPr>
        <w:t>二、申请人的资格要求：</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1.满足《中华人民共和国政府采购法》第二十二条规定；</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i w:val="0"/>
          <w:iCs w:val="0"/>
          <w:caps w:val="0"/>
          <w:color w:val="000000"/>
          <w:spacing w:val="0"/>
          <w:sz w:val="24"/>
          <w:szCs w:val="24"/>
          <w:highlight w:val="none"/>
        </w:rPr>
        <w:t>    2.落实政府采购政策需满足的资格要求：</w:t>
      </w:r>
      <w:r>
        <w:rPr>
          <w:rFonts w:hint="eastAsia" w:ascii="仿宋" w:hAnsi="仿宋" w:eastAsia="仿宋" w:cs="仿宋"/>
          <w:color w:val="auto"/>
          <w:sz w:val="24"/>
          <w:szCs w:val="24"/>
          <w:highlight w:val="none"/>
        </w:rPr>
        <w:t>本项目为专门面向</w:t>
      </w:r>
      <w:r>
        <w:rPr>
          <w:rFonts w:hint="eastAsia" w:ascii="仿宋" w:hAnsi="仿宋" w:eastAsia="仿宋" w:cs="仿宋"/>
          <w:color w:val="auto"/>
          <w:sz w:val="24"/>
          <w:szCs w:val="24"/>
          <w:highlight w:val="none"/>
          <w:lang w:val="en-US" w:eastAsia="zh-CN"/>
        </w:rPr>
        <w:t>中小</w:t>
      </w:r>
      <w:r>
        <w:rPr>
          <w:rFonts w:hint="eastAsia" w:ascii="仿宋" w:hAnsi="仿宋" w:eastAsia="仿宋" w:cs="仿宋"/>
          <w:color w:val="auto"/>
          <w:sz w:val="24"/>
          <w:szCs w:val="24"/>
          <w:highlight w:val="none"/>
        </w:rPr>
        <w:t>企业（含</w:t>
      </w:r>
      <w:r>
        <w:rPr>
          <w:rFonts w:hint="eastAsia" w:ascii="仿宋" w:hAnsi="仿宋" w:eastAsia="仿宋" w:cs="仿宋"/>
          <w:color w:val="auto"/>
          <w:sz w:val="24"/>
          <w:szCs w:val="24"/>
          <w:highlight w:val="none"/>
          <w:lang w:val="en-US" w:eastAsia="zh-CN"/>
        </w:rPr>
        <w:t>中型、</w:t>
      </w:r>
      <w:r>
        <w:rPr>
          <w:rFonts w:hint="eastAsia" w:ascii="仿宋" w:hAnsi="仿宋" w:eastAsia="仿宋" w:cs="仿宋"/>
          <w:color w:val="auto"/>
          <w:sz w:val="24"/>
          <w:szCs w:val="24"/>
          <w:highlight w:val="none"/>
        </w:rPr>
        <w:t>小型、微型企业）。</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3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3.本项目的特定资格要求：</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3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en-US" w:eastAsia="zh-CN"/>
        </w:rPr>
        <w:t>1</w:t>
      </w:r>
      <w:r>
        <w:rPr>
          <w:rFonts w:hint="eastAsia" w:ascii="仿宋" w:hAnsi="仿宋" w:eastAsia="仿宋" w:cs="仿宋"/>
          <w:i w:val="0"/>
          <w:iCs w:val="0"/>
          <w:caps w:val="0"/>
          <w:color w:val="000000"/>
          <w:spacing w:val="0"/>
          <w:sz w:val="24"/>
          <w:szCs w:val="24"/>
          <w:highlight w:val="none"/>
          <w:lang w:eastAsia="zh-CN"/>
        </w:rPr>
        <w:t>）单位负责人为同一人或者存在直接控股、管理关系的不同供应商，不得参加</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eastAsia="zh-CN"/>
        </w:rPr>
        <w:t>同一合同项下的政府采购活动；供应商不得为该整体项目或其中分项目前期工作提供过设计、编制、监理、检测、管理等服务的法人及附属单位；（需提供书面声明）；</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80" w:firstLineChars="20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lang w:eastAsia="zh-CN"/>
        </w:rPr>
        <w:t>）凡拟参加本次采购项目的供应商，如在“信用中国”网站</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（WWW.creditchina.gov.cn）、中国政府采购网（www.ccgp.gov.cn）被列入失信被执行人、重大税收违法</w:t>
      </w:r>
      <w:r>
        <w:rPr>
          <w:rFonts w:hint="eastAsia" w:ascii="仿宋" w:hAnsi="仿宋" w:eastAsia="仿宋" w:cs="仿宋"/>
          <w:i w:val="0"/>
          <w:iCs w:val="0"/>
          <w:caps w:val="0"/>
          <w:color w:val="000000"/>
          <w:spacing w:val="0"/>
          <w:sz w:val="24"/>
          <w:szCs w:val="24"/>
          <w:highlight w:val="none"/>
          <w:lang w:val="en-US" w:eastAsia="zh-CN"/>
        </w:rPr>
        <w:t>失信主体</w:t>
      </w:r>
      <w:r>
        <w:rPr>
          <w:rFonts w:hint="eastAsia" w:ascii="仿宋" w:hAnsi="仿宋" w:eastAsia="仿宋" w:cs="仿宋"/>
          <w:i w:val="0"/>
          <w:iCs w:val="0"/>
          <w:caps w:val="0"/>
          <w:color w:val="000000"/>
          <w:spacing w:val="0"/>
          <w:sz w:val="24"/>
          <w:szCs w:val="24"/>
          <w:highlight w:val="none"/>
        </w:rPr>
        <w:t>、政府采购严重违法失信行为记录名单（尚在处罚期内的）（查询日期为从采购文件发售之日起至投标截止日前），将拒绝其参</w:t>
      </w:r>
      <w:r>
        <w:rPr>
          <w:rFonts w:hint="eastAsia" w:ascii="仿宋" w:hAnsi="仿宋" w:eastAsia="仿宋" w:cs="仿宋"/>
          <w:i w:val="0"/>
          <w:iCs w:val="0"/>
          <w:caps w:val="0"/>
          <w:color w:val="000000"/>
          <w:spacing w:val="0"/>
          <w:sz w:val="24"/>
          <w:szCs w:val="24"/>
          <w:highlight w:val="none"/>
          <w:lang w:val="en-US" w:eastAsia="zh-CN"/>
        </w:rPr>
        <w:t>加</w:t>
      </w:r>
      <w:r>
        <w:rPr>
          <w:rFonts w:hint="eastAsia" w:ascii="仿宋" w:hAnsi="仿宋" w:eastAsia="仿宋" w:cs="仿宋"/>
          <w:i w:val="0"/>
          <w:iCs w:val="0"/>
          <w:caps w:val="0"/>
          <w:color w:val="000000"/>
          <w:spacing w:val="0"/>
          <w:sz w:val="24"/>
          <w:szCs w:val="24"/>
          <w:highlight w:val="none"/>
        </w:rPr>
        <w:t>本次采购活动</w:t>
      </w:r>
      <w:r>
        <w:rPr>
          <w:rFonts w:hint="eastAsia" w:ascii="仿宋" w:hAnsi="仿宋" w:eastAsia="仿宋" w:cs="仿宋"/>
          <w:i w:val="0"/>
          <w:iCs w:val="0"/>
          <w:caps w:val="0"/>
          <w:color w:val="000000"/>
          <w:spacing w:val="0"/>
          <w:sz w:val="24"/>
          <w:szCs w:val="24"/>
          <w:highlight w:val="none"/>
          <w:lang w:eastAsia="zh-CN"/>
        </w:rPr>
        <w:t>；</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80" w:firstLineChars="2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en-US" w:eastAsia="zh-CN"/>
        </w:rPr>
        <w:t>3</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提供《中小企业声明函》</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en-US" w:eastAsia="zh-CN"/>
        </w:rPr>
        <w:t>供应商必须为中小</w:t>
      </w:r>
      <w:r>
        <w:rPr>
          <w:rFonts w:hint="eastAsia" w:ascii="仿宋" w:hAnsi="仿宋" w:eastAsia="仿宋" w:cs="仿宋"/>
          <w:i w:val="0"/>
          <w:iCs w:val="0"/>
          <w:caps w:val="0"/>
          <w:color w:val="000000"/>
          <w:spacing w:val="0"/>
          <w:sz w:val="24"/>
          <w:szCs w:val="24"/>
          <w:highlight w:val="none"/>
        </w:rPr>
        <w:t>企业（含</w:t>
      </w:r>
      <w:r>
        <w:rPr>
          <w:rFonts w:hint="eastAsia" w:ascii="仿宋" w:hAnsi="仿宋" w:eastAsia="仿宋" w:cs="仿宋"/>
          <w:i w:val="0"/>
          <w:iCs w:val="0"/>
          <w:caps w:val="0"/>
          <w:color w:val="000000"/>
          <w:spacing w:val="0"/>
          <w:sz w:val="24"/>
          <w:szCs w:val="24"/>
          <w:highlight w:val="none"/>
          <w:lang w:val="en-US" w:eastAsia="zh-CN"/>
        </w:rPr>
        <w:t>中型、</w:t>
      </w:r>
      <w:r>
        <w:rPr>
          <w:rFonts w:hint="eastAsia" w:ascii="仿宋" w:hAnsi="仿宋" w:eastAsia="仿宋" w:cs="仿宋"/>
          <w:i w:val="0"/>
          <w:iCs w:val="0"/>
          <w:caps w:val="0"/>
          <w:color w:val="000000"/>
          <w:spacing w:val="0"/>
          <w:sz w:val="24"/>
          <w:szCs w:val="24"/>
          <w:highlight w:val="none"/>
        </w:rPr>
        <w:t>小型、微型企业）。</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8"/>
          <w:rFonts w:hint="eastAsia" w:ascii="仿宋" w:hAnsi="仿宋" w:eastAsia="仿宋" w:cs="仿宋"/>
          <w:i w:val="0"/>
          <w:iCs w:val="0"/>
          <w:caps w:val="0"/>
          <w:color w:val="000000"/>
          <w:spacing w:val="0"/>
          <w:sz w:val="24"/>
          <w:szCs w:val="24"/>
          <w:highlight w:val="none"/>
        </w:rPr>
        <w:t>三、获取采购文件</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u w:val="none"/>
        </w:rPr>
        <w:t>时间：202</w:t>
      </w:r>
      <w:r>
        <w:rPr>
          <w:rFonts w:hint="eastAsia" w:ascii="仿宋" w:hAnsi="仿宋" w:eastAsia="仿宋" w:cs="仿宋"/>
          <w:i w:val="0"/>
          <w:iCs w:val="0"/>
          <w:caps w:val="0"/>
          <w:color w:val="000000"/>
          <w:spacing w:val="0"/>
          <w:sz w:val="24"/>
          <w:szCs w:val="24"/>
          <w:highlight w:val="none"/>
          <w:u w:val="none"/>
          <w:lang w:val="en-US" w:eastAsia="zh-CN"/>
        </w:rPr>
        <w:t>3</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4</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7</w:t>
      </w:r>
      <w:r>
        <w:rPr>
          <w:rFonts w:hint="eastAsia" w:ascii="仿宋" w:hAnsi="仿宋" w:eastAsia="仿宋" w:cs="仿宋"/>
          <w:i w:val="0"/>
          <w:iCs w:val="0"/>
          <w:caps w:val="0"/>
          <w:color w:val="000000"/>
          <w:spacing w:val="0"/>
          <w:sz w:val="24"/>
          <w:szCs w:val="24"/>
          <w:highlight w:val="none"/>
          <w:u w:val="none"/>
        </w:rPr>
        <w:t>日至202</w:t>
      </w:r>
      <w:r>
        <w:rPr>
          <w:rFonts w:hint="eastAsia" w:ascii="仿宋" w:hAnsi="仿宋" w:eastAsia="仿宋" w:cs="仿宋"/>
          <w:i w:val="0"/>
          <w:iCs w:val="0"/>
          <w:caps w:val="0"/>
          <w:color w:val="000000"/>
          <w:spacing w:val="0"/>
          <w:sz w:val="24"/>
          <w:szCs w:val="24"/>
          <w:highlight w:val="none"/>
          <w:u w:val="none"/>
          <w:lang w:val="en-US" w:eastAsia="zh-CN"/>
        </w:rPr>
        <w:t>3</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4</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14</w:t>
      </w:r>
      <w:r>
        <w:rPr>
          <w:rFonts w:hint="eastAsia" w:ascii="仿宋" w:hAnsi="仿宋" w:eastAsia="仿宋" w:cs="仿宋"/>
          <w:i w:val="0"/>
          <w:iCs w:val="0"/>
          <w:caps w:val="0"/>
          <w:color w:val="000000"/>
          <w:spacing w:val="0"/>
          <w:sz w:val="24"/>
          <w:szCs w:val="24"/>
          <w:highlight w:val="none"/>
          <w:u w:val="none"/>
        </w:rPr>
        <w:t>日，每天上午</w:t>
      </w:r>
      <w:r>
        <w:rPr>
          <w:rFonts w:hint="eastAsia" w:ascii="仿宋" w:hAnsi="仿宋" w:eastAsia="仿宋" w:cs="仿宋"/>
          <w:i w:val="0"/>
          <w:iCs w:val="0"/>
          <w:caps w:val="0"/>
          <w:color w:val="000000"/>
          <w:spacing w:val="0"/>
          <w:sz w:val="24"/>
          <w:szCs w:val="24"/>
          <w:highlight w:val="none"/>
          <w:u w:val="none"/>
          <w:lang w:val="en-US" w:eastAsia="zh-CN"/>
        </w:rPr>
        <w:t>0</w:t>
      </w:r>
      <w:r>
        <w:rPr>
          <w:rFonts w:hint="eastAsia" w:ascii="仿宋" w:hAnsi="仿宋" w:eastAsia="仿宋" w:cs="仿宋"/>
          <w:i w:val="0"/>
          <w:iCs w:val="0"/>
          <w:caps w:val="0"/>
          <w:color w:val="000000"/>
          <w:spacing w:val="0"/>
          <w:sz w:val="24"/>
          <w:szCs w:val="24"/>
          <w:highlight w:val="none"/>
          <w:u w:val="none"/>
        </w:rPr>
        <w:t>0:00至1</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w:t>
      </w:r>
      <w:r>
        <w:rPr>
          <w:rFonts w:hint="eastAsia" w:ascii="仿宋" w:hAnsi="仿宋" w:eastAsia="仿宋" w:cs="仿宋"/>
          <w:i w:val="0"/>
          <w:iCs w:val="0"/>
          <w:caps w:val="0"/>
          <w:color w:val="000000"/>
          <w:spacing w:val="0"/>
          <w:sz w:val="24"/>
          <w:szCs w:val="24"/>
          <w:highlight w:val="none"/>
          <w:u w:val="none"/>
          <w:lang w:val="en-US" w:eastAsia="zh-CN"/>
        </w:rPr>
        <w:t>0</w:t>
      </w:r>
      <w:r>
        <w:rPr>
          <w:rFonts w:hint="eastAsia" w:ascii="仿宋" w:hAnsi="仿宋" w:eastAsia="仿宋" w:cs="仿宋"/>
          <w:i w:val="0"/>
          <w:iCs w:val="0"/>
          <w:caps w:val="0"/>
          <w:color w:val="000000"/>
          <w:spacing w:val="0"/>
          <w:sz w:val="24"/>
          <w:szCs w:val="24"/>
          <w:highlight w:val="none"/>
          <w:u w:val="none"/>
        </w:rPr>
        <w:t>0，下午1</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:30至1</w:t>
      </w:r>
      <w:r>
        <w:rPr>
          <w:rFonts w:hint="eastAsia" w:ascii="仿宋" w:hAnsi="仿宋" w:eastAsia="仿宋" w:cs="仿宋"/>
          <w:i w:val="0"/>
          <w:iCs w:val="0"/>
          <w:caps w:val="0"/>
          <w:color w:val="000000"/>
          <w:spacing w:val="0"/>
          <w:sz w:val="24"/>
          <w:szCs w:val="24"/>
          <w:highlight w:val="none"/>
          <w:u w:val="none"/>
          <w:lang w:val="en-US" w:eastAsia="zh-CN"/>
        </w:rPr>
        <w:t>3</w:t>
      </w:r>
      <w:r>
        <w:rPr>
          <w:rFonts w:hint="eastAsia" w:ascii="仿宋" w:hAnsi="仿宋" w:eastAsia="仿宋" w:cs="仿宋"/>
          <w:i w:val="0"/>
          <w:iCs w:val="0"/>
          <w:caps w:val="0"/>
          <w:color w:val="000000"/>
          <w:spacing w:val="0"/>
          <w:sz w:val="24"/>
          <w:szCs w:val="24"/>
          <w:highlight w:val="none"/>
          <w:u w:val="none"/>
        </w:rPr>
        <w:t>:</w:t>
      </w:r>
      <w:r>
        <w:rPr>
          <w:rFonts w:hint="eastAsia" w:ascii="仿宋" w:hAnsi="仿宋" w:eastAsia="仿宋" w:cs="仿宋"/>
          <w:i w:val="0"/>
          <w:iCs w:val="0"/>
          <w:caps w:val="0"/>
          <w:color w:val="000000"/>
          <w:spacing w:val="0"/>
          <w:sz w:val="24"/>
          <w:szCs w:val="24"/>
          <w:highlight w:val="none"/>
          <w:u w:val="none"/>
          <w:lang w:val="en-US" w:eastAsia="zh-CN"/>
        </w:rPr>
        <w:t>59</w:t>
      </w:r>
      <w:r>
        <w:rPr>
          <w:rFonts w:hint="eastAsia" w:ascii="仿宋" w:hAnsi="仿宋" w:eastAsia="仿宋" w:cs="仿宋"/>
          <w:i w:val="0"/>
          <w:iCs w:val="0"/>
          <w:caps w:val="0"/>
          <w:color w:val="000000"/>
          <w:spacing w:val="0"/>
          <w:sz w:val="24"/>
          <w:szCs w:val="24"/>
          <w:highlight w:val="none"/>
          <w:u w:val="none"/>
        </w:rPr>
        <w:t>（北京时间，法定节假日除外）</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color w:val="000000" w:themeColor="text1"/>
          <w:highlight w:val="none"/>
          <w14:textFill>
            <w14:solidFill>
              <w14:schemeClr w14:val="tx1"/>
            </w14:solidFill>
          </w14:textFill>
        </w:rPr>
        <w:t>中国政府采购网新疆分网（政府采购云平台）</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方式：供应商登录政采云平台https://www.zcygov.cn/在线申请获取磋商文件（进入“项目采购”应用，在获取采购文件菜单中选择项目，申请获取采购文件）</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售价（元）：</w:t>
      </w:r>
      <w:r>
        <w:rPr>
          <w:rFonts w:hint="eastAsia" w:ascii="仿宋" w:hAnsi="仿宋" w:eastAsia="仿宋" w:cs="仿宋"/>
          <w:i w:val="0"/>
          <w:iCs w:val="0"/>
          <w:caps w:val="0"/>
          <w:color w:val="000000"/>
          <w:spacing w:val="0"/>
          <w:sz w:val="24"/>
          <w:szCs w:val="24"/>
          <w:highlight w:val="none"/>
          <w:lang w:val="en-US" w:eastAsia="zh-CN"/>
        </w:rPr>
        <w:t>0</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8"/>
          <w:rFonts w:hint="eastAsia" w:ascii="仿宋" w:hAnsi="仿宋" w:eastAsia="仿宋" w:cs="仿宋"/>
          <w:i w:val="0"/>
          <w:iCs w:val="0"/>
          <w:caps w:val="0"/>
          <w:color w:val="000000"/>
          <w:spacing w:val="0"/>
          <w:sz w:val="24"/>
          <w:szCs w:val="24"/>
          <w:highlight w:val="none"/>
        </w:rPr>
        <w:t>四、响应文件提交</w:t>
      </w:r>
      <w:r>
        <w:rPr>
          <w:rFonts w:hint="eastAsia" w:ascii="仿宋" w:hAnsi="仿宋" w:eastAsia="仿宋" w:cs="仿宋"/>
          <w:i w:val="0"/>
          <w:iCs w:val="0"/>
          <w:caps w:val="0"/>
          <w:color w:val="000000"/>
          <w:spacing w:val="0"/>
          <w:sz w:val="24"/>
          <w:szCs w:val="24"/>
          <w:highlight w:val="none"/>
        </w:rPr>
        <w:t> </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截止时间：202</w:t>
      </w:r>
      <w:r>
        <w:rPr>
          <w:rFonts w:hint="eastAsia" w:ascii="仿宋" w:hAnsi="仿宋" w:eastAsia="仿宋" w:cs="仿宋"/>
          <w:i w:val="0"/>
          <w:iCs w:val="0"/>
          <w:caps w:val="0"/>
          <w:color w:val="000000"/>
          <w:spacing w:val="0"/>
          <w:sz w:val="24"/>
          <w:szCs w:val="24"/>
          <w:highlight w:val="none"/>
          <w:lang w:val="en-US" w:eastAsia="zh-CN"/>
        </w:rPr>
        <w:t>3</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4</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17</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highlight w:val="none"/>
          <w:lang w:val="en-US" w:eastAsia="zh-CN"/>
        </w:rPr>
        <w:t>18</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 xml:space="preserve"> 00（</w:t>
      </w:r>
      <w:r>
        <w:rPr>
          <w:rFonts w:hint="eastAsia" w:ascii="仿宋" w:hAnsi="仿宋" w:eastAsia="仿宋" w:cs="仿宋"/>
          <w:i w:val="0"/>
          <w:iCs w:val="0"/>
          <w:caps w:val="0"/>
          <w:color w:val="000000"/>
          <w:spacing w:val="0"/>
          <w:sz w:val="24"/>
          <w:szCs w:val="24"/>
          <w:highlight w:val="none"/>
        </w:rPr>
        <w:t>北京时间）</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地点：政采云平台http://www.zcygov.cn </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8"/>
          <w:rFonts w:hint="eastAsia" w:ascii="仿宋" w:hAnsi="仿宋" w:eastAsia="仿宋" w:cs="仿宋"/>
          <w:i w:val="0"/>
          <w:iCs w:val="0"/>
          <w:caps w:val="0"/>
          <w:color w:val="000000"/>
          <w:spacing w:val="0"/>
          <w:sz w:val="24"/>
          <w:szCs w:val="24"/>
          <w:highlight w:val="none"/>
        </w:rPr>
        <w:t>五、响应文件开启</w:t>
      </w:r>
      <w:r>
        <w:rPr>
          <w:rFonts w:hint="eastAsia" w:ascii="仿宋" w:hAnsi="仿宋" w:eastAsia="仿宋" w:cs="仿宋"/>
          <w:i w:val="0"/>
          <w:iCs w:val="0"/>
          <w:caps w:val="0"/>
          <w:color w:val="000000"/>
          <w:spacing w:val="0"/>
          <w:sz w:val="24"/>
          <w:szCs w:val="24"/>
          <w:highlight w:val="none"/>
        </w:rPr>
        <w:t> </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开启时间：202</w:t>
      </w:r>
      <w:r>
        <w:rPr>
          <w:rFonts w:hint="eastAsia" w:ascii="仿宋" w:hAnsi="仿宋" w:eastAsia="仿宋" w:cs="仿宋"/>
          <w:i w:val="0"/>
          <w:iCs w:val="0"/>
          <w:caps w:val="0"/>
          <w:color w:val="000000"/>
          <w:spacing w:val="0"/>
          <w:sz w:val="24"/>
          <w:szCs w:val="24"/>
          <w:highlight w:val="none"/>
          <w:lang w:val="en-US" w:eastAsia="zh-CN"/>
        </w:rPr>
        <w:t>3</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4</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17</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highlight w:val="none"/>
          <w:lang w:val="en-US" w:eastAsia="zh-CN"/>
        </w:rPr>
        <w:t>18</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 xml:space="preserve"> 00</w:t>
      </w:r>
      <w:r>
        <w:rPr>
          <w:rFonts w:hint="eastAsia" w:ascii="仿宋" w:hAnsi="仿宋" w:eastAsia="仿宋" w:cs="仿宋"/>
          <w:i w:val="0"/>
          <w:iCs w:val="0"/>
          <w:caps w:val="0"/>
          <w:color w:val="000000"/>
          <w:spacing w:val="0"/>
          <w:sz w:val="24"/>
          <w:szCs w:val="24"/>
          <w:highlight w:val="none"/>
        </w:rPr>
        <w:t>（北京时间）</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地点：政采云网上不见面开标系统</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8"/>
          <w:rFonts w:hint="eastAsia" w:ascii="仿宋" w:hAnsi="仿宋" w:eastAsia="仿宋" w:cs="仿宋"/>
          <w:i w:val="0"/>
          <w:iCs w:val="0"/>
          <w:caps w:val="0"/>
          <w:color w:val="000000"/>
          <w:spacing w:val="0"/>
          <w:sz w:val="24"/>
          <w:szCs w:val="24"/>
          <w:highlight w:val="none"/>
        </w:rPr>
        <w:t>六、公告期限</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自本公告发布之日起3个工作日。</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8"/>
          <w:rFonts w:hint="eastAsia" w:ascii="仿宋" w:hAnsi="仿宋" w:eastAsia="仿宋" w:cs="仿宋"/>
          <w:i w:val="0"/>
          <w:iCs w:val="0"/>
          <w:caps w:val="0"/>
          <w:color w:val="000000"/>
          <w:spacing w:val="0"/>
          <w:sz w:val="24"/>
          <w:szCs w:val="24"/>
          <w:highlight w:val="none"/>
        </w:rPr>
        <w:t>七、其他补充事宜</w:t>
      </w:r>
      <w:r>
        <w:rPr>
          <w:rFonts w:hint="eastAsia" w:ascii="仿宋" w:hAnsi="仿宋" w:eastAsia="仿宋" w:cs="仿宋"/>
          <w:i w:val="0"/>
          <w:iCs w:val="0"/>
          <w:caps w:val="0"/>
          <w:color w:val="000000"/>
          <w:spacing w:val="0"/>
          <w:sz w:val="24"/>
          <w:szCs w:val="24"/>
          <w:highlight w:val="none"/>
        </w:rPr>
        <w:t> </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（1）本项目采用全流程不见面电子开评标，供应商需要使用CA加密设备，供应商可通过新疆数字证书认证中心官网（https://www.xjca.com.cn/）或下载“新疆政务通”APP自行进行申领。</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（2）本项目实行网上投标，采用加密电子投标响应文件(供应商须使用CA加密设备通过政采云电子投标客户端制作投标响应文件)。若供应商参与投标，自行承担投标一切费用。</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（3）各投标人在开标前应确保成为新疆政府采购网正式注册入库供应商，并完成CA数字证书申领。因未注册入库、未办理CA数字证书等原因造成无法投标或投标失败等后果由供应商自行承担。</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Style w:val="28"/>
          <w:rFonts w:hint="eastAsia" w:ascii="仿宋" w:hAnsi="仿宋" w:eastAsia="仿宋" w:cs="仿宋"/>
          <w:i w:val="0"/>
          <w:iCs w:val="0"/>
          <w:caps w:val="0"/>
          <w:color w:val="000000"/>
          <w:spacing w:val="0"/>
          <w:sz w:val="24"/>
          <w:szCs w:val="24"/>
          <w:highlight w:val="none"/>
        </w:rPr>
        <w:t>八、凡对本次招标提出询问，请按以下方式联系</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1.采购人信息</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Style w:val="30"/>
          <w:rFonts w:hint="eastAsia" w:ascii="仿宋" w:hAnsi="仿宋" w:eastAsia="仿宋" w:cs="仿宋"/>
          <w:i w:val="0"/>
          <w:iCs w:val="0"/>
          <w:caps w:val="0"/>
          <w:color w:val="000000"/>
          <w:spacing w:val="0"/>
          <w:sz w:val="24"/>
          <w:szCs w:val="24"/>
          <w:highlight w:val="none"/>
          <w:lang w:eastAsia="zh-CN"/>
        </w:rPr>
        <w:t>新疆维吾尔自治区文化和旅游厅</w:t>
      </w:r>
    </w:p>
    <w:p>
      <w:pPr>
        <w:pStyle w:val="39"/>
        <w:tabs>
          <w:tab w:val="left" w:pos="775"/>
        </w:tabs>
        <w:spacing w:line="579" w:lineRule="exact"/>
        <w:ind w:right="2837" w:firstLine="480" w:firstLineChars="200"/>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w:t>
      </w:r>
      <w:r>
        <w:rPr>
          <w:rFonts w:hint="eastAsia" w:ascii="仿宋" w:hAnsi="仿宋" w:eastAsia="仿宋" w:cs="仿宋"/>
          <w:color w:val="000000" w:themeColor="text1"/>
          <w:sz w:val="24"/>
          <w:highlight w:val="none"/>
          <w:lang w:val="en-US" w:eastAsia="zh-CN"/>
          <w14:textFill>
            <w14:solidFill>
              <w14:schemeClr w14:val="tx1"/>
            </w14:solidFill>
          </w14:textFill>
        </w:rPr>
        <w:t>梁超</w:t>
      </w:r>
    </w:p>
    <w:p>
      <w:pPr>
        <w:spacing w:line="579"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联系电话：0991-8808511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2.采购代理机构信息</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Fonts w:hint="eastAsia" w:ascii="仿宋" w:hAnsi="仿宋" w:eastAsia="仿宋" w:cs="仿宋"/>
          <w:i w:val="0"/>
          <w:iCs w:val="0"/>
          <w:caps w:val="0"/>
          <w:color w:val="000000"/>
          <w:spacing w:val="0"/>
          <w:sz w:val="24"/>
          <w:szCs w:val="24"/>
          <w:highlight w:val="none"/>
          <w:lang w:eastAsia="zh-CN"/>
        </w:rPr>
        <w:t>新疆君凯杰工程项目管理有限公司</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地 址：</w:t>
      </w:r>
      <w:r>
        <w:rPr>
          <w:rFonts w:hint="eastAsia" w:ascii="仿宋" w:hAnsi="仿宋" w:eastAsia="仿宋" w:cs="仿宋"/>
          <w:i w:val="0"/>
          <w:iCs w:val="0"/>
          <w:caps w:val="0"/>
          <w:color w:val="000000"/>
          <w:spacing w:val="0"/>
          <w:sz w:val="24"/>
          <w:szCs w:val="24"/>
          <w:highlight w:val="none"/>
          <w:lang w:eastAsia="zh-CN"/>
        </w:rPr>
        <w:t>乌鲁木齐市水磨沟区会展大道1119号大成尔雅A座80</w:t>
      </w:r>
      <w:r>
        <w:rPr>
          <w:rFonts w:hint="eastAsia" w:ascii="仿宋" w:hAnsi="仿宋" w:eastAsia="仿宋" w:cs="仿宋"/>
          <w:i w:val="0"/>
          <w:iCs w:val="0"/>
          <w:caps w:val="0"/>
          <w:color w:val="000000"/>
          <w:spacing w:val="0"/>
          <w:sz w:val="24"/>
          <w:szCs w:val="24"/>
          <w:highlight w:val="none"/>
          <w:lang w:val="en-US" w:eastAsia="zh-CN"/>
        </w:rPr>
        <w:t>7</w:t>
      </w:r>
      <w:r>
        <w:rPr>
          <w:rFonts w:hint="eastAsia" w:ascii="仿宋" w:hAnsi="仿宋" w:eastAsia="仿宋" w:cs="仿宋"/>
          <w:i w:val="0"/>
          <w:iCs w:val="0"/>
          <w:caps w:val="0"/>
          <w:color w:val="000000"/>
          <w:spacing w:val="0"/>
          <w:sz w:val="24"/>
          <w:szCs w:val="24"/>
          <w:highlight w:val="none"/>
          <w:lang w:eastAsia="zh-CN"/>
        </w:rPr>
        <w:t>室</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联系方式：18690975279</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3.项目联系方式</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30"/>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项目联系人：</w:t>
      </w:r>
      <w:r>
        <w:rPr>
          <w:rStyle w:val="30"/>
          <w:rFonts w:hint="eastAsia" w:ascii="仿宋" w:hAnsi="仿宋" w:eastAsia="仿宋" w:cs="仿宋"/>
          <w:i w:val="0"/>
          <w:iCs w:val="0"/>
          <w:caps w:val="0"/>
          <w:color w:val="000000"/>
          <w:spacing w:val="0"/>
          <w:sz w:val="24"/>
          <w:szCs w:val="24"/>
          <w:highlight w:val="none"/>
        </w:rPr>
        <w:t>牛少鹏</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30"/>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电 话：</w:t>
      </w:r>
      <w:r>
        <w:rPr>
          <w:rStyle w:val="30"/>
          <w:rFonts w:hint="eastAsia" w:ascii="仿宋" w:hAnsi="仿宋" w:eastAsia="仿宋" w:cs="仿宋"/>
          <w:i w:val="0"/>
          <w:iCs w:val="0"/>
          <w:caps w:val="0"/>
          <w:color w:val="000000"/>
          <w:spacing w:val="0"/>
          <w:sz w:val="24"/>
          <w:szCs w:val="24"/>
          <w:highlight w:val="none"/>
        </w:rPr>
        <w:t>18690975279</w:t>
      </w: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30"/>
          <w:rFonts w:hint="eastAsia" w:ascii="仿宋" w:hAnsi="仿宋" w:eastAsia="仿宋" w:cs="仿宋"/>
          <w:i w:val="0"/>
          <w:iCs w:val="0"/>
          <w:caps w:val="0"/>
          <w:color w:val="000000"/>
          <w:spacing w:val="0"/>
          <w:sz w:val="24"/>
          <w:szCs w:val="24"/>
          <w:highlight w:val="none"/>
        </w:rPr>
      </w:pP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30"/>
          <w:rFonts w:hint="eastAsia" w:ascii="仿宋" w:hAnsi="仿宋" w:eastAsia="仿宋" w:cs="仿宋"/>
          <w:i w:val="0"/>
          <w:iCs w:val="0"/>
          <w:caps w:val="0"/>
          <w:color w:val="000000"/>
          <w:spacing w:val="0"/>
          <w:sz w:val="24"/>
          <w:szCs w:val="24"/>
          <w:highlight w:val="none"/>
        </w:rPr>
      </w:pP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30"/>
          <w:rFonts w:hint="eastAsia" w:ascii="仿宋" w:hAnsi="仿宋" w:eastAsia="仿宋" w:cs="仿宋"/>
          <w:i w:val="0"/>
          <w:iCs w:val="0"/>
          <w:caps w:val="0"/>
          <w:color w:val="000000"/>
          <w:spacing w:val="0"/>
          <w:sz w:val="24"/>
          <w:szCs w:val="24"/>
          <w:highlight w:val="none"/>
        </w:rPr>
      </w:pP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30"/>
          <w:rFonts w:hint="eastAsia" w:ascii="仿宋" w:hAnsi="仿宋" w:eastAsia="仿宋" w:cs="仿宋"/>
          <w:i w:val="0"/>
          <w:iCs w:val="0"/>
          <w:caps w:val="0"/>
          <w:color w:val="000000"/>
          <w:spacing w:val="0"/>
          <w:sz w:val="24"/>
          <w:szCs w:val="24"/>
          <w:highlight w:val="none"/>
        </w:rPr>
      </w:pP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30"/>
          <w:rFonts w:hint="eastAsia" w:ascii="仿宋" w:hAnsi="仿宋" w:eastAsia="仿宋" w:cs="仿宋"/>
          <w:i w:val="0"/>
          <w:iCs w:val="0"/>
          <w:caps w:val="0"/>
          <w:color w:val="000000"/>
          <w:spacing w:val="0"/>
          <w:sz w:val="24"/>
          <w:szCs w:val="24"/>
          <w:highlight w:val="none"/>
        </w:rPr>
      </w:pP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30"/>
          <w:rFonts w:hint="eastAsia" w:ascii="仿宋" w:hAnsi="仿宋" w:eastAsia="仿宋" w:cs="仿宋"/>
          <w:i w:val="0"/>
          <w:iCs w:val="0"/>
          <w:caps w:val="0"/>
          <w:color w:val="000000"/>
          <w:spacing w:val="0"/>
          <w:sz w:val="24"/>
          <w:szCs w:val="24"/>
          <w:highlight w:val="none"/>
        </w:rPr>
      </w:pP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30"/>
          <w:rFonts w:hint="eastAsia" w:ascii="仿宋" w:hAnsi="仿宋" w:eastAsia="仿宋" w:cs="仿宋"/>
          <w:i w:val="0"/>
          <w:iCs w:val="0"/>
          <w:caps w:val="0"/>
          <w:color w:val="000000"/>
          <w:spacing w:val="0"/>
          <w:sz w:val="24"/>
          <w:szCs w:val="24"/>
          <w:highlight w:val="none"/>
        </w:rPr>
      </w:pPr>
    </w:p>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Style w:val="30"/>
          <w:rFonts w:hint="default" w:ascii="仿宋" w:hAnsi="仿宋" w:eastAsia="仿宋" w:cs="仿宋"/>
          <w:i w:val="0"/>
          <w:iCs w:val="0"/>
          <w:caps w:val="0"/>
          <w:color w:val="000000"/>
          <w:spacing w:val="0"/>
          <w:sz w:val="24"/>
          <w:szCs w:val="24"/>
          <w:highlight w:val="none"/>
          <w:lang w:val="en-US" w:eastAsia="zh-CN"/>
        </w:rPr>
      </w:pPr>
    </w:p>
    <w:p>
      <w:pPr>
        <w:keepNext w:val="0"/>
        <w:keepLines w:val="0"/>
        <w:pageBreakBefore w:val="0"/>
        <w:widowControl/>
        <w:tabs>
          <w:tab w:val="left" w:pos="1809"/>
        </w:tabs>
        <w:kinsoku/>
        <w:wordWrap/>
        <w:overflowPunct/>
        <w:topLinePunct w:val="0"/>
        <w:autoSpaceDE/>
        <w:autoSpaceDN/>
        <w:bidi w:val="0"/>
        <w:adjustRightInd/>
        <w:snapToGrid/>
        <w:spacing w:line="433" w:lineRule="exact"/>
        <w:ind w:right="187"/>
        <w:jc w:val="center"/>
        <w:textAlignment w:val="baseline"/>
        <w:outlineLvl w:val="9"/>
        <w:rPr>
          <w:rStyle w:val="31"/>
          <w:rFonts w:hint="eastAsia" w:ascii="仿宋" w:hAnsi="仿宋" w:eastAsia="仿宋" w:cs="仿宋"/>
          <w:b/>
          <w:bCs/>
          <w:color w:val="000000" w:themeColor="text1"/>
          <w:w w:val="95"/>
          <w:sz w:val="30"/>
          <w:szCs w:val="30"/>
          <w:highlight w:val="none"/>
          <w:lang w:eastAsia="zh-CN"/>
          <w14:textFill>
            <w14:solidFill>
              <w14:schemeClr w14:val="tx1"/>
            </w14:solidFill>
          </w14:textFill>
        </w:rPr>
      </w:pPr>
      <w:bookmarkStart w:id="7" w:name="_Toc19379"/>
      <w:bookmarkStart w:id="8" w:name="_Toc22514"/>
      <w:bookmarkStart w:id="9" w:name="_Toc29809"/>
      <w:bookmarkStart w:id="10" w:name="_Toc22440"/>
      <w:bookmarkStart w:id="11" w:name="_Toc9771"/>
    </w:p>
    <w:p>
      <w:pPr>
        <w:tabs>
          <w:tab w:val="left" w:pos="1809"/>
        </w:tabs>
        <w:spacing w:line="433" w:lineRule="exact"/>
        <w:ind w:right="187"/>
        <w:jc w:val="center"/>
        <w:outlineLvl w:val="0"/>
        <w:rPr>
          <w:rStyle w:val="31"/>
          <w:rFonts w:ascii="仿宋" w:hAnsi="仿宋" w:eastAsia="仿宋" w:cs="仿宋"/>
          <w:b/>
          <w:bCs/>
          <w:color w:val="000000" w:themeColor="text1"/>
          <w:w w:val="95"/>
          <w:sz w:val="30"/>
          <w:szCs w:val="30"/>
          <w:highlight w:val="none"/>
          <w:lang w:eastAsia="zh-CN"/>
          <w14:textFill>
            <w14:solidFill>
              <w14:schemeClr w14:val="tx1"/>
            </w14:solidFill>
          </w14:textFill>
        </w:rPr>
      </w:pPr>
      <w:bookmarkStart w:id="12" w:name="_Toc958"/>
      <w:r>
        <w:rPr>
          <w:rStyle w:val="31"/>
          <w:rFonts w:hint="eastAsia" w:ascii="仿宋" w:hAnsi="仿宋" w:eastAsia="仿宋" w:cs="仿宋"/>
          <w:b/>
          <w:bCs/>
          <w:color w:val="000000" w:themeColor="text1"/>
          <w:w w:val="95"/>
          <w:sz w:val="30"/>
          <w:szCs w:val="30"/>
          <w:highlight w:val="none"/>
          <w:lang w:eastAsia="zh-CN"/>
          <w14:textFill>
            <w14:solidFill>
              <w14:schemeClr w14:val="tx1"/>
            </w14:solidFill>
          </w14:textFill>
        </w:rPr>
        <w:t>第二部分</w:t>
      </w:r>
      <w:r>
        <w:rPr>
          <w:rStyle w:val="31"/>
          <w:rFonts w:hint="eastAsia" w:ascii="仿宋" w:hAnsi="仿宋" w:eastAsia="仿宋" w:cs="仿宋"/>
          <w:b/>
          <w:bCs/>
          <w:color w:val="000000" w:themeColor="text1"/>
          <w:w w:val="95"/>
          <w:sz w:val="30"/>
          <w:szCs w:val="30"/>
          <w:highlight w:val="none"/>
          <w:lang w:val="en-US" w:eastAsia="zh-CN"/>
          <w14:textFill>
            <w14:solidFill>
              <w14:schemeClr w14:val="tx1"/>
            </w14:solidFill>
          </w14:textFill>
        </w:rPr>
        <w:t xml:space="preserve"> </w:t>
      </w:r>
      <w:r>
        <w:rPr>
          <w:rStyle w:val="31"/>
          <w:rFonts w:hint="eastAsia" w:ascii="仿宋" w:hAnsi="仿宋" w:eastAsia="仿宋" w:cs="仿宋"/>
          <w:b/>
          <w:bCs/>
          <w:color w:val="000000" w:themeColor="text1"/>
          <w:w w:val="95"/>
          <w:sz w:val="30"/>
          <w:szCs w:val="30"/>
          <w:highlight w:val="none"/>
          <w:lang w:eastAsia="zh-CN"/>
          <w14:textFill>
            <w14:solidFill>
              <w14:schemeClr w14:val="tx1"/>
            </w14:solidFill>
          </w14:textFill>
        </w:rPr>
        <w:t>供应商须知</w:t>
      </w:r>
      <w:bookmarkEnd w:id="7"/>
      <w:bookmarkEnd w:id="8"/>
      <w:bookmarkEnd w:id="9"/>
      <w:bookmarkEnd w:id="10"/>
      <w:bookmarkEnd w:id="11"/>
      <w:bookmarkEnd w:id="12"/>
    </w:p>
    <w:p>
      <w:pPr>
        <w:pStyle w:val="38"/>
        <w:spacing w:before="98" w:after="58"/>
        <w:ind w:left="0" w:right="186"/>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供应商须知前附表</w:t>
      </w:r>
    </w:p>
    <w:tbl>
      <w:tblPr>
        <w:tblStyle w:val="25"/>
        <w:tblW w:w="963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01"/>
        <w:gridCol w:w="1415"/>
        <w:gridCol w:w="65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4" w:hRule="atLeast"/>
        </w:trPr>
        <w:tc>
          <w:tcPr>
            <w:tcW w:w="1701" w:type="dxa"/>
            <w:tcBorders>
              <w:top w:val="single" w:color="000000" w:sz="12"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条款号</w:t>
            </w:r>
          </w:p>
        </w:tc>
        <w:tc>
          <w:tcPr>
            <w:tcW w:w="1415" w:type="dxa"/>
            <w:tcBorders>
              <w:top w:val="single" w:color="000000" w:sz="12"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条款名称</w:t>
            </w:r>
          </w:p>
        </w:tc>
        <w:tc>
          <w:tcPr>
            <w:tcW w:w="6523" w:type="dxa"/>
            <w:tcBorders>
              <w:top w:val="single" w:color="000000" w:sz="12"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项目名称</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新疆组团参展第二届中国（武汉）文化旅游博览会项目</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NO-2023(JKJ)060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16"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采购方式</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竞争性磋商；</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待评审小组与供应商对采购标的的技术、服务等磋商结束后，评审小</w:t>
            </w:r>
            <w:r>
              <w:rPr>
                <w:rStyle w:val="31"/>
                <w:rFonts w:hint="eastAsia" w:ascii="仿宋" w:hAnsi="仿宋" w:eastAsia="仿宋" w:cs="仿宋"/>
                <w:color w:val="000000" w:themeColor="text1"/>
                <w:spacing w:val="-6"/>
                <w:sz w:val="24"/>
                <w:szCs w:val="24"/>
                <w:highlight w:val="none"/>
                <w:lang w:eastAsia="zh-CN"/>
                <w14:textFill>
                  <w14:solidFill>
                    <w14:schemeClr w14:val="tx1"/>
                  </w14:solidFill>
                </w14:textFill>
              </w:rPr>
              <w:t>组要求所有实质性响应的供应商，在规定的时间内提交最后报价</w:t>
            </w:r>
            <w:r>
              <w:rPr>
                <w:rStyle w:val="31"/>
                <w:rFonts w:hint="eastAsia" w:ascii="仿宋" w:hAnsi="仿宋" w:eastAsia="仿宋" w:cs="仿宋"/>
                <w:color w:val="000000" w:themeColor="text1"/>
                <w:spacing w:val="-4"/>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第一章1.3款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采购内容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Style w:val="31"/>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spacing w:val="0"/>
                <w:sz w:val="24"/>
                <w:szCs w:val="24"/>
                <w:highlight w:val="none"/>
                <w:lang w:eastAsia="zh-CN"/>
              </w:rPr>
              <w:t>新疆组团参展第二届中国（武汉）文化旅游博览会项目</w:t>
            </w:r>
            <w:r>
              <w:rPr>
                <w:rFonts w:hint="eastAsia" w:ascii="仿宋" w:hAnsi="仿宋" w:eastAsia="仿宋" w:cs="仿宋"/>
                <w:i w:val="0"/>
                <w:iCs w:val="0"/>
                <w:caps w:val="0"/>
                <w:color w:val="000000"/>
                <w:spacing w:val="0"/>
                <w:sz w:val="24"/>
                <w:szCs w:val="24"/>
                <w:highlight w:val="none"/>
                <w:lang w:val="en-US" w:eastAsia="zh-CN"/>
              </w:rPr>
              <w:t>展馆设计、搭建、展区设置等全流程服务及相关配套服务。</w:t>
            </w:r>
            <w:r>
              <w:rPr>
                <w:rStyle w:val="31"/>
                <w:rFonts w:hint="eastAsia" w:ascii="仿宋" w:hAnsi="仿宋" w:eastAsia="仿宋" w:cs="仿宋"/>
                <w:bCs/>
                <w:color w:val="000000" w:themeColor="text1"/>
                <w:sz w:val="24"/>
                <w:szCs w:val="24"/>
                <w:highlight w:val="none"/>
                <w:lang w:eastAsia="zh-CN"/>
                <w14:textFill>
                  <w14:solidFill>
                    <w14:schemeClr w14:val="tx1"/>
                  </w14:solidFill>
                </w14:textFill>
              </w:rPr>
              <w:t>（详</w:t>
            </w:r>
            <w:r>
              <w:rPr>
                <w:rStyle w:val="31"/>
                <w:rFonts w:hint="eastAsia" w:ascii="仿宋" w:hAnsi="仿宋" w:eastAsia="仿宋" w:cs="仿宋"/>
                <w:bCs/>
                <w:color w:val="000000" w:themeColor="text1"/>
                <w:sz w:val="24"/>
                <w:szCs w:val="24"/>
                <w:highlight w:val="none"/>
                <w:lang w:val="en-US" w:eastAsia="zh-CN"/>
                <w14:textFill>
                  <w14:solidFill>
                    <w14:schemeClr w14:val="tx1"/>
                  </w14:solidFill>
                </w14:textFill>
              </w:rPr>
              <w:t>见第三部分</w:t>
            </w:r>
            <w:r>
              <w:rPr>
                <w:rStyle w:val="31"/>
                <w:rFonts w:hint="eastAsia" w:ascii="仿宋" w:hAnsi="仿宋" w:eastAsia="仿宋" w:cs="仿宋"/>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hint="eastAsia"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第一章1.4款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hint="eastAsia"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资金来源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left"/>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第一章1.5款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交货</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采购人指定的地点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第一章1.6款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合同履行期限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21"/>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Style w:val="31"/>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spacing w:val="0"/>
                <w:sz w:val="24"/>
                <w:szCs w:val="24"/>
                <w:highlight w:val="none"/>
                <w:lang w:val="en-US" w:eastAsia="zh-CN"/>
              </w:rPr>
              <w:t>签订合同之日起至本项目结束止（参展时间：2023年4月21日—4月23日）</w:t>
            </w:r>
            <w:r>
              <w:rPr>
                <w:rFonts w:hint="eastAsia" w:ascii="仿宋" w:hAnsi="仿宋" w:eastAsia="仿宋" w:cs="仿宋"/>
                <w:i w:val="0"/>
                <w:iCs w:val="0"/>
                <w:caps w:val="0"/>
                <w:color w:val="000000"/>
                <w:spacing w:val="0"/>
                <w:sz w:val="24"/>
                <w:szCs w:val="24"/>
                <w:highlight w:val="none"/>
                <w:lang w:val="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第一章2.1款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采购人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采购人：</w:t>
            </w:r>
            <w:r>
              <w:rPr>
                <w:rStyle w:val="30"/>
                <w:rFonts w:hint="eastAsia" w:ascii="仿宋" w:hAnsi="仿宋" w:eastAsia="仿宋" w:cs="仿宋"/>
                <w:i w:val="0"/>
                <w:iCs w:val="0"/>
                <w:caps w:val="0"/>
                <w:color w:val="000000"/>
                <w:spacing w:val="0"/>
                <w:sz w:val="24"/>
                <w:szCs w:val="24"/>
                <w:highlight w:val="none"/>
                <w:lang w:eastAsia="zh-CN"/>
              </w:rPr>
              <w:t>新疆维吾尔自治区文化和旅游厅</w:t>
            </w:r>
          </w:p>
          <w:p>
            <w:pPr>
              <w:pStyle w:val="39"/>
              <w:tabs>
                <w:tab w:val="left" w:pos="775"/>
              </w:tabs>
              <w:spacing w:line="579" w:lineRule="exact"/>
              <w:ind w:right="2837"/>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w:t>
            </w:r>
            <w:r>
              <w:rPr>
                <w:rFonts w:hint="eastAsia" w:ascii="仿宋" w:hAnsi="仿宋" w:eastAsia="仿宋" w:cs="仿宋"/>
                <w:color w:val="000000" w:themeColor="text1"/>
                <w:sz w:val="24"/>
                <w:highlight w:val="none"/>
                <w:lang w:val="en-US" w:eastAsia="zh-CN"/>
                <w14:textFill>
                  <w14:solidFill>
                    <w14:schemeClr w14:val="tx1"/>
                  </w14:solidFill>
                </w14:textFill>
              </w:rPr>
              <w:t>梁超</w:t>
            </w:r>
          </w:p>
          <w:p>
            <w:pPr>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联系电话：0991-8808511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第一章2.2款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代理机构</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名称：新疆君凯杰工程项目管理有限公司</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地址：乌鲁木齐市水磨沟区会展大道1119号大成尔雅A座80</w:t>
            </w:r>
            <w:r>
              <w:rPr>
                <w:rStyle w:val="31"/>
                <w:rFonts w:hint="eastAsia" w:ascii="仿宋" w:hAnsi="仿宋" w:eastAsia="仿宋" w:cs="仿宋"/>
                <w:color w:val="000000" w:themeColor="text1"/>
                <w:spacing w:val="-7"/>
                <w:sz w:val="24"/>
                <w:szCs w:val="24"/>
                <w:highlight w:val="none"/>
                <w:lang w:val="en-US" w:eastAsia="zh-CN"/>
                <w14:textFill>
                  <w14:solidFill>
                    <w14:schemeClr w14:val="tx1"/>
                  </w14:solidFill>
                </w14:textFill>
              </w:rPr>
              <w:t>7</w:t>
            </w: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室</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联系人：牛少鹏</w:t>
            </w:r>
          </w:p>
          <w:p>
            <w:pPr>
              <w:pStyle w:val="39"/>
              <w:keepNext w:val="0"/>
              <w:keepLines w:val="0"/>
              <w:pageBreakBefore w:val="0"/>
              <w:widowControl/>
              <w:tabs>
                <w:tab w:val="left" w:pos="3706"/>
              </w:tabs>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电话：18690975279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第一章2.8款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偏离</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7"/>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第一章3.1款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供应商资格</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第一章5.1款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108" w:leftChars="0" w:right="0" w:rightChars="0" w:hanging="108"/>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是否接受联合体投标</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不</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第一章6.1款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踏勘现场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3"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15.7</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业绩</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val="en-US" w:eastAsia="zh-CN"/>
                <w14:textFill>
                  <w14:solidFill>
                    <w14:schemeClr w14:val="tx1"/>
                  </w14:solidFill>
                </w14:textFill>
              </w:rPr>
              <w:t>业绩合同签订时间要求为2020年1月1日至今</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业绩证明材料为：</w:t>
            </w:r>
            <w:r>
              <w:rPr>
                <w:rStyle w:val="31"/>
                <w:rFonts w:hint="eastAsia" w:ascii="仿宋" w:hAnsi="仿宋" w:eastAsia="仿宋" w:cs="仿宋"/>
                <w:color w:val="000000" w:themeColor="text1"/>
                <w:spacing w:val="-10"/>
                <w:sz w:val="24"/>
                <w:szCs w:val="24"/>
                <w:highlight w:val="none"/>
                <w:lang w:val="en-US" w:eastAsia="zh-CN"/>
                <w14:textFill>
                  <w14:solidFill>
                    <w14:schemeClr w14:val="tx1"/>
                  </w14:solidFill>
                </w14:textFill>
              </w:rPr>
              <w:t>中标通知书或</w:t>
            </w: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合同（</w:t>
            </w:r>
            <w:r>
              <w:rPr>
                <w:rStyle w:val="31"/>
                <w:rFonts w:hint="eastAsia" w:ascii="仿宋" w:hAnsi="仿宋" w:eastAsia="仿宋" w:cs="仿宋"/>
                <w:color w:val="000000" w:themeColor="text1"/>
                <w:spacing w:val="-10"/>
                <w:sz w:val="24"/>
                <w:szCs w:val="24"/>
                <w:highlight w:val="none"/>
                <w:lang w:val="en-US" w:eastAsia="zh-CN"/>
                <w14:textFill>
                  <w14:solidFill>
                    <w14:schemeClr w14:val="tx1"/>
                  </w14:solidFill>
                </w14:textFill>
              </w:rPr>
              <w:t>加盖公章的复印件</w:t>
            </w: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合</w:t>
            </w:r>
            <w:r>
              <w:rPr>
                <w:rStyle w:val="31"/>
                <w:rFonts w:hint="eastAsia" w:ascii="仿宋" w:hAnsi="仿宋" w:eastAsia="仿宋" w:cs="仿宋"/>
                <w:color w:val="000000" w:themeColor="text1"/>
                <w:spacing w:val="-13"/>
                <w:sz w:val="24"/>
                <w:szCs w:val="24"/>
                <w:highlight w:val="none"/>
                <w:lang w:eastAsia="zh-CN"/>
                <w14:textFill>
                  <w14:solidFill>
                    <w14:schemeClr w14:val="tx1"/>
                  </w14:solidFill>
                </w14:textFill>
              </w:rPr>
              <w:t>同仅需提供包含合同首页、标的内容及金额所在页、供货合同签字盖章页即可，需加盖公章</w:t>
            </w:r>
            <w:r>
              <w:rPr>
                <w:rStyle w:val="31"/>
                <w:rFonts w:hint="eastAsia" w:ascii="仿宋" w:hAnsi="仿宋" w:eastAsia="仿宋" w:cs="仿宋"/>
                <w:color w:val="000000" w:themeColor="text1"/>
                <w:spacing w:val="-70"/>
                <w:sz w:val="24"/>
                <w:szCs w:val="24"/>
                <w:highlight w:val="none"/>
                <w:lang w:eastAsia="zh-CN"/>
                <w14:textFill>
                  <w14:solidFill>
                    <w14:schemeClr w14:val="tx1"/>
                  </w14:solidFill>
                </w14:textFill>
              </w:rPr>
              <w:t>）</w:t>
            </w: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未提供业绩证明</w:t>
            </w:r>
            <w:r>
              <w:rPr>
                <w:rStyle w:val="31"/>
                <w:rFonts w:hint="eastAsia" w:ascii="仿宋" w:hAnsi="仿宋" w:eastAsia="仿宋" w:cs="仿宋"/>
                <w:color w:val="000000" w:themeColor="text1"/>
                <w:spacing w:val="-10"/>
                <w:sz w:val="24"/>
                <w:szCs w:val="24"/>
                <w:highlight w:val="none"/>
                <w:lang w:val="en-US" w:eastAsia="zh-CN"/>
                <w14:textFill>
                  <w14:solidFill>
                    <w14:schemeClr w14:val="tx1"/>
                  </w14:solidFill>
                </w14:textFill>
              </w:rPr>
              <w:t>材料</w:t>
            </w:r>
            <w:r>
              <w:rPr>
                <w:rStyle w:val="31"/>
                <w:rFonts w:hint="eastAsia" w:ascii="仿宋" w:hAnsi="仿宋" w:eastAsia="仿宋" w:cs="仿宋"/>
                <w:color w:val="000000" w:themeColor="text1"/>
                <w:spacing w:val="-10"/>
                <w:sz w:val="24"/>
                <w:szCs w:val="24"/>
                <w:highlight w:val="none"/>
                <w:lang w:eastAsia="zh-CN"/>
                <w14:textFill>
                  <w14:solidFill>
                    <w14:schemeClr w14:val="tx1"/>
                  </w14:solidFill>
                </w14:textFill>
              </w:rPr>
              <w:t>或内容模糊不清的，</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其业绩不予认定。</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pacing w:val="-13"/>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同一业绩不重复计算得分。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16.3</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firstLine="31"/>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最高投标限价（采</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firstLine="31"/>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购预算）</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最高投标限价(即采购预算)为</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500000.00</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元（</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伍拾万元整</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供应商的投标报价不得超过最高投标限价，否则其响应文件按否决投标处理。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17.1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投标有效期</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18.1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磋商保证金</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磋商保证金的金额：</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10000.00</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元（大写：</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壹万元整</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磋商保证金的形式：银行电汇或银行转账等非现金</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形式</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开户名称：新疆君凯杰工程项目管理有限公司</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开户银行：中国农业银行乌鲁木齐昆仑路支行</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帐    号：30006 4010 400 10690</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行    号：10388 1000 646</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咨询电话：0991-4639846（财务室）</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附注：（项目名称）磋商保证金</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磋商保证金必须在响应文件递交截止时间前确保到帐；供应商未按竞争性磋商文件要求提交磋商保证金的，响应文件无效。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18.2</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磋商保证金的退还</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保证金的退还：</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（1）供应商在投标截止时间前撤回已提交的响应文件的，采购人或者采购代理机构应当自收到供应商书面撤回通知之日起5个工作日内，退还已收取的磋商保证金，但因供应商自身原因导致无法及时退还的除外。</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（2）采购人或者采购代理机构应当自中标通知书发出之日起5个工作日内退还未中标人的磋商保证金，自采购合同签订之日起5个工作日内退还中标人的磋商保证金或者转为中标人的履约保证金。</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退还中标方磋商保证金时，中标方须提供与采购人签订的合同原</w:t>
            </w:r>
            <w:r>
              <w:rPr>
                <w:rStyle w:val="31"/>
                <w:rFonts w:hint="eastAsia" w:ascii="仿宋" w:hAnsi="仿宋" w:eastAsia="仿宋" w:cs="仿宋"/>
                <w:b/>
                <w:color w:val="000000" w:themeColor="text1"/>
                <w:spacing w:val="-8"/>
                <w:sz w:val="24"/>
                <w:szCs w:val="24"/>
                <w:highlight w:val="none"/>
                <w:lang w:eastAsia="zh-CN"/>
                <w14:textFill>
                  <w14:solidFill>
                    <w14:schemeClr w14:val="tx1"/>
                  </w14:solidFill>
                </w14:textFill>
              </w:rPr>
              <w:t>件一份</w:t>
            </w: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w:t>
            </w:r>
            <w:r>
              <w:rPr>
                <w:rStyle w:val="31"/>
                <w:rFonts w:hint="eastAsia" w:ascii="仿宋" w:hAnsi="仿宋" w:eastAsia="仿宋" w:cs="仿宋"/>
                <w:b/>
                <w:color w:val="000000" w:themeColor="text1"/>
                <w:spacing w:val="-2"/>
                <w:sz w:val="24"/>
                <w:szCs w:val="24"/>
                <w:highlight w:val="none"/>
                <w:lang w:eastAsia="zh-CN"/>
                <w14:textFill>
                  <w14:solidFill>
                    <w14:schemeClr w14:val="tx1"/>
                  </w14:solidFill>
                </w14:textFill>
              </w:rPr>
              <w:t>原件核查无误后退还</w:t>
            </w:r>
            <w:r>
              <w:rPr>
                <w:rStyle w:val="31"/>
                <w:rFonts w:hint="eastAsia" w:ascii="仿宋" w:hAnsi="仿宋" w:eastAsia="仿宋" w:cs="仿宋"/>
                <w:b/>
                <w:color w:val="000000" w:themeColor="text1"/>
                <w:spacing w:val="-22"/>
                <w:sz w:val="24"/>
                <w:szCs w:val="24"/>
                <w:highlight w:val="none"/>
                <w:lang w:eastAsia="zh-CN"/>
                <w14:textFill>
                  <w14:solidFill>
                    <w14:schemeClr w14:val="tx1"/>
                  </w14:solidFill>
                </w14:textFill>
              </w:rPr>
              <w:t>）</w:t>
            </w:r>
            <w:r>
              <w:rPr>
                <w:rStyle w:val="31"/>
                <w:rFonts w:hint="eastAsia" w:ascii="仿宋" w:hAnsi="仿宋" w:eastAsia="仿宋" w:cs="仿宋"/>
                <w:b/>
                <w:color w:val="000000" w:themeColor="text1"/>
                <w:spacing w:val="-2"/>
                <w:sz w:val="24"/>
                <w:szCs w:val="24"/>
                <w:highlight w:val="none"/>
                <w:lang w:eastAsia="zh-CN"/>
                <w14:textFill>
                  <w14:solidFill>
                    <w14:schemeClr w14:val="tx1"/>
                  </w14:solidFill>
                </w14:textFill>
              </w:rPr>
              <w:t>及已加盖中标方公章的合同全本复印</w:t>
            </w: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件一份（由代理机构存档备查）</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18.3</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不予退还保证金的情形</w:t>
            </w:r>
          </w:p>
        </w:tc>
        <w:tc>
          <w:tcPr>
            <w:tcW w:w="6523" w:type="dxa"/>
            <w:tcBorders>
              <w:top w:val="single" w:color="000000" w:sz="6" w:space="0"/>
              <w:left w:val="single" w:color="000000" w:sz="6" w:space="0"/>
              <w:bottom w:val="single" w:color="000000" w:sz="6" w:space="0"/>
              <w:right w:val="single" w:color="000000" w:sz="12" w:space="0"/>
            </w:tcBorders>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有下列情形之一的，保证金不予退还：</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（1）供应商在提交响应文件截止时间后撤回响应文件的；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（2）供应商在响应文件中提供虚假材料的；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（3）除因不可抗力或竞争性磋商文件认可的情形以外，成交供应商不与采购人签订合同的；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（4）供应商与采购人、其他供应商或者采购代理机构恶意串通的；</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1"/>
                <w:rFonts w:hint="eastAsia" w:ascii="仿宋" w:hAnsi="仿宋" w:eastAsia="仿宋" w:cs="仿宋"/>
                <w:color w:val="000000" w:themeColor="text1"/>
                <w:sz w:val="24"/>
                <w:szCs w:val="24"/>
                <w:highlight w:val="none"/>
                <w14:textFill>
                  <w14:solidFill>
                    <w14:schemeClr w14:val="tx1"/>
                  </w14:solidFill>
                </w14:textFill>
              </w:rPr>
              <w:t>19.1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响应文件份数</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right="0" w:rightChars="0"/>
              <w:textAlignment w:val="baseline"/>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1、加密的电子响应文件壹份(.jmbs格式)在政采云平台指定位置上传；</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2、供应商无论中标与否，都将纸质版投标文件一式三份，其中正本壹份、副本贰份、 不加密U 盘一份送至招标代理机构。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第四章</w:t>
            </w:r>
            <w:r>
              <w:rPr>
                <w:rStyle w:val="31"/>
                <w:rFonts w:hint="eastAsia" w:ascii="仿宋" w:hAnsi="仿宋" w:eastAsia="仿宋" w:cs="仿宋"/>
                <w:color w:val="000000" w:themeColor="text1"/>
                <w:sz w:val="24"/>
                <w:szCs w:val="24"/>
                <w:highlight w:val="none"/>
                <w14:textFill>
                  <w14:solidFill>
                    <w14:schemeClr w14:val="tx1"/>
                  </w14:solidFill>
                </w14:textFill>
              </w:rPr>
              <w:t>21.1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响应文件递交截止时间及地点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color w:val="000000" w:themeColor="text1"/>
                <w:sz w:val="24"/>
                <w:szCs w:val="24"/>
                <w:highlight w:val="non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bCs/>
                <w:color w:val="000000" w:themeColor="text1"/>
                <w:sz w:val="24"/>
                <w:szCs w:val="24"/>
                <w:highlight w:val="non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17</w:t>
            </w:r>
            <w:r>
              <w:rPr>
                <w:rFonts w:hint="eastAsia" w:ascii="仿宋" w:hAnsi="仿宋" w:eastAsia="仿宋" w:cs="仿宋"/>
                <w:b/>
                <w:bCs/>
                <w:color w:val="000000" w:themeColor="text1"/>
                <w:sz w:val="24"/>
                <w:szCs w:val="24"/>
                <w:highlight w:val="none"/>
                <w:lang w:eastAsia="zh-CN"/>
                <w14:textFill>
                  <w14:solidFill>
                    <w14:schemeClr w14:val="tx1"/>
                  </w14:solidFill>
                </w14:textFill>
              </w:rPr>
              <w:t>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18</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b/>
                <w:bCs/>
                <w:color w:val="000000" w:themeColor="text1"/>
                <w:sz w:val="24"/>
                <w:szCs w:val="24"/>
                <w:highlight w:val="none"/>
                <w:lang w:eastAsia="zh-CN"/>
                <w14:textFill>
                  <w14:solidFill>
                    <w14:schemeClr w14:val="tx1"/>
                  </w14:solidFill>
                </w14:textFill>
              </w:rPr>
              <w:t>（北京时间）</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地点：政采云平台http://www.zcygov.cn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第五章</w:t>
            </w:r>
            <w:r>
              <w:rPr>
                <w:rStyle w:val="31"/>
                <w:rFonts w:hint="eastAsia" w:ascii="仿宋" w:hAnsi="仿宋" w:eastAsia="仿宋" w:cs="仿宋"/>
                <w:color w:val="000000" w:themeColor="text1"/>
                <w:sz w:val="24"/>
                <w:szCs w:val="24"/>
                <w:highlight w:val="none"/>
                <w14:textFill>
                  <w14:solidFill>
                    <w14:schemeClr w14:val="tx1"/>
                  </w14:solidFill>
                </w14:textFill>
              </w:rPr>
              <w:t>23</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开标时间及地点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color w:val="000000" w:themeColor="text1"/>
                <w:sz w:val="24"/>
                <w:szCs w:val="24"/>
                <w:highlight w:val="non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bCs/>
                <w:color w:val="000000" w:themeColor="text1"/>
                <w:sz w:val="24"/>
                <w:szCs w:val="24"/>
                <w:highlight w:val="non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17</w:t>
            </w:r>
            <w:r>
              <w:rPr>
                <w:rFonts w:hint="eastAsia" w:ascii="仿宋" w:hAnsi="仿宋" w:eastAsia="仿宋" w:cs="仿宋"/>
                <w:b/>
                <w:bCs/>
                <w:color w:val="000000" w:themeColor="text1"/>
                <w:sz w:val="24"/>
                <w:szCs w:val="24"/>
                <w:highlight w:val="none"/>
                <w:lang w:eastAsia="zh-CN"/>
                <w14:textFill>
                  <w14:solidFill>
                    <w14:schemeClr w14:val="tx1"/>
                  </w14:solidFill>
                </w14:textFill>
              </w:rPr>
              <w:t>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18</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b/>
                <w:bCs/>
                <w:color w:val="000000" w:themeColor="text1"/>
                <w:sz w:val="24"/>
                <w:szCs w:val="24"/>
                <w:highlight w:val="none"/>
                <w:lang w:eastAsia="zh-CN"/>
                <w14:textFill>
                  <w14:solidFill>
                    <w14:schemeClr w14:val="tx1"/>
                  </w14:solidFill>
                </w14:textFill>
              </w:rPr>
              <w:t>（北京时间）</w:t>
            </w:r>
          </w:p>
          <w:p>
            <w:pPr>
              <w:pStyle w:val="39"/>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地点：政采云网上不见面开标系统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hint="eastAsia"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第五章</w:t>
            </w:r>
            <w:r>
              <w:rPr>
                <w:rStyle w:val="31"/>
                <w:rFonts w:hint="eastAsia" w:ascii="仿宋" w:hAnsi="仿宋" w:eastAsia="仿宋" w:cs="仿宋"/>
                <w:color w:val="000000" w:themeColor="text1"/>
                <w:sz w:val="24"/>
                <w:szCs w:val="24"/>
                <w:highlight w:val="none"/>
                <w14:textFill>
                  <w14:solidFill>
                    <w14:schemeClr w14:val="tx1"/>
                  </w14:solidFill>
                </w14:textFill>
              </w:rPr>
              <w:t>23</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开标</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579" w:lineRule="exact"/>
              <w:rPr>
                <w:rStyle w:val="31"/>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Style w:val="31"/>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pacing w:line="579" w:lineRule="exact"/>
              <w:rPr>
                <w:rStyle w:val="31"/>
                <w:rFonts w:hint="default" w:ascii="仿宋" w:hAnsi="仿宋" w:eastAsia="仿宋" w:cs="仿宋"/>
                <w:b/>
                <w:bCs/>
                <w:color w:val="000000" w:themeColor="text1"/>
                <w:sz w:val="24"/>
                <w:szCs w:val="24"/>
                <w:highlight w:val="none"/>
                <w:lang w:val="en-US" w:eastAsia="zh-CN" w:bidi="ar-SA"/>
                <w14:textFill>
                  <w14:solidFill>
                    <w14:schemeClr w14:val="tx1"/>
                  </w14:solidFill>
                </w14:textFill>
              </w:rPr>
            </w:pPr>
            <w:r>
              <w:rPr>
                <w:rStyle w:val="31"/>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 xml:space="preserve"> 4、参与竞争性谈判和竞争性磋商项目供应商，开标结束后，请及时进入“网上报价”页面（详见操作手册），等待最终报价通知。如未在系统提示的报价时限内报价，则视为上一轮报价为最终报价。</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第六章</w:t>
            </w:r>
            <w:r>
              <w:rPr>
                <w:rStyle w:val="31"/>
                <w:rFonts w:hint="eastAsia" w:ascii="仿宋" w:hAnsi="仿宋" w:eastAsia="仿宋" w:cs="仿宋"/>
                <w:color w:val="000000" w:themeColor="text1"/>
                <w:sz w:val="24"/>
                <w:szCs w:val="24"/>
                <w:highlight w:val="none"/>
                <w14:textFill>
                  <w14:solidFill>
                    <w14:schemeClr w14:val="tx1"/>
                  </w14:solidFill>
                </w14:textFill>
              </w:rPr>
              <w:t>26.2</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评标方法</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第六章</w:t>
            </w:r>
            <w:r>
              <w:rPr>
                <w:rStyle w:val="31"/>
                <w:rFonts w:hint="eastAsia" w:ascii="仿宋" w:hAnsi="仿宋" w:eastAsia="仿宋" w:cs="仿宋"/>
                <w:color w:val="000000" w:themeColor="text1"/>
                <w:sz w:val="24"/>
                <w:szCs w:val="24"/>
                <w:highlight w:val="none"/>
                <w14:textFill>
                  <w14:solidFill>
                    <w14:schemeClr w14:val="tx1"/>
                  </w14:solidFill>
                </w14:textFill>
              </w:rPr>
              <w:t>30.1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推荐的中标候选人数量</w:t>
            </w:r>
            <w:r>
              <w:rPr>
                <w:rStyle w:val="31"/>
                <w:rFonts w:hint="eastAsia" w:ascii="仿宋" w:hAnsi="仿宋" w:eastAsia="仿宋" w:cs="仿宋"/>
                <w:color w:val="000000" w:themeColor="text1"/>
                <w:sz w:val="24"/>
                <w:szCs w:val="24"/>
                <w:highlight w:val="none"/>
                <w:u w:val="thick"/>
                <w:lang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第七章</w:t>
            </w:r>
            <w:r>
              <w:rPr>
                <w:rStyle w:val="31"/>
                <w:rFonts w:hint="eastAsia" w:ascii="仿宋" w:hAnsi="仿宋" w:eastAsia="仿宋" w:cs="仿宋"/>
                <w:color w:val="000000" w:themeColor="text1"/>
                <w:sz w:val="24"/>
                <w:szCs w:val="24"/>
                <w:highlight w:val="none"/>
                <w14:textFill>
                  <w14:solidFill>
                    <w14:schemeClr w14:val="tx1"/>
                  </w14:solidFill>
                </w14:textFill>
              </w:rPr>
              <w:t>34.1</w:t>
            </w:r>
            <w:r>
              <w:rPr>
                <w:rStyle w:val="31"/>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9"/>
              <w:keepNext w:val="0"/>
              <w:keepLines w:val="0"/>
              <w:pageBreakBefore w:val="0"/>
              <w:widowControl/>
              <w:tabs>
                <w:tab w:val="left" w:pos="1320"/>
              </w:tabs>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履约担保</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合同价款的</w:t>
            </w:r>
            <w:r>
              <w:rPr>
                <w:rStyle w:val="31"/>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付款方式：完成工作</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验收合格后</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一次性支付</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。付款前，成交供应商须提供合法的当届结算金额全额增值税发票并经采购人财务审核后方可付款（最终付款方式以和采购单位签订合同为准）。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特别提示1：供应商须自行查询信用记录；</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查询时间为：自公告发布之日起至响应文件递交截止时间止（该时间段内任一时间</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。查询渠道为：“信用中国”网站及“中国政府采购网”。</w:t>
            </w:r>
          </w:p>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对列入失信被执行人、</w:t>
            </w:r>
            <w:r>
              <w:rPr>
                <w:rFonts w:hint="eastAsia" w:ascii="仿宋" w:hAnsi="仿宋" w:eastAsia="仿宋" w:cs="仿宋"/>
                <w:i w:val="0"/>
                <w:iCs w:val="0"/>
                <w:caps w:val="0"/>
                <w:color w:val="auto"/>
                <w:spacing w:val="0"/>
                <w:sz w:val="24"/>
                <w:szCs w:val="24"/>
                <w:highlight w:val="none"/>
              </w:rPr>
              <w:t>重大税收违法</w:t>
            </w:r>
            <w:r>
              <w:rPr>
                <w:rFonts w:hint="eastAsia" w:ascii="仿宋" w:hAnsi="仿宋" w:eastAsia="仿宋" w:cs="仿宋"/>
                <w:i w:val="0"/>
                <w:iCs w:val="0"/>
                <w:caps w:val="0"/>
                <w:color w:val="auto"/>
                <w:spacing w:val="0"/>
                <w:sz w:val="24"/>
                <w:szCs w:val="24"/>
                <w:highlight w:val="none"/>
                <w:lang w:val="en-US" w:eastAsia="zh-CN"/>
              </w:rPr>
              <w:t>失信主体</w:t>
            </w:r>
            <w:r>
              <w:rPr>
                <w:rFonts w:hint="eastAsia" w:ascii="仿宋" w:hAnsi="仿宋" w:eastAsia="仿宋" w:cs="仿宋"/>
                <w:i w:val="0"/>
                <w:iCs w:val="0"/>
                <w:caps w:val="0"/>
                <w:color w:val="auto"/>
                <w:spacing w:val="0"/>
                <w:sz w:val="24"/>
                <w:szCs w:val="24"/>
                <w:highlight w:val="none"/>
              </w:rPr>
              <w:t>、</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政府采购严重违法失信行为记录名单及其他不符合《中华人民共和国政府采购法》第二十二条规定条件的供应商，其响应文件将被拒绝。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7"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注：如本《供应商须知前附表》相关内容与竞争性磋商文件中的相关内容如有不一致处，则以本《供应商须知前附表》相关内容为准。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7"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1"/>
                <w:rFonts w:ascii="仿宋" w:hAnsi="仿宋" w:eastAsia="仿宋" w:cs="仿宋"/>
                <w:color w:val="000000" w:themeColor="text1"/>
                <w:spacing w:val="10"/>
                <w:sz w:val="24"/>
                <w:szCs w:val="24"/>
                <w:highlight w:val="none"/>
                <w14:textFill>
                  <w14:solidFill>
                    <w14:schemeClr w14:val="tx1"/>
                  </w14:solidFill>
                </w14:textFill>
              </w:rPr>
            </w:pPr>
            <w:r>
              <w:rPr>
                <w:rStyle w:val="31"/>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1"/>
                <w:rFonts w:hint="eastAsia" w:ascii="仿宋" w:hAnsi="仿宋" w:eastAsia="仿宋" w:cs="仿宋"/>
                <w:color w:val="000000" w:themeColor="text1"/>
                <w:sz w:val="24"/>
                <w:szCs w:val="24"/>
                <w:highlight w:val="none"/>
                <w14:textFill>
                  <w14:solidFill>
                    <w14:schemeClr w14:val="tx1"/>
                  </w14:solidFill>
                </w14:textFill>
              </w:rPr>
              <w:t>36.1</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9"/>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备注：本项目招标代理服务费由中标人支付。</w:t>
            </w:r>
          </w:p>
        </w:tc>
      </w:tr>
    </w:tbl>
    <w:p>
      <w:pPr>
        <w:spacing w:line="579" w:lineRule="exact"/>
        <w:ind w:firstLine="643" w:firstLineChars="200"/>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13" w:name="_Toc28100"/>
      <w:bookmarkStart w:id="14" w:name="_Toc12436"/>
      <w:bookmarkStart w:id="15" w:name="_Toc3325"/>
      <w:bookmarkStart w:id="16" w:name="_Toc7923"/>
      <w:bookmarkStart w:id="17" w:name="_Toc14261"/>
      <w:bookmarkStart w:id="18" w:name="_Toc1619"/>
      <w:r>
        <w:rPr>
          <w:rStyle w:val="31"/>
          <w:rFonts w:hint="eastAsia" w:ascii="仿宋" w:hAnsi="仿宋" w:eastAsia="仿宋" w:cs="仿宋"/>
          <w:b/>
          <w:color w:val="000000" w:themeColor="text1"/>
          <w:sz w:val="32"/>
          <w:highlight w:val="none"/>
          <w:lang w:eastAsia="zh-CN"/>
          <w14:textFill>
            <w14:solidFill>
              <w14:schemeClr w14:val="tx1"/>
            </w14:solidFill>
          </w14:textFill>
        </w:rPr>
        <w:t>第一章供应商须知</w:t>
      </w:r>
      <w:bookmarkEnd w:id="13"/>
      <w:bookmarkEnd w:id="14"/>
      <w:bookmarkEnd w:id="15"/>
      <w:bookmarkEnd w:id="16"/>
      <w:bookmarkEnd w:id="17"/>
      <w:bookmarkEnd w:id="18"/>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1.项目概况</w:t>
      </w:r>
    </w:p>
    <w:p>
      <w:pPr>
        <w:spacing w:line="579" w:lineRule="exact"/>
        <w:ind w:firstLine="480" w:firstLineChars="200"/>
        <w:rPr>
          <w:rStyle w:val="31"/>
          <w:rFonts w:ascii="仿宋" w:hAnsi="仿宋" w:eastAsia="仿宋" w:cs="仿宋"/>
          <w:b/>
          <w:color w:val="000000" w:themeColor="text1"/>
          <w:sz w:val="32"/>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1.1项目名称：详见供应商须知前附表；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1.2招标方式：详见供应商须知前附表；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1.3采购内容：详见供应商须知前附表；</w:t>
      </w:r>
    </w:p>
    <w:p>
      <w:pPr>
        <w:spacing w:line="579"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1.4资金来源：详见供应商须知前附表；</w:t>
      </w:r>
    </w:p>
    <w:p>
      <w:pPr>
        <w:spacing w:line="579"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交货</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地点：详见供应商须知前附表；</w:t>
      </w:r>
    </w:p>
    <w:p>
      <w:pPr>
        <w:spacing w:line="579"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1.6合同履行期限：详见供应商须知前附表；</w:t>
      </w:r>
    </w:p>
    <w:p>
      <w:pPr>
        <w:spacing w:line="579" w:lineRule="exact"/>
        <w:ind w:firstLine="45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pacing w:val="-8"/>
          <w:sz w:val="24"/>
          <w:szCs w:val="24"/>
          <w:highlight w:val="none"/>
          <w:lang w:eastAsia="zh-CN"/>
          <w14:textFill>
            <w14:solidFill>
              <w14:schemeClr w14:val="tx1"/>
            </w14:solidFill>
          </w14:textFill>
        </w:rPr>
        <w:t>2</w:t>
      </w:r>
      <w:r>
        <w:rPr>
          <w:rStyle w:val="31"/>
          <w:rFonts w:hint="eastAsia" w:ascii="仿宋" w:hAnsi="仿宋" w:eastAsia="仿宋" w:cs="仿宋"/>
          <w:b/>
          <w:color w:val="000000" w:themeColor="text1"/>
          <w:spacing w:val="-3"/>
          <w:sz w:val="24"/>
          <w:szCs w:val="24"/>
          <w:highlight w:val="none"/>
          <w:lang w:eastAsia="zh-CN"/>
          <w14:textFill>
            <w14:solidFill>
              <w14:schemeClr w14:val="tx1"/>
            </w14:solidFill>
          </w14:textFill>
        </w:rPr>
        <w:t>.定义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下述术语和缩写的定义为：</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2.1“招标人”“采购人”系指依法进行政府采购的国家机关、事业单位、团体组织。本次政府采购的采购人名称、地址、联系人、电话详见供应商须知前附表。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2.2“采购代理机构”“采购代理机构”系指接受采购人委托，代理采购项目的采购代理机构。本次政府采购的采购代理机构名称、地址、联系人、电话详见供应商须知前附表。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2.3“供应商”系指向采购人提供货物、工程或者服务的法人、其他组织或者自然人。</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2.4“货物”系指各种形态和种类的物品，包括原材料、设备、产品等。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2.5“工程”系指建设工程，包括建筑物和构筑物的新建、改建、扩建，装修、拆除，修缮等。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2.6“服务”系指除货物和工程以外的其他政府采购对象。</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2.8偏离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2.8.1本条所称偏离为响应文件对竞争性磋商文件的偏离，即不满足、或不响应竞争性磋商文件的要求。偏离分为对竞争性磋商文件的实质性要求条款偏离和对竞争性磋商文件的一般商务和技术条款偏离。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2.8.2除法律、法规和规章规定外。竞争性磋商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竞争性磋商文件中的每一个条款及要求，因误读竞争性磋商文件而造成的后果，采购人概不负责。</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2.9特别说明</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2.9.1供应商所使用的资格、信誉、荣誉、业绩与企业认证等必须为供应商所拥有。</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2.9.2供应商应仔细阅读竞争性磋商文件中的所有内容，按照竞争性磋商文件的要求编制、提交响应文件，并对其所提供的全部资料的真实性承担法律责任。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2.9.3竞争性磋商文件所提供的资料，是采购人现有的能被供应商利用的资料，采购人对供应商做出的任何推论、理解和结论均不负任何责任。</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3.供应商资格</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3.1供应商资格：详见供应商须知前附表。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3.2供应商应遵守中华人民共和国法律、法规和行政规章。</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3.3供应商不得存在下列情形之一：</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（1）与采购人、代理机构存在利害关系。</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（2）单位负责人为同一人或者存在控股、管理关系的不同供应商，不得参加同一合同项下的政府采购活动。</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4.投标费用</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4.1无论投标过程中的做法和结果如何，供应商将自行承担所有与参加投标有关的费用。</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5.联合体形式</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5.1除供应商须知前附表中另有规定，本次招标不接受为联合体形式的供应商。</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6．现场勘察</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6.1供应商应按供应商须知前附表中规定对采购项目现场和周围环境进行考察。</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6.2勘察现场的费用由供应商自己承担，勘察期间所发生的人身伤害及财产损失由供应商自己负责。</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6.3采购人不对供应商据此而做出的推论、理解和结论负责。一旦成交，供应商不得以任何借口，而提出额外补偿，或延长合同期限的要求。</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7.采购进口产品</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7.1除供应商须知前附表另有规定外，本项目不接受进口产品参加采购活动。</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8.政府采购政策的支持</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8.1政府采购有关的货物采购执行环境标志产品政府优先采购政策。在采购过程中执行最新一期的环境标志产品政府采购清单。优先采购政策规定可在：中国政府采购网（http://www.ccgp.gov.cn/）查询。</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8.2政府采购有关的货物采购应当执行节能产品政府强制采购和优先采购政策。在采购过程中执行最新一期的节能产品政府采购清单。优先采购政策规定可在：中国政府采购网（http://www.ccgp.gov.cn/）查询。</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8.</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供应商在签署相关承诺、提供相关信息前，应当认真阅读财政部门的相关政策规定。符合本章第8.1-8.3款规定的，应当提供相关的证明材料。</w:t>
      </w:r>
    </w:p>
    <w:p>
      <w:pPr>
        <w:spacing w:before="20" w:line="579" w:lineRule="exact"/>
        <w:ind w:left="1933" w:right="1780"/>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19" w:name="_Toc7015"/>
      <w:bookmarkStart w:id="20" w:name="_Toc29622"/>
      <w:bookmarkStart w:id="21" w:name="_Toc18208"/>
      <w:bookmarkStart w:id="22" w:name="_Toc18971"/>
      <w:bookmarkStart w:id="23" w:name="_Toc29726"/>
      <w:bookmarkStart w:id="24" w:name="_Toc12869"/>
      <w:r>
        <w:rPr>
          <w:rStyle w:val="31"/>
          <w:rFonts w:hint="eastAsia" w:ascii="仿宋" w:hAnsi="仿宋" w:eastAsia="仿宋" w:cs="仿宋"/>
          <w:b/>
          <w:color w:val="000000" w:themeColor="text1"/>
          <w:sz w:val="32"/>
          <w:highlight w:val="none"/>
          <w:lang w:eastAsia="zh-CN"/>
          <w14:textFill>
            <w14:solidFill>
              <w14:schemeClr w14:val="tx1"/>
            </w14:solidFill>
          </w14:textFill>
        </w:rPr>
        <w:t>第二章 竞争性磋商文件的编写</w:t>
      </w:r>
      <w:bookmarkEnd w:id="19"/>
      <w:bookmarkEnd w:id="20"/>
      <w:bookmarkEnd w:id="21"/>
      <w:bookmarkEnd w:id="22"/>
      <w:bookmarkEnd w:id="23"/>
      <w:bookmarkEnd w:id="24"/>
    </w:p>
    <w:p>
      <w:pPr>
        <w:pStyle w:val="41"/>
        <w:spacing w:before="111"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9.竞争性磋商文件的构成</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9.1竞争性磋商文件由下述部分组成：</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第一部分竞争性磋商公告</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第二部分供应商须知</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第三部分采购内容及参数要求</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第四部分合同条款</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第五部分附件</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9.2竞争性磋商文件以中文书写。</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9.3供应商被视为熟悉本招标项目的各种情况以及与履行合同有关的一切其他情况。</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pPr>
        <w:pStyle w:val="41"/>
        <w:spacing w:before="111"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10.竞争性磋商文件的澄清、标前会议</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10.1供应商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pPr>
        <w:pStyle w:val="41"/>
        <w:spacing w:before="111"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11.竞争性磋商文件的修改或补充</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11.1在投标截止期5日前的任何时间，采购人可主动或依据供应商要求澄清的问题而修改或补充竞争性磋商文件，并以书面形式通知所有供应商，供应商在收到该通知后应立即以电报或传真的形式予以确认。</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11.2为使供应商在准备投标时有适当的时间考虑响应文件的修改，采购人有权决定推迟投标截止日期和开标日期，并将此变更通知所有的供应商。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11.3竞争性磋商文件的修改书和补充文件将构成竞争性磋商文件的一部分，并且比竞争性磋商文件对供应商具有优先的约束力。</w:t>
      </w:r>
    </w:p>
    <w:p>
      <w:pPr>
        <w:pStyle w:val="42"/>
        <w:spacing w:line="579" w:lineRule="exact"/>
        <w:ind w:left="52" w:firstLine="482"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p>
    <w:p>
      <w:pPr>
        <w:spacing w:before="21" w:line="579" w:lineRule="exact"/>
        <w:ind w:left="1043" w:right="992"/>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25" w:name="_Toc11037"/>
      <w:bookmarkStart w:id="26" w:name="_Toc25160"/>
      <w:bookmarkStart w:id="27" w:name="_Toc7496"/>
      <w:bookmarkStart w:id="28" w:name="_Toc9127"/>
      <w:bookmarkStart w:id="29" w:name="_Toc16274"/>
      <w:bookmarkStart w:id="30" w:name="_Toc1595"/>
      <w:r>
        <w:rPr>
          <w:rStyle w:val="31"/>
          <w:rFonts w:hint="eastAsia" w:ascii="仿宋" w:hAnsi="仿宋" w:eastAsia="仿宋" w:cs="仿宋"/>
          <w:b/>
          <w:color w:val="000000" w:themeColor="text1"/>
          <w:sz w:val="32"/>
          <w:highlight w:val="none"/>
          <w:lang w:eastAsia="zh-CN"/>
          <w14:textFill>
            <w14:solidFill>
              <w14:schemeClr w14:val="tx1"/>
            </w14:solidFill>
          </w14:textFill>
        </w:rPr>
        <w:t>第三章 响应文件的编写</w:t>
      </w:r>
      <w:bookmarkEnd w:id="25"/>
      <w:bookmarkEnd w:id="26"/>
      <w:bookmarkEnd w:id="27"/>
      <w:bookmarkEnd w:id="28"/>
      <w:bookmarkEnd w:id="29"/>
      <w:bookmarkEnd w:id="30"/>
    </w:p>
    <w:p>
      <w:pPr>
        <w:pStyle w:val="41"/>
        <w:snapToGrid w:val="0"/>
        <w:spacing w:before="114"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12.要求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13.响应文件语言和度量单位</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13.1响应文件及供应商和采购人就招标、投标交换的文件和往来信件，须以中文书写。供应商可提交其他语言的资料，但应附中文注释，在有差异时，以中文为主。</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13.2除在竞争性磋商文件的技术规格中另有规定外，计量单位应使用中华人民共和国法定计量单位（国际单位制和国家选定的其它计量单位）。</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14.响应文件的组成</w:t>
      </w:r>
    </w:p>
    <w:p>
      <w:pPr>
        <w:snapToGrid w:val="0"/>
        <w:spacing w:line="579" w:lineRule="exact"/>
        <w:ind w:firstLine="480" w:firstLineChars="200"/>
        <w:rPr>
          <w:rFonts w:hint="default" w:ascii="仿宋" w:hAnsi="仿宋" w:eastAsia="仿宋" w:cs="仿宋"/>
          <w:b/>
          <w:iCs/>
          <w:color w:val="000000" w:themeColor="text1"/>
          <w:sz w:val="24"/>
          <w:highlight w:val="none"/>
          <w:u w:val="singl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14.1</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响应文件</w:t>
      </w: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组成内容详见第五部分附件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14.2所有资格证明文件，正本中的资格证明文件（如业绩、资质证书等）均须为加盖供应商公章的复印件或扫描件，以备开标时与原件核对（有特别说明的除外），副本为正本的复印件；开标结束后，可根据供应商的需要退回原件（针对本招标项目的特定授权原件不予退还）。</w:t>
      </w:r>
    </w:p>
    <w:p>
      <w:pPr>
        <w:snapToGrid w:val="0"/>
        <w:spacing w:line="579" w:lineRule="exact"/>
        <w:ind w:firstLine="482" w:firstLineChars="200"/>
        <w:rPr>
          <w:rStyle w:val="31"/>
          <w:rFonts w:ascii="仿宋" w:hAnsi="仿宋" w:eastAsia="仿宋" w:cs="仿宋"/>
          <w:b/>
          <w:bCs/>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14.3</w:t>
      </w:r>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评审前，采购人或采购代理机构将根据供应商提供的资格证明文件对其进行资格审查。</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所有资格证明文件必须满足竞争性磋商文件的要求，否则将导致投标被否决。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14.4供应商可按竞争性磋商文件的范本格式中提供的响应文件格式填写响应文件；如提供的范本格式有不完善之处，请自行补充完善。</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15.符合竞争性磋商文件规定的证明文件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15.1供应商提供的资格证明材料，须满足供应商须知前附表的要求。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15.2供应商为联合体形式的，则应提交联合体各方的资格文件，否则将视为未实质性响应条款而被拒绝。</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15.3供应商确保所提供货物（或服务），其质量满足中华人民共和国国家相关标准，使用的原辅材料要符合质量要求，拟投入的设备完好率足以胜任本项目的工作。</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15.4供应商须提交证明拟供货物（或服务）符合竞争性磋商文件规定的技术响应文件，作为响应文件的一部分。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15.5提供的货物（或服务）符合规定的相应技术标准、环保及节能标准等。</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15.6对照采购人的采购内容及技术要求，逐条确定，指出所提供的货物（或服务）是否实质性响应竞争性磋商文件的要求，如有偏离，须填报偏离表（见附件）。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15.7供应商应当提交符合竞争性磋商文件规定的业绩证明文件，该证明文件作为响应文件的一部分，业绩证明文件的要求详见供应商须知前附表没有按要求提供资料或提供资料不完全，其风险由供应商自行承担。</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16.投标报价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16.2其报价须保证在投标有效期及交付期内固定不变。采购人不接受有任何选择性报价。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16.3为了防止本次招标的投标报价过高，超出采购人为本次采购项目的资金支付能力，采购人依据主管部门的批复为本次招标项目的设定了最高投标限价（即采购预算），如果供应商的投标报价高于本项目的最高投标限价，其响应文件将被拒绝；如果所有供应商的投标报价均超出最高投标限价，采购人有权重新组织招标。</w:t>
      </w:r>
    </w:p>
    <w:p>
      <w:pPr>
        <w:spacing w:line="579" w:lineRule="exact"/>
        <w:ind w:firstLine="480" w:firstLineChars="200"/>
        <w:rPr>
          <w:rFonts w:hint="eastAsia" w:ascii="仿宋" w:hAnsi="仿宋" w:eastAsia="仿宋" w:cs="仿宋"/>
          <w:color w:val="000000" w:themeColor="text1"/>
          <w:kern w:val="0"/>
          <w:sz w:val="24"/>
          <w:szCs w:val="20"/>
          <w:highlight w:val="none"/>
          <w:lang w:bidi="ar"/>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16</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4</w:t>
      </w:r>
      <w:r>
        <w:rPr>
          <w:rFonts w:hint="eastAsia" w:ascii="仿宋" w:hAnsi="仿宋" w:eastAsia="仿宋" w:cs="仿宋"/>
          <w:color w:val="000000" w:themeColor="text1"/>
          <w:kern w:val="0"/>
          <w:sz w:val="24"/>
          <w:szCs w:val="20"/>
          <w:highlight w:val="none"/>
          <w:lang w:bidi="ar"/>
          <w14:textFill>
            <w14:solidFill>
              <w14:schemeClr w14:val="tx1"/>
            </w14:solidFill>
          </w14:textFill>
        </w:rPr>
        <w:t xml:space="preserve"> 磋商结束后，磋商小组可根据磋商情况，要求</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进行第二次报价和第三次报价，并确定最终报价。最终报价是响应文件的有效组成部分。</w:t>
      </w:r>
    </w:p>
    <w:p>
      <w:pPr>
        <w:spacing w:line="579" w:lineRule="exact"/>
        <w:ind w:firstLine="480" w:firstLineChars="200"/>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16</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5</w:t>
      </w:r>
      <w:r>
        <w:rPr>
          <w:rFonts w:hint="eastAsia" w:ascii="仿宋" w:hAnsi="仿宋" w:eastAsia="仿宋" w:cs="仿宋"/>
          <w:color w:val="000000" w:themeColor="text1"/>
          <w:kern w:val="0"/>
          <w:sz w:val="24"/>
          <w:szCs w:val="20"/>
          <w:highlight w:val="none"/>
          <w:lang w:bidi="ar"/>
          <w14:textFill>
            <w14:solidFill>
              <w14:schemeClr w14:val="tx1"/>
            </w14:solidFill>
          </w14:textFill>
        </w:rPr>
        <w:t xml:space="preserve"> </w:t>
      </w:r>
      <w:r>
        <w:rPr>
          <w:rFonts w:hint="eastAsia" w:ascii="仿宋" w:hAnsi="仿宋" w:eastAsia="仿宋" w:cs="仿宋"/>
          <w:color w:val="000000" w:themeColor="text1"/>
          <w:kern w:val="0"/>
          <w:sz w:val="24"/>
          <w:szCs w:val="20"/>
          <w:highlight w:val="none"/>
          <w:lang w:eastAsia="zh-CN" w:bidi="ar"/>
          <w14:textFill>
            <w14:solidFill>
              <w14:schemeClr w14:val="tx1"/>
            </w14:solidFill>
          </w14:textFill>
        </w:rPr>
        <w:t>参与竞争性谈判和竞争性磋商项目供应商，开标结束后，请及时进入“网上报价”页面（详见操作手册），等待最终报价通知。如未在系统提示的报价时限内报价，则视为上一轮报价为最终报价</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16.</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投标报价货币单位：人民币。</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17.投标有效期</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17.1投标有效期详见供应商须知前附表，如不满足其投标将被否决。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18．磋商保证金</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18.1磋商保证金的缴纳详见供应商须知前附表。未按规定提交磋商保证金的投标，将被视为投标无效。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18.2磋商保证金的退还详见供应商须知前附表。</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18.3不予退还保证金的情形，详见供应商须知前附表。</w:t>
      </w:r>
    </w:p>
    <w:p>
      <w:pPr>
        <w:pStyle w:val="41"/>
        <w:snapToGrid w:val="0"/>
        <w:spacing w:before="114"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19.响应文件的签署及规定</w:t>
      </w:r>
    </w:p>
    <w:p>
      <w:pPr>
        <w:snapToGrid w:val="0"/>
        <w:spacing w:line="579"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19.1电子响应文件使用政采云平台响应文件制作工具以及磋商文件要求进行制作编制。响应文件制作时，按照磋商文件中明确的响应文件目录和格式进行编制，保证目录清晰、内容完整。</w:t>
      </w:r>
    </w:p>
    <w:p>
      <w:pPr>
        <w:snapToGrid w:val="0"/>
        <w:spacing w:line="579"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19.2电子响应文件须使用供应商电子公章及法定代表人的电子签名。若无电子签章和签名，则视为无效响应。</w:t>
      </w:r>
    </w:p>
    <w:p>
      <w:pPr>
        <w:snapToGrid w:val="0"/>
        <w:spacing w:line="579"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19.3电子招投标文件具有法律效力，与其他形式的招投标文件在内容和格式上等同，若响应文件与磋商文件要求不一致，其内容影响成交结果时，责任由供应商自行承担。供应商递交的电子响应文件因供应商自身原因而导致无法导入电子辅助评标系统，该响应文件视为无效响应文件，将导致其响应被拒绝。</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p>
    <w:p>
      <w:pPr>
        <w:pStyle w:val="42"/>
        <w:spacing w:before="30" w:line="579" w:lineRule="exact"/>
        <w:ind w:left="2874"/>
        <w:jc w:val="left"/>
        <w:outlineLvl w:val="1"/>
        <w:rPr>
          <w:rStyle w:val="31"/>
          <w:rFonts w:ascii="仿宋" w:hAnsi="仿宋" w:eastAsia="仿宋" w:cs="仿宋"/>
          <w:color w:val="000000" w:themeColor="text1"/>
          <w:highlight w:val="none"/>
          <w:lang w:eastAsia="zh-CN"/>
          <w14:textFill>
            <w14:solidFill>
              <w14:schemeClr w14:val="tx1"/>
            </w14:solidFill>
          </w14:textFill>
        </w:rPr>
      </w:pPr>
      <w:bookmarkStart w:id="31" w:name="_Toc895"/>
      <w:bookmarkStart w:id="32" w:name="_Toc15698"/>
      <w:bookmarkStart w:id="33" w:name="_Toc8392"/>
      <w:bookmarkStart w:id="34" w:name="_Toc10035"/>
      <w:bookmarkStart w:id="35" w:name="_Toc1653"/>
      <w:bookmarkStart w:id="36" w:name="_Toc2843"/>
      <w:r>
        <w:rPr>
          <w:rStyle w:val="31"/>
          <w:rFonts w:hint="eastAsia" w:ascii="仿宋" w:hAnsi="仿宋" w:eastAsia="仿宋" w:cs="仿宋"/>
          <w:color w:val="000000" w:themeColor="text1"/>
          <w:highlight w:val="none"/>
          <w:lang w:eastAsia="zh-CN"/>
          <w14:textFill>
            <w14:solidFill>
              <w14:schemeClr w14:val="tx1"/>
            </w14:solidFill>
          </w14:textFill>
        </w:rPr>
        <w:t>第四章 响应文件的递交</w:t>
      </w:r>
      <w:bookmarkEnd w:id="31"/>
      <w:bookmarkEnd w:id="32"/>
      <w:bookmarkEnd w:id="33"/>
      <w:bookmarkEnd w:id="34"/>
      <w:bookmarkEnd w:id="35"/>
      <w:bookmarkEnd w:id="36"/>
    </w:p>
    <w:p>
      <w:pPr>
        <w:pStyle w:val="41"/>
        <w:spacing w:before="26"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20.响应性文件的密封与标记</w:t>
      </w:r>
    </w:p>
    <w:p>
      <w:pPr>
        <w:spacing w:line="579"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20.1加密的电子响应文件（.jmbs格式）应在响应文件递交截止时间前通过政采云平台上传完成。</w:t>
      </w:r>
    </w:p>
    <w:p>
      <w:pPr>
        <w:spacing w:line="579"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20.2逾期上传或者未上传指定地点的响应文件，采购人不予受理。</w:t>
      </w:r>
    </w:p>
    <w:p>
      <w:pPr>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21.响应文件递交截止时间</w:t>
      </w:r>
    </w:p>
    <w:p>
      <w:pPr>
        <w:spacing w:line="579"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.1 供应商应在供应商须知前附表规定的提交响应文件截止时间前，将响应文件上传至平台。逾期上传或者未上传指定地点的响应文件，采购人不予受理。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出现因竞争性磋商文件的修改推迟投标截止时间时，则按采购人修改通知规定的时间递交。</w:t>
      </w:r>
    </w:p>
    <w:p>
      <w:pPr>
        <w:spacing w:line="579" w:lineRule="exact"/>
        <w:ind w:firstLine="482"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22.响应文件的修改和撤回</w:t>
      </w:r>
    </w:p>
    <w:p>
      <w:pPr>
        <w:spacing w:line="579"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22.</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供应商不得在开标时间起至投标有效期期满前撤回响应文件。</w:t>
      </w:r>
    </w:p>
    <w:p>
      <w:pPr>
        <w:pStyle w:val="42"/>
        <w:keepNext w:val="0"/>
        <w:keepLines w:val="0"/>
        <w:pageBreakBefore w:val="0"/>
        <w:widowControl/>
        <w:kinsoku/>
        <w:wordWrap/>
        <w:overflowPunct/>
        <w:topLinePunct w:val="0"/>
        <w:autoSpaceDE/>
        <w:autoSpaceDN/>
        <w:bidi w:val="0"/>
        <w:adjustRightInd/>
        <w:snapToGrid/>
        <w:spacing w:before="34" w:line="579" w:lineRule="exact"/>
        <w:ind w:left="0" w:leftChars="0" w:firstLine="0" w:firstLineChars="0"/>
        <w:jc w:val="both"/>
        <w:textAlignment w:val="baseline"/>
        <w:outlineLvl w:val="9"/>
        <w:rPr>
          <w:rStyle w:val="31"/>
          <w:rFonts w:hint="eastAsia" w:ascii="仿宋" w:hAnsi="仿宋" w:eastAsia="仿宋" w:cs="仿宋"/>
          <w:color w:val="000000" w:themeColor="text1"/>
          <w:highlight w:val="none"/>
          <w:lang w:eastAsia="zh-CN"/>
          <w14:textFill>
            <w14:solidFill>
              <w14:schemeClr w14:val="tx1"/>
            </w14:solidFill>
          </w14:textFill>
        </w:rPr>
      </w:pPr>
      <w:bookmarkStart w:id="37" w:name="_Toc13653"/>
      <w:bookmarkStart w:id="38" w:name="_Toc5219"/>
      <w:bookmarkStart w:id="39" w:name="_Toc15274"/>
      <w:bookmarkStart w:id="40" w:name="_Toc19864"/>
      <w:bookmarkStart w:id="41" w:name="_Toc2807"/>
    </w:p>
    <w:p>
      <w:pPr>
        <w:pStyle w:val="42"/>
        <w:spacing w:before="34" w:line="579" w:lineRule="exact"/>
        <w:ind w:left="153"/>
        <w:outlineLvl w:val="1"/>
        <w:rPr>
          <w:rStyle w:val="31"/>
          <w:rFonts w:ascii="仿宋" w:hAnsi="仿宋" w:eastAsia="仿宋" w:cs="仿宋"/>
          <w:color w:val="000000" w:themeColor="text1"/>
          <w:highlight w:val="none"/>
          <w:lang w:eastAsia="zh-CN"/>
          <w14:textFill>
            <w14:solidFill>
              <w14:schemeClr w14:val="tx1"/>
            </w14:solidFill>
          </w14:textFill>
        </w:rPr>
      </w:pPr>
      <w:bookmarkStart w:id="42" w:name="_Toc17748"/>
      <w:r>
        <w:rPr>
          <w:rStyle w:val="31"/>
          <w:rFonts w:hint="eastAsia" w:ascii="仿宋" w:hAnsi="仿宋" w:eastAsia="仿宋" w:cs="仿宋"/>
          <w:color w:val="000000" w:themeColor="text1"/>
          <w:highlight w:val="none"/>
          <w:lang w:eastAsia="zh-CN"/>
          <w14:textFill>
            <w14:solidFill>
              <w14:schemeClr w14:val="tx1"/>
            </w14:solidFill>
          </w14:textFill>
        </w:rPr>
        <w:t>第五章 开标</w:t>
      </w:r>
      <w:bookmarkEnd w:id="37"/>
      <w:bookmarkEnd w:id="38"/>
      <w:bookmarkEnd w:id="39"/>
      <w:bookmarkEnd w:id="40"/>
      <w:bookmarkEnd w:id="41"/>
      <w:bookmarkEnd w:id="42"/>
    </w:p>
    <w:p>
      <w:pPr>
        <w:spacing w:line="579" w:lineRule="exact"/>
        <w:ind w:firstLine="458" w:firstLineChars="200"/>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23．</w:t>
      </w:r>
      <w:r>
        <w:rPr>
          <w:rStyle w:val="31"/>
          <w:rFonts w:hint="eastAsia" w:ascii="仿宋" w:hAnsi="仿宋" w:eastAsia="仿宋" w:cs="仿宋"/>
          <w:b/>
          <w:color w:val="000000" w:themeColor="text1"/>
          <w:w w:val="95"/>
          <w:sz w:val="24"/>
          <w:szCs w:val="24"/>
          <w:highlight w:val="none"/>
          <w:lang w:val="en-US" w:eastAsia="zh-CN"/>
          <w14:textFill>
            <w14:solidFill>
              <w14:schemeClr w14:val="tx1"/>
            </w14:solidFill>
          </w14:textFill>
        </w:rPr>
        <w:t>1</w:t>
      </w: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579" w:lineRule="exact"/>
        <w:ind w:firstLine="458" w:firstLineChars="200"/>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val="en-US" w:eastAsia="zh-CN"/>
          <w14:textFill>
            <w14:solidFill>
              <w14:schemeClr w14:val="tx1"/>
            </w14:solidFill>
          </w14:textFill>
        </w:rPr>
        <w:t>23.2</w:t>
      </w: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pacing w:line="579" w:lineRule="exact"/>
        <w:ind w:firstLine="458" w:firstLineChars="200"/>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val="en-US" w:eastAsia="zh-CN"/>
          <w14:textFill>
            <w14:solidFill>
              <w14:schemeClr w14:val="tx1"/>
            </w14:solidFill>
          </w14:textFill>
        </w:rPr>
        <w:t xml:space="preserve">  23.3</w:t>
      </w: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参与竞争性谈判和竞争性磋商项目供应商，开标结束后，请及时进入“网上报价”页面（详见操作手册），等待最终报价通知。如未在系统提示的报价时限内报价，则视为上一轮报价为最终报价。</w:t>
      </w:r>
    </w:p>
    <w:p>
      <w:pPr>
        <w:keepNext/>
        <w:keepLines/>
        <w:pageBreakBefore w:val="0"/>
        <w:widowControl/>
        <w:kinsoku/>
        <w:wordWrap/>
        <w:overflowPunct/>
        <w:topLinePunct w:val="0"/>
        <w:autoSpaceDE/>
        <w:autoSpaceDN/>
        <w:bidi w:val="0"/>
        <w:adjustRightInd/>
        <w:snapToGrid/>
        <w:textAlignment w:val="baseline"/>
        <w:outlineLvl w:val="9"/>
        <w:rPr>
          <w:rFonts w:hint="default"/>
          <w:highlight w:val="none"/>
          <w:lang w:val="en-US" w:eastAsia="zh-CN"/>
        </w:rPr>
      </w:pP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Style w:val="31"/>
          <w:rFonts w:hint="eastAsia" w:ascii="仿宋" w:hAnsi="仿宋" w:eastAsia="仿宋" w:cs="仿宋"/>
          <w:b/>
          <w:color w:val="000000" w:themeColor="text1"/>
          <w:sz w:val="32"/>
          <w:highlight w:val="none"/>
          <w:lang w:eastAsia="zh-CN"/>
          <w14:textFill>
            <w14:solidFill>
              <w14:schemeClr w14:val="tx1"/>
            </w14:solidFill>
          </w14:textFill>
        </w:rPr>
      </w:pPr>
      <w:bookmarkStart w:id="43" w:name="_Toc7217"/>
    </w:p>
    <w:p>
      <w:pPr>
        <w:spacing w:line="579" w:lineRule="exact"/>
        <w:jc w:val="center"/>
        <w:outlineLvl w:val="1"/>
        <w:rPr>
          <w:rStyle w:val="31"/>
          <w:rFonts w:ascii="仿宋" w:hAnsi="仿宋" w:eastAsia="仿宋" w:cs="仿宋"/>
          <w:b/>
          <w:color w:val="000000" w:themeColor="text1"/>
          <w:sz w:val="32"/>
          <w:highlight w:val="none"/>
          <w:lang w:eastAsia="zh-CN"/>
          <w14:textFill>
            <w14:solidFill>
              <w14:schemeClr w14:val="tx1"/>
            </w14:solidFill>
          </w14:textFill>
        </w:rPr>
      </w:pPr>
      <w:bookmarkStart w:id="44" w:name="_Toc25316"/>
      <w:bookmarkStart w:id="45" w:name="_Toc21833"/>
      <w:bookmarkStart w:id="46" w:name="_Toc3015"/>
      <w:bookmarkStart w:id="47" w:name="_Toc5737"/>
      <w:bookmarkStart w:id="48" w:name="_Toc2700"/>
      <w:r>
        <w:rPr>
          <w:rStyle w:val="31"/>
          <w:rFonts w:hint="eastAsia" w:ascii="仿宋" w:hAnsi="仿宋" w:eastAsia="仿宋" w:cs="仿宋"/>
          <w:b/>
          <w:color w:val="000000" w:themeColor="text1"/>
          <w:sz w:val="32"/>
          <w:highlight w:val="none"/>
          <w:lang w:eastAsia="zh-CN"/>
          <w14:textFill>
            <w14:solidFill>
              <w14:schemeClr w14:val="tx1"/>
            </w14:solidFill>
          </w14:textFill>
        </w:rPr>
        <w:t>第六章 评标</w:t>
      </w:r>
      <w:bookmarkEnd w:id="43"/>
      <w:bookmarkEnd w:id="44"/>
      <w:bookmarkEnd w:id="45"/>
      <w:bookmarkEnd w:id="46"/>
      <w:bookmarkEnd w:id="47"/>
      <w:bookmarkEnd w:id="48"/>
    </w:p>
    <w:p>
      <w:pPr>
        <w:pStyle w:val="41"/>
        <w:snapToGrid w:val="0"/>
        <w:spacing w:before="113"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24.评审小组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24.2评审小组成员名单在评标结果公告前应当保密。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24.3评审小组由采购人代表和评审专家组成，成员人数应当为3人或以上单数，其中评审专家不得少于成员总数的三分之二。</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24.6评标专家应符合下列条件：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24.6.1具有良好的职业道德，廉洁自律，遵纪守法，无行贿、受贿、欺诈等不良信用记录；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24.6.2具有中级专业技术职称或同等专业水平且从事相关领域工作满8年，或者具有高级专业技术职称或同等专业水平；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24.6.3熟悉政府采购相关政策法规；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24.6.4承诺以独立身份参加评审工作，依法履行评审专家工作职责并承担相应法律责任的中国公民；</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24.6.5身体健康，能够承担评审工作；</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24.6.6申请成为评审专家前三年内，无《政府采购评审专家管理办法》中规定的不良行为记录。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有下列情形之一的，不得担任评审小组成员：</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(1)参加采购活动前三年内，与供应商存在劳动关系，或者担任过供应商的董事、监事,或者是供应商的控股股东或实际控制人；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(2)与供应商的法定代表人或者负责人有夫妻、直系血亲、三代以内旁系血亲或者近姻亲关系；</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(3)与供应商有其他可能影响政府采购活动公平、公正进行的关系。</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24.7评审小组负责具体评标事务，并独立履行下列职责：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(1)审查、评价响应文件是否符合竞争性磋商文件的商务、技术等实质性要求；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(2)要求供应商对响应文件的有关事项作出澄清或者说明；</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(3)对响应文件进行比较和评价；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(4)确定中标候选人名单，以及根据采购人委托直接确定中标人；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(5)向采购人、采购代理机构或者有关部门报告评标中发现的违法行为。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24.8评审小组及其成员不得有下列行为：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(1)确定参与评标至评标结束前私自接触供应商；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(2)接受供应商提出的与响应文件不一致的澄清或者说明，本竞争性磋商文件第</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27.1款规定的情形除外；</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(3)违反评标纪律发表倾向性意见或者征询采购人的倾向性意见；</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(4)对需要专业判断的主观评审因素协商评分；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(5)在评标过程中擅离职守，影响评标程序正常进行的；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(6)记录、复制或者带走任何评标资料；</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(7)其他不遵守评标纪律的行为。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评审小组成员有前款第(1)至(5)项行为之一的，其评审意见无效，并不得获取评审劳务报酬和报销异地评审差旅费。</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25.评审过程的保密性</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25.1采购人、采购代理机构应当采取必要措施，保证评审在严格保密的情况下进行。除采购人代表、评审现场组织人员外，采购人的其他工作人员以及与评审工作无关的人员不得进入评审现场。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25.3投标供应商在评审过程中，所进行的力图影响评审结果的、不符合《中华人民共和国政府采购法》及其相关法律、法规的、以及不符合本次招标的有关规定的活动，将被取消其中标资格。</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26.评审依据及评标办法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26.1评审的依据：采购人的竞争性磋商文件和供应商的响应文件。</w:t>
      </w:r>
    </w:p>
    <w:p>
      <w:pPr>
        <w:snapToGrid w:val="0"/>
        <w:spacing w:line="579" w:lineRule="exact"/>
        <w:ind w:firstLine="480"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26.2评标办法：</w:t>
      </w: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综合评分法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综合评分法，是指响应文件满足竞争性磋商文件全部实质性要求，且按照评审因素的量化指标评审得分最高的供应商为中标候选人的评标方法。</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26.3评审程序：</w:t>
      </w:r>
    </w:p>
    <w:p>
      <w:pPr>
        <w:snapToGrid w:val="0"/>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成立评标委员会→初步评审（符合性审查）→错误性修正→详细评审（商务、技术部分评审，报价得分计算）→推荐中标候选人→完成评标报告</w:t>
      </w:r>
    </w:p>
    <w:p>
      <w:pPr>
        <w:snapToGrid w:val="0"/>
        <w:spacing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通过初步评审的响应文件，方可进入下一环节的评审。</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27.初步评审</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27.1评审小组对响应文件的有效性、完整性和响应程度进行审查时，应当以书面方式要求供应商对响应文件中含义不明确、对同类问题表述不一致或者有明显文字和计算错误的内容作必要的澄清、说明或补正。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供应商的澄清、说明或补正应以书面方式进行，并加盖公章，或者由法定代表人或其授权的代表签字。供应商的澄清、说明或者补正不得超出响应文件的范围或者改变竞争性磋商文件的实质性内容。</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按上述规定，经供应商确认后，对供应商起约束作用。如果供应商不确认的，则其投标无效。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27.2采购方不接受不符合国家有关部门相关规定的投标报价或优惠方案。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27.3在评审过程中，评审小组发现供应商以他人名义投标、串通投标、以行贿手段谋取中标或者以其他弄虚作假方式投标的，该供应商的投标将被否决。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27.4有下列情形之一的，视为供应商串通投标，其投标无效：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(1)不同供应商的响应文件由同一单位或者个人编制；</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(2)不同供应商委托同一单位或者个人办理投标事宜；</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(3)不同供应商的响应文件载明的项目管理成员或者联系人员为同一人；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(4)不同供应商的响应文件异常一致或者投标报价呈规律性差异；</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(5)不同供应商的响应文件相互混装；</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(6)不同供应商的磋商保证金从同一单位或者个人的账户转出。</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27.5供应商存在下列情况之一的，投标无效：</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(1)未按照竞争性磋商文件的规定提交磋商保证金的；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(2)响应文件未按竞争性磋商文件要求签署、盖章的；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(3)不具备竞争性磋商文件中规定的资格要求的；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(4)报价超过竞争性磋商文件中规定的预算金额或者最高限价的；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(5)响应文件含有采购人不能接受的附加条件的；</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(6)法律、法规和竞争性磋商文件规定的其他无效情形。</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27.6评审小组应当审查每一响应文件是否对竞争性磋商文件提出的所有实质性要求和条件做出响应。未能在实质上响应的投标，其投标将被否决。</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27.7供应商不得误导、干扰采购方的评审活动，否则将废除其投标。</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27.8评审小组根据上述规定否决不合格投标，因有效投标不足本次评审办法规定数量而使得投标明显缺乏竞争性时，根据《中华人民共和国政府采购法》的相关规定，将作流标处理。</w:t>
      </w:r>
    </w:p>
    <w:p>
      <w:pPr>
        <w:snapToGrid w:val="0"/>
        <w:spacing w:line="579" w:lineRule="exact"/>
        <w:ind w:firstLine="482" w:firstLineChars="200"/>
        <w:rPr>
          <w:rStyle w:val="31"/>
          <w:rFonts w:hint="default" w:ascii="仿宋" w:hAnsi="仿宋" w:eastAsia="仿宋" w:cs="仿宋"/>
          <w:b/>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初步评审的标准详见附表1、</w:t>
      </w:r>
      <w:r>
        <w:rPr>
          <w:rStyle w:val="31"/>
          <w:rFonts w:hint="eastAsia" w:ascii="仿宋" w:hAnsi="仿宋" w:eastAsia="仿宋" w:cs="仿宋"/>
          <w:b/>
          <w:color w:val="000000" w:themeColor="text1"/>
          <w:sz w:val="24"/>
          <w:szCs w:val="24"/>
          <w:highlight w:val="none"/>
          <w:lang w:val="en-US" w:eastAsia="zh-CN"/>
          <w14:textFill>
            <w14:solidFill>
              <w14:schemeClr w14:val="tx1"/>
            </w14:solidFill>
          </w14:textFill>
        </w:rPr>
        <w:t>2</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28.响应文件计算错误的修正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28.1响应文件中报价出现前后不一致的，评审小组按以下原则对投标报价进行修正：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a.响应文件中开标一览表（报价表）内容与响应文件中相应内容不一致的，以开标一览表（报价表）为准；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b.大写金额和小写金额不一致的，以大写金额为准；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c.单价金额小数点或者百分比有明显错位的，以开标一览表的总价为准，并修改单价；</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d.总价金额与按单价汇总金额不一致的，以单价金额计算结果为准。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同时出现两种以上不一致的，按照前款规定的顺序修正。</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28.2修正后的最终投标报价若超过最高投标限价（如有），评审小组应当否决其投标。</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28.3按上述修正错误的原则及方法调整或修正响应文件的投标报价，经供应商确认后，对供应商起约束作用。如果供应商不确认的，则其投标无效。</w:t>
      </w:r>
    </w:p>
    <w:p>
      <w:pPr>
        <w:pStyle w:val="41"/>
        <w:snapToGrid w:val="0"/>
        <w:spacing w:before="113" w:line="579" w:lineRule="exact"/>
        <w:ind w:left="0" w:firstLine="458" w:firstLineChars="200"/>
        <w:rPr>
          <w:rStyle w:val="31"/>
          <w:rFonts w:ascii="仿宋" w:hAnsi="仿宋" w:eastAsia="仿宋" w:cs="仿宋"/>
          <w:color w:val="000000" w:themeColor="text1"/>
          <w:w w:val="9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29.详细评审</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29.3磋商小组所有成员应当集中与单一供应商分别进行磋商，并给予所有参加磋商的供应商平等的磋商机会。</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29.4根据综合评分法完成评审工作后，评审小组应当向采购人递交书面评审报告。</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评审因素及标准(详见评分细则)</w:t>
      </w:r>
    </w:p>
    <w:p>
      <w:pPr>
        <w:snapToGrid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评审因素：与供应商所提供货物服务的质量相关，包括投标报价、技术或者服务水平、履约能力、售后服务等。</w:t>
      </w:r>
    </w:p>
    <w:p>
      <w:pPr>
        <w:pStyle w:val="41"/>
        <w:spacing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（1）商务技术部分</w:t>
      </w:r>
      <w:r>
        <w:rPr>
          <w:rStyle w:val="31"/>
          <w:rFonts w:hint="eastAsia" w:ascii="仿宋" w:hAnsi="仿宋" w:eastAsia="仿宋" w:cs="仿宋"/>
          <w:color w:val="000000" w:themeColor="text1"/>
          <w:highlight w:val="none"/>
          <w:lang w:val="en-US" w:eastAsia="zh-CN"/>
          <w14:textFill>
            <w14:solidFill>
              <w14:schemeClr w14:val="tx1"/>
            </w14:solidFill>
          </w14:textFill>
        </w:rPr>
        <w:t>90</w:t>
      </w:r>
      <w:r>
        <w:rPr>
          <w:rStyle w:val="31"/>
          <w:rFonts w:hint="eastAsia" w:ascii="仿宋" w:hAnsi="仿宋" w:eastAsia="仿宋" w:cs="仿宋"/>
          <w:color w:val="000000" w:themeColor="text1"/>
          <w:highlight w:val="none"/>
          <w:lang w:eastAsia="zh-CN"/>
          <w14:textFill>
            <w14:solidFill>
              <w14:schemeClr w14:val="tx1"/>
            </w14:solidFill>
          </w14:textFill>
        </w:rPr>
        <w:t>分；</w:t>
      </w:r>
    </w:p>
    <w:p>
      <w:pPr>
        <w:spacing w:before="125" w:line="579" w:lineRule="exact"/>
        <w:ind w:left="591"/>
        <w:rPr>
          <w:rStyle w:val="31"/>
          <w:rFonts w:ascii="仿宋" w:hAnsi="仿宋" w:eastAsia="仿宋" w:cs="仿宋"/>
          <w:b/>
          <w:color w:val="000000" w:themeColor="text1"/>
          <w:sz w:val="24"/>
          <w:highlight w:val="none"/>
          <w:lang w:eastAsia="zh-CN"/>
          <w14:textFill>
            <w14:solidFill>
              <w14:schemeClr w14:val="tx1"/>
            </w14:solidFill>
          </w14:textFill>
        </w:rPr>
      </w:pPr>
      <w:r>
        <w:rPr>
          <w:rStyle w:val="31"/>
          <w:rFonts w:hint="eastAsia" w:ascii="仿宋" w:hAnsi="仿宋" w:eastAsia="仿宋" w:cs="仿宋"/>
          <w:b/>
          <w:color w:val="000000" w:themeColor="text1"/>
          <w:sz w:val="24"/>
          <w:highlight w:val="none"/>
          <w:lang w:eastAsia="zh-CN"/>
          <w14:textFill>
            <w14:solidFill>
              <w14:schemeClr w14:val="tx1"/>
            </w14:solidFill>
          </w14:textFill>
        </w:rPr>
        <w:t>（2）投标报价部分</w:t>
      </w:r>
      <w:r>
        <w:rPr>
          <w:rStyle w:val="31"/>
          <w:rFonts w:hint="eastAsia" w:ascii="仿宋" w:hAnsi="仿宋" w:eastAsia="仿宋" w:cs="仿宋"/>
          <w:b/>
          <w:color w:val="000000" w:themeColor="text1"/>
          <w:sz w:val="24"/>
          <w:highlight w:val="none"/>
          <w:lang w:val="en-US" w:eastAsia="zh-CN"/>
          <w14:textFill>
            <w14:solidFill>
              <w14:schemeClr w14:val="tx1"/>
            </w14:solidFill>
          </w14:textFill>
        </w:rPr>
        <w:t>10</w:t>
      </w:r>
      <w:r>
        <w:rPr>
          <w:rStyle w:val="31"/>
          <w:rFonts w:hint="eastAsia" w:ascii="仿宋" w:hAnsi="仿宋" w:eastAsia="仿宋" w:cs="仿宋"/>
          <w:b/>
          <w:color w:val="000000" w:themeColor="text1"/>
          <w:sz w:val="24"/>
          <w:highlight w:val="none"/>
          <w:lang w:eastAsia="zh-CN"/>
          <w14:textFill>
            <w14:solidFill>
              <w14:schemeClr w14:val="tx1"/>
            </w14:solidFill>
          </w14:textFill>
        </w:rPr>
        <w:t>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计算各项分值时，按四舍五入的原则，保留小数点后二位。</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29.7报价</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29.7.1本次采购方式为竞争性磋商，待评审小组与供应商对采购标的的技术、服务等磋商结束后，评审小组要求所有实质性响应的供应商，在规定的时间内提交最后报价。</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29.7.2</w:t>
      </w: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参与竞争性谈判和竞争性磋商项目供应商，开标结束后，进入“网上报价”页面，等待最终报价通知。如未在系统提示的报价时限内报价，则视为上一轮报价为最终报价。</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最后报价不进行公开唱标。</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29.7.3经磋商确定最终采购需求和提交最后报价的供应商后，由评审小组采用综合评分法对提交最后报价的供应商的价格得分进行计算。</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29.7.4供应商的投标报价得分计算说明：</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价格分统一采用低价优先法计算，即满足磋商文件要求且最</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终</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报价最低的供应商的价格为磋商基准价，其价格分为满分。其他供应商的价格分统一按照下列公式计算：</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磋商报价得分=（磋商基准价/最后磋商报价）×价格权值×100</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本项目的价格权值为</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0%</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项目评审过程中，不得去掉最终报价中的最高报价和最低报价。</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29.7.5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投标处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29.8综合得分</w:t>
      </w:r>
    </w:p>
    <w:p>
      <w:pPr>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综合得分=商务技术部分得分+投标报价部分得分。</w:t>
      </w:r>
    </w:p>
    <w:p>
      <w:pPr>
        <w:spacing w:before="127" w:line="579" w:lineRule="exact"/>
        <w:ind w:left="581" w:right="3232"/>
        <w:rPr>
          <w:rStyle w:val="31"/>
          <w:rFonts w:ascii="仿宋" w:hAnsi="仿宋" w:eastAsia="仿宋" w:cs="仿宋"/>
          <w:b/>
          <w:color w:val="000000" w:themeColor="text1"/>
          <w:sz w:val="24"/>
          <w:highlight w:val="none"/>
          <w:lang w:eastAsia="zh-CN"/>
          <w14:textFill>
            <w14:solidFill>
              <w14:schemeClr w14:val="tx1"/>
            </w14:solidFill>
          </w14:textFill>
        </w:rPr>
      </w:pPr>
      <w:r>
        <w:rPr>
          <w:rStyle w:val="31"/>
          <w:rFonts w:hint="eastAsia" w:ascii="仿宋" w:hAnsi="仿宋" w:eastAsia="仿宋" w:cs="仿宋"/>
          <w:b/>
          <w:color w:val="000000" w:themeColor="text1"/>
          <w:sz w:val="24"/>
          <w:highlight w:val="none"/>
          <w:lang w:eastAsia="zh-CN"/>
          <w14:textFill>
            <w14:solidFill>
              <w14:schemeClr w14:val="tx1"/>
            </w14:solidFill>
          </w14:textFill>
        </w:rPr>
        <w:t>详细评审的标准详见附表</w:t>
      </w:r>
      <w:r>
        <w:rPr>
          <w:rStyle w:val="31"/>
          <w:rFonts w:hint="eastAsia" w:ascii="仿宋" w:hAnsi="仿宋" w:eastAsia="仿宋" w:cs="仿宋"/>
          <w:b/>
          <w:color w:val="000000" w:themeColor="text1"/>
          <w:sz w:val="24"/>
          <w:highlight w:val="none"/>
          <w:lang w:val="en-US" w:eastAsia="zh-CN"/>
          <w14:textFill>
            <w14:solidFill>
              <w14:schemeClr w14:val="tx1"/>
            </w14:solidFill>
          </w14:textFill>
        </w:rPr>
        <w:t>3</w:t>
      </w:r>
      <w:r>
        <w:rPr>
          <w:rStyle w:val="31"/>
          <w:rFonts w:hint="eastAsia" w:ascii="仿宋" w:hAnsi="仿宋" w:eastAsia="仿宋" w:cs="仿宋"/>
          <w:b/>
          <w:color w:val="000000" w:themeColor="text1"/>
          <w:sz w:val="24"/>
          <w:highlight w:val="none"/>
          <w:lang w:eastAsia="zh-CN"/>
          <w14:textFill>
            <w14:solidFill>
              <w14:schemeClr w14:val="tx1"/>
            </w14:solidFill>
          </w14:textFill>
        </w:rPr>
        <w:t>。</w:t>
      </w:r>
    </w:p>
    <w:p>
      <w:pPr>
        <w:pStyle w:val="41"/>
        <w:spacing w:before="28" w:line="360" w:lineRule="auto"/>
        <w:ind w:left="581"/>
        <w:rPr>
          <w:rStyle w:val="31"/>
          <w:rFonts w:ascii="仿宋" w:hAnsi="仿宋" w:eastAsia="仿宋" w:cs="仿宋"/>
          <w:color w:val="000000" w:themeColor="text1"/>
          <w:highlight w:val="none"/>
          <w:lang w:eastAsia="zh-CN"/>
          <w14:textFill>
            <w14:solidFill>
              <w14:schemeClr w14:val="tx1"/>
            </w14:solidFill>
          </w14:textFill>
        </w:rPr>
      </w:pPr>
    </w:p>
    <w:p>
      <w:pPr>
        <w:rPr>
          <w:rStyle w:val="31"/>
          <w:rFonts w:ascii="仿宋" w:hAnsi="仿宋" w:eastAsia="仿宋" w:cs="仿宋"/>
          <w:color w:val="000000" w:themeColor="text1"/>
          <w:sz w:val="28"/>
          <w:highlight w:val="none"/>
          <w:lang w:eastAsia="zh-CN"/>
          <w14:textFill>
            <w14:solidFill>
              <w14:schemeClr w14:val="tx1"/>
            </w14:solidFill>
          </w14:textFill>
        </w:rPr>
        <w:sectPr>
          <w:footerReference r:id="rId4" w:type="default"/>
          <w:pgSz w:w="11910" w:h="16840"/>
          <w:pgMar w:top="1480" w:right="1180" w:bottom="1180" w:left="1480" w:header="0" w:footer="912" w:gutter="0"/>
          <w:pgNumType w:fmt="decimal" w:start="1"/>
          <w:cols w:space="720" w:num="1"/>
        </w:sectPr>
      </w:pPr>
    </w:p>
    <w:p>
      <w:pPr>
        <w:spacing w:after="42" w:line="361" w:lineRule="exact"/>
        <w:ind w:left="169"/>
        <w:rPr>
          <w:rStyle w:val="31"/>
          <w:rFonts w:hint="eastAsia" w:ascii="仿宋" w:hAnsi="仿宋" w:eastAsia="仿宋" w:cs="仿宋"/>
          <w:b/>
          <w:color w:val="000000" w:themeColor="text1"/>
          <w:sz w:val="28"/>
          <w:highlight w:val="none"/>
          <w:lang w:eastAsia="zh-CN"/>
          <w14:textFill>
            <w14:solidFill>
              <w14:schemeClr w14:val="tx1"/>
            </w14:solidFill>
          </w14:textFill>
        </w:rPr>
      </w:pPr>
      <w:r>
        <w:rPr>
          <w:rStyle w:val="31"/>
          <w:rFonts w:hint="eastAsia" w:ascii="仿宋" w:hAnsi="仿宋" w:eastAsia="仿宋" w:cs="仿宋"/>
          <w:b/>
          <w:color w:val="000000" w:themeColor="text1"/>
          <w:sz w:val="28"/>
          <w:highlight w:val="none"/>
          <w:lang w:eastAsia="zh-CN"/>
          <w14:textFill>
            <w14:solidFill>
              <w14:schemeClr w14:val="tx1"/>
            </w14:solidFill>
          </w14:textFill>
        </w:rPr>
        <w:t>附表1：初步评审-</w:t>
      </w:r>
      <w:r>
        <w:rPr>
          <w:rStyle w:val="31"/>
          <w:rFonts w:hint="eastAsia" w:ascii="仿宋" w:hAnsi="仿宋" w:eastAsia="仿宋" w:cs="仿宋"/>
          <w:b/>
          <w:color w:val="000000" w:themeColor="text1"/>
          <w:sz w:val="28"/>
          <w:highlight w:val="none"/>
          <w:lang w:val="en-US" w:eastAsia="zh-CN"/>
          <w14:textFill>
            <w14:solidFill>
              <w14:schemeClr w14:val="tx1"/>
            </w14:solidFill>
          </w14:textFill>
        </w:rPr>
        <w:t>资格</w:t>
      </w:r>
      <w:r>
        <w:rPr>
          <w:rStyle w:val="31"/>
          <w:rFonts w:hint="eastAsia" w:ascii="仿宋" w:hAnsi="仿宋" w:eastAsia="仿宋" w:cs="仿宋"/>
          <w:b/>
          <w:color w:val="000000" w:themeColor="text1"/>
          <w:sz w:val="28"/>
          <w:highlight w:val="none"/>
          <w:lang w:eastAsia="zh-CN"/>
          <w14:textFill>
            <w14:solidFill>
              <w14:schemeClr w14:val="tx1"/>
            </w14:solidFill>
          </w14:textFill>
        </w:rPr>
        <w:t>性审查表</w:t>
      </w:r>
    </w:p>
    <w:tbl>
      <w:tblPr>
        <w:tblStyle w:val="25"/>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
              <w:ind w:left="13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
              <w:ind w:left="241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资格</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pPr>
              <w:pStyle w:val="39"/>
              <w:spacing w:before="157"/>
              <w:ind w:left="25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pPr>
              <w:rPr>
                <w:rStyle w:val="31"/>
                <w:rFonts w:ascii="仿宋" w:hAnsi="仿宋" w:eastAsia="仿宋" w:cs="仿宋"/>
                <w:color w:val="000000" w:themeColor="text1"/>
                <w:sz w:val="24"/>
                <w:szCs w:val="24"/>
                <w:highlight w:val="none"/>
                <w14:textFill>
                  <w14:solidFill>
                    <w14:schemeClr w14:val="tx1"/>
                  </w14:solidFill>
                </w14:textFill>
              </w:rPr>
            </w:pPr>
          </w:p>
        </w:tc>
        <w:tc>
          <w:tcPr>
            <w:tcW w:w="7084" w:type="dxa"/>
            <w:vMerge w:val="continue"/>
            <w:tcBorders>
              <w:top w:val="nil"/>
              <w:left w:val="single" w:color="000000" w:sz="4" w:space="0"/>
              <w:bottom w:val="single" w:color="000000" w:sz="4" w:space="0"/>
              <w:right w:val="single" w:color="000000" w:sz="4" w:space="0"/>
            </w:tcBorders>
          </w:tcPr>
          <w:p>
            <w:pPr>
              <w:rPr>
                <w:rStyle w:val="31"/>
                <w:rFonts w:ascii="仿宋" w:hAnsi="仿宋" w:eastAsia="仿宋" w:cs="仿宋"/>
                <w:color w:val="000000" w:themeColor="text1"/>
                <w:sz w:val="24"/>
                <w:szCs w:val="24"/>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tcPr>
          <w:p>
            <w:pPr>
              <w:pStyle w:val="39"/>
              <w:spacing w:before="157"/>
              <w:ind w:left="235"/>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是</w:t>
            </w:r>
          </w:p>
        </w:tc>
        <w:tc>
          <w:tcPr>
            <w:tcW w:w="665" w:type="dxa"/>
            <w:tcBorders>
              <w:top w:val="single" w:color="000000" w:sz="4" w:space="0"/>
              <w:left w:val="single" w:color="000000" w:sz="4" w:space="0"/>
              <w:bottom w:val="single" w:color="000000" w:sz="4" w:space="0"/>
              <w:right w:val="single" w:color="000000" w:sz="4" w:space="0"/>
            </w:tcBorders>
          </w:tcPr>
          <w:p>
            <w:pPr>
              <w:pStyle w:val="39"/>
              <w:spacing w:before="157"/>
              <w:ind w:left="25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
              <w:rPr>
                <w:rStyle w:val="31"/>
                <w:rFonts w:ascii="仿宋" w:hAnsi="仿宋" w:eastAsia="仿宋" w:cs="仿宋"/>
                <w:b/>
                <w:color w:val="000000" w:themeColor="text1"/>
                <w:sz w:val="24"/>
                <w:szCs w:val="24"/>
                <w:highlight w:val="none"/>
                <w14:textFill>
                  <w14:solidFill>
                    <w14:schemeClr w14:val="tx1"/>
                  </w14:solidFill>
                </w14:textFill>
              </w:rPr>
            </w:pPr>
          </w:p>
          <w:p>
            <w:pPr>
              <w:pStyle w:val="39"/>
              <w:spacing w:before="1"/>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31"/>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000000"/>
                <w:kern w:val="0"/>
                <w:sz w:val="26"/>
                <w:szCs w:val="26"/>
                <w:highlight w:val="none"/>
                <w:u w:val="none"/>
                <w:lang w:val="en-US" w:eastAsia="zh-CN" w:bidi="ar"/>
              </w:rPr>
              <w:t>具有独立承担民事责任的能力；（提供合法有效的营业执照）</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vAlign w:val="center"/>
          </w:tcPr>
          <w:p>
            <w:pPr>
              <w:pStyle w:val="39"/>
              <w:spacing w:before="1"/>
              <w:ind w:left="65"/>
              <w:jc w:val="cente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7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31"/>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000000"/>
                <w:kern w:val="0"/>
                <w:sz w:val="26"/>
                <w:szCs w:val="26"/>
                <w:highlight w:val="none"/>
                <w:u w:val="none"/>
                <w:lang w:val="en-US" w:eastAsia="zh-CN" w:bidi="ar"/>
              </w:rPr>
              <w:t>提供法定代表人身份证明或法定代表人授权委托书；</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5"/>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ind w:left="65"/>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7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31"/>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000000"/>
                <w:kern w:val="0"/>
                <w:sz w:val="26"/>
                <w:szCs w:val="26"/>
                <w:highlight w:val="none"/>
                <w:u w:val="none"/>
                <w:lang w:val="en-US" w:eastAsia="zh-CN" w:bidi="ar"/>
              </w:rPr>
              <w:t>具有健全的财务会计制度；（须提供相关证明材料，财务会计制度提供参加本次政府采购活动前一个月的会计报表或2021（或2022)年财务审计报告,成立不满一个月不需提供）；</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7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31"/>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000000"/>
                <w:kern w:val="0"/>
                <w:sz w:val="26"/>
                <w:szCs w:val="26"/>
                <w:highlight w:val="none"/>
                <w:u w:val="none"/>
                <w:lang w:val="en-US" w:eastAsia="zh-CN" w:bidi="ar"/>
              </w:rPr>
              <w:t>具有履行合同所必需的设备和专业技术能力；（根据项目需求提供履行合同所必需的设备和专业技术能力的证明材料或加盖单位章的书面承诺函）</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54"/>
              <w:ind w:left="65"/>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7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31"/>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000000"/>
                <w:kern w:val="0"/>
                <w:sz w:val="26"/>
                <w:szCs w:val="26"/>
                <w:highlight w:val="none"/>
                <w:u w:val="none"/>
                <w:lang w:val="en-US" w:eastAsia="zh-CN" w:bidi="ar"/>
              </w:rPr>
              <w:t>有依法缴纳税收和社会保障资金的良好记录；（提供参加本次政府采购活动前六个月内（至少一个月）依法缴纳税收和社会保障资金的相关材料）</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2"/>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ind w:left="65"/>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7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31"/>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000000"/>
                <w:kern w:val="0"/>
                <w:sz w:val="26"/>
                <w:szCs w:val="26"/>
                <w:highlight w:val="none"/>
                <w:u w:val="none"/>
                <w:lang w:val="en-US" w:eastAsia="zh-CN" w:bidi="ar"/>
              </w:rPr>
              <w:t>参加政府采购活动前三年内，在经营活动中没有重大违法记录；（提供参加本次政府采购活动前3年内在经营活动中没有重大违法记录的书面承诺函并加盖单位章）</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68"/>
              <w:ind w:left="65"/>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7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31"/>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 w:val="0"/>
                <w:iCs w:val="0"/>
                <w:color w:val="000000"/>
                <w:kern w:val="0"/>
                <w:sz w:val="26"/>
                <w:szCs w:val="26"/>
                <w:highlight w:val="none"/>
                <w:u w:val="none"/>
                <w:lang w:val="en-US" w:eastAsia="zh-CN" w:bidi="ar"/>
              </w:rPr>
              <w:t>提供供应商无关联关系书面声明函；</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68"/>
              <w:ind w:left="65"/>
              <w:jc w:val="center"/>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7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31"/>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bidi="ar-SA"/>
                <w14:textFill>
                  <w14:solidFill>
                    <w14:schemeClr w14:val="tx1"/>
                  </w14:solidFill>
                </w14:textFill>
              </w:rPr>
              <w:t>提供《中小企业声明函》，供应商必须为中小企业（含中型、小型、微型企业）。</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7084" w:type="dxa"/>
            <w:tcBorders>
              <w:top w:val="single" w:color="000000" w:sz="4" w:space="0"/>
              <w:left w:val="single" w:color="000000" w:sz="4" w:space="0"/>
              <w:bottom w:val="single" w:color="000000" w:sz="4" w:space="0"/>
              <w:right w:val="single" w:color="000000" w:sz="4" w:space="0"/>
            </w:tcBorders>
          </w:tcPr>
          <w:p>
            <w:pPr>
              <w:pStyle w:val="39"/>
              <w:tabs>
                <w:tab w:val="left" w:pos="686"/>
              </w:tabs>
              <w:spacing w:before="121"/>
              <w:ind w:left="5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结论</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14:textFill>
                  <w14:solidFill>
                    <w14:schemeClr w14:val="tx1"/>
                  </w14:solidFill>
                </w14:textFill>
              </w:rPr>
            </w:pPr>
          </w:p>
        </w:tc>
      </w:tr>
    </w:tbl>
    <w:p>
      <w:pPr>
        <w:pStyle w:val="7"/>
        <w:rPr>
          <w:rStyle w:val="31"/>
          <w:rFonts w:hint="eastAsia" w:ascii="仿宋" w:hAnsi="仿宋" w:eastAsia="仿宋" w:cs="仿宋"/>
          <w:b/>
          <w:color w:val="000000" w:themeColor="text1"/>
          <w:sz w:val="28"/>
          <w:highlight w:val="none"/>
          <w:lang w:eastAsia="zh-CN"/>
          <w14:textFill>
            <w14:solidFill>
              <w14:schemeClr w14:val="tx1"/>
            </w14:solidFill>
          </w14:textFill>
        </w:rPr>
      </w:pPr>
    </w:p>
    <w:p>
      <w:pPr>
        <w:spacing w:before="49"/>
        <w:ind w:left="531"/>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说明：（1）上述各项中用“√”表示通过，“×”表示不通过；</w:t>
      </w:r>
    </w:p>
    <w:p>
      <w:pPr>
        <w:spacing w:before="83" w:line="326" w:lineRule="auto"/>
        <w:ind w:left="171" w:right="208" w:firstLine="360"/>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0"/>
          <w:szCs w:val="24"/>
          <w:highlight w:val="none"/>
          <w:lang w:eastAsia="zh-CN"/>
          <w14:textFill>
            <w14:solidFill>
              <w14:schemeClr w14:val="tx1"/>
            </w14:solidFill>
          </w14:textFill>
        </w:rPr>
        <w:t>（2）上述各项中如有一项为“×”，则结论为“×”，表示该响应文件不能通过</w:t>
      </w:r>
      <w:r>
        <w:rPr>
          <w:rStyle w:val="31"/>
          <w:rFonts w:hint="eastAsia" w:ascii="仿宋" w:hAnsi="仿宋" w:eastAsia="仿宋" w:cs="仿宋"/>
          <w:color w:val="000000" w:themeColor="text1"/>
          <w:spacing w:val="-5"/>
          <w:sz w:val="20"/>
          <w:szCs w:val="24"/>
          <w:highlight w:val="none"/>
          <w:lang w:val="en-US" w:eastAsia="zh-CN"/>
          <w14:textFill>
            <w14:solidFill>
              <w14:schemeClr w14:val="tx1"/>
            </w14:solidFill>
          </w14:textFill>
        </w:rPr>
        <w:t>资格审查，其响应文件不予评审</w:t>
      </w:r>
      <w:r>
        <w:rPr>
          <w:rStyle w:val="31"/>
          <w:rFonts w:hint="eastAsia" w:ascii="仿宋" w:hAnsi="仿宋" w:eastAsia="仿宋" w:cs="仿宋"/>
          <w:color w:val="000000" w:themeColor="text1"/>
          <w:spacing w:val="-5"/>
          <w:sz w:val="20"/>
          <w:szCs w:val="24"/>
          <w:highlight w:val="none"/>
          <w:lang w:eastAsia="zh-CN"/>
          <w14:textFill>
            <w14:solidFill>
              <w14:schemeClr w14:val="tx1"/>
            </w14:solidFill>
          </w14:textFill>
        </w:rPr>
        <w:t>。</w:t>
      </w:r>
    </w:p>
    <w:p>
      <w:pPr>
        <w:spacing w:before="83" w:line="326" w:lineRule="auto"/>
        <w:ind w:left="171" w:right="122" w:firstLine="360"/>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w:t>
      </w:r>
      <w:r>
        <w:rPr>
          <w:rStyle w:val="31"/>
          <w:rFonts w:hint="eastAsia" w:ascii="仿宋" w:hAnsi="仿宋" w:eastAsia="仿宋" w:cs="仿宋"/>
          <w:color w:val="000000" w:themeColor="text1"/>
          <w:sz w:val="20"/>
          <w:szCs w:val="24"/>
          <w:highlight w:val="none"/>
          <w:lang w:val="en-US" w:eastAsia="zh-CN"/>
          <w14:textFill>
            <w14:solidFill>
              <w14:schemeClr w14:val="tx1"/>
            </w14:solidFill>
          </w14:textFill>
        </w:rPr>
        <w:t>3</w:t>
      </w:r>
      <w:r>
        <w:rPr>
          <w:rStyle w:val="31"/>
          <w:rFonts w:hint="eastAsia" w:ascii="仿宋" w:hAnsi="仿宋" w:eastAsia="仿宋" w:cs="仿宋"/>
          <w:color w:val="000000" w:themeColor="text1"/>
          <w:sz w:val="20"/>
          <w:szCs w:val="24"/>
          <w:highlight w:val="none"/>
          <w:lang w:eastAsia="zh-CN"/>
          <w14:textFill>
            <w14:solidFill>
              <w14:schemeClr w14:val="tx1"/>
            </w14:solidFill>
          </w14:textFill>
        </w:rPr>
        <w:t>）供应商请认真阅读和理解上述内容，避免响应文件中有违背上述审查标准之一的情况发生而造成投标被否决。</w:t>
      </w:r>
    </w:p>
    <w:p>
      <w:pPr>
        <w:rPr>
          <w:rStyle w:val="31"/>
          <w:rFonts w:hint="eastAsia" w:ascii="仿宋" w:hAnsi="仿宋" w:eastAsia="仿宋" w:cs="仿宋"/>
          <w:b/>
          <w:color w:val="000000" w:themeColor="text1"/>
          <w:sz w:val="28"/>
          <w:highlight w:val="none"/>
          <w:lang w:eastAsia="zh-CN"/>
          <w14:textFill>
            <w14:solidFill>
              <w14:schemeClr w14:val="tx1"/>
            </w14:solidFill>
          </w14:textFill>
        </w:rPr>
      </w:pPr>
    </w:p>
    <w:p>
      <w:pPr>
        <w:pStyle w:val="7"/>
        <w:rPr>
          <w:rStyle w:val="31"/>
          <w:rFonts w:hint="eastAsia" w:ascii="仿宋" w:hAnsi="仿宋" w:eastAsia="仿宋" w:cs="仿宋"/>
          <w:b/>
          <w:color w:val="000000" w:themeColor="text1"/>
          <w:sz w:val="28"/>
          <w:highlight w:val="none"/>
          <w:lang w:eastAsia="zh-CN"/>
          <w14:textFill>
            <w14:solidFill>
              <w14:schemeClr w14:val="tx1"/>
            </w14:solidFill>
          </w14:textFill>
        </w:rPr>
      </w:pPr>
    </w:p>
    <w:p>
      <w:pPr>
        <w:rPr>
          <w:rStyle w:val="31"/>
          <w:rFonts w:hint="eastAsia" w:ascii="仿宋" w:hAnsi="仿宋" w:eastAsia="仿宋" w:cs="仿宋"/>
          <w:b/>
          <w:color w:val="000000" w:themeColor="text1"/>
          <w:sz w:val="28"/>
          <w:highlight w:val="none"/>
          <w:lang w:eastAsia="zh-CN"/>
          <w14:textFill>
            <w14:solidFill>
              <w14:schemeClr w14:val="tx1"/>
            </w14:solidFill>
          </w14:textFill>
        </w:rPr>
      </w:pPr>
    </w:p>
    <w:p>
      <w:pPr>
        <w:pStyle w:val="7"/>
        <w:rPr>
          <w:rStyle w:val="31"/>
          <w:rFonts w:hint="eastAsia" w:ascii="仿宋" w:hAnsi="仿宋" w:eastAsia="仿宋" w:cs="仿宋"/>
          <w:b/>
          <w:color w:val="000000" w:themeColor="text1"/>
          <w:sz w:val="28"/>
          <w:highlight w:val="none"/>
          <w:lang w:eastAsia="zh-CN"/>
          <w14:textFill>
            <w14:solidFill>
              <w14:schemeClr w14:val="tx1"/>
            </w14:solidFill>
          </w14:textFill>
        </w:rPr>
      </w:pPr>
    </w:p>
    <w:p>
      <w:pPr>
        <w:rPr>
          <w:rStyle w:val="31"/>
          <w:rFonts w:hint="eastAsia" w:ascii="仿宋" w:hAnsi="仿宋" w:eastAsia="仿宋" w:cs="仿宋"/>
          <w:b/>
          <w:color w:val="000000" w:themeColor="text1"/>
          <w:sz w:val="28"/>
          <w:highlight w:val="none"/>
          <w:lang w:eastAsia="zh-CN"/>
          <w14:textFill>
            <w14:solidFill>
              <w14:schemeClr w14:val="tx1"/>
            </w14:solidFill>
          </w14:textFill>
        </w:rPr>
      </w:pPr>
    </w:p>
    <w:p>
      <w:pPr>
        <w:pStyle w:val="7"/>
        <w:rPr>
          <w:rStyle w:val="31"/>
          <w:rFonts w:hint="eastAsia" w:ascii="仿宋" w:hAnsi="仿宋" w:eastAsia="仿宋" w:cs="仿宋"/>
          <w:b/>
          <w:color w:val="000000" w:themeColor="text1"/>
          <w:sz w:val="28"/>
          <w:highlight w:val="none"/>
          <w:lang w:eastAsia="zh-CN"/>
          <w14:textFill>
            <w14:solidFill>
              <w14:schemeClr w14:val="tx1"/>
            </w14:solidFill>
          </w14:textFill>
        </w:rPr>
      </w:pPr>
    </w:p>
    <w:p>
      <w:pPr>
        <w:pStyle w:val="7"/>
        <w:rPr>
          <w:highlight w:val="none"/>
          <w:lang w:eastAsia="zh-CN"/>
        </w:rPr>
      </w:pPr>
      <w:r>
        <w:rPr>
          <w:rStyle w:val="31"/>
          <w:rFonts w:hint="eastAsia" w:ascii="仿宋" w:hAnsi="仿宋" w:eastAsia="仿宋" w:cs="仿宋"/>
          <w:b/>
          <w:color w:val="000000" w:themeColor="text1"/>
          <w:sz w:val="28"/>
          <w:highlight w:val="none"/>
          <w:lang w:val="en-US" w:eastAsia="zh-CN"/>
          <w14:textFill>
            <w14:solidFill>
              <w14:schemeClr w14:val="tx1"/>
            </w14:solidFill>
          </w14:textFill>
        </w:rPr>
        <w:t>附表2：</w:t>
      </w:r>
      <w:r>
        <w:rPr>
          <w:rStyle w:val="31"/>
          <w:rFonts w:hint="eastAsia" w:ascii="仿宋" w:hAnsi="仿宋" w:eastAsia="仿宋" w:cs="仿宋"/>
          <w:b/>
          <w:color w:val="000000" w:themeColor="text1"/>
          <w:sz w:val="28"/>
          <w:highlight w:val="none"/>
          <w:lang w:eastAsia="zh-CN"/>
          <w14:textFill>
            <w14:solidFill>
              <w14:schemeClr w14:val="tx1"/>
            </w14:solidFill>
          </w14:textFill>
        </w:rPr>
        <w:t>初步评审-</w:t>
      </w:r>
      <w:r>
        <w:rPr>
          <w:rStyle w:val="31"/>
          <w:rFonts w:hint="eastAsia" w:ascii="仿宋" w:hAnsi="仿宋" w:eastAsia="仿宋" w:cs="仿宋"/>
          <w:b/>
          <w:color w:val="000000" w:themeColor="text1"/>
          <w:sz w:val="28"/>
          <w:highlight w:val="none"/>
          <w:lang w:val="en-US" w:eastAsia="zh-CN"/>
          <w14:textFill>
            <w14:solidFill>
              <w14:schemeClr w14:val="tx1"/>
            </w14:solidFill>
          </w14:textFill>
        </w:rPr>
        <w:t>符合</w:t>
      </w:r>
      <w:r>
        <w:rPr>
          <w:rStyle w:val="31"/>
          <w:rFonts w:hint="eastAsia" w:ascii="仿宋" w:hAnsi="仿宋" w:eastAsia="仿宋" w:cs="仿宋"/>
          <w:b/>
          <w:color w:val="000000" w:themeColor="text1"/>
          <w:sz w:val="28"/>
          <w:highlight w:val="none"/>
          <w:lang w:eastAsia="zh-CN"/>
          <w14:textFill>
            <w14:solidFill>
              <w14:schemeClr w14:val="tx1"/>
            </w14:solidFill>
          </w14:textFill>
        </w:rPr>
        <w:t>性审查表</w:t>
      </w:r>
    </w:p>
    <w:tbl>
      <w:tblPr>
        <w:tblStyle w:val="25"/>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
              <w:ind w:left="13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
              <w:ind w:left="241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响应文件符合性审查内容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pPr>
              <w:pStyle w:val="39"/>
              <w:spacing w:before="157"/>
              <w:ind w:left="25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pPr>
              <w:rPr>
                <w:rStyle w:val="31"/>
                <w:rFonts w:ascii="仿宋" w:hAnsi="仿宋" w:eastAsia="仿宋" w:cs="仿宋"/>
                <w:color w:val="000000" w:themeColor="text1"/>
                <w:sz w:val="24"/>
                <w:szCs w:val="24"/>
                <w:highlight w:val="none"/>
                <w14:textFill>
                  <w14:solidFill>
                    <w14:schemeClr w14:val="tx1"/>
                  </w14:solidFill>
                </w14:textFill>
              </w:rPr>
            </w:pPr>
          </w:p>
        </w:tc>
        <w:tc>
          <w:tcPr>
            <w:tcW w:w="7084" w:type="dxa"/>
            <w:vMerge w:val="continue"/>
            <w:tcBorders>
              <w:top w:val="nil"/>
              <w:left w:val="single" w:color="000000" w:sz="4" w:space="0"/>
              <w:bottom w:val="single" w:color="000000" w:sz="4" w:space="0"/>
              <w:right w:val="single" w:color="000000" w:sz="4" w:space="0"/>
            </w:tcBorders>
          </w:tcPr>
          <w:p>
            <w:pPr>
              <w:rPr>
                <w:rStyle w:val="31"/>
                <w:rFonts w:ascii="仿宋" w:hAnsi="仿宋" w:eastAsia="仿宋" w:cs="仿宋"/>
                <w:color w:val="000000" w:themeColor="text1"/>
                <w:sz w:val="24"/>
                <w:szCs w:val="24"/>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tcPr>
          <w:p>
            <w:pPr>
              <w:pStyle w:val="39"/>
              <w:spacing w:before="157"/>
              <w:ind w:left="235"/>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是</w:t>
            </w:r>
          </w:p>
        </w:tc>
        <w:tc>
          <w:tcPr>
            <w:tcW w:w="665" w:type="dxa"/>
            <w:tcBorders>
              <w:top w:val="single" w:color="000000" w:sz="4" w:space="0"/>
              <w:left w:val="single" w:color="000000" w:sz="4" w:space="0"/>
              <w:bottom w:val="single" w:color="000000" w:sz="4" w:space="0"/>
              <w:right w:val="single" w:color="000000" w:sz="4" w:space="0"/>
            </w:tcBorders>
          </w:tcPr>
          <w:p>
            <w:pPr>
              <w:pStyle w:val="39"/>
              <w:spacing w:before="157"/>
              <w:ind w:left="254"/>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
              <w:rPr>
                <w:rStyle w:val="31"/>
                <w:rFonts w:ascii="仿宋" w:hAnsi="仿宋" w:eastAsia="仿宋" w:cs="仿宋"/>
                <w:b/>
                <w:color w:val="000000" w:themeColor="text1"/>
                <w:sz w:val="24"/>
                <w:szCs w:val="24"/>
                <w:highlight w:val="none"/>
                <w14:textFill>
                  <w14:solidFill>
                    <w14:schemeClr w14:val="tx1"/>
                  </w14:solidFill>
                </w14:textFill>
              </w:rPr>
            </w:pPr>
          </w:p>
          <w:p>
            <w:pPr>
              <w:pStyle w:val="39"/>
              <w:spacing w:before="1"/>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4" w:line="242" w:lineRule="auto"/>
              <w:ind w:left="55" w:right="7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凡竞争性磋商文件中要求盖章或签字处，是否按要求加盖单位公章、法定代表人或被授权委托人签字或盖章的。</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5"/>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ind w:left="6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2</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49" w:line="244" w:lineRule="auto"/>
              <w:ind w:left="55" w:right="7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响应文件组成齐全完整，内容均按规定填写；响应文件的关键内容无字迹模糊、无法辨认的情形。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2"/>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供应商按照竞争性磋商文件规定的金额、形式、时效和内容提供了投标担保</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spacing w:before="154"/>
              <w:ind w:left="65"/>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2" w:line="244" w:lineRule="auto"/>
              <w:ind w:left="55" w:right="72"/>
              <w:jc w:val="both"/>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响应文件是否实质上响应了竞争性磋商文件的要求。实质上响应的投标应该是与竞争性磋商文件要求的全部条款、条件等相符，没有重大偏离或保留的投标。</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2"/>
              <w:rPr>
                <w:rStyle w:val="31"/>
                <w:rFonts w:ascii="仿宋" w:hAnsi="仿宋" w:eastAsia="仿宋" w:cs="仿宋"/>
                <w:b/>
                <w:color w:val="000000" w:themeColor="text1"/>
                <w:sz w:val="24"/>
                <w:szCs w:val="24"/>
                <w:highlight w:val="none"/>
                <w:lang w:eastAsia="zh-CN"/>
                <w14:textFill>
                  <w14:solidFill>
                    <w14:schemeClr w14:val="tx1"/>
                  </w14:solidFill>
                </w14:textFill>
              </w:rPr>
            </w:pPr>
          </w:p>
          <w:p>
            <w:pPr>
              <w:pStyle w:val="39"/>
              <w:ind w:left="65"/>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49" w:line="242" w:lineRule="auto"/>
              <w:ind w:left="55" w:right="32"/>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一份响应文件应只有一个投标报价，在竞争性磋商文件没有规定的情况下，未提交选择性的报价。</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68"/>
              <w:ind w:left="65"/>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9"/>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供应商的合同履行期限未超出竞争性磋商文件规定的期限要求。</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68"/>
              <w:ind w:left="65"/>
              <w:jc w:val="cente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19"/>
              <w:ind w:left="55"/>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提供《中小企业声明函》，</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供应商必须为中小</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企业（含</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中型</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、小型、微型企业）。</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65"/>
              <w:jc w:val="center"/>
              <w:rPr>
                <w:rStyle w:val="31"/>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供应商未提出不同的验收、计量、支付办法。</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响应文件未附有采购人不能接受的附加条件的。</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0</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不存在与其他供应商相互串通报价，或者与采购人串通投标的情形。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9"/>
              <w:spacing w:before="171"/>
              <w:ind w:left="218" w:right="153"/>
              <w:jc w:val="cente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1</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tcPr>
          <w:p>
            <w:pPr>
              <w:pStyle w:val="39"/>
              <w:spacing w:before="121"/>
              <w:ind w:left="5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不存在法律、法规和竞争性磋商文件规定的其他无效情形。</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lang w:eastAsia="zh-CN"/>
                <w14:textFill>
                  <w14:solidFill>
                    <w14:schemeClr w14:val="tx1"/>
                  </w14:solidFill>
                </w14:textFill>
              </w:rPr>
            </w:pPr>
          </w:p>
        </w:tc>
        <w:tc>
          <w:tcPr>
            <w:tcW w:w="7084" w:type="dxa"/>
            <w:tcBorders>
              <w:top w:val="single" w:color="000000" w:sz="4" w:space="0"/>
              <w:left w:val="single" w:color="000000" w:sz="4" w:space="0"/>
              <w:bottom w:val="single" w:color="000000" w:sz="4" w:space="0"/>
              <w:right w:val="single" w:color="000000" w:sz="4" w:space="0"/>
            </w:tcBorders>
          </w:tcPr>
          <w:p>
            <w:pPr>
              <w:pStyle w:val="39"/>
              <w:tabs>
                <w:tab w:val="left" w:pos="686"/>
              </w:tabs>
              <w:spacing w:before="121"/>
              <w:ind w:left="55"/>
              <w:jc w:val="center"/>
              <w:rPr>
                <w:rStyle w:val="31"/>
                <w:rFonts w:ascii="仿宋" w:hAnsi="仿宋" w:eastAsia="仿宋" w:cs="仿宋"/>
                <w:color w:val="000000" w:themeColor="text1"/>
                <w:sz w:val="24"/>
                <w:szCs w:val="24"/>
                <w:highlight w:val="none"/>
                <w14:textFill>
                  <w14:solidFill>
                    <w14:schemeClr w14:val="tx1"/>
                  </w14:solidFill>
                </w14:textFill>
              </w:rPr>
            </w:pPr>
            <w:r>
              <w:rPr>
                <w:rStyle w:val="31"/>
                <w:rFonts w:hint="eastAsia" w:ascii="仿宋" w:hAnsi="仿宋" w:eastAsia="仿宋" w:cs="仿宋"/>
                <w:color w:val="000000" w:themeColor="text1"/>
                <w:sz w:val="24"/>
                <w:szCs w:val="24"/>
                <w:highlight w:val="none"/>
                <w14:textFill>
                  <w14:solidFill>
                    <w14:schemeClr w14:val="tx1"/>
                  </w14:solidFill>
                </w14:textFill>
              </w:rPr>
              <w:t>结论</w:t>
            </w:r>
          </w:p>
        </w:tc>
        <w:tc>
          <w:tcPr>
            <w:tcW w:w="631"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9"/>
              <w:rPr>
                <w:rStyle w:val="31"/>
                <w:rFonts w:ascii="仿宋" w:hAnsi="仿宋" w:eastAsia="仿宋" w:cs="仿宋"/>
                <w:color w:val="000000" w:themeColor="text1"/>
                <w:sz w:val="24"/>
                <w:szCs w:val="24"/>
                <w:highlight w:val="none"/>
                <w14:textFill>
                  <w14:solidFill>
                    <w14:schemeClr w14:val="tx1"/>
                  </w14:solidFill>
                </w14:textFill>
              </w:rPr>
            </w:pPr>
          </w:p>
        </w:tc>
      </w:tr>
    </w:tbl>
    <w:p>
      <w:pPr>
        <w:spacing w:before="49"/>
        <w:ind w:left="531"/>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说明：（1）上述各项中用“√”表示通过，“×”表示不通过；</w:t>
      </w:r>
    </w:p>
    <w:p>
      <w:pPr>
        <w:spacing w:before="83" w:line="326" w:lineRule="auto"/>
        <w:ind w:left="171" w:right="208" w:firstLine="360"/>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0"/>
          <w:szCs w:val="24"/>
          <w:highlight w:val="none"/>
          <w:lang w:eastAsia="zh-CN"/>
          <w14:textFill>
            <w14:solidFill>
              <w14:schemeClr w14:val="tx1"/>
            </w14:solidFill>
          </w14:textFill>
        </w:rPr>
        <w:t>（2）上述各项中如有一项为“×”，则结论为“×”，表示该响应文件中存在重大偏差，不能通过初步评审评委对某一分项评审认为不合格时，必须要写明原因。</w:t>
      </w:r>
    </w:p>
    <w:p>
      <w:pPr>
        <w:spacing w:before="20"/>
        <w:ind w:left="531"/>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（3）响应文件最终合格与否，以所有评委的评审意见中少数服从多数为原则定论。</w:t>
      </w:r>
    </w:p>
    <w:p>
      <w:pPr>
        <w:spacing w:before="83" w:line="326" w:lineRule="auto"/>
        <w:ind w:left="171" w:right="122" w:firstLine="360"/>
        <w:rPr>
          <w:rStyle w:val="31"/>
          <w:rFonts w:ascii="仿宋" w:hAnsi="仿宋" w:eastAsia="仿宋" w:cs="仿宋"/>
          <w:color w:val="000000" w:themeColor="text1"/>
          <w:sz w:val="20"/>
          <w:szCs w:val="24"/>
          <w:highlight w:val="none"/>
          <w:lang w:eastAsia="zh-CN"/>
          <w14:textFill>
            <w14:solidFill>
              <w14:schemeClr w14:val="tx1"/>
            </w14:solidFill>
          </w14:textFill>
        </w:rPr>
      </w:pPr>
      <w:r>
        <w:rPr>
          <w:rStyle w:val="31"/>
          <w:rFonts w:hint="eastAsia" w:ascii="仿宋" w:hAnsi="仿宋" w:eastAsia="仿宋" w:cs="仿宋"/>
          <w:color w:val="000000" w:themeColor="text1"/>
          <w:sz w:val="20"/>
          <w:szCs w:val="24"/>
          <w:highlight w:val="none"/>
          <w:lang w:eastAsia="zh-CN"/>
          <w14:textFill>
            <w14:solidFill>
              <w14:schemeClr w14:val="tx1"/>
            </w14:solidFill>
          </w14:textFill>
        </w:rPr>
        <w:t>（4）供应商请认真阅读和理解上述内容，避免响应文件中有违背上述审查标准之一的情况发生而造成投标被否决。</w:t>
      </w:r>
    </w:p>
    <w:p>
      <w:pPr>
        <w:spacing w:line="333" w:lineRule="exact"/>
        <w:ind w:left="169"/>
        <w:rPr>
          <w:rStyle w:val="31"/>
          <w:rFonts w:ascii="仿宋" w:hAnsi="仿宋" w:eastAsia="仿宋" w:cs="仿宋"/>
          <w:b/>
          <w:color w:val="000000" w:themeColor="text1"/>
          <w:sz w:val="28"/>
          <w:highlight w:val="none"/>
          <w:lang w:eastAsia="zh-CN"/>
          <w14:textFill>
            <w14:solidFill>
              <w14:schemeClr w14:val="tx1"/>
            </w14:solidFill>
          </w14:textFill>
        </w:rPr>
      </w:pPr>
    </w:p>
    <w:p>
      <w:pPr>
        <w:spacing w:before="32"/>
        <w:ind w:left="169"/>
        <w:rPr>
          <w:rStyle w:val="31"/>
          <w:rFonts w:ascii="仿宋" w:hAnsi="仿宋" w:eastAsia="仿宋" w:cs="仿宋"/>
          <w:b/>
          <w:color w:val="000000" w:themeColor="text1"/>
          <w:sz w:val="28"/>
          <w:highlight w:val="none"/>
          <w:lang w:eastAsia="zh-CN"/>
          <w14:textFill>
            <w14:solidFill>
              <w14:schemeClr w14:val="tx1"/>
            </w14:solidFill>
          </w14:textFill>
        </w:rPr>
      </w:pPr>
    </w:p>
    <w:p>
      <w:pPr>
        <w:rPr>
          <w:rStyle w:val="31"/>
          <w:rFonts w:ascii="仿宋" w:hAnsi="仿宋" w:eastAsia="仿宋" w:cs="仿宋"/>
          <w:color w:val="000000" w:themeColor="text1"/>
          <w:sz w:val="28"/>
          <w:highlight w:val="none"/>
          <w:lang w:eastAsia="zh-CN"/>
          <w14:textFill>
            <w14:solidFill>
              <w14:schemeClr w14:val="tx1"/>
            </w14:solidFill>
          </w14:textFill>
        </w:rPr>
        <w:sectPr>
          <w:pgSz w:w="11910" w:h="16840"/>
          <w:pgMar w:top="1420" w:right="1240" w:bottom="1180" w:left="1420" w:header="0" w:footer="912" w:gutter="0"/>
          <w:pgNumType w:fmt="decimal"/>
          <w:cols w:space="720" w:num="1"/>
        </w:sectPr>
      </w:pPr>
    </w:p>
    <w:p>
      <w:pPr>
        <w:keepNext w:val="0"/>
        <w:keepLines w:val="0"/>
        <w:pageBreakBefore w:val="0"/>
        <w:kinsoku/>
        <w:wordWrap/>
        <w:overflowPunct/>
        <w:topLinePunct w:val="0"/>
        <w:bidi w:val="0"/>
        <w:spacing w:line="361" w:lineRule="exact"/>
        <w:rPr>
          <w:rStyle w:val="31"/>
          <w:rFonts w:ascii="仿宋" w:hAnsi="仿宋" w:eastAsia="仿宋" w:cs="仿宋"/>
          <w:b/>
          <w:color w:val="000000" w:themeColor="text1"/>
          <w:sz w:val="28"/>
          <w:highlight w:val="none"/>
          <w:lang w:eastAsia="zh-CN"/>
          <w14:textFill>
            <w14:solidFill>
              <w14:schemeClr w14:val="tx1"/>
            </w14:solidFill>
          </w14:textFill>
        </w:rPr>
      </w:pPr>
      <w:r>
        <w:rPr>
          <w:rStyle w:val="31"/>
          <w:rFonts w:hint="eastAsia" w:ascii="仿宋" w:hAnsi="仿宋" w:eastAsia="仿宋" w:cs="仿宋"/>
          <w:b/>
          <w:color w:val="000000" w:themeColor="text1"/>
          <w:sz w:val="28"/>
          <w:highlight w:val="none"/>
          <w:lang w:eastAsia="zh-CN"/>
          <w14:textFill>
            <w14:solidFill>
              <w14:schemeClr w14:val="tx1"/>
            </w14:solidFill>
          </w14:textFill>
        </w:rPr>
        <w:t>附表</w:t>
      </w:r>
      <w:r>
        <w:rPr>
          <w:rStyle w:val="31"/>
          <w:rFonts w:hint="eastAsia" w:ascii="仿宋" w:hAnsi="仿宋" w:eastAsia="仿宋" w:cs="仿宋"/>
          <w:b/>
          <w:color w:val="000000" w:themeColor="text1"/>
          <w:sz w:val="28"/>
          <w:highlight w:val="none"/>
          <w:lang w:val="en-US" w:eastAsia="zh-CN"/>
          <w14:textFill>
            <w14:solidFill>
              <w14:schemeClr w14:val="tx1"/>
            </w14:solidFill>
          </w14:textFill>
        </w:rPr>
        <w:t>3</w:t>
      </w:r>
      <w:r>
        <w:rPr>
          <w:rStyle w:val="31"/>
          <w:rFonts w:hint="eastAsia" w:ascii="仿宋" w:hAnsi="仿宋" w:eastAsia="仿宋" w:cs="仿宋"/>
          <w:b/>
          <w:color w:val="000000" w:themeColor="text1"/>
          <w:sz w:val="28"/>
          <w:highlight w:val="none"/>
          <w:lang w:eastAsia="zh-CN"/>
          <w14:textFill>
            <w14:solidFill>
              <w14:schemeClr w14:val="tx1"/>
            </w14:solidFill>
          </w14:textFill>
        </w:rPr>
        <w:t>：详细评审标准</w:t>
      </w:r>
    </w:p>
    <w:tbl>
      <w:tblPr>
        <w:tblStyle w:val="25"/>
        <w:tblW w:w="92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1036"/>
        <w:gridCol w:w="6465"/>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87" w:type="dxa"/>
            <w:gridSpan w:val="2"/>
            <w:noWrap w:val="0"/>
            <w:vAlign w:val="top"/>
          </w:tcPr>
          <w:p>
            <w:pPr>
              <w:pStyle w:val="54"/>
              <w:spacing w:before="123"/>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465" w:type="dxa"/>
            <w:noWrap w:val="0"/>
            <w:vAlign w:val="top"/>
          </w:tcPr>
          <w:p>
            <w:pPr>
              <w:pStyle w:val="54"/>
              <w:spacing w:before="123"/>
              <w:ind w:left="856"/>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w:t>
            </w:r>
            <w:r>
              <w:rPr>
                <w:rFonts w:hint="eastAsia" w:ascii="仿宋" w:hAnsi="仿宋" w:eastAsia="仿宋" w:cs="仿宋"/>
                <w:b/>
                <w:color w:val="auto"/>
                <w:sz w:val="24"/>
                <w:szCs w:val="24"/>
                <w:highlight w:val="none"/>
                <w:lang w:val="en-US" w:eastAsia="zh-CN"/>
              </w:rPr>
              <w:t>审</w:t>
            </w:r>
            <w:r>
              <w:rPr>
                <w:rFonts w:hint="eastAsia" w:ascii="仿宋" w:hAnsi="仿宋" w:eastAsia="仿宋" w:cs="仿宋"/>
                <w:b/>
                <w:color w:val="auto"/>
                <w:sz w:val="24"/>
                <w:szCs w:val="24"/>
                <w:highlight w:val="none"/>
              </w:rPr>
              <w:t>标准</w:t>
            </w:r>
          </w:p>
        </w:tc>
        <w:tc>
          <w:tcPr>
            <w:tcW w:w="741"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087" w:type="dxa"/>
            <w:gridSpan w:val="2"/>
            <w:vMerge w:val="restart"/>
            <w:noWrap w:val="0"/>
            <w:vAlign w:val="top"/>
          </w:tcPr>
          <w:p>
            <w:pPr>
              <w:pStyle w:val="54"/>
              <w:spacing w:before="10"/>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分值构成</w:t>
            </w: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（总分100分)</w:t>
            </w:r>
          </w:p>
        </w:tc>
        <w:tc>
          <w:tcPr>
            <w:tcW w:w="6465" w:type="dxa"/>
            <w:noWrap w:val="0"/>
            <w:vAlign w:val="top"/>
          </w:tcPr>
          <w:p>
            <w:pPr>
              <w:pStyle w:val="54"/>
              <w:spacing w:before="65"/>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评审价格：</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 xml:space="preserve">分 </w:t>
            </w:r>
          </w:p>
        </w:tc>
        <w:tc>
          <w:tcPr>
            <w:tcW w:w="741" w:type="dxa"/>
            <w:vMerge w:val="restart"/>
            <w:noWrap w:val="0"/>
            <w:vAlign w:val="center"/>
          </w:tcPr>
          <w:p>
            <w:pPr>
              <w:pStyle w:val="54"/>
              <w:spacing w:before="65"/>
              <w:ind w:left="4"/>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087" w:type="dxa"/>
            <w:gridSpan w:val="2"/>
            <w:vMerge w:val="continue"/>
            <w:tcBorders>
              <w:top w:val="nil"/>
            </w:tcBorders>
            <w:noWrap w:val="0"/>
            <w:vAlign w:val="top"/>
          </w:tcPr>
          <w:p>
            <w:pPr>
              <w:rPr>
                <w:rFonts w:hint="eastAsia" w:ascii="仿宋" w:hAnsi="仿宋" w:eastAsia="仿宋" w:cs="仿宋"/>
                <w:color w:val="auto"/>
                <w:sz w:val="24"/>
                <w:szCs w:val="24"/>
                <w:highlight w:val="none"/>
              </w:rPr>
            </w:pPr>
          </w:p>
        </w:tc>
        <w:tc>
          <w:tcPr>
            <w:tcW w:w="6465" w:type="dxa"/>
            <w:noWrap w:val="0"/>
            <w:vAlign w:val="top"/>
          </w:tcPr>
          <w:p>
            <w:pPr>
              <w:pStyle w:val="54"/>
              <w:spacing w:before="65"/>
              <w:ind w:left="4"/>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商务</w:t>
            </w:r>
            <w:r>
              <w:rPr>
                <w:rFonts w:hint="eastAsia" w:ascii="仿宋" w:hAnsi="仿宋" w:eastAsia="仿宋" w:cs="仿宋"/>
                <w:b/>
                <w:bCs/>
                <w:color w:val="auto"/>
                <w:sz w:val="24"/>
                <w:szCs w:val="24"/>
                <w:highlight w:val="none"/>
              </w:rPr>
              <w:t>技术</w:t>
            </w:r>
            <w:r>
              <w:rPr>
                <w:rFonts w:hint="eastAsia" w:ascii="仿宋" w:hAnsi="仿宋" w:eastAsia="仿宋" w:cs="仿宋"/>
                <w:b/>
                <w:bCs/>
                <w:color w:val="auto"/>
                <w:sz w:val="24"/>
                <w:szCs w:val="24"/>
                <w:highlight w:val="none"/>
                <w:lang w:val="en-US" w:eastAsia="zh-CN"/>
              </w:rPr>
              <w:t>部分</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val="en-US" w:eastAsia="zh-CN"/>
              </w:rPr>
              <w:t>90</w:t>
            </w:r>
            <w:r>
              <w:rPr>
                <w:rFonts w:hint="eastAsia" w:ascii="仿宋" w:hAnsi="仿宋" w:eastAsia="仿宋" w:cs="仿宋"/>
                <w:b/>
                <w:bCs/>
                <w:color w:val="auto"/>
                <w:sz w:val="24"/>
                <w:szCs w:val="24"/>
                <w:highlight w:val="none"/>
              </w:rPr>
              <w:t xml:space="preserve">分 </w:t>
            </w:r>
          </w:p>
        </w:tc>
        <w:tc>
          <w:tcPr>
            <w:tcW w:w="741" w:type="dxa"/>
            <w:vMerge w:val="continue"/>
            <w:noWrap w:val="0"/>
            <w:vAlign w:val="top"/>
          </w:tcPr>
          <w:p>
            <w:pPr>
              <w:pStyle w:val="54"/>
              <w:spacing w:before="65"/>
              <w:ind w:left="4"/>
              <w:rPr>
                <w:rFonts w:hint="eastAsia" w:ascii="仿宋" w:hAnsi="仿宋" w:eastAsia="仿宋" w:cs="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2087" w:type="dxa"/>
            <w:gridSpan w:val="2"/>
            <w:noWrap w:val="0"/>
            <w:vAlign w:val="top"/>
          </w:tcPr>
          <w:p>
            <w:pPr>
              <w:pStyle w:val="54"/>
              <w:jc w:val="both"/>
              <w:rPr>
                <w:rFonts w:hint="eastAsia" w:ascii="仿宋" w:hAnsi="仿宋" w:eastAsia="仿宋" w:cs="仿宋"/>
                <w:color w:val="auto"/>
                <w:sz w:val="24"/>
                <w:szCs w:val="24"/>
                <w:highlight w:val="none"/>
              </w:rPr>
            </w:pPr>
          </w:p>
          <w:p>
            <w:pPr>
              <w:pStyle w:val="54"/>
              <w:spacing w:before="10"/>
              <w:jc w:val="both"/>
              <w:rPr>
                <w:rFonts w:hint="eastAsia" w:ascii="仿宋" w:hAnsi="仿宋" w:eastAsia="仿宋" w:cs="仿宋"/>
                <w:color w:val="auto"/>
                <w:sz w:val="24"/>
                <w:szCs w:val="24"/>
                <w:highlight w:val="none"/>
              </w:rPr>
            </w:pPr>
          </w:p>
          <w:p>
            <w:pPr>
              <w:pStyle w:val="54"/>
              <w:ind w:left="43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评审价格</w:t>
            </w:r>
          </w:p>
          <w:p>
            <w:pPr>
              <w:pStyle w:val="54"/>
              <w:ind w:left="438"/>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6465" w:type="dxa"/>
            <w:noWrap w:val="0"/>
            <w:vAlign w:val="center"/>
          </w:tcPr>
          <w:p>
            <w:pPr>
              <w:pStyle w:val="54"/>
              <w:spacing w:before="97" w:line="360" w:lineRule="auto"/>
              <w:ind w:left="4" w:right="-15"/>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满足磋商文件要求且最终报价最低的报价为评审基准价，其价格分为满分。其他满足磋商文件要求的供应商的价格分统一按照下列公式计算：</w:t>
            </w:r>
          </w:p>
          <w:p>
            <w:pPr>
              <w:pStyle w:val="54"/>
              <w:spacing w:before="97" w:line="360" w:lineRule="auto"/>
              <w:ind w:left="4" w:right="-15"/>
              <w:jc w:val="both"/>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评审价格分数=（评审基准价</w:t>
            </w:r>
            <w:r>
              <w:rPr>
                <w:rFonts w:hint="eastAsia" w:ascii="仿宋" w:hAnsi="仿宋" w:eastAsia="仿宋" w:cs="仿宋"/>
                <w:color w:val="auto"/>
                <w:spacing w:val="-8"/>
                <w:sz w:val="24"/>
                <w:szCs w:val="24"/>
                <w:highlight w:val="none"/>
                <w:lang w:val="en-US" w:eastAsia="zh-CN"/>
              </w:rPr>
              <w:t>/</w:t>
            </w:r>
            <w:r>
              <w:rPr>
                <w:rFonts w:hint="eastAsia" w:ascii="仿宋" w:hAnsi="仿宋" w:eastAsia="仿宋" w:cs="仿宋"/>
                <w:color w:val="auto"/>
                <w:spacing w:val="-8"/>
                <w:sz w:val="24"/>
                <w:szCs w:val="24"/>
                <w:highlight w:val="none"/>
              </w:rPr>
              <w:t>最终报价）×价格权重（</w:t>
            </w:r>
            <w:r>
              <w:rPr>
                <w:rFonts w:hint="eastAsia" w:ascii="仿宋" w:hAnsi="仿宋" w:eastAsia="仿宋" w:cs="仿宋"/>
                <w:color w:val="auto"/>
                <w:spacing w:val="-8"/>
                <w:sz w:val="24"/>
                <w:szCs w:val="24"/>
                <w:highlight w:val="none"/>
                <w:lang w:val="en-US" w:eastAsia="zh-CN"/>
              </w:rPr>
              <w:t>1</w:t>
            </w:r>
            <w:r>
              <w:rPr>
                <w:rFonts w:hint="eastAsia" w:ascii="仿宋" w:hAnsi="仿宋" w:eastAsia="仿宋" w:cs="仿宋"/>
                <w:color w:val="auto"/>
                <w:spacing w:val="-8"/>
                <w:sz w:val="24"/>
                <w:szCs w:val="24"/>
                <w:highlight w:val="none"/>
              </w:rPr>
              <w:t>0%）×</w:t>
            </w:r>
            <w:r>
              <w:rPr>
                <w:rFonts w:hint="eastAsia" w:ascii="仿宋" w:hAnsi="仿宋" w:eastAsia="仿宋" w:cs="仿宋"/>
                <w:color w:val="auto"/>
                <w:spacing w:val="-8"/>
                <w:sz w:val="24"/>
                <w:szCs w:val="24"/>
                <w:highlight w:val="none"/>
                <w:lang w:val="en-US" w:eastAsia="zh-CN"/>
              </w:rPr>
              <w:t>1</w:t>
            </w:r>
            <w:r>
              <w:rPr>
                <w:rFonts w:hint="eastAsia" w:ascii="仿宋" w:hAnsi="仿宋" w:eastAsia="仿宋" w:cs="仿宋"/>
                <w:color w:val="auto"/>
                <w:spacing w:val="-8"/>
                <w:sz w:val="24"/>
                <w:szCs w:val="24"/>
                <w:highlight w:val="none"/>
              </w:rPr>
              <w:t xml:space="preserve">00 </w:t>
            </w:r>
          </w:p>
        </w:tc>
        <w:tc>
          <w:tcPr>
            <w:tcW w:w="741" w:type="dxa"/>
            <w:noWrap w:val="0"/>
            <w:vAlign w:val="center"/>
          </w:tcPr>
          <w:p>
            <w:pPr>
              <w:pStyle w:val="54"/>
              <w:spacing w:before="2"/>
              <w:ind w:left="4"/>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部分</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（15分）</w:t>
            </w:r>
          </w:p>
        </w:tc>
        <w:tc>
          <w:tcPr>
            <w:tcW w:w="103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类似业绩（</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6465" w:type="dxa"/>
            <w:noWrap w:val="0"/>
            <w:vAlign w:val="center"/>
          </w:tcPr>
          <w:p>
            <w:pPr>
              <w:pStyle w:val="54"/>
              <w:spacing w:before="121" w:line="321" w:lineRule="auto"/>
              <w:ind w:left="4" w:right="12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供应商提供近3年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2020年1月1日至投标文件递交截止日期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独立承担的类似的业绩，有一项</w:t>
            </w:r>
            <w:r>
              <w:rPr>
                <w:rFonts w:hint="eastAsia" w:ascii="仿宋" w:hAnsi="仿宋" w:eastAsia="仿宋" w:cs="仿宋"/>
                <w:color w:val="auto"/>
                <w:sz w:val="24"/>
                <w:szCs w:val="24"/>
                <w:highlight w:val="none"/>
                <w:lang w:val="en-US" w:eastAsia="zh-CN"/>
              </w:rPr>
              <w:t>得2分，</w:t>
            </w:r>
            <w:r>
              <w:rPr>
                <w:rFonts w:hint="eastAsia" w:ascii="仿宋" w:hAnsi="仿宋" w:eastAsia="仿宋" w:cs="仿宋"/>
                <w:color w:val="auto"/>
                <w:sz w:val="24"/>
                <w:szCs w:val="24"/>
                <w:highlight w:val="none"/>
              </w:rPr>
              <w:t>最多</w:t>
            </w:r>
            <w:r>
              <w:rPr>
                <w:rFonts w:hint="eastAsia" w:ascii="仿宋" w:hAnsi="仿宋" w:eastAsia="仿宋" w:cs="仿宋"/>
                <w:color w:val="auto"/>
                <w:sz w:val="24"/>
                <w:szCs w:val="24"/>
                <w:highlight w:val="none"/>
                <w:lang w:val="en-US" w:eastAsia="zh-CN"/>
              </w:rPr>
              <w:t>得10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pPr>
              <w:pStyle w:val="54"/>
              <w:spacing w:before="97" w:line="360" w:lineRule="auto"/>
              <w:ind w:left="4" w:right="-15"/>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备注：业绩证明以合同或中标通知书为准，在投标文件中附合同（协议）扫描件（合同须包含合同首页、金额页、服务内容页、签字盖章页）或中标（成交）通知书扫描件加盖单位公章，未提供业绩证明材或内容模糊不清的，其业绩不予认定，弄虚作假者取消其投标资格并追究其法律责任）。</w:t>
            </w:r>
          </w:p>
        </w:tc>
        <w:tc>
          <w:tcPr>
            <w:tcW w:w="741" w:type="dxa"/>
            <w:noWrap w:val="0"/>
            <w:vAlign w:val="center"/>
          </w:tcPr>
          <w:p>
            <w:pPr>
              <w:pStyle w:val="54"/>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continue"/>
            <w:noWrap w:val="0"/>
            <w:vAlign w:val="center"/>
          </w:tcPr>
          <w:p>
            <w:pPr>
              <w:jc w:val="center"/>
              <w:rPr>
                <w:rFonts w:hint="eastAsia" w:ascii="仿宋" w:hAnsi="仿宋" w:eastAsia="仿宋" w:cs="仿宋"/>
                <w:color w:val="auto"/>
                <w:sz w:val="24"/>
                <w:szCs w:val="24"/>
                <w:highlight w:val="none"/>
                <w:lang w:val="en-US" w:eastAsia="zh-CN"/>
              </w:rPr>
            </w:pPr>
          </w:p>
        </w:tc>
        <w:tc>
          <w:tcPr>
            <w:tcW w:w="103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项目团队人员配备</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（5分）</w:t>
            </w:r>
          </w:p>
        </w:tc>
        <w:tc>
          <w:tcPr>
            <w:tcW w:w="6465" w:type="dxa"/>
            <w:noWrap w:val="0"/>
            <w:vAlign w:val="center"/>
          </w:tcPr>
          <w:p>
            <w:pPr>
              <w:pStyle w:val="54"/>
              <w:spacing w:before="97" w:line="360" w:lineRule="auto"/>
              <w:ind w:left="4" w:leftChars="0" w:right="-15" w:right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组建的项目实施团队不少于15人，得5分，10-15（不含）人得3，5-10（不含）人以上得1分，不足5人得0分；</w:t>
            </w:r>
          </w:p>
          <w:p>
            <w:pPr>
              <w:pStyle w:val="54"/>
              <w:spacing w:before="97" w:line="360" w:lineRule="auto"/>
              <w:ind w:left="4" w:leftChars="0" w:right="-15" w:right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提供实施团队人员名单及承诺。</w:t>
            </w:r>
          </w:p>
        </w:tc>
        <w:tc>
          <w:tcPr>
            <w:tcW w:w="741" w:type="dxa"/>
            <w:noWrap w:val="0"/>
            <w:vAlign w:val="center"/>
          </w:tcPr>
          <w:p>
            <w:pPr>
              <w:pStyle w:val="54"/>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restart"/>
            <w:tcBorders>
              <w:top w:val="single" w:color="auto" w:sz="4" w:space="0"/>
            </w:tcBorders>
            <w:noWrap w:val="0"/>
            <w:vAlign w:val="center"/>
          </w:tcPr>
          <w:p>
            <w:pPr>
              <w:pStyle w:val="54"/>
              <w:spacing w:before="2"/>
              <w:ind w:right="96"/>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技术部分</w:t>
            </w:r>
          </w:p>
          <w:p>
            <w:pPr>
              <w:pStyle w:val="54"/>
              <w:spacing w:before="2"/>
              <w:ind w:right="96"/>
              <w:jc w:val="center"/>
              <w:rPr>
                <w:rFonts w:hint="default"/>
                <w:highlight w:val="none"/>
                <w:lang w:val="en-US" w:eastAsia="zh-CN"/>
              </w:rPr>
            </w:pPr>
            <w:r>
              <w:rPr>
                <w:rFonts w:hint="eastAsia" w:ascii="仿宋" w:hAnsi="仿宋" w:eastAsia="仿宋" w:cs="仿宋"/>
                <w:color w:val="auto"/>
                <w:spacing w:val="-2"/>
                <w:sz w:val="24"/>
                <w:szCs w:val="24"/>
                <w:highlight w:val="none"/>
                <w:lang w:val="en-US" w:eastAsia="zh-CN"/>
              </w:rPr>
              <w:t>（75分）</w:t>
            </w:r>
          </w:p>
        </w:tc>
        <w:tc>
          <w:tcPr>
            <w:tcW w:w="1036" w:type="dxa"/>
            <w:tcBorders>
              <w:top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对本项目的理解与认识</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6465" w:type="dxa"/>
            <w:noWrap w:val="0"/>
            <w:vAlign w:val="center"/>
          </w:tcPr>
          <w:p>
            <w:pPr>
              <w:pStyle w:val="54"/>
              <w:spacing w:before="97" w:line="360" w:lineRule="auto"/>
              <w:ind w:left="4" w:right="-15"/>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熟悉本项目业务需求，对项目理解和认识丰富、完整、准确，能清楚描述本次工作任务目标得15分，</w:t>
            </w:r>
            <w:r>
              <w:rPr>
                <w:rFonts w:hint="eastAsia" w:ascii="仿宋" w:hAnsi="仿宋" w:eastAsia="仿宋" w:cs="仿宋"/>
                <w:b w:val="0"/>
                <w:bCs w:val="0"/>
                <w:color w:val="auto"/>
                <w:sz w:val="24"/>
                <w:szCs w:val="24"/>
                <w:highlight w:val="none"/>
                <w:lang w:val="en-US" w:eastAsia="zh-CN"/>
              </w:rPr>
              <w:t>每有一处缺陷扣2.5分，扣完为止。（缺陷是指：前后内容不一致、存在凭空编造、前后逻辑错误、涉及的规范及标准错误、项目名称或实施地点区域错误、内容简略或与本项目无关等任意一种情形等）</w:t>
            </w:r>
          </w:p>
        </w:tc>
        <w:tc>
          <w:tcPr>
            <w:tcW w:w="741" w:type="dxa"/>
            <w:noWrap w:val="0"/>
            <w:vAlign w:val="center"/>
          </w:tcPr>
          <w:p>
            <w:pPr>
              <w:pStyle w:val="54"/>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continue"/>
            <w:noWrap w:val="0"/>
            <w:vAlign w:val="center"/>
          </w:tcPr>
          <w:p>
            <w:pPr>
              <w:pStyle w:val="54"/>
              <w:spacing w:before="2"/>
              <w:ind w:right="96"/>
              <w:jc w:val="center"/>
              <w:rPr>
                <w:rFonts w:hint="eastAsia" w:ascii="仿宋" w:hAnsi="仿宋" w:eastAsia="仿宋" w:cs="仿宋"/>
                <w:color w:val="auto"/>
                <w:spacing w:val="-2"/>
                <w:sz w:val="24"/>
                <w:szCs w:val="24"/>
                <w:highlight w:val="none"/>
                <w:lang w:val="en-US" w:eastAsia="zh-CN"/>
              </w:rPr>
            </w:pPr>
          </w:p>
        </w:tc>
        <w:tc>
          <w:tcPr>
            <w:tcW w:w="1036" w:type="dxa"/>
            <w:tcBorders>
              <w:top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组织架构方案</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rPr>
              <w:t>分</w:t>
            </w:r>
            <w:r>
              <w:rPr>
                <w:rFonts w:hint="eastAsia" w:ascii="仿宋" w:hAnsi="仿宋" w:eastAsia="仿宋" w:cs="仿宋"/>
                <w:color w:val="auto"/>
                <w:sz w:val="24"/>
                <w:szCs w:val="24"/>
                <w:highlight w:val="none"/>
                <w:lang w:val="en-US" w:eastAsia="zh-CN"/>
              </w:rPr>
              <w:t>）</w:t>
            </w:r>
          </w:p>
        </w:tc>
        <w:tc>
          <w:tcPr>
            <w:tcW w:w="6465"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供应商针对本项目有合理的项目组织架构、固定的服务班底并设置分项专一工作小组，明确对接人（包括但不限于</w:t>
            </w:r>
            <w:r>
              <w:rPr>
                <w:rFonts w:hint="eastAsia" w:ascii="仿宋" w:hAnsi="仿宋" w:eastAsia="仿宋" w:cs="仿宋"/>
                <w:b w:val="0"/>
                <w:kern w:val="2"/>
                <w:sz w:val="24"/>
                <w:szCs w:val="24"/>
                <w:highlight w:val="none"/>
                <w:lang w:val="en-US" w:eastAsia="zh-CN" w:bidi="ar-SA"/>
              </w:rPr>
              <w:t>项目负责人、设计师、施工负责人、其他项目团队等</w:t>
            </w:r>
            <w:r>
              <w:rPr>
                <w:rFonts w:hint="eastAsia" w:ascii="仿宋" w:hAnsi="仿宋" w:eastAsia="仿宋" w:cs="仿宋"/>
                <w:b w:val="0"/>
                <w:bCs w:val="0"/>
                <w:color w:val="auto"/>
                <w:sz w:val="24"/>
                <w:szCs w:val="24"/>
                <w:highlight w:val="none"/>
                <w:lang w:val="en-US" w:eastAsia="zh-CN"/>
              </w:rPr>
              <w:t>）。有详细的调配措施，人员配备齐全，分工明确。</w:t>
            </w:r>
          </w:p>
          <w:p>
            <w:pPr>
              <w:spacing w:before="33" w:line="301" w:lineRule="auto"/>
              <w:ind w:right="138" w:rightChars="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提供以上内容得5分，每有一项缺项或漏项扣2分，每有一处缺陷扣1分，扣完为止。（缺陷是指：前后内容不一致、存在凭空编造、前后逻辑错误、涉及的规范及标准错误、项目名称或实施地点区域错误、内容简略或与本项目无关等任意一种情形等）</w:t>
            </w:r>
          </w:p>
        </w:tc>
        <w:tc>
          <w:tcPr>
            <w:tcW w:w="741" w:type="dxa"/>
            <w:noWrap w:val="0"/>
            <w:vAlign w:val="center"/>
          </w:tcPr>
          <w:p>
            <w:pPr>
              <w:pStyle w:val="54"/>
              <w:spacing w:line="266" w:lineRule="exact"/>
              <w:ind w:left="4"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1051" w:type="dxa"/>
            <w:vMerge w:val="continue"/>
            <w:noWrap w:val="0"/>
            <w:vAlign w:val="center"/>
          </w:tcPr>
          <w:p>
            <w:pPr>
              <w:pStyle w:val="54"/>
              <w:spacing w:before="2"/>
              <w:ind w:right="96"/>
              <w:jc w:val="center"/>
              <w:rPr>
                <w:rFonts w:hint="eastAsia" w:ascii="仿宋" w:hAnsi="仿宋" w:eastAsia="仿宋" w:cs="仿宋"/>
                <w:color w:val="auto"/>
                <w:spacing w:val="-2"/>
                <w:sz w:val="24"/>
                <w:szCs w:val="24"/>
                <w:highlight w:val="none"/>
                <w:lang w:val="en-US" w:eastAsia="zh-CN"/>
              </w:rPr>
            </w:pPr>
          </w:p>
        </w:tc>
        <w:tc>
          <w:tcPr>
            <w:tcW w:w="1036" w:type="dxa"/>
            <w:tcBorders>
              <w:top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总体</w:t>
            </w:r>
            <w:r>
              <w:rPr>
                <w:rFonts w:hint="eastAsia" w:ascii="仿宋" w:hAnsi="仿宋" w:eastAsia="仿宋" w:cs="仿宋"/>
                <w:color w:val="auto"/>
                <w:sz w:val="24"/>
                <w:szCs w:val="24"/>
                <w:highlight w:val="none"/>
                <w:lang w:val="en-US" w:eastAsia="zh-CN"/>
              </w:rPr>
              <w:t>实施</w:t>
            </w:r>
            <w:r>
              <w:rPr>
                <w:rFonts w:hint="eastAsia" w:ascii="仿宋" w:hAnsi="仿宋" w:eastAsia="仿宋" w:cs="仿宋"/>
                <w:color w:val="auto"/>
                <w:sz w:val="24"/>
                <w:szCs w:val="24"/>
                <w:highlight w:val="none"/>
              </w:rPr>
              <w:t>方案</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（10分）</w:t>
            </w:r>
          </w:p>
        </w:tc>
        <w:tc>
          <w:tcPr>
            <w:tcW w:w="6465" w:type="dxa"/>
            <w:noWrap w:val="0"/>
            <w:vAlign w:val="center"/>
          </w:tcPr>
          <w:p>
            <w:pPr>
              <w:pStyle w:val="54"/>
              <w:spacing w:before="97" w:line="360" w:lineRule="auto"/>
              <w:ind w:left="4" w:right="-15"/>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方案合理、严谨、具有创意，且有针对性的方案。需要提供展馆展区划分、主题设置、招展内容、配套活动方案；</w:t>
            </w:r>
          </w:p>
          <w:p>
            <w:pPr>
              <w:pStyle w:val="54"/>
              <w:spacing w:before="97" w:line="360" w:lineRule="auto"/>
              <w:ind w:left="4" w:right="-15"/>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提供以上方案得10分，每有一项缺项或漏项扣2.5分，每有一处缺陷扣1分，扣完为止。（缺陷是指：前后内容不一致、存在凭空编造、前后逻辑错误、涉及的规范及标准错误、项目名称或实施地点区域错误、内容简略或与本项目无关等任意一种情形等）</w:t>
            </w:r>
            <w:r>
              <w:rPr>
                <w:rFonts w:hint="eastAsia" w:ascii="仿宋" w:hAnsi="仿宋" w:eastAsia="仿宋" w:cs="仿宋"/>
                <w:color w:val="auto"/>
                <w:kern w:val="0"/>
                <w:sz w:val="24"/>
                <w:szCs w:val="24"/>
                <w:highlight w:val="none"/>
                <w:lang w:val="en-US" w:eastAsia="zh-CN" w:bidi="ar-SA"/>
              </w:rPr>
              <w:t xml:space="preserve"> </w:t>
            </w:r>
          </w:p>
        </w:tc>
        <w:tc>
          <w:tcPr>
            <w:tcW w:w="741" w:type="dxa"/>
            <w:noWrap w:val="0"/>
            <w:vAlign w:val="center"/>
          </w:tcPr>
          <w:p>
            <w:pPr>
              <w:pStyle w:val="54"/>
              <w:spacing w:before="121" w:line="321" w:lineRule="auto"/>
              <w:ind w:left="4" w:right="12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3" w:hRule="atLeast"/>
        </w:trPr>
        <w:tc>
          <w:tcPr>
            <w:tcW w:w="1051" w:type="dxa"/>
            <w:vMerge w:val="continue"/>
            <w:noWrap w:val="0"/>
            <w:vAlign w:val="center"/>
          </w:tcPr>
          <w:p>
            <w:pPr>
              <w:jc w:val="center"/>
              <w:rPr>
                <w:rFonts w:hint="eastAsia" w:ascii="仿宋" w:hAnsi="仿宋" w:eastAsia="仿宋" w:cs="仿宋"/>
                <w:color w:val="auto"/>
                <w:sz w:val="24"/>
                <w:szCs w:val="24"/>
                <w:highlight w:val="none"/>
              </w:rPr>
            </w:pPr>
          </w:p>
        </w:tc>
        <w:tc>
          <w:tcPr>
            <w:tcW w:w="1036"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展馆</w:t>
            </w:r>
            <w:r>
              <w:rPr>
                <w:rFonts w:hint="eastAsia" w:ascii="仿宋" w:hAnsi="仿宋" w:eastAsia="仿宋" w:cs="仿宋"/>
                <w:color w:val="auto"/>
                <w:sz w:val="24"/>
                <w:szCs w:val="24"/>
                <w:highlight w:val="none"/>
                <w:lang w:val="en-US"/>
              </w:rPr>
              <w:t>设计搭建方案（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en-US"/>
              </w:rPr>
              <w:t>分</w:t>
            </w:r>
            <w:r>
              <w:rPr>
                <w:rFonts w:hint="eastAsia" w:ascii="仿宋" w:hAnsi="仿宋" w:eastAsia="仿宋" w:cs="仿宋"/>
                <w:color w:val="auto"/>
                <w:sz w:val="24"/>
                <w:szCs w:val="24"/>
                <w:highlight w:val="none"/>
                <w:lang w:val="en-US" w:eastAsia="zh-CN"/>
              </w:rPr>
              <w:t>）</w:t>
            </w:r>
          </w:p>
        </w:tc>
        <w:tc>
          <w:tcPr>
            <w:tcW w:w="6465"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要求展馆设计方案符合策划方案主题，设计理念先进，突出新疆特色，简洁大气，操作实施容易，内容完全满足招标文件和项目需求的设计稿；</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满分20分，每有一处缺陷扣1分，扣完为止。（缺陷是指：前后内容不一致、存在凭空编造、前后逻辑错误、涉及的规范及标准错误、项目名称或实施地点区域错误、内容简略或与本项目无关等任意一种情形等）</w:t>
            </w:r>
          </w:p>
        </w:tc>
        <w:tc>
          <w:tcPr>
            <w:tcW w:w="741" w:type="dxa"/>
            <w:noWrap w:val="0"/>
            <w:vAlign w:val="center"/>
          </w:tcPr>
          <w:p>
            <w:pPr>
              <w:pStyle w:val="54"/>
              <w:spacing w:line="266" w:lineRule="exact"/>
              <w:ind w:left="4"/>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051" w:type="dxa"/>
            <w:vMerge w:val="continue"/>
            <w:noWrap w:val="0"/>
            <w:vAlign w:val="center"/>
          </w:tcPr>
          <w:p>
            <w:pPr>
              <w:jc w:val="center"/>
              <w:rPr>
                <w:rFonts w:hint="eastAsia" w:ascii="仿宋" w:hAnsi="仿宋" w:eastAsia="仿宋" w:cs="仿宋"/>
                <w:color w:val="auto"/>
                <w:sz w:val="24"/>
                <w:szCs w:val="24"/>
                <w:highlight w:val="none"/>
              </w:rPr>
            </w:pPr>
          </w:p>
        </w:tc>
        <w:tc>
          <w:tcPr>
            <w:tcW w:w="1036" w:type="dxa"/>
            <w:noWrap w:val="0"/>
            <w:vAlign w:val="center"/>
          </w:tcPr>
          <w:p>
            <w:pPr>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质量保证措施</w:t>
            </w:r>
          </w:p>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 分）</w:t>
            </w:r>
          </w:p>
        </w:tc>
        <w:tc>
          <w:tcPr>
            <w:tcW w:w="6465" w:type="dxa"/>
            <w:noWrap w:val="0"/>
            <w:vAlign w:val="center"/>
          </w:tcPr>
          <w:p>
            <w:pPr>
              <w:jc w:val="both"/>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提供展会搭建、</w:t>
            </w:r>
            <w:r>
              <w:rPr>
                <w:rFonts w:hint="eastAsia" w:ascii="仿宋" w:hAnsi="仿宋" w:eastAsia="仿宋" w:cs="仿宋"/>
                <w:color w:val="auto"/>
                <w:sz w:val="24"/>
                <w:szCs w:val="24"/>
                <w:highlight w:val="none"/>
                <w:lang w:val="en-US" w:eastAsia="zh-CN"/>
              </w:rPr>
              <w:t>服务</w:t>
            </w:r>
            <w:r>
              <w:rPr>
                <w:rFonts w:hint="default" w:ascii="仿宋" w:hAnsi="仿宋" w:eastAsia="仿宋" w:cs="仿宋"/>
                <w:color w:val="auto"/>
                <w:sz w:val="24"/>
                <w:szCs w:val="24"/>
                <w:highlight w:val="none"/>
                <w:lang w:val="en-US" w:eastAsia="zh-CN"/>
              </w:rPr>
              <w:t>等质量保证措施的；</w:t>
            </w:r>
          </w:p>
          <w:p>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以上保证措施得5分，每有一项缺项或漏项扣2.5分，每有一处缺陷扣1分，扣完为止。（缺陷是指：前后内容不一致、存在凭空编造、前后逻辑错误、涉及的规范及标准错误、项目名称或实施地点区域错误、内容简略或与本项目无关等任意一种情形等）</w:t>
            </w:r>
          </w:p>
        </w:tc>
        <w:tc>
          <w:tcPr>
            <w:tcW w:w="741" w:type="dxa"/>
            <w:noWrap w:val="0"/>
            <w:vAlign w:val="center"/>
          </w:tcPr>
          <w:p>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51" w:type="dxa"/>
            <w:vMerge w:val="continue"/>
            <w:noWrap w:val="0"/>
            <w:vAlign w:val="center"/>
          </w:tcPr>
          <w:p>
            <w:pPr>
              <w:jc w:val="center"/>
              <w:rPr>
                <w:rFonts w:hint="eastAsia" w:ascii="仿宋" w:hAnsi="仿宋" w:eastAsia="仿宋" w:cs="仿宋"/>
                <w:color w:val="auto"/>
                <w:sz w:val="24"/>
                <w:szCs w:val="24"/>
                <w:highlight w:val="none"/>
              </w:rPr>
            </w:pPr>
          </w:p>
        </w:tc>
        <w:tc>
          <w:tcPr>
            <w:tcW w:w="1036" w:type="dxa"/>
            <w:noWrap w:val="0"/>
            <w:vAlign w:val="center"/>
          </w:tcPr>
          <w:p>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工作进度控制措施</w:t>
            </w:r>
          </w:p>
          <w:p>
            <w:p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6465" w:type="dxa"/>
            <w:noWrap w:val="0"/>
            <w:vAlign w:val="center"/>
          </w:tcPr>
          <w:p>
            <w:pPr>
              <w:spacing w:before="33" w:line="301" w:lineRule="auto"/>
              <w:ind w:right="138" w:rightChars="0"/>
              <w:jc w:val="both"/>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项目进度且符合招标文件需求，进度计划科学合理且有进度控制计划表，合理得人员安排计划；</w:t>
            </w:r>
          </w:p>
          <w:p>
            <w:p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提供以上</w:t>
            </w:r>
            <w:r>
              <w:rPr>
                <w:rFonts w:hint="eastAsia" w:ascii="仿宋" w:hAnsi="仿宋" w:eastAsia="仿宋" w:cs="仿宋"/>
                <w:color w:val="auto"/>
                <w:sz w:val="24"/>
                <w:szCs w:val="24"/>
                <w:highlight w:val="none"/>
                <w:lang w:val="en-US" w:eastAsia="zh-CN"/>
              </w:rPr>
              <w:t>工作进度控制措施</w:t>
            </w:r>
            <w:r>
              <w:rPr>
                <w:rFonts w:hint="eastAsia" w:ascii="仿宋" w:hAnsi="仿宋" w:eastAsia="仿宋" w:cs="仿宋"/>
                <w:b w:val="0"/>
                <w:bCs w:val="0"/>
                <w:color w:val="auto"/>
                <w:sz w:val="24"/>
                <w:szCs w:val="24"/>
                <w:highlight w:val="none"/>
                <w:lang w:val="en-US" w:eastAsia="zh-CN"/>
              </w:rPr>
              <w:t>得5分，每有一项缺项或漏项扣2.5分，每有一处缺陷扣1分，扣完为止。（缺陷是指：前后内容不一致、存在凭空编造、前后逻辑错误、涉及的规范及标准错误、项目名称或实施地点区域错误、内容简略或与本项目无关等任意一种情形等）</w:t>
            </w:r>
          </w:p>
        </w:tc>
        <w:tc>
          <w:tcPr>
            <w:tcW w:w="741" w:type="dxa"/>
            <w:noWrap w:val="0"/>
            <w:vAlign w:val="center"/>
          </w:tcPr>
          <w:p>
            <w:pPr>
              <w:pStyle w:val="54"/>
              <w:spacing w:before="6" w:line="358" w:lineRule="exact"/>
              <w:ind w:left="4" w:leftChars="0" w:right="24"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51" w:type="dxa"/>
            <w:vMerge w:val="continue"/>
            <w:noWrap w:val="0"/>
            <w:vAlign w:val="center"/>
          </w:tcPr>
          <w:p>
            <w:pPr>
              <w:jc w:val="center"/>
              <w:rPr>
                <w:rFonts w:hint="eastAsia" w:ascii="仿宋" w:hAnsi="仿宋" w:eastAsia="仿宋" w:cs="仿宋"/>
                <w:color w:val="auto"/>
                <w:sz w:val="24"/>
                <w:szCs w:val="24"/>
                <w:highlight w:val="none"/>
              </w:rPr>
            </w:pPr>
          </w:p>
        </w:tc>
        <w:tc>
          <w:tcPr>
            <w:tcW w:w="1036"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配套服务措施</w:t>
            </w:r>
          </w:p>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6465" w:type="dxa"/>
            <w:noWrap w:val="0"/>
            <w:vAlign w:val="center"/>
          </w:tcPr>
          <w:p>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根据投标人提出的配套服务措施及承诺进行赋分：</w:t>
            </w:r>
          </w:p>
          <w:p>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每有一项得2分，满分10分。 </w:t>
            </w:r>
          </w:p>
        </w:tc>
        <w:tc>
          <w:tcPr>
            <w:tcW w:w="741"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1051" w:type="dxa"/>
            <w:vMerge w:val="continue"/>
            <w:noWrap w:val="0"/>
            <w:vAlign w:val="center"/>
          </w:tcPr>
          <w:p>
            <w:pPr>
              <w:jc w:val="center"/>
              <w:rPr>
                <w:rFonts w:hint="eastAsia" w:ascii="仿宋" w:hAnsi="仿宋" w:eastAsia="仿宋" w:cs="仿宋"/>
                <w:color w:val="auto"/>
                <w:sz w:val="24"/>
                <w:szCs w:val="24"/>
                <w:highlight w:val="none"/>
              </w:rPr>
            </w:pPr>
          </w:p>
        </w:tc>
        <w:tc>
          <w:tcPr>
            <w:tcW w:w="1036" w:type="dxa"/>
            <w:noWrap w:val="0"/>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应急预备方案</w:t>
            </w:r>
          </w:p>
          <w:p>
            <w:pPr>
              <w:keepNext w:val="0"/>
              <w:keepLines w:val="0"/>
              <w:pageBreakBefore w:val="0"/>
              <w:widowControl w:val="0"/>
              <w:kinsoku/>
              <w:wordWrap/>
              <w:overflowPunct/>
              <w:topLinePunct w:val="0"/>
              <w:bidi w:val="0"/>
              <w:snapToGrid/>
              <w:spacing w:line="400" w:lineRule="exact"/>
              <w:ind w:left="0" w:leftChars="0" w:right="0" w:righ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highlight w:val="none"/>
              </w:rPr>
              <w:t>（5分）</w:t>
            </w:r>
          </w:p>
        </w:tc>
        <w:tc>
          <w:tcPr>
            <w:tcW w:w="6465" w:type="dxa"/>
            <w:noWrap w:val="0"/>
            <w:vAlign w:val="center"/>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具有完善健全的安全保证措施及应急预案，应急预案需按照国家、地方政策及现状和有关规定进行编制，并满足本项目需求；</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满分5分，每有一处缺陷扣1分，扣完为止。（缺陷是指：前后内容不一致、存在凭空编造、前后逻辑错误、涉及的规范及标准错误、项目名称或实施地点区域错误、内容简略或与本项目无关等任意一种情形等）</w:t>
            </w:r>
          </w:p>
        </w:tc>
        <w:tc>
          <w:tcPr>
            <w:tcW w:w="741"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r>
    </w:tbl>
    <w:p>
      <w:pPr>
        <w:pStyle w:val="22"/>
        <w:keepNext w:val="0"/>
        <w:keepLines w:val="0"/>
        <w:pageBreakBefore w:val="0"/>
        <w:widowControl/>
        <w:kinsoku/>
        <w:wordWrap/>
        <w:overflowPunct/>
        <w:topLinePunct w:val="0"/>
        <w:autoSpaceDE/>
        <w:autoSpaceDN/>
        <w:bidi w:val="0"/>
        <w:adjustRightInd w:val="0"/>
        <w:snapToGrid w:val="0"/>
        <w:spacing w:before="0" w:after="0" w:line="560" w:lineRule="exact"/>
        <w:ind w:firstLine="641"/>
        <w:jc w:val="center"/>
        <w:textAlignment w:val="baseline"/>
        <w:outlineLvl w:val="9"/>
        <w:rPr>
          <w:rFonts w:hint="eastAsia" w:ascii="仿宋" w:hAnsi="仿宋" w:eastAsia="仿宋" w:cs="仿宋"/>
          <w:sz w:val="24"/>
          <w:szCs w:val="24"/>
          <w:highlight w:val="none"/>
        </w:rPr>
      </w:pPr>
    </w:p>
    <w:p>
      <w:pPr>
        <w:keepNext w:val="0"/>
        <w:keepLines w:val="0"/>
        <w:pageBreakBefore w:val="0"/>
        <w:kinsoku/>
        <w:wordWrap/>
        <w:overflowPunct/>
        <w:topLinePunct w:val="0"/>
        <w:bidi w:val="0"/>
        <w:spacing w:line="579" w:lineRule="exact"/>
        <w:ind w:firstLine="480" w:firstLineChars="200"/>
        <w:outlineLvl w:val="9"/>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说明：评标过程</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中</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，不得去掉报价中的最高报价和最低报价，且最低报价不是中标的唯一依据。</w:t>
      </w:r>
    </w:p>
    <w:p>
      <w:pPr>
        <w:pStyle w:val="41"/>
        <w:keepNext w:val="0"/>
        <w:keepLines w:val="0"/>
        <w:pageBreakBefore w:val="0"/>
        <w:kinsoku/>
        <w:wordWrap/>
        <w:overflowPunct/>
        <w:topLinePunct w:val="0"/>
        <w:bidi w:val="0"/>
        <w:spacing w:before="0" w:line="579" w:lineRule="exact"/>
        <w:ind w:left="0" w:firstLine="458" w:firstLineChars="200"/>
        <w:rPr>
          <w:rStyle w:val="31"/>
          <w:rFonts w:ascii="仿宋" w:hAnsi="仿宋" w:eastAsia="仿宋" w:cs="仿宋"/>
          <w:color w:val="000000" w:themeColor="text1"/>
          <w:highlight w:val="none"/>
          <w14:textFill>
            <w14:solidFill>
              <w14:schemeClr w14:val="tx1"/>
            </w14:solidFill>
          </w14:textFill>
        </w:rPr>
      </w:pPr>
      <w:r>
        <w:rPr>
          <w:rStyle w:val="31"/>
          <w:rFonts w:hint="eastAsia" w:ascii="仿宋" w:hAnsi="仿宋" w:eastAsia="仿宋" w:cs="仿宋"/>
          <w:color w:val="000000" w:themeColor="text1"/>
          <w:w w:val="95"/>
          <w:highlight w:val="none"/>
          <w14:textFill>
            <w14:solidFill>
              <w14:schemeClr w14:val="tx1"/>
            </w14:solidFill>
          </w14:textFill>
        </w:rPr>
        <w:t>30．定标原则</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30.1评审小组应当根据综合评分情况，按照供应商综合得分由高到低的顺序排列，依次推荐3名中标候选人，并编写评审报告。供应商综合得分相同的，按照投标报价由低到高的顺序排列。供应商综合得分相同且投标报价也相同的并列，评审小组将按照技术指标优劣顺序推荐。</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30.2采购代理机构应当在评标结束后2个工作日内将评审报告送采购人。采购人应当自收到评审报告之日起5个工作日内，在评审报告确定的中标候选人名单中按顺序确定中标人。</w:t>
      </w:r>
    </w:p>
    <w:p>
      <w:pPr>
        <w:keepNext w:val="0"/>
        <w:keepLines w:val="0"/>
        <w:pageBreakBefore w:val="0"/>
        <w:kinsoku/>
        <w:wordWrap/>
        <w:overflowPunct/>
        <w:topLinePunct w:val="0"/>
        <w:bidi w:val="0"/>
        <w:spacing w:line="579" w:lineRule="exact"/>
        <w:ind w:firstLine="48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spacing w:line="579" w:lineRule="exact"/>
        <w:ind w:left="3454" w:right="3385"/>
        <w:jc w:val="both"/>
        <w:rPr>
          <w:rStyle w:val="31"/>
          <w:rFonts w:ascii="仿宋" w:hAnsi="仿宋" w:eastAsia="仿宋" w:cs="仿宋"/>
          <w:b/>
          <w:color w:val="000000" w:themeColor="text1"/>
          <w:sz w:val="24"/>
          <w:szCs w:val="24"/>
          <w:highlight w:val="none"/>
          <w:lang w:eastAsia="zh-CN"/>
          <w14:textFill>
            <w14:solidFill>
              <w14:schemeClr w14:val="tx1"/>
            </w14:solidFill>
          </w14:textFill>
        </w:rPr>
      </w:pPr>
    </w:p>
    <w:p>
      <w:pPr>
        <w:spacing w:line="579" w:lineRule="exact"/>
        <w:ind w:left="3453" w:right="3385"/>
        <w:jc w:val="both"/>
        <w:outlineLvl w:val="1"/>
        <w:rPr>
          <w:rStyle w:val="31"/>
          <w:rFonts w:ascii="仿宋" w:hAnsi="仿宋" w:eastAsia="仿宋" w:cs="仿宋"/>
          <w:color w:val="000000" w:themeColor="text1"/>
          <w:sz w:val="28"/>
          <w:szCs w:val="28"/>
          <w:highlight w:val="none"/>
          <w:lang w:eastAsia="zh-CN"/>
          <w14:textFill>
            <w14:solidFill>
              <w14:schemeClr w14:val="tx1"/>
            </w14:solidFill>
          </w14:textFill>
        </w:rPr>
      </w:pPr>
      <w:bookmarkStart w:id="49" w:name="_Toc19739"/>
      <w:bookmarkStart w:id="50" w:name="_Toc752"/>
      <w:bookmarkStart w:id="51" w:name="_Toc15580"/>
      <w:bookmarkStart w:id="52" w:name="_Toc8567"/>
      <w:bookmarkStart w:id="53" w:name="_Toc6244"/>
      <w:bookmarkStart w:id="54" w:name="_Toc21773"/>
      <w:r>
        <w:rPr>
          <w:rStyle w:val="31"/>
          <w:rFonts w:hint="eastAsia" w:ascii="仿宋" w:hAnsi="仿宋" w:eastAsia="仿宋" w:cs="仿宋"/>
          <w:b/>
          <w:color w:val="000000" w:themeColor="text1"/>
          <w:sz w:val="28"/>
          <w:szCs w:val="28"/>
          <w:highlight w:val="none"/>
          <w:lang w:eastAsia="zh-CN"/>
          <w14:textFill>
            <w14:solidFill>
              <w14:schemeClr w14:val="tx1"/>
            </w14:solidFill>
          </w14:textFill>
        </w:rPr>
        <w:t>第七章 授予合同</w:t>
      </w:r>
      <w:bookmarkEnd w:id="49"/>
      <w:bookmarkEnd w:id="50"/>
      <w:bookmarkEnd w:id="51"/>
      <w:bookmarkEnd w:id="52"/>
      <w:bookmarkEnd w:id="53"/>
      <w:bookmarkEnd w:id="54"/>
    </w:p>
    <w:p>
      <w:pPr>
        <w:snapToGrid w:val="0"/>
        <w:spacing w:before="124" w:line="579" w:lineRule="exact"/>
        <w:ind w:firstLine="482"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31.合同授予标准</w:t>
      </w:r>
    </w:p>
    <w:p>
      <w:pPr>
        <w:pStyle w:val="43"/>
        <w:tabs>
          <w:tab w:val="left" w:pos="1213"/>
        </w:tabs>
        <w:snapToGrid w:val="0"/>
        <w:spacing w:before="124" w:line="579" w:lineRule="exact"/>
        <w:ind w:left="0" w:right="114"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31.1合同将授予被确定为实质上响应竞争性磋商文件要求，评标认为具备履行合</w:t>
      </w:r>
      <w:r>
        <w:rPr>
          <w:rStyle w:val="31"/>
          <w:rFonts w:hint="eastAsia" w:ascii="仿宋" w:hAnsi="仿宋" w:eastAsia="仿宋" w:cs="仿宋"/>
          <w:color w:val="000000" w:themeColor="text1"/>
          <w:spacing w:val="-7"/>
          <w:sz w:val="24"/>
          <w:szCs w:val="24"/>
          <w:highlight w:val="none"/>
          <w:lang w:eastAsia="zh-CN"/>
          <w14:textFill>
            <w14:solidFill>
              <w14:schemeClr w14:val="tx1"/>
            </w14:solidFill>
          </w14:textFill>
        </w:rPr>
        <w:t>同义务条件、报价合理、技术和商务条件都符合条件基础上对买方最为有利的供应商。</w:t>
      </w:r>
    </w:p>
    <w:p>
      <w:pPr>
        <w:pStyle w:val="43"/>
        <w:tabs>
          <w:tab w:val="left" w:pos="1113"/>
        </w:tabs>
        <w:snapToGrid w:val="0"/>
        <w:spacing w:before="14"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31.2最低投标价不一定是被授予合同的保证。</w:t>
      </w:r>
    </w:p>
    <w:p>
      <w:pPr>
        <w:pStyle w:val="43"/>
        <w:tabs>
          <w:tab w:val="left" w:pos="1173"/>
        </w:tabs>
        <w:snapToGrid w:val="0"/>
        <w:spacing w:before="124" w:line="579" w:lineRule="exact"/>
        <w:ind w:left="0" w:right="231" w:firstLine="468" w:firstLineChars="2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31.3如果确定该供应商不能无条件圆满履行合同，采购人将对下一个可能中标的</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供应商资格做出类似的审查。</w:t>
      </w:r>
    </w:p>
    <w:p>
      <w:pPr>
        <w:pStyle w:val="41"/>
        <w:snapToGrid w:val="0"/>
        <w:spacing w:before="26"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32.接受和拒绝任何投标的权力</w:t>
      </w:r>
    </w:p>
    <w:p>
      <w:pPr>
        <w:pStyle w:val="34"/>
        <w:snapToGrid w:val="0"/>
        <w:spacing w:before="125"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32.1为维护国家利益，采购人在授予合同之前仍有选择或拒绝任何投标的权力。</w:t>
      </w:r>
    </w:p>
    <w:p>
      <w:pPr>
        <w:pStyle w:val="41"/>
        <w:snapToGrid w:val="0"/>
        <w:spacing w:before="127"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33.中标通知书</w:t>
      </w:r>
    </w:p>
    <w:p>
      <w:pPr>
        <w:pStyle w:val="43"/>
        <w:tabs>
          <w:tab w:val="left" w:pos="1173"/>
        </w:tabs>
        <w:snapToGrid w:val="0"/>
        <w:spacing w:before="124" w:line="579" w:lineRule="exact"/>
        <w:ind w:left="0" w:right="231"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33.1中标结果公示结束后，采购人将以书面形式发出《中标通知书》，《中标通</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知书》一经发出即发生法律效力。</w:t>
      </w:r>
    </w:p>
    <w:p>
      <w:pPr>
        <w:pStyle w:val="43"/>
        <w:tabs>
          <w:tab w:val="left" w:pos="1056"/>
        </w:tabs>
        <w:snapToGrid w:val="0"/>
        <w:spacing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33.2《中标通知书》将作为签订合同的依据。</w:t>
      </w:r>
    </w:p>
    <w:p>
      <w:pPr>
        <w:pStyle w:val="41"/>
        <w:snapToGrid w:val="0"/>
        <w:spacing w:before="124" w:line="579" w:lineRule="exact"/>
        <w:ind w:left="0" w:firstLine="458"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34.履约担保</w:t>
      </w:r>
    </w:p>
    <w:p>
      <w:pPr>
        <w:pStyle w:val="43"/>
        <w:tabs>
          <w:tab w:val="left" w:pos="1113"/>
        </w:tabs>
        <w:snapToGrid w:val="0"/>
        <w:spacing w:before="124"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34.1履约保证金：详见供应商须知前附表。</w:t>
      </w:r>
    </w:p>
    <w:p>
      <w:pPr>
        <w:pStyle w:val="43"/>
        <w:tabs>
          <w:tab w:val="left" w:pos="1113"/>
        </w:tabs>
        <w:snapToGrid w:val="0"/>
        <w:spacing w:before="127" w:line="579" w:lineRule="exact"/>
        <w:ind w:left="0" w:firstLine="460"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34.2履约保证金在合同执行完毕后无息退还。</w:t>
      </w:r>
    </w:p>
    <w:p>
      <w:pPr>
        <w:pStyle w:val="43"/>
        <w:tabs>
          <w:tab w:val="left" w:pos="1173"/>
        </w:tabs>
        <w:snapToGrid w:val="0"/>
        <w:spacing w:before="125" w:line="579" w:lineRule="exact"/>
        <w:ind w:left="0" w:right="231"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34.3如中标候选人不能提供则取消其中标资格。供应商须承诺如成为中标候选人</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能够及时提供该笔资金。</w:t>
      </w:r>
    </w:p>
    <w:p>
      <w:pPr>
        <w:pStyle w:val="41"/>
        <w:keepNext w:val="0"/>
        <w:keepLines w:val="0"/>
        <w:pageBreakBefore w:val="0"/>
        <w:widowControl/>
        <w:kinsoku/>
        <w:wordWrap/>
        <w:overflowPunct/>
        <w:topLinePunct w:val="0"/>
        <w:autoSpaceDE/>
        <w:autoSpaceDN/>
        <w:bidi w:val="0"/>
        <w:adjustRightInd/>
        <w:snapToGrid w:val="0"/>
        <w:spacing w:before="0" w:line="579" w:lineRule="exact"/>
        <w:ind w:left="0" w:right="0" w:firstLine="458" w:firstLineChars="200"/>
        <w:textAlignment w:val="baseline"/>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35．签订合同</w:t>
      </w:r>
    </w:p>
    <w:p>
      <w:pPr>
        <w:pStyle w:val="43"/>
        <w:keepNext w:val="0"/>
        <w:keepLines w:val="0"/>
        <w:pageBreakBefore w:val="0"/>
        <w:widowControl/>
        <w:tabs>
          <w:tab w:val="left" w:pos="1113"/>
        </w:tabs>
        <w:kinsoku/>
        <w:wordWrap/>
        <w:overflowPunct/>
        <w:topLinePunct w:val="0"/>
        <w:autoSpaceDE/>
        <w:autoSpaceDN/>
        <w:bidi w:val="0"/>
        <w:adjustRightInd/>
        <w:snapToGrid w:val="0"/>
        <w:spacing w:before="0" w:line="579" w:lineRule="exact"/>
        <w:ind w:left="0" w:right="0" w:firstLine="460" w:firstLineChars="200"/>
        <w:textAlignment w:val="baseline"/>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35.1中标候选人在收到招标方的《中标通知书》后，须及时按照竞争性磋商文件</w:t>
      </w: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和其所提供的响应文件中的约定与采购单位签订书面合同，所签订的合同不得对竞争性</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磋商文件和中标方的响应文件作实质性修改。</w:t>
      </w:r>
    </w:p>
    <w:p>
      <w:pPr>
        <w:pStyle w:val="43"/>
        <w:tabs>
          <w:tab w:val="left" w:pos="1113"/>
        </w:tabs>
        <w:snapToGrid w:val="0"/>
        <w:spacing w:before="28" w:line="579" w:lineRule="exact"/>
        <w:ind w:left="0" w:right="114" w:firstLine="436" w:firstLineChars="200"/>
        <w:rPr>
          <w:rStyle w:val="31"/>
          <w:rFonts w:ascii="仿宋" w:hAnsi="仿宋" w:eastAsia="仿宋" w:cs="仿宋"/>
          <w:color w:val="000000" w:themeColor="text1"/>
          <w:spacing w:val="-1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1"/>
          <w:sz w:val="24"/>
          <w:szCs w:val="24"/>
          <w:highlight w:val="none"/>
          <w:lang w:eastAsia="zh-CN"/>
          <w14:textFill>
            <w14:solidFill>
              <w14:schemeClr w14:val="tx1"/>
            </w14:solidFill>
          </w14:textFill>
        </w:rPr>
        <w:t>35.2竞争性磋商文件、中标方的响应文件及其澄清文件等，均为签订合同的依据。</w:t>
      </w:r>
    </w:p>
    <w:p>
      <w:pPr>
        <w:pStyle w:val="43"/>
        <w:tabs>
          <w:tab w:val="left" w:pos="1113"/>
        </w:tabs>
        <w:snapToGrid w:val="0"/>
        <w:spacing w:before="28" w:line="579" w:lineRule="exact"/>
        <w:ind w:left="0" w:right="114" w:firstLine="468" w:firstLineChars="2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3"/>
          <w:sz w:val="24"/>
          <w:szCs w:val="24"/>
          <w:highlight w:val="none"/>
          <w:lang w:eastAsia="zh-CN"/>
          <w14:textFill>
            <w14:solidFill>
              <w14:schemeClr w14:val="tx1"/>
            </w14:solidFill>
          </w14:textFill>
        </w:rPr>
        <w:t>35.3</w:t>
      </w:r>
      <w:r>
        <w:rPr>
          <w:rStyle w:val="31"/>
          <w:rFonts w:hint="eastAsia" w:ascii="仿宋" w:hAnsi="仿宋" w:eastAsia="仿宋" w:cs="仿宋"/>
          <w:color w:val="000000" w:themeColor="text1"/>
          <w:spacing w:val="-11"/>
          <w:sz w:val="24"/>
          <w:szCs w:val="24"/>
          <w:highlight w:val="none"/>
          <w:lang w:eastAsia="zh-CN"/>
          <w14:textFill>
            <w14:solidFill>
              <w14:schemeClr w14:val="tx1"/>
            </w14:solidFill>
          </w14:textFill>
        </w:rPr>
        <w:t>如果中标人不能按本须知第</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35.1</w:t>
      </w:r>
      <w:r>
        <w:rPr>
          <w:rStyle w:val="31"/>
          <w:rFonts w:hint="eastAsia" w:ascii="仿宋" w:hAnsi="仿宋" w:eastAsia="仿宋" w:cs="仿宋"/>
          <w:color w:val="000000" w:themeColor="text1"/>
          <w:spacing w:val="-16"/>
          <w:sz w:val="24"/>
          <w:szCs w:val="24"/>
          <w:highlight w:val="none"/>
          <w:lang w:eastAsia="zh-CN"/>
          <w14:textFill>
            <w14:solidFill>
              <w14:schemeClr w14:val="tx1"/>
            </w14:solidFill>
          </w14:textFill>
        </w:rPr>
        <w:t>款的规定执行，采购人将有充分的理由废除</w:t>
      </w:r>
      <w:r>
        <w:rPr>
          <w:rStyle w:val="31"/>
          <w:rFonts w:hint="eastAsia" w:ascii="仿宋" w:hAnsi="仿宋" w:eastAsia="仿宋" w:cs="仿宋"/>
          <w:color w:val="000000" w:themeColor="text1"/>
          <w:spacing w:val="-12"/>
          <w:sz w:val="24"/>
          <w:szCs w:val="24"/>
          <w:highlight w:val="none"/>
          <w:lang w:eastAsia="zh-CN"/>
          <w14:textFill>
            <w14:solidFill>
              <w14:schemeClr w14:val="tx1"/>
            </w14:solidFill>
          </w14:textFill>
        </w:rPr>
        <w:t>其中标资格，并没收其磋商保证金，给采购人造成的损失超过磋商保证金数额的，还应</w:t>
      </w:r>
      <w:r>
        <w:rPr>
          <w:rStyle w:val="31"/>
          <w:rFonts w:hint="eastAsia" w:ascii="仿宋" w:hAnsi="仿宋" w:eastAsia="仿宋" w:cs="仿宋"/>
          <w:color w:val="000000" w:themeColor="text1"/>
          <w:spacing w:val="-13"/>
          <w:sz w:val="24"/>
          <w:szCs w:val="24"/>
          <w:highlight w:val="none"/>
          <w:lang w:eastAsia="zh-CN"/>
          <w14:textFill>
            <w14:solidFill>
              <w14:schemeClr w14:val="tx1"/>
            </w14:solidFill>
          </w14:textFill>
        </w:rPr>
        <w:t>当对超过部分予以赔偿，同时依法承担相应法律责任；同时，采购人有权将标授予另一</w:t>
      </w:r>
      <w:r>
        <w:rPr>
          <w:rStyle w:val="31"/>
          <w:rFonts w:hint="eastAsia" w:ascii="仿宋" w:hAnsi="仿宋" w:eastAsia="仿宋" w:cs="仿宋"/>
          <w:color w:val="000000" w:themeColor="text1"/>
          <w:spacing w:val="-5"/>
          <w:sz w:val="24"/>
          <w:szCs w:val="24"/>
          <w:highlight w:val="none"/>
          <w:lang w:eastAsia="zh-CN"/>
          <w14:textFill>
            <w14:solidFill>
              <w14:schemeClr w14:val="tx1"/>
            </w14:solidFill>
          </w14:textFill>
        </w:rPr>
        <w:t>个候选中标人或重新招标。</w:t>
      </w:r>
    </w:p>
    <w:p>
      <w:pPr>
        <w:pStyle w:val="34"/>
        <w:snapToGrid w:val="0"/>
        <w:spacing w:before="31" w:line="579" w:lineRule="exact"/>
        <w:ind w:left="0" w:right="232" w:firstLine="468" w:firstLineChars="200"/>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spacing w:val="-3"/>
          <w:highlight w:val="none"/>
          <w:lang w:eastAsia="zh-CN"/>
          <w14:textFill>
            <w14:solidFill>
              <w14:schemeClr w14:val="tx1"/>
            </w14:solidFill>
          </w14:textFill>
        </w:rPr>
        <w:t>35.4</w:t>
      </w:r>
      <w:r>
        <w:rPr>
          <w:rStyle w:val="31"/>
          <w:rFonts w:hint="eastAsia" w:ascii="仿宋" w:hAnsi="仿宋" w:eastAsia="仿宋" w:cs="仿宋"/>
          <w:color w:val="000000" w:themeColor="text1"/>
          <w:spacing w:val="-5"/>
          <w:highlight w:val="none"/>
          <w:lang w:eastAsia="zh-CN"/>
          <w14:textFill>
            <w14:solidFill>
              <w14:schemeClr w14:val="tx1"/>
            </w14:solidFill>
          </w14:textFill>
        </w:rPr>
        <w:t>不允许中标人将中标项目分包或转交他人承担。特殊情况下，中标人必须与</w:t>
      </w:r>
      <w:r>
        <w:rPr>
          <w:rStyle w:val="31"/>
          <w:rFonts w:hint="eastAsia" w:ascii="仿宋" w:hAnsi="仿宋" w:eastAsia="仿宋" w:cs="仿宋"/>
          <w:color w:val="000000" w:themeColor="text1"/>
          <w:spacing w:val="-8"/>
          <w:highlight w:val="none"/>
          <w:lang w:eastAsia="zh-CN"/>
          <w14:textFill>
            <w14:solidFill>
              <w14:schemeClr w14:val="tx1"/>
            </w14:solidFill>
          </w14:textFill>
        </w:rPr>
        <w:t>招标方协商后共同决定将合同标的中的部分由第三方承担供货和服务责任，但中标方必</w:t>
      </w:r>
      <w:r>
        <w:rPr>
          <w:rStyle w:val="31"/>
          <w:rFonts w:hint="eastAsia" w:ascii="仿宋" w:hAnsi="仿宋" w:eastAsia="仿宋" w:cs="仿宋"/>
          <w:color w:val="000000" w:themeColor="text1"/>
          <w:spacing w:val="-9"/>
          <w:highlight w:val="none"/>
          <w:lang w:eastAsia="zh-CN"/>
          <w14:textFill>
            <w14:solidFill>
              <w14:schemeClr w14:val="tx1"/>
            </w14:solidFill>
          </w14:textFill>
        </w:rPr>
        <w:t>须对合同标的的全部内容向招标方负责，并保证第三方提供的供货和服务符合竞争性磋</w:t>
      </w:r>
      <w:r>
        <w:rPr>
          <w:rStyle w:val="31"/>
          <w:rFonts w:hint="eastAsia" w:ascii="仿宋" w:hAnsi="仿宋" w:eastAsia="仿宋" w:cs="仿宋"/>
          <w:color w:val="000000" w:themeColor="text1"/>
          <w:spacing w:val="-5"/>
          <w:highlight w:val="none"/>
          <w:lang w:eastAsia="zh-CN"/>
          <w14:textFill>
            <w14:solidFill>
              <w14:schemeClr w14:val="tx1"/>
            </w14:solidFill>
          </w14:textFill>
        </w:rPr>
        <w:t>商文件的约定和响应文件的承诺及相关约定。</w:t>
      </w:r>
    </w:p>
    <w:p>
      <w:pPr>
        <w:pStyle w:val="42"/>
        <w:keepNext w:val="0"/>
        <w:keepLines w:val="0"/>
        <w:pageBreakBefore w:val="0"/>
        <w:widowControl/>
        <w:kinsoku/>
        <w:wordWrap/>
        <w:overflowPunct/>
        <w:topLinePunct w:val="0"/>
        <w:autoSpaceDE/>
        <w:autoSpaceDN/>
        <w:bidi w:val="0"/>
        <w:adjustRightInd/>
        <w:snapToGrid/>
        <w:spacing w:before="15" w:line="579" w:lineRule="exact"/>
        <w:ind w:left="0" w:right="34"/>
        <w:textAlignment w:val="baseline"/>
        <w:outlineLvl w:val="9"/>
        <w:rPr>
          <w:rStyle w:val="31"/>
          <w:rFonts w:ascii="仿宋" w:hAnsi="仿宋" w:eastAsia="仿宋" w:cs="仿宋"/>
          <w:color w:val="000000" w:themeColor="text1"/>
          <w:sz w:val="28"/>
          <w:szCs w:val="28"/>
          <w:highlight w:val="none"/>
          <w:lang w:eastAsia="zh-CN"/>
          <w14:textFill>
            <w14:solidFill>
              <w14:schemeClr w14:val="tx1"/>
            </w14:solidFill>
          </w14:textFill>
        </w:rPr>
      </w:pPr>
      <w:bookmarkStart w:id="55" w:name="_Toc20686"/>
    </w:p>
    <w:p>
      <w:pPr>
        <w:pStyle w:val="42"/>
        <w:spacing w:before="15" w:line="579" w:lineRule="exact"/>
        <w:ind w:left="0" w:right="34"/>
        <w:outlineLvl w:val="1"/>
        <w:rPr>
          <w:rStyle w:val="31"/>
          <w:rFonts w:ascii="仿宋" w:hAnsi="仿宋" w:eastAsia="仿宋" w:cs="仿宋"/>
          <w:color w:val="000000" w:themeColor="text1"/>
          <w:sz w:val="28"/>
          <w:szCs w:val="28"/>
          <w:highlight w:val="none"/>
          <w:lang w:eastAsia="zh-CN"/>
          <w14:textFill>
            <w14:solidFill>
              <w14:schemeClr w14:val="tx1"/>
            </w14:solidFill>
          </w14:textFill>
        </w:rPr>
      </w:pPr>
      <w:bookmarkStart w:id="56" w:name="_Toc3106"/>
      <w:bookmarkStart w:id="57" w:name="_Toc11289"/>
      <w:bookmarkStart w:id="58" w:name="_Toc15794"/>
      <w:bookmarkStart w:id="59" w:name="_Toc4813"/>
      <w:bookmarkStart w:id="60" w:name="_Toc31718"/>
      <w:r>
        <w:rPr>
          <w:rStyle w:val="31"/>
          <w:rFonts w:hint="eastAsia" w:ascii="仿宋" w:hAnsi="仿宋" w:eastAsia="仿宋" w:cs="仿宋"/>
          <w:color w:val="000000" w:themeColor="text1"/>
          <w:sz w:val="28"/>
          <w:szCs w:val="28"/>
          <w:highlight w:val="none"/>
          <w:lang w:eastAsia="zh-CN"/>
          <w14:textFill>
            <w14:solidFill>
              <w14:schemeClr w14:val="tx1"/>
            </w14:solidFill>
          </w14:textFill>
        </w:rPr>
        <w:t>第八章 其他</w:t>
      </w:r>
      <w:bookmarkEnd w:id="55"/>
      <w:bookmarkEnd w:id="56"/>
      <w:bookmarkEnd w:id="57"/>
      <w:bookmarkEnd w:id="58"/>
      <w:bookmarkEnd w:id="59"/>
      <w:bookmarkEnd w:id="60"/>
    </w:p>
    <w:p>
      <w:pPr>
        <w:pStyle w:val="34"/>
        <w:snapToGrid w:val="0"/>
        <w:spacing w:before="31" w:line="579" w:lineRule="exact"/>
        <w:ind w:left="0" w:right="232" w:firstLine="458" w:firstLineChars="200"/>
        <w:jc w:val="both"/>
        <w:rPr>
          <w:rStyle w:val="31"/>
          <w:rFonts w:ascii="仿宋" w:hAnsi="仿宋" w:eastAsia="仿宋" w:cs="仿宋"/>
          <w:b/>
          <w:color w:val="000000" w:themeColor="text1"/>
          <w:w w:val="95"/>
          <w:highlight w:val="none"/>
          <w:lang w:eastAsia="zh-CN"/>
          <w14:textFill>
            <w14:solidFill>
              <w14:schemeClr w14:val="tx1"/>
            </w14:solidFill>
          </w14:textFill>
        </w:rPr>
      </w:pPr>
      <w:r>
        <w:rPr>
          <w:rStyle w:val="31"/>
          <w:rFonts w:hint="eastAsia" w:ascii="仿宋" w:hAnsi="仿宋" w:eastAsia="仿宋" w:cs="仿宋"/>
          <w:b/>
          <w:color w:val="000000" w:themeColor="text1"/>
          <w:w w:val="95"/>
          <w:highlight w:val="none"/>
          <w:lang w:eastAsia="zh-CN"/>
          <w14:textFill>
            <w14:solidFill>
              <w14:schemeClr w14:val="tx1"/>
            </w14:solidFill>
          </w14:textFill>
        </w:rPr>
        <w:t>36.需要补充的其他内容</w:t>
      </w:r>
    </w:p>
    <w:p>
      <w:pPr>
        <w:pStyle w:val="34"/>
        <w:snapToGrid w:val="0"/>
        <w:spacing w:before="31" w:line="579" w:lineRule="exact"/>
        <w:ind w:left="0" w:right="232" w:firstLine="480" w:firstLineChars="200"/>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36.1需要补充的其他内容详见供应商须知前附表。</w:t>
      </w:r>
    </w:p>
    <w:p>
      <w:pPr>
        <w:pStyle w:val="34"/>
        <w:snapToGrid w:val="0"/>
        <w:spacing w:before="31" w:line="579" w:lineRule="exact"/>
        <w:ind w:left="0" w:right="232" w:firstLine="480" w:firstLineChars="200"/>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36.2本竞争性磋商文件解释权归新疆君凯杰工程项目管理有限公司</w:t>
      </w:r>
    </w:p>
    <w:p>
      <w:pPr>
        <w:spacing w:before="20" w:line="579" w:lineRule="exact"/>
        <w:ind w:left="590" w:right="556"/>
        <w:jc w:val="center"/>
        <w:outlineLvl w:val="1"/>
        <w:rPr>
          <w:rStyle w:val="31"/>
          <w:rFonts w:ascii="仿宋" w:hAnsi="仿宋" w:eastAsia="仿宋" w:cs="仿宋"/>
          <w:b/>
          <w:color w:val="000000" w:themeColor="text1"/>
          <w:sz w:val="28"/>
          <w:szCs w:val="28"/>
          <w:highlight w:val="none"/>
          <w:lang w:eastAsia="zh-CN"/>
          <w14:textFill>
            <w14:solidFill>
              <w14:schemeClr w14:val="tx1"/>
            </w14:solidFill>
          </w14:textFill>
        </w:rPr>
      </w:pPr>
      <w:bookmarkStart w:id="61" w:name="_Toc13216"/>
      <w:bookmarkStart w:id="62" w:name="_Toc29713"/>
      <w:bookmarkStart w:id="63" w:name="_Toc13753"/>
      <w:bookmarkStart w:id="64" w:name="_Toc13072"/>
      <w:bookmarkStart w:id="65" w:name="_Toc18458"/>
      <w:bookmarkStart w:id="66" w:name="_Toc16294"/>
      <w:r>
        <w:rPr>
          <w:rStyle w:val="31"/>
          <w:rFonts w:hint="eastAsia" w:ascii="仿宋" w:hAnsi="仿宋" w:eastAsia="仿宋" w:cs="仿宋"/>
          <w:b/>
          <w:bCs/>
          <w:color w:val="000000" w:themeColor="text1"/>
          <w:sz w:val="28"/>
          <w:szCs w:val="28"/>
          <w:highlight w:val="none"/>
          <w:lang w:eastAsia="zh-CN"/>
          <w14:textFill>
            <w14:solidFill>
              <w14:schemeClr w14:val="tx1"/>
            </w14:solidFill>
          </w14:textFill>
        </w:rPr>
        <w:t>第九章 质疑的提出及处理</w:t>
      </w:r>
      <w:bookmarkEnd w:id="61"/>
      <w:bookmarkEnd w:id="62"/>
      <w:bookmarkEnd w:id="63"/>
      <w:bookmarkEnd w:id="64"/>
      <w:bookmarkEnd w:id="65"/>
      <w:bookmarkEnd w:id="66"/>
    </w:p>
    <w:p>
      <w:pPr>
        <w:pStyle w:val="34"/>
        <w:spacing w:before="116" w:line="579" w:lineRule="exact"/>
        <w:ind w:right="255" w:firstLine="47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政府采购供应商（以下简称供应商）提出质疑和投诉应当坚持依法依规、诚实信用原则。</w:t>
      </w:r>
    </w:p>
    <w:p>
      <w:pPr>
        <w:pStyle w:val="41"/>
        <w:spacing w:before="29"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37.质疑的提出</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37.1供应商认为采购文件、采购过程、中标或者成交结果使自己的权益受到损害的，可以在知道或者应知其权益受到损害之日起七个工作日内，以书面形式向采购人、采购代理机构提出质疑。</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采购文件可以要求供应商在法定质疑期内一次性提出针对同一采购程序环节的质疑。</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37.2提出质疑的供应商（以下简称质疑供应商）应当是参与所质疑项目采购活动的供应商。</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pPr>
        <w:pStyle w:val="34"/>
        <w:spacing w:before="26"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37.3供应商提出质疑应当提交质疑函和必要的证明材料。质疑函应当包括下列内容：</w:t>
      </w:r>
    </w:p>
    <w:p>
      <w:pPr>
        <w:pStyle w:val="34"/>
        <w:spacing w:before="26"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（1）供应商的姓名或者名称、地址、邮编、联系人及联系电话；</w:t>
      </w:r>
    </w:p>
    <w:p>
      <w:pPr>
        <w:pStyle w:val="34"/>
        <w:spacing w:before="125"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（2）质疑项目的名称、编号；</w:t>
      </w:r>
    </w:p>
    <w:p>
      <w:pPr>
        <w:pStyle w:val="34"/>
        <w:spacing w:before="127"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（3）具体、明确的质疑事项和与质疑事项相关的请求；</w:t>
      </w:r>
    </w:p>
    <w:p>
      <w:pPr>
        <w:pStyle w:val="34"/>
        <w:spacing w:before="14"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（4）事实依据；</w:t>
      </w:r>
    </w:p>
    <w:p>
      <w:pPr>
        <w:pStyle w:val="34"/>
        <w:spacing w:before="124"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（5）必要的法律依据；</w:t>
      </w:r>
    </w:p>
    <w:p>
      <w:pPr>
        <w:pStyle w:val="34"/>
        <w:spacing w:before="127" w:line="579" w:lineRule="exact"/>
        <w:ind w:left="589"/>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（6）提出质疑的日期。</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代理人提出质疑和投诉，应当提交供应商签署的授权委托书。</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37.5以联合体形式参加政府采购活动的，其投诉应当由组成联合体的所有供应商共同提出。</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37.7证明材料要具备客观性、关联性、合法性，无法查实的（如宣传册、媒体报道、猜测、推理等）不能作为证明材料。</w:t>
      </w:r>
    </w:p>
    <w:p>
      <w:pPr>
        <w:pStyle w:val="41"/>
        <w:snapToGrid w:val="0"/>
        <w:spacing w:before="26" w:line="579" w:lineRule="exact"/>
        <w:ind w:left="0" w:firstLine="480" w:firstLineChars="200"/>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37.8对不能提供相关证明材料的、涉及商业秘密的、非书面形式送达的、匿名的质疑将不予受理。</w:t>
      </w:r>
    </w:p>
    <w:p>
      <w:pPr>
        <w:pStyle w:val="41"/>
        <w:snapToGrid w:val="0"/>
        <w:spacing w:before="26"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38.受理和处理</w:t>
      </w:r>
    </w:p>
    <w:p>
      <w:pPr>
        <w:snapToGrid w:val="0"/>
        <w:spacing w:line="579" w:lineRule="exact"/>
        <w:ind w:firstLine="448" w:firstLineChars="200"/>
        <w:rPr>
          <w:rStyle w:val="31"/>
          <w:rFonts w:ascii="仿宋" w:hAnsi="仿宋" w:eastAsia="仿宋" w:cs="仿宋"/>
          <w:color w:val="000000" w:themeColor="text1"/>
          <w:spacing w:val="-8"/>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38.1《质疑函》必须由质疑方的法定代表人或参与本次投标的被授权人以书面的形式送达招标方或采购单位。</w:t>
      </w:r>
    </w:p>
    <w:p>
      <w:pPr>
        <w:snapToGrid w:val="0"/>
        <w:spacing w:line="579" w:lineRule="exact"/>
        <w:ind w:firstLine="448" w:firstLineChars="200"/>
        <w:rPr>
          <w:rStyle w:val="31"/>
          <w:rFonts w:ascii="仿宋" w:hAnsi="仿宋" w:eastAsia="仿宋" w:cs="仿宋"/>
          <w:color w:val="000000" w:themeColor="text1"/>
          <w:spacing w:val="-8"/>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8"/>
          <w:sz w:val="24"/>
          <w:szCs w:val="24"/>
          <w:highlight w:val="none"/>
          <w:lang w:eastAsia="zh-CN"/>
          <w14:textFill>
            <w14:solidFill>
              <w14:schemeClr w14:val="tx1"/>
            </w14:solidFill>
          </w14:textFill>
        </w:rPr>
        <w:t>38.2采购人、采购代理机构不得拒收质疑供应商在法定质疑期内发出的质疑函，应当在收到质疑函后7个工作日内作出答复，并以书面形式通知质疑供应商和其他有关供应商。</w:t>
      </w:r>
    </w:p>
    <w:p>
      <w:pPr>
        <w:pStyle w:val="34"/>
        <w:snapToGrid w:val="0"/>
        <w:spacing w:before="31" w:line="579" w:lineRule="exact"/>
        <w:ind w:left="0" w:right="232" w:firstLine="448" w:firstLineChars="200"/>
        <w:jc w:val="both"/>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38.3质疑答复的内容不得涉及商业秘密。</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38.4对于不符合上述37项所述的相关条款要求的质疑，招标方将不予受理。</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38.5在处理过程中，发现需要质疑人进一步补充相关佐证材料的，要求质疑人在规定时间内提供。质疑人不能按照要求提供相关佐证材料的，视同放弃质疑。</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38.6招标方或采购单位负责对质疑的回复工作，将质疑人的质疑材料提供给相关专家或评审小组，并将处理意见回复质疑人。</w:t>
      </w:r>
    </w:p>
    <w:p>
      <w:pPr>
        <w:pStyle w:val="34"/>
        <w:snapToGrid w:val="0"/>
        <w:spacing w:before="31" w:line="579" w:lineRule="exact"/>
        <w:ind w:right="135" w:firstLine="448"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spacing w:val="-8"/>
          <w:highlight w:val="none"/>
          <w:lang w:eastAsia="zh-CN"/>
          <w14:textFill>
            <w14:solidFill>
              <w14:schemeClr w14:val="tx1"/>
            </w14:solidFill>
          </w14:textFill>
        </w:rPr>
        <w:t>38.7采购人、采购代理机构认为供应商质疑不成立，或者成立但未对中标、成交结果构成影响的，继续开展采购活动；认为供应商质疑成立且影响或者可能影响中标、成交结果的，按照下列情况处理：</w:t>
      </w:r>
    </w:p>
    <w:p>
      <w:pPr>
        <w:pStyle w:val="34"/>
        <w:snapToGrid w:val="0"/>
        <w:spacing w:before="31" w:line="579" w:lineRule="exact"/>
        <w:ind w:right="135" w:firstLine="480" w:firstLineChars="200"/>
        <w:rPr>
          <w:rStyle w:val="31"/>
          <w:rFonts w:ascii="仿宋" w:hAnsi="仿宋" w:eastAsia="仿宋" w:cs="仿宋"/>
          <w:color w:val="000000" w:themeColor="text1"/>
          <w:spacing w:val="-8"/>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pPr>
        <w:pStyle w:val="34"/>
        <w:snapToGrid w:val="0"/>
        <w:spacing w:before="31" w:line="579" w:lineRule="exact"/>
        <w:ind w:left="0" w:right="134"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4"/>
        <w:snapToGrid w:val="0"/>
        <w:spacing w:before="31" w:line="579" w:lineRule="exact"/>
        <w:ind w:left="0" w:right="255"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质疑答复导致中标、成交结果改变的，采购人或者采购代理机构应当将有关情况书面报告本级财政部门。</w:t>
      </w:r>
    </w:p>
    <w:p>
      <w:pPr>
        <w:pStyle w:val="41"/>
        <w:snapToGrid w:val="0"/>
        <w:spacing w:before="29" w:line="579" w:lineRule="exact"/>
        <w:ind w:left="0" w:firstLine="482"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39.质疑无效的处理</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39.1质疑人提供的相关佐证材料不能证明质疑成立的，招标方可要求质疑人补充相关佐证材料，如补充材料仍不能证明质疑成立的，将不予受理。</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39.2对于质疑人在质疑期间不配合进行质疑调查处理的，视为自动放弃质疑。</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39.3质疑人提出的质疑，经评标专家审定后驳回的，列为无效质疑。</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39.4对于质疑中使用虚假材料或恶意方式质疑的，按无效质疑处理，并列入不良记录供应商名单。</w:t>
      </w:r>
    </w:p>
    <w:p>
      <w:pPr>
        <w:pStyle w:val="41"/>
        <w:snapToGrid w:val="0"/>
        <w:spacing w:before="28" w:line="579" w:lineRule="exact"/>
        <w:ind w:left="0" w:firstLine="460"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b w:val="0"/>
          <w:bCs w:val="0"/>
          <w:color w:val="000000" w:themeColor="text1"/>
          <w:spacing w:val="-5"/>
          <w:highlight w:val="none"/>
          <w:lang w:eastAsia="zh-CN"/>
          <w14:textFill>
            <w14:solidFill>
              <w14:schemeClr w14:val="tx1"/>
            </w14:solidFill>
          </w14:textFill>
        </w:rPr>
        <w:t>39.5质疑人进行质疑后，招标方在法定时间内对质疑进行回复，质疑人认为回复不满意的，可向相关的采购管理部门进行投诉。</w:t>
      </w:r>
    </w:p>
    <w:p>
      <w:pPr>
        <w:pStyle w:val="41"/>
        <w:snapToGrid w:val="0"/>
        <w:spacing w:before="28" w:line="579" w:lineRule="exact"/>
        <w:ind w:firstLine="458" w:firstLineChars="200"/>
        <w:rPr>
          <w:rStyle w:val="31"/>
          <w:rFonts w:ascii="仿宋" w:hAnsi="仿宋" w:eastAsia="仿宋" w:cs="仿宋"/>
          <w:b w:val="0"/>
          <w:bCs w:val="0"/>
          <w:color w:val="000000" w:themeColor="text1"/>
          <w:spacing w:val="-5"/>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40.其他</w:t>
      </w:r>
    </w:p>
    <w:p>
      <w:pPr>
        <w:pStyle w:val="41"/>
        <w:spacing w:before="14" w:line="579" w:lineRule="exact"/>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40.1质疑函和投诉书应当使用中文。质疑函和投诉书的范本，由财政部制定。</w:t>
      </w:r>
    </w:p>
    <w:p>
      <w:pPr>
        <w:pStyle w:val="41"/>
        <w:spacing w:before="14" w:line="579" w:lineRule="exact"/>
        <w:rPr>
          <w:rStyle w:val="31"/>
          <w:rFonts w:ascii="仿宋" w:hAnsi="仿宋" w:eastAsia="仿宋" w:cs="仿宋"/>
          <w:b w:val="0"/>
          <w:bCs w:val="0"/>
          <w:color w:val="000000" w:themeColor="text1"/>
          <w:highlight w:val="none"/>
          <w:lang w:eastAsia="zh-CN"/>
          <w14:textFill>
            <w14:solidFill>
              <w14:schemeClr w14:val="tx1"/>
            </w14:solidFill>
          </w14:textFill>
        </w:rPr>
      </w:pPr>
      <w:r>
        <w:rPr>
          <w:rStyle w:val="31"/>
          <w:rFonts w:hint="eastAsia" w:ascii="仿宋" w:hAnsi="仿宋" w:eastAsia="仿宋" w:cs="仿宋"/>
          <w:b w:val="0"/>
          <w:bCs w:val="0"/>
          <w:color w:val="000000" w:themeColor="text1"/>
          <w:highlight w:val="none"/>
          <w:lang w:eastAsia="zh-CN"/>
          <w14:textFill>
            <w14:solidFill>
              <w14:schemeClr w14:val="tx1"/>
            </w14:solidFill>
          </w14:textFill>
        </w:rPr>
        <w:t>40.2对在质疑答复和投诉处理过程中知悉的国家秘密、商业秘密、个人隐私和依法不予公开的信息，财政部门、采购人、采购代理机构等相关知情人应当保密。</w:t>
      </w:r>
    </w:p>
    <w:p>
      <w:pPr>
        <w:pStyle w:val="41"/>
        <w:spacing w:before="14" w:line="579" w:lineRule="exact"/>
        <w:ind w:left="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w w:val="95"/>
          <w:highlight w:val="none"/>
          <w:lang w:eastAsia="zh-CN"/>
          <w14:textFill>
            <w14:solidFill>
              <w14:schemeClr w14:val="tx1"/>
            </w14:solidFill>
          </w14:textFill>
        </w:rPr>
        <w:t>质疑函制作说明:</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1.供应商提出质疑时，应提交质疑函和必要的证明材料。</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4"/>
        <w:spacing w:before="31"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3.质疑供应商若对项目的某一分包进行质疑，质疑函中应列明具体分包号。</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4.质疑函的质疑事项应具体、明确，并有必要的事实依据和法律依据。</w:t>
      </w:r>
    </w:p>
    <w:p>
      <w:pPr>
        <w:pStyle w:val="34"/>
        <w:spacing w:before="124" w:line="579" w:lineRule="exact"/>
        <w:ind w:left="0" w:firstLine="480" w:firstLineChars="200"/>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5.质疑函的质疑请求应与质疑事项相关。</w:t>
      </w:r>
    </w:p>
    <w:p>
      <w:pPr>
        <w:pStyle w:val="34"/>
        <w:snapToGrid w:val="0"/>
        <w:spacing w:before="31" w:line="579" w:lineRule="exact"/>
        <w:ind w:left="0" w:right="232" w:firstLine="480" w:firstLineChars="200"/>
        <w:jc w:val="both"/>
        <w:rPr>
          <w:rStyle w:val="31"/>
          <w:rFonts w:ascii="仿宋" w:hAnsi="仿宋" w:eastAsia="仿宋" w:cs="仿宋"/>
          <w:color w:val="000000" w:themeColor="text1"/>
          <w:highlight w:val="none"/>
          <w:lang w:eastAsia="zh-CN"/>
          <w14:textFill>
            <w14:solidFill>
              <w14:schemeClr w14:val="tx1"/>
            </w14:solidFill>
          </w14:textFill>
        </w:rPr>
        <w:sectPr>
          <w:pgSz w:w="11910" w:h="16840"/>
          <w:pgMar w:top="1480" w:right="1180" w:bottom="1180" w:left="1480" w:header="0" w:footer="912" w:gutter="0"/>
          <w:pgNumType w:fmt="decimal"/>
          <w:cols w:space="720" w:num="1"/>
        </w:sectPr>
      </w:pPr>
      <w:r>
        <w:rPr>
          <w:rStyle w:val="31"/>
          <w:rFonts w:hint="eastAsia" w:ascii="仿宋" w:hAnsi="仿宋" w:eastAsia="仿宋" w:cs="仿宋"/>
          <w:color w:val="000000" w:themeColor="text1"/>
          <w:highlight w:val="none"/>
          <w:lang w:eastAsia="zh-CN"/>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579" w:lineRule="exact"/>
        <w:ind w:left="702" w:right="693"/>
        <w:jc w:val="center"/>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质疑函范本</w:t>
      </w:r>
    </w:p>
    <w:p>
      <w:pPr>
        <w:spacing w:before="62" w:line="579" w:lineRule="exact"/>
        <w:ind w:left="109" w:right="6225"/>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一、质疑供应商基本信息</w:t>
      </w:r>
    </w:p>
    <w:p>
      <w:pPr>
        <w:spacing w:before="62" w:line="579" w:lineRule="exact"/>
        <w:ind w:left="109" w:right="622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质疑供应商：</w:t>
      </w:r>
    </w:p>
    <w:p>
      <w:pPr>
        <w:pStyle w:val="34"/>
        <w:spacing w:before="9" w:line="579" w:lineRule="exact"/>
        <w:ind w:right="5874"/>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地址：邮编：</w:t>
      </w:r>
    </w:p>
    <w:p>
      <w:pPr>
        <w:pStyle w:val="34"/>
        <w:spacing w:before="9" w:line="579" w:lineRule="exact"/>
        <w:ind w:right="5874"/>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联系人：联系电话：授权代表：</w:t>
      </w:r>
    </w:p>
    <w:p>
      <w:pPr>
        <w:pStyle w:val="34"/>
        <w:spacing w:before="9"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联系电话：</w:t>
      </w:r>
    </w:p>
    <w:p>
      <w:pPr>
        <w:spacing w:before="45" w:line="579" w:lineRule="exact"/>
        <w:ind w:left="109" w:right="5874"/>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地址：邮编：</w:t>
      </w:r>
    </w:p>
    <w:p>
      <w:pPr>
        <w:spacing w:before="45" w:line="579" w:lineRule="exact"/>
        <w:ind w:left="109" w:right="5874"/>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w w:val="95"/>
          <w:sz w:val="24"/>
          <w:szCs w:val="24"/>
          <w:highlight w:val="none"/>
          <w:lang w:eastAsia="zh-CN"/>
          <w14:textFill>
            <w14:solidFill>
              <w14:schemeClr w14:val="tx1"/>
            </w14:solidFill>
          </w14:textFill>
        </w:rPr>
        <w:t>二、质疑项目基本情况</w:t>
      </w:r>
    </w:p>
    <w:p>
      <w:pPr>
        <w:pStyle w:val="34"/>
        <w:spacing w:before="9"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质疑项目的名称：</w:t>
      </w:r>
    </w:p>
    <w:p>
      <w:pPr>
        <w:pStyle w:val="34"/>
        <w:spacing w:before="45" w:line="579" w:lineRule="exact"/>
        <w:ind w:right="539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质疑项目的编号：包号：</w:t>
      </w:r>
    </w:p>
    <w:p>
      <w:pPr>
        <w:pStyle w:val="34"/>
        <w:spacing w:before="45" w:line="579" w:lineRule="exact"/>
        <w:ind w:right="539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采购人名称：</w:t>
      </w:r>
    </w:p>
    <w:p>
      <w:pPr>
        <w:spacing w:before="9" w:line="579" w:lineRule="exact"/>
        <w:ind w:left="109" w:right="646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采购文件获取日期：</w:t>
      </w:r>
    </w:p>
    <w:p>
      <w:pPr>
        <w:spacing w:before="9" w:line="579" w:lineRule="exact"/>
        <w:ind w:left="109" w:right="6465"/>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三、质疑事项具体内容</w:t>
      </w:r>
    </w:p>
    <w:p>
      <w:pPr>
        <w:spacing w:before="9" w:line="579" w:lineRule="exact"/>
        <w:ind w:left="109" w:right="6465"/>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pacing w:val="-13"/>
          <w:sz w:val="24"/>
          <w:szCs w:val="24"/>
          <w:highlight w:val="none"/>
          <w:lang w:eastAsia="zh-CN"/>
          <w14:textFill>
            <w14:solidFill>
              <w14:schemeClr w14:val="tx1"/>
            </w14:solidFill>
          </w14:textFill>
        </w:rPr>
        <w:t>质疑事项</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1：</w:t>
      </w:r>
    </w:p>
    <w:p>
      <w:pPr>
        <w:pStyle w:val="34"/>
        <w:spacing w:before="9" w:line="579" w:lineRule="exact"/>
        <w:ind w:right="7675"/>
        <w:jc w:val="both"/>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事实依据：法律依据：质疑事项2</w:t>
      </w:r>
    </w:p>
    <w:p>
      <w:pPr>
        <w:pStyle w:val="34"/>
        <w:spacing w:before="9" w:line="579" w:lineRule="exact"/>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w:t>
      </w:r>
    </w:p>
    <w:p>
      <w:pPr>
        <w:spacing w:before="45" w:line="579" w:lineRule="exact"/>
        <w:ind w:left="109" w:right="5500"/>
        <w:rPr>
          <w:rStyle w:val="31"/>
          <w:rFonts w:ascii="仿宋" w:hAnsi="仿宋" w:eastAsia="仿宋" w:cs="仿宋"/>
          <w:b/>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b/>
          <w:color w:val="000000" w:themeColor="text1"/>
          <w:sz w:val="24"/>
          <w:szCs w:val="24"/>
          <w:highlight w:val="none"/>
          <w:lang w:eastAsia="zh-CN"/>
          <w14:textFill>
            <w14:solidFill>
              <w14:schemeClr w14:val="tx1"/>
            </w14:solidFill>
          </w14:textFill>
        </w:rPr>
        <w:t>四、与质疑事项相关的质疑请求</w:t>
      </w:r>
    </w:p>
    <w:p>
      <w:pPr>
        <w:spacing w:before="45" w:line="579" w:lineRule="exact"/>
        <w:ind w:left="109" w:right="5500"/>
        <w:rPr>
          <w:rStyle w:val="31"/>
          <w:rFonts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请求：</w:t>
      </w:r>
    </w:p>
    <w:p>
      <w:pPr>
        <w:pStyle w:val="34"/>
        <w:spacing w:before="9" w:line="579" w:lineRule="exact"/>
        <w:ind w:right="635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签字（盖章）：公章：</w:t>
      </w:r>
    </w:p>
    <w:p>
      <w:pPr>
        <w:pStyle w:val="34"/>
        <w:spacing w:before="9" w:line="579" w:lineRule="exact"/>
        <w:ind w:right="6354"/>
        <w:rPr>
          <w:rStyle w:val="31"/>
          <w:rFonts w:ascii="仿宋" w:hAnsi="仿宋" w:eastAsia="仿宋" w:cs="仿宋"/>
          <w:color w:val="000000" w:themeColor="text1"/>
          <w:highlight w:val="none"/>
          <w:lang w:eastAsia="zh-CN"/>
          <w14:textFill>
            <w14:solidFill>
              <w14:schemeClr w14:val="tx1"/>
            </w14:solidFill>
          </w14:textFill>
        </w:rPr>
      </w:pPr>
      <w:r>
        <w:rPr>
          <w:rStyle w:val="31"/>
          <w:rFonts w:hint="eastAsia" w:ascii="仿宋" w:hAnsi="仿宋" w:eastAsia="仿宋" w:cs="仿宋"/>
          <w:color w:val="000000" w:themeColor="text1"/>
          <w:highlight w:val="none"/>
          <w:lang w:eastAsia="zh-CN"/>
          <w14:textFill>
            <w14:solidFill>
              <w14:schemeClr w14:val="tx1"/>
            </w14:solidFill>
          </w14:textFill>
        </w:rPr>
        <w:t>日期：</w:t>
      </w:r>
    </w:p>
    <w:p>
      <w:pPr>
        <w:spacing w:line="579" w:lineRule="exact"/>
        <w:rPr>
          <w:rStyle w:val="31"/>
          <w:rFonts w:ascii="仿宋" w:hAnsi="仿宋" w:eastAsia="仿宋" w:cs="仿宋"/>
          <w:color w:val="000000" w:themeColor="text1"/>
          <w:sz w:val="24"/>
          <w:szCs w:val="24"/>
          <w:highlight w:val="none"/>
          <w:lang w:eastAsia="zh-CN"/>
          <w14:textFill>
            <w14:solidFill>
              <w14:schemeClr w14:val="tx1"/>
            </w14:solidFill>
          </w14:textFill>
        </w:rPr>
        <w:sectPr>
          <w:pgSz w:w="11910" w:h="16840"/>
          <w:pgMar w:top="1480" w:right="1320" w:bottom="1180" w:left="1480" w:header="0" w:footer="912" w:gutter="0"/>
          <w:pgNumType w:fmt="decimal"/>
          <w:cols w:space="720" w:num="1"/>
        </w:sectPr>
      </w:pPr>
    </w:p>
    <w:p>
      <w:pPr>
        <w:tabs>
          <w:tab w:val="left" w:pos="1990"/>
        </w:tabs>
        <w:spacing w:line="579" w:lineRule="exact"/>
        <w:ind w:right="147"/>
        <w:jc w:val="center"/>
        <w:outlineLvl w:val="0"/>
        <w:rPr>
          <w:rStyle w:val="31"/>
          <w:rFonts w:ascii="仿宋" w:hAnsi="仿宋" w:eastAsia="仿宋" w:cs="仿宋"/>
          <w:b/>
          <w:bCs/>
          <w:color w:val="000000" w:themeColor="text1"/>
          <w:sz w:val="28"/>
          <w:szCs w:val="28"/>
          <w:highlight w:val="none"/>
          <w:lang w:eastAsia="zh-CN"/>
          <w14:textFill>
            <w14:solidFill>
              <w14:schemeClr w14:val="tx1"/>
            </w14:solidFill>
          </w14:textFill>
        </w:rPr>
      </w:pPr>
      <w:bookmarkStart w:id="67" w:name="_Toc27166"/>
      <w:bookmarkStart w:id="68" w:name="_Toc14614"/>
      <w:bookmarkStart w:id="69" w:name="_Toc1688"/>
      <w:bookmarkStart w:id="70" w:name="_Toc28108"/>
      <w:bookmarkStart w:id="71" w:name="_Toc25644"/>
      <w:bookmarkStart w:id="72" w:name="_Toc24190"/>
      <w:r>
        <w:rPr>
          <w:rStyle w:val="31"/>
          <w:rFonts w:hint="eastAsia" w:ascii="仿宋" w:hAnsi="仿宋" w:eastAsia="仿宋" w:cs="仿宋"/>
          <w:b/>
          <w:bCs/>
          <w:color w:val="000000" w:themeColor="text1"/>
          <w:sz w:val="28"/>
          <w:szCs w:val="28"/>
          <w:highlight w:val="none"/>
          <w:lang w:eastAsia="zh-CN"/>
          <w14:textFill>
            <w14:solidFill>
              <w14:schemeClr w14:val="tx1"/>
            </w14:solidFill>
          </w14:textFill>
        </w:rPr>
        <w:t>第三部分采购</w:t>
      </w:r>
      <w:r>
        <w:rPr>
          <w:rStyle w:val="31"/>
          <w:rFonts w:hint="eastAsia" w:ascii="仿宋" w:hAnsi="仿宋" w:eastAsia="仿宋" w:cs="仿宋"/>
          <w:b/>
          <w:bCs/>
          <w:color w:val="000000" w:themeColor="text1"/>
          <w:sz w:val="28"/>
          <w:szCs w:val="28"/>
          <w:highlight w:val="none"/>
          <w:lang w:val="en-US" w:eastAsia="zh-CN"/>
          <w14:textFill>
            <w14:solidFill>
              <w14:schemeClr w14:val="tx1"/>
            </w14:solidFill>
          </w14:textFill>
        </w:rPr>
        <w:t>需求</w:t>
      </w:r>
      <w:r>
        <w:rPr>
          <w:rStyle w:val="31"/>
          <w:rFonts w:hint="eastAsia" w:ascii="仿宋" w:hAnsi="仿宋" w:eastAsia="仿宋" w:cs="仿宋"/>
          <w:b/>
          <w:bCs/>
          <w:color w:val="000000" w:themeColor="text1"/>
          <w:sz w:val="28"/>
          <w:szCs w:val="28"/>
          <w:highlight w:val="none"/>
          <w:lang w:eastAsia="zh-CN"/>
          <w14:textFill>
            <w14:solidFill>
              <w14:schemeClr w14:val="tx1"/>
            </w14:solidFill>
          </w14:textFill>
        </w:rPr>
        <w:t>及要求</w:t>
      </w:r>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highlight w:val="none"/>
          <w:lang w:eastAsia="zh-CN"/>
        </w:rPr>
      </w:pPr>
      <w:bookmarkStart w:id="73" w:name="_Toc30219"/>
      <w:bookmarkStart w:id="74" w:name="_Toc15456"/>
      <w:bookmarkStart w:id="75" w:name="_Toc20896"/>
      <w:bookmarkStart w:id="76" w:name="_Toc28991"/>
      <w:bookmarkStart w:id="77" w:name="_Toc15289"/>
      <w:bookmarkStart w:id="78" w:name="_Toc22849"/>
      <w:r>
        <w:rPr>
          <w:rFonts w:hint="eastAsia" w:ascii="仿宋" w:hAnsi="仿宋" w:eastAsia="仿宋" w:cs="仿宋"/>
          <w:b/>
          <w:bCs/>
          <w:sz w:val="28"/>
          <w:szCs w:val="28"/>
          <w:highlight w:val="none"/>
          <w:lang w:eastAsia="zh-CN"/>
        </w:rPr>
        <w:t>一、项目背景</w:t>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由中共中央宣传部、文化和旅游部、湖北省人民政府主办的第二届中国(武汉)文化旅游博览会（简称“武汉文旅博会”）拟于2023年4月21日至23日在武汉国际博览中心举办。本届博览会坚持以习近平新时代中国特色社会主义思想为指导,全面贯彻党的二十大精神,按照“以文塑旅,以旅彰文,推进文化和旅游深度融合发展”的总体要求,不断提升展会的专业化、品牌化、市场化和国际化水平,着力打造国家级、国际化、综合性的文化旅游博览会,推动文化和旅游业全面复苏和高质量发展。</w:t>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color w:val="000000"/>
          <w:kern w:val="0"/>
          <w:sz w:val="24"/>
          <w:szCs w:val="24"/>
          <w:highlight w:val="none"/>
          <w:lang w:val="en-US" w:eastAsia="zh-Hans"/>
        </w:rPr>
      </w:pPr>
      <w:r>
        <w:rPr>
          <w:rFonts w:hint="eastAsia" w:ascii="仿宋" w:hAnsi="仿宋" w:eastAsia="仿宋" w:cs="仿宋"/>
          <w:color w:val="000000"/>
          <w:kern w:val="0"/>
          <w:sz w:val="24"/>
          <w:szCs w:val="24"/>
          <w:highlight w:val="none"/>
          <w:lang w:val="en-US" w:eastAsia="zh-CN"/>
        </w:rPr>
        <w:t>2021年新疆参展团首次参加武汉文旅博览会，并利用这一全新平台，围绕全疆各地文旅特色资源进行全方位、多层次、立体式推介，全面展示了新疆深厚独特的人文景观、丰富多彩的旅游资源和神奇绚烂的自然景观，全力提升“新疆是个好地方”品牌影响力。</w:t>
      </w:r>
      <w:r>
        <w:rPr>
          <w:rFonts w:hint="eastAsia" w:ascii="仿宋" w:hAnsi="仿宋" w:eastAsia="仿宋" w:cs="仿宋"/>
          <w:color w:val="000000"/>
          <w:kern w:val="0"/>
          <w:sz w:val="24"/>
          <w:szCs w:val="24"/>
          <w:highlight w:val="none"/>
          <w:lang w:val="en-US" w:eastAsia="zh-Hans"/>
        </w:rPr>
        <w:t>今年我区将继续组团参展，持续扩大新疆文化和旅游融合品牌影响力</w:t>
      </w:r>
      <w:r>
        <w:rPr>
          <w:rFonts w:hint="default" w:ascii="仿宋" w:hAnsi="仿宋" w:eastAsia="仿宋" w:cs="仿宋"/>
          <w:color w:val="000000"/>
          <w:kern w:val="0"/>
          <w:sz w:val="24"/>
          <w:szCs w:val="24"/>
          <w:highlight w:val="none"/>
          <w:lang w:val="zh-TW"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 w:hAnsi="仿宋" w:eastAsia="仿宋" w:cs="仿宋"/>
          <w:color w:val="000000"/>
          <w:kern w:val="0"/>
          <w:sz w:val="24"/>
          <w:szCs w:val="24"/>
          <w:highlight w:val="none"/>
          <w:lang w:val="zh-TW" w:eastAsia="zh-TW"/>
        </w:rPr>
      </w:pPr>
      <w:r>
        <w:rPr>
          <w:rFonts w:hint="eastAsia" w:ascii="仿宋" w:hAnsi="仿宋" w:eastAsia="仿宋" w:cs="仿宋"/>
          <w:color w:val="000000"/>
          <w:kern w:val="0"/>
          <w:sz w:val="24"/>
          <w:szCs w:val="24"/>
          <w:highlight w:val="none"/>
          <w:lang w:val="zh-TW" w:eastAsia="zh-TW"/>
        </w:rPr>
        <w:t>本次</w:t>
      </w:r>
      <w:r>
        <w:rPr>
          <w:rFonts w:hint="eastAsia" w:ascii="仿宋" w:hAnsi="仿宋" w:eastAsia="仿宋" w:cs="仿宋"/>
          <w:color w:val="000000"/>
          <w:kern w:val="0"/>
          <w:sz w:val="24"/>
          <w:szCs w:val="24"/>
          <w:highlight w:val="none"/>
          <w:lang w:val="zh-TW" w:eastAsia="zh-CN"/>
        </w:rPr>
        <w:t>新疆组团参展</w:t>
      </w:r>
      <w:r>
        <w:rPr>
          <w:rFonts w:hint="eastAsia" w:ascii="仿宋" w:hAnsi="仿宋" w:eastAsia="仿宋" w:cs="仿宋"/>
          <w:color w:val="000000"/>
          <w:kern w:val="0"/>
          <w:sz w:val="24"/>
          <w:szCs w:val="24"/>
          <w:highlight w:val="none"/>
          <w:lang w:val="en-US" w:eastAsia="zh-Hans"/>
        </w:rPr>
        <w:t>第</w:t>
      </w:r>
      <w:r>
        <w:rPr>
          <w:rFonts w:hint="eastAsia" w:ascii="仿宋" w:hAnsi="仿宋" w:eastAsia="仿宋" w:cs="仿宋"/>
          <w:color w:val="000000"/>
          <w:kern w:val="0"/>
          <w:sz w:val="24"/>
          <w:szCs w:val="24"/>
          <w:highlight w:val="none"/>
          <w:lang w:val="en-US" w:eastAsia="zh-CN"/>
        </w:rPr>
        <w:t>二届中国(武汉)文化旅游博览会项目</w:t>
      </w:r>
      <w:r>
        <w:rPr>
          <w:rFonts w:hint="eastAsia" w:ascii="仿宋" w:hAnsi="仿宋" w:eastAsia="仿宋" w:cs="仿宋"/>
          <w:color w:val="000000"/>
          <w:kern w:val="0"/>
          <w:sz w:val="24"/>
          <w:szCs w:val="24"/>
          <w:highlight w:val="none"/>
          <w:lang w:val="zh-TW" w:eastAsia="zh-TW"/>
        </w:rPr>
        <w:t>采购将委托专业公司完成，按照相关要求，进行对外公开招投标。</w:t>
      </w:r>
    </w:p>
    <w:p>
      <w:pPr>
        <w:numPr>
          <w:ilvl w:val="0"/>
          <w:numId w:val="0"/>
        </w:numPr>
        <w:spacing w:line="560" w:lineRule="exact"/>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采购服务内容及要求</w:t>
      </w:r>
    </w:p>
    <w:p>
      <w:pPr>
        <w:numPr>
          <w:ilvl w:val="0"/>
          <w:numId w:val="0"/>
        </w:numPr>
        <w:spacing w:line="560" w:lineRule="exact"/>
        <w:ind w:leftChars="20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（一）参展主题：新疆是个好地方</w:t>
      </w:r>
    </w:p>
    <w:p>
      <w:pPr>
        <w:numPr>
          <w:ilvl w:val="0"/>
          <w:numId w:val="0"/>
        </w:numPr>
        <w:spacing w:line="560" w:lineRule="exact"/>
        <w:ind w:leftChars="204"/>
        <w:jc w:val="left"/>
        <w:rPr>
          <w:rFonts w:hint="eastAsia" w:ascii="仿宋" w:hAnsi="仿宋" w:eastAsia="仿宋" w:cs="仿宋"/>
          <w:color w:val="222222"/>
          <w:kern w:val="0"/>
          <w:sz w:val="24"/>
          <w:szCs w:val="24"/>
          <w:highlight w:val="none"/>
          <w:shd w:val="clear" w:color="auto" w:fill="FFFFFF"/>
          <w:lang w:val="en-US" w:eastAsia="zh-CN" w:bidi="ar"/>
        </w:rPr>
      </w:pPr>
      <w:r>
        <w:rPr>
          <w:rFonts w:hint="eastAsia" w:ascii="仿宋" w:hAnsi="仿宋" w:eastAsia="仿宋" w:cs="仿宋"/>
          <w:sz w:val="24"/>
          <w:szCs w:val="24"/>
          <w:highlight w:val="none"/>
          <w:lang w:val="en-US" w:eastAsia="zh-CN"/>
        </w:rPr>
        <w:t>（二）展馆概况</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720" w:firstLineChars="3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展会地点：武汉市国际博览中心（武汉市汉阳区鹦鹉大道619号）</w:t>
      </w:r>
    </w:p>
    <w:p>
      <w:pPr>
        <w:numPr>
          <w:ilvl w:val="0"/>
          <w:numId w:val="0"/>
        </w:numPr>
        <w:spacing w:line="560" w:lineRule="exact"/>
        <w:ind w:left="669" w:leftChars="304"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展会时间：2023年4月21日—4月23日</w:t>
      </w:r>
    </w:p>
    <w:p>
      <w:pPr>
        <w:numPr>
          <w:ilvl w:val="0"/>
          <w:numId w:val="0"/>
        </w:numPr>
        <w:spacing w:line="560" w:lineRule="exact"/>
        <w:ind w:left="669" w:leftChars="304" w:firstLine="0" w:firstLineChars="0"/>
        <w:jc w:val="left"/>
        <w:rPr>
          <w:rFonts w:hint="eastAsia" w:ascii="仿宋" w:hAnsi="仿宋" w:eastAsia="仿宋" w:cs="仿宋"/>
          <w:color w:val="222222"/>
          <w:kern w:val="0"/>
          <w:sz w:val="24"/>
          <w:szCs w:val="24"/>
          <w:highlight w:val="none"/>
          <w:shd w:val="clear" w:color="auto" w:fill="FFFFFF"/>
          <w:lang w:val="en-US" w:eastAsia="zh-CN" w:bidi="ar"/>
        </w:rPr>
      </w:pPr>
      <w:r>
        <w:rPr>
          <w:rFonts w:hint="eastAsia" w:ascii="仿宋" w:hAnsi="仿宋" w:eastAsia="仿宋" w:cs="仿宋"/>
          <w:color w:val="222222"/>
          <w:kern w:val="0"/>
          <w:sz w:val="24"/>
          <w:szCs w:val="24"/>
          <w:highlight w:val="none"/>
          <w:shd w:val="clear" w:color="auto" w:fill="FFFFFF"/>
          <w:lang w:val="en-US" w:eastAsia="zh-CN" w:bidi="ar"/>
        </w:rPr>
        <w:t>展馆位置：新疆馆位于B2“山河美”展馆，暂定B2-4</w:t>
      </w:r>
    </w:p>
    <w:p>
      <w:pPr>
        <w:numPr>
          <w:ilvl w:val="0"/>
          <w:numId w:val="0"/>
        </w:numPr>
        <w:spacing w:line="560" w:lineRule="exact"/>
        <w:jc w:val="left"/>
        <w:rPr>
          <w:rFonts w:hint="eastAsia" w:ascii="仿宋" w:hAnsi="仿宋" w:eastAsia="仿宋" w:cs="仿宋"/>
          <w:color w:val="222222"/>
          <w:kern w:val="0"/>
          <w:sz w:val="24"/>
          <w:szCs w:val="24"/>
          <w:highlight w:val="none"/>
          <w:shd w:val="clear" w:color="auto" w:fill="FFFFFF"/>
          <w:lang w:val="en-US" w:eastAsia="zh-CN" w:bidi="ar"/>
        </w:rPr>
      </w:pPr>
      <w:r>
        <w:rPr>
          <w:rFonts w:hint="eastAsia" w:ascii="仿宋" w:hAnsi="仿宋" w:eastAsia="仿宋" w:cs="仿宋"/>
          <w:color w:val="222222"/>
          <w:kern w:val="0"/>
          <w:sz w:val="24"/>
          <w:szCs w:val="24"/>
          <w:highlight w:val="none"/>
          <w:shd w:val="clear" w:color="auto" w:fill="FFFFFF"/>
          <w:lang w:val="en-US" w:eastAsia="zh-CN" w:bidi="ar"/>
        </w:rPr>
        <w:t>展位，展位面积162平方米。</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本次参展借助</w:t>
      </w:r>
      <w:r>
        <w:rPr>
          <w:rFonts w:hint="eastAsia" w:ascii="仿宋" w:hAnsi="仿宋" w:eastAsia="仿宋" w:cs="仿宋"/>
          <w:b w:val="0"/>
          <w:bCs w:val="0"/>
          <w:i w:val="0"/>
          <w:iCs w:val="0"/>
          <w:smallCaps w:val="0"/>
          <w:strike w:val="0"/>
          <w:color w:val="000000"/>
          <w:spacing w:val="0"/>
          <w:w w:val="100"/>
          <w:kern w:val="2"/>
          <w:position w:val="0"/>
          <w:sz w:val="24"/>
          <w:szCs w:val="24"/>
          <w:highlight w:val="none"/>
          <w:u w:val="none"/>
          <w:shd w:val="clear" w:color="auto" w:fill="auto"/>
          <w:lang w:val="en-US" w:eastAsia="zh-Hans" w:bidi="ar-SA"/>
        </w:rPr>
        <w:t>第</w:t>
      </w:r>
      <w:r>
        <w:rPr>
          <w:rFonts w:hint="eastAsia" w:ascii="仿宋" w:hAnsi="仿宋" w:eastAsia="仿宋" w:cs="仿宋"/>
          <w:sz w:val="24"/>
          <w:szCs w:val="24"/>
          <w:highlight w:val="none"/>
          <w:lang w:val="en-US" w:eastAsia="zh-CN"/>
        </w:rPr>
        <w:t>二届中国(武汉)文化旅游博览会平台，</w:t>
      </w:r>
      <w:r>
        <w:rPr>
          <w:rFonts w:hint="eastAsia" w:ascii="仿宋" w:hAnsi="仿宋" w:eastAsia="仿宋" w:cs="仿宋"/>
          <w:sz w:val="24"/>
          <w:szCs w:val="24"/>
          <w:highlight w:val="none"/>
        </w:rPr>
        <w:t>协同</w:t>
      </w:r>
      <w:r>
        <w:rPr>
          <w:rFonts w:hint="eastAsia" w:ascii="仿宋" w:hAnsi="仿宋" w:eastAsia="仿宋" w:cs="仿宋"/>
          <w:sz w:val="24"/>
          <w:szCs w:val="24"/>
          <w:highlight w:val="none"/>
          <w:lang w:val="en-US" w:eastAsia="zh-Hans"/>
        </w:rPr>
        <w:t>各地州文旅局等</w:t>
      </w:r>
      <w:r>
        <w:rPr>
          <w:rFonts w:hint="eastAsia" w:ascii="仿宋" w:hAnsi="仿宋" w:eastAsia="仿宋" w:cs="仿宋"/>
          <w:sz w:val="24"/>
          <w:szCs w:val="24"/>
          <w:highlight w:val="none"/>
        </w:rPr>
        <w:t>相关部门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充分动员我区重点文化旅游企业</w:t>
      </w:r>
      <w:r>
        <w:rPr>
          <w:rFonts w:hint="eastAsia" w:ascii="仿宋" w:hAnsi="仿宋" w:eastAsia="仿宋" w:cs="仿宋"/>
          <w:sz w:val="24"/>
          <w:szCs w:val="24"/>
          <w:highlight w:val="none"/>
        </w:rPr>
        <w:t>参展参会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打响新疆是个好地方文旅品牌，以文化演艺、文旅产业融合、乡村振兴、非遗文化、文物文博等方面为重点突出领域，展示新疆文旅产业新成果，充分体现我省文化产业发展成就和</w:t>
      </w:r>
      <w:r>
        <w:rPr>
          <w:rFonts w:hint="eastAsia" w:ascii="仿宋" w:hAnsi="仿宋" w:eastAsia="仿宋" w:cs="仿宋"/>
          <w:sz w:val="24"/>
          <w:szCs w:val="24"/>
          <w:highlight w:val="none"/>
          <w:lang w:val="en-US" w:eastAsia="zh-Hans"/>
        </w:rPr>
        <w:t>积极</w:t>
      </w:r>
      <w:r>
        <w:rPr>
          <w:rFonts w:hint="eastAsia" w:ascii="仿宋" w:hAnsi="仿宋" w:eastAsia="仿宋" w:cs="仿宋"/>
          <w:sz w:val="24"/>
          <w:szCs w:val="24"/>
          <w:highlight w:val="none"/>
          <w:lang w:val="en-US" w:eastAsia="zh-CN"/>
        </w:rPr>
        <w:t>态势。围绕以上要求并</w:t>
      </w:r>
      <w:r>
        <w:rPr>
          <w:rFonts w:hint="eastAsia" w:ascii="仿宋" w:hAnsi="仿宋" w:eastAsia="仿宋" w:cs="仿宋"/>
          <w:color w:val="222222"/>
          <w:kern w:val="0"/>
          <w:sz w:val="24"/>
          <w:szCs w:val="24"/>
          <w:highlight w:val="none"/>
          <w:shd w:val="clear" w:color="auto" w:fill="FFFFFF"/>
          <w:lang w:val="en-US" w:eastAsia="zh-CN" w:bidi="ar"/>
        </w:rPr>
        <w:t>结合我区文旅部门工作要求重点策划</w:t>
      </w:r>
      <w:r>
        <w:rPr>
          <w:rFonts w:hint="eastAsia" w:ascii="仿宋" w:hAnsi="仿宋" w:eastAsia="仿宋" w:cs="仿宋"/>
          <w:sz w:val="24"/>
          <w:szCs w:val="24"/>
          <w:highlight w:val="none"/>
          <w:lang w:val="en-US" w:eastAsia="zh-CN"/>
        </w:rPr>
        <w:t>制定展览展陈方案，展馆设计搭建</w:t>
      </w:r>
      <w:r>
        <w:rPr>
          <w:rFonts w:hint="eastAsia" w:ascii="仿宋" w:hAnsi="仿宋" w:eastAsia="仿宋" w:cs="仿宋"/>
          <w:color w:val="222222"/>
          <w:kern w:val="0"/>
          <w:sz w:val="24"/>
          <w:szCs w:val="24"/>
          <w:highlight w:val="none"/>
          <w:shd w:val="clear" w:color="auto" w:fill="FFFFFF"/>
          <w:lang w:val="en-US" w:eastAsia="zh-CN" w:bidi="ar"/>
        </w:rPr>
        <w:t>围绕文旅产业融合为展陈主题方向，利用LED大屏、交互式触摸屏等声光电设备展开设计搭建，视觉呈现需体现新疆特色</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lang w:val="en-US" w:eastAsia="zh-CN"/>
        </w:rPr>
        <w:t>体验感上需</w:t>
      </w:r>
      <w:r>
        <w:rPr>
          <w:rFonts w:hint="eastAsia" w:ascii="仿宋" w:hAnsi="仿宋" w:eastAsia="仿宋" w:cs="仿宋"/>
          <w:sz w:val="24"/>
          <w:szCs w:val="24"/>
          <w:highlight w:val="none"/>
          <w:lang w:val="en-US" w:eastAsia="zh-Hans"/>
        </w:rPr>
        <w:t>增强互动性</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lang w:val="en-US" w:eastAsia="zh-Hans"/>
        </w:rPr>
        <w:t>特色</w:t>
      </w:r>
      <w:r>
        <w:rPr>
          <w:rFonts w:hint="eastAsia" w:ascii="仿宋" w:hAnsi="仿宋" w:eastAsia="仿宋" w:cs="仿宋"/>
          <w:sz w:val="24"/>
          <w:szCs w:val="24"/>
          <w:highlight w:val="none"/>
          <w:lang w:val="en-US" w:eastAsia="zh-CN"/>
        </w:rPr>
        <w:t>感。展会宣传方面，需针对中央、湖北媒体和自治区三级媒体联动的方式，制定宣传计划，全方位、多层次、宽领域地宣传新疆组团参展情况和丰硕成果，全面展示我区深厚的文化旅游资源和发展前景，为成功参展营造良好的舆论氛围。</w:t>
      </w:r>
    </w:p>
    <w:p>
      <w:pPr>
        <w:pStyle w:val="20"/>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sz w:val="24"/>
          <w:szCs w:val="24"/>
          <w:highlight w:val="none"/>
          <w:lang w:val="en-US" w:eastAsia="zh-CN" w:bidi="ar-SA"/>
        </w:rPr>
      </w:pPr>
      <w:r>
        <w:rPr>
          <w:rFonts w:hint="eastAsia" w:ascii="仿宋" w:hAnsi="仿宋" w:eastAsia="仿宋" w:cs="仿宋"/>
          <w:sz w:val="24"/>
          <w:szCs w:val="24"/>
          <w:highlight w:val="none"/>
          <w:lang w:val="en-US" w:eastAsia="zh-CN"/>
        </w:rPr>
        <w:t>工作内容</w:t>
      </w:r>
    </w:p>
    <w:p>
      <w:pPr>
        <w:pStyle w:val="20"/>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222222"/>
          <w:kern w:val="0"/>
          <w:sz w:val="24"/>
          <w:szCs w:val="24"/>
          <w:highlight w:val="none"/>
          <w:shd w:val="clear" w:color="auto" w:fill="FFFFFF"/>
          <w:lang w:val="en-US" w:eastAsia="zh-CN" w:bidi="ar"/>
        </w:rPr>
      </w:pPr>
      <w:r>
        <w:rPr>
          <w:rFonts w:hint="eastAsia" w:ascii="仿宋" w:hAnsi="仿宋" w:eastAsia="仿宋" w:cs="仿宋"/>
          <w:b w:val="0"/>
          <w:bCs w:val="0"/>
          <w:color w:val="222222"/>
          <w:kern w:val="0"/>
          <w:sz w:val="24"/>
          <w:szCs w:val="24"/>
          <w:highlight w:val="none"/>
          <w:shd w:val="clear" w:color="auto" w:fill="FFFFFF"/>
          <w:lang w:val="en-US" w:eastAsia="zh-CN" w:bidi="ar"/>
        </w:rPr>
        <w:t>1、承担新疆馆162平方米展馆的空地整体施工、搭建费用，搭建包括2块LED</w:t>
      </w:r>
    </w:p>
    <w:p>
      <w:pPr>
        <w:pStyle w:val="20"/>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222222"/>
          <w:kern w:val="0"/>
          <w:sz w:val="24"/>
          <w:szCs w:val="24"/>
          <w:highlight w:val="none"/>
          <w:shd w:val="clear" w:color="auto" w:fill="FFFFFF"/>
          <w:lang w:val="en-US" w:eastAsia="zh-CN" w:bidi="ar"/>
        </w:rPr>
      </w:pPr>
      <w:r>
        <w:rPr>
          <w:rFonts w:hint="eastAsia" w:ascii="仿宋" w:hAnsi="仿宋" w:eastAsia="仿宋" w:cs="仿宋"/>
          <w:b w:val="0"/>
          <w:bCs w:val="0"/>
          <w:color w:val="222222"/>
          <w:kern w:val="0"/>
          <w:sz w:val="24"/>
          <w:szCs w:val="24"/>
          <w:highlight w:val="none"/>
          <w:shd w:val="clear" w:color="auto" w:fill="FFFFFF"/>
          <w:lang w:val="en-US" w:eastAsia="zh-CN" w:bidi="ar"/>
        </w:rPr>
        <w:t>大屏、1块电子触摸屏，形式多样的展陈形式（如展柜、展架等）、灯箱、发光字、创意门头、洽谈区、美食区、美陈等；</w:t>
      </w:r>
    </w:p>
    <w:p>
      <w:pPr>
        <w:pStyle w:val="20"/>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222222"/>
          <w:kern w:val="0"/>
          <w:sz w:val="24"/>
          <w:szCs w:val="24"/>
          <w:highlight w:val="none"/>
          <w:shd w:val="clear" w:color="auto" w:fill="FFFFFF"/>
          <w:lang w:val="en-US" w:eastAsia="zh-CN" w:bidi="ar"/>
        </w:rPr>
      </w:pPr>
      <w:r>
        <w:rPr>
          <w:rFonts w:hint="eastAsia" w:ascii="仿宋" w:hAnsi="仿宋" w:eastAsia="仿宋" w:cs="仿宋"/>
          <w:b w:val="0"/>
          <w:bCs w:val="0"/>
          <w:color w:val="222222"/>
          <w:kern w:val="0"/>
          <w:sz w:val="24"/>
          <w:szCs w:val="24"/>
          <w:highlight w:val="none"/>
          <w:shd w:val="clear" w:color="auto" w:fill="FFFFFF"/>
          <w:lang w:val="en-US" w:eastAsia="zh-CN" w:bidi="ar"/>
        </w:rPr>
        <w:t>2、承担新疆馆162平方米空地展位费、施工管理费、电费、网费、租赁费等；</w:t>
      </w:r>
    </w:p>
    <w:p>
      <w:pPr>
        <w:pStyle w:val="20"/>
        <w:keepNext w:val="0"/>
        <w:keepLines w:val="0"/>
        <w:pageBreakBefore w:val="0"/>
        <w:widowControl w:val="0"/>
        <w:numPr>
          <w:numId w:val="0"/>
        </w:numPr>
        <w:kinsoku/>
        <w:wordWrap/>
        <w:overflowPunct/>
        <w:topLinePunct w:val="0"/>
        <w:autoSpaceDE/>
        <w:autoSpaceDN/>
        <w:bidi w:val="0"/>
        <w:adjustRightInd/>
        <w:snapToGrid/>
        <w:spacing w:line="360" w:lineRule="auto"/>
        <w:ind w:left="480" w:leftChars="218" w:firstLine="0" w:firstLineChars="0"/>
        <w:textAlignment w:val="auto"/>
        <w:rPr>
          <w:rFonts w:hint="eastAsia" w:ascii="仿宋" w:hAnsi="仿宋" w:eastAsia="仿宋" w:cs="仿宋"/>
          <w:b w:val="0"/>
          <w:bCs w:val="0"/>
          <w:color w:val="222222"/>
          <w:kern w:val="0"/>
          <w:sz w:val="24"/>
          <w:szCs w:val="24"/>
          <w:highlight w:val="none"/>
          <w:shd w:val="clear" w:color="auto" w:fill="FFFFFF"/>
          <w:lang w:val="en-US" w:eastAsia="zh-CN" w:bidi="ar"/>
        </w:rPr>
      </w:pPr>
      <w:r>
        <w:rPr>
          <w:rFonts w:hint="eastAsia" w:ascii="仿宋" w:hAnsi="仿宋" w:eastAsia="仿宋" w:cs="仿宋"/>
          <w:b w:val="0"/>
          <w:bCs w:val="0"/>
          <w:color w:val="222222"/>
          <w:kern w:val="0"/>
          <w:sz w:val="24"/>
          <w:szCs w:val="24"/>
          <w:highlight w:val="none"/>
          <w:shd w:val="clear" w:color="auto" w:fill="FFFFFF"/>
          <w:lang w:val="en-US" w:eastAsia="zh-CN" w:bidi="ar"/>
        </w:rPr>
        <w:t>3、承担甲方参会人员5名于武汉参会期间食、宿、接送机等。</w:t>
      </w:r>
    </w:p>
    <w:p>
      <w:pPr>
        <w:pStyle w:val="20"/>
        <w:keepNext w:val="0"/>
        <w:keepLines w:val="0"/>
        <w:pageBreakBefore w:val="0"/>
        <w:widowControl w:val="0"/>
        <w:numPr>
          <w:numId w:val="0"/>
        </w:numPr>
        <w:kinsoku/>
        <w:wordWrap/>
        <w:overflowPunct/>
        <w:topLinePunct w:val="0"/>
        <w:autoSpaceDE/>
        <w:autoSpaceDN/>
        <w:bidi w:val="0"/>
        <w:adjustRightInd/>
        <w:snapToGrid/>
        <w:spacing w:line="360" w:lineRule="auto"/>
        <w:ind w:left="480" w:leftChars="218" w:firstLine="0" w:firstLineChars="0"/>
        <w:textAlignment w:val="auto"/>
        <w:rPr>
          <w:rFonts w:hint="eastAsia" w:ascii="仿宋" w:hAnsi="仿宋" w:eastAsia="仿宋" w:cs="仿宋"/>
          <w:b w:val="0"/>
          <w:bCs w:val="0"/>
          <w:color w:val="222222"/>
          <w:kern w:val="0"/>
          <w:sz w:val="24"/>
          <w:szCs w:val="24"/>
          <w:highlight w:val="none"/>
          <w:shd w:val="clear" w:color="auto" w:fill="FFFFFF"/>
          <w:lang w:val="en-US" w:eastAsia="zh-CN" w:bidi="ar"/>
        </w:rPr>
      </w:pPr>
      <w:r>
        <w:rPr>
          <w:rFonts w:hint="eastAsia" w:ascii="仿宋" w:hAnsi="仿宋" w:eastAsia="仿宋" w:cs="仿宋"/>
          <w:b w:val="0"/>
          <w:bCs w:val="0"/>
          <w:color w:val="222222"/>
          <w:kern w:val="0"/>
          <w:sz w:val="24"/>
          <w:szCs w:val="24"/>
          <w:highlight w:val="none"/>
          <w:shd w:val="clear" w:color="auto" w:fill="FFFFFF"/>
          <w:lang w:val="en-US" w:eastAsia="zh-CN" w:bidi="ar"/>
        </w:rPr>
        <w:t>4、策划执行于武汉参会期间考察活动，并承担所需费用；</w:t>
      </w:r>
    </w:p>
    <w:p>
      <w:pPr>
        <w:keepNext/>
        <w:keepLines/>
        <w:pageBreakBefore w:val="0"/>
        <w:widowControl/>
        <w:kinsoku/>
        <w:wordWrap/>
        <w:overflowPunct/>
        <w:topLinePunct w:val="0"/>
        <w:autoSpaceDE/>
        <w:autoSpaceDN/>
        <w:bidi w:val="0"/>
        <w:adjustRightInd/>
        <w:snapToGrid/>
        <w:ind w:left="480" w:leftChars="218" w:firstLine="0" w:firstLineChars="0"/>
        <w:jc w:val="left"/>
        <w:textAlignment w:val="baseline"/>
        <w:outlineLvl w:val="9"/>
        <w:rPr>
          <w:rFonts w:hint="eastAsia" w:ascii="仿宋" w:hAnsi="仿宋" w:eastAsia="仿宋" w:cs="仿宋"/>
          <w:b w:val="0"/>
          <w:bCs w:val="0"/>
          <w:color w:val="222222"/>
          <w:kern w:val="0"/>
          <w:sz w:val="24"/>
          <w:szCs w:val="24"/>
          <w:highlight w:val="none"/>
          <w:shd w:val="clear" w:color="auto" w:fill="FFFFFF"/>
          <w:lang w:val="en-US" w:eastAsia="zh-CN" w:bidi="ar"/>
        </w:rPr>
      </w:pPr>
      <w:r>
        <w:rPr>
          <w:rFonts w:hint="eastAsia" w:ascii="仿宋" w:hAnsi="仿宋" w:eastAsia="仿宋" w:cs="仿宋"/>
          <w:b w:val="0"/>
          <w:bCs w:val="0"/>
          <w:color w:val="222222"/>
          <w:kern w:val="0"/>
          <w:sz w:val="24"/>
          <w:szCs w:val="24"/>
          <w:highlight w:val="none"/>
          <w:shd w:val="clear" w:color="auto" w:fill="FFFFFF"/>
          <w:lang w:val="en-US" w:eastAsia="zh-CN" w:bidi="ar"/>
        </w:rPr>
        <w:t>5、承担展馆演员歌手邀请、食宿行（大小交通）费用，人员不少于3名；</w:t>
      </w:r>
    </w:p>
    <w:p>
      <w:pPr>
        <w:keepNext/>
        <w:keepLines/>
        <w:pageBreakBefore w:val="0"/>
        <w:widowControl/>
        <w:kinsoku/>
        <w:wordWrap/>
        <w:overflowPunct/>
        <w:topLinePunct w:val="0"/>
        <w:autoSpaceDE/>
        <w:autoSpaceDN/>
        <w:bidi w:val="0"/>
        <w:adjustRightInd/>
        <w:snapToGrid/>
        <w:ind w:left="480" w:leftChars="218" w:firstLine="0" w:firstLineChars="0"/>
        <w:jc w:val="left"/>
        <w:textAlignment w:val="baseline"/>
        <w:outlineLvl w:val="9"/>
        <w:rPr>
          <w:rFonts w:hint="eastAsia" w:ascii="仿宋" w:hAnsi="仿宋" w:eastAsia="仿宋" w:cs="仿宋"/>
          <w:b w:val="0"/>
          <w:bCs w:val="0"/>
          <w:color w:val="222222"/>
          <w:kern w:val="0"/>
          <w:sz w:val="24"/>
          <w:szCs w:val="24"/>
          <w:highlight w:val="none"/>
          <w:shd w:val="clear" w:color="auto" w:fill="FFFFFF"/>
          <w:lang w:val="en-US" w:eastAsia="zh-CN" w:bidi="ar"/>
        </w:rPr>
      </w:pPr>
      <w:r>
        <w:rPr>
          <w:rFonts w:hint="eastAsia" w:ascii="仿宋" w:hAnsi="仿宋" w:eastAsia="仿宋" w:cs="仿宋"/>
          <w:b w:val="0"/>
          <w:bCs w:val="0"/>
          <w:color w:val="222222"/>
          <w:kern w:val="0"/>
          <w:sz w:val="24"/>
          <w:szCs w:val="24"/>
          <w:highlight w:val="none"/>
          <w:shd w:val="clear" w:color="auto" w:fill="FFFFFF"/>
          <w:lang w:val="en-US" w:eastAsia="zh-CN" w:bidi="ar"/>
        </w:rPr>
        <w:t>6、承担新疆、湖北两地媒体人员食宿交通（大小交通）以及媒体费；需雇</w:t>
      </w:r>
    </w:p>
    <w:p>
      <w:pPr>
        <w:keepNext/>
        <w:keepLines/>
        <w:pageBreakBefore w:val="0"/>
        <w:widowControl/>
        <w:kinsoku/>
        <w:wordWrap/>
        <w:overflowPunct/>
        <w:topLinePunct w:val="0"/>
        <w:autoSpaceDE/>
        <w:autoSpaceDN/>
        <w:bidi w:val="0"/>
        <w:adjustRightInd/>
        <w:snapToGrid/>
        <w:ind w:left="0" w:hanging="480" w:hangingChars="200"/>
        <w:jc w:val="left"/>
        <w:textAlignment w:val="baseline"/>
        <w:outlineLvl w:val="9"/>
        <w:rPr>
          <w:rFonts w:hint="eastAsia" w:ascii="仿宋" w:hAnsi="仿宋" w:eastAsia="仿宋" w:cs="仿宋"/>
          <w:b w:val="0"/>
          <w:bCs w:val="0"/>
          <w:color w:val="222222"/>
          <w:kern w:val="0"/>
          <w:sz w:val="24"/>
          <w:szCs w:val="24"/>
          <w:highlight w:val="none"/>
          <w:shd w:val="clear" w:color="auto" w:fill="FFFFFF"/>
          <w:lang w:val="en-US" w:eastAsia="zh-CN" w:bidi="ar"/>
        </w:rPr>
      </w:pPr>
      <w:r>
        <w:rPr>
          <w:rFonts w:hint="eastAsia" w:ascii="仿宋" w:hAnsi="仿宋" w:eastAsia="仿宋" w:cs="仿宋"/>
          <w:b w:val="0"/>
          <w:bCs w:val="0"/>
          <w:color w:val="222222"/>
          <w:kern w:val="0"/>
          <w:sz w:val="24"/>
          <w:szCs w:val="24"/>
          <w:highlight w:val="none"/>
          <w:shd w:val="clear" w:color="auto" w:fill="FFFFFF"/>
          <w:lang w:val="en-US" w:eastAsia="zh-CN" w:bidi="ar"/>
        </w:rPr>
        <w:t>佣大巴车接送展商参展期间往返场馆与酒店，并做好参展商咨询服务等工作；</w:t>
      </w:r>
    </w:p>
    <w:p>
      <w:pPr>
        <w:keepNext/>
        <w:keepLines/>
        <w:pageBreakBefore w:val="0"/>
        <w:widowControl/>
        <w:numPr>
          <w:numId w:val="0"/>
        </w:numPr>
        <w:kinsoku/>
        <w:wordWrap/>
        <w:overflowPunct/>
        <w:topLinePunct w:val="0"/>
        <w:autoSpaceDE/>
        <w:autoSpaceDN/>
        <w:bidi w:val="0"/>
        <w:adjustRightInd/>
        <w:snapToGrid/>
        <w:ind w:firstLine="480" w:firstLineChars="200"/>
        <w:jc w:val="left"/>
        <w:textAlignment w:val="baseline"/>
        <w:outlineLvl w:val="9"/>
        <w:rPr>
          <w:rFonts w:hint="eastAsia" w:ascii="仿宋" w:hAnsi="仿宋" w:eastAsia="仿宋" w:cs="仿宋"/>
          <w:b w:val="0"/>
          <w:bCs w:val="0"/>
          <w:color w:val="222222"/>
          <w:kern w:val="0"/>
          <w:sz w:val="24"/>
          <w:szCs w:val="24"/>
          <w:highlight w:val="none"/>
          <w:shd w:val="clear" w:color="auto" w:fill="FFFFFF"/>
          <w:lang w:val="en-US" w:eastAsia="zh-CN" w:bidi="ar"/>
        </w:rPr>
      </w:pPr>
      <w:r>
        <w:rPr>
          <w:rFonts w:hint="eastAsia" w:ascii="仿宋" w:hAnsi="仿宋" w:eastAsia="仿宋" w:cs="仿宋"/>
          <w:b w:val="0"/>
          <w:bCs w:val="0"/>
          <w:color w:val="222222"/>
          <w:kern w:val="0"/>
          <w:sz w:val="24"/>
          <w:szCs w:val="24"/>
          <w:highlight w:val="none"/>
          <w:shd w:val="clear" w:color="auto" w:fill="FFFFFF"/>
          <w:lang w:val="en-US" w:eastAsia="zh-CN" w:bidi="ar"/>
        </w:rPr>
        <w:t>7、展馆物料设计制作、物料运输等。</w:t>
      </w:r>
    </w:p>
    <w:bookmarkEnd w:id="73"/>
    <w:p>
      <w:pPr>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三、付款方式</w:t>
      </w:r>
    </w:p>
    <w:p>
      <w:pPr>
        <w:spacing w:line="560" w:lineRule="exact"/>
        <w:ind w:firstLine="480" w:firstLineChars="200"/>
        <w:rPr>
          <w:rStyle w:val="31"/>
          <w:rFonts w:hint="eastAsia" w:ascii="仿宋" w:hAnsi="仿宋" w:eastAsia="仿宋" w:cs="仿宋"/>
          <w:color w:val="000000" w:themeColor="text1"/>
          <w:sz w:val="24"/>
          <w:szCs w:val="24"/>
          <w:highlight w:val="none"/>
          <w:lang w:eastAsia="zh-CN"/>
          <w14:textFill>
            <w14:solidFill>
              <w14:schemeClr w14:val="tx1"/>
            </w14:solidFill>
          </w14:textFill>
        </w:rPr>
      </w:pPr>
      <w:r>
        <w:rPr>
          <w:rStyle w:val="31"/>
          <w:rFonts w:hint="eastAsia" w:ascii="仿宋" w:hAnsi="仿宋" w:eastAsia="仿宋" w:cs="仿宋"/>
          <w:color w:val="000000" w:themeColor="text1"/>
          <w:sz w:val="24"/>
          <w:szCs w:val="24"/>
          <w:highlight w:val="none"/>
          <w:lang w:eastAsia="zh-CN"/>
          <w14:textFill>
            <w14:solidFill>
              <w14:schemeClr w14:val="tx1"/>
            </w14:solidFill>
          </w14:textFill>
        </w:rPr>
        <w:t>完成工作</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验收合格后</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一次性支付</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spacing w:line="560" w:lineRule="exact"/>
        <w:ind w:firstLine="562" w:firstLineChars="20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四、</w:t>
      </w:r>
      <w:r>
        <w:rPr>
          <w:rFonts w:hint="eastAsia" w:ascii="仿宋" w:hAnsi="仿宋" w:eastAsia="仿宋" w:cs="仿宋"/>
          <w:b/>
          <w:bCs/>
          <w:sz w:val="28"/>
          <w:szCs w:val="28"/>
          <w:highlight w:val="none"/>
          <w:lang w:val="en-US" w:eastAsia="zh-CN"/>
        </w:rPr>
        <w:t>其他要求</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按照合同约定时间履行义务，并完成中标项目的设计任务，不得将中标项目的转让（转包）给他人。</w:t>
      </w: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auto"/>
          <w:sz w:val="24"/>
          <w:highlight w:val="none"/>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auto"/>
          <w:sz w:val="24"/>
          <w:highlight w:val="none"/>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auto"/>
          <w:sz w:val="24"/>
          <w:highlight w:val="none"/>
        </w:rPr>
      </w:pPr>
    </w:p>
    <w:p>
      <w:pPr>
        <w:spacing w:line="579" w:lineRule="exact"/>
        <w:ind w:firstLine="643" w:firstLineChars="200"/>
        <w:jc w:val="center"/>
        <w:outlineLvl w:val="0"/>
        <w:rPr>
          <w:rFonts w:ascii="仿宋" w:hAnsi="仿宋" w:eastAsia="仿宋" w:cs="仿宋"/>
          <w:color w:val="000000" w:themeColor="text1"/>
          <w:highlight w:val="none"/>
          <w:lang w:eastAsia="zh-CN"/>
          <w14:textFill>
            <w14:solidFill>
              <w14:schemeClr w14:val="tx1"/>
            </w14:solidFill>
          </w14:textFill>
        </w:rPr>
      </w:pPr>
      <w:bookmarkStart w:id="79" w:name="_Toc10415"/>
      <w:r>
        <w:rPr>
          <w:rFonts w:hint="eastAsia" w:ascii="仿宋" w:hAnsi="仿宋" w:eastAsia="仿宋" w:cs="仿宋"/>
          <w:b/>
          <w:bCs/>
          <w:color w:val="000000" w:themeColor="text1"/>
          <w:sz w:val="32"/>
          <w:szCs w:val="40"/>
          <w:highlight w:val="none"/>
          <w:lang w:eastAsia="zh-CN"/>
          <w14:textFill>
            <w14:solidFill>
              <w14:schemeClr w14:val="tx1"/>
            </w14:solidFill>
          </w14:textFill>
        </w:rPr>
        <w:t>第四部分  合同条款</w:t>
      </w:r>
      <w:bookmarkEnd w:id="74"/>
      <w:bookmarkEnd w:id="75"/>
      <w:bookmarkEnd w:id="76"/>
      <w:bookmarkEnd w:id="77"/>
      <w:bookmarkEnd w:id="78"/>
      <w:bookmarkEnd w:id="79"/>
    </w:p>
    <w:p>
      <w:pPr>
        <w:pStyle w:val="55"/>
        <w:pBdr>
          <w:top w:val="none" w:color="auto" w:sz="0" w:space="0"/>
          <w:left w:val="none" w:color="auto" w:sz="0" w:space="0"/>
          <w:bottom w:val="none" w:color="auto" w:sz="0" w:space="0"/>
          <w:right w:val="none" w:color="auto" w:sz="0" w:space="0"/>
        </w:pBdr>
        <w:tabs>
          <w:tab w:val="left" w:pos="2625"/>
        </w:tabs>
        <w:spacing w:line="579" w:lineRule="exact"/>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lang w:eastAsia="zh-CN"/>
          <w14:textFill>
            <w14:solidFill>
              <w14:schemeClr w14:val="tx1"/>
            </w14:solidFill>
          </w14:textFill>
        </w:rPr>
        <w:t>注：</w:t>
      </w:r>
    </w:p>
    <w:p>
      <w:pPr>
        <w:pStyle w:val="55"/>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合同条款仅作为双方签订合同的参考，合同最终内容将根据中标单位的投标响应内容确定合同主要内容，阐明各方的权利和义务，必要时将增加新的条款，但不得与招标文件、磋商响应文件的实质性内容相背离。</w:t>
      </w:r>
    </w:p>
    <w:p>
      <w:pPr>
        <w:pStyle w:val="55"/>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000000" w:themeColor="text1"/>
          <w:highlight w:val="none"/>
          <w:lang w:eastAsia="zh-CN"/>
          <w14:textFill>
            <w14:solidFill>
              <w14:schemeClr w14:val="tx1"/>
            </w14:solidFill>
          </w14:textFill>
        </w:rPr>
      </w:pPr>
    </w:p>
    <w:p>
      <w:pPr>
        <w:pStyle w:val="55"/>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000000" w:themeColor="text1"/>
          <w:highlight w:val="none"/>
          <w:lang w:eastAsia="zh-CN"/>
          <w14:textFill>
            <w14:solidFill>
              <w14:schemeClr w14:val="tx1"/>
            </w14:solidFill>
          </w14:textFill>
        </w:rPr>
      </w:pPr>
    </w:p>
    <w:p>
      <w:pPr>
        <w:pStyle w:val="55"/>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000000" w:themeColor="text1"/>
          <w:highlight w:val="none"/>
          <w:lang w:eastAsia="zh-CN"/>
          <w14:textFill>
            <w14:solidFill>
              <w14:schemeClr w14:val="tx1"/>
            </w14:solidFill>
          </w14:textFill>
        </w:rPr>
      </w:pPr>
    </w:p>
    <w:p>
      <w:pPr>
        <w:pStyle w:val="55"/>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000000" w:themeColor="text1"/>
          <w:highlight w:val="none"/>
          <w:lang w:eastAsia="zh-CN"/>
          <w14:textFill>
            <w14:solidFill>
              <w14:schemeClr w14:val="tx1"/>
            </w14:solidFill>
          </w14:textFill>
        </w:rPr>
      </w:pPr>
    </w:p>
    <w:p>
      <w:pPr>
        <w:pStyle w:val="55"/>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000000" w:themeColor="text1"/>
          <w:highlight w:val="none"/>
          <w:lang w:eastAsia="zh-CN"/>
          <w14:textFill>
            <w14:solidFill>
              <w14:schemeClr w14:val="tx1"/>
            </w14:solidFill>
          </w14:textFill>
        </w:rPr>
      </w:pPr>
    </w:p>
    <w:p>
      <w:pPr>
        <w:pStyle w:val="55"/>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hint="eastAsia" w:ascii="仿宋" w:hAnsi="仿宋" w:eastAsia="仿宋" w:cs="仿宋"/>
          <w:color w:val="000000" w:themeColor="text1"/>
          <w:highlight w:val="none"/>
          <w:lang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pStyle w:val="23"/>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eastAsia="zh-CN"/>
          <w14:textFill>
            <w14:solidFill>
              <w14:schemeClr w14:val="tx1"/>
            </w14:solidFill>
          </w14:textFill>
        </w:rPr>
      </w:pPr>
      <w:bookmarkStart w:id="80" w:name="_Toc3023"/>
      <w:bookmarkStart w:id="81" w:name="_Toc17311"/>
      <w:bookmarkStart w:id="82" w:name="_Toc7400"/>
      <w:bookmarkStart w:id="83" w:name="_Toc4727"/>
      <w:bookmarkStart w:id="84" w:name="_Toc15427"/>
      <w:r>
        <w:rPr>
          <w:rFonts w:hint="eastAsia" w:ascii="仿宋" w:hAnsi="仿宋" w:eastAsia="仿宋" w:cs="仿宋"/>
          <w:b/>
          <w:bCs/>
          <w:color w:val="000000" w:themeColor="text1"/>
          <w:sz w:val="48"/>
          <w:szCs w:val="48"/>
          <w:highlight w:val="none"/>
          <w:lang w:val="zh-CN" w:eastAsia="zh-CN"/>
          <w14:textFill>
            <w14:solidFill>
              <w14:schemeClr w14:val="tx1"/>
            </w14:solidFill>
          </w14:textFill>
        </w:rPr>
        <w:t>政府采购项目合同书</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b/>
          <w:bCs/>
          <w:color w:val="000000" w:themeColor="text1"/>
          <w:sz w:val="30"/>
          <w:szCs w:val="30"/>
          <w:highlight w:val="none"/>
          <w:u w:val="single"/>
          <w:lang w:val="zh-CN"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采购项目编号：</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u w:val="singl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采购项目名称：</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采购合同编号：</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合同金额（人民币）：</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购</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人</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（甲</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方）：</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（盖章）</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中标服务商（乙方）：</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（盖章）</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采购日期：</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采</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购</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人（以下简称甲方）：</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中</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标</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人</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（以下简称乙方）：</w:t>
      </w:r>
    </w:p>
    <w:p>
      <w:pPr>
        <w:pStyle w:val="12"/>
        <w:ind w:left="440"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甲、乙双方根据20</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年</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月</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日（</w:t>
      </w:r>
      <w:r>
        <w:rPr>
          <w:rFonts w:hint="eastAsia" w:ascii="仿宋" w:hAnsi="仿宋" w:eastAsia="仿宋" w:cs="仿宋"/>
          <w:i w:val="0"/>
          <w:iCs w:val="0"/>
          <w:caps w:val="0"/>
          <w:color w:val="000000"/>
          <w:spacing w:val="0"/>
          <w:sz w:val="24"/>
          <w:szCs w:val="24"/>
          <w:highlight w:val="none"/>
          <w:lang w:eastAsia="zh-CN"/>
        </w:rPr>
        <w:t>新疆组团参展第二届中国（武汉）文化旅游博览会项目</w:t>
      </w: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color w:val="000000" w:themeColor="text1"/>
          <w:sz w:val="24"/>
          <w:highlight w:val="none"/>
          <w:lang w:val="zh-CN" w:eastAsia="zh-CN"/>
          <w14:textFill>
            <w14:solidFill>
              <w14:schemeClr w14:val="tx1"/>
            </w14:solidFill>
          </w14:textFill>
        </w:rPr>
        <w:t>的竞争性磋商文件要求和采购人、采购代理机构出具的《中标通知书》，并经双方协商一致，签订本合同协议书。</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一、签订本政府采购合同的依据</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本政府采购合同所附下列文件是构成本政府采购合同不可分割的部分：</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1.竞争性磋商文件；</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2.竞争性磋商文件的澄清、变更公告；</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3.中标服务商提交的磋商响应文件；</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4.竞争性磋商文件中规定的政府采购合同通用条款；</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5.中标通知书；</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6.履约保证金缴费证明。</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二、合同标的及金额                                       单位：元</w:t>
      </w:r>
    </w:p>
    <w:tbl>
      <w:tblPr>
        <w:tblStyle w:val="25"/>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871"/>
        <w:gridCol w:w="2009"/>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6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管理费构成测算（元/年）</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pStyle w:val="18"/>
              <w:tabs>
                <w:tab w:val="right" w:leader="dot" w:pos="8393"/>
              </w:tabs>
              <w:rPr>
                <w:rFonts w:ascii="仿宋" w:hAnsi="仿宋" w:eastAsia="仿宋" w:cs="仿宋"/>
                <w:color w:val="000000" w:themeColor="text1"/>
                <w:sz w:val="24"/>
                <w:szCs w:val="24"/>
                <w:highlight w:val="none"/>
                <w14:textFill>
                  <w14:solidFill>
                    <w14:schemeClr w14:val="tx1"/>
                  </w14:solidFill>
                </w14:textFill>
              </w:rPr>
            </w:pPr>
            <w:r>
              <w:rPr>
                <w:rStyle w:val="28"/>
                <w:rFonts w:hint="eastAsia" w:ascii="仿宋" w:hAnsi="仿宋" w:eastAsia="仿宋" w:cs="仿宋"/>
                <w:color w:val="000000" w:themeColor="text1"/>
                <w:sz w:val="24"/>
                <w:szCs w:val="24"/>
                <w:highlight w:val="none"/>
                <w14:textFill>
                  <w14:solidFill>
                    <w14:schemeClr w14:val="tx1"/>
                  </w14:solidFill>
                </w14:textFill>
              </w:rPr>
              <w:t>序号</w:t>
            </w: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服务项目</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费用</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    计</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bl>
    <w:p>
      <w:pPr>
        <w:autoSpaceDE w:val="0"/>
        <w:autoSpaceDN w:val="0"/>
        <w:spacing w:line="360" w:lineRule="auto"/>
        <w:rPr>
          <w:rFonts w:ascii="仿宋" w:hAnsi="仿宋" w:eastAsia="仿宋" w:cs="仿宋"/>
          <w:color w:val="000000" w:themeColor="text1"/>
          <w:sz w:val="24"/>
          <w:highlight w:val="none"/>
          <w:lang w:val="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根据上述政府采购合同文件要求，本政府采购合同的总金额为人民币</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（大写）</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元。</w:t>
      </w:r>
    </w:p>
    <w:p>
      <w:pPr>
        <w:autoSpaceDE w:val="0"/>
        <w:autoSpaceDN w:val="0"/>
        <w:spacing w:line="360" w:lineRule="auto"/>
        <w:rPr>
          <w:rFonts w:ascii="仿宋" w:hAnsi="仿宋" w:eastAsia="仿宋" w:cs="仿宋"/>
          <w:color w:val="000000" w:themeColor="text1"/>
          <w:sz w:val="24"/>
          <w:highlight w:val="none"/>
          <w:u w:val="singl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本合同以人民币进行结算，合同总价包括：</w:t>
      </w:r>
      <w:r>
        <w:rPr>
          <w:rFonts w:hint="eastAsia" w:ascii="仿宋" w:hAnsi="仿宋" w:eastAsia="仿宋" w:cs="仿宋"/>
          <w:color w:val="000000" w:themeColor="text1"/>
          <w:sz w:val="24"/>
          <w:highlight w:val="none"/>
          <w:u w:val="single"/>
          <w:lang w:val="zh-CN" w:eastAsia="zh-CN"/>
          <w14:textFill>
            <w14:solidFill>
              <w14:schemeClr w14:val="tx1"/>
            </w14:solidFill>
          </w14:textFill>
        </w:rPr>
        <w:t>服务费、人员费用、技术支持费、保险费、差旅费、税金、及其他不可预见费等全部费用。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三、交付时间、地点和要求</w:t>
      </w:r>
    </w:p>
    <w:p>
      <w:pPr>
        <w:spacing w:line="360" w:lineRule="auto"/>
        <w:ind w:firstLine="600" w:firstLineChars="25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服务期：</w:t>
      </w:r>
      <w:r>
        <w:rPr>
          <w:rFonts w:hint="eastAsia" w:ascii="仿宋" w:hAnsi="仿宋" w:eastAsia="仿宋" w:cs="仿宋"/>
          <w:color w:val="000000" w:themeColor="text1"/>
          <w:sz w:val="24"/>
          <w:highlight w:val="none"/>
          <w:lang w:val="en-US" w:eastAsia="zh-CN"/>
          <w14:textFill>
            <w14:solidFill>
              <w14:schemeClr w14:val="tx1"/>
            </w14:solidFill>
          </w14:textFill>
        </w:rPr>
        <w:t>签订合同之日起至本项目结束止（参展时间：2023年4月21日—4月23日）</w:t>
      </w:r>
      <w:r>
        <w:rPr>
          <w:rFonts w:hint="eastAsia" w:ascii="仿宋" w:hAnsi="仿宋" w:eastAsia="仿宋" w:cs="仿宋"/>
          <w:color w:val="000000" w:themeColor="text1"/>
          <w:sz w:val="24"/>
          <w:highlight w:val="none"/>
          <w:lang w:eastAsia="zh-CN"/>
          <w14:textFill>
            <w14:solidFill>
              <w14:schemeClr w14:val="tx1"/>
            </w14:solidFill>
          </w14:textFill>
        </w:rPr>
        <w:t>。</w:t>
      </w:r>
    </w:p>
    <w:p>
      <w:pPr>
        <w:autoSpaceDE w:val="0"/>
        <w:autoSpaceDN w:val="0"/>
        <w:spacing w:line="360" w:lineRule="auto"/>
        <w:ind w:firstLine="720" w:firstLineChars="30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服务</w:t>
      </w:r>
      <w:r>
        <w:rPr>
          <w:rFonts w:hint="eastAsia" w:ascii="仿宋" w:hAnsi="仿宋" w:eastAsia="仿宋" w:cs="仿宋"/>
          <w:color w:val="000000" w:themeColor="text1"/>
          <w:sz w:val="24"/>
          <w:highlight w:val="none"/>
          <w:lang w:val="zh-CN" w:eastAsia="zh-CN"/>
          <w14:textFill>
            <w14:solidFill>
              <w14:schemeClr w14:val="tx1"/>
            </w14:solidFill>
          </w14:textFill>
        </w:rPr>
        <w:t>地点：</w:t>
      </w:r>
      <w:r>
        <w:rPr>
          <w:rFonts w:hint="eastAsia" w:ascii="仿宋" w:hAnsi="仿宋" w:eastAsia="仿宋" w:cs="仿宋"/>
          <w:color w:val="000000" w:themeColor="text1"/>
          <w:sz w:val="24"/>
          <w:highlight w:val="none"/>
          <w:lang w:eastAsia="zh-CN"/>
          <w14:textFill>
            <w14:solidFill>
              <w14:schemeClr w14:val="tx1"/>
            </w14:solidFill>
          </w14:textFill>
        </w:rPr>
        <w:t>采购人指定地点</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.乙方提供不符合招响应文件和本合同规定的服务，甲方有权拒绝接受。</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.乙方应无条件接受甲方对工作进度的调查和督促并提供成果质量检查按照检查意见对调查成果进行补充调查和修改。因成果质量造成的返工、修改，经济损失由乙方承担。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4</w:t>
      </w:r>
      <w:r>
        <w:rPr>
          <w:rFonts w:hint="eastAsia" w:ascii="仿宋" w:hAnsi="仿宋" w:eastAsia="仿宋" w:cs="仿宋"/>
          <w:color w:val="000000" w:themeColor="text1"/>
          <w:sz w:val="24"/>
          <w:highlight w:val="none"/>
          <w:lang w:val="zh-CN" w:eastAsia="zh-CN"/>
          <w14:textFill>
            <w14:solidFill>
              <w14:schemeClr w14:val="tx1"/>
            </w14:solidFill>
          </w14:textFill>
        </w:rPr>
        <w:t>.乙方在项目实施过程中应保证安全，如造成人员伤亡或财产损失，由乙方自负法律责任。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甲方应提供该项目验收报告交同级财政监管部门，由财政部门按规定程序抽验后办理资金拨付。</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w:t>
      </w:r>
      <w:r>
        <w:rPr>
          <w:rFonts w:hint="eastAsia" w:ascii="仿宋" w:hAnsi="仿宋" w:eastAsia="仿宋" w:cs="仿宋"/>
          <w:color w:val="000000" w:themeColor="text1"/>
          <w:sz w:val="24"/>
          <w:highlight w:val="none"/>
          <w:lang w:val="zh-CN" w:eastAsia="zh-CN"/>
          <w14:textFill>
            <w14:solidFill>
              <w14:schemeClr w14:val="tx1"/>
            </w14:solidFill>
          </w14:textFill>
        </w:rPr>
        <w:t>. 甲方在验收过程中发现乙方有违约问题，可按招、响应文件的规定要求乙方及时予以解决。</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7</w:t>
      </w:r>
      <w:r>
        <w:rPr>
          <w:rFonts w:hint="eastAsia" w:ascii="仿宋" w:hAnsi="仿宋" w:eastAsia="仿宋" w:cs="仿宋"/>
          <w:color w:val="000000" w:themeColor="text1"/>
          <w:sz w:val="24"/>
          <w:highlight w:val="none"/>
          <w:lang w:val="zh-CN" w:eastAsia="zh-CN"/>
          <w14:textFill>
            <w14:solidFill>
              <w14:schemeClr w14:val="tx1"/>
            </w14:solidFill>
          </w14:textFill>
        </w:rPr>
        <w:t>.乙方向甲方提供设备相关完税销售发票。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8</w:t>
      </w:r>
      <w:r>
        <w:rPr>
          <w:rFonts w:hint="eastAsia" w:ascii="仿宋" w:hAnsi="仿宋" w:eastAsia="仿宋" w:cs="仿宋"/>
          <w:color w:val="000000" w:themeColor="text1"/>
          <w:sz w:val="24"/>
          <w:highlight w:val="none"/>
          <w:lang w:val="zh-CN" w:eastAsia="zh-CN"/>
          <w14:textFill>
            <w14:solidFill>
              <w14:schemeClr w14:val="tx1"/>
            </w14:solidFill>
          </w14:textFill>
        </w:rPr>
        <w:t>.未经甲方同意，乙方不得转包分包项目。</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四、付款方式</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、付款方式</w:t>
      </w:r>
      <w:r>
        <w:rPr>
          <w:rFonts w:hint="eastAsia" w:ascii="仿宋" w:hAnsi="仿宋" w:eastAsia="仿宋" w:cs="仿宋"/>
          <w:color w:val="000000" w:themeColor="text1"/>
          <w:sz w:val="24"/>
          <w:highlight w:val="none"/>
          <w:lang w:eastAsia="zh-CN"/>
          <w14:textFill>
            <w14:solidFill>
              <w14:schemeClr w14:val="tx1"/>
            </w14:solidFill>
          </w14:textFill>
        </w:rPr>
        <w:t>：</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完成工作</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并</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验收合格后</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一次性支付</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。付款前，成交供应商须提供合法的当届结算金额全额增值税发票并经采购人财务审核后方可付款</w:t>
      </w:r>
      <w:r>
        <w:rPr>
          <w:rStyle w:val="31"/>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Style w:val="31"/>
          <w:rFonts w:hint="eastAsia" w:ascii="仿宋" w:hAnsi="仿宋" w:eastAsia="仿宋" w:cs="仿宋"/>
          <w:color w:val="000000" w:themeColor="text1"/>
          <w:sz w:val="24"/>
          <w:szCs w:val="24"/>
          <w:highlight w:val="none"/>
          <w:lang w:eastAsia="zh-CN"/>
          <w14:textFill>
            <w14:solidFill>
              <w14:schemeClr w14:val="tx1"/>
            </w14:solidFill>
          </w14:textFill>
        </w:rPr>
        <w:t>。</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lang w:val="zh-CN" w:eastAsia="zh-CN"/>
          <w14:textFill>
            <w14:solidFill>
              <w14:schemeClr w14:val="tx1"/>
            </w14:solidFill>
          </w14:textFill>
        </w:rPr>
        <w:t>合同的变更、终止与转让</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甲乙双方如违反本合同规定，应承担违约责任和相应的经济处罚。具体规定如下：</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1.除《中华人民共和国政府采购法》第50条规定的情形外，本合同一经签订，甲乙双方不得擅自变更、中止或终止。</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2.乙方不得擅自转让其应履行的合同义务。</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六、违约责任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3.因甲方原因造成乙方停工、返工及合同停止，乙方不承担违约责任。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4.经甲方组织的人员审查发现，乙方未按采购人要求完成工作内容，甲方有权要求乙方返工。</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 除非双方书面同意延迟，若乙方未能按本合同的约定提供服务、交付服务成果，甲方有权要求乙方支付违约金。延迟提供服务、交付服务成果违约金为合同总价款的2‰元/天；如果乙方未能按本合同的约定提供服务，且延迟期限超过30日，甲方有权单方解除本合同，并有权要求乙方支付本合同总价款1</w:t>
      </w:r>
      <w:r>
        <w:rPr>
          <w:rFonts w:hint="eastAsia"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lang w:val="zh-CN" w:eastAsia="zh-CN"/>
          <w14:textFill>
            <w14:solidFill>
              <w14:schemeClr w14:val="tx1"/>
            </w14:solidFill>
          </w14:textFill>
        </w:rPr>
        <w:t>%的违约金；延迟提供服务、交付服务成果违约金从合同总价款中支付。</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 乙方未经甲方同意将项目中的全部或部分工作任务分包给第三方，或将项目转包给第三方承担，甲方有权要求乙方予以纠正或解除合同。</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7.乙方向甲方应提供与合同要求相符的服务，提交的所有资料成果必须保证真实可靠，并对提交的成果质量终身负责。若乙方向甲方提供的服务或交付的服务成果不符合合同约定，责令乙方重新提供服务、交付服务成果，以使服务达到合同要求，同时乙方承担一切费用和风险，负担甲方遭受的一切损失，并承担延迟提供服务、交付服务成果的责任；甲方解除合同，乙方将甲方已付的所有款项退还甲方，乙方承担由此发生的一切损失和费用，并向甲方支付合同总价款10%的违约金。</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8.甲乙双方任何一方由于不可抗拒的原因不能履行合同时，应及时向对方通报不能履行或不能完全履行的理由，根据具体情况可部分或全部免于承担违约责任。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lang w:val="zh-CN" w:eastAsia="zh-CN"/>
          <w14:textFill>
            <w14:solidFill>
              <w14:schemeClr w14:val="tx1"/>
            </w14:solidFill>
          </w14:textFill>
        </w:rPr>
        <w:t>、不可抗力</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1.不可抗力使合同的某些内容有变更必要的，双方应通过协商在   天内达成进一步履行合同的协议，因不可抗力致使合同不能履行的，合同终止。</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2.除法律、法规规定的不可抗力情形外，双方约定出现 </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情况亦视为不可抗力。</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八、成果和资料的保密与归属；</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乙方在项目实施过程中使用甲方提供的所有原始资料、形成的中间及最终成果归甲方所有，乙方应严格按照有关法律法规加强管理、合法使用，未经甲方同意，乙方不得以任何方式、理由发表或向第三者提供，也不得用于其他目的，不得私自拷贝、备份或转作他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乙方应对甲方提供的资料及项目成果保密。乙方应按照相关法律法规，在使用过程中对涉密成果妥善保管和使用。乙方应建立完善的内部保密制度和采取有效的内部保密措施，避免与履行本合同无关的其他人员接触涉密信息。如果违反规定，泄密责任应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3.本保密条款具有独立法律效力，不因合同其他条款无效或解除而失效。合同终止后，甲乙双方亦应持续履行本条所述各项保密责任。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九、其他约定：无</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十、合同争议解决</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1.因履行本合同引起的或与本合同有关的争议，甲乙双方应首先通过友好协商解决，如果协商不能解决，可向甲方所在地仲裁委员会申请仲裁或向甲方所在地人民法院提起诉讼。</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3.诉讼期间，本合同继续履行。</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lang w:val="zh-CN" w:eastAsia="zh-CN"/>
          <w14:textFill>
            <w14:solidFill>
              <w14:schemeClr w14:val="tx1"/>
            </w14:solidFill>
          </w14:textFill>
        </w:rPr>
        <w:t>、合同生效及其它：</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1.本合同一式八份，经双方签字，并加盖公章即为生效。</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2.本合同未尽事宜，按《中华人民国和国民法典》有关规定处理。</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3.本合同的组成包含《合同通用条款》，可自行在政府采购网下载《合同通用条款》。</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甲方（盖章）：                         乙方（盖章）：</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法定代表人或委托代理人：               法定代表人或委托代理人：</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开户银行：     </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联系电话：                             账号：</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联系电话：</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签约时间：  年  月  日</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负责人或经办人：</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合同备案时间：   年   月    日</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pStyle w:val="20"/>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jc w:val="center"/>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zh-CN" w:eastAsia="zh-CN"/>
          <w14:textFill>
            <w14:solidFill>
              <w14:schemeClr w14:val="tx1"/>
            </w14:solidFill>
          </w14:textFill>
        </w:rPr>
        <w:t>合同通用条款</w:t>
      </w:r>
    </w:p>
    <w:p>
      <w:pPr>
        <w:autoSpaceDE w:val="0"/>
        <w:autoSpaceDN w:val="0"/>
        <w:adjustRightInd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根据《中华人民共和国民法典》、《中华人民共和国政府采购法》的规定，合同双方经协商达成一致，自愿订立本合同，遵循公平原则明确双方的权利、义务，确保双方诚实守信地履行合同。</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w:t>
      </w:r>
      <w:r>
        <w:rPr>
          <w:rFonts w:hint="eastAsia" w:ascii="仿宋" w:hAnsi="仿宋" w:eastAsia="仿宋" w:cs="仿宋"/>
          <w:b/>
          <w:bCs/>
          <w:color w:val="000000" w:themeColor="text1"/>
          <w:sz w:val="24"/>
          <w:highlight w:val="none"/>
          <w:lang w:val="zh-CN" w:eastAsia="zh-CN"/>
          <w14:textFill>
            <w14:solidFill>
              <w14:schemeClr w14:val="tx1"/>
            </w14:solidFill>
          </w14:textFill>
        </w:rPr>
        <w:t>定义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本合同中的下列术语应解释为：</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 </w:t>
      </w:r>
      <w:r>
        <w:rPr>
          <w:rFonts w:hint="eastAsia" w:ascii="仿宋" w:hAnsi="仿宋" w:eastAsia="仿宋" w:cs="仿宋"/>
          <w:color w:val="000000" w:themeColor="text1"/>
          <w:sz w:val="24"/>
          <w:highlight w:val="none"/>
          <w:lang w:val="zh-CN" w:eastAsia="zh-CN"/>
          <w14:textFill>
            <w14:solidFill>
              <w14:schemeClr w14:val="tx1"/>
            </w14:solidFill>
          </w14:textFill>
        </w:rPr>
        <w:t>“合同”指甲乙双方签署的、载明的甲乙双方权利义务的协议，包括所有的附件、附录和上述文件所提到的构成合同的所有文件。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 </w:t>
      </w:r>
      <w:r>
        <w:rPr>
          <w:rFonts w:hint="eastAsia" w:ascii="仿宋" w:hAnsi="仿宋" w:eastAsia="仿宋" w:cs="仿宋"/>
          <w:color w:val="000000" w:themeColor="text1"/>
          <w:sz w:val="24"/>
          <w:highlight w:val="none"/>
          <w:lang w:val="zh-CN" w:eastAsia="zh-CN"/>
          <w14:textFill>
            <w14:solidFill>
              <w14:schemeClr w14:val="tx1"/>
            </w14:solidFill>
          </w14:textFill>
        </w:rPr>
        <w:t>“合同金额”指根据合同规定，乙方在正确地完全履行合同义务后甲方应付给乙方的价款。</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1.3 </w:t>
      </w:r>
      <w:r>
        <w:rPr>
          <w:rFonts w:hint="eastAsia" w:ascii="仿宋" w:hAnsi="仿宋" w:eastAsia="仿宋" w:cs="仿宋"/>
          <w:color w:val="000000" w:themeColor="text1"/>
          <w:sz w:val="24"/>
          <w:highlight w:val="none"/>
          <w:lang w:val="zh-CN" w:eastAsia="zh-CN"/>
          <w14:textFill>
            <w14:solidFill>
              <w14:schemeClr w14:val="tx1"/>
            </w14:solidFill>
          </w14:textFill>
        </w:rPr>
        <w:t>“合同条款”指本合同条款。</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 </w:t>
      </w:r>
      <w:r>
        <w:rPr>
          <w:rFonts w:hint="eastAsia" w:ascii="仿宋" w:hAnsi="仿宋" w:eastAsia="仿宋" w:cs="仿宋"/>
          <w:color w:val="000000" w:themeColor="text1"/>
          <w:sz w:val="24"/>
          <w:highlight w:val="none"/>
          <w:lang w:val="zh-CN" w:eastAsia="zh-CN"/>
          <w14:textFill>
            <w14:solidFill>
              <w14:schemeClr w14:val="tx1"/>
            </w14:solidFill>
          </w14:textFill>
        </w:rPr>
        <w:t>“服务”指根据本合同规定乙方承担与供货有关的辅助服务，如提供技术援助、培训和合同中规定乙方应承担的其它义务。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1.5 </w:t>
      </w:r>
      <w:r>
        <w:rPr>
          <w:rFonts w:hint="eastAsia" w:ascii="仿宋" w:hAnsi="仿宋" w:eastAsia="仿宋" w:cs="仿宋"/>
          <w:color w:val="000000" w:themeColor="text1"/>
          <w:sz w:val="24"/>
          <w:highlight w:val="none"/>
          <w:lang w:val="zh-CN" w:eastAsia="zh-CN"/>
          <w14:textFill>
            <w14:solidFill>
              <w14:schemeClr w14:val="tx1"/>
            </w14:solidFill>
          </w14:textFill>
        </w:rPr>
        <w:t>“甲方”指购买服务的单位。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 </w:t>
      </w:r>
      <w:r>
        <w:rPr>
          <w:rFonts w:hint="eastAsia" w:ascii="仿宋" w:hAnsi="仿宋" w:eastAsia="仿宋" w:cs="仿宋"/>
          <w:color w:val="000000" w:themeColor="text1"/>
          <w:sz w:val="24"/>
          <w:highlight w:val="none"/>
          <w:lang w:val="zh-CN" w:eastAsia="zh-CN"/>
          <w14:textFill>
            <w14:solidFill>
              <w14:schemeClr w14:val="tx1"/>
            </w14:solidFill>
          </w14:textFill>
        </w:rPr>
        <w:t>“乙方”指提供本合同条款下服务的公司或其他实体。</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 </w:t>
      </w:r>
      <w:r>
        <w:rPr>
          <w:rFonts w:hint="eastAsia" w:ascii="仿宋" w:hAnsi="仿宋" w:eastAsia="仿宋" w:cs="仿宋"/>
          <w:color w:val="000000" w:themeColor="text1"/>
          <w:sz w:val="24"/>
          <w:highlight w:val="none"/>
          <w:lang w:val="zh-CN" w:eastAsia="zh-CN"/>
          <w14:textFill>
            <w14:solidFill>
              <w14:schemeClr w14:val="tx1"/>
            </w14:solidFill>
          </w14:textFill>
        </w:rPr>
        <w:t>“现场”指合同规定</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地点。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1.8 </w:t>
      </w:r>
      <w:r>
        <w:rPr>
          <w:rFonts w:hint="eastAsia" w:ascii="仿宋" w:hAnsi="仿宋" w:eastAsia="仿宋" w:cs="仿宋"/>
          <w:color w:val="000000" w:themeColor="text1"/>
          <w:sz w:val="24"/>
          <w:highlight w:val="none"/>
          <w:lang w:val="zh-CN" w:eastAsia="zh-CN"/>
          <w14:textFill>
            <w14:solidFill>
              <w14:schemeClr w14:val="tx1"/>
            </w14:solidFill>
          </w14:textFill>
        </w:rPr>
        <w:t>“验收”指合同双方依据强制性的国家技术质量规范和合同约定，确认合同条款下的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符合合同规定的活动。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 </w:t>
      </w:r>
      <w:r>
        <w:rPr>
          <w:rFonts w:hint="eastAsia" w:ascii="仿宋" w:hAnsi="仿宋" w:eastAsia="仿宋" w:cs="仿宋"/>
          <w:color w:val="000000" w:themeColor="text1"/>
          <w:sz w:val="24"/>
          <w:highlight w:val="none"/>
          <w:lang w:val="zh-CN" w:eastAsia="zh-CN"/>
          <w14:textFill>
            <w14:solidFill>
              <w14:schemeClr w14:val="tx1"/>
            </w14:solidFill>
          </w14:textFill>
        </w:rPr>
        <w:t>原产地：指提供服务的来源地。</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1.10 </w:t>
      </w:r>
      <w:r>
        <w:rPr>
          <w:rFonts w:hint="eastAsia" w:ascii="仿宋" w:hAnsi="仿宋" w:eastAsia="仿宋" w:cs="仿宋"/>
          <w:color w:val="000000" w:themeColor="text1"/>
          <w:sz w:val="24"/>
          <w:highlight w:val="none"/>
          <w:lang w:val="zh-CN" w:eastAsia="zh-CN"/>
          <w14:textFill>
            <w14:solidFill>
              <w14:schemeClr w14:val="tx1"/>
            </w14:solidFill>
          </w14:textFill>
        </w:rPr>
        <w:t>“工作日”指国家法定工作日，“天”指日历天数。</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w:t>
      </w:r>
      <w:r>
        <w:rPr>
          <w:rFonts w:hint="eastAsia" w:ascii="仿宋" w:hAnsi="仿宋" w:eastAsia="仿宋" w:cs="仿宋"/>
          <w:b/>
          <w:bCs/>
          <w:color w:val="000000" w:themeColor="text1"/>
          <w:sz w:val="24"/>
          <w:highlight w:val="none"/>
          <w:lang w:val="zh-CN" w:eastAsia="zh-CN"/>
          <w14:textFill>
            <w14:solidFill>
              <w14:schemeClr w14:val="tx1"/>
            </w14:solidFill>
          </w14:textFill>
        </w:rPr>
        <w:t>合同范围</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2.1 </w:t>
      </w:r>
      <w:r>
        <w:rPr>
          <w:rFonts w:hint="eastAsia" w:ascii="仿宋" w:hAnsi="仿宋" w:eastAsia="仿宋" w:cs="仿宋"/>
          <w:color w:val="000000" w:themeColor="text1"/>
          <w:sz w:val="24"/>
          <w:highlight w:val="none"/>
          <w:lang w:val="zh-CN" w:eastAsia="zh-CN"/>
          <w14:textFill>
            <w14:solidFill>
              <w14:schemeClr w14:val="tx1"/>
            </w14:solidFill>
          </w14:textFill>
        </w:rPr>
        <w:t>甲方同意从乙方处购买且乙方同意向甲方提供的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及其附属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，包括各项技术服务、技术培训及满足合同技术服务、性能测试、正常运行及维修所必需的技术文件。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2.2 </w:t>
      </w:r>
      <w:r>
        <w:rPr>
          <w:rFonts w:hint="eastAsia" w:ascii="仿宋" w:hAnsi="仿宋" w:eastAsia="仿宋" w:cs="仿宋"/>
          <w:color w:val="000000" w:themeColor="text1"/>
          <w:sz w:val="24"/>
          <w:highlight w:val="none"/>
          <w:lang w:val="zh-CN" w:eastAsia="zh-CN"/>
          <w14:textFill>
            <w14:solidFill>
              <w14:schemeClr w14:val="tx1"/>
            </w14:solidFill>
          </w14:textFill>
        </w:rPr>
        <w:t>乙方应负责培训甲方的技术人员。</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2.3 </w:t>
      </w:r>
      <w:r>
        <w:rPr>
          <w:rFonts w:hint="eastAsia" w:ascii="仿宋" w:hAnsi="仿宋" w:eastAsia="仿宋" w:cs="仿宋"/>
          <w:color w:val="000000" w:themeColor="text1"/>
          <w:sz w:val="24"/>
          <w:highlight w:val="none"/>
          <w:lang w:val="zh-CN" w:eastAsia="zh-CN"/>
          <w14:textFill>
            <w14:solidFill>
              <w14:schemeClr w14:val="tx1"/>
            </w14:solidFill>
          </w14:textFill>
        </w:rPr>
        <w:t>按照甲方的要求，乙方应在合同规定的</w:t>
      </w:r>
      <w:r>
        <w:rPr>
          <w:rFonts w:hint="eastAsia" w:ascii="仿宋" w:hAnsi="仿宋" w:eastAsia="仿宋" w:cs="仿宋"/>
          <w:color w:val="000000" w:themeColor="text1"/>
          <w:sz w:val="24"/>
          <w:highlight w:val="none"/>
          <w:lang w:eastAsia="zh-CN"/>
          <w14:textFill>
            <w14:solidFill>
              <w14:schemeClr w14:val="tx1"/>
            </w14:solidFill>
          </w14:textFill>
        </w:rPr>
        <w:t>服务期</w:t>
      </w:r>
      <w:r>
        <w:rPr>
          <w:rFonts w:hint="eastAsia" w:ascii="仿宋" w:hAnsi="仿宋" w:eastAsia="仿宋" w:cs="仿宋"/>
          <w:color w:val="000000" w:themeColor="text1"/>
          <w:sz w:val="24"/>
          <w:highlight w:val="none"/>
          <w:lang w:val="zh-CN" w:eastAsia="zh-CN"/>
          <w14:textFill>
            <w14:solidFill>
              <w14:schemeClr w14:val="tx1"/>
            </w14:solidFill>
          </w14:textFill>
        </w:rPr>
        <w:t>内，对软件设备进行免费升级，同时在合同规定的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期满后，以最优惠的价格，向买方提供合同所需的配件及服务。</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3.</w:t>
      </w:r>
      <w:r>
        <w:rPr>
          <w:rFonts w:hint="eastAsia" w:ascii="仿宋" w:hAnsi="仿宋" w:eastAsia="仿宋" w:cs="仿宋"/>
          <w:b/>
          <w:bCs/>
          <w:color w:val="000000" w:themeColor="text1"/>
          <w:sz w:val="24"/>
          <w:highlight w:val="none"/>
          <w:lang w:val="zh-CN" w:eastAsia="zh-CN"/>
          <w14:textFill>
            <w14:solidFill>
              <w14:schemeClr w14:val="tx1"/>
            </w14:solidFill>
          </w14:textFill>
        </w:rPr>
        <w:t>合同文件和资料</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3.1 </w:t>
      </w:r>
      <w:r>
        <w:rPr>
          <w:rFonts w:hint="eastAsia" w:ascii="仿宋" w:hAnsi="仿宋" w:eastAsia="仿宋" w:cs="仿宋"/>
          <w:color w:val="000000" w:themeColor="text1"/>
          <w:sz w:val="24"/>
          <w:highlight w:val="none"/>
          <w:lang w:val="zh-CN" w:eastAsia="zh-CN"/>
          <w14:textFill>
            <w14:solidFill>
              <w14:schemeClr w14:val="tx1"/>
            </w14:solidFill>
          </w14:textFill>
        </w:rPr>
        <w:t>乙方在提供</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时应同时提供中文版相关的技术资料，如目录索引、操作手册、使用指南、维修指南、服务手册等。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3.2 </w:t>
      </w:r>
      <w:r>
        <w:rPr>
          <w:rFonts w:hint="eastAsia" w:ascii="仿宋" w:hAnsi="仿宋" w:eastAsia="仿宋" w:cs="仿宋"/>
          <w:color w:val="000000" w:themeColor="text1"/>
          <w:sz w:val="24"/>
          <w:highlight w:val="none"/>
          <w:lang w:val="zh-CN" w:eastAsia="zh-CN"/>
          <w14:textFill>
            <w14:solidFill>
              <w14:schemeClr w14:val="tx1"/>
            </w14:solidFill>
          </w14:textFill>
        </w:rPr>
        <w:t>未经甲方事先的书面同意，乙方不得将由甲方或代表甲方提供的有关合同或任何合同条文、计划或资料提供给与履行本合同无关的任何其他人，如向与履行本合同有关的人员提供，则应严格保密并限于履行本合同所必须的范围。</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zh-CN" w:eastAsia="zh-CN"/>
          <w14:textFill>
            <w14:solidFill>
              <w14:schemeClr w14:val="tx1"/>
            </w14:solidFill>
          </w14:textFill>
        </w:rPr>
        <w:t>知识产权</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4.1 </w:t>
      </w:r>
      <w:r>
        <w:rPr>
          <w:rFonts w:hint="eastAsia" w:ascii="仿宋" w:hAnsi="仿宋" w:eastAsia="仿宋" w:cs="仿宋"/>
          <w:color w:val="000000" w:themeColor="text1"/>
          <w:sz w:val="24"/>
          <w:highlight w:val="none"/>
          <w:lang w:val="zh-CN" w:eastAsia="zh-CN"/>
          <w14:textFill>
            <w14:solidFill>
              <w14:schemeClr w14:val="tx1"/>
            </w14:solidFill>
          </w14:textFill>
        </w:rPr>
        <w:t>乙方应保证甲方在使用该货物或其任何一部分时不受第三方提出的侵犯专利权、著作权、商标权和工业设计权等的起诉。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4.2 </w:t>
      </w:r>
      <w:r>
        <w:rPr>
          <w:rFonts w:hint="eastAsia" w:ascii="仿宋" w:hAnsi="仿宋" w:eastAsia="仿宋" w:cs="仿宋"/>
          <w:color w:val="000000" w:themeColor="text1"/>
          <w:sz w:val="24"/>
          <w:highlight w:val="none"/>
          <w:lang w:val="zh-CN" w:eastAsia="zh-CN"/>
          <w14:textFill>
            <w14:solidFill>
              <w14:schemeClr w14:val="tx1"/>
            </w14:solidFill>
          </w14:textFill>
        </w:rPr>
        <w:t>任何第三方提出侵权指控，乙方须与第三方交涉并承担由此产生的一切责任、费用和经济赔偿。</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4.3 </w:t>
      </w:r>
      <w:r>
        <w:rPr>
          <w:rFonts w:hint="eastAsia" w:ascii="仿宋" w:hAnsi="仿宋" w:eastAsia="仿宋" w:cs="仿宋"/>
          <w:color w:val="000000" w:themeColor="text1"/>
          <w:sz w:val="24"/>
          <w:highlight w:val="none"/>
          <w:lang w:val="zh-CN" w:eastAsia="zh-CN"/>
          <w14:textFill>
            <w14:solidFill>
              <w14:schemeClr w14:val="tx1"/>
            </w14:solidFill>
          </w14:textFill>
        </w:rPr>
        <w:t>双方应共同遵守国家有关版权、专利、商标等知识产权方面的法律规定，相互尊重对方的知识产权，对本合同内容、对方的技术秘密和商业秘密负有保密责任。如有违反，违约方负相关法律责任。</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4.4 </w:t>
      </w:r>
      <w:r>
        <w:rPr>
          <w:rFonts w:hint="eastAsia" w:ascii="仿宋" w:hAnsi="仿宋" w:eastAsia="仿宋" w:cs="仿宋"/>
          <w:color w:val="000000" w:themeColor="text1"/>
          <w:sz w:val="24"/>
          <w:highlight w:val="none"/>
          <w:lang w:val="zh-CN" w:eastAsia="zh-CN"/>
          <w14:textFill>
            <w14:solidFill>
              <w14:schemeClr w14:val="tx1"/>
            </w14:solidFill>
          </w14:textFill>
        </w:rPr>
        <w:t>在本合同生效时已经存在并为各方合法拥有或使用的所有技术、资料和信息的知识产权，仍应属于其各自的原权利人所有或享有，另有约定的除外。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4.5 </w:t>
      </w:r>
      <w:r>
        <w:rPr>
          <w:rFonts w:hint="eastAsia" w:ascii="仿宋" w:hAnsi="仿宋" w:eastAsia="仿宋" w:cs="仿宋"/>
          <w:color w:val="000000" w:themeColor="text1"/>
          <w:sz w:val="24"/>
          <w:highlight w:val="none"/>
          <w:lang w:val="zh-CN" w:eastAsia="zh-CN"/>
          <w14:textFill>
            <w14:solidFill>
              <w14:schemeClr w14:val="tx1"/>
            </w14:solidFill>
          </w14:textFill>
        </w:rPr>
        <w:t>乙方保证拥有由其提供给甲方的所有软件的合法使用权，并且已获得进行许可的正当授权及其有权将软件许可及其相关材料授权或转让给甲方。甲方可独立对本合同条款下软件设备进行后续开发，不受版权限制。乙方承诺并保证甲方除本协议的付款义务外无需支付任何其它的许可使用费，以非独家的、永久的、全球的、不可撤销的方式使用本合同条款下软件设备。</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zh-CN" w:eastAsia="zh-CN"/>
          <w14:textFill>
            <w14:solidFill>
              <w14:schemeClr w14:val="tx1"/>
            </w14:solidFill>
          </w14:textFill>
        </w:rPr>
        <w:t>保密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5.1 </w:t>
      </w:r>
      <w:r>
        <w:rPr>
          <w:rFonts w:hint="eastAsia" w:ascii="仿宋" w:hAnsi="仿宋" w:eastAsia="仿宋" w:cs="仿宋"/>
          <w:color w:val="000000" w:themeColor="text1"/>
          <w:sz w:val="24"/>
          <w:highlight w:val="none"/>
          <w:lang w:val="zh-CN" w:eastAsia="zh-CN"/>
          <w14:textFill>
            <w14:solidFill>
              <w14:schemeClr w14:val="tx1"/>
            </w14:solidFill>
          </w14:textFill>
        </w:rPr>
        <w:t>在本合同履行期间及履行完毕后的任何时候，任何一方均应对因履行本合同从对方获取或知悉的保密信息承担保密责任，未经对方书面同意不得向第三方透露，否则应赔偿由此给对方造成的全部损失。</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 </w:t>
      </w:r>
      <w:r>
        <w:rPr>
          <w:rFonts w:hint="eastAsia" w:ascii="仿宋" w:hAnsi="仿宋" w:eastAsia="仿宋" w:cs="仿宋"/>
          <w:color w:val="000000" w:themeColor="text1"/>
          <w:sz w:val="24"/>
          <w:highlight w:val="none"/>
          <w:lang w:val="zh-CN" w:eastAsia="zh-CN"/>
          <w14:textFill>
            <w14:solidFill>
              <w14:schemeClr w14:val="tx1"/>
            </w14:solidFill>
          </w14:textFill>
        </w:rPr>
        <w:t>保密信息指任何一方因履行本合同所知悉的任何以口头、书面、图表或电子形式存在的对方信息，具体包括：</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5.2.1 </w:t>
      </w:r>
      <w:r>
        <w:rPr>
          <w:rFonts w:hint="eastAsia" w:ascii="仿宋" w:hAnsi="仿宋" w:eastAsia="仿宋" w:cs="仿宋"/>
          <w:color w:val="000000" w:themeColor="text1"/>
          <w:sz w:val="24"/>
          <w:highlight w:val="none"/>
          <w:lang w:val="zh-CN" w:eastAsia="zh-CN"/>
          <w14:textFill>
            <w14:solidFill>
              <w14:schemeClr w14:val="tx1"/>
            </w14:solidFill>
          </w14:textFill>
        </w:rPr>
        <w:t>任何涉及对方过去、现在或将来的商业计划、规章制度、操作规程、处理手段、财务信息；</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5.2.2 </w:t>
      </w:r>
      <w:r>
        <w:rPr>
          <w:rFonts w:hint="eastAsia" w:ascii="仿宋" w:hAnsi="仿宋" w:eastAsia="仿宋" w:cs="仿宋"/>
          <w:color w:val="000000" w:themeColor="text1"/>
          <w:sz w:val="24"/>
          <w:highlight w:val="none"/>
          <w:lang w:val="zh-CN" w:eastAsia="zh-CN"/>
          <w14:textFill>
            <w14:solidFill>
              <w14:schemeClr w14:val="tx1"/>
            </w14:solidFill>
          </w14:textFill>
        </w:rPr>
        <w:t>任何对方的技术措施、技术方案、软件应用及开发，硬件设备的品种、质量、数量、品牌等；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5.2.3 </w:t>
      </w:r>
      <w:r>
        <w:rPr>
          <w:rFonts w:hint="eastAsia" w:ascii="仿宋" w:hAnsi="仿宋" w:eastAsia="仿宋" w:cs="仿宋"/>
          <w:color w:val="000000" w:themeColor="text1"/>
          <w:sz w:val="24"/>
          <w:highlight w:val="none"/>
          <w:lang w:val="zh-CN" w:eastAsia="zh-CN"/>
          <w14:textFill>
            <w14:solidFill>
              <w14:schemeClr w14:val="tx1"/>
            </w14:solidFill>
          </w14:textFill>
        </w:rPr>
        <w:t>任何对方的技术秘密或专有知识、文件</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、报告、数据、客户软件、流程图、数据库、发明、知识、贸易秘密。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5.3 </w:t>
      </w:r>
      <w:r>
        <w:rPr>
          <w:rFonts w:hint="eastAsia" w:ascii="仿宋" w:hAnsi="仿宋" w:eastAsia="仿宋" w:cs="仿宋"/>
          <w:color w:val="000000" w:themeColor="text1"/>
          <w:sz w:val="24"/>
          <w:highlight w:val="none"/>
          <w:lang w:val="zh-CN" w:eastAsia="zh-CN"/>
          <w14:textFill>
            <w14:solidFill>
              <w14:schemeClr w14:val="tx1"/>
            </w14:solidFill>
          </w14:textFill>
        </w:rPr>
        <w:t>乙方应根据甲方的要求签署相应的保密协议，保密协议与本条款存在不一致的，以保密协议为准。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 xml:space="preserve">6. </w:t>
      </w:r>
      <w:r>
        <w:rPr>
          <w:rFonts w:hint="eastAsia" w:ascii="仿宋" w:hAnsi="仿宋" w:eastAsia="仿宋" w:cs="仿宋"/>
          <w:b/>
          <w:bCs/>
          <w:color w:val="000000" w:themeColor="text1"/>
          <w:sz w:val="24"/>
          <w:highlight w:val="none"/>
          <w:lang w:val="zh-CN" w:eastAsia="zh-CN"/>
          <w14:textFill>
            <w14:solidFill>
              <w14:schemeClr w14:val="tx1"/>
            </w14:solidFill>
          </w14:textFill>
        </w:rPr>
        <w:t>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6.1 服务</w:t>
      </w:r>
      <w:r>
        <w:rPr>
          <w:rFonts w:hint="eastAsia" w:ascii="仿宋" w:hAnsi="仿宋" w:eastAsia="仿宋" w:cs="仿宋"/>
          <w:color w:val="000000" w:themeColor="text1"/>
          <w:sz w:val="24"/>
          <w:highlight w:val="none"/>
          <w:lang w:val="zh-CN" w:eastAsia="zh-CN"/>
          <w14:textFill>
            <w14:solidFill>
              <w14:schemeClr w14:val="tx1"/>
            </w14:solidFill>
          </w14:textFill>
        </w:rPr>
        <w:t>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6.1.1 </w:t>
      </w:r>
      <w:r>
        <w:rPr>
          <w:rFonts w:hint="eastAsia" w:ascii="仿宋" w:hAnsi="仿宋" w:eastAsia="仿宋" w:cs="仿宋"/>
          <w:color w:val="000000" w:themeColor="text1"/>
          <w:sz w:val="24"/>
          <w:highlight w:val="none"/>
          <w:lang w:val="zh-CN" w:eastAsia="zh-CN"/>
          <w14:textFill>
            <w14:solidFill>
              <w14:schemeClr w14:val="tx1"/>
            </w14:solidFill>
          </w14:textFill>
        </w:rPr>
        <w:t>乙方必须完全符合强制性的国家技术质量规范和合同规定的质量、性能和技术规范等的要求。</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6.1.2 </w:t>
      </w:r>
      <w:r>
        <w:rPr>
          <w:rFonts w:hint="eastAsia" w:ascii="仿宋" w:hAnsi="仿宋" w:eastAsia="仿宋" w:cs="仿宋"/>
          <w:color w:val="000000" w:themeColor="text1"/>
          <w:sz w:val="24"/>
          <w:highlight w:val="none"/>
          <w:lang w:val="zh-CN" w:eastAsia="zh-CN"/>
          <w14:textFill>
            <w14:solidFill>
              <w14:schemeClr w14:val="tx1"/>
            </w14:solidFill>
          </w14:textFill>
        </w:rPr>
        <w:t>根据乙方按检验标准自己检验结果或委托有资质的相关质检机构的检验结果，发现</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w:t>
      </w:r>
      <w:r>
        <w:rPr>
          <w:rFonts w:hint="eastAsia" w:ascii="仿宋" w:hAnsi="仿宋" w:eastAsia="仿宋" w:cs="仿宋"/>
          <w:color w:val="000000" w:themeColor="text1"/>
          <w:sz w:val="24"/>
          <w:highlight w:val="none"/>
          <w:lang w:eastAsia="zh-CN"/>
          <w14:textFill>
            <w14:solidFill>
              <w14:schemeClr w14:val="tx1"/>
            </w14:solidFill>
          </w14:textFill>
        </w:rPr>
        <w:t>成果</w:t>
      </w:r>
      <w:r>
        <w:rPr>
          <w:rFonts w:hint="eastAsia" w:ascii="仿宋" w:hAnsi="仿宋" w:eastAsia="仿宋" w:cs="仿宋"/>
          <w:color w:val="000000" w:themeColor="text1"/>
          <w:sz w:val="24"/>
          <w:highlight w:val="none"/>
          <w:lang w:val="zh-CN" w:eastAsia="zh-CN"/>
          <w14:textFill>
            <w14:solidFill>
              <w14:schemeClr w14:val="tx1"/>
            </w14:solidFill>
          </w14:textFill>
        </w:rPr>
        <w:t>、质量、与合同不符；或者在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期内，证实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存在缺陷，包括潜在的缺陷或使用不符合要求的，甲方应书面通知乙方。接到上述通知后，乙方应及时</w:t>
      </w:r>
      <w:r>
        <w:rPr>
          <w:rFonts w:hint="eastAsia" w:ascii="仿宋" w:hAnsi="仿宋" w:eastAsia="仿宋" w:cs="仿宋"/>
          <w:color w:val="000000" w:themeColor="text1"/>
          <w:sz w:val="24"/>
          <w:highlight w:val="none"/>
          <w:lang w:eastAsia="zh-CN"/>
          <w14:textFill>
            <w14:solidFill>
              <w14:schemeClr w14:val="tx1"/>
            </w14:solidFill>
          </w14:textFill>
        </w:rPr>
        <w:t>解决</w:t>
      </w:r>
      <w:r>
        <w:rPr>
          <w:rFonts w:hint="eastAsia" w:ascii="仿宋" w:hAnsi="仿宋" w:eastAsia="仿宋" w:cs="仿宋"/>
          <w:color w:val="000000" w:themeColor="text1"/>
          <w:sz w:val="24"/>
          <w:highlight w:val="none"/>
          <w:lang w:val="zh-CN" w:eastAsia="zh-CN"/>
          <w14:textFill>
            <w14:solidFill>
              <w14:schemeClr w14:val="tx1"/>
            </w14:solidFill>
          </w14:textFill>
        </w:rPr>
        <w:t>。乙方在甲方发出质量异议通知后，未作答复，甲方在通知书中所提出的要求应视为已被乙方接受。</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6.1.3 </w:t>
      </w:r>
      <w:r>
        <w:rPr>
          <w:rFonts w:hint="eastAsia" w:ascii="仿宋" w:hAnsi="仿宋" w:eastAsia="仿宋" w:cs="仿宋"/>
          <w:color w:val="000000" w:themeColor="text1"/>
          <w:sz w:val="24"/>
          <w:highlight w:val="none"/>
          <w:lang w:val="zh-CN" w:eastAsia="zh-CN"/>
          <w14:textFill>
            <w14:solidFill>
              <w14:schemeClr w14:val="tx1"/>
            </w14:solidFill>
          </w14:textFill>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6.1.4 </w:t>
      </w:r>
      <w:r>
        <w:rPr>
          <w:rFonts w:hint="eastAsia" w:ascii="仿宋" w:hAnsi="仿宋" w:eastAsia="仿宋" w:cs="仿宋"/>
          <w:color w:val="000000" w:themeColor="text1"/>
          <w:sz w:val="24"/>
          <w:highlight w:val="none"/>
          <w:lang w:val="zh-CN" w:eastAsia="zh-CN"/>
          <w14:textFill>
            <w14:solidFill>
              <w14:schemeClr w14:val="tx1"/>
            </w14:solidFill>
          </w14:textFill>
        </w:rPr>
        <w:t>合同条款下</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的质量保证期自</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通过最终验收起算，合同另行规定除外。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 </w:t>
      </w:r>
      <w:r>
        <w:rPr>
          <w:rFonts w:hint="eastAsia" w:ascii="仿宋" w:hAnsi="仿宋" w:eastAsia="仿宋" w:cs="仿宋"/>
          <w:color w:val="000000" w:themeColor="text1"/>
          <w:sz w:val="24"/>
          <w:highlight w:val="none"/>
          <w:lang w:val="zh-CN" w:eastAsia="zh-CN"/>
          <w14:textFill>
            <w14:solidFill>
              <w14:schemeClr w14:val="tx1"/>
            </w14:solidFill>
          </w14:textFill>
        </w:rPr>
        <w:t>辅助服务质量保证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6.2.1 </w:t>
      </w:r>
      <w:r>
        <w:rPr>
          <w:rFonts w:hint="eastAsia" w:ascii="仿宋" w:hAnsi="仿宋" w:eastAsia="仿宋" w:cs="仿宋"/>
          <w:color w:val="000000" w:themeColor="text1"/>
          <w:sz w:val="24"/>
          <w:highlight w:val="none"/>
          <w:lang w:val="zh-CN" w:eastAsia="zh-CN"/>
          <w14:textFill>
            <w14:solidFill>
              <w14:schemeClr w14:val="tx1"/>
            </w14:solidFill>
          </w14:textFill>
        </w:rPr>
        <w:t>乙方保证免费提供合同条款下的软件设备原厂商至少一年软件全部功能及其换代设备的升级与技术支持服务（包含任何版本升级、设备换代、更新及在原有设备基础上的拆解、完善、合并所产生的新设备，提供升级设备介质及授权，要求原厂商承诺，并加盖原厂商公章），不得出现因货物停售、转产而无法提供上述支持服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6.2.2 </w:t>
      </w:r>
      <w:r>
        <w:rPr>
          <w:rFonts w:hint="eastAsia" w:ascii="仿宋" w:hAnsi="仿宋" w:eastAsia="仿宋" w:cs="仿宋"/>
          <w:color w:val="000000" w:themeColor="text1"/>
          <w:sz w:val="24"/>
          <w:highlight w:val="none"/>
          <w:lang w:val="zh-CN" w:eastAsia="zh-CN"/>
          <w14:textFill>
            <w14:solidFill>
              <w14:schemeClr w14:val="tx1"/>
            </w14:solidFill>
          </w14:textFill>
        </w:rPr>
        <w:t>乙方应保证合同条款下所提供的服务包括培训、安装指导、单机调试、系统联调和试验等，按合同规定方式进行，并保证不存在因乙方工作人员的过失、错误或疏忽而产生的缺陷。</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zh-CN" w:eastAsia="zh-CN"/>
          <w14:textFill>
            <w14:solidFill>
              <w14:schemeClr w14:val="tx1"/>
            </w14:solidFill>
          </w14:textFill>
        </w:rPr>
        <w:t>价格</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7.1 </w:t>
      </w:r>
      <w:r>
        <w:rPr>
          <w:rFonts w:hint="eastAsia" w:ascii="仿宋" w:hAnsi="仿宋" w:eastAsia="仿宋" w:cs="仿宋"/>
          <w:color w:val="000000" w:themeColor="text1"/>
          <w:sz w:val="24"/>
          <w:highlight w:val="none"/>
          <w:lang w:val="zh-CN" w:eastAsia="zh-CN"/>
          <w14:textFill>
            <w14:solidFill>
              <w14:schemeClr w14:val="tx1"/>
            </w14:solidFill>
          </w14:textFill>
        </w:rPr>
        <w:t>乙方履行合同所必须的所有费用，包括但不限于检测与试验、技术资料、培训、交通、人员、差旅、质量保证期服务费、其他管理费用、所有的检验、测试、验收、试运行费用等均已包括在合同价格中。</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7.2 </w:t>
      </w:r>
      <w:r>
        <w:rPr>
          <w:rFonts w:hint="eastAsia" w:ascii="仿宋" w:hAnsi="仿宋" w:eastAsia="仿宋" w:cs="仿宋"/>
          <w:color w:val="000000" w:themeColor="text1"/>
          <w:sz w:val="24"/>
          <w:highlight w:val="none"/>
          <w:lang w:val="zh-CN" w:eastAsia="zh-CN"/>
          <w14:textFill>
            <w14:solidFill>
              <w14:schemeClr w14:val="tx1"/>
            </w14:solidFill>
          </w14:textFill>
        </w:rPr>
        <w:t>本合同价格为固定价格，包括了乙方履行合同全过程产生的所有成本和费用以及乙方应承担的一切税费。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 </w:t>
      </w:r>
      <w:r>
        <w:rPr>
          <w:rFonts w:hint="eastAsia" w:ascii="仿宋" w:hAnsi="仿宋" w:eastAsia="仿宋" w:cs="仿宋"/>
          <w:color w:val="000000" w:themeColor="text1"/>
          <w:sz w:val="24"/>
          <w:highlight w:val="none"/>
          <w:lang w:val="zh-CN" w:eastAsia="zh-CN"/>
          <w14:textFill>
            <w14:solidFill>
              <w14:schemeClr w14:val="tx1"/>
            </w14:solidFill>
          </w14:textFill>
        </w:rPr>
        <w:t>检验费用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7.3.1 </w:t>
      </w:r>
      <w:r>
        <w:rPr>
          <w:rFonts w:hint="eastAsia" w:ascii="仿宋" w:hAnsi="仿宋" w:eastAsia="仿宋" w:cs="仿宋"/>
          <w:color w:val="000000" w:themeColor="text1"/>
          <w:sz w:val="24"/>
          <w:highlight w:val="none"/>
          <w:lang w:val="zh-CN" w:eastAsia="zh-CN"/>
          <w14:textFill>
            <w14:solidFill>
              <w14:schemeClr w14:val="tx1"/>
            </w14:solidFill>
          </w14:textFill>
        </w:rPr>
        <w:t>乙方必须负担本条款下属于乙方负责的检验、测试、试运行和验收的所有费用，并负责乙方派往买方组织的检验、测试和验收人员的所有费用。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7.3.2 </w:t>
      </w:r>
      <w:r>
        <w:rPr>
          <w:rFonts w:hint="eastAsia" w:ascii="仿宋" w:hAnsi="仿宋" w:eastAsia="仿宋" w:cs="仿宋"/>
          <w:color w:val="000000" w:themeColor="text1"/>
          <w:sz w:val="24"/>
          <w:highlight w:val="none"/>
          <w:lang w:val="zh-CN" w:eastAsia="zh-CN"/>
          <w14:textFill>
            <w14:solidFill>
              <w14:schemeClr w14:val="tx1"/>
            </w14:solidFill>
          </w14:textFill>
        </w:rPr>
        <w:t>甲方按合同计划参加在乙方工厂所在地检验、测试和验收的费用全部由乙方负责并已包含在合同总价中。</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7.3.3 </w:t>
      </w:r>
      <w:r>
        <w:rPr>
          <w:rFonts w:hint="eastAsia" w:ascii="仿宋" w:hAnsi="仿宋" w:eastAsia="仿宋" w:cs="仿宋"/>
          <w:color w:val="000000" w:themeColor="text1"/>
          <w:sz w:val="24"/>
          <w:highlight w:val="none"/>
          <w:lang w:val="zh-CN" w:eastAsia="zh-CN"/>
          <w14:textFill>
            <w14:solidFill>
              <w14:schemeClr w14:val="tx1"/>
            </w14:solidFill>
          </w14:textFill>
        </w:rPr>
        <w:t>甲方检验人员已到卖方所在地，测试无法依照合同进行，</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而引起甲方人员延长逗留时间，所有由此产生的包括甲方人员在内的直接费用及成本由乙方承担。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8</w:t>
      </w:r>
      <w:r>
        <w:rPr>
          <w:rFonts w:hint="eastAsia" w:ascii="仿宋" w:hAnsi="仿宋" w:eastAsia="仿宋" w:cs="仿宋"/>
          <w:b/>
          <w:bCs/>
          <w:color w:val="000000" w:themeColor="text1"/>
          <w:sz w:val="24"/>
          <w:highlight w:val="none"/>
          <w:lang w:val="zh-CN" w:eastAsia="zh-CN"/>
          <w14:textFill>
            <w14:solidFill>
              <w14:schemeClr w14:val="tx1"/>
            </w14:solidFill>
          </w14:textFill>
        </w:rPr>
        <w:t>.检验和验收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8.1 </w:t>
      </w:r>
      <w:r>
        <w:rPr>
          <w:rFonts w:hint="eastAsia" w:ascii="仿宋" w:hAnsi="仿宋" w:eastAsia="仿宋" w:cs="仿宋"/>
          <w:color w:val="000000" w:themeColor="text1"/>
          <w:sz w:val="24"/>
          <w:highlight w:val="none"/>
          <w:lang w:val="zh-CN" w:eastAsia="zh-CN"/>
          <w14:textFill>
            <w14:solidFill>
              <w14:schemeClr w14:val="tx1"/>
            </w14:solidFill>
          </w14:textFill>
        </w:rPr>
        <w:t>乙方应在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前对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的质量、等进行详细而全面的检验，并出具证明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符合合同规定的文件。该文件将作为申请付款单据的一部分，但有关质量的检验不应视为最终检验。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8.1.2 </w:t>
      </w:r>
      <w:r>
        <w:rPr>
          <w:rFonts w:hint="eastAsia" w:ascii="仿宋" w:hAnsi="仿宋" w:eastAsia="仿宋" w:cs="仿宋"/>
          <w:color w:val="000000" w:themeColor="text1"/>
          <w:sz w:val="24"/>
          <w:highlight w:val="none"/>
          <w:lang w:val="zh-CN" w:eastAsia="zh-CN"/>
          <w14:textFill>
            <w14:solidFill>
              <w14:schemeClr w14:val="tx1"/>
            </w14:solidFill>
          </w14:textFill>
        </w:rPr>
        <w:t>验收中如发现</w:t>
      </w:r>
      <w:r>
        <w:rPr>
          <w:rFonts w:hint="eastAsia" w:ascii="仿宋" w:hAnsi="仿宋" w:eastAsia="仿宋" w:cs="仿宋"/>
          <w:color w:val="000000" w:themeColor="text1"/>
          <w:sz w:val="24"/>
          <w:highlight w:val="none"/>
          <w:lang w:eastAsia="zh-CN"/>
          <w14:textFill>
            <w14:solidFill>
              <w14:schemeClr w14:val="tx1"/>
            </w14:solidFill>
          </w14:textFill>
        </w:rPr>
        <w:t>服务成果质量</w:t>
      </w:r>
      <w:r>
        <w:rPr>
          <w:rFonts w:hint="eastAsia" w:ascii="仿宋" w:hAnsi="仿宋" w:eastAsia="仿宋" w:cs="仿宋"/>
          <w:color w:val="000000" w:themeColor="text1"/>
          <w:sz w:val="24"/>
          <w:highlight w:val="none"/>
          <w:lang w:val="zh-CN" w:eastAsia="zh-CN"/>
          <w14:textFill>
            <w14:solidFill>
              <w14:schemeClr w14:val="tx1"/>
            </w14:solidFill>
          </w14:textFill>
        </w:rPr>
        <w:t>与合同约定不符，甲方有权</w:t>
      </w:r>
      <w:r>
        <w:rPr>
          <w:rFonts w:hint="eastAsia" w:ascii="仿宋" w:hAnsi="仿宋" w:eastAsia="仿宋" w:cs="仿宋"/>
          <w:color w:val="000000" w:themeColor="text1"/>
          <w:sz w:val="24"/>
          <w:highlight w:val="none"/>
          <w:lang w:eastAsia="zh-CN"/>
          <w14:textFill>
            <w14:solidFill>
              <w14:schemeClr w14:val="tx1"/>
            </w14:solidFill>
          </w14:textFill>
        </w:rPr>
        <w:t>拒绝</w:t>
      </w:r>
      <w:r>
        <w:rPr>
          <w:rFonts w:hint="eastAsia" w:ascii="仿宋" w:hAnsi="仿宋" w:eastAsia="仿宋" w:cs="仿宋"/>
          <w:color w:val="000000" w:themeColor="text1"/>
          <w:sz w:val="24"/>
          <w:highlight w:val="none"/>
          <w:lang w:val="zh-CN" w:eastAsia="zh-CN"/>
          <w14:textFill>
            <w14:solidFill>
              <w14:schemeClr w14:val="tx1"/>
            </w14:solidFill>
          </w14:textFill>
        </w:rPr>
        <w:t>，乙方应及时按甲方要求免费对拒收采取更换或其他必要的补救措施，直至验收合格，方视为乙方完成</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 </w:t>
      </w:r>
      <w:r>
        <w:rPr>
          <w:rFonts w:hint="eastAsia" w:ascii="仿宋" w:hAnsi="仿宋" w:eastAsia="仿宋" w:cs="仿宋"/>
          <w:color w:val="000000" w:themeColor="text1"/>
          <w:sz w:val="24"/>
          <w:highlight w:val="none"/>
          <w:lang w:val="zh-CN" w:eastAsia="zh-CN"/>
          <w14:textFill>
            <w14:solidFill>
              <w14:schemeClr w14:val="tx1"/>
            </w14:solidFill>
          </w14:textFill>
        </w:rPr>
        <w:t>检验验收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8.2.1 服务</w:t>
      </w:r>
      <w:r>
        <w:rPr>
          <w:rFonts w:hint="eastAsia" w:ascii="仿宋" w:hAnsi="仿宋" w:eastAsia="仿宋" w:cs="仿宋"/>
          <w:color w:val="000000" w:themeColor="text1"/>
          <w:sz w:val="24"/>
          <w:highlight w:val="none"/>
          <w:lang w:val="zh-CN" w:eastAsia="zh-CN"/>
          <w14:textFill>
            <w14:solidFill>
              <w14:schemeClr w14:val="tx1"/>
            </w14:solidFill>
          </w14:textFill>
        </w:rPr>
        <w:t>完成后，乙方应及时试运行，按照合同专用条款规定的试运行完成后，双方及时组织对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检验验收。合同双方均须派人参加合同要求双方参加的试验、检验。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8.2.2 </w:t>
      </w:r>
      <w:r>
        <w:rPr>
          <w:rFonts w:hint="eastAsia" w:ascii="仿宋" w:hAnsi="仿宋" w:eastAsia="仿宋" w:cs="仿宋"/>
          <w:color w:val="000000" w:themeColor="text1"/>
          <w:sz w:val="24"/>
          <w:highlight w:val="none"/>
          <w:lang w:val="zh-CN" w:eastAsia="zh-CN"/>
          <w14:textFill>
            <w14:solidFill>
              <w14:schemeClr w14:val="tx1"/>
            </w14:solidFill>
          </w14:textFill>
        </w:rPr>
        <w:t>在具体实施合同规定的检验验收之前，乙方需提前提交相应的测试计划（包括测试程序、测试内容和检验标准、试验时间安排等）供甲方确认。</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8.2.3 </w:t>
      </w:r>
      <w:r>
        <w:rPr>
          <w:rFonts w:hint="eastAsia" w:ascii="仿宋" w:hAnsi="仿宋" w:eastAsia="仿宋" w:cs="仿宋"/>
          <w:color w:val="000000" w:themeColor="text1"/>
          <w:sz w:val="24"/>
          <w:highlight w:val="none"/>
          <w:lang w:val="zh-CN" w:eastAsia="zh-CN"/>
          <w14:textFill>
            <w14:solidFill>
              <w14:schemeClr w14:val="tx1"/>
            </w14:solidFill>
          </w14:textFill>
        </w:rPr>
        <w:t>除需甲方确认的试验验收外，乙方还应对所有检验验收测试的结果、步骤、原始数据等作妥善记录。如甲方要求，乙方应提供这些记录给买方。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8.2.4 </w:t>
      </w:r>
      <w:r>
        <w:rPr>
          <w:rFonts w:hint="eastAsia" w:ascii="仿宋" w:hAnsi="仿宋" w:eastAsia="仿宋" w:cs="仿宋"/>
          <w:color w:val="000000" w:themeColor="text1"/>
          <w:sz w:val="24"/>
          <w:highlight w:val="none"/>
          <w:lang w:val="zh-CN" w:eastAsia="zh-CN"/>
          <w14:textFill>
            <w14:solidFill>
              <w14:schemeClr w14:val="tx1"/>
            </w14:solidFill>
          </w14:textFill>
        </w:rPr>
        <w:t>检验测试出现全部或部分未达到本合同所约定的技术指标，甲方有权选择下列任一处理方式：</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a.</w:t>
      </w:r>
      <w:r>
        <w:rPr>
          <w:rFonts w:hint="eastAsia" w:ascii="仿宋" w:hAnsi="仿宋" w:eastAsia="仿宋" w:cs="仿宋"/>
          <w:color w:val="000000" w:themeColor="text1"/>
          <w:sz w:val="24"/>
          <w:highlight w:val="none"/>
          <w:lang w:val="zh-CN" w:eastAsia="zh-CN"/>
          <w14:textFill>
            <w14:solidFill>
              <w14:schemeClr w14:val="tx1"/>
            </w14:solidFill>
          </w14:textFill>
        </w:rPr>
        <w:t>重新测试直至合格为止；</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b.</w:t>
      </w:r>
      <w:r>
        <w:rPr>
          <w:rFonts w:hint="eastAsia" w:ascii="仿宋" w:hAnsi="仿宋" w:eastAsia="仿宋" w:cs="仿宋"/>
          <w:color w:val="000000" w:themeColor="text1"/>
          <w:sz w:val="24"/>
          <w:highlight w:val="none"/>
          <w:lang w:val="zh-CN" w:eastAsia="zh-CN"/>
          <w14:textFill>
            <w14:solidFill>
              <w14:schemeClr w14:val="tx1"/>
            </w14:solidFill>
          </w14:textFill>
        </w:rPr>
        <w:t>要求乙方对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进行</w:t>
      </w:r>
      <w:r>
        <w:rPr>
          <w:rFonts w:hint="eastAsia" w:ascii="仿宋" w:hAnsi="仿宋" w:eastAsia="仿宋" w:cs="仿宋"/>
          <w:color w:val="000000" w:themeColor="text1"/>
          <w:sz w:val="24"/>
          <w:highlight w:val="none"/>
          <w:lang w:eastAsia="zh-CN"/>
          <w14:textFill>
            <w14:solidFill>
              <w14:schemeClr w14:val="tx1"/>
            </w14:solidFill>
          </w14:textFill>
        </w:rPr>
        <w:t>处理</w:t>
      </w:r>
      <w:r>
        <w:rPr>
          <w:rFonts w:hint="eastAsia" w:ascii="仿宋" w:hAnsi="仿宋" w:eastAsia="仿宋" w:cs="仿宋"/>
          <w:color w:val="000000" w:themeColor="text1"/>
          <w:sz w:val="24"/>
          <w:highlight w:val="none"/>
          <w:lang w:val="zh-CN" w:eastAsia="zh-CN"/>
          <w14:textFill>
            <w14:solidFill>
              <w14:schemeClr w14:val="tx1"/>
            </w14:solidFill>
          </w14:textFill>
        </w:rPr>
        <w:t>，然后重新测试直至合格为止；</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无论选择何种方式，甲方因此而发生的因卖方原因引起的所有费用均由乙方负担。</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 </w:t>
      </w:r>
      <w:r>
        <w:rPr>
          <w:rFonts w:hint="eastAsia" w:ascii="仿宋" w:hAnsi="仿宋" w:eastAsia="仿宋" w:cs="仿宋"/>
          <w:color w:val="000000" w:themeColor="text1"/>
          <w:sz w:val="24"/>
          <w:highlight w:val="none"/>
          <w:lang w:val="zh-CN" w:eastAsia="zh-CN"/>
          <w14:textFill>
            <w14:solidFill>
              <w14:schemeClr w14:val="tx1"/>
            </w14:solidFill>
          </w14:textFill>
        </w:rPr>
        <w:t>使用过程检验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8.3.1 </w:t>
      </w:r>
      <w:r>
        <w:rPr>
          <w:rFonts w:hint="eastAsia" w:ascii="仿宋" w:hAnsi="仿宋" w:eastAsia="仿宋" w:cs="仿宋"/>
          <w:color w:val="000000" w:themeColor="text1"/>
          <w:sz w:val="24"/>
          <w:highlight w:val="none"/>
          <w:lang w:val="zh-CN" w:eastAsia="zh-CN"/>
          <w14:textFill>
            <w14:solidFill>
              <w14:schemeClr w14:val="tx1"/>
            </w14:solidFill>
          </w14:textFill>
        </w:rPr>
        <w:t>在合同规定的质量保证期内，发现</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的质量与合同规定不符，或证明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有缺陷，包括潜在的缺陷或使用不合适等，由甲方组织质检（相关检测费用由卖方承担），据质检报告及质量保证条款向卖方提出索赔，此索赔并不免除乙方应承担的合同义务。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8.3.2 </w:t>
      </w:r>
      <w:r>
        <w:rPr>
          <w:rFonts w:hint="eastAsia" w:ascii="仿宋" w:hAnsi="仿宋" w:eastAsia="仿宋" w:cs="仿宋"/>
          <w:color w:val="000000" w:themeColor="text1"/>
          <w:sz w:val="24"/>
          <w:highlight w:val="none"/>
          <w:lang w:val="zh-CN" w:eastAsia="zh-CN"/>
          <w14:textFill>
            <w14:solidFill>
              <w14:schemeClr w14:val="tx1"/>
            </w14:solidFill>
          </w14:textFill>
        </w:rPr>
        <w:t>如果合同双方对乙方提供的上述试验结果报告的解释有分歧，双方须于出现分歧后</w:t>
      </w:r>
      <w:r>
        <w:rPr>
          <w:rFonts w:hint="eastAsia" w:ascii="仿宋" w:hAnsi="仿宋" w:eastAsia="仿宋" w:cs="仿宋"/>
          <w:color w:val="000000" w:themeColor="text1"/>
          <w:sz w:val="24"/>
          <w:highlight w:val="none"/>
          <w:lang w:eastAsia="zh-CN"/>
          <w14:textFill>
            <w14:solidFill>
              <w14:schemeClr w14:val="tx1"/>
            </w14:solidFill>
          </w14:textFill>
        </w:rPr>
        <w:t>10</w:t>
      </w:r>
      <w:r>
        <w:rPr>
          <w:rFonts w:hint="eastAsia" w:ascii="仿宋" w:hAnsi="仿宋" w:eastAsia="仿宋" w:cs="仿宋"/>
          <w:color w:val="000000" w:themeColor="text1"/>
          <w:sz w:val="24"/>
          <w:highlight w:val="none"/>
          <w:lang w:val="zh-CN" w:eastAsia="zh-CN"/>
          <w14:textFill>
            <w14:solidFill>
              <w14:schemeClr w14:val="tx1"/>
            </w14:solidFill>
          </w14:textFill>
        </w:rPr>
        <w:t>天内给对方声明，以陈述己方的观点。声明须附有关证据。分歧应通过协商解决。</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000000" w:themeColor="text1"/>
          <w:sz w:val="24"/>
          <w:highlight w:val="none"/>
          <w:lang w:val="zh-CN" w:eastAsia="zh-CN"/>
          <w14:textFill>
            <w14:solidFill>
              <w14:schemeClr w14:val="tx1"/>
            </w14:solidFill>
          </w14:textFill>
        </w:rPr>
        <w:t>付款方法和条件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本合同条款下的付款方法和条件在“政府采购项目合同书”中具体规定。</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10.</w:t>
      </w:r>
      <w:r>
        <w:rPr>
          <w:rFonts w:hint="eastAsia" w:ascii="仿宋" w:hAnsi="仿宋" w:eastAsia="仿宋" w:cs="仿宋"/>
          <w:b/>
          <w:bCs/>
          <w:color w:val="000000" w:themeColor="text1"/>
          <w:sz w:val="24"/>
          <w:highlight w:val="none"/>
          <w:lang w:val="zh-CN" w:eastAsia="zh-CN"/>
          <w14:textFill>
            <w14:solidFill>
              <w14:schemeClr w14:val="tx1"/>
            </w14:solidFill>
          </w14:textFill>
        </w:rPr>
        <w:t>履约保证金</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10.1 </w:t>
      </w:r>
      <w:r>
        <w:rPr>
          <w:rFonts w:hint="eastAsia" w:ascii="仿宋" w:hAnsi="仿宋" w:eastAsia="仿宋" w:cs="仿宋"/>
          <w:color w:val="000000" w:themeColor="text1"/>
          <w:sz w:val="24"/>
          <w:highlight w:val="none"/>
          <w:lang w:val="zh-CN" w:eastAsia="zh-CN"/>
          <w14:textFill>
            <w14:solidFill>
              <w14:schemeClr w14:val="tx1"/>
            </w14:solidFill>
          </w14:textFill>
        </w:rPr>
        <w:t>乙方应在合同签订前，按磋商文件第</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lang w:val="zh-CN" w:eastAsia="zh-CN"/>
          <w14:textFill>
            <w14:solidFill>
              <w14:schemeClr w14:val="tx1"/>
            </w14:solidFill>
          </w14:textFill>
        </w:rPr>
        <w:t>部分“八 授予合同”中第22.2项的约定提交履约保证金。</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10.2 </w:t>
      </w:r>
      <w:r>
        <w:rPr>
          <w:rFonts w:hint="eastAsia" w:ascii="仿宋" w:hAnsi="仿宋" w:eastAsia="仿宋" w:cs="仿宋"/>
          <w:color w:val="000000" w:themeColor="text1"/>
          <w:sz w:val="24"/>
          <w:highlight w:val="none"/>
          <w:lang w:val="zh-CN" w:eastAsia="zh-CN"/>
          <w14:textFill>
            <w14:solidFill>
              <w14:schemeClr w14:val="tx1"/>
            </w14:solidFill>
          </w14:textFill>
        </w:rPr>
        <w:t>履约保证金用于补偿甲方因乙方不能履行其合同义务而蒙受的损失。</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 </w:t>
      </w:r>
      <w:r>
        <w:rPr>
          <w:rFonts w:hint="eastAsia" w:ascii="仿宋" w:hAnsi="仿宋" w:eastAsia="仿宋" w:cs="仿宋"/>
          <w:color w:val="000000" w:themeColor="text1"/>
          <w:sz w:val="24"/>
          <w:highlight w:val="none"/>
          <w:lang w:val="zh-CN" w:eastAsia="zh-CN"/>
          <w14:textFill>
            <w14:solidFill>
              <w14:schemeClr w14:val="tx1"/>
            </w14:solidFill>
          </w14:textFill>
        </w:rPr>
        <w:t>履约保证金应使用本合同货币，按下述方式之一提交（磋商文件中另有约定的除外）：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10.3.1 </w:t>
      </w:r>
      <w:r>
        <w:rPr>
          <w:rFonts w:hint="eastAsia" w:ascii="仿宋" w:hAnsi="仿宋" w:eastAsia="仿宋" w:cs="仿宋"/>
          <w:color w:val="000000" w:themeColor="text1"/>
          <w:sz w:val="24"/>
          <w:highlight w:val="none"/>
          <w:lang w:val="zh-CN" w:eastAsia="zh-CN"/>
          <w14:textFill>
            <w14:solidFill>
              <w14:schemeClr w14:val="tx1"/>
            </w14:solidFill>
          </w14:textFill>
        </w:rPr>
        <w:t>甲方可接受的在中华人民共和国注册和营业的银行出具的履约保函；</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10.3.2 </w:t>
      </w:r>
      <w:r>
        <w:rPr>
          <w:rFonts w:hint="eastAsia" w:ascii="仿宋" w:hAnsi="仿宋" w:eastAsia="仿宋" w:cs="仿宋"/>
          <w:color w:val="000000" w:themeColor="text1"/>
          <w:sz w:val="24"/>
          <w:highlight w:val="none"/>
          <w:lang w:val="zh-CN" w:eastAsia="zh-CN"/>
          <w14:textFill>
            <w14:solidFill>
              <w14:schemeClr w14:val="tx1"/>
            </w14:solidFill>
          </w14:textFill>
        </w:rPr>
        <w:t>支票或汇票。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10.4 </w:t>
      </w:r>
      <w:r>
        <w:rPr>
          <w:rFonts w:hint="eastAsia" w:ascii="仿宋" w:hAnsi="仿宋" w:eastAsia="仿宋" w:cs="仿宋"/>
          <w:color w:val="000000" w:themeColor="text1"/>
          <w:sz w:val="24"/>
          <w:highlight w:val="none"/>
          <w:lang w:val="zh-CN" w:eastAsia="zh-CN"/>
          <w14:textFill>
            <w14:solidFill>
              <w14:schemeClr w14:val="tx1"/>
            </w14:solidFill>
          </w14:textFill>
        </w:rPr>
        <w:t>乙方未能按合同规定履行其义务，甲方有权从履约保证金中取得补偿。货物验收合格后，甲方将履约保证金退还乙方或转为质量保证金。</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11.</w:t>
      </w:r>
      <w:r>
        <w:rPr>
          <w:rFonts w:hint="eastAsia" w:ascii="仿宋" w:hAnsi="仿宋" w:eastAsia="仿宋" w:cs="仿宋"/>
          <w:b/>
          <w:bCs/>
          <w:color w:val="000000" w:themeColor="text1"/>
          <w:sz w:val="24"/>
          <w:highlight w:val="none"/>
          <w:lang w:val="zh-CN" w:eastAsia="zh-CN"/>
          <w14:textFill>
            <w14:solidFill>
              <w14:schemeClr w14:val="tx1"/>
            </w14:solidFill>
          </w14:textFill>
        </w:rPr>
        <w:t>索赔</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11.1 服务</w:t>
      </w:r>
      <w:r>
        <w:rPr>
          <w:rFonts w:hint="eastAsia" w:ascii="仿宋" w:hAnsi="仿宋" w:eastAsia="仿宋" w:cs="仿宋"/>
          <w:color w:val="000000" w:themeColor="text1"/>
          <w:sz w:val="24"/>
          <w:highlight w:val="none"/>
          <w:lang w:val="zh-CN" w:eastAsia="zh-CN"/>
          <w14:textFill>
            <w14:solidFill>
              <w14:schemeClr w14:val="tx1"/>
            </w14:solidFill>
          </w14:textFill>
        </w:rPr>
        <w:t>的质量、性能等与合同约定不符，或在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期内证实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存有缺陷，包括潜在的缺陷或使用不符合要求的，甲方有权根据有资质的权威质检机构的检验结果向乙方提出索赔（但责任应由保险公司除外）。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 </w:t>
      </w:r>
      <w:r>
        <w:rPr>
          <w:rFonts w:hint="eastAsia" w:ascii="仿宋" w:hAnsi="仿宋" w:eastAsia="仿宋" w:cs="仿宋"/>
          <w:color w:val="000000" w:themeColor="text1"/>
          <w:sz w:val="24"/>
          <w:highlight w:val="none"/>
          <w:lang w:val="zh-CN" w:eastAsia="zh-CN"/>
          <w14:textFill>
            <w14:solidFill>
              <w14:schemeClr w14:val="tx1"/>
            </w14:solidFill>
          </w14:textFill>
        </w:rPr>
        <w:t>在履约保证期和检验期内，乙方对甲方提出的索赔负有责任，乙方应按照甲方同意的下列一种或多种方式解决索赔事宜：</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11.2.1 </w:t>
      </w:r>
      <w:r>
        <w:rPr>
          <w:rFonts w:hint="eastAsia" w:ascii="仿宋" w:hAnsi="仿宋" w:eastAsia="仿宋" w:cs="仿宋"/>
          <w:color w:val="000000" w:themeColor="text1"/>
          <w:sz w:val="24"/>
          <w:highlight w:val="none"/>
          <w:lang w:val="zh-CN" w:eastAsia="zh-CN"/>
          <w14:textFill>
            <w14:solidFill>
              <w14:schemeClr w14:val="tx1"/>
            </w14:solidFill>
          </w14:textFill>
        </w:rPr>
        <w:t>在法定的</w:t>
      </w:r>
      <w:r>
        <w:rPr>
          <w:rFonts w:hint="eastAsia" w:ascii="仿宋" w:hAnsi="仿宋" w:eastAsia="仿宋" w:cs="仿宋"/>
          <w:color w:val="000000" w:themeColor="text1"/>
          <w:sz w:val="24"/>
          <w:highlight w:val="none"/>
          <w:lang w:eastAsia="zh-CN"/>
          <w14:textFill>
            <w14:solidFill>
              <w14:schemeClr w14:val="tx1"/>
            </w14:solidFill>
          </w14:textFill>
        </w:rPr>
        <w:t>拒绝使用</w:t>
      </w:r>
      <w:r>
        <w:rPr>
          <w:rFonts w:hint="eastAsia" w:ascii="仿宋" w:hAnsi="仿宋" w:eastAsia="仿宋" w:cs="仿宋"/>
          <w:color w:val="000000" w:themeColor="text1"/>
          <w:sz w:val="24"/>
          <w:highlight w:val="none"/>
          <w:lang w:val="zh-CN" w:eastAsia="zh-CN"/>
          <w14:textFill>
            <w14:solidFill>
              <w14:schemeClr w14:val="tx1"/>
            </w14:solidFill>
          </w14:textFill>
        </w:rPr>
        <w:t>期内，乙方应按合同规定将货款退还给甲方，并承担由此发生的一切损失和费用，包括利息、银行手续费、检验费以及所需的其它必要费用。如已超过</w:t>
      </w:r>
      <w:r>
        <w:rPr>
          <w:rFonts w:hint="eastAsia" w:ascii="仿宋" w:hAnsi="仿宋" w:eastAsia="仿宋" w:cs="仿宋"/>
          <w:color w:val="000000" w:themeColor="text1"/>
          <w:sz w:val="24"/>
          <w:highlight w:val="none"/>
          <w:lang w:eastAsia="zh-CN"/>
          <w14:textFill>
            <w14:solidFill>
              <w14:schemeClr w14:val="tx1"/>
            </w14:solidFill>
          </w14:textFill>
        </w:rPr>
        <w:t>拒绝使用</w:t>
      </w:r>
      <w:r>
        <w:rPr>
          <w:rFonts w:hint="eastAsia" w:ascii="仿宋" w:hAnsi="仿宋" w:eastAsia="仿宋" w:cs="仿宋"/>
          <w:color w:val="000000" w:themeColor="text1"/>
          <w:sz w:val="24"/>
          <w:highlight w:val="none"/>
          <w:lang w:val="zh-CN" w:eastAsia="zh-CN"/>
          <w14:textFill>
            <w14:solidFill>
              <w14:schemeClr w14:val="tx1"/>
            </w14:solidFill>
          </w14:textFill>
        </w:rPr>
        <w:t>期，但乙方同意，可比照上述办法办理，或由双方协商处理。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11.2.2 </w:t>
      </w:r>
      <w:r>
        <w:rPr>
          <w:rFonts w:hint="eastAsia" w:ascii="仿宋" w:hAnsi="仿宋" w:eastAsia="仿宋" w:cs="仿宋"/>
          <w:color w:val="000000" w:themeColor="text1"/>
          <w:sz w:val="24"/>
          <w:highlight w:val="none"/>
          <w:lang w:val="zh-CN" w:eastAsia="zh-CN"/>
          <w14:textFill>
            <w14:solidFill>
              <w14:schemeClr w14:val="tx1"/>
            </w14:solidFill>
          </w14:textFill>
        </w:rPr>
        <w:t>根据</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低劣程度及甲方所遭受损失的数额，经甲乙双方商定降低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的价格，或由有资质的中介机构评估，以降低后的价格或评估价格为准。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11.2.3 </w:t>
      </w:r>
      <w:r>
        <w:rPr>
          <w:rFonts w:hint="eastAsia" w:ascii="仿宋" w:hAnsi="仿宋" w:eastAsia="仿宋" w:cs="仿宋"/>
          <w:color w:val="000000" w:themeColor="text1"/>
          <w:sz w:val="24"/>
          <w:highlight w:val="none"/>
          <w:lang w:val="zh-CN" w:eastAsia="zh-CN"/>
          <w14:textFill>
            <w14:solidFill>
              <w14:schemeClr w14:val="tx1"/>
            </w14:solidFill>
          </w14:textFill>
        </w:rPr>
        <w:t>用符合规格、质量和性能要求的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来更换有缺陷的部分或修补缺陷部分，乙方应承担一切费用和风险，并负担甲方所发生的一切直接费用。同时，乙方应相应延长</w:t>
      </w:r>
      <w:r>
        <w:rPr>
          <w:rFonts w:hint="eastAsia" w:ascii="仿宋" w:hAnsi="仿宋" w:eastAsia="仿宋" w:cs="仿宋"/>
          <w:color w:val="000000" w:themeColor="text1"/>
          <w:sz w:val="24"/>
          <w:highlight w:val="none"/>
          <w:lang w:eastAsia="zh-CN"/>
          <w14:textFill>
            <w14:solidFill>
              <w14:schemeClr w14:val="tx1"/>
            </w14:solidFill>
          </w14:textFill>
        </w:rPr>
        <w:t>维护</w:t>
      </w:r>
      <w:r>
        <w:rPr>
          <w:rFonts w:hint="eastAsia" w:ascii="仿宋" w:hAnsi="仿宋" w:eastAsia="仿宋" w:cs="仿宋"/>
          <w:color w:val="000000" w:themeColor="text1"/>
          <w:sz w:val="24"/>
          <w:highlight w:val="none"/>
          <w:lang w:val="zh-CN" w:eastAsia="zh-CN"/>
          <w14:textFill>
            <w14:solidFill>
              <w14:schemeClr w14:val="tx1"/>
            </w14:solidFill>
          </w14:textFill>
        </w:rPr>
        <w:t>或</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履约保证期。</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11.3 </w:t>
      </w:r>
      <w:r>
        <w:rPr>
          <w:rFonts w:hint="eastAsia" w:ascii="仿宋" w:hAnsi="仿宋" w:eastAsia="仿宋" w:cs="仿宋"/>
          <w:color w:val="000000" w:themeColor="text1"/>
          <w:sz w:val="24"/>
          <w:highlight w:val="none"/>
          <w:lang w:val="zh-CN" w:eastAsia="zh-CN"/>
          <w14:textFill>
            <w14:solidFill>
              <w14:schemeClr w14:val="tx1"/>
            </w14:solidFill>
          </w14:textFill>
        </w:rPr>
        <w:t>乙方收到甲方发出的索赔通知之日起</w:t>
      </w: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个工作日内未作答复的，甲方可从合同款或履约保证金中扣回索赔金额，如金额不足以补偿索赔金额，乙方应补足差额部分。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12.</w:t>
      </w:r>
      <w:r>
        <w:rPr>
          <w:rFonts w:hint="eastAsia" w:ascii="仿宋" w:hAnsi="仿宋" w:eastAsia="仿宋" w:cs="仿宋"/>
          <w:b/>
          <w:bCs/>
          <w:color w:val="000000" w:themeColor="text1"/>
          <w:sz w:val="24"/>
          <w:highlight w:val="none"/>
          <w:lang w:val="zh-CN" w:eastAsia="zh-CN"/>
          <w14:textFill>
            <w14:solidFill>
              <w14:schemeClr w14:val="tx1"/>
            </w14:solidFill>
          </w14:textFill>
        </w:rPr>
        <w:t>迟延交货</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12.1 </w:t>
      </w:r>
      <w:r>
        <w:rPr>
          <w:rFonts w:hint="eastAsia" w:ascii="仿宋" w:hAnsi="仿宋" w:eastAsia="仿宋" w:cs="仿宋"/>
          <w:color w:val="000000" w:themeColor="text1"/>
          <w:sz w:val="24"/>
          <w:highlight w:val="none"/>
          <w:lang w:val="zh-CN" w:eastAsia="zh-CN"/>
          <w14:textFill>
            <w14:solidFill>
              <w14:schemeClr w14:val="tx1"/>
            </w14:solidFill>
          </w14:textFill>
        </w:rPr>
        <w:t>乙方应按照合同约定的时间提供服务。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12.2 </w:t>
      </w:r>
      <w:r>
        <w:rPr>
          <w:rFonts w:hint="eastAsia" w:ascii="仿宋" w:hAnsi="仿宋" w:eastAsia="仿宋" w:cs="仿宋"/>
          <w:color w:val="000000" w:themeColor="text1"/>
          <w:sz w:val="24"/>
          <w:highlight w:val="none"/>
          <w:lang w:val="zh-CN" w:eastAsia="zh-CN"/>
          <w14:textFill>
            <w14:solidFill>
              <w14:schemeClr w14:val="tx1"/>
            </w14:solidFill>
          </w14:textFill>
        </w:rPr>
        <w:t>除不可抗力因素外，乙方迟延</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，甲方有权提出违约损失赔偿或解除合同。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12.3 </w:t>
      </w:r>
      <w:r>
        <w:rPr>
          <w:rFonts w:hint="eastAsia" w:ascii="仿宋" w:hAnsi="仿宋" w:eastAsia="仿宋" w:cs="仿宋"/>
          <w:color w:val="000000" w:themeColor="text1"/>
          <w:sz w:val="24"/>
          <w:highlight w:val="none"/>
          <w:lang w:val="zh-CN" w:eastAsia="zh-CN"/>
          <w14:textFill>
            <w14:solidFill>
              <w14:schemeClr w14:val="tx1"/>
            </w14:solidFill>
          </w14:textFill>
        </w:rPr>
        <w:t>在履行合同过程中，乙方遇到不能按时提供服务的情况，应及时以书面形式将不能按时</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的理由、预期延误时间通知甲方。甲方收到乙方通知后，认为其理由正当的，可酌情延长</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时间。</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13.</w:t>
      </w:r>
      <w:r>
        <w:rPr>
          <w:rFonts w:hint="eastAsia" w:ascii="仿宋" w:hAnsi="仿宋" w:eastAsia="仿宋" w:cs="仿宋"/>
          <w:b/>
          <w:bCs/>
          <w:color w:val="000000" w:themeColor="text1"/>
          <w:sz w:val="24"/>
          <w:highlight w:val="none"/>
          <w:lang w:val="zh-CN" w:eastAsia="zh-CN"/>
          <w14:textFill>
            <w14:solidFill>
              <w14:schemeClr w14:val="tx1"/>
            </w14:solidFill>
          </w14:textFill>
        </w:rPr>
        <w:t>违约赔偿</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除不可抗力因素外，乙方没有按照合同规定的时间提供服务，甲方可要求乙方支付违约金。违约金每日按合同总价款的千分之五计收。</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14.</w:t>
      </w:r>
      <w:r>
        <w:rPr>
          <w:rFonts w:hint="eastAsia" w:ascii="仿宋" w:hAnsi="仿宋" w:eastAsia="仿宋" w:cs="仿宋"/>
          <w:b/>
          <w:bCs/>
          <w:color w:val="000000" w:themeColor="text1"/>
          <w:sz w:val="24"/>
          <w:highlight w:val="none"/>
          <w:lang w:val="zh-CN" w:eastAsia="zh-CN"/>
          <w14:textFill>
            <w14:solidFill>
              <w14:schemeClr w14:val="tx1"/>
            </w14:solidFill>
          </w14:textFill>
        </w:rPr>
        <w:t>不可抗力</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14.1 </w:t>
      </w:r>
      <w:r>
        <w:rPr>
          <w:rFonts w:hint="eastAsia" w:ascii="仿宋" w:hAnsi="仿宋" w:eastAsia="仿宋" w:cs="仿宋"/>
          <w:color w:val="000000" w:themeColor="text1"/>
          <w:sz w:val="24"/>
          <w:highlight w:val="none"/>
          <w:lang w:val="zh-CN" w:eastAsia="zh-CN"/>
          <w14:textFill>
            <w14:solidFill>
              <w14:schemeClr w14:val="tx1"/>
            </w14:solidFill>
          </w14:textFill>
        </w:rPr>
        <w:t>双方中任何一方遭遇法律规定的不可抗力，致使合同履行受阻时，履行合同的期限应予延长，延长的期限应相当于不可抗力所影响的时间。</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14.2 </w:t>
      </w:r>
      <w:r>
        <w:rPr>
          <w:rFonts w:hint="eastAsia" w:ascii="仿宋" w:hAnsi="仿宋" w:eastAsia="仿宋" w:cs="仿宋"/>
          <w:color w:val="000000" w:themeColor="text1"/>
          <w:sz w:val="24"/>
          <w:highlight w:val="none"/>
          <w:lang w:val="zh-CN" w:eastAsia="zh-CN"/>
          <w14:textFill>
            <w14:solidFill>
              <w14:schemeClr w14:val="tx1"/>
            </w14:solidFill>
          </w14:textFill>
        </w:rPr>
        <w:t>受事故影响的一方应在不可抗力的事故发生后以书面形式通知另一方。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14.3 </w:t>
      </w:r>
      <w:r>
        <w:rPr>
          <w:rFonts w:hint="eastAsia" w:ascii="仿宋" w:hAnsi="仿宋" w:eastAsia="仿宋" w:cs="仿宋"/>
          <w:color w:val="000000" w:themeColor="text1"/>
          <w:sz w:val="24"/>
          <w:highlight w:val="none"/>
          <w:lang w:val="zh-CN" w:eastAsia="zh-CN"/>
          <w14:textFill>
            <w14:solidFill>
              <w14:schemeClr w14:val="tx1"/>
            </w14:solidFill>
          </w14:textFill>
        </w:rPr>
        <w:t>不可抗力使合同的某些内容有变更必要的，双方应通过协商达成进一步履行合同的协议，因不可抗力致使合同不能履行的，合同终止。</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15.</w:t>
      </w:r>
      <w:r>
        <w:rPr>
          <w:rFonts w:hint="eastAsia" w:ascii="仿宋" w:hAnsi="仿宋" w:eastAsia="仿宋" w:cs="仿宋"/>
          <w:b/>
          <w:bCs/>
          <w:color w:val="000000" w:themeColor="text1"/>
          <w:sz w:val="24"/>
          <w:highlight w:val="none"/>
          <w:lang w:val="zh-CN" w:eastAsia="zh-CN"/>
          <w14:textFill>
            <w14:solidFill>
              <w14:schemeClr w14:val="tx1"/>
            </w14:solidFill>
          </w14:textFill>
        </w:rPr>
        <w:t>税费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与本合同有关的一切税费均由乙方承担。</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16.</w:t>
      </w:r>
      <w:r>
        <w:rPr>
          <w:rFonts w:hint="eastAsia" w:ascii="仿宋" w:hAnsi="仿宋" w:eastAsia="仿宋" w:cs="仿宋"/>
          <w:b/>
          <w:bCs/>
          <w:color w:val="000000" w:themeColor="text1"/>
          <w:sz w:val="24"/>
          <w:highlight w:val="none"/>
          <w:lang w:val="zh-CN" w:eastAsia="zh-CN"/>
          <w14:textFill>
            <w14:solidFill>
              <w14:schemeClr w14:val="tx1"/>
            </w14:solidFill>
          </w14:textFill>
        </w:rPr>
        <w:t>合同争议的解决</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16.1 </w:t>
      </w:r>
      <w:r>
        <w:rPr>
          <w:rFonts w:hint="eastAsia" w:ascii="仿宋" w:hAnsi="仿宋" w:eastAsia="仿宋" w:cs="仿宋"/>
          <w:color w:val="000000" w:themeColor="text1"/>
          <w:sz w:val="24"/>
          <w:highlight w:val="none"/>
          <w:lang w:val="zh-CN" w:eastAsia="zh-CN"/>
          <w14:textFill>
            <w14:solidFill>
              <w14:schemeClr w14:val="tx1"/>
            </w14:solidFill>
          </w14:textFill>
        </w:rPr>
        <w:t>甲方和乙方由于本合同的履行而发生任何争议时，双方可先通过协商解决。</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16.2 </w:t>
      </w:r>
      <w:r>
        <w:rPr>
          <w:rFonts w:hint="eastAsia" w:ascii="仿宋" w:hAnsi="仿宋" w:eastAsia="仿宋" w:cs="仿宋"/>
          <w:color w:val="000000" w:themeColor="text1"/>
          <w:sz w:val="24"/>
          <w:highlight w:val="none"/>
          <w:lang w:val="zh-CN" w:eastAsia="zh-CN"/>
          <w14:textFill>
            <w14:solidFill>
              <w14:schemeClr w14:val="tx1"/>
            </w14:solidFill>
          </w14:textFill>
        </w:rPr>
        <w:t>任何一方不愿通过协商或通过协商仍不能解决争议，则双方中任何一方均应向甲方所在地人民法院起诉。</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17.</w:t>
      </w:r>
      <w:r>
        <w:rPr>
          <w:rFonts w:hint="eastAsia" w:ascii="仿宋" w:hAnsi="仿宋" w:eastAsia="仿宋" w:cs="仿宋"/>
          <w:b/>
          <w:bCs/>
          <w:color w:val="000000" w:themeColor="text1"/>
          <w:sz w:val="24"/>
          <w:highlight w:val="none"/>
          <w:lang w:val="zh-CN" w:eastAsia="zh-CN"/>
          <w14:textFill>
            <w14:solidFill>
              <w14:schemeClr w14:val="tx1"/>
            </w14:solidFill>
          </w14:textFill>
        </w:rPr>
        <w:t>违约解除合同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 </w:t>
      </w:r>
      <w:r>
        <w:rPr>
          <w:rFonts w:hint="eastAsia" w:ascii="仿宋" w:hAnsi="仿宋" w:eastAsia="仿宋" w:cs="仿宋"/>
          <w:color w:val="000000" w:themeColor="text1"/>
          <w:sz w:val="24"/>
          <w:highlight w:val="none"/>
          <w:lang w:val="zh-CN" w:eastAsia="zh-CN"/>
          <w14:textFill>
            <w14:solidFill>
              <w14:schemeClr w14:val="tx1"/>
            </w14:solidFill>
          </w14:textFill>
        </w:rPr>
        <w:t>出现下列情形之一的，视为乙方违约。甲方可向乙方发出书面通知，部分或全部终止合同，同时保留向乙方索赔的权利。</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17.1.1 </w:t>
      </w:r>
      <w:r>
        <w:rPr>
          <w:rFonts w:hint="eastAsia" w:ascii="仿宋" w:hAnsi="仿宋" w:eastAsia="仿宋" w:cs="仿宋"/>
          <w:color w:val="000000" w:themeColor="text1"/>
          <w:sz w:val="24"/>
          <w:highlight w:val="none"/>
          <w:lang w:val="zh-CN" w:eastAsia="zh-CN"/>
          <w14:textFill>
            <w14:solidFill>
              <w14:schemeClr w14:val="tx1"/>
            </w14:solidFill>
          </w14:textFill>
        </w:rPr>
        <w:t>乙方未能在合同规定的限期或甲方同意延长的限期内，提供全部或部分货物的；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17.1.2 </w:t>
      </w:r>
      <w:r>
        <w:rPr>
          <w:rFonts w:hint="eastAsia" w:ascii="仿宋" w:hAnsi="仿宋" w:eastAsia="仿宋" w:cs="仿宋"/>
          <w:color w:val="000000" w:themeColor="text1"/>
          <w:sz w:val="24"/>
          <w:highlight w:val="none"/>
          <w:lang w:val="zh-CN" w:eastAsia="zh-CN"/>
          <w14:textFill>
            <w14:solidFill>
              <w14:schemeClr w14:val="tx1"/>
            </w14:solidFill>
          </w14:textFill>
        </w:rPr>
        <w:t>乙方未能履行合同规定的其它主要义务的；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17.1.3 </w:t>
      </w:r>
      <w:r>
        <w:rPr>
          <w:rFonts w:hint="eastAsia" w:ascii="仿宋" w:hAnsi="仿宋" w:eastAsia="仿宋" w:cs="仿宋"/>
          <w:color w:val="000000" w:themeColor="text1"/>
          <w:sz w:val="24"/>
          <w:highlight w:val="none"/>
          <w:lang w:val="zh-CN" w:eastAsia="zh-CN"/>
          <w14:textFill>
            <w14:solidFill>
              <w14:schemeClr w14:val="tx1"/>
            </w14:solidFill>
          </w14:textFill>
        </w:rPr>
        <w:t>乙方在本合同履行过程中有欺诈行为的。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17.2 </w:t>
      </w:r>
      <w:r>
        <w:rPr>
          <w:rFonts w:hint="eastAsia" w:ascii="仿宋" w:hAnsi="仿宋" w:eastAsia="仿宋" w:cs="仿宋"/>
          <w:color w:val="000000" w:themeColor="text1"/>
          <w:sz w:val="24"/>
          <w:highlight w:val="none"/>
          <w:lang w:val="zh-CN" w:eastAsia="zh-CN"/>
          <w14:textFill>
            <w14:solidFill>
              <w14:schemeClr w14:val="tx1"/>
            </w14:solidFill>
          </w14:textFill>
        </w:rPr>
        <w:t>甲方全部或部分解除合同之后，应当遵循诚实信用原则购买与未交付的服务，乙方应承担买方购买类似服务而产生的额外支出。部分解除合同的，乙方应继续履行合同中未解除的部分。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18.</w:t>
      </w:r>
      <w:r>
        <w:rPr>
          <w:rFonts w:hint="eastAsia" w:ascii="仿宋" w:hAnsi="仿宋" w:eastAsia="仿宋" w:cs="仿宋"/>
          <w:b/>
          <w:bCs/>
          <w:color w:val="000000" w:themeColor="text1"/>
          <w:sz w:val="24"/>
          <w:highlight w:val="none"/>
          <w:lang w:val="zh-CN" w:eastAsia="zh-CN"/>
          <w14:textFill>
            <w14:solidFill>
              <w14:schemeClr w14:val="tx1"/>
            </w14:solidFill>
          </w14:textFill>
        </w:rPr>
        <w:t>破产终止合同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乙方破产而无法完全履行本合同义务时，甲方可以书面方式通知乙方终止合同而不给予乙方补偿。该合同的终止将不损害或不影响甲方已经采取或将要采取任何行动或补救措施的权利。</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19.</w:t>
      </w:r>
      <w:r>
        <w:rPr>
          <w:rFonts w:hint="eastAsia" w:ascii="仿宋" w:hAnsi="仿宋" w:eastAsia="仿宋" w:cs="仿宋"/>
          <w:b/>
          <w:bCs/>
          <w:color w:val="000000" w:themeColor="text1"/>
          <w:sz w:val="24"/>
          <w:highlight w:val="none"/>
          <w:lang w:val="zh-CN" w:eastAsia="zh-CN"/>
          <w14:textFill>
            <w14:solidFill>
              <w14:schemeClr w14:val="tx1"/>
            </w14:solidFill>
          </w14:textFill>
        </w:rPr>
        <w:t>转让和分包</w:t>
      </w:r>
    </w:p>
    <w:p>
      <w:pPr>
        <w:autoSpaceDE w:val="0"/>
        <w:autoSpaceDN w:val="0"/>
        <w:spacing w:line="360" w:lineRule="auto"/>
        <w:ind w:firstLine="3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19.1 </w:t>
      </w:r>
      <w:r>
        <w:rPr>
          <w:rFonts w:hint="eastAsia" w:ascii="仿宋" w:hAnsi="仿宋" w:eastAsia="仿宋" w:cs="仿宋"/>
          <w:color w:val="000000" w:themeColor="text1"/>
          <w:sz w:val="24"/>
          <w:highlight w:val="none"/>
          <w:lang w:val="zh-CN" w:eastAsia="zh-CN"/>
          <w14:textFill>
            <w14:solidFill>
              <w14:schemeClr w14:val="tx1"/>
            </w14:solidFill>
          </w14:textFill>
        </w:rPr>
        <w:t>政府采购合同不能转让。</w:t>
      </w:r>
    </w:p>
    <w:p>
      <w:pPr>
        <w:autoSpaceDE w:val="0"/>
        <w:autoSpaceDN w:val="0"/>
        <w:spacing w:line="360" w:lineRule="auto"/>
        <w:ind w:firstLine="3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19.2 </w:t>
      </w:r>
      <w:r>
        <w:rPr>
          <w:rFonts w:hint="eastAsia" w:ascii="仿宋" w:hAnsi="仿宋" w:eastAsia="仿宋" w:cs="仿宋"/>
          <w:color w:val="000000" w:themeColor="text1"/>
          <w:sz w:val="24"/>
          <w:highlight w:val="none"/>
          <w:lang w:val="zh-CN" w:eastAsia="zh-CN"/>
          <w14:textFill>
            <w14:solidFill>
              <w14:schemeClr w14:val="tx1"/>
            </w14:solidFill>
          </w14:textFill>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20.</w:t>
      </w:r>
      <w:r>
        <w:rPr>
          <w:rFonts w:hint="eastAsia" w:ascii="仿宋" w:hAnsi="仿宋" w:eastAsia="仿宋" w:cs="仿宋"/>
          <w:b/>
          <w:bCs/>
          <w:color w:val="000000" w:themeColor="text1"/>
          <w:sz w:val="24"/>
          <w:highlight w:val="none"/>
          <w:lang w:val="zh-CN" w:eastAsia="zh-CN"/>
          <w14:textFill>
            <w14:solidFill>
              <w14:schemeClr w14:val="tx1"/>
            </w14:solidFill>
          </w14:textFill>
        </w:rPr>
        <w:t>合同修改</w:t>
      </w:r>
    </w:p>
    <w:p>
      <w:pPr>
        <w:autoSpaceDE w:val="0"/>
        <w:autoSpaceDN w:val="0"/>
        <w:spacing w:line="360" w:lineRule="auto"/>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政府采购合同的双方当事人不得擅自变更、中止或者终止合同</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21.</w:t>
      </w:r>
      <w:r>
        <w:rPr>
          <w:rFonts w:hint="eastAsia" w:ascii="仿宋" w:hAnsi="仿宋" w:eastAsia="仿宋" w:cs="仿宋"/>
          <w:b/>
          <w:bCs/>
          <w:color w:val="000000" w:themeColor="text1"/>
          <w:sz w:val="24"/>
          <w:highlight w:val="none"/>
          <w:lang w:val="zh-CN" w:eastAsia="zh-CN"/>
          <w14:textFill>
            <w14:solidFill>
              <w14:schemeClr w14:val="tx1"/>
            </w14:solidFill>
          </w14:textFill>
        </w:rPr>
        <w:t>通知</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本合同任何一方给另一方的通知，都应以书面形式发送，而另一方也应以书面形式确认并发送到对方明确的地址。</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22.</w:t>
      </w:r>
      <w:r>
        <w:rPr>
          <w:rFonts w:hint="eastAsia" w:ascii="仿宋" w:hAnsi="仿宋" w:eastAsia="仿宋" w:cs="仿宋"/>
          <w:b/>
          <w:bCs/>
          <w:color w:val="000000" w:themeColor="text1"/>
          <w:sz w:val="24"/>
          <w:highlight w:val="none"/>
          <w:lang w:val="zh-CN" w:eastAsia="zh-CN"/>
          <w14:textFill>
            <w14:solidFill>
              <w14:schemeClr w14:val="tx1"/>
            </w14:solidFill>
          </w14:textFill>
        </w:rPr>
        <w:t>计量单位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除技术规范中另有规定外</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计量单位均使用国家法定计量单位。</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23.</w:t>
      </w:r>
      <w:r>
        <w:rPr>
          <w:rFonts w:hint="eastAsia" w:ascii="仿宋" w:hAnsi="仿宋" w:eastAsia="仿宋" w:cs="仿宋"/>
          <w:b/>
          <w:bCs/>
          <w:color w:val="000000" w:themeColor="text1"/>
          <w:sz w:val="24"/>
          <w:highlight w:val="none"/>
          <w:lang w:val="zh-CN" w:eastAsia="zh-CN"/>
          <w14:textFill>
            <w14:solidFill>
              <w14:schemeClr w14:val="tx1"/>
            </w14:solidFill>
          </w14:textFill>
        </w:rPr>
        <w:t>适用法律</w:t>
      </w:r>
    </w:p>
    <w:p>
      <w:pPr>
        <w:spacing w:line="579" w:lineRule="exact"/>
        <w:ind w:firstLine="480"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本合同按照中华人民共和国的相关法律进行解释。</w:t>
      </w:r>
    </w:p>
    <w:p>
      <w:pPr>
        <w:keepNext w:val="0"/>
        <w:keepLines w:val="0"/>
        <w:pageBreakBefore w:val="0"/>
        <w:widowControl/>
        <w:kinsoku/>
        <w:wordWrap/>
        <w:overflowPunct/>
        <w:topLinePunct w:val="0"/>
        <w:autoSpaceDE/>
        <w:autoSpaceDN/>
        <w:bidi w:val="0"/>
        <w:adjustRightInd/>
        <w:snapToGrid/>
        <w:spacing w:before="95" w:line="560" w:lineRule="exact"/>
        <w:ind w:right="1814"/>
        <w:jc w:val="both"/>
        <w:textAlignment w:val="baseline"/>
        <w:outlineLvl w:val="9"/>
        <w:rPr>
          <w:rFonts w:hint="eastAsia" w:ascii="仿宋" w:hAnsi="仿宋" w:eastAsia="仿宋" w:cs="仿宋"/>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95" w:line="560" w:lineRule="exact"/>
        <w:ind w:left="2166" w:right="1814"/>
        <w:jc w:val="center"/>
        <w:textAlignment w:val="baseline"/>
        <w:outlineLvl w:val="9"/>
        <w:rPr>
          <w:rFonts w:hint="eastAsia" w:ascii="仿宋" w:hAnsi="仿宋" w:eastAsia="仿宋" w:cs="仿宋"/>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95" w:line="560" w:lineRule="exact"/>
        <w:ind w:left="2166" w:right="1814"/>
        <w:jc w:val="center"/>
        <w:textAlignment w:val="baseline"/>
        <w:outlineLvl w:val="9"/>
        <w:rPr>
          <w:rFonts w:hint="eastAsia" w:ascii="仿宋" w:hAnsi="仿宋" w:eastAsia="仿宋" w:cs="仿宋"/>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95" w:line="560" w:lineRule="exact"/>
        <w:ind w:left="2166" w:right="1814"/>
        <w:jc w:val="center"/>
        <w:textAlignment w:val="baseline"/>
        <w:outlineLvl w:val="9"/>
        <w:rPr>
          <w:rFonts w:hint="eastAsia" w:ascii="仿宋" w:hAnsi="仿宋" w:eastAsia="仿宋" w:cs="仿宋"/>
          <w:b/>
          <w:bCs/>
          <w:color w:val="000000" w:themeColor="text1"/>
          <w:sz w:val="24"/>
          <w:szCs w:val="24"/>
          <w:highlight w:val="none"/>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highlight w:val="none"/>
        </w:rPr>
      </w:pPr>
    </w:p>
    <w:p>
      <w:pPr>
        <w:keepNext w:val="0"/>
        <w:keepLines w:val="0"/>
        <w:pageBreakBefore w:val="0"/>
        <w:widowControl/>
        <w:kinsoku/>
        <w:wordWrap/>
        <w:overflowPunct/>
        <w:topLinePunct w:val="0"/>
        <w:autoSpaceDE/>
        <w:autoSpaceDN/>
        <w:bidi w:val="0"/>
        <w:adjustRightInd/>
        <w:snapToGrid/>
        <w:spacing w:before="95" w:line="560" w:lineRule="exact"/>
        <w:ind w:left="2166" w:right="1814"/>
        <w:jc w:val="center"/>
        <w:textAlignment w:val="baseline"/>
        <w:outlineLvl w:val="9"/>
        <w:rPr>
          <w:rFonts w:hint="eastAsia" w:ascii="仿宋" w:hAnsi="仿宋" w:eastAsia="仿宋" w:cs="仿宋"/>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95" w:line="560" w:lineRule="exact"/>
        <w:ind w:left="2166" w:right="1814"/>
        <w:jc w:val="center"/>
        <w:textAlignment w:val="baseline"/>
        <w:outlineLvl w:val="9"/>
        <w:rPr>
          <w:rFonts w:hint="eastAsia" w:ascii="仿宋" w:hAnsi="仿宋" w:eastAsia="仿宋" w:cs="仿宋"/>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95" w:line="560" w:lineRule="exact"/>
        <w:ind w:left="2166" w:right="1814"/>
        <w:jc w:val="center"/>
        <w:textAlignment w:val="baseline"/>
        <w:outlineLvl w:val="9"/>
        <w:rPr>
          <w:rFonts w:hint="eastAsia" w:ascii="仿宋" w:hAnsi="仿宋" w:eastAsia="仿宋" w:cs="仿宋"/>
          <w:b/>
          <w:bCs/>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pacing w:before="95" w:line="560" w:lineRule="exact"/>
        <w:ind w:left="2166" w:right="1814"/>
        <w:jc w:val="center"/>
        <w:textAlignment w:val="baseline"/>
        <w:outlineLvl w:val="0"/>
        <w:rPr>
          <w:rStyle w:val="31"/>
          <w:rFonts w:ascii="仿宋" w:hAnsi="仿宋" w:eastAsia="仿宋" w:cs="仿宋"/>
          <w:b/>
          <w:color w:val="000000" w:themeColor="text1"/>
          <w:sz w:val="36"/>
          <w:highlight w:val="none"/>
          <w:lang w:eastAsia="zh-CN"/>
          <w14:textFill>
            <w14:solidFill>
              <w14:schemeClr w14:val="tx1"/>
            </w14:solidFill>
          </w14:textFill>
        </w:rPr>
      </w:pPr>
      <w:bookmarkStart w:id="85" w:name="_Toc2116"/>
      <w:r>
        <w:rPr>
          <w:rStyle w:val="31"/>
          <w:rFonts w:hint="eastAsia" w:ascii="仿宋" w:hAnsi="仿宋" w:eastAsia="仿宋" w:cs="仿宋"/>
          <w:b/>
          <w:color w:val="000000" w:themeColor="text1"/>
          <w:sz w:val="36"/>
          <w:highlight w:val="none"/>
          <w:lang w:eastAsia="zh-CN"/>
          <w14:textFill>
            <w14:solidFill>
              <w14:schemeClr w14:val="tx1"/>
            </w14:solidFill>
          </w14:textFill>
        </w:rPr>
        <w:t>第五部分附件</w:t>
      </w:r>
      <w:bookmarkEnd w:id="80"/>
      <w:bookmarkEnd w:id="81"/>
      <w:bookmarkEnd w:id="82"/>
      <w:bookmarkEnd w:id="83"/>
      <w:bookmarkEnd w:id="84"/>
      <w:bookmarkEnd w:id="85"/>
    </w:p>
    <w:p>
      <w:pPr>
        <w:pStyle w:val="56"/>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rPr>
          <w:rFonts w:ascii="仿宋" w:hAnsi="仿宋" w:eastAsia="仿宋" w:cs="仿宋"/>
          <w:b/>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48"/>
          <w:szCs w:val="36"/>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新疆组团参展第二届中国（武汉）文化旅游博览会项目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hint="eastAsia"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pStyle w:val="56"/>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pStyle w:val="56"/>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pStyle w:val="56"/>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spacing w:before="120" w:after="120" w:line="500" w:lineRule="exact"/>
        <w:ind w:firstLine="643"/>
        <w:jc w:val="center"/>
        <w:outlineLvl w:val="1"/>
        <w:rPr>
          <w:rFonts w:ascii="仿宋" w:hAnsi="仿宋" w:eastAsia="仿宋" w:cs="仿宋"/>
          <w:color w:val="000000" w:themeColor="text1"/>
          <w:highlight w:val="none"/>
          <w14:textFill>
            <w14:solidFill>
              <w14:schemeClr w14:val="tx1"/>
            </w14:solidFill>
          </w14:textFill>
        </w:rPr>
      </w:pPr>
      <w:bookmarkStart w:id="86" w:name="_Toc83546621"/>
      <w:bookmarkStart w:id="87" w:name="_Toc19478"/>
      <w:bookmarkStart w:id="88" w:name="_Toc21563"/>
      <w:bookmarkStart w:id="89" w:name="_Toc22554395"/>
      <w:r>
        <w:rPr>
          <w:rFonts w:hint="eastAsia" w:ascii="仿宋" w:hAnsi="仿宋" w:eastAsia="仿宋" w:cs="仿宋"/>
          <w:b/>
          <w:color w:val="000000" w:themeColor="text1"/>
          <w:sz w:val="32"/>
          <w:highlight w:val="none"/>
          <w:lang w:eastAsia="zh-CN"/>
          <w14:textFill>
            <w14:solidFill>
              <w14:schemeClr w14:val="tx1"/>
            </w14:solidFill>
          </w14:textFill>
        </w:rPr>
        <w:t>（</w:t>
      </w:r>
      <w:r>
        <w:rPr>
          <w:rFonts w:hint="eastAsia" w:ascii="仿宋" w:hAnsi="仿宋" w:eastAsia="仿宋" w:cs="仿宋"/>
          <w:b/>
          <w:color w:val="000000" w:themeColor="text1"/>
          <w:sz w:val="32"/>
          <w:highlight w:val="none"/>
          <w:lang w:val="en-US" w:eastAsia="zh-CN"/>
          <w14:textFill>
            <w14:solidFill>
              <w14:schemeClr w14:val="tx1"/>
            </w14:solidFill>
          </w14:textFill>
        </w:rPr>
        <w:t>第一部分</w:t>
      </w:r>
      <w:r>
        <w:rPr>
          <w:rFonts w:hint="eastAsia" w:ascii="仿宋" w:hAnsi="仿宋" w:eastAsia="仿宋" w:cs="仿宋"/>
          <w:b/>
          <w:color w:val="000000" w:themeColor="text1"/>
          <w:sz w:val="32"/>
          <w:highlight w:val="none"/>
          <w:lang w:eastAsia="zh-CN"/>
          <w14:textFill>
            <w14:solidFill>
              <w14:schemeClr w14:val="tx1"/>
            </w14:solidFill>
          </w14:textFill>
        </w:rPr>
        <w:t>）</w:t>
      </w:r>
      <w:r>
        <w:rPr>
          <w:rFonts w:hint="eastAsia" w:ascii="仿宋" w:hAnsi="仿宋" w:eastAsia="仿宋" w:cs="仿宋"/>
          <w:b/>
          <w:color w:val="000000" w:themeColor="text1"/>
          <w:sz w:val="32"/>
          <w:highlight w:val="none"/>
          <w14:textFill>
            <w14:solidFill>
              <w14:schemeClr w14:val="tx1"/>
            </w14:solidFill>
          </w14:textFill>
        </w:rPr>
        <w:t>资格证明文件</w:t>
      </w:r>
      <w:bookmarkEnd w:id="86"/>
      <w:bookmarkEnd w:id="87"/>
      <w:bookmarkEnd w:id="88"/>
    </w:p>
    <w:p>
      <w:pPr>
        <w:spacing w:line="440" w:lineRule="exact"/>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投标人应按下列顺序排序资格审查文件：</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一</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投标单位营业执照（复印件）；</w:t>
      </w:r>
    </w:p>
    <w:p>
      <w:pPr>
        <w:spacing w:line="440" w:lineRule="exact"/>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二</w:t>
      </w:r>
      <w:r>
        <w:rPr>
          <w:rFonts w:hint="eastAsia" w:ascii="仿宋" w:hAnsi="仿宋" w:eastAsia="仿宋" w:cs="仿宋"/>
          <w:color w:val="000000" w:themeColor="text1"/>
          <w:highlight w:val="none"/>
          <w14:textFill>
            <w14:solidFill>
              <w14:schemeClr w14:val="tx1"/>
            </w14:solidFill>
          </w14:textFill>
        </w:rPr>
        <w:t>）提供法定代表人身份证明或法定代表人授权委托书；（原件）</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三</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有良好的商业信誉和健全的财务会计制度</w:t>
      </w:r>
      <w:r>
        <w:rPr>
          <w:rFonts w:hint="eastAsia" w:ascii="仿宋" w:hAnsi="仿宋" w:eastAsia="仿宋" w:cs="仿宋"/>
          <w:color w:val="000000" w:themeColor="text1"/>
          <w:highlight w:val="none"/>
          <w:lang w:val="en-US" w:eastAsia="zh-CN"/>
          <w14:textFill>
            <w14:solidFill>
              <w14:schemeClr w14:val="tx1"/>
            </w14:solidFill>
          </w14:textFill>
        </w:rPr>
        <w:t>的相关证明材料</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四</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履行合同所必需的设备和专业技术能力</w:t>
      </w:r>
      <w:r>
        <w:rPr>
          <w:rFonts w:hint="eastAsia" w:ascii="仿宋" w:hAnsi="仿宋" w:eastAsia="仿宋" w:cs="仿宋"/>
          <w:color w:val="000000" w:themeColor="text1"/>
          <w:highlight w:val="none"/>
          <w:lang w:val="en-US" w:eastAsia="zh-CN"/>
          <w14:textFill>
            <w14:solidFill>
              <w14:schemeClr w14:val="tx1"/>
            </w14:solidFill>
          </w14:textFill>
        </w:rPr>
        <w:t>的书面声明</w:t>
      </w:r>
      <w:r>
        <w:rPr>
          <w:rFonts w:hint="eastAsia" w:ascii="仿宋" w:hAnsi="仿宋" w:eastAsia="仿宋" w:cs="仿宋"/>
          <w:color w:val="000000" w:themeColor="text1"/>
          <w:highlight w:val="none"/>
          <w14:textFill>
            <w14:solidFill>
              <w14:schemeClr w14:val="tx1"/>
            </w14:solidFill>
          </w14:textFill>
        </w:rPr>
        <w:t>（原件）；</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五</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依法缴纳税收和社会保障资金的良好记录</w:t>
      </w:r>
      <w:r>
        <w:rPr>
          <w:rFonts w:hint="eastAsia" w:ascii="仿宋" w:hAnsi="仿宋" w:eastAsia="仿宋" w:cs="仿宋"/>
          <w:color w:val="000000" w:themeColor="text1"/>
          <w:highlight w:val="none"/>
          <w:lang w:val="en-US" w:eastAsia="zh-CN"/>
          <w14:textFill>
            <w14:solidFill>
              <w14:schemeClr w14:val="tx1"/>
            </w14:solidFill>
          </w14:textFill>
        </w:rPr>
        <w:t>的证明材料</w:t>
      </w:r>
      <w:r>
        <w:rPr>
          <w:rFonts w:hint="eastAsia" w:ascii="仿宋" w:hAnsi="仿宋" w:eastAsia="仿宋" w:cs="仿宋"/>
          <w:color w:val="000000" w:themeColor="text1"/>
          <w:highlight w:val="none"/>
          <w14:textFill>
            <w14:solidFill>
              <w14:schemeClr w14:val="tx1"/>
            </w14:solidFill>
          </w14:textFill>
        </w:rPr>
        <w:t>；</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六</w:t>
      </w:r>
      <w:r>
        <w:rPr>
          <w:rFonts w:hint="eastAsia" w:ascii="仿宋" w:hAnsi="仿宋" w:eastAsia="仿宋" w:cs="仿宋"/>
          <w:color w:val="000000" w:themeColor="text1"/>
          <w:highlight w:val="none"/>
          <w:lang w:eastAsia="zh-CN"/>
          <w14:textFill>
            <w14:solidFill>
              <w14:schemeClr w14:val="tx1"/>
            </w14:solidFill>
          </w14:textFill>
        </w:rPr>
        <w:t>）政府采购活动前三年内，在经营活动中没有重大违法记录</w:t>
      </w:r>
      <w:r>
        <w:rPr>
          <w:rFonts w:hint="eastAsia" w:ascii="仿宋" w:hAnsi="仿宋" w:eastAsia="仿宋" w:cs="仿宋"/>
          <w:color w:val="000000" w:themeColor="text1"/>
          <w:highlight w:val="none"/>
          <w:lang w:val="en-US" w:eastAsia="zh-CN"/>
          <w14:textFill>
            <w14:solidFill>
              <w14:schemeClr w14:val="tx1"/>
            </w14:solidFill>
          </w14:textFill>
        </w:rPr>
        <w:t>的书面声明</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七</w:t>
      </w:r>
      <w:r>
        <w:rPr>
          <w:rFonts w:hint="eastAsia" w:ascii="仿宋" w:hAnsi="仿宋" w:eastAsia="仿宋" w:cs="仿宋"/>
          <w:color w:val="000000" w:themeColor="text1"/>
          <w:highlight w:val="none"/>
          <w:lang w:eastAsia="zh-CN"/>
          <w14:textFill>
            <w14:solidFill>
              <w14:schemeClr w14:val="tx1"/>
            </w14:solidFill>
          </w14:textFill>
        </w:rPr>
        <w:t>）供应商无关联关系书面声明函</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八</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中型企业声明函</w:t>
      </w:r>
      <w:r>
        <w:rPr>
          <w:rFonts w:hint="eastAsia" w:ascii="仿宋" w:hAnsi="仿宋" w:eastAsia="仿宋" w:cs="仿宋"/>
          <w:color w:val="000000" w:themeColor="text1"/>
          <w:highlight w:val="none"/>
          <w:lang w:eastAsia="zh-CN"/>
          <w14:textFill>
            <w14:solidFill>
              <w14:schemeClr w14:val="tx1"/>
            </w14:solidFill>
          </w14:textFill>
        </w:rPr>
        <w:t>》</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spacing w:line="440" w:lineRule="exact"/>
        <w:ind w:firstLine="480"/>
        <w:rPr>
          <w:rFonts w:ascii="仿宋" w:hAnsi="仿宋" w:eastAsia="仿宋" w:cs="仿宋"/>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b/>
          <w:color w:val="000000" w:themeColor="text1"/>
          <w:sz w:val="24"/>
          <w:highlight w:val="none"/>
          <w14:textFill>
            <w14:solidFill>
              <w14:schemeClr w14:val="tx1"/>
            </w14:solidFill>
          </w14:textFill>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rPr>
          <w:rFonts w:ascii="仿宋" w:hAnsi="仿宋" w:eastAsia="仿宋" w:cs="仿宋"/>
          <w:b/>
          <w:color w:val="000000" w:themeColor="text1"/>
          <w:sz w:val="24"/>
          <w:szCs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textAlignment w:val="baseline"/>
        <w:outlineLvl w:val="9"/>
        <w:rPr>
          <w:highlight w:val="none"/>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rPr>
          <w:highlight w:val="none"/>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pStyle w:val="7"/>
        <w:ind w:firstLine="482"/>
        <w:rPr>
          <w:rFonts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提供合法有效的营业执照</w:t>
      </w:r>
      <w:bookmarkEnd w:id="89"/>
    </w:p>
    <w:p>
      <w:pPr>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提供投标人的营业执照复印件并加盖投标单位公章。</w:t>
      </w:r>
    </w:p>
    <w:p>
      <w:pPr>
        <w:keepNext/>
        <w:keepLines/>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eastAsia" w:ascii="仿宋" w:hAnsi="仿宋" w:eastAsia="仿宋" w:cs="仿宋"/>
          <w:b/>
          <w:bCs/>
          <w:color w:val="000000" w:themeColor="text1"/>
          <w:szCs w:val="24"/>
          <w:highlight w:val="none"/>
          <w:lang w:val="en-US" w:eastAsia="zh-CN"/>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2、</w:t>
      </w:r>
      <w:r>
        <w:rPr>
          <w:rFonts w:ascii="仿宋" w:hAnsi="仿宋" w:eastAsia="仿宋" w:cs="仿宋"/>
          <w:b/>
          <w:bCs/>
          <w:color w:val="000000" w:themeColor="text1"/>
          <w:szCs w:val="24"/>
          <w:highlight w:val="none"/>
          <w14:textFill>
            <w14:solidFill>
              <w14:schemeClr w14:val="tx1"/>
            </w14:solidFill>
          </w14:textFill>
        </w:rPr>
        <w:t>法定代表人授权委托书</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本授权委托书声明：我</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w:t>
      </w:r>
      <w:r>
        <w:rPr>
          <w:rFonts w:hint="eastAsia" w:ascii="仿宋" w:hAnsi="仿宋" w:eastAsia="仿宋" w:cs="仿宋"/>
          <w:color w:val="000000" w:themeColor="text1"/>
          <w:sz w:val="24"/>
          <w:highlight w:val="none"/>
          <w14:textFill>
            <w14:solidFill>
              <w14:schemeClr w14:val="tx1"/>
            </w14:solidFill>
          </w14:textFill>
        </w:rPr>
        <w:t>的法人代表人，现授权委托</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  </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为我公司代理人，以本公司的名义参加</w:t>
      </w:r>
      <w:r>
        <w:rPr>
          <w:rFonts w:hint="eastAsia" w:ascii="仿宋" w:hAnsi="仿宋" w:eastAsia="仿宋" w:cs="仿宋"/>
          <w:color w:val="000000" w:themeColor="text1"/>
          <w:sz w:val="24"/>
          <w:highlight w:val="none"/>
          <w:u w:val="single"/>
          <w14:textFill>
            <w14:solidFill>
              <w14:schemeClr w14:val="tx1"/>
            </w14:solidFill>
          </w14:textFill>
        </w:rPr>
        <w:t>（招标人）</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 xml:space="preserve"> 项目名称  、</w:t>
      </w:r>
      <w:r>
        <w:rPr>
          <w:rFonts w:hint="eastAsia" w:ascii="仿宋" w:hAnsi="仿宋" w:eastAsia="仿宋" w:cs="仿宋"/>
          <w:color w:val="000000" w:themeColor="text1"/>
          <w:sz w:val="24"/>
          <w:highlight w:val="none"/>
          <w:u w:val="single"/>
          <w:lang w:eastAsia="zh-CN"/>
          <w14:textFill>
            <w14:solidFill>
              <w14:schemeClr w14:val="tx1"/>
            </w14:solidFill>
          </w14:textFill>
        </w:rPr>
        <w:t>项目编号:</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的投标活动。代理人在参加整个项目招标活动、合同签署过程中所签署的一切文件和处理与之有关的一切事物，我单位均予以承认。</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代理人：              性别：         年龄：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单  位：              部门：         职务：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联系电话：            邮箱：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代理人无转委权。特此委托。</w:t>
      </w: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授权人身份证复印件（正反面）：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被授权人身份证复印件（正反面）：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注：1、法定代表人本人作为公司代理人前来参与投标的，不提供此项证明文件。</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2、授权书上应当附有授权人和被授权人的居民身份证复印件（正反面）。</w:t>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color w:val="000000" w:themeColor="text1"/>
          <w:szCs w:val="24"/>
          <w:highlight w:val="none"/>
          <w14:textFill>
            <w14:solidFill>
              <w14:schemeClr w14:val="tx1"/>
            </w14:solidFill>
          </w14:textFill>
        </w:rPr>
      </w:pPr>
      <w:r>
        <w:rPr>
          <w:rFonts w:ascii="仿宋" w:hAnsi="仿宋" w:eastAsia="仿宋" w:cs="仿宋"/>
          <w:color w:val="000000" w:themeColor="text1"/>
          <w:szCs w:val="24"/>
          <w:highlight w:val="none"/>
          <w14:textFill>
            <w14:solidFill>
              <w14:schemeClr w14:val="tx1"/>
            </w14:solidFill>
          </w14:textFill>
        </w:rPr>
        <w:br w:type="page"/>
      </w:r>
      <w:r>
        <w:rPr>
          <w:rFonts w:hint="eastAsia" w:ascii="仿宋" w:hAnsi="仿宋" w:eastAsia="仿宋" w:cs="仿宋"/>
          <w:b/>
          <w:bCs/>
          <w:color w:val="000000" w:themeColor="text1"/>
          <w:szCs w:val="24"/>
          <w:highlight w:val="none"/>
          <w:lang w:val="en-US" w:eastAsia="zh-CN"/>
          <w14:textFill>
            <w14:solidFill>
              <w14:schemeClr w14:val="tx1"/>
            </w14:solidFill>
          </w14:textFill>
        </w:rPr>
        <w:t>3、</w:t>
      </w:r>
      <w:r>
        <w:rPr>
          <w:rFonts w:ascii="仿宋" w:hAnsi="仿宋" w:eastAsia="仿宋" w:cs="仿宋"/>
          <w:b/>
          <w:bCs/>
          <w:color w:val="000000" w:themeColor="text1"/>
          <w:szCs w:val="24"/>
          <w:highlight w:val="none"/>
          <w14:textFill>
            <w14:solidFill>
              <w14:schemeClr w14:val="tx1"/>
            </w14:solidFill>
          </w14:textFill>
        </w:rPr>
        <w:t>法定代表人身份证明书</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企业名称：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企业类型：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营业期限：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成立时间：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姓名：                  性别：            年龄：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职务：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（投标单位名称）          </w:t>
      </w:r>
      <w:r>
        <w:rPr>
          <w:rFonts w:hint="eastAsia" w:ascii="仿宋" w:hAnsi="仿宋" w:eastAsia="仿宋" w:cs="仿宋"/>
          <w:color w:val="000000" w:themeColor="text1"/>
          <w:sz w:val="24"/>
          <w:highlight w:val="none"/>
          <w14:textFill>
            <w14:solidFill>
              <w14:schemeClr w14:val="tx1"/>
            </w14:solidFill>
          </w14:textFill>
        </w:rPr>
        <w:t>的法定代表人。</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法定代表人身份证复印件（正反面）：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 (签字或盖章)：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注：本证明书为法定代表人本人作为公司代理人参与投标的，提供此项证明书。</w:t>
      </w:r>
    </w:p>
    <w:p>
      <w:pPr>
        <w:ind w:firstLine="480"/>
        <w:rPr>
          <w:rFonts w:ascii="仿宋" w:hAnsi="仿宋" w:eastAsia="仿宋" w:cs="仿宋"/>
          <w:color w:val="000000" w:themeColor="text1"/>
          <w:sz w:val="24"/>
          <w:highlight w:val="none"/>
          <w14:textFill>
            <w14:solidFill>
              <w14:schemeClr w14:val="tx1"/>
            </w14:solidFill>
          </w14:textFill>
        </w:rPr>
      </w:pPr>
    </w:p>
    <w:p>
      <w:pPr>
        <w:pStyle w:val="7"/>
        <w:ind w:firstLine="480"/>
        <w:rPr>
          <w:rFonts w:ascii="仿宋" w:hAnsi="仿宋" w:eastAsia="仿宋" w:cs="仿宋"/>
          <w:color w:val="000000" w:themeColor="text1"/>
          <w:sz w:val="24"/>
          <w:szCs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ind w:left="629"/>
        <w:jc w:val="center"/>
        <w:textAlignment w:val="baseline"/>
        <w:outlineLvl w:val="9"/>
        <w:rPr>
          <w:rFonts w:hint="default" w:ascii="仿宋" w:hAnsi="仿宋" w:eastAsia="仿宋" w:cs="仿宋"/>
          <w:color w:val="000000" w:themeColor="text1"/>
          <w:szCs w:val="24"/>
          <w:highlight w:val="none"/>
          <w14:textFill>
            <w14:solidFill>
              <w14:schemeClr w14:val="tx1"/>
            </w14:solidFill>
          </w14:textFill>
        </w:rPr>
      </w:pPr>
      <w:r>
        <w:rPr>
          <w:rFonts w:ascii="仿宋" w:hAnsi="仿宋" w:eastAsia="仿宋" w:cs="仿宋"/>
          <w:color w:val="000000" w:themeColor="text1"/>
          <w:szCs w:val="24"/>
          <w:highlight w:val="none"/>
          <w14:textFill>
            <w14:solidFill>
              <w14:schemeClr w14:val="tx1"/>
            </w14:solidFill>
          </w14:textFill>
        </w:rPr>
        <w:br w:type="page"/>
      </w:r>
      <w:bookmarkStart w:id="90" w:name="_Toc3891646"/>
      <w:bookmarkStart w:id="91" w:name="_Toc22554399"/>
    </w:p>
    <w:p>
      <w:pPr>
        <w:tabs>
          <w:tab w:val="center" w:pos="4153"/>
          <w:tab w:val="right" w:pos="8306"/>
        </w:tabs>
        <w:snapToGrid w:val="0"/>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4</w:t>
      </w:r>
      <w:r>
        <w:rPr>
          <w:rFonts w:hint="eastAsia" w:ascii="仿宋" w:hAnsi="仿宋" w:eastAsia="仿宋" w:cs="仿宋"/>
          <w:b/>
          <w:bCs/>
          <w:color w:val="000000" w:themeColor="text1"/>
          <w:sz w:val="24"/>
          <w:highlight w:val="none"/>
          <w:lang w:eastAsia="zh-CN"/>
          <w14:textFill>
            <w14:solidFill>
              <w14:schemeClr w14:val="tx1"/>
            </w14:solidFill>
          </w14:textFill>
        </w:rPr>
        <w:t>、有良好的商业信誉和健全的财务会计制度</w:t>
      </w:r>
      <w:r>
        <w:rPr>
          <w:rFonts w:hint="eastAsia" w:ascii="仿宋" w:hAnsi="仿宋" w:eastAsia="仿宋" w:cs="仿宋"/>
          <w:b/>
          <w:bCs/>
          <w:color w:val="000000" w:themeColor="text1"/>
          <w:sz w:val="24"/>
          <w:highlight w:val="none"/>
          <w:lang w:val="en-US" w:eastAsia="zh-CN"/>
          <w14:textFill>
            <w14:solidFill>
              <w14:schemeClr w14:val="tx1"/>
            </w14:solidFill>
          </w14:textFill>
        </w:rPr>
        <w:t>的相关证明材料</w:t>
      </w:r>
    </w:p>
    <w:p>
      <w:pPr>
        <w:tabs>
          <w:tab w:val="center" w:pos="4153"/>
          <w:tab w:val="right" w:pos="8306"/>
        </w:tabs>
        <w:snapToGrid w:val="0"/>
        <w:spacing w:line="440" w:lineRule="exact"/>
        <w:ind w:firstLine="480" w:firstLineChars="200"/>
        <w:rPr>
          <w:rFonts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须提供相关证明材料，财务会计制度提供参加本次政府采购活动前一个月的会计报表或</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2021（或2022)</w:t>
      </w:r>
      <w:r>
        <w:rPr>
          <w:rFonts w:hint="eastAsia" w:ascii="仿宋" w:hAnsi="仿宋" w:eastAsia="仿宋" w:cs="仿宋"/>
          <w:b w:val="0"/>
          <w:bCs w:val="0"/>
          <w:color w:val="000000" w:themeColor="text1"/>
          <w:sz w:val="24"/>
          <w:highlight w:val="none"/>
          <w:lang w:eastAsia="zh-CN"/>
          <w14:textFill>
            <w14:solidFill>
              <w14:schemeClr w14:val="tx1"/>
            </w14:solidFill>
          </w14:textFill>
        </w:rPr>
        <w:t>年财务审计报告,成立不满一个月不需提供；</w:t>
      </w:r>
    </w:p>
    <w:p>
      <w:pPr>
        <w:spacing w:line="440" w:lineRule="exact"/>
        <w:rPr>
          <w:rFonts w:ascii="仿宋" w:hAnsi="仿宋" w:eastAsia="仿宋" w:cs="仿宋"/>
          <w:b/>
          <w:bCs/>
          <w:color w:val="000000" w:themeColor="text1"/>
          <w:sz w:val="24"/>
          <w:highlight w:val="none"/>
          <w:lang w:eastAsia="zh-CN"/>
          <w14:textFill>
            <w14:solidFill>
              <w14:schemeClr w14:val="tx1"/>
            </w14:solidFill>
          </w14:textFill>
        </w:rPr>
      </w:pPr>
    </w:p>
    <w:p>
      <w:pPr>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highlight w:val="none"/>
          <w:lang w:eastAsia="zh-CN"/>
          <w14:textFill>
            <w14:solidFill>
              <w14:schemeClr w14:val="tx1"/>
            </w14:solidFill>
          </w14:textFill>
        </w:rPr>
        <w:t>、履行合同所必需的设备和专业技术能力</w:t>
      </w:r>
      <w:r>
        <w:rPr>
          <w:rFonts w:hint="eastAsia" w:ascii="仿宋" w:hAnsi="仿宋" w:eastAsia="仿宋" w:cs="仿宋"/>
          <w:b/>
          <w:bCs/>
          <w:color w:val="000000" w:themeColor="text1"/>
          <w:sz w:val="24"/>
          <w:highlight w:val="none"/>
          <w:lang w:val="en-US" w:eastAsia="zh-CN"/>
          <w14:textFill>
            <w14:solidFill>
              <w14:schemeClr w14:val="tx1"/>
            </w14:solidFill>
          </w14:textFill>
        </w:rPr>
        <w:t>的书面声明</w:t>
      </w:r>
    </w:p>
    <w:p>
      <w:pPr>
        <w:tabs>
          <w:tab w:val="center" w:pos="4153"/>
          <w:tab w:val="right" w:pos="8306"/>
        </w:tabs>
        <w:snapToGrid w:val="0"/>
        <w:rPr>
          <w:rFonts w:ascii="仿宋" w:hAnsi="仿宋" w:eastAsia="仿宋" w:cs="仿宋"/>
          <w:b/>
          <w:bCs/>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致：新疆君凯杰工程项目管理有限公司</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本单位作为本次采购项目的供应商，郑重承诺具备以下条件：</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（1）具有良好的商业信誉和健全的财务会计制度；</w:t>
      </w:r>
      <w:bookmarkStart w:id="92" w:name="_Toc10522_WPSOffice_Level1"/>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（2）具有履行合同所必需的</w:t>
      </w:r>
      <w:bookmarkEnd w:id="92"/>
      <w:r>
        <w:rPr>
          <w:rFonts w:hint="eastAsia" w:ascii="仿宋" w:hAnsi="仿宋" w:eastAsia="仿宋" w:cs="仿宋"/>
          <w:color w:val="000000" w:themeColor="text1"/>
          <w:sz w:val="24"/>
          <w:highlight w:val="none"/>
          <w:lang w:eastAsia="zh-CN"/>
          <w14:textFill>
            <w14:solidFill>
              <w14:schemeClr w14:val="tx1"/>
            </w14:solidFill>
          </w14:textFill>
        </w:rPr>
        <w:t>设备和专业技术能力；</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本单位对上述承诺的真实性负责，如有虚假，将依法承担法律责任。</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特此承诺。</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pStyle w:val="7"/>
        <w:rPr>
          <w:highlight w:val="none"/>
          <w:lang w:eastAsia="zh-CN"/>
        </w:rPr>
      </w:pPr>
    </w:p>
    <w:p>
      <w:pPr>
        <w:tabs>
          <w:tab w:val="center" w:pos="4153"/>
          <w:tab w:val="right" w:pos="8306"/>
        </w:tabs>
        <w:snapToGrid w:val="0"/>
        <w:spacing w:line="440" w:lineRule="exact"/>
        <w:rPr>
          <w:rFonts w:ascii="仿宋" w:hAnsi="仿宋" w:eastAsia="仿宋" w:cs="仿宋"/>
          <w:b/>
          <w:bCs/>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highlight w:val="none"/>
          <w:lang w:eastAsia="zh-CN"/>
          <w14:textFill>
            <w14:solidFill>
              <w14:schemeClr w14:val="tx1"/>
            </w14:solidFill>
          </w14:textFill>
        </w:rPr>
        <w:t>、依法缴纳税收和社会保障资金的良好记录</w:t>
      </w:r>
      <w:r>
        <w:rPr>
          <w:rFonts w:hint="eastAsia" w:ascii="仿宋" w:hAnsi="仿宋" w:eastAsia="仿宋" w:cs="仿宋"/>
          <w:b/>
          <w:bCs/>
          <w:color w:val="000000" w:themeColor="text1"/>
          <w:sz w:val="24"/>
          <w:highlight w:val="none"/>
          <w:lang w:val="en-US" w:eastAsia="zh-CN"/>
          <w14:textFill>
            <w14:solidFill>
              <w14:schemeClr w14:val="tx1"/>
            </w14:solidFill>
          </w14:textFill>
        </w:rPr>
        <w:t>的证明材料</w:t>
      </w:r>
    </w:p>
    <w:p>
      <w:pPr>
        <w:spacing w:line="44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提供参加本次政府采购活动前六个月内（至少一个月）依法缴纳税收和社会保障资金的相关材料；</w:t>
      </w:r>
    </w:p>
    <w:p>
      <w:pPr>
        <w:pStyle w:val="7"/>
        <w:rPr>
          <w:rFonts w:hint="eastAsia"/>
          <w:highlight w:val="none"/>
          <w:lang w:eastAsia="zh-CN"/>
        </w:rPr>
      </w:pPr>
    </w:p>
    <w:p>
      <w:pPr>
        <w:keepNext/>
        <w:keepLines/>
        <w:pageBreakBefore w:val="0"/>
        <w:widowControl/>
        <w:kinsoku/>
        <w:wordWrap/>
        <w:overflowPunct/>
        <w:topLinePunct w:val="0"/>
        <w:autoSpaceDE/>
        <w:autoSpaceDN/>
        <w:bidi w:val="0"/>
        <w:adjustRightInd/>
        <w:snapToGrid/>
        <w:textAlignment w:val="baseline"/>
        <w:outlineLvl w:val="9"/>
        <w:rPr>
          <w:rFonts w:hint="eastAsia"/>
          <w:highlight w:val="none"/>
          <w:lang w:eastAsia="zh-CN"/>
        </w:rPr>
      </w:pPr>
    </w:p>
    <w:p>
      <w:pPr>
        <w:keepNext/>
        <w:keepLines/>
        <w:pageBreakBefore w:val="0"/>
        <w:widowControl/>
        <w:kinsoku/>
        <w:wordWrap/>
        <w:overflowPunct/>
        <w:topLinePunct w:val="0"/>
        <w:autoSpaceDE/>
        <w:autoSpaceDN/>
        <w:bidi w:val="0"/>
        <w:adjustRightInd/>
        <w:snapToGrid/>
        <w:textAlignment w:val="baseline"/>
        <w:outlineLvl w:val="9"/>
        <w:rPr>
          <w:rFonts w:hint="eastAsia"/>
          <w:highlight w:val="none"/>
          <w:lang w:eastAsia="zh-CN"/>
        </w:rPr>
      </w:pPr>
    </w:p>
    <w:p>
      <w:pPr>
        <w:pStyle w:val="23"/>
        <w:rPr>
          <w:highlight w:val="none"/>
          <w:lang w:eastAsia="zh-CN"/>
        </w:rPr>
      </w:pPr>
    </w:p>
    <w:p>
      <w:pPr>
        <w:rPr>
          <w:highlight w:val="none"/>
          <w:lang w:eastAsia="zh-CN"/>
        </w:rPr>
      </w:pPr>
    </w:p>
    <w:p>
      <w:pPr>
        <w:keepNext w:val="0"/>
        <w:keepLines w:val="0"/>
        <w:pageBreakBefore w:val="0"/>
        <w:widowControl/>
        <w:kinsoku/>
        <w:wordWrap/>
        <w:overflowPunct/>
        <w:topLinePunct w:val="0"/>
        <w:autoSpaceDE/>
        <w:autoSpaceDN/>
        <w:bidi w:val="0"/>
        <w:adjustRightInd/>
        <w:snapToGrid/>
        <w:textAlignment w:val="auto"/>
        <w:outlineLvl w:val="9"/>
        <w:rPr>
          <w:highlight w:val="none"/>
          <w:lang w:eastAsia="zh-CN"/>
        </w:rPr>
      </w:pPr>
    </w:p>
    <w:p>
      <w:pPr>
        <w:spacing w:line="440" w:lineRule="exact"/>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p>
    <w:p>
      <w:pPr>
        <w:spacing w:line="440" w:lineRule="exact"/>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p>
    <w:p>
      <w:pPr>
        <w:spacing w:line="440" w:lineRule="exact"/>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highlight w:val="none"/>
          <w:lang w:eastAsia="zh-CN"/>
          <w14:textFill>
            <w14:solidFill>
              <w14:schemeClr w14:val="tx1"/>
            </w14:solidFill>
          </w14:textFill>
        </w:rPr>
        <w:t>、政府采购活动前</w:t>
      </w:r>
      <w:bookmarkStart w:id="93" w:name="_Toc16914_WPSOffice_Level1"/>
      <w:r>
        <w:rPr>
          <w:rFonts w:hint="eastAsia" w:ascii="仿宋" w:hAnsi="仿宋" w:eastAsia="仿宋" w:cs="仿宋"/>
          <w:b/>
          <w:bCs/>
          <w:color w:val="000000" w:themeColor="text1"/>
          <w:sz w:val="24"/>
          <w:highlight w:val="none"/>
          <w:lang w:eastAsia="zh-CN"/>
          <w14:textFill>
            <w14:solidFill>
              <w14:schemeClr w14:val="tx1"/>
            </w14:solidFill>
          </w14:textFill>
        </w:rPr>
        <w:t>三年内，在经</w:t>
      </w:r>
      <w:bookmarkEnd w:id="93"/>
      <w:r>
        <w:rPr>
          <w:rFonts w:hint="eastAsia" w:ascii="仿宋" w:hAnsi="仿宋" w:eastAsia="仿宋" w:cs="仿宋"/>
          <w:b/>
          <w:bCs/>
          <w:color w:val="000000" w:themeColor="text1"/>
          <w:sz w:val="24"/>
          <w:highlight w:val="none"/>
          <w:lang w:eastAsia="zh-CN"/>
          <w14:textFill>
            <w14:solidFill>
              <w14:schemeClr w14:val="tx1"/>
            </w14:solidFill>
          </w14:textFill>
        </w:rPr>
        <w:t>营活动中没有重大违法记录</w:t>
      </w:r>
      <w:r>
        <w:rPr>
          <w:rFonts w:hint="eastAsia" w:ascii="仿宋" w:hAnsi="仿宋" w:eastAsia="仿宋" w:cs="仿宋"/>
          <w:b/>
          <w:bCs/>
          <w:color w:val="000000" w:themeColor="text1"/>
          <w:sz w:val="24"/>
          <w:highlight w:val="none"/>
          <w:lang w:val="en-US" w:eastAsia="zh-CN"/>
          <w14:textFill>
            <w14:solidFill>
              <w14:schemeClr w14:val="tx1"/>
            </w14:solidFill>
          </w14:textFill>
        </w:rPr>
        <w:t>的书面声明</w:t>
      </w:r>
      <w:r>
        <w:rPr>
          <w:rFonts w:hint="eastAsia" w:ascii="仿宋" w:hAnsi="仿宋" w:eastAsia="仿宋" w:cs="仿宋"/>
          <w:b/>
          <w:bCs/>
          <w:color w:val="000000" w:themeColor="text1"/>
          <w:sz w:val="24"/>
          <w:highlight w:val="none"/>
          <w:lang w:eastAsia="zh-CN"/>
          <w14:textFill>
            <w14:solidFill>
              <w14:schemeClr w14:val="tx1"/>
            </w14:solidFill>
          </w14:textFill>
        </w:rPr>
        <w:t>；</w:t>
      </w:r>
    </w:p>
    <w:p>
      <w:pPr>
        <w:spacing w:line="360" w:lineRule="auto"/>
        <w:rPr>
          <w:rFonts w:hint="eastAsia" w:ascii="仿宋" w:hAnsi="仿宋" w:eastAsia="仿宋" w:cs="仿宋"/>
          <w:bCs/>
          <w:color w:val="000000" w:themeColor="text1"/>
          <w:sz w:val="24"/>
          <w:highlight w:val="none"/>
          <w:lang w:eastAsia="zh-CN"/>
          <w14:textFill>
            <w14:solidFill>
              <w14:schemeClr w14:val="tx1"/>
            </w14:solidFill>
          </w14:textFill>
        </w:rPr>
      </w:pPr>
    </w:p>
    <w:p>
      <w:pPr>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我单位郑重声明： </w:t>
      </w:r>
    </w:p>
    <w:p>
      <w:pPr>
        <w:spacing w:line="360" w:lineRule="auto"/>
        <w:ind w:firstLine="480" w:firstLineChars="200"/>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spacing w:line="360" w:lineRule="auto"/>
        <w:ind w:firstLine="480" w:firstLineChars="200"/>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如我公司声明与实际不符，我公司将承担因此引起的一切后果。 </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pStyle w:val="7"/>
        <w:rPr>
          <w:rFonts w:hint="eastAsia" w:ascii="仿宋" w:hAnsi="仿宋" w:eastAsia="仿宋" w:cs="仿宋"/>
          <w:color w:val="000000" w:themeColor="text1"/>
          <w:sz w:val="24"/>
          <w:highlight w:val="none"/>
          <w:lang w:eastAsia="zh-CN"/>
          <w14:textFill>
            <w14:solidFill>
              <w14:schemeClr w14:val="tx1"/>
            </w14:solidFill>
          </w14:textFill>
        </w:rPr>
      </w:pPr>
    </w:p>
    <w:p>
      <w:pPr>
        <w:rPr>
          <w:rFonts w:hint="eastAsia"/>
          <w:highlight w:val="none"/>
          <w:lang w:eastAsia="zh-CN"/>
        </w:rPr>
      </w:pPr>
    </w:p>
    <w:p>
      <w:pPr>
        <w:pStyle w:val="24"/>
        <w:rPr>
          <w:highlight w:val="none"/>
          <w:lang w:eastAsia="zh-CN"/>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2" w:firstLineChars="200"/>
        <w:jc w:val="center"/>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lang w:eastAsia="zh-CN"/>
          <w14:textFill>
            <w14:solidFill>
              <w14:schemeClr w14:val="tx1"/>
            </w14:solidFill>
          </w14:textFill>
        </w:rPr>
        <w:t>供应商无关联关系书面声明函（格式）</w:t>
      </w:r>
    </w:p>
    <w:p>
      <w:pPr>
        <w:tabs>
          <w:tab w:val="center" w:pos="4153"/>
          <w:tab w:val="right" w:pos="8306"/>
        </w:tabs>
        <w:snapToGrid w:val="0"/>
        <w:spacing w:line="440" w:lineRule="exact"/>
        <w:ind w:firstLine="643" w:firstLineChars="200"/>
        <w:jc w:val="center"/>
        <w:rPr>
          <w:rFonts w:ascii="仿宋" w:hAnsi="仿宋" w:eastAsia="仿宋" w:cs="仿宋"/>
          <w:b/>
          <w:bCs/>
          <w:color w:val="000000" w:themeColor="text1"/>
          <w:sz w:val="32"/>
          <w:szCs w:val="32"/>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新疆君凯杰工程项目管理有限公司：</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我单位郑重声明：与</w:t>
      </w:r>
      <w:r>
        <w:rPr>
          <w:rFonts w:hint="eastAsia" w:ascii="仿宋" w:hAnsi="仿宋" w:eastAsia="仿宋" w:cs="仿宋"/>
          <w:color w:val="000000" w:themeColor="text1"/>
          <w:sz w:val="24"/>
          <w:highlight w:val="none"/>
          <w:lang w:val="en-US" w:eastAsia="zh-CN"/>
          <w14:textFill>
            <w14:solidFill>
              <w14:schemeClr w14:val="tx1"/>
            </w14:solidFill>
          </w14:textFill>
        </w:rPr>
        <w:t>采购</w:t>
      </w:r>
      <w:r>
        <w:rPr>
          <w:rFonts w:hint="eastAsia" w:ascii="仿宋" w:hAnsi="仿宋" w:eastAsia="仿宋" w:cs="仿宋"/>
          <w:color w:val="000000" w:themeColor="text1"/>
          <w:sz w:val="24"/>
          <w:highlight w:val="none"/>
          <w:lang w:eastAsia="zh-CN"/>
          <w14:textFill>
            <w14:solidFill>
              <w14:schemeClr w14:val="tx1"/>
            </w14:solidFill>
          </w14:textFill>
        </w:rPr>
        <w:t>人</w:t>
      </w:r>
      <w:r>
        <w:rPr>
          <w:rFonts w:hint="eastAsia" w:ascii="仿宋" w:hAnsi="仿宋" w:eastAsia="仿宋" w:cs="仿宋"/>
          <w:color w:val="000000" w:themeColor="text1"/>
          <w:sz w:val="24"/>
          <w:highlight w:val="none"/>
          <w:lang w:val="en-US" w:eastAsia="zh-CN"/>
          <w14:textFill>
            <w14:solidFill>
              <w14:schemeClr w14:val="tx1"/>
            </w14:solidFill>
          </w14:textFill>
        </w:rPr>
        <w:t>不</w:t>
      </w:r>
      <w:r>
        <w:rPr>
          <w:rFonts w:hint="eastAsia" w:ascii="仿宋" w:hAnsi="仿宋" w:eastAsia="仿宋" w:cs="仿宋"/>
          <w:color w:val="000000" w:themeColor="text1"/>
          <w:sz w:val="24"/>
          <w:highlight w:val="none"/>
          <w:lang w:eastAsia="zh-CN"/>
          <w14:textFill>
            <w14:solidFill>
              <w14:schemeClr w14:val="tx1"/>
            </w14:solidFill>
          </w14:textFill>
        </w:rPr>
        <w:t>存在利害关系，与本单位负责人为同一人或者与本单位存在控股关系、管理关系的其他关联供应商未参与</w:t>
      </w:r>
      <w:r>
        <w:rPr>
          <w:rFonts w:hint="eastAsia" w:ascii="仿宋" w:hAnsi="仿宋" w:eastAsia="仿宋" w:cs="仿宋"/>
          <w:b/>
          <w:bCs/>
          <w:color w:val="000000" w:themeColor="text1"/>
          <w:sz w:val="24"/>
          <w:highlight w:val="none"/>
          <w:u w:val="single"/>
          <w:lang w:eastAsia="zh-CN"/>
          <w14:textFill>
            <w14:solidFill>
              <w14:schemeClr w14:val="tx1"/>
            </w14:solidFill>
          </w14:textFill>
        </w:rPr>
        <w:t xml:space="preserve">_(项目名称) </w:t>
      </w:r>
      <w:r>
        <w:rPr>
          <w:rFonts w:hint="eastAsia" w:ascii="仿宋" w:hAnsi="仿宋" w:eastAsia="仿宋" w:cs="仿宋"/>
          <w:color w:val="000000" w:themeColor="text1"/>
          <w:sz w:val="24"/>
          <w:highlight w:val="none"/>
          <w:lang w:eastAsia="zh-CN"/>
          <w14:textFill>
            <w14:solidFill>
              <w14:schemeClr w14:val="tx1"/>
            </w14:solidFill>
          </w14:textFill>
        </w:rPr>
        <w:t>同一合同项下的谈判。</w:t>
      </w:r>
      <w:r>
        <w:rPr>
          <w:rFonts w:hint="eastAsia" w:ascii="仿宋" w:hAnsi="仿宋" w:eastAsia="仿宋" w:cs="仿宋"/>
          <w:i w:val="0"/>
          <w:iCs w:val="0"/>
          <w:caps w:val="0"/>
          <w:color w:val="000000"/>
          <w:spacing w:val="0"/>
          <w:sz w:val="24"/>
          <w:szCs w:val="24"/>
          <w:highlight w:val="none"/>
          <w:lang w:val="en-US" w:eastAsia="zh-CN"/>
        </w:rPr>
        <w:t>我单位不是</w:t>
      </w:r>
      <w:r>
        <w:rPr>
          <w:rFonts w:hint="eastAsia" w:ascii="仿宋" w:hAnsi="仿宋" w:eastAsia="仿宋" w:cs="仿宋"/>
          <w:i w:val="0"/>
          <w:iCs w:val="0"/>
          <w:caps w:val="0"/>
          <w:color w:val="000000"/>
          <w:spacing w:val="0"/>
          <w:sz w:val="24"/>
          <w:szCs w:val="24"/>
          <w:highlight w:val="none"/>
        </w:rPr>
        <w:t>为该整体项目或其中分项目前期工作提供过设计、编制、监理、检测、管理等服务的法人及附属单位；</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我单位保证上述声明真实、有效、可查。</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特此声明。</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pacing w:line="500" w:lineRule="exact"/>
        <w:ind w:left="630"/>
        <w:jc w:val="center"/>
        <w:textAlignment w:val="baseline"/>
        <w:outlineLvl w:val="9"/>
        <w:rPr>
          <w:rFonts w:hint="eastAsia" w:ascii="仿宋" w:hAnsi="仿宋" w:eastAsia="仿宋" w:cs="仿宋"/>
          <w:color w:val="000000" w:themeColor="text1"/>
          <w:szCs w:val="24"/>
          <w:highlight w:val="none"/>
          <w:lang w:val="en-US" w:eastAsia="zh-CN"/>
          <w14:textFill>
            <w14:solidFill>
              <w14:schemeClr w14:val="tx1"/>
            </w14:solidFill>
          </w14:textFill>
        </w:rPr>
      </w:pPr>
      <w:bookmarkStart w:id="94" w:name="_Toc21814_WPSOffice_Level1"/>
      <w:bookmarkStart w:id="95" w:name="_Toc7781_WPSOffice_Level1"/>
      <w:bookmarkStart w:id="96" w:name="_Toc8420_WPSOffice_Level1"/>
    </w:p>
    <w:p>
      <w:pPr>
        <w:pageBreakBefore w:val="0"/>
        <w:widowControl/>
        <w:kinsoku/>
        <w:wordWrap/>
        <w:overflowPunct/>
        <w:topLinePunct w:val="0"/>
        <w:autoSpaceDE/>
        <w:autoSpaceDN/>
        <w:bidi w:val="0"/>
        <w:adjustRightInd/>
        <w:spacing w:line="500" w:lineRule="exact"/>
        <w:ind w:left="630"/>
        <w:jc w:val="center"/>
        <w:textAlignment w:val="baseline"/>
        <w:outlineLvl w:val="9"/>
        <w:rPr>
          <w:rFonts w:hint="eastAsia" w:ascii="仿宋" w:hAnsi="仿宋" w:eastAsia="仿宋" w:cs="仿宋"/>
          <w:color w:val="000000" w:themeColor="text1"/>
          <w:szCs w:val="24"/>
          <w:highlight w:val="none"/>
          <w:lang w:val="en-US" w:eastAsia="zh-CN"/>
          <w14:textFill>
            <w14:solidFill>
              <w14:schemeClr w14:val="tx1"/>
            </w14:solidFill>
          </w14:textFill>
        </w:rPr>
      </w:pPr>
    </w:p>
    <w:p>
      <w:pPr>
        <w:pageBreakBefore w:val="0"/>
        <w:widowControl/>
        <w:kinsoku/>
        <w:wordWrap/>
        <w:overflowPunct/>
        <w:topLinePunct w:val="0"/>
        <w:autoSpaceDE/>
        <w:autoSpaceDN/>
        <w:bidi w:val="0"/>
        <w:adjustRightInd/>
        <w:spacing w:line="500" w:lineRule="exact"/>
        <w:ind w:left="630"/>
        <w:jc w:val="center"/>
        <w:textAlignment w:val="baseline"/>
        <w:outlineLvl w:val="9"/>
        <w:rPr>
          <w:rFonts w:hint="eastAsia" w:ascii="仿宋" w:hAnsi="仿宋" w:eastAsia="仿宋" w:cs="仿宋"/>
          <w:color w:val="000000" w:themeColor="text1"/>
          <w:szCs w:val="24"/>
          <w:highlight w:val="none"/>
          <w:lang w:val="en-US" w:eastAsia="zh-CN"/>
          <w14:textFill>
            <w14:solidFill>
              <w14:schemeClr w14:val="tx1"/>
            </w14:solidFill>
          </w14:textFill>
        </w:rPr>
      </w:pPr>
    </w:p>
    <w:p>
      <w:pPr>
        <w:pageBreakBefore w:val="0"/>
        <w:widowControl/>
        <w:kinsoku/>
        <w:wordWrap/>
        <w:overflowPunct/>
        <w:topLinePunct w:val="0"/>
        <w:autoSpaceDE/>
        <w:autoSpaceDN/>
        <w:bidi w:val="0"/>
        <w:adjustRightInd/>
        <w:spacing w:line="500" w:lineRule="exact"/>
        <w:ind w:left="630"/>
        <w:jc w:val="center"/>
        <w:textAlignment w:val="baseline"/>
        <w:outlineLvl w:val="9"/>
        <w:rPr>
          <w:rFonts w:hint="eastAsia" w:ascii="仿宋" w:hAnsi="仿宋" w:eastAsia="仿宋" w:cs="仿宋"/>
          <w:color w:val="000000" w:themeColor="text1"/>
          <w:szCs w:val="24"/>
          <w:highlight w:val="none"/>
          <w:lang w:val="en-US" w:eastAsia="zh-CN"/>
          <w14:textFill>
            <w14:solidFill>
              <w14:schemeClr w14:val="tx1"/>
            </w14:solidFill>
          </w14:textFill>
        </w:rPr>
      </w:pPr>
    </w:p>
    <w:p>
      <w:pPr>
        <w:pStyle w:val="7"/>
        <w:rPr>
          <w:rFonts w:hint="eastAsia" w:ascii="仿宋" w:hAnsi="仿宋" w:eastAsia="仿宋" w:cs="仿宋"/>
          <w:color w:val="000000" w:themeColor="text1"/>
          <w:szCs w:val="24"/>
          <w:highlight w:val="none"/>
          <w:lang w:val="en-US" w:eastAsia="zh-CN"/>
          <w14:textFill>
            <w14:solidFill>
              <w14:schemeClr w14:val="tx1"/>
            </w14:solidFill>
          </w14:textFill>
        </w:rPr>
      </w:pPr>
    </w:p>
    <w:p>
      <w:pPr>
        <w:rPr>
          <w:rFonts w:hint="eastAsia" w:ascii="仿宋" w:hAnsi="仿宋" w:eastAsia="仿宋" w:cs="仿宋"/>
          <w:color w:val="000000" w:themeColor="text1"/>
          <w:szCs w:val="24"/>
          <w:highlight w:val="none"/>
          <w:lang w:val="en-US" w:eastAsia="zh-CN"/>
          <w14:textFill>
            <w14:solidFill>
              <w14:schemeClr w14:val="tx1"/>
            </w14:solidFill>
          </w14:textFill>
        </w:rPr>
      </w:pPr>
    </w:p>
    <w:p>
      <w:pPr>
        <w:pStyle w:val="7"/>
        <w:rPr>
          <w:rFonts w:hint="eastAsia" w:ascii="仿宋" w:hAnsi="仿宋" w:eastAsia="仿宋" w:cs="仿宋"/>
          <w:color w:val="000000" w:themeColor="text1"/>
          <w:szCs w:val="24"/>
          <w:highlight w:val="none"/>
          <w:lang w:val="en-US" w:eastAsia="zh-CN"/>
          <w14:textFill>
            <w14:solidFill>
              <w14:schemeClr w14:val="tx1"/>
            </w14:solidFill>
          </w14:textFill>
        </w:rPr>
      </w:pPr>
    </w:p>
    <w:p>
      <w:pPr>
        <w:rPr>
          <w:rFonts w:hint="eastAsia" w:ascii="仿宋" w:hAnsi="仿宋" w:eastAsia="仿宋" w:cs="仿宋"/>
          <w:color w:val="000000" w:themeColor="text1"/>
          <w:szCs w:val="24"/>
          <w:highlight w:val="none"/>
          <w:lang w:val="en-US" w:eastAsia="zh-CN"/>
          <w14:textFill>
            <w14:solidFill>
              <w14:schemeClr w14:val="tx1"/>
            </w14:solidFill>
          </w14:textFill>
        </w:rPr>
      </w:pPr>
    </w:p>
    <w:p>
      <w:pPr>
        <w:pStyle w:val="7"/>
        <w:rPr>
          <w:rFonts w:hint="eastAsia" w:ascii="仿宋" w:hAnsi="仿宋" w:eastAsia="仿宋" w:cs="仿宋"/>
          <w:color w:val="000000" w:themeColor="text1"/>
          <w:szCs w:val="24"/>
          <w:highlight w:val="none"/>
          <w:lang w:val="en-US" w:eastAsia="zh-CN"/>
          <w14:textFill>
            <w14:solidFill>
              <w14:schemeClr w14:val="tx1"/>
            </w14:solidFill>
          </w14:textFill>
        </w:rPr>
      </w:pPr>
    </w:p>
    <w:p>
      <w:pPr>
        <w:rPr>
          <w:rFonts w:hint="eastAsia" w:ascii="仿宋" w:hAnsi="仿宋" w:eastAsia="仿宋" w:cs="仿宋"/>
          <w:color w:val="000000" w:themeColor="text1"/>
          <w:szCs w:val="24"/>
          <w:highlight w:val="none"/>
          <w:lang w:val="en-US" w:eastAsia="zh-CN"/>
          <w14:textFill>
            <w14:solidFill>
              <w14:schemeClr w14:val="tx1"/>
            </w14:solidFill>
          </w14:textFill>
        </w:rPr>
      </w:pPr>
    </w:p>
    <w:p>
      <w:pPr>
        <w:pStyle w:val="7"/>
        <w:rPr>
          <w:rFonts w:hint="eastAsia" w:ascii="仿宋" w:hAnsi="仿宋" w:eastAsia="仿宋" w:cs="仿宋"/>
          <w:color w:val="000000" w:themeColor="text1"/>
          <w:szCs w:val="24"/>
          <w:highlight w:val="none"/>
          <w:lang w:val="en-US" w:eastAsia="zh-CN"/>
          <w14:textFill>
            <w14:solidFill>
              <w14:schemeClr w14:val="tx1"/>
            </w14:solidFill>
          </w14:textFill>
        </w:rPr>
      </w:pPr>
    </w:p>
    <w:p>
      <w:pPr>
        <w:rPr>
          <w:rFonts w:hint="eastAsia"/>
          <w:highlight w:val="none"/>
          <w:lang w:val="en-US" w:eastAsia="zh-CN"/>
        </w:rPr>
      </w:pPr>
    </w:p>
    <w:p>
      <w:pPr>
        <w:pageBreakBefore w:val="0"/>
        <w:widowControl/>
        <w:kinsoku/>
        <w:wordWrap/>
        <w:overflowPunct/>
        <w:topLinePunct w:val="0"/>
        <w:autoSpaceDE/>
        <w:autoSpaceDN/>
        <w:bidi w:val="0"/>
        <w:adjustRightInd/>
        <w:spacing w:line="500" w:lineRule="exact"/>
        <w:ind w:left="630"/>
        <w:jc w:val="center"/>
        <w:textAlignment w:val="baseline"/>
        <w:outlineLvl w:val="9"/>
        <w:rPr>
          <w:rFonts w:hint="eastAsia" w:ascii="仿宋" w:hAnsi="仿宋" w:eastAsia="仿宋" w:cs="仿宋"/>
          <w:color w:val="000000" w:themeColor="text1"/>
          <w:szCs w:val="24"/>
          <w:highlight w:val="none"/>
          <w:lang w:val="en-US"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b/>
          <w:bCs/>
          <w:color w:val="000000" w:themeColor="text1"/>
          <w:sz w:val="24"/>
          <w:highlight w:val="none"/>
          <w:lang w:val="en-US" w:eastAsia="zh-CN"/>
          <w14:textFill>
            <w14:solidFill>
              <w14:schemeClr w14:val="tx1"/>
            </w14:solidFill>
          </w14:textFill>
        </w:rPr>
        <w:t>9、</w:t>
      </w:r>
      <w:r>
        <w:rPr>
          <w:rFonts w:hint="eastAsia" w:ascii="仿宋" w:hAnsi="仿宋" w:eastAsia="仿宋" w:cs="仿宋"/>
          <w:b/>
          <w:bCs/>
          <w:color w:val="000000"/>
          <w:sz w:val="24"/>
          <w:szCs w:val="24"/>
          <w:highlight w:val="none"/>
          <w:lang w:eastAsia="zh-CN" w:bidi="ar"/>
        </w:rPr>
        <w:t>《中小企业声明函》（服务）</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（单位名称）</w:t>
      </w:r>
      <w:r>
        <w:rPr>
          <w:rFonts w:hint="eastAsia" w:ascii="仿宋" w:hAnsi="仿宋" w:eastAsia="仿宋" w:cs="仿宋"/>
          <w:color w:val="000000"/>
          <w:sz w:val="24"/>
          <w:szCs w:val="24"/>
          <w:highlight w:val="none"/>
          <w:lang w:eastAsia="zh-CN" w:bidi="ar"/>
        </w:rPr>
        <w:t xml:space="preserve">的                     </w:t>
      </w:r>
      <w:r>
        <w:rPr>
          <w:rFonts w:hint="eastAsia" w:ascii="仿宋" w:hAnsi="仿宋" w:eastAsia="仿宋" w:cs="仿宋"/>
          <w:i/>
          <w:iCs/>
          <w:color w:val="000000"/>
          <w:sz w:val="24"/>
          <w:szCs w:val="24"/>
          <w:highlight w:val="none"/>
          <w:u w:val="single"/>
          <w:lang w:eastAsia="zh-CN" w:bidi="ar"/>
        </w:rPr>
        <w:t xml:space="preserve">               （项目名称）</w:t>
      </w:r>
      <w:r>
        <w:rPr>
          <w:rFonts w:hint="eastAsia" w:ascii="仿宋" w:hAnsi="仿宋" w:eastAsia="仿宋" w:cs="仿宋"/>
          <w:color w:val="000000"/>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1.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2.</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720" w:firstLineChars="3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企业名称（盖章）：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日 期： </w:t>
      </w:r>
    </w:p>
    <w:p>
      <w:pPr>
        <w:spacing w:line="579" w:lineRule="exact"/>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1 从业人员、营业收入、资产总额填报上一年度数据，无上一年度数据的新成立企业可不填报。</w:t>
      </w:r>
    </w:p>
    <w:p>
      <w:pPr>
        <w:spacing w:line="579" w:lineRule="exact"/>
        <w:rPr>
          <w:rFonts w:ascii="仿宋" w:hAnsi="仿宋" w:eastAsia="仿宋" w:cs="仿宋"/>
          <w:sz w:val="24"/>
          <w:szCs w:val="24"/>
          <w:highlight w:val="none"/>
          <w:lang w:eastAsia="zh-CN"/>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p>
      <w:pPr>
        <w:pageBreakBefore w:val="0"/>
        <w:widowControl/>
        <w:tabs>
          <w:tab w:val="center" w:pos="4153"/>
          <w:tab w:val="right" w:pos="8306"/>
        </w:tabs>
        <w:kinsoku/>
        <w:wordWrap/>
        <w:overflowPunct/>
        <w:topLinePunct w:val="0"/>
        <w:autoSpaceDE/>
        <w:autoSpaceDN/>
        <w:bidi w:val="0"/>
        <w:adjustRightInd/>
        <w:snapToGrid w:val="0"/>
        <w:textAlignment w:val="baseline"/>
        <w:outlineLvl w:val="9"/>
        <w:rPr>
          <w:rFonts w:ascii="仿宋" w:hAnsi="仿宋" w:eastAsia="仿宋" w:cs="仿宋"/>
          <w:color w:val="000000" w:themeColor="text1"/>
          <w:sz w:val="24"/>
          <w:highlight w:val="none"/>
          <w:lang w:eastAsia="zh-CN"/>
          <w14:textFill>
            <w14:solidFill>
              <w14:schemeClr w14:val="tx1"/>
            </w14:solidFill>
          </w14:textFill>
        </w:rPr>
      </w:pPr>
    </w:p>
    <w:bookmarkEnd w:id="94"/>
    <w:bookmarkEnd w:id="95"/>
    <w:bookmarkEnd w:id="96"/>
    <w:p>
      <w:pPr>
        <w:tabs>
          <w:tab w:val="center" w:pos="4153"/>
          <w:tab w:val="right" w:pos="8306"/>
        </w:tabs>
        <w:snapToGrid w:val="0"/>
        <w:spacing w:line="440" w:lineRule="exact"/>
        <w:ind w:firstLine="480" w:firstLineChars="200"/>
        <w:rPr>
          <w:rFonts w:hint="default"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br w:type="page"/>
      </w:r>
      <w:bookmarkEnd w:id="90"/>
      <w:bookmarkEnd w:id="91"/>
    </w:p>
    <w:p>
      <w:pPr>
        <w:pStyle w:val="2"/>
        <w:spacing w:before="0" w:after="0" w:line="579" w:lineRule="exact"/>
        <w:ind w:firstLine="0" w:firstLineChars="0"/>
        <w:rPr>
          <w:rFonts w:hint="default" w:ascii="仿宋" w:hAnsi="仿宋" w:eastAsia="仿宋" w:cs="仿宋"/>
          <w:color w:val="000000" w:themeColor="text1"/>
          <w:highlight w:val="none"/>
          <w:lang w:eastAsia="zh-CN"/>
          <w14:textFill>
            <w14:solidFill>
              <w14:schemeClr w14:val="tx1"/>
            </w14:solidFill>
          </w14:textFill>
        </w:rPr>
      </w:pPr>
      <w:bookmarkStart w:id="97" w:name="_Toc3554"/>
      <w:bookmarkStart w:id="98" w:name="_Toc20446"/>
      <w:bookmarkStart w:id="99" w:name="_Toc24213"/>
      <w:bookmarkStart w:id="100" w:name="_Toc24536"/>
      <w:bookmarkStart w:id="101" w:name="_Toc25663"/>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第二部分</w:t>
      </w:r>
      <w:r>
        <w:rPr>
          <w:rFonts w:hint="eastAsia" w:ascii="仿宋" w:hAnsi="仿宋" w:eastAsia="仿宋" w:cs="仿宋"/>
          <w:color w:val="000000" w:themeColor="text1"/>
          <w:highlight w:val="none"/>
          <w:lang w:eastAsia="zh-CN"/>
          <w14:textFill>
            <w14:solidFill>
              <w14:schemeClr w14:val="tx1"/>
            </w14:solidFill>
          </w14:textFill>
        </w:rPr>
        <w:t>）</w:t>
      </w:r>
      <w:r>
        <w:rPr>
          <w:rFonts w:ascii="仿宋" w:hAnsi="仿宋" w:eastAsia="仿宋" w:cs="仿宋"/>
          <w:color w:val="000000" w:themeColor="text1"/>
          <w:highlight w:val="none"/>
          <w:lang w:eastAsia="zh-CN"/>
          <w14:textFill>
            <w14:solidFill>
              <w14:schemeClr w14:val="tx1"/>
            </w14:solidFill>
          </w14:textFill>
        </w:rPr>
        <w:t>报价文件</w:t>
      </w:r>
      <w:bookmarkEnd w:id="97"/>
      <w:bookmarkEnd w:id="98"/>
      <w:bookmarkEnd w:id="99"/>
      <w:bookmarkEnd w:id="100"/>
      <w:bookmarkEnd w:id="101"/>
    </w:p>
    <w:p>
      <w:pPr>
        <w:snapToGrid w:val="0"/>
        <w:spacing w:line="360" w:lineRule="auto"/>
        <w:jc w:val="center"/>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一、报价一览表</w:t>
      </w:r>
    </w:p>
    <w:tbl>
      <w:tblPr>
        <w:tblStyle w:val="25"/>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名称</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项目编号:</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475"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c>
          <w:tcPr>
            <w:tcW w:w="1365"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3458"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tcBorders>
              <w:bottom w:val="single" w:color="auto" w:sz="4" w:space="0"/>
            </w:tcBorders>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法人授权代表</w:t>
            </w:r>
          </w:p>
        </w:tc>
        <w:tc>
          <w:tcPr>
            <w:tcW w:w="2475"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c>
          <w:tcPr>
            <w:tcW w:w="1365"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3458"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w:t>
            </w:r>
          </w:p>
          <w:p>
            <w:pPr>
              <w:snapToGrid w:val="0"/>
              <w:spacing w:line="360" w:lineRule="auto"/>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报价</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￥：（元）</w:t>
            </w:r>
          </w:p>
          <w:p>
            <w:pPr>
              <w:snapToGrid w:val="0"/>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合同履行期限</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rFonts w:ascii="仿宋" w:hAnsi="仿宋" w:eastAsia="仿宋" w:cs="仿宋"/>
                <w:color w:val="000000" w:themeColor="text1"/>
                <w:sz w:val="24"/>
                <w:highlight w:val="none"/>
                <w14:textFill>
                  <w14:solidFill>
                    <w14:schemeClr w14:val="tx1"/>
                  </w14:solidFill>
                </w14:textFill>
              </w:rPr>
            </w:pPr>
          </w:p>
        </w:tc>
      </w:tr>
    </w:tbl>
    <w:p>
      <w:pPr>
        <w:snapToGrid w:val="0"/>
        <w:spacing w:line="480" w:lineRule="auto"/>
        <w:ind w:right="110" w:rightChars="50"/>
        <w:rPr>
          <w:rFonts w:hint="eastAsia" w:ascii="仿宋" w:hAnsi="仿宋" w:eastAsia="仿宋" w:cs="仿宋"/>
          <w:color w:val="000000" w:themeColor="text1"/>
          <w:sz w:val="24"/>
          <w:szCs w:val="24"/>
          <w:highlight w:val="none"/>
          <w:lang w:eastAsia="zh-CN"/>
          <w14:textFill>
            <w14:solidFill>
              <w14:schemeClr w14:val="tx1"/>
            </w14:solidFill>
          </w14:textFill>
        </w:rPr>
      </w:pPr>
    </w:p>
    <w:p>
      <w:pPr>
        <w:snapToGrid w:val="0"/>
        <w:spacing w:line="480" w:lineRule="auto"/>
        <w:ind w:right="110" w:right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（盖章）：</w:t>
      </w:r>
    </w:p>
    <w:p>
      <w:pPr>
        <w:snapToGrid w:val="0"/>
        <w:spacing w:line="480" w:lineRule="auto"/>
        <w:ind w:right="110" w:right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法定代表人（盖章）：</w:t>
      </w:r>
    </w:p>
    <w:p>
      <w:pPr>
        <w:snapToGrid w:val="0"/>
        <w:spacing w:line="48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法人授权代表</w:t>
      </w:r>
      <w:r>
        <w:rPr>
          <w:rFonts w:hint="eastAsia" w:ascii="仿宋" w:hAnsi="仿宋" w:eastAsia="仿宋" w:cs="仿宋"/>
          <w:color w:val="000000" w:themeColor="text1"/>
          <w:sz w:val="24"/>
          <w:szCs w:val="24"/>
          <w:highlight w:val="none"/>
          <w:lang w:eastAsia="zh-CN"/>
          <w14:textFill>
            <w14:solidFill>
              <w14:schemeClr w14:val="tx1"/>
            </w14:solidFill>
          </w14:textFill>
        </w:rPr>
        <w:t>（签字）：</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注：</w:t>
      </w:r>
    </w:p>
    <w:p>
      <w:pPr>
        <w:snapToGrid w:val="0"/>
        <w:spacing w:line="360" w:lineRule="auto"/>
        <w:rPr>
          <w:rFonts w:ascii="仿宋" w:hAnsi="仿宋" w:eastAsia="仿宋" w:cs="仿宋"/>
          <w:b/>
          <w:color w:val="000000" w:themeColor="text1"/>
          <w:sz w:val="28"/>
          <w:szCs w:val="28"/>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ascii="仿宋" w:hAnsi="仿宋" w:eastAsia="仿宋" w:cs="仿宋"/>
          <w:b/>
          <w:color w:val="000000" w:themeColor="text1"/>
          <w:sz w:val="28"/>
          <w:szCs w:val="28"/>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highlight w:val="none"/>
          <w:lang w:eastAsia="zh-CN"/>
        </w:rPr>
      </w:pPr>
    </w:p>
    <w:p>
      <w:pPr>
        <w:keepNext/>
        <w:keepLines/>
        <w:pageBreakBefore w:val="0"/>
        <w:widowControl/>
        <w:kinsoku/>
        <w:wordWrap/>
        <w:overflowPunct/>
        <w:topLinePunct w:val="0"/>
        <w:autoSpaceDE/>
        <w:autoSpaceDN/>
        <w:bidi w:val="0"/>
        <w:adjustRightInd/>
        <w:snapToGrid/>
        <w:textAlignment w:val="baseline"/>
        <w:outlineLvl w:val="9"/>
        <w:rPr>
          <w:rFonts w:ascii="仿宋" w:hAnsi="仿宋" w:eastAsia="仿宋" w:cs="仿宋"/>
          <w:b/>
          <w:color w:val="000000" w:themeColor="text1"/>
          <w:sz w:val="28"/>
          <w:szCs w:val="28"/>
          <w:highlight w:val="none"/>
          <w:lang w:eastAsia="zh-CN"/>
          <w14:textFill>
            <w14:solidFill>
              <w14:schemeClr w14:val="tx1"/>
            </w14:solidFill>
          </w14:textFill>
        </w:rPr>
      </w:pPr>
    </w:p>
    <w:p>
      <w:pPr>
        <w:keepNext/>
        <w:keepLines/>
        <w:pageBreakBefore w:val="0"/>
        <w:widowControl/>
        <w:kinsoku/>
        <w:wordWrap/>
        <w:overflowPunct/>
        <w:topLinePunct w:val="0"/>
        <w:autoSpaceDE/>
        <w:autoSpaceDN/>
        <w:bidi w:val="0"/>
        <w:adjustRightInd/>
        <w:snapToGrid/>
        <w:textAlignment w:val="baseline"/>
        <w:outlineLvl w:val="9"/>
        <w:rPr>
          <w:highlight w:val="none"/>
          <w:lang w:eastAsia="zh-CN"/>
        </w:rPr>
      </w:pPr>
    </w:p>
    <w:p>
      <w:pPr>
        <w:pageBreakBefore w:val="0"/>
        <w:widowControl/>
        <w:kinsoku/>
        <w:wordWrap/>
        <w:overflowPunct/>
        <w:topLinePunct w:val="0"/>
        <w:autoSpaceDE/>
        <w:autoSpaceDN/>
        <w:bidi w:val="0"/>
        <w:adjustRightInd/>
        <w:snapToGrid/>
        <w:textAlignment w:val="baseline"/>
        <w:outlineLvl w:val="9"/>
        <w:rPr>
          <w:rFonts w:ascii="仿宋" w:hAnsi="仿宋" w:eastAsia="仿宋" w:cs="仿宋"/>
          <w:b/>
          <w:color w:val="000000" w:themeColor="text1"/>
          <w:sz w:val="28"/>
          <w:szCs w:val="28"/>
          <w:highlight w:val="none"/>
          <w:lang w:eastAsia="zh-CN"/>
          <w14:textFill>
            <w14:solidFill>
              <w14:schemeClr w14:val="tx1"/>
            </w14:solidFill>
          </w14:textFill>
        </w:rPr>
      </w:pPr>
    </w:p>
    <w:p>
      <w:pPr>
        <w:snapToGrid w:val="0"/>
        <w:spacing w:line="360" w:lineRule="auto"/>
        <w:jc w:val="center"/>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二、报价明细表</w:t>
      </w:r>
    </w:p>
    <w:p>
      <w:pPr>
        <w:snapToGrid w:val="0"/>
        <w:spacing w:line="360" w:lineRule="auto"/>
        <w:rPr>
          <w:rFonts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供应商名称：</w:t>
      </w:r>
    </w:p>
    <w:p>
      <w:pPr>
        <w:snapToGrid w:val="0"/>
        <w:spacing w:line="360" w:lineRule="auto"/>
        <w:rPr>
          <w:rFonts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单位：元</w:t>
      </w:r>
    </w:p>
    <w:tbl>
      <w:tblPr>
        <w:tblStyle w:val="26"/>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内容</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综合单价</w:t>
            </w: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税费</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投标总报价</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val="0"/>
        <w:spacing w:line="240" w:lineRule="auto"/>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注：此表中的投标总报价必须与“报价一览表”中的“投标总报价”一致。</w:t>
      </w:r>
    </w:p>
    <w:p>
      <w:pPr>
        <w:keepNext/>
        <w:keepLines/>
        <w:pageBreakBefore w:val="0"/>
        <w:widowControl/>
        <w:kinsoku/>
        <w:wordWrap/>
        <w:overflowPunct/>
        <w:topLinePunct w:val="0"/>
        <w:autoSpaceDE/>
        <w:autoSpaceDN/>
        <w:bidi w:val="0"/>
        <w:adjustRightInd/>
        <w:snapToGrid/>
        <w:textAlignment w:val="baseline"/>
        <w:outlineLvl w:val="9"/>
        <w:rPr>
          <w:highlight w:val="none"/>
          <w:lang w:eastAsia="zh-CN"/>
        </w:rPr>
      </w:pP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供应商（盖章）：</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法定代表人（盖章）：</w:t>
      </w:r>
    </w:p>
    <w:p>
      <w:pPr>
        <w:pageBreakBefore w:val="0"/>
        <w:widowControl/>
        <w:kinsoku/>
        <w:wordWrap/>
        <w:overflowPunct/>
        <w:topLinePunct w:val="0"/>
        <w:autoSpaceDE/>
        <w:autoSpaceDN/>
        <w:bidi w:val="0"/>
        <w:adjustRightInd/>
        <w:snapToGrid w:val="0"/>
        <w:spacing w:line="720" w:lineRule="auto"/>
        <w:ind w:right="110" w:rightChars="50"/>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法人授权代表</w:t>
      </w:r>
      <w:r>
        <w:rPr>
          <w:rFonts w:hint="eastAsia" w:ascii="仿宋" w:hAnsi="仿宋" w:eastAsia="仿宋" w:cs="仿宋"/>
          <w:color w:val="000000" w:themeColor="text1"/>
          <w:sz w:val="24"/>
          <w:szCs w:val="24"/>
          <w:highlight w:val="none"/>
          <w:lang w:eastAsia="zh-CN"/>
          <w14:textFill>
            <w14:solidFill>
              <w14:schemeClr w14:val="tx1"/>
            </w14:solidFill>
          </w14:textFill>
        </w:rPr>
        <w:t>（签字）：</w:t>
      </w: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pPr>
        <w:pStyle w:val="2"/>
        <w:spacing w:before="0" w:after="0" w:line="579" w:lineRule="exact"/>
        <w:ind w:firstLine="0" w:firstLineChars="0"/>
        <w:rPr>
          <w:rFonts w:hint="default" w:ascii="仿宋" w:hAnsi="仿宋" w:eastAsia="仿宋" w:cs="仿宋"/>
          <w:color w:val="000000" w:themeColor="text1"/>
          <w:highlight w:val="none"/>
          <w:lang w:eastAsia="zh-CN"/>
          <w14:textFill>
            <w14:solidFill>
              <w14:schemeClr w14:val="tx1"/>
            </w14:solidFill>
          </w14:textFill>
        </w:rPr>
      </w:pPr>
      <w:bookmarkStart w:id="102" w:name="_Toc12799"/>
      <w:bookmarkStart w:id="103" w:name="_Toc15438"/>
      <w:bookmarkStart w:id="104" w:name="_Toc27460"/>
      <w:bookmarkStart w:id="105" w:name="_Toc8252"/>
      <w:bookmarkStart w:id="106" w:name="_Toc7203"/>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第三部分</w:t>
      </w:r>
      <w:r>
        <w:rPr>
          <w:rFonts w:hint="eastAsia" w:ascii="仿宋" w:hAnsi="仿宋" w:eastAsia="仿宋" w:cs="仿宋"/>
          <w:color w:val="000000" w:themeColor="text1"/>
          <w:highlight w:val="none"/>
          <w:lang w:eastAsia="zh-CN"/>
          <w14:textFill>
            <w14:solidFill>
              <w14:schemeClr w14:val="tx1"/>
            </w14:solidFill>
          </w14:textFill>
        </w:rPr>
        <w:t>）</w:t>
      </w:r>
      <w:r>
        <w:rPr>
          <w:rFonts w:ascii="仿宋" w:hAnsi="仿宋" w:eastAsia="仿宋" w:cs="仿宋"/>
          <w:color w:val="000000" w:themeColor="text1"/>
          <w:highlight w:val="none"/>
          <w:lang w:eastAsia="zh-CN"/>
          <w14:textFill>
            <w14:solidFill>
              <w14:schemeClr w14:val="tx1"/>
            </w14:solidFill>
          </w14:textFill>
        </w:rPr>
        <w:t>商务及技术部分</w:t>
      </w:r>
      <w:bookmarkEnd w:id="102"/>
      <w:bookmarkEnd w:id="103"/>
      <w:bookmarkEnd w:id="104"/>
      <w:bookmarkEnd w:id="105"/>
      <w:bookmarkEnd w:id="106"/>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磋商响应文件按下列顺序排列和装订磋商响应文件：（未提供格式的内容自拟）</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ascii="仿宋" w:hAnsi="仿宋" w:eastAsia="仿宋" w:cs="仿宋"/>
          <w:b w:val="0"/>
          <w:bCs/>
          <w:color w:val="000000" w:themeColor="text1"/>
          <w:sz w:val="24"/>
          <w:szCs w:val="20"/>
          <w:highlight w:val="none"/>
          <w:lang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（一）投标函</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ascii="仿宋" w:hAnsi="仿宋" w:eastAsia="仿宋" w:cs="仿宋"/>
          <w:b w:val="0"/>
          <w:bCs/>
          <w:color w:val="000000" w:themeColor="text1"/>
          <w:sz w:val="24"/>
          <w:szCs w:val="20"/>
          <w:highlight w:val="none"/>
          <w:lang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（二）法定代表人诚信投标承诺书</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ascii="仿宋" w:hAnsi="仿宋" w:eastAsia="仿宋" w:cs="仿宋"/>
          <w:b w:val="0"/>
          <w:bCs/>
          <w:color w:val="000000" w:themeColor="text1"/>
          <w:sz w:val="24"/>
          <w:szCs w:val="20"/>
          <w:highlight w:val="none"/>
          <w:lang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三</w:t>
      </w: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）磋商保证金</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ascii="仿宋" w:hAnsi="仿宋" w:eastAsia="仿宋" w:cs="仿宋"/>
          <w:b w:val="0"/>
          <w:bCs/>
          <w:color w:val="000000" w:themeColor="text1"/>
          <w:sz w:val="24"/>
          <w:szCs w:val="20"/>
          <w:highlight w:val="none"/>
          <w:lang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四</w:t>
      </w: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企业</w:t>
      </w: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业绩一览表</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default"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（五）项目团队成员一览表</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六</w:t>
      </w: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对本项目的理解与认识</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default"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（七）组织架构方案</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default"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八</w:t>
      </w: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总体实施方案</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default"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（九）展馆设计搭建方案</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default"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（十）质量保证措施</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（十一）工作进度控制措施</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（十二）应急预备方案</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default"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（十三）配套服务措施</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default"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（十四）商务条款偏离表</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（十</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五</w:t>
      </w: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技术（服务）</w:t>
      </w: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条款偏离表</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default"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（十</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六</w:t>
      </w: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供应商企业类型声明函</w:t>
      </w:r>
    </w:p>
    <w:p>
      <w:pPr>
        <w:keepNext w:val="0"/>
        <w:keepLines w:val="0"/>
        <w:pageBreakBefore w:val="0"/>
        <w:widowControl/>
        <w:kinsoku/>
        <w:wordWrap/>
        <w:overflowPunct/>
        <w:topLinePunct w:val="0"/>
        <w:autoSpaceDE/>
        <w:autoSpaceDN/>
        <w:bidi w:val="0"/>
        <w:adjustRightInd/>
        <w:snapToGrid/>
        <w:spacing w:line="579" w:lineRule="exact"/>
        <w:jc w:val="left"/>
        <w:textAlignment w:val="baseline"/>
        <w:outlineLvl w:val="9"/>
        <w:rPr>
          <w:rFonts w:hint="default" w:ascii="仿宋" w:hAnsi="仿宋" w:eastAsia="仿宋" w:cs="仿宋"/>
          <w:b w:val="0"/>
          <w:bCs/>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（十</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七</w:t>
      </w:r>
      <w:r>
        <w:rPr>
          <w:rFonts w:hint="eastAsia" w:ascii="仿宋" w:hAnsi="仿宋" w:eastAsia="仿宋" w:cs="仿宋"/>
          <w:b w:val="0"/>
          <w:bCs/>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val="0"/>
          <w:bCs/>
          <w:color w:val="000000" w:themeColor="text1"/>
          <w:sz w:val="24"/>
          <w:szCs w:val="20"/>
          <w:highlight w:val="none"/>
          <w:lang w:val="en-US" w:eastAsia="zh-CN" w:bidi="ar"/>
          <w14:textFill>
            <w14:solidFill>
              <w14:schemeClr w14:val="tx1"/>
            </w14:solidFill>
          </w14:textFill>
        </w:rPr>
        <w:t>供应商认为有必要提交的其他材料</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p>
    <w:p>
      <w:pPr>
        <w:pStyle w:val="13"/>
        <w:spacing w:line="579" w:lineRule="exact"/>
        <w:ind w:left="0" w:leftChars="0" w:firstLine="552" w:firstLineChars="250"/>
        <w:rPr>
          <w:rFonts w:ascii="仿宋" w:hAnsi="仿宋" w:eastAsia="仿宋" w:cs="仿宋"/>
          <w:b/>
          <w:bCs/>
          <w:color w:val="000000" w:themeColor="text1"/>
          <w:highlight w:val="none"/>
          <w:lang w:eastAsia="zh-CN"/>
          <w14:textFill>
            <w14:solidFill>
              <w14:schemeClr w14:val="tx1"/>
            </w14:solidFill>
          </w14:textFill>
        </w:rPr>
        <w:sectPr>
          <w:footerReference r:id="rId5" w:type="default"/>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b/>
          <w:bCs/>
          <w:color w:val="000000" w:themeColor="text1"/>
          <w:highlight w:val="none"/>
          <w:lang w:eastAsia="zh-CN"/>
          <w14:textFill>
            <w14:solidFill>
              <w14:schemeClr w14:val="tx1"/>
            </w14:solidFill>
          </w14:textFill>
        </w:rPr>
        <w:t>供应商提供的以上材料必须真实有效，需要年检的证书必须有年检记录，所有文件均须加盖单位公章，任何一项的虚假或提交的磋商响应文件资料不全，或未对磋商文件做出实质性响应，将可能导致磋商响应文件被拒绝接受。</w:t>
      </w: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07" w:name="_Toc3891649"/>
      <w:bookmarkStart w:id="108" w:name="_Toc1719149"/>
      <w:bookmarkStart w:id="109" w:name="_Toc22554402"/>
      <w:bookmarkStart w:id="110" w:name="_Toc27883"/>
      <w:bookmarkStart w:id="111" w:name="_Toc4882"/>
      <w:bookmarkStart w:id="112" w:name="_Toc30846"/>
      <w:bookmarkStart w:id="113" w:name="_Toc29089"/>
      <w:bookmarkStart w:id="114" w:name="_Toc21594"/>
      <w:r>
        <w:rPr>
          <w:rFonts w:hint="eastAsia" w:ascii="仿宋" w:hAnsi="仿宋" w:eastAsia="仿宋" w:cs="仿宋"/>
          <w:b/>
          <w:color w:val="000000" w:themeColor="text1"/>
          <w:sz w:val="24"/>
          <w:szCs w:val="20"/>
          <w:highlight w:val="none"/>
          <w:lang w:eastAsia="zh-CN" w:bidi="ar"/>
          <w14:textFill>
            <w14:solidFill>
              <w14:schemeClr w14:val="tx1"/>
            </w14:solidFill>
          </w14:textFill>
        </w:rPr>
        <w:t>（一）</w:t>
      </w:r>
      <w:bookmarkEnd w:id="107"/>
      <w:bookmarkEnd w:id="108"/>
      <w:bookmarkEnd w:id="109"/>
      <w:r>
        <w:rPr>
          <w:rFonts w:hint="eastAsia" w:ascii="仿宋" w:hAnsi="仿宋" w:eastAsia="仿宋" w:cs="仿宋"/>
          <w:b/>
          <w:color w:val="000000" w:themeColor="text1"/>
          <w:sz w:val="24"/>
          <w:szCs w:val="20"/>
          <w:highlight w:val="none"/>
          <w:lang w:eastAsia="zh-CN" w:bidi="ar"/>
          <w14:textFill>
            <w14:solidFill>
              <w14:schemeClr w14:val="tx1"/>
            </w14:solidFill>
          </w14:textFill>
        </w:rPr>
        <w:t>投标函</w:t>
      </w:r>
      <w:bookmarkEnd w:id="110"/>
      <w:bookmarkEnd w:id="111"/>
      <w:bookmarkEnd w:id="112"/>
      <w:bookmarkEnd w:id="113"/>
      <w:bookmarkEnd w:id="114"/>
    </w:p>
    <w:p>
      <w:pPr>
        <w:spacing w:line="400" w:lineRule="exact"/>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新疆君凯杰工程项目管理有限公司：</w:t>
      </w:r>
    </w:p>
    <w:p>
      <w:pPr>
        <w:spacing w:line="400" w:lineRule="exact"/>
        <w:ind w:firstLine="496" w:firstLineChars="200"/>
        <w:rPr>
          <w:rFonts w:ascii="仿宋" w:hAnsi="仿宋" w:eastAsia="仿宋" w:cs="仿宋"/>
          <w:bCs/>
          <w:color w:val="000000" w:themeColor="text1"/>
          <w:spacing w:val="4"/>
          <w:sz w:val="24"/>
          <w:highlight w:val="none"/>
          <w:u w:val="singl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我们收到你们</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highlight w:val="none"/>
          <w:lang w:eastAsia="zh-CN"/>
          <w14:textFill>
            <w14:solidFill>
              <w14:schemeClr w14:val="tx1"/>
            </w14:solidFill>
          </w14:textFill>
        </w:rPr>
        <w:t>号</w:t>
      </w:r>
      <w:r>
        <w:rPr>
          <w:rFonts w:hint="eastAsia" w:ascii="仿宋" w:hAnsi="仿宋" w:eastAsia="仿宋" w:cs="仿宋"/>
          <w:bCs/>
          <w:color w:val="000000" w:themeColor="text1"/>
          <w:spacing w:val="4"/>
          <w:sz w:val="24"/>
          <w:highlight w:val="none"/>
          <w:u w:val="single"/>
          <w:lang w:eastAsia="zh-CN"/>
          <w14:textFill>
            <w14:solidFill>
              <w14:schemeClr w14:val="tx1"/>
            </w14:solidFill>
          </w14:textFill>
        </w:rPr>
        <w:t>新疆组团参展第二届中国（武汉）文化旅游博览会项目</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第</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w:t>
      </w:r>
      <w:r>
        <w:rPr>
          <w:rFonts w:hint="eastAsia" w:ascii="仿宋" w:hAnsi="仿宋" w:eastAsia="仿宋" w:cs="仿宋"/>
          <w:color w:val="000000" w:themeColor="text1"/>
          <w:spacing w:val="4"/>
          <w:sz w:val="24"/>
          <w:highlight w:val="none"/>
          <w:lang w:eastAsia="zh-CN"/>
          <w14:textFill>
            <w14:solidFill>
              <w14:schemeClr w14:val="tx1"/>
            </w14:solidFill>
          </w14:textFill>
        </w:rPr>
        <w:t>包磋商文件，经仔细阅读和研究，我们决定参加投标。</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bookmarkStart w:id="115" w:name="_Toc15871_WPSOffice_Level1"/>
      <w:r>
        <w:rPr>
          <w:rFonts w:hint="eastAsia" w:ascii="仿宋" w:hAnsi="仿宋" w:eastAsia="仿宋" w:cs="仿宋"/>
          <w:color w:val="000000" w:themeColor="text1"/>
          <w:spacing w:val="4"/>
          <w:sz w:val="24"/>
          <w:highlight w:val="none"/>
          <w:lang w:eastAsia="zh-CN"/>
          <w14:textFill>
            <w14:solidFill>
              <w14:schemeClr w14:val="tx1"/>
            </w14:solidFill>
          </w14:textFill>
        </w:rPr>
        <w:t>l、愿意按照磋商文件的一切要求，提供以上服务。</w:t>
      </w:r>
      <w:bookmarkEnd w:id="115"/>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2、如果我们的响应文件被接受，我们将严格履行磋商文件中规定的每一项要求，按期、按质、按量履行服务义务。</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3、供应商已详细阅读并理解了磋商文件的全部，包括修改文件(如有的话)。我们完全理解并同意放弃对这方面有不明及误解的权利。</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4、我们同意按磋商文件中的规定，本响应文件的有效期限为开标后</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90  </w:t>
      </w:r>
      <w:r>
        <w:rPr>
          <w:rFonts w:hint="eastAsia" w:ascii="仿宋" w:hAnsi="仿宋" w:eastAsia="仿宋" w:cs="仿宋"/>
          <w:color w:val="000000" w:themeColor="text1"/>
          <w:spacing w:val="4"/>
          <w:sz w:val="24"/>
          <w:highlight w:val="none"/>
          <w:lang w:eastAsia="zh-CN"/>
          <w14:textFill>
            <w14:solidFill>
              <w14:schemeClr w14:val="tx1"/>
            </w14:solidFill>
          </w14:textFill>
        </w:rPr>
        <w:t>天。</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5、我们愿意提供采购人在磋商文件中要求的所有资料。</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6、我们认为你们有权决定成交供应商，还认为你们有权接受或拒绝所有的供应商成交。</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7、我方愿意遵守磋商文件中所列的收费标准。</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8、在规定的磋商时间后，如果在磋商有效期内撤回投标，同意磋商保证金将被贵方没收。</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9、供应商同意提供按照贵方可能要求的与其投标有关的一切数据或资料，完全理解贵方不一定接受最低价的投标或收到的任何投标的约定。</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10、我方在响应文件中所作的承诺在开标后保持有效，不作任何更改和变动。</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11、我们愿意按磋商文件的规定交纳</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highlight w:val="none"/>
          <w:u w:val="single"/>
          <w:lang w:val="en-US" w:eastAsia="zh-CN"/>
          <w14:textFill>
            <w14:solidFill>
              <w14:schemeClr w14:val="tx1"/>
            </w14:solidFill>
          </w14:textFill>
        </w:rPr>
        <w:t>10000</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元</w:t>
      </w:r>
      <w:r>
        <w:rPr>
          <w:rFonts w:hint="eastAsia" w:ascii="仿宋" w:hAnsi="仿宋" w:eastAsia="仿宋" w:cs="仿宋"/>
          <w:color w:val="000000" w:themeColor="text1"/>
          <w:spacing w:val="4"/>
          <w:sz w:val="24"/>
          <w:highlight w:val="none"/>
          <w:lang w:eastAsia="zh-CN"/>
          <w14:textFill>
            <w14:solidFill>
              <w14:schemeClr w14:val="tx1"/>
            </w14:solidFill>
          </w14:textFill>
        </w:rPr>
        <w:t>的磋商保证金。</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12、若我方获得成交，我方保证按有关规定向贵方支付招标服务费。我方承诺接受磋商文件及澄清修改部分（如有）的全部条款（包括响应文件递交截止时间、保证金、资格评审条件、成交标准以及采购需求等其他所有条款）且无任何异议，现向贵公司提出承诺报价。</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所有有关标书的函电，请按下列地址联系：</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    单  位：                 邮编：             传真：</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    联系人：                 地址：             电话：</w:t>
      </w:r>
    </w:p>
    <w:p>
      <w:pPr>
        <w:spacing w:line="400"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hint="eastAsia" w:ascii="仿宋" w:hAnsi="仿宋" w:eastAsia="仿宋" w:cs="仿宋"/>
          <w:b/>
          <w:color w:val="000000" w:themeColor="text1"/>
          <w:sz w:val="24"/>
          <w:szCs w:val="20"/>
          <w:highlight w:val="none"/>
          <w:lang w:eastAsia="zh-CN" w:bidi="ar"/>
          <w14:textFill>
            <w14:solidFill>
              <w14:schemeClr w14:val="tx1"/>
            </w14:solidFill>
          </w14:textFill>
        </w:rPr>
      </w:pPr>
      <w:bookmarkStart w:id="116" w:name="_Toc22554406"/>
      <w:bookmarkStart w:id="117" w:name="_Toc1719152"/>
      <w:bookmarkStart w:id="118" w:name="_Toc3891652"/>
    </w:p>
    <w:p>
      <w:pPr>
        <w:pStyle w:val="10"/>
        <w:rPr>
          <w:rFonts w:hint="eastAsia"/>
          <w:highlight w:val="none"/>
          <w:lang w:eastAsia="zh-CN"/>
        </w:rPr>
      </w:pP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19" w:name="_Toc23045"/>
      <w:bookmarkStart w:id="120" w:name="_Toc27095"/>
      <w:bookmarkStart w:id="121" w:name="_Toc22987"/>
      <w:bookmarkStart w:id="122" w:name="_Toc32192"/>
      <w:bookmarkStart w:id="123" w:name="_Toc13658"/>
      <w:r>
        <w:rPr>
          <w:rFonts w:hint="eastAsia" w:ascii="仿宋" w:hAnsi="仿宋" w:eastAsia="仿宋" w:cs="仿宋"/>
          <w:b/>
          <w:color w:val="000000" w:themeColor="text1"/>
          <w:sz w:val="24"/>
          <w:szCs w:val="20"/>
          <w:highlight w:val="none"/>
          <w:lang w:eastAsia="zh-CN" w:bidi="ar"/>
          <w14:textFill>
            <w14:solidFill>
              <w14:schemeClr w14:val="tx1"/>
            </w14:solidFill>
          </w14:textFill>
        </w:rPr>
        <w:t>（二）法定代表人诚信投标承诺书</w:t>
      </w:r>
      <w:bookmarkEnd w:id="119"/>
      <w:bookmarkEnd w:id="120"/>
      <w:bookmarkEnd w:id="121"/>
      <w:bookmarkEnd w:id="122"/>
      <w:bookmarkEnd w:id="123"/>
    </w:p>
    <w:p>
      <w:pPr>
        <w:pStyle w:val="56"/>
        <w:ind w:firstLine="0" w:firstLineChars="0"/>
        <w:rPr>
          <w:rFonts w:hint="default" w:ascii="仿宋" w:hAnsi="仿宋" w:eastAsia="仿宋" w:cs="仿宋"/>
          <w:b/>
          <w:color w:val="000000" w:themeColor="text1"/>
          <w:szCs w:val="24"/>
          <w:highlight w:val="none"/>
          <w:lang w:eastAsia="zh-CN"/>
          <w14:textFill>
            <w14:solidFill>
              <w14:schemeClr w14:val="tx1"/>
            </w14:solidFill>
          </w14:textFill>
        </w:rPr>
      </w:pPr>
      <w:r>
        <w:rPr>
          <w:rFonts w:ascii="仿宋" w:hAnsi="仿宋" w:eastAsia="仿宋" w:cs="仿宋"/>
          <w:b/>
          <w:color w:val="000000" w:themeColor="text1"/>
          <w:szCs w:val="24"/>
          <w:highlight w:val="none"/>
          <w:lang w:eastAsia="zh-CN"/>
          <w14:textFill>
            <w14:solidFill>
              <w14:schemeClr w14:val="tx1"/>
            </w14:solidFill>
          </w14:textFill>
        </w:rPr>
        <w:t>本人以企业法定代表人的身份郑重承诺：</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将遵循公开、公平、公正和诚信信用的原则参加（</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项目、招标编号  </w:t>
      </w:r>
      <w:r>
        <w:rPr>
          <w:rFonts w:hint="eastAsia" w:ascii="仿宋" w:hAnsi="仿宋" w:eastAsia="仿宋" w:cs="仿宋"/>
          <w:color w:val="000000" w:themeColor="text1"/>
          <w:spacing w:val="4"/>
          <w:sz w:val="24"/>
          <w:highlight w:val="none"/>
          <w:lang w:eastAsia="zh-CN"/>
          <w14:textFill>
            <w14:solidFill>
              <w14:schemeClr w14:val="tx1"/>
            </w14:solidFill>
          </w14:textFill>
        </w:rPr>
        <w:t>）的投标；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一、杜绝以收取管理费等形式的一切挂靠、违法转包、分包行为；并选派有丰富经验、无不良行为记录的在项目管理人员、技术人员，严格按磋商文件及合同等要求保证拟派人员的到岗率。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二、磋商文件所提供的一切材料都是真实、有效、合法的。</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三、不与其他供应商相互串通磋商响应报价，不排挤其他供应商的公平竞争，不损害采购人或其他供应商的合法权益。</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四、不与采购人或采购机构串通投标，不损害国家利益，社会公共利益或其他人的合法权益。</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五、不向采购人或者评标委员会成员行贿以牟取中标。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六、不以其他人名义投标或者以其他方式弄虚作假，骗取中标。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七、不在开标后进行虚假恶意投诉。</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八、我单位没有被政府机关列入失信被执行人名单、重大税收违法案件当事人名单、政府采购严重违法失信行为记录名单及其他不符合《中华人民共和国政府采购法》第二十二条规定条件的情形。</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九、没有被财政部门限制参加政府采购活动或曾被财政部门限制参加政府采购活动但已不在限制期内。    </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十、参与本项目政府采购活动3年内没有重大违法记录情况。</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本公司若有违反本承诺内容的行为，愿意承担法律责任，包括不限于：愿意接受相关行政主管部门作出的处罚；给采购人造成损失的，依法承担相应的赔偿责任。</w:t>
      </w:r>
    </w:p>
    <w:p>
      <w:pPr>
        <w:snapToGrid w:val="0"/>
        <w:spacing w:line="470" w:lineRule="exact"/>
        <w:rPr>
          <w:rFonts w:ascii="仿宋" w:hAnsi="仿宋" w:eastAsia="仿宋" w:cs="仿宋"/>
          <w:b/>
          <w:color w:val="000000" w:themeColor="text1"/>
          <w:sz w:val="24"/>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outlineLvl w:val="2"/>
        <w:rPr>
          <w:rFonts w:ascii="仿宋" w:hAnsi="仿宋" w:eastAsia="仿宋" w:cs="仿宋"/>
          <w:b/>
          <w:color w:val="000000" w:themeColor="text1"/>
          <w:sz w:val="24"/>
          <w:szCs w:val="20"/>
          <w:highlight w:val="none"/>
          <w:lang w:eastAsia="zh-CN" w:bidi="ar"/>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p>
    <w:bookmarkEnd w:id="116"/>
    <w:bookmarkEnd w:id="117"/>
    <w:bookmarkEnd w:id="118"/>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24" w:name="_Toc22554398"/>
      <w:bookmarkStart w:id="125" w:name="_Toc1088"/>
      <w:bookmarkStart w:id="126" w:name="_Toc19256"/>
      <w:bookmarkStart w:id="127" w:name="_Toc24967"/>
      <w:bookmarkStart w:id="128" w:name="_Toc3891645"/>
      <w:bookmarkStart w:id="129" w:name="_Toc10927"/>
      <w:bookmarkStart w:id="130" w:name="_Toc27258"/>
      <w:bookmarkStart w:id="131" w:name="_Toc259692661"/>
      <w:bookmarkStart w:id="132" w:name="_Toc1719163"/>
      <w:bookmarkStart w:id="133" w:name="_Toc3891662"/>
      <w:bookmarkStart w:id="134" w:name="_Toc254790914"/>
      <w:bookmarkStart w:id="135" w:name="_Toc22554425"/>
      <w:bookmarkStart w:id="136" w:name="_Toc259692754"/>
      <w:bookmarkStart w:id="137" w:name="_Toc266870446"/>
      <w:bookmarkStart w:id="138" w:name="_Toc266870921"/>
      <w:bookmarkStart w:id="139" w:name="_Toc266868684"/>
      <w:bookmarkStart w:id="140" w:name="_Toc255975021"/>
      <w:bookmarkStart w:id="141" w:name="_Toc258401270"/>
      <w:bookmarkStart w:id="142" w:name="_Toc259520879"/>
      <w:bookmarkStart w:id="143" w:name="_Toc267060465"/>
      <w:bookmarkStart w:id="144" w:name="_Toc267060220"/>
      <w:bookmarkStart w:id="145" w:name="_Toc267060080"/>
      <w:bookmarkStart w:id="146" w:name="_Toc251613844"/>
      <w:bookmarkStart w:id="147" w:name="_Toc192996454"/>
      <w:bookmarkStart w:id="148" w:name="_Toc191802698"/>
      <w:bookmarkStart w:id="149" w:name="_Toc182805225"/>
      <w:bookmarkStart w:id="150" w:name="_Toc160880168"/>
      <w:bookmarkStart w:id="151" w:name="_Toc192996346"/>
      <w:bookmarkStart w:id="152" w:name="_Toc191789337"/>
      <w:bookmarkStart w:id="153" w:name="_Toc235438286"/>
      <w:bookmarkStart w:id="154" w:name="_Toc181436573"/>
      <w:bookmarkStart w:id="155" w:name="_Toc192664161"/>
      <w:bookmarkStart w:id="156" w:name="_Toc235438357"/>
      <w:bookmarkStart w:id="157" w:name="_Toc177985477"/>
      <w:bookmarkStart w:id="158" w:name="_Toc160880537"/>
      <w:bookmarkStart w:id="159" w:name="_Toc170798801"/>
      <w:bookmarkStart w:id="160" w:name="_Toc182372790"/>
      <w:bookmarkStart w:id="161" w:name="_Toc169332957"/>
      <w:bookmarkStart w:id="162" w:name="_Toc193160456"/>
      <w:bookmarkStart w:id="163" w:name="_Toc203355741"/>
      <w:bookmarkStart w:id="164" w:name="_Toc232302127"/>
      <w:bookmarkStart w:id="165" w:name="_Toc236021462"/>
      <w:bookmarkStart w:id="166" w:name="_Toc249325725"/>
      <w:bookmarkStart w:id="167" w:name="_Toc169332846"/>
      <w:bookmarkStart w:id="168" w:name="_Toc192663843"/>
      <w:bookmarkStart w:id="169" w:name="_Toc251586246"/>
      <w:bookmarkStart w:id="170" w:name="_Toc180302921"/>
      <w:bookmarkStart w:id="171" w:name="_Toc193165742"/>
      <w:bookmarkStart w:id="172" w:name="_Toc211917124"/>
      <w:bookmarkStart w:id="173" w:name="_Toc181436469"/>
      <w:bookmarkStart w:id="174" w:name="_Toc191783230"/>
      <w:bookmarkStart w:id="175" w:name="_Toc253066629"/>
      <w:bookmarkStart w:id="176" w:name="_Toc235438003"/>
      <w:bookmarkStart w:id="177" w:name="_Toc191803634"/>
      <w:bookmarkStart w:id="178" w:name="_Toc192663694"/>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三</w:t>
      </w:r>
      <w:r>
        <w:rPr>
          <w:rFonts w:hint="eastAsia" w:ascii="仿宋" w:hAnsi="仿宋" w:eastAsia="仿宋" w:cs="仿宋"/>
          <w:b/>
          <w:color w:val="000000" w:themeColor="text1"/>
          <w:sz w:val="24"/>
          <w:szCs w:val="20"/>
          <w:highlight w:val="none"/>
          <w:lang w:eastAsia="zh-CN" w:bidi="ar"/>
          <w14:textFill>
            <w14:solidFill>
              <w14:schemeClr w14:val="tx1"/>
            </w14:solidFill>
          </w14:textFill>
        </w:rPr>
        <w:t>）磋商保证金</w:t>
      </w:r>
      <w:bookmarkEnd w:id="124"/>
      <w:bookmarkEnd w:id="125"/>
      <w:bookmarkEnd w:id="126"/>
      <w:bookmarkEnd w:id="127"/>
      <w:bookmarkEnd w:id="128"/>
      <w:bookmarkEnd w:id="129"/>
      <w:bookmarkEnd w:id="130"/>
    </w:p>
    <w:p>
      <w:pPr>
        <w:pStyle w:val="7"/>
        <w:spacing w:line="579" w:lineRule="exact"/>
        <w:ind w:firstLine="480"/>
        <w:rPr>
          <w:rFonts w:ascii="仿宋" w:hAnsi="仿宋" w:eastAsia="仿宋" w:cs="仿宋"/>
          <w:color w:val="000000" w:themeColor="text1"/>
          <w:sz w:val="24"/>
          <w:szCs w:val="18"/>
          <w:highlight w:val="none"/>
          <w:lang w:eastAsia="zh-CN"/>
          <w14:textFill>
            <w14:solidFill>
              <w14:schemeClr w14:val="tx1"/>
            </w14:solidFill>
          </w14:textFill>
        </w:rPr>
        <w:sectPr>
          <w:pgSz w:w="11906" w:h="16838"/>
          <w:pgMar w:top="1418" w:right="1826" w:bottom="1418" w:left="1361" w:header="851" w:footer="992" w:gutter="0"/>
          <w:pgNumType w:fmt="decimal"/>
          <w:cols w:space="425" w:num="1"/>
          <w:docGrid w:type="linesAndChars" w:linePitch="332" w:charSpace="0"/>
        </w:sectPr>
      </w:pPr>
      <w:r>
        <w:rPr>
          <w:rFonts w:hint="eastAsia" w:ascii="仿宋" w:hAnsi="仿宋" w:eastAsia="仿宋" w:cs="仿宋"/>
          <w:color w:val="000000" w:themeColor="text1"/>
          <w:sz w:val="24"/>
          <w:szCs w:val="18"/>
          <w:highlight w:val="none"/>
          <w:lang w:eastAsia="zh-CN"/>
          <w14:textFill>
            <w14:solidFill>
              <w14:schemeClr w14:val="tx1"/>
            </w14:solidFill>
          </w14:textFill>
        </w:rPr>
        <w:t>附：磋商保证金缴纳凭证或收据复印件加盖投标单位公章</w:t>
      </w: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79" w:name="_Toc8186"/>
      <w:bookmarkStart w:id="180" w:name="_Toc9099"/>
      <w:bookmarkStart w:id="181" w:name="_Toc18115"/>
      <w:bookmarkStart w:id="182" w:name="_Toc23572"/>
      <w:bookmarkStart w:id="183" w:name="_Toc32384"/>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四</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企业</w:t>
      </w:r>
      <w:r>
        <w:rPr>
          <w:rFonts w:hint="eastAsia" w:ascii="仿宋" w:hAnsi="仿宋" w:eastAsia="仿宋" w:cs="仿宋"/>
          <w:b/>
          <w:color w:val="000000" w:themeColor="text1"/>
          <w:sz w:val="24"/>
          <w:szCs w:val="20"/>
          <w:highlight w:val="none"/>
          <w:lang w:eastAsia="zh-CN" w:bidi="ar"/>
          <w14:textFill>
            <w14:solidFill>
              <w14:schemeClr w14:val="tx1"/>
            </w14:solidFill>
          </w14:textFill>
        </w:rPr>
        <w:t>业绩一览表</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79"/>
      <w:bookmarkEnd w:id="180"/>
      <w:bookmarkEnd w:id="181"/>
      <w:bookmarkEnd w:id="182"/>
      <w:bookmarkEnd w:id="183"/>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项目名称： </w:t>
      </w:r>
    </w:p>
    <w:p>
      <w:pPr>
        <w:spacing w:line="579" w:lineRule="exact"/>
        <w:ind w:firstLine="480" w:firstLineChars="200"/>
        <w:rPr>
          <w:rFonts w:hint="default"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 xml:space="preserve"> </w:t>
      </w:r>
    </w:p>
    <w:tbl>
      <w:tblPr>
        <w:tblStyle w:val="25"/>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序号</w:t>
            </w:r>
          </w:p>
        </w:tc>
        <w:tc>
          <w:tcPr>
            <w:tcW w:w="2018"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1401" w:type="dxa"/>
            <w:vAlign w:val="center"/>
          </w:tcPr>
          <w:p>
            <w:pPr>
              <w:jc w:val="center"/>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主要</w:t>
            </w:r>
            <w:r>
              <w:rPr>
                <w:rFonts w:hint="eastAsia" w:ascii="仿宋" w:hAnsi="仿宋" w:eastAsia="仿宋" w:cs="仿宋"/>
                <w:b/>
                <w:bCs/>
                <w:color w:val="000000" w:themeColor="text1"/>
                <w:highlight w:val="none"/>
                <w:lang w:val="en-US" w:eastAsia="zh-CN"/>
                <w14:textFill>
                  <w14:solidFill>
                    <w14:schemeClr w14:val="tx1"/>
                  </w14:solidFill>
                </w14:textFill>
              </w:rPr>
              <w:t>采购</w:t>
            </w:r>
            <w:r>
              <w:rPr>
                <w:rFonts w:hint="eastAsia" w:ascii="仿宋" w:hAnsi="仿宋" w:eastAsia="仿宋" w:cs="仿宋"/>
                <w:b/>
                <w:bCs/>
                <w:color w:val="000000" w:themeColor="text1"/>
                <w:highlight w:val="none"/>
                <w:lang w:eastAsia="zh-CN"/>
                <w14:textFill>
                  <w14:solidFill>
                    <w14:schemeClr w14:val="tx1"/>
                  </w14:solidFill>
                </w14:textFill>
              </w:rPr>
              <w:t>内容</w:t>
            </w:r>
          </w:p>
        </w:tc>
        <w:tc>
          <w:tcPr>
            <w:tcW w:w="1303"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签订时间</w:t>
            </w:r>
          </w:p>
        </w:tc>
        <w:tc>
          <w:tcPr>
            <w:tcW w:w="1374"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联系人及联系电话</w:t>
            </w:r>
          </w:p>
        </w:tc>
        <w:tc>
          <w:tcPr>
            <w:tcW w:w="1054"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完成</w:t>
            </w:r>
          </w:p>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情况</w:t>
            </w:r>
          </w:p>
        </w:tc>
        <w:tc>
          <w:tcPr>
            <w:tcW w:w="1054" w:type="dxa"/>
            <w:vAlign w:val="center"/>
          </w:tcPr>
          <w:p>
            <w:pPr>
              <w:jc w:val="center"/>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bl>
    <w:p>
      <w:pPr>
        <w:spacing w:before="120" w:line="360" w:lineRule="exact"/>
        <w:rPr>
          <w:rFonts w:ascii="仿宋" w:hAnsi="仿宋" w:eastAsia="仿宋" w:cs="仿宋"/>
          <w:color w:val="000000" w:themeColor="text1"/>
          <w:szCs w:val="21"/>
          <w:highlight w:val="none"/>
          <w:lang w:val="zh-CN" w:eastAsia="zh-CN" w:bidi="ar"/>
          <w14:textFill>
            <w14:solidFill>
              <w14:schemeClr w14:val="tx1"/>
            </w14:solidFill>
          </w14:textFill>
        </w:rPr>
      </w:pPr>
      <w:r>
        <w:rPr>
          <w:rFonts w:hint="eastAsia" w:ascii="仿宋" w:hAnsi="仿宋" w:eastAsia="仿宋" w:cs="仿宋"/>
          <w:color w:val="000000" w:themeColor="text1"/>
          <w:szCs w:val="21"/>
          <w:highlight w:val="none"/>
          <w:lang w:val="zh-CN" w:eastAsia="zh-CN" w:bidi="ar"/>
          <w14:textFill>
            <w14:solidFill>
              <w14:schemeClr w14:val="tx1"/>
            </w14:solidFill>
          </w14:textFill>
        </w:rPr>
        <w:t>注：</w:t>
      </w:r>
      <w:r>
        <w:rPr>
          <w:rFonts w:hint="eastAsia" w:ascii="仿宋" w:hAnsi="仿宋" w:eastAsia="仿宋" w:cs="仿宋"/>
          <w:color w:val="000000" w:themeColor="text1"/>
          <w:szCs w:val="21"/>
          <w:highlight w:val="none"/>
          <w:lang w:eastAsia="zh-CN" w:bidi="ar"/>
          <w14:textFill>
            <w14:solidFill>
              <w14:schemeClr w14:val="tx1"/>
            </w14:solidFill>
          </w14:textFill>
        </w:rPr>
        <w:t>1.</w:t>
      </w:r>
      <w:r>
        <w:rPr>
          <w:rFonts w:hint="eastAsia" w:ascii="仿宋" w:hAnsi="仿宋" w:eastAsia="仿宋" w:cs="仿宋"/>
          <w:color w:val="000000" w:themeColor="text1"/>
          <w:szCs w:val="21"/>
          <w:highlight w:val="none"/>
          <w:lang w:val="zh-CN" w:eastAsia="zh-CN" w:bidi="ar"/>
          <w14:textFill>
            <w14:solidFill>
              <w14:schemeClr w14:val="tx1"/>
            </w14:solidFill>
          </w14:textFill>
        </w:rPr>
        <w:t>请按照上述表格</w:t>
      </w:r>
      <w:r>
        <w:rPr>
          <w:rFonts w:hint="eastAsia" w:ascii="仿宋" w:hAnsi="仿宋" w:eastAsia="仿宋" w:cs="仿宋"/>
          <w:color w:val="000000" w:themeColor="text1"/>
          <w:szCs w:val="21"/>
          <w:highlight w:val="none"/>
          <w:lang w:eastAsia="zh-CN" w:bidi="ar"/>
          <w14:textFill>
            <w14:solidFill>
              <w14:schemeClr w14:val="tx1"/>
            </w14:solidFill>
          </w14:textFill>
        </w:rPr>
        <w:t>顺</w:t>
      </w:r>
      <w:r>
        <w:rPr>
          <w:rFonts w:hint="eastAsia" w:ascii="仿宋" w:hAnsi="仿宋" w:eastAsia="仿宋" w:cs="仿宋"/>
          <w:color w:val="000000" w:themeColor="text1"/>
          <w:szCs w:val="21"/>
          <w:highlight w:val="none"/>
          <w:lang w:val="zh-CN" w:eastAsia="zh-CN" w:bidi="ar"/>
          <w14:textFill>
            <w14:solidFill>
              <w14:schemeClr w14:val="tx1"/>
            </w14:solidFill>
          </w14:textFill>
        </w:rPr>
        <w:t>序提供相关证明材料，提供</w:t>
      </w:r>
      <w:r>
        <w:rPr>
          <w:rFonts w:hint="eastAsia" w:ascii="仿宋" w:hAnsi="仿宋" w:eastAsia="仿宋" w:cs="仿宋"/>
          <w:color w:val="000000" w:themeColor="text1"/>
          <w:szCs w:val="21"/>
          <w:highlight w:val="none"/>
          <w:lang w:val="en-US" w:eastAsia="zh-CN" w:bidi="ar"/>
          <w14:textFill>
            <w14:solidFill>
              <w14:schemeClr w14:val="tx1"/>
            </w14:solidFill>
          </w14:textFill>
        </w:rPr>
        <w:t>中标通知书或</w:t>
      </w:r>
      <w:r>
        <w:rPr>
          <w:rFonts w:hint="eastAsia" w:ascii="仿宋" w:hAnsi="仿宋" w:eastAsia="仿宋" w:cs="仿宋"/>
          <w:color w:val="000000" w:themeColor="text1"/>
          <w:szCs w:val="21"/>
          <w:highlight w:val="none"/>
          <w:lang w:eastAsia="zh-CN" w:bidi="ar"/>
          <w14:textFill>
            <w14:solidFill>
              <w14:schemeClr w14:val="tx1"/>
            </w14:solidFill>
          </w14:textFill>
        </w:rPr>
        <w:t>合同复印件（须能够体现服务内容：提供合同首页、服务内容页、双方签字盖章页、日期页等）并加盖投标单位公章</w:t>
      </w:r>
      <w:r>
        <w:rPr>
          <w:rFonts w:hint="eastAsia" w:ascii="仿宋" w:hAnsi="仿宋" w:eastAsia="仿宋" w:cs="仿宋"/>
          <w:color w:val="000000" w:themeColor="text1"/>
          <w:szCs w:val="21"/>
          <w:highlight w:val="none"/>
          <w:lang w:val="zh-CN" w:eastAsia="zh-CN" w:bidi="ar"/>
          <w14:textFill>
            <w14:solidFill>
              <w14:schemeClr w14:val="tx1"/>
            </w14:solidFill>
          </w14:textFill>
        </w:rPr>
        <w:t>）。案例具体要求详见评分表要求。按照上述表格序号按序提供相关材料。</w:t>
      </w:r>
    </w:p>
    <w:p>
      <w:pPr>
        <w:spacing w:before="120" w:line="360" w:lineRule="exact"/>
        <w:rPr>
          <w:rFonts w:ascii="仿宋" w:hAnsi="仿宋" w:eastAsia="仿宋" w:cs="仿宋"/>
          <w:color w:val="000000" w:themeColor="text1"/>
          <w:szCs w:val="21"/>
          <w:highlight w:val="none"/>
          <w:lang w:val="zh-CN" w:eastAsia="zh-CN" w:bidi="ar"/>
          <w14:textFill>
            <w14:solidFill>
              <w14:schemeClr w14:val="tx1"/>
            </w14:solidFill>
          </w14:textFill>
        </w:rPr>
      </w:pPr>
      <w:r>
        <w:rPr>
          <w:rFonts w:hint="eastAsia" w:ascii="仿宋" w:hAnsi="仿宋" w:eastAsia="仿宋" w:cs="仿宋"/>
          <w:b/>
          <w:bCs/>
          <w:color w:val="000000" w:themeColor="text1"/>
          <w:sz w:val="18"/>
          <w:szCs w:val="18"/>
          <w:highlight w:val="none"/>
          <w:lang w:eastAsia="zh-CN"/>
          <w14:textFill>
            <w14:solidFill>
              <w14:schemeClr w14:val="tx1"/>
            </w14:solidFill>
          </w14:textFill>
        </w:rPr>
        <w:t>合同复印件要求清晰可见，能够体现上述内容，不满足要求的视同为无效业绩。</w:t>
      </w:r>
    </w:p>
    <w:p>
      <w:pPr>
        <w:spacing w:before="120" w:line="360" w:lineRule="exact"/>
        <w:ind w:firstLine="440" w:firstLineChars="200"/>
        <w:rPr>
          <w:rFonts w:ascii="仿宋" w:hAnsi="仿宋" w:eastAsia="仿宋" w:cs="仿宋"/>
          <w:color w:val="000000" w:themeColor="text1"/>
          <w:szCs w:val="21"/>
          <w:highlight w:val="none"/>
          <w:lang w:val="zh-CN"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2.</w:t>
      </w:r>
      <w:r>
        <w:rPr>
          <w:rFonts w:hint="eastAsia" w:ascii="仿宋" w:hAnsi="仿宋" w:eastAsia="仿宋" w:cs="仿宋"/>
          <w:color w:val="000000" w:themeColor="text1"/>
          <w:szCs w:val="21"/>
          <w:highlight w:val="none"/>
          <w:lang w:val="zh-CN" w:eastAsia="zh-CN" w:bidi="ar"/>
          <w14:textFill>
            <w14:solidFill>
              <w14:schemeClr w14:val="tx1"/>
            </w14:solidFill>
          </w14:textFill>
        </w:rPr>
        <w:t>中标后，</w:t>
      </w:r>
      <w:r>
        <w:rPr>
          <w:rFonts w:hint="eastAsia" w:ascii="仿宋" w:hAnsi="仿宋" w:eastAsia="仿宋" w:cs="仿宋"/>
          <w:color w:val="000000" w:themeColor="text1"/>
          <w:szCs w:val="21"/>
          <w:highlight w:val="none"/>
          <w:lang w:eastAsia="zh-CN" w:bidi="ar"/>
          <w14:textFill>
            <w14:solidFill>
              <w14:schemeClr w14:val="tx1"/>
            </w14:solidFill>
          </w14:textFill>
        </w:rPr>
        <w:t>采购人</w:t>
      </w:r>
      <w:r>
        <w:rPr>
          <w:rFonts w:hint="eastAsia" w:ascii="仿宋" w:hAnsi="仿宋" w:eastAsia="仿宋" w:cs="仿宋"/>
          <w:color w:val="000000" w:themeColor="text1"/>
          <w:szCs w:val="21"/>
          <w:highlight w:val="none"/>
          <w:lang w:val="zh-CN" w:eastAsia="zh-CN" w:bidi="ar"/>
          <w14:textFill>
            <w14:solidFill>
              <w14:schemeClr w14:val="tx1"/>
            </w14:solidFill>
          </w14:textFill>
        </w:rPr>
        <w:t>将根据提供的联系人及联系方式进行尽职调查，如有需要投标单位需提供原件备查。</w:t>
      </w:r>
    </w:p>
    <w:p>
      <w:pPr>
        <w:spacing w:line="579" w:lineRule="exact"/>
        <w:ind w:firstLine="480" w:firstLineChars="200"/>
        <w:rPr>
          <w:rFonts w:ascii="仿宋" w:hAnsi="仿宋" w:eastAsia="仿宋" w:cs="仿宋"/>
          <w:b/>
          <w:color w:val="000000" w:themeColor="text1"/>
          <w:highlight w:val="none"/>
          <w:lang w:val="zh-CN" w:eastAsia="zh-CN"/>
          <w14:textFill>
            <w14:solidFill>
              <w14:schemeClr w14:val="tx1"/>
            </w14:solidFill>
          </w14:textFill>
        </w:rPr>
      </w:pPr>
      <w:r>
        <w:rPr>
          <w:rFonts w:hint="eastAsia" w:ascii="仿宋" w:hAnsi="仿宋" w:eastAsia="仿宋" w:cs="仿宋"/>
          <w:b/>
          <w:color w:val="000000" w:themeColor="text1"/>
          <w:sz w:val="24"/>
          <w:szCs w:val="20"/>
          <w:highlight w:val="none"/>
          <w:lang w:val="zh-CN" w:eastAsia="zh-CN" w:bidi="ar"/>
          <w14:textFill>
            <w14:solidFill>
              <w14:schemeClr w14:val="tx1"/>
            </w14:solidFill>
          </w14:textFill>
        </w:rPr>
        <w:t>我公司承诺：以上业绩均真实有效。若有虚假，同意按无效标处理。</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ind w:firstLine="56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合同提供内容示例（所有合同复印件须清晰、否则按无效资料处理，其风险及结果由供应商自行承担）：</w:t>
      </w:r>
    </w:p>
    <w:p>
      <w:pPr>
        <w:pStyle w:val="23"/>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numPr>
          <w:ilvl w:val="0"/>
          <w:numId w:val="2"/>
        </w:numPr>
        <w:spacing w:line="579"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1.XXXXXXX合同</w:t>
      </w:r>
    </w:p>
    <w:p>
      <w:pPr>
        <w:pStyle w:val="23"/>
        <w:spacing w:after="0" w:line="579" w:lineRule="exact"/>
        <w:ind w:firstLine="240"/>
        <w:rPr>
          <w:rFonts w:hint="default" w:ascii="仿宋" w:hAnsi="仿宋" w:eastAsia="仿宋" w:cs="仿宋"/>
          <w:color w:val="000000" w:themeColor="text1"/>
          <w:highlight w:val="none"/>
          <w14:textFill>
            <w14:solidFill>
              <w14:schemeClr w14:val="tx1"/>
            </w14:solidFill>
          </w14:textFill>
        </w:rPr>
      </w:pPr>
    </w:p>
    <w:p>
      <w:pPr>
        <w:spacing w:line="579" w:lineRule="exact"/>
        <w:ind w:left="72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2.合同首页</w:t>
      </w:r>
    </w:p>
    <w:p>
      <w:pPr>
        <w:spacing w:line="579" w:lineRule="exact"/>
        <w:rPr>
          <w:rFonts w:ascii="仿宋" w:hAnsi="仿宋" w:eastAsia="仿宋" w:cs="仿宋"/>
          <w:i/>
          <w:color w:val="000000" w:themeColor="text1"/>
          <w:highlight w:val="none"/>
          <w14:textFill>
            <w14:solidFill>
              <w14:schemeClr w14:val="tx1"/>
            </w14:solidFill>
          </w14:textFill>
        </w:rPr>
      </w:pPr>
    </w:p>
    <w:p>
      <w:pPr>
        <w:spacing w:line="579" w:lineRule="exact"/>
        <w:ind w:left="72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3.</w:t>
      </w: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货物</w:t>
      </w:r>
      <w:r>
        <w:rPr>
          <w:rFonts w:hint="eastAsia" w:ascii="仿宋" w:hAnsi="仿宋" w:eastAsia="仿宋" w:cs="仿宋"/>
          <w:color w:val="000000" w:themeColor="text1"/>
          <w:sz w:val="24"/>
          <w:szCs w:val="20"/>
          <w:highlight w:val="none"/>
          <w:lang w:bidi="ar"/>
          <w14:textFill>
            <w14:solidFill>
              <w14:schemeClr w14:val="tx1"/>
            </w14:solidFill>
          </w14:textFill>
        </w:rPr>
        <w:t>内容页</w:t>
      </w:r>
    </w:p>
    <w:p>
      <w:pPr>
        <w:spacing w:line="579" w:lineRule="exact"/>
        <w:ind w:left="1415"/>
        <w:rPr>
          <w:rFonts w:ascii="仿宋" w:hAnsi="仿宋" w:eastAsia="仿宋" w:cs="仿宋"/>
          <w:i/>
          <w:color w:val="000000" w:themeColor="text1"/>
          <w:highlight w:val="none"/>
          <w:lang w:eastAsia="zh-CN"/>
          <w14:textFill>
            <w14:solidFill>
              <w14:schemeClr w14:val="tx1"/>
            </w14:solidFill>
          </w14:textFill>
        </w:rPr>
      </w:pPr>
      <w:r>
        <w:rPr>
          <w:rFonts w:hint="eastAsia" w:ascii="仿宋" w:hAnsi="仿宋" w:eastAsia="仿宋" w:cs="仿宋"/>
          <w:i/>
          <w:color w:val="000000" w:themeColor="text1"/>
          <w:highlight w:val="none"/>
          <w:lang w:eastAsia="zh-CN"/>
          <w14:textFill>
            <w14:solidFill>
              <w14:schemeClr w14:val="tx1"/>
            </w14:solidFill>
          </w14:textFill>
        </w:rPr>
        <w:t>建议将合同主要内容进行标记，方便专家评审。</w:t>
      </w:r>
    </w:p>
    <w:p>
      <w:pPr>
        <w:spacing w:line="579" w:lineRule="exact"/>
        <w:ind w:left="72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4.双方签字盖章页</w:t>
      </w:r>
    </w:p>
    <w:p>
      <w:pPr>
        <w:pStyle w:val="23"/>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left="72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5.日期页等  </w:t>
      </w: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color w:val="000000" w:themeColor="text1"/>
          <w:highlight w:val="none"/>
          <w:lang w:eastAsia="zh-CN" w:bidi="ar"/>
          <w14:textFill>
            <w14:solidFill>
              <w14:schemeClr w14:val="tx1"/>
            </w14:solidFill>
          </w14:textFill>
        </w:rPr>
      </w:pPr>
      <w:r>
        <w:rPr>
          <w:rFonts w:hint="eastAsia" w:ascii="仿宋" w:hAnsi="仿宋" w:eastAsia="仿宋" w:cs="仿宋"/>
          <w:color w:val="000000" w:themeColor="text1"/>
          <w:highlight w:val="none"/>
          <w:lang w:eastAsia="zh-CN" w:bidi="ar"/>
          <w14:textFill>
            <w14:solidFill>
              <w14:schemeClr w14:val="tx1"/>
            </w14:solidFill>
          </w14:textFill>
        </w:rPr>
        <w:br w:type="page"/>
      </w:r>
      <w:bookmarkStart w:id="184" w:name="_Toc3891663"/>
      <w:bookmarkStart w:id="185" w:name="_Toc22554427"/>
    </w:p>
    <w:bookmarkEnd w:id="184"/>
    <w:bookmarkEnd w:id="185"/>
    <w:p>
      <w:pPr>
        <w:spacing w:line="579" w:lineRule="exact"/>
        <w:jc w:val="center"/>
        <w:outlineLvl w:val="2"/>
        <w:rPr>
          <w:rFonts w:ascii="仿宋" w:hAnsi="仿宋" w:eastAsia="仿宋" w:cs="仿宋"/>
          <w:b/>
          <w:bCs/>
          <w:color w:val="000000" w:themeColor="text1"/>
          <w:szCs w:val="21"/>
          <w:highlight w:val="none"/>
          <w:lang w:eastAsia="zh-CN"/>
          <w14:textFill>
            <w14:solidFill>
              <w14:schemeClr w14:val="tx1"/>
            </w14:solidFill>
          </w14:textFill>
        </w:rPr>
      </w:pPr>
      <w:bookmarkStart w:id="186" w:name="_Toc19056"/>
      <w:bookmarkStart w:id="187" w:name="_Toc15416"/>
      <w:bookmarkStart w:id="188" w:name="_Toc21282"/>
      <w:bookmarkStart w:id="189" w:name="_Toc3992"/>
      <w:bookmarkStart w:id="190" w:name="_Toc9850"/>
      <w:bookmarkStart w:id="191" w:name="_Toc11993"/>
      <w:bookmarkStart w:id="192" w:name="_Toc3891664"/>
      <w:bookmarkStart w:id="193" w:name="_Toc266870922"/>
      <w:bookmarkStart w:id="194" w:name="_Toc258401272"/>
      <w:bookmarkStart w:id="195" w:name="_Toc267060081"/>
      <w:bookmarkStart w:id="196" w:name="_Toc259692756"/>
      <w:bookmarkStart w:id="197" w:name="_Toc1719164"/>
      <w:bookmarkStart w:id="198" w:name="_Toc259692663"/>
      <w:bookmarkStart w:id="199" w:name="_Toc266870447"/>
      <w:bookmarkStart w:id="200" w:name="_Toc267060221"/>
      <w:bookmarkStart w:id="201" w:name="_Toc254790916"/>
      <w:bookmarkStart w:id="202" w:name="_Toc259520881"/>
      <w:bookmarkStart w:id="203" w:name="_Toc266868686"/>
      <w:bookmarkStart w:id="204" w:name="_Toc255975023"/>
      <w:bookmarkStart w:id="205" w:name="_Toc267060466"/>
      <w:bookmarkStart w:id="206" w:name="_Toc22554428"/>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五</w:t>
      </w:r>
      <w:r>
        <w:rPr>
          <w:rFonts w:hint="eastAsia" w:ascii="仿宋" w:hAnsi="仿宋" w:eastAsia="仿宋" w:cs="仿宋"/>
          <w:b/>
          <w:color w:val="000000" w:themeColor="text1"/>
          <w:sz w:val="24"/>
          <w:szCs w:val="20"/>
          <w:highlight w:val="none"/>
          <w:lang w:eastAsia="zh-CN" w:bidi="ar"/>
          <w14:textFill>
            <w14:solidFill>
              <w14:schemeClr w14:val="tx1"/>
            </w14:solidFill>
          </w14:textFill>
        </w:rPr>
        <w:t>）项目团队成员一览表</w:t>
      </w:r>
      <w:bookmarkEnd w:id="186"/>
      <w:bookmarkEnd w:id="187"/>
      <w:bookmarkEnd w:id="188"/>
      <w:bookmarkEnd w:id="189"/>
      <w:bookmarkEnd w:id="190"/>
      <w:bookmarkEnd w:id="191"/>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项目名称： </w:t>
      </w:r>
    </w:p>
    <w:p>
      <w:pPr>
        <w:spacing w:line="579" w:lineRule="exact"/>
        <w:ind w:firstLine="480" w:firstLineChars="200"/>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5"/>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810"/>
        <w:gridCol w:w="990"/>
        <w:gridCol w:w="735"/>
        <w:gridCol w:w="960"/>
        <w:gridCol w:w="1230"/>
        <w:gridCol w:w="743"/>
        <w:gridCol w:w="99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79"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职责分工</w:t>
            </w:r>
          </w:p>
        </w:tc>
        <w:tc>
          <w:tcPr>
            <w:tcW w:w="81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99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现职务</w:t>
            </w:r>
          </w:p>
        </w:tc>
        <w:tc>
          <w:tcPr>
            <w:tcW w:w="735"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年龄</w:t>
            </w:r>
          </w:p>
        </w:tc>
        <w:tc>
          <w:tcPr>
            <w:tcW w:w="96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学历 </w:t>
            </w:r>
          </w:p>
        </w:tc>
        <w:tc>
          <w:tcPr>
            <w:tcW w:w="123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743" w:type="dxa"/>
            <w:tcBorders>
              <w:bottom w:val="nil"/>
            </w:tcBorders>
            <w:shd w:val="clear" w:color="auto" w:fill="F3F3F3"/>
            <w:vAlign w:val="center"/>
          </w:tcPr>
          <w:p>
            <w:pPr>
              <w:jc w:val="center"/>
              <w:rPr>
                <w:rFonts w:hint="eastAsia"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职称</w:t>
            </w:r>
          </w:p>
        </w:tc>
        <w:tc>
          <w:tcPr>
            <w:tcW w:w="999" w:type="dxa"/>
            <w:tcBorders>
              <w:bottom w:val="nil"/>
            </w:tcBorders>
            <w:shd w:val="clear" w:color="auto" w:fill="F3F3F3"/>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拟担任职位</w:t>
            </w:r>
          </w:p>
        </w:tc>
        <w:tc>
          <w:tcPr>
            <w:tcW w:w="898" w:type="dxa"/>
            <w:tcBorders>
              <w:bottom w:val="nil"/>
            </w:tcBorders>
            <w:shd w:val="clear" w:color="auto" w:fill="F3F3F3"/>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379" w:type="dxa"/>
            <w:tcBorders>
              <w:bottom w:val="nil"/>
            </w:tcBorders>
            <w:vAlign w:val="center"/>
          </w:tcPr>
          <w:p>
            <w:pPr>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w:t>
            </w:r>
            <w:r>
              <w:rPr>
                <w:rFonts w:hint="eastAsia" w:ascii="仿宋" w:hAnsi="仿宋" w:eastAsia="仿宋" w:cs="仿宋"/>
                <w:color w:val="000000" w:themeColor="text1"/>
                <w:sz w:val="24"/>
                <w:szCs w:val="20"/>
                <w:highlight w:val="none"/>
                <w:lang w:eastAsia="zh-CN" w:bidi="ar"/>
                <w14:textFill>
                  <w14:solidFill>
                    <w14:schemeClr w14:val="tx1"/>
                  </w14:solidFill>
                </w14:textFill>
              </w:rPr>
              <w:t>负责人</w:t>
            </w:r>
          </w:p>
        </w:tc>
        <w:tc>
          <w:tcPr>
            <w:tcW w:w="81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tcBorders>
              <w:bottom w:val="nil"/>
            </w:tcBorders>
            <w:vAlign w:val="center"/>
          </w:tcPr>
          <w:p>
            <w:pPr>
              <w:pStyle w:val="57"/>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960" w:type="dxa"/>
            <w:tcBorders>
              <w:bottom w:val="nil"/>
            </w:tcBorders>
            <w:vAlign w:val="center"/>
          </w:tcPr>
          <w:p>
            <w:pPr>
              <w:pStyle w:val="57"/>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1230" w:type="dxa"/>
            <w:tcBorders>
              <w:bottom w:val="nil"/>
            </w:tcBorders>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379" w:type="dxa"/>
            <w:tcBorders>
              <w:bottom w:val="nil"/>
            </w:tcBorders>
            <w:vAlign w:val="center"/>
          </w:tcPr>
          <w:p>
            <w:pPr>
              <w:rPr>
                <w:rFonts w:hint="eastAsia" w:ascii="仿宋" w:hAnsi="仿宋" w:eastAsia="仿宋" w:cs="仿宋"/>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设计师</w:t>
            </w:r>
          </w:p>
        </w:tc>
        <w:tc>
          <w:tcPr>
            <w:tcW w:w="81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tcBorders>
              <w:bottom w:val="nil"/>
            </w:tcBorders>
            <w:vAlign w:val="center"/>
          </w:tcPr>
          <w:p>
            <w:pPr>
              <w:pStyle w:val="57"/>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960" w:type="dxa"/>
            <w:tcBorders>
              <w:bottom w:val="nil"/>
            </w:tcBorders>
            <w:vAlign w:val="center"/>
          </w:tcPr>
          <w:p>
            <w:pPr>
              <w:pStyle w:val="57"/>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1230" w:type="dxa"/>
            <w:tcBorders>
              <w:bottom w:val="nil"/>
            </w:tcBorders>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379" w:type="dxa"/>
            <w:tcBorders>
              <w:bottom w:val="nil"/>
            </w:tcBorders>
            <w:vAlign w:val="center"/>
          </w:tcPr>
          <w:p>
            <w:pPr>
              <w:rPr>
                <w:rFonts w:hint="default" w:ascii="仿宋" w:hAnsi="仿宋" w:eastAsia="仿宋" w:cs="仿宋"/>
                <w:color w:val="000000" w:themeColor="text1"/>
                <w:sz w:val="24"/>
                <w:szCs w:val="20"/>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施工负责人</w:t>
            </w:r>
          </w:p>
        </w:tc>
        <w:tc>
          <w:tcPr>
            <w:tcW w:w="81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tcBorders>
              <w:bottom w:val="nil"/>
            </w:tcBorders>
            <w:vAlign w:val="center"/>
          </w:tcPr>
          <w:p>
            <w:pPr>
              <w:pStyle w:val="57"/>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960" w:type="dxa"/>
            <w:tcBorders>
              <w:bottom w:val="nil"/>
            </w:tcBorders>
            <w:vAlign w:val="center"/>
          </w:tcPr>
          <w:p>
            <w:pPr>
              <w:pStyle w:val="57"/>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1230" w:type="dxa"/>
            <w:tcBorders>
              <w:bottom w:val="nil"/>
            </w:tcBorders>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restart"/>
            <w:vAlign w:val="center"/>
          </w:tcPr>
          <w:p>
            <w:pP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其他成员</w:t>
            </w: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w:t>
            </w: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bl>
    <w:p>
      <w:pPr>
        <w:spacing w:before="120" w:line="480" w:lineRule="exact"/>
        <w:rPr>
          <w:rFonts w:ascii="仿宋" w:hAnsi="仿宋" w:eastAsia="仿宋" w:cs="仿宋"/>
          <w:color w:val="000000" w:themeColor="text1"/>
          <w:sz w:val="24"/>
          <w:szCs w:val="20"/>
          <w:highlight w:val="none"/>
          <w:lang w:bidi="ar"/>
          <w14:textFill>
            <w14:solidFill>
              <w14:schemeClr w14:val="tx1"/>
            </w14:solidFill>
          </w14:textFill>
        </w:rPr>
      </w:pPr>
    </w:p>
    <w:p>
      <w:pPr>
        <w:pStyle w:val="7"/>
        <w:ind w:firstLine="560"/>
        <w:rPr>
          <w:rFonts w:ascii="仿宋" w:hAnsi="仿宋" w:eastAsia="仿宋" w:cs="仿宋"/>
          <w:color w:val="000000" w:themeColor="text1"/>
          <w:highlight w:val="none"/>
          <w:lang w:bidi="ar"/>
          <w14:textFill>
            <w14:solidFill>
              <w14:schemeClr w14:val="tx1"/>
            </w14:solidFill>
          </w14:textFill>
        </w:rPr>
      </w:pPr>
    </w:p>
    <w:p>
      <w:pPr>
        <w:spacing w:line="579" w:lineRule="exact"/>
        <w:ind w:firstLine="240" w:firstLineChars="100"/>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val="zh-CN" w:eastAsia="zh-CN" w:bidi="ar"/>
          <w14:textFill>
            <w14:solidFill>
              <w14:schemeClr w14:val="tx1"/>
            </w14:solidFill>
          </w14:textFill>
        </w:rPr>
        <w:t>我公司承诺：以上人员均为现场实际团队成员，项目团队人员的所有材料均为真实有效的，贵单位有权对人员服务经验情况进行尽职调查，如发现存在虚假或内容不实情况的，贵单位有权将取消我单位中标资格。</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jc w:val="center"/>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项目负责人（</w:t>
      </w:r>
      <w:r>
        <w:rPr>
          <w:rFonts w:hint="eastAsia" w:ascii="仿宋" w:hAnsi="仿宋" w:eastAsia="仿宋" w:cs="仿宋"/>
          <w:b/>
          <w:color w:val="000000" w:themeColor="text1"/>
          <w:sz w:val="24"/>
          <w:highlight w:val="none"/>
          <w:lang w:val="en-US" w:eastAsia="zh-CN"/>
          <w14:textFill>
            <w14:solidFill>
              <w14:schemeClr w14:val="tx1"/>
            </w14:solidFill>
          </w14:textFill>
        </w:rPr>
        <w:t>设计师、施工技术负责人</w:t>
      </w:r>
      <w:r>
        <w:rPr>
          <w:rFonts w:hint="eastAsia" w:ascii="仿宋" w:hAnsi="仿宋" w:eastAsia="仿宋" w:cs="仿宋"/>
          <w:b/>
          <w:color w:val="000000" w:themeColor="text1"/>
          <w:sz w:val="24"/>
          <w:highlight w:val="none"/>
          <w:lang w:eastAsia="zh-CN"/>
          <w14:textFill>
            <w14:solidFill>
              <w14:schemeClr w14:val="tx1"/>
            </w14:solidFill>
          </w14:textFill>
        </w:rPr>
        <w:t>）简历表</w:t>
      </w:r>
    </w:p>
    <w:p>
      <w:pPr>
        <w:spacing w:line="480" w:lineRule="exact"/>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项目负责人（</w:t>
      </w: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设计师、施工技术负责人</w:t>
      </w: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）介绍应包括：姓名、性别、年龄、职称、学历、参加工作时间、从事项目年限和能反映该负责人情况的其他内容。 </w:t>
      </w:r>
    </w:p>
    <w:tbl>
      <w:tblPr>
        <w:tblStyle w:val="25"/>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pPr>
              <w:spacing w:line="480" w:lineRule="exact"/>
              <w:rPr>
                <w:rFonts w:hint="eastAsia" w:ascii="仿宋" w:hAnsi="仿宋" w:eastAsia="仿宋" w:cs="仿宋"/>
                <w:highlight w:val="none"/>
                <w:lang w:eastAsia="zh-CN"/>
              </w:rPr>
            </w:pPr>
            <w:r>
              <w:rPr>
                <w:rFonts w:hint="eastAsia" w:ascii="仿宋" w:hAnsi="仿宋" w:eastAsia="仿宋" w:cs="仿宋"/>
                <w:highlight w:val="none"/>
                <w:lang w:eastAsia="zh-CN"/>
              </w:rPr>
              <w:t>项目负责人等从业经历概述：</w:t>
            </w:r>
          </w:p>
          <w:p>
            <w:pPr>
              <w:pStyle w:val="23"/>
              <w:ind w:firstLine="0" w:firstLineChars="0"/>
              <w:rPr>
                <w:rFonts w:hint="eastAsia" w:ascii="仿宋" w:hAnsi="仿宋" w:eastAsia="仿宋" w:cs="仿宋"/>
                <w:highlight w:val="none"/>
                <w:lang w:eastAsia="zh-CN"/>
              </w:rPr>
            </w:pP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仿宋" w:hAnsi="仿宋" w:eastAsia="仿宋" w:cs="仿宋"/>
          <w:kern w:val="0"/>
          <w:sz w:val="21"/>
          <w:szCs w:val="21"/>
          <w:highlight w:val="none"/>
          <w:lang w:val="en-US" w:eastAsia="zh-CN" w:bidi="ar-SA"/>
        </w:rPr>
        <w:t>身份证复印件、职称证书复印件、学历证书复印件等相关证明文件并加盖供应商公章</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pStyle w:val="23"/>
        <w:rPr>
          <w:rFonts w:ascii="仿宋" w:hAnsi="仿宋" w:eastAsia="仿宋" w:cs="仿宋"/>
          <w:b/>
          <w:color w:val="000000" w:themeColor="text1"/>
          <w:sz w:val="24"/>
          <w:highlight w:val="none"/>
          <w:lang w:eastAsia="zh-CN"/>
          <w14:textFill>
            <w14:solidFill>
              <w14:schemeClr w14:val="tx1"/>
            </w14:solidFill>
          </w14:textFill>
        </w:rPr>
      </w:pPr>
    </w:p>
    <w:p>
      <w:pPr>
        <w:rPr>
          <w:highlight w:val="none"/>
          <w:lang w:eastAsia="zh-CN"/>
        </w:rPr>
      </w:pPr>
    </w:p>
    <w:p>
      <w:pPr>
        <w:rPr>
          <w:highlight w:val="none"/>
          <w:lang w:eastAsia="zh-CN"/>
        </w:rPr>
      </w:pPr>
    </w:p>
    <w:p>
      <w:pPr>
        <w:pStyle w:val="23"/>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项目成员简历表</w:t>
      </w:r>
    </w:p>
    <w:p>
      <w:pPr>
        <w:spacing w:line="500" w:lineRule="exact"/>
        <w:jc w:val="center"/>
        <w:rPr>
          <w:rFonts w:ascii="仿宋" w:hAnsi="仿宋" w:eastAsia="仿宋" w:cs="仿宋"/>
          <w:b/>
          <w:bCs/>
          <w:color w:val="000000" w:themeColor="text1"/>
          <w:sz w:val="32"/>
          <w:szCs w:val="32"/>
          <w:highlight w:val="none"/>
          <w:lang w:eastAsia="zh-CN"/>
          <w14:textFill>
            <w14:solidFill>
              <w14:schemeClr w14:val="tx1"/>
            </w14:solidFill>
          </w14:textFill>
        </w:rPr>
      </w:pPr>
    </w:p>
    <w:tbl>
      <w:tblPr>
        <w:tblStyle w:val="25"/>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854"/>
        <w:gridCol w:w="232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538" w:type="dxa"/>
            <w:gridSpan w:val="2"/>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4181" w:type="dxa"/>
            <w:gridSpan w:val="2"/>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719" w:type="dxa"/>
            <w:gridSpan w:val="4"/>
            <w:vAlign w:val="center"/>
          </w:tcPr>
          <w:p>
            <w:pPr>
              <w:spacing w:line="500" w:lineRule="exact"/>
              <w:rPr>
                <w:rFonts w:hint="eastAsia" w:ascii="仿宋" w:hAnsi="仿宋" w:eastAsia="仿宋" w:cs="仿宋"/>
                <w:highlight w:val="none"/>
                <w:lang w:eastAsia="zh-CN"/>
              </w:rPr>
            </w:pPr>
            <w:r>
              <w:rPr>
                <w:rFonts w:hint="eastAsia" w:ascii="仿宋" w:hAnsi="仿宋" w:eastAsia="仿宋" w:cs="仿宋"/>
                <w:highlight w:val="none"/>
                <w:lang w:eastAsia="zh-CN"/>
              </w:rPr>
              <w:t>本人从业经历概述：</w:t>
            </w:r>
          </w:p>
          <w:p>
            <w:pPr>
              <w:pStyle w:val="23"/>
              <w:ind w:firstLine="0" w:firstLineChars="0"/>
              <w:rPr>
                <w:rFonts w:hint="eastAsia" w:ascii="仿宋" w:hAnsi="仿宋" w:eastAsia="仿宋" w:cs="仿宋"/>
                <w:highlight w:val="none"/>
                <w:lang w:val="en-US" w:eastAsia="zh-CN"/>
              </w:rPr>
            </w:pP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仿宋" w:hAnsi="仿宋" w:eastAsia="仿宋" w:cs="仿宋"/>
          <w:kern w:val="0"/>
          <w:sz w:val="21"/>
          <w:szCs w:val="21"/>
          <w:highlight w:val="none"/>
          <w:lang w:val="en-US" w:eastAsia="zh-CN" w:bidi="ar-SA"/>
        </w:rPr>
        <w:t>身份证复印件、职称证书复印件、学历证书复印件等相关证明文件并加盖供应商公章</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hint="eastAsia"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32"/>
          <w:highlight w:val="none"/>
          <w:lang w:eastAsia="zh-CN"/>
          <w14:textFill>
            <w14:solidFill>
              <w14:schemeClr w14:val="tx1"/>
            </w14:solidFill>
          </w14:textFill>
        </w:rPr>
      </w:pPr>
    </w:p>
    <w:p>
      <w:pPr>
        <w:keepNext/>
        <w:keepLines/>
        <w:pageBreakBefore w:val="0"/>
        <w:widowControl/>
        <w:kinsoku/>
        <w:wordWrap/>
        <w:overflowPunct/>
        <w:topLinePunct w:val="0"/>
        <w:autoSpaceDE/>
        <w:autoSpaceDN/>
        <w:bidi w:val="0"/>
        <w:adjustRightInd/>
        <w:snapToGrid/>
        <w:textAlignment w:val="baseline"/>
        <w:outlineLvl w:val="9"/>
        <w:rPr>
          <w:rFonts w:hint="eastAsia"/>
          <w:highlight w:val="none"/>
          <w:lang w:eastAsia="zh-CN"/>
        </w:rPr>
      </w:pPr>
    </w:p>
    <w:p>
      <w:pPr>
        <w:keepNext/>
        <w:keepLines/>
        <w:pageBreakBefore w:val="0"/>
        <w:widowControl/>
        <w:kinsoku/>
        <w:wordWrap/>
        <w:overflowPunct/>
        <w:topLinePunct w:val="0"/>
        <w:autoSpaceDE/>
        <w:autoSpaceDN/>
        <w:bidi w:val="0"/>
        <w:adjustRightInd/>
        <w:snapToGrid/>
        <w:textAlignment w:val="baseline"/>
        <w:outlineLvl w:val="9"/>
        <w:rPr>
          <w:rFonts w:hint="eastAsia"/>
          <w:highlight w:val="none"/>
          <w:lang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32"/>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color w:val="000000" w:themeColor="text1"/>
          <w:sz w:val="24"/>
          <w:szCs w:val="32"/>
          <w:highlight w:val="none"/>
          <w:lang w:eastAsia="zh-CN"/>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highlight w:val="none"/>
          <w:lang w:eastAsia="zh-CN"/>
        </w:rPr>
      </w:pP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hint="eastAsia" w:ascii="仿宋" w:hAnsi="仿宋" w:eastAsia="仿宋" w:cs="仿宋"/>
          <w:b/>
          <w:color w:val="000000" w:themeColor="text1"/>
          <w:sz w:val="24"/>
          <w:highlight w:val="none"/>
          <w:lang w:val="en-US" w:eastAsia="zh-CN"/>
          <w14:textFill>
            <w14:solidFill>
              <w14:schemeClr w14:val="tx1"/>
            </w14:solidFill>
          </w14:textFill>
        </w:rPr>
      </w:pPr>
    </w:p>
    <w:p>
      <w:pPr>
        <w:spacing w:line="579" w:lineRule="exact"/>
        <w:jc w:val="center"/>
        <w:outlineLvl w:val="2"/>
        <w:rPr>
          <w:rFonts w:hint="eastAsia" w:ascii="仿宋" w:hAnsi="仿宋" w:eastAsia="仿宋" w:cs="仿宋"/>
          <w:b/>
          <w:color w:val="000000" w:themeColor="text1"/>
          <w:sz w:val="24"/>
          <w:highlight w:val="none"/>
          <w:lang w:eastAsia="zh-CN"/>
          <w14:textFill>
            <w14:solidFill>
              <w14:schemeClr w14:val="tx1"/>
            </w14:solidFill>
          </w14:textFill>
        </w:rPr>
      </w:pPr>
      <w:bookmarkStart w:id="207" w:name="_Toc18344"/>
      <w:r>
        <w:rPr>
          <w:rFonts w:hint="eastAsia" w:ascii="仿宋" w:hAnsi="仿宋" w:eastAsia="仿宋" w:cs="仿宋"/>
          <w:b/>
          <w:color w:val="000000" w:themeColor="text1"/>
          <w:sz w:val="24"/>
          <w:highlight w:val="none"/>
          <w:lang w:val="en-US" w:eastAsia="zh-CN"/>
          <w14:textFill>
            <w14:solidFill>
              <w14:schemeClr w14:val="tx1"/>
            </w14:solidFill>
          </w14:textFill>
        </w:rPr>
        <w:t>（六）对本项目的理解与认识</w:t>
      </w:r>
      <w:bookmarkEnd w:id="207"/>
    </w:p>
    <w:p>
      <w:pPr>
        <w:pStyle w:val="7"/>
        <w:ind w:firstLine="56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供应商根据本项目情况及评分细则，描述对本项目的理解与认识。</w:t>
      </w:r>
    </w:p>
    <w:p>
      <w:pPr>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Style w:val="7"/>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spacing w:line="579" w:lineRule="exact"/>
        <w:jc w:val="center"/>
        <w:outlineLvl w:val="2"/>
        <w:rPr>
          <w:rFonts w:hint="eastAsia" w:ascii="仿宋" w:hAnsi="仿宋" w:eastAsia="仿宋" w:cs="仿宋"/>
          <w:b/>
          <w:color w:val="000000" w:themeColor="text1"/>
          <w:sz w:val="24"/>
          <w:highlight w:val="none"/>
          <w:lang w:val="en-US" w:eastAsia="zh-CN"/>
          <w14:textFill>
            <w14:solidFill>
              <w14:schemeClr w14:val="tx1"/>
            </w14:solidFill>
          </w14:textFill>
        </w:rPr>
      </w:pPr>
      <w:bookmarkStart w:id="208" w:name="_Toc7463"/>
      <w:r>
        <w:rPr>
          <w:rFonts w:hint="eastAsia" w:ascii="仿宋" w:hAnsi="仿宋" w:eastAsia="仿宋" w:cs="仿宋"/>
          <w:b/>
          <w:color w:val="000000" w:themeColor="text1"/>
          <w:sz w:val="24"/>
          <w:highlight w:val="none"/>
          <w:lang w:val="en-US" w:eastAsia="zh-CN"/>
          <w14:textFill>
            <w14:solidFill>
              <w14:schemeClr w14:val="tx1"/>
            </w14:solidFill>
          </w14:textFill>
        </w:rPr>
        <w:t>（七）组织架构方案</w:t>
      </w:r>
      <w:bookmarkEnd w:id="208"/>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ind w:firstLine="480" w:firstLineChars="200"/>
        <w:textAlignment w:val="baseline"/>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供应商针对本项目有合理的项目组织架构、固定的服务班底并设置分项专一工作小组，明确对接人（包括但不限于</w:t>
      </w:r>
      <w:r>
        <w:rPr>
          <w:rFonts w:hint="eastAsia" w:ascii="仿宋" w:hAnsi="仿宋" w:eastAsia="仿宋" w:cs="仿宋"/>
          <w:b w:val="0"/>
          <w:kern w:val="2"/>
          <w:sz w:val="24"/>
          <w:szCs w:val="24"/>
          <w:highlight w:val="none"/>
          <w:lang w:val="en-US" w:eastAsia="zh-CN" w:bidi="ar-SA"/>
        </w:rPr>
        <w:t>项目负责人、设计师、施工负责人、其他项目团队等</w:t>
      </w:r>
      <w:r>
        <w:rPr>
          <w:rFonts w:hint="eastAsia" w:ascii="仿宋" w:hAnsi="仿宋" w:eastAsia="仿宋" w:cs="仿宋"/>
          <w:b w:val="0"/>
          <w:bCs w:val="0"/>
          <w:color w:val="auto"/>
          <w:sz w:val="24"/>
          <w:szCs w:val="24"/>
          <w:highlight w:val="none"/>
          <w:lang w:val="en-US" w:eastAsia="zh-CN"/>
        </w:rPr>
        <w:t>）。</w:t>
      </w:r>
    </w:p>
    <w:p>
      <w:pPr>
        <w:rPr>
          <w:rFonts w:hint="eastAsia"/>
          <w:highlight w:val="none"/>
          <w:lang w:val="en-US" w:eastAsia="zh-CN"/>
        </w:rPr>
      </w:pPr>
    </w:p>
    <w:p>
      <w:pPr>
        <w:pStyle w:val="7"/>
        <w:rPr>
          <w:highlight w:val="none"/>
          <w:lang w:eastAsia="zh-CN"/>
        </w:rPr>
      </w:pPr>
    </w:p>
    <w:p>
      <w:pPr>
        <w:pStyle w:val="7"/>
        <w:ind w:firstLine="560"/>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outlineLvl w:val="2"/>
        <w:rPr>
          <w:rFonts w:hint="eastAsia" w:ascii="仿宋" w:hAnsi="仿宋" w:eastAsia="仿宋" w:cs="仿宋"/>
          <w:b/>
          <w:color w:val="000000" w:themeColor="text1"/>
          <w:sz w:val="24"/>
          <w:highlight w:val="none"/>
          <w:lang w:val="en-US" w:eastAsia="zh-CN"/>
          <w14:textFill>
            <w14:solidFill>
              <w14:schemeClr w14:val="tx1"/>
            </w14:solidFill>
          </w14:textFill>
        </w:rPr>
      </w:pPr>
      <w:bookmarkStart w:id="209" w:name="_Toc32567"/>
      <w:bookmarkStart w:id="210" w:name="_Toc3238"/>
      <w:bookmarkStart w:id="211" w:name="_Toc22554418"/>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八</w:t>
      </w:r>
      <w:r>
        <w:rPr>
          <w:rFonts w:hint="eastAsia" w:ascii="仿宋" w:hAnsi="仿宋" w:eastAsia="仿宋" w:cs="仿宋"/>
          <w:b/>
          <w:color w:val="000000" w:themeColor="text1"/>
          <w:sz w:val="24"/>
          <w:highlight w:val="none"/>
          <w:lang w:eastAsia="zh-CN"/>
          <w14:textFill>
            <w14:solidFill>
              <w14:schemeClr w14:val="tx1"/>
            </w14:solidFill>
          </w14:textFill>
        </w:rPr>
        <w:t>）</w:t>
      </w:r>
      <w:bookmarkEnd w:id="209"/>
      <w:r>
        <w:rPr>
          <w:rFonts w:hint="eastAsia" w:ascii="仿宋" w:hAnsi="仿宋" w:eastAsia="仿宋" w:cs="仿宋"/>
          <w:b/>
          <w:color w:val="000000" w:themeColor="text1"/>
          <w:sz w:val="24"/>
          <w:highlight w:val="none"/>
          <w:lang w:eastAsia="zh-CN"/>
          <w14:textFill>
            <w14:solidFill>
              <w14:schemeClr w14:val="tx1"/>
            </w14:solidFill>
          </w14:textFill>
        </w:rPr>
        <w:t>总体</w:t>
      </w:r>
      <w:r>
        <w:rPr>
          <w:rFonts w:hint="eastAsia" w:ascii="仿宋" w:hAnsi="仿宋" w:eastAsia="仿宋" w:cs="仿宋"/>
          <w:b/>
          <w:color w:val="000000" w:themeColor="text1"/>
          <w:sz w:val="24"/>
          <w:highlight w:val="none"/>
          <w:lang w:val="en-US" w:eastAsia="zh-CN"/>
          <w14:textFill>
            <w14:solidFill>
              <w14:schemeClr w14:val="tx1"/>
            </w14:solidFill>
          </w14:textFill>
        </w:rPr>
        <w:t>实施</w:t>
      </w:r>
      <w:r>
        <w:rPr>
          <w:rFonts w:hint="eastAsia" w:ascii="仿宋" w:hAnsi="仿宋" w:eastAsia="仿宋" w:cs="仿宋"/>
          <w:b/>
          <w:color w:val="000000" w:themeColor="text1"/>
          <w:sz w:val="24"/>
          <w:highlight w:val="none"/>
          <w:lang w:eastAsia="zh-CN"/>
          <w14:textFill>
            <w14:solidFill>
              <w14:schemeClr w14:val="tx1"/>
            </w14:solidFill>
          </w14:textFill>
        </w:rPr>
        <w:t>方案</w:t>
      </w:r>
      <w:bookmarkEnd w:id="210"/>
    </w:p>
    <w:p>
      <w:pPr>
        <w:spacing w:before="33" w:line="301" w:lineRule="auto"/>
        <w:ind w:right="138" w:rightChars="0"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供应商根据本项目情况及评分细则制定针对本项目的合理的项目总体实施方案，包括但不限于</w:t>
      </w:r>
      <w:r>
        <w:rPr>
          <w:rFonts w:hint="eastAsia" w:ascii="仿宋" w:hAnsi="仿宋" w:eastAsia="仿宋" w:cs="仿宋"/>
          <w:color w:val="auto"/>
          <w:kern w:val="0"/>
          <w:sz w:val="24"/>
          <w:szCs w:val="24"/>
          <w:highlight w:val="none"/>
          <w:lang w:val="en-US" w:eastAsia="zh-CN" w:bidi="ar-SA"/>
        </w:rPr>
        <w:t>展馆展区划分、主题设置、招展内容、配套活动方案</w:t>
      </w:r>
      <w:r>
        <w:rPr>
          <w:rFonts w:hint="eastAsia" w:ascii="仿宋" w:hAnsi="仿宋" w:eastAsia="仿宋" w:cs="仿宋"/>
          <w:b w:val="0"/>
          <w:bCs w:val="0"/>
          <w:color w:val="auto"/>
          <w:sz w:val="24"/>
          <w:szCs w:val="24"/>
          <w:highlight w:val="none"/>
          <w:lang w:val="en-US" w:eastAsia="zh-CN"/>
        </w:rPr>
        <w:t>。</w:t>
      </w:r>
    </w:p>
    <w:p>
      <w:pPr>
        <w:pageBreakBefore w:val="0"/>
        <w:widowControl/>
        <w:kinsoku/>
        <w:wordWrap/>
        <w:overflowPunct/>
        <w:topLinePunct w:val="0"/>
        <w:autoSpaceDE/>
        <w:autoSpaceDN/>
        <w:bidi w:val="0"/>
        <w:adjustRightInd/>
        <w:snapToGrid/>
        <w:textAlignment w:val="baseline"/>
        <w:outlineLvl w:val="9"/>
        <w:rPr>
          <w:rFonts w:hint="eastAsia"/>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Style w:val="10"/>
        <w:rPr>
          <w:rFonts w:hint="eastAsia"/>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highlight w:val="none"/>
          <w:lang w:val="en-US" w:eastAsia="zh-CN"/>
        </w:rPr>
      </w:pPr>
    </w:p>
    <w:p>
      <w:pPr>
        <w:pStyle w:val="7"/>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Style w:val="7"/>
        <w:rPr>
          <w:rFonts w:hint="eastAsia"/>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highlight w:val="none"/>
          <w:lang w:eastAsia="zh-CN"/>
        </w:rPr>
      </w:pPr>
    </w:p>
    <w:bookmarkEnd w:id="211"/>
    <w:p>
      <w:pPr>
        <w:spacing w:line="579" w:lineRule="exact"/>
        <w:jc w:val="center"/>
        <w:outlineLvl w:val="2"/>
        <w:rPr>
          <w:rFonts w:hint="default" w:ascii="仿宋" w:hAnsi="仿宋" w:eastAsia="仿宋" w:cs="仿宋"/>
          <w:b/>
          <w:bCs/>
          <w:color w:val="000000" w:themeColor="text1"/>
          <w:sz w:val="28"/>
          <w:szCs w:val="28"/>
          <w:highlight w:val="none"/>
          <w:lang w:val="en-US" w:eastAsia="zh-CN"/>
          <w14:textFill>
            <w14:solidFill>
              <w14:schemeClr w14:val="tx1"/>
            </w14:solidFill>
          </w14:textFill>
        </w:rPr>
      </w:pPr>
      <w:bookmarkStart w:id="212" w:name="_Toc19116"/>
      <w:bookmarkStart w:id="213" w:name="_Toc4767"/>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九</w:t>
      </w:r>
      <w:r>
        <w:rPr>
          <w:rFonts w:hint="eastAsia" w:ascii="仿宋" w:hAnsi="仿宋" w:eastAsia="仿宋" w:cs="仿宋"/>
          <w:b/>
          <w:color w:val="000000" w:themeColor="text1"/>
          <w:sz w:val="24"/>
          <w:highlight w:val="none"/>
          <w:lang w:eastAsia="zh-CN"/>
          <w14:textFill>
            <w14:solidFill>
              <w14:schemeClr w14:val="tx1"/>
            </w14:solidFill>
          </w14:textFill>
        </w:rPr>
        <w:t>）</w:t>
      </w:r>
      <w:bookmarkEnd w:id="212"/>
      <w:r>
        <w:rPr>
          <w:rFonts w:hint="eastAsia" w:ascii="仿宋" w:hAnsi="仿宋" w:eastAsia="仿宋" w:cs="仿宋"/>
          <w:b/>
          <w:color w:val="000000" w:themeColor="text1"/>
          <w:sz w:val="24"/>
          <w:highlight w:val="none"/>
          <w:lang w:val="en-US" w:eastAsia="zh-CN"/>
          <w14:textFill>
            <w14:solidFill>
              <w14:schemeClr w14:val="tx1"/>
            </w14:solidFill>
          </w14:textFill>
        </w:rPr>
        <w:t>展馆设计搭建方案</w:t>
      </w:r>
      <w:bookmarkEnd w:id="213"/>
    </w:p>
    <w:p>
      <w:pPr>
        <w:pStyle w:val="7"/>
        <w:keepNext w:val="0"/>
        <w:keepLines w:val="0"/>
        <w:pageBreakBefore w:val="0"/>
        <w:widowControl/>
        <w:kinsoku/>
        <w:wordWrap/>
        <w:overflowPunct/>
        <w:topLinePunct w:val="0"/>
        <w:autoSpaceDE/>
        <w:autoSpaceDN/>
        <w:bidi w:val="0"/>
        <w:adjustRightInd/>
        <w:snapToGrid/>
        <w:spacing w:line="360" w:lineRule="auto"/>
        <w:ind w:firstLine="480"/>
        <w:textAlignment w:val="baseline"/>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供应商根据本项目情况及评分细则制定针对本项目的</w:t>
      </w:r>
      <w:r>
        <w:rPr>
          <w:rFonts w:hint="eastAsia" w:ascii="仿宋" w:hAnsi="仿宋" w:eastAsia="仿宋" w:cs="仿宋"/>
          <w:color w:val="auto"/>
          <w:sz w:val="24"/>
          <w:szCs w:val="24"/>
          <w:highlight w:val="none"/>
          <w:lang w:val="en-US" w:eastAsia="zh-CN"/>
        </w:rPr>
        <w:t>展馆</w:t>
      </w:r>
      <w:r>
        <w:rPr>
          <w:rFonts w:hint="eastAsia" w:ascii="仿宋" w:hAnsi="仿宋" w:eastAsia="仿宋" w:cs="仿宋"/>
          <w:color w:val="auto"/>
          <w:sz w:val="24"/>
          <w:szCs w:val="24"/>
          <w:highlight w:val="none"/>
          <w:lang w:val="en-US"/>
        </w:rPr>
        <w:t>设计搭建方案</w:t>
      </w:r>
      <w:r>
        <w:rPr>
          <w:rFonts w:hint="eastAsia" w:ascii="仿宋" w:hAnsi="仿宋" w:eastAsia="仿宋" w:cs="仿宋"/>
          <w:b w:val="0"/>
          <w:bCs w:val="0"/>
          <w:color w:val="auto"/>
          <w:sz w:val="24"/>
          <w:szCs w:val="24"/>
          <w:highlight w:val="none"/>
          <w:lang w:val="en-US" w:eastAsia="zh-CN"/>
        </w:rPr>
        <w:t>，包括但不限于以方案主题，设计理念、具体搭建方案</w:t>
      </w:r>
      <w:r>
        <w:rPr>
          <w:rFonts w:hint="eastAsia" w:ascii="仿宋" w:hAnsi="仿宋" w:eastAsia="仿宋" w:cs="仿宋"/>
          <w:b w:val="0"/>
          <w:bCs w:val="0"/>
          <w:color w:val="auto"/>
          <w:sz w:val="24"/>
          <w:szCs w:val="24"/>
          <w:highlight w:val="none"/>
          <w:lang w:val="en-US" w:eastAsia="zh-CN" w:bidi="ar-SA"/>
        </w:rPr>
        <w:t>；</w:t>
      </w: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bidi="ar-SA"/>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bidi="ar-SA"/>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bidi="ar-SA"/>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bidi="ar-SA"/>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bidi="ar-SA"/>
        </w:rPr>
      </w:pPr>
    </w:p>
    <w:p>
      <w:pPr>
        <w:pStyle w:val="10"/>
        <w:rPr>
          <w:rFonts w:hint="eastAsia" w:ascii="仿宋" w:hAnsi="仿宋" w:eastAsia="仿宋" w:cs="仿宋"/>
          <w:b w:val="0"/>
          <w:bCs w:val="0"/>
          <w:color w:val="auto"/>
          <w:sz w:val="24"/>
          <w:szCs w:val="24"/>
          <w:highlight w:val="none"/>
          <w:lang w:val="en-US" w:eastAsia="zh-CN" w:bidi="ar-SA"/>
        </w:rPr>
      </w:pPr>
    </w:p>
    <w:p>
      <w:pPr>
        <w:rPr>
          <w:rFonts w:hint="eastAsia" w:ascii="仿宋" w:hAnsi="仿宋" w:eastAsia="仿宋" w:cs="仿宋"/>
          <w:b w:val="0"/>
          <w:bCs w:val="0"/>
          <w:color w:val="auto"/>
          <w:sz w:val="24"/>
          <w:szCs w:val="24"/>
          <w:highlight w:val="none"/>
          <w:lang w:val="en-US" w:eastAsia="zh-CN" w:bidi="ar-SA"/>
        </w:rPr>
      </w:pPr>
    </w:p>
    <w:p>
      <w:pPr>
        <w:pStyle w:val="10"/>
        <w:rPr>
          <w:rFonts w:hint="eastAsia" w:ascii="仿宋" w:hAnsi="仿宋" w:eastAsia="仿宋" w:cs="仿宋"/>
          <w:b w:val="0"/>
          <w:bCs w:val="0"/>
          <w:color w:val="auto"/>
          <w:sz w:val="24"/>
          <w:szCs w:val="24"/>
          <w:highlight w:val="none"/>
          <w:lang w:val="en-US" w:eastAsia="zh-CN" w:bidi="ar-SA"/>
        </w:rPr>
      </w:pPr>
    </w:p>
    <w:p>
      <w:pPr>
        <w:spacing w:line="579" w:lineRule="exact"/>
        <w:jc w:val="center"/>
        <w:outlineLvl w:val="2"/>
        <w:rPr>
          <w:rFonts w:hint="eastAsia" w:ascii="仿宋" w:hAnsi="仿宋" w:eastAsia="仿宋" w:cs="仿宋"/>
          <w:b/>
          <w:color w:val="000000" w:themeColor="text1"/>
          <w:sz w:val="24"/>
          <w:highlight w:val="none"/>
          <w:lang w:val="en-US" w:eastAsia="zh-CN"/>
          <w14:textFill>
            <w14:solidFill>
              <w14:schemeClr w14:val="tx1"/>
            </w14:solidFill>
          </w14:textFill>
        </w:rPr>
      </w:pPr>
      <w:bookmarkStart w:id="214" w:name="_Toc22023"/>
      <w:r>
        <w:rPr>
          <w:rFonts w:hint="eastAsia" w:ascii="仿宋" w:hAnsi="仿宋" w:eastAsia="仿宋" w:cs="仿宋"/>
          <w:b/>
          <w:color w:val="000000" w:themeColor="text1"/>
          <w:sz w:val="24"/>
          <w:highlight w:val="none"/>
          <w:lang w:val="en-US" w:eastAsia="zh-CN"/>
          <w14:textFill>
            <w14:solidFill>
              <w14:schemeClr w14:val="tx1"/>
            </w14:solidFill>
          </w14:textFill>
        </w:rPr>
        <w:t>（十）质量保证措施</w:t>
      </w:r>
      <w:bookmarkEnd w:id="214"/>
    </w:p>
    <w:p>
      <w:pPr>
        <w:pStyle w:val="7"/>
        <w:ind w:firstLine="480"/>
        <w:rPr>
          <w:rFonts w:hint="default"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供应商根据本项目情况及评分细则制定针对本项目的</w:t>
      </w:r>
      <w:r>
        <w:rPr>
          <w:rFonts w:hint="eastAsia" w:ascii="仿宋" w:hAnsi="仿宋" w:eastAsia="仿宋" w:cs="仿宋"/>
          <w:b w:val="0"/>
          <w:bCs w:val="0"/>
          <w:color w:val="auto"/>
          <w:sz w:val="24"/>
          <w:szCs w:val="24"/>
          <w:highlight w:val="none"/>
          <w:lang w:val="en-US" w:eastAsia="zh-CN" w:bidi="ar-SA"/>
        </w:rPr>
        <w:t>质量保证措施，包括但不限于</w:t>
      </w:r>
      <w:r>
        <w:rPr>
          <w:rFonts w:hint="default" w:ascii="仿宋" w:hAnsi="仿宋" w:eastAsia="仿宋" w:cs="仿宋"/>
          <w:color w:val="auto"/>
          <w:sz w:val="24"/>
          <w:szCs w:val="24"/>
          <w:highlight w:val="none"/>
          <w:lang w:val="en-US" w:eastAsia="zh-CN"/>
        </w:rPr>
        <w:t>展会搭建、</w:t>
      </w:r>
      <w:r>
        <w:rPr>
          <w:rFonts w:hint="eastAsia" w:ascii="仿宋" w:hAnsi="仿宋" w:eastAsia="仿宋" w:cs="仿宋"/>
          <w:color w:val="auto"/>
          <w:sz w:val="24"/>
          <w:szCs w:val="24"/>
          <w:highlight w:val="none"/>
          <w:lang w:val="en-US" w:eastAsia="zh-CN"/>
        </w:rPr>
        <w:t>服务</w:t>
      </w:r>
      <w:r>
        <w:rPr>
          <w:rFonts w:hint="default" w:ascii="仿宋" w:hAnsi="仿宋" w:eastAsia="仿宋" w:cs="仿宋"/>
          <w:color w:val="auto"/>
          <w:sz w:val="24"/>
          <w:szCs w:val="24"/>
          <w:highlight w:val="none"/>
          <w:lang w:val="en-US" w:eastAsia="zh-CN"/>
        </w:rPr>
        <w:t>等质量保证措施</w:t>
      </w:r>
      <w:r>
        <w:rPr>
          <w:rFonts w:hint="eastAsia" w:ascii="仿宋" w:hAnsi="仿宋" w:eastAsia="仿宋" w:cs="仿宋"/>
          <w:color w:val="auto"/>
          <w:sz w:val="24"/>
          <w:szCs w:val="24"/>
          <w:highlight w:val="none"/>
          <w:lang w:val="en-US" w:eastAsia="zh-CN"/>
        </w:rPr>
        <w:t>等</w:t>
      </w:r>
    </w:p>
    <w:p>
      <w:pPr>
        <w:pStyle w:val="10"/>
        <w:rPr>
          <w:rFonts w:hint="eastAsia"/>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keepNext/>
        <w:keepLines/>
        <w:pageBreakBefore w:val="0"/>
        <w:widowControl/>
        <w:kinsoku/>
        <w:wordWrap/>
        <w:overflowPunct/>
        <w:topLinePunct w:val="0"/>
        <w:autoSpaceDE/>
        <w:autoSpaceDN/>
        <w:bidi w:val="0"/>
        <w:adjustRightInd/>
        <w:snapToGrid/>
        <w:textAlignment w:val="baseline"/>
        <w:outlineLvl w:val="9"/>
        <w:rPr>
          <w:rFonts w:hint="eastAsia"/>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highlight w:val="none"/>
          <w:lang w:val="en-US" w:eastAsia="zh-CN"/>
        </w:rPr>
      </w:pPr>
    </w:p>
    <w:p>
      <w:pPr>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val="0"/>
          <w:bCs w:val="0"/>
          <w:color w:val="auto"/>
          <w:sz w:val="24"/>
          <w:szCs w:val="24"/>
          <w:highlight w:val="none"/>
          <w:lang w:val="en-US" w:eastAsia="zh-CN"/>
        </w:rPr>
      </w:pPr>
    </w:p>
    <w:p>
      <w:pPr>
        <w:pStyle w:val="7"/>
        <w:rPr>
          <w:rFonts w:hint="eastAsia" w:ascii="仿宋" w:hAnsi="仿宋" w:eastAsia="仿宋" w:cs="仿宋"/>
          <w:b w:val="0"/>
          <w:bCs w:val="0"/>
          <w:color w:val="auto"/>
          <w:sz w:val="24"/>
          <w:szCs w:val="24"/>
          <w:highlight w:val="none"/>
          <w:lang w:val="en-US" w:eastAsia="zh-CN"/>
        </w:rPr>
      </w:pPr>
    </w:p>
    <w:p>
      <w:pPr>
        <w:spacing w:line="579" w:lineRule="exact"/>
        <w:jc w:val="center"/>
        <w:outlineLvl w:val="2"/>
        <w:rPr>
          <w:rFonts w:hint="eastAsia" w:ascii="仿宋" w:hAnsi="仿宋" w:eastAsia="仿宋" w:cs="仿宋"/>
          <w:b/>
          <w:color w:val="000000" w:themeColor="text1"/>
          <w:sz w:val="24"/>
          <w:highlight w:val="none"/>
          <w:lang w:val="en-US" w:eastAsia="zh-CN"/>
          <w14:textFill>
            <w14:solidFill>
              <w14:schemeClr w14:val="tx1"/>
            </w14:solidFill>
          </w14:textFill>
        </w:rPr>
      </w:pPr>
      <w:bookmarkStart w:id="215" w:name="_Toc21450"/>
      <w:r>
        <w:rPr>
          <w:rFonts w:hint="eastAsia" w:ascii="仿宋" w:hAnsi="仿宋" w:eastAsia="仿宋" w:cs="仿宋"/>
          <w:b/>
          <w:color w:val="000000" w:themeColor="text1"/>
          <w:sz w:val="24"/>
          <w:highlight w:val="none"/>
          <w:lang w:val="en-US" w:eastAsia="zh-CN"/>
          <w14:textFill>
            <w14:solidFill>
              <w14:schemeClr w14:val="tx1"/>
            </w14:solidFill>
          </w14:textFill>
        </w:rPr>
        <w:t>（十一）工作进度控制措施</w:t>
      </w:r>
      <w:bookmarkEnd w:id="215"/>
    </w:p>
    <w:p>
      <w:pPr>
        <w:pStyle w:val="7"/>
        <w:ind w:firstLine="48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供应商根据本项目情况及评分细则制定针对本项目的工作进度控制措施。</w:t>
      </w:r>
    </w:p>
    <w:p>
      <w:pPr>
        <w:pStyle w:val="7"/>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7"/>
        <w:pageBreakBefore w:val="0"/>
        <w:widowControl/>
        <w:kinsoku/>
        <w:wordWrap/>
        <w:overflowPunct/>
        <w:topLinePunct w:val="0"/>
        <w:autoSpaceDE/>
        <w:autoSpaceDN/>
        <w:bidi w:val="0"/>
        <w:adjustRightInd/>
        <w:snapToGrid/>
        <w:ind w:firstLine="480"/>
        <w:textAlignment w:val="baseline"/>
        <w:outlineLvl w:val="9"/>
        <w:rPr>
          <w:rFonts w:ascii="仿宋" w:hAnsi="仿宋" w:eastAsia="仿宋" w:cs="仿宋"/>
          <w:color w:val="000000" w:themeColor="text1"/>
          <w:sz w:val="24"/>
          <w:highlight w:val="none"/>
          <w:lang w:eastAsia="zh-CN" w:bidi="ar"/>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ascii="仿宋" w:hAnsi="仿宋" w:eastAsia="仿宋" w:cs="仿宋"/>
          <w:color w:val="000000" w:themeColor="text1"/>
          <w:sz w:val="24"/>
          <w:highlight w:val="none"/>
          <w:lang w:eastAsia="zh-CN" w:bidi="ar"/>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ascii="仿宋" w:hAnsi="仿宋" w:eastAsia="仿宋" w:cs="仿宋"/>
          <w:color w:val="000000" w:themeColor="text1"/>
          <w:sz w:val="24"/>
          <w:highlight w:val="none"/>
          <w:lang w:eastAsia="zh-CN" w:bidi="ar"/>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ascii="仿宋" w:hAnsi="仿宋" w:eastAsia="仿宋" w:cs="仿宋"/>
          <w:color w:val="000000" w:themeColor="text1"/>
          <w:sz w:val="24"/>
          <w:highlight w:val="none"/>
          <w:lang w:eastAsia="zh-CN" w:bidi="ar"/>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ascii="仿宋" w:hAnsi="仿宋" w:eastAsia="仿宋" w:cs="仿宋"/>
          <w:color w:val="000000" w:themeColor="text1"/>
          <w:sz w:val="24"/>
          <w:highlight w:val="none"/>
          <w:lang w:eastAsia="zh-CN" w:bidi="ar"/>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ascii="仿宋" w:hAnsi="仿宋" w:eastAsia="仿宋" w:cs="仿宋"/>
          <w:color w:val="000000" w:themeColor="text1"/>
          <w:sz w:val="24"/>
          <w:highlight w:val="none"/>
          <w:lang w:eastAsia="zh-CN" w:bidi="ar"/>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rFonts w:ascii="仿宋" w:hAnsi="仿宋" w:eastAsia="仿宋" w:cs="仿宋"/>
          <w:color w:val="000000" w:themeColor="text1"/>
          <w:sz w:val="24"/>
          <w:highlight w:val="none"/>
          <w:lang w:eastAsia="zh-CN" w:bidi="ar"/>
          <w14:textFill>
            <w14:solidFill>
              <w14:schemeClr w14:val="tx1"/>
            </w14:solidFill>
          </w14:textFill>
        </w:rPr>
      </w:pPr>
    </w:p>
    <w:p>
      <w:pPr>
        <w:pageBreakBefore w:val="0"/>
        <w:widowControl/>
        <w:kinsoku/>
        <w:wordWrap/>
        <w:overflowPunct/>
        <w:topLinePunct w:val="0"/>
        <w:autoSpaceDE/>
        <w:autoSpaceDN/>
        <w:bidi w:val="0"/>
        <w:adjustRightInd/>
        <w:snapToGrid/>
        <w:textAlignment w:val="baseline"/>
        <w:outlineLvl w:val="9"/>
        <w:rPr>
          <w:highlight w:val="none"/>
          <w:lang w:eastAsia="zh-CN"/>
        </w:rPr>
      </w:pPr>
    </w:p>
    <w:p>
      <w:pPr>
        <w:keepNext/>
        <w:keepLines/>
        <w:pageBreakBefore w:val="0"/>
        <w:widowControl/>
        <w:kinsoku/>
        <w:wordWrap/>
        <w:overflowPunct/>
        <w:topLinePunct w:val="0"/>
        <w:autoSpaceDE/>
        <w:autoSpaceDN/>
        <w:bidi w:val="0"/>
        <w:adjustRightInd/>
        <w:snapToGrid/>
        <w:textAlignment w:val="baseline"/>
        <w:outlineLvl w:val="9"/>
        <w:rPr>
          <w:highlight w:val="none"/>
          <w:lang w:eastAsia="zh-CN"/>
        </w:rPr>
      </w:pPr>
    </w:p>
    <w:p>
      <w:pPr>
        <w:spacing w:line="579" w:lineRule="exact"/>
        <w:jc w:val="center"/>
        <w:outlineLvl w:val="2"/>
        <w:rPr>
          <w:rFonts w:hint="eastAsia" w:ascii="仿宋" w:hAnsi="仿宋" w:eastAsia="仿宋" w:cs="仿宋"/>
          <w:b/>
          <w:color w:val="000000" w:themeColor="text1"/>
          <w:sz w:val="24"/>
          <w:highlight w:val="none"/>
          <w:lang w:val="en-US" w:eastAsia="zh-CN"/>
          <w14:textFill>
            <w14:solidFill>
              <w14:schemeClr w14:val="tx1"/>
            </w14:solidFill>
          </w14:textFill>
        </w:rPr>
      </w:pPr>
      <w:bookmarkStart w:id="216" w:name="_Toc27324"/>
      <w:r>
        <w:rPr>
          <w:rFonts w:hint="eastAsia" w:ascii="仿宋" w:hAnsi="仿宋" w:eastAsia="仿宋" w:cs="仿宋"/>
          <w:b/>
          <w:color w:val="000000" w:themeColor="text1"/>
          <w:sz w:val="24"/>
          <w:highlight w:val="none"/>
          <w:lang w:val="en-US" w:eastAsia="zh-CN"/>
          <w14:textFill>
            <w14:solidFill>
              <w14:schemeClr w14:val="tx1"/>
            </w14:solidFill>
          </w14:textFill>
        </w:rPr>
        <w:t>（十二）应急预备方案</w:t>
      </w:r>
      <w:bookmarkEnd w:id="216"/>
    </w:p>
    <w:p>
      <w:pPr>
        <w:pStyle w:val="7"/>
        <w:ind w:firstLine="48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供应商根据本项目情况及评分细则制定针对本项目的应急预备方案。</w:t>
      </w:r>
    </w:p>
    <w:p>
      <w:pPr>
        <w:pStyle w:val="7"/>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7"/>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7"/>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7"/>
        <w:ind w:firstLine="480"/>
        <w:rPr>
          <w:rFonts w:ascii="仿宋" w:hAnsi="仿宋" w:eastAsia="仿宋" w:cs="仿宋"/>
          <w:color w:val="000000" w:themeColor="text1"/>
          <w:sz w:val="24"/>
          <w:highlight w:val="none"/>
          <w:lang w:eastAsia="zh-CN" w:bidi="ar"/>
          <w14:textFill>
            <w14:solidFill>
              <w14:schemeClr w14:val="tx1"/>
            </w14:solidFill>
          </w14:textFill>
        </w:rPr>
      </w:pPr>
    </w:p>
    <w:p>
      <w:pPr>
        <w:ind w:firstLine="480" w:firstLineChars="200"/>
        <w:jc w:val="both"/>
        <w:rPr>
          <w:rFonts w:hint="eastAsia" w:ascii="仿宋" w:hAnsi="仿宋" w:eastAsia="仿宋" w:cs="仿宋"/>
          <w:b w:val="0"/>
          <w:bCs w:val="0"/>
          <w:color w:val="auto"/>
          <w:sz w:val="24"/>
          <w:szCs w:val="24"/>
          <w:highlight w:val="none"/>
          <w:lang w:val="en-US" w:eastAsia="zh-CN"/>
        </w:rPr>
      </w:pPr>
    </w:p>
    <w:p>
      <w:pPr>
        <w:pStyle w:val="7"/>
        <w:rPr>
          <w:rFonts w:hint="eastAsia" w:ascii="仿宋" w:hAnsi="仿宋" w:eastAsia="仿宋" w:cs="仿宋"/>
          <w:b w:val="0"/>
          <w:bCs w:val="0"/>
          <w:color w:val="auto"/>
          <w:sz w:val="24"/>
          <w:szCs w:val="24"/>
          <w:highlight w:val="none"/>
          <w:lang w:val="en-US" w:eastAsia="zh-CN"/>
        </w:rPr>
      </w:pPr>
    </w:p>
    <w:p>
      <w:pPr>
        <w:rPr>
          <w:rFonts w:hint="eastAsia" w:ascii="仿宋" w:hAnsi="仿宋" w:eastAsia="仿宋" w:cs="仿宋"/>
          <w:b w:val="0"/>
          <w:bCs w:val="0"/>
          <w:color w:val="auto"/>
          <w:sz w:val="24"/>
          <w:szCs w:val="24"/>
          <w:highlight w:val="none"/>
          <w:lang w:val="en-US" w:eastAsia="zh-CN"/>
        </w:rPr>
      </w:pPr>
    </w:p>
    <w:p>
      <w:pPr>
        <w:pStyle w:val="10"/>
        <w:rPr>
          <w:rFonts w:hint="eastAsia" w:ascii="仿宋" w:hAnsi="仿宋" w:eastAsia="仿宋" w:cs="仿宋"/>
          <w:b w:val="0"/>
          <w:bCs w:val="0"/>
          <w:color w:val="auto"/>
          <w:sz w:val="24"/>
          <w:szCs w:val="24"/>
          <w:highlight w:val="none"/>
          <w:lang w:val="en-US" w:eastAsia="zh-CN"/>
        </w:rPr>
      </w:pPr>
    </w:p>
    <w:p>
      <w:pPr>
        <w:rPr>
          <w:rFonts w:hint="eastAsia" w:ascii="仿宋" w:hAnsi="仿宋" w:eastAsia="仿宋" w:cs="仿宋"/>
          <w:b w:val="0"/>
          <w:bCs w:val="0"/>
          <w:color w:val="auto"/>
          <w:sz w:val="24"/>
          <w:szCs w:val="24"/>
          <w:highlight w:val="none"/>
          <w:lang w:val="en-US" w:eastAsia="zh-CN"/>
        </w:rPr>
      </w:pPr>
    </w:p>
    <w:p>
      <w:pPr>
        <w:pStyle w:val="10"/>
        <w:rPr>
          <w:rFonts w:hint="eastAsia" w:ascii="仿宋" w:hAnsi="仿宋" w:eastAsia="仿宋" w:cs="仿宋"/>
          <w:b w:val="0"/>
          <w:bCs w:val="0"/>
          <w:color w:val="auto"/>
          <w:sz w:val="24"/>
          <w:szCs w:val="24"/>
          <w:highlight w:val="none"/>
          <w:lang w:val="en-US" w:eastAsia="zh-CN"/>
        </w:rPr>
      </w:pPr>
    </w:p>
    <w:p>
      <w:pPr>
        <w:rPr>
          <w:rFonts w:hint="eastAsia" w:ascii="仿宋" w:hAnsi="仿宋" w:eastAsia="仿宋" w:cs="仿宋"/>
          <w:b w:val="0"/>
          <w:bCs w:val="0"/>
          <w:color w:val="auto"/>
          <w:sz w:val="24"/>
          <w:szCs w:val="24"/>
          <w:highlight w:val="none"/>
          <w:lang w:val="en-US" w:eastAsia="zh-CN"/>
        </w:rPr>
      </w:pPr>
    </w:p>
    <w:p>
      <w:pPr>
        <w:pStyle w:val="10"/>
        <w:rPr>
          <w:rFonts w:hint="eastAsia"/>
          <w:highlight w:val="none"/>
          <w:lang w:val="en-US" w:eastAsia="zh-CN"/>
        </w:rPr>
      </w:pPr>
    </w:p>
    <w:p>
      <w:pPr>
        <w:spacing w:line="579" w:lineRule="exact"/>
        <w:jc w:val="center"/>
        <w:outlineLvl w:val="2"/>
        <w:rPr>
          <w:rFonts w:hint="eastAsia" w:ascii="仿宋" w:hAnsi="仿宋" w:eastAsia="仿宋" w:cs="仿宋"/>
          <w:b/>
          <w:color w:val="000000" w:themeColor="text1"/>
          <w:sz w:val="24"/>
          <w:highlight w:val="none"/>
          <w:lang w:val="en-US" w:eastAsia="zh-CN"/>
          <w14:textFill>
            <w14:solidFill>
              <w14:schemeClr w14:val="tx1"/>
            </w14:solidFill>
          </w14:textFill>
        </w:rPr>
      </w:pPr>
      <w:bookmarkStart w:id="217" w:name="_Toc31910"/>
      <w:r>
        <w:rPr>
          <w:rFonts w:hint="eastAsia" w:ascii="仿宋" w:hAnsi="仿宋" w:eastAsia="仿宋" w:cs="仿宋"/>
          <w:b/>
          <w:color w:val="000000" w:themeColor="text1"/>
          <w:sz w:val="24"/>
          <w:highlight w:val="none"/>
          <w:lang w:val="en-US" w:eastAsia="zh-CN"/>
          <w14:textFill>
            <w14:solidFill>
              <w14:schemeClr w14:val="tx1"/>
            </w14:solidFill>
          </w14:textFill>
        </w:rPr>
        <w:t>（十三）配套服务措施</w:t>
      </w:r>
      <w:bookmarkEnd w:id="217"/>
    </w:p>
    <w:p>
      <w:pPr>
        <w:pStyle w:val="7"/>
        <w:ind w:firstLine="48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供应商根据本项目情况及评分细则制定针对本项目的</w:t>
      </w:r>
      <w:r>
        <w:rPr>
          <w:rFonts w:hint="eastAsia" w:ascii="仿宋" w:hAnsi="仿宋" w:eastAsia="仿宋" w:cs="仿宋"/>
          <w:color w:val="auto"/>
          <w:sz w:val="24"/>
          <w:szCs w:val="24"/>
          <w:highlight w:val="none"/>
          <w:lang w:val="en-US" w:eastAsia="zh-CN"/>
        </w:rPr>
        <w:t>配套服务措施</w:t>
      </w:r>
      <w:r>
        <w:rPr>
          <w:rFonts w:hint="eastAsia" w:ascii="仿宋" w:hAnsi="仿宋" w:eastAsia="仿宋" w:cs="仿宋"/>
          <w:b w:val="0"/>
          <w:bCs w:val="0"/>
          <w:color w:val="auto"/>
          <w:sz w:val="24"/>
          <w:szCs w:val="24"/>
          <w:highlight w:val="none"/>
          <w:lang w:val="en-US" w:eastAsia="zh-CN"/>
        </w:rPr>
        <w:t>。</w:t>
      </w:r>
    </w:p>
    <w:p>
      <w:pPr>
        <w:pStyle w:val="7"/>
        <w:rPr>
          <w:rFonts w:hint="eastAsia" w:ascii="仿宋" w:hAnsi="仿宋" w:eastAsia="仿宋" w:cs="仿宋"/>
          <w:b w:val="0"/>
          <w:bCs w:val="0"/>
          <w:color w:val="auto"/>
          <w:sz w:val="24"/>
          <w:szCs w:val="24"/>
          <w:highlight w:val="none"/>
          <w:lang w:val="en-US" w:eastAsia="zh-CN"/>
        </w:rPr>
      </w:pPr>
    </w:p>
    <w:p>
      <w:pPr>
        <w:rPr>
          <w:rFonts w:hint="eastAsia" w:ascii="仿宋" w:hAnsi="仿宋" w:eastAsia="仿宋" w:cs="仿宋"/>
          <w:b w:val="0"/>
          <w:bCs w:val="0"/>
          <w:color w:val="auto"/>
          <w:sz w:val="24"/>
          <w:szCs w:val="24"/>
          <w:highlight w:val="none"/>
          <w:lang w:val="en-US" w:eastAsia="zh-CN"/>
        </w:rPr>
      </w:pPr>
    </w:p>
    <w:p>
      <w:pPr>
        <w:pStyle w:val="7"/>
        <w:rPr>
          <w:rFonts w:hint="eastAsia" w:ascii="仿宋" w:hAnsi="仿宋" w:eastAsia="仿宋" w:cs="仿宋"/>
          <w:b w:val="0"/>
          <w:bCs w:val="0"/>
          <w:color w:val="auto"/>
          <w:sz w:val="24"/>
          <w:szCs w:val="24"/>
          <w:highlight w:val="none"/>
          <w:lang w:val="en-US" w:eastAsia="zh-CN"/>
        </w:rPr>
      </w:pPr>
    </w:p>
    <w:p>
      <w:pPr>
        <w:rPr>
          <w:rFonts w:hint="eastAsia" w:ascii="仿宋" w:hAnsi="仿宋" w:eastAsia="仿宋" w:cs="仿宋"/>
          <w:b w:val="0"/>
          <w:bCs w:val="0"/>
          <w:color w:val="auto"/>
          <w:sz w:val="24"/>
          <w:szCs w:val="24"/>
          <w:highlight w:val="none"/>
          <w:lang w:val="en-US" w:eastAsia="zh-CN"/>
        </w:rPr>
      </w:pPr>
    </w:p>
    <w:p>
      <w:pPr>
        <w:pStyle w:val="10"/>
        <w:rPr>
          <w:rFonts w:hint="eastAsia" w:ascii="仿宋" w:hAnsi="仿宋" w:eastAsia="仿宋" w:cs="仿宋"/>
          <w:b w:val="0"/>
          <w:bCs w:val="0"/>
          <w:color w:val="auto"/>
          <w:sz w:val="24"/>
          <w:szCs w:val="24"/>
          <w:highlight w:val="none"/>
          <w:lang w:val="en-US" w:eastAsia="zh-CN"/>
        </w:rPr>
      </w:pPr>
    </w:p>
    <w:p>
      <w:pPr>
        <w:pStyle w:val="11"/>
        <w:rPr>
          <w:rFonts w:hint="eastAsia" w:ascii="仿宋" w:hAnsi="仿宋" w:eastAsia="仿宋" w:cs="仿宋"/>
          <w:b w:val="0"/>
          <w:bCs w:val="0"/>
          <w:color w:val="auto"/>
          <w:sz w:val="24"/>
          <w:szCs w:val="24"/>
          <w:highlight w:val="none"/>
          <w:lang w:val="en-US" w:eastAsia="zh-CN"/>
        </w:rPr>
      </w:pPr>
    </w:p>
    <w:p>
      <w:pPr>
        <w:pStyle w:val="8"/>
        <w:rPr>
          <w:rFonts w:hint="eastAsia" w:ascii="仿宋" w:hAnsi="仿宋" w:eastAsia="仿宋" w:cs="仿宋"/>
          <w:b w:val="0"/>
          <w:bCs w:val="0"/>
          <w:color w:val="auto"/>
          <w:sz w:val="24"/>
          <w:szCs w:val="24"/>
          <w:highlight w:val="none"/>
          <w:lang w:val="en-US" w:eastAsia="zh-CN"/>
        </w:rPr>
      </w:pPr>
    </w:p>
    <w:p>
      <w:pPr>
        <w:rPr>
          <w:rFonts w:hint="eastAsia" w:ascii="仿宋" w:hAnsi="仿宋" w:eastAsia="仿宋" w:cs="仿宋"/>
          <w:b w:val="0"/>
          <w:bCs w:val="0"/>
          <w:color w:val="auto"/>
          <w:sz w:val="24"/>
          <w:szCs w:val="24"/>
          <w:highlight w:val="none"/>
          <w:lang w:val="en-US" w:eastAsia="zh-CN"/>
        </w:rPr>
      </w:pPr>
    </w:p>
    <w:p>
      <w:pPr>
        <w:pStyle w:val="10"/>
        <w:rPr>
          <w:rFonts w:hint="eastAsia" w:ascii="仿宋" w:hAnsi="仿宋" w:eastAsia="仿宋" w:cs="仿宋"/>
          <w:b w:val="0"/>
          <w:bCs w:val="0"/>
          <w:color w:val="auto"/>
          <w:sz w:val="24"/>
          <w:szCs w:val="24"/>
          <w:highlight w:val="none"/>
          <w:lang w:val="en-US" w:eastAsia="zh-CN"/>
        </w:rPr>
      </w:pPr>
    </w:p>
    <w:p>
      <w:pPr>
        <w:pStyle w:val="11"/>
        <w:rPr>
          <w:rFonts w:hint="eastAsia" w:ascii="仿宋" w:hAnsi="仿宋" w:eastAsia="仿宋" w:cs="仿宋"/>
          <w:b w:val="0"/>
          <w:bCs w:val="0"/>
          <w:color w:val="auto"/>
          <w:sz w:val="24"/>
          <w:szCs w:val="24"/>
          <w:highlight w:val="none"/>
          <w:lang w:val="en-US" w:eastAsia="zh-CN"/>
        </w:rPr>
      </w:pPr>
    </w:p>
    <w:p>
      <w:pPr>
        <w:pStyle w:val="8"/>
        <w:rPr>
          <w:rFonts w:hint="eastAsia" w:ascii="仿宋" w:hAnsi="仿宋" w:eastAsia="仿宋" w:cs="仿宋"/>
          <w:b w:val="0"/>
          <w:bCs w:val="0"/>
          <w:color w:val="auto"/>
          <w:sz w:val="24"/>
          <w:szCs w:val="24"/>
          <w:highlight w:val="none"/>
          <w:lang w:val="en-US" w:eastAsia="zh-CN"/>
        </w:rPr>
      </w:pPr>
    </w:p>
    <w:p>
      <w:pPr>
        <w:rPr>
          <w:rFonts w:hint="eastAsia" w:ascii="仿宋" w:hAnsi="仿宋" w:eastAsia="仿宋" w:cs="仿宋"/>
          <w:b w:val="0"/>
          <w:bCs w:val="0"/>
          <w:color w:val="auto"/>
          <w:sz w:val="24"/>
          <w:szCs w:val="24"/>
          <w:highlight w:val="none"/>
          <w:lang w:val="en-US" w:eastAsia="zh-CN"/>
        </w:rPr>
      </w:pPr>
    </w:p>
    <w:p>
      <w:pPr>
        <w:pStyle w:val="10"/>
        <w:rPr>
          <w:rFonts w:hint="eastAsia"/>
          <w:highlight w:val="none"/>
          <w:lang w:val="en-US" w:eastAsia="zh-CN"/>
        </w:rPr>
      </w:pPr>
    </w:p>
    <w:p>
      <w:pPr>
        <w:rPr>
          <w:rFonts w:hint="eastAsia" w:ascii="仿宋" w:hAnsi="仿宋" w:eastAsia="仿宋" w:cs="仿宋"/>
          <w:b w:val="0"/>
          <w:bCs w:val="0"/>
          <w:color w:val="auto"/>
          <w:sz w:val="24"/>
          <w:szCs w:val="24"/>
          <w:highlight w:val="none"/>
          <w:lang w:val="en-US" w:eastAsia="zh-CN"/>
        </w:rPr>
      </w:pPr>
    </w:p>
    <w:p>
      <w:pPr>
        <w:pStyle w:val="7"/>
        <w:rPr>
          <w:rFonts w:hint="eastAsia" w:ascii="仿宋" w:hAnsi="仿宋" w:eastAsia="仿宋" w:cs="仿宋"/>
          <w:b w:val="0"/>
          <w:bCs w:val="0"/>
          <w:color w:val="auto"/>
          <w:sz w:val="24"/>
          <w:szCs w:val="24"/>
          <w:highlight w:val="none"/>
          <w:lang w:val="en-US" w:eastAsia="zh-CN"/>
        </w:rPr>
      </w:pPr>
    </w:p>
    <w:p>
      <w:pPr>
        <w:rPr>
          <w:rFonts w:hint="eastAsia" w:ascii="仿宋" w:hAnsi="仿宋" w:eastAsia="仿宋" w:cs="仿宋"/>
          <w:b w:val="0"/>
          <w:bCs w:val="0"/>
          <w:color w:val="auto"/>
          <w:sz w:val="24"/>
          <w:szCs w:val="24"/>
          <w:highlight w:val="none"/>
          <w:lang w:val="en-US" w:eastAsia="zh-CN"/>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18" w:name="_Toc22758"/>
      <w:bookmarkStart w:id="219" w:name="_Toc4701"/>
      <w:bookmarkStart w:id="220" w:name="_Toc27739"/>
      <w:bookmarkStart w:id="221" w:name="_Toc24900"/>
      <w:bookmarkStart w:id="222" w:name="_Toc6047"/>
      <w:bookmarkStart w:id="223" w:name="_Toc22554422"/>
      <w:bookmarkStart w:id="224" w:name="_Toc3891661"/>
      <w:bookmarkStart w:id="225" w:name="_Toc2340579"/>
      <w:r>
        <w:rPr>
          <w:rFonts w:hint="eastAsia" w:ascii="仿宋" w:hAnsi="仿宋" w:eastAsia="仿宋" w:cs="仿宋"/>
          <w:b/>
          <w:color w:val="000000" w:themeColor="text1"/>
          <w:sz w:val="24"/>
          <w:highlight w:val="none"/>
          <w:lang w:eastAsia="zh-CN"/>
          <w14:textFill>
            <w14:solidFill>
              <w14:schemeClr w14:val="tx1"/>
            </w14:solidFill>
          </w14:textFill>
        </w:rPr>
        <w:t>（十</w:t>
      </w:r>
      <w:r>
        <w:rPr>
          <w:rFonts w:hint="eastAsia" w:ascii="仿宋" w:hAnsi="仿宋" w:eastAsia="仿宋" w:cs="仿宋"/>
          <w:b/>
          <w:color w:val="000000" w:themeColor="text1"/>
          <w:sz w:val="24"/>
          <w:highlight w:val="none"/>
          <w:lang w:val="en-US" w:eastAsia="zh-CN"/>
          <w14:textFill>
            <w14:solidFill>
              <w14:schemeClr w14:val="tx1"/>
            </w14:solidFill>
          </w14:textFill>
        </w:rPr>
        <w:t>四</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商务</w:t>
      </w:r>
      <w:r>
        <w:rPr>
          <w:rFonts w:hint="eastAsia" w:ascii="仿宋" w:hAnsi="仿宋" w:eastAsia="仿宋" w:cs="仿宋"/>
          <w:b/>
          <w:color w:val="000000" w:themeColor="text1"/>
          <w:sz w:val="24"/>
          <w:highlight w:val="none"/>
          <w:lang w:eastAsia="zh-CN"/>
          <w14:textFill>
            <w14:solidFill>
              <w14:schemeClr w14:val="tx1"/>
            </w14:solidFill>
          </w14:textFill>
        </w:rPr>
        <w:t>条款偏离表</w:t>
      </w:r>
      <w:bookmarkEnd w:id="218"/>
      <w:bookmarkEnd w:id="219"/>
      <w:bookmarkEnd w:id="220"/>
      <w:bookmarkEnd w:id="221"/>
      <w:bookmarkEnd w:id="222"/>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项目名称：</w:t>
      </w:r>
    </w:p>
    <w:p>
      <w:pPr>
        <w:spacing w:line="579" w:lineRule="exact"/>
        <w:ind w:firstLine="480" w:firstLineChars="200"/>
        <w:rPr>
          <w:rFonts w:hint="default"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 xml:space="preserve"> </w:t>
      </w:r>
    </w:p>
    <w:tbl>
      <w:tblPr>
        <w:tblStyle w:val="25"/>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bl>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注：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1. 供应商应仔细研读、对照磋商文件规定的要求，偏离部分必须在上表中填写，并说明偏离情况。如不填写视同全部满足</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文件要求。</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 2. 供应商承诺：除本表响应的偏离项目及内容外，其他所有项目及内容均完全与</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文件的</w:t>
      </w: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商务</w:t>
      </w:r>
      <w:r>
        <w:rPr>
          <w:rFonts w:hint="eastAsia" w:ascii="仿宋" w:hAnsi="仿宋" w:eastAsia="仿宋" w:cs="仿宋"/>
          <w:color w:val="000000" w:themeColor="text1"/>
          <w:sz w:val="24"/>
          <w:szCs w:val="20"/>
          <w:highlight w:val="none"/>
          <w:lang w:eastAsia="zh-CN" w:bidi="ar"/>
          <w14:textFill>
            <w14:solidFill>
              <w14:schemeClr w14:val="tx1"/>
            </w14:solidFill>
          </w14:textFill>
        </w:rPr>
        <w:t>服务要求相同。</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3. 如供应商与要求完全一致，须在上表中注明“完全响应，无偏离”。</w:t>
      </w:r>
    </w:p>
    <w:p>
      <w:pPr>
        <w:spacing w:line="579" w:lineRule="exact"/>
        <w:ind w:firstLine="480" w:firstLineChars="200"/>
        <w:rPr>
          <w:rFonts w:hint="eastAsia"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 如有偏离，应注明“正偏离”或“负偏离”，并针对偏离项进行详细说明。</w:t>
      </w:r>
    </w:p>
    <w:p>
      <w:pPr>
        <w:keepNext w:val="0"/>
        <w:keepLines w:val="0"/>
        <w:pageBreakBefore w:val="0"/>
        <w:widowControl/>
        <w:kinsoku/>
        <w:wordWrap/>
        <w:overflowPunct/>
        <w:topLinePunct w:val="0"/>
        <w:autoSpaceDE/>
        <w:autoSpaceDN/>
        <w:bidi w:val="0"/>
        <w:adjustRightInd/>
        <w:snapToGrid/>
        <w:outlineLvl w:val="9"/>
        <w:rPr>
          <w:highlight w:val="none"/>
          <w:lang w:eastAsia="zh-CN"/>
        </w:rPr>
      </w:pPr>
    </w:p>
    <w:p>
      <w:pPr>
        <w:pStyle w:val="23"/>
        <w:keepNext w:val="0"/>
        <w:keepLines w:val="0"/>
        <w:pageBreakBefore w:val="0"/>
        <w:widowControl/>
        <w:kinsoku/>
        <w:wordWrap/>
        <w:overflowPunct/>
        <w:topLinePunct w:val="0"/>
        <w:autoSpaceDE/>
        <w:autoSpaceDN/>
        <w:bidi w:val="0"/>
        <w:adjustRightInd/>
        <w:snapToGrid/>
        <w:spacing w:after="0" w:line="579" w:lineRule="exact"/>
        <w:ind w:firstLine="240"/>
        <w:outlineLvl w:val="9"/>
        <w:rPr>
          <w:rFonts w:hint="default" w:ascii="仿宋" w:hAnsi="仿宋" w:eastAsia="仿宋" w:cs="仿宋"/>
          <w:color w:val="000000" w:themeColor="text1"/>
          <w:highlight w:val="none"/>
          <w:lang w:eastAsia="zh-CN"/>
          <w14:textFill>
            <w14:solidFill>
              <w14:schemeClr w14:val="tx1"/>
            </w14:solidFill>
          </w14:textFill>
        </w:rPr>
      </w:pPr>
    </w:p>
    <w:p>
      <w:pPr>
        <w:pStyle w:val="23"/>
        <w:keepNext w:val="0"/>
        <w:keepLines w:val="0"/>
        <w:pageBreakBefore w:val="0"/>
        <w:widowControl/>
        <w:kinsoku/>
        <w:wordWrap/>
        <w:overflowPunct/>
        <w:topLinePunct w:val="0"/>
        <w:autoSpaceDE/>
        <w:autoSpaceDN/>
        <w:bidi w:val="0"/>
        <w:adjustRightInd/>
        <w:snapToGrid/>
        <w:spacing w:after="0" w:line="579" w:lineRule="exact"/>
        <w:ind w:firstLine="240"/>
        <w:outlineLvl w:val="9"/>
        <w:rPr>
          <w:rFonts w:hint="default" w:ascii="仿宋" w:hAnsi="仿宋" w:eastAsia="仿宋" w:cs="仿宋"/>
          <w:color w:val="000000" w:themeColor="text1"/>
          <w:highlight w:val="none"/>
          <w:lang w:eastAsia="zh-CN"/>
          <w14:textFill>
            <w14:solidFill>
              <w14:schemeClr w14:val="tx1"/>
            </w14:solidFill>
          </w14:textFill>
        </w:rPr>
      </w:pPr>
    </w:p>
    <w:p>
      <w:pPr>
        <w:rPr>
          <w:rFonts w:hint="default" w:ascii="仿宋" w:hAnsi="仿宋" w:eastAsia="仿宋" w:cs="仿宋"/>
          <w:color w:val="000000" w:themeColor="text1"/>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highlight w:val="none"/>
          <w:lang w:eastAsia="zh-CN"/>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hint="eastAsia"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keepNext w:val="0"/>
        <w:keepLines w:val="0"/>
        <w:pageBreakBefore w:val="0"/>
        <w:widowControl/>
        <w:kinsoku/>
        <w:wordWrap/>
        <w:overflowPunct/>
        <w:topLinePunct w:val="0"/>
        <w:autoSpaceDE/>
        <w:autoSpaceDN/>
        <w:bidi w:val="0"/>
        <w:adjustRightInd/>
        <w:snapToGrid/>
        <w:textAlignment w:val="auto"/>
        <w:outlineLvl w:val="9"/>
        <w:rPr>
          <w:highlight w:val="none"/>
          <w:lang w:eastAsia="zh-CN"/>
        </w:rPr>
      </w:pPr>
    </w:p>
    <w:p>
      <w:pPr>
        <w:keepNext w:val="0"/>
        <w:keepLines w:val="0"/>
        <w:pageBreakBefore w:val="0"/>
        <w:widowControl/>
        <w:kinsoku/>
        <w:wordWrap/>
        <w:overflowPunct/>
        <w:topLinePunct w:val="0"/>
        <w:autoSpaceDE/>
        <w:autoSpaceDN/>
        <w:bidi w:val="0"/>
        <w:adjustRightInd/>
        <w:snapToGrid/>
        <w:textAlignment w:val="auto"/>
        <w:outlineLvl w:val="9"/>
        <w:rPr>
          <w:highlight w:val="none"/>
          <w:lang w:eastAsia="zh-CN"/>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26" w:name="_Toc27794"/>
      <w:bookmarkStart w:id="227" w:name="_Toc9472"/>
      <w:bookmarkStart w:id="228" w:name="_Toc14808"/>
      <w:bookmarkStart w:id="229" w:name="_Toc4026"/>
      <w:bookmarkStart w:id="230" w:name="_Toc28625"/>
      <w:r>
        <w:rPr>
          <w:rFonts w:hint="eastAsia" w:ascii="仿宋" w:hAnsi="仿宋" w:eastAsia="仿宋" w:cs="仿宋"/>
          <w:b/>
          <w:color w:val="000000" w:themeColor="text1"/>
          <w:sz w:val="24"/>
          <w:highlight w:val="none"/>
          <w:lang w:eastAsia="zh-CN"/>
          <w14:textFill>
            <w14:solidFill>
              <w14:schemeClr w14:val="tx1"/>
            </w14:solidFill>
          </w14:textFill>
        </w:rPr>
        <w:t>（十</w:t>
      </w:r>
      <w:r>
        <w:rPr>
          <w:rFonts w:hint="eastAsia" w:ascii="仿宋" w:hAnsi="仿宋" w:eastAsia="仿宋" w:cs="仿宋"/>
          <w:b/>
          <w:color w:val="000000" w:themeColor="text1"/>
          <w:sz w:val="24"/>
          <w:highlight w:val="none"/>
          <w:lang w:val="en-US" w:eastAsia="zh-CN"/>
          <w14:textFill>
            <w14:solidFill>
              <w14:schemeClr w14:val="tx1"/>
            </w14:solidFill>
          </w14:textFill>
        </w:rPr>
        <w:t>五</w:t>
      </w:r>
      <w:r>
        <w:rPr>
          <w:rFonts w:hint="eastAsia" w:ascii="仿宋" w:hAnsi="仿宋" w:eastAsia="仿宋" w:cs="仿宋"/>
          <w:b/>
          <w:color w:val="000000" w:themeColor="text1"/>
          <w:sz w:val="24"/>
          <w:highlight w:val="none"/>
          <w:lang w:eastAsia="zh-CN"/>
          <w14:textFill>
            <w14:solidFill>
              <w14:schemeClr w14:val="tx1"/>
            </w14:solidFill>
          </w14:textFill>
        </w:rPr>
        <w:t>）</w:t>
      </w:r>
      <w:bookmarkEnd w:id="223"/>
      <w:r>
        <w:rPr>
          <w:rFonts w:hint="eastAsia" w:ascii="仿宋" w:hAnsi="仿宋" w:eastAsia="仿宋" w:cs="仿宋"/>
          <w:b/>
          <w:color w:val="000000" w:themeColor="text1"/>
          <w:sz w:val="24"/>
          <w:highlight w:val="none"/>
          <w:lang w:val="en-US" w:eastAsia="zh-CN"/>
          <w14:textFill>
            <w14:solidFill>
              <w14:schemeClr w14:val="tx1"/>
            </w14:solidFill>
          </w14:textFill>
        </w:rPr>
        <w:t>技术（服务）</w:t>
      </w:r>
      <w:r>
        <w:rPr>
          <w:rFonts w:hint="eastAsia" w:ascii="仿宋" w:hAnsi="仿宋" w:eastAsia="仿宋" w:cs="仿宋"/>
          <w:b/>
          <w:color w:val="000000" w:themeColor="text1"/>
          <w:sz w:val="24"/>
          <w:highlight w:val="none"/>
          <w:lang w:eastAsia="zh-CN"/>
          <w14:textFill>
            <w14:solidFill>
              <w14:schemeClr w14:val="tx1"/>
            </w14:solidFill>
          </w14:textFill>
        </w:rPr>
        <w:t>条款偏离表</w:t>
      </w:r>
      <w:bookmarkEnd w:id="226"/>
      <w:bookmarkEnd w:id="227"/>
      <w:bookmarkEnd w:id="228"/>
      <w:bookmarkEnd w:id="229"/>
      <w:bookmarkEnd w:id="230"/>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项目名称：</w:t>
      </w:r>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 xml:space="preserve"> </w:t>
      </w:r>
    </w:p>
    <w:tbl>
      <w:tblPr>
        <w:tblStyle w:val="25"/>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786"/>
        <w:gridCol w:w="1825"/>
        <w:gridCol w:w="1268"/>
        <w:gridCol w:w="238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招标</w:t>
            </w:r>
            <w:r>
              <w:rPr>
                <w:rFonts w:hint="eastAsia" w:ascii="仿宋" w:hAnsi="仿宋" w:eastAsia="仿宋" w:cs="仿宋"/>
                <w:color w:val="000000" w:themeColor="text1"/>
                <w:highlight w:val="none"/>
                <w14:textFill>
                  <w14:solidFill>
                    <w14:schemeClr w14:val="tx1"/>
                  </w14:solidFill>
                </w14:textFill>
              </w:rPr>
              <w:t>文件要求</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投标</w:t>
            </w:r>
            <w:r>
              <w:rPr>
                <w:rFonts w:hint="eastAsia" w:ascii="仿宋" w:hAnsi="仿宋" w:eastAsia="仿宋" w:cs="仿宋"/>
                <w:color w:val="000000" w:themeColor="text1"/>
                <w:highlight w:val="none"/>
                <w14:textFill>
                  <w14:solidFill>
                    <w14:schemeClr w14:val="tx1"/>
                  </w14:solidFill>
                </w14:textFill>
              </w:rPr>
              <w:t>响应</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偏离</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p>
        </w:tc>
        <w:tc>
          <w:tcPr>
            <w:tcW w:w="1786"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p>
        </w:tc>
        <w:tc>
          <w:tcPr>
            <w:tcW w:w="1786"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p>
        </w:tc>
        <w:tc>
          <w:tcPr>
            <w:tcW w:w="1786"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p>
        </w:tc>
        <w:tc>
          <w:tcPr>
            <w:tcW w:w="1786"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p>
        </w:tc>
        <w:tc>
          <w:tcPr>
            <w:tcW w:w="1786"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bl>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注：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1. 供应商应仔细研读、对照磋商文件第三部分的要求，偏离部分必须在上表中填写，并说明偏离情况。如不填写视同全部满足</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文件要求。</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 2. 供应商承诺：除本表响应的偏离项目及内容外，其他所有项目及内容均完全与</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文件的技术及服务要求相同。</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3. 如供应商与要求完全一致，须在上表中注明“完全响应，无偏离”。</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 如有偏离，应注明“正偏离”或“负偏离”，并针对偏离项进行详细说明。</w:t>
      </w:r>
    </w:p>
    <w:p>
      <w:pPr>
        <w:pStyle w:val="23"/>
        <w:spacing w:after="0" w:line="579" w:lineRule="exact"/>
        <w:ind w:left="0" w:leftChars="0" w:firstLine="0" w:firstLineChars="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hint="eastAsia"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pStyle w:val="10"/>
        <w:rPr>
          <w:rFonts w:hint="eastAsia" w:ascii="仿宋" w:hAnsi="仿宋" w:eastAsia="仿宋" w:cs="仿宋"/>
          <w:color w:val="000000" w:themeColor="text1"/>
          <w:sz w:val="24"/>
          <w:szCs w:val="32"/>
          <w:highlight w:val="none"/>
          <w:lang w:eastAsia="zh-CN"/>
          <w14:textFill>
            <w14:solidFill>
              <w14:schemeClr w14:val="tx1"/>
            </w14:solidFill>
          </w14:textFill>
        </w:rPr>
      </w:pPr>
    </w:p>
    <w:p>
      <w:pPr>
        <w:pStyle w:val="11"/>
        <w:rPr>
          <w:rFonts w:hint="eastAsia" w:ascii="仿宋" w:hAnsi="仿宋" w:eastAsia="仿宋" w:cs="仿宋"/>
          <w:color w:val="000000" w:themeColor="text1"/>
          <w:sz w:val="24"/>
          <w:szCs w:val="32"/>
          <w:highlight w:val="none"/>
          <w:lang w:eastAsia="zh-CN"/>
          <w14:textFill>
            <w14:solidFill>
              <w14:schemeClr w14:val="tx1"/>
            </w14:solidFill>
          </w14:textFill>
        </w:rPr>
      </w:pPr>
    </w:p>
    <w:p>
      <w:pPr>
        <w:pStyle w:val="8"/>
        <w:rPr>
          <w:highlight w:val="none"/>
          <w:lang w:eastAsia="zh-CN"/>
        </w:rPr>
      </w:pP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24"/>
    <w:bookmarkEnd w:id="225"/>
    <w:p>
      <w:pPr>
        <w:spacing w:line="579" w:lineRule="exact"/>
        <w:jc w:val="center"/>
        <w:outlineLvl w:val="2"/>
        <w:rPr>
          <w:rFonts w:hint="eastAsia" w:ascii="仿宋" w:hAnsi="仿宋" w:eastAsia="仿宋" w:cs="仿宋"/>
          <w:b/>
          <w:color w:val="000000" w:themeColor="text1"/>
          <w:sz w:val="24"/>
          <w:highlight w:val="none"/>
          <w:lang w:eastAsia="zh-CN"/>
          <w14:textFill>
            <w14:solidFill>
              <w14:schemeClr w14:val="tx1"/>
            </w14:solidFill>
          </w14:textFill>
        </w:rPr>
      </w:pPr>
      <w:bookmarkStart w:id="231" w:name="_Toc25826"/>
      <w:r>
        <w:rPr>
          <w:rFonts w:hint="eastAsia" w:ascii="仿宋" w:hAnsi="仿宋" w:eastAsia="仿宋" w:cs="仿宋"/>
          <w:b/>
          <w:color w:val="000000" w:themeColor="text1"/>
          <w:sz w:val="24"/>
          <w:highlight w:val="none"/>
          <w:lang w:eastAsia="zh-CN"/>
          <w14:textFill>
            <w14:solidFill>
              <w14:schemeClr w14:val="tx1"/>
            </w14:solidFill>
          </w14:textFill>
        </w:rPr>
        <w:t>（十</w:t>
      </w:r>
      <w:r>
        <w:rPr>
          <w:rFonts w:hint="eastAsia" w:ascii="仿宋" w:hAnsi="仿宋" w:eastAsia="仿宋" w:cs="仿宋"/>
          <w:b/>
          <w:color w:val="000000" w:themeColor="text1"/>
          <w:sz w:val="24"/>
          <w:highlight w:val="none"/>
          <w:lang w:val="en-US" w:eastAsia="zh-CN"/>
          <w14:textFill>
            <w14:solidFill>
              <w14:schemeClr w14:val="tx1"/>
            </w14:solidFill>
          </w14:textFill>
        </w:rPr>
        <w:t>六</w:t>
      </w:r>
      <w:r>
        <w:rPr>
          <w:rFonts w:hint="eastAsia" w:ascii="仿宋" w:hAnsi="仿宋" w:eastAsia="仿宋" w:cs="仿宋"/>
          <w:b/>
          <w:color w:val="000000" w:themeColor="text1"/>
          <w:sz w:val="24"/>
          <w:highlight w:val="none"/>
          <w:lang w:eastAsia="zh-CN"/>
          <w14:textFill>
            <w14:solidFill>
              <w14:schemeClr w14:val="tx1"/>
            </w14:solidFill>
          </w14:textFill>
        </w:rPr>
        <w:t>）供应商企业类型声明函</w:t>
      </w:r>
      <w:bookmarkEnd w:id="231"/>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lang w:eastAsia="zh-CN"/>
          <w14:textFill>
            <w14:solidFill>
              <w14:schemeClr w14:val="tx1"/>
            </w14:solidFill>
          </w14:textFill>
        </w:rPr>
        <w:t>-1、中小微企业声明函</w:t>
      </w:r>
    </w:p>
    <w:p>
      <w:pPr>
        <w:pStyle w:val="23"/>
        <w:keepNext w:val="0"/>
        <w:keepLines w:val="0"/>
        <w:pageBreakBefore w:val="0"/>
        <w:widowControl/>
        <w:tabs>
          <w:tab w:val="left" w:pos="630"/>
        </w:tabs>
        <w:kinsoku/>
        <w:wordWrap/>
        <w:overflowPunct/>
        <w:topLinePunct w:val="0"/>
        <w:autoSpaceDE/>
        <w:autoSpaceDN/>
        <w:bidi w:val="0"/>
        <w:adjustRightInd/>
        <w:snapToGrid/>
        <w:spacing w:line="560" w:lineRule="exact"/>
        <w:ind w:firstLine="240"/>
        <w:jc w:val="center"/>
        <w:textAlignment w:val="baseline"/>
        <w:rPr>
          <w:rFonts w:hint="default"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default" w:ascii="仿宋" w:hAnsi="仿宋" w:eastAsia="仿宋" w:cs="仿宋"/>
          <w:color w:val="000000" w:themeColor="text1"/>
          <w:highlight w:val="none"/>
          <w14:textFill>
            <w14:solidFill>
              <w14:schemeClr w14:val="tx1"/>
            </w14:solidFill>
          </w14:textFill>
        </w:rPr>
        <w:t>中小企业声明函</w:t>
      </w:r>
      <w:r>
        <w:rPr>
          <w:rFonts w:hint="eastAsia" w:ascii="仿宋" w:hAnsi="仿宋" w:eastAsia="仿宋" w:cs="仿宋"/>
          <w:color w:val="000000" w:themeColor="text1"/>
          <w:highlight w:val="none"/>
          <w:lang w:eastAsia="zh-CN"/>
          <w14:textFill>
            <w14:solidFill>
              <w14:schemeClr w14:val="tx1"/>
            </w14:solidFill>
          </w14:textFill>
        </w:rPr>
        <w:t>》</w:t>
      </w:r>
      <w:r>
        <w:rPr>
          <w:rFonts w:hint="default" w:ascii="仿宋" w:hAnsi="仿宋" w:eastAsia="仿宋" w:cs="仿宋"/>
          <w:color w:val="000000" w:themeColor="text1"/>
          <w:highlight w:val="none"/>
          <w14:textFill>
            <w14:solidFill>
              <w14:schemeClr w14:val="tx1"/>
            </w14:solidFill>
          </w14:textFill>
        </w:rPr>
        <w:t>（货物）</w:t>
      </w:r>
    </w:p>
    <w:p>
      <w:pPr>
        <w:pStyle w:val="23"/>
        <w:keepNext w:val="0"/>
        <w:keepLines w:val="0"/>
        <w:pageBreakBefore w:val="0"/>
        <w:widowControl/>
        <w:tabs>
          <w:tab w:val="left" w:pos="630"/>
        </w:tabs>
        <w:kinsoku/>
        <w:wordWrap/>
        <w:overflowPunct/>
        <w:topLinePunct w:val="0"/>
        <w:autoSpaceDE/>
        <w:autoSpaceDN/>
        <w:bidi w:val="0"/>
        <w:adjustRightInd/>
        <w:snapToGrid/>
        <w:spacing w:line="560" w:lineRule="exact"/>
        <w:ind w:firstLine="720" w:firstLineChars="300"/>
        <w:textAlignment w:val="baseline"/>
        <w:rPr>
          <w:rFonts w:hint="default" w:ascii="仿宋" w:hAnsi="仿宋" w:eastAsia="仿宋" w:cs="仿宋"/>
          <w:color w:val="000000" w:themeColor="text1"/>
          <w:highlight w:val="none"/>
          <w14:textFill>
            <w14:solidFill>
              <w14:schemeClr w14:val="tx1"/>
            </w14:solidFill>
          </w14:textFill>
        </w:rPr>
      </w:pPr>
      <w:r>
        <w:rPr>
          <w:rFonts w:hint="default" w:ascii="仿宋" w:hAnsi="仿宋" w:eastAsia="仿宋" w:cs="仿宋"/>
          <w:color w:val="000000" w:themeColor="text1"/>
          <w:highlight w:val="none"/>
          <w14:textFill>
            <w14:solidFill>
              <w14:schemeClr w14:val="tx1"/>
            </w14:solidFill>
          </w14:textFill>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23"/>
        <w:keepNext w:val="0"/>
        <w:keepLines w:val="0"/>
        <w:pageBreakBefore w:val="0"/>
        <w:widowControl/>
        <w:numPr>
          <w:ilvl w:val="0"/>
          <w:numId w:val="0"/>
        </w:numPr>
        <w:tabs>
          <w:tab w:val="left" w:pos="630"/>
        </w:tabs>
        <w:kinsoku/>
        <w:wordWrap/>
        <w:overflowPunct/>
        <w:topLinePunct w:val="0"/>
        <w:autoSpaceDE/>
        <w:autoSpaceDN/>
        <w:bidi w:val="0"/>
        <w:adjustRightInd/>
        <w:snapToGrid/>
        <w:spacing w:line="560" w:lineRule="exact"/>
        <w:ind w:firstLine="480" w:firstLineChars="200"/>
        <w:textAlignment w:val="baseline"/>
        <w:rPr>
          <w:rFonts w:hint="default"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none"/>
          <w:lang w:val="en-US" w:eastAsia="zh-CN"/>
          <w14:textFill>
            <w14:solidFill>
              <w14:schemeClr w14:val="tx1"/>
            </w14:solidFill>
          </w14:textFill>
        </w:rPr>
        <w:t>1.</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（标的名称）</w:t>
      </w:r>
      <w:r>
        <w:rPr>
          <w:rFonts w:hint="default" w:ascii="仿宋" w:hAnsi="仿宋" w:eastAsia="仿宋" w:cs="仿宋"/>
          <w:color w:val="000000" w:themeColor="text1"/>
          <w:highlight w:val="none"/>
          <w14:textFill>
            <w14:solidFill>
              <w14:schemeClr w14:val="tx1"/>
            </w14:solidFill>
          </w14:textFill>
        </w:rPr>
        <w:t>，属于</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（采购文件中明确的所属行业）</w:t>
      </w:r>
      <w:r>
        <w:rPr>
          <w:rFonts w:hint="default" w:ascii="仿宋" w:hAnsi="仿宋" w:eastAsia="仿宋" w:cs="仿宋"/>
          <w:color w:val="000000" w:themeColor="text1"/>
          <w:highlight w:val="none"/>
          <w14:textFill>
            <w14:solidFill>
              <w14:schemeClr w14:val="tx1"/>
            </w14:solidFill>
          </w14:textFill>
        </w:rPr>
        <w:t>；制造商为</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（企业名称）</w:t>
      </w:r>
      <w:r>
        <w:rPr>
          <w:rFonts w:hint="default" w:ascii="仿宋" w:hAnsi="仿宋" w:eastAsia="仿宋" w:cs="仿宋"/>
          <w:color w:val="000000" w:themeColor="text1"/>
          <w:highlight w:val="none"/>
          <w14:textFill>
            <w14:solidFill>
              <w14:schemeClr w14:val="tx1"/>
            </w14:solidFill>
          </w14:textFill>
        </w:rPr>
        <w:t>，从业人员</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default" w:ascii="仿宋" w:hAnsi="仿宋" w:eastAsia="仿宋" w:cs="仿宋"/>
          <w:color w:val="000000" w:themeColor="text1"/>
          <w:highlight w:val="none"/>
          <w14:textFill>
            <w14:solidFill>
              <w14:schemeClr w14:val="tx1"/>
            </w14:solidFill>
          </w14:textFill>
        </w:rPr>
        <w:t>人，营业收入为</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default" w:ascii="仿宋" w:hAnsi="仿宋" w:eastAsia="仿宋" w:cs="仿宋"/>
          <w:color w:val="000000" w:themeColor="text1"/>
          <w:highlight w:val="none"/>
          <w14:textFill>
            <w14:solidFill>
              <w14:schemeClr w14:val="tx1"/>
            </w14:solidFill>
          </w14:textFill>
        </w:rPr>
        <w:t>万元，资产总额为</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default" w:ascii="仿宋" w:hAnsi="仿宋" w:eastAsia="仿宋" w:cs="仿宋"/>
          <w:color w:val="000000" w:themeColor="text1"/>
          <w:highlight w:val="none"/>
          <w14:textFill>
            <w14:solidFill>
              <w14:schemeClr w14:val="tx1"/>
            </w14:solidFill>
          </w14:textFill>
        </w:rPr>
        <w:t>万元，属于</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（中型企业、小型企业、微型企业）</w:t>
      </w:r>
      <w:r>
        <w:rPr>
          <w:rFonts w:hint="default" w:ascii="仿宋" w:hAnsi="仿宋" w:eastAsia="仿宋" w:cs="仿宋"/>
          <w:color w:val="000000" w:themeColor="text1"/>
          <w:highlight w:val="none"/>
          <w14:textFill>
            <w14:solidFill>
              <w14:schemeClr w14:val="tx1"/>
            </w14:solidFill>
          </w14:textFill>
        </w:rPr>
        <w:t>；</w:t>
      </w:r>
    </w:p>
    <w:p>
      <w:pPr>
        <w:pStyle w:val="23"/>
        <w:keepNext w:val="0"/>
        <w:keepLines w:val="0"/>
        <w:pageBreakBefore w:val="0"/>
        <w:widowControl/>
        <w:numPr>
          <w:ilvl w:val="0"/>
          <w:numId w:val="0"/>
        </w:numPr>
        <w:tabs>
          <w:tab w:val="left" w:pos="630"/>
        </w:tabs>
        <w:kinsoku/>
        <w:wordWrap/>
        <w:overflowPunct/>
        <w:topLinePunct w:val="0"/>
        <w:autoSpaceDE/>
        <w:autoSpaceDN/>
        <w:bidi w:val="0"/>
        <w:adjustRightInd/>
        <w:snapToGrid/>
        <w:spacing w:line="560" w:lineRule="exact"/>
        <w:ind w:firstLine="480" w:firstLineChars="200"/>
        <w:textAlignment w:val="baseline"/>
        <w:rPr>
          <w:rFonts w:hint="default"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none"/>
          <w:lang w:val="en-US" w:eastAsia="zh-CN"/>
          <w14:textFill>
            <w14:solidFill>
              <w14:schemeClr w14:val="tx1"/>
            </w14:solidFill>
          </w14:textFill>
        </w:rPr>
        <w:t>2.</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（标的名称）</w:t>
      </w:r>
      <w:r>
        <w:rPr>
          <w:rFonts w:hint="default" w:ascii="仿宋" w:hAnsi="仿宋" w:eastAsia="仿宋" w:cs="仿宋"/>
          <w:color w:val="000000" w:themeColor="text1"/>
          <w:highlight w:val="none"/>
          <w14:textFill>
            <w14:solidFill>
              <w14:schemeClr w14:val="tx1"/>
            </w14:solidFill>
          </w14:textFill>
        </w:rPr>
        <w:t>，属于</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（采购文件中明确的所属行业）</w:t>
      </w:r>
      <w:r>
        <w:rPr>
          <w:rFonts w:hint="default" w:ascii="仿宋" w:hAnsi="仿宋" w:eastAsia="仿宋" w:cs="仿宋"/>
          <w:color w:val="000000" w:themeColor="text1"/>
          <w:highlight w:val="none"/>
          <w14:textFill>
            <w14:solidFill>
              <w14:schemeClr w14:val="tx1"/>
            </w14:solidFill>
          </w14:textFill>
        </w:rPr>
        <w:t>；制造商为</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（企业名称）</w:t>
      </w:r>
      <w:r>
        <w:rPr>
          <w:rFonts w:hint="default" w:ascii="仿宋" w:hAnsi="仿宋" w:eastAsia="仿宋" w:cs="仿宋"/>
          <w:color w:val="000000" w:themeColor="text1"/>
          <w:highlight w:val="none"/>
          <w14:textFill>
            <w14:solidFill>
              <w14:schemeClr w14:val="tx1"/>
            </w14:solidFill>
          </w14:textFill>
        </w:rPr>
        <w:t>，从业人员</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default" w:ascii="仿宋" w:hAnsi="仿宋" w:eastAsia="仿宋" w:cs="仿宋"/>
          <w:color w:val="000000" w:themeColor="text1"/>
          <w:highlight w:val="none"/>
          <w14:textFill>
            <w14:solidFill>
              <w14:schemeClr w14:val="tx1"/>
            </w14:solidFill>
          </w14:textFill>
        </w:rPr>
        <w:t>人，营业收入为</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default" w:ascii="仿宋" w:hAnsi="仿宋" w:eastAsia="仿宋" w:cs="仿宋"/>
          <w:color w:val="000000" w:themeColor="text1"/>
          <w:highlight w:val="none"/>
          <w14:textFill>
            <w14:solidFill>
              <w14:schemeClr w14:val="tx1"/>
            </w14:solidFill>
          </w14:textFill>
        </w:rPr>
        <w:t>万元，资产总额为</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 xml:space="preserve"> </w:t>
      </w:r>
      <w:r>
        <w:rPr>
          <w:rFonts w:hint="default" w:ascii="仿宋" w:hAnsi="仿宋" w:eastAsia="仿宋" w:cs="仿宋"/>
          <w:color w:val="000000" w:themeColor="text1"/>
          <w:highlight w:val="none"/>
          <w14:textFill>
            <w14:solidFill>
              <w14:schemeClr w14:val="tx1"/>
            </w14:solidFill>
          </w14:textFill>
        </w:rPr>
        <w:t>万元，属于</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default" w:ascii="仿宋" w:hAnsi="仿宋" w:eastAsia="仿宋" w:cs="仿宋"/>
          <w:color w:val="000000" w:themeColor="text1"/>
          <w:highlight w:val="none"/>
          <w:u w:val="single"/>
          <w14:textFill>
            <w14:solidFill>
              <w14:schemeClr w14:val="tx1"/>
            </w14:solidFill>
          </w14:textFill>
        </w:rPr>
        <w:t>（中型企业、小型企业、微型企业）</w:t>
      </w:r>
      <w:r>
        <w:rPr>
          <w:rFonts w:hint="default" w:ascii="仿宋" w:hAnsi="仿宋" w:eastAsia="仿宋" w:cs="仿宋"/>
          <w:color w:val="000000" w:themeColor="text1"/>
          <w:highlight w:val="none"/>
          <w14:textFill>
            <w14:solidFill>
              <w14:schemeClr w14:val="tx1"/>
            </w14:solidFill>
          </w14:textFill>
        </w:rPr>
        <w:t>；</w:t>
      </w:r>
    </w:p>
    <w:p>
      <w:pPr>
        <w:pStyle w:val="23"/>
        <w:keepNext w:val="0"/>
        <w:keepLines w:val="0"/>
        <w:pageBreakBefore w:val="0"/>
        <w:widowControl/>
        <w:tabs>
          <w:tab w:val="left" w:pos="630"/>
        </w:tabs>
        <w:kinsoku/>
        <w:wordWrap/>
        <w:overflowPunct/>
        <w:topLinePunct w:val="0"/>
        <w:autoSpaceDE/>
        <w:autoSpaceDN/>
        <w:bidi w:val="0"/>
        <w:adjustRightInd/>
        <w:snapToGrid/>
        <w:spacing w:line="560" w:lineRule="exact"/>
        <w:ind w:left="0" w:leftChars="0" w:firstLine="480" w:firstLineChars="200"/>
        <w:textAlignment w:val="baseline"/>
        <w:rPr>
          <w:rFonts w:hint="default" w:ascii="仿宋" w:hAnsi="仿宋" w:eastAsia="仿宋" w:cs="仿宋"/>
          <w:color w:val="000000" w:themeColor="text1"/>
          <w:highlight w:val="none"/>
          <w14:textFill>
            <w14:solidFill>
              <w14:schemeClr w14:val="tx1"/>
            </w14:solidFill>
          </w14:textFill>
        </w:rPr>
      </w:pPr>
      <w:r>
        <w:rPr>
          <w:rFonts w:hint="default" w:ascii="仿宋" w:hAnsi="仿宋" w:eastAsia="仿宋" w:cs="仿宋"/>
          <w:color w:val="000000" w:themeColor="text1"/>
          <w:highlight w:val="none"/>
          <w14:textFill>
            <w14:solidFill>
              <w14:schemeClr w14:val="tx1"/>
            </w14:solidFill>
          </w14:textFill>
        </w:rPr>
        <w:t>……</w:t>
      </w:r>
    </w:p>
    <w:p>
      <w:pPr>
        <w:pStyle w:val="23"/>
        <w:keepNext w:val="0"/>
        <w:keepLines w:val="0"/>
        <w:pageBreakBefore w:val="0"/>
        <w:widowControl/>
        <w:tabs>
          <w:tab w:val="left" w:pos="630"/>
        </w:tabs>
        <w:kinsoku/>
        <w:wordWrap/>
        <w:overflowPunct/>
        <w:topLinePunct w:val="0"/>
        <w:autoSpaceDE/>
        <w:autoSpaceDN/>
        <w:bidi w:val="0"/>
        <w:adjustRightInd/>
        <w:snapToGrid/>
        <w:spacing w:line="560" w:lineRule="exact"/>
        <w:ind w:left="0" w:leftChars="0" w:firstLine="480" w:firstLineChars="200"/>
        <w:textAlignment w:val="baseline"/>
        <w:rPr>
          <w:rFonts w:hint="default" w:ascii="仿宋" w:hAnsi="仿宋" w:eastAsia="仿宋" w:cs="仿宋"/>
          <w:color w:val="000000" w:themeColor="text1"/>
          <w:highlight w:val="none"/>
          <w14:textFill>
            <w14:solidFill>
              <w14:schemeClr w14:val="tx1"/>
            </w14:solidFill>
          </w14:textFill>
        </w:rPr>
      </w:pPr>
      <w:r>
        <w:rPr>
          <w:rFonts w:hint="default" w:ascii="仿宋" w:hAnsi="仿宋" w:eastAsia="仿宋" w:cs="仿宋"/>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23"/>
        <w:keepNext w:val="0"/>
        <w:keepLines w:val="0"/>
        <w:pageBreakBefore w:val="0"/>
        <w:widowControl/>
        <w:tabs>
          <w:tab w:val="left" w:pos="630"/>
        </w:tabs>
        <w:kinsoku/>
        <w:wordWrap/>
        <w:overflowPunct/>
        <w:topLinePunct w:val="0"/>
        <w:autoSpaceDE/>
        <w:autoSpaceDN/>
        <w:bidi w:val="0"/>
        <w:adjustRightInd/>
        <w:snapToGrid/>
        <w:spacing w:line="560" w:lineRule="exact"/>
        <w:ind w:firstLine="240"/>
        <w:textAlignment w:val="baseline"/>
        <w:rPr>
          <w:rFonts w:hint="default" w:ascii="仿宋" w:hAnsi="仿宋" w:eastAsia="仿宋" w:cs="仿宋"/>
          <w:color w:val="000000" w:themeColor="text1"/>
          <w:highlight w:val="none"/>
          <w14:textFill>
            <w14:solidFill>
              <w14:schemeClr w14:val="tx1"/>
            </w14:solidFill>
          </w14:textFill>
        </w:rPr>
      </w:pPr>
      <w:r>
        <w:rPr>
          <w:rFonts w:hint="default" w:ascii="仿宋" w:hAnsi="仿宋" w:eastAsia="仿宋" w:cs="仿宋"/>
          <w:color w:val="000000" w:themeColor="text1"/>
          <w:highlight w:val="none"/>
          <w14:textFill>
            <w14:solidFill>
              <w14:schemeClr w14:val="tx1"/>
            </w14:solidFill>
          </w14:textFill>
        </w:rPr>
        <w:t>本企业对上述声明内容的真实性负责。如有虚假，将依法承担相应责任。</w:t>
      </w:r>
    </w:p>
    <w:p>
      <w:pPr>
        <w:pStyle w:val="23"/>
        <w:keepNext w:val="0"/>
        <w:keepLines w:val="0"/>
        <w:pageBreakBefore w:val="0"/>
        <w:widowControl/>
        <w:tabs>
          <w:tab w:val="left" w:pos="630"/>
        </w:tabs>
        <w:kinsoku/>
        <w:wordWrap/>
        <w:overflowPunct/>
        <w:topLinePunct w:val="0"/>
        <w:autoSpaceDE/>
        <w:autoSpaceDN/>
        <w:bidi w:val="0"/>
        <w:adjustRightInd/>
        <w:snapToGrid/>
        <w:spacing w:line="560" w:lineRule="exact"/>
        <w:ind w:firstLine="240"/>
        <w:textAlignment w:val="baseline"/>
        <w:rPr>
          <w:rFonts w:hint="default" w:ascii="仿宋" w:hAnsi="仿宋" w:eastAsia="仿宋" w:cs="仿宋"/>
          <w:color w:val="000000" w:themeColor="text1"/>
          <w:highlight w:val="none"/>
          <w14:textFill>
            <w14:solidFill>
              <w14:schemeClr w14:val="tx1"/>
            </w14:solidFill>
          </w14:textFill>
        </w:rPr>
      </w:pPr>
      <w:r>
        <w:rPr>
          <w:rFonts w:hint="default" w:ascii="仿宋" w:hAnsi="仿宋" w:eastAsia="仿宋" w:cs="仿宋"/>
          <w:color w:val="000000" w:themeColor="text1"/>
          <w:highlight w:val="none"/>
          <w14:textFill>
            <w14:solidFill>
              <w14:schemeClr w14:val="tx1"/>
            </w14:solidFill>
          </w14:textFill>
        </w:rPr>
        <w:t>企业名称（盖章）：</w:t>
      </w:r>
    </w:p>
    <w:p>
      <w:pPr>
        <w:pStyle w:val="23"/>
        <w:keepNext w:val="0"/>
        <w:keepLines w:val="0"/>
        <w:pageBreakBefore w:val="0"/>
        <w:widowControl/>
        <w:tabs>
          <w:tab w:val="left" w:pos="630"/>
        </w:tabs>
        <w:kinsoku/>
        <w:wordWrap/>
        <w:overflowPunct/>
        <w:topLinePunct w:val="0"/>
        <w:autoSpaceDE/>
        <w:autoSpaceDN/>
        <w:bidi w:val="0"/>
        <w:adjustRightInd/>
        <w:snapToGrid/>
        <w:spacing w:line="560" w:lineRule="exact"/>
        <w:ind w:firstLine="240"/>
        <w:textAlignment w:val="baseline"/>
        <w:rPr>
          <w:rFonts w:hint="default" w:ascii="仿宋" w:hAnsi="仿宋" w:eastAsia="仿宋" w:cs="仿宋"/>
          <w:color w:val="000000" w:themeColor="text1"/>
          <w:highlight w:val="none"/>
          <w14:textFill>
            <w14:solidFill>
              <w14:schemeClr w14:val="tx1"/>
            </w14:solidFill>
          </w14:textFill>
        </w:rPr>
      </w:pPr>
      <w:r>
        <w:rPr>
          <w:rFonts w:hint="default" w:ascii="仿宋" w:hAnsi="仿宋" w:eastAsia="仿宋" w:cs="仿宋"/>
          <w:color w:val="000000" w:themeColor="text1"/>
          <w:highlight w:val="none"/>
          <w14:textFill>
            <w14:solidFill>
              <w14:schemeClr w14:val="tx1"/>
            </w14:solidFill>
          </w14:textFill>
        </w:rPr>
        <w:t>日期：</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w:t>
      </w:r>
    </w:p>
    <w:p>
      <w:pPr>
        <w:spacing w:line="579" w:lineRule="exact"/>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1 从业人员、营业收入、资产总额填报上一年度数据，无上一年度数据的新成立企业可不填报。</w:t>
      </w:r>
    </w:p>
    <w:p>
      <w:pPr>
        <w:widowControl w:val="0"/>
        <w:tabs>
          <w:tab w:val="left" w:pos="3777"/>
          <w:tab w:val="center" w:pos="4819"/>
        </w:tabs>
        <w:spacing w:line="360" w:lineRule="auto"/>
        <w:textAlignment w:val="auto"/>
        <w:rPr>
          <w:rFonts w:ascii="仿宋" w:hAnsi="仿宋" w:eastAsia="仿宋" w:cs="宋体"/>
          <w:b/>
          <w:color w:val="000000" w:themeColor="text1"/>
          <w:sz w:val="32"/>
          <w:szCs w:val="32"/>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ab/>
      </w:r>
      <w:r>
        <w:rPr>
          <w:rFonts w:hint="eastAsia" w:ascii="仿宋" w:hAnsi="仿宋" w:eastAsia="仿宋" w:cs="仿宋"/>
          <w:b/>
          <w:color w:val="000000" w:themeColor="text1"/>
          <w:sz w:val="24"/>
          <w:highlight w:val="none"/>
          <w:lang w:eastAsia="zh-CN"/>
          <w14:textFill>
            <w14:solidFill>
              <w14:schemeClr w14:val="tx1"/>
            </w14:solidFill>
          </w14:textFill>
        </w:rPr>
        <w:t>监狱企业声明函</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（监狱企业适用）</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本公司郑重声明，根据《关于政府采购支持监狱企业发展有关问题的通知》（财库[2014]68号）的规定，本公司为监狱企业。</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本公司参加______单位的______项目采购活动，采购活动提供本企业（填写制造的货物，由本企业承担工程、提供服务）。</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本条所称货物不包括使用大型企业注册商标的货物和服务。</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本公司对上述声明的真实性负责。如有虚假，将依法承担相应责任。</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企业名称（盖公章）：</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法定代表人（负责人）或其授权代表(签字)：</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w:t>
      </w:r>
      <w:r>
        <w:rPr>
          <w:rFonts w:hint="eastAsia" w:ascii="仿宋" w:hAnsi="仿宋" w:eastAsia="仿宋" w:cs="仿宋"/>
          <w:b/>
          <w:bCs/>
          <w:color w:val="000000" w:themeColor="text1"/>
          <w:sz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highlight w:val="none"/>
          <w:lang w:eastAsia="zh-CN"/>
          <w14:textFill>
            <w14:solidFill>
              <w14:schemeClr w14:val="tx1"/>
            </w14:solidFill>
          </w14:textFill>
        </w:rPr>
        <w:t>-3残疾人福利性单位声明函</w:t>
      </w:r>
    </w:p>
    <w:p>
      <w:pPr>
        <w:tabs>
          <w:tab w:val="left" w:pos="3975"/>
        </w:tabs>
        <w:spacing w:line="440" w:lineRule="exact"/>
        <w:ind w:firstLine="480" w:firstLineChars="200"/>
        <w:rPr>
          <w:rFonts w:ascii="仿宋" w:hAnsi="仿宋" w:eastAsia="仿宋" w:cs="仿宋"/>
          <w:b/>
          <w:bCs/>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本单位对上述声明的真实性负责。如有虚假，将依法承担相应责任。                               </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单位名称（盖章）：</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日  期：</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b/>
          <w:color w:val="000000" w:themeColor="text1"/>
          <w:sz w:val="24"/>
          <w:highlight w:val="none"/>
          <w:lang w:eastAsia="zh-CN"/>
          <w14:textFill>
            <w14:solidFill>
              <w14:schemeClr w14:val="tx1"/>
            </w14:solidFill>
          </w14:textFill>
        </w:rPr>
      </w:pPr>
    </w:p>
    <w:p>
      <w:pPr>
        <w:pStyle w:val="23"/>
        <w:ind w:firstLine="241"/>
        <w:rPr>
          <w:rFonts w:hint="default" w:ascii="仿宋" w:hAnsi="仿宋" w:eastAsia="仿宋" w:cs="仿宋"/>
          <w:b/>
          <w:color w:val="000000" w:themeColor="text1"/>
          <w:highlight w:val="none"/>
          <w:lang w:eastAsia="zh-CN"/>
          <w14:textFill>
            <w14:solidFill>
              <w14:schemeClr w14:val="tx1"/>
            </w14:solidFill>
          </w14:textFill>
        </w:rPr>
      </w:pPr>
    </w:p>
    <w:p>
      <w:pPr>
        <w:pStyle w:val="23"/>
        <w:ind w:firstLine="241"/>
        <w:rPr>
          <w:rFonts w:hint="default" w:ascii="仿宋" w:hAnsi="仿宋" w:eastAsia="仿宋" w:cs="仿宋"/>
          <w:b/>
          <w:color w:val="000000" w:themeColor="text1"/>
          <w:highlight w:val="none"/>
          <w:lang w:eastAsia="zh-CN"/>
          <w14:textFill>
            <w14:solidFill>
              <w14:schemeClr w14:val="tx1"/>
            </w14:solidFill>
          </w14:textFill>
        </w:rPr>
      </w:pPr>
    </w:p>
    <w:p>
      <w:pPr>
        <w:pStyle w:val="23"/>
        <w:ind w:firstLine="241"/>
        <w:rPr>
          <w:rFonts w:hint="default" w:ascii="仿宋" w:hAnsi="仿宋" w:eastAsia="仿宋" w:cs="仿宋"/>
          <w:b/>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32" w:name="_Toc1692"/>
      <w:bookmarkStart w:id="233" w:name="_Toc25027"/>
      <w:bookmarkStart w:id="234" w:name="_Toc29252"/>
      <w:bookmarkStart w:id="235" w:name="_Toc7885"/>
      <w:bookmarkStart w:id="236" w:name="_Toc12596"/>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十七</w:t>
      </w:r>
      <w:r>
        <w:rPr>
          <w:rFonts w:hint="eastAsia" w:ascii="仿宋" w:hAnsi="仿宋" w:eastAsia="仿宋" w:cs="仿宋"/>
          <w:b/>
          <w:color w:val="000000" w:themeColor="text1"/>
          <w:sz w:val="24"/>
          <w:highlight w:val="none"/>
          <w:lang w:eastAsia="zh-CN"/>
          <w14:textFill>
            <w14:solidFill>
              <w14:schemeClr w14:val="tx1"/>
            </w14:solidFill>
          </w14:textFill>
        </w:rPr>
        <w:t>）供应商认为有必要提交的其他资料</w:t>
      </w:r>
      <w:bookmarkEnd w:id="206"/>
      <w:bookmarkEnd w:id="232"/>
      <w:bookmarkEnd w:id="233"/>
      <w:bookmarkEnd w:id="234"/>
      <w:bookmarkEnd w:id="235"/>
      <w:bookmarkEnd w:id="236"/>
    </w:p>
    <w:p>
      <w:pPr>
        <w:spacing w:line="50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供应商应提交的其它资料应包括：</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）其他增值优惠承诺；</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）评分细则提及或供应商认为需要提供的其他说明和资料。</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szCs w:val="20"/>
          <w:highlight w:val="none"/>
          <w:lang w:eastAsia="zh-CN" w:bidi="ar"/>
          <w14:textFill>
            <w14:solidFill>
              <w14:schemeClr w14:val="tx1"/>
            </w14:solidFill>
          </w14:textFill>
        </w:rPr>
        <w:t>磋商</w:t>
      </w:r>
      <w:r>
        <w:rPr>
          <w:rFonts w:hint="eastAsia" w:ascii="仿宋" w:hAnsi="仿宋" w:eastAsia="仿宋" w:cs="仿宋"/>
          <w:color w:val="000000" w:themeColor="text1"/>
          <w:sz w:val="24"/>
          <w:highlight w:val="none"/>
          <w:lang w:eastAsia="zh-CN"/>
          <w14:textFill>
            <w14:solidFill>
              <w14:schemeClr w14:val="tx1"/>
            </w14:solidFill>
          </w14:textFill>
        </w:rPr>
        <w:t>文件要求提供的其它资料等；</w:t>
      </w:r>
    </w:p>
    <w:p>
      <w:pPr>
        <w:spacing w:line="500" w:lineRule="exact"/>
        <w:ind w:firstLine="480"/>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w:t>
      </w:r>
    </w:p>
    <w:p>
      <w:pPr>
        <w:jc w:val="center"/>
        <w:rPr>
          <w:rFonts w:ascii="仿宋" w:hAnsi="仿宋" w:eastAsia="仿宋" w:cs="仿宋"/>
          <w:b/>
          <w:color w:val="000000" w:themeColor="text1"/>
          <w:sz w:val="24"/>
          <w:highlight w:val="none"/>
          <w:lang w:eastAsia="zh-CN"/>
          <w14:textFill>
            <w14:solidFill>
              <w14:schemeClr w14:val="tx1"/>
            </w14:solidFill>
          </w14:textFill>
        </w:rPr>
        <w:sectPr>
          <w:pgSz w:w="11906" w:h="16838"/>
          <w:pgMar w:top="1418" w:right="1826" w:bottom="1418" w:left="1361" w:header="851" w:footer="992" w:gutter="0"/>
          <w:pgNumType w:fmt="decimal"/>
          <w:cols w:space="425" w:num="1"/>
          <w:docGrid w:type="linesAndChars" w:linePitch="332" w:charSpace="0"/>
        </w:sectPr>
      </w:pPr>
      <w:bookmarkStart w:id="237" w:name="_Toc485289090"/>
      <w:bookmarkStart w:id="238" w:name="_Toc477359999"/>
      <w:bookmarkStart w:id="239" w:name="_Toc450901518"/>
    </w:p>
    <w:bookmarkEnd w:id="237"/>
    <w:bookmarkEnd w:id="238"/>
    <w:bookmarkEnd w:id="239"/>
    <w:p>
      <w:pPr>
        <w:spacing w:before="0" w:after="0" w:line="579" w:lineRule="exact"/>
        <w:ind w:firstLine="0" w:firstLineChars="0"/>
        <w:jc w:val="center"/>
        <w:outlineLvl w:val="9"/>
        <w:rPr>
          <w:rFonts w:hint="default" w:ascii="仿宋" w:hAnsi="仿宋" w:eastAsia="仿宋" w:cs="仿宋"/>
          <w:b/>
          <w:bCs/>
          <w:color w:val="000000" w:themeColor="text1"/>
          <w:sz w:val="28"/>
          <w:szCs w:val="40"/>
          <w:highlight w:val="none"/>
          <w:lang w:eastAsia="zh-CN"/>
          <w14:textFill>
            <w14:solidFill>
              <w14:schemeClr w14:val="tx1"/>
            </w14:solidFill>
          </w14:textFill>
        </w:rPr>
      </w:pPr>
      <w:bookmarkStart w:id="240" w:name="_Toc154"/>
      <w:bookmarkStart w:id="241" w:name="_Toc5601"/>
      <w:bookmarkStart w:id="242" w:name="_Toc18229"/>
      <w:r>
        <w:rPr>
          <w:rFonts w:ascii="仿宋" w:hAnsi="仿宋" w:eastAsia="仿宋" w:cs="仿宋"/>
          <w:b/>
          <w:bCs/>
          <w:color w:val="000000" w:themeColor="text1"/>
          <w:sz w:val="28"/>
          <w:szCs w:val="40"/>
          <w:highlight w:val="none"/>
          <w:lang w:eastAsia="zh-CN"/>
          <w14:textFill>
            <w14:solidFill>
              <w14:schemeClr w14:val="tx1"/>
            </w14:solidFill>
          </w14:textFill>
        </w:rPr>
        <w:t>磋商响应</w:t>
      </w:r>
      <w:r>
        <w:rPr>
          <w:rFonts w:ascii="仿宋" w:hAnsi="仿宋" w:eastAsia="仿宋" w:cs="仿宋"/>
          <w:b/>
          <w:bCs/>
          <w:color w:val="000000" w:themeColor="text1"/>
          <w:sz w:val="28"/>
          <w:szCs w:val="28"/>
          <w:highlight w:val="none"/>
          <w:lang w:eastAsia="zh-CN"/>
          <w14:textFill>
            <w14:solidFill>
              <w14:schemeClr w14:val="tx1"/>
            </w14:solidFill>
          </w14:textFill>
        </w:rPr>
        <w:t>文件</w:t>
      </w:r>
      <w:r>
        <w:rPr>
          <w:rFonts w:ascii="仿宋" w:hAnsi="仿宋" w:eastAsia="仿宋" w:cs="仿宋"/>
          <w:b/>
          <w:bCs/>
          <w:color w:val="000000" w:themeColor="text1"/>
          <w:sz w:val="28"/>
          <w:szCs w:val="40"/>
          <w:highlight w:val="none"/>
          <w:lang w:eastAsia="zh-CN"/>
          <w14:textFill>
            <w14:solidFill>
              <w14:schemeClr w14:val="tx1"/>
            </w14:solidFill>
          </w14:textFill>
        </w:rPr>
        <w:t>电子版</w:t>
      </w:r>
      <w:bookmarkEnd w:id="240"/>
      <w:bookmarkEnd w:id="241"/>
      <w:bookmarkEnd w:id="242"/>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43" w:name="_Toc20994"/>
      <w:bookmarkStart w:id="244" w:name="_Toc22420"/>
      <w:bookmarkStart w:id="245" w:name="_Toc17721"/>
      <w:r>
        <w:rPr>
          <w:rFonts w:hint="eastAsia" w:ascii="仿宋" w:hAnsi="仿宋" w:eastAsia="仿宋" w:cs="仿宋"/>
          <w:color w:val="000000" w:themeColor="text1"/>
          <w:sz w:val="24"/>
          <w:szCs w:val="20"/>
          <w:highlight w:val="none"/>
          <w:lang w:eastAsia="zh-CN" w:bidi="ar"/>
          <w14:textFill>
            <w14:solidFill>
              <w14:schemeClr w14:val="tx1"/>
            </w14:solidFill>
          </w14:textFill>
        </w:rPr>
        <w:t>（一）磋商响应文件电子版份数：壹份</w:t>
      </w:r>
      <w:bookmarkEnd w:id="243"/>
      <w:bookmarkEnd w:id="244"/>
      <w:bookmarkEnd w:id="245"/>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46" w:name="_Toc589"/>
      <w:bookmarkStart w:id="247" w:name="_Toc770"/>
      <w:bookmarkStart w:id="248" w:name="_Toc13973"/>
      <w:r>
        <w:rPr>
          <w:rFonts w:hint="eastAsia" w:ascii="仿宋" w:hAnsi="仿宋" w:eastAsia="仿宋" w:cs="仿宋"/>
          <w:color w:val="000000" w:themeColor="text1"/>
          <w:sz w:val="24"/>
          <w:szCs w:val="20"/>
          <w:highlight w:val="none"/>
          <w:lang w:eastAsia="zh-CN" w:bidi="ar"/>
          <w14:textFill>
            <w14:solidFill>
              <w14:schemeClr w14:val="tx1"/>
            </w14:solidFill>
          </w14:textFill>
        </w:rPr>
        <w:t>（二）磋商响应文件电子版形式：U盘</w:t>
      </w:r>
      <w:bookmarkEnd w:id="246"/>
      <w:bookmarkEnd w:id="247"/>
      <w:bookmarkEnd w:id="248"/>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49" w:name="_Toc24005"/>
      <w:bookmarkStart w:id="250" w:name="_Toc5705"/>
      <w:bookmarkStart w:id="251" w:name="_Toc4691"/>
      <w:r>
        <w:rPr>
          <w:rFonts w:hint="eastAsia" w:ascii="仿宋" w:hAnsi="仿宋" w:eastAsia="仿宋" w:cs="仿宋"/>
          <w:color w:val="000000" w:themeColor="text1"/>
          <w:sz w:val="24"/>
          <w:szCs w:val="20"/>
          <w:highlight w:val="none"/>
          <w:lang w:eastAsia="zh-CN" w:bidi="ar"/>
          <w14:textFill>
            <w14:solidFill>
              <w14:schemeClr w14:val="tx1"/>
            </w14:solidFill>
          </w14:textFill>
        </w:rPr>
        <w:t>（三）磋商响应文件电子版密封方式：单独进行密封并按照要求进行标记。</w:t>
      </w:r>
      <w:bookmarkEnd w:id="249"/>
      <w:bookmarkEnd w:id="250"/>
      <w:bookmarkEnd w:id="251"/>
    </w:p>
    <w:p>
      <w:pPr>
        <w:spacing w:line="579" w:lineRule="exact"/>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注：1电子版文件内容必须为所有递交的磋商响应文件扫描件PDF文件，文件名称以“</w:t>
      </w:r>
      <w:r>
        <w:rPr>
          <w:rFonts w:hint="eastAsia" w:ascii="仿宋" w:hAnsi="仿宋" w:eastAsia="仿宋" w:cs="仿宋"/>
          <w:b/>
          <w:color w:val="000000" w:themeColor="text1"/>
          <w:sz w:val="24"/>
          <w:highlight w:val="none"/>
          <w:lang w:val="en-US" w:eastAsia="zh-CN" w:bidi="ar"/>
          <w14:textFill>
            <w14:solidFill>
              <w14:schemeClr w14:val="tx1"/>
            </w14:solidFill>
          </w14:textFill>
        </w:rPr>
        <w:t>资格证明文件</w:t>
      </w:r>
      <w:r>
        <w:rPr>
          <w:rFonts w:hint="eastAsia" w:ascii="仿宋" w:hAnsi="仿宋" w:eastAsia="仿宋" w:cs="仿宋"/>
          <w:b/>
          <w:color w:val="000000" w:themeColor="text1"/>
          <w:sz w:val="24"/>
          <w:highlight w:val="none"/>
          <w:lang w:eastAsia="zh-CN" w:bidi="ar"/>
          <w14:textFill>
            <w14:solidFill>
              <w14:schemeClr w14:val="tx1"/>
            </w14:solidFill>
          </w14:textFill>
        </w:rPr>
        <w:t>”“磋商响应报价文件”、“磋商响应文件”进行标记。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2、U盘盘符注明公司名称。</w:t>
      </w:r>
    </w:p>
    <w:p>
      <w:pPr>
        <w:spacing w:line="579" w:lineRule="exact"/>
        <w:rPr>
          <w:rFonts w:ascii="仿宋" w:hAnsi="仿宋" w:eastAsia="仿宋" w:cs="仿宋"/>
          <w:b/>
          <w:color w:val="000000" w:themeColor="text1"/>
          <w:sz w:val="24"/>
          <w:highlight w:val="none"/>
          <w:lang w:eastAsia="zh-CN" w:bidi="ar"/>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3、未按照要求对电子版文件制作的，将影响投标单位投标结果。</w:t>
      </w:r>
    </w:p>
    <w:p>
      <w:pPr>
        <w:pStyle w:val="23"/>
        <w:ind w:firstLine="240"/>
        <w:rPr>
          <w:rFonts w:hint="default" w:ascii="仿宋" w:hAnsi="仿宋" w:eastAsia="仿宋" w:cs="仿宋"/>
          <w:color w:val="000000" w:themeColor="text1"/>
          <w:highlight w:val="none"/>
          <w:lang w:eastAsia="zh-CN" w:bidi="ar"/>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spacing w:line="455" w:lineRule="exact"/>
        <w:jc w:val="center"/>
        <w:rPr>
          <w:rStyle w:val="31"/>
          <w:rFonts w:ascii="仿宋" w:hAnsi="仿宋" w:eastAsia="仿宋" w:cs="仿宋"/>
          <w:color w:val="000000" w:themeColor="text1"/>
          <w:highlight w:val="none"/>
          <w:lang w:eastAsia="zh-CN"/>
          <w14:textFill>
            <w14:solidFill>
              <w14:schemeClr w14:val="tx1"/>
            </w14:solidFill>
          </w14:textFill>
        </w:rPr>
      </w:pPr>
    </w:p>
    <w:sectPr>
      <w:headerReference r:id="rId7" w:type="first"/>
      <w:headerReference r:id="rId6" w:type="default"/>
      <w:pgSz w:w="11906" w:h="16838"/>
      <w:pgMar w:top="1440" w:right="1701" w:bottom="1440" w:left="170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12"/>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51765"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51765"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square" lIns="0" tIns="0" rIns="0" bIns="0" upright="1">
                      <a:spAutoFit/>
                    </wps:bodyPr>
                  </wps:wsp>
                </a:graphicData>
              </a:graphic>
            </wp:anchor>
          </w:drawing>
        </mc:Choice>
        <mc:Fallback>
          <w:pict>
            <v:shape id="文本框 5" o:spid="_x0000_s1026" o:spt="202" type="#_x0000_t202" style="position:absolute;left:0pt;margin-top:0pt;height:144pt;width:11.95pt;mso-position-horizontal:center;mso-position-horizontal-relative:margin;z-index:251661312;mso-width-relative:page;mso-height-relative:page;" filled="f" stroked="f" coordsize="21600,21600" o:gfxdata="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4o8rdIAAAAEAQAADwAAAAAAAAABACAAAAAiAAAAZHJz&#10;L2Rvd25yZXYueG1sUEsBAhQAFAAAAAgAh07iQJPYxY/RAQAAmgMAAA4AAAAAAAAAAQAgAAAAIQEA&#10;AGRycy9lMm9Eb2MueG1sUEsFBgAAAAAGAAYAWQEAAGQ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spacing w:line="14" w:lineRule="auto"/>
      <w:ind w:left="0"/>
      <w:rPr>
        <w:rStyle w:val="31"/>
        <w:sz w:val="12"/>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10"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4144;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yCqSNoAAAANAQAADwAAAAAAAAABACAAAAAiAAAAZHJzL2Rv&#10;d25yZXYueG1sUEsBAhQAFAAAAAgAh07iQDQsoHf/AQAADA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CB2CB"/>
    <w:multiLevelType w:val="singleLevel"/>
    <w:tmpl w:val="EECCB2CB"/>
    <w:lvl w:ilvl="0" w:tentative="0">
      <w:start w:val="4"/>
      <w:numFmt w:val="chineseCounting"/>
      <w:suff w:val="nothing"/>
      <w:lvlText w:val="（%1）"/>
      <w:lvlJc w:val="left"/>
      <w:rPr>
        <w:rFonts w:hint="eastAsia"/>
      </w:rPr>
    </w:lvl>
  </w:abstractNum>
  <w:abstractNum w:abstractNumId="1">
    <w:nsid w:val="1EDBE9D3"/>
    <w:multiLevelType w:val="multilevel"/>
    <w:tmpl w:val="1EDBE9D3"/>
    <w:lvl w:ilvl="0" w:tentative="0">
      <w:start w:val="1"/>
      <w:numFmt w:val="japaneseCounting"/>
      <w:lvlText w:val="%1、"/>
      <w:lvlJc w:val="left"/>
      <w:pPr>
        <w:ind w:left="1280" w:hanging="7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M2Q4NWI2ZGQ1YmNmNWQyN2FlMmQ0NGU0MDk5NmUifQ=="/>
  </w:docVars>
  <w:rsids>
    <w:rsidRoot w:val="000E3846"/>
    <w:rsid w:val="00012818"/>
    <w:rsid w:val="00014D19"/>
    <w:rsid w:val="000241B1"/>
    <w:rsid w:val="00027679"/>
    <w:rsid w:val="00053383"/>
    <w:rsid w:val="00062972"/>
    <w:rsid w:val="00064117"/>
    <w:rsid w:val="00073A40"/>
    <w:rsid w:val="000B0876"/>
    <w:rsid w:val="000E3846"/>
    <w:rsid w:val="000F33A7"/>
    <w:rsid w:val="00117BC0"/>
    <w:rsid w:val="0012602B"/>
    <w:rsid w:val="00171147"/>
    <w:rsid w:val="001817DE"/>
    <w:rsid w:val="00182DC9"/>
    <w:rsid w:val="0018562F"/>
    <w:rsid w:val="001C564C"/>
    <w:rsid w:val="001D56E1"/>
    <w:rsid w:val="0020336E"/>
    <w:rsid w:val="002410E6"/>
    <w:rsid w:val="00247FC2"/>
    <w:rsid w:val="002910EE"/>
    <w:rsid w:val="002A3C07"/>
    <w:rsid w:val="002D313E"/>
    <w:rsid w:val="002F5AC5"/>
    <w:rsid w:val="00302197"/>
    <w:rsid w:val="003076B0"/>
    <w:rsid w:val="00310982"/>
    <w:rsid w:val="00335A35"/>
    <w:rsid w:val="00341A3C"/>
    <w:rsid w:val="00345F74"/>
    <w:rsid w:val="00352940"/>
    <w:rsid w:val="00365579"/>
    <w:rsid w:val="003832E3"/>
    <w:rsid w:val="00392F10"/>
    <w:rsid w:val="003E139F"/>
    <w:rsid w:val="003F18B4"/>
    <w:rsid w:val="00404B4C"/>
    <w:rsid w:val="004062DD"/>
    <w:rsid w:val="00414887"/>
    <w:rsid w:val="004427A9"/>
    <w:rsid w:val="00447ADB"/>
    <w:rsid w:val="00451735"/>
    <w:rsid w:val="00466B4C"/>
    <w:rsid w:val="00467A42"/>
    <w:rsid w:val="00484A73"/>
    <w:rsid w:val="00486D7D"/>
    <w:rsid w:val="004872EF"/>
    <w:rsid w:val="004C0FF4"/>
    <w:rsid w:val="004D7A73"/>
    <w:rsid w:val="004E0FF0"/>
    <w:rsid w:val="004F3C83"/>
    <w:rsid w:val="004F7D3E"/>
    <w:rsid w:val="00526B9B"/>
    <w:rsid w:val="005748DC"/>
    <w:rsid w:val="00581ADD"/>
    <w:rsid w:val="005945D8"/>
    <w:rsid w:val="005A517A"/>
    <w:rsid w:val="005E12B5"/>
    <w:rsid w:val="005F7F48"/>
    <w:rsid w:val="00612349"/>
    <w:rsid w:val="00665433"/>
    <w:rsid w:val="00681C19"/>
    <w:rsid w:val="006841C7"/>
    <w:rsid w:val="006B247C"/>
    <w:rsid w:val="006C4F7F"/>
    <w:rsid w:val="00702DD4"/>
    <w:rsid w:val="007116B0"/>
    <w:rsid w:val="00715C07"/>
    <w:rsid w:val="00726149"/>
    <w:rsid w:val="0075539D"/>
    <w:rsid w:val="00770A06"/>
    <w:rsid w:val="00792C2D"/>
    <w:rsid w:val="00797303"/>
    <w:rsid w:val="007A5603"/>
    <w:rsid w:val="007B4DCC"/>
    <w:rsid w:val="007D0342"/>
    <w:rsid w:val="007E3BBC"/>
    <w:rsid w:val="007E47DD"/>
    <w:rsid w:val="007F3DDE"/>
    <w:rsid w:val="007F4845"/>
    <w:rsid w:val="00802F4E"/>
    <w:rsid w:val="00814DAA"/>
    <w:rsid w:val="00821CBA"/>
    <w:rsid w:val="008433C2"/>
    <w:rsid w:val="00863BFB"/>
    <w:rsid w:val="00880ADE"/>
    <w:rsid w:val="00892716"/>
    <w:rsid w:val="00897799"/>
    <w:rsid w:val="008C4CBC"/>
    <w:rsid w:val="008E1F45"/>
    <w:rsid w:val="008F2038"/>
    <w:rsid w:val="008F5180"/>
    <w:rsid w:val="009045D2"/>
    <w:rsid w:val="00922922"/>
    <w:rsid w:val="00941EC0"/>
    <w:rsid w:val="00952036"/>
    <w:rsid w:val="00955023"/>
    <w:rsid w:val="00963CC2"/>
    <w:rsid w:val="00965C49"/>
    <w:rsid w:val="00996FCF"/>
    <w:rsid w:val="009A0C0F"/>
    <w:rsid w:val="009A22F1"/>
    <w:rsid w:val="009A4B2F"/>
    <w:rsid w:val="009B08D8"/>
    <w:rsid w:val="009B1509"/>
    <w:rsid w:val="009F3822"/>
    <w:rsid w:val="00A03B40"/>
    <w:rsid w:val="00A21077"/>
    <w:rsid w:val="00A239B4"/>
    <w:rsid w:val="00A60236"/>
    <w:rsid w:val="00A60743"/>
    <w:rsid w:val="00A709D3"/>
    <w:rsid w:val="00A741B9"/>
    <w:rsid w:val="00A87C7B"/>
    <w:rsid w:val="00AA29C6"/>
    <w:rsid w:val="00AA3D9B"/>
    <w:rsid w:val="00AA4F90"/>
    <w:rsid w:val="00AC1F81"/>
    <w:rsid w:val="00AC4F4E"/>
    <w:rsid w:val="00AF0086"/>
    <w:rsid w:val="00AF6A4A"/>
    <w:rsid w:val="00B06909"/>
    <w:rsid w:val="00B06D56"/>
    <w:rsid w:val="00B222CE"/>
    <w:rsid w:val="00B50279"/>
    <w:rsid w:val="00B65DB7"/>
    <w:rsid w:val="00B700CC"/>
    <w:rsid w:val="00B72464"/>
    <w:rsid w:val="00BA7AD4"/>
    <w:rsid w:val="00BC6A43"/>
    <w:rsid w:val="00C26747"/>
    <w:rsid w:val="00C2691C"/>
    <w:rsid w:val="00C32925"/>
    <w:rsid w:val="00C36F95"/>
    <w:rsid w:val="00C37738"/>
    <w:rsid w:val="00C407CE"/>
    <w:rsid w:val="00C47FE9"/>
    <w:rsid w:val="00C52D35"/>
    <w:rsid w:val="00C5799A"/>
    <w:rsid w:val="00C81403"/>
    <w:rsid w:val="00CA03EC"/>
    <w:rsid w:val="00CB12E0"/>
    <w:rsid w:val="00CC0E0B"/>
    <w:rsid w:val="00CC63B4"/>
    <w:rsid w:val="00CE2CCE"/>
    <w:rsid w:val="00CE72B4"/>
    <w:rsid w:val="00D26C9B"/>
    <w:rsid w:val="00D33561"/>
    <w:rsid w:val="00D53E73"/>
    <w:rsid w:val="00D640AF"/>
    <w:rsid w:val="00D7010C"/>
    <w:rsid w:val="00DA5E90"/>
    <w:rsid w:val="00DD22D3"/>
    <w:rsid w:val="00E14646"/>
    <w:rsid w:val="00E376F8"/>
    <w:rsid w:val="00E37C90"/>
    <w:rsid w:val="00E40ED8"/>
    <w:rsid w:val="00E47BA7"/>
    <w:rsid w:val="00E5392D"/>
    <w:rsid w:val="00E57B45"/>
    <w:rsid w:val="00E67E28"/>
    <w:rsid w:val="00E74C2A"/>
    <w:rsid w:val="00EA23F6"/>
    <w:rsid w:val="00EE2055"/>
    <w:rsid w:val="00EF1584"/>
    <w:rsid w:val="00EF57B2"/>
    <w:rsid w:val="00F02510"/>
    <w:rsid w:val="00F1224B"/>
    <w:rsid w:val="00F53B5F"/>
    <w:rsid w:val="00F544B4"/>
    <w:rsid w:val="00F61498"/>
    <w:rsid w:val="00F64DEA"/>
    <w:rsid w:val="00F77128"/>
    <w:rsid w:val="00F80261"/>
    <w:rsid w:val="00F85A8D"/>
    <w:rsid w:val="00FA2E9E"/>
    <w:rsid w:val="00FB2295"/>
    <w:rsid w:val="00FD1C7D"/>
    <w:rsid w:val="00FE1C54"/>
    <w:rsid w:val="01567841"/>
    <w:rsid w:val="01B47468"/>
    <w:rsid w:val="027B6439"/>
    <w:rsid w:val="0495145E"/>
    <w:rsid w:val="05675ECF"/>
    <w:rsid w:val="094B3F58"/>
    <w:rsid w:val="09D80212"/>
    <w:rsid w:val="0BA9426E"/>
    <w:rsid w:val="0EB32594"/>
    <w:rsid w:val="12294638"/>
    <w:rsid w:val="14F17494"/>
    <w:rsid w:val="15DC6C15"/>
    <w:rsid w:val="17DD7839"/>
    <w:rsid w:val="18064177"/>
    <w:rsid w:val="184E71FB"/>
    <w:rsid w:val="185A1AA5"/>
    <w:rsid w:val="18BA4947"/>
    <w:rsid w:val="18BC4EA1"/>
    <w:rsid w:val="197C6776"/>
    <w:rsid w:val="199A737C"/>
    <w:rsid w:val="19F824A4"/>
    <w:rsid w:val="1E0C3B6A"/>
    <w:rsid w:val="1EE06ED7"/>
    <w:rsid w:val="1F514488"/>
    <w:rsid w:val="20473C4C"/>
    <w:rsid w:val="218203C8"/>
    <w:rsid w:val="221E1A8A"/>
    <w:rsid w:val="22D80503"/>
    <w:rsid w:val="24AF703C"/>
    <w:rsid w:val="26FE42F5"/>
    <w:rsid w:val="289536A8"/>
    <w:rsid w:val="28E83D31"/>
    <w:rsid w:val="29170A26"/>
    <w:rsid w:val="293E3E40"/>
    <w:rsid w:val="2D941D0F"/>
    <w:rsid w:val="2FDE1B0D"/>
    <w:rsid w:val="305B5EDD"/>
    <w:rsid w:val="31A37E74"/>
    <w:rsid w:val="37BA3643"/>
    <w:rsid w:val="390C7E91"/>
    <w:rsid w:val="39767B13"/>
    <w:rsid w:val="3AA52863"/>
    <w:rsid w:val="3C6329B0"/>
    <w:rsid w:val="3CC8229C"/>
    <w:rsid w:val="3D475B6E"/>
    <w:rsid w:val="3DAD5802"/>
    <w:rsid w:val="3E43534C"/>
    <w:rsid w:val="3E7266F9"/>
    <w:rsid w:val="3ED51E49"/>
    <w:rsid w:val="3F253C47"/>
    <w:rsid w:val="3FAC4174"/>
    <w:rsid w:val="41C1381D"/>
    <w:rsid w:val="41EE068E"/>
    <w:rsid w:val="43235FF4"/>
    <w:rsid w:val="436E5BE5"/>
    <w:rsid w:val="4482351C"/>
    <w:rsid w:val="469E17E5"/>
    <w:rsid w:val="47532C9A"/>
    <w:rsid w:val="47B70A16"/>
    <w:rsid w:val="47C4574E"/>
    <w:rsid w:val="47EA7940"/>
    <w:rsid w:val="47ED307D"/>
    <w:rsid w:val="4B036A00"/>
    <w:rsid w:val="4C3E0CA3"/>
    <w:rsid w:val="4F117CA0"/>
    <w:rsid w:val="4FEE0B5A"/>
    <w:rsid w:val="539A0E2A"/>
    <w:rsid w:val="53A25146"/>
    <w:rsid w:val="5473011D"/>
    <w:rsid w:val="54BD45AE"/>
    <w:rsid w:val="55495648"/>
    <w:rsid w:val="57C3211F"/>
    <w:rsid w:val="582D4969"/>
    <w:rsid w:val="585767E0"/>
    <w:rsid w:val="596C5D33"/>
    <w:rsid w:val="59CC77BF"/>
    <w:rsid w:val="5AE8181F"/>
    <w:rsid w:val="5B992327"/>
    <w:rsid w:val="5C2D0D2B"/>
    <w:rsid w:val="5E6A32E8"/>
    <w:rsid w:val="5E7269DF"/>
    <w:rsid w:val="5EFD5B80"/>
    <w:rsid w:val="5F291A96"/>
    <w:rsid w:val="5F467786"/>
    <w:rsid w:val="5FC07AF8"/>
    <w:rsid w:val="6075653D"/>
    <w:rsid w:val="630A1DE1"/>
    <w:rsid w:val="64247748"/>
    <w:rsid w:val="65E36874"/>
    <w:rsid w:val="661D4897"/>
    <w:rsid w:val="68321382"/>
    <w:rsid w:val="683C1DE5"/>
    <w:rsid w:val="68F072E5"/>
    <w:rsid w:val="6B7A2760"/>
    <w:rsid w:val="6EDD7D36"/>
    <w:rsid w:val="6FF37E5C"/>
    <w:rsid w:val="73AE628E"/>
    <w:rsid w:val="78633ED9"/>
    <w:rsid w:val="78A72549"/>
    <w:rsid w:val="796E7C36"/>
    <w:rsid w:val="7C6C3C5E"/>
    <w:rsid w:val="7D026909"/>
    <w:rsid w:val="7E5D350D"/>
    <w:rsid w:val="7E697975"/>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3">
    <w:name w:val="heading 1"/>
    <w:basedOn w:val="1"/>
    <w:next w:val="1"/>
    <w:link w:val="48"/>
    <w:qFormat/>
    <w:uiPriority w:val="9"/>
    <w:pPr>
      <w:spacing w:before="100" w:beforeAutospacing="1" w:after="100" w:afterAutospacing="1"/>
      <w:textAlignment w:val="auto"/>
      <w:outlineLvl w:val="0"/>
    </w:pPr>
    <w:rPr>
      <w:rFonts w:cs="宋体"/>
      <w:b/>
      <w:bCs/>
      <w:kern w:val="36"/>
      <w:sz w:val="48"/>
      <w:szCs w:val="48"/>
      <w:lang w:eastAsia="zh-CN"/>
    </w:rPr>
  </w:style>
  <w:style w:type="paragraph" w:styleId="2">
    <w:name w:val="heading 2"/>
    <w:basedOn w:val="1"/>
    <w:next w:val="1"/>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4">
    <w:name w:val="heading 3"/>
    <w:basedOn w:val="1"/>
    <w:next w:val="1"/>
    <w:unhideWhenUsed/>
    <w:qFormat/>
    <w:uiPriority w:val="0"/>
    <w:pPr>
      <w:keepNext/>
      <w:keepLines/>
      <w:spacing w:before="120" w:after="120" w:line="360" w:lineRule="auto"/>
      <w:outlineLvl w:val="2"/>
    </w:pPr>
    <w:rPr>
      <w:rFonts w:hint="eastAsia" w:hAnsi="Times New Roman"/>
      <w:b/>
      <w:sz w:val="24"/>
      <w:szCs w:val="20"/>
    </w:rPr>
  </w:style>
  <w:style w:type="paragraph" w:styleId="5">
    <w:name w:val="heading 4"/>
    <w:basedOn w:val="1"/>
    <w:next w:val="1"/>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semiHidden/>
    <w:qFormat/>
    <w:uiPriority w:val="0"/>
    <w:pPr>
      <w:ind w:left="420" w:leftChars="200"/>
    </w:pPr>
  </w:style>
  <w:style w:type="paragraph" w:styleId="7">
    <w:name w:val="Normal Indent"/>
    <w:basedOn w:val="1"/>
    <w:next w:val="1"/>
    <w:qFormat/>
    <w:uiPriority w:val="0"/>
    <w:pPr>
      <w:spacing w:line="360" w:lineRule="auto"/>
      <w:ind w:firstLine="200" w:firstLineChars="200"/>
    </w:pPr>
    <w:rPr>
      <w:rFonts w:ascii="Times New Roman" w:hAnsi="Times New Roman"/>
      <w:sz w:val="28"/>
      <w:szCs w:val="20"/>
    </w:rPr>
  </w:style>
  <w:style w:type="paragraph" w:styleId="8">
    <w:name w:val="index 5"/>
    <w:basedOn w:val="1"/>
    <w:next w:val="1"/>
    <w:qFormat/>
    <w:uiPriority w:val="0"/>
    <w:pPr>
      <w:ind w:left="1680"/>
    </w:pPr>
  </w:style>
  <w:style w:type="paragraph" w:styleId="9">
    <w:name w:val="toa heading"/>
    <w:basedOn w:val="1"/>
    <w:next w:val="1"/>
    <w:qFormat/>
    <w:uiPriority w:val="0"/>
    <w:pPr>
      <w:spacing w:before="120"/>
    </w:pPr>
    <w:rPr>
      <w:rFonts w:ascii="Cambria" w:hAnsi="Cambria"/>
      <w:sz w:val="24"/>
    </w:rPr>
  </w:style>
  <w:style w:type="paragraph" w:styleId="10">
    <w:name w:val="Body Text"/>
    <w:basedOn w:val="1"/>
    <w:next w:val="11"/>
    <w:qFormat/>
    <w:uiPriority w:val="0"/>
    <w:pPr>
      <w:spacing w:after="120"/>
    </w:pPr>
  </w:style>
  <w:style w:type="paragraph" w:styleId="11">
    <w:name w:val="footer"/>
    <w:basedOn w:val="1"/>
    <w:next w:val="8"/>
    <w:link w:val="47"/>
    <w:qFormat/>
    <w:uiPriority w:val="0"/>
    <w:pPr>
      <w:tabs>
        <w:tab w:val="center" w:pos="4153"/>
        <w:tab w:val="right" w:pos="8306"/>
      </w:tabs>
      <w:snapToGrid w:val="0"/>
    </w:pPr>
    <w:rPr>
      <w:sz w:val="18"/>
      <w:szCs w:val="18"/>
    </w:rPr>
  </w:style>
  <w:style w:type="paragraph" w:styleId="12">
    <w:name w:val="Body Text Indent"/>
    <w:basedOn w:val="1"/>
    <w:next w:val="5"/>
    <w:qFormat/>
    <w:uiPriority w:val="0"/>
    <w:pPr>
      <w:spacing w:after="120"/>
      <w:ind w:left="420" w:leftChars="200"/>
    </w:pPr>
    <w:rPr>
      <w:rFonts w:ascii="Times New Roman" w:hAnsi="Times New Roman"/>
      <w:sz w:val="20"/>
      <w:szCs w:val="24"/>
    </w:rPr>
  </w:style>
  <w:style w:type="paragraph" w:styleId="13">
    <w:name w:val="toc 3"/>
    <w:basedOn w:val="1"/>
    <w:next w:val="1"/>
    <w:semiHidden/>
    <w:unhideWhenUsed/>
    <w:qFormat/>
    <w:uiPriority w:val="39"/>
    <w:pPr>
      <w:ind w:left="840" w:leftChars="400"/>
    </w:pPr>
  </w:style>
  <w:style w:type="paragraph" w:styleId="14">
    <w:name w:val="Plain Text"/>
    <w:basedOn w:val="1"/>
    <w:qFormat/>
    <w:uiPriority w:val="0"/>
    <w:rPr>
      <w:rFonts w:ascii="宋体" w:hAnsi="Times New Roman"/>
      <w:szCs w:val="24"/>
    </w:rPr>
  </w:style>
  <w:style w:type="paragraph" w:styleId="15">
    <w:name w:val="Date"/>
    <w:basedOn w:val="1"/>
    <w:next w:val="1"/>
    <w:qFormat/>
    <w:uiPriority w:val="0"/>
    <w:rPr>
      <w:rFonts w:ascii="Arial" w:hAnsi="Arial" w:cs="Arial"/>
      <w:b/>
      <w:sz w:val="28"/>
    </w:rPr>
  </w:style>
  <w:style w:type="paragraph" w:styleId="16">
    <w:name w:val="Balloon Text"/>
    <w:basedOn w:val="1"/>
    <w:link w:val="61"/>
    <w:semiHidden/>
    <w:unhideWhenUsed/>
    <w:qFormat/>
    <w:uiPriority w:val="99"/>
    <w:rPr>
      <w:sz w:val="18"/>
      <w:szCs w:val="18"/>
    </w:rPr>
  </w:style>
  <w:style w:type="paragraph" w:styleId="17">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nhideWhenUsed/>
    <w:qFormat/>
    <w:uiPriority w:val="39"/>
  </w:style>
  <w:style w:type="paragraph" w:styleId="19">
    <w:name w:val="Subtitle"/>
    <w:basedOn w:val="1"/>
    <w:next w:val="1"/>
    <w:qFormat/>
    <w:uiPriority w:val="11"/>
    <w:pPr>
      <w:widowControl w:val="0"/>
      <w:autoSpaceDE w:val="0"/>
      <w:autoSpaceDN w:val="0"/>
      <w:spacing w:before="240" w:after="60" w:line="240" w:lineRule="exact"/>
      <w:ind w:firstLine="0" w:firstLineChars="0"/>
      <w:jc w:val="center"/>
      <w:outlineLvl w:val="1"/>
    </w:pPr>
    <w:rPr>
      <w:rFonts w:asciiTheme="majorHAnsi" w:hAnsiTheme="majorHAnsi" w:eastAsiaTheme="majorEastAsia" w:cstheme="majorBidi"/>
      <w:bCs/>
      <w:kern w:val="28"/>
      <w:sz w:val="24"/>
      <w:szCs w:val="32"/>
    </w:rPr>
  </w:style>
  <w:style w:type="paragraph" w:styleId="20">
    <w:name w:val="toc 2"/>
    <w:basedOn w:val="1"/>
    <w:next w:val="1"/>
    <w:semiHidden/>
    <w:unhideWhenUsed/>
    <w:qFormat/>
    <w:uiPriority w:val="39"/>
    <w:pPr>
      <w:ind w:left="420" w:leftChars="200"/>
    </w:pPr>
  </w:style>
  <w:style w:type="paragraph" w:styleId="21">
    <w:name w:val="Normal (Web)"/>
    <w:basedOn w:val="1"/>
    <w:qFormat/>
    <w:uiPriority w:val="99"/>
    <w:pPr>
      <w:spacing w:before="100" w:beforeAutospacing="1" w:after="100" w:afterAutospacing="1"/>
      <w:textAlignment w:val="auto"/>
    </w:pPr>
    <w:rPr>
      <w:rFonts w:cs="宋体"/>
      <w:sz w:val="24"/>
      <w:szCs w:val="24"/>
      <w:lang w:eastAsia="zh-CN"/>
    </w:rPr>
  </w:style>
  <w:style w:type="paragraph" w:styleId="22">
    <w:name w:val="Title"/>
    <w:basedOn w:val="1"/>
    <w:next w:val="1"/>
    <w:qFormat/>
    <w:uiPriority w:val="0"/>
    <w:pPr>
      <w:adjustRightInd w:val="0"/>
      <w:snapToGrid w:val="0"/>
      <w:spacing w:before="120" w:after="120"/>
      <w:outlineLvl w:val="0"/>
    </w:pPr>
    <w:rPr>
      <w:rFonts w:ascii="黑体" w:hAnsi="Times New Roman" w:cs="Times New Roman"/>
      <w:b/>
      <w:snapToGrid w:val="0"/>
      <w:kern w:val="0"/>
      <w:szCs w:val="20"/>
    </w:rPr>
  </w:style>
  <w:style w:type="paragraph" w:styleId="23">
    <w:name w:val="Body Text First Indent"/>
    <w:basedOn w:val="10"/>
    <w:next w:val="1"/>
    <w:qFormat/>
    <w:uiPriority w:val="0"/>
    <w:pPr>
      <w:spacing w:line="360" w:lineRule="auto"/>
      <w:ind w:firstLine="420" w:firstLineChars="100"/>
    </w:pPr>
    <w:rPr>
      <w:rFonts w:hint="eastAsia"/>
      <w:sz w:val="24"/>
    </w:rPr>
  </w:style>
  <w:style w:type="paragraph" w:styleId="24">
    <w:name w:val="Body Text First Indent 2"/>
    <w:basedOn w:val="12"/>
    <w:next w:val="23"/>
    <w:qFormat/>
    <w:uiPriority w:val="0"/>
    <w:pPr>
      <w:ind w:firstLine="420" w:firstLineChars="2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qFormat/>
    <w:uiPriority w:val="99"/>
    <w:rPr>
      <w:color w:val="0657AB"/>
      <w:u w:val="none"/>
    </w:rPr>
  </w:style>
  <w:style w:type="character" w:styleId="30">
    <w:name w:val="HTML Sample"/>
    <w:basedOn w:val="27"/>
    <w:qFormat/>
    <w:uiPriority w:val="0"/>
    <w:rPr>
      <w:rFonts w:ascii="Courier New" w:hAnsi="Courier New"/>
    </w:rPr>
  </w:style>
  <w:style w:type="character" w:customStyle="1" w:styleId="31">
    <w:name w:val="NormalCharacter"/>
    <w:qFormat/>
    <w:uiPriority w:val="0"/>
  </w:style>
  <w:style w:type="table" w:customStyle="1" w:styleId="32">
    <w:name w:val="TableNormal"/>
    <w:qFormat/>
    <w:uiPriority w:val="0"/>
    <w:tblPr>
      <w:tblCellMar>
        <w:top w:w="0" w:type="dxa"/>
        <w:left w:w="0" w:type="dxa"/>
        <w:bottom w:w="0" w:type="dxa"/>
        <w:right w:w="0" w:type="dxa"/>
      </w:tblCellMar>
    </w:tblPr>
  </w:style>
  <w:style w:type="paragraph" w:customStyle="1" w:styleId="33">
    <w:name w:val="UserStyle_0"/>
    <w:basedOn w:val="1"/>
    <w:qFormat/>
    <w:uiPriority w:val="0"/>
    <w:pPr>
      <w:ind w:firstLine="560"/>
    </w:pPr>
  </w:style>
  <w:style w:type="paragraph" w:customStyle="1" w:styleId="34">
    <w:name w:val="BodyText"/>
    <w:basedOn w:val="1"/>
    <w:qFormat/>
    <w:uiPriority w:val="0"/>
    <w:pPr>
      <w:ind w:left="109"/>
    </w:pPr>
    <w:rPr>
      <w:sz w:val="24"/>
      <w:szCs w:val="24"/>
    </w:rPr>
  </w:style>
  <w:style w:type="paragraph" w:customStyle="1" w:styleId="35">
    <w:name w:val="BodyText1I"/>
    <w:basedOn w:val="34"/>
    <w:qFormat/>
    <w:uiPriority w:val="0"/>
    <w:pPr>
      <w:ind w:firstLine="420" w:firstLineChars="100"/>
      <w:jc w:val="center"/>
    </w:pPr>
    <w:rPr>
      <w:rFonts w:cs="宋体"/>
      <w:b/>
      <w:bCs/>
      <w:kern w:val="2"/>
      <w:sz w:val="36"/>
    </w:rPr>
  </w:style>
  <w:style w:type="paragraph" w:customStyle="1" w:styleId="36">
    <w:name w:val="UserStyle_1"/>
    <w:basedOn w:val="1"/>
    <w:qFormat/>
    <w:uiPriority w:val="0"/>
    <w:pPr>
      <w:ind w:left="54"/>
      <w:jc w:val="center"/>
    </w:pPr>
    <w:rPr>
      <w:rFonts w:cs="宋体"/>
      <w:b/>
      <w:bCs/>
      <w:sz w:val="40"/>
      <w:szCs w:val="40"/>
    </w:rPr>
  </w:style>
  <w:style w:type="paragraph" w:customStyle="1" w:styleId="37">
    <w:name w:val="UserStyle_2"/>
    <w:basedOn w:val="1"/>
    <w:qFormat/>
    <w:uiPriority w:val="0"/>
    <w:pPr>
      <w:jc w:val="center"/>
    </w:pPr>
    <w:rPr>
      <w:rFonts w:cs="宋体"/>
      <w:b/>
      <w:bCs/>
      <w:sz w:val="36"/>
      <w:szCs w:val="36"/>
    </w:rPr>
  </w:style>
  <w:style w:type="paragraph" w:customStyle="1" w:styleId="38">
    <w:name w:val="UserStyle_3"/>
    <w:basedOn w:val="1"/>
    <w:qFormat/>
    <w:uiPriority w:val="0"/>
    <w:pPr>
      <w:ind w:left="23"/>
      <w:jc w:val="center"/>
    </w:pPr>
    <w:rPr>
      <w:rFonts w:cs="宋体"/>
      <w:b/>
      <w:bCs/>
      <w:sz w:val="30"/>
      <w:szCs w:val="30"/>
    </w:rPr>
  </w:style>
  <w:style w:type="paragraph" w:customStyle="1" w:styleId="39">
    <w:name w:val="UserStyle_4"/>
    <w:basedOn w:val="1"/>
    <w:qFormat/>
    <w:uiPriority w:val="0"/>
  </w:style>
  <w:style w:type="table" w:customStyle="1" w:styleId="40">
    <w:name w:val="UserStyle_5"/>
    <w:qFormat/>
    <w:uiPriority w:val="0"/>
    <w:tblPr>
      <w:tblCellMar>
        <w:top w:w="0" w:type="dxa"/>
        <w:left w:w="0" w:type="dxa"/>
        <w:bottom w:w="0" w:type="dxa"/>
        <w:right w:w="0" w:type="dxa"/>
      </w:tblCellMar>
    </w:tblPr>
  </w:style>
  <w:style w:type="paragraph" w:customStyle="1" w:styleId="41">
    <w:name w:val="UserStyle_6"/>
    <w:basedOn w:val="1"/>
    <w:qFormat/>
    <w:uiPriority w:val="0"/>
    <w:pPr>
      <w:spacing w:before="31"/>
      <w:ind w:left="591"/>
    </w:pPr>
    <w:rPr>
      <w:rFonts w:cs="宋体"/>
      <w:b/>
      <w:bCs/>
      <w:sz w:val="24"/>
      <w:szCs w:val="24"/>
    </w:rPr>
  </w:style>
  <w:style w:type="paragraph" w:customStyle="1" w:styleId="42">
    <w:name w:val="UserStyle_7"/>
    <w:basedOn w:val="1"/>
    <w:qFormat/>
    <w:uiPriority w:val="0"/>
    <w:pPr>
      <w:ind w:left="152"/>
      <w:jc w:val="center"/>
    </w:pPr>
    <w:rPr>
      <w:rFonts w:cs="宋体"/>
      <w:b/>
      <w:bCs/>
      <w:sz w:val="32"/>
      <w:szCs w:val="32"/>
    </w:rPr>
  </w:style>
  <w:style w:type="paragraph" w:customStyle="1" w:styleId="43">
    <w:name w:val="179"/>
    <w:basedOn w:val="1"/>
    <w:qFormat/>
    <w:uiPriority w:val="0"/>
    <w:pPr>
      <w:spacing w:before="31"/>
      <w:ind w:left="109" w:firstLine="480"/>
    </w:pPr>
  </w:style>
  <w:style w:type="paragraph" w:customStyle="1" w:styleId="44">
    <w:name w:val="UserStyle_8"/>
    <w:basedOn w:val="1"/>
    <w:qFormat/>
    <w:uiPriority w:val="0"/>
    <w:pPr>
      <w:ind w:left="109"/>
    </w:pPr>
    <w:rPr>
      <w:rFonts w:cs="宋体"/>
      <w:b/>
      <w:bCs/>
      <w:sz w:val="28"/>
      <w:szCs w:val="28"/>
    </w:rPr>
  </w:style>
  <w:style w:type="paragraph" w:customStyle="1" w:styleId="45">
    <w:name w:val="UserStyle_9"/>
    <w:basedOn w:val="1"/>
    <w:qFormat/>
    <w:uiPriority w:val="0"/>
    <w:pPr>
      <w:ind w:firstLine="420" w:firstLineChars="200"/>
    </w:pPr>
  </w:style>
  <w:style w:type="character" w:customStyle="1" w:styleId="46">
    <w:name w:val="页眉 字符"/>
    <w:basedOn w:val="27"/>
    <w:link w:val="17"/>
    <w:qFormat/>
    <w:uiPriority w:val="99"/>
    <w:rPr>
      <w:rFonts w:ascii="宋体" w:hAnsi="宋体"/>
      <w:sz w:val="18"/>
      <w:szCs w:val="18"/>
      <w:lang w:eastAsia="en-US"/>
    </w:rPr>
  </w:style>
  <w:style w:type="character" w:customStyle="1" w:styleId="47">
    <w:name w:val="页脚 字符"/>
    <w:basedOn w:val="27"/>
    <w:link w:val="11"/>
    <w:qFormat/>
    <w:uiPriority w:val="0"/>
    <w:rPr>
      <w:rFonts w:ascii="宋体" w:hAnsi="宋体"/>
      <w:sz w:val="18"/>
      <w:szCs w:val="18"/>
      <w:lang w:eastAsia="en-US"/>
    </w:rPr>
  </w:style>
  <w:style w:type="character" w:customStyle="1" w:styleId="48">
    <w:name w:val="标题 1 字符"/>
    <w:basedOn w:val="27"/>
    <w:link w:val="3"/>
    <w:qFormat/>
    <w:uiPriority w:val="9"/>
    <w:rPr>
      <w:rFonts w:ascii="宋体" w:hAnsi="宋体" w:cs="宋体"/>
      <w:b/>
      <w:bCs/>
      <w:kern w:val="36"/>
      <w:sz w:val="48"/>
      <w:szCs w:val="48"/>
    </w:rPr>
  </w:style>
  <w:style w:type="paragraph" w:customStyle="1" w:styleId="49">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50">
    <w:name w:val="bookmark-item"/>
    <w:basedOn w:val="27"/>
    <w:qFormat/>
    <w:uiPriority w:val="0"/>
  </w:style>
  <w:style w:type="paragraph" w:styleId="51">
    <w:name w:val="List Paragraph"/>
    <w:basedOn w:val="1"/>
    <w:qFormat/>
    <w:uiPriority w:val="34"/>
    <w:pPr>
      <w:ind w:firstLine="420" w:firstLineChars="200"/>
    </w:pPr>
  </w:style>
  <w:style w:type="paragraph" w:customStyle="1" w:styleId="52">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5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4">
    <w:name w:val="Table Paragraph"/>
    <w:basedOn w:val="1"/>
    <w:qFormat/>
    <w:uiPriority w:val="1"/>
    <w:pPr>
      <w:widowControl w:val="0"/>
      <w:autoSpaceDE w:val="0"/>
      <w:autoSpaceDN w:val="0"/>
      <w:textAlignment w:val="auto"/>
    </w:pPr>
    <w:rPr>
      <w:rFonts w:cs="宋体"/>
      <w:lang w:eastAsia="zh-CN"/>
    </w:rPr>
  </w:style>
  <w:style w:type="paragraph" w:customStyle="1" w:styleId="55">
    <w:name w:val="正文 A"/>
    <w:basedOn w:val="1"/>
    <w:qFormat/>
    <w:uiPriority w:val="0"/>
    <w:pPr>
      <w:pBdr>
        <w:top w:val="none" w:color="FFFFFF" w:sz="0" w:space="0"/>
        <w:left w:val="none" w:color="FFFFFF" w:sz="0" w:space="0"/>
        <w:bottom w:val="none" w:color="FFFFFF" w:sz="0" w:space="0"/>
        <w:right w:val="none" w:color="FFFFFF" w:sz="0" w:space="0"/>
      </w:pBdr>
    </w:pPr>
    <w:rPr>
      <w:rFonts w:ascii="Times New Roman" w:hAnsi="Times New Roman"/>
      <w:color w:val="000000"/>
      <w:szCs w:val="21"/>
    </w:rPr>
  </w:style>
  <w:style w:type="paragraph" w:customStyle="1" w:styleId="56">
    <w:name w:val="11正文"/>
    <w:basedOn w:val="1"/>
    <w:qFormat/>
    <w:uiPriority w:val="0"/>
    <w:pPr>
      <w:tabs>
        <w:tab w:val="center" w:pos="4153"/>
        <w:tab w:val="right" w:pos="8306"/>
      </w:tabs>
      <w:spacing w:line="360" w:lineRule="auto"/>
      <w:ind w:firstLine="560" w:firstLineChars="200"/>
    </w:pPr>
    <w:rPr>
      <w:rFonts w:hint="eastAsia"/>
      <w:color w:val="000000"/>
      <w:sz w:val="24"/>
      <w:szCs w:val="28"/>
    </w:rPr>
  </w:style>
  <w:style w:type="paragraph" w:customStyle="1" w:styleId="57">
    <w:name w:val="图"/>
    <w:basedOn w:val="1"/>
    <w:qFormat/>
    <w:uiPriority w:val="99"/>
    <w:pPr>
      <w:keepNext/>
      <w:adjustRightInd w:val="0"/>
      <w:spacing w:before="60" w:after="60" w:line="300" w:lineRule="auto"/>
      <w:jc w:val="center"/>
      <w:textAlignment w:val="center"/>
    </w:pPr>
    <w:rPr>
      <w:rFonts w:ascii="Times New Roman" w:hAnsi="Times New Roman"/>
      <w:spacing w:val="20"/>
      <w:sz w:val="24"/>
    </w:rPr>
  </w:style>
  <w:style w:type="character" w:customStyle="1" w:styleId="58">
    <w:name w:val="font11"/>
    <w:basedOn w:val="27"/>
    <w:qFormat/>
    <w:uiPriority w:val="0"/>
    <w:rPr>
      <w:rFonts w:hint="eastAsia" w:ascii="宋体" w:hAnsi="宋体" w:eastAsia="宋体" w:cs="宋体"/>
      <w:color w:val="000000"/>
      <w:sz w:val="24"/>
      <w:szCs w:val="24"/>
      <w:u w:val="none"/>
    </w:rPr>
  </w:style>
  <w:style w:type="character" w:customStyle="1" w:styleId="59">
    <w:name w:val="font01"/>
    <w:basedOn w:val="27"/>
    <w:qFormat/>
    <w:uiPriority w:val="0"/>
    <w:rPr>
      <w:rFonts w:hint="eastAsia" w:ascii="宋体" w:hAnsi="宋体" w:eastAsia="宋体" w:cs="宋体"/>
      <w:color w:val="000000"/>
      <w:sz w:val="24"/>
      <w:szCs w:val="24"/>
      <w:u w:val="none"/>
    </w:rPr>
  </w:style>
  <w:style w:type="paragraph" w:customStyle="1" w:styleId="60">
    <w:name w:val="招标方案正文"/>
    <w:basedOn w:val="1"/>
    <w:qFormat/>
    <w:uiPriority w:val="0"/>
    <w:pPr>
      <w:spacing w:line="360" w:lineRule="auto"/>
      <w:ind w:firstLine="200" w:firstLineChars="200"/>
    </w:pPr>
    <w:rPr>
      <w:rFonts w:ascii="Times New Roman" w:hAnsi="Times New Roman"/>
      <w:sz w:val="24"/>
    </w:rPr>
  </w:style>
  <w:style w:type="character" w:customStyle="1" w:styleId="61">
    <w:name w:val="批注框文本 字符"/>
    <w:basedOn w:val="27"/>
    <w:link w:val="16"/>
    <w:semiHidden/>
    <w:qFormat/>
    <w:uiPriority w:val="99"/>
    <w:rPr>
      <w:rFonts w:ascii="宋体" w:hAnsi="宋体"/>
      <w:sz w:val="18"/>
      <w:szCs w:val="18"/>
      <w:lang w:eastAsia="en-US"/>
    </w:rPr>
  </w:style>
  <w:style w:type="table" w:customStyle="1" w:styleId="62">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63">
    <w:name w:val="标题3"/>
    <w:qFormat/>
    <w:uiPriority w:val="0"/>
    <w:rPr>
      <w:rFonts w:ascii="仿宋" w:hAnsi="仿宋" w:eastAsia="楷体"/>
      <w:b/>
      <w:kern w:val="1"/>
      <w:sz w:val="32"/>
    </w:rPr>
  </w:style>
  <w:style w:type="table" w:customStyle="1" w:styleId="64">
    <w:name w:val="网格型11"/>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font51"/>
    <w:basedOn w:val="27"/>
    <w:qFormat/>
    <w:uiPriority w:val="0"/>
    <w:rPr>
      <w:rFonts w:hint="default" w:ascii="方正仿宋_GBK" w:hAnsi="方正仿宋_GBK" w:eastAsia="方正仿宋_GBK" w:cs="方正仿宋_GBK"/>
      <w:color w:val="000000"/>
      <w:sz w:val="24"/>
      <w:szCs w:val="24"/>
      <w:u w:val="none"/>
    </w:rPr>
  </w:style>
  <w:style w:type="paragraph" w:customStyle="1" w:styleId="67">
    <w:name w:val="正文缩进1"/>
    <w:basedOn w:val="1"/>
    <w:qFormat/>
    <w:uiPriority w:val="0"/>
    <w:pPr>
      <w:ind w:firstLine="420" w:firstLineChars="200"/>
    </w:pPr>
  </w:style>
  <w:style w:type="paragraph" w:customStyle="1" w:styleId="6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69">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70">
    <w:name w:val="列表段落1"/>
    <w:basedOn w:val="1"/>
    <w:qFormat/>
    <w:uiPriority w:val="34"/>
    <w:pPr>
      <w:ind w:firstLine="420" w:firstLineChars="200"/>
    </w:pPr>
  </w:style>
  <w:style w:type="paragraph" w:customStyle="1" w:styleId="71">
    <w:name w:val="Body text|1"/>
    <w:basedOn w:val="1"/>
    <w:qFormat/>
    <w:uiPriority w:val="0"/>
    <w:pPr>
      <w:widowControl w:val="0"/>
      <w:shd w:val="clear" w:color="auto" w:fill="auto"/>
      <w:spacing w:line="334" w:lineRule="auto"/>
      <w:ind w:firstLine="400"/>
    </w:pPr>
    <w:rPr>
      <w:rFonts w:ascii="宋体" w:hAnsi="宋体" w:eastAsia="宋体" w:cs="宋体"/>
      <w:u w:val="none"/>
      <w:shd w:val="clear" w:color="auto" w:fill="auto"/>
      <w:lang w:val="zh-TW" w:eastAsia="zh-TW" w:bidi="zh-TW"/>
    </w:rPr>
  </w:style>
  <w:style w:type="paragraph" w:customStyle="1" w:styleId="72">
    <w:name w:val="样式1"/>
    <w:basedOn w:val="5"/>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83</Pages>
  <Words>35643</Words>
  <Characters>37610</Characters>
  <Lines>348</Lines>
  <Paragraphs>98</Paragraphs>
  <TotalTime>15</TotalTime>
  <ScaleCrop>false</ScaleCrop>
  <LinksUpToDate>false</LinksUpToDate>
  <CharactersWithSpaces>40007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2021-08-14T12:18:00Z</dcterms:created>
  <dc:creator>Administrator</dc:creator>
  <cp:lastModifiedBy>阿司匹林</cp:lastModifiedBy>
  <cp:lastPrinted>2023-04-06T03:42:00Z</cp:lastPrinted>
  <dcterms:modified xsi:type="dcterms:W3CDTF">2023-04-06T10:21:09Z</dcterms:modified>
  <dc:title>新疆维吾尔自治区公安厅特警总队智能枪弹柜采购项目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38D2CAE9747B474DA6C3CD2CBF5CA90D</vt:lpwstr>
  </property>
</Properties>
</file>