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宋体" w:hAnsi="宋体" w:eastAsia="宋体" w:cs="宋体"/>
          <w:b/>
          <w:bCs/>
          <w:color w:val="auto"/>
          <w:w w:val="90"/>
          <w:sz w:val="52"/>
          <w:szCs w:val="52"/>
          <w:highlight w:val="none"/>
          <w:lang w:eastAsia="zh-CN"/>
        </w:rPr>
      </w:pPr>
    </w:p>
    <w:p>
      <w:pPr>
        <w:jc w:val="center"/>
        <w:rPr>
          <w:rFonts w:hint="eastAsia" w:ascii="宋体" w:hAnsi="宋体" w:eastAsia="宋体" w:cs="宋体"/>
          <w:b/>
          <w:bCs/>
          <w:color w:val="auto"/>
          <w:w w:val="90"/>
          <w:sz w:val="52"/>
          <w:szCs w:val="52"/>
          <w:highlight w:val="none"/>
          <w:lang w:eastAsia="zh-CN"/>
        </w:rPr>
      </w:pPr>
      <w:r>
        <w:rPr>
          <w:rFonts w:hint="eastAsia" w:ascii="宋体" w:hAnsi="宋体" w:eastAsia="宋体" w:cs="宋体"/>
          <w:b/>
          <w:bCs/>
          <w:color w:val="auto"/>
          <w:w w:val="90"/>
          <w:sz w:val="48"/>
          <w:szCs w:val="48"/>
          <w:highlight w:val="none"/>
          <w:lang w:eastAsia="zh-CN"/>
        </w:rPr>
        <w:t>2023年城区绿地补植项目</w:t>
      </w:r>
    </w:p>
    <w:p>
      <w:pPr>
        <w:pStyle w:val="9"/>
        <w:spacing w:line="760" w:lineRule="exact"/>
        <w:jc w:val="center"/>
        <w:outlineLvl w:val="9"/>
        <w:rPr>
          <w:rFonts w:hint="eastAsia" w:ascii="宋体" w:hAnsi="宋体" w:eastAsia="宋体" w:cs="宋体"/>
          <w:b/>
          <w:color w:val="auto"/>
          <w:sz w:val="36"/>
          <w:szCs w:val="36"/>
          <w:highlight w:val="none"/>
          <w:lang w:val="en-US" w:eastAsia="zh-CN"/>
        </w:rPr>
      </w:pPr>
    </w:p>
    <w:p>
      <w:pPr>
        <w:pStyle w:val="9"/>
        <w:spacing w:line="760" w:lineRule="exact"/>
        <w:outlineLvl w:val="9"/>
        <w:rPr>
          <w:rFonts w:hint="eastAsia" w:ascii="宋体" w:hAnsi="宋体" w:eastAsia="宋体" w:cs="宋体"/>
          <w:color w:val="auto"/>
          <w:highlight w:val="none"/>
        </w:rPr>
      </w:pPr>
    </w:p>
    <w:p>
      <w:pPr>
        <w:pStyle w:val="9"/>
        <w:outlineLvl w:val="9"/>
        <w:rPr>
          <w:rFonts w:hint="eastAsia" w:ascii="宋体" w:hAnsi="宋体" w:eastAsia="宋体" w:cs="宋体"/>
          <w:color w:val="auto"/>
          <w:highlight w:val="none"/>
        </w:rPr>
      </w:pPr>
    </w:p>
    <w:p>
      <w:pPr>
        <w:pStyle w:val="9"/>
        <w:jc w:val="center"/>
        <w:rPr>
          <w:rFonts w:hint="eastAsia" w:ascii="宋体" w:hAnsi="宋体" w:eastAsia="宋体" w:cs="宋体"/>
          <w:color w:val="auto"/>
          <w:sz w:val="84"/>
          <w:szCs w:val="84"/>
          <w:highlight w:val="none"/>
        </w:rPr>
      </w:pPr>
      <w:bookmarkStart w:id="0" w:name="_Toc7400"/>
      <w:r>
        <w:rPr>
          <w:rFonts w:hint="eastAsia" w:ascii="宋体" w:hAnsi="宋体" w:eastAsia="宋体" w:cs="宋体"/>
          <w:b/>
          <w:color w:val="auto"/>
          <w:sz w:val="84"/>
          <w:szCs w:val="84"/>
          <w:highlight w:val="none"/>
          <w:lang w:val="en-US" w:eastAsia="zh-CN"/>
        </w:rPr>
        <w:t>竞争性</w:t>
      </w:r>
      <w:r>
        <w:rPr>
          <w:rFonts w:hint="eastAsia" w:ascii="宋体" w:hAnsi="宋体" w:eastAsia="宋体" w:cs="宋体"/>
          <w:b/>
          <w:color w:val="auto"/>
          <w:sz w:val="84"/>
          <w:szCs w:val="84"/>
          <w:highlight w:val="none"/>
          <w:lang w:eastAsia="zh-CN"/>
        </w:rPr>
        <w:t>谈</w:t>
      </w:r>
      <w:r>
        <w:rPr>
          <w:rFonts w:hint="eastAsia" w:ascii="宋体" w:hAnsi="宋体" w:eastAsia="宋体" w:cs="宋体"/>
          <w:b/>
          <w:bCs/>
          <w:color w:val="auto"/>
          <w:sz w:val="84"/>
          <w:szCs w:val="84"/>
          <w:highlight w:val="none"/>
          <w:lang w:eastAsia="zh-CN"/>
        </w:rPr>
        <w:t>判</w:t>
      </w:r>
      <w:r>
        <w:rPr>
          <w:rFonts w:hint="eastAsia" w:ascii="宋体" w:hAnsi="宋体" w:eastAsia="宋体" w:cs="宋体"/>
          <w:b/>
          <w:bCs/>
          <w:color w:val="auto"/>
          <w:sz w:val="84"/>
          <w:szCs w:val="84"/>
          <w:highlight w:val="none"/>
        </w:rPr>
        <w:t>文件</w:t>
      </w:r>
      <w:bookmarkEnd w:id="0"/>
    </w:p>
    <w:p>
      <w:pPr>
        <w:pStyle w:val="9"/>
        <w:jc w:val="center"/>
        <w:rPr>
          <w:rFonts w:hint="eastAsia" w:ascii="宋体" w:hAnsi="宋体" w:eastAsia="宋体" w:cs="宋体"/>
          <w:color w:val="auto"/>
          <w:highlight w:val="none"/>
        </w:rPr>
      </w:pPr>
      <w:bookmarkStart w:id="1" w:name="_Toc4304"/>
      <w:r>
        <w:rPr>
          <w:rFonts w:hint="eastAsia" w:ascii="宋体" w:hAnsi="宋体" w:eastAsia="宋体" w:cs="宋体"/>
          <w:b/>
          <w:bCs/>
          <w:color w:val="auto"/>
          <w:sz w:val="36"/>
          <w:szCs w:val="36"/>
          <w:highlight w:val="none"/>
        </w:rPr>
        <w:t>项目编号：</w:t>
      </w:r>
      <w:r>
        <w:rPr>
          <w:rFonts w:hint="eastAsia" w:ascii="宋体" w:hAnsi="宋体" w:eastAsia="宋体" w:cs="宋体"/>
          <w:b/>
          <w:bCs/>
          <w:color w:val="auto"/>
          <w:sz w:val="36"/>
          <w:szCs w:val="36"/>
          <w:highlight w:val="none"/>
          <w:lang w:val="en-US" w:eastAsia="zh-CN"/>
        </w:rPr>
        <w:t>kcs2023-wt029</w:t>
      </w:r>
      <w:bookmarkEnd w:id="1"/>
    </w:p>
    <w:p>
      <w:pPr>
        <w:pStyle w:val="9"/>
        <w:outlineLvl w:val="9"/>
        <w:rPr>
          <w:rFonts w:hint="eastAsia" w:ascii="宋体" w:hAnsi="宋体" w:eastAsia="宋体" w:cs="宋体"/>
          <w:color w:val="auto"/>
          <w:highlight w:val="none"/>
        </w:rPr>
      </w:pPr>
    </w:p>
    <w:p>
      <w:pPr>
        <w:pStyle w:val="11"/>
        <w:adjustRightInd w:val="0"/>
        <w:snapToGrid w:val="0"/>
        <w:spacing w:line="360" w:lineRule="auto"/>
        <w:ind w:firstLine="285" w:firstLineChars="100"/>
        <w:outlineLvl w:val="9"/>
        <w:rPr>
          <w:rFonts w:hint="eastAsia" w:ascii="宋体" w:hAnsi="宋体" w:eastAsia="宋体" w:cs="宋体"/>
          <w:b/>
          <w:color w:val="auto"/>
          <w:sz w:val="28"/>
          <w:szCs w:val="28"/>
        </w:rPr>
      </w:pPr>
    </w:p>
    <w:p>
      <w:pPr>
        <w:pStyle w:val="11"/>
        <w:adjustRightInd w:val="0"/>
        <w:snapToGrid w:val="0"/>
        <w:spacing w:line="360" w:lineRule="auto"/>
        <w:outlineLvl w:val="9"/>
        <w:rPr>
          <w:rFonts w:hint="eastAsia" w:ascii="宋体" w:hAnsi="宋体" w:eastAsia="宋体" w:cs="宋体"/>
          <w:b/>
          <w:color w:val="auto"/>
          <w:sz w:val="28"/>
          <w:szCs w:val="28"/>
        </w:rPr>
      </w:pPr>
    </w:p>
    <w:p>
      <w:pPr>
        <w:pStyle w:val="11"/>
        <w:adjustRightInd w:val="0"/>
        <w:snapToGrid w:val="0"/>
        <w:spacing w:line="360" w:lineRule="auto"/>
        <w:ind w:firstLine="285" w:firstLineChars="100"/>
        <w:outlineLvl w:val="9"/>
        <w:rPr>
          <w:rFonts w:hint="eastAsia" w:ascii="宋体" w:hAnsi="宋体" w:eastAsia="宋体" w:cs="宋体"/>
          <w:b/>
          <w:color w:val="auto"/>
          <w:sz w:val="28"/>
          <w:szCs w:val="28"/>
        </w:rPr>
      </w:pPr>
    </w:p>
    <w:p>
      <w:pPr>
        <w:pStyle w:val="11"/>
        <w:adjustRightInd w:val="0"/>
        <w:snapToGrid w:val="0"/>
        <w:spacing w:line="360" w:lineRule="auto"/>
        <w:ind w:leftChars="200" w:firstLine="285" w:firstLineChars="100"/>
        <w:outlineLvl w:val="0"/>
        <w:rPr>
          <w:rFonts w:hint="eastAsia" w:ascii="宋体" w:hAnsi="宋体" w:eastAsia="宋体" w:cs="宋体"/>
          <w:b/>
          <w:color w:val="auto"/>
          <w:sz w:val="28"/>
          <w:szCs w:val="28"/>
        </w:rPr>
      </w:pPr>
      <w:bookmarkStart w:id="2" w:name="_Toc11201"/>
      <w:r>
        <w:rPr>
          <w:rFonts w:hint="eastAsia" w:ascii="宋体" w:hAnsi="宋体" w:eastAsia="宋体" w:cs="宋体"/>
          <w:b/>
          <w:color w:val="auto"/>
          <w:sz w:val="28"/>
          <w:szCs w:val="28"/>
        </w:rPr>
        <w:t>采购人：</w:t>
      </w:r>
      <w:r>
        <w:rPr>
          <w:rFonts w:hint="eastAsia" w:ascii="宋体" w:hAnsi="宋体" w:eastAsia="宋体" w:cs="宋体"/>
          <w:b/>
          <w:color w:val="auto"/>
          <w:sz w:val="28"/>
          <w:szCs w:val="28"/>
          <w:lang w:eastAsia="zh-CN"/>
        </w:rPr>
        <w:t>库车市园林绿化环卫服务中心</w:t>
      </w:r>
      <w:bookmarkEnd w:id="2"/>
    </w:p>
    <w:p>
      <w:pPr>
        <w:pStyle w:val="11"/>
        <w:adjustRightInd w:val="0"/>
        <w:snapToGrid w:val="0"/>
        <w:spacing w:line="360" w:lineRule="auto"/>
        <w:ind w:leftChars="200" w:firstLine="285" w:firstLineChars="1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联系人：</w:t>
      </w:r>
      <w:r>
        <w:rPr>
          <w:rFonts w:hint="eastAsia" w:ascii="宋体" w:hAnsi="宋体" w:eastAsia="宋体" w:cs="宋体"/>
          <w:b/>
          <w:color w:val="auto"/>
          <w:sz w:val="28"/>
          <w:szCs w:val="28"/>
          <w:lang w:val="en-US" w:eastAsia="zh-CN"/>
        </w:rPr>
        <w:t>阿斯古力·阿吾东</w:t>
      </w:r>
    </w:p>
    <w:p>
      <w:pPr>
        <w:pStyle w:val="11"/>
        <w:adjustRightInd w:val="0"/>
        <w:snapToGrid w:val="0"/>
        <w:spacing w:line="360" w:lineRule="auto"/>
        <w:ind w:leftChars="200" w:firstLine="285" w:firstLineChars="1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联系方式：</w:t>
      </w:r>
      <w:r>
        <w:rPr>
          <w:rFonts w:hint="eastAsia" w:ascii="宋体" w:hAnsi="宋体" w:eastAsia="宋体" w:cs="宋体"/>
          <w:b/>
          <w:color w:val="auto"/>
          <w:sz w:val="28"/>
          <w:szCs w:val="28"/>
          <w:lang w:eastAsia="zh-CN"/>
        </w:rPr>
        <w:t>0997-7311792</w:t>
      </w:r>
    </w:p>
    <w:p>
      <w:pPr>
        <w:pStyle w:val="11"/>
        <w:adjustRightInd w:val="0"/>
        <w:snapToGrid w:val="0"/>
        <w:spacing w:line="360" w:lineRule="auto"/>
        <w:ind w:leftChars="200" w:firstLine="840" w:firstLineChars="295"/>
        <w:rPr>
          <w:rFonts w:hint="eastAsia" w:ascii="宋体" w:hAnsi="宋体" w:eastAsia="宋体" w:cs="宋体"/>
          <w:b/>
          <w:color w:val="auto"/>
          <w:sz w:val="28"/>
          <w:szCs w:val="28"/>
        </w:rPr>
      </w:pPr>
    </w:p>
    <w:p>
      <w:pPr>
        <w:pStyle w:val="11"/>
        <w:adjustRightInd w:val="0"/>
        <w:snapToGrid w:val="0"/>
        <w:spacing w:line="360" w:lineRule="auto"/>
        <w:ind w:leftChars="200" w:firstLine="285" w:firstLineChars="10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采购代理机构：</w:t>
      </w:r>
      <w:r>
        <w:rPr>
          <w:rFonts w:hint="eastAsia" w:ascii="宋体" w:hAnsi="宋体" w:eastAsia="宋体" w:cs="宋体"/>
          <w:b/>
          <w:color w:val="auto"/>
          <w:sz w:val="28"/>
          <w:szCs w:val="28"/>
          <w:lang w:eastAsia="zh-CN"/>
        </w:rPr>
        <w:t>新疆鑫诚宏业建设项目管理有限公司</w:t>
      </w:r>
    </w:p>
    <w:p>
      <w:pPr>
        <w:pStyle w:val="11"/>
        <w:adjustRightInd w:val="0"/>
        <w:snapToGrid w:val="0"/>
        <w:spacing w:line="360" w:lineRule="auto"/>
        <w:ind w:leftChars="200" w:firstLine="285"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联系人：</w:t>
      </w:r>
      <w:r>
        <w:rPr>
          <w:rFonts w:hint="eastAsia" w:ascii="宋体" w:hAnsi="宋体" w:eastAsia="宋体" w:cs="宋体"/>
          <w:b/>
          <w:color w:val="auto"/>
          <w:sz w:val="28"/>
          <w:szCs w:val="28"/>
          <w:lang w:eastAsia="zh-CN"/>
        </w:rPr>
        <w:t>文浩宇</w:t>
      </w:r>
    </w:p>
    <w:p>
      <w:pPr>
        <w:pStyle w:val="11"/>
        <w:adjustRightInd w:val="0"/>
        <w:snapToGrid w:val="0"/>
        <w:spacing w:line="360" w:lineRule="auto"/>
        <w:ind w:leftChars="200" w:firstLine="285" w:firstLineChars="100"/>
        <w:rPr>
          <w:rFonts w:hint="eastAsia" w:ascii="宋体" w:hAnsi="宋体" w:eastAsia="宋体" w:cs="宋体"/>
          <w:b/>
          <w:color w:val="auto"/>
          <w:sz w:val="28"/>
          <w:szCs w:val="28"/>
          <w:lang w:val="en-US"/>
        </w:rPr>
      </w:pPr>
      <w:r>
        <w:rPr>
          <w:rFonts w:hint="eastAsia" w:ascii="宋体" w:hAnsi="宋体" w:eastAsia="宋体" w:cs="宋体"/>
          <w:b/>
          <w:color w:val="auto"/>
          <w:sz w:val="28"/>
          <w:szCs w:val="28"/>
        </w:rPr>
        <w:t>联系方式：</w:t>
      </w:r>
      <w:r>
        <w:rPr>
          <w:rFonts w:hint="eastAsia" w:ascii="宋体" w:hAnsi="宋体" w:eastAsia="宋体" w:cs="宋体"/>
          <w:b/>
          <w:color w:val="auto"/>
          <w:sz w:val="28"/>
          <w:szCs w:val="28"/>
          <w:lang w:val="en-US" w:eastAsia="zh-CN"/>
        </w:rPr>
        <w:t>19199100216</w:t>
      </w:r>
    </w:p>
    <w:p>
      <w:pPr>
        <w:pStyle w:val="11"/>
        <w:adjustRightInd w:val="0"/>
        <w:snapToGrid w:val="0"/>
        <w:spacing w:line="360" w:lineRule="auto"/>
        <w:ind w:leftChars="200"/>
        <w:jc w:val="center"/>
        <w:rPr>
          <w:rFonts w:hint="eastAsia" w:ascii="宋体" w:hAnsi="宋体" w:eastAsia="宋体" w:cs="宋体"/>
          <w:b/>
          <w:color w:val="auto"/>
          <w:sz w:val="28"/>
          <w:szCs w:val="28"/>
        </w:rPr>
      </w:pPr>
    </w:p>
    <w:p>
      <w:pPr>
        <w:pStyle w:val="11"/>
        <w:adjustRightInd w:val="0"/>
        <w:snapToGrid w:val="0"/>
        <w:spacing w:line="360" w:lineRule="auto"/>
        <w:ind w:leftChars="200"/>
        <w:jc w:val="center"/>
        <w:rPr>
          <w:rFonts w:hint="eastAsia" w:ascii="宋体" w:hAnsi="宋体" w:eastAsia="宋体" w:cs="宋体"/>
          <w:b/>
          <w:color w:val="auto"/>
          <w:spacing w:val="-20"/>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月</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sdt>
      <w:sdtPr>
        <w:rPr>
          <w:rFonts w:ascii="宋体" w:hAnsi="宋体" w:eastAsia="宋体" w:cs="Times New Roman"/>
          <w:color w:val="auto"/>
          <w:sz w:val="21"/>
          <w:szCs w:val="24"/>
          <w:lang w:val="en-US" w:eastAsia="en-US" w:bidi="en-US"/>
        </w:rPr>
        <w:id w:val="147465886"/>
        <w15:color w:val="DBDBDB"/>
        <w:docPartObj>
          <w:docPartGallery w:val="Table of Contents"/>
          <w:docPartUnique/>
        </w:docPartObj>
      </w:sdtPr>
      <w:sdtEndPr>
        <w:rPr>
          <w:rFonts w:hint="eastAsia" w:ascii="Times New Roman" w:hAnsi="Times New Roman" w:eastAsia="Times New Roman" w:cs="Times New Roman"/>
          <w:color w:val="auto"/>
          <w:sz w:val="18"/>
          <w:szCs w:val="24"/>
          <w:lang w:val="en-US" w:eastAsia="en-US" w:bidi="en-US"/>
        </w:rPr>
      </w:sdtEndPr>
      <w:sdtContent>
        <w:p>
          <w:pPr>
            <w:keepNext w:val="0"/>
            <w:keepLines w:val="0"/>
            <w:pageBreakBefore w:val="0"/>
            <w:kinsoku/>
            <w:wordWrap/>
            <w:overflowPunct/>
            <w:topLinePunct w:val="0"/>
            <w:autoSpaceDE/>
            <w:autoSpaceDN/>
            <w:bidi w:val="0"/>
            <w:adjustRightInd/>
            <w:spacing w:before="0" w:beforeLines="0" w:after="0" w:afterLines="0" w:line="720" w:lineRule="auto"/>
            <w:ind w:left="0" w:leftChars="0" w:right="0" w:rightChars="0" w:firstLine="0" w:firstLineChars="0"/>
            <w:jc w:val="center"/>
            <w:textAlignment w:val="auto"/>
            <w:rPr>
              <w:rFonts w:ascii="宋体" w:hAnsi="宋体" w:eastAsia="宋体" w:cs="Times New Roman"/>
              <w:color w:val="auto"/>
              <w:sz w:val="21"/>
              <w:szCs w:val="24"/>
              <w:lang w:val="en-US" w:eastAsia="en-US" w:bidi="en-US"/>
            </w:rPr>
          </w:pPr>
        </w:p>
        <w:p>
          <w:pPr>
            <w:keepNext w:val="0"/>
            <w:keepLines w:val="0"/>
            <w:pageBreakBefore w:val="0"/>
            <w:kinsoku/>
            <w:wordWrap/>
            <w:overflowPunct/>
            <w:topLinePunct w:val="0"/>
            <w:autoSpaceDE/>
            <w:autoSpaceDN/>
            <w:bidi w:val="0"/>
            <w:adjustRightInd/>
            <w:spacing w:before="0" w:beforeLines="0" w:after="0" w:afterLines="0" w:line="720" w:lineRule="auto"/>
            <w:ind w:left="0" w:leftChars="0" w:right="0" w:rightChars="0" w:firstLine="0" w:firstLineChars="0"/>
            <w:jc w:val="center"/>
            <w:textAlignment w:val="auto"/>
            <w:rPr>
              <w:b/>
              <w:bCs/>
              <w:color w:val="auto"/>
              <w:sz w:val="30"/>
              <w:szCs w:val="30"/>
            </w:rPr>
          </w:pPr>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r>
            <w:rPr>
              <w:rFonts w:hint="eastAsia"/>
              <w:b/>
              <w:bCs/>
              <w:color w:val="auto"/>
              <w:sz w:val="30"/>
              <w:szCs w:val="30"/>
            </w:rPr>
            <w:fldChar w:fldCharType="begin"/>
          </w:r>
          <w:r>
            <w:rPr>
              <w:rFonts w:hint="eastAsia"/>
              <w:b/>
              <w:bCs/>
              <w:color w:val="auto"/>
              <w:sz w:val="30"/>
              <w:szCs w:val="30"/>
            </w:rPr>
            <w:instrText xml:space="preserve">TOC \o "1-1" \h \u </w:instrText>
          </w:r>
          <w:r>
            <w:rPr>
              <w:rFonts w:hint="eastAsia"/>
              <w:b/>
              <w:bCs/>
              <w:color w:val="auto"/>
              <w:sz w:val="30"/>
              <w:szCs w:val="30"/>
            </w:rPr>
            <w:fldChar w:fldCharType="separate"/>
          </w:r>
        </w:p>
        <w:p>
          <w:pPr>
            <w:pStyle w:val="49"/>
            <w:keepNext w:val="0"/>
            <w:keepLines w:val="0"/>
            <w:pageBreakBefore w:val="0"/>
            <w:tabs>
              <w:tab w:val="right" w:leader="dot" w:pos="9745"/>
            </w:tabs>
            <w:kinsoku/>
            <w:wordWrap/>
            <w:overflowPunct/>
            <w:topLinePunct w:val="0"/>
            <w:autoSpaceDE/>
            <w:autoSpaceDN/>
            <w:bidi w:val="0"/>
            <w:adjustRightInd/>
            <w:spacing w:line="720" w:lineRule="auto"/>
            <w:textAlignment w:val="auto"/>
            <w:rPr>
              <w:b/>
              <w:bCs/>
              <w:color w:val="auto"/>
              <w:sz w:val="30"/>
              <w:szCs w:val="30"/>
            </w:rPr>
          </w:pPr>
          <w:r>
            <w:rPr>
              <w:rFonts w:hint="eastAsia"/>
              <w:b/>
              <w:bCs/>
              <w:color w:val="auto"/>
              <w:sz w:val="30"/>
              <w:szCs w:val="30"/>
            </w:rPr>
            <w:fldChar w:fldCharType="begin"/>
          </w:r>
          <w:r>
            <w:rPr>
              <w:rFonts w:hint="eastAsia"/>
              <w:b/>
              <w:bCs/>
              <w:color w:val="auto"/>
              <w:sz w:val="30"/>
              <w:szCs w:val="30"/>
            </w:rPr>
            <w:instrText xml:space="preserve"> HYPERLINK \l _Toc2589 </w:instrText>
          </w:r>
          <w:r>
            <w:rPr>
              <w:rFonts w:hint="eastAsia"/>
              <w:b/>
              <w:bCs/>
              <w:color w:val="auto"/>
              <w:sz w:val="30"/>
              <w:szCs w:val="30"/>
            </w:rPr>
            <w:fldChar w:fldCharType="separate"/>
          </w:r>
          <w:r>
            <w:rPr>
              <w:rFonts w:hint="eastAsia" w:ascii="宋体" w:hAnsi="宋体" w:eastAsia="宋体" w:cs="宋体"/>
              <w:b/>
              <w:bCs/>
              <w:color w:val="auto"/>
              <w:sz w:val="30"/>
              <w:szCs w:val="30"/>
              <w:lang w:eastAsia="zh-CN"/>
            </w:rPr>
            <w:t xml:space="preserve">第一部分 </w:t>
          </w:r>
          <w:r>
            <w:rPr>
              <w:rFonts w:hint="eastAsia" w:ascii="宋体" w:hAnsi="宋体" w:eastAsia="宋体" w:cs="宋体"/>
              <w:b/>
              <w:bCs/>
              <w:color w:val="auto"/>
              <w:sz w:val="30"/>
              <w:szCs w:val="30"/>
              <w:highlight w:val="none"/>
              <w:lang w:eastAsia="zh-CN"/>
            </w:rPr>
            <w:t>竞争性谈判公告</w:t>
          </w:r>
          <w:r>
            <w:rPr>
              <w:b/>
              <w:bCs/>
              <w:color w:val="auto"/>
              <w:sz w:val="30"/>
              <w:szCs w:val="30"/>
            </w:rPr>
            <w:tab/>
          </w:r>
          <w:r>
            <w:rPr>
              <w:b/>
              <w:bCs/>
              <w:color w:val="auto"/>
              <w:sz w:val="30"/>
              <w:szCs w:val="30"/>
            </w:rPr>
            <w:fldChar w:fldCharType="begin"/>
          </w:r>
          <w:r>
            <w:rPr>
              <w:b/>
              <w:bCs/>
              <w:color w:val="auto"/>
              <w:sz w:val="30"/>
              <w:szCs w:val="30"/>
            </w:rPr>
            <w:instrText xml:space="preserve"> PAGEREF _Toc2589 \h </w:instrText>
          </w:r>
          <w:r>
            <w:rPr>
              <w:b/>
              <w:bCs/>
              <w:color w:val="auto"/>
              <w:sz w:val="30"/>
              <w:szCs w:val="30"/>
            </w:rPr>
            <w:fldChar w:fldCharType="separate"/>
          </w:r>
          <w:r>
            <w:rPr>
              <w:b/>
              <w:bCs/>
              <w:color w:val="auto"/>
              <w:sz w:val="30"/>
              <w:szCs w:val="30"/>
            </w:rPr>
            <w:t>1</w:t>
          </w:r>
          <w:r>
            <w:rPr>
              <w:b/>
              <w:bCs/>
              <w:color w:val="auto"/>
              <w:sz w:val="30"/>
              <w:szCs w:val="30"/>
            </w:rPr>
            <w:fldChar w:fldCharType="end"/>
          </w:r>
          <w:r>
            <w:rPr>
              <w:rFonts w:hint="eastAsia"/>
              <w:b/>
              <w:bCs/>
              <w:color w:val="auto"/>
              <w:sz w:val="30"/>
              <w:szCs w:val="30"/>
            </w:rPr>
            <w:fldChar w:fldCharType="end"/>
          </w:r>
        </w:p>
        <w:p>
          <w:pPr>
            <w:pStyle w:val="49"/>
            <w:keepNext w:val="0"/>
            <w:keepLines w:val="0"/>
            <w:pageBreakBefore w:val="0"/>
            <w:tabs>
              <w:tab w:val="right" w:leader="dot" w:pos="9745"/>
            </w:tabs>
            <w:kinsoku/>
            <w:wordWrap/>
            <w:overflowPunct/>
            <w:topLinePunct w:val="0"/>
            <w:autoSpaceDE/>
            <w:autoSpaceDN/>
            <w:bidi w:val="0"/>
            <w:adjustRightInd/>
            <w:spacing w:line="720" w:lineRule="auto"/>
            <w:textAlignment w:val="auto"/>
            <w:rPr>
              <w:b/>
              <w:bCs/>
              <w:color w:val="auto"/>
              <w:sz w:val="30"/>
              <w:szCs w:val="30"/>
            </w:rPr>
          </w:pPr>
          <w:r>
            <w:rPr>
              <w:rFonts w:hint="eastAsia"/>
              <w:b/>
              <w:bCs/>
              <w:color w:val="auto"/>
              <w:sz w:val="30"/>
              <w:szCs w:val="30"/>
            </w:rPr>
            <w:fldChar w:fldCharType="begin"/>
          </w:r>
          <w:r>
            <w:rPr>
              <w:rFonts w:hint="eastAsia"/>
              <w:b/>
              <w:bCs/>
              <w:color w:val="auto"/>
              <w:sz w:val="30"/>
              <w:szCs w:val="30"/>
            </w:rPr>
            <w:instrText xml:space="preserve"> HYPERLINK \l _Toc26604 </w:instrText>
          </w:r>
          <w:r>
            <w:rPr>
              <w:rFonts w:hint="eastAsia"/>
              <w:b/>
              <w:bCs/>
              <w:color w:val="auto"/>
              <w:sz w:val="30"/>
              <w:szCs w:val="30"/>
            </w:rPr>
            <w:fldChar w:fldCharType="separate"/>
          </w:r>
          <w:r>
            <w:rPr>
              <w:rFonts w:hint="eastAsia" w:ascii="宋体" w:hAnsi="宋体" w:eastAsia="宋体" w:cs="宋体"/>
              <w:b/>
              <w:bCs/>
              <w:color w:val="auto"/>
              <w:sz w:val="30"/>
              <w:szCs w:val="30"/>
              <w:highlight w:val="none"/>
            </w:rPr>
            <w:t>第二部分供应商须知</w:t>
          </w:r>
          <w:r>
            <w:rPr>
              <w:b/>
              <w:bCs/>
              <w:color w:val="auto"/>
              <w:sz w:val="30"/>
              <w:szCs w:val="30"/>
            </w:rPr>
            <w:tab/>
          </w:r>
          <w:r>
            <w:rPr>
              <w:b/>
              <w:bCs/>
              <w:color w:val="auto"/>
              <w:sz w:val="30"/>
              <w:szCs w:val="30"/>
            </w:rPr>
            <w:fldChar w:fldCharType="begin"/>
          </w:r>
          <w:r>
            <w:rPr>
              <w:b/>
              <w:bCs/>
              <w:color w:val="auto"/>
              <w:sz w:val="30"/>
              <w:szCs w:val="30"/>
            </w:rPr>
            <w:instrText xml:space="preserve"> PAGEREF _Toc26604 \h </w:instrText>
          </w:r>
          <w:r>
            <w:rPr>
              <w:b/>
              <w:bCs/>
              <w:color w:val="auto"/>
              <w:sz w:val="30"/>
              <w:szCs w:val="30"/>
            </w:rPr>
            <w:fldChar w:fldCharType="separate"/>
          </w:r>
          <w:r>
            <w:rPr>
              <w:b/>
              <w:bCs/>
              <w:color w:val="auto"/>
              <w:sz w:val="30"/>
              <w:szCs w:val="30"/>
            </w:rPr>
            <w:t>4</w:t>
          </w:r>
          <w:r>
            <w:rPr>
              <w:b/>
              <w:bCs/>
              <w:color w:val="auto"/>
              <w:sz w:val="30"/>
              <w:szCs w:val="30"/>
            </w:rPr>
            <w:fldChar w:fldCharType="end"/>
          </w:r>
          <w:r>
            <w:rPr>
              <w:rFonts w:hint="eastAsia"/>
              <w:b/>
              <w:bCs/>
              <w:color w:val="auto"/>
              <w:sz w:val="30"/>
              <w:szCs w:val="30"/>
            </w:rPr>
            <w:fldChar w:fldCharType="end"/>
          </w:r>
        </w:p>
        <w:p>
          <w:pPr>
            <w:pStyle w:val="49"/>
            <w:keepNext w:val="0"/>
            <w:keepLines w:val="0"/>
            <w:pageBreakBefore w:val="0"/>
            <w:tabs>
              <w:tab w:val="right" w:leader="dot" w:pos="9745"/>
            </w:tabs>
            <w:kinsoku/>
            <w:wordWrap/>
            <w:overflowPunct/>
            <w:topLinePunct w:val="0"/>
            <w:autoSpaceDE/>
            <w:autoSpaceDN/>
            <w:bidi w:val="0"/>
            <w:adjustRightInd/>
            <w:spacing w:line="720" w:lineRule="auto"/>
            <w:textAlignment w:val="auto"/>
            <w:rPr>
              <w:b/>
              <w:bCs/>
              <w:color w:val="auto"/>
              <w:sz w:val="30"/>
              <w:szCs w:val="30"/>
            </w:rPr>
          </w:pPr>
          <w:r>
            <w:rPr>
              <w:rFonts w:hint="eastAsia"/>
              <w:b/>
              <w:bCs/>
              <w:color w:val="auto"/>
              <w:sz w:val="30"/>
              <w:szCs w:val="30"/>
            </w:rPr>
            <w:fldChar w:fldCharType="begin"/>
          </w:r>
          <w:r>
            <w:rPr>
              <w:rFonts w:hint="eastAsia"/>
              <w:b/>
              <w:bCs/>
              <w:color w:val="auto"/>
              <w:sz w:val="30"/>
              <w:szCs w:val="30"/>
            </w:rPr>
            <w:instrText xml:space="preserve"> HYPERLINK \l _Toc19358 </w:instrText>
          </w:r>
          <w:r>
            <w:rPr>
              <w:rFonts w:hint="eastAsia"/>
              <w:b/>
              <w:bCs/>
              <w:color w:val="auto"/>
              <w:sz w:val="30"/>
              <w:szCs w:val="30"/>
            </w:rPr>
            <w:fldChar w:fldCharType="separate"/>
          </w:r>
          <w:r>
            <w:rPr>
              <w:rFonts w:hint="eastAsia" w:ascii="宋体" w:hAnsi="宋体" w:eastAsia="宋体" w:cs="宋体"/>
              <w:b/>
              <w:bCs/>
              <w:color w:val="auto"/>
              <w:sz w:val="30"/>
              <w:szCs w:val="30"/>
            </w:rPr>
            <w:t xml:space="preserve">第三部分 </w:t>
          </w:r>
          <w:r>
            <w:rPr>
              <w:rFonts w:hint="eastAsia" w:ascii="宋体" w:hAnsi="宋体" w:eastAsia="宋体" w:cs="宋体"/>
              <w:b/>
              <w:bCs/>
              <w:color w:val="auto"/>
              <w:sz w:val="30"/>
              <w:szCs w:val="30"/>
              <w:highlight w:val="none"/>
              <w:lang w:val="en-US" w:eastAsia="zh-CN"/>
            </w:rPr>
            <w:t>采购需求</w:t>
          </w:r>
          <w:r>
            <w:rPr>
              <w:b/>
              <w:bCs/>
              <w:color w:val="auto"/>
              <w:sz w:val="30"/>
              <w:szCs w:val="30"/>
            </w:rPr>
            <w:tab/>
          </w:r>
          <w:r>
            <w:rPr>
              <w:b/>
              <w:bCs/>
              <w:color w:val="auto"/>
              <w:sz w:val="30"/>
              <w:szCs w:val="30"/>
            </w:rPr>
            <w:fldChar w:fldCharType="begin"/>
          </w:r>
          <w:r>
            <w:rPr>
              <w:b/>
              <w:bCs/>
              <w:color w:val="auto"/>
              <w:sz w:val="30"/>
              <w:szCs w:val="30"/>
            </w:rPr>
            <w:instrText xml:space="preserve"> PAGEREF _Toc19358 \h </w:instrText>
          </w:r>
          <w:r>
            <w:rPr>
              <w:b/>
              <w:bCs/>
              <w:color w:val="auto"/>
              <w:sz w:val="30"/>
              <w:szCs w:val="30"/>
            </w:rPr>
            <w:fldChar w:fldCharType="separate"/>
          </w:r>
          <w:r>
            <w:rPr>
              <w:b/>
              <w:bCs/>
              <w:color w:val="auto"/>
              <w:sz w:val="30"/>
              <w:szCs w:val="30"/>
            </w:rPr>
            <w:t>25</w:t>
          </w:r>
          <w:r>
            <w:rPr>
              <w:b/>
              <w:bCs/>
              <w:color w:val="auto"/>
              <w:sz w:val="30"/>
              <w:szCs w:val="30"/>
            </w:rPr>
            <w:fldChar w:fldCharType="end"/>
          </w:r>
          <w:r>
            <w:rPr>
              <w:rFonts w:hint="eastAsia"/>
              <w:b/>
              <w:bCs/>
              <w:color w:val="auto"/>
              <w:sz w:val="30"/>
              <w:szCs w:val="30"/>
            </w:rPr>
            <w:fldChar w:fldCharType="end"/>
          </w:r>
        </w:p>
        <w:p>
          <w:pPr>
            <w:pStyle w:val="49"/>
            <w:keepNext w:val="0"/>
            <w:keepLines w:val="0"/>
            <w:pageBreakBefore w:val="0"/>
            <w:tabs>
              <w:tab w:val="right" w:leader="dot" w:pos="9745"/>
            </w:tabs>
            <w:kinsoku/>
            <w:wordWrap/>
            <w:overflowPunct/>
            <w:topLinePunct w:val="0"/>
            <w:autoSpaceDE/>
            <w:autoSpaceDN/>
            <w:bidi w:val="0"/>
            <w:adjustRightInd/>
            <w:spacing w:line="720" w:lineRule="auto"/>
            <w:textAlignment w:val="auto"/>
            <w:rPr>
              <w:b/>
              <w:bCs/>
              <w:color w:val="auto"/>
              <w:sz w:val="30"/>
              <w:szCs w:val="30"/>
            </w:rPr>
          </w:pPr>
          <w:r>
            <w:rPr>
              <w:rFonts w:hint="eastAsia"/>
              <w:b/>
              <w:bCs/>
              <w:color w:val="auto"/>
              <w:sz w:val="30"/>
              <w:szCs w:val="30"/>
            </w:rPr>
            <w:fldChar w:fldCharType="begin"/>
          </w:r>
          <w:r>
            <w:rPr>
              <w:rFonts w:hint="eastAsia"/>
              <w:b/>
              <w:bCs/>
              <w:color w:val="auto"/>
              <w:sz w:val="30"/>
              <w:szCs w:val="30"/>
            </w:rPr>
            <w:instrText xml:space="preserve"> HYPERLINK \l _Toc19286 </w:instrText>
          </w:r>
          <w:r>
            <w:rPr>
              <w:rFonts w:hint="eastAsia"/>
              <w:b/>
              <w:bCs/>
              <w:color w:val="auto"/>
              <w:sz w:val="30"/>
              <w:szCs w:val="30"/>
            </w:rPr>
            <w:fldChar w:fldCharType="separate"/>
          </w:r>
          <w:r>
            <w:rPr>
              <w:rFonts w:hint="eastAsia" w:ascii="宋体" w:hAnsi="宋体" w:eastAsia="宋体" w:cs="宋体"/>
              <w:b/>
              <w:bCs/>
              <w:color w:val="auto"/>
              <w:sz w:val="30"/>
              <w:szCs w:val="30"/>
              <w:lang w:eastAsia="zh-CN"/>
            </w:rPr>
            <w:t xml:space="preserve">第四部分 </w:t>
          </w:r>
          <w:r>
            <w:rPr>
              <w:rFonts w:hint="eastAsia" w:ascii="宋体" w:hAnsi="宋体" w:eastAsia="宋体" w:cs="宋体"/>
              <w:b/>
              <w:bCs/>
              <w:color w:val="auto"/>
              <w:sz w:val="30"/>
              <w:szCs w:val="30"/>
              <w:highlight w:val="none"/>
              <w:lang w:eastAsia="zh-CN"/>
            </w:rPr>
            <w:t>合  同</w:t>
          </w:r>
          <w:r>
            <w:rPr>
              <w:b/>
              <w:bCs/>
              <w:color w:val="auto"/>
              <w:sz w:val="30"/>
              <w:szCs w:val="30"/>
            </w:rPr>
            <w:tab/>
          </w:r>
          <w:r>
            <w:rPr>
              <w:b/>
              <w:bCs/>
              <w:color w:val="auto"/>
              <w:sz w:val="30"/>
              <w:szCs w:val="30"/>
            </w:rPr>
            <w:fldChar w:fldCharType="begin"/>
          </w:r>
          <w:r>
            <w:rPr>
              <w:b/>
              <w:bCs/>
              <w:color w:val="auto"/>
              <w:sz w:val="30"/>
              <w:szCs w:val="30"/>
            </w:rPr>
            <w:instrText xml:space="preserve"> PAGEREF _Toc19286 \h </w:instrText>
          </w:r>
          <w:r>
            <w:rPr>
              <w:b/>
              <w:bCs/>
              <w:color w:val="auto"/>
              <w:sz w:val="30"/>
              <w:szCs w:val="30"/>
            </w:rPr>
            <w:fldChar w:fldCharType="separate"/>
          </w:r>
          <w:r>
            <w:rPr>
              <w:b/>
              <w:bCs/>
              <w:color w:val="auto"/>
              <w:sz w:val="30"/>
              <w:szCs w:val="30"/>
            </w:rPr>
            <w:t>27</w:t>
          </w:r>
          <w:r>
            <w:rPr>
              <w:b/>
              <w:bCs/>
              <w:color w:val="auto"/>
              <w:sz w:val="30"/>
              <w:szCs w:val="30"/>
            </w:rPr>
            <w:fldChar w:fldCharType="end"/>
          </w:r>
          <w:r>
            <w:rPr>
              <w:rFonts w:hint="eastAsia"/>
              <w:b/>
              <w:bCs/>
              <w:color w:val="auto"/>
              <w:sz w:val="30"/>
              <w:szCs w:val="30"/>
            </w:rPr>
            <w:fldChar w:fldCharType="end"/>
          </w:r>
        </w:p>
        <w:p>
          <w:pPr>
            <w:pStyle w:val="49"/>
            <w:keepNext w:val="0"/>
            <w:keepLines w:val="0"/>
            <w:pageBreakBefore w:val="0"/>
            <w:tabs>
              <w:tab w:val="right" w:leader="dot" w:pos="9745"/>
            </w:tabs>
            <w:kinsoku/>
            <w:wordWrap/>
            <w:overflowPunct/>
            <w:topLinePunct w:val="0"/>
            <w:autoSpaceDE/>
            <w:autoSpaceDN/>
            <w:bidi w:val="0"/>
            <w:adjustRightInd/>
            <w:spacing w:line="720" w:lineRule="auto"/>
            <w:textAlignment w:val="auto"/>
            <w:rPr>
              <w:b/>
              <w:bCs/>
              <w:color w:val="auto"/>
              <w:sz w:val="30"/>
              <w:szCs w:val="30"/>
            </w:rPr>
          </w:pPr>
          <w:r>
            <w:rPr>
              <w:rFonts w:hint="eastAsia"/>
              <w:b/>
              <w:bCs/>
              <w:color w:val="auto"/>
              <w:sz w:val="30"/>
              <w:szCs w:val="30"/>
            </w:rPr>
            <w:fldChar w:fldCharType="begin"/>
          </w:r>
          <w:r>
            <w:rPr>
              <w:rFonts w:hint="eastAsia"/>
              <w:b/>
              <w:bCs/>
              <w:color w:val="auto"/>
              <w:sz w:val="30"/>
              <w:szCs w:val="30"/>
            </w:rPr>
            <w:instrText xml:space="preserve"> HYPERLINK \l _Toc11142 </w:instrText>
          </w:r>
          <w:r>
            <w:rPr>
              <w:rFonts w:hint="eastAsia"/>
              <w:b/>
              <w:bCs/>
              <w:color w:val="auto"/>
              <w:sz w:val="30"/>
              <w:szCs w:val="30"/>
            </w:rPr>
            <w:fldChar w:fldCharType="separate"/>
          </w:r>
          <w:r>
            <w:rPr>
              <w:rFonts w:hint="eastAsia" w:ascii="宋体" w:hAnsi="宋体" w:eastAsia="宋体" w:cs="宋体"/>
              <w:b/>
              <w:bCs/>
              <w:color w:val="auto"/>
              <w:sz w:val="30"/>
              <w:szCs w:val="30"/>
              <w:highlight w:val="none"/>
            </w:rPr>
            <w:t>第</w:t>
          </w:r>
          <w:r>
            <w:rPr>
              <w:rFonts w:hint="eastAsia" w:ascii="宋体" w:hAnsi="宋体" w:eastAsia="宋体" w:cs="宋体"/>
              <w:b/>
              <w:bCs/>
              <w:color w:val="auto"/>
              <w:sz w:val="30"/>
              <w:szCs w:val="30"/>
              <w:highlight w:val="none"/>
              <w:lang w:eastAsia="zh-CN"/>
            </w:rPr>
            <w:t>五</w:t>
          </w:r>
          <w:r>
            <w:rPr>
              <w:rFonts w:hint="eastAsia" w:ascii="宋体" w:hAnsi="宋体" w:eastAsia="宋体" w:cs="宋体"/>
              <w:b/>
              <w:bCs/>
              <w:color w:val="auto"/>
              <w:sz w:val="30"/>
              <w:szCs w:val="30"/>
              <w:highlight w:val="none"/>
            </w:rPr>
            <w:t>部分</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lang w:eastAsia="zh-CN"/>
            </w:rPr>
            <w:t>响应文件</w:t>
          </w:r>
          <w:r>
            <w:rPr>
              <w:rFonts w:hint="eastAsia" w:ascii="宋体" w:hAnsi="宋体" w:eastAsia="宋体" w:cs="宋体"/>
              <w:b/>
              <w:bCs/>
              <w:color w:val="auto"/>
              <w:sz w:val="30"/>
              <w:szCs w:val="30"/>
              <w:highlight w:val="none"/>
            </w:rPr>
            <w:t>格式</w:t>
          </w:r>
          <w:r>
            <w:rPr>
              <w:b/>
              <w:bCs/>
              <w:color w:val="auto"/>
              <w:sz w:val="30"/>
              <w:szCs w:val="30"/>
            </w:rPr>
            <w:tab/>
          </w:r>
          <w:r>
            <w:rPr>
              <w:b/>
              <w:bCs/>
              <w:color w:val="auto"/>
              <w:sz w:val="30"/>
              <w:szCs w:val="30"/>
            </w:rPr>
            <w:fldChar w:fldCharType="begin"/>
          </w:r>
          <w:r>
            <w:rPr>
              <w:b/>
              <w:bCs/>
              <w:color w:val="auto"/>
              <w:sz w:val="30"/>
              <w:szCs w:val="30"/>
            </w:rPr>
            <w:instrText xml:space="preserve"> PAGEREF _Toc11142 \h </w:instrText>
          </w:r>
          <w:r>
            <w:rPr>
              <w:b/>
              <w:bCs/>
              <w:color w:val="auto"/>
              <w:sz w:val="30"/>
              <w:szCs w:val="30"/>
            </w:rPr>
            <w:fldChar w:fldCharType="separate"/>
          </w:r>
          <w:r>
            <w:rPr>
              <w:b/>
              <w:bCs/>
              <w:color w:val="auto"/>
              <w:sz w:val="30"/>
              <w:szCs w:val="30"/>
            </w:rPr>
            <w:t>29</w:t>
          </w:r>
          <w:r>
            <w:rPr>
              <w:b/>
              <w:bCs/>
              <w:color w:val="auto"/>
              <w:sz w:val="30"/>
              <w:szCs w:val="30"/>
            </w:rPr>
            <w:fldChar w:fldCharType="end"/>
          </w:r>
          <w:r>
            <w:rPr>
              <w:rFonts w:hint="eastAsia"/>
              <w:b/>
              <w:bCs/>
              <w:color w:val="auto"/>
              <w:sz w:val="30"/>
              <w:szCs w:val="30"/>
            </w:rPr>
            <w:fldChar w:fldCharType="end"/>
          </w:r>
        </w:p>
        <w:p>
          <w:pPr>
            <w:pStyle w:val="2"/>
            <w:keepNext w:val="0"/>
            <w:keepLines w:val="0"/>
            <w:pageBreakBefore w:val="0"/>
            <w:kinsoku/>
            <w:wordWrap/>
            <w:overflowPunct/>
            <w:topLinePunct w:val="0"/>
            <w:autoSpaceDE/>
            <w:autoSpaceDN/>
            <w:bidi w:val="0"/>
            <w:adjustRightInd/>
            <w:spacing w:line="720" w:lineRule="auto"/>
            <w:textAlignment w:val="auto"/>
            <w:rPr>
              <w:rFonts w:hint="eastAsia"/>
              <w:color w:val="auto"/>
            </w:rPr>
          </w:pPr>
          <w:r>
            <w:rPr>
              <w:rFonts w:hint="eastAsia"/>
              <w:b/>
              <w:bCs/>
              <w:color w:val="auto"/>
              <w:sz w:val="30"/>
              <w:szCs w:val="30"/>
            </w:rPr>
            <w:fldChar w:fldCharType="end"/>
          </w:r>
        </w:p>
      </w:sdtContent>
    </w:sdt>
    <w:p>
      <w:pPr>
        <w:pStyle w:val="9"/>
        <w:outlineLvl w:val="9"/>
        <w:rPr>
          <w:rFonts w:hint="eastAsia"/>
          <w:color w:val="auto"/>
        </w:rPr>
      </w:pPr>
    </w:p>
    <w:p>
      <w:pPr>
        <w:pStyle w:val="3"/>
        <w:jc w:val="both"/>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35"/>
        <w:keepNext/>
        <w:keepLines/>
        <w:pageBreakBefore w:val="0"/>
        <w:widowControl w:val="0"/>
        <w:numPr>
          <w:ilvl w:val="0"/>
          <w:numId w:val="2"/>
        </w:numPr>
        <w:kinsoku/>
        <w:wordWrap/>
        <w:overflowPunct/>
        <w:topLinePunct w:val="0"/>
        <w:autoSpaceDE/>
        <w:autoSpaceDN/>
        <w:bidi w:val="0"/>
        <w:adjustRightInd/>
        <w:snapToGrid/>
        <w:spacing w:before="120" w:after="300" w:line="400" w:lineRule="exact"/>
        <w:textAlignment w:val="auto"/>
        <w:outlineLvl w:val="0"/>
        <w:rPr>
          <w:rFonts w:hint="eastAsia" w:ascii="宋体" w:hAnsi="宋体" w:eastAsia="宋体" w:cs="宋体"/>
          <w:b/>
          <w:bCs/>
          <w:color w:val="auto"/>
          <w:highlight w:val="none"/>
          <w:lang w:eastAsia="zh-CN"/>
        </w:rPr>
        <w:sectPr>
          <w:footerReference r:id="rId3" w:type="default"/>
          <w:pgSz w:w="11905" w:h="16838"/>
          <w:pgMar w:top="1440" w:right="1080" w:bottom="1440" w:left="1080" w:header="850" w:footer="992" w:gutter="0"/>
          <w:pgNumType w:fmt="decimal"/>
          <w:cols w:space="0" w:num="1"/>
          <w:rtlGutter w:val="0"/>
          <w:docGrid w:type="linesAndChars" w:linePitch="332" w:charSpace="1057"/>
        </w:sectPr>
      </w:pPr>
      <w:bookmarkStart w:id="3" w:name="_Toc2589"/>
    </w:p>
    <w:p>
      <w:pPr>
        <w:pStyle w:val="35"/>
        <w:keepNext/>
        <w:keepLines/>
        <w:pageBreakBefore w:val="0"/>
        <w:widowControl w:val="0"/>
        <w:numPr>
          <w:ilvl w:val="0"/>
          <w:numId w:val="2"/>
        </w:numPr>
        <w:kinsoku/>
        <w:wordWrap/>
        <w:overflowPunct/>
        <w:topLinePunct w:val="0"/>
        <w:autoSpaceDE/>
        <w:autoSpaceDN/>
        <w:bidi w:val="0"/>
        <w:adjustRightInd/>
        <w:snapToGrid/>
        <w:spacing w:before="120" w:after="300" w:line="400" w:lineRule="exact"/>
        <w:textAlignment w:val="auto"/>
        <w:outlineLvl w:val="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竞争性谈判公告</w:t>
      </w:r>
      <w:bookmarkEnd w:id="3"/>
      <w:bookmarkStart w:id="4" w:name="_Toc28359001"/>
      <w:bookmarkStart w:id="5" w:name="_Toc35393789"/>
    </w:p>
    <w:bookmarkEnd w:id="4"/>
    <w:bookmarkEnd w:id="5"/>
    <w:p>
      <w:pPr>
        <w:pBdr>
          <w:top w:val="single" w:color="auto" w:sz="4" w:space="1"/>
          <w:left w:val="single" w:color="auto" w:sz="4" w:space="4"/>
          <w:bottom w:val="single" w:color="auto" w:sz="4" w:space="1"/>
          <w:right w:val="single" w:color="auto" w:sz="4" w:space="4"/>
        </w:pBd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90" w:firstLineChars="200"/>
        <w:textAlignment w:val="auto"/>
        <w:rPr>
          <w:rStyle w:val="21"/>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2023年城区绿地补植项</w:t>
      </w:r>
      <w:r>
        <w:rPr>
          <w:rFonts w:hint="eastAsia" w:ascii="宋体" w:hAnsi="宋体" w:eastAsia="宋体" w:cs="宋体"/>
          <w:color w:val="auto"/>
          <w:sz w:val="24"/>
          <w:szCs w:val="24"/>
          <w:highlight w:val="none"/>
          <w:lang w:eastAsia="zh-CN"/>
        </w:rPr>
        <w:t>目的</w:t>
      </w:r>
      <w:r>
        <w:rPr>
          <w:rFonts w:hint="eastAsia" w:ascii="宋体" w:hAnsi="宋体" w:eastAsia="宋体" w:cs="宋体"/>
          <w:color w:val="auto"/>
          <w:sz w:val="24"/>
          <w:szCs w:val="24"/>
        </w:rPr>
        <w:t>潜在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应在</w:t>
      </w:r>
      <w:r>
        <w:rPr>
          <w:rFonts w:hint="eastAsia" w:ascii="宋体" w:hAnsi="宋体" w:eastAsia="宋体" w:cs="宋体"/>
          <w:color w:val="auto"/>
          <w:sz w:val="24"/>
          <w:u w:val="single"/>
          <w:lang w:val="en-US" w:eastAsia="zh-CN"/>
        </w:rPr>
        <w:t>政采云平台</w:t>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2023</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4</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上午11</w:t>
      </w:r>
      <w:r>
        <w:rPr>
          <w:rFonts w:hint="eastAsia" w:ascii="宋体" w:hAnsi="宋体" w:eastAsia="宋体" w:cs="宋体"/>
          <w:bCs/>
          <w:color w:val="auto"/>
          <w:sz w:val="24"/>
          <w:szCs w:val="24"/>
          <w:highlight w:val="none"/>
          <w:u w:val="single"/>
        </w:rPr>
        <w:t xml:space="preserve"> 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w:t>
      </w:r>
      <w:r>
        <w:rPr>
          <w:rFonts w:hint="eastAsia" w:ascii="宋体" w:hAnsi="宋体" w:eastAsia="宋体" w:cs="宋体"/>
          <w:bCs/>
          <w:color w:val="auto"/>
          <w:sz w:val="24"/>
          <w:szCs w:val="24"/>
          <w:lang w:val="en-US" w:eastAsia="zh-CN"/>
        </w:rPr>
        <w:t>提交响应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Bdr>
          <w:top w:val="single" w:color="auto" w:sz="4" w:space="1"/>
          <w:left w:val="single" w:color="auto" w:sz="4" w:space="4"/>
          <w:bottom w:val="single" w:color="auto" w:sz="4" w:space="1"/>
          <w:right w:val="single" w:color="auto" w:sz="4" w:space="4"/>
        </w:pBdr>
        <w:spacing w:line="240" w:lineRule="auto"/>
        <w:ind w:firstLine="490" w:firstLineChars="200"/>
        <w:rPr>
          <w:rFonts w:hint="eastAsia" w:ascii="宋体" w:hAnsi="宋体" w:eastAsia="宋体" w:cs="宋体"/>
          <w:color w:val="auto"/>
          <w:sz w:val="24"/>
          <w:szCs w:val="24"/>
          <w:highlight w:val="none"/>
          <w:lang w:eastAsia="zh-CN"/>
        </w:rPr>
      </w:pPr>
    </w:p>
    <w:p>
      <w:pPr>
        <w:pStyle w:val="4"/>
        <w:adjustRightInd/>
        <w:snapToGrid/>
        <w:spacing w:line="240" w:lineRule="auto"/>
        <w:jc w:val="left"/>
        <w:rPr>
          <w:rFonts w:hint="eastAsia" w:ascii="宋体" w:hAnsi="宋体" w:eastAsia="宋体" w:cs="宋体"/>
          <w:b w:val="0"/>
          <w:color w:val="auto"/>
          <w:sz w:val="24"/>
          <w:szCs w:val="24"/>
          <w:highlight w:val="none"/>
        </w:rPr>
      </w:pPr>
      <w:bookmarkStart w:id="6" w:name="_Toc35393621"/>
      <w:bookmarkStart w:id="7" w:name="_Toc28359079"/>
      <w:bookmarkStart w:id="8" w:name="_Toc28359002"/>
      <w:bookmarkStart w:id="9" w:name="_Toc35393790"/>
      <w:bookmarkStart w:id="10" w:name="_Hlk24379207"/>
      <w:r>
        <w:rPr>
          <w:rFonts w:hint="eastAsia" w:ascii="宋体" w:hAnsi="宋体" w:eastAsia="宋体" w:cs="宋体"/>
          <w:b w:val="0"/>
          <w:color w:val="auto"/>
          <w:sz w:val="24"/>
          <w:szCs w:val="24"/>
          <w:highlight w:val="none"/>
        </w:rPr>
        <w:t>一、项目基本情况</w:t>
      </w:r>
      <w:bookmarkEnd w:id="6"/>
      <w:bookmarkEnd w:id="7"/>
      <w:bookmarkEnd w:id="8"/>
      <w:bookmarkEnd w:id="9"/>
    </w:p>
    <w:bookmarkEnd w:id="10"/>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kcs2023-wt029</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2023年城区绿地补植项目</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采购方式：竞争性谈判</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1720000</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最高限价（元）：</w:t>
      </w:r>
      <w:r>
        <w:rPr>
          <w:rFonts w:hint="eastAsia" w:ascii="宋体" w:hAnsi="宋体" w:eastAsia="宋体" w:cs="宋体"/>
          <w:color w:val="auto"/>
          <w:sz w:val="21"/>
          <w:szCs w:val="21"/>
          <w:highlight w:val="none"/>
          <w:lang w:val="en-US" w:eastAsia="zh-CN"/>
        </w:rPr>
        <w:t>1710870</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bidi="ar-SA"/>
        </w:rPr>
        <w:t>采购需求：</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标项名称：2023年城区绿地补植项目 </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数量：1批 </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预算金额（元）：1720000   </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简要规格描述：针对胜利路，天山路，文化路，天河带状公园和人民公园等路段死亡苗木进行补植等（具体采购内容详见采购清单) </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    </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10天</w:t>
      </w:r>
    </w:p>
    <w:p>
      <w:pPr>
        <w:keepNext w:val="0"/>
        <w:keepLines w:val="0"/>
        <w:pageBreakBefore w:val="0"/>
        <w:widowControl w:val="0"/>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本项目（否）接受联合体投标。</w:t>
      </w:r>
    </w:p>
    <w:p>
      <w:pPr>
        <w:pStyle w:val="16"/>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auto"/>
          <w:spacing w:val="0"/>
          <w:sz w:val="24"/>
          <w:szCs w:val="24"/>
        </w:rPr>
      </w:pPr>
      <w:bookmarkStart w:id="11" w:name="_Toc28359003"/>
      <w:bookmarkStart w:id="12" w:name="_Toc35393622"/>
      <w:bookmarkStart w:id="13" w:name="_Toc35393791"/>
      <w:bookmarkStart w:id="14" w:name="_Toc28359080"/>
      <w:r>
        <w:rPr>
          <w:rStyle w:val="21"/>
          <w:rFonts w:hint="eastAsia" w:ascii="宋体" w:hAnsi="宋体" w:eastAsia="宋体" w:cs="宋体"/>
          <w:i w:val="0"/>
          <w:iCs w:val="0"/>
          <w:caps w:val="0"/>
          <w:color w:val="auto"/>
          <w:spacing w:val="0"/>
          <w:sz w:val="24"/>
          <w:szCs w:val="24"/>
        </w:rPr>
        <w:t>二、申请人的资格要求：</w:t>
      </w:r>
      <w:bookmarkEnd w:id="11"/>
      <w:bookmarkEnd w:id="12"/>
      <w:bookmarkEnd w:id="13"/>
      <w:bookmarkEnd w:id="14"/>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pStyle w:val="16"/>
        <w:keepNext w:val="0"/>
        <w:keepLines w:val="0"/>
        <w:widowControl/>
        <w:suppressLineNumbers w:val="0"/>
        <w:spacing w:before="75" w:beforeAutospacing="0" w:after="75" w:afterAutospacing="0" w:line="300" w:lineRule="atLeast"/>
        <w:ind w:right="0"/>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rPr>
        <w:t>2.落</w:t>
      </w:r>
      <w:r>
        <w:rPr>
          <w:rFonts w:hint="eastAsia" w:ascii="宋体" w:hAnsi="宋体" w:eastAsia="宋体" w:cs="宋体"/>
          <w:i w:val="0"/>
          <w:iCs w:val="0"/>
          <w:caps w:val="0"/>
          <w:color w:val="auto"/>
          <w:spacing w:val="0"/>
          <w:sz w:val="24"/>
          <w:szCs w:val="24"/>
          <w:highlight w:val="none"/>
        </w:rPr>
        <w:t>实政府采购政策需满足的资格要求：</w:t>
      </w:r>
      <w:r>
        <w:rPr>
          <w:rFonts w:hint="eastAsia" w:eastAsia="宋体" w:cs="宋体"/>
          <w:i w:val="0"/>
          <w:iCs w:val="0"/>
          <w:caps w:val="0"/>
          <w:color w:val="auto"/>
          <w:spacing w:val="0"/>
          <w:sz w:val="24"/>
          <w:szCs w:val="24"/>
          <w:highlight w:val="none"/>
          <w:lang w:val="en-US" w:eastAsia="zh-CN"/>
        </w:rPr>
        <w:t>供应商为中小企业；</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3.本项目的特定资格要求：</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3.1、具有合格有效的营业执照，在资质、人员、设备、资金等方面具有相应的服务及售后能力。 </w:t>
      </w:r>
    </w:p>
    <w:p>
      <w:pPr>
        <w:pStyle w:val="16"/>
        <w:keepNext w:val="0"/>
        <w:keepLines w:val="0"/>
        <w:widowControl/>
        <w:suppressLineNumbers w:val="0"/>
        <w:spacing w:before="75" w:beforeAutospacing="0" w:after="75" w:afterAutospacing="0" w:line="300" w:lineRule="atLeast"/>
        <w:ind w:right="0"/>
        <w:rPr>
          <w:rFonts w:hint="eastAsia"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3.2、投标人须具备有效的林木种子生产经营许可证</w:t>
      </w:r>
      <w:r>
        <w:rPr>
          <w:rFonts w:hint="eastAsia" w:eastAsia="宋体" w:cs="宋体"/>
          <w:i w:val="0"/>
          <w:iCs w:val="0"/>
          <w:caps w:val="0"/>
          <w:color w:val="auto"/>
          <w:spacing w:val="0"/>
          <w:sz w:val="24"/>
          <w:szCs w:val="24"/>
          <w:lang w:val="en-US" w:eastAsia="zh-CN"/>
        </w:rPr>
        <w:t>。</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lang w:val="en-US" w:eastAsia="zh-CN"/>
        </w:rPr>
      </w:pPr>
      <w:r>
        <w:rPr>
          <w:rFonts w:hint="eastAsia" w:eastAsia="宋体" w:cs="宋体"/>
          <w:i w:val="0"/>
          <w:iCs w:val="0"/>
          <w:caps w:val="0"/>
          <w:color w:val="auto"/>
          <w:spacing w:val="0"/>
          <w:sz w:val="24"/>
          <w:szCs w:val="24"/>
          <w:lang w:val="en-US" w:eastAsia="zh-CN"/>
        </w:rPr>
        <w:t>3.4</w:t>
      </w:r>
      <w:r>
        <w:rPr>
          <w:rFonts w:hint="eastAsia" w:ascii="宋体" w:hAnsi="宋体" w:eastAsia="宋体" w:cs="宋体"/>
          <w:i w:val="0"/>
          <w:iCs w:val="0"/>
          <w:caps w:val="0"/>
          <w:color w:val="auto"/>
          <w:spacing w:val="0"/>
          <w:sz w:val="24"/>
          <w:szCs w:val="24"/>
          <w:lang w:val="en-US" w:eastAsia="zh-CN"/>
        </w:rPr>
        <w:t>投标人不得为“信用中国”网站（www.creditchina.gov.cn ）中列入失信被执行人和税收违法黑名单的投标人，不得为中国政府采购网（www.ccgp.gov.cn ）政府采购严重违法失信行为记录名单中被财政部门禁止参加政府采购活动的投标人（处罚决定规定的时间和地域范围内）。</w:t>
      </w:r>
    </w:p>
    <w:p>
      <w:pPr>
        <w:pStyle w:val="16"/>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color w:val="auto"/>
          <w:sz w:val="24"/>
          <w:szCs w:val="24"/>
        </w:rPr>
      </w:pPr>
      <w:r>
        <w:rPr>
          <w:rStyle w:val="21"/>
          <w:rFonts w:hint="eastAsia" w:ascii="宋体" w:hAnsi="宋体" w:eastAsia="宋体" w:cs="宋体"/>
          <w:i w:val="0"/>
          <w:iCs w:val="0"/>
          <w:caps w:val="0"/>
          <w:color w:val="auto"/>
          <w:spacing w:val="0"/>
          <w:sz w:val="24"/>
          <w:szCs w:val="24"/>
        </w:rPr>
        <w:t>三、获取招标文件</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年0</w:t>
      </w:r>
      <w:r>
        <w:rPr>
          <w:rFonts w:hint="eastAsia"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w:t>
      </w:r>
      <w:r>
        <w:rPr>
          <w:rFonts w:hint="eastAsia"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日至2022年0</w:t>
      </w:r>
      <w:r>
        <w:rPr>
          <w:rFonts w:hint="eastAsia"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w:t>
      </w:r>
      <w:r>
        <w:rPr>
          <w:rFonts w:hint="eastAsia"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日，每天上午10:30至13:30，下午15:30至1</w:t>
      </w:r>
      <w:r>
        <w:rPr>
          <w:rFonts w:hint="eastAsia"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0（北京时间，法定节假日除外）</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地点：政采云平台</w:t>
      </w:r>
      <w:r>
        <w:rPr>
          <w:rFonts w:hint="eastAsia" w:ascii="宋体" w:hAnsi="宋体" w:eastAsia="宋体" w:cs="宋体"/>
          <w:i w:val="0"/>
          <w:iCs w:val="0"/>
          <w:caps w:val="0"/>
          <w:color w:val="auto"/>
          <w:spacing w:val="0"/>
          <w:sz w:val="24"/>
          <w:szCs w:val="24"/>
          <w:lang w:val="en-US" w:eastAsia="zh-CN"/>
        </w:rPr>
        <w:t>审核</w:t>
      </w:r>
      <w:r>
        <w:rPr>
          <w:rFonts w:hint="eastAsia" w:ascii="宋体" w:hAnsi="宋体" w:eastAsia="宋体" w:cs="宋体"/>
          <w:i w:val="0"/>
          <w:iCs w:val="0"/>
          <w:caps w:val="0"/>
          <w:color w:val="auto"/>
          <w:spacing w:val="0"/>
          <w:sz w:val="24"/>
          <w:szCs w:val="24"/>
        </w:rPr>
        <w:t>成功后下载招标文件</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售价</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元</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0</w:t>
      </w:r>
    </w:p>
    <w:p>
      <w:pPr>
        <w:pStyle w:val="16"/>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color w:val="auto"/>
          <w:sz w:val="24"/>
          <w:szCs w:val="24"/>
        </w:rPr>
      </w:pPr>
      <w:r>
        <w:rPr>
          <w:rStyle w:val="21"/>
          <w:rFonts w:hint="eastAsia" w:ascii="宋体" w:hAnsi="宋体" w:eastAsia="宋体" w:cs="宋体"/>
          <w:i w:val="0"/>
          <w:iCs w:val="0"/>
          <w:caps w:val="0"/>
          <w:color w:val="auto"/>
          <w:spacing w:val="0"/>
          <w:sz w:val="24"/>
          <w:szCs w:val="24"/>
        </w:rPr>
        <w:t>四、提交投标文件截止时间、开标时间和地点</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提交投标文件截止时间：202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w:t>
      </w:r>
      <w:r>
        <w:rPr>
          <w:rFonts w:hint="eastAsia"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w:t>
      </w:r>
      <w:r>
        <w:rPr>
          <w:rFonts w:hint="eastAsia"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日 1</w:t>
      </w:r>
      <w:r>
        <w:rPr>
          <w:rFonts w:hint="eastAsia"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0（北京时间）</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投标地点：</w:t>
      </w:r>
      <w:r>
        <w:rPr>
          <w:rFonts w:hint="eastAsia" w:ascii="宋体" w:hAnsi="宋体" w:eastAsia="宋体" w:cs="宋体"/>
          <w:color w:val="auto"/>
          <w:sz w:val="24"/>
          <w:lang w:val="en-US" w:eastAsia="zh-CN"/>
        </w:rPr>
        <w:t>政采云不见面开标平台</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开标时间：202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w:t>
      </w:r>
      <w:r>
        <w:rPr>
          <w:rFonts w:hint="eastAsia"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1</w:t>
      </w:r>
      <w:r>
        <w:rPr>
          <w:rFonts w:hint="eastAsia"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日 1</w:t>
      </w:r>
      <w:r>
        <w:rPr>
          <w:rFonts w:hint="eastAsia"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0（北京时间）</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开标地点：</w:t>
      </w:r>
      <w:r>
        <w:rPr>
          <w:rFonts w:hint="eastAsia" w:ascii="宋体" w:hAnsi="宋体" w:eastAsia="宋体" w:cs="宋体"/>
          <w:color w:val="auto"/>
          <w:sz w:val="24"/>
          <w:lang w:val="en-US" w:eastAsia="zh-CN"/>
        </w:rPr>
        <w:t>政采云不见面开标平台</w:t>
      </w:r>
    </w:p>
    <w:p>
      <w:pPr>
        <w:pStyle w:val="16"/>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color w:val="auto"/>
          <w:sz w:val="24"/>
          <w:szCs w:val="24"/>
        </w:rPr>
      </w:pPr>
      <w:r>
        <w:rPr>
          <w:rStyle w:val="21"/>
          <w:rFonts w:hint="eastAsia" w:ascii="宋体" w:hAnsi="宋体" w:eastAsia="宋体" w:cs="宋体"/>
          <w:i w:val="0"/>
          <w:iCs w:val="0"/>
          <w:caps w:val="0"/>
          <w:color w:val="auto"/>
          <w:spacing w:val="0"/>
          <w:sz w:val="24"/>
          <w:szCs w:val="24"/>
        </w:rPr>
        <w:t>五、公告期限</w:t>
      </w:r>
    </w:p>
    <w:p>
      <w:pPr>
        <w:pStyle w:val="16"/>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个工作日。</w:t>
      </w:r>
    </w:p>
    <w:p>
      <w:pPr>
        <w:pStyle w:val="16"/>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color w:val="auto"/>
          <w:sz w:val="24"/>
          <w:szCs w:val="24"/>
        </w:rPr>
      </w:pPr>
      <w:r>
        <w:rPr>
          <w:rStyle w:val="21"/>
          <w:rFonts w:hint="eastAsia" w:ascii="宋体" w:hAnsi="宋体" w:eastAsia="宋体" w:cs="宋体"/>
          <w:i w:val="0"/>
          <w:iCs w:val="0"/>
          <w:caps w:val="0"/>
          <w:color w:val="auto"/>
          <w:spacing w:val="0"/>
          <w:sz w:val="24"/>
          <w:szCs w:val="24"/>
        </w:rPr>
        <w:t>六、其他补充事宜</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lang w:val="en-US" w:eastAsia="zh-CN"/>
        </w:rPr>
      </w:pPr>
      <w:r>
        <w:rPr>
          <w:rFonts w:hint="eastAsia" w:eastAsia="宋体" w:cs="宋体"/>
          <w:color w:val="auto"/>
          <w:sz w:val="24"/>
          <w:lang w:val="en-US" w:eastAsia="zh-CN"/>
        </w:rPr>
        <w:t>1、</w:t>
      </w:r>
      <w:r>
        <w:rPr>
          <w:rFonts w:hint="eastAsia" w:ascii="宋体" w:hAnsi="宋体" w:eastAsia="宋体" w:cs="宋体"/>
          <w:color w:val="auto"/>
          <w:sz w:val="24"/>
          <w:lang w:val="en-US" w:eastAsia="zh-CN"/>
        </w:rPr>
        <w:t>供应商获取采购文件时需</w:t>
      </w:r>
      <w:r>
        <w:rPr>
          <w:rFonts w:hint="eastAsia" w:eastAsia="宋体" w:cs="宋体"/>
          <w:color w:val="auto"/>
          <w:sz w:val="24"/>
          <w:lang w:val="en-US" w:eastAsia="zh-CN"/>
        </w:rPr>
        <w:t>上传资格要求中的相关资料</w:t>
      </w:r>
      <w:r>
        <w:rPr>
          <w:rFonts w:hint="eastAsia" w:ascii="宋体" w:hAnsi="宋体" w:eastAsia="宋体" w:cs="宋体"/>
          <w:color w:val="auto"/>
          <w:sz w:val="24"/>
          <w:lang w:val="en-US" w:eastAsia="zh-CN"/>
        </w:rPr>
        <w:t>（上述原件扫描件加盖公章上传）。</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请投标单位随时关注本项目的变更、答疑、澄清文件。</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3、本公告同时在新疆政府采购网和阿克苏地区行政公署网发布。</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4、本次采购项目采用电子交易方式，电子交易平台为“政府采购云平台（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w:t>
      </w:r>
      <w:r>
        <w:rPr>
          <w:rFonts w:hint="eastAsia" w:eastAsia="宋体" w:cs="宋体"/>
          <w:color w:val="auto"/>
          <w:sz w:val="24"/>
          <w:lang w:val="en-US" w:eastAsia="zh-CN"/>
        </w:rPr>
        <w:t>95763</w:t>
      </w:r>
      <w:r>
        <w:rPr>
          <w:rFonts w:hint="eastAsia" w:ascii="宋体" w:hAnsi="宋体" w:eastAsia="宋体" w:cs="宋体"/>
          <w:color w:val="auto"/>
          <w:sz w:val="24"/>
          <w:lang w:val="en-US" w:eastAsia="zh-CN"/>
        </w:rPr>
        <w:t xml:space="preserve"> 客服电话。</w:t>
      </w:r>
    </w:p>
    <w:p>
      <w:pPr>
        <w:pStyle w:val="16"/>
        <w:keepNext w:val="0"/>
        <w:keepLines w:val="0"/>
        <w:widowControl/>
        <w:numPr>
          <w:ilvl w:val="0"/>
          <w:numId w:val="0"/>
        </w:numPr>
        <w:suppressLineNumbers w:val="0"/>
        <w:spacing w:before="75" w:beforeAutospacing="0" w:after="75" w:afterAutospacing="0"/>
        <w:ind w:right="0" w:rightChars="0" w:firstLine="490" w:firstLineChars="200"/>
        <w:rPr>
          <w:rFonts w:hint="eastAsia" w:ascii="宋体" w:hAnsi="宋体" w:eastAsia="宋体" w:cs="宋体"/>
          <w:color w:val="auto"/>
          <w:sz w:val="24"/>
          <w:lang w:val="en-US" w:eastAsia="zh-CN"/>
        </w:rPr>
      </w:pPr>
    </w:p>
    <w:p>
      <w:pPr>
        <w:pStyle w:val="16"/>
        <w:keepNext w:val="0"/>
        <w:keepLines w:val="0"/>
        <w:widowControl/>
        <w:numPr>
          <w:ilvl w:val="0"/>
          <w:numId w:val="0"/>
        </w:numPr>
        <w:suppressLineNumbers w:val="0"/>
        <w:spacing w:before="75" w:beforeAutospacing="0" w:after="75" w:afterAutospacing="0"/>
        <w:ind w:right="0" w:rightChars="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特别提示：</w:t>
      </w:r>
    </w:p>
    <w:p>
      <w:pPr>
        <w:pStyle w:val="16"/>
        <w:keepNext w:val="0"/>
        <w:keepLines w:val="0"/>
        <w:widowControl/>
        <w:suppressLineNumbers w:val="0"/>
        <w:spacing w:before="75" w:beforeAutospacing="0" w:after="75" w:afterAutospacing="0"/>
        <w:ind w:left="0" w:right="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spacing w:before="75" w:beforeAutospacing="0" w:after="75" w:afterAutospacing="0"/>
        <w:ind w:left="0" w:right="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spacing w:before="75" w:beforeAutospacing="0" w:after="75" w:afterAutospacing="0"/>
        <w:ind w:left="0" w:right="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spacing w:before="255" w:beforeAutospacing="0" w:after="255" w:afterAutospacing="0" w:line="480" w:lineRule="atLeast"/>
        <w:ind w:left="0" w:right="0"/>
        <w:jc w:val="both"/>
        <w:rPr>
          <w:rFonts w:hint="eastAsia" w:ascii="宋体" w:hAnsi="宋体" w:eastAsia="宋体" w:cs="宋体"/>
          <w:color w:val="auto"/>
          <w:sz w:val="24"/>
          <w:szCs w:val="24"/>
        </w:rPr>
      </w:pPr>
      <w:r>
        <w:rPr>
          <w:rStyle w:val="21"/>
          <w:rFonts w:hint="eastAsia" w:ascii="宋体" w:hAnsi="宋体" w:eastAsia="宋体" w:cs="宋体"/>
          <w:i w:val="0"/>
          <w:iCs w:val="0"/>
          <w:caps w:val="0"/>
          <w:color w:val="auto"/>
          <w:spacing w:val="0"/>
          <w:sz w:val="24"/>
          <w:szCs w:val="24"/>
        </w:rPr>
        <w:t>七、对本次采购提出询问，请按以下方式联系</w:t>
      </w:r>
    </w:p>
    <w:p>
      <w:pPr>
        <w:widowControl/>
        <w:spacing w:line="360" w:lineRule="auto"/>
        <w:ind w:firstLine="49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widowControl/>
        <w:spacing w:line="360" w:lineRule="auto"/>
        <w:ind w:firstLine="49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val="en-US" w:eastAsia="zh-CN"/>
        </w:rPr>
        <w:t>库车市园林绿化环卫服务中心</w:t>
      </w:r>
      <w:r>
        <w:rPr>
          <w:rFonts w:hint="eastAsia" w:ascii="宋体" w:hAnsi="宋体" w:eastAsia="宋体" w:cs="宋体"/>
          <w:color w:val="auto"/>
          <w:kern w:val="0"/>
          <w:sz w:val="24"/>
          <w:szCs w:val="24"/>
        </w:rPr>
        <w:t>　</w:t>
      </w:r>
    </w:p>
    <w:p>
      <w:pPr>
        <w:widowControl/>
        <w:spacing w:line="360" w:lineRule="auto"/>
        <w:ind w:firstLine="49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bookmarkStart w:id="15" w:name="_Toc28359009"/>
      <w:bookmarkStart w:id="16" w:name="_Toc28359086"/>
      <w:r>
        <w:rPr>
          <w:rFonts w:hint="eastAsia" w:ascii="宋体" w:hAnsi="宋体" w:eastAsia="宋体" w:cs="宋体"/>
          <w:color w:val="auto"/>
          <w:kern w:val="0"/>
          <w:sz w:val="24"/>
          <w:szCs w:val="24"/>
          <w:lang w:val="en-US" w:eastAsia="zh-CN"/>
        </w:rPr>
        <w:t>0997-7311792</w:t>
      </w:r>
    </w:p>
    <w:p>
      <w:pPr>
        <w:widowControl/>
        <w:spacing w:line="360" w:lineRule="auto"/>
        <w:ind w:firstLine="49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bookmarkEnd w:id="15"/>
      <w:bookmarkEnd w:id="16"/>
    </w:p>
    <w:p>
      <w:pPr>
        <w:widowControl/>
        <w:spacing w:line="360" w:lineRule="auto"/>
        <w:ind w:firstLine="49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val="en-US" w:eastAsia="zh-CN"/>
        </w:rPr>
        <w:t>新疆鑫诚宏业建设项目管理有限公司</w:t>
      </w:r>
    </w:p>
    <w:p>
      <w:pPr>
        <w:widowControl/>
        <w:spacing w:line="360" w:lineRule="auto"/>
        <w:ind w:firstLine="49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址：新疆乌鲁木齐经济技术开发区（头屯河区）卫星路493号秦郡2栋4层一区办公1</w:t>
      </w:r>
    </w:p>
    <w:p>
      <w:pPr>
        <w:widowControl/>
        <w:spacing w:line="360" w:lineRule="auto"/>
        <w:ind w:firstLine="490" w:firstLineChars="200"/>
        <w:jc w:val="left"/>
        <w:rPr>
          <w:rFonts w:hint="eastAsia" w:ascii="宋体" w:hAnsi="宋体" w:eastAsia="宋体" w:cs="宋体"/>
          <w:color w:val="auto"/>
          <w:kern w:val="0"/>
          <w:sz w:val="24"/>
          <w:szCs w:val="24"/>
        </w:rPr>
      </w:pPr>
      <w:bookmarkStart w:id="17" w:name="_Toc28359087"/>
      <w:bookmarkStart w:id="18" w:name="_Toc28359010"/>
      <w:r>
        <w:rPr>
          <w:rFonts w:hint="eastAsia" w:ascii="宋体" w:hAnsi="宋体" w:eastAsia="宋体" w:cs="宋体"/>
          <w:color w:val="auto"/>
          <w:kern w:val="0"/>
          <w:sz w:val="24"/>
          <w:szCs w:val="24"/>
        </w:rPr>
        <w:t>3.项目联系方式</w:t>
      </w:r>
      <w:bookmarkEnd w:id="17"/>
      <w:bookmarkEnd w:id="18"/>
    </w:p>
    <w:p>
      <w:pPr>
        <w:widowControl/>
        <w:spacing w:line="360" w:lineRule="auto"/>
        <w:ind w:firstLine="49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项目联系人：</w:t>
      </w:r>
      <w:r>
        <w:rPr>
          <w:rFonts w:hint="eastAsia" w:ascii="宋体" w:hAnsi="宋体" w:eastAsia="宋体" w:cs="宋体"/>
          <w:color w:val="auto"/>
          <w:kern w:val="0"/>
          <w:sz w:val="24"/>
          <w:szCs w:val="24"/>
          <w:lang w:val="en-US" w:eastAsia="zh-CN"/>
        </w:rPr>
        <w:t xml:space="preserve">文浩宇  </w:t>
      </w:r>
    </w:p>
    <w:p>
      <w:pPr>
        <w:widowControl/>
        <w:spacing w:line="360" w:lineRule="auto"/>
        <w:ind w:firstLine="49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　</w:t>
      </w:r>
      <w:r>
        <w:rPr>
          <w:rFonts w:hint="eastAsia" w:ascii="宋体" w:hAnsi="宋体" w:eastAsia="宋体" w:cs="宋体"/>
          <w:color w:val="auto"/>
          <w:kern w:val="0"/>
          <w:sz w:val="24"/>
          <w:szCs w:val="24"/>
          <w:lang w:val="en-US" w:eastAsia="zh-CN"/>
        </w:rPr>
        <w:t>19199100216</w:t>
      </w:r>
      <w:r>
        <w:rPr>
          <w:rFonts w:hint="eastAsia" w:ascii="宋体" w:hAnsi="宋体" w:eastAsia="宋体" w:cs="宋体"/>
          <w:color w:val="auto"/>
          <w:kern w:val="0"/>
          <w:sz w:val="24"/>
          <w:szCs w:val="24"/>
        </w:rPr>
        <w:t>　</w:t>
      </w:r>
    </w:p>
    <w:p>
      <w:pPr>
        <w:pStyle w:val="3"/>
        <w:outlineLvl w:val="9"/>
        <w:rPr>
          <w:rFonts w:hint="eastAsia" w:ascii="宋体" w:hAnsi="宋体" w:eastAsia="宋体" w:cs="宋体"/>
          <w:color w:val="auto"/>
        </w:rPr>
      </w:pPr>
    </w:p>
    <w:p>
      <w:pPr>
        <w:pStyle w:val="35"/>
        <w:keepNext/>
        <w:keepLines/>
        <w:spacing w:before="0" w:after="240"/>
        <w:jc w:val="both"/>
        <w:outlineLvl w:val="9"/>
        <w:rPr>
          <w:rFonts w:hint="eastAsia" w:ascii="宋体" w:hAnsi="宋体" w:eastAsia="宋体" w:cs="宋体"/>
          <w:color w:val="auto"/>
          <w:sz w:val="24"/>
          <w:szCs w:val="24"/>
          <w:highlight w:val="none"/>
        </w:rPr>
      </w:pPr>
    </w:p>
    <w:p>
      <w:pPr>
        <w:pStyle w:val="35"/>
        <w:keepNext/>
        <w:keepLines/>
        <w:spacing w:before="0" w:after="240"/>
        <w:jc w:val="both"/>
        <w:outlineLvl w:val="9"/>
        <w:rPr>
          <w:rFonts w:hint="eastAsia" w:ascii="宋体" w:hAnsi="宋体" w:eastAsia="宋体" w:cs="宋体"/>
          <w:b/>
          <w:bCs/>
          <w:color w:val="auto"/>
          <w:highlight w:val="none"/>
        </w:rPr>
      </w:pPr>
    </w:p>
    <w:p>
      <w:pPr>
        <w:pStyle w:val="35"/>
        <w:keepNext/>
        <w:keepLines/>
        <w:spacing w:before="0" w:after="240"/>
        <w:jc w:val="center"/>
        <w:outlineLvl w:val="9"/>
        <w:rPr>
          <w:rFonts w:hint="eastAsia" w:ascii="宋体" w:hAnsi="宋体" w:eastAsia="宋体" w:cs="宋体"/>
          <w:b/>
          <w:bCs/>
          <w:color w:val="auto"/>
          <w:highlight w:val="none"/>
        </w:rPr>
      </w:pPr>
    </w:p>
    <w:p>
      <w:pPr>
        <w:pStyle w:val="36"/>
        <w:spacing w:after="0"/>
        <w:ind w:left="0" w:leftChars="0" w:firstLine="0" w:firstLineChars="0"/>
        <w:jc w:val="both"/>
        <w:rPr>
          <w:rFonts w:hint="eastAsia" w:ascii="宋体" w:hAnsi="宋体" w:eastAsia="宋体" w:cs="宋体"/>
          <w:color w:val="auto"/>
          <w:sz w:val="28"/>
          <w:szCs w:val="28"/>
          <w:highlight w:val="none"/>
          <w:lang w:eastAsia="zh-CN"/>
        </w:rPr>
      </w:pPr>
    </w:p>
    <w:p>
      <w:pPr>
        <w:pStyle w:val="35"/>
        <w:keepNext/>
        <w:keepLines/>
        <w:pageBreakBefore w:val="0"/>
        <w:widowControl w:val="0"/>
        <w:kinsoku/>
        <w:wordWrap/>
        <w:overflowPunct/>
        <w:topLinePunct w:val="0"/>
        <w:autoSpaceDE/>
        <w:autoSpaceDN/>
        <w:bidi w:val="0"/>
        <w:adjustRightInd/>
        <w:snapToGrid/>
        <w:spacing w:before="0" w:after="240"/>
        <w:jc w:val="center"/>
        <w:textAlignment w:val="auto"/>
        <w:outlineLvl w:val="0"/>
        <w:rPr>
          <w:rFonts w:hint="eastAsia" w:ascii="宋体" w:hAnsi="宋体" w:eastAsia="宋体" w:cs="宋体"/>
          <w:color w:val="auto"/>
          <w:sz w:val="28"/>
          <w:szCs w:val="28"/>
          <w:highlight w:val="none"/>
          <w:lang w:eastAsia="zh-CN"/>
        </w:rPr>
      </w:pPr>
      <w:bookmarkStart w:id="19" w:name="_Toc26604"/>
      <w:r>
        <w:rPr>
          <w:rFonts w:hint="eastAsia" w:ascii="宋体" w:hAnsi="宋体" w:eastAsia="宋体" w:cs="宋体"/>
          <w:b/>
          <w:bCs/>
          <w:color w:val="auto"/>
          <w:highlight w:val="none"/>
        </w:rPr>
        <w:t>第二部分供应商须知</w:t>
      </w:r>
      <w:bookmarkEnd w:id="19"/>
    </w:p>
    <w:p>
      <w:pPr>
        <w:pStyle w:val="36"/>
        <w:spacing w:after="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18"/>
        <w:tblW w:w="9205" w:type="dxa"/>
        <w:jc w:val="center"/>
        <w:tblLayout w:type="fixed"/>
        <w:tblCellMar>
          <w:top w:w="0" w:type="dxa"/>
          <w:left w:w="108" w:type="dxa"/>
          <w:bottom w:w="0" w:type="dxa"/>
          <w:right w:w="108" w:type="dxa"/>
        </w:tblCellMar>
      </w:tblPr>
      <w:tblGrid>
        <w:gridCol w:w="692"/>
        <w:gridCol w:w="1992"/>
        <w:gridCol w:w="6521"/>
      </w:tblGrid>
      <w:tr>
        <w:tblPrEx>
          <w:tblCellMar>
            <w:top w:w="0" w:type="dxa"/>
            <w:left w:w="108" w:type="dxa"/>
            <w:bottom w:w="0" w:type="dxa"/>
            <w:right w:w="108" w:type="dxa"/>
          </w:tblCellMar>
        </w:tblPrEx>
        <w:trPr>
          <w:trHeight w:val="2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92"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tblPrEx>
          <w:tblCellMar>
            <w:top w:w="0" w:type="dxa"/>
            <w:left w:w="108" w:type="dxa"/>
            <w:bottom w:w="0" w:type="dxa"/>
            <w:right w:w="108" w:type="dxa"/>
          </w:tblCellMar>
        </w:tblPrEx>
        <w:trPr>
          <w:trHeight w:val="2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采购内容</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货 期</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项目名称：2023年城区绿地补植项目</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项目编号：kcs2023-wt029</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lang w:val="en-US" w:eastAsia="zh-CN"/>
              </w:rPr>
              <w:t>针对胜利路，天山路，文化路，天河带状公园和人民公园等路段死亡苗木进行补植等（具体采购内容详见采购清单)</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采购人信息</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称：库车市园林绿化环卫服务中心</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阿斯古力·阿吾东</w:t>
            </w:r>
            <w:r>
              <w:rPr>
                <w:rFonts w:hint="eastAsia" w:ascii="宋体" w:hAnsi="宋体" w:eastAsia="宋体" w:cs="宋体"/>
                <w:color w:val="auto"/>
                <w:sz w:val="24"/>
                <w:szCs w:val="24"/>
                <w:highlight w:val="none"/>
                <w:lang w:eastAsia="zh-CN"/>
              </w:rPr>
              <w:t xml:space="preserve">       电  话：</w:t>
            </w:r>
            <w:r>
              <w:rPr>
                <w:rFonts w:hint="eastAsia" w:ascii="宋体" w:hAnsi="宋体" w:eastAsia="宋体" w:cs="宋体"/>
                <w:color w:val="auto"/>
                <w:kern w:val="0"/>
                <w:sz w:val="24"/>
                <w:szCs w:val="24"/>
                <w:lang w:val="en-US" w:eastAsia="zh-CN"/>
              </w:rPr>
              <w:t>0997-7311792</w:t>
            </w:r>
            <w:r>
              <w:rPr>
                <w:rFonts w:hint="eastAsia" w:ascii="宋体" w:hAnsi="宋体" w:eastAsia="宋体" w:cs="宋体"/>
                <w:color w:val="auto"/>
                <w:sz w:val="24"/>
                <w:szCs w:val="24"/>
                <w:highlight w:val="none"/>
                <w:lang w:eastAsia="zh-CN"/>
              </w:rPr>
              <w:t xml:space="preserve"> </w:t>
            </w:r>
          </w:p>
        </w:tc>
      </w:tr>
      <w:tr>
        <w:tblPrEx>
          <w:tblCellMar>
            <w:top w:w="0" w:type="dxa"/>
            <w:left w:w="108" w:type="dxa"/>
            <w:bottom w:w="0" w:type="dxa"/>
            <w:right w:w="108" w:type="dxa"/>
          </w:tblCellMar>
        </w:tblPrEx>
        <w:trPr>
          <w:trHeight w:val="87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称：新疆鑫诚宏业建设项目管理有限公司</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址：新疆乌鲁木齐经济技术开发区（头屯河区）卫星路493号秦郡2栋4层一区办公1</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联系人：文浩宇       电  话：19199100216</w:t>
            </w:r>
          </w:p>
        </w:tc>
      </w:tr>
      <w:tr>
        <w:tblPrEx>
          <w:tblCellMar>
            <w:top w:w="0" w:type="dxa"/>
            <w:left w:w="108" w:type="dxa"/>
            <w:bottom w:w="0" w:type="dxa"/>
            <w:right w:w="108" w:type="dxa"/>
          </w:tblCellMar>
        </w:tblPrEx>
        <w:trPr>
          <w:trHeight w:val="14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最终交货地点</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采购单位指定地点</w:t>
            </w:r>
          </w:p>
        </w:tc>
      </w:tr>
      <w:tr>
        <w:tblPrEx>
          <w:tblCellMar>
            <w:top w:w="0" w:type="dxa"/>
            <w:left w:w="108" w:type="dxa"/>
            <w:bottom w:w="0" w:type="dxa"/>
            <w:right w:w="108" w:type="dxa"/>
          </w:tblCellMar>
        </w:tblPrEx>
        <w:trPr>
          <w:trHeight w:val="87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资格要求</w:t>
            </w:r>
          </w:p>
        </w:tc>
        <w:tc>
          <w:tcPr>
            <w:tcW w:w="652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pStyle w:val="16"/>
              <w:keepNext w:val="0"/>
              <w:keepLines w:val="0"/>
              <w:widowControl/>
              <w:suppressLineNumbers w:val="0"/>
              <w:spacing w:before="75" w:beforeAutospacing="0" w:after="75" w:afterAutospacing="0" w:line="300" w:lineRule="atLeast"/>
              <w:ind w:right="0"/>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rPr>
              <w:t>2.落</w:t>
            </w:r>
            <w:r>
              <w:rPr>
                <w:rFonts w:hint="eastAsia" w:ascii="宋体" w:hAnsi="宋体" w:eastAsia="宋体" w:cs="宋体"/>
                <w:i w:val="0"/>
                <w:iCs w:val="0"/>
                <w:caps w:val="0"/>
                <w:color w:val="auto"/>
                <w:spacing w:val="0"/>
                <w:sz w:val="24"/>
                <w:szCs w:val="24"/>
                <w:highlight w:val="none"/>
              </w:rPr>
              <w:t>实政府采购政策需满足的资格要求：</w:t>
            </w:r>
            <w:r>
              <w:rPr>
                <w:rFonts w:hint="eastAsia" w:eastAsia="宋体" w:cs="宋体"/>
                <w:i w:val="0"/>
                <w:iCs w:val="0"/>
                <w:caps w:val="0"/>
                <w:color w:val="auto"/>
                <w:spacing w:val="0"/>
                <w:sz w:val="24"/>
                <w:szCs w:val="24"/>
                <w:highlight w:val="none"/>
                <w:lang w:val="en-US" w:eastAsia="zh-CN"/>
              </w:rPr>
              <w:t>供应商为</w:t>
            </w:r>
            <w:r>
              <w:rPr>
                <w:rFonts w:hint="eastAsia" w:cs="宋体"/>
                <w:i w:val="0"/>
                <w:iCs w:val="0"/>
                <w:caps w:val="0"/>
                <w:color w:val="auto"/>
                <w:spacing w:val="0"/>
                <w:sz w:val="24"/>
                <w:szCs w:val="24"/>
                <w:highlight w:val="none"/>
                <w:lang w:val="en-US" w:eastAsia="zh-CN"/>
              </w:rPr>
              <w:t>中小</w:t>
            </w:r>
            <w:r>
              <w:rPr>
                <w:rFonts w:hint="eastAsia" w:eastAsia="宋体" w:cs="宋体"/>
                <w:i w:val="0"/>
                <w:iCs w:val="0"/>
                <w:caps w:val="0"/>
                <w:color w:val="auto"/>
                <w:spacing w:val="0"/>
                <w:sz w:val="24"/>
                <w:szCs w:val="24"/>
                <w:highlight w:val="none"/>
                <w:lang w:val="en-US" w:eastAsia="zh-CN"/>
              </w:rPr>
              <w:t>企业；</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3.本项目的特定资格要求：</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3.1、具有合格有效的营业执照，在资质、人员、设备、资金等方面具有相应的服务及售后能力。 </w:t>
            </w:r>
          </w:p>
          <w:p>
            <w:pPr>
              <w:pStyle w:val="16"/>
              <w:keepNext w:val="0"/>
              <w:keepLines w:val="0"/>
              <w:widowControl/>
              <w:suppressLineNumbers w:val="0"/>
              <w:spacing w:before="75" w:beforeAutospacing="0" w:after="75" w:afterAutospacing="0" w:line="300" w:lineRule="atLeast"/>
              <w:ind w:right="0"/>
              <w:rPr>
                <w:rFonts w:hint="eastAsia"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3.2、投标人须具备有效的林木种子生产经营许可证</w:t>
            </w:r>
            <w:r>
              <w:rPr>
                <w:rFonts w:hint="eastAsia" w:eastAsia="宋体" w:cs="宋体"/>
                <w:i w:val="0"/>
                <w:iCs w:val="0"/>
                <w:caps w:val="0"/>
                <w:color w:val="auto"/>
                <w:spacing w:val="0"/>
                <w:sz w:val="24"/>
                <w:szCs w:val="24"/>
                <w:lang w:val="en-US" w:eastAsia="zh-CN"/>
              </w:rPr>
              <w:t>。</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color w:val="auto"/>
                <w:sz w:val="24"/>
                <w:szCs w:val="24"/>
                <w:highlight w:val="none"/>
                <w:lang w:eastAsia="zh-CN"/>
              </w:rPr>
            </w:pPr>
            <w:r>
              <w:rPr>
                <w:rFonts w:hint="eastAsia" w:eastAsia="宋体" w:cs="宋体"/>
                <w:i w:val="0"/>
                <w:iCs w:val="0"/>
                <w:caps w:val="0"/>
                <w:color w:val="auto"/>
                <w:spacing w:val="0"/>
                <w:sz w:val="24"/>
                <w:szCs w:val="24"/>
                <w:lang w:val="en-US" w:eastAsia="zh-CN"/>
              </w:rPr>
              <w:t>3.4</w:t>
            </w:r>
            <w:r>
              <w:rPr>
                <w:rFonts w:hint="eastAsia" w:ascii="宋体" w:hAnsi="宋体" w:eastAsia="宋体" w:cs="宋体"/>
                <w:i w:val="0"/>
                <w:iCs w:val="0"/>
                <w:caps w:val="0"/>
                <w:color w:val="auto"/>
                <w:spacing w:val="0"/>
                <w:sz w:val="24"/>
                <w:szCs w:val="24"/>
                <w:lang w:val="en-US" w:eastAsia="zh-CN"/>
              </w:rPr>
              <w:t>投标人不得为“信用中国”网站（www.creditchina.gov.cn ）中列入失信被执行人和税收违法黑名单的投标人，不得为中国政府采购网（www.ccgp.gov.cn ）政府采购严重违法失信行为记录名单中被财政部门禁止参加政府采购活动的投标人（处罚决定规定的时间和地域范围内）。</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资金来源</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地方财政资金</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招标方式</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竞争性谈判(本项目采用网上电子招投标)  </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供应商信用查询</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1、查询渠道：信用中国（网址：http://www.creditchina.gov.cn）、中国政府采购网(网址：http://www.ccgp.gov.cn）。</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2、截止时点：开标后评标前。</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是否接受联合体投标</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■不接受</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  受</w:t>
            </w:r>
          </w:p>
        </w:tc>
      </w:tr>
      <w:tr>
        <w:tblPrEx>
          <w:tblCellMar>
            <w:top w:w="0" w:type="dxa"/>
            <w:left w:w="108" w:type="dxa"/>
            <w:bottom w:w="0" w:type="dxa"/>
            <w:right w:w="108" w:type="dxa"/>
          </w:tblCellMar>
        </w:tblPrEx>
        <w:trPr>
          <w:trHeight w:val="2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投标截止时间 （开标时间）</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截止时间：2023年</w:t>
            </w:r>
            <w:r>
              <w:rPr>
                <w:rFonts w:hint="eastAsia"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lang w:eastAsia="zh-CN"/>
              </w:rPr>
              <w:t>日上午1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0分（北京时间）</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0 天</w:t>
            </w:r>
          </w:p>
        </w:tc>
      </w:tr>
      <w:tr>
        <w:tblPrEx>
          <w:tblCellMar>
            <w:top w:w="0" w:type="dxa"/>
            <w:left w:w="108" w:type="dxa"/>
            <w:bottom w:w="0" w:type="dxa"/>
            <w:right w:w="108" w:type="dxa"/>
          </w:tblCellMar>
        </w:tblPrEx>
        <w:trPr>
          <w:trHeight w:val="638"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保证金金额：</w:t>
            </w:r>
            <w:r>
              <w:rPr>
                <w:rFonts w:hint="eastAsia" w:ascii="宋体" w:hAnsi="宋体" w:eastAsia="宋体" w:cs="宋体"/>
                <w:color w:val="auto"/>
                <w:sz w:val="24"/>
                <w:szCs w:val="24"/>
                <w:highlight w:val="none"/>
                <w:lang w:val="en-US" w:eastAsia="zh-CN"/>
              </w:rPr>
              <w:t>17000</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壹万柒仟</w:t>
            </w:r>
            <w:r>
              <w:rPr>
                <w:rFonts w:hint="eastAsia" w:ascii="宋体" w:hAnsi="宋体" w:eastAsia="宋体" w:cs="宋体"/>
                <w:color w:val="auto"/>
                <w:sz w:val="24"/>
                <w:szCs w:val="24"/>
                <w:highlight w:val="none"/>
                <w:lang w:val="zh-CN" w:eastAsia="zh-CN"/>
              </w:rPr>
              <w:t>元整）</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公司名称：新疆鑫诚宏业建设项目管理有限公司</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银行账号：65050110459800000215</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开户行地址：中国建设银行股份有限公司乌鲁木齐卫星路支行</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投标人必须从投标人基本账户支出不少于上述金额的投标保证金。投标保证金须在</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lang w:eastAsia="zh-CN"/>
              </w:rPr>
              <w:t>前确认到账。</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特别提示：递交保证金</w:t>
            </w:r>
            <w:bookmarkStart w:id="66" w:name="_GoBack"/>
            <w:bookmarkEnd w:id="66"/>
            <w:r>
              <w:rPr>
                <w:rFonts w:hint="eastAsia" w:ascii="宋体" w:hAnsi="宋体" w:eastAsia="宋体" w:cs="宋体"/>
                <w:color w:val="auto"/>
                <w:sz w:val="24"/>
                <w:szCs w:val="24"/>
                <w:highlight w:val="none"/>
                <w:lang w:eastAsia="zh-CN"/>
              </w:rPr>
              <w:t>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pPr>
              <w:rPr>
                <w:rFonts w:hint="eastAsia" w:ascii="宋体" w:hAnsi="宋体" w:eastAsia="宋体" w:cs="宋体"/>
                <w:color w:val="auto"/>
                <w:sz w:val="24"/>
                <w:szCs w:val="24"/>
                <w:highlight w:val="none"/>
                <w:lang w:eastAsia="zh-CN"/>
              </w:rPr>
            </w:pPr>
            <w:bookmarkStart w:id="20" w:name="_Hlk94257810"/>
            <w:r>
              <w:rPr>
                <w:rFonts w:hint="eastAsia" w:ascii="宋体" w:hAnsi="宋体" w:eastAsia="宋体" w:cs="宋体"/>
                <w:color w:val="auto"/>
                <w:sz w:val="24"/>
                <w:szCs w:val="24"/>
                <w:highlight w:val="none"/>
                <w:lang w:eastAsia="zh-CN"/>
              </w:rPr>
              <w:t>退投标保证金：</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（1）投标单位开具退款收据（收据上需清楚的盖有财务章，写清楚退款的项目名称）</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）投标单位账户信息，并加盖公章。（账户信息上需写清楚：单位名称、开户银行、账号、行号、联系人、联系电话）</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投标保证金有效期同投标有效期。</w:t>
            </w:r>
            <w:bookmarkEnd w:id="20"/>
            <w:r>
              <w:rPr>
                <w:rFonts w:hint="eastAsia" w:ascii="宋体" w:hAnsi="宋体" w:eastAsia="宋体" w:cs="宋体"/>
                <w:color w:val="auto"/>
                <w:sz w:val="24"/>
                <w:szCs w:val="24"/>
                <w:highlight w:val="none"/>
                <w:lang w:eastAsia="zh-CN"/>
              </w:rPr>
              <w:t xml:space="preserve">                </w:t>
            </w:r>
          </w:p>
        </w:tc>
      </w:tr>
      <w:tr>
        <w:tblPrEx>
          <w:tblCellMar>
            <w:top w:w="0" w:type="dxa"/>
            <w:left w:w="108" w:type="dxa"/>
            <w:bottom w:w="0" w:type="dxa"/>
            <w:right w:w="108" w:type="dxa"/>
          </w:tblCellMar>
        </w:tblPrEx>
        <w:trPr>
          <w:trHeight w:val="54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是否允许递交备选投标方案</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□允  许</w:t>
            </w:r>
          </w:p>
        </w:tc>
      </w:tr>
      <w:tr>
        <w:tblPrEx>
          <w:tblCellMar>
            <w:top w:w="0" w:type="dxa"/>
            <w:left w:w="108" w:type="dxa"/>
            <w:bottom w:w="0" w:type="dxa"/>
            <w:right w:w="108" w:type="dxa"/>
          </w:tblCellMar>
        </w:tblPrEx>
        <w:trPr>
          <w:trHeight w:val="67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谈判文件领取</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lang w:eastAsia="zh-CN"/>
              </w:rPr>
              <w:t>日至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none"/>
                <w:lang w:eastAsia="zh-CN"/>
              </w:rPr>
              <w:t>日，每天上午10:</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0至1</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0，下午1</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0至19：</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lang w:eastAsia="zh-CN"/>
              </w:rPr>
              <w:t>0</w:t>
            </w:r>
            <w:r>
              <w:rPr>
                <w:rFonts w:hint="eastAsia" w:ascii="宋体" w:hAnsi="宋体" w:eastAsia="宋体" w:cs="宋体"/>
                <w:color w:val="auto"/>
                <w:sz w:val="24"/>
                <w:szCs w:val="24"/>
                <w:highlight w:val="none"/>
                <w:lang w:eastAsia="zh-CN"/>
              </w:rPr>
              <w:t>（北京时间，节假日除外）</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地点：供应商登陆政采云平台http://www.zcygov.cn/，在线申请获取谈判文件 （登录政府采购云平台 → 项目采购 → 获取谈判文件 →申请，审核通过后可下载谈判文件 ，如有操作性问题，可与政采云在线客服进行咨询，咨询电话：95763）。</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方式：（1）线上获取（登录政府采购云平台 → 项目采购 → 获取谈判文件 → 申请，审核通过后可下载谈判文件 ）。本次谈判不提供纸质版谈判文件 。</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（2）供应商获取谈判文件前应注册成为政府采购云平台正式供应商。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响应文件形式</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电子响应文件包括“电子加密响应文件”和“备份响应文件”，在响应文件编制完成后同时生成。</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1、“电子加密响应文件”是指通过“政采云电子交易客户端”完成响应文件编制后生成并加密的数据电文形式的响应文件。</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2、“备份响应文件”是指与“电子加密响应文件”同时生成的数据电文形式的电子文件（备份标书，用于供应商标书解密异常时应急使用），其他方式编制的备份响应文件视为无效备份响应文件。</w:t>
            </w:r>
          </w:p>
        </w:tc>
      </w:tr>
      <w:tr>
        <w:tblPrEx>
          <w:tblCellMar>
            <w:top w:w="0" w:type="dxa"/>
            <w:left w:w="108" w:type="dxa"/>
            <w:bottom w:w="0" w:type="dxa"/>
            <w:right w:w="108" w:type="dxa"/>
          </w:tblCellMar>
        </w:tblPrEx>
        <w:trPr>
          <w:trHeight w:val="73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响应文件份数及要求</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本项目拟采用政采云不见面开标系统进行开评标，不对纸制版文件进行要求。</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2.开标结束后，按采购人要求，所有投标人须提供纸质投标文件（响应文件正本壹份，副本二份，电子版响应文件：一份U盘。响应文件须与最终上传电子加密文件一致；纸质文件开标截止后1个工作日递交）。</w:t>
            </w:r>
          </w:p>
        </w:tc>
      </w:tr>
      <w:tr>
        <w:tblPrEx>
          <w:tblCellMar>
            <w:top w:w="0" w:type="dxa"/>
            <w:left w:w="108" w:type="dxa"/>
            <w:bottom w:w="0" w:type="dxa"/>
            <w:right w:w="108" w:type="dxa"/>
          </w:tblCellMar>
        </w:tblPrEx>
        <w:trPr>
          <w:trHeight w:val="731" w:hRule="atLeast"/>
          <w:jc w:val="center"/>
        </w:trPr>
        <w:tc>
          <w:tcPr>
            <w:tcW w:w="692"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w:t>
            </w:r>
          </w:p>
        </w:tc>
        <w:tc>
          <w:tcPr>
            <w:tcW w:w="1992"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响应文件的上传和递交</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a.供应商未能在投标截止时间前成功上传电子加密响应文件的投标无效。</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b.供应商成功上传电子加密响应文件后，可自行打印响应文件接收回执。</w:t>
            </w:r>
          </w:p>
        </w:tc>
      </w:tr>
      <w:tr>
        <w:tblPrEx>
          <w:tblCellMar>
            <w:top w:w="0" w:type="dxa"/>
            <w:left w:w="108" w:type="dxa"/>
            <w:bottom w:w="0" w:type="dxa"/>
            <w:right w:w="108" w:type="dxa"/>
          </w:tblCellMar>
        </w:tblPrEx>
        <w:trPr>
          <w:trHeight w:val="82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评标委员会的组建</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评标专家确定方式：专家评委由招标人在开标前从政采云专家库中随机抽取</w:t>
            </w:r>
          </w:p>
          <w:p>
            <w:pPr>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zh-CN" w:eastAsia="zh-CN"/>
              </w:rPr>
              <w:t>评标委员会成员：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人，</w:t>
            </w:r>
            <w:r>
              <w:rPr>
                <w:rFonts w:hint="eastAsia" w:ascii="宋体" w:hAnsi="宋体" w:eastAsia="宋体" w:cs="宋体"/>
                <w:bCs/>
                <w:iCs/>
                <w:color w:val="auto"/>
                <w:sz w:val="24"/>
                <w:szCs w:val="24"/>
              </w:rPr>
              <w:t>其中评审专家不得少于成员总数的三分之二</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是否授权评标委员会确定中标候选人</w:t>
            </w:r>
          </w:p>
        </w:tc>
        <w:tc>
          <w:tcPr>
            <w:tcW w:w="65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是</w:t>
            </w:r>
          </w:p>
        </w:tc>
      </w:tr>
      <w:tr>
        <w:tblPrEx>
          <w:tblCellMar>
            <w:top w:w="0" w:type="dxa"/>
            <w:left w:w="108" w:type="dxa"/>
            <w:bottom w:w="0" w:type="dxa"/>
            <w:right w:w="108" w:type="dxa"/>
          </w:tblCellMar>
        </w:tblPrEx>
        <w:trPr>
          <w:trHeight w:val="75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投标截止时间：2023年</w:t>
            </w:r>
            <w:r>
              <w:rPr>
                <w:rFonts w:hint="eastAsia"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lang w:eastAsia="zh-CN"/>
              </w:rPr>
              <w:t>日上午1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0分（北京时间）</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692"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w:t>
            </w:r>
          </w:p>
        </w:tc>
        <w:tc>
          <w:tcPr>
            <w:tcW w:w="19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开标时间和地点</w:t>
            </w:r>
          </w:p>
        </w:tc>
        <w:tc>
          <w:tcPr>
            <w:tcW w:w="6521"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开标时间：2023年</w:t>
            </w:r>
            <w:r>
              <w:rPr>
                <w:rFonts w:hint="eastAsia"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lang w:eastAsia="zh-CN"/>
              </w:rPr>
              <w:t>日上午1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0分（北京时间）</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69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p>
        </w:tc>
        <w:tc>
          <w:tcPr>
            <w:tcW w:w="199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重要说明</w:t>
            </w:r>
          </w:p>
        </w:tc>
        <w:tc>
          <w:tcPr>
            <w:tcW w:w="6521"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1.本项目采用全流程不见面电子开评标，投标供应商需要使用CA加密设备，供应商可通过新疆数字证书认证中心官网（https://www.xjca.com.cn/）或下载“新疆政务通”APP自行进行申领。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2.本项目实行网上投标，采用加密电子响应文件(供应商须使用CA加密设备通过政采云电子投标客户端制作响应文件)。若供应商参与投标，自行承担投标一切费用。</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3.各供应商在开标前应确保成为新疆维吾尔自治区政府采购网正式注册入库供应商，</w:t>
            </w:r>
            <w:r>
              <w:rPr>
                <w:rFonts w:hint="eastAsia" w:ascii="宋体" w:hAnsi="宋体" w:eastAsia="宋体" w:cs="宋体"/>
                <w:color w:val="auto"/>
                <w:sz w:val="24"/>
                <w:szCs w:val="24"/>
                <w:highlight w:val="none"/>
                <w:lang w:val="en-US" w:eastAsia="zh-CN"/>
              </w:rPr>
              <w:t>(已在政采云平台其他省份入驻的供应商无须重复注册），</w:t>
            </w:r>
            <w:r>
              <w:rPr>
                <w:rFonts w:hint="eastAsia" w:ascii="宋体" w:hAnsi="宋体" w:eastAsia="宋体" w:cs="宋体"/>
                <w:color w:val="auto"/>
                <w:sz w:val="24"/>
                <w:szCs w:val="24"/>
                <w:highlight w:val="none"/>
                <w:lang w:eastAsia="zh-CN"/>
              </w:rPr>
              <w:t>并完成CA数字证书申领。因未注册入库、未办理CA数字证书等原因造成无法投标或投标失败等后果由供应商自行承担。</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5.供应商在开标时须使用制作加密电子响应文件所使用的CA锁及电脑，电脑须提前配置好浏览器（建议使用谷歌浏览器），以便开标时解锁。</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692"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p>
        </w:tc>
        <w:tc>
          <w:tcPr>
            <w:tcW w:w="1992"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1、电子招投标情况说明：</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（1）电子招投标：本项目以数据电文形式，依托“政府采购云平台（www.zcygov.cn）”进行招投标活动。</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（3）谈判文件的获取：使用账号登录或者短信验证码或者使用CA登录政采云平台；进入“项目采购”应用，在获取谈判文件 菜单中选择项目，获取谈判文件 。</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（4）响应文件的制作：在“政采云电子交易客户端”中完成“填写基本信息”、“导入响应文件”、“标书关联”、“标书检查”、“电子签名”、“生成电子标书”等操作。</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（5）响应文件的传输递交：供应商在投标截止时间前将加密的响应文件上传至政府采购云平台。</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（6）响应文件的解密：供应商按照平台提示和谈判文件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（7）具体操作指南：详见政采云平台“服务中心-帮助文档-项目采购-操作流程-电子招投标-政府采购项目电子交易管理操作指南-供应商”。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（8）供应商在进行上述操作时，如遇技术问题可登录政采云（https://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"http://www.zcygov.cn/"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www.zcygov.cn/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），点击右侧咨询小采，获取采小蜜智能服务管家帮助，或拨打政采云服务热线 95763 获取热线服务帮助。</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温馨提醒：供应商应提前上传，以便在上传时遇到技术问题，有充足的时间请教平台的技术人员。</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2、供应商认为谈判文件使自己的权益受到损害的，可以自收到谈判文件之日（谈判文件公告期限届满之前收到谈判文件 的，以完成获取谈判文件申请后下载谈判文件 的时间为准）或者谈判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谈判文件 或逾期提出的不予受理、答复。</w:t>
            </w:r>
          </w:p>
        </w:tc>
      </w:tr>
      <w:tr>
        <w:tblPrEx>
          <w:tblCellMar>
            <w:top w:w="0" w:type="dxa"/>
            <w:left w:w="108" w:type="dxa"/>
            <w:bottom w:w="0" w:type="dxa"/>
            <w:right w:w="108" w:type="dxa"/>
          </w:tblCellMar>
        </w:tblPrEx>
        <w:trPr>
          <w:trHeight w:val="71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中标候选人公示媒介</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lang w:val="en-US" w:eastAsia="zh-CN"/>
              </w:rPr>
              <w:t>和阿克苏地区行政公署网</w:t>
            </w:r>
            <w:r>
              <w:rPr>
                <w:rFonts w:hint="eastAsia" w:ascii="宋体" w:hAnsi="宋体" w:eastAsia="宋体" w:cs="宋体"/>
                <w:color w:val="auto"/>
                <w:sz w:val="24"/>
                <w:szCs w:val="24"/>
                <w:highlight w:val="none"/>
                <w:lang w:eastAsia="zh-CN"/>
              </w:rPr>
              <w:t>，公示期为一个工作日。</w:t>
            </w:r>
          </w:p>
        </w:tc>
      </w:tr>
      <w:tr>
        <w:tblPrEx>
          <w:tblCellMar>
            <w:top w:w="0" w:type="dxa"/>
            <w:left w:w="108" w:type="dxa"/>
            <w:bottom w:w="0" w:type="dxa"/>
            <w:right w:w="108" w:type="dxa"/>
          </w:tblCellMar>
        </w:tblPrEx>
        <w:trPr>
          <w:trHeight w:val="1162" w:hRule="atLeast"/>
          <w:jc w:val="center"/>
        </w:trPr>
        <w:tc>
          <w:tcPr>
            <w:tcW w:w="692"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招标代理服务费</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根据国家计委《招标代理服务收费管理暂行办法》（计价格[2002]1980号）所规定标准由中标企业向招标代理机构支付。</w:t>
            </w:r>
          </w:p>
        </w:tc>
      </w:tr>
      <w:tr>
        <w:tblPrEx>
          <w:tblCellMar>
            <w:top w:w="0" w:type="dxa"/>
            <w:left w:w="108" w:type="dxa"/>
            <w:bottom w:w="0" w:type="dxa"/>
            <w:right w:w="108" w:type="dxa"/>
          </w:tblCellMar>
        </w:tblPrEx>
        <w:trPr>
          <w:trHeight w:val="8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p>
        </w:tc>
        <w:tc>
          <w:tcPr>
            <w:tcW w:w="85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评标办法：本项目采用最低评标价法</w:t>
            </w:r>
          </w:p>
        </w:tc>
      </w:tr>
      <w:tr>
        <w:tblPrEx>
          <w:tblCellMar>
            <w:top w:w="0" w:type="dxa"/>
            <w:left w:w="108" w:type="dxa"/>
            <w:bottom w:w="0" w:type="dxa"/>
            <w:right w:w="108" w:type="dxa"/>
          </w:tblCellMar>
        </w:tblPrEx>
        <w:trPr>
          <w:trHeight w:val="8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w:t>
            </w:r>
          </w:p>
        </w:tc>
        <w:tc>
          <w:tcPr>
            <w:tcW w:w="85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w:t>
            </w:r>
          </w:p>
        </w:tc>
        <w:tc>
          <w:tcPr>
            <w:tcW w:w="85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本次招标预算</w:t>
            </w:r>
            <w:r>
              <w:rPr>
                <w:rFonts w:hint="eastAsia" w:ascii="宋体" w:hAnsi="宋体" w:eastAsia="宋体" w:cs="宋体"/>
                <w:b/>
                <w:bCs/>
                <w:color w:val="auto"/>
                <w:sz w:val="24"/>
                <w:szCs w:val="24"/>
                <w:highlight w:val="none"/>
                <w:lang w:val="en-US" w:eastAsia="zh-CN"/>
              </w:rPr>
              <w:t>限</w:t>
            </w:r>
            <w:r>
              <w:rPr>
                <w:rFonts w:hint="eastAsia" w:ascii="宋体" w:hAnsi="宋体" w:eastAsia="宋体" w:cs="宋体"/>
                <w:b/>
                <w:bCs/>
                <w:color w:val="auto"/>
                <w:sz w:val="24"/>
                <w:szCs w:val="24"/>
                <w:highlight w:val="none"/>
                <w:lang w:eastAsia="zh-CN"/>
              </w:rPr>
              <w:t>价：</w:t>
            </w:r>
            <w:r>
              <w:rPr>
                <w:rFonts w:hint="eastAsia" w:ascii="宋体" w:hAnsi="宋体" w:eastAsia="宋体" w:cs="宋体"/>
                <w:b/>
                <w:bCs/>
                <w:color w:val="auto"/>
                <w:sz w:val="24"/>
                <w:szCs w:val="24"/>
                <w:highlight w:val="none"/>
                <w:lang w:val="en-US" w:eastAsia="zh-CN"/>
              </w:rPr>
              <w:t>1710870元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本次项目采用单价限价，单价限价详见谈判文件第四部分采购需求</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val="en-US" w:eastAsia="zh-CN"/>
              </w:rPr>
              <w:t>单</w:t>
            </w:r>
            <w:r>
              <w:rPr>
                <w:rFonts w:hint="eastAsia" w:ascii="宋体" w:hAnsi="宋体" w:eastAsia="宋体" w:cs="宋体"/>
                <w:b/>
                <w:bCs/>
                <w:color w:val="auto"/>
                <w:sz w:val="24"/>
                <w:szCs w:val="24"/>
                <w:highlight w:val="none"/>
                <w:lang w:eastAsia="zh-CN"/>
              </w:rPr>
              <w:t>价超过采购单价</w:t>
            </w:r>
            <w:r>
              <w:rPr>
                <w:rFonts w:hint="eastAsia" w:ascii="宋体" w:hAnsi="宋体" w:eastAsia="宋体" w:cs="宋体"/>
                <w:b/>
                <w:bCs/>
                <w:color w:val="auto"/>
                <w:sz w:val="24"/>
                <w:szCs w:val="24"/>
                <w:highlight w:val="none"/>
                <w:lang w:val="en-US" w:eastAsia="zh-CN"/>
              </w:rPr>
              <w:t>限价</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lang w:val="en-US" w:eastAsia="zh-CN"/>
              </w:rPr>
              <w:t>均</w:t>
            </w:r>
            <w:r>
              <w:rPr>
                <w:rFonts w:hint="eastAsia" w:ascii="宋体" w:hAnsi="宋体" w:eastAsia="宋体" w:cs="宋体"/>
                <w:b/>
                <w:bCs/>
                <w:color w:val="auto"/>
                <w:sz w:val="24"/>
                <w:szCs w:val="24"/>
                <w:highlight w:val="none"/>
                <w:lang w:eastAsia="zh-CN"/>
              </w:rPr>
              <w:t>按废标处理。</w:t>
            </w:r>
          </w:p>
        </w:tc>
      </w:tr>
      <w:tr>
        <w:tblPrEx>
          <w:tblCellMar>
            <w:top w:w="0" w:type="dxa"/>
            <w:left w:w="108" w:type="dxa"/>
            <w:bottom w:w="0" w:type="dxa"/>
            <w:right w:w="108" w:type="dxa"/>
          </w:tblCellMar>
        </w:tblPrEx>
        <w:trPr>
          <w:trHeight w:val="84" w:hRule="atLeast"/>
          <w:jc w:val="center"/>
        </w:trPr>
        <w:tc>
          <w:tcPr>
            <w:tcW w:w="69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p>
        </w:tc>
        <w:tc>
          <w:tcPr>
            <w:tcW w:w="199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中小微企业政策文件</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（1）根据财政部、工业和信息化部关于印发《政府采购促进中小企业发展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20】46</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和（新财购【2022】22号）</w:t>
            </w:r>
            <w:r>
              <w:rPr>
                <w:rFonts w:hint="eastAsia" w:ascii="宋体" w:hAnsi="宋体" w:eastAsia="宋体" w:cs="宋体"/>
                <w:color w:val="auto"/>
                <w:sz w:val="24"/>
                <w:szCs w:val="24"/>
                <w:highlight w:val="none"/>
              </w:rPr>
              <w:t>，投标人及其所投产品的制造商均属于《工业和信息化部、国家统计局、国家发展和改革委员会、财政部关于印发中小企业划型标准规定的通知》（工信部联企业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300号）中规定的</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小型、微型企业标准的，按</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格式提供《中小企业声明函》。</w:t>
            </w:r>
          </w:p>
        </w:tc>
      </w:tr>
      <w:tr>
        <w:tblPrEx>
          <w:tblCellMar>
            <w:top w:w="0" w:type="dxa"/>
            <w:left w:w="108" w:type="dxa"/>
            <w:bottom w:w="0" w:type="dxa"/>
            <w:right w:w="108" w:type="dxa"/>
          </w:tblCellMar>
        </w:tblPrEx>
        <w:trPr>
          <w:trHeight w:val="84" w:hRule="atLeast"/>
          <w:jc w:val="center"/>
        </w:trPr>
        <w:tc>
          <w:tcPr>
            <w:tcW w:w="692"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p>
        </w:tc>
        <w:tc>
          <w:tcPr>
            <w:tcW w:w="1992" w:type="dxa"/>
            <w:vMerge w:val="continue"/>
            <w:tcBorders>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（2）根据财政部、司令部《关于政府采购支持监狱企业发展有关问题》的通知财库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692"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p>
        </w:tc>
        <w:tc>
          <w:tcPr>
            <w:tcW w:w="1992"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（3）根据财政部、民政部、中国残疾人联合会《关于促进残疾人就业政府采购政策的通知》（财库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141号），在政府采购活动中，残疾人福利性单位视同小型、微型企业。投标人属于残疾人福利性单位的，按照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格式提供残疾人福利性单位声明函。</w:t>
            </w:r>
          </w:p>
        </w:tc>
      </w:tr>
      <w:tr>
        <w:tblPrEx>
          <w:tblCellMar>
            <w:top w:w="0" w:type="dxa"/>
            <w:left w:w="108" w:type="dxa"/>
            <w:bottom w:w="0" w:type="dxa"/>
            <w:right w:w="108" w:type="dxa"/>
          </w:tblCellMar>
        </w:tblPrEx>
        <w:trPr>
          <w:trHeight w:val="84" w:hRule="atLeast"/>
          <w:jc w:val="center"/>
        </w:trPr>
        <w:tc>
          <w:tcPr>
            <w:tcW w:w="26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备注</w:t>
            </w:r>
          </w:p>
        </w:tc>
        <w:tc>
          <w:tcPr>
            <w:tcW w:w="65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着重提醒各投标人注意，并认真查看</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中的每一个条款及要求，因误读</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而造成的后果，招标人概不负责。</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2、投标人使用相同IP地址的，一经发现，相关部门将进一步核实，查实后按串通投标处理。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采购人若发现成交候选供应商在投标过程中提供虚假证明文件，故意隐瞒公司不良信誉和财务状况，以及其他可能对合同圆满履行造成风险的因素等，则按规定取消其成交资格，监管部门依法进行处理。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（1）投标企业严格遵守国家的法律法规及招标纪律，无违法违纪及商业贿赂行为。</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（2）不管投标结果如何，供应商均应自行承担投标所需一切费用。</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（3）供应商应以书面形式保证中标后由本公司组织实施，不得以任何理由将项目转包给其他机构。</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中如出现前后不一致情况，均以前附表内容为准。</w:t>
            </w:r>
          </w:p>
          <w:p>
            <w:pP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5、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r>
              <w:rPr>
                <w:rFonts w:hint="eastAsia" w:ascii="宋体" w:hAnsi="宋体" w:eastAsia="宋体" w:cs="宋体"/>
                <w:color w:val="auto"/>
                <w:highlight w:val="none"/>
                <w:lang w:val="en-US" w:eastAsia="zh-CN"/>
              </w:rPr>
              <w:t>。</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8"/>
        <w:numPr>
          <w:ilvl w:val="0"/>
          <w:numId w:val="0"/>
        </w:numPr>
        <w:ind w:left="360" w:leftChars="0"/>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17"/>
        <w:numPr>
          <w:ilvl w:val="0"/>
          <w:numId w:val="0"/>
        </w:numPr>
        <w:tabs>
          <w:tab w:val="clear" w:pos="780"/>
        </w:tabs>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numPr>
          <w:ilvl w:val="0"/>
          <w:numId w:val="0"/>
        </w:numPr>
        <w:ind w:left="360" w:leftChars="0"/>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numPr>
          <w:ilvl w:val="0"/>
          <w:numId w:val="0"/>
        </w:numPr>
        <w:ind w:left="360" w:leftChars="0"/>
        <w:rPr>
          <w:rFonts w:hint="eastAsia" w:ascii="宋体" w:hAnsi="宋体" w:eastAsia="宋体" w:cs="宋体"/>
          <w:color w:val="auto"/>
          <w:highlight w:val="none"/>
        </w:rPr>
      </w:pPr>
    </w:p>
    <w:p>
      <w:pPr>
        <w:pStyle w:val="4"/>
        <w:outlineLvl w:val="9"/>
        <w:rPr>
          <w:rFonts w:hint="eastAsia" w:ascii="宋体" w:hAnsi="宋体" w:eastAsia="宋体" w:cs="宋体"/>
          <w:color w:val="auto"/>
          <w:sz w:val="28"/>
          <w:szCs w:val="28"/>
          <w:highlight w:val="none"/>
        </w:rPr>
      </w:pPr>
    </w:p>
    <w:p>
      <w:pPr>
        <w:pStyle w:val="4"/>
        <w:outlineLvl w:val="9"/>
        <w:rPr>
          <w:rFonts w:hint="eastAsia" w:ascii="宋体" w:hAnsi="宋体" w:eastAsia="宋体" w:cs="宋体"/>
          <w:color w:val="auto"/>
          <w:sz w:val="28"/>
          <w:szCs w:val="28"/>
          <w:highlight w:val="none"/>
        </w:rPr>
      </w:pPr>
    </w:p>
    <w:p>
      <w:pPr>
        <w:pStyle w:val="4"/>
        <w:outlineLvl w:val="9"/>
        <w:rPr>
          <w:rFonts w:hint="eastAsia" w:ascii="宋体" w:hAnsi="宋体" w:eastAsia="宋体" w:cs="宋体"/>
          <w:color w:val="auto"/>
          <w:sz w:val="28"/>
          <w:szCs w:val="28"/>
          <w:highlight w:val="none"/>
        </w:rPr>
      </w:pPr>
    </w:p>
    <w:p>
      <w:pPr>
        <w:pStyle w:val="4"/>
        <w:outlineLvl w:val="9"/>
        <w:rPr>
          <w:rFonts w:hint="eastAsia" w:ascii="宋体" w:hAnsi="宋体" w:eastAsia="宋体" w:cs="宋体"/>
          <w:color w:val="auto"/>
          <w:sz w:val="28"/>
          <w:szCs w:val="28"/>
          <w:highlight w:val="none"/>
        </w:rPr>
      </w:pPr>
    </w:p>
    <w:p>
      <w:pPr>
        <w:pStyle w:val="4"/>
        <w:outlineLvl w:val="9"/>
        <w:rPr>
          <w:rFonts w:hint="eastAsia" w:ascii="宋体" w:hAnsi="宋体" w:eastAsia="宋体" w:cs="宋体"/>
          <w:color w:val="auto"/>
          <w:sz w:val="28"/>
          <w:szCs w:val="28"/>
          <w:highlight w:val="none"/>
        </w:rPr>
      </w:pPr>
    </w:p>
    <w:p>
      <w:pPr>
        <w:pStyle w:val="4"/>
        <w:rPr>
          <w:rFonts w:hint="eastAsia" w:ascii="宋体" w:hAnsi="宋体" w:eastAsia="宋体" w:cs="宋体"/>
          <w:color w:val="auto"/>
          <w:sz w:val="28"/>
          <w:szCs w:val="28"/>
          <w:highlight w:val="none"/>
        </w:rPr>
      </w:pPr>
    </w:p>
    <w:p>
      <w:pPr>
        <w:pStyle w:val="4"/>
        <w:rPr>
          <w:rFonts w:hint="eastAsia" w:ascii="宋体" w:hAnsi="宋体" w:eastAsia="宋体" w:cs="宋体"/>
          <w:color w:val="auto"/>
          <w:sz w:val="28"/>
          <w:szCs w:val="28"/>
          <w:highlight w:val="none"/>
        </w:rPr>
      </w:pPr>
    </w:p>
    <w:p>
      <w:pPr>
        <w:pStyle w:val="4"/>
        <w:rPr>
          <w:rFonts w:hint="eastAsia" w:ascii="宋体" w:hAnsi="宋体" w:eastAsia="宋体" w:cs="宋体"/>
          <w:color w:val="auto"/>
          <w:sz w:val="28"/>
          <w:szCs w:val="28"/>
          <w:highlight w:val="none"/>
        </w:rPr>
      </w:pPr>
    </w:p>
    <w:p>
      <w:pPr>
        <w:pStyle w:val="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一、总则</w:t>
      </w:r>
    </w:p>
    <w:p>
      <w:pPr>
        <w:pStyle w:val="16"/>
        <w:snapToGrid w:val="0"/>
        <w:spacing w:line="360" w:lineRule="auto"/>
        <w:ind w:firstLine="359" w:firstLineChars="147"/>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rPr>
        <w:t>（一）项目名称</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2023年城区绿地补植项目</w:t>
      </w:r>
    </w:p>
    <w:p>
      <w:pPr>
        <w:snapToGrid w:val="0"/>
        <w:spacing w:line="360" w:lineRule="auto"/>
        <w:ind w:firstLine="367"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（二）采购方式</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本项目采取</w:t>
      </w:r>
      <w:r>
        <w:rPr>
          <w:rFonts w:hint="eastAsia" w:ascii="宋体" w:hAnsi="宋体" w:eastAsia="宋体" w:cs="宋体"/>
          <w:color w:val="auto"/>
          <w:sz w:val="24"/>
          <w:szCs w:val="24"/>
          <w:highlight w:val="none"/>
          <w:u w:val="single"/>
          <w:lang w:eastAsia="zh-CN"/>
        </w:rPr>
        <w:t>竞争性谈判</w:t>
      </w:r>
      <w:r>
        <w:rPr>
          <w:rFonts w:hint="eastAsia" w:ascii="宋体" w:hAnsi="宋体" w:eastAsia="宋体" w:cs="宋体"/>
          <w:color w:val="auto"/>
          <w:sz w:val="24"/>
          <w:szCs w:val="24"/>
          <w:highlight w:val="none"/>
        </w:rPr>
        <w:t>方式采购。</w:t>
      </w:r>
    </w:p>
    <w:p>
      <w:pPr>
        <w:snapToGrid w:val="0"/>
        <w:spacing w:line="360" w:lineRule="auto"/>
        <w:ind w:firstLine="367"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（三）合格的供应商</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详见供应商须知前附表第5项</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（四）适用法律</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本次招标及由本次招标产生的合同受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中华人民共和国政府采购法》、《政府采购</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采购方式管理暂行办法》等相关法律、法规制约和保护。</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（五）招标费用</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供应商应自行承担所有参加招标有关的费用。</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的约束力</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供应商一旦报名参加本项目投标，即被认为接受了本</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中的所有条件和规定。</w:t>
      </w:r>
    </w:p>
    <w:p>
      <w:pPr>
        <w:pStyle w:val="4"/>
        <w:rPr>
          <w:rFonts w:hint="eastAsia" w:ascii="宋体" w:hAnsi="宋体" w:eastAsia="宋体" w:cs="宋体"/>
          <w:color w:val="auto"/>
          <w:sz w:val="28"/>
          <w:szCs w:val="28"/>
          <w:highlight w:val="none"/>
        </w:rPr>
      </w:pPr>
      <w:bookmarkStart w:id="21" w:name="_Toc497129137"/>
      <w:bookmarkStart w:id="22" w:name="_Toc452657552"/>
      <w:r>
        <w:rPr>
          <w:rFonts w:hint="eastAsia" w:ascii="宋体" w:hAnsi="宋体" w:eastAsia="宋体" w:cs="宋体"/>
          <w:color w:val="auto"/>
          <w:sz w:val="28"/>
          <w:szCs w:val="28"/>
          <w:highlight w:val="none"/>
        </w:rPr>
        <w:t>二、</w:t>
      </w:r>
      <w:bookmarkEnd w:id="21"/>
      <w:bookmarkEnd w:id="22"/>
      <w:r>
        <w:rPr>
          <w:rFonts w:hint="eastAsia" w:ascii="宋体" w:hAnsi="宋体" w:eastAsia="宋体" w:cs="宋体"/>
          <w:color w:val="auto"/>
          <w:sz w:val="28"/>
          <w:szCs w:val="28"/>
          <w:highlight w:val="none"/>
          <w:lang w:eastAsia="zh-CN"/>
        </w:rPr>
        <w:t>谈判文件</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构成</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公告；</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spacing w:line="360" w:lineRule="auto"/>
        <w:ind w:firstLine="49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采购需求</w:t>
      </w:r>
    </w:p>
    <w:p>
      <w:pPr>
        <w:adjustRightInd w:val="0"/>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4.合同文本（参考）</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供应商获取</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后，应仔细检查文件页数和附件数量，如发现有缺漏，请及时与采购代理机构联系补全。如果供应商不按上述要求操作而造成不良后果，采购代理机构不承担责任。</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的澄清</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澄清的供应商，</w:t>
      </w:r>
      <w:r>
        <w:rPr>
          <w:rFonts w:hint="eastAsia" w:ascii="宋体" w:hAnsi="宋体" w:eastAsia="宋体" w:cs="宋体"/>
          <w:color w:val="auto"/>
          <w:sz w:val="24"/>
          <w:szCs w:val="24"/>
          <w:highlight w:val="none"/>
          <w:lang w:eastAsia="zh-CN"/>
        </w:rPr>
        <w:t>由澄清或质疑方的法定代表人或授权投标人（必须为法定代表人授权进行该项目投标的被授权人）以书面形式向采购人及招标代理公司递交澄清或质疑函(原件)，并登记备案。澄清或质疑函须有法定代表人亲笔签章。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宋体" w:hAnsi="宋体" w:eastAsia="宋体" w:cs="宋体"/>
          <w:color w:val="auto"/>
          <w:sz w:val="24"/>
          <w:szCs w:val="24"/>
          <w:highlight w:val="none"/>
          <w:u w:val="single"/>
          <w:lang w:eastAsia="zh-CN"/>
        </w:rPr>
        <w:t>2023年城区绿地补植项目</w:t>
      </w:r>
      <w:r>
        <w:rPr>
          <w:rFonts w:hint="eastAsia" w:ascii="宋体" w:hAnsi="宋体" w:eastAsia="宋体" w:cs="宋体"/>
          <w:color w:val="auto"/>
          <w:sz w:val="24"/>
          <w:szCs w:val="24"/>
          <w:highlight w:val="none"/>
          <w:lang w:eastAsia="zh-CN"/>
        </w:rPr>
        <w:t>澄清或质疑使用”字样，并由身份证持有人签章确认。上述资料均须加盖公章。</w:t>
      </w:r>
      <w:r>
        <w:rPr>
          <w:rFonts w:hint="eastAsia" w:ascii="宋体" w:hAnsi="宋体" w:eastAsia="宋体" w:cs="宋体"/>
          <w:color w:val="auto"/>
          <w:sz w:val="24"/>
          <w:szCs w:val="24"/>
          <w:highlight w:val="none"/>
        </w:rPr>
        <w:t>采购代理机构对规定时间内收到的澄清要求以书面形式予以答复，答复不包括问题的来源。</w:t>
      </w:r>
    </w:p>
    <w:p>
      <w:pPr>
        <w:snapToGrid w:val="0"/>
        <w:spacing w:line="360" w:lineRule="auto"/>
        <w:ind w:firstLine="49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的修改</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1、在响应文件接收截止日前，采购代理机构可以更正文件以补充文件的形式对</w:t>
      </w:r>
      <w:r>
        <w:rPr>
          <w:rFonts w:hint="eastAsia" w:ascii="宋体" w:hAnsi="宋体" w:eastAsia="宋体" w:cs="宋体"/>
          <w:bCs/>
          <w:color w:val="auto"/>
          <w:sz w:val="24"/>
          <w:szCs w:val="24"/>
          <w:highlight w:val="none"/>
          <w:lang w:eastAsia="zh-CN"/>
        </w:rPr>
        <w:t>竞争性谈判</w:t>
      </w:r>
      <w:r>
        <w:rPr>
          <w:rFonts w:hint="eastAsia" w:ascii="宋体" w:hAnsi="宋体" w:eastAsia="宋体" w:cs="宋体"/>
          <w:color w:val="auto"/>
          <w:sz w:val="24"/>
          <w:szCs w:val="24"/>
          <w:highlight w:val="none"/>
        </w:rPr>
        <w:t>进行修改。</w:t>
      </w:r>
    </w:p>
    <w:p>
      <w:pPr>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2、为使供应商有充分的时间对</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的修改部分进行分析、研究，采购代理机构有权推迟响应文件接收截止日期和招标时间，并将此变更在</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以变更通知的形式予以公布或以书面通知所有购买</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的供应商。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4、采购代理机构发出的所有补充、修改和变更文件均作为</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的组成部分，与</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具有同等法律效力。</w:t>
      </w:r>
    </w:p>
    <w:p>
      <w:pPr>
        <w:pStyle w:val="4"/>
        <w:rPr>
          <w:rFonts w:hint="eastAsia" w:ascii="宋体" w:hAnsi="宋体" w:eastAsia="宋体" w:cs="宋体"/>
          <w:color w:val="auto"/>
          <w:sz w:val="28"/>
          <w:szCs w:val="28"/>
          <w:highlight w:val="none"/>
        </w:rPr>
      </w:pPr>
      <w:bookmarkStart w:id="23" w:name="_Toc452657553"/>
      <w:bookmarkStart w:id="24" w:name="_Toc497129138"/>
      <w:r>
        <w:rPr>
          <w:rFonts w:hint="eastAsia" w:ascii="宋体" w:hAnsi="宋体" w:eastAsia="宋体" w:cs="宋体"/>
          <w:color w:val="auto"/>
          <w:sz w:val="28"/>
          <w:szCs w:val="28"/>
          <w:highlight w:val="none"/>
        </w:rPr>
        <w:t>三、响应文件的编制</w:t>
      </w:r>
      <w:bookmarkEnd w:id="23"/>
      <w:bookmarkEnd w:id="24"/>
    </w:p>
    <w:p>
      <w:pPr>
        <w:snapToGrid w:val="0"/>
        <w:spacing w:line="360" w:lineRule="auto"/>
        <w:ind w:firstLine="245"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（十）响应文件的编制要求</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”的所有内容，按“</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”的要求编制“响应文件”，并保证所提供的全部资料的真实性、完整性及有效性，以使其投标对“</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”做出</w:t>
      </w:r>
      <w:r>
        <w:rPr>
          <w:rFonts w:hint="eastAsia" w:ascii="宋体" w:hAnsi="宋体" w:eastAsia="宋体" w:cs="宋体"/>
          <w:b/>
          <w:color w:val="auto"/>
          <w:sz w:val="24"/>
          <w:szCs w:val="24"/>
          <w:highlight w:val="none"/>
        </w:rPr>
        <w:t>实质性响应</w:t>
      </w:r>
      <w:r>
        <w:rPr>
          <w:rFonts w:hint="eastAsia" w:ascii="宋体" w:hAnsi="宋体" w:eastAsia="宋体" w:cs="宋体"/>
          <w:color w:val="auto"/>
          <w:sz w:val="24"/>
          <w:szCs w:val="24"/>
          <w:highlight w:val="none"/>
        </w:rPr>
        <w:t>。否则，可能被拒绝。</w:t>
      </w:r>
    </w:p>
    <w:p>
      <w:pPr>
        <w:snapToGrid w:val="0"/>
        <w:spacing w:line="360" w:lineRule="auto"/>
        <w:ind w:firstLine="245"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（十一）响应文件构成</w:t>
      </w:r>
    </w:p>
    <w:p>
      <w:pPr>
        <w:snapToGrid w:val="0"/>
        <w:spacing w:line="360" w:lineRule="auto"/>
        <w:ind w:firstLine="49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资格证明文件和商务及技术文件两部分</w:t>
      </w:r>
    </w:p>
    <w:p>
      <w:pPr>
        <w:snapToGrid w:val="0"/>
        <w:spacing w:line="360" w:lineRule="auto"/>
        <w:ind w:firstLine="490"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资格证明文件（包括但不限于）</w:t>
      </w:r>
    </w:p>
    <w:p>
      <w:pPr>
        <w:snapToGrid w:val="0"/>
        <w:spacing w:line="360" w:lineRule="auto"/>
        <w:ind w:firstLine="49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资格证明文件是证明投标人有资格参加投标和中标后有能力履行合同的文件，这些文件应能满足招标的要求，否则作无效投标处理。</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1、具备三证合一营业执照副本</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2、法定代表人资格证明书</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3、法定代表人授权书</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4、投标保证金缴纳凭证或投标担保函；</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6、提供近一个月财务状况报告、依法缴纳税收和社会保障资金的相关证明（复印件加盖单位公章）；</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7、具备履行合同所必需的设备和专业技术能力的证明材料（复印件加盖单位公章）；</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8、投标人须具备有效的林木种子生产经营许可证</w:t>
      </w:r>
    </w:p>
    <w:p>
      <w:pPr>
        <w:snapToGrid w:val="0"/>
        <w:spacing w:line="360" w:lineRule="auto"/>
        <w:ind w:left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9、投标人须知资料表要求的其他资格证明文件; </w:t>
      </w:r>
    </w:p>
    <w:p>
      <w:pPr>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（2）商务及技术文件（包括但不限于）</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1、投标函</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2、报价一览表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3、货物说明一览表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4、投标分项报价表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5、技术规格偏离表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6、商务条款偏离表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7、投标人基本情况表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8、近三年（2020年1月1日至今）类似项目业绩表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9、供货方案及培训方案</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10、服务方案</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11、售后服务承诺书</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12、中小企业声明函(货物)</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13、《残疾人福利性单位声明函》</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14、投标人认为有必要提供的其他证明材料</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（十二）响应文件格式</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应仔细阅读谈判文件的所有内容，按照谈判文件的要求详细编制响应文件，所提交的全部资料必须真实有效，并且要保证字迹清晰易于辨认。响应文件应对谈判文件实质性内容作出响应，否则按无效标处理。</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（2）响应文件格式应按本谈判文件第五章格式要求编制，不得对谈判文件格式进行增删更改，否则按无效标处理。</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（3）对谈判文件格式可更改的例外情况：谈判文件第五章附件格式要求中明确规定表格中行数不够用时可按相同格式增加行数，其他一切内容和格式不得更改。 </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（4）响应文件为电子响应文件，电子响应文件按“政采云供应商项目采购-电子招投标操作指南”及本谈判文件要求制作、加密传输。</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（5）响应文件未在投标截止时间前完成传输的，视为响应文件撤回；响应文件未按时解密也未提供备份响应文件的，亦视为响应文件撤回。</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（十三）</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报价为“招标范围”内的总报价。</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2、凡要求供应商考虑在报价中的内容供应商在响应文件中没有考虑、没有计入的或未单独列出，采购人认为供应商已将此项费用涵盖在其它费用价格中。</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报价应包含项目实施过程中涉及到的一切费用。</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4、报价注意事项：</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供应商报价时应充分考虑所有可能影响到报价的报价因素，一旦招标结束最终成交，总价将固定，不予调整。如发生漏、缺、少项，都将被认为是成交人的报价让利行为，损失自负。</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（十四）投标有效期</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1、投标有效期为</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规定的供应商提交响应文件截止之日起</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0</w:t>
      </w:r>
      <w:r>
        <w:rPr>
          <w:rFonts w:hint="eastAsia" w:ascii="宋体" w:hAnsi="宋体" w:eastAsia="宋体" w:cs="宋体"/>
          <w:color w:val="auto"/>
          <w:sz w:val="24"/>
          <w:szCs w:val="24"/>
          <w:highlight w:val="none"/>
        </w:rPr>
        <w:t>天。投标有效期不满足</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要求的将视为非响应性文件而予以拒绝。</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采购人于原投标有效期满之前，可向供应商提出延长投标有效期的要求，这种要求与答复均应采用书面形式（如信件、传真或电报等），供应商可以拒绝采购人的这一要求而放弃参与投标；同意延长的供应商不允许修改其响应文件。</w:t>
      </w:r>
    </w:p>
    <w:p>
      <w:pPr>
        <w:snapToGrid w:val="0"/>
        <w:spacing w:line="360" w:lineRule="auto"/>
        <w:ind w:firstLine="239" w:firstLineChars="9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签署</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1、除供应商对错处做必要修改外，响应文件不得行间插字、涂改或增删，必要的修改处必须有供应商法人代表或其被授权人</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并加盖公章。</w:t>
      </w:r>
    </w:p>
    <w:p>
      <w:pPr>
        <w:pStyle w:val="3"/>
        <w:rPr>
          <w:rFonts w:hint="eastAsia" w:ascii="宋体" w:hAnsi="宋体" w:eastAsia="宋体" w:cs="宋体"/>
          <w:color w:val="auto"/>
          <w:sz w:val="28"/>
          <w:szCs w:val="28"/>
          <w:highlight w:val="none"/>
        </w:rPr>
      </w:pPr>
      <w:bookmarkStart w:id="25" w:name="_Toc4229"/>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的制作、上传及递交要求</w:t>
      </w:r>
      <w:bookmarkEnd w:id="25"/>
    </w:p>
    <w:p>
      <w:pPr>
        <w:snapToGrid w:val="0"/>
        <w:spacing w:line="360" w:lineRule="auto"/>
        <w:ind w:firstLine="490" w:firstLineChars="200"/>
        <w:rPr>
          <w:rFonts w:hint="eastAsia" w:ascii="宋体" w:hAnsi="宋体" w:eastAsia="宋体" w:cs="宋体"/>
          <w:b/>
          <w:bCs/>
          <w:color w:val="auto"/>
          <w:sz w:val="24"/>
          <w:szCs w:val="24"/>
          <w:highlight w:val="none"/>
          <w:lang w:eastAsia="zh-CN"/>
        </w:rPr>
      </w:pPr>
    </w:p>
    <w:p>
      <w:pPr>
        <w:snapToGrid w:val="0"/>
        <w:spacing w:line="360" w:lineRule="auto"/>
        <w:ind w:firstLine="49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（十六）响应文件</w:t>
      </w:r>
      <w:r>
        <w:rPr>
          <w:rFonts w:hint="eastAsia" w:ascii="宋体" w:hAnsi="宋体" w:eastAsia="宋体" w:cs="宋体"/>
          <w:b/>
          <w:bCs/>
          <w:color w:val="auto"/>
          <w:sz w:val="24"/>
          <w:szCs w:val="24"/>
          <w:highlight w:val="none"/>
        </w:rPr>
        <w:t>的制作要求</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组成内容及项目招标需求和</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政府采购云平台要求制作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，不按</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政府采购云平台要求制作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的将视情况处理（拒收等），由此产生的责任由供应商自行承担。</w:t>
      </w:r>
    </w:p>
    <w:p>
      <w:pPr>
        <w:pStyle w:val="6"/>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部分：供应商应根据“政采云供应商项目采购-电子招投标操作指南”及本</w:t>
      </w:r>
      <w:r>
        <w:rPr>
          <w:rFonts w:hint="eastAsia" w:ascii="宋体" w:hAnsi="宋体" w:eastAsia="宋体" w:cs="宋体"/>
          <w:color w:val="auto"/>
          <w:sz w:val="24"/>
          <w:szCs w:val="24"/>
          <w:highlight w:val="none"/>
          <w:lang w:eastAsia="zh-CN"/>
        </w:rPr>
        <w:t xml:space="preserve">谈判文件 </w:t>
      </w:r>
      <w:r>
        <w:rPr>
          <w:rFonts w:hint="eastAsia" w:ascii="宋体" w:hAnsi="宋体" w:eastAsia="宋体" w:cs="宋体"/>
          <w:color w:val="auto"/>
          <w:sz w:val="24"/>
          <w:szCs w:val="24"/>
          <w:highlight w:val="none"/>
        </w:rPr>
        <w:t>规定的格式和顺序编制电子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并进行关联定位。本文件《</w:t>
      </w:r>
      <w:r>
        <w:rPr>
          <w:rFonts w:hint="eastAsia" w:ascii="宋体" w:hAnsi="宋体" w:eastAsia="宋体" w:cs="宋体"/>
          <w:color w:val="auto"/>
          <w:sz w:val="24"/>
          <w:szCs w:val="24"/>
          <w:highlight w:val="none"/>
          <w:lang w:eastAsia="zh-CN"/>
        </w:rPr>
        <w:t>第五部分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w:t>
      </w:r>
      <w:r>
        <w:rPr>
          <w:rFonts w:hint="eastAsia" w:ascii="宋体" w:hAnsi="宋体" w:eastAsia="宋体" w:cs="宋体"/>
          <w:color w:val="auto"/>
          <w:sz w:val="24"/>
          <w:szCs w:val="24"/>
          <w:highlight w:val="none"/>
          <w:lang w:eastAsia="zh-CN"/>
        </w:rPr>
        <w:t>第五部分响应文件</w:t>
      </w:r>
      <w:r>
        <w:rPr>
          <w:rFonts w:hint="eastAsia" w:ascii="宋体" w:hAnsi="宋体" w:eastAsia="宋体" w:cs="宋体"/>
          <w:color w:val="auto"/>
          <w:sz w:val="24"/>
          <w:szCs w:val="24"/>
          <w:highlight w:val="none"/>
        </w:rPr>
        <w:t>格式》未提供格式的，请供应商自行拟定格式，并加盖单位公章，否则视为未提供。</w:t>
      </w:r>
    </w:p>
    <w:p>
      <w:pPr>
        <w:pStyle w:val="6"/>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：通过“政采云”平台电子投标工具制作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所产生的备份文件。</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（2）供应商应对所提供的全部资料的真实性、有效性承担法律责任，电子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中所须加盖公章部分均采用CA签章。</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以及供应商与采购组织机构就有关投标事宜的所有来往函电，均应以中文汉语书写。除</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、盖章、专用名称等特殊情形外，以中文汉语以外的文字表述的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视同未提供。</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（4）投标计量单位，</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已有明确规定的，使用</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规定的计量单位；</w:t>
      </w:r>
      <w:r>
        <w:rPr>
          <w:rFonts w:hint="eastAsia" w:ascii="宋体" w:hAnsi="宋体" w:eastAsia="宋体" w:cs="宋体"/>
          <w:color w:val="auto"/>
          <w:sz w:val="24"/>
          <w:szCs w:val="24"/>
          <w:highlight w:val="none"/>
          <w:lang w:eastAsia="zh-CN"/>
        </w:rPr>
        <w:t xml:space="preserve">谈判文件 </w:t>
      </w:r>
      <w:r>
        <w:rPr>
          <w:rFonts w:hint="eastAsia" w:ascii="宋体" w:hAnsi="宋体" w:eastAsia="宋体" w:cs="宋体"/>
          <w:color w:val="auto"/>
          <w:sz w:val="24"/>
          <w:szCs w:val="24"/>
          <w:highlight w:val="none"/>
        </w:rPr>
        <w:t>没有规定的，应采用中华人民共和国法定计量单位（货币单位：人民币元）。</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（5）若供应商不按</w:t>
      </w:r>
      <w:r>
        <w:rPr>
          <w:rFonts w:hint="eastAsia" w:ascii="宋体" w:hAnsi="宋体" w:eastAsia="宋体" w:cs="宋体"/>
          <w:color w:val="auto"/>
          <w:sz w:val="24"/>
          <w:szCs w:val="24"/>
          <w:highlight w:val="none"/>
          <w:lang w:eastAsia="zh-CN"/>
        </w:rPr>
        <w:t xml:space="preserve">谈判文件 </w:t>
      </w:r>
      <w:r>
        <w:rPr>
          <w:rFonts w:hint="eastAsia" w:ascii="宋体" w:hAnsi="宋体" w:eastAsia="宋体" w:cs="宋体"/>
          <w:color w:val="auto"/>
          <w:sz w:val="24"/>
          <w:szCs w:val="24"/>
          <w:highlight w:val="none"/>
        </w:rPr>
        <w:t>的要求提供资格审查材料，其风险由供应商自行承担。</w:t>
      </w:r>
    </w:p>
    <w:p>
      <w:pPr>
        <w:pStyle w:val="6"/>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（6）与本次投标无关的内容请不要制作在内，确保</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有针对性、简洁明</w:t>
      </w:r>
      <w:r>
        <w:rPr>
          <w:rFonts w:hint="eastAsia" w:ascii="宋体" w:hAnsi="宋体" w:eastAsia="宋体" w:cs="宋体"/>
          <w:bCs/>
          <w:color w:val="auto"/>
          <w:sz w:val="24"/>
          <w:szCs w:val="24"/>
          <w:highlight w:val="none"/>
        </w:rPr>
        <w:t>了。</w:t>
      </w:r>
    </w:p>
    <w:p>
      <w:pPr>
        <w:snapToGrid w:val="0"/>
        <w:spacing w:line="360" w:lineRule="auto"/>
        <w:ind w:firstLine="49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（十七）响应文件</w:t>
      </w:r>
      <w:r>
        <w:rPr>
          <w:rFonts w:hint="eastAsia" w:ascii="宋体" w:hAnsi="宋体" w:eastAsia="宋体" w:cs="宋体"/>
          <w:b/>
          <w:bCs/>
          <w:color w:val="auto"/>
          <w:sz w:val="24"/>
          <w:szCs w:val="24"/>
          <w:highlight w:val="none"/>
        </w:rPr>
        <w:t>的上传</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（1）电子加密响应文件（“.jmbs”格式）：</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供应商应在投标截止时间前将电子加密响应文件成功上传递交至新疆政府采购云平台，否则投标无效；</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b.供应商成功上传电子加密响应文件后，可自行打印响应文件接收回执。</w:t>
      </w:r>
    </w:p>
    <w:p>
      <w:pPr>
        <w:pStyle w:val="6"/>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（十八）响应文件</w:t>
      </w:r>
      <w:r>
        <w:rPr>
          <w:rFonts w:hint="eastAsia" w:ascii="宋体" w:hAnsi="宋体" w:eastAsia="宋体" w:cs="宋体"/>
          <w:b/>
          <w:bCs/>
          <w:color w:val="auto"/>
          <w:sz w:val="24"/>
          <w:szCs w:val="24"/>
          <w:highlight w:val="none"/>
        </w:rPr>
        <w:t>的递交要求</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（1）供应商须按照</w:t>
      </w:r>
      <w:r>
        <w:rPr>
          <w:rFonts w:hint="eastAsia" w:ascii="宋体" w:hAnsi="宋体" w:eastAsia="宋体" w:cs="宋体"/>
          <w:color w:val="auto"/>
          <w:sz w:val="24"/>
          <w:szCs w:val="24"/>
          <w:highlight w:val="none"/>
          <w:lang w:eastAsia="zh-CN"/>
        </w:rPr>
        <w:t xml:space="preserve">谈判文件 </w:t>
      </w:r>
      <w:r>
        <w:rPr>
          <w:rFonts w:hint="eastAsia" w:ascii="宋体" w:hAnsi="宋体" w:eastAsia="宋体" w:cs="宋体"/>
          <w:color w:val="auto"/>
          <w:sz w:val="24"/>
          <w:szCs w:val="24"/>
          <w:highlight w:val="none"/>
        </w:rPr>
        <w:t>和政采云平台的要求编制并加密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递交截止时间以前完成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的传输递交，截止时间后递交的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，将被拒收。</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（2）如有特殊情况，采购组织机构延长截止时间和开标时间，采购组织机构和供应商的权利和义务将受到新的截止时间和开标时间的约束。</w:t>
      </w:r>
    </w:p>
    <w:p>
      <w:pPr>
        <w:pStyle w:val="6"/>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（十九）响应文件的补充、修改与撤回</w:t>
      </w:r>
    </w:p>
    <w:p>
      <w:pPr>
        <w:pStyle w:val="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撤回。投标截止时间后传输递交的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，“政府采购云平台”将予以拒收。投标截止时间后，供应商不得修改（补充）或撤回其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pPr>
        <w:pStyle w:val="4"/>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五、无效标、废标条款</w:t>
      </w:r>
      <w:bookmarkStart w:id="26" w:name="_Toc497129141"/>
      <w:bookmarkStart w:id="27" w:name="_Toc452657556"/>
    </w:p>
    <w:p>
      <w:pPr>
        <w:spacing w:line="440" w:lineRule="exact"/>
        <w:ind w:firstLine="245" w:firstLineChars="100"/>
        <w:rPr>
          <w:rFonts w:hint="eastAsia" w:ascii="宋体" w:hAnsi="宋体" w:eastAsia="宋体" w:cs="宋体"/>
          <w:b/>
          <w:bCs/>
          <w:color w:val="auto"/>
          <w:sz w:val="24"/>
          <w:szCs w:val="24"/>
          <w:highlight w:val="none"/>
          <w:lang w:val="en-US" w:eastAsia="zh-CN" w:bidi="en-US"/>
        </w:rPr>
      </w:pPr>
      <w:r>
        <w:rPr>
          <w:rFonts w:hint="eastAsia" w:ascii="宋体" w:hAnsi="宋体" w:eastAsia="宋体" w:cs="宋体"/>
          <w:b/>
          <w:bCs/>
          <w:color w:val="auto"/>
          <w:sz w:val="24"/>
          <w:szCs w:val="24"/>
          <w:highlight w:val="none"/>
          <w:lang w:val="en-US" w:eastAsia="zh-CN" w:bidi="en-US"/>
        </w:rPr>
        <w:t>（二十）无效标</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有下列情形之一的，响应文件按无效标处理：</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报名的投标人与参加投标的投标人发生实质性变更的且未提供有效证明的；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投标人提交两份或两份以上内容不同的响应文件，未声明哪一份有效的；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3、响应文件非投标人法定代表人签署的，未提供或提供无效的法定代表人授权书；</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4、未按谈判文件规定装订；</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5、响应文件内容未按谈判文件规定签章或盖章的；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6、响应文件组成漏项或未按规定的格式编制或响应文件正、副本份数不足或内容不全或内容字迹模糊辨认不清的等而导致评标活动无法正常进行；</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 xml:space="preserve"> 投标人未按谈判文件变更通知更改响应文件的；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8、《报价一览表》和《投标分项报价表》内容不完整且不接受修正意见或字迹不能辨认的或未提供；</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9、标项投标报价超过谈判文件规定的预算金额或最高限价</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 、因投标人原因编制错误造成经评标委员会修正后的报价达到或超过投标报价的0.5%；</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1、投标人的报价明显低于其他通过符合性审查投标人的报价，有可能影响产品质量或者不能诚信履约的，且在规定时间内不能合理说明原因并提供证明材料的；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未实质性响应谈判文件中条款要求的响应文件；</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13、不符合招标范围、技术规格、技术标准的要求无法满足采购人使用要求；</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14、响应文件附有采购人不能接受的条款；</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15、响应文件中提供了赠品或者与本项目采购无关的其他商品、服务；</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16、响应文件中承诺的投标有效期少于谈判文件中载明的投标有效期；</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、投标人串通投标，妨碍其他投标人的竞争行为，损害采购人或者其他投标人的合法权益；</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18、违反国家及政府部门相关法律、法规、文件规定或经评标委员会认定的其他属于重大偏离；</w:t>
      </w:r>
    </w:p>
    <w:p>
      <w:pPr>
        <w:spacing w:line="440" w:lineRule="exact"/>
        <w:ind w:firstLine="245" w:firstLineChars="100"/>
        <w:rPr>
          <w:rFonts w:hint="eastAsia" w:ascii="宋体" w:hAnsi="宋体" w:eastAsia="宋体" w:cs="宋体"/>
          <w:b/>
          <w:bCs/>
          <w:color w:val="auto"/>
          <w:sz w:val="24"/>
          <w:szCs w:val="24"/>
          <w:highlight w:val="none"/>
          <w:lang w:val="en-US" w:eastAsia="zh-CN" w:bidi="en-US"/>
        </w:rPr>
      </w:pPr>
      <w:r>
        <w:rPr>
          <w:rFonts w:hint="eastAsia" w:ascii="宋体" w:hAnsi="宋体" w:eastAsia="宋体" w:cs="宋体"/>
          <w:b/>
          <w:bCs/>
          <w:color w:val="auto"/>
          <w:sz w:val="24"/>
          <w:szCs w:val="24"/>
          <w:highlight w:val="none"/>
          <w:lang w:val="en-US" w:eastAsia="zh-CN" w:bidi="en-US"/>
        </w:rPr>
        <w:t>（二十一）废标</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符合谈判文件规定废标情形的；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出现影响采购公正的违法、违规行为的；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供应商的报价均超过了采购预算（或最高限价）</w:t>
      </w:r>
      <w:r>
        <w:rPr>
          <w:rFonts w:hint="eastAsia" w:ascii="宋体" w:hAnsi="宋体" w:eastAsia="宋体" w:cs="宋体"/>
          <w:color w:val="auto"/>
          <w:sz w:val="24"/>
          <w:szCs w:val="24"/>
          <w:highlight w:val="none"/>
          <w:lang w:val="en-US" w:eastAsia="zh-CN"/>
        </w:rPr>
        <w:t>和采购单价限价</w:t>
      </w:r>
      <w:r>
        <w:rPr>
          <w:rFonts w:hint="eastAsia" w:ascii="宋体" w:hAnsi="宋体" w:eastAsia="宋体" w:cs="宋体"/>
          <w:color w:val="auto"/>
          <w:sz w:val="24"/>
          <w:szCs w:val="24"/>
          <w:highlight w:val="none"/>
          <w:lang w:eastAsia="zh-CN"/>
        </w:rPr>
        <w:t>，采购人不能支付的;</w:t>
      </w:r>
    </w:p>
    <w:p>
      <w:pPr>
        <w:spacing w:line="440" w:lineRule="exact"/>
        <w:ind w:firstLine="735"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因重大变故，采购任务取消的。</w:t>
      </w:r>
    </w:p>
    <w:p>
      <w:pPr>
        <w:spacing w:line="440" w:lineRule="exact"/>
        <w:ind w:firstLine="245"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（二十二）突发情况处理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采购过程中出现以下情形，导致电子交易平台无法正常运行，或者无法保证电子交易的公平、公正和安全时，采购组织机构可中止电子交易活动：</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（1）电子交易平台发生故障而无法登录访问的； </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（2）电子交易平台应用或数据库出现错误，不能进行正常操作的；</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（3）电子交易平台发现严重安全漏洞，有潜在泄密危险的；</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（4）病毒发作导致不能进行正常操作的； </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（5）其他无法保证电子交易的公平、公正和安全的情况。</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采购代理机构或评审小组因不可抗力（不可抗力包括但不限于自然灾害、断电、传播疫病等）原因造成电子交易活动无法正常运行的，将采取以下措施：</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（1）短时间内能消除不可抗力因素的，采购代理机构或评审小组在消除不可抗力因素后继续组织电子交易活动； </w:t>
      </w:r>
    </w:p>
    <w:p>
      <w:pPr>
        <w:spacing w:line="440" w:lineRule="exact"/>
        <w:ind w:firstLine="245"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（2）长时间内无法消除不可抗力因素的，采购代理机构或评审小组将中止电子交易活动。中止电子交易活动的，采购人应当重新组织政府采购活动。</w:t>
      </w:r>
    </w:p>
    <w:p>
      <w:pPr>
        <w:pStyle w:val="34"/>
        <w:rPr>
          <w:rFonts w:hint="eastAsia" w:ascii="宋体" w:hAnsi="宋体" w:eastAsia="宋体" w:cs="宋体"/>
          <w:color w:val="auto"/>
          <w:sz w:val="24"/>
          <w:szCs w:val="24"/>
          <w:highlight w:val="none"/>
          <w:lang w:eastAsia="zh-CN"/>
        </w:rPr>
      </w:pPr>
    </w:p>
    <w:p>
      <w:pPr>
        <w:pStyle w:val="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六、开标</w:t>
      </w:r>
      <w:r>
        <w:rPr>
          <w:rFonts w:hint="eastAsia" w:ascii="宋体" w:hAnsi="宋体" w:eastAsia="宋体" w:cs="宋体"/>
          <w:color w:val="auto"/>
          <w:sz w:val="28"/>
          <w:szCs w:val="28"/>
          <w:highlight w:val="none"/>
          <w:lang w:eastAsia="zh-CN"/>
        </w:rPr>
        <w:t>、评标和定标</w:t>
      </w:r>
      <w:bookmarkEnd w:id="26"/>
      <w:bookmarkEnd w:id="27"/>
    </w:p>
    <w:p>
      <w:pPr>
        <w:snapToGrid w:val="0"/>
        <w:spacing w:line="360" w:lineRule="auto"/>
        <w:ind w:firstLine="359" w:firstLineChars="14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）开标程序</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开标时间到后，主持人宣布开标会议开始。</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（2）响应文件</w:t>
      </w:r>
      <w:r>
        <w:rPr>
          <w:rFonts w:hint="eastAsia" w:ascii="宋体" w:hAnsi="宋体" w:eastAsia="宋体" w:cs="宋体"/>
          <w:color w:val="auto"/>
          <w:sz w:val="24"/>
          <w:szCs w:val="24"/>
          <w:highlight w:val="none"/>
        </w:rPr>
        <w:t>解密（</w:t>
      </w:r>
      <w:r>
        <w:rPr>
          <w:rFonts w:hint="eastAsia" w:ascii="宋体" w:hAnsi="宋体" w:eastAsia="宋体" w:cs="宋体"/>
          <w:b/>
          <w:color w:val="auto"/>
          <w:sz w:val="24"/>
          <w:szCs w:val="24"/>
          <w:highlight w:val="none"/>
        </w:rPr>
        <w:t>解密规定见《供应商须知前附表》</w:t>
      </w:r>
      <w:r>
        <w:rPr>
          <w:rFonts w:hint="eastAsia" w:ascii="宋体" w:hAnsi="宋体" w:eastAsia="宋体" w:cs="宋体"/>
          <w:color w:val="auto"/>
          <w:sz w:val="24"/>
          <w:szCs w:val="24"/>
          <w:highlight w:val="none"/>
        </w:rPr>
        <w:t>）。</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（3）响应文件</w:t>
      </w:r>
      <w:r>
        <w:rPr>
          <w:rFonts w:hint="eastAsia" w:ascii="宋体" w:hAnsi="宋体" w:eastAsia="宋体" w:cs="宋体"/>
          <w:color w:val="auto"/>
          <w:sz w:val="24"/>
          <w:szCs w:val="24"/>
          <w:highlight w:val="none"/>
        </w:rPr>
        <w:t>解密异常情况处理（</w:t>
      </w:r>
      <w:r>
        <w:rPr>
          <w:rFonts w:hint="eastAsia" w:ascii="宋体" w:hAnsi="宋体" w:eastAsia="宋体" w:cs="宋体"/>
          <w:b/>
          <w:color w:val="auto"/>
          <w:sz w:val="24"/>
          <w:szCs w:val="24"/>
          <w:highlight w:val="none"/>
        </w:rPr>
        <w:t>处理办法见《供应商须知前附表》</w:t>
      </w:r>
      <w:r>
        <w:rPr>
          <w:rFonts w:hint="eastAsia" w:ascii="宋体" w:hAnsi="宋体" w:eastAsia="宋体" w:cs="宋体"/>
          <w:color w:val="auto"/>
          <w:sz w:val="24"/>
          <w:szCs w:val="24"/>
          <w:highlight w:val="none"/>
        </w:rPr>
        <w:t>）。</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公布</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解密情况（</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成功解密的供应商名单等信息）。</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开启标书信息（资格</w:t>
      </w:r>
      <w:r>
        <w:rPr>
          <w:rFonts w:hint="eastAsia" w:ascii="宋体" w:hAnsi="宋体" w:eastAsia="宋体" w:cs="宋体"/>
          <w:color w:val="auto"/>
          <w:sz w:val="24"/>
          <w:szCs w:val="24"/>
          <w:highlight w:val="none"/>
          <w:lang w:eastAsia="zh-CN"/>
        </w:rPr>
        <w:t>证明</w:t>
      </w:r>
      <w:r>
        <w:rPr>
          <w:rFonts w:hint="eastAsia" w:ascii="宋体" w:hAnsi="宋体" w:eastAsia="宋体" w:cs="宋体"/>
          <w:color w:val="auto"/>
          <w:sz w:val="24"/>
          <w:szCs w:val="24"/>
          <w:highlight w:val="none"/>
        </w:rPr>
        <w:t>文件、商务技术文件）。标书信息开启后，首先由采购人或采购代理机构</w:t>
      </w:r>
      <w:r>
        <w:rPr>
          <w:rFonts w:hint="eastAsia" w:ascii="宋体" w:hAnsi="宋体" w:eastAsia="宋体" w:cs="宋体"/>
          <w:color w:val="auto"/>
          <w:sz w:val="24"/>
          <w:szCs w:val="24"/>
          <w:highlight w:val="none"/>
          <w:lang w:eastAsia="zh-CN"/>
        </w:rPr>
        <w:t>或评审小组</w:t>
      </w:r>
      <w:r>
        <w:rPr>
          <w:rFonts w:hint="eastAsia" w:ascii="宋体" w:hAnsi="宋体" w:eastAsia="宋体" w:cs="宋体"/>
          <w:color w:val="auto"/>
          <w:sz w:val="24"/>
          <w:szCs w:val="24"/>
          <w:highlight w:val="none"/>
        </w:rPr>
        <w:t>依法对投标供应商的资格</w:t>
      </w:r>
      <w:r>
        <w:rPr>
          <w:rFonts w:hint="eastAsia" w:ascii="宋体" w:hAnsi="宋体" w:eastAsia="宋体" w:cs="宋体"/>
          <w:color w:val="auto"/>
          <w:sz w:val="24"/>
          <w:szCs w:val="24"/>
          <w:highlight w:val="none"/>
          <w:lang w:eastAsia="zh-CN"/>
        </w:rPr>
        <w:t>证明</w:t>
      </w:r>
      <w:r>
        <w:rPr>
          <w:rFonts w:hint="eastAsia" w:ascii="宋体" w:hAnsi="宋体" w:eastAsia="宋体" w:cs="宋体"/>
          <w:color w:val="auto"/>
          <w:sz w:val="24"/>
          <w:szCs w:val="24"/>
          <w:highlight w:val="none"/>
        </w:rPr>
        <w:t>文件进行审查（具体见资格性检查）， 审查结束公布投标供应商的资格符合情况。资格审查未获通过的供应商，其商务技术文件及报价文件不再进入评审。</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开启有效投标供应商的报价，公布</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有关内容，</w:t>
      </w:r>
      <w:r>
        <w:rPr>
          <w:rFonts w:hint="eastAsia" w:ascii="宋体" w:hAnsi="宋体" w:eastAsia="宋体" w:cs="宋体"/>
          <w:color w:val="auto"/>
          <w:sz w:val="24"/>
          <w:szCs w:val="24"/>
          <w:highlight w:val="none"/>
          <w:lang w:bidi="zh-CN"/>
        </w:rPr>
        <w:t>并【开启签章时段】，供应商对开标记录进行在线签章确认（不予确认的应说明理由，否则视为无异议）</w:t>
      </w:r>
      <w:r>
        <w:rPr>
          <w:rFonts w:hint="eastAsia" w:ascii="宋体" w:hAnsi="宋体" w:eastAsia="宋体" w:cs="宋体"/>
          <w:color w:val="auto"/>
          <w:sz w:val="24"/>
          <w:szCs w:val="24"/>
          <w:highlight w:val="none"/>
        </w:rPr>
        <w:t>。开标结束后，由评标委员会对报价的合理性、准确性等进行审查核实。</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（7）商务技术评审结束后，主持人公布商务技术评审无效投标供应商名单和商务技术评审有效投标供应商名单。商务技术评审无效的供应商，其报价不再进入评审。</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评审结束后，采购代理机构在系统上公布评审结果。</w:t>
      </w:r>
    </w:p>
    <w:p>
      <w:pPr>
        <w:snapToGrid w:val="0"/>
        <w:spacing w:line="360" w:lineRule="auto"/>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特别情况说明：</w:t>
      </w:r>
    </w:p>
    <w:p>
      <w:pPr>
        <w:snapToGrid w:val="0"/>
        <w:spacing w:line="360" w:lineRule="auto"/>
        <w:ind w:firstLine="432"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（1）本项目采用电子交易，如遇“</w:t>
      </w:r>
      <w:r>
        <w:rPr>
          <w:rFonts w:hint="eastAsia" w:ascii="宋体" w:hAnsi="宋体" w:eastAsia="宋体" w:cs="宋体"/>
          <w:b/>
          <w:color w:val="auto"/>
          <w:sz w:val="24"/>
          <w:szCs w:val="24"/>
          <w:highlight w:val="none"/>
          <w:lang w:eastAsia="zh-CN"/>
        </w:rPr>
        <w:t>新疆</w:t>
      </w:r>
      <w:r>
        <w:rPr>
          <w:rFonts w:hint="eastAsia" w:ascii="宋体" w:hAnsi="宋体" w:eastAsia="宋体" w:cs="宋体"/>
          <w:b/>
          <w:color w:val="auto"/>
          <w:sz w:val="24"/>
          <w:szCs w:val="24"/>
          <w:highlight w:val="none"/>
        </w:rPr>
        <w:t>政府采购云平台”电子化开标或评审程序调整的，按调整后程序执行。</w:t>
      </w:r>
    </w:p>
    <w:p>
      <w:pPr>
        <w:snapToGrid w:val="0"/>
        <w:spacing w:line="360" w:lineRule="auto"/>
        <w:ind w:firstLine="432"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（2）开标过程中需要相关当事人进行</w:t>
      </w:r>
      <w:r>
        <w:rPr>
          <w:rFonts w:hint="eastAsia" w:ascii="宋体" w:hAnsi="宋体" w:eastAsia="宋体" w:cs="宋体"/>
          <w:b/>
          <w:color w:val="auto"/>
          <w:sz w:val="24"/>
          <w:szCs w:val="24"/>
          <w:highlight w:val="none"/>
          <w:lang w:eastAsia="zh-CN"/>
        </w:rPr>
        <w:t>签章</w:t>
      </w:r>
      <w:r>
        <w:rPr>
          <w:rFonts w:hint="eastAsia" w:ascii="宋体" w:hAnsi="宋体" w:eastAsia="宋体" w:cs="宋体"/>
          <w:b/>
          <w:color w:val="auto"/>
          <w:sz w:val="24"/>
          <w:szCs w:val="24"/>
          <w:highlight w:val="none"/>
        </w:rPr>
        <w:t>或盖章确认的材料将通过“政府采购云平台”进行，若因“政府采购云平台”技术问题无法进行</w:t>
      </w:r>
      <w:r>
        <w:rPr>
          <w:rFonts w:hint="eastAsia" w:ascii="宋体" w:hAnsi="宋体" w:eastAsia="宋体" w:cs="宋体"/>
          <w:b/>
          <w:color w:val="auto"/>
          <w:sz w:val="24"/>
          <w:szCs w:val="24"/>
          <w:highlight w:val="none"/>
          <w:lang w:eastAsia="zh-CN"/>
        </w:rPr>
        <w:t>签章</w:t>
      </w:r>
      <w:r>
        <w:rPr>
          <w:rFonts w:hint="eastAsia" w:ascii="宋体" w:hAnsi="宋体" w:eastAsia="宋体" w:cs="宋体"/>
          <w:b/>
          <w:color w:val="auto"/>
          <w:sz w:val="24"/>
          <w:szCs w:val="24"/>
          <w:highlight w:val="none"/>
        </w:rPr>
        <w:t>或盖章确认的，采购组织机构将通过电子邮件等形式予以确认，</w:t>
      </w:r>
      <w:r>
        <w:rPr>
          <w:rFonts w:hint="eastAsia" w:ascii="宋体" w:hAnsi="宋体" w:eastAsia="宋体" w:cs="宋体"/>
          <w:b/>
          <w:color w:val="auto"/>
          <w:sz w:val="24"/>
          <w:szCs w:val="24"/>
          <w:highlight w:val="none"/>
          <w:u w:val="single"/>
        </w:rPr>
        <w:t>请供应商保证办理投标事宜人员电话畅通、网络在线，</w:t>
      </w:r>
      <w:r>
        <w:rPr>
          <w:rFonts w:hint="eastAsia" w:ascii="宋体" w:hAnsi="宋体" w:eastAsia="宋体" w:cs="宋体"/>
          <w:b/>
          <w:color w:val="auto"/>
          <w:sz w:val="24"/>
          <w:szCs w:val="24"/>
          <w:highlight w:val="none"/>
          <w:u w:val="single"/>
          <w:lang w:eastAsia="zh-CN"/>
        </w:rPr>
        <w:t>签章</w:t>
      </w:r>
      <w:r>
        <w:rPr>
          <w:rFonts w:hint="eastAsia" w:ascii="宋体" w:hAnsi="宋体" w:eastAsia="宋体" w:cs="宋体"/>
          <w:b/>
          <w:color w:val="auto"/>
          <w:sz w:val="24"/>
          <w:szCs w:val="24"/>
          <w:highlight w:val="none"/>
          <w:u w:val="single"/>
        </w:rPr>
        <w:t>或盖章确认的时间为20分钟。如未及时</w:t>
      </w:r>
      <w:r>
        <w:rPr>
          <w:rFonts w:hint="eastAsia" w:ascii="宋体" w:hAnsi="宋体" w:eastAsia="宋体" w:cs="宋体"/>
          <w:b/>
          <w:color w:val="auto"/>
          <w:sz w:val="24"/>
          <w:szCs w:val="24"/>
          <w:highlight w:val="none"/>
          <w:u w:val="single"/>
          <w:lang w:eastAsia="zh-CN"/>
        </w:rPr>
        <w:t>签章</w:t>
      </w:r>
      <w:r>
        <w:rPr>
          <w:rFonts w:hint="eastAsia" w:ascii="宋体" w:hAnsi="宋体" w:eastAsia="宋体" w:cs="宋体"/>
          <w:b/>
          <w:color w:val="auto"/>
          <w:sz w:val="24"/>
          <w:szCs w:val="24"/>
          <w:highlight w:val="none"/>
          <w:u w:val="single"/>
        </w:rPr>
        <w:t>或盖章确认的，视为无异议</w:t>
      </w:r>
      <w:r>
        <w:rPr>
          <w:rFonts w:hint="eastAsia" w:ascii="宋体" w:hAnsi="宋体" w:eastAsia="宋体" w:cs="宋体"/>
          <w:b/>
          <w:color w:val="auto"/>
          <w:sz w:val="24"/>
          <w:szCs w:val="24"/>
          <w:highlight w:val="none"/>
        </w:rPr>
        <w:t>。</w:t>
      </w:r>
    </w:p>
    <w:p>
      <w:pPr>
        <w:snapToGrid w:val="0"/>
        <w:spacing w:line="360" w:lineRule="auto"/>
        <w:ind w:firstLine="49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rPr>
        <w:t>投标供应商资格审查：</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开标（标书信息开启）后，采购人或采购代理机构</w:t>
      </w:r>
      <w:r>
        <w:rPr>
          <w:rFonts w:hint="eastAsia" w:ascii="宋体" w:hAnsi="宋体" w:eastAsia="宋体" w:cs="宋体"/>
          <w:bCs/>
          <w:color w:val="auto"/>
          <w:sz w:val="24"/>
          <w:szCs w:val="24"/>
          <w:highlight w:val="none"/>
          <w:lang w:eastAsia="zh-CN"/>
        </w:rPr>
        <w:t>或</w:t>
      </w:r>
      <w:r>
        <w:rPr>
          <w:rFonts w:hint="eastAsia" w:ascii="宋体" w:hAnsi="宋体" w:eastAsia="宋体" w:cs="宋体"/>
          <w:color w:val="auto"/>
          <w:sz w:val="24"/>
          <w:szCs w:val="24"/>
          <w:highlight w:val="none"/>
          <w:lang w:eastAsia="zh-CN"/>
        </w:rPr>
        <w:t>评审小组</w:t>
      </w:r>
      <w:r>
        <w:rPr>
          <w:rFonts w:hint="eastAsia" w:ascii="宋体" w:hAnsi="宋体" w:eastAsia="宋体" w:cs="宋体"/>
          <w:bCs/>
          <w:color w:val="auto"/>
          <w:sz w:val="24"/>
          <w:szCs w:val="24"/>
          <w:highlight w:val="none"/>
        </w:rPr>
        <w:t>首先依法对投标供应商的资格文件进行审查，审查各投标供应商的资格符合情况。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sz w:val="24"/>
          <w:szCs w:val="24"/>
          <w:highlight w:val="none"/>
          <w:lang w:eastAsia="zh-CN"/>
        </w:rPr>
        <w:t>或</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keepNext w:val="0"/>
        <w:keepLines w:val="0"/>
        <w:pageBreakBefore w:val="0"/>
        <w:widowControl w:val="0"/>
        <w:kinsoku/>
        <w:wordWrap/>
        <w:overflowPunct/>
        <w:topLinePunct w:val="0"/>
        <w:bidi w:val="0"/>
        <w:snapToGrid w:val="0"/>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（2）投标供应商提交的资格证明材料无法证明其符合</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bCs/>
          <w:color w:val="auto"/>
          <w:sz w:val="24"/>
          <w:szCs w:val="24"/>
          <w:highlight w:val="none"/>
        </w:rPr>
        <w:t>规定的“投标供应商资格要求”的，采购人或采购代理机构将对其作“资格审查不合格”处理（无效投标），并不再将其投标提交评标委员会进行后续评审。</w:t>
      </w:r>
    </w:p>
    <w:p>
      <w:pPr>
        <w:pStyle w:val="6"/>
        <w:keepNext w:val="0"/>
        <w:keepLines w:val="0"/>
        <w:pageBreakBefore w:val="0"/>
        <w:widowControl w:val="0"/>
        <w:kinsoku/>
        <w:wordWrap/>
        <w:overflowPunct/>
        <w:topLinePunct w:val="0"/>
        <w:bidi w:val="0"/>
        <w:snapToGrid w:val="0"/>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（3）供应商信用记录查询与使用：见《供应商须知前附表》。</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b/>
          <w:color w:val="auto"/>
          <w:sz w:val="24"/>
          <w:szCs w:val="24"/>
          <w:highlight w:val="none"/>
        </w:rPr>
      </w:pPr>
      <w:bookmarkStart w:id="28" w:name="_Toc213839741"/>
      <w:r>
        <w:rPr>
          <w:rFonts w:hint="eastAsia" w:ascii="宋体" w:hAnsi="宋体" w:eastAsia="宋体" w:cs="宋体"/>
          <w:b/>
          <w:color w:val="auto"/>
          <w:sz w:val="24"/>
          <w:szCs w:val="24"/>
          <w:highlight w:val="none"/>
        </w:rPr>
        <w:t>（二十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报价方式</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1、供应商提交的响应性文件中的报价，该报价只允许有一个报价，任何有选择性的报价将不予接受。</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所有成员与供应商进行单独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的任何一方不得透露与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有关的其他供应商的技术资料、价格和其他信息。</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有实质性变动的，</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应以书面形式通知所有参加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的供应商。</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结束后，供应商可根据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情况，进行第二次报价</w:t>
      </w:r>
      <w:r>
        <w:rPr>
          <w:rFonts w:hint="eastAsia" w:ascii="宋体" w:hAnsi="宋体" w:eastAsia="宋体" w:cs="宋体"/>
          <w:color w:val="auto"/>
          <w:sz w:val="24"/>
          <w:szCs w:val="24"/>
          <w:highlight w:val="none"/>
          <w:lang w:eastAsia="zh-CN"/>
        </w:rPr>
        <w:t>，采购人也可以根据谈判情况开启多轮报价，</w:t>
      </w:r>
      <w:r>
        <w:rPr>
          <w:rFonts w:hint="eastAsia" w:ascii="宋体" w:hAnsi="宋体" w:eastAsia="宋体" w:cs="宋体"/>
          <w:color w:val="auto"/>
          <w:sz w:val="24"/>
          <w:szCs w:val="24"/>
          <w:highlight w:val="none"/>
        </w:rPr>
        <w:t>该报价为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的最终报价。</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4、第二次报价</w:t>
      </w:r>
      <w:r>
        <w:rPr>
          <w:rFonts w:hint="eastAsia" w:ascii="宋体" w:hAnsi="宋体" w:eastAsia="宋体" w:cs="宋体"/>
          <w:color w:val="auto"/>
          <w:sz w:val="24"/>
          <w:szCs w:val="24"/>
          <w:highlight w:val="none"/>
          <w:lang w:eastAsia="zh-CN"/>
        </w:rPr>
        <w:t>在政采云不见面开评标系统</w:t>
      </w:r>
      <w:r>
        <w:rPr>
          <w:rFonts w:hint="eastAsia" w:ascii="宋体" w:hAnsi="宋体" w:eastAsia="宋体" w:cs="宋体"/>
          <w:color w:val="auto"/>
          <w:sz w:val="24"/>
          <w:szCs w:val="24"/>
          <w:highlight w:val="none"/>
        </w:rPr>
        <w:t>填写提交。所有供应商的二次报价收集齐全后，二次报价不进行公开唱标</w:t>
      </w:r>
      <w:r>
        <w:rPr>
          <w:rFonts w:hint="eastAsia" w:ascii="宋体" w:hAnsi="宋体" w:eastAsia="宋体" w:cs="宋体"/>
          <w:color w:val="auto"/>
          <w:sz w:val="24"/>
          <w:szCs w:val="24"/>
          <w:highlight w:val="none"/>
          <w:lang w:eastAsia="zh-CN"/>
        </w:rPr>
        <w:t>，依次类推。</w:t>
      </w:r>
    </w:p>
    <w:p>
      <w:pPr>
        <w:keepNext w:val="0"/>
        <w:keepLines w:val="0"/>
        <w:pageBreakBefore w:val="0"/>
        <w:widowControl w:val="0"/>
        <w:kinsoku/>
        <w:wordWrap/>
        <w:overflowPunct/>
        <w:topLinePunct w:val="0"/>
        <w:bidi w:val="0"/>
        <w:snapToGrid w:val="0"/>
        <w:spacing w:line="324" w:lineRule="auto"/>
        <w:ind w:firstLine="359" w:firstLineChars="1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bookmarkEnd w:id="28"/>
    </w:p>
    <w:p>
      <w:pPr>
        <w:pStyle w:val="34"/>
        <w:rPr>
          <w:rFonts w:hint="eastAsia" w:ascii="宋体" w:hAnsi="宋体" w:eastAsia="宋体" w:cs="宋体"/>
          <w:color w:val="auto"/>
          <w:sz w:val="24"/>
          <w:szCs w:val="24"/>
          <w:highlight w:val="none"/>
        </w:rPr>
      </w:pPr>
    </w:p>
    <w:p>
      <w:pPr>
        <w:pStyle w:val="4"/>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七、评标</w:t>
      </w:r>
      <w:r>
        <w:rPr>
          <w:rFonts w:hint="eastAsia" w:ascii="宋体" w:hAnsi="宋体" w:eastAsia="宋体" w:cs="宋体"/>
          <w:color w:val="auto"/>
          <w:sz w:val="28"/>
          <w:szCs w:val="28"/>
          <w:highlight w:val="none"/>
          <w:lang w:eastAsia="zh-CN"/>
        </w:rPr>
        <w:t>程序</w:t>
      </w:r>
    </w:p>
    <w:p>
      <w:pPr>
        <w:snapToGrid w:val="0"/>
        <w:spacing w:line="360" w:lineRule="auto"/>
        <w:ind w:firstLine="479"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）评标原则</w:t>
      </w:r>
    </w:p>
    <w:p>
      <w:pPr>
        <w:adjustRightInd w:val="0"/>
        <w:snapToGrid w:val="0"/>
        <w:spacing w:line="360"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“公开、公平、公正、客观、择优”为评标的基本原则，</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小组将根据这一原则，公正、平等地对待各供应商。</w:t>
      </w:r>
    </w:p>
    <w:p>
      <w:pPr>
        <w:adjustRightInd w:val="0"/>
        <w:snapToGrid w:val="0"/>
        <w:spacing w:line="360" w:lineRule="auto"/>
        <w:ind w:firstLine="359" w:firstLineChars="147"/>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小组</w:t>
      </w:r>
    </w:p>
    <w:p>
      <w:pPr>
        <w:snapToGrid w:val="0"/>
        <w:spacing w:line="360"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随机抽取的有关方面的专家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名组成，评标委员会的成员在评标过程中必须严格遵守政府采购的有关规定。专家从</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专家库中随机抽取产生，负责对响应文件进行审查、质询、评审、推选中标候选人。</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1、评标事务由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小组负责，并独立履行下列职责：</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（a）审查响应文件是否符合本文件要求，并做出评价；</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（b）要求供应商对响应文件有关事项做出澄清或答复；</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（c）推荐中标候选人名单，或者直接确定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（d）向招标采购单位或者有关部门报告非法干预评标工作的行为。</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小组成员的义务</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（a）遵纪守法，客观、公正、廉洁地履行职责；</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规定的评标方法和标准进行评标，对评审意见承担个人责任；</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（c）对评标过程和结果，以及供应商的商业秘密保密；</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（d）参与评标报告的起草；</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（e）配合财政部门的投诉处理工作；</w:t>
      </w:r>
    </w:p>
    <w:p>
      <w:pPr>
        <w:keepNext w:val="0"/>
        <w:keepLines w:val="0"/>
        <w:pageBreakBefore w:val="0"/>
        <w:kinsoku/>
        <w:wordWrap/>
        <w:overflowPunct/>
        <w:topLinePunct w:val="0"/>
        <w:autoSpaceDE/>
        <w:autoSpaceDN/>
        <w:bidi w:val="0"/>
        <w:snapToGrid w:val="0"/>
        <w:spacing w:line="305" w:lineRule="auto"/>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（f）配合招标采购单位答复供应商提出的质疑。</w:t>
      </w:r>
    </w:p>
    <w:p>
      <w:pPr>
        <w:pStyle w:val="34"/>
        <w:keepNext w:val="0"/>
        <w:keepLines w:val="0"/>
        <w:pageBreakBefore w:val="0"/>
        <w:kinsoku/>
        <w:wordWrap/>
        <w:overflowPunct/>
        <w:topLinePunct w:val="0"/>
        <w:autoSpaceDE/>
        <w:autoSpaceDN/>
        <w:bidi w:val="0"/>
        <w:snapToGrid w:val="0"/>
        <w:spacing w:line="305" w:lineRule="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3.评标程序</w:t>
      </w:r>
    </w:p>
    <w:p>
      <w:pPr>
        <w:pStyle w:val="34"/>
        <w:keepNext w:val="0"/>
        <w:keepLines w:val="0"/>
        <w:pageBreakBefore w:val="0"/>
        <w:kinsoku/>
        <w:wordWrap/>
        <w:overflowPunct/>
        <w:topLinePunct w:val="0"/>
        <w:autoSpaceDE/>
        <w:autoSpaceDN/>
        <w:bidi w:val="0"/>
        <w:snapToGrid w:val="0"/>
        <w:spacing w:line="305" w:lineRule="auto"/>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本次评标首先由评标委员会对投标人的响应文件进行初审，对未能通过初审的响应文件作无效标处理；</w:t>
      </w:r>
    </w:p>
    <w:p>
      <w:pPr>
        <w:pStyle w:val="34"/>
        <w:keepNext w:val="0"/>
        <w:keepLines w:val="0"/>
        <w:pageBreakBefore w:val="0"/>
        <w:kinsoku/>
        <w:wordWrap/>
        <w:overflowPunct/>
        <w:topLinePunct w:val="0"/>
        <w:autoSpaceDE/>
        <w:autoSpaceDN/>
        <w:bidi w:val="0"/>
        <w:snapToGrid w:val="0"/>
        <w:spacing w:line="305"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en-US"/>
        </w:rPr>
        <w:t>5对通过初审的投标人的响应文件进行详细的比较和评价。如需要，进行必要的澄清工作；</w:t>
      </w:r>
    </w:p>
    <w:p>
      <w:pPr>
        <w:keepNext w:val="0"/>
        <w:keepLines w:val="0"/>
        <w:pageBreakBefore w:val="0"/>
        <w:widowControl w:val="0"/>
        <w:kinsoku/>
        <w:wordWrap/>
        <w:overflowPunct/>
        <w:topLinePunct w:val="0"/>
        <w:autoSpaceDE/>
        <w:autoSpaceDN/>
        <w:bidi w:val="0"/>
        <w:adjustRightInd/>
        <w:snapToGrid/>
        <w:spacing w:line="400" w:lineRule="exact"/>
        <w:ind w:firstLine="245" w:firstLineChars="1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响应文件初审</w:t>
      </w:r>
    </w:p>
    <w:p>
      <w:pPr>
        <w:spacing w:line="400" w:lineRule="exact"/>
        <w:ind w:firstLine="359" w:firstLineChars="147"/>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6.资格性审查:</w:t>
      </w:r>
    </w:p>
    <w:p>
      <w:pPr>
        <w:spacing w:line="400" w:lineRule="exact"/>
        <w:ind w:firstLine="359"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.1评审细则</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6" w:type="dxa"/>
            <w:gridSpan w:val="2"/>
            <w:vMerge w:val="restart"/>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209" w:type="dxa"/>
            <w:gridSpan w:val="2"/>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81" w:type="dxa"/>
            <w:vMerge w:val="continue"/>
            <w:vAlign w:val="center"/>
          </w:tcPr>
          <w:p>
            <w:pPr>
              <w:rPr>
                <w:rFonts w:hint="eastAsia" w:ascii="宋体" w:hAnsi="宋体" w:eastAsia="宋体" w:cs="宋体"/>
                <w:color w:val="auto"/>
                <w:sz w:val="24"/>
                <w:szCs w:val="24"/>
                <w:highlight w:val="none"/>
              </w:rPr>
            </w:pPr>
          </w:p>
        </w:tc>
        <w:tc>
          <w:tcPr>
            <w:tcW w:w="7196" w:type="dxa"/>
            <w:gridSpan w:val="2"/>
            <w:vMerge w:val="continue"/>
          </w:tcPr>
          <w:p>
            <w:pPr>
              <w:rPr>
                <w:rFonts w:hint="eastAsia" w:ascii="宋体" w:hAnsi="宋体" w:eastAsia="宋体" w:cs="宋体"/>
                <w:color w:val="auto"/>
                <w:sz w:val="24"/>
                <w:szCs w:val="24"/>
                <w:highlight w:val="none"/>
              </w:rPr>
            </w:pPr>
          </w:p>
        </w:tc>
        <w:tc>
          <w:tcPr>
            <w:tcW w:w="555"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654"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1" w:type="dxa"/>
            <w:vMerge w:val="restart"/>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查</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准</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(适</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用</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于</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后</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w:t>
            </w:r>
          </w:p>
        </w:tc>
        <w:tc>
          <w:tcPr>
            <w:tcW w:w="5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649" w:type="dxa"/>
            <w:vAlign w:val="center"/>
          </w:tcPr>
          <w:p>
            <w:pPr>
              <w:widowControl/>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供应商为中小企业</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1" w:type="dxa"/>
            <w:vMerge w:val="continue"/>
            <w:vAlign w:val="center"/>
          </w:tcPr>
          <w:p>
            <w:pPr>
              <w:jc w:val="center"/>
              <w:rPr>
                <w:rFonts w:hint="eastAsia" w:ascii="宋体" w:hAnsi="宋体" w:eastAsia="宋体" w:cs="宋体"/>
                <w:color w:val="auto"/>
                <w:sz w:val="24"/>
                <w:szCs w:val="24"/>
                <w:highlight w:val="none"/>
                <w:lang w:eastAsia="zh-CN"/>
              </w:rPr>
            </w:pPr>
          </w:p>
        </w:tc>
        <w:tc>
          <w:tcPr>
            <w:tcW w:w="54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649" w:type="dxa"/>
            <w:vAlign w:val="center"/>
          </w:tcPr>
          <w:p>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（三证合一）营业执照</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81" w:type="dxa"/>
            <w:vMerge w:val="continue"/>
            <w:vAlign w:val="center"/>
          </w:tcPr>
          <w:p>
            <w:pPr>
              <w:rPr>
                <w:rFonts w:hint="eastAsia" w:ascii="宋体" w:hAnsi="宋体" w:eastAsia="宋体" w:cs="宋体"/>
                <w:color w:val="auto"/>
                <w:sz w:val="24"/>
                <w:szCs w:val="24"/>
                <w:highlight w:val="none"/>
                <w:lang w:eastAsia="zh-CN"/>
              </w:rPr>
            </w:pPr>
          </w:p>
        </w:tc>
        <w:tc>
          <w:tcPr>
            <w:tcW w:w="54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649" w:type="dxa"/>
            <w:vAlign w:val="center"/>
          </w:tcPr>
          <w:p>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vAlign w:val="center"/>
          </w:tcPr>
          <w:p>
            <w:pPr>
              <w:rPr>
                <w:rFonts w:hint="eastAsia" w:ascii="宋体" w:hAnsi="宋体" w:eastAsia="宋体" w:cs="宋体"/>
                <w:color w:val="auto"/>
                <w:sz w:val="24"/>
                <w:szCs w:val="24"/>
                <w:highlight w:val="none"/>
                <w:lang w:eastAsia="zh-CN"/>
              </w:rPr>
            </w:pPr>
          </w:p>
        </w:tc>
        <w:tc>
          <w:tcPr>
            <w:tcW w:w="54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649" w:type="dxa"/>
            <w:vAlign w:val="center"/>
          </w:tcPr>
          <w:p>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0"/>
              </w:rPr>
              <w:t>是否提供近一个月财务状况报告、依法缴纳税收和社会保障资金的相关证明（复印件加盖单位公章）</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pPr>
              <w:rPr>
                <w:rFonts w:hint="eastAsia" w:ascii="宋体" w:hAnsi="宋体" w:eastAsia="宋体" w:cs="宋体"/>
                <w:color w:val="auto"/>
                <w:sz w:val="24"/>
                <w:szCs w:val="24"/>
                <w:highlight w:val="none"/>
                <w:lang w:eastAsia="zh-CN"/>
              </w:rPr>
            </w:pPr>
          </w:p>
        </w:tc>
        <w:tc>
          <w:tcPr>
            <w:tcW w:w="5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49" w:type="dxa"/>
            <w:vAlign w:val="center"/>
          </w:tcPr>
          <w:p>
            <w:pPr>
              <w:widowControl/>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rPr>
              <w:t>投标人须具备有效的林木种子生产经营许可证</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pPr>
              <w:rPr>
                <w:rFonts w:hint="eastAsia" w:ascii="宋体" w:hAnsi="宋体" w:eastAsia="宋体" w:cs="宋体"/>
                <w:color w:val="auto"/>
                <w:sz w:val="24"/>
                <w:szCs w:val="24"/>
                <w:highlight w:val="none"/>
                <w:lang w:eastAsia="zh-CN"/>
              </w:rPr>
            </w:pPr>
          </w:p>
        </w:tc>
        <w:tc>
          <w:tcPr>
            <w:tcW w:w="5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649" w:type="dxa"/>
            <w:vAlign w:val="center"/>
          </w:tcPr>
          <w:p>
            <w:pPr>
              <w:widowControl/>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0"/>
              </w:rPr>
              <w:t>是否具备履行合同所必需的设备和专业技术能力的证明材料（复印件加盖单位公章）</w:t>
            </w:r>
          </w:p>
        </w:tc>
        <w:tc>
          <w:tcPr>
            <w:tcW w:w="555" w:type="dxa"/>
          </w:tcPr>
          <w:p>
            <w:pPr>
              <w:rPr>
                <w:rFonts w:hint="eastAsia" w:ascii="宋体" w:hAnsi="宋体" w:eastAsia="宋体" w:cs="宋体"/>
                <w:color w:val="auto"/>
                <w:sz w:val="24"/>
                <w:szCs w:val="24"/>
                <w:highlight w:val="none"/>
                <w:lang w:eastAsia="zh-CN"/>
              </w:rPr>
            </w:pPr>
          </w:p>
        </w:tc>
        <w:tc>
          <w:tcPr>
            <w:tcW w:w="65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hint="eastAsia" w:ascii="宋体" w:hAnsi="宋体" w:eastAsia="宋体" w:cs="宋体"/>
                <w:color w:val="auto"/>
                <w:sz w:val="24"/>
                <w:szCs w:val="24"/>
                <w:highlight w:val="none"/>
                <w:lang w:eastAsia="zh-CN"/>
              </w:rPr>
            </w:pPr>
          </w:p>
        </w:tc>
        <w:tc>
          <w:tcPr>
            <w:tcW w:w="547" w:type="dxa"/>
          </w:tcPr>
          <w:p>
            <w:pPr>
              <w:spacing w:line="440" w:lineRule="exact"/>
              <w:rPr>
                <w:rFonts w:hint="eastAsia" w:ascii="宋体" w:hAnsi="宋体" w:eastAsia="宋体" w:cs="宋体"/>
                <w:color w:val="auto"/>
                <w:sz w:val="24"/>
                <w:szCs w:val="24"/>
                <w:highlight w:val="none"/>
                <w:lang w:eastAsia="zh-CN"/>
              </w:rPr>
            </w:pPr>
          </w:p>
        </w:tc>
        <w:tc>
          <w:tcPr>
            <w:tcW w:w="6649"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结论：是否通过评审</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注：如有一项不合格，作废标处理。</w:t>
            </w:r>
          </w:p>
        </w:tc>
        <w:tc>
          <w:tcPr>
            <w:tcW w:w="1209" w:type="dxa"/>
            <w:gridSpan w:val="2"/>
          </w:tcPr>
          <w:p>
            <w:pPr>
              <w:rPr>
                <w:rFonts w:hint="eastAsia" w:ascii="宋体" w:hAnsi="宋体" w:eastAsia="宋体" w:cs="宋体"/>
                <w:color w:val="auto"/>
                <w:sz w:val="24"/>
                <w:szCs w:val="24"/>
                <w:highlight w:val="none"/>
                <w:lang w:eastAsia="zh-CN"/>
              </w:rPr>
            </w:pPr>
          </w:p>
        </w:tc>
      </w:tr>
    </w:tbl>
    <w:p>
      <w:pPr>
        <w:spacing w:line="400" w:lineRule="exact"/>
        <w:ind w:firstLine="590" w:firstLineChars="24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6.2如评标专家在检验电子标书过程中，如果由于投标人自身原因导致评标专家无法查看并检验电子标书中以上相关资料的，否决其投标。即使投标单位将原件携带至现场的，同样按无效投标处理。</w:t>
      </w:r>
    </w:p>
    <w:p>
      <w:pPr>
        <w:spacing w:before="156" w:beforeLines="50" w:line="440" w:lineRule="exact"/>
        <w:ind w:firstLine="359"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7</w:t>
      </w:r>
      <w:r>
        <w:rPr>
          <w:rFonts w:hint="eastAsia" w:ascii="宋体" w:hAnsi="宋体" w:eastAsia="宋体" w:cs="宋体"/>
          <w:b/>
          <w:color w:val="auto"/>
          <w:sz w:val="24"/>
          <w:szCs w:val="24"/>
          <w:highlight w:val="none"/>
        </w:rPr>
        <w:t>.符合性审查</w:t>
      </w:r>
    </w:p>
    <w:p>
      <w:pPr>
        <w:spacing w:line="440" w:lineRule="exact"/>
        <w:ind w:firstLine="367"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．1评审细则</w:t>
      </w:r>
    </w:p>
    <w:tbl>
      <w:tblPr>
        <w:tblStyle w:val="18"/>
        <w:tblpPr w:leftFromText="180" w:rightFromText="180" w:vertAnchor="text" w:horzAnchor="page" w:tblpX="1333" w:tblpY="363"/>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97"/>
        <w:gridCol w:w="6378"/>
        <w:gridCol w:w="4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94"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975" w:type="dxa"/>
            <w:gridSpan w:val="2"/>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366" w:type="dxa"/>
            <w:gridSpan w:val="2"/>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Align w:val="center"/>
          </w:tcPr>
          <w:p>
            <w:pPr>
              <w:rPr>
                <w:rFonts w:hint="eastAsia" w:ascii="宋体" w:hAnsi="宋体" w:eastAsia="宋体" w:cs="宋体"/>
                <w:color w:val="auto"/>
                <w:sz w:val="24"/>
                <w:szCs w:val="24"/>
                <w:highlight w:val="none"/>
              </w:rPr>
            </w:pPr>
          </w:p>
        </w:tc>
        <w:tc>
          <w:tcPr>
            <w:tcW w:w="6975" w:type="dxa"/>
            <w:gridSpan w:val="2"/>
          </w:tcPr>
          <w:p>
            <w:pPr>
              <w:rPr>
                <w:rFonts w:hint="eastAsia" w:ascii="宋体" w:hAnsi="宋体" w:eastAsia="宋体" w:cs="宋体"/>
                <w:color w:val="auto"/>
                <w:sz w:val="24"/>
                <w:szCs w:val="24"/>
                <w:highlight w:val="none"/>
              </w:rPr>
            </w:pPr>
          </w:p>
        </w:tc>
        <w:tc>
          <w:tcPr>
            <w:tcW w:w="482"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884"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94"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5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0"/>
                <w:lang w:val="en-US" w:eastAsia="zh-CN"/>
              </w:rPr>
              <w:t>投标报价是否超过采购预算，投标单价是否超过采购单价限价；</w:t>
            </w:r>
          </w:p>
        </w:tc>
        <w:tc>
          <w:tcPr>
            <w:tcW w:w="482" w:type="dxa"/>
          </w:tcPr>
          <w:p>
            <w:pPr>
              <w:jc w:val="center"/>
              <w:rPr>
                <w:rFonts w:hint="eastAsia" w:ascii="宋体" w:hAnsi="宋体" w:eastAsia="宋体" w:cs="宋体"/>
                <w:b/>
                <w:color w:val="auto"/>
                <w:sz w:val="24"/>
                <w:szCs w:val="24"/>
                <w:highlight w:val="none"/>
                <w:lang w:eastAsia="zh-CN"/>
              </w:rPr>
            </w:pPr>
          </w:p>
        </w:tc>
        <w:tc>
          <w:tcPr>
            <w:tcW w:w="884" w:type="dxa"/>
          </w:tcPr>
          <w:p>
            <w:pPr>
              <w:jc w:val="center"/>
              <w:rPr>
                <w:rFonts w:hint="eastAsia" w:ascii="宋体" w:hAnsi="宋体" w:eastAsia="宋体" w:cs="宋体"/>
                <w:b/>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规定的格式</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78" w:type="dxa"/>
            <w:vAlign w:val="top"/>
          </w:tcPr>
          <w:p>
            <w:pPr>
              <w:autoSpaceDN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rPr>
            </w:pPr>
          </w:p>
        </w:tc>
        <w:tc>
          <w:tcPr>
            <w:tcW w:w="884"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378" w:type="dxa"/>
            <w:vAlign w:val="top"/>
          </w:tcPr>
          <w:p>
            <w:pPr>
              <w:autoSpaceDN w:val="0"/>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bidi="ar"/>
              </w:rPr>
              <w:t>投标保证金</w:t>
            </w:r>
            <w:r>
              <w:rPr>
                <w:rFonts w:hint="eastAsia" w:ascii="宋体" w:hAnsi="宋体" w:eastAsia="宋体" w:cs="宋体"/>
                <w:color w:val="auto"/>
                <w:sz w:val="24"/>
                <w:szCs w:val="24"/>
                <w:highlight w:val="none"/>
                <w:lang w:val="en-US" w:eastAsia="zh-CN" w:bidi="ar"/>
              </w:rPr>
              <w:t>是否按照谈判文件缴纳；</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规定的招标内容全部作出响应</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提出的技术和质量要求</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期限满足</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94" w:type="dxa"/>
            <w:vMerge w:val="continue"/>
            <w:vAlign w:val="center"/>
          </w:tcPr>
          <w:p>
            <w:pPr>
              <w:rPr>
                <w:rFonts w:hint="eastAsia" w:ascii="宋体" w:hAnsi="宋体" w:eastAsia="宋体" w:cs="宋体"/>
                <w:color w:val="auto"/>
                <w:sz w:val="24"/>
                <w:szCs w:val="24"/>
                <w:highlight w:val="none"/>
                <w:lang w:eastAsia="zh-CN"/>
              </w:rPr>
            </w:pPr>
          </w:p>
        </w:tc>
        <w:tc>
          <w:tcPr>
            <w:tcW w:w="597"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378" w:type="dxa"/>
            <w:vAlign w:val="top"/>
          </w:tcPr>
          <w:p>
            <w:pPr>
              <w:autoSpaceDN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有效期满足</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tc>
        <w:tc>
          <w:tcPr>
            <w:tcW w:w="482" w:type="dxa"/>
          </w:tcPr>
          <w:p>
            <w:pPr>
              <w:rPr>
                <w:rFonts w:hint="eastAsia" w:ascii="宋体" w:hAnsi="宋体" w:eastAsia="宋体" w:cs="宋体"/>
                <w:color w:val="auto"/>
                <w:sz w:val="24"/>
                <w:szCs w:val="24"/>
                <w:highlight w:val="none"/>
                <w:lang w:eastAsia="zh-CN"/>
              </w:rPr>
            </w:pPr>
          </w:p>
        </w:tc>
        <w:tc>
          <w:tcPr>
            <w:tcW w:w="884" w:type="dxa"/>
          </w:tcPr>
          <w:p>
            <w:pP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94" w:type="dxa"/>
            <w:vAlign w:val="center"/>
          </w:tcPr>
          <w:p>
            <w:pPr>
              <w:jc w:val="center"/>
              <w:rPr>
                <w:rFonts w:hint="eastAsia" w:ascii="宋体" w:hAnsi="宋体" w:eastAsia="宋体" w:cs="宋体"/>
                <w:color w:val="auto"/>
                <w:sz w:val="24"/>
                <w:szCs w:val="24"/>
                <w:highlight w:val="none"/>
                <w:lang w:eastAsia="zh-CN"/>
              </w:rPr>
            </w:pPr>
          </w:p>
        </w:tc>
        <w:tc>
          <w:tcPr>
            <w:tcW w:w="6975" w:type="dxa"/>
            <w:gridSpan w:val="2"/>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结论：是否通过评审</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注：如有一项不合格，作废标处理。</w:t>
            </w:r>
          </w:p>
        </w:tc>
        <w:tc>
          <w:tcPr>
            <w:tcW w:w="1366" w:type="dxa"/>
            <w:gridSpan w:val="2"/>
          </w:tcPr>
          <w:p>
            <w:pPr>
              <w:rPr>
                <w:rFonts w:hint="eastAsia" w:ascii="宋体" w:hAnsi="宋体" w:eastAsia="宋体" w:cs="宋体"/>
                <w:color w:val="auto"/>
                <w:sz w:val="24"/>
                <w:szCs w:val="24"/>
                <w:highlight w:val="none"/>
                <w:lang w:eastAsia="zh-CN"/>
              </w:rPr>
            </w:pPr>
          </w:p>
        </w:tc>
      </w:tr>
    </w:tbl>
    <w:p>
      <w:pPr>
        <w:numPr>
          <w:ilvl w:val="0"/>
          <w:numId w:val="0"/>
        </w:numPr>
        <w:spacing w:line="400" w:lineRule="exact"/>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评委会判定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的响应性只根据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本身的内容，而不寻求外部的证</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据，但投标有不真实不正确的内容时除外。</w:t>
      </w:r>
    </w:p>
    <w:p>
      <w:pPr>
        <w:spacing w:line="400" w:lineRule="exact"/>
        <w:ind w:left="49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实质上没有响应</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的要求，评委会将予以拒绝，投标人不得通过修正或撤销不符合要求的偏离或保留，而使其投标成为实质上响应的投标。</w:t>
      </w:r>
    </w:p>
    <w:p>
      <w:pPr>
        <w:spacing w:line="400" w:lineRule="exact"/>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只有通过初审的投标人才能进入下一步评标程序。</w:t>
      </w:r>
    </w:p>
    <w:p>
      <w:pPr>
        <w:spacing w:line="400" w:lineRule="exact"/>
        <w:ind w:firstLine="49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（二）响应文件</w:t>
      </w:r>
      <w:r>
        <w:rPr>
          <w:rFonts w:hint="eastAsia" w:ascii="宋体" w:hAnsi="宋体" w:eastAsia="宋体" w:cs="宋体"/>
          <w:b/>
          <w:color w:val="auto"/>
          <w:sz w:val="24"/>
          <w:szCs w:val="24"/>
          <w:highlight w:val="none"/>
        </w:rPr>
        <w:t>的澄清和补正</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5、澄清、说明或补正的形式</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9．错误修正的原则</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电子交易平台客户端里报价一览表录入的投标报价或优惠率与扫描上传的报价文件信息不一致的，以扫描上传的报价文件信息为准进行修正。</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响应文件报价出现前后不一致的，除谈判文件 另有规定外，按照下列规定修正：</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10、投标函中表述的内容与报价表中不一致的，以报价表为准；报价表中的内容与报价明细表不一致的，以报价表为准；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11、响应文件中的大写金额和小写金额不一致的，以大写金额为准；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12、单价金额小数点或者百分比有明显错位的，以报价一览表的总价为准，并修改单价；</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13、总价金额与按单价汇总金额不一致的，以单价金额计算结果为准；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14、若用文字表示的数值与用数字表示的数值不一致，以文字表示的数值为准；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15、如有多报（指数量超出谈判文件 需求）、重报（指同一货物重复报价），其投标总价在评标过程中不予调整，如其中标，其合同价按其投标单价予以调整；</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16、对不同文字文本响应文件的解释发生异议的，以中文文本为准；</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17、供应商需要注意的其它事项：</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供应商必须由法定代表人或其委托全权代理人参加竞争性谈判，法定代表人委托代理人参加竞争性谈判必须保证在开标期间，随时通过政府采购云平台接受谈判小组的询问，并予以解答问题。</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2、供应商应遵守有关法律、法规，不得采取不正当的竞争手段，否则，其后果由供应商自负。</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3、在谈判会直至宣布结果之前，供应商不得向谈判评审专家询问谈判情况，不得进行旨在影响成交结果的活动，否则，其竞争性谈判无效并追究相应责任。</w:t>
      </w:r>
    </w:p>
    <w:p>
      <w:pPr>
        <w:spacing w:line="440" w:lineRule="exact"/>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4、本谈判文件的未尽事项，按现行的有关法律、法规及规章执行</w:t>
      </w:r>
    </w:p>
    <w:p>
      <w:pPr>
        <w:pStyle w:val="34"/>
        <w:rPr>
          <w:rFonts w:hint="eastAsia" w:ascii="宋体" w:hAnsi="宋体" w:eastAsia="宋体" w:cs="宋体"/>
          <w:color w:val="auto"/>
          <w:sz w:val="24"/>
          <w:szCs w:val="24"/>
          <w:highlight w:val="none"/>
        </w:rPr>
      </w:pPr>
    </w:p>
    <w:p>
      <w:pPr>
        <w:pStyle w:val="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八、成交及合同签订</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二十七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供应商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对各供应商满足</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实质性响应【</w:t>
      </w:r>
      <w:r>
        <w:rPr>
          <w:rFonts w:hint="eastAsia" w:ascii="宋体" w:hAnsi="宋体" w:eastAsia="宋体" w:cs="宋体"/>
          <w:b/>
          <w:color w:val="auto"/>
          <w:sz w:val="24"/>
          <w:szCs w:val="24"/>
          <w:highlight w:val="none"/>
        </w:rPr>
        <w:t>所谓实质性响应，是指响应文件应与</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color w:val="auto"/>
          <w:sz w:val="24"/>
          <w:szCs w:val="24"/>
          <w:highlight w:val="none"/>
        </w:rPr>
        <w:t>的所有实质性条款、条件和要求相符，无显著差异或保留（由</w:t>
      </w:r>
      <w:r>
        <w:rPr>
          <w:rFonts w:hint="eastAsia" w:ascii="宋体" w:hAnsi="宋体" w:eastAsia="宋体" w:cs="宋体"/>
          <w:b/>
          <w:color w:val="auto"/>
          <w:sz w:val="24"/>
          <w:szCs w:val="24"/>
          <w:highlight w:val="none"/>
          <w:lang w:eastAsia="zh-CN"/>
        </w:rPr>
        <w:t>谈判小组</w:t>
      </w:r>
      <w:r>
        <w:rPr>
          <w:rFonts w:hint="eastAsia" w:ascii="宋体" w:hAnsi="宋体" w:eastAsia="宋体" w:cs="宋体"/>
          <w:b/>
          <w:color w:val="auto"/>
          <w:sz w:val="24"/>
          <w:szCs w:val="24"/>
          <w:highlight w:val="none"/>
        </w:rPr>
        <w:t>确定）、质量和服务相等且</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最</w:t>
      </w:r>
      <w:r>
        <w:rPr>
          <w:rFonts w:hint="eastAsia" w:ascii="宋体" w:hAnsi="宋体" w:eastAsia="宋体" w:cs="宋体"/>
          <w:b/>
          <w:color w:val="auto"/>
          <w:sz w:val="24"/>
          <w:szCs w:val="24"/>
          <w:highlight w:val="none"/>
          <w:lang w:eastAsia="zh-CN"/>
        </w:rPr>
        <w:t>低</w:t>
      </w:r>
      <w:r>
        <w:rPr>
          <w:rFonts w:hint="eastAsia" w:ascii="宋体" w:hAnsi="宋体" w:eastAsia="宋体" w:cs="宋体"/>
          <w:b/>
          <w:color w:val="auto"/>
          <w:sz w:val="24"/>
          <w:szCs w:val="24"/>
          <w:highlight w:val="none"/>
        </w:rPr>
        <w:t>的原则确定成交候选供应商。</w:t>
      </w:r>
      <w:r>
        <w:rPr>
          <w:rFonts w:hint="eastAsia" w:ascii="宋体" w:hAnsi="宋体" w:eastAsia="宋体" w:cs="宋体"/>
          <w:color w:val="auto"/>
          <w:sz w:val="24"/>
          <w:szCs w:val="24"/>
          <w:highlight w:val="none"/>
        </w:rPr>
        <w:t>】</w:t>
      </w:r>
    </w:p>
    <w:p>
      <w:pPr>
        <w:snapToGrid w:val="0"/>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采购人根据</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的评审报告，将排名</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的成交候选人纳为</w:t>
      </w:r>
      <w:r>
        <w:rPr>
          <w:rFonts w:hint="eastAsia" w:ascii="宋体" w:hAnsi="宋体" w:eastAsia="宋体" w:cs="宋体"/>
          <w:color w:val="auto"/>
          <w:sz w:val="24"/>
          <w:szCs w:val="24"/>
          <w:highlight w:val="none"/>
          <w:lang w:eastAsia="zh-CN"/>
        </w:rPr>
        <w:t>2023年城区绿地补植项目</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lang w:eastAsia="zh-CN"/>
        </w:rPr>
        <w:t>供应商。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二十八</w:t>
      </w:r>
      <w:r>
        <w:rPr>
          <w:rFonts w:hint="eastAsia" w:ascii="宋体" w:hAnsi="宋体" w:eastAsia="宋体" w:cs="宋体"/>
          <w:b/>
          <w:bCs/>
          <w:color w:val="auto"/>
          <w:sz w:val="24"/>
          <w:szCs w:val="24"/>
          <w:highlight w:val="none"/>
        </w:rPr>
        <w:t>）资格条件</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2、采购人若发现成交候选供应商在投标过程中提供虚假证明文件，故意隐瞒不良信誉和财务状况，以及存在可能对合同圆满履行造成风险的其他因素等，则按规定取消其成交资格，监管部门依法进行处理。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3、如果成交候选供应商被确认为不具备执行合同的能力，采购人将考虑按同样的程序审查下一个成交候选供应商。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二十九</w:t>
      </w:r>
      <w:r>
        <w:rPr>
          <w:rFonts w:hint="eastAsia" w:ascii="宋体" w:hAnsi="宋体" w:eastAsia="宋体" w:cs="宋体"/>
          <w:b/>
          <w:bCs/>
          <w:color w:val="auto"/>
          <w:sz w:val="24"/>
          <w:szCs w:val="24"/>
          <w:highlight w:val="none"/>
        </w:rPr>
        <w:t>）成交通知书</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1、定标后，经采购人同意，采购代理机构应当向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发出成交通知书。</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应及时到采购代理机构领取成交通知书，成交通知书是签订合同的依据和组成部分。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（三十）签订合同</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在自成交通知书发出之日起30日内，依据《中华人民共和国经济合同法》和有关法规及</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、响应文件与采购人签订合同。</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供应商的响应文件及服务承诺文件以及评标过程中有关澄清文件均作为合同附件，合同经采购人审核盖章后实施。</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未能按</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要求与采购单位签订采购合同，逾期将视为自动放弃中标资格，采购人将顺延下一中标候选人为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，依次类推或依法重新进行采购。</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采购人若发现中标候</w:t>
      </w:r>
      <w:bookmarkStart w:id="29" w:name="_bookmark10"/>
      <w:bookmarkEnd w:id="29"/>
      <w:r>
        <w:rPr>
          <w:rFonts w:hint="eastAsia" w:ascii="宋体" w:hAnsi="宋体" w:eastAsia="宋体" w:cs="宋体"/>
          <w:color w:val="auto"/>
          <w:sz w:val="24"/>
          <w:szCs w:val="24"/>
          <w:highlight w:val="none"/>
        </w:rPr>
        <w:t>选供应商在竞标过程中提供虚假证明文件，故意隐瞒不良信誉和财务状况，以及存在可能对合同圆满履行造成风险的其他因素等，则按规定取消其中标资格，监管部门依法进行处理。</w:t>
      </w:r>
    </w:p>
    <w:p>
      <w:pPr>
        <w:snapToGrid w:val="0"/>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如果中标候选供应商被确认为不具备执行合同的能力，采购人将考虑按同样的程序审查下一个中标候选供应商或依法重新招标。</w:t>
      </w:r>
    </w:p>
    <w:p>
      <w:pPr>
        <w:snapToGrid w:val="0"/>
        <w:spacing w:line="360" w:lineRule="auto"/>
        <w:ind w:firstLine="49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）中标服务费计算方法</w:t>
      </w:r>
    </w:p>
    <w:p>
      <w:pPr>
        <w:keepNext w:val="0"/>
        <w:keepLines w:val="0"/>
        <w:pageBreakBefore w:val="0"/>
        <w:widowControl w:val="0"/>
        <w:kinsoku/>
        <w:wordWrap/>
        <w:overflowPunct/>
        <w:topLinePunct w:val="0"/>
        <w:autoSpaceDE/>
        <w:autoSpaceDN/>
        <w:bidi w:val="0"/>
        <w:spacing w:line="336" w:lineRule="auto"/>
        <w:ind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供应商向招标代理机构支付，详见前附表。</w:t>
      </w:r>
    </w:p>
    <w:p>
      <w:pPr>
        <w:keepNext w:val="0"/>
        <w:keepLines w:val="0"/>
        <w:pageBreakBefore w:val="0"/>
        <w:widowControl w:val="0"/>
        <w:kinsoku/>
        <w:wordWrap/>
        <w:overflowPunct/>
        <w:topLinePunct w:val="0"/>
        <w:autoSpaceDE/>
        <w:autoSpaceDN/>
        <w:bidi w:val="0"/>
        <w:spacing w:line="336" w:lineRule="auto"/>
        <w:textAlignment w:val="auto"/>
        <w:rPr>
          <w:rFonts w:hint="eastAsia" w:ascii="宋体" w:hAnsi="宋体" w:eastAsia="宋体" w:cs="宋体"/>
          <w:color w:val="auto"/>
          <w:sz w:val="24"/>
          <w:szCs w:val="24"/>
          <w:highlight w:val="none"/>
        </w:rPr>
      </w:pPr>
    </w:p>
    <w:p>
      <w:pPr>
        <w:pStyle w:val="4"/>
        <w:keepNext w:val="0"/>
        <w:keepLines w:val="0"/>
        <w:pageBreakBefore w:val="0"/>
        <w:widowControl w:val="0"/>
        <w:kinsoku/>
        <w:wordWrap/>
        <w:overflowPunct/>
        <w:topLinePunct w:val="0"/>
        <w:autoSpaceDE/>
        <w:autoSpaceDN/>
        <w:bidi w:val="0"/>
        <w:spacing w:line="336"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、法律责任</w:t>
      </w:r>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0" w:name="_Toc2713"/>
      <w:r>
        <w:rPr>
          <w:rFonts w:hint="eastAsia" w:ascii="宋体" w:hAnsi="宋体" w:eastAsia="宋体" w:cs="宋体"/>
          <w:color w:val="auto"/>
          <w:sz w:val="24"/>
          <w:szCs w:val="24"/>
          <w:highlight w:val="none"/>
        </w:rPr>
        <w:t>供应商有下列情形之一的，处以采购项目采购金额千分之五以上千分之十以下的罚款，列入不良行为记录名单，在一至三年内禁止参加</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采购活动，并予以公告，有违法所得的，并处没收违法所得，情节严重的，由行政管理机关吊销营业执照；构成犯罪的，依法追究刑事责任：</w:t>
      </w:r>
      <w:bookmarkEnd w:id="30"/>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1" w:name="_Toc21233"/>
      <w:r>
        <w:rPr>
          <w:rFonts w:hint="eastAsia" w:ascii="宋体" w:hAnsi="宋体" w:eastAsia="宋体" w:cs="宋体"/>
          <w:color w:val="auto"/>
          <w:sz w:val="24"/>
          <w:szCs w:val="24"/>
          <w:highlight w:val="none"/>
        </w:rPr>
        <w:t>1、提供虚假材料谋取中标的；</w:t>
      </w:r>
      <w:bookmarkEnd w:id="31"/>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2" w:name="_Toc24479"/>
      <w:r>
        <w:rPr>
          <w:rFonts w:hint="eastAsia" w:ascii="宋体" w:hAnsi="宋体" w:eastAsia="宋体" w:cs="宋体"/>
          <w:color w:val="auto"/>
          <w:sz w:val="24"/>
          <w:szCs w:val="24"/>
          <w:highlight w:val="none"/>
        </w:rPr>
        <w:t>2、采取不正当手段诋毁、排挤其他供应商的；</w:t>
      </w:r>
      <w:bookmarkEnd w:id="32"/>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3" w:name="_Toc11301"/>
      <w:r>
        <w:rPr>
          <w:rFonts w:hint="eastAsia" w:ascii="宋体" w:hAnsi="宋体" w:eastAsia="宋体" w:cs="宋体"/>
          <w:color w:val="auto"/>
          <w:sz w:val="24"/>
          <w:szCs w:val="24"/>
          <w:highlight w:val="none"/>
        </w:rPr>
        <w:t>3、与采购人、其他供应商或采购代理机构恶意串通的；</w:t>
      </w:r>
      <w:bookmarkEnd w:id="33"/>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4" w:name="_Toc17361"/>
      <w:r>
        <w:rPr>
          <w:rFonts w:hint="eastAsia" w:ascii="宋体" w:hAnsi="宋体" w:eastAsia="宋体" w:cs="宋体"/>
          <w:color w:val="auto"/>
          <w:sz w:val="24"/>
          <w:szCs w:val="24"/>
          <w:highlight w:val="none"/>
        </w:rPr>
        <w:t>4、向采购人、采购代理机构行贿或者提供其他不正当利益的；</w:t>
      </w:r>
      <w:bookmarkEnd w:id="34"/>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5" w:name="_Toc17986"/>
      <w:r>
        <w:rPr>
          <w:rFonts w:hint="eastAsia" w:ascii="宋体" w:hAnsi="宋体" w:eastAsia="宋体" w:cs="宋体"/>
          <w:color w:val="auto"/>
          <w:sz w:val="24"/>
          <w:szCs w:val="24"/>
          <w:highlight w:val="none"/>
        </w:rPr>
        <w:t>5、在招标过程中与招标采购单位进行协商谈判、不按照</w:t>
      </w:r>
      <w:r>
        <w:rPr>
          <w:rFonts w:hint="eastAsia" w:ascii="宋体" w:hAnsi="宋体" w:eastAsia="宋体" w:cs="宋体"/>
          <w:bCs/>
          <w:color w:val="auto"/>
          <w:sz w:val="24"/>
          <w:szCs w:val="24"/>
          <w:highlight w:val="none"/>
          <w:lang w:eastAsia="zh-CN"/>
        </w:rPr>
        <w:t>谈判文件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的响应文件订立合同，或者与采购人另行订立背离合同实质性内容的协议的；</w:t>
      </w:r>
      <w:bookmarkEnd w:id="35"/>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6" w:name="_Toc24322"/>
      <w:r>
        <w:rPr>
          <w:rFonts w:hint="eastAsia" w:ascii="宋体" w:hAnsi="宋体" w:eastAsia="宋体" w:cs="宋体"/>
          <w:color w:val="auto"/>
          <w:sz w:val="24"/>
          <w:szCs w:val="24"/>
          <w:highlight w:val="none"/>
        </w:rPr>
        <w:t>6、拒绝有关部门监督检查或者提供虚假情况的。供应商有前款情形之一的，中标无效。</w:t>
      </w:r>
      <w:bookmarkEnd w:id="36"/>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7" w:name="_Toc32571"/>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有下列情形之一的，情节严重的，由财政部门将其列入不良行为记录名单，在一至三年内禁止参加</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采购活动，并予以通报：</w:t>
      </w:r>
      <w:bookmarkEnd w:id="37"/>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8" w:name="_Toc16154"/>
      <w:r>
        <w:rPr>
          <w:rFonts w:hint="eastAsia" w:ascii="宋体" w:hAnsi="宋体" w:eastAsia="宋体" w:cs="宋体"/>
          <w:color w:val="auto"/>
          <w:sz w:val="24"/>
          <w:szCs w:val="24"/>
          <w:highlight w:val="none"/>
        </w:rPr>
        <w:t>1、中标后无正当理由不与采购人签订合同，或者与采购人另行订立背离合同实质性内容的协议的；</w:t>
      </w:r>
      <w:bookmarkEnd w:id="38"/>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39" w:name="_Toc15886"/>
      <w:r>
        <w:rPr>
          <w:rFonts w:hint="eastAsia" w:ascii="宋体" w:hAnsi="宋体" w:eastAsia="宋体" w:cs="宋体"/>
          <w:color w:val="auto"/>
          <w:sz w:val="24"/>
          <w:szCs w:val="24"/>
          <w:highlight w:val="none"/>
        </w:rPr>
        <w:t>2、将中标项目转让给他人，或者在响应文件中未说明，且未经采购人同意，将中标项目分包给他人的；</w:t>
      </w:r>
      <w:bookmarkEnd w:id="39"/>
    </w:p>
    <w:p>
      <w:pPr>
        <w:keepNext w:val="0"/>
        <w:keepLines w:val="0"/>
        <w:pageBreakBefore w:val="0"/>
        <w:widowControl w:val="0"/>
        <w:kinsoku/>
        <w:wordWrap/>
        <w:overflowPunct/>
        <w:topLinePunct w:val="0"/>
        <w:autoSpaceDE/>
        <w:autoSpaceDN/>
        <w:bidi w:val="0"/>
        <w:snapToGrid w:val="0"/>
        <w:spacing w:line="336" w:lineRule="auto"/>
        <w:ind w:firstLine="490" w:firstLineChars="200"/>
        <w:textAlignment w:val="auto"/>
        <w:outlineLvl w:val="0"/>
        <w:rPr>
          <w:rFonts w:hint="eastAsia" w:ascii="宋体" w:hAnsi="宋体" w:eastAsia="宋体" w:cs="宋体"/>
          <w:color w:val="auto"/>
          <w:sz w:val="24"/>
          <w:szCs w:val="24"/>
          <w:highlight w:val="none"/>
        </w:rPr>
      </w:pPr>
      <w:bookmarkStart w:id="40" w:name="_Toc25837"/>
      <w:r>
        <w:rPr>
          <w:rFonts w:hint="eastAsia" w:ascii="宋体" w:hAnsi="宋体" w:eastAsia="宋体" w:cs="宋体"/>
          <w:color w:val="auto"/>
          <w:sz w:val="24"/>
          <w:szCs w:val="24"/>
          <w:highlight w:val="none"/>
        </w:rPr>
        <w:t>3、拒绝履行合同义务的。</w:t>
      </w:r>
      <w:bookmarkEnd w:id="40"/>
    </w:p>
    <w:p>
      <w:pPr>
        <w:snapToGrid w:val="0"/>
        <w:spacing w:line="360" w:lineRule="auto"/>
        <w:ind w:firstLine="490" w:firstLineChars="200"/>
        <w:outlineLvl w:val="0"/>
        <w:rPr>
          <w:rFonts w:hint="eastAsia" w:ascii="宋体" w:hAnsi="宋体" w:eastAsia="宋体" w:cs="宋体"/>
          <w:color w:val="auto"/>
          <w:sz w:val="24"/>
          <w:szCs w:val="24"/>
          <w:highlight w:val="none"/>
        </w:rPr>
      </w:pPr>
      <w:bookmarkStart w:id="41" w:name="_Toc9930"/>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有前款情形之一的，中标无效。</w:t>
      </w:r>
      <w:bookmarkEnd w:id="41"/>
    </w:p>
    <w:p>
      <w:pPr>
        <w:snapToGrid w:val="0"/>
        <w:spacing w:line="360" w:lineRule="auto"/>
        <w:ind w:firstLine="490" w:firstLineChars="200"/>
        <w:outlineLvl w:val="0"/>
        <w:rPr>
          <w:rFonts w:hint="eastAsia" w:ascii="宋体" w:hAnsi="宋体" w:eastAsia="宋体" w:cs="宋体"/>
          <w:color w:val="auto"/>
          <w:sz w:val="24"/>
          <w:szCs w:val="24"/>
          <w:highlight w:val="none"/>
        </w:rPr>
      </w:pPr>
      <w:bookmarkStart w:id="42" w:name="_Toc6325"/>
      <w:r>
        <w:rPr>
          <w:rFonts w:hint="eastAsia" w:ascii="宋体" w:hAnsi="宋体" w:eastAsia="宋体" w:cs="宋体"/>
          <w:color w:val="auto"/>
          <w:sz w:val="24"/>
          <w:szCs w:val="24"/>
          <w:highlight w:val="none"/>
        </w:rPr>
        <w:t>按照以上条款规定，经同级或其上级财政部门认定中标无效的，可按中标候选顺序重新确定，或重新进行采购。</w:t>
      </w:r>
      <w:bookmarkEnd w:id="42"/>
      <w:bookmarkStart w:id="43" w:name="_Toc497129227"/>
    </w:p>
    <w:p>
      <w:pPr>
        <w:rPr>
          <w:rFonts w:hint="eastAsia"/>
          <w:color w:val="auto"/>
        </w:rPr>
      </w:pPr>
      <w:r>
        <w:rPr>
          <w:rFonts w:hint="eastAsia"/>
          <w:color w:val="auto"/>
        </w:rPr>
        <w:br w:type="page"/>
      </w:r>
    </w:p>
    <w:p>
      <w:pPr>
        <w:pStyle w:val="2"/>
        <w:rPr>
          <w:rFonts w:hint="eastAsia"/>
          <w:color w:val="auto"/>
        </w:rPr>
      </w:pPr>
    </w:p>
    <w:p>
      <w:pPr>
        <w:keepNext w:val="0"/>
        <w:keepLines w:val="0"/>
        <w:pageBreakBefore w:val="0"/>
        <w:widowControl w:val="0"/>
        <w:numPr>
          <w:ilvl w:val="0"/>
          <w:numId w:val="3"/>
        </w:numPr>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36"/>
          <w:szCs w:val="36"/>
          <w:highlight w:val="none"/>
        </w:rPr>
      </w:pPr>
      <w:bookmarkStart w:id="44" w:name="_Toc19358"/>
      <w:r>
        <w:rPr>
          <w:rFonts w:hint="eastAsia" w:ascii="宋体" w:hAnsi="宋体" w:eastAsia="宋体" w:cs="宋体"/>
          <w:b/>
          <w:color w:val="auto"/>
          <w:sz w:val="32"/>
          <w:szCs w:val="32"/>
          <w:highlight w:val="none"/>
          <w:lang w:val="en-US" w:eastAsia="zh-CN"/>
        </w:rPr>
        <w:t>采购需求</w:t>
      </w:r>
      <w:bookmarkEnd w:id="44"/>
    </w:p>
    <w:p>
      <w:pPr>
        <w:numPr>
          <w:ilvl w:val="0"/>
          <w:numId w:val="0"/>
        </w:numPr>
        <w:jc w:val="center"/>
        <w:rPr>
          <w:rFonts w:hint="eastAsia" w:ascii="宋体" w:hAnsi="宋体" w:eastAsia="宋体" w:cs="宋体"/>
          <w:b/>
          <w:bCs/>
          <w:color w:val="auto"/>
          <w:sz w:val="28"/>
          <w:szCs w:val="28"/>
          <w:highlight w:val="none"/>
        </w:rPr>
      </w:pPr>
      <w:r>
        <w:rPr>
          <w:rFonts w:hint="eastAsia" w:ascii="宋体" w:hAnsi="宋体" w:eastAsia="宋体" w:cs="宋体"/>
          <w:b/>
          <w:bCs/>
          <w:i w:val="0"/>
          <w:iCs w:val="0"/>
          <w:color w:val="auto"/>
          <w:kern w:val="0"/>
          <w:sz w:val="28"/>
          <w:szCs w:val="28"/>
          <w:u w:val="none"/>
          <w:lang w:val="en-US" w:eastAsia="zh-CN" w:bidi="ar"/>
        </w:rPr>
        <w:t>2023年城区原有绿地苗木补植清单</w:t>
      </w:r>
    </w:p>
    <w:tbl>
      <w:tblPr>
        <w:tblStyle w:val="18"/>
        <w:tblW w:w="859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4"/>
        <w:gridCol w:w="1193"/>
        <w:gridCol w:w="1340"/>
        <w:gridCol w:w="1102"/>
        <w:gridCol w:w="1025"/>
        <w:gridCol w:w="106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苗木品种</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苗木类型</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单价限价（元）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种植地点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胜利路、天山路、文化路、团结路等24条路及天河路带状公园、人民公园等部分广场、游园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小叶白蜡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金叶复叶槭</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紫叶稠李</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海棠</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金叶榆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红叶李</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樱花</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胸径≧6㎝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金叶榆球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亚乔木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冠幅≧60㎝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连翘</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大叶丁香</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紫穗槐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红瑞木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金叶榆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密枝红叶李</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榆叶梅</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金叶水蜡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三年五分枝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166934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bl>
    <w:p>
      <w:pPr>
        <w:spacing w:line="360" w:lineRule="auto"/>
        <w:rPr>
          <w:rFonts w:hint="eastAsia" w:ascii="宋体" w:hAnsi="宋体" w:eastAsia="宋体" w:cs="宋体"/>
          <w:b/>
          <w:bCs/>
          <w:color w:val="auto"/>
          <w:sz w:val="24"/>
          <w:szCs w:val="24"/>
          <w:highlight w:val="none"/>
          <w:lang w:eastAsia="zh-CN"/>
        </w:rPr>
      </w:pPr>
    </w:p>
    <w:p>
      <w:pPr>
        <w:numPr>
          <w:ilvl w:val="0"/>
          <w:numId w:val="0"/>
        </w:numPr>
        <w:spacing w:line="360" w:lineRule="auto"/>
        <w:ind w:firstLine="49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（一）交货期 ：</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lang w:eastAsia="zh-CN"/>
        </w:rPr>
        <w:t>。</w:t>
      </w:r>
    </w:p>
    <w:p>
      <w:pPr>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（二）交货地点</w:t>
      </w:r>
      <w:r>
        <w:rPr>
          <w:rFonts w:hint="eastAsia" w:ascii="宋体" w:hAnsi="宋体" w:eastAsia="宋体" w:cs="宋体"/>
          <w:color w:val="auto"/>
          <w:sz w:val="24"/>
          <w:szCs w:val="24"/>
          <w:highlight w:val="none"/>
          <w:lang w:eastAsia="zh-CN"/>
        </w:rPr>
        <w:t xml:space="preserve"> ：甲方指定地点</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报价要求</w:t>
      </w:r>
    </w:p>
    <w:p>
      <w:pPr>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2.验收</w:t>
      </w:r>
    </w:p>
    <w:p>
      <w:pPr>
        <w:spacing w:line="360" w:lineRule="auto"/>
        <w:ind w:firstLine="49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1、货物到达现场后，供应商应在使用单位人员在场情况下当面共同清点、检查，作出检查记录，双方签字确认。</w:t>
      </w:r>
    </w:p>
    <w:p>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2、供应商提供的货物未达到谈判文件规定要求，且对采购人造成损失的，由供应商承担一切责任，并赔偿所造成的损失。</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3、付款方式</w:t>
      </w:r>
    </w:p>
    <w:p>
      <w:pPr>
        <w:spacing w:line="360" w:lineRule="auto"/>
        <w:ind w:firstLine="490" w:firstLineChars="200"/>
        <w:rPr>
          <w:rFonts w:hint="eastAsia" w:ascii="宋体" w:hAnsi="宋体" w:eastAsia="宋体" w:cs="宋体"/>
          <w:color w:val="auto"/>
          <w:sz w:val="24"/>
          <w:szCs w:val="24"/>
          <w:highlight w:val="none"/>
          <w:lang w:val="en-US" w:eastAsia="zh-CN"/>
        </w:rPr>
      </w:pPr>
      <w:bookmarkStart w:id="45" w:name="_Toc21807"/>
      <w:bookmarkStart w:id="46" w:name="_Toc8238"/>
      <w:bookmarkStart w:id="47" w:name="_Toc16945"/>
      <w:r>
        <w:rPr>
          <w:rFonts w:hint="eastAsia" w:ascii="宋体" w:hAnsi="宋体" w:eastAsia="宋体" w:cs="宋体"/>
          <w:color w:val="auto"/>
          <w:sz w:val="24"/>
          <w:szCs w:val="24"/>
          <w:highlight w:val="none"/>
          <w:lang w:val="en-US" w:eastAsia="zh-CN"/>
        </w:rPr>
        <w:t>以实际签订合同为准</w:t>
      </w:r>
    </w:p>
    <w:bookmarkEnd w:id="45"/>
    <w:bookmarkEnd w:id="46"/>
    <w:bookmarkEnd w:id="47"/>
    <w:p>
      <w:pPr>
        <w:spacing w:line="360" w:lineRule="auto"/>
        <w:rPr>
          <w:rFonts w:hint="eastAsia" w:ascii="宋体" w:hAnsi="宋体" w:eastAsia="宋体" w:cs="宋体"/>
          <w:b/>
          <w:bCs/>
          <w:color w:val="auto"/>
          <w:sz w:val="24"/>
          <w:szCs w:val="24"/>
          <w:highlight w:val="none"/>
          <w:lang w:eastAsia="zh-CN"/>
        </w:rPr>
      </w:pPr>
      <w:bookmarkStart w:id="48" w:name="_Toc12239"/>
      <w:bookmarkStart w:id="49" w:name="_Toc20832"/>
      <w:bookmarkStart w:id="50" w:name="_Toc7598"/>
      <w:bookmarkStart w:id="51" w:name="_Toc267320054"/>
      <w:bookmarkStart w:id="52" w:name="_Toc439255252"/>
      <w:bookmarkStart w:id="53" w:name="_Toc12840_WPSOffice_Level1"/>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其他</w:t>
      </w:r>
      <w:bookmarkEnd w:id="48"/>
      <w:bookmarkEnd w:id="49"/>
      <w:bookmarkEnd w:id="50"/>
    </w:p>
    <w:bookmarkEnd w:id="51"/>
    <w:bookmarkEnd w:id="52"/>
    <w:bookmarkEnd w:id="53"/>
    <w:p>
      <w:pPr>
        <w:shd w:val="clear" w:color="auto" w:fill="auto"/>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1、投标人必须在响应文件中对以上条款和服务承诺明确列出，承诺内容必须达到本篇及谈判文件其他条款的要求。</w:t>
      </w:r>
    </w:p>
    <w:p>
      <w:pPr>
        <w:shd w:val="clear" w:color="auto" w:fill="auto"/>
        <w:spacing w:line="360" w:lineRule="auto"/>
        <w:ind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2、其他未尽事宜由供需双方在采购合同中详细约定。</w:t>
      </w:r>
    </w:p>
    <w:p>
      <w:pPr>
        <w:pStyle w:val="8"/>
        <w:numPr>
          <w:ilvl w:val="0"/>
          <w:numId w:val="0"/>
        </w:numPr>
        <w:rPr>
          <w:rFonts w:hint="eastAsia" w:ascii="宋体" w:hAnsi="宋体" w:eastAsia="宋体" w:cs="宋体"/>
          <w:color w:val="auto"/>
          <w:highlight w:val="none"/>
          <w:lang w:eastAsia="zh-CN"/>
        </w:rPr>
      </w:pPr>
    </w:p>
    <w:p>
      <w:pPr>
        <w:pStyle w:val="14"/>
        <w:rPr>
          <w:rFonts w:hint="eastAsia" w:ascii="宋体" w:hAnsi="宋体" w:eastAsia="宋体" w:cs="宋体"/>
          <w:color w:val="auto"/>
          <w:sz w:val="21"/>
          <w:szCs w:val="21"/>
          <w:highlight w:val="none"/>
          <w:lang w:eastAsia="zh-CN"/>
        </w:rPr>
      </w:pPr>
    </w:p>
    <w:bookmarkEnd w:id="43"/>
    <w:p>
      <w:pPr>
        <w:pStyle w:val="8"/>
        <w:numPr>
          <w:ilvl w:val="0"/>
          <w:numId w:val="0"/>
        </w:numPr>
        <w:rPr>
          <w:rFonts w:hint="eastAsia" w:ascii="宋体" w:hAnsi="宋体" w:eastAsia="宋体" w:cs="宋体"/>
          <w:color w:val="auto"/>
          <w:highlight w:val="none"/>
          <w:lang w:eastAsia="zh-CN"/>
        </w:rPr>
      </w:pPr>
    </w:p>
    <w:p>
      <w:pPr>
        <w:pStyle w:val="9"/>
        <w:outlineLvl w:val="9"/>
        <w:rPr>
          <w:rFonts w:hint="eastAsia" w:ascii="宋体" w:hAnsi="宋体" w:eastAsia="宋体" w:cs="宋体"/>
          <w:color w:val="auto"/>
          <w:highlight w:val="none"/>
          <w:lang w:eastAsia="zh-CN"/>
        </w:rPr>
      </w:pPr>
    </w:p>
    <w:p>
      <w:pPr>
        <w:keepNext w:val="0"/>
        <w:keepLines w:val="0"/>
        <w:pageBreakBefore w:val="0"/>
        <w:widowControl w:val="0"/>
        <w:numPr>
          <w:ilvl w:val="0"/>
          <w:numId w:val="3"/>
        </w:numPr>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 xml:space="preserve">  </w:t>
      </w:r>
      <w:bookmarkStart w:id="54" w:name="_Toc19286"/>
      <w:r>
        <w:rPr>
          <w:rFonts w:hint="eastAsia" w:ascii="宋体" w:hAnsi="宋体" w:eastAsia="宋体" w:cs="宋体"/>
          <w:b/>
          <w:color w:val="auto"/>
          <w:sz w:val="32"/>
          <w:szCs w:val="32"/>
          <w:highlight w:val="none"/>
          <w:lang w:eastAsia="zh-CN"/>
        </w:rPr>
        <w:t>合  同</w:t>
      </w:r>
      <w:bookmarkEnd w:id="54"/>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（本合同为合同样稿，最终稿由供需双方协商后确定</w:t>
      </w:r>
      <w:r>
        <w:rPr>
          <w:rFonts w:hint="eastAsia" w:ascii="宋体" w:hAnsi="宋体" w:eastAsia="宋体" w:cs="宋体"/>
          <w:b/>
          <w:bCs/>
          <w:color w:val="auto"/>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合同编号：</w:t>
      </w: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甲方（采购方）：</w:t>
      </w:r>
      <w:r>
        <w:rPr>
          <w:rFonts w:hint="eastAsia" w:ascii="宋体" w:hAnsi="宋体" w:eastAsia="宋体" w:cs="宋体"/>
          <w:color w:val="auto"/>
          <w:sz w:val="24"/>
          <w:szCs w:val="24"/>
          <w:lang w:eastAsia="zh-CN"/>
        </w:rPr>
        <w:t>库车市园林绿化环卫服务中心</w:t>
      </w: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乙方（供应商）：</w:t>
      </w:r>
    </w:p>
    <w:p>
      <w:pPr>
        <w:keepNext w:val="0"/>
        <w:keepLines w:val="0"/>
        <w:pageBreakBefore w:val="0"/>
        <w:widowControl w:val="0"/>
        <w:kinsoku/>
        <w:wordWrap/>
        <w:overflowPunct/>
        <w:topLinePunct w:val="0"/>
        <w:autoSpaceDE/>
        <w:autoSpaceDN/>
        <w:bidi w:val="0"/>
        <w:adjustRightInd/>
        <w:snapToGrid/>
        <w:spacing w:line="560" w:lineRule="exact"/>
        <w:ind w:firstLine="490" w:firstLineChars="200"/>
        <w:jc w:val="both"/>
        <w:textAlignment w:val="auto"/>
        <w:outlineLvl w:val="9"/>
        <w:rPr>
          <w:rFonts w:hint="eastAsia" w:ascii="宋体" w:hAnsi="宋体" w:eastAsia="宋体" w:cs="宋体"/>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60" w:lineRule="exact"/>
        <w:ind w:firstLine="49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none"/>
        </w:rPr>
        <w:t>依据《中华人民共和国民法典》、《中华人民共和国政府采购法》及相关法律、法规，经甲、乙双方共同协商，按下述条款签署本合同。</w:t>
      </w:r>
    </w:p>
    <w:p>
      <w:pPr>
        <w:keepNext w:val="0"/>
        <w:keepLines w:val="0"/>
        <w:pageBreakBefore w:val="0"/>
        <w:widowControl w:val="0"/>
        <w:kinsoku/>
        <w:wordWrap/>
        <w:overflowPunct/>
        <w:topLinePunct w:val="0"/>
        <w:autoSpaceDE/>
        <w:autoSpaceDN/>
        <w:bidi w:val="0"/>
        <w:adjustRightInd/>
        <w:snapToGrid/>
        <w:spacing w:line="560" w:lineRule="exact"/>
        <w:ind w:firstLine="490" w:firstLineChars="200"/>
        <w:jc w:val="both"/>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t>详细价格、技术说明及其他有关合同项目的特定信息由合同附件予以说明，合同附件及本项目的招标文件、投标文件等均为本合同不可分割之一部分。双方共同遵守如下条款：</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第一条：甲方购买乙方培育苗木，品种见明细。</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第二条：质量要求：植株生长健壮、整齐，无徒长现象，无病虫害等。</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第三条：交货时间、地点，甲方提前一天通知乙方供货时间及地点，乙方负责在甲方规定的时间内按时送到指定地点，装卸费、运费、税金等费用由乙方承担。</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第四条：验收方法，现场验货，甲方有权按预定要求挑选（合格的由甲方负责给乙方打收据），不符合质量要求的甲方有权退货，由此造成的一切损失和费用由乙方承担。</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第五条：在市场价格上浮的时候，乙方不得以价格为由不予甲方供货，否则，甲方有权解除合同。</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第六条：付款方式与期限：以协议的价格为准，数量以实际供货量为准，乙方在结算花款时必须出具正规有效发票。</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第七条：本协议经双方共同协商达成，一式肆份，甲方叁份，乙方壹份。其它未尽事宜，由甲乙双方协商签定补充，补充条款具有同等效力。（具体数量及价格见明细单）</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60" w:lineRule="exact"/>
        <w:ind w:left="360" w:leftChars="0"/>
        <w:textAlignment w:val="auto"/>
        <w:outlineLvl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第八条：乙方必须重视安全问题，供货期间由于乙方工作人员操作不规范等造成的安全责任事故，由乙方承担一切责任及损失。</w:t>
      </w:r>
    </w:p>
    <w:p>
      <w:pPr>
        <w:pStyle w:val="8"/>
        <w:keepNext w:val="0"/>
        <w:keepLines w:val="0"/>
        <w:pageBreakBefore w:val="0"/>
        <w:widowControl w:val="0"/>
        <w:numPr>
          <w:ilvl w:val="0"/>
          <w:numId w:val="0"/>
        </w:numPr>
        <w:tabs>
          <w:tab w:val="left" w:pos="630"/>
          <w:tab w:val="clear" w:pos="780"/>
        </w:tabs>
        <w:kinsoku/>
        <w:wordWrap/>
        <w:overflowPunct/>
        <w:topLinePunct w:val="0"/>
        <w:autoSpaceDE/>
        <w:autoSpaceDN/>
        <w:bidi w:val="0"/>
        <w:adjustRightInd/>
        <w:snapToGrid/>
        <w:spacing w:line="520" w:lineRule="exact"/>
        <w:ind w:left="360" w:leftChars="0"/>
        <w:textAlignment w:val="auto"/>
        <w:outlineLvl w:val="9"/>
        <w:rPr>
          <w:rFonts w:hint="eastAsia" w:ascii="宋体" w:hAnsi="宋体" w:eastAsia="宋体" w:cs="宋体"/>
          <w:color w:val="auto"/>
          <w:kern w:val="2"/>
          <w:sz w:val="24"/>
          <w:szCs w:val="24"/>
          <w:u w:val="none"/>
          <w:lang w:val="en-US" w:eastAsia="zh-CN" w:bidi="ar-SA"/>
        </w:rPr>
      </w:pP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                                                 乙方：</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签约代表：                                              签约代表：</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　　　                                            电话：</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传真：　　　                                            传真：</w:t>
      </w:r>
    </w:p>
    <w:p>
      <w:pPr>
        <w:adjustRightInd w:val="0"/>
        <w:snapToGrid w:val="0"/>
        <w:spacing w:line="360" w:lineRule="auto"/>
        <w:ind w:firstLine="367"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开户行：</w:t>
      </w:r>
    </w:p>
    <w:p>
      <w:pPr>
        <w:adjustRightInd w:val="0"/>
        <w:snapToGrid w:val="0"/>
        <w:spacing w:line="360" w:lineRule="auto"/>
        <w:ind w:firstLine="367"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20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firstLine="367" w:firstLineChars="150"/>
        <w:rPr>
          <w:rFonts w:hint="eastAsia" w:ascii="宋体" w:hAnsi="宋体" w:eastAsia="宋体" w:cs="宋体"/>
          <w:color w:val="auto"/>
          <w:sz w:val="24"/>
          <w:szCs w:val="24"/>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4"/>
        <w:jc w:val="center"/>
        <w:rPr>
          <w:rFonts w:hint="eastAsia" w:ascii="宋体" w:hAnsi="宋体" w:eastAsia="宋体" w:cs="宋体"/>
          <w:b w:val="0"/>
          <w:bCs w:val="0"/>
          <w:color w:val="auto"/>
          <w:sz w:val="21"/>
          <w:szCs w:val="21"/>
          <w:highlight w:val="none"/>
        </w:rPr>
      </w:pPr>
    </w:p>
    <w:p>
      <w:pPr>
        <w:pStyle w:val="35"/>
        <w:keepNext/>
        <w:keepLines/>
        <w:pageBreakBefore w:val="0"/>
        <w:widowControl w:val="0"/>
        <w:kinsoku/>
        <w:wordWrap/>
        <w:overflowPunct/>
        <w:topLinePunct w:val="0"/>
        <w:autoSpaceDE/>
        <w:autoSpaceDN/>
        <w:bidi w:val="0"/>
        <w:adjustRightInd/>
        <w:snapToGrid/>
        <w:spacing w:before="0" w:after="1160"/>
        <w:jc w:val="center"/>
        <w:textAlignment w:val="auto"/>
        <w:outlineLvl w:val="0"/>
        <w:rPr>
          <w:rFonts w:hint="eastAsia" w:ascii="宋体" w:hAnsi="宋体" w:eastAsia="宋体" w:cs="宋体"/>
          <w:b/>
          <w:bCs/>
          <w:color w:val="auto"/>
          <w:highlight w:val="none"/>
        </w:rPr>
      </w:pPr>
      <w:bookmarkStart w:id="55" w:name="_Toc11142"/>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格式</w:t>
      </w:r>
      <w:bookmarkEnd w:id="55"/>
    </w:p>
    <w:p>
      <w:pPr>
        <w:adjustRightInd w:val="0"/>
        <w:snapToGrid w:val="0"/>
        <w:spacing w:line="360" w:lineRule="auto"/>
        <w:ind w:left="602" w:right="70" w:hanging="602"/>
        <w:jc w:val="right"/>
        <w:rPr>
          <w:rFonts w:hint="eastAsia" w:ascii="宋体" w:hAnsi="宋体" w:eastAsia="宋体" w:cs="宋体"/>
          <w:b/>
          <w:bCs/>
          <w:color w:val="auto"/>
          <w:sz w:val="28"/>
          <w:szCs w:val="28"/>
          <w:highlight w:val="none"/>
          <w:bdr w:val="single" w:color="auto" w:sz="4" w:space="0"/>
        </w:rPr>
      </w:pPr>
      <w:bookmarkStart w:id="56" w:name="bookmark196"/>
      <w:r>
        <w:rPr>
          <w:rFonts w:hint="eastAsia" w:ascii="宋体" w:hAnsi="宋体" w:eastAsia="宋体" w:cs="宋体"/>
          <w:b/>
          <w:bCs/>
          <w:color w:val="auto"/>
          <w:sz w:val="28"/>
          <w:szCs w:val="28"/>
          <w:highlight w:val="none"/>
          <w:bdr w:val="single" w:color="auto" w:sz="4" w:space="0"/>
        </w:rPr>
        <w:t>正/副 本</w:t>
      </w:r>
    </w:p>
    <w:p>
      <w:pPr>
        <w:adjustRightInd w:val="0"/>
        <w:snapToGrid w:val="0"/>
        <w:spacing w:line="360" w:lineRule="auto"/>
        <w:jc w:val="center"/>
        <w:rPr>
          <w:rFonts w:hint="eastAsia" w:ascii="宋体" w:hAnsi="宋体" w:eastAsia="宋体" w:cs="宋体"/>
          <w:b/>
          <w:caps/>
          <w:color w:val="auto"/>
          <w:highlight w:val="none"/>
        </w:rPr>
      </w:pPr>
    </w:p>
    <w:p>
      <w:pPr>
        <w:adjustRightInd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
          <w:caps/>
          <w:color w:val="auto"/>
          <w:sz w:val="32"/>
          <w:szCs w:val="32"/>
          <w:highlight w:val="none"/>
        </w:rPr>
        <w:t>（项目名称）</w:t>
      </w:r>
    </w:p>
    <w:p>
      <w:pPr>
        <w:adjustRightInd w:val="0"/>
        <w:snapToGrid w:val="0"/>
        <w:spacing w:line="360" w:lineRule="auto"/>
        <w:jc w:val="both"/>
        <w:rPr>
          <w:rFonts w:hint="eastAsia" w:ascii="宋体" w:hAnsi="宋体" w:eastAsia="宋体" w:cs="宋体"/>
          <w:bCs/>
          <w:color w:val="auto"/>
          <w:sz w:val="32"/>
          <w:szCs w:val="32"/>
          <w:highlight w:val="none"/>
        </w:rPr>
      </w:pPr>
    </w:p>
    <w:p>
      <w:pPr>
        <w:adjustRightInd w:val="0"/>
        <w:snapToGrid w:val="0"/>
        <w:spacing w:line="360" w:lineRule="auto"/>
        <w:jc w:val="center"/>
        <w:rPr>
          <w:rFonts w:hint="eastAsia" w:ascii="宋体" w:hAnsi="宋体" w:eastAsia="宋体" w:cs="宋体"/>
          <w:bCs/>
          <w:color w:val="auto"/>
          <w:sz w:val="32"/>
          <w:szCs w:val="32"/>
          <w:highlight w:val="none"/>
        </w:rPr>
      </w:pPr>
    </w:p>
    <w:p>
      <w:pPr>
        <w:adjustRightInd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44"/>
          <w:szCs w:val="44"/>
          <w:highlight w:val="none"/>
        </w:rPr>
        <w:t>响应文件</w:t>
      </w:r>
    </w:p>
    <w:p>
      <w:pPr>
        <w:adjustRightInd w:val="0"/>
        <w:snapToGrid w:val="0"/>
        <w:spacing w:line="360" w:lineRule="auto"/>
        <w:jc w:val="center"/>
        <w:rPr>
          <w:rFonts w:hint="eastAsia" w:ascii="宋体" w:hAnsi="宋体" w:eastAsia="宋体" w:cs="宋体"/>
          <w:bCs/>
          <w:color w:val="auto"/>
          <w:sz w:val="32"/>
          <w:szCs w:val="32"/>
          <w:highlight w:val="none"/>
        </w:rPr>
      </w:pPr>
    </w:p>
    <w:p>
      <w:pPr>
        <w:adjustRightInd w:val="0"/>
        <w:snapToGrid w:val="0"/>
        <w:spacing w:line="360" w:lineRule="auto"/>
        <w:jc w:val="both"/>
        <w:rPr>
          <w:rFonts w:hint="eastAsia" w:ascii="宋体" w:hAnsi="宋体" w:eastAsia="宋体" w:cs="宋体"/>
          <w:bCs/>
          <w:color w:val="auto"/>
          <w:sz w:val="32"/>
          <w:szCs w:val="32"/>
          <w:highlight w:val="none"/>
        </w:rPr>
      </w:pPr>
    </w:p>
    <w:p>
      <w:pPr>
        <w:adjustRightInd w:val="0"/>
        <w:snapToGrid w:val="0"/>
        <w:spacing w:line="360" w:lineRule="auto"/>
        <w:ind w:right="-156"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kern w:val="0"/>
          <w:sz w:val="28"/>
          <w:szCs w:val="28"/>
          <w:highlight w:val="none"/>
          <w:fitText w:val="2810" w:id="202655923"/>
        </w:rPr>
        <w:t>供应商名称（公章）：</w:t>
      </w:r>
    </w:p>
    <w:p>
      <w:pPr>
        <w:adjustRightInd w:val="0"/>
        <w:snapToGrid w:val="0"/>
        <w:spacing w:line="360" w:lineRule="auto"/>
        <w:ind w:right="-156" w:rightChars="-64"/>
        <w:rPr>
          <w:rFonts w:hint="eastAsia" w:ascii="宋体" w:hAnsi="宋体" w:eastAsia="宋体" w:cs="宋体"/>
          <w:b/>
          <w:caps/>
          <w:color w:val="auto"/>
          <w:sz w:val="28"/>
          <w:szCs w:val="28"/>
          <w:highlight w:val="none"/>
        </w:rPr>
      </w:pPr>
    </w:p>
    <w:p>
      <w:pPr>
        <w:adjustRightInd w:val="0"/>
        <w:snapToGrid w:val="0"/>
        <w:spacing w:line="360" w:lineRule="auto"/>
        <w:ind w:right="-156"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w w:val="77"/>
          <w:kern w:val="0"/>
          <w:sz w:val="28"/>
          <w:szCs w:val="28"/>
          <w:highlight w:val="none"/>
          <w:fitText w:val="2810" w:id="1"/>
        </w:rPr>
        <w:t>法定代表人（</w:t>
      </w:r>
      <w:r>
        <w:rPr>
          <w:rFonts w:hint="eastAsia" w:ascii="宋体" w:hAnsi="宋体" w:eastAsia="宋体" w:cs="宋体"/>
          <w:b/>
          <w:caps/>
          <w:color w:val="auto"/>
          <w:spacing w:val="0"/>
          <w:w w:val="77"/>
          <w:kern w:val="0"/>
          <w:sz w:val="28"/>
          <w:szCs w:val="28"/>
          <w:highlight w:val="none"/>
          <w:fitText w:val="2810" w:id="1"/>
          <w:lang w:eastAsia="zh-CN"/>
        </w:rPr>
        <w:t>签章</w:t>
      </w:r>
      <w:r>
        <w:rPr>
          <w:rFonts w:hint="eastAsia" w:ascii="宋体" w:hAnsi="宋体" w:eastAsia="宋体" w:cs="宋体"/>
          <w:b/>
          <w:caps/>
          <w:color w:val="auto"/>
          <w:spacing w:val="0"/>
          <w:w w:val="77"/>
          <w:kern w:val="0"/>
          <w:sz w:val="28"/>
          <w:szCs w:val="28"/>
          <w:highlight w:val="none"/>
          <w:fitText w:val="2810" w:id="1"/>
        </w:rPr>
        <w:t>或盖章）</w:t>
      </w:r>
      <w:r>
        <w:rPr>
          <w:rFonts w:hint="eastAsia" w:ascii="宋体" w:hAnsi="宋体" w:eastAsia="宋体" w:cs="宋体"/>
          <w:b/>
          <w:caps/>
          <w:color w:val="auto"/>
          <w:spacing w:val="-1"/>
          <w:w w:val="77"/>
          <w:kern w:val="0"/>
          <w:sz w:val="28"/>
          <w:szCs w:val="28"/>
          <w:highlight w:val="none"/>
          <w:fitText w:val="2810" w:id="1"/>
        </w:rPr>
        <w:t>：</w:t>
      </w:r>
    </w:p>
    <w:p>
      <w:pPr>
        <w:adjustRightInd w:val="0"/>
        <w:snapToGrid w:val="0"/>
        <w:spacing w:line="360" w:lineRule="auto"/>
        <w:ind w:right="-156" w:rightChars="-64"/>
        <w:rPr>
          <w:rFonts w:hint="eastAsia" w:ascii="宋体" w:hAnsi="宋体" w:eastAsia="宋体" w:cs="宋体"/>
          <w:b/>
          <w:caps/>
          <w:color w:val="auto"/>
          <w:sz w:val="28"/>
          <w:szCs w:val="28"/>
          <w:highlight w:val="none"/>
        </w:rPr>
      </w:pPr>
    </w:p>
    <w:p>
      <w:pPr>
        <w:adjustRightInd w:val="0"/>
        <w:snapToGrid w:val="0"/>
        <w:spacing w:line="360" w:lineRule="auto"/>
        <w:ind w:right="-156"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113"/>
          <w:kern w:val="0"/>
          <w:sz w:val="28"/>
          <w:szCs w:val="28"/>
          <w:highlight w:val="none"/>
          <w:fitText w:val="2810" w:id="2"/>
        </w:rPr>
        <w:t>供应商地址</w:t>
      </w:r>
      <w:r>
        <w:rPr>
          <w:rFonts w:hint="eastAsia" w:ascii="宋体" w:hAnsi="宋体" w:eastAsia="宋体" w:cs="宋体"/>
          <w:b/>
          <w:caps/>
          <w:color w:val="auto"/>
          <w:spacing w:val="0"/>
          <w:kern w:val="0"/>
          <w:sz w:val="28"/>
          <w:szCs w:val="28"/>
          <w:highlight w:val="none"/>
          <w:fitText w:val="2810" w:id="2"/>
        </w:rPr>
        <w:t>：</w:t>
      </w:r>
    </w:p>
    <w:p>
      <w:pPr>
        <w:adjustRightInd w:val="0"/>
        <w:snapToGrid w:val="0"/>
        <w:spacing w:line="360" w:lineRule="auto"/>
        <w:ind w:right="-156" w:rightChars="-64"/>
        <w:rPr>
          <w:rFonts w:hint="eastAsia" w:ascii="宋体" w:hAnsi="宋体" w:eastAsia="宋体" w:cs="宋体"/>
          <w:b/>
          <w:caps/>
          <w:color w:val="auto"/>
          <w:sz w:val="28"/>
          <w:szCs w:val="28"/>
          <w:highlight w:val="none"/>
        </w:rPr>
      </w:pPr>
    </w:p>
    <w:p>
      <w:pPr>
        <w:adjustRightInd w:val="0"/>
        <w:snapToGrid w:val="0"/>
        <w:spacing w:line="360" w:lineRule="auto"/>
        <w:ind w:right="-156"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281"/>
          <w:kern w:val="0"/>
          <w:sz w:val="28"/>
          <w:szCs w:val="28"/>
          <w:highlight w:val="none"/>
          <w:fitText w:val="2810" w:id="3"/>
        </w:rPr>
        <w:t>联系人</w:t>
      </w:r>
      <w:r>
        <w:rPr>
          <w:rFonts w:hint="eastAsia" w:ascii="宋体" w:hAnsi="宋体" w:eastAsia="宋体" w:cs="宋体"/>
          <w:b/>
          <w:caps/>
          <w:color w:val="auto"/>
          <w:spacing w:val="2"/>
          <w:kern w:val="0"/>
          <w:sz w:val="28"/>
          <w:szCs w:val="28"/>
          <w:highlight w:val="none"/>
          <w:fitText w:val="2810" w:id="3"/>
        </w:rPr>
        <w:t>：</w:t>
      </w:r>
    </w:p>
    <w:p>
      <w:pPr>
        <w:adjustRightInd w:val="0"/>
        <w:snapToGrid w:val="0"/>
        <w:spacing w:line="360" w:lineRule="auto"/>
        <w:ind w:right="-156" w:rightChars="-64"/>
        <w:rPr>
          <w:rFonts w:hint="eastAsia" w:ascii="宋体" w:hAnsi="宋体" w:eastAsia="宋体" w:cs="宋体"/>
          <w:b/>
          <w:caps/>
          <w:color w:val="auto"/>
          <w:sz w:val="28"/>
          <w:szCs w:val="28"/>
          <w:highlight w:val="none"/>
        </w:rPr>
      </w:pPr>
    </w:p>
    <w:p>
      <w:pPr>
        <w:adjustRightInd w:val="0"/>
        <w:snapToGrid w:val="0"/>
        <w:spacing w:line="360" w:lineRule="auto"/>
        <w:ind w:right="-156"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176"/>
          <w:kern w:val="0"/>
          <w:sz w:val="28"/>
          <w:szCs w:val="28"/>
          <w:highlight w:val="none"/>
          <w:fitText w:val="2810" w:id="4"/>
        </w:rPr>
        <w:t>联系电话</w:t>
      </w:r>
      <w:r>
        <w:rPr>
          <w:rFonts w:hint="eastAsia" w:ascii="宋体" w:hAnsi="宋体" w:eastAsia="宋体" w:cs="宋体"/>
          <w:b/>
          <w:caps/>
          <w:color w:val="auto"/>
          <w:spacing w:val="1"/>
          <w:kern w:val="0"/>
          <w:sz w:val="28"/>
          <w:szCs w:val="28"/>
          <w:highlight w:val="none"/>
          <w:fitText w:val="2810" w:id="4"/>
        </w:rPr>
        <w:t>：</w:t>
      </w:r>
    </w:p>
    <w:p>
      <w:pPr>
        <w:adjustRightInd w:val="0"/>
        <w:snapToGrid w:val="0"/>
        <w:spacing w:line="360" w:lineRule="auto"/>
        <w:jc w:val="center"/>
        <w:rPr>
          <w:rFonts w:hint="eastAsia" w:ascii="宋体" w:hAnsi="宋体" w:eastAsia="宋体" w:cs="宋体"/>
          <w:b/>
          <w:caps/>
          <w:color w:val="auto"/>
          <w:sz w:val="28"/>
          <w:szCs w:val="28"/>
          <w:highlight w:val="none"/>
        </w:rPr>
      </w:pP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_年__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_月__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_日</w:t>
      </w:r>
    </w:p>
    <w:p>
      <w:pPr>
        <w:pStyle w:val="37"/>
        <w:spacing w:after="340" w:line="240" w:lineRule="auto"/>
        <w:ind w:firstLine="0"/>
        <w:jc w:val="both"/>
        <w:rPr>
          <w:rFonts w:hint="eastAsia" w:ascii="宋体" w:hAnsi="宋体" w:eastAsia="宋体" w:cs="宋体"/>
          <w:b/>
          <w:color w:val="auto"/>
          <w:sz w:val="28"/>
          <w:szCs w:val="28"/>
          <w:highlight w:val="none"/>
        </w:rPr>
      </w:pPr>
    </w:p>
    <w:p>
      <w:pPr>
        <w:pStyle w:val="37"/>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资格证明文件</w:t>
      </w:r>
    </w:p>
    <w:bookmarkEnd w:id="56"/>
    <w:p>
      <w:pPr>
        <w:keepNext w:val="0"/>
        <w:keepLines w:val="0"/>
        <w:pageBreakBefore w:val="0"/>
        <w:widowControl w:val="0"/>
        <w:numPr>
          <w:ilvl w:val="0"/>
          <w:numId w:val="4"/>
        </w:numPr>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具备三证合一营业执照副本</w:t>
      </w:r>
    </w:p>
    <w:p>
      <w:pPr>
        <w:keepNext w:val="0"/>
        <w:keepLines w:val="0"/>
        <w:pageBreakBefore w:val="0"/>
        <w:widowControl w:val="0"/>
        <w:numPr>
          <w:ilvl w:val="0"/>
          <w:numId w:val="0"/>
        </w:numPr>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2、法定代表人资格证明书</w:t>
      </w:r>
    </w:p>
    <w:p>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3、法定代表人授权书</w:t>
      </w:r>
    </w:p>
    <w:p>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4、</w:t>
      </w:r>
      <w:r>
        <w:rPr>
          <w:rFonts w:hint="eastAsia" w:ascii="宋体" w:hAnsi="宋体" w:eastAsia="宋体" w:cs="宋体"/>
          <w:b/>
          <w:color w:val="auto"/>
          <w:highlight w:val="none"/>
          <w:lang w:val="en-US" w:eastAsia="zh-CN"/>
        </w:rPr>
        <w:t>投标保证金缴纳凭证或投标担保函</w:t>
      </w:r>
      <w:r>
        <w:rPr>
          <w:rFonts w:hint="eastAsia" w:ascii="宋体" w:hAnsi="宋体" w:eastAsia="宋体" w:cs="宋体"/>
          <w:b/>
          <w:color w:val="auto"/>
          <w:highlight w:val="none"/>
          <w:lang w:eastAsia="zh-CN"/>
        </w:rPr>
        <w:t>；</w:t>
      </w:r>
    </w:p>
    <w:p>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5、参加采购活动前三年内，在经营活动中没有重大违法记录，供应商须提供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lang w:eastAsia="zh-CN"/>
        </w:rPr>
        <w:t>、提供近一个月财务状况报告、依法缴纳税收和社会保障资金的相关证明（复印件加盖单位公章）；</w:t>
      </w:r>
    </w:p>
    <w:p>
      <w:pPr>
        <w:keepNext w:val="0"/>
        <w:keepLines w:val="0"/>
        <w:pageBreakBefore w:val="0"/>
        <w:widowControl w:val="0"/>
        <w:wordWrap/>
        <w:topLinePunct w:val="0"/>
        <w:autoSpaceDE/>
        <w:autoSpaceDN/>
        <w:bidi w:val="0"/>
        <w:adjustRightInd/>
        <w:snapToGrid w:val="0"/>
        <w:spacing w:line="480" w:lineRule="auto"/>
        <w:ind w:left="490" w:leftChars="200" w:firstLine="0" w:firstLineChars="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7、具备履行合同所必需的设备和专业技术能力的证明材料（复印件加盖单位公章）；</w:t>
      </w:r>
    </w:p>
    <w:p>
      <w:pPr>
        <w:keepNext w:val="0"/>
        <w:keepLines w:val="0"/>
        <w:pageBreakBefore w:val="0"/>
        <w:widowControl w:val="0"/>
        <w:wordWrap/>
        <w:topLinePunct w:val="0"/>
        <w:autoSpaceDE/>
        <w:autoSpaceDN/>
        <w:bidi w:val="0"/>
        <w:adjustRightInd/>
        <w:snapToGrid w:val="0"/>
        <w:spacing w:line="480" w:lineRule="auto"/>
        <w:ind w:left="490" w:leftChars="200" w:firstLine="0" w:firstLineChars="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8、投标人须具备有效的林木种子生产经营许可证</w:t>
      </w:r>
    </w:p>
    <w:p>
      <w:pPr>
        <w:keepNext w:val="0"/>
        <w:keepLines w:val="0"/>
        <w:pageBreakBefore w:val="0"/>
        <w:widowControl w:val="0"/>
        <w:wordWrap/>
        <w:topLinePunct w:val="0"/>
        <w:autoSpaceDE/>
        <w:autoSpaceDN/>
        <w:bidi w:val="0"/>
        <w:adjustRightInd/>
        <w:snapToGrid w:val="0"/>
        <w:spacing w:line="480" w:lineRule="auto"/>
        <w:ind w:left="490" w:leftChars="200" w:firstLine="0" w:firstLineChars="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9、</w:t>
      </w:r>
      <w:r>
        <w:rPr>
          <w:rFonts w:hint="eastAsia" w:ascii="宋体" w:hAnsi="宋体" w:eastAsia="宋体" w:cs="宋体"/>
          <w:b/>
          <w:color w:val="auto"/>
          <w:highlight w:val="none"/>
          <w:lang w:eastAsia="zh-CN"/>
        </w:rPr>
        <w:t xml:space="preserve">投标人须知资料表要求的其他资格证明文件; </w:t>
      </w:r>
    </w:p>
    <w:p>
      <w:pPr>
        <w:pStyle w:val="8"/>
        <w:keepNext w:val="0"/>
        <w:keepLines w:val="0"/>
        <w:pageBreakBefore w:val="0"/>
        <w:widowControl w:val="0"/>
        <w:numPr>
          <w:ilvl w:val="0"/>
          <w:numId w:val="0"/>
        </w:numPr>
        <w:tabs>
          <w:tab w:val="clear" w:pos="780"/>
        </w:tabs>
        <w:kinsoku w:val="0"/>
        <w:wordWrap/>
        <w:overflowPunct w:val="0"/>
        <w:topLinePunct w:val="0"/>
        <w:autoSpaceDE/>
        <w:autoSpaceDN/>
        <w:bidi w:val="0"/>
        <w:adjustRightInd/>
        <w:spacing w:before="130" w:line="480" w:lineRule="auto"/>
        <w:ind w:left="480" w:right="7"/>
        <w:jc w:val="both"/>
        <w:textAlignment w:val="auto"/>
        <w:rPr>
          <w:rFonts w:hint="eastAsia" w:ascii="宋体" w:hAnsi="宋体" w:eastAsia="宋体" w:cs="宋体"/>
          <w:b/>
          <w:bCs/>
          <w:color w:val="auto"/>
          <w:sz w:val="36"/>
          <w:szCs w:val="36"/>
          <w:highlight w:val="none"/>
        </w:rPr>
      </w:pPr>
    </w:p>
    <w:p>
      <w:pPr>
        <w:pStyle w:val="17"/>
        <w:numPr>
          <w:ilvl w:val="0"/>
          <w:numId w:val="0"/>
        </w:numPr>
        <w:tabs>
          <w:tab w:val="clear" w:pos="780"/>
        </w:tabs>
        <w:ind w:leftChars="10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rPr>
          <w:rFonts w:hint="eastAsia" w:ascii="宋体" w:hAnsi="宋体" w:eastAsia="宋体" w:cs="宋体"/>
          <w:b/>
          <w:bCs/>
          <w:color w:val="auto"/>
          <w:sz w:val="36"/>
          <w:szCs w:val="36"/>
          <w:highlight w:val="none"/>
        </w:rPr>
      </w:pPr>
    </w:p>
    <w:p>
      <w:pPr>
        <w:pStyle w:val="14"/>
        <w:rPr>
          <w:rFonts w:hint="eastAsia" w:ascii="宋体" w:hAnsi="宋体" w:eastAsia="宋体" w:cs="宋体"/>
          <w:color w:val="auto"/>
          <w:highlight w:val="none"/>
        </w:rPr>
      </w:pPr>
    </w:p>
    <w:p>
      <w:pPr>
        <w:pStyle w:val="8"/>
        <w:numPr>
          <w:ilvl w:val="0"/>
          <w:numId w:val="0"/>
        </w:numPr>
        <w:tabs>
          <w:tab w:val="clear" w:pos="780"/>
        </w:tabs>
        <w:kinsoku w:val="0"/>
        <w:overflowPunct w:val="0"/>
        <w:spacing w:before="130" w:line="355" w:lineRule="auto"/>
        <w:ind w:left="480" w:right="7"/>
        <w:jc w:val="center"/>
        <w:rPr>
          <w:rFonts w:hint="eastAsia" w:ascii="宋体" w:hAnsi="宋体" w:eastAsia="宋体" w:cs="宋体"/>
          <w:b/>
          <w:bCs/>
          <w:color w:val="auto"/>
          <w:sz w:val="36"/>
          <w:szCs w:val="36"/>
          <w:highlight w:val="none"/>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0"/>
          <w:szCs w:val="30"/>
          <w:highlight w:val="none"/>
          <w:lang w:val="en-US" w:eastAsia="zh-CN"/>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 具备三证合一营业执照副本</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宋体" w:hAnsi="宋体" w:eastAsia="宋体" w:cs="宋体"/>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宋体" w:hAnsi="宋体" w:eastAsia="宋体" w:cs="宋体"/>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宋体" w:hAnsi="宋体" w:eastAsia="宋体" w:cs="宋体"/>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6"/>
          <w:szCs w:val="36"/>
          <w:highlight w:val="none"/>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法定代表人身份证明</w:t>
      </w:r>
    </w:p>
    <w:p>
      <w:pPr>
        <w:pStyle w:val="5"/>
        <w:outlineLvl w:val="9"/>
        <w:rPr>
          <w:rFonts w:hint="eastAsia" w:ascii="宋体" w:hAnsi="宋体" w:eastAsia="宋体" w:cs="宋体"/>
          <w:color w:val="auto"/>
          <w:highlight w:val="none"/>
        </w:rPr>
      </w:pP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投标单位名称：</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职务：</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highlight w:val="none"/>
          <w:u w:val="single"/>
        </w:rPr>
        <w:t xml:space="preserve">                                  </w:t>
      </w:r>
    </w:p>
    <w:p>
      <w:pPr>
        <w:spacing w:line="42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（投标单位名称）的法定代表人。</w:t>
      </w:r>
    </w:p>
    <w:p>
      <w:pPr>
        <w:spacing w:line="420" w:lineRule="exact"/>
        <w:ind w:firstLine="98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pPr>
        <w:pStyle w:val="8"/>
        <w:numPr>
          <w:ilvl w:val="0"/>
          <w:numId w:val="0"/>
        </w:numPr>
        <w:kinsoku w:val="0"/>
        <w:overflowPunct w:val="0"/>
        <w:ind w:leftChars="0" w:right="0" w:rightChars="0"/>
        <w:rPr>
          <w:rFonts w:hint="eastAsia" w:ascii="宋体" w:hAnsi="宋体" w:eastAsia="宋体" w:cs="宋体"/>
          <w:color w:val="auto"/>
          <w:sz w:val="20"/>
          <w:szCs w:val="20"/>
          <w:highlight w:val="none"/>
        </w:rPr>
      </w:pPr>
    </w:p>
    <w:p>
      <w:pPr>
        <w:pStyle w:val="8"/>
        <w:numPr>
          <w:ilvl w:val="0"/>
          <w:numId w:val="0"/>
        </w:numPr>
        <w:kinsoku w:val="0"/>
        <w:overflowPunct w:val="0"/>
        <w:spacing w:before="7"/>
        <w:ind w:leftChars="0" w:right="0" w:rightChars="0"/>
        <w:rPr>
          <w:rFonts w:hint="eastAsia" w:ascii="宋体" w:hAnsi="宋体" w:eastAsia="宋体" w:cs="宋体"/>
          <w:color w:val="auto"/>
          <w:sz w:val="25"/>
          <w:szCs w:val="25"/>
          <w:highlight w:val="none"/>
        </w:rPr>
      </w:pPr>
    </w:p>
    <w:p>
      <w:pPr>
        <w:pStyle w:val="8"/>
        <w:numPr>
          <w:ilvl w:val="0"/>
          <w:numId w:val="0"/>
        </w:numPr>
        <w:kinsoku w:val="0"/>
        <w:overflowPunct w:val="0"/>
        <w:spacing w:line="200" w:lineRule="atLeast"/>
        <w:ind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inline distT="0" distB="0" distL="114300" distR="114300">
                <wp:extent cx="5136515" cy="1458595"/>
                <wp:effectExtent l="635" t="635" r="6350" b="7620"/>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4" name="任意多边形 14"/>
                        <wps:cNvSpPr/>
                        <wps:spPr>
                          <a:xfrm>
                            <a:off x="4" y="9"/>
                            <a:ext cx="8079" cy="20"/>
                          </a:xfrm>
                          <a:custGeom>
                            <a:avLst/>
                            <a:gdLst/>
                            <a:ahLst/>
                            <a:cxnLst/>
                            <a:pathLst>
                              <a:path w="8079" h="20">
                                <a:moveTo>
                                  <a:pt x="0" y="0"/>
                                </a:moveTo>
                                <a:lnTo>
                                  <a:pt x="8078" y="0"/>
                                </a:lnTo>
                              </a:path>
                            </a:pathLst>
                          </a:custGeom>
                          <a:solidFill>
                            <a:srgbClr val="CCE8CF"/>
                          </a:solidFill>
                          <a:ln w="25400" cap="flat" cmpd="sng" algn="ctr">
                            <a:noFill/>
                            <a:prstDash val="solid"/>
                            <a:headEnd type="none" w="med" len="med"/>
                            <a:tailEnd type="none" w="med" len="med"/>
                          </a:ln>
                          <a:effectLst/>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solidFill>
                            <a:srgbClr val="CCE8CF"/>
                          </a:solidFill>
                          <a:ln w="25400" cap="flat" cmpd="sng" algn="ctr">
                            <a:noFill/>
                            <a:prstDash val="solid"/>
                            <a:headEnd type="none" w="med" len="med"/>
                            <a:tailEnd type="none" w="med" len="med"/>
                          </a:ln>
                          <a:effectLst/>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solidFill>
                            <a:srgbClr val="CCE8CF"/>
                          </a:solidFill>
                          <a:ln w="25400" cap="flat" cmpd="sng" algn="ctr">
                            <a:noFill/>
                            <a:prstDash val="solid"/>
                            <a:headEnd type="none" w="med" len="med"/>
                            <a:tailEnd type="none" w="med" len="med"/>
                          </a:ln>
                          <a:effectLst/>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solidFill>
                            <a:srgbClr val="CCE8CF"/>
                          </a:solidFill>
                          <a:ln w="25400" cap="flat" cmpd="sng" algn="ctr">
                            <a:noFill/>
                            <a:prstDash val="solid"/>
                            <a:headEnd type="none" w="med" len="med"/>
                            <a:tailEnd type="none" w="med" len="med"/>
                          </a:ln>
                          <a:effectLst/>
                        </wps:spPr>
                        <wps:bodyPr upright="1"/>
                      </wps:wsp>
                      <wps:wsp>
                        <wps:cNvPr id="19" name="任意多边形 19"/>
                        <wps:cNvSpPr/>
                        <wps:spPr>
                          <a:xfrm>
                            <a:off x="9" y="4"/>
                            <a:ext cx="20" cy="2287"/>
                          </a:xfrm>
                          <a:custGeom>
                            <a:avLst/>
                            <a:gdLst/>
                            <a:ahLst/>
                            <a:cxnLst/>
                            <a:pathLst>
                              <a:path w="20" h="2287">
                                <a:moveTo>
                                  <a:pt x="0" y="0"/>
                                </a:moveTo>
                                <a:lnTo>
                                  <a:pt x="0" y="2286"/>
                                </a:lnTo>
                              </a:path>
                            </a:pathLst>
                          </a:custGeom>
                          <a:solidFill>
                            <a:srgbClr val="CCE8CF"/>
                          </a:solidFill>
                          <a:ln w="25400" cap="flat" cmpd="sng" algn="ctr">
                            <a:noFill/>
                            <a:prstDash val="solid"/>
                            <a:headEnd type="none" w="med" len="med"/>
                            <a:tailEnd type="none" w="med" len="med"/>
                          </a:ln>
                          <a:effectLst/>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solidFill>
                            <a:srgbClr val="CCE8CF"/>
                          </a:solidFill>
                          <a:ln w="25400" cap="flat" cmpd="sng" algn="ctr">
                            <a:noFill/>
                            <a:prstDash val="solid"/>
                            <a:headEnd type="none" w="med" len="med"/>
                            <a:tailEnd type="none" w="med" len="med"/>
                          </a:ln>
                          <a:effectLst/>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solidFill>
                            <a:srgbClr val="CCE8CF"/>
                          </a:solidFill>
                          <a:ln w="25400" cap="flat" cmpd="sng" algn="ctr">
                            <a:noFill/>
                            <a:prstDash val="solid"/>
                            <a:headEnd type="none" w="med" len="med"/>
                            <a:tailEnd type="none" w="med" len="med"/>
                          </a:ln>
                          <a:effectLst/>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solidFill>
                            <a:srgbClr val="CCE8CF"/>
                          </a:solidFill>
                          <a:ln w="25400" cap="flat" cmpd="sng" algn="ctr">
                            <a:noFill/>
                            <a:prstDash val="solid"/>
                            <a:headEnd type="none" w="med" len="med"/>
                            <a:tailEnd type="none" w="med" len="med"/>
                          </a:ln>
                          <a:effectLst/>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solidFill>
                            <a:srgbClr val="CCE8CF"/>
                          </a:solidFill>
                          <a:ln w="25400" cap="flat" cmpd="sng" algn="ctr">
                            <a:noFill/>
                            <a:prstDash val="solid"/>
                            <a:headEnd type="none" w="med" len="med"/>
                            <a:tailEnd type="none" w="med" len="med"/>
                          </a:ln>
                          <a:effectLst/>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solidFill>
                            <a:srgbClr val="CCE8CF"/>
                          </a:solidFill>
                          <a:ln w="25400" cap="flat" cmpd="sng" algn="ctr">
                            <a:noFill/>
                            <a:prstDash val="solid"/>
                            <a:headEnd type="none" w="med" len="med"/>
                            <a:tailEnd type="none" w="med" len="med"/>
                          </a:ln>
                          <a:effectLst/>
                        </wps:spPr>
                        <wps:bodyPr upright="1"/>
                      </wps:wsp>
                      <wps:wsp>
                        <wps:cNvPr id="27" name="文本框 27"/>
                        <wps:cNvSpPr txBox="1"/>
                        <wps:spPr>
                          <a:xfrm>
                            <a:off x="19" y="19"/>
                            <a:ext cx="4025" cy="2258"/>
                          </a:xfrm>
                          <a:prstGeom prst="rect">
                            <a:avLst/>
                          </a:prstGeom>
                          <a:noFill/>
                          <a:ln w="25400" cap="flat" cmpd="sng" algn="ctr">
                            <a:solidFill>
                              <a:srgbClr val="000000"/>
                            </a:solidFill>
                            <a:prstDash val="solid"/>
                          </a:ln>
                          <a:effectLst/>
                        </wps:spPr>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w="25400" cap="flat" cmpd="sng" algn="ctr">
                            <a:solidFill>
                              <a:srgbClr val="000000"/>
                            </a:solidFill>
                            <a:prstDash val="solid"/>
                          </a:ln>
                          <a:effectLst/>
                        </wps:spPr>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CX+X3P1gAAAAUBAAAPAAAAAAAAAAEAIAAAACIAAABkcnMvZG93bnJldi54bWxQ&#10;SwECFAAUAAAACACHTuJA3kKlIt4EAAAtIwAADgAAAAAAAAABACAAAAAlAQAAZHJzL2Uyb0RvYy54&#10;bWxQSwUGAAAAAAYABgBZAQAAdQgAAAAA&#10;">
                <o:lock v:ext="edit" rotation="t" aspectratio="f"/>
                <v:shape id="_x0000_s1026" o:spid="_x0000_s1026" o:spt="100" style="position:absolute;left:4;top:9;height:20;width:8079;" fillcolor="#CCE8CF" filled="t" stroked="f" coordsize="8079,20" o:gfxdata="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fVh7sAAADb&#10;AAAADwAAAAAAAAABACAAAAAiAAAAZHJzL2Rvd25yZXYueG1sUEsBAhQAFAAAAAgAh07iQDMvBZ47&#10;AAAAOQAAABAAAAAAAAAAAQAgAAAACgEAAGRycy9zaGFwZXhtbC54bWxQSwUGAAAAAAYABgBbAQAA&#10;tAMAAAAA&#10;" path="m0,0l8078,0e">
                  <v:fill on="t" focussize="0,0"/>
                  <v:stroke on="f" weight="2pt"/>
                  <v:imagedata o:title=""/>
                  <o:lock v:ext="edit" aspectratio="f"/>
                </v:shape>
                <v:shape id="_x0000_s1026" o:spid="_x0000_s1026" o:spt="100" style="position:absolute;left:24;top:28;height:20;width:8041;" fillcolor="#CCE8CF" filled="t" stroked="f" coordsize="8041,20" o:gfxdata="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3QH+/&#10;AAAA2wAAAA8AAAAAAAAAAQAgAAAAIgAAAGRycy9kb3ducmV2LnhtbFBLAQIUABQAAAAIAIdO4kAz&#10;LwWeOwAAADkAAAAQAAAAAAAAAAEAIAAAAA4BAABkcnMvc2hhcGV4bWwueG1sUEsFBgAAAAAGAAYA&#10;WwEAALgDAAAAAA==&#10;" path="m0,0l8040,0e">
                  <v:fill on="t" focussize="0,0"/>
                  <v:stroke on="f" weight="2pt"/>
                  <v:imagedata o:title=""/>
                  <o:lock v:ext="edit" aspectratio="f"/>
                </v:shape>
                <v:shape id="_x0000_s1026" o:spid="_x0000_s1026" o:spt="100" style="position:absolute;left:24;top:2267;height:20;width:8041;" fillcolor="#CCE8CF" filled="t" stroked="f" coordsize="8041,20" o:gfxdata="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XeCL4A&#10;AADbAAAADwAAAAAAAAABACAAAAAiAAAAZHJzL2Rvd25yZXYueG1sUEsBAhQAFAAAAAgAh07iQDMv&#10;BZ47AAAAOQAAABAAAAAAAAAAAQAgAAAADQEAAGRycy9zaGFwZXhtbC54bWxQSwUGAAAAAAYABgBb&#10;AQAAtwMAAAAA&#10;" path="m0,0l8040,0e">
                  <v:fill on="t" focussize="0,0"/>
                  <v:stroke on="f" weight="2pt"/>
                  <v:imagedata o:title=""/>
                  <o:lock v:ext="edit" aspectratio="f"/>
                </v:shape>
                <v:shape id="_x0000_s1026" o:spid="_x0000_s1026" o:spt="100" style="position:absolute;left:4;top:2286;height:20;width:8079;" fillcolor="#CCE8CF" filled="t" stroked="f" coordsize="8079,20" o:gfxdata="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FS/C8AAAA&#10;2wAAAA8AAAAAAAAAAQAgAAAAIgAAAGRycy9kb3ducmV2LnhtbFBLAQIUABQAAAAIAIdO4kAzLwWe&#10;OwAAADkAAAAQAAAAAAAAAAEAIAAAAAsBAABkcnMvc2hhcGV4bWwueG1sUEsFBgAAAAAGAAYAWwEA&#10;ALUDAAAAAA==&#10;" path="m0,0l8078,0e">
                  <v:fill on="t" focussize="0,0"/>
                  <v:stroke on="f" weight="2pt"/>
                  <v:imagedata o:title=""/>
                  <o:lock v:ext="edit" aspectratio="f"/>
                </v:shape>
                <v:shape id="_x0000_s1026" o:spid="_x0000_s1026" o:spt="100" style="position:absolute;left:9;top:4;height:2287;width:20;" fillcolor="#CCE8CF" filled="t" stroked="f" coordsize="20,2287" o:gfxdata="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5kJe5AAAA2wAA&#10;AA8AAAAAAAAAAQAgAAAAIgAAAGRycy9kb3ducmV2LnhtbFBLAQIUABQAAAAIAIdO4kAzLwWeOwAA&#10;ADkAAAAQAAAAAAAAAAEAIAAAAAgBAABkcnMvc2hhcGV4bWwueG1sUEsFBgAAAAAGAAYAWwEAALID&#10;AAAAAA==&#10;" path="m0,0l0,2286e">
                  <v:fill on="t" focussize="0,0"/>
                  <v:stroke on="f" weight="2pt"/>
                  <v:imagedata o:title=""/>
                  <o:lock v:ext="edit" aspectratio="f"/>
                </v:shape>
                <v:shape id="_x0000_s1026" o:spid="_x0000_s1026" o:spt="100" style="position:absolute;left:28;top:24;height:2249;width:20;" fillcolor="#CCE8CF" filled="t" stroked="f" coordsize="20,2249" o:gfxdata="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kL4cbgAAADbAAAA&#10;DwAAAAAAAAABACAAAAAiAAAAZHJzL2Rvd25yZXYueG1sUEsBAhQAFAAAAAgAh07iQDMvBZ47AAAA&#10;OQAAABAAAAAAAAAAAQAgAAAABwEAAGRycy9zaGFwZXhtbC54bWxQSwUGAAAAAAYABgBbAQAAsQMA&#10;AAAA&#10;" path="m0,0l0,2248e">
                  <v:fill on="t" focussize="0,0"/>
                  <v:stroke on="f" weight="2pt"/>
                  <v:imagedata o:title=""/>
                  <o:lock v:ext="edit" aspectratio="f"/>
                </v:shape>
                <v:shape id="_x0000_s1026" o:spid="_x0000_s1026" o:spt="100" style="position:absolute;left:4034;top:24;height:2239;width:20;" fillcolor="#CCE8CF" filled="t" stroked="f" coordsize="20,2239" o:gfxdata="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IAxm/&#10;AAAA2wAAAA8AAAAAAAAAAQAgAAAAIgAAAGRycy9kb3ducmV2LnhtbFBLAQIUABQAAAAIAIdO4kAz&#10;LwWeOwAAADkAAAAQAAAAAAAAAAEAIAAAAA4BAABkcnMvc2hhcGV4bWwueG1sUEsFBgAAAAAGAAYA&#10;WwEAALgDAAAAAA==&#10;" path="m0,0l0,2238e">
                  <v:fill on="t" focussize="0,0"/>
                  <v:stroke on="f" weight="2pt"/>
                  <v:imagedata o:title=""/>
                  <o:lock v:ext="edit" aspectratio="f"/>
                </v:shape>
                <v:shape id="_x0000_s1026" o:spid="_x0000_s1026" o:spt="100" style="position:absolute;left:4053;top:24;height:2239;width:20;" fillcolor="#CCE8CF" filled="t" stroked="f" coordsize="20,2239" o:gfxdata="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qdbr4A&#10;AADbAAAADwAAAAAAAAABACAAAAAiAAAAZHJzL2Rvd25yZXYueG1sUEsBAhQAFAAAAAgAh07iQDMv&#10;BZ47AAAAOQAAABAAAAAAAAAAAQAgAAAADQEAAGRycy9zaGFwZXhtbC54bWxQSwUGAAAAAAYABgBb&#10;AQAAtwMAAAAA&#10;" path="m0,0l0,2238e">
                  <v:fill on="t" focussize="0,0"/>
                  <v:stroke on="f" weight="2pt"/>
                  <v:imagedata o:title=""/>
                  <o:lock v:ext="edit" aspectratio="f"/>
                </v:shape>
                <v:shape id="_x0000_s1026" o:spid="_x0000_s1026" o:spt="100" style="position:absolute;left:8059;top:33;height:2239;width:20;" fillcolor="#CCE8CF" filled="t" stroked="f" coordsize="20,2239" o:gfxdata="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Y49b4A&#10;AADbAAAADwAAAAAAAAABACAAAAAiAAAAZHJzL2Rvd25yZXYueG1sUEsBAhQAFAAAAAgAh07iQDMv&#10;BZ47AAAAOQAAABAAAAAAAAAAAQAgAAAADQEAAGRycy9zaGFwZXhtbC54bWxQSwUGAAAAAAYABgBb&#10;AQAAtwMAAAAA&#10;" path="m0,0l0,2238e">
                  <v:fill on="t" focussize="0,0"/>
                  <v:stroke on="f" weight="2pt"/>
                  <v:imagedata o:title=""/>
                  <o:lock v:ext="edit" aspectratio="f"/>
                </v:shape>
                <v:shape id="_x0000_s1026" o:spid="_x0000_s1026" o:spt="100" style="position:absolute;left:8078;top:14;height:2278;width:20;" fillcolor="#CCE8CF" filled="t" stroked="f" coordsize="20,2278" o:gfxdata="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Q9rq/&#10;AAAA2wAAAA8AAAAAAAAAAQAgAAAAIgAAAGRycy9kb3ducmV2LnhtbFBLAQIUABQAAAAIAIdO4kAz&#10;LwWeOwAAADkAAAAQAAAAAAAAAAEAIAAAAA4BAABkcnMvc2hhcGV4bWwueG1sUEsFBgAAAAAGAAYA&#10;WwEAALgDAAAAAA==&#10;" path="m0,0l0,2277e">
                  <v:fill on="t" focussize="0,0"/>
                  <v:stroke on="f" weight="2pt"/>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iYT70AAADb&#10;AAAADwAAAGRycy9kb3ducmV2LnhtbEWPQWvCQBSE7wX/w/KE3uquoahEVw9iQS+C0Xh+ZJ9JNPs2&#10;ZLdG++u7QqHHYWa+YRarh23EnTpfO9YwHikQxIUzNZcaTsevjxkIH5ANNo5Jw5M8rJaDtwWmxvV8&#10;oHsWShEh7FPUUIXQplL6oiKLfuRa4uhdXGcxRNmV0nTYR7htZKLURFqsOS5U2NK6ouKWfVsNn/lm&#10;+nPML6U9XE0v91mSq91Z6/fhWM1BBHqE//Bfe2s0JFN4fYk/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CJhPvQAA&#10;ANsAAAAPAAAAAAAAAAEAIAAAACIAAABkcnMvZG93bnJldi54bWxQSwECFAAUAAAACACHTuJAMy8F&#10;njsAAAA5AAAAEAAAAAAAAAABACAAAAAMAQAAZHJzL3NoYXBleG1sLnhtbFBLBQYAAAAABgAGAFsB&#10;AAC2AwAAAAA=&#10;">
                  <v:fill on="f" focussize="0,0"/>
                  <v:stroke weight="2pt" color="#000000" joinstyle="round"/>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bKatCr0AAADb&#10;AAAADwAAAGRycy9kb3ducmV2LnhtbEWPQWvCQBSE7wX/w/IEb3XXWLSkrh5EQS8FY+P5kX0mabNv&#10;Q3Y16q/vFoQeh5n5hlmsbrYRV+p87VjDZKxAEBfO1Fxq+DpuX99B+IBssHFMGu7kYbUcvCwwNa7n&#10;A12zUIoIYZ+ihiqENpXSFxVZ9GPXEkfv7DqLIcqulKbDPsJtIxOlZtJizXGhwpbWFRU/2cVqeMs3&#10;88cxP5f28G16+ZkludqftB4NJ+oDRKBb+A8/2zujYZrA3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q0KvQAA&#10;ANsAAAAPAAAAAAAAAAEAIAAAACIAAABkcnMvZG93bnJldi54bWxQSwECFAAUAAAACACHTuJAMy8F&#10;njsAAAA5AAAAEAAAAAAAAAABACAAAAAMAQAAZHJzL3NoYXBleG1sLnhtbFBLBQYAAAAABgAGAFsB&#10;AAC2AwAAAAA=&#10;">
                  <v:fill on="f" focussize="0,0"/>
                  <v:stroke weight="2pt" color="#000000" joinstyle="round"/>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wordWrap w:val="0"/>
        <w:spacing w:line="420" w:lineRule="exact"/>
        <w:ind w:firstLine="490" w:firstLineChars="200"/>
        <w:jc w:val="right"/>
        <w:rPr>
          <w:rFonts w:hint="eastAsia" w:ascii="宋体" w:hAnsi="宋体" w:eastAsia="宋体" w:cs="宋体"/>
          <w:color w:val="auto"/>
          <w:kern w:val="0"/>
          <w:sz w:val="24"/>
          <w:highlight w:val="none"/>
        </w:rPr>
      </w:pPr>
    </w:p>
    <w:p>
      <w:pPr>
        <w:spacing w:line="420" w:lineRule="exact"/>
        <w:ind w:firstLine="490" w:firstLineChars="200"/>
        <w:jc w:val="right"/>
        <w:rPr>
          <w:rFonts w:hint="eastAsia" w:ascii="宋体" w:hAnsi="宋体" w:eastAsia="宋体" w:cs="宋体"/>
          <w:color w:val="auto"/>
          <w:kern w:val="0"/>
          <w:sz w:val="24"/>
          <w:highlight w:val="none"/>
        </w:rPr>
      </w:pPr>
    </w:p>
    <w:p>
      <w:pPr>
        <w:pStyle w:val="14"/>
        <w:rPr>
          <w:rFonts w:hint="eastAsia" w:ascii="宋体" w:hAnsi="宋体" w:eastAsia="宋体" w:cs="宋体"/>
          <w:color w:val="auto"/>
          <w:kern w:val="0"/>
          <w:sz w:val="24"/>
          <w:highlight w:val="none"/>
        </w:rPr>
      </w:pPr>
    </w:p>
    <w:p>
      <w:pPr>
        <w:pStyle w:val="14"/>
        <w:rPr>
          <w:rFonts w:hint="eastAsia" w:ascii="宋体" w:hAnsi="宋体" w:eastAsia="宋体" w:cs="宋体"/>
          <w:color w:val="auto"/>
          <w:kern w:val="0"/>
          <w:sz w:val="24"/>
          <w:highlight w:val="none"/>
        </w:rPr>
      </w:pPr>
    </w:p>
    <w:p>
      <w:pPr>
        <w:spacing w:line="420" w:lineRule="exact"/>
        <w:ind w:firstLine="49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（公章）</w:t>
      </w:r>
    </w:p>
    <w:p>
      <w:pPr>
        <w:wordWrap w:val="0"/>
        <w:spacing w:line="420" w:lineRule="exact"/>
        <w:ind w:right="480" w:firstLine="49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日 </w:t>
      </w:r>
    </w:p>
    <w:p>
      <w:pPr>
        <w:pStyle w:val="8"/>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致：</w:t>
      </w:r>
      <w:r>
        <w:rPr>
          <w:rFonts w:hint="eastAsia" w:ascii="宋体" w:hAnsi="宋体" w:eastAsia="宋体" w:cs="宋体"/>
          <w:color w:val="auto"/>
          <w:spacing w:val="0"/>
          <w:w w:val="100"/>
          <w:kern w:val="0"/>
          <w:position w:val="0"/>
          <w:sz w:val="24"/>
          <w:szCs w:val="24"/>
          <w:highlight w:val="none"/>
          <w:u w:val="single"/>
          <w:shd w:val="clear" w:color="auto" w:fill="auto"/>
          <w:lang w:val="en-US" w:eastAsia="zh-CN" w:bidi="en-US"/>
        </w:rPr>
        <w:t xml:space="preserve">                  （</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采购人名称</w:t>
      </w:r>
      <w:r>
        <w:rPr>
          <w:rFonts w:hint="eastAsia" w:ascii="宋体" w:hAnsi="宋体" w:eastAsia="宋体" w:cs="宋体"/>
          <w:color w:val="auto"/>
          <w:spacing w:val="0"/>
          <w:w w:val="100"/>
          <w:kern w:val="0"/>
          <w:position w:val="0"/>
          <w:sz w:val="24"/>
          <w:szCs w:val="24"/>
          <w:highlight w:val="none"/>
          <w:u w:val="single"/>
          <w:shd w:val="clear" w:color="auto" w:fill="auto"/>
          <w:lang w:val="en-US" w:eastAsia="zh-CN" w:bidi="en-US"/>
        </w:rPr>
        <w:t>）</w:t>
      </w: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p>
    <w:p>
      <w:pPr>
        <w:pStyle w:val="8"/>
        <w:kinsoku w:val="0"/>
        <w:overflowPunct w:val="0"/>
        <w:adjustRightInd w:val="0"/>
        <w:snapToGrid w:val="0"/>
        <w:spacing w:before="12"/>
        <w:rPr>
          <w:rFonts w:hint="eastAsia" w:ascii="宋体" w:hAnsi="宋体" w:eastAsia="宋体" w:cs="宋体"/>
          <w:color w:val="auto"/>
          <w:sz w:val="4"/>
          <w:szCs w:val="4"/>
          <w:highlight w:val="none"/>
        </w:rPr>
      </w:pPr>
    </w:p>
    <w:p>
      <w:pPr>
        <w:pStyle w:val="8"/>
        <w:numPr>
          <w:ilvl w:val="0"/>
          <w:numId w:val="0"/>
        </w:numPr>
        <w:kinsoku w:val="0"/>
        <w:overflowPunct w:val="0"/>
        <w:adjustRightInd w:val="0"/>
        <w:snapToGrid w:val="0"/>
        <w:spacing w:line="200" w:lineRule="atLeast"/>
        <w:ind w:right="1947" w:rightChars="795"/>
        <w:jc w:val="center"/>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458595"/>
                <wp:effectExtent l="635" t="635" r="6350" b="76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11" name="文本框 11"/>
                        <wps:cNvSpPr txBox="1"/>
                        <wps:spPr>
                          <a:xfrm>
                            <a:off x="19" y="19"/>
                            <a:ext cx="4025" cy="2258"/>
                          </a:xfrm>
                          <a:prstGeom prst="rect">
                            <a:avLst/>
                          </a:prstGeom>
                          <a:noFill/>
                          <a:ln w="25400" cap="flat" cmpd="sng" algn="ctr">
                            <a:solidFill>
                              <a:srgbClr val="000000"/>
                            </a:solidFill>
                            <a:prstDash val="solid"/>
                          </a:ln>
                          <a:effectLst/>
                        </wps:spPr>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授权人身份证复印件（正面）</w:t>
                              </w:r>
                              <w:r>
                                <w:rPr>
                                  <w:rFonts w:hint="eastAsia" w:ascii="仿宋" w:hAnsi="仿宋" w:eastAsia="仿宋" w:cs="仿宋"/>
                                  <w:b/>
                                  <w:bCs/>
                                  <w:sz w:val="24"/>
                                  <w:szCs w:val="24"/>
                                  <w:lang w:val="en-US" w:eastAsia="zh-CN"/>
                                </w:rPr>
                                <w:t xml:space="preserve">  </w:t>
                              </w:r>
                            </w:p>
                          </w:txbxContent>
                        </wps:txbx>
                        <wps:bodyPr lIns="0" tIns="0" rIns="0" bIns="0" upright="1"/>
                      </wps:wsp>
                      <wps:wsp>
                        <wps:cNvPr id="12" name="文本框 12"/>
                        <wps:cNvSpPr txBox="1"/>
                        <wps:spPr>
                          <a:xfrm>
                            <a:off x="4044" y="19"/>
                            <a:ext cx="4025" cy="2258"/>
                          </a:xfrm>
                          <a:prstGeom prst="rect">
                            <a:avLst/>
                          </a:prstGeom>
                          <a:noFill/>
                          <a:ln w="25400" cap="flat" cmpd="sng" algn="ctr">
                            <a:solidFill>
                              <a:srgbClr val="000000"/>
                            </a:solidFill>
                            <a:prstDash val="solid"/>
                          </a:ln>
                          <a:effectLst/>
                        </wps:spPr>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l/l9z9YAAAAF&#10;AQAADwAAAAAAAAABACAAAAAiAAAAZHJzL2Rvd25yZXYueG1sUEsBAhQAFAAAAAgAh07iQPAmZkPK&#10;BAAApCIAAA4AAAAAAAAAAQAgAAAAJQEAAGRycy9lMm9Eb2MueG1sUEsFBgAAAAAGAAYAWQEAAGEI&#10;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18FvHbsAAADb&#10;AAAADwAAAGRycy9kb3ducmV2LnhtbEVPTWvCQBC9F/oflin0VncjxZboJgdRsBfBaHoesmMSzc6G&#10;7Gqsv94tFHqbx/ucRX6znbjS4FvHGpKJAkFcOdNyreGwX799gvAB2WDnmDT8kIc8e35aYGrcyDu6&#10;FqEWMYR9ihqaEPpUSl81ZNFPXE8cuaMbLIYIh1qaAccYbjs5VWomLbYcGxrsadlQdS4uVsN7ufq4&#10;78tjbXcnM8ptMS3V17fWry+JmoMIdAv/4j/3xsT5Cfz+Eg+Q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8FvHbsAAADb&#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授权人身份证复印件（正面）</w:t>
                        </w:r>
                        <w:r>
                          <w:rPr>
                            <w:rFonts w:hint="eastAsia" w:ascii="仿宋" w:hAnsi="仿宋" w:eastAsia="仿宋" w:cs="仿宋"/>
                            <w:b/>
                            <w:bCs/>
                            <w:sz w:val="24"/>
                            <w:szCs w:val="24"/>
                            <w:lang w:val="en-US" w:eastAsia="zh-CN"/>
                          </w:rPr>
                          <w:t xml:space="preserve">  </w:t>
                        </w:r>
                      </w:p>
                    </w:txbxContent>
                  </v:textbox>
                </v:shape>
                <v:shape id="_x0000_s1026" o:spid="_x0000_s1026" o:spt="202" type="#_x0000_t202" style="position:absolute;left:4044;top:19;height:2258;width:4025;" filled="f" stroked="t" coordsize="21600,21600" o:gfxdata="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PxarsAAADb&#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7150" cy="1384935"/>
                <wp:effectExtent l="635" t="635" r="5715" b="508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a:effectLst/>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upright="1"/>
                      </wps:wsp>
                      <wps:wsp>
                        <wps:cNvPr id="47" name="文本框 44"/>
                        <wps:cNvSpPr txBox="1"/>
                        <wps:spPr>
                          <a:xfrm>
                            <a:off x="19" y="19"/>
                            <a:ext cx="4025" cy="2142"/>
                          </a:xfrm>
                          <a:prstGeom prst="rect">
                            <a:avLst/>
                          </a:prstGeom>
                          <a:noFill/>
                          <a:ln w="25400" cap="flat" cmpd="sng" algn="ctr">
                            <a:solidFill>
                              <a:srgbClr val="000000"/>
                            </a:solidFill>
                            <a:prstDash val="solid"/>
                          </a:ln>
                          <a:effectLst/>
                        </wps:spPr>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w="25400" cap="flat" cmpd="sng" algn="ctr">
                            <a:solidFill>
                              <a:srgbClr val="000000"/>
                            </a:solidFill>
                            <a:prstDash val="solid"/>
                          </a:ln>
                          <a:effectLst/>
                        </wps:spPr>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Dwh8Uj1QAAAAUBAAAP&#10;AAAAAAAAAAEAIAAAACIAAABkcnMvZG93bnJldi54bWxQSwECFAAUAAAACACHTuJAKc8rDscEAAC1&#10;IgAADgAAAAAAAAABACAAAAAkAQAAZHJzL2Uyb0RvYy54bWxQSwUGAAAAAAYABgBZAQAAXQg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JNd977wAAADb&#10;AAAADwAAAGRycy9kb3ducmV2LnhtbEWPQYvCMBSE7wv7H8Jb8LYmiqhUo4dlhd2LYLWeH82zrTYv&#10;pYlW/fVGEDwOM98MM19ebS0u1PrKsYZBX4Egzp2puNCw266+pyB8QDZYOyYNN/KwXHx+zDExruMN&#10;XdJQiFjCPkENZQhNIqXPS7Lo+64hjt7BtRZDlG0hTYtdLLe1HCo1lhYrjgslNvRTUn5Kz1bDKPud&#10;3LfZobCbo+nkOh1m6n+vde9roGYgAl3DO/yi/0zkJvD8E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Xfe+8AAAA&#10;2w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VUjpnboAAADb&#10;AAAADwAAAGRycy9kb3ducmV2LnhtbEVPTWvCQBC9F/wPywi91V2laEldPYiCXgrGpuchOyZps7Mh&#10;uxrbX985CB4f73u5vvlWXamPTWAL04kBRVwG13Bl4fO0e3kDFROywzYwWfilCOvV6GmJmQsDH+ma&#10;p0pJCMcMLdQpdZnWsazJY5yEjli4c+g9JoF9pV2Pg4T7Vs+MmWuPDUtDjR1taip/8ou38FpsF3+n&#10;4lz547cb9Ec+K8zhy9rn8dS8g0p0Sw/x3b134pOx8kV+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SOmdugAAANsA&#10;AAAPAAAAAAAAAAEAIAAAACIAAABkcnMvZG93bnJldi54bWxQSwECFAAUAAAACACHTuJAMy8FnjsA&#10;AAA5AAAAEAAAAAAAAAABACAAAAAJAQAAZHJzL3NoYXBleG1sLnhtbFBLBQYAAAAABgAGAFsBAACz&#10;AwAAAAA=&#10;">
                  <v:fill on="f" focussize="0,0"/>
                  <v:stroke weight="2pt" color="#000000" joinstyle="round"/>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投标人法定代表人（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p>
    <w:p>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p>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话：</w:t>
      </w:r>
    </w:p>
    <w:p>
      <w:pPr>
        <w:pStyle w:val="8"/>
        <w:numPr>
          <w:ilvl w:val="0"/>
          <w:numId w:val="0"/>
        </w:numPr>
        <w:tabs>
          <w:tab w:val="left" w:pos="5631"/>
          <w:tab w:val="left" w:pos="6591"/>
          <w:tab w:val="left" w:pos="7191"/>
          <w:tab w:val="left" w:pos="7791"/>
          <w:tab w:val="left" w:pos="8247"/>
          <w:tab w:val="clear" w:pos="780"/>
        </w:tabs>
        <w:kinsoku w:val="0"/>
        <w:overflowPunct w:val="0"/>
        <w:adjustRightInd w:val="0"/>
        <w:snapToGrid w:val="0"/>
        <w:spacing w:line="360" w:lineRule="auto"/>
        <w:ind w:left="709" w:leftChars="0" w:right="238"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（盖章）</w:t>
      </w:r>
    </w:p>
    <w:p>
      <w:pPr>
        <w:pStyle w:val="8"/>
        <w:numPr>
          <w:ilvl w:val="0"/>
          <w:numId w:val="0"/>
        </w:numPr>
        <w:tabs>
          <w:tab w:val="left" w:pos="5145"/>
          <w:tab w:val="left" w:pos="6591"/>
          <w:tab w:val="left" w:pos="7191"/>
          <w:tab w:val="left" w:pos="7791"/>
          <w:tab w:val="left" w:pos="8247"/>
          <w:tab w:val="clear" w:pos="780"/>
        </w:tabs>
        <w:kinsoku w:val="0"/>
        <w:overflowPunct w:val="0"/>
        <w:adjustRightInd w:val="0"/>
        <w:snapToGrid w:val="0"/>
        <w:spacing w:line="360" w:lineRule="auto"/>
        <w:ind w:leftChars="50" w:right="238" w:rightChars="0" w:firstLine="2940" w:firstLineChars="1200"/>
        <w:jc w:val="both"/>
        <w:rPr>
          <w:rFonts w:hint="eastAsia" w:ascii="宋体" w:hAnsi="宋体" w:eastAsia="宋体" w:cs="宋体"/>
          <w:color w:val="auto"/>
          <w:sz w:val="24"/>
          <w:highlight w:val="none"/>
        </w:rPr>
      </w:pPr>
    </w:p>
    <w:p>
      <w:pPr>
        <w:pStyle w:val="8"/>
        <w:numPr>
          <w:ilvl w:val="0"/>
          <w:numId w:val="0"/>
        </w:numPr>
        <w:tabs>
          <w:tab w:val="left" w:pos="5145"/>
          <w:tab w:val="left" w:pos="6591"/>
          <w:tab w:val="left" w:pos="7191"/>
          <w:tab w:val="left" w:pos="7791"/>
          <w:tab w:val="left" w:pos="8247"/>
          <w:tab w:val="clear" w:pos="780"/>
        </w:tabs>
        <w:kinsoku w:val="0"/>
        <w:overflowPunct w:val="0"/>
        <w:adjustRightInd w:val="0"/>
        <w:snapToGrid w:val="0"/>
        <w:spacing w:line="360" w:lineRule="auto"/>
        <w:ind w:leftChars="50" w:right="238" w:rightChars="0" w:firstLine="2940" w:firstLineChars="1200"/>
        <w:jc w:val="both"/>
        <w:rPr>
          <w:rFonts w:hint="eastAsia" w:ascii="宋体" w:hAnsi="宋体" w:eastAsia="宋体" w:cs="宋体"/>
          <w:color w:val="auto"/>
          <w:sz w:val="20"/>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0"/>
          <w:highlight w:val="none"/>
        </w:rPr>
        <w:t xml:space="preserve">               </w:t>
      </w:r>
    </w:p>
    <w:p>
      <w:pPr>
        <w:pStyle w:val="8"/>
        <w:numPr>
          <w:ilvl w:val="0"/>
          <w:numId w:val="0"/>
        </w:numPr>
        <w:tabs>
          <w:tab w:val="clear" w:pos="780"/>
        </w:tabs>
        <w:kinsoku w:val="0"/>
        <w:overflowPunct w:val="0"/>
        <w:spacing w:before="34" w:line="357" w:lineRule="auto"/>
        <w:ind w:left="480" w:right="126"/>
        <w:jc w:val="center"/>
        <w:rPr>
          <w:rFonts w:hint="eastAsia" w:ascii="宋体" w:hAnsi="宋体" w:eastAsia="宋体" w:cs="宋体"/>
          <w:b/>
          <w:bCs/>
          <w:color w:val="auto"/>
          <w:sz w:val="36"/>
          <w:szCs w:val="36"/>
          <w:highlight w:val="none"/>
        </w:rPr>
      </w:pPr>
    </w:p>
    <w:p>
      <w:pPr>
        <w:pStyle w:val="4"/>
        <w:numPr>
          <w:ilvl w:val="0"/>
          <w:numId w:val="0"/>
        </w:numPr>
        <w:shd w:val="clear" w:color="auto" w:fill="auto"/>
        <w:spacing w:before="0" w:line="240" w:lineRule="atLeast"/>
        <w:outlineLvl w:val="9"/>
        <w:rPr>
          <w:rFonts w:hint="eastAsia" w:ascii="宋体" w:hAnsi="宋体" w:eastAsia="宋体" w:cs="宋体"/>
          <w:b/>
          <w:bCs/>
          <w:color w:val="auto"/>
          <w:spacing w:val="0"/>
          <w:w w:val="100"/>
          <w:position w:val="0"/>
          <w:sz w:val="36"/>
          <w:szCs w:val="36"/>
          <w:highlight w:val="none"/>
          <w:shd w:val="clear" w:color="auto" w:fill="auto"/>
          <w:lang w:val="en-US" w:eastAsia="zh-CN" w:bidi="en-US"/>
        </w:rPr>
      </w:pPr>
    </w:p>
    <w:p>
      <w:pPr>
        <w:pStyle w:val="4"/>
        <w:numPr>
          <w:ilvl w:val="0"/>
          <w:numId w:val="0"/>
        </w:numPr>
        <w:shd w:val="clear" w:color="auto" w:fill="auto"/>
        <w:spacing w:before="0" w:line="240" w:lineRule="atLeast"/>
        <w:rPr>
          <w:rFonts w:hint="eastAsia" w:ascii="宋体" w:hAnsi="宋体" w:eastAsia="宋体" w:cs="宋体"/>
          <w:b/>
          <w:bCs/>
          <w:color w:val="auto"/>
          <w:spacing w:val="0"/>
          <w:w w:val="100"/>
          <w:position w:val="0"/>
          <w:sz w:val="30"/>
          <w:szCs w:val="30"/>
          <w:highlight w:val="none"/>
          <w:shd w:val="clear" w:color="auto" w:fill="auto"/>
          <w:lang w:val="en-US" w:eastAsia="zh-CN" w:bidi="en-US"/>
        </w:rPr>
      </w:pPr>
    </w:p>
    <w:p>
      <w:pPr>
        <w:pStyle w:val="4"/>
        <w:numPr>
          <w:ilvl w:val="0"/>
          <w:numId w:val="0"/>
        </w:numPr>
        <w:shd w:val="clear" w:color="auto" w:fill="auto"/>
        <w:spacing w:before="0" w:line="240" w:lineRule="atLeast"/>
        <w:rPr>
          <w:rFonts w:hint="eastAsia" w:ascii="宋体" w:hAnsi="宋体" w:eastAsia="宋体" w:cs="宋体"/>
          <w:b/>
          <w:bCs/>
          <w:color w:val="auto"/>
          <w:spacing w:val="0"/>
          <w:w w:val="100"/>
          <w:position w:val="0"/>
          <w:sz w:val="30"/>
          <w:szCs w:val="30"/>
          <w:highlight w:val="none"/>
          <w:shd w:val="clear" w:color="auto" w:fill="auto"/>
          <w:lang w:val="en-US" w:eastAsia="en-US" w:bidi="en-US"/>
        </w:rPr>
      </w:pPr>
      <w:r>
        <w:rPr>
          <w:rFonts w:hint="eastAsia" w:ascii="宋体" w:hAnsi="宋体" w:eastAsia="宋体" w:cs="宋体"/>
          <w:b/>
          <w:bCs/>
          <w:color w:val="auto"/>
          <w:spacing w:val="0"/>
          <w:w w:val="100"/>
          <w:position w:val="0"/>
          <w:sz w:val="30"/>
          <w:szCs w:val="30"/>
          <w:highlight w:val="none"/>
          <w:shd w:val="clear" w:color="auto" w:fill="auto"/>
          <w:lang w:val="en-US" w:eastAsia="zh-CN" w:bidi="en-US"/>
        </w:rPr>
        <w:t>4、</w:t>
      </w:r>
      <w:r>
        <w:rPr>
          <w:rFonts w:hint="eastAsia" w:ascii="宋体" w:hAnsi="宋体" w:eastAsia="宋体" w:cs="宋体"/>
          <w:b/>
          <w:bCs/>
          <w:color w:val="auto"/>
          <w:spacing w:val="0"/>
          <w:w w:val="100"/>
          <w:position w:val="0"/>
          <w:sz w:val="30"/>
          <w:szCs w:val="30"/>
          <w:highlight w:val="none"/>
          <w:shd w:val="clear" w:color="auto" w:fill="auto"/>
          <w:lang w:val="en-US" w:eastAsia="en-US" w:bidi="en-US"/>
        </w:rPr>
        <w:t>投标保证金缴纳凭证或投标担保函</w:t>
      </w:r>
    </w:p>
    <w:p>
      <w:pPr>
        <w:shd w:val="clear" w:color="auto" w:fill="auto"/>
        <w:ind w:firstLine="490" w:firstLineChars="200"/>
        <w:rPr>
          <w:rFonts w:hint="eastAsia" w:ascii="宋体" w:hAnsi="宋体" w:eastAsia="宋体" w:cs="宋体"/>
          <w:color w:val="auto"/>
          <w:sz w:val="24"/>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spacing w:line="240" w:lineRule="atLeast"/>
        <w:ind w:left="1169"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打款凭证</w:t>
            </w:r>
          </w:p>
        </w:tc>
      </w:tr>
    </w:tbl>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ind w:left="4777" w:leftChars="200" w:hanging="4287" w:hangingChars="175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2"/>
          <w:szCs w:val="32"/>
          <w:highlight w:val="none"/>
          <w:lang w:val="en-US" w:eastAsia="zh-CN"/>
        </w:rPr>
      </w:pPr>
      <w:bookmarkStart w:id="57" w:name="bookmark235"/>
      <w:bookmarkStart w:id="58" w:name="bookmark226"/>
      <w:bookmarkStart w:id="59" w:name="bookmark233"/>
      <w:bookmarkStart w:id="60" w:name="bookmark234"/>
      <w:bookmarkStart w:id="61" w:name="bookmark225"/>
      <w:bookmarkStart w:id="62" w:name="bookmark228"/>
      <w:bookmarkStart w:id="63" w:name="bookmark236"/>
      <w:r>
        <w:rPr>
          <w:rFonts w:hint="eastAsia" w:ascii="宋体" w:hAnsi="宋体" w:eastAsia="宋体" w:cs="宋体"/>
          <w:b/>
          <w:bCs/>
          <w:color w:val="auto"/>
          <w:sz w:val="30"/>
          <w:szCs w:val="30"/>
          <w:highlight w:val="none"/>
          <w:lang w:val="en-US" w:eastAsia="zh-CN"/>
        </w:rPr>
        <w:t>5、参加采购活动前三年内，在经营活动中没有重大违法记录，供应商须提供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7、具备履行合同所必需的设备和专业技术能力的证明材料（复印件加盖单位公章）；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8、投标人须具备有效的林木种子生产经营许可证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10" w:firstLineChars="200"/>
        <w:jc w:val="lef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9、投标人须知资料表要求的其他资格证明文件;</w:t>
      </w:r>
    </w:p>
    <w:p>
      <w:pPr>
        <w:snapToGrid w:val="0"/>
        <w:spacing w:line="360" w:lineRule="auto"/>
        <w:rPr>
          <w:rFonts w:hint="eastAsia" w:ascii="宋体" w:hAnsi="宋体" w:eastAsia="宋体" w:cs="宋体"/>
          <w:b/>
          <w:color w:val="auto"/>
          <w:highlight w:val="none"/>
          <w:lang w:val="en-US" w:eastAsia="zh-CN"/>
        </w:rPr>
      </w:pPr>
    </w:p>
    <w:p>
      <w:pPr>
        <w:snapToGrid w:val="0"/>
        <w:spacing w:line="360" w:lineRule="auto"/>
        <w:rPr>
          <w:rFonts w:hint="eastAsia" w:ascii="宋体" w:hAnsi="宋体" w:eastAsia="宋体" w:cs="宋体"/>
          <w:b/>
          <w:color w:val="auto"/>
          <w:highlight w:val="none"/>
          <w:lang w:val="en-US" w:eastAsia="zh-CN"/>
        </w:rPr>
      </w:pPr>
    </w:p>
    <w:p>
      <w:pPr>
        <w:snapToGrid w:val="0"/>
        <w:spacing w:line="360" w:lineRule="auto"/>
        <w:rPr>
          <w:rFonts w:hint="eastAsia" w:ascii="宋体" w:hAnsi="宋体" w:eastAsia="宋体" w:cs="宋体"/>
          <w:b/>
          <w:color w:val="auto"/>
          <w:highlight w:val="none"/>
          <w:lang w:val="en-US" w:eastAsia="zh-CN"/>
        </w:rPr>
      </w:pPr>
    </w:p>
    <w:p>
      <w:pPr>
        <w:snapToGrid w:val="0"/>
        <w:spacing w:line="360" w:lineRule="auto"/>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pStyle w:val="2"/>
        <w:rPr>
          <w:rFonts w:hint="eastAsia" w:ascii="宋体" w:hAnsi="宋体" w:eastAsia="宋体" w:cs="宋体"/>
          <w:b/>
          <w:color w:val="auto"/>
          <w:highlight w:val="none"/>
          <w:lang w:val="en-US" w:eastAsia="zh-CN"/>
        </w:rPr>
      </w:pPr>
    </w:p>
    <w:p>
      <w:pPr>
        <w:snapToGrid w:val="0"/>
        <w:spacing w:line="360" w:lineRule="auto"/>
        <w:rPr>
          <w:rFonts w:hint="eastAsia" w:ascii="宋体" w:hAnsi="宋体" w:eastAsia="宋体" w:cs="宋体"/>
          <w:b/>
          <w:color w:val="auto"/>
          <w:highlight w:val="none"/>
          <w:lang w:val="en-US" w:eastAsia="zh-CN"/>
        </w:rPr>
      </w:pPr>
    </w:p>
    <w:p>
      <w:pPr>
        <w:snapToGrid w:val="0"/>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商务及技术文件</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1、投标函</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2、报价一览表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3、货物说明一览表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4、投标分项报价表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5、技术规格偏离表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6、商务条款偏离表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7、投标人基本情况表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8、近三年（2020年1月1日至今）类似项目业绩表</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9、供货方案及培训方案</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10、服务方案</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11、售后服务承诺书</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12、中小企业声明函(货物)</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13、《残疾人福利性单位声明函》</w:t>
      </w:r>
    </w:p>
    <w:p>
      <w:pPr>
        <w:snapToGrid w:val="0"/>
        <w:spacing w:line="360" w:lineRule="auto"/>
        <w:ind w:firstLine="49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14、投标人认为有必要提供的其他证明材料</w:t>
      </w:r>
    </w:p>
    <w:p>
      <w:pPr>
        <w:pStyle w:val="34"/>
        <w:rPr>
          <w:rFonts w:hint="eastAsia" w:ascii="宋体" w:hAnsi="宋体" w:eastAsia="宋体" w:cs="宋体"/>
          <w:color w:val="auto"/>
          <w:highlight w:val="none"/>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9"/>
        <w:rPr>
          <w:rFonts w:hint="eastAsia"/>
          <w:color w:val="auto"/>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right="7" w:rightChars="0"/>
        <w:jc w:val="both"/>
        <w:rPr>
          <w:rFonts w:hint="eastAsia" w:ascii="宋体" w:hAnsi="宋体" w:eastAsia="宋体" w:cs="宋体"/>
          <w:b/>
          <w:bCs/>
          <w:color w:val="auto"/>
          <w:sz w:val="36"/>
          <w:szCs w:val="36"/>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为响应你方组织的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项目的招标[项目编号为：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我方确认收到贵方提供的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lang w:eastAsia="zh-CN"/>
        </w:rPr>
        <w:t>谈判文件</w:t>
      </w:r>
      <w:r>
        <w:rPr>
          <w:rFonts w:hint="eastAsia" w:ascii="宋体" w:hAnsi="宋体" w:eastAsia="宋体" w:cs="宋体"/>
          <w:color w:val="auto"/>
          <w:kern w:val="0"/>
          <w:sz w:val="24"/>
          <w:highlight w:val="none"/>
        </w:rPr>
        <w:t>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我方在参与投标前已详细研究了</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的所有内容，包括澄清、修改文件（如果有）和所有已提供的参考资料以及有关附件，我方完全明白并认为此</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没有倾向性，也不存在排斥潜在报价投标人的内容，我方同意</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的相关条款，放弃对</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(投标人名称)      </w:t>
      </w:r>
      <w:r>
        <w:rPr>
          <w:rFonts w:hint="eastAsia" w:ascii="宋体" w:hAnsi="宋体" w:eastAsia="宋体" w:cs="宋体"/>
          <w:color w:val="auto"/>
          <w:kern w:val="0"/>
          <w:sz w:val="24"/>
          <w:highlight w:val="none"/>
        </w:rPr>
        <w:t>作为投标人正式授权</w:t>
      </w:r>
      <w:r>
        <w:rPr>
          <w:rFonts w:hint="eastAsia" w:ascii="宋体" w:hAnsi="宋体" w:eastAsia="宋体" w:cs="宋体"/>
          <w:color w:val="auto"/>
          <w:kern w:val="0"/>
          <w:sz w:val="24"/>
          <w:highlight w:val="none"/>
          <w:u w:val="single"/>
        </w:rPr>
        <w:t xml:space="preserve">  (授权代表全名, 职务)  </w:t>
      </w:r>
      <w:r>
        <w:rPr>
          <w:rFonts w:hint="eastAsia" w:ascii="宋体" w:hAnsi="宋体" w:eastAsia="宋体" w:cs="宋体"/>
          <w:color w:val="auto"/>
          <w:kern w:val="0"/>
          <w:sz w:val="24"/>
          <w:highlight w:val="none"/>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我方已完全明白</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的所有条款要求，并申明如下：</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（一）按</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提供的全部货物与相关服务的投标总价详见《报价一览表》。</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的有效期为投标截止时间起</w:t>
      </w:r>
      <w:r>
        <w:rPr>
          <w:rFonts w:hint="eastAsia" w:ascii="宋体" w:hAnsi="宋体" w:eastAsia="宋体" w:cs="宋体"/>
          <w:color w:val="auto"/>
          <w:kern w:val="0"/>
          <w:sz w:val="24"/>
          <w:highlight w:val="none"/>
          <w:u w:val="single"/>
          <w:lang w:val="en-US" w:eastAsia="zh-CN"/>
        </w:rPr>
        <w:t>90</w:t>
      </w:r>
      <w:r>
        <w:rPr>
          <w:rFonts w:hint="eastAsia" w:ascii="宋体" w:hAnsi="宋体" w:eastAsia="宋体" w:cs="宋体"/>
          <w:color w:val="auto"/>
          <w:kern w:val="0"/>
          <w:sz w:val="24"/>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（三）我方同意按照贵方可能提出的要求而提供与投标有关的任何其它数据、信息或资料。</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四</w:t>
      </w:r>
      <w:r>
        <w:rPr>
          <w:rFonts w:hint="eastAsia" w:ascii="宋体" w:hAnsi="宋体" w:eastAsia="宋体" w:cs="宋体"/>
          <w:color w:val="auto"/>
          <w:kern w:val="0"/>
          <w:sz w:val="24"/>
          <w:highlight w:val="none"/>
        </w:rPr>
        <w:t>）我方理解贵方不一定接受最低投标价或任何贵方可能收到的投标。</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五</w:t>
      </w:r>
      <w:r>
        <w:rPr>
          <w:rFonts w:hint="eastAsia" w:ascii="宋体" w:hAnsi="宋体" w:eastAsia="宋体" w:cs="宋体"/>
          <w:color w:val="auto"/>
          <w:kern w:val="0"/>
          <w:sz w:val="24"/>
          <w:highlight w:val="none"/>
        </w:rPr>
        <w:t>）我方如果中标，将保证履行</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及其澄清、修改文件（如果有）中的全部责任和义务，按质、按量、按期完成《招标内容》及《合同书》中的全部任务。</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六</w:t>
      </w:r>
      <w:r>
        <w:rPr>
          <w:rFonts w:hint="eastAsia" w:ascii="宋体" w:hAnsi="宋体" w:eastAsia="宋体" w:cs="宋体"/>
          <w:color w:val="auto"/>
          <w:kern w:val="0"/>
          <w:sz w:val="24"/>
          <w:highlight w:val="none"/>
        </w:rPr>
        <w:t>）如我方被授予合同，我方承诺支付就本次招标应支付或将支付的中标服务费（详见按</w:t>
      </w:r>
      <w:r>
        <w:rPr>
          <w:rFonts w:hint="eastAsia" w:ascii="宋体" w:hAnsi="宋体" w:eastAsia="宋体" w:cs="宋体"/>
          <w:color w:val="auto"/>
          <w:kern w:val="0"/>
          <w:sz w:val="24"/>
          <w:highlight w:val="none"/>
          <w:lang w:eastAsia="zh-CN"/>
        </w:rPr>
        <w:t>谈判文件</w:t>
      </w:r>
      <w:r>
        <w:rPr>
          <w:rFonts w:hint="eastAsia" w:ascii="宋体" w:hAnsi="宋体" w:eastAsia="宋体" w:cs="宋体"/>
          <w:color w:val="auto"/>
          <w:kern w:val="0"/>
          <w:sz w:val="24"/>
          <w:highlight w:val="none"/>
        </w:rPr>
        <w:t>要求格式填写的《中标服务费支付承诺书》）。</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七</w:t>
      </w:r>
      <w:r>
        <w:rPr>
          <w:rFonts w:hint="eastAsia" w:ascii="宋体" w:hAnsi="宋体" w:eastAsia="宋体" w:cs="宋体"/>
          <w:color w:val="auto"/>
          <w:kern w:val="0"/>
          <w:sz w:val="24"/>
          <w:highlight w:val="none"/>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八</w:t>
      </w:r>
      <w:r>
        <w:rPr>
          <w:rFonts w:hint="eastAsia" w:ascii="宋体" w:hAnsi="宋体" w:eastAsia="宋体" w:cs="宋体"/>
          <w:color w:val="auto"/>
          <w:kern w:val="0"/>
          <w:sz w:val="24"/>
          <w:highlight w:val="none"/>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九</w:t>
      </w:r>
      <w:r>
        <w:rPr>
          <w:rFonts w:hint="eastAsia" w:ascii="宋体" w:hAnsi="宋体" w:eastAsia="宋体" w:cs="宋体"/>
          <w:color w:val="auto"/>
          <w:kern w:val="0"/>
          <w:sz w:val="24"/>
          <w:highlight w:val="none"/>
        </w:rPr>
        <w:t>）我方与其他投标人不存在单位负责人为同一人或者存在直接控股、管理关系。</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（十）我方承诺未为本项目提供整体设计、规范编制或者项目管理、监理、检测等服务。</w:t>
      </w:r>
    </w:p>
    <w:p>
      <w:pPr>
        <w:spacing w:line="480" w:lineRule="exact"/>
        <w:ind w:firstLine="49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w:t>
      </w:r>
      <w:r>
        <w:rPr>
          <w:rFonts w:hint="eastAsia" w:ascii="宋体" w:hAnsi="宋体" w:eastAsia="宋体" w:cs="宋体"/>
          <w:color w:val="auto"/>
          <w:kern w:val="0"/>
          <w:sz w:val="24"/>
          <w:highlight w:val="none"/>
          <w:lang w:eastAsia="zh-CN"/>
        </w:rPr>
        <w:t>一</w:t>
      </w:r>
      <w:r>
        <w:rPr>
          <w:rFonts w:hint="eastAsia" w:ascii="宋体" w:hAnsi="宋体" w:eastAsia="宋体" w:cs="宋体"/>
          <w:color w:val="auto"/>
          <w:kern w:val="0"/>
          <w:sz w:val="24"/>
          <w:highlight w:val="none"/>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（十三）我方对在本函及</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.邮政编码：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    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代表姓名：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.职    务：</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法定代表人或委托人：</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签字或盖章</w:t>
      </w:r>
      <w:r>
        <w:rPr>
          <w:rFonts w:hint="eastAsia" w:ascii="宋体" w:hAnsi="宋体" w:eastAsia="宋体" w:cs="宋体"/>
          <w:color w:val="auto"/>
          <w:kern w:val="0"/>
          <w:sz w:val="24"/>
          <w:highlight w:val="none"/>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pStyle w:val="34"/>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pPr>
        <w:pStyle w:val="6"/>
        <w:shd w:val="clear" w:color="auto" w:fill="auto"/>
        <w:tabs>
          <w:tab w:val="left" w:pos="5580"/>
        </w:tabs>
        <w:spacing w:line="240" w:lineRule="atLeast"/>
        <w:ind w:firstLine="3383" w:firstLineChars="927"/>
        <w:jc w:val="both"/>
        <w:rPr>
          <w:rFonts w:hint="eastAsia" w:ascii="宋体" w:hAnsi="宋体" w:eastAsia="宋体" w:cs="宋体"/>
          <w:color w:val="auto"/>
          <w:highlight w:val="none"/>
        </w:rPr>
      </w:pPr>
      <w:r>
        <w:rPr>
          <w:rFonts w:hint="eastAsia" w:ascii="宋体" w:hAnsi="宋体" w:eastAsia="宋体" w:cs="宋体"/>
          <w:b/>
          <w:bCs w:val="0"/>
          <w:color w:val="auto"/>
          <w:sz w:val="36"/>
          <w:szCs w:val="24"/>
          <w:highlight w:val="none"/>
          <w:lang w:val="en-US" w:eastAsia="zh-CN"/>
        </w:rPr>
        <w:t>2</w:t>
      </w:r>
      <w:r>
        <w:rPr>
          <w:rFonts w:hint="eastAsia" w:ascii="宋体" w:hAnsi="宋体" w:eastAsia="宋体" w:cs="宋体"/>
          <w:b/>
          <w:bCs w:val="0"/>
          <w:color w:val="auto"/>
          <w:sz w:val="36"/>
          <w:szCs w:val="24"/>
          <w:highlight w:val="none"/>
          <w:lang w:eastAsia="zh-CN"/>
        </w:rPr>
        <w:t>、报价一览表</w:t>
      </w:r>
      <w:r>
        <w:rPr>
          <w:rFonts w:hint="eastAsia" w:ascii="宋体" w:hAnsi="宋体" w:eastAsia="宋体" w:cs="宋体"/>
          <w:b w:val="0"/>
          <w:bCs/>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1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供货期</w:t>
            </w:r>
            <w:r>
              <w:rPr>
                <w:rFonts w:hint="eastAsia" w:ascii="宋体" w:hAnsi="宋体" w:eastAsia="宋体" w:cs="宋体"/>
                <w:color w:val="auto"/>
                <w:szCs w:val="21"/>
                <w:highlight w:val="none"/>
                <w:lang w:eastAsia="zh-CN"/>
              </w:rPr>
              <w:t>（天）</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79"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1.开标时，本表中的内容与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.投标总价为招标范围所列全部招标项目的报价总和，并应与投标报价明细表及分项价格表保持一致。</w:t>
      </w:r>
    </w:p>
    <w:p>
      <w:pPr>
        <w:shd w:val="clear" w:color="auto" w:fill="auto"/>
        <w:spacing w:line="500" w:lineRule="exact"/>
        <w:ind w:firstLine="490" w:firstLineChars="200"/>
        <w:rPr>
          <w:rFonts w:hint="eastAsia" w:ascii="宋体" w:hAnsi="宋体" w:eastAsia="宋体" w:cs="宋体"/>
          <w:color w:val="auto"/>
          <w:szCs w:val="21"/>
          <w:highlight w:val="none"/>
        </w:rPr>
      </w:pP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9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numPr>
          <w:ilvl w:val="0"/>
          <w:numId w:val="0"/>
        </w:numPr>
        <w:shd w:val="clear" w:color="auto" w:fill="auto"/>
        <w:spacing w:before="0" w:line="240" w:lineRule="atLeast"/>
        <w:outlineLvl w:val="9"/>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outlineLvl w:val="9"/>
        <w:rPr>
          <w:rFonts w:hint="eastAsia" w:ascii="宋体" w:hAnsi="宋体" w:eastAsia="宋体" w:cs="宋体"/>
          <w:b/>
          <w:bCs/>
          <w:color w:val="auto"/>
          <w:sz w:val="24"/>
          <w:highlight w:val="none"/>
        </w:rPr>
      </w:pPr>
    </w:p>
    <w:p>
      <w:pPr>
        <w:pStyle w:val="11"/>
        <w:shd w:val="clear" w:color="auto" w:fill="auto"/>
        <w:spacing w:line="240" w:lineRule="atLeast"/>
        <w:ind w:left="1169" w:leftChars="257" w:hanging="540"/>
        <w:jc w:val="center"/>
        <w:rPr>
          <w:rFonts w:hint="eastAsia" w:ascii="宋体" w:hAnsi="宋体" w:eastAsia="宋体" w:cs="宋体"/>
          <w:color w:val="auto"/>
          <w:sz w:val="24"/>
          <w:highlight w:val="none"/>
        </w:rPr>
      </w:pPr>
    </w:p>
    <w:p>
      <w:pPr>
        <w:pStyle w:val="11"/>
        <w:shd w:val="clear" w:color="auto" w:fill="auto"/>
        <w:spacing w:line="240" w:lineRule="atLeast"/>
        <w:ind w:left="1169" w:leftChars="257" w:hanging="540"/>
        <w:jc w:val="center"/>
        <w:rPr>
          <w:rFonts w:hint="eastAsia" w:ascii="宋体" w:hAnsi="宋体" w:eastAsia="宋体" w:cs="宋体"/>
          <w:color w:val="auto"/>
          <w:sz w:val="24"/>
          <w:highlight w:val="none"/>
        </w:rPr>
        <w:sectPr>
          <w:footerReference r:id="rId4" w:type="default"/>
          <w:pgSz w:w="11905" w:h="16838"/>
          <w:pgMar w:top="1440" w:right="1417" w:bottom="1440" w:left="1417" w:header="850" w:footer="992" w:gutter="0"/>
          <w:pgNumType w:fmt="decimal"/>
          <w:cols w:space="0" w:num="1"/>
          <w:rtlGutter w:val="0"/>
          <w:docGrid w:type="linesAndChars" w:linePitch="332" w:charSpace="1057"/>
        </w:sectPr>
      </w:pPr>
    </w:p>
    <w:p>
      <w:pPr>
        <w:pStyle w:val="35"/>
        <w:keepNext/>
        <w:keepLines/>
        <w:widowControl w:val="0"/>
        <w:numPr>
          <w:ilvl w:val="0"/>
          <w:numId w:val="0"/>
        </w:numPr>
        <w:shd w:val="clear" w:color="auto" w:fill="auto"/>
        <w:bidi w:val="0"/>
        <w:spacing w:before="0" w:after="220" w:line="240" w:lineRule="auto"/>
        <w:ind w:right="0" w:rightChars="0"/>
        <w:jc w:val="center"/>
        <w:rPr>
          <w:rFonts w:hint="eastAsia" w:ascii="宋体" w:hAnsi="宋体" w:eastAsia="宋体" w:cs="宋体"/>
          <w:b/>
          <w:bCs/>
          <w:i w:val="0"/>
          <w:iCs w:val="0"/>
          <w:color w:val="auto"/>
          <w:spacing w:val="0"/>
          <w:w w:val="100"/>
          <w:position w:val="0"/>
          <w:highlight w:val="none"/>
        </w:rPr>
      </w:pPr>
      <w:r>
        <w:rPr>
          <w:rFonts w:hint="eastAsia" w:ascii="宋体" w:hAnsi="宋体" w:eastAsia="宋体" w:cs="宋体"/>
          <w:b/>
          <w:bCs/>
          <w:i w:val="0"/>
          <w:iCs w:val="0"/>
          <w:color w:val="auto"/>
          <w:spacing w:val="0"/>
          <w:w w:val="100"/>
          <w:position w:val="0"/>
          <w:highlight w:val="none"/>
          <w:lang w:val="en-US" w:eastAsia="zh-CN"/>
        </w:rPr>
        <w:t>4</w:t>
      </w:r>
      <w:r>
        <w:rPr>
          <w:rFonts w:hint="eastAsia" w:ascii="宋体" w:hAnsi="宋体" w:eastAsia="宋体" w:cs="宋体"/>
          <w:b/>
          <w:bCs/>
          <w:i w:val="0"/>
          <w:iCs w:val="0"/>
          <w:color w:val="auto"/>
          <w:spacing w:val="0"/>
          <w:w w:val="100"/>
          <w:position w:val="0"/>
          <w:highlight w:val="none"/>
          <w:lang w:eastAsia="zh-CN"/>
        </w:rPr>
        <w:t>、</w:t>
      </w:r>
      <w:r>
        <w:rPr>
          <w:rFonts w:hint="eastAsia" w:ascii="宋体" w:hAnsi="宋体" w:eastAsia="宋体" w:cs="宋体"/>
          <w:b/>
          <w:bCs/>
          <w:i w:val="0"/>
          <w:iCs w:val="0"/>
          <w:color w:val="auto"/>
          <w:spacing w:val="0"/>
          <w:w w:val="100"/>
          <w:position w:val="0"/>
          <w:highlight w:val="none"/>
        </w:rPr>
        <w:t>投标报价明细表</w:t>
      </w:r>
    </w:p>
    <w:p>
      <w:pPr>
        <w:pStyle w:val="6"/>
        <w:tabs>
          <w:tab w:val="left" w:pos="702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项目名称：</w:t>
      </w:r>
      <w:r>
        <w:rPr>
          <w:rFonts w:hint="eastAsia" w:ascii="宋体" w:hAnsi="宋体" w:eastAsia="宋体" w:cs="宋体"/>
          <w:color w:val="auto"/>
          <w:sz w:val="24"/>
          <w:highlight w:val="none"/>
        </w:rPr>
        <w:tab/>
      </w:r>
    </w:p>
    <w:p>
      <w:pPr>
        <w:pStyle w:val="6"/>
        <w:tabs>
          <w:tab w:val="left" w:pos="756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项目编号</w:t>
      </w:r>
      <w:r>
        <w:rPr>
          <w:rFonts w:hint="eastAsia" w:ascii="宋体" w:hAnsi="宋体" w:eastAsia="宋体" w:cs="宋体"/>
          <w:color w:val="auto"/>
          <w:kern w:val="0"/>
          <w:sz w:val="24"/>
          <w:highlight w:val="none"/>
        </w:rPr>
        <w:t>：</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515"/>
        <w:gridCol w:w="1401"/>
        <w:gridCol w:w="845"/>
        <w:gridCol w:w="1326"/>
        <w:gridCol w:w="137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76"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89"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苗木品种</w:t>
            </w:r>
          </w:p>
        </w:tc>
        <w:tc>
          <w:tcPr>
            <w:tcW w:w="822" w:type="pct"/>
            <w:noWrap w:val="0"/>
            <w:vAlign w:val="center"/>
          </w:tcPr>
          <w:p>
            <w:pPr>
              <w:pStyle w:val="11"/>
              <w:spacing w:before="120" w:beforeLines="50"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技术要求</w:t>
            </w:r>
            <w:r>
              <w:rPr>
                <w:rFonts w:hint="eastAsia" w:hAnsi="宋体" w:eastAsia="宋体" w:cs="宋体"/>
                <w:color w:val="auto"/>
                <w:kern w:val="0"/>
                <w:sz w:val="24"/>
                <w:szCs w:val="24"/>
                <w:highlight w:val="none"/>
                <w:lang w:val="en-US" w:eastAsia="zh-CN"/>
              </w:rPr>
              <w:t>及规格</w:t>
            </w:r>
          </w:p>
        </w:tc>
        <w:tc>
          <w:tcPr>
            <w:tcW w:w="496"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p>
        </w:tc>
        <w:tc>
          <w:tcPr>
            <w:tcW w:w="778"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804"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投标总价（</w:t>
            </w:r>
            <w:r>
              <w:rPr>
                <w:rFonts w:hint="eastAsia" w:ascii="宋体" w:hAnsi="宋体" w:eastAsia="宋体" w:cs="宋体"/>
                <w:color w:val="auto"/>
                <w:kern w:val="0"/>
                <w:sz w:val="24"/>
                <w:szCs w:val="24"/>
                <w:highlight w:val="none"/>
              </w:rPr>
              <w:t>元）</w:t>
            </w:r>
          </w:p>
        </w:tc>
        <w:tc>
          <w:tcPr>
            <w:tcW w:w="632" w:type="pct"/>
            <w:noWrap w:val="0"/>
            <w:vAlign w:val="center"/>
          </w:tcPr>
          <w:p>
            <w:pPr>
              <w:pStyle w:val="11"/>
              <w:spacing w:before="120" w:before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76" w:type="pct"/>
            <w:noWrap w:val="0"/>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89"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2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496"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778"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804"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c>
          <w:tcPr>
            <w:tcW w:w="632" w:type="pct"/>
            <w:noWrap w:val="0"/>
            <w:vAlign w:val="center"/>
          </w:tcPr>
          <w:p>
            <w:pPr>
              <w:pStyle w:val="11"/>
              <w:spacing w:line="360" w:lineRule="auto"/>
              <w:jc w:val="center"/>
              <w:rPr>
                <w:rFonts w:hint="eastAsia" w:ascii="宋体" w:hAnsi="宋体" w:eastAsia="宋体" w:cs="宋体"/>
                <w:color w:val="auto"/>
                <w:kern w:val="0"/>
                <w:sz w:val="24"/>
                <w:szCs w:val="24"/>
                <w:highlight w:val="none"/>
              </w:rPr>
            </w:pPr>
          </w:p>
        </w:tc>
      </w:tr>
    </w:tbl>
    <w:p>
      <w:pPr>
        <w:pStyle w:val="39"/>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说明：</w:t>
      </w:r>
      <w:r>
        <w:rPr>
          <w:rFonts w:hint="eastAsia" w:ascii="宋体" w:hAnsi="宋体" w:eastAsia="宋体" w:cs="宋体"/>
          <w:color w:val="auto"/>
          <w:spacing w:val="0"/>
          <w:w w:val="100"/>
          <w:position w:val="0"/>
          <w:sz w:val="24"/>
          <w:szCs w:val="24"/>
          <w:highlight w:val="none"/>
          <w:lang w:val="en-US" w:eastAsia="en-US" w:bidi="en-US"/>
        </w:rPr>
        <w:t>1.</w:t>
      </w:r>
      <w:r>
        <w:rPr>
          <w:rFonts w:hint="eastAsia" w:ascii="宋体" w:hAnsi="宋体" w:eastAsia="宋体" w:cs="宋体"/>
          <w:color w:val="auto"/>
          <w:spacing w:val="0"/>
          <w:w w:val="100"/>
          <w:position w:val="0"/>
          <w:sz w:val="24"/>
          <w:szCs w:val="24"/>
          <w:highlight w:val="none"/>
        </w:rPr>
        <w:t>所有价格均用人民币表示，单位为元。</w:t>
      </w:r>
    </w:p>
    <w:p>
      <w:pPr>
        <w:pStyle w:val="39"/>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报价总计价格必须与《</w:t>
      </w:r>
      <w:r>
        <w:rPr>
          <w:rFonts w:hint="eastAsia" w:ascii="宋体" w:hAnsi="宋体" w:eastAsia="宋体" w:cs="宋体"/>
          <w:color w:val="auto"/>
          <w:spacing w:val="0"/>
          <w:w w:val="100"/>
          <w:position w:val="0"/>
          <w:sz w:val="24"/>
          <w:szCs w:val="24"/>
          <w:highlight w:val="none"/>
          <w:lang w:eastAsia="zh-CN"/>
        </w:rPr>
        <w:t>投标报价单</w:t>
      </w:r>
      <w:r>
        <w:rPr>
          <w:rFonts w:hint="eastAsia" w:ascii="宋体" w:hAnsi="宋体" w:eastAsia="宋体" w:cs="宋体"/>
          <w:color w:val="auto"/>
          <w:spacing w:val="0"/>
          <w:w w:val="100"/>
          <w:position w:val="0"/>
          <w:sz w:val="24"/>
          <w:szCs w:val="24"/>
          <w:highlight w:val="none"/>
        </w:rPr>
        <w:t>》报价一致。</w:t>
      </w:r>
    </w:p>
    <w:p>
      <w:pPr>
        <w:pStyle w:val="39"/>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rPr>
        <w:t>如果不提供详细的分项报价表将被视为没有实质性</w:t>
      </w:r>
      <w:r>
        <w:rPr>
          <w:rFonts w:hint="eastAsia" w:ascii="宋体" w:hAnsi="宋体" w:eastAsia="宋体" w:cs="宋体"/>
          <w:color w:val="auto"/>
          <w:spacing w:val="0"/>
          <w:w w:val="100"/>
          <w:position w:val="0"/>
          <w:sz w:val="24"/>
          <w:szCs w:val="24"/>
          <w:highlight w:val="none"/>
          <w:lang w:eastAsia="zh-CN"/>
        </w:rPr>
        <w:t>响应文件</w:t>
      </w:r>
      <w:r>
        <w:rPr>
          <w:rFonts w:hint="eastAsia" w:ascii="宋体" w:hAnsi="宋体" w:eastAsia="宋体" w:cs="宋体"/>
          <w:color w:val="auto"/>
          <w:spacing w:val="0"/>
          <w:w w:val="100"/>
          <w:position w:val="0"/>
          <w:sz w:val="24"/>
          <w:szCs w:val="24"/>
          <w:highlight w:val="none"/>
        </w:rPr>
        <w:t>。</w:t>
      </w:r>
    </w:p>
    <w:p>
      <w:pPr>
        <w:pStyle w:val="39"/>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宋体" w:hAnsi="宋体" w:eastAsia="宋体" w:cs="Times New Roman"/>
          <w:color w:val="auto"/>
          <w:sz w:val="22"/>
          <w:szCs w:val="24"/>
          <w:lang w:eastAsia="zh-CN"/>
        </w:rPr>
      </w:pPr>
      <w:r>
        <w:rPr>
          <w:rFonts w:hint="eastAsia" w:ascii="宋体" w:hAnsi="宋体" w:eastAsia="宋体" w:cs="宋体"/>
          <w:color w:val="auto"/>
          <w:spacing w:val="0"/>
          <w:w w:val="100"/>
          <w:position w:val="0"/>
          <w:sz w:val="24"/>
          <w:szCs w:val="24"/>
          <w:highlight w:val="none"/>
          <w:lang w:val="en-US" w:eastAsia="zh-CN"/>
        </w:rPr>
        <w:t>4.</w:t>
      </w:r>
      <w:r>
        <w:rPr>
          <w:rFonts w:hint="eastAsia" w:ascii="宋体" w:hAnsi="宋体" w:eastAsia="宋体" w:cs="宋体"/>
          <w:color w:val="auto"/>
          <w:spacing w:val="0"/>
          <w:w w:val="100"/>
          <w:position w:val="0"/>
          <w:sz w:val="24"/>
          <w:szCs w:val="24"/>
          <w:highlight w:val="none"/>
          <w:lang w:eastAsia="zh-CN"/>
        </w:rPr>
        <w:t>货物名称和数量</w:t>
      </w:r>
      <w:r>
        <w:rPr>
          <w:rFonts w:hint="eastAsia" w:ascii="宋体" w:hAnsi="宋体" w:eastAsia="宋体" w:cs="宋体"/>
          <w:color w:val="auto"/>
          <w:spacing w:val="0"/>
          <w:w w:val="100"/>
          <w:position w:val="0"/>
          <w:sz w:val="24"/>
          <w:szCs w:val="24"/>
          <w:highlight w:val="none"/>
          <w:lang w:val="en-US" w:eastAsia="zh-CN"/>
        </w:rPr>
        <w:t>和单价</w:t>
      </w:r>
      <w:r>
        <w:rPr>
          <w:rFonts w:hint="eastAsia" w:ascii="宋体" w:hAnsi="宋体" w:eastAsia="宋体" w:cs="宋体"/>
          <w:color w:val="auto"/>
          <w:spacing w:val="0"/>
          <w:w w:val="100"/>
          <w:position w:val="0"/>
          <w:sz w:val="24"/>
          <w:szCs w:val="24"/>
          <w:highlight w:val="none"/>
          <w:lang w:eastAsia="zh-CN"/>
        </w:rPr>
        <w:t>应按照第四章“</w:t>
      </w:r>
      <w:r>
        <w:rPr>
          <w:rFonts w:hint="eastAsia" w:ascii="宋体" w:hAnsi="宋体" w:eastAsia="宋体" w:cs="宋体"/>
          <w:color w:val="auto"/>
          <w:spacing w:val="0"/>
          <w:w w:val="100"/>
          <w:position w:val="0"/>
          <w:sz w:val="24"/>
          <w:szCs w:val="24"/>
          <w:highlight w:val="none"/>
          <w:lang w:val="en-US" w:eastAsia="zh-CN"/>
        </w:rPr>
        <w:t>采购需求</w:t>
      </w:r>
      <w:r>
        <w:rPr>
          <w:rFonts w:hint="eastAsia" w:ascii="宋体" w:hAnsi="宋体" w:eastAsia="宋体" w:cs="宋体"/>
          <w:color w:val="auto"/>
          <w:spacing w:val="0"/>
          <w:w w:val="100"/>
          <w:position w:val="0"/>
          <w:sz w:val="24"/>
          <w:szCs w:val="24"/>
          <w:highlight w:val="none"/>
          <w:lang w:eastAsia="zh-CN"/>
        </w:rPr>
        <w:t>”内容填写。</w:t>
      </w:r>
    </w:p>
    <w:p>
      <w:pPr>
        <w:pStyle w:val="39"/>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66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Times New Roman"/>
          <w:color w:val="auto"/>
          <w:sz w:val="22"/>
          <w:szCs w:val="24"/>
          <w:lang w:val="en-US" w:eastAsia="zh-CN"/>
        </w:rPr>
        <w:t>5.</w:t>
      </w:r>
      <w:r>
        <w:rPr>
          <w:rFonts w:hint="eastAsia" w:ascii="宋体" w:hAnsi="宋体" w:eastAsia="宋体" w:cs="宋体"/>
          <w:color w:val="auto"/>
          <w:spacing w:val="0"/>
          <w:w w:val="100"/>
          <w:position w:val="0"/>
          <w:sz w:val="24"/>
          <w:szCs w:val="24"/>
          <w:highlight w:val="none"/>
        </w:rPr>
        <w:t>投标人必须按此表格式中的对应栏目内容填写，若需增加栏目，请在栏目</w:t>
      </w:r>
      <w:r>
        <w:rPr>
          <w:rFonts w:hint="eastAsia" w:ascii="宋体" w:hAnsi="宋体" w:eastAsia="宋体" w:cs="宋体"/>
          <w:color w:val="auto"/>
          <w:spacing w:val="0"/>
          <w:w w:val="100"/>
          <w:position w:val="0"/>
          <w:sz w:val="24"/>
          <w:szCs w:val="24"/>
          <w:highlight w:val="none"/>
          <w:lang w:val="zh-CN" w:eastAsia="zh-CN" w:bidi="zh-CN"/>
        </w:rPr>
        <w:t>“其</w:t>
      </w:r>
      <w:r>
        <w:rPr>
          <w:rFonts w:hint="eastAsia" w:ascii="宋体" w:hAnsi="宋体" w:eastAsia="宋体" w:cs="宋体"/>
          <w:color w:val="auto"/>
          <w:spacing w:val="0"/>
          <w:w w:val="100"/>
          <w:position w:val="0"/>
          <w:sz w:val="24"/>
          <w:szCs w:val="24"/>
          <w:highlight w:val="none"/>
        </w:rPr>
        <w:t>它”中填写，并作详细说明。</w:t>
      </w:r>
    </w:p>
    <w:p>
      <w:pPr>
        <w:pStyle w:val="39"/>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宋体" w:hAnsi="宋体" w:eastAsia="宋体" w:cs="宋体"/>
          <w:color w:val="auto"/>
          <w:spacing w:val="0"/>
          <w:w w:val="100"/>
          <w:position w:val="0"/>
          <w:sz w:val="24"/>
          <w:szCs w:val="24"/>
          <w:highlight w:val="none"/>
        </w:rPr>
      </w:pPr>
    </w:p>
    <w:p>
      <w:pPr>
        <w:pStyle w:val="39"/>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宋体" w:hAnsi="宋体" w:eastAsia="宋体" w:cs="宋体"/>
          <w:color w:val="auto"/>
          <w:spacing w:val="0"/>
          <w:w w:val="100"/>
          <w:position w:val="0"/>
          <w:sz w:val="20"/>
          <w:szCs w:val="20"/>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w w:val="95"/>
          <w:sz w:val="24"/>
          <w:szCs w:val="24"/>
          <w:highlight w:val="none"/>
        </w:rPr>
        <w:t>（盖章）</w:t>
      </w:r>
      <w:r>
        <w:rPr>
          <w:rFonts w:hint="eastAsia" w:ascii="宋体" w:hAnsi="宋体" w:eastAsia="宋体" w:cs="宋体"/>
          <w:color w:val="auto"/>
          <w:sz w:val="24"/>
          <w:szCs w:val="24"/>
          <w:highlight w:val="none"/>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w w:val="95"/>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w w:val="95"/>
          <w:sz w:val="24"/>
          <w:szCs w:val="24"/>
          <w:highlight w:val="none"/>
        </w:rPr>
        <w:t>（</w:t>
      </w:r>
      <w:r>
        <w:rPr>
          <w:rFonts w:hint="eastAsia" w:ascii="宋体" w:hAnsi="宋体" w:eastAsia="宋体" w:cs="宋体"/>
          <w:color w:val="auto"/>
          <w:w w:val="95"/>
          <w:sz w:val="24"/>
          <w:szCs w:val="24"/>
          <w:highlight w:val="none"/>
          <w:lang w:eastAsia="zh-CN"/>
        </w:rPr>
        <w:t>签字或盖章</w:t>
      </w:r>
      <w:r>
        <w:rPr>
          <w:rFonts w:hint="eastAsia" w:ascii="宋体" w:hAnsi="宋体" w:eastAsia="宋体" w:cs="宋体"/>
          <w:color w:val="auto"/>
          <w:w w:val="95"/>
          <w:sz w:val="24"/>
          <w:szCs w:val="24"/>
          <w:highlight w:val="none"/>
        </w:rPr>
        <w:t>）</w:t>
      </w:r>
    </w:p>
    <w:p>
      <w:pPr>
        <w:pStyle w:val="8"/>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8"/>
        <w:numPr>
          <w:ilvl w:val="0"/>
          <w:numId w:val="0"/>
        </w:numPr>
        <w:ind w:left="360" w:leftChars="0"/>
        <w:rPr>
          <w:rFonts w:hint="eastAsia" w:ascii="宋体" w:hAnsi="宋体" w:eastAsia="宋体" w:cs="宋体"/>
          <w:color w:val="auto"/>
          <w:highlight w:val="none"/>
        </w:rPr>
      </w:pPr>
    </w:p>
    <w:p>
      <w:pPr>
        <w:pStyle w:val="14"/>
        <w:rPr>
          <w:rFonts w:hint="eastAsia" w:ascii="宋体" w:hAnsi="宋体" w:eastAsia="宋体" w:cs="宋体"/>
          <w:color w:val="auto"/>
          <w:highlight w:val="none"/>
          <w:lang w:val="en-US" w:eastAsia="zh-CN"/>
        </w:rPr>
      </w:pPr>
    </w:p>
    <w:p>
      <w:pPr>
        <w:pStyle w:val="35"/>
        <w:keepNext/>
        <w:keepLines/>
        <w:widowControl w:val="0"/>
        <w:numPr>
          <w:ilvl w:val="0"/>
          <w:numId w:val="0"/>
        </w:numPr>
        <w:shd w:val="clear" w:color="auto" w:fill="auto"/>
        <w:bidi w:val="0"/>
        <w:spacing w:before="0" w:after="220" w:line="240" w:lineRule="auto"/>
        <w:ind w:right="0" w:rightChars="0"/>
        <w:jc w:val="center"/>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lang w:val="en-US" w:eastAsia="zh-CN"/>
        </w:rPr>
        <w:t>5、技术条款偏离表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57"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326"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谈判文件</w:t>
            </w:r>
            <w:r>
              <w:rPr>
                <w:rFonts w:hint="eastAsia" w:ascii="宋体" w:hAnsi="宋体" w:eastAsia="宋体" w:cs="宋体"/>
                <w:bCs/>
                <w:color w:val="auto"/>
                <w:sz w:val="24"/>
                <w:szCs w:val="24"/>
                <w:highlight w:val="none"/>
              </w:rPr>
              <w:t>条目号</w:t>
            </w:r>
          </w:p>
        </w:tc>
        <w:tc>
          <w:tcPr>
            <w:tcW w:w="1326"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谈判文件</w:t>
            </w:r>
            <w:r>
              <w:rPr>
                <w:rFonts w:hint="eastAsia" w:ascii="宋体" w:hAnsi="宋体" w:eastAsia="宋体" w:cs="宋体"/>
                <w:bCs/>
                <w:color w:val="auto"/>
                <w:sz w:val="24"/>
                <w:szCs w:val="24"/>
                <w:highlight w:val="none"/>
              </w:rPr>
              <w:t>要求规格</w:t>
            </w:r>
          </w:p>
        </w:tc>
        <w:tc>
          <w:tcPr>
            <w:tcW w:w="1326"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投标规格</w:t>
            </w:r>
          </w:p>
        </w:tc>
        <w:tc>
          <w:tcPr>
            <w:tcW w:w="1327"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偏离</w:t>
            </w:r>
          </w:p>
        </w:tc>
        <w:tc>
          <w:tcPr>
            <w:tcW w:w="1327" w:type="dxa"/>
            <w:noWrap w:val="0"/>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highlight w:val="none"/>
              </w:rPr>
            </w:pPr>
          </w:p>
        </w:tc>
        <w:tc>
          <w:tcPr>
            <w:tcW w:w="1357"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如有正偏离需提供证明材料，证明材料附后(并注明页码)</w:t>
            </w:r>
          </w:p>
        </w:tc>
        <w:tc>
          <w:tcPr>
            <w:tcW w:w="1327" w:type="dxa"/>
            <w:noWrap w:val="0"/>
            <w:vAlign w:val="top"/>
          </w:tcPr>
          <w:p>
            <w:pPr>
              <w:jc w:val="center"/>
              <w:rPr>
                <w:rFonts w:hint="eastAsia" w:ascii="宋体" w:hAnsi="宋体"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highlight w:val="none"/>
              </w:rPr>
            </w:pPr>
          </w:p>
        </w:tc>
        <w:tc>
          <w:tcPr>
            <w:tcW w:w="1357"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highlight w:val="none"/>
              </w:rPr>
            </w:pPr>
          </w:p>
        </w:tc>
        <w:tc>
          <w:tcPr>
            <w:tcW w:w="1357"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highlight w:val="none"/>
              </w:rPr>
            </w:pPr>
          </w:p>
        </w:tc>
        <w:tc>
          <w:tcPr>
            <w:tcW w:w="1357"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宋体" w:hAnsi="宋体" w:eastAsia="宋体" w:cs="宋体"/>
                <w:b/>
                <w:bCs/>
                <w:color w:val="auto"/>
                <w:sz w:val="24"/>
                <w:szCs w:val="24"/>
                <w:highlight w:val="none"/>
              </w:rPr>
            </w:pPr>
          </w:p>
        </w:tc>
        <w:tc>
          <w:tcPr>
            <w:tcW w:w="1357"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6"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c>
          <w:tcPr>
            <w:tcW w:w="1327" w:type="dxa"/>
            <w:noWrap w:val="0"/>
            <w:vAlign w:val="top"/>
          </w:tcPr>
          <w:p>
            <w:pPr>
              <w:jc w:val="center"/>
              <w:rPr>
                <w:rFonts w:hint="eastAsia" w:ascii="宋体" w:hAnsi="宋体" w:eastAsia="宋体" w:cs="宋体"/>
                <w:b/>
                <w:bCs/>
                <w:color w:val="auto"/>
                <w:sz w:val="24"/>
                <w:szCs w:val="24"/>
                <w:highlight w:val="none"/>
              </w:rPr>
            </w:pPr>
          </w:p>
        </w:tc>
      </w:tr>
    </w:tbl>
    <w:p>
      <w:pPr>
        <w:spacing w:line="360" w:lineRule="auto"/>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备注：投标人应根据其提供的货物，对照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20" w:firstLineChars="1300"/>
        <w:rPr>
          <w:rFonts w:hint="eastAsia" w:ascii="宋体" w:hAnsi="宋体" w:eastAsia="宋体" w:cs="宋体"/>
          <w:color w:val="auto"/>
          <w:sz w:val="24"/>
          <w:highlight w:val="none"/>
        </w:rPr>
      </w:pPr>
    </w:p>
    <w:p>
      <w:pPr>
        <w:pStyle w:val="11"/>
        <w:tabs>
          <w:tab w:val="left" w:pos="5580"/>
        </w:tabs>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1"/>
        <w:tabs>
          <w:tab w:val="left" w:pos="5580"/>
        </w:tabs>
        <w:spacing w:line="360" w:lineRule="auto"/>
        <w:ind w:firstLine="3120" w:firstLineChars="13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highlight w:val="none"/>
          <w:lang w:eastAsia="zh-CN"/>
        </w:rPr>
        <w:t>法定代表人或</w:t>
      </w:r>
      <w:r>
        <w:rPr>
          <w:rFonts w:hint="eastAsia" w:ascii="宋体" w:hAnsi="宋体" w:eastAsia="宋体" w:cs="宋体"/>
          <w:color w:val="auto"/>
          <w:kern w:val="0"/>
          <w:sz w:val="24"/>
          <w:szCs w:val="24"/>
          <w:highlight w:val="none"/>
        </w:rPr>
        <w:t>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
        <w:outlineLvl w:val="9"/>
        <w:rPr>
          <w:rFonts w:hint="eastAsia" w:ascii="宋体" w:hAnsi="宋体" w:eastAsia="宋体" w:cs="宋体"/>
          <w:b/>
          <w:bCs/>
          <w:color w:val="auto"/>
          <w:sz w:val="36"/>
          <w:szCs w:val="36"/>
          <w:highlight w:val="none"/>
        </w:rPr>
      </w:pPr>
    </w:p>
    <w:p>
      <w:pPr>
        <w:rPr>
          <w:rFonts w:hint="eastAsia" w:ascii="宋体" w:hAnsi="宋体" w:eastAsia="宋体" w:cs="宋体"/>
          <w:color w:val="auto"/>
          <w:highlight w:val="none"/>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pacing w:val="0"/>
          <w:w w:val="100"/>
          <w:position w:val="0"/>
          <w:sz w:val="36"/>
          <w:szCs w:val="36"/>
          <w:highlight w:val="none"/>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b/>
          <w:bCs/>
          <w:color w:val="auto"/>
          <w:spacing w:val="0"/>
          <w:w w:val="100"/>
          <w:position w:val="0"/>
          <w:sz w:val="36"/>
          <w:szCs w:val="36"/>
          <w:highlight w:val="none"/>
          <w:lang w:val="en-US"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b/>
          <w:bCs/>
          <w:color w:val="auto"/>
          <w:spacing w:val="0"/>
          <w:w w:val="100"/>
          <w:position w:val="0"/>
          <w:sz w:val="36"/>
          <w:szCs w:val="36"/>
          <w:highlight w:val="none"/>
          <w:lang w:eastAsia="zh-CN"/>
        </w:rPr>
      </w:pPr>
      <w:r>
        <w:rPr>
          <w:rFonts w:hint="eastAsia" w:ascii="宋体" w:hAnsi="宋体" w:eastAsia="宋体" w:cs="宋体"/>
          <w:b/>
          <w:bCs/>
          <w:color w:val="auto"/>
          <w:spacing w:val="0"/>
          <w:w w:val="100"/>
          <w:position w:val="0"/>
          <w:sz w:val="36"/>
          <w:szCs w:val="36"/>
          <w:highlight w:val="none"/>
          <w:lang w:val="en-US" w:eastAsia="zh-CN"/>
        </w:rPr>
        <w:t>6</w:t>
      </w:r>
      <w:r>
        <w:rPr>
          <w:rFonts w:hint="eastAsia" w:ascii="宋体" w:hAnsi="宋体" w:eastAsia="宋体" w:cs="宋体"/>
          <w:b/>
          <w:bCs/>
          <w:color w:val="auto"/>
          <w:spacing w:val="0"/>
          <w:w w:val="100"/>
          <w:position w:val="0"/>
          <w:sz w:val="36"/>
          <w:szCs w:val="36"/>
          <w:highlight w:val="none"/>
        </w:rPr>
        <w:t>、</w:t>
      </w:r>
      <w:r>
        <w:rPr>
          <w:rFonts w:hint="eastAsia" w:ascii="宋体" w:hAnsi="宋体" w:eastAsia="宋体" w:cs="宋体"/>
          <w:b/>
          <w:bCs/>
          <w:color w:val="auto"/>
          <w:spacing w:val="0"/>
          <w:w w:val="100"/>
          <w:position w:val="0"/>
          <w:sz w:val="36"/>
          <w:szCs w:val="36"/>
          <w:highlight w:val="none"/>
          <w:lang w:eastAsia="zh-CN"/>
        </w:rPr>
        <w:t>商务条款偏离表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highlight w:val="none"/>
              </w:rPr>
            </w:pPr>
            <w:r>
              <w:rPr>
                <w:rFonts w:hint="eastAsia" w:ascii="宋体" w:hAnsi="宋体" w:eastAsia="宋体" w:cs="宋体"/>
                <w:color w:val="auto"/>
                <w:sz w:val="24"/>
                <w:highlight w:val="none"/>
                <w:lang w:val="en-US" w:eastAsia="zh-CN"/>
              </w:rPr>
              <w:t>谈判文件条款号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highlight w:val="none"/>
              </w:rPr>
            </w:pPr>
            <w:r>
              <w:rPr>
                <w:rFonts w:hint="eastAsia" w:ascii="宋体" w:hAnsi="宋体" w:eastAsia="宋体" w:cs="宋体"/>
                <w:color w:val="auto"/>
                <w:sz w:val="24"/>
                <w:highlight w:val="none"/>
                <w:lang w:val="en-US" w:eastAsia="zh-CN"/>
              </w:rPr>
              <w:t>谈判文件的商务条款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highlight w:val="none"/>
              </w:rPr>
            </w:pPr>
            <w:r>
              <w:rPr>
                <w:rFonts w:hint="eastAsia" w:ascii="宋体" w:hAnsi="宋体" w:eastAsia="宋体" w:cs="宋体"/>
                <w:color w:val="auto"/>
                <w:sz w:val="24"/>
                <w:highlight w:val="none"/>
                <w:lang w:val="en-US" w:eastAsia="zh-CN"/>
              </w:rPr>
              <w:t>响应文件的商务条款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宋体" w:hAnsi="宋体" w:eastAsia="宋体" w:cs="宋体"/>
                <w:color w:val="auto"/>
                <w:spacing w:val="-1"/>
                <w:kern w:val="0"/>
                <w:sz w:val="24"/>
                <w:highlight w:val="none"/>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2</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3</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4</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5</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6</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7</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8</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9</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10</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11</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12</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13</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14</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15</w:t>
            </w:r>
          </w:p>
        </w:tc>
        <w:tc>
          <w:tcPr>
            <w:tcW w:w="2154" w:type="dxa"/>
            <w:noWrap w:val="0"/>
            <w:vAlign w:val="center"/>
          </w:tcPr>
          <w:p>
            <w:pPr>
              <w:rPr>
                <w:rFonts w:hint="eastAsia" w:ascii="宋体" w:hAnsi="宋体" w:eastAsia="宋体" w:cs="宋体"/>
                <w:color w:val="auto"/>
                <w:spacing w:val="-1"/>
                <w:kern w:val="0"/>
                <w:sz w:val="24"/>
                <w:highlight w:val="none"/>
              </w:rPr>
            </w:pPr>
          </w:p>
        </w:tc>
        <w:tc>
          <w:tcPr>
            <w:tcW w:w="2477" w:type="dxa"/>
            <w:noWrap w:val="0"/>
            <w:vAlign w:val="center"/>
          </w:tcPr>
          <w:p>
            <w:pPr>
              <w:rPr>
                <w:rFonts w:hint="eastAsia" w:ascii="宋体" w:hAnsi="宋体" w:eastAsia="宋体" w:cs="宋体"/>
                <w:color w:val="auto"/>
                <w:spacing w:val="-1"/>
                <w:kern w:val="0"/>
                <w:sz w:val="24"/>
                <w:highlight w:val="none"/>
              </w:rPr>
            </w:pPr>
          </w:p>
        </w:tc>
        <w:tc>
          <w:tcPr>
            <w:tcW w:w="2454" w:type="dxa"/>
            <w:noWrap w:val="0"/>
            <w:vAlign w:val="center"/>
          </w:tcPr>
          <w:p>
            <w:pPr>
              <w:rPr>
                <w:rFonts w:hint="eastAsia" w:ascii="宋体" w:hAnsi="宋体" w:eastAsia="宋体" w:cs="宋体"/>
                <w:color w:val="auto"/>
                <w:spacing w:val="-1"/>
                <w:kern w:val="0"/>
                <w:sz w:val="24"/>
                <w:highlight w:val="none"/>
              </w:rPr>
            </w:pPr>
          </w:p>
        </w:tc>
        <w:tc>
          <w:tcPr>
            <w:tcW w:w="1130" w:type="dxa"/>
            <w:noWrap w:val="0"/>
            <w:vAlign w:val="center"/>
          </w:tcPr>
          <w:p>
            <w:pPr>
              <w:rPr>
                <w:rFonts w:hint="eastAsia" w:ascii="宋体" w:hAnsi="宋体" w:eastAsia="宋体" w:cs="宋体"/>
                <w:color w:val="auto"/>
                <w:spacing w:val="-1"/>
                <w:kern w:val="0"/>
                <w:sz w:val="24"/>
                <w:highlight w:val="none"/>
              </w:rPr>
            </w:pPr>
          </w:p>
        </w:tc>
      </w:tr>
    </w:tbl>
    <w:p>
      <w:pPr>
        <w:rPr>
          <w:rFonts w:hint="eastAsia" w:ascii="宋体" w:hAnsi="宋体" w:eastAsia="宋体" w:cs="宋体"/>
          <w:color w:val="auto"/>
          <w:spacing w:val="-1"/>
          <w:kern w:val="0"/>
          <w:sz w:val="24"/>
          <w:highlight w:val="none"/>
        </w:rPr>
      </w:pPr>
    </w:p>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注：请在“偏离说明”栏内扼要说明偏离情况，如无偏离则不需列明。</w:t>
      </w: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w w:val="95"/>
          <w:sz w:val="24"/>
          <w:szCs w:val="24"/>
          <w:highlight w:val="none"/>
        </w:rPr>
        <w:t>（盖章）</w:t>
      </w:r>
      <w:r>
        <w:rPr>
          <w:rFonts w:hint="eastAsia" w:ascii="宋体" w:hAnsi="宋体" w:eastAsia="宋体" w:cs="宋体"/>
          <w:color w:val="auto"/>
          <w:sz w:val="24"/>
          <w:szCs w:val="24"/>
          <w:highlight w:val="none"/>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w w:val="95"/>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w w:val="95"/>
          <w:sz w:val="24"/>
          <w:szCs w:val="24"/>
          <w:highlight w:val="none"/>
        </w:rPr>
        <w:t>（</w:t>
      </w:r>
      <w:r>
        <w:rPr>
          <w:rFonts w:hint="eastAsia" w:ascii="宋体" w:hAnsi="宋体" w:eastAsia="宋体" w:cs="宋体"/>
          <w:color w:val="auto"/>
          <w:w w:val="95"/>
          <w:sz w:val="24"/>
          <w:szCs w:val="24"/>
          <w:highlight w:val="none"/>
          <w:lang w:eastAsia="zh-CN"/>
        </w:rPr>
        <w:t>签字或盖章</w:t>
      </w:r>
      <w:r>
        <w:rPr>
          <w:rFonts w:hint="eastAsia" w:ascii="宋体" w:hAnsi="宋体" w:eastAsia="宋体" w:cs="宋体"/>
          <w:color w:val="auto"/>
          <w:w w:val="95"/>
          <w:sz w:val="24"/>
          <w:szCs w:val="24"/>
          <w:highlight w:val="none"/>
        </w:rPr>
        <w:t>）</w:t>
      </w: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z w:val="24"/>
          <w:szCs w:val="24"/>
          <w:highlight w:val="none"/>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spacing w:val="0"/>
          <w:w w:val="100"/>
          <w:position w:val="0"/>
          <w:sz w:val="36"/>
          <w:szCs w:val="36"/>
          <w:highlight w:val="none"/>
        </w:rPr>
      </w:pPr>
    </w:p>
    <w:p>
      <w:pPr>
        <w:pStyle w:val="37"/>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highlight w:val="none"/>
        </w:rPr>
      </w:pPr>
    </w:p>
    <w:p>
      <w:pPr>
        <w:pStyle w:val="37"/>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highlight w:val="none"/>
        </w:rPr>
      </w:pPr>
    </w:p>
    <w:p>
      <w:pPr>
        <w:pStyle w:val="37"/>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宋体" w:hAnsi="宋体" w:eastAsia="宋体" w:cs="宋体"/>
          <w:color w:val="auto"/>
          <w:spacing w:val="0"/>
          <w:w w:val="100"/>
          <w:position w:val="0"/>
          <w:sz w:val="21"/>
          <w:szCs w:val="21"/>
          <w:highlight w:val="none"/>
        </w:rPr>
      </w:pPr>
    </w:p>
    <w:p>
      <w:pPr>
        <w:pStyle w:val="37"/>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宋体" w:hAnsi="宋体" w:eastAsia="宋体" w:cs="宋体"/>
          <w:color w:val="auto"/>
          <w:spacing w:val="0"/>
          <w:w w:val="100"/>
          <w:position w:val="0"/>
          <w:sz w:val="21"/>
          <w:szCs w:val="21"/>
          <w:highlight w:val="none"/>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b/>
          <w:bCs/>
          <w:color w:val="auto"/>
          <w:spacing w:val="0"/>
          <w:w w:val="100"/>
          <w:position w:val="0"/>
          <w:sz w:val="36"/>
          <w:szCs w:val="36"/>
          <w:highlight w:val="none"/>
          <w:lang w:val="en-US"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36"/>
          <w:szCs w:val="36"/>
          <w:highlight w:val="none"/>
          <w:lang w:val="en-US" w:eastAsia="zh-CN"/>
        </w:rPr>
        <w:t>7、投标人基本情况表</w:t>
      </w:r>
    </w:p>
    <w:p>
      <w:pPr>
        <w:pStyle w:val="8"/>
        <w:numPr>
          <w:ilvl w:val="0"/>
          <w:numId w:val="0"/>
        </w:numPr>
        <w:kinsoku w:val="0"/>
        <w:overflowPunct w:val="0"/>
        <w:spacing w:before="5"/>
        <w:ind w:leftChars="0" w:right="0" w:rightChars="0"/>
        <w:rPr>
          <w:rFonts w:hint="eastAsia" w:ascii="宋体" w:hAnsi="宋体" w:eastAsia="宋体" w:cs="宋体"/>
          <w:b/>
          <w:bCs/>
          <w:color w:val="auto"/>
          <w:sz w:val="6"/>
          <w:szCs w:val="6"/>
          <w:highlight w:val="none"/>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81"/>
              <w:rPr>
                <w:rFonts w:hint="eastAsia" w:ascii="宋体" w:hAnsi="宋体" w:eastAsia="宋体" w:cs="宋体"/>
                <w:color w:val="auto"/>
                <w:highlight w:val="none"/>
              </w:rPr>
            </w:pPr>
            <w:r>
              <w:rPr>
                <w:rFonts w:hint="eastAsia" w:ascii="宋体" w:hAnsi="宋体" w:eastAsia="宋体" w:cs="宋体"/>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6"/>
              <w:ind w:left="137"/>
              <w:rPr>
                <w:rFonts w:hint="eastAsia" w:ascii="宋体" w:hAnsi="宋体" w:eastAsia="宋体" w:cs="宋体"/>
                <w:color w:val="auto"/>
                <w:highlight w:val="none"/>
              </w:rPr>
            </w:pPr>
            <w:r>
              <w:rPr>
                <w:rFonts w:hint="eastAsia" w:ascii="宋体" w:hAnsi="宋体" w:eastAsia="宋体" w:cs="宋体"/>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1" w:line="312" w:lineRule="exact"/>
              <w:ind w:left="257" w:right="133" w:hanging="120"/>
              <w:rPr>
                <w:rFonts w:hint="eastAsia" w:ascii="宋体" w:hAnsi="宋体" w:eastAsia="宋体" w:cs="宋体"/>
                <w:color w:val="auto"/>
                <w:highlight w:val="none"/>
              </w:rPr>
            </w:pPr>
            <w:r>
              <w:rPr>
                <w:rFonts w:hint="eastAsia" w:ascii="宋体" w:hAnsi="宋体" w:eastAsia="宋体" w:cs="宋体"/>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宋体" w:hAnsi="宋体" w:eastAsia="宋体" w:cs="宋体"/>
                <w:b/>
                <w:bCs/>
                <w:color w:val="auto"/>
                <w:sz w:val="20"/>
                <w:szCs w:val="20"/>
                <w:highlight w:val="none"/>
              </w:rPr>
            </w:pPr>
          </w:p>
          <w:p>
            <w:pPr>
              <w:pStyle w:val="40"/>
              <w:kinsoku w:val="0"/>
              <w:overflowPunct w:val="0"/>
              <w:ind w:left="366"/>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宋体" w:hAnsi="宋体" w:eastAsia="宋体" w:cs="宋体"/>
                <w:b/>
                <w:bCs/>
                <w:color w:val="auto"/>
                <w:sz w:val="20"/>
                <w:szCs w:val="20"/>
                <w:highlight w:val="none"/>
              </w:rPr>
            </w:pPr>
          </w:p>
          <w:p>
            <w:pPr>
              <w:pStyle w:val="40"/>
              <w:kinsoku w:val="0"/>
              <w:overflowPunct w:val="0"/>
              <w:ind w:left="383"/>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rPr>
                <w:rFonts w:hint="eastAsia" w:ascii="宋体" w:hAnsi="宋体" w:eastAsia="宋体" w:cs="宋体"/>
                <w:b/>
                <w:bCs/>
                <w:color w:val="auto"/>
                <w:highlight w:val="none"/>
              </w:rPr>
            </w:pPr>
          </w:p>
          <w:p>
            <w:pPr>
              <w:pStyle w:val="40"/>
              <w:kinsoku w:val="0"/>
              <w:overflowPunct w:val="0"/>
              <w:rPr>
                <w:rFonts w:hint="eastAsia" w:ascii="宋体" w:hAnsi="宋体" w:eastAsia="宋体" w:cs="宋体"/>
                <w:b/>
                <w:bCs/>
                <w:color w:val="auto"/>
                <w:highlight w:val="none"/>
              </w:rPr>
            </w:pPr>
          </w:p>
          <w:p>
            <w:pPr>
              <w:pStyle w:val="40"/>
              <w:kinsoku w:val="0"/>
              <w:overflowPunct w:val="0"/>
              <w:rPr>
                <w:rFonts w:hint="eastAsia" w:ascii="宋体" w:hAnsi="宋体" w:eastAsia="宋体" w:cs="宋体"/>
                <w:b/>
                <w:bCs/>
                <w:color w:val="auto"/>
                <w:highlight w:val="none"/>
              </w:rPr>
            </w:pPr>
          </w:p>
          <w:p>
            <w:pPr>
              <w:pStyle w:val="40"/>
              <w:kinsoku w:val="0"/>
              <w:overflowPunct w:val="0"/>
              <w:spacing w:line="475" w:lineRule="auto"/>
              <w:ind w:left="497" w:right="493"/>
              <w:jc w:val="both"/>
              <w:rPr>
                <w:rFonts w:hint="eastAsia" w:ascii="宋体" w:hAnsi="宋体" w:eastAsia="宋体" w:cs="宋体"/>
                <w:color w:val="auto"/>
                <w:highlight w:val="none"/>
              </w:rPr>
            </w:pPr>
            <w:r>
              <w:rPr>
                <w:rFonts w:hint="eastAsia" w:ascii="宋体" w:hAnsi="宋体" w:eastAsia="宋体" w:cs="宋体"/>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236"/>
              <w:rPr>
                <w:rFonts w:hint="eastAsia" w:ascii="宋体" w:hAnsi="宋体" w:eastAsia="宋体" w:cs="宋体"/>
                <w:color w:val="auto"/>
                <w:highlight w:val="none"/>
              </w:rPr>
            </w:pPr>
            <w:r>
              <w:rPr>
                <w:rFonts w:hint="eastAsia" w:ascii="宋体" w:hAnsi="宋体" w:eastAsia="宋体" w:cs="宋体"/>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118"/>
              <w:rPr>
                <w:rFonts w:hint="eastAsia" w:ascii="宋体" w:hAnsi="宋体" w:eastAsia="宋体" w:cs="宋体"/>
                <w:color w:val="auto"/>
                <w:highlight w:val="none"/>
              </w:rPr>
            </w:pPr>
            <w:r>
              <w:rPr>
                <w:rFonts w:hint="eastAsia" w:ascii="宋体" w:hAnsi="宋体" w:eastAsia="宋体" w:cs="宋体"/>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宋体" w:hAnsi="宋体" w:eastAsia="宋体" w:cs="宋体"/>
                <w:color w:val="auto"/>
                <w:highlight w:val="none"/>
              </w:rPr>
            </w:pPr>
            <w:r>
              <w:rPr>
                <w:rFonts w:hint="eastAsia" w:ascii="宋体" w:hAnsi="宋体" w:eastAsia="宋体" w:cs="宋体"/>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16"/>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2"/>
              <w:rPr>
                <w:rFonts w:hint="eastAsia" w:ascii="宋体" w:hAnsi="宋体" w:eastAsia="宋体" w:cs="宋体"/>
                <w:color w:val="auto"/>
                <w:highlight w:val="none"/>
              </w:rPr>
            </w:pPr>
            <w:r>
              <w:rPr>
                <w:rFonts w:hint="eastAsia" w:ascii="宋体" w:hAnsi="宋体" w:eastAsia="宋体" w:cs="宋体"/>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宋体" w:hAnsi="宋体" w:eastAsia="宋体" w:cs="宋体"/>
                <w:color w:val="auto"/>
                <w:highlight w:val="none"/>
              </w:rPr>
            </w:pPr>
            <w:r>
              <w:rPr>
                <w:rFonts w:hint="eastAsia" w:ascii="宋体" w:hAnsi="宋体" w:eastAsia="宋体" w:cs="宋体"/>
                <w:color w:val="auto"/>
                <w:highlight w:val="none"/>
              </w:rPr>
              <w:t>专</w:t>
            </w:r>
            <w:r>
              <w:rPr>
                <w:rFonts w:hint="eastAsia" w:ascii="宋体" w:hAnsi="宋体" w:eastAsia="宋体" w:cs="宋体"/>
                <w:color w:val="auto"/>
                <w:highlight w:val="none"/>
              </w:rPr>
              <w:tab/>
            </w:r>
            <w:r>
              <w:rPr>
                <w:rFonts w:hint="eastAsia" w:ascii="宋体" w:hAnsi="宋体" w:eastAsia="宋体" w:cs="宋体"/>
                <w:color w:val="auto"/>
                <w:highlight w:val="none"/>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
              <w:rPr>
                <w:rFonts w:hint="eastAsia" w:ascii="宋体" w:hAnsi="宋体" w:eastAsia="宋体" w:cs="宋体"/>
                <w:b/>
                <w:bCs/>
                <w:color w:val="auto"/>
                <w:sz w:val="23"/>
                <w:szCs w:val="23"/>
                <w:highlight w:val="none"/>
              </w:rPr>
            </w:pPr>
          </w:p>
          <w:p>
            <w:pPr>
              <w:pStyle w:val="40"/>
              <w:kinsoku w:val="0"/>
              <w:overflowPunct w:val="0"/>
              <w:spacing w:line="237" w:lineRule="auto"/>
              <w:ind w:left="497" w:right="493"/>
              <w:jc w:val="both"/>
              <w:rPr>
                <w:rFonts w:hint="eastAsia" w:ascii="宋体" w:hAnsi="宋体" w:eastAsia="宋体" w:cs="宋体"/>
                <w:color w:val="auto"/>
                <w:highlight w:val="none"/>
              </w:rPr>
            </w:pPr>
            <w:r>
              <w:rPr>
                <w:rFonts w:hint="eastAsia" w:ascii="宋体" w:hAnsi="宋体" w:eastAsia="宋体" w:cs="宋体"/>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r>
    </w:tbl>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color w:val="auto"/>
          <w:sz w:val="24"/>
          <w:szCs w:val="24"/>
          <w:highlight w:val="none"/>
          <w:lang w:val="en-US" w:eastAsia="zh-CN"/>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宋体" w:hAnsi="宋体" w:eastAsia="宋体" w:cs="宋体"/>
          <w:b/>
          <w:color w:val="auto"/>
          <w:sz w:val="30"/>
          <w:szCs w:val="30"/>
          <w:highlight w:val="none"/>
        </w:rPr>
      </w:pPr>
    </w:p>
    <w:p>
      <w:pPr>
        <w:pStyle w:val="8"/>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w w:val="90"/>
          <w:highlight w:val="none"/>
          <w:lang w:eastAsia="zh-CN"/>
        </w:rPr>
      </w:pPr>
      <w:r>
        <w:rPr>
          <w:rFonts w:hint="eastAsia" w:ascii="宋体" w:hAnsi="宋体" w:eastAsia="宋体" w:cs="宋体"/>
          <w:b w:val="0"/>
          <w:bCs/>
          <w:color w:val="auto"/>
          <w:kern w:val="0"/>
          <w:sz w:val="36"/>
          <w:szCs w:val="36"/>
          <w:highlight w:val="none"/>
          <w:lang w:val="en-US" w:eastAsia="zh-CN"/>
        </w:rPr>
        <w:t>8、</w:t>
      </w:r>
      <w:r>
        <w:rPr>
          <w:rFonts w:hint="eastAsia" w:ascii="宋体" w:hAnsi="宋体" w:eastAsia="宋体" w:cs="宋体"/>
          <w:b/>
          <w:bCs/>
          <w:color w:val="auto"/>
          <w:w w:val="90"/>
          <w:sz w:val="36"/>
          <w:szCs w:val="36"/>
          <w:highlight w:val="none"/>
        </w:rPr>
        <w:t>近三年（20</w:t>
      </w:r>
      <w:r>
        <w:rPr>
          <w:rFonts w:hint="eastAsia" w:ascii="宋体" w:hAnsi="宋体" w:eastAsia="宋体" w:cs="宋体"/>
          <w:b/>
          <w:bCs/>
          <w:color w:val="auto"/>
          <w:w w:val="90"/>
          <w:sz w:val="36"/>
          <w:szCs w:val="36"/>
          <w:highlight w:val="none"/>
          <w:lang w:val="en-US" w:eastAsia="zh-CN"/>
        </w:rPr>
        <w:t>20</w:t>
      </w:r>
      <w:r>
        <w:rPr>
          <w:rFonts w:hint="eastAsia" w:ascii="宋体" w:hAnsi="宋体" w:eastAsia="宋体" w:cs="宋体"/>
          <w:b/>
          <w:bCs/>
          <w:color w:val="auto"/>
          <w:w w:val="90"/>
          <w:sz w:val="36"/>
          <w:szCs w:val="36"/>
          <w:highlight w:val="none"/>
        </w:rPr>
        <w:t>年1月1日至今）类似项目业绩</w:t>
      </w:r>
      <w:r>
        <w:rPr>
          <w:rFonts w:hint="eastAsia" w:ascii="宋体" w:hAnsi="宋体" w:eastAsia="宋体" w:cs="宋体"/>
          <w:b/>
          <w:bCs/>
          <w:color w:val="auto"/>
          <w:w w:val="90"/>
          <w:sz w:val="36"/>
          <w:szCs w:val="36"/>
          <w:highlight w:val="none"/>
          <w:lang w:eastAsia="zh-CN"/>
        </w:rPr>
        <w:t>表</w:t>
      </w:r>
    </w:p>
    <w:p>
      <w:pPr>
        <w:pStyle w:val="8"/>
        <w:numPr>
          <w:ilvl w:val="0"/>
          <w:numId w:val="0"/>
        </w:numPr>
        <w:kinsoku w:val="0"/>
        <w:overflowPunct w:val="0"/>
        <w:ind w:leftChars="0" w:right="0" w:rightChars="0"/>
        <w:rPr>
          <w:rFonts w:hint="eastAsia" w:ascii="宋体" w:hAnsi="宋体" w:eastAsia="宋体" w:cs="宋体"/>
          <w:b/>
          <w:bCs/>
          <w:color w:val="auto"/>
          <w:sz w:val="20"/>
          <w:szCs w:val="20"/>
          <w:highlight w:val="none"/>
        </w:rPr>
      </w:pPr>
    </w:p>
    <w:tbl>
      <w:tblPr>
        <w:tblStyle w:val="18"/>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color w:val="auto"/>
                <w:sz w:val="10"/>
                <w:szCs w:val="10"/>
                <w:highlight w:val="none"/>
              </w:rPr>
            </w:pPr>
          </w:p>
        </w:tc>
      </w:tr>
    </w:tbl>
    <w:p>
      <w:pPr>
        <w:rPr>
          <w:rFonts w:hint="eastAsia" w:ascii="宋体" w:hAnsi="宋体" w:eastAsia="宋体" w:cs="宋体"/>
          <w:color w:val="auto"/>
          <w:spacing w:val="-1"/>
          <w:kern w:val="0"/>
          <w:sz w:val="24"/>
          <w:highlight w:val="none"/>
        </w:rPr>
      </w:pPr>
    </w:p>
    <w:p>
      <w:pPr>
        <w:rPr>
          <w:rFonts w:hint="eastAsia" w:ascii="宋体" w:hAnsi="宋体" w:eastAsia="宋体" w:cs="宋体"/>
          <w:color w:val="auto"/>
          <w:spacing w:val="-1"/>
          <w:kern w:val="0"/>
          <w:sz w:val="24"/>
          <w:highlight w:val="none"/>
        </w:rPr>
      </w:pPr>
      <w:r>
        <w:rPr>
          <w:rFonts w:hint="eastAsia" w:ascii="宋体" w:hAnsi="宋体" w:eastAsia="宋体" w:cs="宋体"/>
          <w:color w:val="auto"/>
          <w:spacing w:val="-1"/>
          <w:kern w:val="0"/>
          <w:sz w:val="24"/>
          <w:highlight w:val="none"/>
        </w:rPr>
        <w:t>注：每个</w:t>
      </w:r>
      <w:r>
        <w:rPr>
          <w:rFonts w:hint="eastAsia" w:ascii="宋体" w:hAnsi="宋体" w:eastAsia="宋体" w:cs="宋体"/>
          <w:color w:val="auto"/>
          <w:spacing w:val="-1"/>
          <w:kern w:val="0"/>
          <w:sz w:val="24"/>
          <w:highlight w:val="none"/>
          <w:lang w:eastAsia="zh-CN"/>
        </w:rPr>
        <w:t>业绩</w:t>
      </w:r>
      <w:r>
        <w:rPr>
          <w:rFonts w:hint="eastAsia" w:ascii="宋体" w:hAnsi="宋体" w:eastAsia="宋体" w:cs="宋体"/>
          <w:color w:val="auto"/>
          <w:spacing w:val="-1"/>
          <w:kern w:val="0"/>
          <w:sz w:val="24"/>
          <w:highlight w:val="none"/>
        </w:rPr>
        <w:t>须单独附表，并附上</w:t>
      </w:r>
      <w:r>
        <w:rPr>
          <w:rFonts w:hint="eastAsia" w:ascii="宋体" w:hAnsi="宋体" w:eastAsia="宋体" w:cs="宋体"/>
          <w:color w:val="auto"/>
          <w:spacing w:val="-1"/>
          <w:kern w:val="0"/>
          <w:sz w:val="24"/>
          <w:highlight w:val="none"/>
          <w:lang w:eastAsia="zh-CN"/>
        </w:rPr>
        <w:t>合同和中标通知书</w:t>
      </w:r>
      <w:r>
        <w:rPr>
          <w:rFonts w:hint="eastAsia" w:ascii="宋体" w:hAnsi="宋体" w:eastAsia="宋体" w:cs="宋体"/>
          <w:color w:val="auto"/>
          <w:spacing w:val="-1"/>
          <w:kern w:val="0"/>
          <w:sz w:val="24"/>
          <w:highlight w:val="none"/>
        </w:rPr>
        <w:t>相关证明材料，否则专家在评审时将不予采信。</w:t>
      </w: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w w:val="95"/>
          <w:sz w:val="24"/>
          <w:szCs w:val="24"/>
          <w:highlight w:val="none"/>
        </w:rPr>
        <w:t>（盖章）</w:t>
      </w:r>
      <w:r>
        <w:rPr>
          <w:rFonts w:hint="eastAsia" w:ascii="宋体" w:hAnsi="宋体" w:eastAsia="宋体" w:cs="宋体"/>
          <w:color w:val="auto"/>
          <w:sz w:val="24"/>
          <w:szCs w:val="24"/>
          <w:highlight w:val="none"/>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宋体" w:hAnsi="宋体" w:eastAsia="宋体" w:cs="宋体"/>
          <w:color w:val="auto"/>
          <w:w w:val="95"/>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w w:val="95"/>
          <w:sz w:val="24"/>
          <w:szCs w:val="24"/>
          <w:highlight w:val="none"/>
          <w:lang w:eastAsia="zh-CN"/>
        </w:rPr>
        <w:t>签字或盖章</w:t>
      </w:r>
      <w:r>
        <w:rPr>
          <w:rFonts w:hint="eastAsia" w:ascii="宋体" w:hAnsi="宋体" w:eastAsia="宋体" w:cs="宋体"/>
          <w:color w:val="auto"/>
          <w:w w:val="95"/>
          <w:sz w:val="24"/>
          <w:szCs w:val="24"/>
          <w:highlight w:val="none"/>
        </w:rPr>
        <w:t>）</w:t>
      </w:r>
    </w:p>
    <w:p>
      <w:pPr>
        <w:pStyle w:val="8"/>
        <w:numPr>
          <w:ilvl w:val="0"/>
          <w:numId w:val="0"/>
        </w:numPr>
        <w:tabs>
          <w:tab w:val="left" w:pos="5551"/>
          <w:tab w:val="left" w:pos="6511"/>
          <w:tab w:val="left" w:pos="7111"/>
          <w:tab w:val="left" w:pos="7711"/>
          <w:tab w:val="clear" w:pos="780"/>
        </w:tabs>
        <w:kinsoku w:val="0"/>
        <w:overflowPunct w:val="0"/>
        <w:spacing w:before="46"/>
        <w:ind w:right="0" w:rightChars="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pStyle w:val="36"/>
        <w:keepNext w:val="0"/>
        <w:keepLines w:val="0"/>
        <w:widowControl w:val="0"/>
        <w:shd w:val="clear" w:color="auto" w:fill="auto"/>
        <w:bidi w:val="0"/>
        <w:spacing w:before="0" w:after="580" w:line="240" w:lineRule="auto"/>
        <w:ind w:left="0" w:right="0" w:firstLine="360"/>
        <w:jc w:val="left"/>
        <w:rPr>
          <w:rFonts w:hint="eastAsia" w:ascii="宋体" w:hAnsi="宋体" w:eastAsia="宋体" w:cs="宋体"/>
          <w:color w:val="auto"/>
          <w:spacing w:val="0"/>
          <w:w w:val="100"/>
          <w:position w:val="0"/>
          <w:highlight w:val="none"/>
        </w:rPr>
      </w:pPr>
    </w:p>
    <w:p>
      <w:pPr>
        <w:shd w:val="clear" w:color="auto" w:fill="auto"/>
        <w:spacing w:line="360" w:lineRule="auto"/>
        <w:jc w:val="center"/>
        <w:rPr>
          <w:rFonts w:hint="eastAsia" w:ascii="宋体" w:hAnsi="宋体" w:eastAsia="宋体" w:cs="宋体"/>
          <w:b w:val="0"/>
          <w:bCs/>
          <w:color w:val="auto"/>
          <w:kern w:val="0"/>
          <w:sz w:val="36"/>
          <w:szCs w:val="36"/>
          <w:highlight w:val="none"/>
          <w:lang w:val="en-US" w:eastAsia="zh-CN"/>
        </w:rPr>
      </w:pPr>
    </w:p>
    <w:p>
      <w:pPr>
        <w:shd w:val="clear" w:color="auto" w:fill="auto"/>
        <w:spacing w:line="360" w:lineRule="auto"/>
        <w:jc w:val="center"/>
        <w:rPr>
          <w:rFonts w:hint="eastAsia" w:ascii="宋体" w:hAnsi="宋体" w:eastAsia="宋体" w:cs="宋体"/>
          <w:b w:val="0"/>
          <w:bCs/>
          <w:color w:val="auto"/>
          <w:kern w:val="0"/>
          <w:sz w:val="36"/>
          <w:szCs w:val="36"/>
          <w:highlight w:val="none"/>
          <w:lang w:val="en-US" w:eastAsia="zh-CN"/>
        </w:rPr>
      </w:pPr>
    </w:p>
    <w:p>
      <w:pPr>
        <w:shd w:val="clear" w:color="auto" w:fill="auto"/>
        <w:spacing w:line="360" w:lineRule="auto"/>
        <w:jc w:val="both"/>
        <w:rPr>
          <w:rFonts w:hint="eastAsia" w:ascii="宋体" w:hAnsi="宋体" w:eastAsia="宋体" w:cs="宋体"/>
          <w:b w:val="0"/>
          <w:bCs/>
          <w:color w:val="auto"/>
          <w:kern w:val="0"/>
          <w:sz w:val="36"/>
          <w:szCs w:val="36"/>
          <w:highlight w:val="none"/>
          <w:lang w:val="en-US" w:eastAsia="zh-CN"/>
        </w:rPr>
      </w:pP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t>9、供货方案及培训方案</w:t>
      </w:r>
    </w:p>
    <w:p>
      <w:pPr>
        <w:spacing w:line="52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主要内容应包括但不限于以下内容（格式自定）：</w:t>
      </w:r>
    </w:p>
    <w:p>
      <w:pPr>
        <w:numPr>
          <w:ilvl w:val="0"/>
          <w:numId w:val="5"/>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供货计划和供货周期安排</w:t>
      </w:r>
    </w:p>
    <w:p>
      <w:pPr>
        <w:numPr>
          <w:ilvl w:val="0"/>
          <w:numId w:val="5"/>
        </w:num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配送方案</w:t>
      </w: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、质量保证</w:t>
      </w:r>
    </w:p>
    <w:p>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、应对突发事件的应急方案</w:t>
      </w:r>
    </w:p>
    <w:p>
      <w:pPr>
        <w:widowControl/>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、培训方案</w:t>
      </w:r>
      <w:r>
        <w:rPr>
          <w:rFonts w:hint="eastAsia" w:ascii="宋体" w:hAnsi="宋体" w:eastAsia="宋体" w:cs="宋体"/>
          <w:b/>
          <w:bCs/>
          <w:color w:val="auto"/>
          <w:sz w:val="24"/>
          <w:szCs w:val="24"/>
          <w:highlight w:val="none"/>
          <w:lang w:eastAsia="zh-CN"/>
        </w:rPr>
        <w:t>（包括培训计划、培训内容、培训时效性及预期培训结果等）</w:t>
      </w: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p>
    <w:p>
      <w:pP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br w:type="page"/>
      </w: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t>10、服务方案</w:t>
      </w:r>
    </w:p>
    <w:p>
      <w:pPr>
        <w:pStyle w:val="9"/>
        <w:numPr>
          <w:ilvl w:val="0"/>
          <w:numId w:val="0"/>
        </w:numPr>
        <w:jc w:val="both"/>
        <w:rPr>
          <w:rFonts w:hint="eastAsia" w:ascii="宋体" w:hAnsi="宋体" w:eastAsia="宋体" w:cs="宋体"/>
          <w:color w:val="auto"/>
          <w:highlight w:val="none"/>
          <w:lang w:val="en-US"/>
        </w:rPr>
      </w:pPr>
      <w:bookmarkStart w:id="64" w:name="_Toc780"/>
      <w:bookmarkStart w:id="65" w:name="_Toc30852"/>
      <w:r>
        <w:rPr>
          <w:rFonts w:hint="eastAsia" w:ascii="宋体" w:hAnsi="宋体" w:eastAsia="宋体" w:cs="宋体"/>
          <w:color w:val="auto"/>
          <w:kern w:val="2"/>
          <w:sz w:val="24"/>
          <w:szCs w:val="24"/>
          <w:highlight w:val="none"/>
          <w:lang w:val="en-US" w:eastAsia="zh-CN" w:bidi="ar-SA"/>
        </w:rPr>
        <w:t>包括但不限于</w:t>
      </w:r>
      <w:bookmarkEnd w:id="64"/>
      <w:bookmarkEnd w:id="65"/>
      <w:r>
        <w:rPr>
          <w:rFonts w:hint="eastAsia" w:ascii="宋体" w:hAnsi="宋体" w:eastAsia="宋体" w:cs="宋体"/>
          <w:color w:val="auto"/>
          <w:kern w:val="2"/>
          <w:sz w:val="24"/>
          <w:szCs w:val="24"/>
          <w:highlight w:val="none"/>
          <w:lang w:val="en-US" w:eastAsia="zh-CN" w:bidi="ar-SA"/>
        </w:rPr>
        <w:t>①质保措施；②病虫害防治；③养护方案（包含养护人员配备、养护计划及流程、养护质量保证措施）；④保证或提高苗木成活率的措施等</w:t>
      </w:r>
    </w:p>
    <w:p>
      <w:pPr>
        <w:pStyle w:val="2"/>
        <w:rPr>
          <w:rFonts w:hint="eastAsia"/>
          <w:color w:val="auto"/>
          <w:lang w:val="en-US" w:eastAsia="zh-CN"/>
        </w:rPr>
      </w:pP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p>
    <w:p>
      <w:pP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br w:type="page"/>
      </w:r>
    </w:p>
    <w:p>
      <w:pPr>
        <w:shd w:val="clear" w:color="auto" w:fill="auto"/>
        <w:spacing w:line="360" w:lineRule="auto"/>
        <w:jc w:val="cente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t>11、售后服务承诺书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1、固定的售后服务机构等常设机构（需提供相关证明）</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固</w:t>
      </w:r>
      <w:r>
        <w:rPr>
          <w:rFonts w:hint="eastAsia" w:ascii="宋体" w:hAnsi="宋体" w:eastAsia="宋体" w:cs="宋体"/>
          <w:color w:val="auto"/>
          <w:sz w:val="24"/>
          <w:szCs w:val="24"/>
          <w:highlight w:val="none"/>
        </w:rPr>
        <w:t>定的售后服务人员、联系方式等详述</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3、投标人必须按提交的售后服务承诺书，提供售后服务。</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一、拟提供售后服务的项目：</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二、服务响应及到达现场的时间：</w:t>
      </w: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p>
    <w:p>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投标人名称（加盖公章）：     </w:t>
      </w:r>
    </w:p>
    <w:p>
      <w:pPr>
        <w:spacing w:line="440" w:lineRule="exact"/>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法定代表人（盖章）：                  </w:t>
      </w:r>
    </w:p>
    <w:p>
      <w:pPr>
        <w:ind w:firstLine="6000" w:firstLineChars="2500"/>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color w:val="auto"/>
          <w:sz w:val="24"/>
          <w:szCs w:val="24"/>
          <w:highlight w:val="none"/>
        </w:rPr>
        <w:t>日期：　　</w:t>
      </w:r>
    </w:p>
    <w:p>
      <w:pPr>
        <w:rPr>
          <w:rFonts w:hint="eastAsia" w:ascii="宋体" w:hAnsi="宋体" w:eastAsia="宋体" w:cs="宋体"/>
          <w:b/>
          <w:bCs w:val="0"/>
          <w:color w:val="auto"/>
          <w:kern w:val="0"/>
          <w:sz w:val="36"/>
          <w:szCs w:val="36"/>
          <w:highlight w:val="none"/>
          <w:lang w:val="en-US" w:eastAsia="zh-CN"/>
        </w:rPr>
      </w:pPr>
      <w:r>
        <w:rPr>
          <w:rFonts w:hint="eastAsia" w:ascii="宋体" w:hAnsi="宋体" w:eastAsia="宋体" w:cs="宋体"/>
          <w:b/>
          <w:bCs w:val="0"/>
          <w:color w:val="auto"/>
          <w:kern w:val="0"/>
          <w:sz w:val="36"/>
          <w:szCs w:val="36"/>
          <w:highlight w:val="none"/>
          <w:lang w:val="en-US" w:eastAsia="zh-CN"/>
        </w:rPr>
        <w:br w:type="page"/>
      </w:r>
    </w:p>
    <w:p>
      <w:pPr>
        <w:shd w:val="clear" w:color="auto" w:fill="auto"/>
        <w:spacing w:line="360" w:lineRule="auto"/>
        <w:jc w:val="center"/>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lang w:val="en-US" w:eastAsia="zh-CN"/>
        </w:rPr>
        <w:t>12</w:t>
      </w:r>
      <w:r>
        <w:rPr>
          <w:rFonts w:hint="eastAsia" w:ascii="宋体" w:hAnsi="宋体" w:eastAsia="宋体" w:cs="宋体"/>
          <w:b/>
          <w:bCs w:val="0"/>
          <w:color w:val="auto"/>
          <w:kern w:val="0"/>
          <w:sz w:val="36"/>
          <w:szCs w:val="36"/>
          <w:highlight w:val="none"/>
        </w:rPr>
        <w:t>、中小企业声明函(</w:t>
      </w:r>
      <w:r>
        <w:rPr>
          <w:rFonts w:hint="eastAsia" w:ascii="宋体" w:hAnsi="宋体" w:eastAsia="宋体" w:cs="宋体"/>
          <w:b/>
          <w:bCs w:val="0"/>
          <w:color w:val="auto"/>
          <w:kern w:val="0"/>
          <w:sz w:val="36"/>
          <w:szCs w:val="36"/>
          <w:highlight w:val="none"/>
          <w:lang w:eastAsia="zh-CN"/>
        </w:rPr>
        <w:t>货物</w:t>
      </w:r>
      <w:r>
        <w:rPr>
          <w:rFonts w:hint="eastAsia" w:ascii="宋体" w:hAnsi="宋体" w:eastAsia="宋体" w:cs="宋体"/>
          <w:b/>
          <w:bCs w:val="0"/>
          <w:color w:val="auto"/>
          <w:kern w:val="0"/>
          <w:sz w:val="36"/>
          <w:szCs w:val="36"/>
          <w:highlight w:val="none"/>
        </w:rPr>
        <w:t>)</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（标的名称） ，属 于</w:t>
      </w:r>
      <w:r>
        <w:rPr>
          <w:rFonts w:hint="eastAsia" w:ascii="宋体" w:hAnsi="宋体" w:eastAsia="宋体" w:cs="宋体"/>
          <w:color w:val="auto"/>
          <w:kern w:val="0"/>
          <w:sz w:val="24"/>
          <w:szCs w:val="24"/>
          <w:highlight w:val="none"/>
          <w:lang w:val="en-US" w:eastAsia="zh-CN"/>
        </w:rPr>
        <w:t>批发业</w:t>
      </w:r>
      <w:r>
        <w:rPr>
          <w:rFonts w:hint="eastAsia" w:ascii="宋体" w:hAnsi="宋体" w:eastAsia="宋体" w:cs="宋体"/>
          <w:color w:val="auto"/>
          <w:kern w:val="0"/>
          <w:sz w:val="24"/>
          <w:szCs w:val="24"/>
          <w:highlight w:val="none"/>
        </w:rPr>
        <w:t>（采购文件中明确的所属行业）行业；制造商为（企业名称），从业人员 人，营业收入为 万元，资产总额为 万元</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"br9"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，属 于（中型企业、小型企业、微型企业）；</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（标的名称） ，属 于</w:t>
      </w:r>
      <w:r>
        <w:rPr>
          <w:rFonts w:hint="eastAsia" w:ascii="宋体" w:hAnsi="宋体" w:eastAsia="宋体" w:cs="宋体"/>
          <w:color w:val="auto"/>
          <w:kern w:val="0"/>
          <w:sz w:val="24"/>
          <w:szCs w:val="24"/>
          <w:highlight w:val="none"/>
          <w:lang w:val="en-US" w:eastAsia="zh-CN"/>
        </w:rPr>
        <w:t>批发业</w:t>
      </w:r>
      <w:r>
        <w:rPr>
          <w:rFonts w:hint="eastAsia" w:ascii="宋体" w:hAnsi="宋体" w:eastAsia="宋体" w:cs="宋体"/>
          <w:color w:val="auto"/>
          <w:kern w:val="0"/>
          <w:sz w:val="24"/>
          <w:szCs w:val="24"/>
          <w:highlight w:val="none"/>
        </w:rPr>
        <w:t>（采购文件中明确的所属行业）行业；制造商为（企业名称），从业人员 人，营业收入为 万元，资产总额为 万元，属于（中型企业、小型企业、微型企业）；</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p>
    <w:p>
      <w:pPr>
        <w:shd w:val="clear" w:color="auto" w:fill="auto"/>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企业名称（盖章）：</w:t>
      </w:r>
    </w:p>
    <w:p>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日期：</w:t>
      </w: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pStyle w:val="14"/>
        <w:rPr>
          <w:rFonts w:hint="eastAsia" w:ascii="宋体" w:hAnsi="宋体" w:eastAsia="宋体" w:cs="宋体"/>
          <w:color w:val="auto"/>
          <w:highlight w:val="none"/>
        </w:rPr>
      </w:pPr>
    </w:p>
    <w:p>
      <w:pPr>
        <w:tabs>
          <w:tab w:val="left" w:pos="3600"/>
        </w:tabs>
        <w:adjustRightInd w:val="0"/>
        <w:snapToGrid w:val="0"/>
        <w:spacing w:line="440" w:lineRule="exact"/>
        <w:jc w:val="both"/>
        <w:rPr>
          <w:rFonts w:hint="eastAsia" w:ascii="宋体" w:hAnsi="宋体" w:eastAsia="宋体" w:cs="宋体"/>
          <w:color w:val="auto"/>
          <w:spacing w:val="0"/>
          <w:w w:val="100"/>
          <w:position w:val="0"/>
          <w:sz w:val="36"/>
          <w:szCs w:val="36"/>
          <w:highlight w:val="none"/>
          <w:lang w:val="en-US" w:eastAsia="zh-CN"/>
        </w:rPr>
      </w:pPr>
    </w:p>
    <w:p>
      <w:pPr>
        <w:ind w:left="12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注：（本项目为专门面向小微企业的项目，此表必须提供）</w:t>
      </w:r>
    </w:p>
    <w:p>
      <w:pPr>
        <w:pStyle w:val="17"/>
        <w:numPr>
          <w:ilvl w:val="0"/>
          <w:numId w:val="0"/>
        </w:numPr>
        <w:tabs>
          <w:tab w:val="clear" w:pos="780"/>
        </w:tabs>
        <w:ind w:leftChars="100"/>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p>
    <w:p>
      <w:pPr>
        <w:tabs>
          <w:tab w:val="left" w:pos="3600"/>
        </w:tabs>
        <w:adjustRightInd w:val="0"/>
        <w:snapToGrid w:val="0"/>
        <w:spacing w:line="440" w:lineRule="exact"/>
        <w:jc w:val="center"/>
        <w:rPr>
          <w:rFonts w:hint="eastAsia" w:ascii="宋体" w:hAnsi="宋体" w:eastAsia="宋体" w:cs="宋体"/>
          <w:color w:val="auto"/>
          <w:spacing w:val="0"/>
          <w:w w:val="100"/>
          <w:position w:val="0"/>
          <w:sz w:val="36"/>
          <w:szCs w:val="36"/>
          <w:highlight w:val="none"/>
          <w:lang w:val="en-US" w:eastAsia="zh-CN"/>
        </w:rPr>
      </w:pPr>
    </w:p>
    <w:p>
      <w:pPr>
        <w:tabs>
          <w:tab w:val="left" w:pos="3600"/>
        </w:tabs>
        <w:adjustRightInd w:val="0"/>
        <w:snapToGrid w:val="0"/>
        <w:spacing w:line="440" w:lineRule="exact"/>
        <w:jc w:val="center"/>
        <w:rPr>
          <w:rFonts w:hint="eastAsia" w:ascii="宋体" w:hAnsi="宋体" w:eastAsia="宋体" w:cs="宋体"/>
          <w:color w:val="auto"/>
          <w:spacing w:val="0"/>
          <w:w w:val="100"/>
          <w:position w:val="0"/>
          <w:sz w:val="36"/>
          <w:szCs w:val="36"/>
          <w:highlight w:val="none"/>
          <w:lang w:val="en-US" w:eastAsia="zh-CN"/>
        </w:rPr>
      </w:pPr>
    </w:p>
    <w:p>
      <w:pPr>
        <w:tabs>
          <w:tab w:val="left" w:pos="3600"/>
        </w:tabs>
        <w:adjustRightInd w:val="0"/>
        <w:snapToGrid w:val="0"/>
        <w:spacing w:line="440" w:lineRule="exact"/>
        <w:jc w:val="center"/>
        <w:rPr>
          <w:rFonts w:hint="eastAsia" w:ascii="宋体" w:hAnsi="宋体" w:eastAsia="宋体" w:cs="宋体"/>
          <w:b/>
          <w:bCs/>
          <w:color w:val="auto"/>
          <w:spacing w:val="6"/>
          <w:kern w:val="0"/>
          <w:sz w:val="36"/>
          <w:szCs w:val="36"/>
          <w:highlight w:val="none"/>
        </w:rPr>
      </w:pPr>
      <w:r>
        <w:rPr>
          <w:rFonts w:hint="eastAsia" w:ascii="宋体" w:hAnsi="宋体" w:eastAsia="宋体" w:cs="宋体"/>
          <w:color w:val="auto"/>
          <w:spacing w:val="0"/>
          <w:w w:val="100"/>
          <w:position w:val="0"/>
          <w:sz w:val="36"/>
          <w:szCs w:val="36"/>
          <w:highlight w:val="none"/>
          <w:lang w:val="en-US" w:eastAsia="zh-CN"/>
        </w:rPr>
        <w:t>13</w:t>
      </w:r>
      <w:r>
        <w:rPr>
          <w:rFonts w:hint="eastAsia" w:ascii="宋体" w:hAnsi="宋体" w:eastAsia="宋体" w:cs="宋体"/>
          <w:color w:val="auto"/>
          <w:spacing w:val="0"/>
          <w:w w:val="100"/>
          <w:position w:val="0"/>
          <w:sz w:val="36"/>
          <w:szCs w:val="36"/>
          <w:highlight w:val="none"/>
          <w:lang w:eastAsia="zh-CN"/>
        </w:rPr>
        <w:t>、</w:t>
      </w:r>
      <w:r>
        <w:rPr>
          <w:rFonts w:hint="eastAsia" w:ascii="宋体" w:hAnsi="宋体" w:eastAsia="宋体" w:cs="宋体"/>
          <w:b/>
          <w:bCs/>
          <w:color w:val="auto"/>
          <w:spacing w:val="6"/>
          <w:kern w:val="0"/>
          <w:sz w:val="36"/>
          <w:szCs w:val="36"/>
          <w:highlight w:val="none"/>
        </w:rPr>
        <w:t>残疾人福利性单位声明函</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w:t>
      </w: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日  期：</w:t>
      </w:r>
    </w:p>
    <w:p>
      <w:pPr>
        <w:pStyle w:val="4"/>
        <w:numPr>
          <w:ilvl w:val="1"/>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p>
      <w:pPr>
        <w:rPr>
          <w:rFonts w:hint="eastAsia" w:ascii="宋体" w:hAnsi="宋体" w:eastAsia="宋体" w:cs="宋体"/>
          <w:b/>
          <w:bCs/>
          <w:color w:val="auto"/>
          <w:sz w:val="24"/>
          <w:highlight w:val="none"/>
          <w:lang w:val="en-US" w:eastAsia="zh-CN"/>
        </w:rPr>
      </w:pPr>
    </w:p>
    <w:p>
      <w:pPr>
        <w:pStyle w:val="34"/>
        <w:rPr>
          <w:rFonts w:hint="eastAsia" w:ascii="宋体" w:hAnsi="宋体" w:eastAsia="宋体" w:cs="宋体"/>
          <w:b/>
          <w:bCs/>
          <w:color w:val="auto"/>
          <w:sz w:val="24"/>
          <w:highlight w:val="none"/>
          <w:lang w:val="en-US" w:eastAsia="zh-CN"/>
        </w:rPr>
      </w:pPr>
    </w:p>
    <w:p>
      <w:pPr>
        <w:pStyle w:val="35"/>
        <w:keepNext/>
        <w:keepLines/>
        <w:spacing w:before="0" w:after="660"/>
        <w:ind w:firstLine="420"/>
        <w:outlineLvl w:val="9"/>
        <w:rPr>
          <w:rFonts w:hint="eastAsia" w:ascii="宋体" w:hAnsi="宋体" w:eastAsia="宋体" w:cs="宋体"/>
          <w:color w:val="auto"/>
          <w:highlight w:val="none"/>
          <w:lang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pStyle w:val="2"/>
        <w:rPr>
          <w:rFonts w:hint="eastAsia"/>
          <w:color w:val="auto"/>
          <w:lang w:val="en-US" w:eastAsia="zh-CN"/>
        </w:rPr>
      </w:pPr>
    </w:p>
    <w:p>
      <w:pPr>
        <w:shd w:val="clear" w:color="auto" w:fill="auto"/>
        <w:tabs>
          <w:tab w:val="left" w:pos="3600"/>
        </w:tabs>
        <w:adjustRightInd w:val="0"/>
        <w:snapToGrid w:val="0"/>
        <w:spacing w:line="440" w:lineRule="exact"/>
        <w:jc w:val="both"/>
        <w:rPr>
          <w:rFonts w:hint="eastAsia" w:ascii="宋体" w:hAnsi="宋体" w:eastAsia="宋体" w:cs="宋体"/>
          <w:b/>
          <w:bCs/>
          <w:color w:val="auto"/>
          <w:spacing w:val="0"/>
          <w:w w:val="100"/>
          <w:position w:val="0"/>
          <w:sz w:val="36"/>
          <w:szCs w:val="36"/>
          <w:highlight w:val="none"/>
          <w:lang w:val="en-US" w:eastAsia="zh-CN"/>
        </w:rPr>
      </w:pPr>
    </w:p>
    <w:p>
      <w:pPr>
        <w:shd w:val="clear" w:color="auto" w:fill="auto"/>
        <w:tabs>
          <w:tab w:val="left" w:pos="3600"/>
        </w:tabs>
        <w:adjustRightInd w:val="0"/>
        <w:snapToGrid w:val="0"/>
        <w:spacing w:line="440" w:lineRule="exact"/>
        <w:jc w:val="center"/>
        <w:rPr>
          <w:rFonts w:hint="eastAsia" w:ascii="宋体" w:hAnsi="宋体" w:eastAsia="宋体" w:cs="宋体"/>
          <w:b/>
          <w:bCs/>
          <w:color w:val="auto"/>
          <w:spacing w:val="0"/>
          <w:w w:val="90"/>
          <w:position w:val="0"/>
          <w:sz w:val="36"/>
          <w:szCs w:val="36"/>
          <w:highlight w:val="none"/>
          <w:lang w:val="en-US" w:eastAsia="zh-CN"/>
        </w:rPr>
      </w:pPr>
      <w:r>
        <w:rPr>
          <w:rFonts w:hint="eastAsia" w:ascii="宋体" w:hAnsi="宋体" w:eastAsia="宋体" w:cs="宋体"/>
          <w:b/>
          <w:bCs/>
          <w:color w:val="auto"/>
          <w:spacing w:val="0"/>
          <w:w w:val="100"/>
          <w:position w:val="0"/>
          <w:sz w:val="36"/>
          <w:szCs w:val="36"/>
          <w:highlight w:val="none"/>
          <w:lang w:val="en-US" w:eastAsia="zh-CN"/>
        </w:rPr>
        <w:t>14、</w:t>
      </w:r>
      <w:r>
        <w:rPr>
          <w:rFonts w:hint="eastAsia" w:ascii="宋体" w:hAnsi="宋体" w:eastAsia="宋体" w:cs="宋体"/>
          <w:b/>
          <w:bCs/>
          <w:color w:val="auto"/>
          <w:spacing w:val="0"/>
          <w:w w:val="90"/>
          <w:position w:val="0"/>
          <w:sz w:val="36"/>
          <w:szCs w:val="36"/>
          <w:highlight w:val="none"/>
          <w:lang w:val="en-US" w:eastAsia="zh-CN"/>
        </w:rPr>
        <w:t>投标人认为有必要提供的其他证明材料</w:t>
      </w:r>
    </w:p>
    <w:p>
      <w:pPr>
        <w:pStyle w:val="11"/>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p>
    <w:p>
      <w:pPr>
        <w:pStyle w:val="11"/>
        <w:shd w:val="clear" w:color="auto" w:fill="auto"/>
        <w:tabs>
          <w:tab w:val="left" w:pos="5580"/>
        </w:tabs>
        <w:spacing w:line="240" w:lineRule="atLeast"/>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说明：复印件上应加盖本单位章。</w:t>
      </w:r>
    </w:p>
    <w:p>
      <w:pPr>
        <w:pStyle w:val="12"/>
        <w:rPr>
          <w:rFonts w:hint="eastAsia" w:ascii="宋体" w:hAnsi="宋体" w:eastAsia="宋体" w:cs="宋体"/>
          <w:color w:val="auto"/>
          <w:highlight w:val="none"/>
        </w:rPr>
      </w:pPr>
    </w:p>
    <w:p>
      <w:pPr>
        <w:pStyle w:val="35"/>
        <w:keepNext/>
        <w:keepLines/>
        <w:spacing w:before="0" w:after="660"/>
        <w:ind w:firstLine="420"/>
        <w:outlineLvl w:val="9"/>
        <w:rPr>
          <w:rFonts w:hint="eastAsia" w:ascii="宋体" w:hAnsi="宋体" w:eastAsia="宋体" w:cs="宋体"/>
          <w:color w:val="auto"/>
          <w:highlight w:val="none"/>
          <w:lang w:eastAsia="zh-CN"/>
        </w:rPr>
      </w:pPr>
    </w:p>
    <w:p>
      <w:pPr>
        <w:pStyle w:val="35"/>
        <w:keepNext/>
        <w:keepLines/>
        <w:spacing w:before="0" w:after="660"/>
        <w:ind w:firstLine="420"/>
        <w:outlineLvl w:val="9"/>
        <w:rPr>
          <w:rFonts w:hint="eastAsia" w:ascii="宋体" w:hAnsi="宋体" w:eastAsia="宋体" w:cs="宋体"/>
          <w:color w:val="auto"/>
          <w:highlight w:val="none"/>
          <w:lang w:eastAsia="zh-CN"/>
        </w:rPr>
      </w:pPr>
    </w:p>
    <w:p>
      <w:pPr>
        <w:pStyle w:val="35"/>
        <w:keepNext/>
        <w:keepLines/>
        <w:spacing w:before="0" w:after="660"/>
        <w:ind w:firstLine="420"/>
        <w:outlineLvl w:val="9"/>
        <w:rPr>
          <w:rFonts w:hint="eastAsia" w:ascii="宋体" w:hAnsi="宋体" w:eastAsia="宋体" w:cs="宋体"/>
          <w:color w:val="auto"/>
          <w:highlight w:val="none"/>
          <w:lang w:eastAsia="zh-CN"/>
        </w:rPr>
      </w:pPr>
    </w:p>
    <w:bookmarkEnd w:id="57"/>
    <w:bookmarkEnd w:id="58"/>
    <w:bookmarkEnd w:id="59"/>
    <w:bookmarkEnd w:id="60"/>
    <w:bookmarkEnd w:id="61"/>
    <w:bookmarkEnd w:id="62"/>
    <w:bookmarkEnd w:id="63"/>
    <w:p>
      <w:pPr>
        <w:pStyle w:val="37"/>
        <w:spacing w:after="240" w:line="240" w:lineRule="auto"/>
        <w:ind w:firstLine="0"/>
        <w:jc w:val="center"/>
        <w:rPr>
          <w:rFonts w:hint="eastAsia" w:ascii="宋体" w:hAnsi="宋体" w:eastAsia="宋体" w:cs="宋体"/>
          <w:b/>
          <w:bCs/>
          <w:color w:val="auto"/>
          <w:sz w:val="36"/>
          <w:szCs w:val="36"/>
          <w:highlight w:val="none"/>
          <w:lang w:eastAsia="zh-CN"/>
        </w:rPr>
      </w:pPr>
    </w:p>
    <w:p>
      <w:pPr>
        <w:pStyle w:val="37"/>
        <w:spacing w:after="240" w:line="240" w:lineRule="auto"/>
        <w:ind w:firstLine="0"/>
        <w:jc w:val="center"/>
        <w:rPr>
          <w:rFonts w:hint="eastAsia" w:ascii="宋体" w:hAnsi="宋体" w:eastAsia="宋体" w:cs="宋体"/>
          <w:b/>
          <w:bCs/>
          <w:color w:val="auto"/>
          <w:sz w:val="36"/>
          <w:szCs w:val="36"/>
          <w:highlight w:val="none"/>
          <w:lang w:eastAsia="zh-CN"/>
        </w:rPr>
      </w:pPr>
    </w:p>
    <w:p>
      <w:pPr>
        <w:pStyle w:val="37"/>
        <w:spacing w:after="240" w:line="240" w:lineRule="auto"/>
        <w:ind w:firstLine="0"/>
        <w:jc w:val="center"/>
        <w:rPr>
          <w:rFonts w:hint="eastAsia" w:ascii="宋体" w:hAnsi="宋体" w:eastAsia="宋体" w:cs="宋体"/>
          <w:b/>
          <w:bCs/>
          <w:color w:val="auto"/>
          <w:sz w:val="36"/>
          <w:szCs w:val="36"/>
          <w:highlight w:val="none"/>
          <w:lang w:eastAsia="zh-CN"/>
        </w:rPr>
      </w:pPr>
    </w:p>
    <w:p>
      <w:pPr>
        <w:spacing w:after="99" w:line="1" w:lineRule="exact"/>
        <w:rPr>
          <w:rFonts w:hint="eastAsia" w:ascii="宋体" w:hAnsi="宋体" w:eastAsia="宋体" w:cs="宋体"/>
          <w:color w:val="auto"/>
          <w:highlight w:val="none"/>
        </w:rPr>
      </w:pPr>
    </w:p>
    <w:p>
      <w:pPr>
        <w:pStyle w:val="37"/>
        <w:tabs>
          <w:tab w:val="left" w:pos="2263"/>
          <w:tab w:val="left" w:pos="3102"/>
          <w:tab w:val="left" w:pos="3933"/>
        </w:tabs>
        <w:spacing w:after="180" w:line="240" w:lineRule="auto"/>
        <w:ind w:firstLine="380"/>
        <w:jc w:val="both"/>
        <w:rPr>
          <w:rFonts w:hint="eastAsia" w:ascii="宋体" w:hAnsi="宋体" w:eastAsia="宋体" w:cs="宋体"/>
          <w:color w:val="auto"/>
          <w:highlight w:val="none"/>
        </w:rPr>
      </w:pPr>
    </w:p>
    <w:p>
      <w:pPr>
        <w:pStyle w:val="37"/>
        <w:tabs>
          <w:tab w:val="left" w:pos="826"/>
        </w:tabs>
        <w:spacing w:line="470" w:lineRule="exact"/>
        <w:ind w:firstLine="0"/>
        <w:jc w:val="both"/>
        <w:rPr>
          <w:rFonts w:hint="eastAsia" w:ascii="宋体" w:hAnsi="宋体" w:eastAsia="宋体" w:cs="宋体"/>
          <w:color w:val="auto"/>
          <w:sz w:val="21"/>
          <w:szCs w:val="21"/>
          <w:highlight w:val="none"/>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r>
      <w:rPr>
        <w:rFonts w:hint="eastAsia"/>
        <w:sz w:val="13"/>
        <w:szCs w:val="13"/>
      </w:rPr>
      <w:t xml:space="preserve"> </w:t>
    </w:r>
    <w:r>
      <w:rPr>
        <w:rFonts w:hint="eastAsia"/>
      </w:rPr>
      <w:t xml:space="preserve">  </w:t>
    </w:r>
  </w:p>
  <w:p>
    <w:pPr>
      <w:pStyle w:val="2"/>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rPr>
        <w:rFonts w:hint="eastAsia"/>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QZEb3FAQAAkQ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3nLmhKUbv3z/dvnx6/Lz&#10;K6MaGdQHrKjvMTzAlCGFSe3Qgk1v0sGGbOr5aqoaIpNUXK5X63VJfks6mxPCKZ4+D4DxXnnLUlBz&#10;oFvLZorTB4xj69ySpjl/p42huqiM+6tAmKlSJMYjxxTFYT9MxPe+OZPeni685o72mzPz3pGfaTfm&#10;AOZgPwfHAPrQEbVl5oXh9hiJROaWJoyw02C6qaxu2qq0Cn/muevpT9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kGRG9xQEAAJEDAAAOAAAAAAAAAAEAIAAAAB8BAABkcnMvZTJvRG9jLnht&#10;bFBLBQYAAAAABgAGAFkBAABW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53A2"/>
    <w:multiLevelType w:val="singleLevel"/>
    <w:tmpl w:val="9BC153A2"/>
    <w:lvl w:ilvl="0" w:tentative="0">
      <w:start w:val="3"/>
      <w:numFmt w:val="chineseCounting"/>
      <w:suff w:val="space"/>
      <w:lvlText w:val="第%1部分"/>
      <w:lvlJc w:val="left"/>
      <w:rPr>
        <w:rFonts w:hint="eastAsia"/>
        <w:b/>
        <w:bCs/>
        <w:sz w:val="32"/>
        <w:szCs w:val="32"/>
      </w:rPr>
    </w:lvl>
  </w:abstractNum>
  <w:abstractNum w:abstractNumId="1">
    <w:nsid w:val="A19FCF22"/>
    <w:multiLevelType w:val="singleLevel"/>
    <w:tmpl w:val="A19FCF22"/>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3EA33E32"/>
    <w:multiLevelType w:val="singleLevel"/>
    <w:tmpl w:val="3EA33E32"/>
    <w:lvl w:ilvl="0" w:tentative="0">
      <w:start w:val="1"/>
      <w:numFmt w:val="chineseCounting"/>
      <w:suff w:val="space"/>
      <w:lvlText w:val="第%1部分"/>
      <w:lvlJc w:val="left"/>
      <w:rPr>
        <w:rFonts w:hint="eastAsia"/>
      </w:rPr>
    </w:lvl>
  </w:abstractNum>
  <w:abstractNum w:abstractNumId="4">
    <w:nsid w:val="5E5A7A00"/>
    <w:multiLevelType w:val="singleLevel"/>
    <w:tmpl w:val="5E5A7A00"/>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zdiYzk1OWZhODYyODcxNjZiMzUyZWVjMzc0ZWEifQ=="/>
  </w:docVars>
  <w:rsids>
    <w:rsidRoot w:val="430832B2"/>
    <w:rsid w:val="001E462A"/>
    <w:rsid w:val="003A6B95"/>
    <w:rsid w:val="004519BB"/>
    <w:rsid w:val="006911F9"/>
    <w:rsid w:val="0098388D"/>
    <w:rsid w:val="009B0550"/>
    <w:rsid w:val="00A768E1"/>
    <w:rsid w:val="00D544C1"/>
    <w:rsid w:val="00DA7A9B"/>
    <w:rsid w:val="00DE3995"/>
    <w:rsid w:val="00E346F3"/>
    <w:rsid w:val="01311D17"/>
    <w:rsid w:val="029A0A76"/>
    <w:rsid w:val="029E6E69"/>
    <w:rsid w:val="02C12630"/>
    <w:rsid w:val="02FB136D"/>
    <w:rsid w:val="03120DC1"/>
    <w:rsid w:val="03EB22E8"/>
    <w:rsid w:val="042A106A"/>
    <w:rsid w:val="04D60C9E"/>
    <w:rsid w:val="05C16796"/>
    <w:rsid w:val="05C23886"/>
    <w:rsid w:val="05F52998"/>
    <w:rsid w:val="063B7194"/>
    <w:rsid w:val="0671176C"/>
    <w:rsid w:val="0699677B"/>
    <w:rsid w:val="07F95559"/>
    <w:rsid w:val="085D5AE7"/>
    <w:rsid w:val="09231976"/>
    <w:rsid w:val="093B78CB"/>
    <w:rsid w:val="09D059EE"/>
    <w:rsid w:val="0A7E1D45"/>
    <w:rsid w:val="0AEE1196"/>
    <w:rsid w:val="0B2F3756"/>
    <w:rsid w:val="0B446AEB"/>
    <w:rsid w:val="0B8B64C8"/>
    <w:rsid w:val="0BF26C44"/>
    <w:rsid w:val="0C4F055A"/>
    <w:rsid w:val="0D811CDB"/>
    <w:rsid w:val="0DA51639"/>
    <w:rsid w:val="0DCE3CFC"/>
    <w:rsid w:val="0EB61B3E"/>
    <w:rsid w:val="0F353C35"/>
    <w:rsid w:val="0FFC769D"/>
    <w:rsid w:val="103A670E"/>
    <w:rsid w:val="10685029"/>
    <w:rsid w:val="108B2820"/>
    <w:rsid w:val="113E6612"/>
    <w:rsid w:val="120509AC"/>
    <w:rsid w:val="12084764"/>
    <w:rsid w:val="125622C4"/>
    <w:rsid w:val="12A03A07"/>
    <w:rsid w:val="13F43A1D"/>
    <w:rsid w:val="147B69EE"/>
    <w:rsid w:val="1525173B"/>
    <w:rsid w:val="153C6A85"/>
    <w:rsid w:val="15C2342E"/>
    <w:rsid w:val="15E839EB"/>
    <w:rsid w:val="15EE5971"/>
    <w:rsid w:val="15FF3B9E"/>
    <w:rsid w:val="160D6147"/>
    <w:rsid w:val="162905B3"/>
    <w:rsid w:val="16480AD2"/>
    <w:rsid w:val="168411C4"/>
    <w:rsid w:val="16AA639C"/>
    <w:rsid w:val="16D3103C"/>
    <w:rsid w:val="171F0B4E"/>
    <w:rsid w:val="17EB3771"/>
    <w:rsid w:val="18340C54"/>
    <w:rsid w:val="18760552"/>
    <w:rsid w:val="18876FE4"/>
    <w:rsid w:val="18AB28D3"/>
    <w:rsid w:val="18CC2617"/>
    <w:rsid w:val="18FE29CF"/>
    <w:rsid w:val="19560639"/>
    <w:rsid w:val="19651766"/>
    <w:rsid w:val="198D3D53"/>
    <w:rsid w:val="19AE52C2"/>
    <w:rsid w:val="19D56FD4"/>
    <w:rsid w:val="1AA14F3E"/>
    <w:rsid w:val="1BE65325"/>
    <w:rsid w:val="1CFC39E2"/>
    <w:rsid w:val="1D4D5CD3"/>
    <w:rsid w:val="1D570900"/>
    <w:rsid w:val="1D743467"/>
    <w:rsid w:val="1E6813A9"/>
    <w:rsid w:val="1E9F3EE4"/>
    <w:rsid w:val="1F5B26D6"/>
    <w:rsid w:val="1FA567E1"/>
    <w:rsid w:val="20061318"/>
    <w:rsid w:val="21241BF2"/>
    <w:rsid w:val="224D3F2E"/>
    <w:rsid w:val="22965E6B"/>
    <w:rsid w:val="22BD365D"/>
    <w:rsid w:val="22C95DFC"/>
    <w:rsid w:val="23C35548"/>
    <w:rsid w:val="23E0129C"/>
    <w:rsid w:val="23F61FE0"/>
    <w:rsid w:val="24C421D5"/>
    <w:rsid w:val="25186BBB"/>
    <w:rsid w:val="25546BA5"/>
    <w:rsid w:val="25FB510C"/>
    <w:rsid w:val="260B3B46"/>
    <w:rsid w:val="261065A0"/>
    <w:rsid w:val="265353B0"/>
    <w:rsid w:val="269756C8"/>
    <w:rsid w:val="26E94F43"/>
    <w:rsid w:val="276617D0"/>
    <w:rsid w:val="27D642EB"/>
    <w:rsid w:val="27E40FE2"/>
    <w:rsid w:val="27F4193C"/>
    <w:rsid w:val="28044AB8"/>
    <w:rsid w:val="281177B6"/>
    <w:rsid w:val="2826784C"/>
    <w:rsid w:val="291C049E"/>
    <w:rsid w:val="29A33DE7"/>
    <w:rsid w:val="29A749BD"/>
    <w:rsid w:val="2ACD12EC"/>
    <w:rsid w:val="2AF552B4"/>
    <w:rsid w:val="2B762634"/>
    <w:rsid w:val="2BD23019"/>
    <w:rsid w:val="2CA55697"/>
    <w:rsid w:val="2D1B0C53"/>
    <w:rsid w:val="2D7D0CE9"/>
    <w:rsid w:val="2D8762FF"/>
    <w:rsid w:val="2DB16D5D"/>
    <w:rsid w:val="2DDE4B40"/>
    <w:rsid w:val="2E3708A7"/>
    <w:rsid w:val="2E5A5F56"/>
    <w:rsid w:val="2EA339A5"/>
    <w:rsid w:val="2EE10029"/>
    <w:rsid w:val="2F1A353B"/>
    <w:rsid w:val="2F7E1D1C"/>
    <w:rsid w:val="2FBE036A"/>
    <w:rsid w:val="30004E27"/>
    <w:rsid w:val="30D42619"/>
    <w:rsid w:val="30EE2FEC"/>
    <w:rsid w:val="317E6AC1"/>
    <w:rsid w:val="31A66981"/>
    <w:rsid w:val="31C54436"/>
    <w:rsid w:val="31D97301"/>
    <w:rsid w:val="32790FB4"/>
    <w:rsid w:val="328104FA"/>
    <w:rsid w:val="32CE6DC2"/>
    <w:rsid w:val="335A6787"/>
    <w:rsid w:val="335C76C1"/>
    <w:rsid w:val="337E0595"/>
    <w:rsid w:val="34100013"/>
    <w:rsid w:val="3454129D"/>
    <w:rsid w:val="3464452F"/>
    <w:rsid w:val="34680F1F"/>
    <w:rsid w:val="34AC63E7"/>
    <w:rsid w:val="34BF0E0C"/>
    <w:rsid w:val="34D21F37"/>
    <w:rsid w:val="34D920DD"/>
    <w:rsid w:val="34FF56AD"/>
    <w:rsid w:val="35427B0F"/>
    <w:rsid w:val="35B0680E"/>
    <w:rsid w:val="36AA5E0A"/>
    <w:rsid w:val="36CC7811"/>
    <w:rsid w:val="37094C18"/>
    <w:rsid w:val="374F411C"/>
    <w:rsid w:val="37C3244F"/>
    <w:rsid w:val="38083993"/>
    <w:rsid w:val="39120E26"/>
    <w:rsid w:val="391D07F7"/>
    <w:rsid w:val="3956224D"/>
    <w:rsid w:val="3AD117C4"/>
    <w:rsid w:val="3BAB1F76"/>
    <w:rsid w:val="3C6502BB"/>
    <w:rsid w:val="3CA827C1"/>
    <w:rsid w:val="3D08452F"/>
    <w:rsid w:val="3D2A5291"/>
    <w:rsid w:val="3D751F42"/>
    <w:rsid w:val="3D8004D0"/>
    <w:rsid w:val="3DA2751D"/>
    <w:rsid w:val="3E0F03F9"/>
    <w:rsid w:val="3E1B6F88"/>
    <w:rsid w:val="3E2B7513"/>
    <w:rsid w:val="3E481E73"/>
    <w:rsid w:val="3F1E0E25"/>
    <w:rsid w:val="3F602B86"/>
    <w:rsid w:val="406F4E32"/>
    <w:rsid w:val="408E72C3"/>
    <w:rsid w:val="408E7BCF"/>
    <w:rsid w:val="40B26236"/>
    <w:rsid w:val="41453E2B"/>
    <w:rsid w:val="416F668A"/>
    <w:rsid w:val="418F7DB9"/>
    <w:rsid w:val="41ED2E2C"/>
    <w:rsid w:val="42701998"/>
    <w:rsid w:val="427042FE"/>
    <w:rsid w:val="42F70751"/>
    <w:rsid w:val="430832B2"/>
    <w:rsid w:val="43C755E8"/>
    <w:rsid w:val="44740DA7"/>
    <w:rsid w:val="44CE660D"/>
    <w:rsid w:val="45094EEC"/>
    <w:rsid w:val="451311C2"/>
    <w:rsid w:val="454815E5"/>
    <w:rsid w:val="457C2033"/>
    <w:rsid w:val="45FD2B80"/>
    <w:rsid w:val="467B17AA"/>
    <w:rsid w:val="46F77B89"/>
    <w:rsid w:val="4743767B"/>
    <w:rsid w:val="48D00EE6"/>
    <w:rsid w:val="49E669E4"/>
    <w:rsid w:val="4A3B2AF5"/>
    <w:rsid w:val="4A6D4A0F"/>
    <w:rsid w:val="4B407076"/>
    <w:rsid w:val="4B577B99"/>
    <w:rsid w:val="4B78366B"/>
    <w:rsid w:val="4BB73B85"/>
    <w:rsid w:val="4C257A37"/>
    <w:rsid w:val="4C944C1F"/>
    <w:rsid w:val="4D8771D0"/>
    <w:rsid w:val="4DA40CFB"/>
    <w:rsid w:val="4DF50B78"/>
    <w:rsid w:val="4E393586"/>
    <w:rsid w:val="4E6938E7"/>
    <w:rsid w:val="4E8862BB"/>
    <w:rsid w:val="4EC10539"/>
    <w:rsid w:val="4EDB2425"/>
    <w:rsid w:val="4F006719"/>
    <w:rsid w:val="4F0C65CD"/>
    <w:rsid w:val="4F1F420E"/>
    <w:rsid w:val="4F2E489B"/>
    <w:rsid w:val="50080AAD"/>
    <w:rsid w:val="50827466"/>
    <w:rsid w:val="50EC43BB"/>
    <w:rsid w:val="52327518"/>
    <w:rsid w:val="530F3E80"/>
    <w:rsid w:val="533662E6"/>
    <w:rsid w:val="53443B6F"/>
    <w:rsid w:val="53517DEB"/>
    <w:rsid w:val="53D9765E"/>
    <w:rsid w:val="543C749F"/>
    <w:rsid w:val="54F6418E"/>
    <w:rsid w:val="54FE042D"/>
    <w:rsid w:val="56493792"/>
    <w:rsid w:val="564C2999"/>
    <w:rsid w:val="56C02A96"/>
    <w:rsid w:val="56DF6C95"/>
    <w:rsid w:val="57711FE2"/>
    <w:rsid w:val="57B26BF0"/>
    <w:rsid w:val="57B974E6"/>
    <w:rsid w:val="57D00194"/>
    <w:rsid w:val="583A2931"/>
    <w:rsid w:val="58501BF8"/>
    <w:rsid w:val="5866783D"/>
    <w:rsid w:val="58725B91"/>
    <w:rsid w:val="58D573B9"/>
    <w:rsid w:val="59BD150F"/>
    <w:rsid w:val="59E05E2C"/>
    <w:rsid w:val="5A144EA7"/>
    <w:rsid w:val="5A284B76"/>
    <w:rsid w:val="5A7C4B82"/>
    <w:rsid w:val="5A871B1D"/>
    <w:rsid w:val="5ADC7773"/>
    <w:rsid w:val="5C4C56F0"/>
    <w:rsid w:val="5D026D46"/>
    <w:rsid w:val="5D2366CB"/>
    <w:rsid w:val="5D3331A6"/>
    <w:rsid w:val="5DA57176"/>
    <w:rsid w:val="5E135BA1"/>
    <w:rsid w:val="5E1D1079"/>
    <w:rsid w:val="5E430592"/>
    <w:rsid w:val="5EB94AF4"/>
    <w:rsid w:val="604B5D12"/>
    <w:rsid w:val="61761FA3"/>
    <w:rsid w:val="617F070E"/>
    <w:rsid w:val="61947A09"/>
    <w:rsid w:val="61B659EE"/>
    <w:rsid w:val="61E24540"/>
    <w:rsid w:val="623C3953"/>
    <w:rsid w:val="62611C41"/>
    <w:rsid w:val="62CF0F7D"/>
    <w:rsid w:val="63300967"/>
    <w:rsid w:val="633C08A0"/>
    <w:rsid w:val="642B45E0"/>
    <w:rsid w:val="644E1EA6"/>
    <w:rsid w:val="64677BC9"/>
    <w:rsid w:val="64966F85"/>
    <w:rsid w:val="65D4762D"/>
    <w:rsid w:val="65E60D0C"/>
    <w:rsid w:val="66A5387A"/>
    <w:rsid w:val="66F6096B"/>
    <w:rsid w:val="67160D0C"/>
    <w:rsid w:val="67656B1B"/>
    <w:rsid w:val="67AE419D"/>
    <w:rsid w:val="683769EB"/>
    <w:rsid w:val="68881DFA"/>
    <w:rsid w:val="692347F3"/>
    <w:rsid w:val="69280962"/>
    <w:rsid w:val="69543303"/>
    <w:rsid w:val="6ADE7537"/>
    <w:rsid w:val="6B60619E"/>
    <w:rsid w:val="6B7632CC"/>
    <w:rsid w:val="6BA44A9F"/>
    <w:rsid w:val="6BB42046"/>
    <w:rsid w:val="6C7543E1"/>
    <w:rsid w:val="6C9F1808"/>
    <w:rsid w:val="6CA7574F"/>
    <w:rsid w:val="6CC81EA4"/>
    <w:rsid w:val="6CD97949"/>
    <w:rsid w:val="6CED3A62"/>
    <w:rsid w:val="6D37776E"/>
    <w:rsid w:val="6D513C51"/>
    <w:rsid w:val="6D9F6AAE"/>
    <w:rsid w:val="6E7A30D3"/>
    <w:rsid w:val="6F8A763A"/>
    <w:rsid w:val="70C202DD"/>
    <w:rsid w:val="712E63F7"/>
    <w:rsid w:val="71F7318A"/>
    <w:rsid w:val="723E3676"/>
    <w:rsid w:val="724C2FD8"/>
    <w:rsid w:val="7265409A"/>
    <w:rsid w:val="727E5137"/>
    <w:rsid w:val="72B229EC"/>
    <w:rsid w:val="72DB435C"/>
    <w:rsid w:val="73D33278"/>
    <w:rsid w:val="74B86703"/>
    <w:rsid w:val="75AB1C93"/>
    <w:rsid w:val="75C13CDD"/>
    <w:rsid w:val="76197675"/>
    <w:rsid w:val="761B163F"/>
    <w:rsid w:val="76810114"/>
    <w:rsid w:val="775363DB"/>
    <w:rsid w:val="778A3F9B"/>
    <w:rsid w:val="778D1DE1"/>
    <w:rsid w:val="77901BB9"/>
    <w:rsid w:val="77CD5C91"/>
    <w:rsid w:val="78180A1F"/>
    <w:rsid w:val="78AE679B"/>
    <w:rsid w:val="792C5912"/>
    <w:rsid w:val="798E0318"/>
    <w:rsid w:val="79E104D4"/>
    <w:rsid w:val="7A910122"/>
    <w:rsid w:val="7AD93877"/>
    <w:rsid w:val="7B1C5243"/>
    <w:rsid w:val="7B456F30"/>
    <w:rsid w:val="7BC65BA9"/>
    <w:rsid w:val="7CA431AC"/>
    <w:rsid w:val="7D423759"/>
    <w:rsid w:val="7DD956AA"/>
    <w:rsid w:val="7FE8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6">
    <w:name w:val="Normal Indent"/>
    <w:basedOn w:val="1"/>
    <w:next w:val="1"/>
    <w:qFormat/>
    <w:uiPriority w:val="0"/>
    <w:pPr>
      <w:autoSpaceDE w:val="0"/>
      <w:autoSpaceDN w:val="0"/>
      <w:adjustRightInd w:val="0"/>
      <w:ind w:firstLine="420"/>
    </w:pPr>
    <w:rPr>
      <w:rFonts w:ascii="宋体"/>
      <w:szCs w:val="20"/>
    </w:rPr>
  </w:style>
  <w:style w:type="paragraph" w:styleId="7">
    <w:name w:val="toa heading"/>
    <w:basedOn w:val="1"/>
    <w:next w:val="1"/>
    <w:qFormat/>
    <w:uiPriority w:val="0"/>
    <w:pPr>
      <w:spacing w:before="120"/>
    </w:pPr>
    <w:rPr>
      <w:rFonts w:ascii="Cambria" w:hAnsi="Cambria"/>
      <w:szCs w:val="20"/>
    </w:rPr>
  </w:style>
  <w:style w:type="paragraph" w:styleId="8">
    <w:name w:val="Body Text"/>
    <w:basedOn w:val="1"/>
    <w:next w:val="9"/>
    <w:qFormat/>
    <w:uiPriority w:val="99"/>
    <w:pPr>
      <w:numPr>
        <w:ilvl w:val="0"/>
        <w:numId w:val="1"/>
      </w:numPr>
    </w:pPr>
    <w:rPr>
      <w:rFonts w:ascii="黑体" w:eastAsia="黑体"/>
      <w:sz w:val="22"/>
    </w:rPr>
  </w:style>
  <w:style w:type="paragraph" w:customStyle="1" w:styleId="9">
    <w:name w:val="Default"/>
    <w:basedOn w:val="10"/>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Title"/>
    <w:basedOn w:val="1"/>
    <w:next w:val="1"/>
    <w:qFormat/>
    <w:uiPriority w:val="0"/>
    <w:pPr>
      <w:spacing w:before="240" w:after="60"/>
      <w:jc w:val="center"/>
      <w:outlineLvl w:val="0"/>
    </w:pPr>
    <w:rPr>
      <w:rFonts w:ascii="Cambria" w:hAnsi="Cambria"/>
      <w:b/>
      <w:sz w:val="32"/>
    </w:r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next w:val="8"/>
    <w:unhideWhenUsed/>
    <w:qFormat/>
    <w:uiPriority w:val="99"/>
    <w:pPr>
      <w:snapToGrid w:val="0"/>
    </w:pPr>
    <w:rPr>
      <w:sz w:val="18"/>
      <w:szCs w:val="18"/>
    </w:rPr>
  </w:style>
  <w:style w:type="paragraph" w:styleId="15">
    <w:name w:val="Body Text 2"/>
    <w:basedOn w:val="1"/>
    <w:qFormat/>
    <w:uiPriority w:val="0"/>
    <w:pPr>
      <w:tabs>
        <w:tab w:val="left" w:pos="0"/>
      </w:tabs>
      <w:spacing w:line="400" w:lineRule="atLeast"/>
    </w:pPr>
    <w:rPr>
      <w:rFonts w:ascii="Arial" w:hAnsi="Arial"/>
    </w:rPr>
  </w:style>
  <w:style w:type="paragraph" w:styleId="16">
    <w:name w:val="Normal (Web)"/>
    <w:basedOn w:val="1"/>
    <w:qFormat/>
    <w:uiPriority w:val="99"/>
    <w:pPr>
      <w:widowControl/>
    </w:pPr>
    <w:rPr>
      <w:rFonts w:ascii="宋体" w:hAnsi="宋体" w:eastAsia="宋体" w:cs="宋体"/>
    </w:rPr>
  </w:style>
  <w:style w:type="paragraph" w:styleId="17">
    <w:name w:val="Body Text First Indent"/>
    <w:basedOn w:val="8"/>
    <w:next w:val="1"/>
    <w:unhideWhenUsed/>
    <w:qFormat/>
    <w:uiPriority w:val="99"/>
    <w:pPr>
      <w:tabs>
        <w:tab w:val="left" w:pos="567"/>
      </w:tabs>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footnote reference"/>
    <w:basedOn w:val="20"/>
    <w:unhideWhenUsed/>
    <w:qFormat/>
    <w:uiPriority w:val="99"/>
    <w:rPr>
      <w:vertAlign w:val="superscript"/>
    </w:rPr>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4">
    <w:name w:val="正文格式"/>
    <w:basedOn w:val="1"/>
    <w:qFormat/>
    <w:uiPriority w:val="99"/>
    <w:pPr>
      <w:widowControl/>
      <w:adjustRightInd w:val="0"/>
      <w:snapToGrid w:val="0"/>
      <w:spacing w:line="400" w:lineRule="atLeast"/>
      <w:ind w:firstLine="482"/>
      <w:textAlignment w:val="baseline"/>
    </w:pPr>
  </w:style>
  <w:style w:type="paragraph" w:customStyle="1" w:styleId="35">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6">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7">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8">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9">
    <w:name w:val="Table caption|1"/>
    <w:basedOn w:val="1"/>
    <w:qFormat/>
    <w:uiPriority w:val="0"/>
    <w:rPr>
      <w:rFonts w:ascii="宋体" w:hAnsi="宋体" w:eastAsia="宋体" w:cs="宋体"/>
      <w:sz w:val="22"/>
      <w:szCs w:val="22"/>
      <w:lang w:val="zh-TW" w:eastAsia="zh-TW" w:bidi="zh-TW"/>
    </w:rPr>
  </w:style>
  <w:style w:type="paragraph" w:customStyle="1" w:styleId="40">
    <w:name w:val="Table Paragraph"/>
    <w:basedOn w:val="1"/>
    <w:qFormat/>
    <w:uiPriority w:val="1"/>
    <w:pPr>
      <w:autoSpaceDE w:val="0"/>
      <w:autoSpaceDN w:val="0"/>
      <w:adjustRightInd w:val="0"/>
    </w:pPr>
    <w:rPr>
      <w:rFonts w:eastAsia="宋体"/>
    </w:rPr>
  </w:style>
  <w:style w:type="paragraph" w:customStyle="1" w:styleId="41">
    <w:name w:val="BodyText"/>
    <w:basedOn w:val="1"/>
    <w:next w:val="1"/>
    <w:qFormat/>
    <w:uiPriority w:val="0"/>
    <w:pPr>
      <w:tabs>
        <w:tab w:val="left" w:pos="780"/>
      </w:tabs>
    </w:pPr>
    <w:rPr>
      <w:rFonts w:ascii="黑体" w:eastAsia="黑体"/>
      <w:sz w:val="22"/>
    </w:rPr>
  </w:style>
  <w:style w:type="character" w:customStyle="1" w:styleId="42">
    <w:name w:val="font01"/>
    <w:basedOn w:val="20"/>
    <w:qFormat/>
    <w:uiPriority w:val="0"/>
    <w:rPr>
      <w:rFonts w:hint="eastAsia" w:ascii="宋体" w:hAnsi="宋体" w:eastAsia="宋体" w:cs="宋体"/>
      <w:color w:val="000000"/>
      <w:sz w:val="22"/>
      <w:szCs w:val="22"/>
      <w:u w:val="none"/>
    </w:rPr>
  </w:style>
  <w:style w:type="character" w:customStyle="1" w:styleId="43">
    <w:name w:val="font11"/>
    <w:basedOn w:val="20"/>
    <w:qFormat/>
    <w:uiPriority w:val="0"/>
    <w:rPr>
      <w:rFonts w:ascii="Arial" w:hAnsi="Arial" w:cs="Arial"/>
      <w:color w:val="000000"/>
      <w:sz w:val="22"/>
      <w:szCs w:val="22"/>
      <w:u w:val="none"/>
    </w:rPr>
  </w:style>
  <w:style w:type="character" w:customStyle="1" w:styleId="44">
    <w:name w:val="font31"/>
    <w:basedOn w:val="20"/>
    <w:qFormat/>
    <w:uiPriority w:val="0"/>
    <w:rPr>
      <w:rFonts w:hint="eastAsia" w:ascii="宋体" w:hAnsi="宋体" w:eastAsia="宋体" w:cs="宋体"/>
      <w:color w:val="000000"/>
      <w:sz w:val="22"/>
      <w:szCs w:val="22"/>
      <w:u w:val="none"/>
    </w:rPr>
  </w:style>
  <w:style w:type="character" w:customStyle="1" w:styleId="45">
    <w:name w:val="font61"/>
    <w:basedOn w:val="20"/>
    <w:qFormat/>
    <w:uiPriority w:val="0"/>
    <w:rPr>
      <w:rFonts w:ascii="宋体" w:hAnsi="宋体" w:eastAsia="宋体" w:cs="宋体"/>
      <w:color w:val="000000"/>
      <w:sz w:val="22"/>
      <w:szCs w:val="22"/>
      <w:u w:val="none"/>
    </w:rPr>
  </w:style>
  <w:style w:type="character" w:customStyle="1" w:styleId="46">
    <w:name w:val="layui-layer-tabnow"/>
    <w:basedOn w:val="20"/>
    <w:qFormat/>
    <w:uiPriority w:val="0"/>
    <w:rPr>
      <w:bdr w:val="single" w:color="CCCCCC" w:sz="4" w:space="0"/>
      <w:shd w:val="clear" w:fill="FFFFFF"/>
    </w:rPr>
  </w:style>
  <w:style w:type="character" w:customStyle="1" w:styleId="47">
    <w:name w:val="first-child"/>
    <w:basedOn w:val="20"/>
    <w:qFormat/>
    <w:uiPriority w:val="0"/>
  </w:style>
  <w:style w:type="character" w:customStyle="1" w:styleId="48">
    <w:name w:val="font21"/>
    <w:basedOn w:val="20"/>
    <w:qFormat/>
    <w:uiPriority w:val="0"/>
    <w:rPr>
      <w:rFonts w:hint="eastAsia" w:ascii="宋体" w:hAnsi="宋体" w:eastAsia="宋体" w:cs="宋体"/>
      <w:b/>
      <w:bCs/>
      <w:color w:val="000000"/>
      <w:sz w:val="24"/>
      <w:szCs w:val="24"/>
      <w:u w:val="none"/>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22846</Words>
  <Characters>24123</Characters>
  <Lines>216</Lines>
  <Paragraphs>61</Paragraphs>
  <TotalTime>2</TotalTime>
  <ScaleCrop>false</ScaleCrop>
  <LinksUpToDate>false</LinksUpToDate>
  <CharactersWithSpaces>26098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林霄</cp:lastModifiedBy>
  <cp:lastPrinted>2022-12-28T04:58:00Z</cp:lastPrinted>
  <dcterms:modified xsi:type="dcterms:W3CDTF">2023-04-11T12:52:03Z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CFE1F3B646EB486BA4866A4DFDCEFDAF</vt:lpwstr>
  </property>
</Properties>
</file>