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ind w:firstLine="5460" w:firstLineChars="1950"/>
        <w:jc w:val="right"/>
        <w:rPr>
          <w:rFonts w:hint="default" w:eastAsia="宋体"/>
          <w:b/>
          <w:sz w:val="28"/>
          <w:szCs w:val="28"/>
          <w:highlight w:val="yellow"/>
          <w:lang w:val="en-US" w:eastAsia="zh-CN"/>
        </w:rPr>
      </w:pPr>
      <w:r>
        <w:rPr>
          <w:b/>
          <w:sz w:val="28"/>
          <w:szCs w:val="28"/>
          <w:highlight w:val="none"/>
        </w:rPr>
        <w:t>项目编号：</w:t>
      </w:r>
      <w:r>
        <w:rPr>
          <w:rFonts w:hint="eastAsia"/>
          <w:b/>
          <w:sz w:val="28"/>
          <w:szCs w:val="28"/>
          <w:highlight w:val="none"/>
          <w:lang w:val="en-US" w:eastAsia="zh-CN"/>
        </w:rPr>
        <w:t>[2023]73号</w:t>
      </w:r>
    </w:p>
    <w:p>
      <w:pPr>
        <w:spacing w:line="360" w:lineRule="auto"/>
        <w:ind w:right="560" w:firstLine="5460" w:firstLineChars="1950"/>
        <w:rPr>
          <w:b/>
          <w:sz w:val="28"/>
          <w:szCs w:val="28"/>
        </w:rPr>
      </w:pPr>
    </w:p>
    <w:p>
      <w:pPr>
        <w:spacing w:line="360" w:lineRule="auto"/>
        <w:jc w:val="right"/>
        <w:rPr>
          <w:b/>
          <w:spacing w:val="80"/>
          <w:sz w:val="24"/>
        </w:rPr>
      </w:pPr>
    </w:p>
    <w:p>
      <w:pPr>
        <w:spacing w:line="360" w:lineRule="auto"/>
        <w:jc w:val="center"/>
        <w:rPr>
          <w:rFonts w:hint="eastAsia" w:eastAsia="宋体"/>
          <w:b/>
          <w:spacing w:val="80"/>
          <w:sz w:val="24"/>
          <w:lang w:eastAsia="zh-CN"/>
        </w:rPr>
      </w:pPr>
      <w:r>
        <w:rPr>
          <w:rFonts w:hint="eastAsia"/>
          <w:b/>
          <w:bCs/>
          <w:sz w:val="56"/>
          <w:szCs w:val="56"/>
          <w:lang w:eastAsia="zh-CN"/>
        </w:rPr>
        <w:t>新和县2023年国土绿化造林补助项目：乔木造林（一标段）</w:t>
      </w:r>
    </w:p>
    <w:p>
      <w:pPr>
        <w:spacing w:line="360" w:lineRule="auto"/>
        <w:jc w:val="center"/>
        <w:rPr>
          <w:b/>
          <w:spacing w:val="80"/>
          <w:sz w:val="24"/>
        </w:rPr>
      </w:pPr>
    </w:p>
    <w:p>
      <w:pPr>
        <w:spacing w:line="360" w:lineRule="auto"/>
        <w:jc w:val="center"/>
        <w:rPr>
          <w:b/>
          <w:spacing w:val="80"/>
          <w:sz w:val="98"/>
          <w:szCs w:val="84"/>
        </w:rPr>
      </w:pPr>
    </w:p>
    <w:p>
      <w:pPr>
        <w:spacing w:line="360" w:lineRule="auto"/>
        <w:jc w:val="center"/>
        <w:rPr>
          <w:b/>
          <w:spacing w:val="80"/>
          <w:sz w:val="100"/>
          <w:szCs w:val="100"/>
        </w:rPr>
      </w:pPr>
      <w:r>
        <w:rPr>
          <w:b/>
          <w:spacing w:val="80"/>
          <w:sz w:val="100"/>
          <w:szCs w:val="100"/>
        </w:rPr>
        <w:t>招 标 文 件</w:t>
      </w:r>
    </w:p>
    <w:p>
      <w:pPr>
        <w:spacing w:line="500" w:lineRule="exact"/>
        <w:rPr>
          <w:sz w:val="24"/>
        </w:rPr>
      </w:pPr>
    </w:p>
    <w:p>
      <w:pPr>
        <w:spacing w:line="500" w:lineRule="exact"/>
        <w:jc w:val="center"/>
        <w:rPr>
          <w:sz w:val="24"/>
        </w:rPr>
      </w:pPr>
    </w:p>
    <w:p>
      <w:pPr>
        <w:spacing w:line="500" w:lineRule="exact"/>
        <w:jc w:val="center"/>
        <w:rPr>
          <w:sz w:val="24"/>
        </w:rPr>
      </w:pPr>
    </w:p>
    <w:p>
      <w:pPr>
        <w:spacing w:line="500" w:lineRule="exact"/>
        <w:jc w:val="center"/>
        <w:rPr>
          <w:sz w:val="24"/>
        </w:rPr>
      </w:pPr>
    </w:p>
    <w:p>
      <w:pPr>
        <w:spacing w:line="500" w:lineRule="exact"/>
        <w:jc w:val="left"/>
        <w:rPr>
          <w:sz w:val="24"/>
        </w:rPr>
      </w:pPr>
    </w:p>
    <w:p>
      <w:pPr>
        <w:spacing w:line="500" w:lineRule="exact"/>
        <w:jc w:val="left"/>
        <w:rPr>
          <w:sz w:val="24"/>
        </w:rPr>
      </w:pPr>
    </w:p>
    <w:p>
      <w:pPr>
        <w:spacing w:line="500" w:lineRule="exact"/>
        <w:ind w:firstLine="2240" w:firstLineChars="700"/>
        <w:jc w:val="left"/>
        <w:rPr>
          <w:b/>
          <w:sz w:val="32"/>
          <w:szCs w:val="32"/>
        </w:rPr>
      </w:pPr>
    </w:p>
    <w:p>
      <w:pPr>
        <w:spacing w:line="500" w:lineRule="exact"/>
        <w:ind w:firstLine="2240" w:firstLineChars="700"/>
        <w:jc w:val="left"/>
        <w:rPr>
          <w:b/>
          <w:sz w:val="32"/>
          <w:szCs w:val="32"/>
        </w:rPr>
      </w:pPr>
    </w:p>
    <w:p>
      <w:pPr>
        <w:spacing w:line="500" w:lineRule="exact"/>
        <w:ind w:firstLine="960" w:firstLineChars="300"/>
        <w:jc w:val="left"/>
        <w:rPr>
          <w:b/>
          <w:sz w:val="32"/>
          <w:szCs w:val="32"/>
        </w:rPr>
      </w:pPr>
      <w:r>
        <w:rPr>
          <w:b/>
          <w:sz w:val="32"/>
          <w:szCs w:val="32"/>
        </w:rPr>
        <w:t>采 购 人：</w:t>
      </w:r>
      <w:r>
        <w:rPr>
          <w:rFonts w:hint="eastAsia"/>
          <w:b/>
          <w:sz w:val="32"/>
          <w:szCs w:val="32"/>
          <w:lang w:eastAsia="zh-CN"/>
        </w:rPr>
        <w:t>新和县林业和草原局</w:t>
      </w:r>
    </w:p>
    <w:p>
      <w:pPr>
        <w:spacing w:line="500" w:lineRule="exact"/>
        <w:ind w:firstLine="465"/>
        <w:jc w:val="left"/>
        <w:rPr>
          <w:b/>
          <w:sz w:val="32"/>
          <w:szCs w:val="32"/>
        </w:rPr>
      </w:pPr>
    </w:p>
    <w:p>
      <w:pPr>
        <w:spacing w:line="500" w:lineRule="exact"/>
        <w:ind w:firstLine="960" w:firstLineChars="300"/>
        <w:jc w:val="left"/>
        <w:rPr>
          <w:rFonts w:hint="eastAsia" w:eastAsia="宋体"/>
          <w:b/>
          <w:sz w:val="32"/>
          <w:szCs w:val="32"/>
          <w:lang w:eastAsia="zh-CN"/>
        </w:rPr>
      </w:pPr>
      <w:r>
        <w:rPr>
          <w:b/>
          <w:sz w:val="32"/>
          <w:szCs w:val="32"/>
        </w:rPr>
        <w:t>代理机构：</w:t>
      </w:r>
      <w:r>
        <w:rPr>
          <w:rFonts w:hint="eastAsia"/>
          <w:b/>
          <w:sz w:val="32"/>
          <w:szCs w:val="32"/>
          <w:lang w:eastAsia="zh-CN"/>
        </w:rPr>
        <w:t>新疆乾明臻合项目管理有限责任公司</w:t>
      </w:r>
    </w:p>
    <w:p>
      <w:pPr>
        <w:spacing w:line="500" w:lineRule="exact"/>
        <w:jc w:val="both"/>
        <w:rPr>
          <w:b/>
          <w:sz w:val="32"/>
          <w:szCs w:val="32"/>
        </w:rPr>
      </w:pPr>
    </w:p>
    <w:p>
      <w:pPr>
        <w:spacing w:line="500" w:lineRule="exact"/>
        <w:jc w:val="center"/>
        <w:rPr>
          <w:b/>
          <w:sz w:val="32"/>
          <w:szCs w:val="32"/>
        </w:rPr>
      </w:pPr>
    </w:p>
    <w:p>
      <w:pPr>
        <w:spacing w:line="500" w:lineRule="exact"/>
        <w:jc w:val="center"/>
        <w:rPr>
          <w:b/>
          <w:sz w:val="32"/>
          <w:szCs w:val="32"/>
        </w:rPr>
      </w:pPr>
      <w:r>
        <w:rPr>
          <w:rFonts w:hint="eastAsia"/>
          <w:b/>
          <w:sz w:val="32"/>
          <w:szCs w:val="32"/>
          <w:lang w:val="en-US" w:eastAsia="zh-CN"/>
        </w:rPr>
        <w:t>2023</w:t>
      </w:r>
      <w:r>
        <w:rPr>
          <w:b/>
          <w:sz w:val="32"/>
          <w:szCs w:val="32"/>
        </w:rPr>
        <w:t>年</w:t>
      </w:r>
      <w:r>
        <w:rPr>
          <w:rFonts w:hint="eastAsia"/>
          <w:b/>
          <w:sz w:val="32"/>
          <w:szCs w:val="32"/>
          <w:lang w:val="en-US" w:eastAsia="zh-CN"/>
        </w:rPr>
        <w:t>3</w:t>
      </w:r>
      <w:r>
        <w:rPr>
          <w:b/>
          <w:sz w:val="32"/>
          <w:szCs w:val="32"/>
        </w:rPr>
        <w:t>月</w:t>
      </w:r>
    </w:p>
    <w:p>
      <w:pPr>
        <w:spacing w:line="440" w:lineRule="exact"/>
        <w:jc w:val="center"/>
        <w:rPr>
          <w:b/>
          <w:sz w:val="44"/>
          <w:szCs w:val="44"/>
        </w:rPr>
        <w:sectPr>
          <w:footerReference r:id="rId4" w:type="first"/>
          <w:headerReference r:id="rId3" w:type="default"/>
          <w:pgSz w:w="11906" w:h="16838"/>
          <w:pgMar w:top="993" w:right="1080" w:bottom="1440" w:left="1080" w:header="4" w:footer="567" w:gutter="0"/>
          <w:pgNumType w:fmt="decimal" w:start="0"/>
          <w:cols w:space="720" w:num="1"/>
          <w:titlePg/>
          <w:docGrid w:type="linesAndChars" w:linePitch="312" w:charSpace="0"/>
        </w:sectPr>
      </w:pPr>
    </w:p>
    <w:p>
      <w:pPr>
        <w:rPr>
          <w:b/>
          <w:sz w:val="44"/>
          <w:szCs w:val="44"/>
        </w:rPr>
      </w:pPr>
      <w:r>
        <w:rPr>
          <w:b/>
          <w:sz w:val="44"/>
          <w:szCs w:val="44"/>
        </w:rPr>
        <w:br w:type="page"/>
      </w:r>
    </w:p>
    <w:p>
      <w:pPr>
        <w:spacing w:line="440" w:lineRule="exact"/>
        <w:jc w:val="center"/>
        <w:rPr>
          <w:b/>
          <w:sz w:val="44"/>
          <w:szCs w:val="44"/>
        </w:rPr>
      </w:pPr>
      <w:r>
        <w:rPr>
          <w:b/>
          <w:sz w:val="44"/>
          <w:szCs w:val="44"/>
        </w:rPr>
        <w:t>目   录</w:t>
      </w:r>
    </w:p>
    <w:p>
      <w:pPr>
        <w:pStyle w:val="19"/>
        <w:tabs>
          <w:tab w:val="right" w:leader="dot" w:pos="9746"/>
        </w:tabs>
        <w:spacing w:line="480" w:lineRule="auto"/>
      </w:pPr>
      <w:r>
        <w:rPr>
          <w:rFonts w:cs="Times New Roman"/>
          <w:sz w:val="24"/>
          <w:szCs w:val="24"/>
        </w:rPr>
        <w:fldChar w:fldCharType="begin"/>
      </w:r>
      <w:r>
        <w:rPr>
          <w:rFonts w:cs="Times New Roman"/>
          <w:sz w:val="24"/>
          <w:szCs w:val="24"/>
        </w:rPr>
        <w:instrText xml:space="preserve"> TOC \o "1-2" \h \z \u </w:instrText>
      </w:r>
      <w:r>
        <w:rPr>
          <w:rFonts w:cs="Times New Roman"/>
          <w:sz w:val="24"/>
          <w:szCs w:val="24"/>
        </w:rPr>
        <w:fldChar w:fldCharType="separate"/>
      </w:r>
      <w:r>
        <w:rPr>
          <w:rFonts w:cs="Times New Roman"/>
          <w:szCs w:val="24"/>
        </w:rPr>
        <w:fldChar w:fldCharType="begin"/>
      </w:r>
      <w:r>
        <w:rPr>
          <w:rFonts w:cs="Times New Roman"/>
          <w:szCs w:val="24"/>
        </w:rPr>
        <w:instrText xml:space="preserve"> HYPERLINK \l _Toc7927 </w:instrText>
      </w:r>
      <w:r>
        <w:rPr>
          <w:rFonts w:cs="Times New Roman"/>
          <w:szCs w:val="24"/>
        </w:rPr>
        <w:fldChar w:fldCharType="separate"/>
      </w:r>
      <w:r>
        <w:rPr>
          <w:szCs w:val="32"/>
        </w:rPr>
        <w:t>第一部分  投标人须知前附表</w:t>
      </w:r>
      <w:r>
        <w:tab/>
      </w:r>
      <w:r>
        <w:fldChar w:fldCharType="begin"/>
      </w:r>
      <w:r>
        <w:instrText xml:space="preserve"> PAGEREF _Toc7927 \h </w:instrText>
      </w:r>
      <w:r>
        <w:fldChar w:fldCharType="separate"/>
      </w:r>
      <w:r>
        <w:t>3</w:t>
      </w:r>
      <w:r>
        <w:fldChar w:fldCharType="end"/>
      </w:r>
      <w:r>
        <w:rPr>
          <w:rFonts w:cs="Times New Roman"/>
          <w:szCs w:val="24"/>
        </w:rPr>
        <w:fldChar w:fldCharType="end"/>
      </w:r>
    </w:p>
    <w:p>
      <w:pPr>
        <w:pStyle w:val="19"/>
        <w:tabs>
          <w:tab w:val="right" w:leader="dot" w:pos="9746"/>
        </w:tabs>
        <w:spacing w:line="480" w:lineRule="auto"/>
      </w:pPr>
      <w:r>
        <w:rPr>
          <w:szCs w:val="24"/>
        </w:rPr>
        <w:fldChar w:fldCharType="begin"/>
      </w:r>
      <w:r>
        <w:rPr>
          <w:szCs w:val="24"/>
        </w:rPr>
        <w:instrText xml:space="preserve"> HYPERLINK \l _Toc6320 </w:instrText>
      </w:r>
      <w:r>
        <w:rPr>
          <w:szCs w:val="24"/>
        </w:rPr>
        <w:fldChar w:fldCharType="separate"/>
      </w:r>
      <w:r>
        <w:rPr>
          <w:szCs w:val="32"/>
        </w:rPr>
        <w:t>第二部分  投标人须知</w:t>
      </w:r>
      <w:r>
        <w:tab/>
      </w:r>
      <w:r>
        <w:fldChar w:fldCharType="begin"/>
      </w:r>
      <w:r>
        <w:instrText xml:space="preserve"> PAGEREF _Toc6320 \h </w:instrText>
      </w:r>
      <w:r>
        <w:fldChar w:fldCharType="separate"/>
      </w:r>
      <w:r>
        <w:t>9</w:t>
      </w:r>
      <w:r>
        <w:fldChar w:fldCharType="end"/>
      </w:r>
      <w:r>
        <w:rPr>
          <w:szCs w:val="24"/>
        </w:rPr>
        <w:fldChar w:fldCharType="end"/>
      </w:r>
    </w:p>
    <w:p>
      <w:pPr>
        <w:pStyle w:val="19"/>
        <w:tabs>
          <w:tab w:val="right" w:leader="dot" w:pos="9746"/>
        </w:tabs>
        <w:spacing w:line="480" w:lineRule="auto"/>
      </w:pPr>
      <w:r>
        <w:rPr>
          <w:szCs w:val="24"/>
        </w:rPr>
        <w:fldChar w:fldCharType="begin"/>
      </w:r>
      <w:r>
        <w:rPr>
          <w:szCs w:val="24"/>
        </w:rPr>
        <w:instrText xml:space="preserve"> HYPERLINK \l _Toc2009 </w:instrText>
      </w:r>
      <w:r>
        <w:rPr>
          <w:szCs w:val="24"/>
        </w:rPr>
        <w:fldChar w:fldCharType="separate"/>
      </w:r>
      <w:r>
        <w:rPr>
          <w:rFonts w:hint="eastAsia" w:ascii="宋体" w:hAnsi="宋体" w:cs="宋体"/>
          <w:szCs w:val="32"/>
        </w:rPr>
        <w:t>第三部分  投标说明</w:t>
      </w:r>
      <w:r>
        <w:tab/>
      </w:r>
      <w:r>
        <w:fldChar w:fldCharType="begin"/>
      </w:r>
      <w:r>
        <w:instrText xml:space="preserve"> PAGEREF _Toc2009 \h </w:instrText>
      </w:r>
      <w:r>
        <w:fldChar w:fldCharType="separate"/>
      </w:r>
      <w:r>
        <w:t>12</w:t>
      </w:r>
      <w:r>
        <w:fldChar w:fldCharType="end"/>
      </w:r>
      <w:r>
        <w:rPr>
          <w:szCs w:val="24"/>
        </w:rPr>
        <w:fldChar w:fldCharType="end"/>
      </w:r>
    </w:p>
    <w:p>
      <w:pPr>
        <w:pStyle w:val="3"/>
        <w:tabs>
          <w:tab w:val="right" w:leader="dot" w:pos="9746"/>
        </w:tabs>
        <w:spacing w:line="480" w:lineRule="auto"/>
      </w:pPr>
      <w:r>
        <w:rPr>
          <w:szCs w:val="24"/>
        </w:rPr>
        <w:fldChar w:fldCharType="begin"/>
      </w:r>
      <w:r>
        <w:rPr>
          <w:szCs w:val="24"/>
        </w:rPr>
        <w:instrText xml:space="preserve"> HYPERLINK \l _Toc16661 </w:instrText>
      </w:r>
      <w:r>
        <w:rPr>
          <w:szCs w:val="24"/>
        </w:rPr>
        <w:fldChar w:fldCharType="separate"/>
      </w:r>
      <w:r>
        <w:rPr>
          <w:rFonts w:hint="eastAsia" w:ascii="宋体" w:hAnsi="宋体" w:cs="宋体"/>
          <w:szCs w:val="28"/>
        </w:rPr>
        <w:t>第一章  投标人资格要求</w:t>
      </w:r>
      <w:r>
        <w:tab/>
      </w:r>
      <w:r>
        <w:fldChar w:fldCharType="begin"/>
      </w:r>
      <w:r>
        <w:instrText xml:space="preserve"> PAGEREF _Toc16661 \h </w:instrText>
      </w:r>
      <w:r>
        <w:fldChar w:fldCharType="separate"/>
      </w:r>
      <w:r>
        <w:t>12</w:t>
      </w:r>
      <w:r>
        <w:fldChar w:fldCharType="end"/>
      </w:r>
      <w:r>
        <w:rPr>
          <w:szCs w:val="24"/>
        </w:rPr>
        <w:fldChar w:fldCharType="end"/>
      </w:r>
    </w:p>
    <w:p>
      <w:pPr>
        <w:pStyle w:val="3"/>
        <w:tabs>
          <w:tab w:val="right" w:leader="dot" w:pos="9746"/>
        </w:tabs>
        <w:spacing w:line="480" w:lineRule="auto"/>
      </w:pPr>
      <w:r>
        <w:rPr>
          <w:szCs w:val="24"/>
        </w:rPr>
        <w:fldChar w:fldCharType="begin"/>
      </w:r>
      <w:r>
        <w:rPr>
          <w:szCs w:val="24"/>
        </w:rPr>
        <w:instrText xml:space="preserve"> HYPERLINK \l _Toc28206 </w:instrText>
      </w:r>
      <w:r>
        <w:rPr>
          <w:szCs w:val="24"/>
        </w:rPr>
        <w:fldChar w:fldCharType="separate"/>
      </w:r>
      <w:r>
        <w:rPr>
          <w:rFonts w:hint="eastAsia" w:ascii="宋体" w:hAnsi="宋体" w:cs="宋体"/>
          <w:szCs w:val="28"/>
        </w:rPr>
        <w:t>第二章  投标文件的编写及编制顺序</w:t>
      </w:r>
      <w:r>
        <w:tab/>
      </w:r>
      <w:r>
        <w:fldChar w:fldCharType="begin"/>
      </w:r>
      <w:r>
        <w:instrText xml:space="preserve"> PAGEREF _Toc28206 \h </w:instrText>
      </w:r>
      <w:r>
        <w:fldChar w:fldCharType="separate"/>
      </w:r>
      <w:r>
        <w:t>12</w:t>
      </w:r>
      <w:r>
        <w:fldChar w:fldCharType="end"/>
      </w:r>
      <w:r>
        <w:rPr>
          <w:szCs w:val="24"/>
        </w:rPr>
        <w:fldChar w:fldCharType="end"/>
      </w:r>
    </w:p>
    <w:p>
      <w:pPr>
        <w:pStyle w:val="3"/>
        <w:tabs>
          <w:tab w:val="right" w:leader="dot" w:pos="9746"/>
        </w:tabs>
        <w:spacing w:line="480" w:lineRule="auto"/>
      </w:pPr>
      <w:r>
        <w:rPr>
          <w:szCs w:val="24"/>
        </w:rPr>
        <w:fldChar w:fldCharType="begin"/>
      </w:r>
      <w:r>
        <w:rPr>
          <w:szCs w:val="24"/>
        </w:rPr>
        <w:instrText xml:space="preserve"> HYPERLINK \l _Toc21933 </w:instrText>
      </w:r>
      <w:r>
        <w:rPr>
          <w:szCs w:val="24"/>
        </w:rPr>
        <w:fldChar w:fldCharType="separate"/>
      </w:r>
      <w:r>
        <w:rPr>
          <w:rFonts w:hint="eastAsia" w:ascii="宋体" w:hAnsi="宋体" w:cs="宋体"/>
          <w:szCs w:val="28"/>
        </w:rPr>
        <w:t>第三章  投标文件的递交</w:t>
      </w:r>
      <w:r>
        <w:tab/>
      </w:r>
      <w:r>
        <w:fldChar w:fldCharType="begin"/>
      </w:r>
      <w:r>
        <w:instrText xml:space="preserve"> PAGEREF _Toc21933 \h </w:instrText>
      </w:r>
      <w:r>
        <w:fldChar w:fldCharType="separate"/>
      </w:r>
      <w:r>
        <w:t>15</w:t>
      </w:r>
      <w:r>
        <w:fldChar w:fldCharType="end"/>
      </w:r>
      <w:r>
        <w:rPr>
          <w:szCs w:val="24"/>
        </w:rPr>
        <w:fldChar w:fldCharType="end"/>
      </w:r>
    </w:p>
    <w:p>
      <w:pPr>
        <w:pStyle w:val="3"/>
        <w:tabs>
          <w:tab w:val="right" w:leader="dot" w:pos="9746"/>
        </w:tabs>
        <w:spacing w:line="480" w:lineRule="auto"/>
      </w:pPr>
      <w:r>
        <w:rPr>
          <w:szCs w:val="24"/>
        </w:rPr>
        <w:fldChar w:fldCharType="begin"/>
      </w:r>
      <w:r>
        <w:rPr>
          <w:szCs w:val="24"/>
        </w:rPr>
        <w:instrText xml:space="preserve"> HYPERLINK \l _Toc10048 </w:instrText>
      </w:r>
      <w:r>
        <w:rPr>
          <w:szCs w:val="24"/>
        </w:rPr>
        <w:fldChar w:fldCharType="separate"/>
      </w:r>
      <w:r>
        <w:rPr>
          <w:rFonts w:hint="eastAsia" w:ascii="宋体" w:hAnsi="宋体" w:cs="宋体"/>
          <w:szCs w:val="28"/>
        </w:rPr>
        <w:t>第四章  开标</w:t>
      </w:r>
      <w:r>
        <w:rPr>
          <w:rFonts w:hint="eastAsia" w:ascii="宋体" w:hAnsi="宋体" w:cs="宋体"/>
          <w:szCs w:val="28"/>
          <w:lang w:eastAsia="zh-CN"/>
        </w:rPr>
        <w:t>（</w:t>
      </w:r>
      <w:r>
        <w:rPr>
          <w:rFonts w:hint="eastAsia" w:ascii="宋体" w:hAnsi="宋体" w:cs="宋体"/>
          <w:szCs w:val="28"/>
        </w:rPr>
        <w:t>政采云不见面开标</w:t>
      </w:r>
      <w:r>
        <w:rPr>
          <w:rFonts w:hint="eastAsia" w:ascii="宋体" w:hAnsi="宋体" w:cs="宋体"/>
          <w:szCs w:val="28"/>
          <w:lang w:eastAsia="zh-CN"/>
        </w:rPr>
        <w:t>）</w:t>
      </w:r>
      <w:r>
        <w:tab/>
      </w:r>
      <w:r>
        <w:fldChar w:fldCharType="begin"/>
      </w:r>
      <w:r>
        <w:instrText xml:space="preserve"> PAGEREF _Toc10048 \h </w:instrText>
      </w:r>
      <w:r>
        <w:fldChar w:fldCharType="separate"/>
      </w:r>
      <w:r>
        <w:t>16</w:t>
      </w:r>
      <w:r>
        <w:fldChar w:fldCharType="end"/>
      </w:r>
      <w:r>
        <w:rPr>
          <w:szCs w:val="24"/>
        </w:rPr>
        <w:fldChar w:fldCharType="end"/>
      </w:r>
    </w:p>
    <w:p>
      <w:pPr>
        <w:pStyle w:val="3"/>
        <w:tabs>
          <w:tab w:val="right" w:leader="dot" w:pos="9746"/>
        </w:tabs>
        <w:spacing w:line="480" w:lineRule="auto"/>
      </w:pPr>
      <w:r>
        <w:rPr>
          <w:szCs w:val="24"/>
        </w:rPr>
        <w:fldChar w:fldCharType="begin"/>
      </w:r>
      <w:r>
        <w:rPr>
          <w:szCs w:val="24"/>
        </w:rPr>
        <w:instrText xml:space="preserve"> HYPERLINK \l _Toc23811 </w:instrText>
      </w:r>
      <w:r>
        <w:rPr>
          <w:szCs w:val="24"/>
        </w:rPr>
        <w:fldChar w:fldCharType="separate"/>
      </w:r>
      <w:r>
        <w:rPr>
          <w:rFonts w:hint="eastAsia" w:ascii="宋体" w:hAnsi="宋体" w:cs="宋体"/>
          <w:szCs w:val="28"/>
        </w:rPr>
        <w:t>第五章  定标</w:t>
      </w:r>
      <w:r>
        <w:tab/>
      </w:r>
      <w:r>
        <w:fldChar w:fldCharType="begin"/>
      </w:r>
      <w:r>
        <w:instrText xml:space="preserve"> PAGEREF _Toc23811 \h </w:instrText>
      </w:r>
      <w:r>
        <w:fldChar w:fldCharType="separate"/>
      </w:r>
      <w:r>
        <w:t>18</w:t>
      </w:r>
      <w:r>
        <w:fldChar w:fldCharType="end"/>
      </w:r>
      <w:r>
        <w:rPr>
          <w:szCs w:val="24"/>
        </w:rPr>
        <w:fldChar w:fldCharType="end"/>
      </w:r>
    </w:p>
    <w:p>
      <w:pPr>
        <w:pStyle w:val="3"/>
        <w:tabs>
          <w:tab w:val="right" w:leader="dot" w:pos="9746"/>
        </w:tabs>
        <w:spacing w:line="480" w:lineRule="auto"/>
      </w:pPr>
      <w:r>
        <w:rPr>
          <w:szCs w:val="24"/>
        </w:rPr>
        <w:fldChar w:fldCharType="begin"/>
      </w:r>
      <w:r>
        <w:rPr>
          <w:szCs w:val="24"/>
        </w:rPr>
        <w:instrText xml:space="preserve"> HYPERLINK \l _Toc13364 </w:instrText>
      </w:r>
      <w:r>
        <w:rPr>
          <w:szCs w:val="24"/>
        </w:rPr>
        <w:fldChar w:fldCharType="separate"/>
      </w:r>
      <w:r>
        <w:rPr>
          <w:rFonts w:hint="eastAsia" w:ascii="宋体" w:hAnsi="宋体" w:cs="宋体"/>
          <w:szCs w:val="28"/>
        </w:rPr>
        <w:t>第六章  授予合同</w:t>
      </w:r>
      <w:r>
        <w:tab/>
      </w:r>
      <w:r>
        <w:fldChar w:fldCharType="begin"/>
      </w:r>
      <w:r>
        <w:instrText xml:space="preserve"> PAGEREF _Toc13364 \h </w:instrText>
      </w:r>
      <w:r>
        <w:fldChar w:fldCharType="separate"/>
      </w:r>
      <w:r>
        <w:t>19</w:t>
      </w:r>
      <w:r>
        <w:fldChar w:fldCharType="end"/>
      </w:r>
      <w:r>
        <w:rPr>
          <w:szCs w:val="24"/>
        </w:rPr>
        <w:fldChar w:fldCharType="end"/>
      </w:r>
    </w:p>
    <w:p>
      <w:pPr>
        <w:pStyle w:val="19"/>
        <w:tabs>
          <w:tab w:val="right" w:leader="dot" w:pos="9746"/>
        </w:tabs>
        <w:spacing w:line="480" w:lineRule="auto"/>
      </w:pPr>
      <w:r>
        <w:rPr>
          <w:szCs w:val="24"/>
        </w:rPr>
        <w:fldChar w:fldCharType="begin"/>
      </w:r>
      <w:r>
        <w:rPr>
          <w:szCs w:val="24"/>
        </w:rPr>
        <w:instrText xml:space="preserve"> HYPERLINK \l _Toc7527 </w:instrText>
      </w:r>
      <w:r>
        <w:rPr>
          <w:szCs w:val="24"/>
        </w:rPr>
        <w:fldChar w:fldCharType="separate"/>
      </w:r>
      <w:r>
        <w:rPr>
          <w:szCs w:val="32"/>
        </w:rPr>
        <w:t xml:space="preserve">第四部分  </w:t>
      </w:r>
      <w:r>
        <w:rPr>
          <w:rFonts w:hint="eastAsia"/>
          <w:szCs w:val="32"/>
          <w:lang w:eastAsia="zh-CN"/>
        </w:rPr>
        <w:t>采购需求</w:t>
      </w:r>
      <w:r>
        <w:tab/>
      </w:r>
      <w:r>
        <w:fldChar w:fldCharType="begin"/>
      </w:r>
      <w:r>
        <w:instrText xml:space="preserve"> PAGEREF _Toc7527 \h </w:instrText>
      </w:r>
      <w:r>
        <w:fldChar w:fldCharType="separate"/>
      </w:r>
      <w:r>
        <w:t>21</w:t>
      </w:r>
      <w:r>
        <w:fldChar w:fldCharType="end"/>
      </w:r>
      <w:r>
        <w:rPr>
          <w:szCs w:val="24"/>
        </w:rPr>
        <w:fldChar w:fldCharType="end"/>
      </w:r>
    </w:p>
    <w:p>
      <w:pPr>
        <w:pStyle w:val="19"/>
        <w:tabs>
          <w:tab w:val="right" w:leader="dot" w:pos="9746"/>
        </w:tabs>
        <w:spacing w:line="480" w:lineRule="auto"/>
      </w:pPr>
      <w:r>
        <w:rPr>
          <w:szCs w:val="24"/>
        </w:rPr>
        <w:fldChar w:fldCharType="begin"/>
      </w:r>
      <w:r>
        <w:rPr>
          <w:szCs w:val="24"/>
        </w:rPr>
        <w:instrText xml:space="preserve"> HYPERLINK \l _Toc9809 </w:instrText>
      </w:r>
      <w:r>
        <w:rPr>
          <w:szCs w:val="24"/>
        </w:rPr>
        <w:fldChar w:fldCharType="separate"/>
      </w:r>
      <w:r>
        <w:rPr>
          <w:szCs w:val="32"/>
        </w:rPr>
        <w:t>第五部分  合同条款</w:t>
      </w:r>
      <w:r>
        <w:tab/>
      </w:r>
      <w:r>
        <w:fldChar w:fldCharType="begin"/>
      </w:r>
      <w:r>
        <w:instrText xml:space="preserve"> PAGEREF _Toc9809 \h </w:instrText>
      </w:r>
      <w:r>
        <w:fldChar w:fldCharType="separate"/>
      </w:r>
      <w:r>
        <w:t>21</w:t>
      </w:r>
      <w:r>
        <w:fldChar w:fldCharType="end"/>
      </w:r>
      <w:r>
        <w:rPr>
          <w:szCs w:val="24"/>
        </w:rPr>
        <w:fldChar w:fldCharType="end"/>
      </w:r>
    </w:p>
    <w:p>
      <w:pPr>
        <w:pStyle w:val="19"/>
        <w:tabs>
          <w:tab w:val="right" w:leader="dot" w:pos="9746"/>
        </w:tabs>
        <w:spacing w:line="480" w:lineRule="auto"/>
      </w:pPr>
      <w:r>
        <w:rPr>
          <w:szCs w:val="24"/>
        </w:rPr>
        <w:fldChar w:fldCharType="begin"/>
      </w:r>
      <w:r>
        <w:rPr>
          <w:szCs w:val="24"/>
        </w:rPr>
        <w:instrText xml:space="preserve"> HYPERLINK \l _Toc9321 </w:instrText>
      </w:r>
      <w:r>
        <w:rPr>
          <w:szCs w:val="24"/>
        </w:rPr>
        <w:fldChar w:fldCharType="separate"/>
      </w:r>
      <w:r>
        <w:rPr>
          <w:szCs w:val="32"/>
        </w:rPr>
        <w:t xml:space="preserve">第六部分 </w:t>
      </w:r>
      <w:r>
        <w:rPr>
          <w:rFonts w:hint="eastAsia"/>
          <w:szCs w:val="32"/>
          <w:lang w:eastAsia="zh-CN"/>
        </w:rPr>
        <w:t>投标文件格式</w:t>
      </w:r>
      <w:r>
        <w:tab/>
      </w:r>
      <w:r>
        <w:fldChar w:fldCharType="begin"/>
      </w:r>
      <w:r>
        <w:instrText xml:space="preserve"> PAGEREF _Toc9321 \h </w:instrText>
      </w:r>
      <w:r>
        <w:fldChar w:fldCharType="separate"/>
      </w:r>
      <w:r>
        <w:t>26</w:t>
      </w:r>
      <w:r>
        <w:fldChar w:fldCharType="end"/>
      </w:r>
      <w:r>
        <w:rPr>
          <w:szCs w:val="24"/>
        </w:rPr>
        <w:fldChar w:fldCharType="end"/>
      </w:r>
    </w:p>
    <w:p>
      <w:pPr>
        <w:pStyle w:val="19"/>
        <w:tabs>
          <w:tab w:val="right" w:leader="dot" w:pos="9746"/>
        </w:tabs>
        <w:spacing w:line="480" w:lineRule="auto"/>
      </w:pPr>
      <w:r>
        <w:rPr>
          <w:szCs w:val="24"/>
        </w:rPr>
        <w:fldChar w:fldCharType="begin"/>
      </w:r>
      <w:r>
        <w:rPr>
          <w:szCs w:val="24"/>
        </w:rPr>
        <w:instrText xml:space="preserve"> HYPERLINK \l _Toc7351 </w:instrText>
      </w:r>
      <w:r>
        <w:rPr>
          <w:szCs w:val="24"/>
        </w:rPr>
        <w:fldChar w:fldCharType="separate"/>
      </w:r>
      <w:r>
        <w:rPr>
          <w:szCs w:val="32"/>
        </w:rPr>
        <w:t>第七部分  评标办法和细则</w:t>
      </w:r>
      <w:r>
        <w:tab/>
      </w:r>
      <w:r>
        <w:fldChar w:fldCharType="begin"/>
      </w:r>
      <w:r>
        <w:instrText xml:space="preserve"> PAGEREF _Toc7351 \h </w:instrText>
      </w:r>
      <w:r>
        <w:fldChar w:fldCharType="separate"/>
      </w:r>
      <w:r>
        <w:t>41</w:t>
      </w:r>
      <w:r>
        <w:fldChar w:fldCharType="end"/>
      </w:r>
      <w:r>
        <w:rPr>
          <w:szCs w:val="24"/>
        </w:rPr>
        <w:fldChar w:fldCharType="end"/>
      </w:r>
    </w:p>
    <w:p>
      <w:pPr>
        <w:pStyle w:val="19"/>
        <w:tabs>
          <w:tab w:val="right" w:leader="dot" w:pos="9746"/>
        </w:tabs>
        <w:spacing w:line="480" w:lineRule="auto"/>
      </w:pPr>
      <w:r>
        <w:rPr>
          <w:szCs w:val="24"/>
        </w:rPr>
        <w:fldChar w:fldCharType="begin"/>
      </w:r>
      <w:r>
        <w:rPr>
          <w:szCs w:val="24"/>
        </w:rPr>
        <w:instrText xml:space="preserve"> HYPERLINK \l _Toc576 </w:instrText>
      </w:r>
      <w:r>
        <w:rPr>
          <w:szCs w:val="24"/>
        </w:rPr>
        <w:fldChar w:fldCharType="separate"/>
      </w:r>
      <w:r>
        <w:rPr>
          <w:rFonts w:hint="eastAsia"/>
          <w:szCs w:val="32"/>
          <w:lang w:eastAsia="zh-CN"/>
        </w:rPr>
        <w:t>第八部分</w:t>
      </w:r>
      <w:r>
        <w:rPr>
          <w:rFonts w:hint="eastAsia"/>
          <w:szCs w:val="32"/>
          <w:lang w:val="en-US" w:eastAsia="zh-CN"/>
        </w:rPr>
        <w:t xml:space="preserve">  </w:t>
      </w:r>
      <w:r>
        <w:rPr>
          <w:rFonts w:hint="eastAsia"/>
          <w:szCs w:val="32"/>
        </w:rPr>
        <w:t>政府采购项目招标代理协议书</w:t>
      </w:r>
      <w:r>
        <w:tab/>
      </w:r>
      <w:r>
        <w:fldChar w:fldCharType="begin"/>
      </w:r>
      <w:r>
        <w:instrText xml:space="preserve"> PAGEREF _Toc576 \h </w:instrText>
      </w:r>
      <w:r>
        <w:fldChar w:fldCharType="separate"/>
      </w:r>
      <w:r>
        <w:t>48</w:t>
      </w:r>
      <w:r>
        <w:fldChar w:fldCharType="end"/>
      </w:r>
      <w:r>
        <w:rPr>
          <w:szCs w:val="24"/>
        </w:rPr>
        <w:fldChar w:fldCharType="end"/>
      </w:r>
    </w:p>
    <w:p>
      <w:pPr>
        <w:pStyle w:val="19"/>
        <w:tabs>
          <w:tab w:val="right" w:leader="dot" w:pos="9736"/>
        </w:tabs>
        <w:spacing w:line="480" w:lineRule="auto"/>
        <w:rPr>
          <w:rFonts w:hint="eastAsia" w:eastAsia="宋体" w:asciiTheme="minorHAnsi" w:hAnsiTheme="minorHAnsi" w:cstheme="minorBidi"/>
          <w:sz w:val="28"/>
          <w:szCs w:val="28"/>
          <w:lang w:val="en-US" w:eastAsia="zh-CN" w:bidi="ar-SA"/>
        </w:rPr>
      </w:pPr>
      <w:r>
        <w:rPr>
          <w:szCs w:val="24"/>
        </w:rPr>
        <w:fldChar w:fldCharType="end"/>
      </w:r>
    </w:p>
    <w:p>
      <w:pPr>
        <w:adjustRightInd w:val="0"/>
        <w:snapToGrid w:val="0"/>
        <w:spacing w:after="100" w:afterAutospacing="1" w:line="360" w:lineRule="auto"/>
        <w:jc w:val="center"/>
        <w:rPr>
          <w:b/>
          <w:sz w:val="28"/>
          <w:szCs w:val="28"/>
        </w:rPr>
        <w:sectPr>
          <w:footerReference r:id="rId6" w:type="first"/>
          <w:footerReference r:id="rId5" w:type="default"/>
          <w:pgSz w:w="11906" w:h="16838"/>
          <w:pgMar w:top="993" w:right="1080" w:bottom="1440" w:left="1080" w:header="4" w:footer="567" w:gutter="0"/>
          <w:pgNumType w:fmt="decimal" w:start="1"/>
          <w:cols w:space="720" w:num="1"/>
          <w:docGrid w:type="linesAndChars" w:linePitch="312" w:charSpace="0"/>
        </w:sectPr>
      </w:pPr>
    </w:p>
    <w:p>
      <w:pPr>
        <w:adjustRightInd w:val="0"/>
        <w:snapToGrid w:val="0"/>
        <w:spacing w:after="100" w:afterAutospacing="1" w:line="360" w:lineRule="auto"/>
        <w:jc w:val="center"/>
        <w:rPr>
          <w:rFonts w:ascii="宋体" w:hAnsi="宋体" w:cs="宋体"/>
          <w:b/>
          <w:bCs/>
          <w:sz w:val="28"/>
          <w:szCs w:val="28"/>
        </w:rPr>
      </w:pPr>
      <w:bookmarkStart w:id="0" w:name="_Toc7927"/>
      <w:r>
        <w:rPr>
          <w:rFonts w:hint="eastAsia" w:ascii="宋体" w:hAnsi="宋体" w:cs="宋体"/>
          <w:b/>
          <w:sz w:val="28"/>
          <w:szCs w:val="28"/>
        </w:rPr>
        <w:t>招标公告</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5" w:type="dxa"/>
            <w:noWrap w:val="0"/>
            <w:vAlign w:val="top"/>
          </w:tcPr>
          <w:p>
            <w:pPr>
              <w:pStyle w:val="2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项目概况</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w:t>
            </w:r>
            <w:r>
              <w:rPr>
                <w:rFonts w:hint="eastAsia" w:ascii="微软雅黑" w:hAnsi="微软雅黑" w:eastAsia="微软雅黑" w:cs="微软雅黑"/>
                <w:color w:val="333333"/>
                <w:sz w:val="21"/>
                <w:szCs w:val="21"/>
                <w:highlight w:val="none"/>
                <w:u w:val="single"/>
                <w:shd w:val="clear" w:color="auto" w:fill="FFFFFF"/>
                <w:lang w:eastAsia="zh-CN"/>
              </w:rPr>
              <w:t>新和县2023年国土绿化造林补助项目：乔木造林（一标段）</w:t>
            </w:r>
            <w:r>
              <w:rPr>
                <w:rFonts w:hint="eastAsia" w:ascii="微软雅黑" w:hAnsi="微软雅黑" w:eastAsia="微软雅黑" w:cs="微软雅黑"/>
                <w:color w:val="333333"/>
                <w:sz w:val="21"/>
                <w:szCs w:val="21"/>
                <w:highlight w:val="none"/>
                <w:shd w:val="clear" w:color="auto" w:fill="FFFFFF"/>
              </w:rPr>
              <w:t>的潜在</w:t>
            </w:r>
            <w:r>
              <w:rPr>
                <w:rFonts w:hint="eastAsia" w:ascii="微软雅黑" w:hAnsi="微软雅黑" w:eastAsia="微软雅黑" w:cs="微软雅黑"/>
                <w:color w:val="333333"/>
                <w:sz w:val="21"/>
                <w:szCs w:val="21"/>
                <w:highlight w:val="none"/>
                <w:shd w:val="clear" w:color="auto" w:fill="FFFFFF"/>
                <w:lang w:eastAsia="zh-CN"/>
              </w:rPr>
              <w:t>投标人</w:t>
            </w:r>
            <w:r>
              <w:rPr>
                <w:rFonts w:hint="eastAsia" w:ascii="微软雅黑" w:hAnsi="微软雅黑" w:eastAsia="微软雅黑" w:cs="微软雅黑"/>
                <w:color w:val="333333"/>
                <w:sz w:val="21"/>
                <w:szCs w:val="21"/>
                <w:highlight w:val="none"/>
                <w:shd w:val="clear" w:color="auto" w:fill="FFFFFF"/>
              </w:rPr>
              <w:t>应在</w:t>
            </w:r>
            <w:r>
              <w:rPr>
                <w:rFonts w:hint="eastAsia" w:ascii="微软雅黑" w:hAnsi="微软雅黑" w:eastAsia="微软雅黑" w:cs="微软雅黑"/>
                <w:color w:val="333333"/>
                <w:sz w:val="21"/>
                <w:szCs w:val="21"/>
                <w:highlight w:val="none"/>
                <w:u w:val="single"/>
                <w:shd w:val="clear" w:color="auto" w:fill="FFFFFF"/>
              </w:rPr>
              <w:t>政采云平台</w:t>
            </w:r>
            <w:r>
              <w:rPr>
                <w:rFonts w:ascii="微软雅黑" w:hAnsi="微软雅黑" w:eastAsia="微软雅黑" w:cs="微软雅黑"/>
                <w:color w:val="333333"/>
                <w:sz w:val="21"/>
                <w:szCs w:val="21"/>
                <w:highlight w:val="none"/>
                <w:shd w:val="clear" w:color="auto" w:fill="FFFFFF"/>
              </w:rPr>
              <w:t>获取（下载）</w:t>
            </w:r>
            <w:r>
              <w:rPr>
                <w:rFonts w:hint="eastAsia" w:ascii="微软雅黑" w:hAnsi="微软雅黑" w:eastAsia="微软雅黑" w:cs="微软雅黑"/>
                <w:color w:val="333333"/>
                <w:sz w:val="21"/>
                <w:szCs w:val="21"/>
                <w:highlight w:val="none"/>
                <w:shd w:val="clear" w:color="auto" w:fill="FFFFFF"/>
                <w:lang w:eastAsia="zh-CN"/>
              </w:rPr>
              <w:t>招标</w:t>
            </w:r>
            <w:r>
              <w:rPr>
                <w:rFonts w:hint="eastAsia" w:ascii="微软雅黑" w:hAnsi="微软雅黑" w:eastAsia="微软雅黑" w:cs="微软雅黑"/>
                <w:color w:val="333333"/>
                <w:sz w:val="21"/>
                <w:szCs w:val="21"/>
                <w:highlight w:val="none"/>
                <w:shd w:val="clear" w:color="auto" w:fill="FFFFFF"/>
              </w:rPr>
              <w:t>文件，并于</w:t>
            </w:r>
            <w:r>
              <w:rPr>
                <w:rFonts w:hint="eastAsia" w:ascii="微软雅黑" w:hAnsi="微软雅黑" w:eastAsia="微软雅黑" w:cs="微软雅黑"/>
                <w:color w:val="333333"/>
                <w:sz w:val="21"/>
                <w:szCs w:val="21"/>
                <w:highlight w:val="none"/>
                <w:u w:val="single"/>
                <w:shd w:val="clear" w:color="auto" w:fill="FFFFFF"/>
              </w:rPr>
              <w:t>202</w:t>
            </w:r>
            <w:r>
              <w:rPr>
                <w:rFonts w:hint="eastAsia" w:ascii="微软雅黑" w:hAnsi="微软雅黑" w:eastAsia="微软雅黑" w:cs="微软雅黑"/>
                <w:color w:val="333333"/>
                <w:sz w:val="21"/>
                <w:szCs w:val="21"/>
                <w:highlight w:val="none"/>
                <w:u w:val="single"/>
                <w:shd w:val="clear" w:color="auto" w:fill="FFFFFF"/>
                <w:lang w:val="en-US" w:eastAsia="zh-CN"/>
              </w:rPr>
              <w:t>3</w:t>
            </w:r>
            <w:r>
              <w:rPr>
                <w:rFonts w:hint="eastAsia" w:ascii="微软雅黑" w:hAnsi="微软雅黑" w:eastAsia="微软雅黑" w:cs="微软雅黑"/>
                <w:color w:val="333333"/>
                <w:sz w:val="21"/>
                <w:szCs w:val="21"/>
                <w:highlight w:val="none"/>
                <w:u w:val="single"/>
                <w:shd w:val="clear" w:color="auto" w:fill="FFFFFF"/>
              </w:rPr>
              <w:t>年</w:t>
            </w:r>
            <w:r>
              <w:rPr>
                <w:rFonts w:hint="eastAsia" w:ascii="微软雅黑" w:hAnsi="微软雅黑" w:eastAsia="微软雅黑" w:cs="微软雅黑"/>
                <w:color w:val="333333"/>
                <w:sz w:val="21"/>
                <w:szCs w:val="21"/>
                <w:highlight w:val="none"/>
                <w:u w:val="single"/>
                <w:shd w:val="clear" w:color="auto" w:fill="FFFFFF"/>
                <w:lang w:val="en-US" w:eastAsia="zh-CN"/>
              </w:rPr>
              <w:t>4</w:t>
            </w:r>
            <w:r>
              <w:rPr>
                <w:rFonts w:hint="eastAsia" w:ascii="微软雅黑" w:hAnsi="微软雅黑" w:eastAsia="微软雅黑" w:cs="微软雅黑"/>
                <w:color w:val="333333"/>
                <w:sz w:val="21"/>
                <w:szCs w:val="21"/>
                <w:highlight w:val="none"/>
                <w:u w:val="single"/>
                <w:shd w:val="clear" w:color="auto" w:fill="FFFFFF"/>
              </w:rPr>
              <w:t>月</w:t>
            </w:r>
            <w:r>
              <w:rPr>
                <w:rFonts w:hint="eastAsia" w:ascii="微软雅黑" w:hAnsi="微软雅黑" w:eastAsia="微软雅黑" w:cs="微软雅黑"/>
                <w:color w:val="333333"/>
                <w:sz w:val="21"/>
                <w:szCs w:val="21"/>
                <w:highlight w:val="none"/>
                <w:u w:val="single"/>
                <w:shd w:val="clear" w:color="auto" w:fill="FFFFFF"/>
                <w:lang w:val="en-US" w:eastAsia="zh-CN"/>
              </w:rPr>
              <w:t>18</w:t>
            </w:r>
            <w:r>
              <w:rPr>
                <w:rFonts w:hint="eastAsia" w:ascii="微软雅黑" w:hAnsi="微软雅黑" w:eastAsia="微软雅黑" w:cs="微软雅黑"/>
                <w:color w:val="333333"/>
                <w:sz w:val="21"/>
                <w:szCs w:val="21"/>
                <w:highlight w:val="none"/>
                <w:u w:val="single"/>
                <w:shd w:val="clear" w:color="auto" w:fill="FFFFFF"/>
              </w:rPr>
              <w:t>日1</w:t>
            </w:r>
            <w:r>
              <w:rPr>
                <w:rFonts w:hint="eastAsia" w:ascii="微软雅黑" w:hAnsi="微软雅黑" w:eastAsia="微软雅黑" w:cs="微软雅黑"/>
                <w:color w:val="333333"/>
                <w:sz w:val="21"/>
                <w:szCs w:val="21"/>
                <w:highlight w:val="none"/>
                <w:u w:val="single"/>
                <w:shd w:val="clear" w:color="auto" w:fill="FFFFFF"/>
                <w:lang w:val="en-US" w:eastAsia="zh-CN"/>
              </w:rPr>
              <w:t>0</w:t>
            </w:r>
            <w:r>
              <w:rPr>
                <w:rFonts w:hint="eastAsia" w:ascii="微软雅黑" w:hAnsi="微软雅黑" w:eastAsia="微软雅黑" w:cs="微软雅黑"/>
                <w:color w:val="333333"/>
                <w:sz w:val="21"/>
                <w:szCs w:val="21"/>
                <w:highlight w:val="none"/>
                <w:u w:val="single"/>
                <w:shd w:val="clear" w:color="auto" w:fill="FFFFFF"/>
              </w:rPr>
              <w:t>点</w:t>
            </w:r>
            <w:r>
              <w:rPr>
                <w:rFonts w:hint="eastAsia" w:ascii="微软雅黑" w:hAnsi="微软雅黑" w:eastAsia="微软雅黑" w:cs="微软雅黑"/>
                <w:color w:val="333333"/>
                <w:sz w:val="21"/>
                <w:szCs w:val="21"/>
                <w:highlight w:val="none"/>
                <w:u w:val="single"/>
                <w:shd w:val="clear" w:color="auto" w:fill="FFFFFF"/>
                <w:lang w:val="en-US" w:eastAsia="zh-CN"/>
              </w:rPr>
              <w:t>30</w:t>
            </w:r>
            <w:r>
              <w:rPr>
                <w:rFonts w:hint="eastAsia" w:ascii="微软雅黑" w:hAnsi="微软雅黑" w:eastAsia="微软雅黑" w:cs="微软雅黑"/>
                <w:color w:val="333333"/>
                <w:sz w:val="21"/>
                <w:szCs w:val="21"/>
                <w:highlight w:val="none"/>
                <w:u w:val="single"/>
                <w:shd w:val="clear" w:color="auto" w:fill="FFFFFF"/>
              </w:rPr>
              <w:t>分</w:t>
            </w:r>
            <w:r>
              <w:rPr>
                <w:rFonts w:hint="eastAsia" w:ascii="微软雅黑" w:hAnsi="微软雅黑" w:eastAsia="微软雅黑" w:cs="微软雅黑"/>
                <w:color w:val="333333"/>
                <w:sz w:val="21"/>
                <w:szCs w:val="21"/>
                <w:highlight w:val="none"/>
                <w:shd w:val="clear" w:color="auto" w:fill="FFFFFF"/>
              </w:rPr>
              <w:t>（北京时间）前</w:t>
            </w:r>
            <w:r>
              <w:rPr>
                <w:rFonts w:hint="eastAsia" w:ascii="微软雅黑" w:hAnsi="微软雅黑" w:eastAsia="微软雅黑" w:cs="微软雅黑"/>
                <w:color w:val="333333"/>
                <w:sz w:val="21"/>
                <w:szCs w:val="21"/>
                <w:highlight w:val="none"/>
                <w:shd w:val="clear" w:color="auto" w:fill="FFFFFF"/>
                <w:lang w:eastAsia="zh-CN"/>
              </w:rPr>
              <w:t>递</w:t>
            </w:r>
            <w:r>
              <w:rPr>
                <w:rFonts w:hint="eastAsia" w:ascii="微软雅黑" w:hAnsi="微软雅黑" w:eastAsia="微软雅黑" w:cs="微软雅黑"/>
                <w:color w:val="333333"/>
                <w:sz w:val="21"/>
                <w:szCs w:val="21"/>
                <w:highlight w:val="none"/>
                <w:shd w:val="clear" w:color="auto" w:fill="FFFFFF"/>
              </w:rPr>
              <w:t>交</w:t>
            </w:r>
            <w:r>
              <w:rPr>
                <w:rFonts w:hint="eastAsia" w:ascii="微软雅黑" w:hAnsi="微软雅黑" w:eastAsia="微软雅黑" w:cs="微软雅黑"/>
                <w:color w:val="333333"/>
                <w:sz w:val="21"/>
                <w:szCs w:val="21"/>
                <w:highlight w:val="none"/>
                <w:shd w:val="clear" w:color="auto" w:fill="FFFFFF"/>
                <w:lang w:eastAsia="zh-CN"/>
              </w:rPr>
              <w:t>投标</w:t>
            </w:r>
            <w:r>
              <w:rPr>
                <w:rFonts w:hint="eastAsia" w:ascii="微软雅黑" w:hAnsi="微软雅黑" w:eastAsia="微软雅黑" w:cs="微软雅黑"/>
                <w:color w:val="333333"/>
                <w:sz w:val="21"/>
                <w:szCs w:val="21"/>
                <w:highlight w:val="none"/>
                <w:shd w:val="clear" w:color="auto" w:fill="FFFFFF"/>
              </w:rPr>
              <w:t>文件。</w:t>
            </w:r>
          </w:p>
        </w:tc>
      </w:tr>
    </w:tbl>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一、项目基本情况</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color w:val="333333"/>
          <w:sz w:val="21"/>
          <w:szCs w:val="21"/>
          <w:highlight w:val="none"/>
          <w:shd w:val="clear" w:color="auto" w:fill="FFFFFF"/>
        </w:rPr>
        <w:t>项目编号：[2023]73号</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项目名称：</w:t>
      </w:r>
      <w:r>
        <w:rPr>
          <w:rFonts w:hint="eastAsia" w:ascii="微软雅黑" w:hAnsi="微软雅黑" w:eastAsia="微软雅黑" w:cs="微软雅黑"/>
          <w:color w:val="333333"/>
          <w:sz w:val="21"/>
          <w:szCs w:val="21"/>
          <w:highlight w:val="none"/>
          <w:shd w:val="clear" w:color="auto" w:fill="FFFFFF"/>
          <w:lang w:eastAsia="zh-CN"/>
        </w:rPr>
        <w:t>新和县2023年国土绿化造林补助项目：乔木造林（一标段）</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采购方式：</w:t>
      </w:r>
      <w:r>
        <w:rPr>
          <w:rFonts w:hint="eastAsia" w:ascii="微软雅黑" w:hAnsi="微软雅黑" w:eastAsia="微软雅黑" w:cs="微软雅黑"/>
          <w:color w:val="333333"/>
          <w:sz w:val="21"/>
          <w:szCs w:val="21"/>
          <w:highlight w:val="none"/>
          <w:shd w:val="clear" w:color="auto" w:fill="FFFFFF"/>
          <w:lang w:eastAsia="zh-CN"/>
        </w:rPr>
        <w:t>公开招标</w:t>
      </w:r>
      <w:r>
        <w:rPr>
          <w:rFonts w:hint="eastAsia" w:ascii="微软雅黑" w:hAnsi="微软雅黑" w:eastAsia="微软雅黑" w:cs="微软雅黑"/>
          <w:color w:val="333333"/>
          <w:sz w:val="21"/>
          <w:szCs w:val="21"/>
          <w:highlight w:val="none"/>
          <w:shd w:val="clear" w:color="auto" w:fill="FFFFFF"/>
        </w:rPr>
        <w:t xml:space="preserve"> </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预算金额：</w:t>
      </w:r>
      <w:r>
        <w:rPr>
          <w:rFonts w:hint="eastAsia" w:ascii="微软雅黑" w:hAnsi="微软雅黑" w:eastAsia="微软雅黑" w:cs="微软雅黑"/>
          <w:color w:val="333333"/>
          <w:sz w:val="21"/>
          <w:szCs w:val="21"/>
          <w:highlight w:val="none"/>
          <w:shd w:val="clear" w:color="auto" w:fill="FFFFFF"/>
          <w:lang w:val="en-US" w:eastAsia="zh-CN"/>
        </w:rPr>
        <w:t>1736600.00元</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最高限价：</w:t>
      </w:r>
      <w:r>
        <w:rPr>
          <w:rFonts w:hint="eastAsia" w:ascii="微软雅黑" w:hAnsi="微软雅黑" w:eastAsia="微软雅黑" w:cs="微软雅黑"/>
          <w:color w:val="333333"/>
          <w:sz w:val="21"/>
          <w:szCs w:val="21"/>
          <w:highlight w:val="none"/>
          <w:shd w:val="clear" w:color="auto" w:fill="FFFFFF"/>
          <w:lang w:val="en-US" w:eastAsia="zh-CN"/>
        </w:rPr>
        <w:t>1736600.00元</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采购需求：详见</w:t>
      </w:r>
      <w:r>
        <w:rPr>
          <w:rFonts w:hint="eastAsia" w:ascii="微软雅黑" w:hAnsi="微软雅黑" w:eastAsia="微软雅黑" w:cs="微软雅黑"/>
          <w:color w:val="333333"/>
          <w:sz w:val="21"/>
          <w:szCs w:val="21"/>
          <w:highlight w:val="none"/>
          <w:shd w:val="clear" w:color="auto" w:fill="FFFFFF"/>
          <w:lang w:eastAsia="zh-CN"/>
        </w:rPr>
        <w:t>采购清单。</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合同履行期限：甲乙双方签订合同</w:t>
      </w:r>
      <w:r>
        <w:rPr>
          <w:rFonts w:hint="eastAsia" w:ascii="微软雅黑" w:hAnsi="微软雅黑" w:eastAsia="微软雅黑" w:cs="微软雅黑"/>
          <w:color w:val="333333"/>
          <w:sz w:val="21"/>
          <w:szCs w:val="21"/>
          <w:highlight w:val="none"/>
          <w:shd w:val="clear" w:color="auto" w:fill="FFFFFF"/>
          <w:lang w:eastAsia="zh-CN"/>
        </w:rPr>
        <w:t>后</w:t>
      </w:r>
      <w:r>
        <w:rPr>
          <w:rFonts w:hint="eastAsia" w:ascii="微软雅黑" w:hAnsi="微软雅黑" w:eastAsia="微软雅黑" w:cs="微软雅黑"/>
          <w:color w:val="333333"/>
          <w:sz w:val="21"/>
          <w:szCs w:val="21"/>
          <w:highlight w:val="none"/>
          <w:shd w:val="clear" w:color="auto" w:fill="FFFFFF"/>
          <w:lang w:val="en-US" w:eastAsia="zh-CN"/>
        </w:rPr>
        <w:t>7日内完成</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本项目不接受联合体。</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420" w:left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color w:val="333333"/>
          <w:sz w:val="21"/>
          <w:szCs w:val="21"/>
          <w:highlight w:val="none"/>
          <w:shd w:val="clear" w:color="auto" w:fill="FFFFFF"/>
        </w:rPr>
        <w:t>二、申请人的资格要求：</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1.满足《中华人民共和国政府采购法》第二十二条规定；</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2.落实政府采购政策需满足的资格要求：</w:t>
      </w:r>
      <w:r>
        <w:rPr>
          <w:rFonts w:hint="eastAsia" w:ascii="微软雅黑" w:hAnsi="微软雅黑" w:eastAsia="微软雅黑" w:cs="微软雅黑"/>
          <w:color w:val="333333"/>
          <w:sz w:val="21"/>
          <w:szCs w:val="21"/>
          <w:highlight w:val="none"/>
          <w:shd w:val="clear" w:color="auto" w:fill="FFFFFF"/>
          <w:lang w:eastAsia="zh-CN"/>
        </w:rPr>
        <w:t>（</w:t>
      </w:r>
      <w:r>
        <w:rPr>
          <w:rFonts w:hint="eastAsia" w:ascii="微软雅黑" w:hAnsi="微软雅黑" w:eastAsia="微软雅黑" w:cs="微软雅黑"/>
          <w:color w:val="333333"/>
          <w:sz w:val="21"/>
          <w:szCs w:val="21"/>
          <w:highlight w:val="none"/>
          <w:shd w:val="clear" w:color="auto" w:fill="FFFFFF"/>
          <w:lang w:val="en-US" w:eastAsia="zh-CN"/>
        </w:rPr>
        <w:t>1</w:t>
      </w:r>
      <w:r>
        <w:rPr>
          <w:rFonts w:hint="eastAsia" w:ascii="微软雅黑" w:hAnsi="微软雅黑" w:eastAsia="微软雅黑" w:cs="微软雅黑"/>
          <w:color w:val="333333"/>
          <w:sz w:val="21"/>
          <w:szCs w:val="21"/>
          <w:highlight w:val="none"/>
          <w:shd w:val="clear" w:color="auto" w:fill="FFFFFF"/>
          <w:lang w:eastAsia="zh-CN"/>
        </w:rPr>
        <w:t>）《新疆维吾尔自治区政府采购促进中小企业发展管理实施办法》（新财规〔2021〕6号）；（</w:t>
      </w:r>
      <w:r>
        <w:rPr>
          <w:rFonts w:hint="eastAsia" w:ascii="微软雅黑" w:hAnsi="微软雅黑" w:eastAsia="微软雅黑" w:cs="微软雅黑"/>
          <w:color w:val="333333"/>
          <w:sz w:val="21"/>
          <w:szCs w:val="21"/>
          <w:highlight w:val="none"/>
          <w:shd w:val="clear" w:color="auto" w:fill="FFFFFF"/>
          <w:lang w:val="en-US" w:eastAsia="zh-CN"/>
        </w:rPr>
        <w:t>2</w:t>
      </w:r>
      <w:r>
        <w:rPr>
          <w:rFonts w:hint="eastAsia" w:ascii="微软雅黑" w:hAnsi="微软雅黑" w:eastAsia="微软雅黑" w:cs="微软雅黑"/>
          <w:color w:val="333333"/>
          <w:sz w:val="21"/>
          <w:szCs w:val="21"/>
          <w:highlight w:val="none"/>
          <w:shd w:val="clear" w:color="auto" w:fill="FFFFFF"/>
          <w:lang w:eastAsia="zh-CN"/>
        </w:rPr>
        <w:t>）财政部、司法部《关于政府采购支持监狱企业发展有关问题的通知》（财库[2014]68号文）；（</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lang w:eastAsia="zh-CN"/>
        </w:rPr>
        <w:t>）财政部、生态环境部《关于印发环境标志产品政府采购品目清单的通知》（财库[2019]18号文）；（</w:t>
      </w:r>
      <w:r>
        <w:rPr>
          <w:rFonts w:hint="eastAsia" w:ascii="微软雅黑" w:hAnsi="微软雅黑" w:eastAsia="微软雅黑" w:cs="微软雅黑"/>
          <w:color w:val="333333"/>
          <w:sz w:val="21"/>
          <w:szCs w:val="21"/>
          <w:highlight w:val="none"/>
          <w:shd w:val="clear" w:color="auto" w:fill="FFFFFF"/>
          <w:lang w:val="en-US" w:eastAsia="zh-CN"/>
        </w:rPr>
        <w:t>4</w:t>
      </w:r>
      <w:r>
        <w:rPr>
          <w:rFonts w:hint="eastAsia" w:ascii="微软雅黑" w:hAnsi="微软雅黑" w:eastAsia="微软雅黑" w:cs="微软雅黑"/>
          <w:color w:val="333333"/>
          <w:sz w:val="21"/>
          <w:szCs w:val="21"/>
          <w:highlight w:val="none"/>
          <w:shd w:val="clear" w:color="auto" w:fill="FFFFFF"/>
          <w:lang w:eastAsia="zh-CN"/>
        </w:rPr>
        <w:t>）财政部、民政部、中国残疾人联合会《关于促进残疾人就业政府采购政策的通知》（财库[2017]141号）；（</w:t>
      </w:r>
      <w:r>
        <w:rPr>
          <w:rFonts w:hint="eastAsia" w:ascii="微软雅黑" w:hAnsi="微软雅黑" w:eastAsia="微软雅黑" w:cs="微软雅黑"/>
          <w:color w:val="333333"/>
          <w:sz w:val="21"/>
          <w:szCs w:val="21"/>
          <w:highlight w:val="none"/>
          <w:shd w:val="clear" w:color="auto" w:fill="FFFFFF"/>
          <w:lang w:val="en-US" w:eastAsia="zh-CN"/>
        </w:rPr>
        <w:t>5</w:t>
      </w:r>
      <w:r>
        <w:rPr>
          <w:rFonts w:hint="eastAsia" w:ascii="微软雅黑" w:hAnsi="微软雅黑" w:eastAsia="微软雅黑" w:cs="微软雅黑"/>
          <w:color w:val="333333"/>
          <w:sz w:val="21"/>
          <w:szCs w:val="21"/>
          <w:highlight w:val="none"/>
          <w:shd w:val="clear" w:color="auto" w:fill="FFFFFF"/>
          <w:lang w:eastAsia="zh-CN"/>
        </w:rPr>
        <w:t>）财政部、国家发展改革委、生态环境部、市场监管总局《关于调整优化节能产品、环境标志产品政府采购执行机制的通知》（财库[2019]9号文）；（</w:t>
      </w:r>
      <w:r>
        <w:rPr>
          <w:rFonts w:hint="eastAsia" w:ascii="微软雅黑" w:hAnsi="微软雅黑" w:eastAsia="微软雅黑" w:cs="微软雅黑"/>
          <w:color w:val="333333"/>
          <w:sz w:val="21"/>
          <w:szCs w:val="21"/>
          <w:highlight w:val="none"/>
          <w:shd w:val="clear" w:color="auto" w:fill="FFFFFF"/>
          <w:lang w:val="en-US" w:eastAsia="zh-CN"/>
        </w:rPr>
        <w:t>6</w:t>
      </w:r>
      <w:r>
        <w:rPr>
          <w:rFonts w:hint="eastAsia" w:ascii="微软雅黑" w:hAnsi="微软雅黑" w:eastAsia="微软雅黑" w:cs="微软雅黑"/>
          <w:color w:val="333333"/>
          <w:sz w:val="21"/>
          <w:szCs w:val="21"/>
          <w:highlight w:val="none"/>
          <w:shd w:val="clear" w:color="auto" w:fill="FFFFFF"/>
          <w:lang w:eastAsia="zh-CN"/>
        </w:rPr>
        <w:t>）财政部、发展改革委《关于印发节能产品政府采购品目清单的通知》（财库[2019]19号文）；（</w:t>
      </w:r>
      <w:r>
        <w:rPr>
          <w:rFonts w:hint="eastAsia" w:ascii="微软雅黑" w:hAnsi="微软雅黑" w:eastAsia="微软雅黑" w:cs="微软雅黑"/>
          <w:color w:val="333333"/>
          <w:sz w:val="21"/>
          <w:szCs w:val="21"/>
          <w:highlight w:val="none"/>
          <w:shd w:val="clear" w:color="auto" w:fill="FFFFFF"/>
          <w:lang w:val="en-US" w:eastAsia="zh-CN"/>
        </w:rPr>
        <w:t>7</w:t>
      </w:r>
      <w:r>
        <w:rPr>
          <w:rFonts w:hint="eastAsia" w:ascii="微软雅黑" w:hAnsi="微软雅黑" w:eastAsia="微软雅黑" w:cs="微软雅黑"/>
          <w:color w:val="333333"/>
          <w:sz w:val="21"/>
          <w:szCs w:val="21"/>
          <w:highlight w:val="none"/>
          <w:shd w:val="clear" w:color="auto" w:fill="FFFFFF"/>
          <w:lang w:eastAsia="zh-CN"/>
        </w:rPr>
        <w:t>）供应商为中小微企业</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840" w:firstLineChars="40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3.本项目的特定资格要求：</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lang w:eastAsia="zh-CN"/>
        </w:rPr>
      </w:pPr>
      <w:r>
        <w:rPr>
          <w:rFonts w:hint="eastAsia" w:ascii="微软雅黑" w:hAnsi="微软雅黑" w:eastAsia="微软雅黑" w:cs="微软雅黑"/>
          <w:b/>
          <w:bCs/>
          <w:color w:val="333333"/>
          <w:sz w:val="21"/>
          <w:szCs w:val="21"/>
          <w:highlight w:val="none"/>
          <w:shd w:val="clear" w:color="auto" w:fill="FFFFFF"/>
        </w:rPr>
        <w:t>（1）需具备有效期内的林木种子生产许可证或林木种子经营许可证</w:t>
      </w:r>
      <w:r>
        <w:rPr>
          <w:rFonts w:hint="eastAsia" w:ascii="微软雅黑" w:hAnsi="微软雅黑" w:eastAsia="微软雅黑" w:cs="微软雅黑"/>
          <w:b/>
          <w:bCs/>
          <w:color w:val="333333"/>
          <w:sz w:val="21"/>
          <w:szCs w:val="21"/>
          <w:highlight w:val="none"/>
          <w:shd w:val="clear" w:color="auto" w:fill="FFFFFF"/>
          <w:lang w:eastAsia="zh-CN"/>
        </w:rPr>
        <w:t>或林木种子生产经营许可证；</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lang w:eastAsia="zh-CN"/>
        </w:rPr>
      </w:pPr>
      <w:r>
        <w:rPr>
          <w:rFonts w:hint="eastAsia" w:ascii="微软雅黑" w:hAnsi="微软雅黑" w:eastAsia="微软雅黑" w:cs="微软雅黑"/>
          <w:b/>
          <w:bCs/>
          <w:color w:val="333333"/>
          <w:sz w:val="21"/>
          <w:szCs w:val="21"/>
          <w:highlight w:val="none"/>
          <w:shd w:val="clear" w:color="auto" w:fill="FFFFFF"/>
          <w:lang w:eastAsia="zh-CN"/>
        </w:rPr>
        <w:t>（</w:t>
      </w:r>
      <w:r>
        <w:rPr>
          <w:rFonts w:hint="eastAsia" w:ascii="微软雅黑" w:hAnsi="微软雅黑" w:eastAsia="微软雅黑" w:cs="微软雅黑"/>
          <w:b/>
          <w:bCs/>
          <w:color w:val="333333"/>
          <w:sz w:val="21"/>
          <w:szCs w:val="21"/>
          <w:highlight w:val="none"/>
          <w:shd w:val="clear" w:color="auto" w:fill="FFFFFF"/>
          <w:lang w:val="en-US" w:eastAsia="zh-CN"/>
        </w:rPr>
        <w:t>2</w:t>
      </w:r>
      <w:r>
        <w:rPr>
          <w:rFonts w:hint="eastAsia" w:ascii="微软雅黑" w:hAnsi="微软雅黑" w:eastAsia="微软雅黑" w:cs="微软雅黑"/>
          <w:b/>
          <w:bCs/>
          <w:color w:val="333333"/>
          <w:sz w:val="21"/>
          <w:szCs w:val="21"/>
          <w:highlight w:val="none"/>
          <w:shd w:val="clear" w:color="auto" w:fill="FFFFFF"/>
          <w:lang w:eastAsia="zh-CN"/>
        </w:rPr>
        <w:t>）</w:t>
      </w:r>
      <w:r>
        <w:rPr>
          <w:rFonts w:hint="eastAsia" w:ascii="微软雅黑" w:hAnsi="微软雅黑" w:eastAsia="微软雅黑" w:cs="微软雅黑"/>
          <w:b/>
          <w:bCs/>
          <w:color w:val="333333"/>
          <w:sz w:val="21"/>
          <w:szCs w:val="21"/>
          <w:highlight w:val="none"/>
          <w:shd w:val="clear" w:color="auto" w:fill="FFFFFF"/>
        </w:rPr>
        <w:t>未被信用中国（www.creditchina.gov.cn）、中国政府采购网（www.ccgp.gov.cn）、国家企业信用信息公示系统（http://www.gsxt.gov.cn）列入失信被执行人、税收违法黑名单、政府采购严重违法失信行为记录名单</w:t>
      </w:r>
      <w:r>
        <w:rPr>
          <w:rFonts w:hint="eastAsia" w:ascii="微软雅黑" w:hAnsi="微软雅黑" w:eastAsia="微软雅黑" w:cs="微软雅黑"/>
          <w:b/>
          <w:bCs/>
          <w:color w:val="333333"/>
          <w:sz w:val="21"/>
          <w:szCs w:val="21"/>
          <w:highlight w:val="none"/>
          <w:shd w:val="clear" w:color="auto" w:fill="FFFFFF"/>
          <w:lang w:eastAsia="zh-CN"/>
        </w:rPr>
        <w:t>；</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color w:val="333333"/>
          <w:sz w:val="21"/>
          <w:szCs w:val="21"/>
          <w:highlight w:val="none"/>
          <w:shd w:val="clear" w:color="auto" w:fill="FFFFFF"/>
        </w:rPr>
        <w:t>三、获取</w:t>
      </w:r>
      <w:r>
        <w:rPr>
          <w:rFonts w:hint="eastAsia" w:ascii="微软雅黑" w:hAnsi="微软雅黑" w:eastAsia="微软雅黑" w:cs="微软雅黑"/>
          <w:color w:val="333333"/>
          <w:sz w:val="21"/>
          <w:szCs w:val="21"/>
          <w:highlight w:val="none"/>
          <w:shd w:val="clear" w:color="auto" w:fill="FFFFFF"/>
          <w:lang w:eastAsia="zh-CN"/>
        </w:rPr>
        <w:t>招标文件</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时间：2023年</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27</w:t>
      </w:r>
      <w:r>
        <w:rPr>
          <w:rFonts w:hint="eastAsia" w:ascii="微软雅黑" w:hAnsi="微软雅黑" w:eastAsia="微软雅黑" w:cs="微软雅黑"/>
          <w:color w:val="333333"/>
          <w:sz w:val="21"/>
          <w:szCs w:val="21"/>
          <w:highlight w:val="none"/>
          <w:shd w:val="clear" w:color="auto" w:fill="FFFFFF"/>
        </w:rPr>
        <w:t>日至2023年</w:t>
      </w:r>
      <w:r>
        <w:rPr>
          <w:rFonts w:hint="eastAsia" w:ascii="微软雅黑" w:hAnsi="微软雅黑" w:eastAsia="微软雅黑" w:cs="微软雅黑"/>
          <w:color w:val="333333"/>
          <w:sz w:val="21"/>
          <w:szCs w:val="21"/>
          <w:highlight w:val="none"/>
          <w:shd w:val="clear" w:color="auto" w:fill="FFFFFF"/>
          <w:lang w:val="en-US" w:eastAsia="zh-CN"/>
        </w:rPr>
        <w:t>4</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日，每天上午10：00至14:00，下午1</w:t>
      </w:r>
      <w:r>
        <w:rPr>
          <w:rFonts w:hint="eastAsia" w:ascii="微软雅黑" w:hAnsi="微软雅黑" w:eastAsia="微软雅黑" w:cs="微软雅黑"/>
          <w:color w:val="333333"/>
          <w:sz w:val="21"/>
          <w:szCs w:val="21"/>
          <w:highlight w:val="none"/>
          <w:shd w:val="clear" w:color="auto" w:fill="FFFFFF"/>
          <w:lang w:val="en-US" w:eastAsia="zh-CN"/>
        </w:rPr>
        <w:t>5</w:t>
      </w:r>
      <w:r>
        <w:rPr>
          <w:rFonts w:hint="eastAsia" w:ascii="微软雅黑" w:hAnsi="微软雅黑" w:eastAsia="微软雅黑" w:cs="微软雅黑"/>
          <w:color w:val="333333"/>
          <w:sz w:val="21"/>
          <w:szCs w:val="21"/>
          <w:highlight w:val="none"/>
          <w:shd w:val="clear" w:color="auto" w:fill="FFFFFF"/>
        </w:rPr>
        <w:t>:</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0至</w:t>
      </w:r>
      <w:r>
        <w:rPr>
          <w:rFonts w:hint="eastAsia" w:ascii="微软雅黑" w:hAnsi="微软雅黑" w:eastAsia="微软雅黑" w:cs="微软雅黑"/>
          <w:color w:val="333333"/>
          <w:sz w:val="21"/>
          <w:szCs w:val="21"/>
          <w:highlight w:val="none"/>
          <w:shd w:val="clear" w:color="auto" w:fill="FFFFFF"/>
          <w:lang w:val="en-US" w:eastAsia="zh-CN"/>
        </w:rPr>
        <w:t>19</w:t>
      </w:r>
      <w:r>
        <w:rPr>
          <w:rFonts w:hint="eastAsia" w:ascii="微软雅黑" w:hAnsi="微软雅黑" w:eastAsia="微软雅黑" w:cs="微软雅黑"/>
          <w:color w:val="333333"/>
          <w:sz w:val="21"/>
          <w:szCs w:val="21"/>
          <w:highlight w:val="none"/>
          <w:shd w:val="clear" w:color="auto" w:fill="FFFFFF"/>
        </w:rPr>
        <w:t>:</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0（北京时间，法定节假日除外）</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地点（网址）：政采云平台</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方式：</w:t>
      </w:r>
      <w:r>
        <w:rPr>
          <w:rFonts w:ascii="微软雅黑" w:hAnsi="微软雅黑" w:eastAsia="微软雅黑" w:cs="微软雅黑"/>
          <w:i w:val="0"/>
          <w:iCs w:val="0"/>
          <w:caps w:val="0"/>
          <w:color w:val="333333"/>
          <w:spacing w:val="0"/>
          <w:sz w:val="21"/>
          <w:szCs w:val="21"/>
          <w:highlight w:val="none"/>
          <w:shd w:val="clear" w:color="auto" w:fill="FFFFFF"/>
        </w:rPr>
        <w:t>政采云平台报名成功后</w:t>
      </w:r>
      <w:r>
        <w:rPr>
          <w:rFonts w:hint="eastAsia" w:ascii="微软雅黑" w:hAnsi="微软雅黑" w:eastAsia="微软雅黑" w:cs="微软雅黑"/>
          <w:i w:val="0"/>
          <w:iCs w:val="0"/>
          <w:caps w:val="0"/>
          <w:color w:val="333333"/>
          <w:spacing w:val="0"/>
          <w:sz w:val="21"/>
          <w:szCs w:val="21"/>
          <w:highlight w:val="none"/>
          <w:shd w:val="clear" w:color="auto" w:fill="FFFFFF"/>
          <w:lang w:eastAsia="zh-CN"/>
        </w:rPr>
        <w:t>免费</w:t>
      </w:r>
      <w:r>
        <w:rPr>
          <w:rFonts w:ascii="微软雅黑" w:hAnsi="微软雅黑" w:eastAsia="微软雅黑" w:cs="微软雅黑"/>
          <w:i w:val="0"/>
          <w:iCs w:val="0"/>
          <w:caps w:val="0"/>
          <w:color w:val="333333"/>
          <w:spacing w:val="0"/>
          <w:sz w:val="21"/>
          <w:szCs w:val="21"/>
          <w:highlight w:val="none"/>
          <w:shd w:val="clear" w:color="auto" w:fill="FFFFFF"/>
        </w:rPr>
        <w:t>下载</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售价：0元</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四、提交投标文件截止时间、开标时间和地点</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提交投标文件截止时间：2023年</w:t>
      </w:r>
      <w:r>
        <w:rPr>
          <w:rFonts w:hint="eastAsia" w:ascii="微软雅黑" w:hAnsi="微软雅黑" w:eastAsia="微软雅黑" w:cs="微软雅黑"/>
          <w:color w:val="333333"/>
          <w:sz w:val="21"/>
          <w:szCs w:val="21"/>
          <w:highlight w:val="none"/>
          <w:shd w:val="clear" w:color="auto" w:fill="FFFFFF"/>
          <w:lang w:val="en-US" w:eastAsia="zh-CN"/>
        </w:rPr>
        <w:t>4</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18</w:t>
      </w:r>
      <w:r>
        <w:rPr>
          <w:rFonts w:hint="eastAsia" w:ascii="微软雅黑" w:hAnsi="微软雅黑" w:eastAsia="微软雅黑" w:cs="微软雅黑"/>
          <w:color w:val="333333"/>
          <w:sz w:val="21"/>
          <w:szCs w:val="21"/>
          <w:highlight w:val="none"/>
          <w:shd w:val="clear" w:color="auto" w:fill="FFFFFF"/>
        </w:rPr>
        <w:t>日1</w:t>
      </w:r>
      <w:r>
        <w:rPr>
          <w:rFonts w:hint="eastAsia" w:ascii="微软雅黑" w:hAnsi="微软雅黑" w:eastAsia="微软雅黑" w:cs="微软雅黑"/>
          <w:color w:val="333333"/>
          <w:sz w:val="21"/>
          <w:szCs w:val="21"/>
          <w:highlight w:val="none"/>
          <w:shd w:val="clear" w:color="auto" w:fill="FFFFFF"/>
          <w:lang w:val="en-US" w:eastAsia="zh-CN"/>
        </w:rPr>
        <w:t>0</w:t>
      </w:r>
      <w:r>
        <w:rPr>
          <w:rFonts w:hint="eastAsia" w:ascii="微软雅黑" w:hAnsi="微软雅黑" w:eastAsia="微软雅黑" w:cs="微软雅黑"/>
          <w:color w:val="333333"/>
          <w:sz w:val="21"/>
          <w:szCs w:val="21"/>
          <w:highlight w:val="none"/>
          <w:shd w:val="clear" w:color="auto" w:fill="FFFFFF"/>
        </w:rPr>
        <w:t>点</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0分（北京时间）</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投标地点：政采云平台</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开标时间：2023年</w:t>
      </w:r>
      <w:r>
        <w:rPr>
          <w:rFonts w:hint="eastAsia" w:ascii="微软雅黑" w:hAnsi="微软雅黑" w:eastAsia="微软雅黑" w:cs="微软雅黑"/>
          <w:color w:val="333333"/>
          <w:sz w:val="21"/>
          <w:szCs w:val="21"/>
          <w:highlight w:val="none"/>
          <w:shd w:val="clear" w:color="auto" w:fill="FFFFFF"/>
          <w:lang w:val="en-US" w:eastAsia="zh-CN"/>
        </w:rPr>
        <w:t>4</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18</w:t>
      </w:r>
      <w:r>
        <w:rPr>
          <w:rFonts w:hint="eastAsia" w:ascii="微软雅黑" w:hAnsi="微软雅黑" w:eastAsia="微软雅黑" w:cs="微软雅黑"/>
          <w:color w:val="333333"/>
          <w:sz w:val="21"/>
          <w:szCs w:val="21"/>
          <w:highlight w:val="none"/>
          <w:shd w:val="clear" w:color="auto" w:fill="FFFFFF"/>
        </w:rPr>
        <w:t>日1</w:t>
      </w:r>
      <w:r>
        <w:rPr>
          <w:rFonts w:hint="eastAsia" w:ascii="微软雅黑" w:hAnsi="微软雅黑" w:eastAsia="微软雅黑" w:cs="微软雅黑"/>
          <w:color w:val="333333"/>
          <w:sz w:val="21"/>
          <w:szCs w:val="21"/>
          <w:highlight w:val="none"/>
          <w:shd w:val="clear" w:color="auto" w:fill="FFFFFF"/>
          <w:lang w:val="en-US" w:eastAsia="zh-CN"/>
        </w:rPr>
        <w:t>0</w:t>
      </w:r>
      <w:r>
        <w:rPr>
          <w:rFonts w:hint="eastAsia" w:ascii="微软雅黑" w:hAnsi="微软雅黑" w:eastAsia="微软雅黑" w:cs="微软雅黑"/>
          <w:color w:val="333333"/>
          <w:sz w:val="21"/>
          <w:szCs w:val="21"/>
          <w:highlight w:val="none"/>
          <w:shd w:val="clear" w:color="auto" w:fill="FFFFFF"/>
        </w:rPr>
        <w:t>点</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0分（北京时间）</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w:t>
      </w:r>
      <w:r>
        <w:rPr>
          <w:rFonts w:hint="eastAsia" w:ascii="微软雅黑" w:hAnsi="微软雅黑" w:eastAsia="微软雅黑" w:cs="微软雅黑"/>
          <w:color w:val="333333"/>
          <w:sz w:val="21"/>
          <w:szCs w:val="21"/>
          <w:highlight w:val="none"/>
          <w:shd w:val="clear" w:color="auto" w:fill="FFFFFF"/>
          <w:lang w:eastAsia="zh-CN"/>
        </w:rPr>
        <w:t>开标</w:t>
      </w:r>
      <w:r>
        <w:rPr>
          <w:rFonts w:hint="eastAsia" w:ascii="微软雅黑" w:hAnsi="微软雅黑" w:eastAsia="微软雅黑" w:cs="微软雅黑"/>
          <w:color w:val="333333"/>
          <w:sz w:val="21"/>
          <w:szCs w:val="21"/>
          <w:highlight w:val="none"/>
          <w:shd w:val="clear" w:color="auto" w:fill="FFFFFF"/>
        </w:rPr>
        <w:t>地点：政采云平台</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lang w:eastAsia="zh-CN"/>
        </w:rPr>
        <w:t>五</w:t>
      </w:r>
      <w:r>
        <w:rPr>
          <w:rFonts w:hint="eastAsia" w:ascii="微软雅黑" w:hAnsi="微软雅黑" w:eastAsia="微软雅黑" w:cs="微软雅黑"/>
          <w:color w:val="333333"/>
          <w:sz w:val="21"/>
          <w:szCs w:val="21"/>
          <w:highlight w:val="none"/>
          <w:shd w:val="clear" w:color="auto" w:fill="FFFFFF"/>
        </w:rPr>
        <w:t>、公告期限</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自本公告发布之日起5个工作日。</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lang w:eastAsia="zh-CN"/>
        </w:rPr>
        <w:t>六</w:t>
      </w:r>
      <w:r>
        <w:rPr>
          <w:rFonts w:hint="eastAsia" w:ascii="微软雅黑" w:hAnsi="微软雅黑" w:eastAsia="微软雅黑" w:cs="微软雅黑"/>
          <w:color w:val="333333"/>
          <w:sz w:val="21"/>
          <w:szCs w:val="21"/>
          <w:highlight w:val="none"/>
          <w:shd w:val="clear" w:color="auto" w:fill="FFFFFF"/>
        </w:rPr>
        <w:t>、其他补充事宜</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1.发布媒介：新疆政府采购网；</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2.请各供应商随时关注本项目的变更、答疑、澄清文件。</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3.（1）本项目实行电子招投标，供应商须登录政采云平台申请获取磋商文件，并通过政采云电子投标客户端制作</w:t>
      </w:r>
      <w:r>
        <w:rPr>
          <w:rFonts w:hint="eastAsia" w:ascii="微软雅黑" w:hAnsi="微软雅黑" w:eastAsia="微软雅黑" w:cs="微软雅黑"/>
          <w:color w:val="333333"/>
          <w:sz w:val="21"/>
          <w:szCs w:val="21"/>
          <w:highlight w:val="none"/>
          <w:shd w:val="clear" w:color="auto" w:fill="FFFFFF"/>
          <w:lang w:eastAsia="zh-CN"/>
        </w:rPr>
        <w:t>投标文件</w:t>
      </w:r>
      <w:r>
        <w:rPr>
          <w:rFonts w:hint="eastAsia" w:ascii="微软雅黑" w:hAnsi="微软雅黑" w:eastAsia="微软雅黑" w:cs="微软雅黑"/>
          <w:color w:val="333333"/>
          <w:sz w:val="21"/>
          <w:szCs w:val="21"/>
          <w:highlight w:val="none"/>
          <w:shd w:val="clear" w:color="auto" w:fill="FFFFFF"/>
        </w:rPr>
        <w:t>，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w:t>
      </w:r>
      <w:r>
        <w:rPr>
          <w:rFonts w:hint="eastAsia" w:ascii="微软雅黑" w:hAnsi="微软雅黑" w:eastAsia="微软雅黑" w:cs="微软雅黑"/>
          <w:color w:val="333333"/>
          <w:sz w:val="21"/>
          <w:szCs w:val="21"/>
          <w:highlight w:val="none"/>
          <w:shd w:val="clear" w:color="auto" w:fill="FFFFFF"/>
          <w:lang w:eastAsia="zh-CN"/>
        </w:rPr>
        <w:t>投标文件</w:t>
      </w:r>
      <w:r>
        <w:rPr>
          <w:rFonts w:hint="eastAsia" w:ascii="微软雅黑" w:hAnsi="微软雅黑" w:eastAsia="微软雅黑" w:cs="微软雅黑"/>
          <w:color w:val="333333"/>
          <w:sz w:val="21"/>
          <w:szCs w:val="21"/>
          <w:highlight w:val="none"/>
          <w:shd w:val="clear" w:color="auto" w:fill="FFFFFF"/>
        </w:rPr>
        <w:t>制作。在使用政采云电子投标客户端时，建议使用WIN7及以上操作系统。如有问题可拨打政采云客户服务热线400-881-7190进行咨询。（4）本项目采用不见面开标，供应商须在投标截止时间前通过CA在政采云平台上传加密的电子</w:t>
      </w:r>
      <w:r>
        <w:rPr>
          <w:rFonts w:hint="eastAsia" w:ascii="微软雅黑" w:hAnsi="微软雅黑" w:eastAsia="微软雅黑" w:cs="微软雅黑"/>
          <w:color w:val="333333"/>
          <w:sz w:val="21"/>
          <w:szCs w:val="21"/>
          <w:highlight w:val="none"/>
          <w:shd w:val="clear" w:color="auto" w:fill="FFFFFF"/>
          <w:lang w:eastAsia="zh-CN"/>
        </w:rPr>
        <w:t>投标文件</w:t>
      </w:r>
      <w:r>
        <w:rPr>
          <w:rFonts w:hint="eastAsia" w:ascii="微软雅黑" w:hAnsi="微软雅黑" w:eastAsia="微软雅黑" w:cs="微软雅黑"/>
          <w:color w:val="333333"/>
          <w:sz w:val="21"/>
          <w:szCs w:val="21"/>
          <w:highlight w:val="none"/>
          <w:shd w:val="clear" w:color="auto" w:fill="FFFFFF"/>
        </w:rPr>
        <w:t>。（5）供应商在开标前须提前配置好电脑浏览器（建议使用360浏览器或谷歌浏览器），开标时请使用制作加密电子</w:t>
      </w:r>
      <w:r>
        <w:rPr>
          <w:rFonts w:hint="eastAsia" w:ascii="微软雅黑" w:hAnsi="微软雅黑" w:eastAsia="微软雅黑" w:cs="微软雅黑"/>
          <w:color w:val="333333"/>
          <w:sz w:val="21"/>
          <w:szCs w:val="21"/>
          <w:highlight w:val="none"/>
          <w:shd w:val="clear" w:color="auto" w:fill="FFFFFF"/>
          <w:lang w:eastAsia="zh-CN"/>
        </w:rPr>
        <w:t>投标文件</w:t>
      </w:r>
      <w:r>
        <w:rPr>
          <w:rFonts w:hint="eastAsia" w:ascii="微软雅黑" w:hAnsi="微软雅黑" w:eastAsia="微软雅黑" w:cs="微软雅黑"/>
          <w:color w:val="333333"/>
          <w:sz w:val="21"/>
          <w:szCs w:val="21"/>
          <w:highlight w:val="none"/>
          <w:shd w:val="clear" w:color="auto" w:fill="FFFFFF"/>
        </w:rPr>
        <w:t>的CA锁进行解密及报价确认。本项目</w:t>
      </w:r>
      <w:r>
        <w:rPr>
          <w:rFonts w:hint="eastAsia" w:ascii="微软雅黑" w:hAnsi="微软雅黑" w:eastAsia="微软雅黑" w:cs="微软雅黑"/>
          <w:color w:val="333333"/>
          <w:sz w:val="21"/>
          <w:szCs w:val="21"/>
          <w:highlight w:val="none"/>
          <w:shd w:val="clear" w:color="auto" w:fill="FFFFFF"/>
          <w:lang w:eastAsia="zh-CN"/>
        </w:rPr>
        <w:t>投标文件</w:t>
      </w:r>
      <w:r>
        <w:rPr>
          <w:rFonts w:hint="eastAsia" w:ascii="微软雅黑" w:hAnsi="微软雅黑" w:eastAsia="微软雅黑" w:cs="微软雅黑"/>
          <w:color w:val="333333"/>
          <w:sz w:val="21"/>
          <w:szCs w:val="21"/>
          <w:highlight w:val="none"/>
          <w:shd w:val="clear" w:color="auto" w:fill="FFFFFF"/>
        </w:rPr>
        <w:t>解密时间定为30分钟，如因自身原因导致无法正常解密，后果由供应商自行承担。</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b/>
          <w:bCs/>
          <w:color w:val="333333"/>
          <w:sz w:val="21"/>
          <w:szCs w:val="21"/>
          <w:highlight w:val="none"/>
          <w:shd w:val="clear" w:color="auto" w:fill="FFFFFF"/>
        </w:rPr>
      </w:pPr>
      <w:r>
        <w:rPr>
          <w:rFonts w:hint="eastAsia" w:ascii="微软雅黑" w:hAnsi="微软雅黑" w:eastAsia="微软雅黑" w:cs="微软雅黑"/>
          <w:b/>
          <w:bCs/>
          <w:color w:val="333333"/>
          <w:sz w:val="21"/>
          <w:szCs w:val="21"/>
          <w:highlight w:val="none"/>
          <w:shd w:val="clear" w:color="auto" w:fill="FFFFFF"/>
        </w:rPr>
        <w:t>特别提示：</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b/>
          <w:bCs/>
          <w:color w:val="333333"/>
          <w:sz w:val="21"/>
          <w:szCs w:val="21"/>
          <w:highlight w:val="none"/>
          <w:shd w:val="clear" w:color="auto" w:fill="FFFFFF"/>
        </w:rPr>
      </w:pPr>
      <w:r>
        <w:rPr>
          <w:rFonts w:hint="eastAsia" w:ascii="微软雅黑" w:hAnsi="微软雅黑" w:eastAsia="微软雅黑" w:cs="微软雅黑"/>
          <w:b/>
          <w:bCs/>
          <w:color w:val="333333"/>
          <w:sz w:val="21"/>
          <w:szCs w:val="21"/>
          <w:highlight w:val="none"/>
          <w:shd w:val="clear" w:color="auto" w:fill="FFFFFF"/>
        </w:rPr>
        <w:t>1、超过200万元的货物和服务采购项目、超过400万元的工程采购项目中适宜由中小企业提供的，预留该部分采购项目预算总额的</w:t>
      </w:r>
      <w:r>
        <w:rPr>
          <w:rFonts w:hint="eastAsia" w:ascii="微软雅黑" w:hAnsi="微软雅黑" w:eastAsia="微软雅黑" w:cs="微软雅黑"/>
          <w:b/>
          <w:bCs/>
          <w:color w:val="333333"/>
          <w:sz w:val="21"/>
          <w:szCs w:val="21"/>
          <w:highlight w:val="none"/>
          <w:shd w:val="clear" w:color="auto" w:fill="FFFFFF"/>
          <w:lang w:val="en-US" w:eastAsia="zh-CN"/>
        </w:rPr>
        <w:t>3</w:t>
      </w:r>
      <w:r>
        <w:rPr>
          <w:rFonts w:hint="eastAsia" w:ascii="微软雅黑" w:hAnsi="微软雅黑" w:eastAsia="微软雅黑" w:cs="微软雅黑"/>
          <w:b/>
          <w:bCs/>
          <w:color w:val="333333"/>
          <w:sz w:val="21"/>
          <w:szCs w:val="21"/>
          <w:highlight w:val="none"/>
          <w:shd w:val="clear" w:color="auto" w:fill="FFFFFF"/>
        </w:rPr>
        <w:t>0%以上专门面向中小企业采购，其中预留给小微企业的比例不低于60%。</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b/>
          <w:bCs/>
          <w:color w:val="333333"/>
          <w:sz w:val="21"/>
          <w:szCs w:val="21"/>
          <w:highlight w:val="none"/>
          <w:shd w:val="clear" w:color="auto" w:fill="FFFFFF"/>
        </w:rPr>
      </w:pPr>
      <w:r>
        <w:rPr>
          <w:rFonts w:hint="eastAsia" w:ascii="微软雅黑" w:hAnsi="微软雅黑" w:eastAsia="微软雅黑" w:cs="微软雅黑"/>
          <w:b/>
          <w:bCs/>
          <w:color w:val="333333"/>
          <w:sz w:val="21"/>
          <w:szCs w:val="21"/>
          <w:highlight w:val="none"/>
          <w:shd w:val="clear" w:color="auto" w:fill="FFFFFF"/>
        </w:rPr>
        <w:t>2、对于未预留份额专门面向中小企业的采购项目，以及预留份额项目中的非预留部分采购包，采购人、采购代理机构应当对符合规定的小微企业报价给予10%~20%（工程项目为</w:t>
      </w:r>
      <w:r>
        <w:rPr>
          <w:rFonts w:hint="eastAsia" w:ascii="微软雅黑" w:hAnsi="微软雅黑" w:eastAsia="微软雅黑" w:cs="微软雅黑"/>
          <w:b/>
          <w:bCs/>
          <w:color w:val="333333"/>
          <w:sz w:val="21"/>
          <w:szCs w:val="21"/>
          <w:highlight w:val="none"/>
          <w:shd w:val="clear" w:color="auto" w:fill="FFFFFF"/>
          <w:lang w:val="en-US" w:eastAsia="zh-CN"/>
        </w:rPr>
        <w:t>3</w:t>
      </w:r>
      <w:r>
        <w:rPr>
          <w:rFonts w:hint="eastAsia" w:ascii="微软雅黑" w:hAnsi="微软雅黑" w:eastAsia="微软雅黑" w:cs="微软雅黑"/>
          <w:b/>
          <w:bCs/>
          <w:color w:val="333333"/>
          <w:sz w:val="21"/>
          <w:szCs w:val="21"/>
          <w:highlight w:val="none"/>
          <w:shd w:val="clear" w:color="auto" w:fill="FFFFFF"/>
        </w:rPr>
        <w:t>%~</w:t>
      </w:r>
      <w:r>
        <w:rPr>
          <w:rFonts w:hint="eastAsia" w:ascii="微软雅黑" w:hAnsi="微软雅黑" w:eastAsia="微软雅黑" w:cs="微软雅黑"/>
          <w:b/>
          <w:bCs/>
          <w:color w:val="333333"/>
          <w:sz w:val="21"/>
          <w:szCs w:val="21"/>
          <w:highlight w:val="none"/>
          <w:shd w:val="clear" w:color="auto" w:fill="FFFFFF"/>
          <w:lang w:val="en-US" w:eastAsia="zh-CN"/>
        </w:rPr>
        <w:t>5</w:t>
      </w:r>
      <w:r>
        <w:rPr>
          <w:rFonts w:hint="eastAsia" w:ascii="微软雅黑" w:hAnsi="微软雅黑" w:eastAsia="微软雅黑" w:cs="微软雅黑"/>
          <w:b/>
          <w:bCs/>
          <w:color w:val="333333"/>
          <w:sz w:val="21"/>
          <w:szCs w:val="21"/>
          <w:highlight w:val="none"/>
          <w:shd w:val="clear" w:color="auto" w:fill="FFFFFF"/>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bCs/>
          <w:color w:val="333333"/>
          <w:sz w:val="21"/>
          <w:szCs w:val="21"/>
          <w:highlight w:val="none"/>
          <w:shd w:val="clear" w:color="auto" w:fill="FFFFFF"/>
          <w:lang w:val="en-US" w:eastAsia="zh-CN"/>
        </w:rPr>
        <w:t>3</w:t>
      </w:r>
      <w:r>
        <w:rPr>
          <w:rFonts w:hint="eastAsia" w:ascii="微软雅黑" w:hAnsi="微软雅黑" w:eastAsia="微软雅黑" w:cs="微软雅黑"/>
          <w:b/>
          <w:bCs/>
          <w:color w:val="333333"/>
          <w:sz w:val="21"/>
          <w:szCs w:val="21"/>
          <w:highlight w:val="none"/>
          <w:shd w:val="clear" w:color="auto" w:fill="FFFFFF"/>
        </w:rPr>
        <w:t>%~</w:t>
      </w:r>
      <w:r>
        <w:rPr>
          <w:rFonts w:hint="eastAsia" w:ascii="微软雅黑" w:hAnsi="微软雅黑" w:eastAsia="微软雅黑" w:cs="微软雅黑"/>
          <w:b/>
          <w:bCs/>
          <w:color w:val="333333"/>
          <w:sz w:val="21"/>
          <w:szCs w:val="21"/>
          <w:highlight w:val="none"/>
          <w:shd w:val="clear" w:color="auto" w:fill="FFFFFF"/>
          <w:lang w:val="en-US" w:eastAsia="zh-CN"/>
        </w:rPr>
        <w:t>5</w:t>
      </w:r>
      <w:r>
        <w:rPr>
          <w:rFonts w:hint="eastAsia" w:ascii="微软雅黑" w:hAnsi="微软雅黑" w:eastAsia="微软雅黑" w:cs="微软雅黑"/>
          <w:b/>
          <w:bCs/>
          <w:color w:val="333333"/>
          <w:sz w:val="21"/>
          <w:szCs w:val="21"/>
          <w:highlight w:val="none"/>
          <w:shd w:val="clear" w:color="auto" w:fill="FFFFFF"/>
        </w:rPr>
        <w:t>%作为其价格分。</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b/>
          <w:bCs/>
          <w:color w:val="333333"/>
          <w:sz w:val="21"/>
          <w:szCs w:val="21"/>
          <w:highlight w:val="none"/>
          <w:shd w:val="clear" w:color="auto" w:fill="FFFFFF"/>
        </w:rPr>
      </w:pPr>
      <w:r>
        <w:rPr>
          <w:rFonts w:hint="eastAsia" w:ascii="微软雅黑" w:hAnsi="微软雅黑" w:eastAsia="微软雅黑" w:cs="微软雅黑"/>
          <w:b/>
          <w:bCs/>
          <w:color w:val="333333"/>
          <w:sz w:val="21"/>
          <w:szCs w:val="21"/>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w:t>
      </w:r>
      <w:r>
        <w:rPr>
          <w:rFonts w:hint="eastAsia" w:ascii="微软雅黑" w:hAnsi="微软雅黑" w:eastAsia="微软雅黑" w:cs="微软雅黑"/>
          <w:b/>
          <w:bCs/>
          <w:color w:val="333333"/>
          <w:sz w:val="21"/>
          <w:szCs w:val="21"/>
          <w:highlight w:val="none"/>
          <w:shd w:val="clear" w:color="auto" w:fill="FFFFFF"/>
          <w:lang w:val="en-US" w:eastAsia="zh-CN"/>
        </w:rPr>
        <w:t>3</w:t>
      </w:r>
      <w:r>
        <w:rPr>
          <w:rFonts w:hint="eastAsia" w:ascii="微软雅黑" w:hAnsi="微软雅黑" w:eastAsia="微软雅黑" w:cs="微软雅黑"/>
          <w:b/>
          <w:bCs/>
          <w:color w:val="333333"/>
          <w:sz w:val="21"/>
          <w:szCs w:val="21"/>
          <w:highlight w:val="none"/>
          <w:shd w:val="clear" w:color="auto" w:fill="FFFFFF"/>
        </w:rPr>
        <w:t>0%以上的，采购人、采购代理机构应当对联合体或者大中型企业的报价给予4%~6%（工程项目为</w:t>
      </w:r>
      <w:r>
        <w:rPr>
          <w:rFonts w:hint="eastAsia" w:ascii="微软雅黑" w:hAnsi="微软雅黑" w:eastAsia="微软雅黑" w:cs="微软雅黑"/>
          <w:b/>
          <w:bCs/>
          <w:color w:val="333333"/>
          <w:sz w:val="21"/>
          <w:szCs w:val="21"/>
          <w:highlight w:val="none"/>
          <w:shd w:val="clear" w:color="auto" w:fill="FFFFFF"/>
          <w:lang w:val="en-US" w:eastAsia="zh-CN"/>
        </w:rPr>
        <w:t>1</w:t>
      </w:r>
      <w:r>
        <w:rPr>
          <w:rFonts w:hint="eastAsia" w:ascii="微软雅黑" w:hAnsi="微软雅黑" w:eastAsia="微软雅黑" w:cs="微软雅黑"/>
          <w:b/>
          <w:bCs/>
          <w:color w:val="333333"/>
          <w:sz w:val="21"/>
          <w:szCs w:val="21"/>
          <w:highlight w:val="none"/>
          <w:shd w:val="clear" w:color="auto" w:fill="FFFFFF"/>
        </w:rPr>
        <w:t>%~</w:t>
      </w:r>
      <w:r>
        <w:rPr>
          <w:rFonts w:hint="eastAsia" w:ascii="微软雅黑" w:hAnsi="微软雅黑" w:eastAsia="微软雅黑" w:cs="微软雅黑"/>
          <w:b/>
          <w:bCs/>
          <w:color w:val="333333"/>
          <w:sz w:val="21"/>
          <w:szCs w:val="21"/>
          <w:highlight w:val="none"/>
          <w:shd w:val="clear" w:color="auto" w:fill="FFFFFF"/>
          <w:lang w:val="en-US" w:eastAsia="zh-CN"/>
        </w:rPr>
        <w:t>2</w:t>
      </w:r>
      <w:r>
        <w:rPr>
          <w:rFonts w:hint="eastAsia" w:ascii="微软雅黑" w:hAnsi="微软雅黑" w:eastAsia="微软雅黑" w:cs="微软雅黑"/>
          <w:b/>
          <w:bCs/>
          <w:color w:val="333333"/>
          <w:sz w:val="21"/>
          <w:szCs w:val="21"/>
          <w:highlight w:val="none"/>
          <w:shd w:val="clear" w:color="auto" w:fill="FFFFFF"/>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bCs/>
          <w:color w:val="333333"/>
          <w:sz w:val="21"/>
          <w:szCs w:val="21"/>
          <w:highlight w:val="none"/>
          <w:shd w:val="clear" w:color="auto" w:fill="FFFFFF"/>
          <w:lang w:val="en-US" w:eastAsia="zh-CN"/>
        </w:rPr>
        <w:t>1</w:t>
      </w:r>
      <w:r>
        <w:rPr>
          <w:rFonts w:hint="eastAsia" w:ascii="微软雅黑" w:hAnsi="微软雅黑" w:eastAsia="微软雅黑" w:cs="微软雅黑"/>
          <w:b/>
          <w:bCs/>
          <w:color w:val="333333"/>
          <w:sz w:val="21"/>
          <w:szCs w:val="21"/>
          <w:highlight w:val="none"/>
          <w:shd w:val="clear" w:color="auto" w:fill="FFFFFF"/>
        </w:rPr>
        <w:t>%~</w:t>
      </w:r>
      <w:r>
        <w:rPr>
          <w:rFonts w:hint="eastAsia" w:ascii="微软雅黑" w:hAnsi="微软雅黑" w:eastAsia="微软雅黑" w:cs="微软雅黑"/>
          <w:b/>
          <w:bCs/>
          <w:color w:val="333333"/>
          <w:sz w:val="21"/>
          <w:szCs w:val="21"/>
          <w:highlight w:val="none"/>
          <w:shd w:val="clear" w:color="auto" w:fill="FFFFFF"/>
          <w:lang w:val="en-US" w:eastAsia="zh-CN"/>
        </w:rPr>
        <w:t>2</w:t>
      </w:r>
      <w:r>
        <w:rPr>
          <w:rFonts w:hint="eastAsia" w:ascii="微软雅黑" w:hAnsi="微软雅黑" w:eastAsia="微软雅黑" w:cs="微软雅黑"/>
          <w:b/>
          <w:bCs/>
          <w:color w:val="333333"/>
          <w:sz w:val="21"/>
          <w:szCs w:val="21"/>
          <w:highlight w:val="none"/>
          <w:shd w:val="clear" w:color="auto" w:fill="FFFFFF"/>
        </w:rPr>
        <w:t>%作为其价格分。</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lang w:eastAsia="zh-CN"/>
        </w:rPr>
        <w:t>七</w:t>
      </w:r>
      <w:r>
        <w:rPr>
          <w:rFonts w:hint="eastAsia" w:ascii="微软雅黑" w:hAnsi="微软雅黑" w:eastAsia="微软雅黑" w:cs="微软雅黑"/>
          <w:color w:val="333333"/>
          <w:sz w:val="21"/>
          <w:szCs w:val="21"/>
          <w:highlight w:val="none"/>
          <w:shd w:val="clear" w:color="auto" w:fill="FFFFFF"/>
        </w:rPr>
        <w:t>、凡对本次采购提出询问，请按以下方式联系。</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1.采购人信息</w:t>
      </w:r>
      <w:r>
        <w:rPr>
          <w:rFonts w:hint="eastAsia" w:ascii="微软雅黑" w:hAnsi="微软雅黑" w:eastAsia="微软雅黑" w:cs="微软雅黑"/>
          <w:color w:val="333333"/>
          <w:sz w:val="21"/>
          <w:szCs w:val="21"/>
          <w:highlight w:val="none"/>
          <w:shd w:val="clear" w:color="auto" w:fill="FFFFFF"/>
        </w:rPr>
        <w:br w:type="textWrapping"/>
      </w:r>
      <w:r>
        <w:rPr>
          <w:rFonts w:hint="eastAsia" w:ascii="微软雅黑" w:hAnsi="微软雅黑" w:eastAsia="微软雅黑" w:cs="微软雅黑"/>
          <w:color w:val="333333"/>
          <w:sz w:val="21"/>
          <w:szCs w:val="21"/>
          <w:highlight w:val="none"/>
          <w:shd w:val="clear" w:color="auto" w:fill="FFFFFF"/>
        </w:rPr>
        <w:t>　　</w:t>
      </w:r>
      <w:r>
        <w:rPr>
          <w:rFonts w:hint="eastAsia" w:ascii="微软雅黑" w:hAnsi="微软雅黑" w:eastAsia="微软雅黑" w:cs="微软雅黑"/>
          <w:color w:val="333333"/>
          <w:sz w:val="21"/>
          <w:szCs w:val="21"/>
          <w:highlight w:val="none"/>
          <w:shd w:val="clear" w:color="auto" w:fill="FFFFFF"/>
          <w:lang w:val="en-US" w:eastAsia="zh-CN"/>
        </w:rPr>
        <w:t xml:space="preserve">名    称：新和县林业和草原局        </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lang w:val="en-US" w:eastAsia="zh-CN"/>
        </w:rPr>
        <w:t>地    址：新和县红光路农业综合大楼            　　</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lang w:val="en-US" w:eastAsia="zh-CN"/>
        </w:rPr>
        <w:t xml:space="preserve">联系方式：18197555617                       </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2.采购代理机构信息</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名    称：新疆乾明臻合项目管理有限责任公司 　　　　　　　　　　　</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地    址：阿克苏市北大街苏和口腔医院（原地委综合办公楼）7楼　　　　　　　　　　　</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联系方式：</w:t>
      </w:r>
      <w:r>
        <w:rPr>
          <w:rFonts w:hint="eastAsia" w:ascii="微软雅黑" w:hAnsi="微软雅黑" w:eastAsia="微软雅黑" w:cs="微软雅黑"/>
          <w:color w:val="333333"/>
          <w:sz w:val="21"/>
          <w:szCs w:val="21"/>
          <w:highlight w:val="none"/>
          <w:shd w:val="clear" w:color="auto" w:fill="FFFFFF"/>
          <w:lang w:val="en-US" w:eastAsia="zh-CN"/>
        </w:rPr>
        <w:t>18699776158</w:t>
      </w:r>
      <w:r>
        <w:rPr>
          <w:rFonts w:hint="eastAsia" w:ascii="微软雅黑" w:hAnsi="微软雅黑" w:eastAsia="微软雅黑" w:cs="微软雅黑"/>
          <w:color w:val="333333"/>
          <w:sz w:val="21"/>
          <w:szCs w:val="21"/>
          <w:highlight w:val="none"/>
          <w:shd w:val="clear" w:color="auto" w:fill="FFFFFF"/>
        </w:rPr>
        <w:t>  </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3.项目联系方式</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项目联系人：杨杨</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电　话：18699776158</w:t>
      </w:r>
    </w:p>
    <w:p>
      <w:pPr>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br w:type="page"/>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b/>
          <w:sz w:val="32"/>
          <w:szCs w:val="32"/>
        </w:rPr>
      </w:pPr>
      <w:r>
        <w:rPr>
          <w:b/>
          <w:sz w:val="32"/>
          <w:szCs w:val="32"/>
        </w:rPr>
        <w:t>第一部分  投标人须知前附表</w:t>
      </w:r>
      <w:bookmarkEnd w:id="0"/>
    </w:p>
    <w:tbl>
      <w:tblPr>
        <w:tblStyle w:val="26"/>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8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
                <w:sz w:val="24"/>
              </w:rPr>
            </w:pPr>
            <w:r>
              <w:rPr>
                <w:b/>
                <w:sz w:val="24"/>
              </w:rPr>
              <w:t>项号</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
                <w:sz w:val="24"/>
              </w:rPr>
            </w:pPr>
            <w:r>
              <w:rPr>
                <w:b/>
                <w:sz w:val="24"/>
              </w:rPr>
              <w:t>项目</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
                <w:sz w:val="24"/>
              </w:rPr>
            </w:pPr>
            <w:r>
              <w:rPr>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项目名称及编号</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新和县2023年国土绿化造林补助项目：乔木造林（一标段）</w:t>
            </w:r>
          </w:p>
          <w:p>
            <w:pPr>
              <w:spacing w:line="276" w:lineRule="auto"/>
              <w:rPr>
                <w:rFonts w:ascii="宋体" w:hAnsi="宋体" w:cs="宋体"/>
                <w:b/>
                <w:sz w:val="24"/>
              </w:rPr>
            </w:pPr>
            <w:r>
              <w:rPr>
                <w:rFonts w:hint="eastAsia" w:ascii="宋体" w:hAnsi="宋体" w:cs="宋体"/>
                <w:sz w:val="24"/>
              </w:rPr>
              <w:t>项目编号：</w:t>
            </w:r>
            <w:r>
              <w:rPr>
                <w:rFonts w:hint="eastAsia" w:ascii="宋体" w:hAnsi="宋体" w:cs="宋体"/>
                <w:sz w:val="24"/>
                <w:highlight w:val="none"/>
                <w:lang w:val="en-US" w:eastAsia="zh-CN"/>
              </w:rPr>
              <w:t>[2023]73号</w:t>
            </w:r>
            <w:r>
              <w:rPr>
                <w:rFonts w:hint="eastAsia" w:ascii="宋体" w:hAnsi="宋体" w:cs="宋体"/>
                <w:b/>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2</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 w:val="24"/>
              </w:rPr>
            </w:pPr>
            <w:r>
              <w:rPr>
                <w:rFonts w:hint="eastAsia" w:ascii="宋体" w:hAnsi="宋体" w:cs="宋体"/>
                <w:sz w:val="24"/>
              </w:rPr>
              <w:t>采购人</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cs="宋体"/>
                <w:sz w:val="24"/>
              </w:rPr>
            </w:pPr>
            <w:r>
              <w:rPr>
                <w:rFonts w:hint="eastAsia" w:ascii="宋体" w:hAnsi="宋体" w:cs="宋体"/>
                <w:sz w:val="24"/>
              </w:rPr>
              <w:t>采购人</w:t>
            </w:r>
            <w:r>
              <w:rPr>
                <w:rFonts w:hint="eastAsia" w:ascii="宋体" w:hAnsi="宋体" w:cs="宋体"/>
                <w:sz w:val="24"/>
                <w:lang w:eastAsia="zh-CN"/>
              </w:rPr>
              <w:t>：新和县林业和草原局</w:t>
            </w:r>
            <w:r>
              <w:rPr>
                <w:rFonts w:hint="eastAsia" w:ascii="宋体" w:hAnsi="宋体" w:cs="宋体"/>
                <w:sz w:val="24"/>
              </w:rPr>
              <w:t xml:space="preserve">               </w:t>
            </w:r>
          </w:p>
          <w:p>
            <w:pPr>
              <w:spacing w:line="276" w:lineRule="auto"/>
              <w:jc w:val="left"/>
              <w:rPr>
                <w:rFonts w:hint="eastAsia" w:ascii="宋体" w:hAnsi="宋体" w:eastAsia="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eastAsia="zh-CN"/>
              </w:rPr>
              <w:t>米合尔巴努</w:t>
            </w:r>
          </w:p>
          <w:p>
            <w:pPr>
              <w:spacing w:line="276" w:lineRule="auto"/>
              <w:jc w:val="left"/>
              <w:rPr>
                <w:rFonts w:hint="eastAsia"/>
              </w:rPr>
            </w:pPr>
            <w:r>
              <w:rPr>
                <w:rFonts w:hint="eastAsia" w:ascii="宋体" w:hAnsi="宋体" w:cs="宋体"/>
                <w:sz w:val="24"/>
                <w:highlight w:val="none"/>
              </w:rPr>
              <w:t>电</w:t>
            </w:r>
            <w:r>
              <w:rPr>
                <w:rFonts w:hint="eastAsia" w:ascii="宋体" w:hAnsi="宋体" w:cs="宋体"/>
                <w:sz w:val="24"/>
                <w:highlight w:val="none"/>
                <w:lang w:val="en-US" w:eastAsia="zh-CN"/>
              </w:rPr>
              <w:t xml:space="preserve">  </w:t>
            </w:r>
            <w:r>
              <w:rPr>
                <w:rFonts w:hint="eastAsia" w:ascii="宋体" w:hAnsi="宋体" w:cs="宋体"/>
                <w:sz w:val="24"/>
                <w:highlight w:val="none"/>
              </w:rPr>
              <w:t>话：18197558684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3</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采购代理机构</w:t>
            </w:r>
          </w:p>
          <w:p>
            <w:pPr>
              <w:spacing w:line="276" w:lineRule="auto"/>
              <w:jc w:val="center"/>
              <w:rPr>
                <w:rFonts w:ascii="宋体" w:hAnsi="宋体" w:cs="宋体"/>
                <w:sz w:val="24"/>
              </w:rPr>
            </w:pPr>
            <w:r>
              <w:rPr>
                <w:rFonts w:hint="eastAsia" w:ascii="宋体" w:hAnsi="宋体" w:cs="宋体"/>
                <w:sz w:val="24"/>
              </w:rPr>
              <w:t>联系人及联系方式</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宋体"/>
                <w:sz w:val="24"/>
              </w:rPr>
            </w:pPr>
            <w:r>
              <w:rPr>
                <w:rFonts w:hint="eastAsia" w:ascii="宋体" w:hAnsi="宋体" w:cs="宋体"/>
                <w:sz w:val="24"/>
              </w:rPr>
              <w:t>代理机构：</w:t>
            </w:r>
            <w:r>
              <w:rPr>
                <w:rFonts w:hint="eastAsia" w:ascii="宋体" w:hAnsi="宋体" w:cs="宋体"/>
                <w:sz w:val="24"/>
                <w:lang w:eastAsia="zh-CN"/>
              </w:rPr>
              <w:t>新疆乾明臻合项目管理有限责任公司</w:t>
            </w:r>
            <w:r>
              <w:rPr>
                <w:rFonts w:hint="eastAsia" w:ascii="宋体" w:hAnsi="宋体" w:cs="宋体"/>
                <w:sz w:val="24"/>
              </w:rPr>
              <w:t> </w:t>
            </w:r>
          </w:p>
          <w:p>
            <w:pPr>
              <w:spacing w:line="276" w:lineRule="auto"/>
              <w:jc w:val="left"/>
              <w:rPr>
                <w:rFonts w:ascii="宋体" w:hAnsi="宋体" w:cs="宋体"/>
                <w:sz w:val="24"/>
              </w:rPr>
            </w:pPr>
            <w:r>
              <w:rPr>
                <w:rFonts w:hint="eastAsia" w:ascii="宋体" w:hAnsi="宋体" w:cs="宋体"/>
                <w:sz w:val="24"/>
              </w:rPr>
              <w:t>联 系 人：</w:t>
            </w:r>
            <w:r>
              <w:rPr>
                <w:rFonts w:hint="eastAsia" w:ascii="宋体" w:hAnsi="宋体" w:cs="宋体"/>
                <w:sz w:val="24"/>
                <w:lang w:eastAsia="zh-CN"/>
              </w:rPr>
              <w:t>杨杨</w:t>
            </w:r>
            <w:r>
              <w:rPr>
                <w:rFonts w:hint="eastAsia" w:ascii="宋体" w:hAnsi="宋体" w:cs="宋体"/>
                <w:sz w:val="24"/>
              </w:rPr>
              <w:t xml:space="preserve">   </w:t>
            </w:r>
          </w:p>
          <w:p>
            <w:pPr>
              <w:spacing w:line="276" w:lineRule="auto"/>
              <w:jc w:val="left"/>
              <w:rPr>
                <w:rFonts w:hint="default" w:ascii="宋体" w:hAnsi="宋体" w:eastAsia="宋体" w:cs="宋体"/>
                <w:sz w:val="24"/>
                <w:lang w:val="en-US" w:eastAsia="zh-CN"/>
              </w:rPr>
            </w:pPr>
            <w:r>
              <w:rPr>
                <w:rFonts w:hint="eastAsia" w:ascii="宋体" w:hAnsi="宋体" w:cs="宋体"/>
                <w:sz w:val="24"/>
              </w:rPr>
              <w:t>联系电话：18699776158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4</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采购内容</w:t>
            </w:r>
          </w:p>
        </w:tc>
        <w:tc>
          <w:tcPr>
            <w:tcW w:w="684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ascii="宋体" w:hAnsi="宋体" w:cs="宋体"/>
                <w:bCs/>
                <w:sz w:val="24"/>
                <w:highlight w:val="red"/>
              </w:rPr>
            </w:pPr>
            <w:r>
              <w:rPr>
                <w:rFonts w:hint="eastAsia" w:ascii="宋体" w:hAnsi="宋体" w:cs="宋体"/>
                <w:bCs/>
                <w:sz w:val="24"/>
                <w:highlight w:val="none"/>
                <w:lang w:eastAsia="zh-CN"/>
              </w:rPr>
              <w:t>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sz w:val="24"/>
                <w:lang w:eastAsia="zh-CN"/>
              </w:rPr>
            </w:pPr>
            <w:r>
              <w:rPr>
                <w:rFonts w:hint="eastAsia" w:ascii="宋体" w:hAnsi="宋体" w:cs="宋体"/>
                <w:sz w:val="24"/>
                <w:lang w:eastAsia="zh-CN"/>
              </w:rPr>
              <w:t>所属行业</w:t>
            </w:r>
          </w:p>
        </w:tc>
        <w:tc>
          <w:tcPr>
            <w:tcW w:w="684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宋体" w:hAnsi="宋体" w:cs="宋体"/>
                <w:bCs/>
                <w:sz w:val="24"/>
                <w:highlight w:val="none"/>
                <w:lang w:eastAsia="zh-CN"/>
              </w:rPr>
            </w:pPr>
            <w:r>
              <w:rPr>
                <w:rFonts w:hint="eastAsia" w:ascii="宋体" w:hAnsi="宋体" w:cs="宋体"/>
                <w:bCs/>
                <w:sz w:val="24"/>
                <w:highlight w:val="none"/>
                <w:lang w:eastAsia="zh-CN"/>
              </w:rPr>
              <w:t>林木行业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资金来源</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采购方式</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报价方式</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7.1一次报价。报价应包含招标文件中所述服务的所有工作内容（详见</w:t>
            </w:r>
            <w:r>
              <w:rPr>
                <w:rFonts w:hint="eastAsia" w:ascii="宋体" w:hAnsi="宋体" w:eastAsia="宋体" w:cs="宋体"/>
                <w:sz w:val="24"/>
                <w:szCs w:val="24"/>
                <w:lang w:eastAsia="zh-CN"/>
              </w:rPr>
              <w:t>采购需求</w:t>
            </w:r>
            <w:r>
              <w:rPr>
                <w:rFonts w:hint="eastAsia" w:ascii="宋体" w:hAnsi="宋体" w:eastAsia="宋体" w:cs="宋体"/>
                <w:sz w:val="24"/>
                <w:szCs w:val="24"/>
              </w:rPr>
              <w:t>）</w:t>
            </w:r>
            <w:r>
              <w:rPr>
                <w:rFonts w:hint="eastAsia" w:ascii="宋体" w:hAnsi="宋体" w:eastAsia="宋体" w:cs="宋体"/>
                <w:sz w:val="24"/>
                <w:szCs w:val="24"/>
                <w:lang w:eastAsia="zh-CN"/>
              </w:rPr>
              <w:t>以及</w:t>
            </w:r>
            <w:r>
              <w:rPr>
                <w:rFonts w:hint="eastAsia" w:ascii="宋体" w:hAnsi="宋体" w:eastAsia="宋体" w:cs="宋体"/>
                <w:sz w:val="24"/>
                <w:szCs w:val="24"/>
                <w:lang w:val="en-US" w:eastAsia="zh-CN"/>
              </w:rPr>
              <w:t>与本项目有关的其它所有费用。</w:t>
            </w:r>
          </w:p>
          <w:p>
            <w:pPr>
              <w:overflowPunct w:val="0"/>
              <w:spacing w:line="360" w:lineRule="exact"/>
              <w:rPr>
                <w:rFonts w:hint="eastAsia" w:ascii="宋体" w:hAnsi="宋体" w:eastAsia="宋体" w:cs="宋体"/>
                <w:sz w:val="24"/>
                <w:szCs w:val="24"/>
              </w:rPr>
            </w:pPr>
            <w:r>
              <w:rPr>
                <w:rFonts w:hint="eastAsia" w:ascii="宋体" w:hAnsi="宋体" w:eastAsia="宋体" w:cs="宋体"/>
                <w:sz w:val="24"/>
                <w:szCs w:val="24"/>
              </w:rPr>
              <w:t>7.2根据《政府采购促进中小企业发展暂行办法》（财库[20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46</w:t>
            </w:r>
            <w:r>
              <w:rPr>
                <w:rFonts w:hint="eastAsia" w:ascii="宋体" w:hAnsi="宋体" w:eastAsia="宋体" w:cs="宋体"/>
                <w:sz w:val="24"/>
                <w:szCs w:val="24"/>
              </w:rPr>
              <w:t>号）的规定，对小型和微型企业产品的价格给予</w:t>
            </w:r>
            <w:r>
              <w:rPr>
                <w:rFonts w:hint="eastAsia" w:ascii="宋体" w:hAnsi="宋体" w:cs="宋体"/>
                <w:sz w:val="24"/>
                <w:szCs w:val="24"/>
                <w:lang w:val="en-US" w:eastAsia="zh-CN"/>
              </w:rPr>
              <w:t>10</w:t>
            </w:r>
            <w:r>
              <w:rPr>
                <w:rFonts w:hint="eastAsia" w:ascii="宋体" w:hAnsi="宋体" w:eastAsia="宋体" w:cs="宋体"/>
                <w:sz w:val="24"/>
                <w:szCs w:val="24"/>
              </w:rPr>
              <w:t>%的价格扣除，用扣除后的价格参与评标。中小微企业提供《中小企业声明函》。</w:t>
            </w:r>
          </w:p>
          <w:p>
            <w:pPr>
              <w:widowControl/>
              <w:jc w:val="left"/>
              <w:rPr>
                <w:rFonts w:hint="eastAsia" w:ascii="宋体" w:hAnsi="宋体" w:eastAsia="宋体" w:cs="宋体"/>
                <w:sz w:val="24"/>
                <w:szCs w:val="24"/>
              </w:rPr>
            </w:pPr>
            <w:r>
              <w:rPr>
                <w:rFonts w:hint="eastAsia" w:ascii="宋体" w:hAnsi="宋体" w:eastAsia="宋体" w:cs="宋体"/>
                <w:sz w:val="24"/>
                <w:szCs w:val="24"/>
              </w:rPr>
              <w:t>7.3 根据《关于促进残疾人就业政府采购政策的通知》（财库[2017]141号），残疾人福利性单位视同小型、微型企业。</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7.4残疾人福利性单位属于小型、微型企业的，不重复享受政策。</w:t>
            </w:r>
          </w:p>
          <w:p>
            <w:pPr>
              <w:spacing w:line="276" w:lineRule="auto"/>
              <w:rPr>
                <w:rFonts w:hint="default" w:eastAsia="宋体"/>
                <w:lang w:val="en-US" w:eastAsia="zh-CN"/>
              </w:rPr>
            </w:pPr>
            <w:r>
              <w:rPr>
                <w:rFonts w:hint="eastAsia" w:ascii="宋体" w:hAnsi="宋体" w:eastAsia="宋体" w:cs="宋体"/>
                <w:sz w:val="24"/>
                <w:szCs w:val="24"/>
                <w:lang w:val="en-US" w:eastAsia="zh-CN"/>
              </w:rPr>
              <w:t xml:space="preserve">7.5投标人的报价明显低于其他投标人报价，或者明显低于市场价，使得其报价可能低于其个别成本的，应当要求该投标人作出书面说明并提供相应的证明材料。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投标人资格</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eastAsia="宋体" w:cs="宋体"/>
                <w:color w:val="333333"/>
                <w:kern w:val="0"/>
                <w:sz w:val="24"/>
                <w:szCs w:val="24"/>
                <w:shd w:val="clear" w:color="auto" w:fill="FFFFFF"/>
              </w:rPr>
              <w:t>1.投标人须符合《中华人民共和国政府采购法》第二十二条之规定</w:t>
            </w:r>
            <w:r>
              <w:rPr>
                <w:rFonts w:hint="eastAsia" w:ascii="宋体" w:hAnsi="宋体" w:cs="宋体"/>
                <w:color w:val="333333"/>
                <w:kern w:val="0"/>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2.落实政府采购政策需满足的资格要求：（1）《新疆维吾尔自治区政府采购促进中小企业发展管理实施办法》（新财规〔2021〕6号）；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（2）财政部、司法部《关于政府采购支持监狱企业发展有关问题的通知》（财库[2014]68号文）；</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（3）财政部、生态环境部《关于印发环境标志产品政府采购品目清单的通知》（财库[2019]18号文）；</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（4）财政部、民政部、中国残疾人联合会《关于促进残疾人就业政府采购政策的通知》（财库[2017]141号）；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（5）财政部、国家发展改革委、生态环境部、市场监管总局《关于调整优化节能产品、环境标志产品政府采购执行机制的通知》（财库[2019]9号文）；</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（6）财政部、发展改革委《关于印发节能产品政府采购品目清单的通知》（财库[2019]19号文）；</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（7）供应商为中小微企业</w:t>
            </w:r>
            <w:r>
              <w:rPr>
                <w:rFonts w:hint="eastAsia" w:ascii="宋体" w:hAnsi="宋体" w:cs="宋体"/>
                <w:color w:val="333333"/>
                <w:kern w:val="0"/>
                <w:sz w:val="24"/>
                <w:szCs w:val="24"/>
                <w:shd w:val="clear" w:color="auto" w:fill="FFFFFF"/>
                <w:lang w:eastAsia="zh-CN"/>
              </w:rPr>
              <w:t>。</w:t>
            </w:r>
            <w:r>
              <w:rPr>
                <w:rFonts w:hint="eastAsia" w:ascii="宋体" w:hAnsi="宋体" w:eastAsia="宋体" w:cs="宋体"/>
                <w:color w:val="333333"/>
                <w:kern w:val="0"/>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3</w:t>
            </w:r>
            <w:r>
              <w:rPr>
                <w:rFonts w:hint="eastAsia" w:ascii="宋体" w:hAnsi="宋体" w:eastAsia="宋体" w:cs="宋体"/>
                <w:color w:val="333333"/>
                <w:kern w:val="0"/>
                <w:sz w:val="24"/>
                <w:szCs w:val="24"/>
                <w:shd w:val="clear" w:color="auto" w:fill="FFFFFF"/>
                <w:lang w:val="en-US" w:eastAsia="zh-CN"/>
              </w:rPr>
              <w:t>.</w:t>
            </w:r>
            <w:r>
              <w:rPr>
                <w:rFonts w:hint="eastAsia" w:ascii="宋体" w:hAnsi="宋体" w:eastAsia="宋体" w:cs="宋体"/>
                <w:color w:val="333333"/>
                <w:kern w:val="0"/>
                <w:sz w:val="24"/>
                <w:szCs w:val="24"/>
                <w:shd w:val="clear" w:color="auto" w:fill="FFFFFF"/>
              </w:rPr>
              <w:t>本项目的特定资格要求：</w:t>
            </w:r>
          </w:p>
          <w:p>
            <w:pPr>
              <w:keepNext w:val="0"/>
              <w:keepLines w:val="0"/>
              <w:pageBreakBefore w:val="0"/>
              <w:kinsoku/>
              <w:wordWrap/>
              <w:overflowPunct/>
              <w:topLinePunct w:val="0"/>
              <w:autoSpaceDE/>
              <w:autoSpaceDN/>
              <w:bidi w:val="0"/>
              <w:adjustRightInd/>
              <w:snapToGrid/>
              <w:spacing w:line="360" w:lineRule="exact"/>
              <w:textAlignment w:val="auto"/>
              <w:rPr>
                <w:rFonts w:cs="宋体"/>
                <w:sz w:val="24"/>
                <w:szCs w:val="24"/>
              </w:rPr>
            </w:pPr>
            <w:r>
              <w:rPr>
                <w:rFonts w:hint="eastAsia" w:ascii="宋体" w:hAnsi="宋体" w:eastAsia="宋体" w:cs="宋体"/>
                <w:color w:val="333333"/>
                <w:kern w:val="0"/>
                <w:sz w:val="24"/>
                <w:szCs w:val="24"/>
                <w:shd w:val="clear" w:color="auto" w:fill="FFFFFF"/>
              </w:rPr>
              <w:t>（1）法定代表人身份证明、授权委托人应提供《法人代表授权委托书》及身份证； </w:t>
            </w:r>
            <w:r>
              <w:rPr>
                <w:rFonts w:hint="eastAsia" w:ascii="宋体" w:hAnsi="宋体" w:eastAsia="宋体" w:cs="宋体"/>
                <w:color w:val="333333"/>
                <w:kern w:val="0"/>
                <w:sz w:val="24"/>
                <w:szCs w:val="24"/>
                <w:shd w:val="clear" w:color="auto" w:fill="FFFFFF"/>
              </w:rPr>
              <w:br w:type="textWrapping"/>
            </w:r>
            <w:r>
              <w:rPr>
                <w:rFonts w:hint="eastAsia" w:ascii="宋体" w:hAnsi="宋体" w:eastAsia="宋体" w:cs="宋体"/>
                <w:color w:val="333333"/>
                <w:kern w:val="0"/>
                <w:sz w:val="24"/>
                <w:szCs w:val="24"/>
                <w:shd w:val="clear" w:color="auto" w:fill="FFFFFF"/>
              </w:rPr>
              <w:t>（2）有效经年检的三证合一营业执照；</w:t>
            </w:r>
            <w:r>
              <w:rPr>
                <w:rFonts w:hint="eastAsia" w:ascii="宋体" w:hAnsi="宋体" w:eastAsia="宋体" w:cs="宋体"/>
                <w:color w:val="333333"/>
                <w:kern w:val="0"/>
                <w:sz w:val="24"/>
                <w:szCs w:val="24"/>
                <w:shd w:val="clear" w:color="auto" w:fill="FFFFFF"/>
              </w:rPr>
              <w:br w:type="textWrapping"/>
            </w:r>
            <w:r>
              <w:rPr>
                <w:rFonts w:hint="eastAsia" w:ascii="宋体" w:hAnsi="宋体" w:eastAsia="宋体" w:cs="宋体"/>
                <w:color w:val="333333"/>
                <w:kern w:val="0"/>
                <w:sz w:val="24"/>
                <w:szCs w:val="24"/>
                <w:shd w:val="clear" w:color="auto" w:fill="FFFFFF"/>
              </w:rPr>
              <w:t>（3）有效期内的林木种子生产许可证或林木种子经营许可证</w:t>
            </w:r>
            <w:r>
              <w:rPr>
                <w:rFonts w:hint="eastAsia" w:ascii="宋体" w:hAnsi="宋体" w:eastAsia="宋体" w:cs="宋体"/>
                <w:color w:val="333333"/>
                <w:kern w:val="0"/>
                <w:sz w:val="24"/>
                <w:szCs w:val="24"/>
                <w:shd w:val="clear" w:color="auto" w:fill="FFFFFF"/>
                <w:lang w:eastAsia="zh-CN"/>
              </w:rPr>
              <w:t>或林木种子生产经营许可证；</w:t>
            </w:r>
            <w:r>
              <w:rPr>
                <w:rFonts w:hint="eastAsia" w:ascii="宋体" w:hAnsi="宋体" w:eastAsia="宋体" w:cs="宋体"/>
                <w:color w:val="333333"/>
                <w:kern w:val="0"/>
                <w:sz w:val="24"/>
                <w:szCs w:val="24"/>
                <w:shd w:val="clear" w:color="auto" w:fill="FFFFFF"/>
              </w:rPr>
              <w:t> </w:t>
            </w:r>
            <w:r>
              <w:rPr>
                <w:rFonts w:hint="eastAsia" w:ascii="宋体" w:hAnsi="宋体" w:eastAsia="宋体" w:cs="宋体"/>
                <w:color w:val="333333"/>
                <w:kern w:val="0"/>
                <w:sz w:val="24"/>
                <w:szCs w:val="24"/>
                <w:shd w:val="clear" w:color="auto" w:fill="FFFFFF"/>
              </w:rPr>
              <w:br w:type="textWrapping"/>
            </w:r>
            <w:r>
              <w:rPr>
                <w:rFonts w:hint="eastAsia" w:ascii="宋体" w:hAnsi="宋体" w:eastAsia="宋体" w:cs="宋体"/>
                <w:color w:val="333333"/>
                <w:kern w:val="0"/>
                <w:sz w:val="24"/>
                <w:szCs w:val="24"/>
                <w:shd w:val="clear" w:color="auto" w:fill="FFFFFF"/>
              </w:rPr>
              <w:t>（4）单位负责人为同一人或者存在直接控股、管理关系的不同供应商，不得参加同一合同项下的政府采购活动；</w:t>
            </w:r>
            <w:r>
              <w:rPr>
                <w:rFonts w:hint="eastAsia" w:ascii="宋体" w:hAnsi="宋体" w:eastAsia="宋体" w:cs="宋体"/>
                <w:color w:val="333333"/>
                <w:kern w:val="0"/>
                <w:sz w:val="24"/>
                <w:szCs w:val="24"/>
                <w:shd w:val="clear" w:color="auto" w:fill="FFFFFF"/>
              </w:rPr>
              <w:br w:type="textWrapping"/>
            </w:r>
            <w:r>
              <w:rPr>
                <w:rFonts w:hint="eastAsia" w:ascii="宋体" w:hAnsi="宋体" w:eastAsia="宋体" w:cs="宋体"/>
                <w:color w:val="333333"/>
                <w:kern w:val="0"/>
                <w:sz w:val="24"/>
                <w:szCs w:val="24"/>
                <w:shd w:val="clear" w:color="auto" w:fill="FFFFFF"/>
              </w:rPr>
              <w:t>（5）未被信用中国（www.creditchina.gov.cn）、中国政府采购网（www.ccgp.gov.cn）、国家企业信用信息公示系统（http://www.gsxt.gov.cn）列入失信被执行人、税收违法黑名单、政府采购严重违法失信行为记录名单</w:t>
            </w:r>
            <w:r>
              <w:rPr>
                <w:rFonts w:hint="eastAsia" w:ascii="宋体" w:hAnsi="宋体" w:cs="宋体"/>
                <w:color w:val="333333"/>
                <w:kern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cs="宋体"/>
                <w:sz w:val="24"/>
              </w:rPr>
              <w:t>1</w:t>
            </w:r>
            <w:r>
              <w:rPr>
                <w:rFonts w:hint="eastAsia" w:ascii="宋体" w:hAnsi="宋体" w:cs="宋体"/>
                <w:sz w:val="24"/>
                <w:lang w:val="en-US" w:eastAsia="zh-CN"/>
              </w:rPr>
              <w:t>0</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kern w:val="0"/>
                <w:sz w:val="24"/>
              </w:rPr>
              <w:t>联合体</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cs="宋体"/>
                <w:sz w:val="24"/>
              </w:rPr>
              <w:t>1</w:t>
            </w:r>
            <w:r>
              <w:rPr>
                <w:rFonts w:hint="eastAsia" w:ascii="宋体" w:hAnsi="宋体" w:cs="宋体"/>
                <w:sz w:val="24"/>
                <w:lang w:val="en-US" w:eastAsia="zh-CN"/>
              </w:rPr>
              <w:t>1</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投标有效期</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lang w:val="en-US" w:eastAsia="zh-CN"/>
              </w:rPr>
              <w:t>90</w:t>
            </w:r>
            <w:r>
              <w:rPr>
                <w:rFonts w:hint="eastAsia" w:ascii="宋体" w:hAnsi="宋体" w:cs="宋体"/>
                <w:sz w:val="24"/>
              </w:rPr>
              <w:t>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kern w:val="2"/>
                <w:sz w:val="24"/>
                <w:szCs w:val="24"/>
                <w:lang w:val="en-US" w:eastAsia="zh-CN" w:bidi="ar-SA"/>
              </w:rPr>
            </w:pPr>
            <w:r>
              <w:rPr>
                <w:rFonts w:hint="eastAsia" w:ascii="宋体" w:hAnsi="宋体" w:cs="宋体"/>
                <w:bCs/>
                <w:sz w:val="24"/>
              </w:rPr>
              <w:t>1</w:t>
            </w:r>
            <w:r>
              <w:rPr>
                <w:rFonts w:hint="eastAsia" w:ascii="宋体" w:hAnsi="宋体" w:cs="宋体"/>
                <w:bCs/>
                <w:sz w:val="24"/>
                <w:lang w:val="en-US" w:eastAsia="zh-CN"/>
              </w:rPr>
              <w:t>2</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付款方式</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具体付款方式以签订合同为准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kern w:val="2"/>
                <w:sz w:val="24"/>
                <w:szCs w:val="24"/>
                <w:lang w:val="en-US" w:eastAsia="zh-CN" w:bidi="ar-SA"/>
              </w:rPr>
            </w:pPr>
            <w:r>
              <w:rPr>
                <w:rFonts w:hint="eastAsia" w:ascii="宋体" w:hAnsi="宋体" w:cs="宋体"/>
                <w:bCs/>
                <w:sz w:val="24"/>
                <w:lang w:val="en-US" w:eastAsia="zh-CN"/>
              </w:rPr>
              <w:t>13</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sz w:val="24"/>
                <w:lang w:eastAsia="zh-CN"/>
              </w:rPr>
            </w:pPr>
            <w:r>
              <w:rPr>
                <w:rFonts w:hint="eastAsia" w:ascii="宋体" w:hAnsi="宋体" w:cs="宋体"/>
                <w:b/>
                <w:sz w:val="24"/>
                <w:lang w:eastAsia="zh-CN"/>
              </w:rPr>
              <w:t>服务期限</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 w:val="24"/>
              </w:rPr>
            </w:pPr>
            <w:r>
              <w:rPr>
                <w:rFonts w:hint="eastAsia" w:ascii="宋体" w:hAnsi="宋体" w:cs="宋体"/>
                <w:b/>
                <w:sz w:val="24"/>
                <w:highlight w:val="none"/>
              </w:rPr>
              <w:t>甲乙双方签订合同后</w:t>
            </w:r>
            <w:r>
              <w:rPr>
                <w:rFonts w:hint="eastAsia" w:ascii="宋体" w:hAnsi="宋体" w:cs="宋体"/>
                <w:b/>
                <w:sz w:val="24"/>
                <w:highlight w:val="none"/>
                <w:lang w:val="en-US" w:eastAsia="zh-CN"/>
              </w:rPr>
              <w:t>7</w:t>
            </w:r>
            <w:r>
              <w:rPr>
                <w:rFonts w:hint="eastAsia" w:ascii="宋体" w:hAnsi="宋体" w:cs="宋体"/>
                <w:b/>
                <w:sz w:val="24"/>
                <w:highlight w:val="none"/>
              </w:rPr>
              <w:t>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kern w:val="2"/>
                <w:sz w:val="24"/>
                <w:szCs w:val="24"/>
                <w:lang w:val="en-US" w:eastAsia="zh-CN" w:bidi="ar-SA"/>
              </w:rPr>
            </w:pPr>
            <w:r>
              <w:rPr>
                <w:rFonts w:hint="eastAsia" w:ascii="宋体" w:hAnsi="宋体" w:cs="宋体"/>
                <w:sz w:val="24"/>
              </w:rPr>
              <w:t>1</w:t>
            </w:r>
            <w:r>
              <w:rPr>
                <w:rFonts w:hint="eastAsia" w:ascii="宋体" w:hAnsi="宋体" w:cs="宋体"/>
                <w:sz w:val="24"/>
                <w:lang w:val="en-US" w:eastAsia="zh-CN"/>
              </w:rPr>
              <w:t>4</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b/>
                <w:sz w:val="24"/>
              </w:rPr>
            </w:pPr>
            <w:r>
              <w:rPr>
                <w:rFonts w:hint="eastAsia" w:ascii="宋体" w:hAnsi="宋体" w:cs="宋体"/>
                <w:snapToGrid w:val="0"/>
                <w:kern w:val="0"/>
                <w:sz w:val="24"/>
                <w:lang w:eastAsia="zh-CN"/>
              </w:rPr>
              <w:t>交货（服务）</w:t>
            </w:r>
            <w:r>
              <w:rPr>
                <w:rFonts w:hint="eastAsia" w:ascii="宋体" w:hAnsi="宋体" w:cs="宋体"/>
                <w:snapToGrid w:val="0"/>
                <w:kern w:val="0"/>
                <w:sz w:val="24"/>
              </w:rPr>
              <w:t>地点</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sz w:val="24"/>
                <w:highlight w:val="none"/>
                <w:lang w:eastAsia="zh-CN"/>
              </w:rPr>
            </w:pPr>
            <w:r>
              <w:rPr>
                <w:rFonts w:hint="eastAsia" w:ascii="宋体" w:hAnsi="宋体" w:cs="宋体"/>
                <w:sz w:val="24"/>
                <w:highlight w:val="none"/>
                <w:lang w:eastAsia="zh-CN"/>
              </w:rPr>
              <w:t>新和县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6"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val="en-US" w:eastAsia="zh-CN"/>
              </w:rPr>
              <w:t>5</w:t>
            </w:r>
          </w:p>
        </w:tc>
        <w:tc>
          <w:tcPr>
            <w:tcW w:w="2180"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投标保证金</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default" w:ascii="宋体" w:hAnsi="宋体" w:eastAsia="宋体" w:cs="宋体"/>
                <w:b/>
                <w:sz w:val="24"/>
                <w:lang w:val="en-US" w:eastAsia="zh-CN"/>
              </w:rPr>
            </w:pPr>
            <w:r>
              <w:rPr>
                <w:rFonts w:hint="eastAsia" w:ascii="宋体" w:hAnsi="宋体" w:cs="宋体"/>
                <w:b/>
                <w:sz w:val="24"/>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6" w:type="dxa"/>
            <w:tcBorders>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cs="宋体"/>
                <w:sz w:val="24"/>
              </w:rPr>
              <w:t>1</w:t>
            </w:r>
            <w:r>
              <w:rPr>
                <w:rFonts w:hint="eastAsia" w:ascii="宋体" w:hAnsi="宋体" w:cs="宋体"/>
                <w:sz w:val="24"/>
                <w:lang w:val="en-US" w:eastAsia="zh-CN"/>
              </w:rPr>
              <w:t>6</w:t>
            </w:r>
          </w:p>
        </w:tc>
        <w:tc>
          <w:tcPr>
            <w:tcW w:w="2180" w:type="dxa"/>
            <w:tcBorders>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踏勘</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投标人可自行踏勘。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16" w:type="dxa"/>
            <w:tcBorders>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cs="宋体"/>
                <w:sz w:val="24"/>
              </w:rPr>
              <w:t>1</w:t>
            </w:r>
            <w:r>
              <w:rPr>
                <w:rFonts w:hint="eastAsia" w:ascii="宋体" w:hAnsi="宋体" w:cs="宋体"/>
                <w:sz w:val="24"/>
                <w:lang w:val="en-US" w:eastAsia="zh-CN"/>
              </w:rPr>
              <w:t>7</w:t>
            </w:r>
          </w:p>
        </w:tc>
        <w:tc>
          <w:tcPr>
            <w:tcW w:w="2180" w:type="dxa"/>
            <w:tcBorders>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投标文件的澄清</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 w:val="24"/>
                <w:highlight w:val="none"/>
              </w:rPr>
            </w:pPr>
            <w:r>
              <w:rPr>
                <w:rFonts w:hint="eastAsia" w:ascii="宋体" w:hAnsi="宋体" w:cs="宋体"/>
                <w:sz w:val="24"/>
                <w:highlight w:val="none"/>
              </w:rPr>
              <w:t>投标人如有质疑请</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cs="宋体"/>
                <w:sz w:val="24"/>
                <w:highlight w:val="none"/>
              </w:rPr>
              <w:t>2</w:t>
            </w:r>
            <w:r>
              <w:rPr>
                <w:rFonts w:hint="eastAsia" w:ascii="宋体" w:hAnsi="宋体" w:cs="宋体"/>
                <w:sz w:val="24"/>
                <w:highlight w:val="none"/>
                <w:lang w:val="en-US" w:eastAsia="zh-CN"/>
              </w:rPr>
              <w:t>023</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r>
              <w:rPr>
                <w:rFonts w:hint="eastAsia" w:ascii="宋体" w:hAnsi="宋体" w:cs="宋体"/>
                <w:sz w:val="24"/>
                <w:highlight w:val="none"/>
                <w:lang w:val="en-US" w:eastAsia="zh-CN"/>
              </w:rPr>
              <w:t>19:30</w:t>
            </w:r>
            <w:r>
              <w:rPr>
                <w:rFonts w:hint="eastAsia" w:ascii="宋体" w:hAnsi="宋体" w:cs="宋体"/>
                <w:sz w:val="24"/>
                <w:highlight w:val="none"/>
              </w:rPr>
              <w:t>（</w:t>
            </w:r>
            <w:r>
              <w:rPr>
                <w:rFonts w:hint="eastAsia" w:ascii="宋体" w:hAnsi="宋体" w:cs="宋体"/>
                <w:color w:val="000000" w:themeColor="text1"/>
                <w:sz w:val="24"/>
                <w:highlight w:val="none"/>
                <w14:textFill>
                  <w14:solidFill>
                    <w14:schemeClr w14:val="tx1"/>
                  </w14:solidFill>
                </w14:textFill>
              </w:rPr>
              <w:t>北京时间）前以书</w:t>
            </w:r>
            <w:r>
              <w:rPr>
                <w:rFonts w:hint="eastAsia" w:ascii="宋体" w:hAnsi="宋体" w:cs="宋体"/>
                <w:color w:val="auto"/>
                <w:sz w:val="24"/>
                <w:highlight w:val="none"/>
              </w:rPr>
              <w:t>面形式向采购代理机构提出，代理机构做统一澄清。</w:t>
            </w:r>
          </w:p>
          <w:p>
            <w:pPr>
              <w:spacing w:line="276" w:lineRule="auto"/>
              <w:rPr>
                <w:rFonts w:ascii="宋体" w:hAnsi="宋体" w:cs="宋体"/>
                <w:sz w:val="24"/>
              </w:rPr>
            </w:pPr>
            <w:r>
              <w:rPr>
                <w:rFonts w:hint="eastAsia" w:ascii="宋体" w:hAnsi="宋体" w:cs="宋体"/>
                <w:color w:val="auto"/>
                <w:sz w:val="24"/>
              </w:rPr>
              <w:t>联系邮箱：</w:t>
            </w:r>
            <w:r>
              <w:rPr>
                <w:color w:val="auto"/>
              </w:rPr>
              <w:fldChar w:fldCharType="begin"/>
            </w:r>
            <w:r>
              <w:rPr>
                <w:color w:val="auto"/>
              </w:rPr>
              <w:instrText xml:space="preserve"> HYPERLINK "mailto:598475349@qq.com" </w:instrText>
            </w:r>
            <w:r>
              <w:rPr>
                <w:color w:val="auto"/>
              </w:rPr>
              <w:fldChar w:fldCharType="separate"/>
            </w:r>
            <w:r>
              <w:rPr>
                <w:rStyle w:val="31"/>
                <w:rFonts w:hint="eastAsia" w:ascii="宋体" w:hAnsi="宋体" w:cs="宋体"/>
                <w:color w:val="auto"/>
                <w:sz w:val="24"/>
                <w:lang w:val="en-US" w:eastAsia="zh-CN"/>
              </w:rPr>
              <w:t>467652894</w:t>
            </w:r>
            <w:r>
              <w:rPr>
                <w:rStyle w:val="31"/>
                <w:rFonts w:hint="eastAsia" w:ascii="宋体" w:hAnsi="宋体" w:cs="宋体"/>
                <w:color w:val="auto"/>
                <w:sz w:val="24"/>
              </w:rPr>
              <w:t>@qq.com</w:t>
            </w:r>
            <w:r>
              <w:rPr>
                <w:rStyle w:val="31"/>
                <w:rFonts w:hint="eastAsia" w:ascii="宋体" w:hAnsi="宋体" w:cs="宋体"/>
                <w:color w:val="auto"/>
                <w:sz w:val="24"/>
              </w:rPr>
              <w:fldChar w:fldCharType="end"/>
            </w:r>
            <w:r>
              <w:rPr>
                <w:rFonts w:hint="eastAsia" w:ascii="宋体" w:hAnsi="宋体" w:cs="宋体"/>
                <w:color w:val="auto"/>
                <w:sz w:val="24"/>
              </w:rPr>
              <w:t>（</w:t>
            </w:r>
            <w:r>
              <w:rPr>
                <w:rFonts w:hint="eastAsia" w:ascii="宋体" w:hAnsi="宋体" w:cs="宋体"/>
                <w:sz w:val="24"/>
              </w:rPr>
              <w:t>注：接受扫描件）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16"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cs="宋体"/>
                <w:sz w:val="24"/>
              </w:rPr>
              <w:t>1</w:t>
            </w:r>
            <w:r>
              <w:rPr>
                <w:rFonts w:hint="eastAsia" w:ascii="宋体" w:hAnsi="宋体" w:cs="宋体"/>
                <w:sz w:val="24"/>
                <w:lang w:val="en-US" w:eastAsia="zh-CN"/>
              </w:rPr>
              <w:t>8</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b/>
                <w:bCs/>
                <w:spacing w:val="-14"/>
                <w:sz w:val="24"/>
                <w:lang w:eastAsia="zh-CN"/>
              </w:rPr>
              <w:t>标后提交的</w:t>
            </w:r>
            <w:r>
              <w:rPr>
                <w:rFonts w:hint="eastAsia" w:ascii="宋体" w:hAnsi="宋体" w:cs="宋体"/>
                <w:b/>
                <w:bCs/>
                <w:spacing w:val="-14"/>
                <w:sz w:val="24"/>
              </w:rPr>
              <w:t>投标文件</w:t>
            </w:r>
            <w:r>
              <w:rPr>
                <w:rFonts w:hint="eastAsia" w:ascii="宋体" w:hAnsi="宋体" w:cs="宋体"/>
                <w:b/>
                <w:bCs/>
                <w:sz w:val="24"/>
              </w:rPr>
              <w:t>份数</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sz w:val="24"/>
              </w:rPr>
            </w:pPr>
            <w:r>
              <w:rPr>
                <w:rFonts w:hint="eastAsia" w:ascii="宋体" w:hAnsi="宋体" w:cs="宋体"/>
                <w:sz w:val="24"/>
                <w:lang w:eastAsia="zh-CN"/>
              </w:rPr>
              <w:t>纸质版</w:t>
            </w:r>
            <w:r>
              <w:rPr>
                <w:rFonts w:hint="eastAsia" w:ascii="宋体" w:hAnsi="宋体" w:cs="宋体"/>
                <w:sz w:val="24"/>
              </w:rPr>
              <w:t>正本一份，副本</w:t>
            </w:r>
            <w:r>
              <w:rPr>
                <w:rFonts w:hint="eastAsia" w:ascii="宋体" w:hAnsi="宋体" w:cs="宋体"/>
                <w:sz w:val="24"/>
                <w:lang w:eastAsia="zh-CN"/>
              </w:rPr>
              <w:t>三</w:t>
            </w:r>
            <w:r>
              <w:rPr>
                <w:rFonts w:hint="eastAsia" w:ascii="宋体" w:hAnsi="宋体" w:cs="宋体"/>
                <w:sz w:val="24"/>
              </w:rPr>
              <w:t>份。</w:t>
            </w:r>
          </w:p>
          <w:p>
            <w:pPr>
              <w:spacing w:line="276" w:lineRule="auto"/>
            </w:pPr>
            <w:r>
              <w:rPr>
                <w:rFonts w:hint="eastAsia" w:ascii="宋体" w:hAnsi="宋体" w:cs="宋体"/>
                <w:sz w:val="24"/>
                <w:lang w:val="en-US" w:eastAsia="zh-CN"/>
              </w:rPr>
              <w:t>递交、邮寄地址：阿克苏市北大街苏和口腔医院（原地委综合办公楼）7楼，收件人：杨杨，联系电话：18699776158。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16" w:type="dxa"/>
            <w:tcBorders>
              <w:left w:val="single" w:color="auto" w:sz="4" w:space="0"/>
              <w:bottom w:val="single" w:color="auto" w:sz="4" w:space="0"/>
              <w:right w:val="single" w:color="auto" w:sz="4" w:space="0"/>
            </w:tcBorders>
            <w:vAlign w:val="center"/>
          </w:tcPr>
          <w:p>
            <w:pPr>
              <w:spacing w:line="276" w:lineRule="auto"/>
              <w:ind w:right="-71" w:rightChars="-34"/>
              <w:jc w:val="center"/>
              <w:rPr>
                <w:rFonts w:hint="eastAsia" w:ascii="宋体" w:hAnsi="宋体" w:eastAsia="宋体" w:cs="宋体"/>
                <w:kern w:val="2"/>
                <w:sz w:val="24"/>
                <w:szCs w:val="24"/>
                <w:lang w:val="en-US" w:eastAsia="zh-CN" w:bidi="ar-SA"/>
              </w:rPr>
            </w:pPr>
            <w:r>
              <w:rPr>
                <w:rFonts w:hint="eastAsia" w:ascii="宋体" w:hAnsi="宋体" w:cs="宋体"/>
                <w:sz w:val="24"/>
              </w:rPr>
              <w:t>1</w:t>
            </w:r>
            <w:r>
              <w:rPr>
                <w:rFonts w:hint="eastAsia" w:ascii="宋体" w:hAnsi="宋体" w:cs="宋体"/>
                <w:sz w:val="24"/>
                <w:lang w:val="en-US" w:eastAsia="zh-CN"/>
              </w:rPr>
              <w:t>9</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lang w:eastAsia="zh-CN"/>
              </w:rPr>
              <w:t>标后提交</w:t>
            </w:r>
            <w:r>
              <w:rPr>
                <w:rFonts w:hint="eastAsia" w:ascii="宋体" w:hAnsi="宋体" w:cs="宋体"/>
                <w:sz w:val="24"/>
              </w:rPr>
              <w:t>投标文件的密封</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sz w:val="24"/>
                <w:lang w:eastAsia="zh-CN"/>
              </w:rPr>
            </w:pPr>
            <w:r>
              <w:rPr>
                <w:rFonts w:hint="eastAsia" w:ascii="宋体" w:hAnsi="宋体" w:cs="宋体"/>
                <w:sz w:val="24"/>
                <w:lang w:val="en-US" w:eastAsia="zh-CN"/>
              </w:rPr>
              <w:t>无需密封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6" w:type="dxa"/>
            <w:tcBorders>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20</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投标文件的签署</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投标文件应由法人代表或授权代表逐页签署并加盖单位公章。所有投标人签字、法人代表签字、法人代表授权人签字和其它签字处必须加盖具有法律效力的投标人的印章后，投标文件方为有效。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16" w:type="dxa"/>
            <w:tcBorders>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lang w:val="en-US" w:eastAsia="zh-CN"/>
              </w:rPr>
            </w:pPr>
            <w:r>
              <w:rPr>
                <w:rFonts w:hint="eastAsia" w:ascii="宋体" w:hAnsi="宋体" w:cs="宋体"/>
                <w:sz w:val="24"/>
                <w:lang w:val="en-US" w:eastAsia="zh-CN"/>
              </w:rPr>
              <w:t>21</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投标文件的装订</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投标文件以死页</w:t>
            </w:r>
            <w:r>
              <w:rPr>
                <w:rFonts w:hint="eastAsia" w:ascii="宋体" w:hAnsi="宋体" w:cs="宋体"/>
                <w:sz w:val="24"/>
                <w:lang w:eastAsia="zh-CN"/>
              </w:rPr>
              <w:t>胶装</w:t>
            </w:r>
            <w:r>
              <w:rPr>
                <w:rFonts w:hint="eastAsia" w:ascii="宋体" w:hAnsi="宋体" w:cs="宋体"/>
                <w:sz w:val="24"/>
              </w:rPr>
              <w:t>方式装订，必须为不可拆装的方式。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kern w:val="2"/>
                <w:sz w:val="24"/>
                <w:szCs w:val="24"/>
                <w:lang w:val="en-US" w:eastAsia="zh-CN" w:bidi="ar-SA"/>
              </w:rPr>
            </w:pPr>
            <w:r>
              <w:rPr>
                <w:rFonts w:hint="eastAsia" w:ascii="宋体" w:hAnsi="宋体" w:cs="宋体"/>
                <w:bCs/>
                <w:sz w:val="24"/>
              </w:rPr>
              <w:t>2</w:t>
            </w:r>
            <w:r>
              <w:rPr>
                <w:rFonts w:hint="eastAsia" w:ascii="宋体" w:hAnsi="宋体" w:cs="宋体"/>
                <w:bCs/>
                <w:sz w:val="24"/>
                <w:lang w:val="en-US" w:eastAsia="zh-CN"/>
              </w:rPr>
              <w:t>2</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ind w:right="-126" w:rightChars="-60"/>
              <w:jc w:val="center"/>
              <w:rPr>
                <w:rFonts w:ascii="宋体" w:hAnsi="宋体" w:cs="宋体"/>
                <w:b/>
                <w:sz w:val="24"/>
              </w:rPr>
            </w:pPr>
            <w:r>
              <w:rPr>
                <w:rFonts w:hint="eastAsia" w:ascii="宋体" w:hAnsi="宋体" w:cs="宋体"/>
                <w:b/>
                <w:sz w:val="24"/>
              </w:rPr>
              <w:t>投标文件递交地点</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 w:val="24"/>
              </w:rPr>
            </w:pPr>
            <w:r>
              <w:rPr>
                <w:rFonts w:hint="eastAsia" w:ascii="宋体" w:hAnsi="宋体" w:cs="宋体"/>
                <w:sz w:val="24"/>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kern w:val="2"/>
                <w:sz w:val="24"/>
                <w:szCs w:val="24"/>
                <w:lang w:val="en-US" w:eastAsia="zh-CN" w:bidi="ar-SA"/>
              </w:rPr>
            </w:pPr>
            <w:r>
              <w:rPr>
                <w:rFonts w:hint="eastAsia" w:ascii="宋体" w:hAnsi="宋体" w:cs="宋体"/>
                <w:bCs/>
                <w:sz w:val="24"/>
              </w:rPr>
              <w:t>2</w:t>
            </w:r>
            <w:r>
              <w:rPr>
                <w:rFonts w:hint="eastAsia" w:ascii="宋体" w:hAnsi="宋体" w:cs="宋体"/>
                <w:bCs/>
                <w:sz w:val="24"/>
                <w:lang w:val="en-US" w:eastAsia="zh-CN"/>
              </w:rPr>
              <w:t>3</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sz w:val="24"/>
              </w:rPr>
            </w:pPr>
            <w:r>
              <w:rPr>
                <w:rFonts w:hint="eastAsia" w:ascii="宋体" w:hAnsi="宋体" w:cs="宋体"/>
                <w:b/>
                <w:sz w:val="24"/>
              </w:rPr>
              <w:t>投标截止时间</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 w:val="24"/>
                <w:highlight w:val="none"/>
              </w:rPr>
            </w:pPr>
            <w:r>
              <w:rPr>
                <w:rFonts w:hint="eastAsia" w:ascii="宋体" w:hAnsi="宋体" w:cs="宋体"/>
                <w:b/>
                <w:bCs/>
                <w:sz w:val="24"/>
                <w:highlight w:val="none"/>
                <w:u w:val="single"/>
                <w:lang w:val="en-US" w:eastAsia="zh-CN"/>
              </w:rPr>
              <w:t>2023</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18</w:t>
            </w:r>
            <w:r>
              <w:rPr>
                <w:rFonts w:hint="eastAsia" w:ascii="宋体" w:hAnsi="宋体" w:cs="宋体"/>
                <w:b/>
                <w:bCs/>
                <w:sz w:val="24"/>
                <w:highlight w:val="none"/>
                <w:u w:val="single"/>
              </w:rPr>
              <w:t>日1</w:t>
            </w:r>
            <w:r>
              <w:rPr>
                <w:rFonts w:hint="eastAsia" w:ascii="宋体" w:hAnsi="宋体" w:cs="宋体"/>
                <w:b/>
                <w:bCs/>
                <w:sz w:val="24"/>
                <w:highlight w:val="none"/>
                <w:u w:val="single"/>
                <w:lang w:val="en-US" w:eastAsia="zh-CN"/>
              </w:rPr>
              <w:t>0</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0时</w:t>
            </w:r>
            <w:r>
              <w:rPr>
                <w:rFonts w:hint="eastAsia" w:ascii="宋体" w:hAnsi="宋体" w:cs="宋体"/>
                <w:b/>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24</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sz w:val="24"/>
                <w:highlight w:val="none"/>
              </w:rPr>
            </w:pPr>
            <w:r>
              <w:rPr>
                <w:rFonts w:hint="eastAsia" w:ascii="宋体" w:hAnsi="宋体" w:cs="宋体"/>
                <w:b/>
                <w:sz w:val="24"/>
                <w:highlight w:val="none"/>
              </w:rPr>
              <w:t>最高限价</w:t>
            </w:r>
          </w:p>
        </w:tc>
        <w:tc>
          <w:tcPr>
            <w:tcW w:w="684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 w:val="24"/>
                <w:highlight w:val="none"/>
              </w:rPr>
            </w:pPr>
            <w:r>
              <w:rPr>
                <w:rFonts w:hint="eastAsia" w:ascii="宋体" w:hAnsi="宋体" w:cs="宋体"/>
                <w:b/>
                <w:sz w:val="24"/>
                <w:highlight w:val="none"/>
              </w:rPr>
              <w:t>1736600</w:t>
            </w:r>
            <w:r>
              <w:rPr>
                <w:rFonts w:hint="eastAsia" w:ascii="宋体" w:hAnsi="宋体" w:cs="宋体"/>
                <w:b/>
                <w:sz w:val="24"/>
                <w:highlight w:val="none"/>
                <w:lang w:val="en-US" w:eastAsia="zh-CN"/>
              </w:rPr>
              <w:t>.00</w:t>
            </w:r>
            <w:r>
              <w:rPr>
                <w:rFonts w:hint="eastAsia" w:ascii="宋体" w:hAnsi="宋体" w:cs="宋体"/>
                <w:b/>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25</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color w:val="auto"/>
                <w:sz w:val="24"/>
                <w:szCs w:val="24"/>
                <w:lang w:val="en-US" w:eastAsia="zh-CN"/>
              </w:rPr>
              <w:t>评标委员会的组建</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评标委员会构成：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color w:val="auto"/>
                <w:sz w:val="24"/>
                <w:szCs w:val="24"/>
                <w:highlight w:val="none"/>
                <w:lang w:val="en-US" w:eastAsia="zh-CN"/>
              </w:rPr>
              <w:t xml:space="preserve">评标专家确定方式：随机抽取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26</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color w:val="auto"/>
                <w:sz w:val="24"/>
                <w:szCs w:val="24"/>
                <w:lang w:val="en-US" w:eastAsia="zh-CN"/>
              </w:rPr>
              <w:t>成交公示媒介及期限：</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color w:val="auto"/>
                <w:sz w:val="24"/>
                <w:szCs w:val="24"/>
                <w:lang w:val="en-US" w:eastAsia="zh-CN"/>
              </w:rPr>
              <w:t>采购人将成交单位的情况在新疆政府采购网予以公示，公示期限为3日。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27</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招标代理费</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招标代理服务费用按国家计委[2002]1980号文件和国家发改委发改办价格【2003】857号文执行，由</w:t>
            </w:r>
            <w:r>
              <w:rPr>
                <w:rFonts w:hint="eastAsia" w:ascii="宋体" w:hAnsi="宋体" w:cs="宋体"/>
                <w:color w:val="auto"/>
                <w:sz w:val="24"/>
                <w:szCs w:val="24"/>
                <w:lang w:val="en-US" w:eastAsia="zh-CN"/>
              </w:rPr>
              <w:t>中标</w:t>
            </w:r>
            <w:r>
              <w:rPr>
                <w:rFonts w:hint="eastAsia" w:ascii="宋体" w:hAnsi="宋体" w:eastAsia="宋体" w:cs="宋体"/>
                <w:color w:val="auto"/>
                <w:sz w:val="24"/>
                <w:szCs w:val="24"/>
                <w:lang w:val="en-US" w:eastAsia="zh-CN"/>
              </w:rPr>
              <w:t>单位支付招标代理服务费，该费用由投标人计入投标总报价中，不再单独列项。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28</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场地费</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按照相关规定缴纳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29</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响应文件解密时间</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u w:val="single"/>
                <w:lang w:val="en-US" w:eastAsia="zh-CN"/>
              </w:rPr>
              <w:t>响应文件解密时间30分钟；开标前需投标单位用CA证书登录政采云平台开标大厅签到，在30分钟解密时间内输入CA证书PIN码解密响应文件。在30分钟解密时间内未进行解密的投标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30</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供应商报价CA签字确认</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u w:val="single"/>
                <w:lang w:val="en-US" w:eastAsia="zh-CN"/>
              </w:rPr>
              <w:t>报价文件开启后将开启签字时段，供应商须在30分钟内用CA证书对报价进行签字确认。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31</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说明</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u w:val="single"/>
                <w:lang w:val="en-US" w:eastAsia="zh-CN"/>
              </w:rPr>
              <w:t>1.本项目采用政采云平台电子招投标，开标前应由供应商CA证书登录政采云平台提交响应文件，开标无需提供纸质版响应文件，请忽略本采购文件中纸质版标书制作及现场开标相关要求。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u w:val="single"/>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32</w:t>
            </w:r>
          </w:p>
        </w:tc>
        <w:tc>
          <w:tcPr>
            <w:tcW w:w="2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特殊说明</w:t>
            </w:r>
          </w:p>
        </w:tc>
        <w:tc>
          <w:tcPr>
            <w:tcW w:w="6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16" w:type="dxa"/>
            <w:tcBorders>
              <w:left w:val="single" w:color="auto" w:sz="4" w:space="0"/>
              <w:bottom w:val="single" w:color="auto" w:sz="4" w:space="0"/>
              <w:right w:val="single" w:color="auto" w:sz="4" w:space="0"/>
            </w:tcBorders>
            <w:vAlign w:val="center"/>
          </w:tcPr>
          <w:p>
            <w:pPr>
              <w:spacing w:line="276" w:lineRule="auto"/>
              <w:jc w:val="center"/>
              <w:rPr>
                <w:rFonts w:ascii="宋体" w:hAnsi="宋体" w:cs="宋体"/>
                <w:sz w:val="24"/>
                <w:szCs w:val="24"/>
              </w:rPr>
            </w:pPr>
            <w:r>
              <w:rPr>
                <w:rFonts w:hint="eastAsia" w:ascii="宋体" w:hAnsi="宋体" w:cs="宋体"/>
                <w:sz w:val="24"/>
                <w:szCs w:val="24"/>
              </w:rPr>
              <w:t>备注</w:t>
            </w:r>
          </w:p>
        </w:tc>
        <w:tc>
          <w:tcPr>
            <w:tcW w:w="90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sz w:val="24"/>
                <w:szCs w:val="24"/>
              </w:rPr>
            </w:pPr>
            <w:r>
              <w:rPr>
                <w:rFonts w:hint="eastAsia" w:ascii="宋体" w:hAnsi="宋体" w:cs="宋体"/>
                <w:b/>
                <w:sz w:val="24"/>
                <w:szCs w:val="24"/>
              </w:rPr>
              <w:t>投标人应认真阅读招标文件中的每一个条款及要求，因误读招标文件而造成的后果，采购人概不负责。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sz w:val="24"/>
                <w:szCs w:val="24"/>
              </w:rPr>
            </w:pPr>
            <w:r>
              <w:rPr>
                <w:rFonts w:hint="eastAsia" w:ascii="宋体" w:hAnsi="宋体" w:cs="宋体"/>
                <w:b/>
                <w:sz w:val="24"/>
                <w:szCs w:val="24"/>
              </w:rPr>
              <w:t>文件内容若有与本表不符部分，以本表为准。</w:t>
            </w:r>
          </w:p>
        </w:tc>
      </w:tr>
    </w:tbl>
    <w:p>
      <w:pPr>
        <w:adjustRightInd w:val="0"/>
        <w:snapToGrid w:val="0"/>
        <w:spacing w:before="100" w:beforeAutospacing="1" w:after="100" w:afterAutospacing="1"/>
        <w:jc w:val="center"/>
        <w:outlineLvl w:val="0"/>
        <w:rPr>
          <w:b/>
          <w:sz w:val="32"/>
          <w:szCs w:val="32"/>
        </w:rPr>
      </w:pPr>
      <w:r>
        <w:rPr>
          <w:sz w:val="24"/>
        </w:rPr>
        <w:br w:type="page"/>
      </w:r>
      <w:bookmarkStart w:id="1" w:name="_Toc6320"/>
      <w:r>
        <w:rPr>
          <w:b/>
          <w:sz w:val="32"/>
          <w:szCs w:val="32"/>
        </w:rPr>
        <w:t>第二部分  投标人须知</w:t>
      </w:r>
      <w:bookmarkEnd w:id="1"/>
    </w:p>
    <w:p>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1、适用范围</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是采购人在本项目投标过程中的规范性文件，仅适用于本次招标中所叙述项目的服务采购等内容。和采购人组织的答疑纪要一起是各投标人（以下简称投标人）编制投标文件的依据，也是采购人与中标人签订合同的依据，并作为项目合同的附件之一，与本合同具有同等的法律效力（除非合同另有约定的部分，以正式合同内容为准）。</w:t>
      </w:r>
    </w:p>
    <w:p>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2、定义</w:t>
      </w:r>
    </w:p>
    <w:p>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下列术语和缩写的定义为：</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en-US"/>
          <w14:textFill>
            <w14:solidFill>
              <w14:schemeClr w14:val="tx1"/>
            </w14:solidFill>
          </w14:textFill>
        </w:rPr>
        <w:t>2.1</w:t>
      </w:r>
      <w:r>
        <w:rPr>
          <w:rFonts w:hint="eastAsia" w:ascii="宋体" w:hAnsi="宋体" w:cs="宋体"/>
          <w:color w:val="000000" w:themeColor="text1"/>
          <w:sz w:val="24"/>
          <w:lang w:bidi="zh-CN"/>
          <w14:textFill>
            <w14:solidFill>
              <w14:schemeClr w14:val="tx1"/>
            </w14:solidFill>
          </w14:textFill>
        </w:rPr>
        <w:t>“采购人”系指对本招标</w:t>
      </w:r>
      <w:r>
        <w:rPr>
          <w:rFonts w:hint="eastAsia" w:ascii="宋体" w:hAnsi="宋体" w:cs="宋体"/>
          <w:color w:val="000000" w:themeColor="text1"/>
          <w:sz w:val="24"/>
          <w14:textFill>
            <w14:solidFill>
              <w14:schemeClr w14:val="tx1"/>
            </w14:solidFill>
          </w14:textFill>
        </w:rPr>
        <w:t>文件</w:t>
      </w:r>
      <w:r>
        <w:rPr>
          <w:rFonts w:hint="eastAsia" w:ascii="宋体" w:hAnsi="宋体" w:cs="宋体"/>
          <w:color w:val="000000" w:themeColor="text1"/>
          <w:sz w:val="24"/>
          <w:lang w:bidi="zh-CN"/>
          <w14:textFill>
            <w14:solidFill>
              <w14:schemeClr w14:val="tx1"/>
            </w14:solidFill>
          </w14:textFill>
        </w:rPr>
        <w:t>中所列服务有需求的</w:t>
      </w:r>
      <w:r>
        <w:rPr>
          <w:rFonts w:hint="eastAsia" w:ascii="宋体" w:hAnsi="宋体" w:cs="宋体"/>
          <w:b/>
          <w:bCs/>
          <w:color w:val="000000" w:themeColor="text1"/>
          <w:sz w:val="24"/>
          <w:lang w:bidi="zh-CN"/>
          <w14:textFill>
            <w14:solidFill>
              <w14:schemeClr w14:val="tx1"/>
            </w14:solidFill>
          </w14:textFill>
        </w:rPr>
        <w:t>新和县林业和草原局</w:t>
      </w:r>
      <w:r>
        <w:rPr>
          <w:rFonts w:hint="eastAsia" w:ascii="宋体" w:hAnsi="宋体" w:cs="宋体"/>
          <w:b/>
          <w:color w:val="000000" w:themeColor="text1"/>
          <w:sz w:val="24"/>
          <w:lang w:bidi="zh-CN"/>
          <w14:textFill>
            <w14:solidFill>
              <w14:schemeClr w14:val="tx1"/>
            </w14:solidFill>
          </w14:textFill>
        </w:rPr>
        <w:t>；</w:t>
      </w:r>
      <w:r>
        <w:rPr>
          <w:rFonts w:hint="eastAsia" w:ascii="宋体" w:hAnsi="宋体" w:cs="宋体"/>
          <w:color w:val="000000" w:themeColor="text1"/>
          <w:sz w:val="24"/>
          <w:lang w:bidi="zh-CN"/>
          <w14:textFill>
            <w14:solidFill>
              <w14:schemeClr w14:val="tx1"/>
            </w14:solidFill>
          </w14:textFill>
        </w:rPr>
        <w:t>“投标人”系指符合</w:t>
      </w:r>
      <w:r>
        <w:rPr>
          <w:rFonts w:hint="eastAsia" w:ascii="宋体" w:hAnsi="宋体" w:cs="宋体"/>
          <w:color w:val="000000" w:themeColor="text1"/>
          <w:sz w:val="24"/>
          <w14:textFill>
            <w14:solidFill>
              <w14:schemeClr w14:val="tx1"/>
            </w14:solidFill>
          </w14:textFill>
        </w:rPr>
        <w:t>招标</w:t>
      </w:r>
      <w:r>
        <w:rPr>
          <w:rFonts w:hint="eastAsia" w:ascii="宋体" w:hAnsi="宋体" w:cs="宋体"/>
          <w:color w:val="000000" w:themeColor="text1"/>
          <w:sz w:val="24"/>
          <w:lang w:bidi="zh-CN"/>
          <w14:textFill>
            <w14:solidFill>
              <w14:schemeClr w14:val="tx1"/>
            </w14:solidFill>
          </w14:textFill>
        </w:rPr>
        <w:t>文件要求并且通过资格审查进入</w:t>
      </w:r>
      <w:r>
        <w:rPr>
          <w:rFonts w:hint="eastAsia" w:ascii="宋体" w:hAnsi="宋体" w:cs="宋体"/>
          <w:color w:val="000000" w:themeColor="text1"/>
          <w:sz w:val="24"/>
          <w14:textFill>
            <w14:solidFill>
              <w14:schemeClr w14:val="tx1"/>
            </w14:solidFill>
          </w14:textFill>
        </w:rPr>
        <w:t>招标</w:t>
      </w:r>
      <w:r>
        <w:rPr>
          <w:rFonts w:hint="eastAsia" w:ascii="宋体" w:hAnsi="宋体" w:cs="宋体"/>
          <w:color w:val="000000" w:themeColor="text1"/>
          <w:sz w:val="24"/>
          <w:lang w:bidi="zh-CN"/>
          <w14:textFill>
            <w14:solidFill>
              <w14:schemeClr w14:val="tx1"/>
            </w14:solidFill>
          </w14:textFill>
        </w:rPr>
        <w:t>程序的投标人；“采购代理机构”系指</w:t>
      </w:r>
      <w:r>
        <w:rPr>
          <w:rFonts w:hint="eastAsia" w:ascii="宋体" w:hAnsi="宋体" w:cs="宋体"/>
          <w:b/>
          <w:bCs/>
          <w:color w:val="000000" w:themeColor="text1"/>
          <w:sz w:val="24"/>
          <w:lang w:bidi="zh-CN"/>
          <w14:textFill>
            <w14:solidFill>
              <w14:schemeClr w14:val="tx1"/>
            </w14:solidFill>
          </w14:textFill>
        </w:rPr>
        <w:t>新疆乾明臻合项目管理有限责任公司</w:t>
      </w:r>
      <w:r>
        <w:rPr>
          <w:rFonts w:hint="eastAsia" w:ascii="宋体" w:hAnsi="宋体" w:cs="宋体"/>
          <w:color w:val="000000" w:themeColor="text1"/>
          <w:sz w:val="24"/>
          <w:lang w:bidi="zh-CN"/>
          <w14:textFill>
            <w14:solidFill>
              <w14:schemeClr w14:val="tx1"/>
            </w14:solidFill>
          </w14:textFill>
        </w:rPr>
        <w:t>；“投标文件”系指投标人为响应</w:t>
      </w:r>
      <w:r>
        <w:rPr>
          <w:rFonts w:hint="eastAsia" w:ascii="宋体" w:hAnsi="宋体" w:cs="宋体"/>
          <w:color w:val="000000" w:themeColor="text1"/>
          <w:sz w:val="24"/>
          <w14:textFill>
            <w14:solidFill>
              <w14:schemeClr w14:val="tx1"/>
            </w14:solidFill>
          </w14:textFill>
        </w:rPr>
        <w:t>招标</w:t>
      </w:r>
      <w:r>
        <w:rPr>
          <w:rFonts w:hint="eastAsia" w:ascii="宋体" w:hAnsi="宋体" w:cs="宋体"/>
          <w:color w:val="000000" w:themeColor="text1"/>
          <w:sz w:val="24"/>
          <w:lang w:bidi="zh-CN"/>
          <w14:textFill>
            <w14:solidFill>
              <w14:schemeClr w14:val="tx1"/>
            </w14:solidFill>
          </w14:textFill>
        </w:rPr>
        <w:t>文件而编制、递交的投标文件。</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zh-CN"/>
          <w14:textFill>
            <w14:solidFill>
              <w14:schemeClr w14:val="tx1"/>
            </w14:solidFill>
          </w14:textFill>
        </w:rPr>
        <w:t>2.2“买方”系</w:t>
      </w:r>
      <w:r>
        <w:rPr>
          <w:rFonts w:hint="eastAsia" w:ascii="宋体" w:hAnsi="宋体" w:cs="宋体"/>
          <w:b/>
          <w:bCs/>
          <w:color w:val="000000" w:themeColor="text1"/>
          <w:sz w:val="24"/>
          <w:lang w:bidi="zh-CN"/>
          <w14:textFill>
            <w14:solidFill>
              <w14:schemeClr w14:val="tx1"/>
            </w14:solidFill>
          </w14:textFill>
        </w:rPr>
        <w:t>新和县林业和草原局</w:t>
      </w:r>
      <w:r>
        <w:rPr>
          <w:rFonts w:hint="eastAsia" w:ascii="宋体" w:hAnsi="宋体" w:cs="宋体"/>
          <w:color w:val="000000" w:themeColor="text1"/>
          <w:sz w:val="24"/>
          <w:lang w:bidi="zh-CN"/>
          <w14:textFill>
            <w14:solidFill>
              <w14:schemeClr w14:val="tx1"/>
            </w14:solidFill>
          </w14:textFill>
        </w:rPr>
        <w:t>，“卖方”系指中标投标人。</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zh-CN"/>
          <w14:textFill>
            <w14:solidFill>
              <w14:schemeClr w14:val="tx1"/>
            </w14:solidFill>
          </w14:textFill>
        </w:rPr>
        <w:t>2.3“合同”系指买卖双方签署规定的，买卖双方权利与义务的协议，以及所有的附件、附录和投标文件所提到的构成合同的所有文件。</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zh-CN"/>
          <w14:textFill>
            <w14:solidFill>
              <w14:schemeClr w14:val="tx1"/>
            </w14:solidFill>
          </w14:textFill>
        </w:rPr>
        <w:t>2.4“服务”系指根据本合同规定卖方必须承担相关服务工作以及其他类似的附随义务。</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zh-CN"/>
          <w14:textFill>
            <w14:solidFill>
              <w14:schemeClr w14:val="tx1"/>
            </w14:solidFill>
          </w14:textFill>
        </w:rPr>
        <w:t>2.5“附随服务”系指根据本合同规定卖方必须承担与服务有关的辅助服务，以及合同中规定卖方应承担的义务，以及合同中未规定，但有利于合同履行原则，应当由卖方承担的其它义务。</w:t>
      </w:r>
    </w:p>
    <w:p>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3、投标费用</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无论投标结果如何，与参与招标、投标活动有关的所有费用将由投标人自行承担。</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投标人被视为熟悉本采购项目的各种情况以及履行合同有关的一切情况。</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投标人应承担其编制投标文件与递交投标文件所涉及的一切费用，不论投标结果如何，采购人对上述费用不做任何补偿。</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  与相关联工作间的联系协调工作，如有费用发生已包含在投标价格内。</w:t>
      </w:r>
    </w:p>
    <w:p>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4、招标文件的构成</w:t>
      </w:r>
    </w:p>
    <w:p>
      <w:pPr>
        <w:adjustRightIn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4.1招标文件由下述部分组成</w:t>
      </w:r>
    </w:p>
    <w:p>
      <w:pPr>
        <w:overflowPunct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第一部分  招标公告</w:t>
      </w:r>
    </w:p>
    <w:p>
      <w:pPr>
        <w:overflowPunct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第二部分  招标说明</w:t>
      </w:r>
    </w:p>
    <w:p>
      <w:pPr>
        <w:overflowPunct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第三部分  投标说明</w:t>
      </w:r>
    </w:p>
    <w:p>
      <w:pPr>
        <w:overflowPunct w:val="0"/>
        <w:spacing w:line="360" w:lineRule="auto"/>
        <w:ind w:firstLine="960" w:firstLineChars="4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第四部分  </w:t>
      </w:r>
      <w:r>
        <w:rPr>
          <w:rFonts w:hint="eastAsia" w:ascii="宋体" w:hAnsi="宋体" w:cs="宋体"/>
          <w:color w:val="000000" w:themeColor="text1"/>
          <w:sz w:val="24"/>
          <w:lang w:eastAsia="zh-CN"/>
          <w14:textFill>
            <w14:solidFill>
              <w14:schemeClr w14:val="tx1"/>
            </w14:solidFill>
          </w14:textFill>
        </w:rPr>
        <w:t>采购需求</w:t>
      </w:r>
    </w:p>
    <w:p>
      <w:pPr>
        <w:overflowPunct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第五部分  合同条款</w:t>
      </w:r>
    </w:p>
    <w:p>
      <w:pPr>
        <w:overflowPunct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第六部分  附 表</w:t>
      </w:r>
    </w:p>
    <w:p>
      <w:pPr>
        <w:overflowPunct w:val="0"/>
        <w:spacing w:line="360" w:lineRule="auto"/>
        <w:ind w:firstLine="960" w:firstLineChars="4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第七部分  </w:t>
      </w:r>
      <w:r>
        <w:rPr>
          <w:rFonts w:hint="eastAsia" w:ascii="宋体" w:hAnsi="宋体" w:cs="宋体"/>
          <w:color w:val="000000" w:themeColor="text1"/>
          <w:sz w:val="24"/>
          <w:lang w:bidi="zh-CN"/>
          <w14:textFill>
            <w14:solidFill>
              <w14:schemeClr w14:val="tx1"/>
            </w14:solidFill>
          </w14:textFill>
        </w:rPr>
        <w:t>评定办法和细则</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zh-CN"/>
          <w14:textFill>
            <w14:solidFill>
              <w14:schemeClr w14:val="tx1"/>
            </w14:solidFill>
          </w14:textFill>
        </w:rPr>
        <w:t>4.2 一切有效的招标文件的澄清和修改的书面文件均是招标文件不可分割的部分。</w:t>
      </w:r>
    </w:p>
    <w:p>
      <w:pPr>
        <w:pStyle w:val="37"/>
        <w:adjustRightInd w:val="0"/>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5、招标文件的澄清</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5.1招标文件中的标题或题名仅起引导作用，而不应视为对招标文件内容的理解和解释。</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5.2除非有特殊要求，招标文件不单独提供招标服务使用地的自然环境、气候条件、公用设施等情况，投标人被视为熟悉上述与履行合同有关的一切情况。</w:t>
      </w:r>
    </w:p>
    <w:p>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5.3招标文件的解释权归招标人和招标代理机构。</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任何要求对招标文件进行澄清的投标人，均应将需澄清的内容以书面形式或扫描件送达采购代理机构，采购代理机构将予以答复（答复中不包括问题的来源），答复内容将发送投标人联系邮箱，不再另行通知，请各投标人务必关注联系邮箱，否则，所造成的一切风险由投标人自行承担。</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5.5为了使投标人</w:t>
      </w:r>
      <w:r>
        <w:rPr>
          <w:rFonts w:hint="eastAsia" w:ascii="宋体" w:hAnsi="宋体" w:cs="宋体"/>
          <w:color w:val="000000" w:themeColor="text1"/>
          <w:sz w:val="24"/>
          <w:lang w:bidi="zh-CN"/>
          <w14:textFill>
            <w14:solidFill>
              <w14:schemeClr w14:val="tx1"/>
            </w14:solidFill>
          </w14:textFill>
        </w:rPr>
        <w:t>有足够的时间准备投标文件，各投标人</w:t>
      </w:r>
      <w:r>
        <w:rPr>
          <w:rFonts w:hint="eastAsia" w:ascii="宋体" w:hAnsi="宋体" w:cs="宋体"/>
          <w:b/>
          <w:sz w:val="24"/>
          <w:u w:val="single"/>
          <w:lang w:bidi="zh-CN"/>
        </w:rPr>
        <w:t>应当在投标截止时间10日前提出</w:t>
      </w:r>
      <w:r>
        <w:rPr>
          <w:rFonts w:hint="eastAsia" w:ascii="宋体" w:hAnsi="宋体" w:cs="宋体"/>
          <w:color w:val="000000" w:themeColor="text1"/>
          <w:sz w:val="24"/>
          <w:lang w:bidi="zh-CN"/>
          <w14:textFill>
            <w14:solidFill>
              <w14:schemeClr w14:val="tx1"/>
            </w14:solidFill>
          </w14:textFill>
        </w:rPr>
        <w:t>(超过该时间收到的需澄清的内容，采购代理机构有权不予答复），准备需澄清的内容，以书面形式送达采购代理机构。</w:t>
      </w:r>
    </w:p>
    <w:p>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6、招标文件的修改或补充</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en-US"/>
          <w14:textFill>
            <w14:solidFill>
              <w14:schemeClr w14:val="tx1"/>
            </w14:solidFill>
          </w14:textFill>
        </w:rPr>
        <w:t>6.1</w:t>
      </w:r>
      <w:r>
        <w:rPr>
          <w:rFonts w:hint="eastAsia" w:ascii="宋体" w:hAnsi="宋体" w:cs="宋体"/>
          <w:color w:val="000000" w:themeColor="text1"/>
          <w:sz w:val="24"/>
          <w:lang w:bidi="zh-CN"/>
          <w14:textFill>
            <w14:solidFill>
              <w14:schemeClr w14:val="tx1"/>
            </w14:solidFill>
          </w14:textFill>
        </w:rPr>
        <w:t>特殊情形的，在递交投标文件截止期15日前，采购代理机构可主动地或在解答投标人提出的澄清问题时对招标文件进行澄清和修改。</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zh-CN"/>
          <w14:textFill>
            <w14:solidFill>
              <w14:schemeClr w14:val="tx1"/>
            </w14:solidFill>
          </w14:textFill>
        </w:rPr>
        <w:t>6.2招标文件的澄清和修改将以书面公布的形式通知所有购买招标文件的投标人，并对其具有约束力。</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zh-CN"/>
          <w14:textFill>
            <w14:solidFill>
              <w14:schemeClr w14:val="tx1"/>
            </w14:solidFill>
          </w14:textFill>
        </w:rPr>
        <w:t>6.3为使投标人在准备投标文件时有充分的时间对招标文件的澄清和修改部分进行研究，采购代理机构可在递交投标文件截止期15日前通知投标人，适当延长递交投标文件截止期。</w:t>
      </w:r>
    </w:p>
    <w:p>
      <w:pPr>
        <w:overflowPunct w:val="0"/>
        <w:spacing w:line="360" w:lineRule="auto"/>
        <w:ind w:firstLine="480" w:firstLineChars="200"/>
        <w:rPr>
          <w:rFonts w:ascii="宋体" w:hAnsi="宋体" w:cs="宋体"/>
          <w:color w:val="000000" w:themeColor="text1"/>
          <w:sz w:val="24"/>
          <w:lang w:bidi="zh-CN"/>
          <w14:textFill>
            <w14:solidFill>
              <w14:schemeClr w14:val="tx1"/>
            </w14:solidFill>
          </w14:textFill>
        </w:rPr>
      </w:pPr>
      <w:r>
        <w:rPr>
          <w:rFonts w:hint="eastAsia" w:ascii="宋体" w:hAnsi="宋体" w:cs="宋体"/>
          <w:color w:val="000000" w:themeColor="text1"/>
          <w:sz w:val="24"/>
          <w:lang w:bidi="en-US"/>
          <w14:textFill>
            <w14:solidFill>
              <w14:schemeClr w14:val="tx1"/>
            </w14:solidFill>
          </w14:textFill>
        </w:rPr>
        <w:t>6.4</w:t>
      </w:r>
      <w:r>
        <w:rPr>
          <w:rFonts w:hint="eastAsia" w:ascii="宋体" w:hAnsi="宋体" w:cs="宋体"/>
          <w:color w:val="000000" w:themeColor="text1"/>
          <w:sz w:val="24"/>
          <w:lang w:bidi="zh-CN"/>
          <w14:textFill>
            <w14:solidFill>
              <w14:schemeClr w14:val="tx1"/>
            </w14:solidFill>
          </w14:textFill>
        </w:rPr>
        <w:t>招标文件的澄清和修改文件是招标文件的组成部分，投标人需按照招标文件的澄清和修改文件的要求参与招标，投标人没有作出实质性响应是投标人的风险，并可能导致其投标文件被拒绝。</w:t>
      </w:r>
    </w:p>
    <w:p>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7、索赔</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投标人提供的</w:t>
      </w:r>
      <w:r>
        <w:rPr>
          <w:rFonts w:hint="eastAsia" w:ascii="宋体" w:hAnsi="宋体" w:cs="宋体"/>
          <w:color w:val="000000" w:themeColor="text1"/>
          <w:sz w:val="24"/>
          <w:lang w:bidi="zh-CN"/>
          <w14:textFill>
            <w14:solidFill>
              <w14:schemeClr w14:val="tx1"/>
            </w14:solidFill>
          </w14:textFill>
        </w:rPr>
        <w:t>服务</w:t>
      </w:r>
      <w:r>
        <w:rPr>
          <w:rFonts w:hint="eastAsia" w:ascii="宋体" w:hAnsi="宋体" w:cs="宋体"/>
          <w:color w:val="000000" w:themeColor="text1"/>
          <w:sz w:val="24"/>
          <w14:textFill>
            <w14:solidFill>
              <w14:schemeClr w14:val="tx1"/>
            </w14:solidFill>
          </w14:textFill>
        </w:rPr>
        <w:t>未能达到标书规定的要求，或者有明显缺陷，采购人将保留索赔的权利。</w:t>
      </w:r>
    </w:p>
    <w:p>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8、验收</w:t>
      </w:r>
    </w:p>
    <w:p>
      <w:pPr>
        <w:overflowPunct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  验收标准，按国家，行业技术标准和规范验收。</w:t>
      </w:r>
    </w:p>
    <w:p>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9、代理服务费</w:t>
      </w:r>
    </w:p>
    <w:p>
      <w:pPr>
        <w:overflowPunct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服务费收费标准依据国家发展计划委员会文件（计价格[2002]1980号文）和（发改办价格[2003]857号文件）执行，由中标人支付。</w:t>
      </w:r>
    </w:p>
    <w:p>
      <w:pPr>
        <w:spacing w:line="360" w:lineRule="auto"/>
        <w:jc w:val="center"/>
        <w:rPr>
          <w:sz w:val="24"/>
        </w:rPr>
      </w:pPr>
      <w:r>
        <w:rPr>
          <w:sz w:val="24"/>
        </w:rPr>
        <w:t>招标代理收费标准</w:t>
      </w:r>
    </w:p>
    <w:tbl>
      <w:tblPr>
        <w:tblStyle w:val="26"/>
        <w:tblW w:w="9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99"/>
        <w:gridCol w:w="2174"/>
        <w:gridCol w:w="2175"/>
        <w:gridCol w:w="21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2999" w:type="dxa"/>
            <w:tcBorders>
              <w:tl2br w:val="single" w:color="auto" w:sz="4" w:space="0"/>
            </w:tcBorders>
          </w:tcPr>
          <w:p>
            <w:pPr>
              <w:snapToGrid w:val="0"/>
              <w:spacing w:line="360" w:lineRule="auto"/>
              <w:rPr>
                <w:bCs/>
                <w:sz w:val="24"/>
              </w:rPr>
            </w:pPr>
            <w:r>
              <w:rPr>
                <w:bCs/>
                <w:sz w:val="24"/>
              </w:rPr>
              <w:t xml:space="preserve">             招标类别</w:t>
            </w:r>
          </w:p>
          <w:p>
            <w:pPr>
              <w:snapToGrid w:val="0"/>
              <w:spacing w:line="360" w:lineRule="auto"/>
              <w:rPr>
                <w:bCs/>
                <w:sz w:val="24"/>
              </w:rPr>
            </w:pPr>
            <w:r>
              <w:rPr>
                <w:bCs/>
                <w:sz w:val="24"/>
              </w:rPr>
              <w:t>中标价（万）</w:t>
            </w:r>
          </w:p>
        </w:tc>
        <w:tc>
          <w:tcPr>
            <w:tcW w:w="2174" w:type="dxa"/>
            <w:vAlign w:val="center"/>
          </w:tcPr>
          <w:p>
            <w:pPr>
              <w:snapToGrid w:val="0"/>
              <w:spacing w:line="360" w:lineRule="auto"/>
              <w:jc w:val="center"/>
              <w:rPr>
                <w:bCs/>
                <w:sz w:val="24"/>
              </w:rPr>
            </w:pPr>
            <w:r>
              <w:rPr>
                <w:bCs/>
                <w:sz w:val="24"/>
              </w:rPr>
              <w:t>货物招标取费标准</w:t>
            </w:r>
          </w:p>
        </w:tc>
        <w:tc>
          <w:tcPr>
            <w:tcW w:w="2175" w:type="dxa"/>
            <w:vAlign w:val="center"/>
          </w:tcPr>
          <w:p>
            <w:pPr>
              <w:snapToGrid w:val="0"/>
              <w:spacing w:line="360" w:lineRule="auto"/>
              <w:jc w:val="center"/>
              <w:rPr>
                <w:bCs/>
                <w:sz w:val="24"/>
              </w:rPr>
            </w:pPr>
            <w:r>
              <w:rPr>
                <w:bCs/>
                <w:sz w:val="24"/>
              </w:rPr>
              <w:t>服务招标取费标准</w:t>
            </w:r>
          </w:p>
        </w:tc>
        <w:tc>
          <w:tcPr>
            <w:tcW w:w="2175" w:type="dxa"/>
            <w:vAlign w:val="center"/>
          </w:tcPr>
          <w:p>
            <w:pPr>
              <w:snapToGrid w:val="0"/>
              <w:spacing w:line="360" w:lineRule="auto"/>
              <w:jc w:val="center"/>
              <w:rPr>
                <w:bCs/>
                <w:sz w:val="24"/>
              </w:rPr>
            </w:pPr>
            <w:r>
              <w:rPr>
                <w:bCs/>
                <w:sz w:val="24"/>
              </w:rPr>
              <w:t>工程招标取费标准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100以下</w:t>
            </w:r>
          </w:p>
        </w:tc>
        <w:tc>
          <w:tcPr>
            <w:tcW w:w="2174" w:type="dxa"/>
          </w:tcPr>
          <w:p>
            <w:pPr>
              <w:snapToGrid w:val="0"/>
              <w:spacing w:line="360" w:lineRule="auto"/>
              <w:jc w:val="center"/>
              <w:rPr>
                <w:bCs/>
                <w:sz w:val="24"/>
              </w:rPr>
            </w:pPr>
            <w:r>
              <w:rPr>
                <w:bCs/>
                <w:sz w:val="24"/>
              </w:rPr>
              <w:t>1.5%</w:t>
            </w:r>
          </w:p>
        </w:tc>
        <w:tc>
          <w:tcPr>
            <w:tcW w:w="2175" w:type="dxa"/>
          </w:tcPr>
          <w:p>
            <w:pPr>
              <w:snapToGrid w:val="0"/>
              <w:spacing w:line="360" w:lineRule="auto"/>
              <w:jc w:val="center"/>
              <w:rPr>
                <w:bCs/>
                <w:sz w:val="24"/>
              </w:rPr>
            </w:pPr>
            <w:r>
              <w:rPr>
                <w:bCs/>
                <w:sz w:val="24"/>
              </w:rPr>
              <w:t>1.5%</w:t>
            </w:r>
          </w:p>
        </w:tc>
        <w:tc>
          <w:tcPr>
            <w:tcW w:w="2175" w:type="dxa"/>
          </w:tcPr>
          <w:p>
            <w:pPr>
              <w:snapToGrid w:val="0"/>
              <w:spacing w:line="360" w:lineRule="auto"/>
              <w:jc w:val="center"/>
              <w:rPr>
                <w:bCs/>
                <w:sz w:val="24"/>
              </w:rPr>
            </w:pPr>
            <w:r>
              <w:rPr>
                <w:bCs/>
                <w:sz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100-500</w:t>
            </w:r>
          </w:p>
        </w:tc>
        <w:tc>
          <w:tcPr>
            <w:tcW w:w="2174" w:type="dxa"/>
          </w:tcPr>
          <w:p>
            <w:pPr>
              <w:snapToGrid w:val="0"/>
              <w:spacing w:line="360" w:lineRule="auto"/>
              <w:jc w:val="center"/>
              <w:rPr>
                <w:bCs/>
                <w:sz w:val="24"/>
              </w:rPr>
            </w:pPr>
            <w:r>
              <w:rPr>
                <w:bCs/>
                <w:sz w:val="24"/>
              </w:rPr>
              <w:t>1.1%</w:t>
            </w:r>
          </w:p>
        </w:tc>
        <w:tc>
          <w:tcPr>
            <w:tcW w:w="2175" w:type="dxa"/>
          </w:tcPr>
          <w:p>
            <w:pPr>
              <w:snapToGrid w:val="0"/>
              <w:spacing w:line="360" w:lineRule="auto"/>
              <w:jc w:val="center"/>
              <w:rPr>
                <w:bCs/>
                <w:sz w:val="24"/>
              </w:rPr>
            </w:pPr>
            <w:r>
              <w:rPr>
                <w:bCs/>
                <w:sz w:val="24"/>
              </w:rPr>
              <w:t>0.8%</w:t>
            </w:r>
          </w:p>
        </w:tc>
        <w:tc>
          <w:tcPr>
            <w:tcW w:w="2175" w:type="dxa"/>
          </w:tcPr>
          <w:p>
            <w:pPr>
              <w:snapToGrid w:val="0"/>
              <w:spacing w:line="360" w:lineRule="auto"/>
              <w:jc w:val="center"/>
              <w:rPr>
                <w:bCs/>
                <w:sz w:val="24"/>
              </w:rPr>
            </w:pPr>
            <w:r>
              <w:rPr>
                <w:bCs/>
                <w:sz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500-1000</w:t>
            </w:r>
          </w:p>
        </w:tc>
        <w:tc>
          <w:tcPr>
            <w:tcW w:w="2174" w:type="dxa"/>
          </w:tcPr>
          <w:p>
            <w:pPr>
              <w:snapToGrid w:val="0"/>
              <w:spacing w:line="360" w:lineRule="auto"/>
              <w:jc w:val="center"/>
              <w:rPr>
                <w:bCs/>
                <w:sz w:val="24"/>
              </w:rPr>
            </w:pPr>
            <w:r>
              <w:rPr>
                <w:bCs/>
                <w:sz w:val="24"/>
              </w:rPr>
              <w:t>0.8%</w:t>
            </w:r>
          </w:p>
        </w:tc>
        <w:tc>
          <w:tcPr>
            <w:tcW w:w="2175" w:type="dxa"/>
          </w:tcPr>
          <w:p>
            <w:pPr>
              <w:snapToGrid w:val="0"/>
              <w:spacing w:line="360" w:lineRule="auto"/>
              <w:jc w:val="center"/>
              <w:rPr>
                <w:bCs/>
                <w:sz w:val="24"/>
              </w:rPr>
            </w:pPr>
            <w:r>
              <w:rPr>
                <w:bCs/>
                <w:sz w:val="24"/>
              </w:rPr>
              <w:t>0.45%</w:t>
            </w:r>
          </w:p>
        </w:tc>
        <w:tc>
          <w:tcPr>
            <w:tcW w:w="2175" w:type="dxa"/>
          </w:tcPr>
          <w:p>
            <w:pPr>
              <w:snapToGrid w:val="0"/>
              <w:spacing w:line="360" w:lineRule="auto"/>
              <w:jc w:val="center"/>
              <w:rPr>
                <w:bCs/>
                <w:sz w:val="24"/>
              </w:rPr>
            </w:pPr>
            <w:r>
              <w:rPr>
                <w:bCs/>
                <w:sz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1000-5000</w:t>
            </w:r>
          </w:p>
        </w:tc>
        <w:tc>
          <w:tcPr>
            <w:tcW w:w="2174" w:type="dxa"/>
          </w:tcPr>
          <w:p>
            <w:pPr>
              <w:snapToGrid w:val="0"/>
              <w:spacing w:line="360" w:lineRule="auto"/>
              <w:jc w:val="center"/>
              <w:rPr>
                <w:bCs/>
                <w:sz w:val="24"/>
              </w:rPr>
            </w:pPr>
            <w:r>
              <w:rPr>
                <w:bCs/>
                <w:sz w:val="24"/>
              </w:rPr>
              <w:t>0.5%</w:t>
            </w:r>
          </w:p>
        </w:tc>
        <w:tc>
          <w:tcPr>
            <w:tcW w:w="2175" w:type="dxa"/>
          </w:tcPr>
          <w:p>
            <w:pPr>
              <w:snapToGrid w:val="0"/>
              <w:spacing w:line="360" w:lineRule="auto"/>
              <w:jc w:val="center"/>
              <w:rPr>
                <w:bCs/>
                <w:sz w:val="24"/>
              </w:rPr>
            </w:pPr>
            <w:r>
              <w:rPr>
                <w:bCs/>
                <w:sz w:val="24"/>
              </w:rPr>
              <w:t>0.25%</w:t>
            </w:r>
          </w:p>
        </w:tc>
        <w:tc>
          <w:tcPr>
            <w:tcW w:w="2175" w:type="dxa"/>
          </w:tcPr>
          <w:p>
            <w:pPr>
              <w:snapToGrid w:val="0"/>
              <w:spacing w:line="360" w:lineRule="auto"/>
              <w:jc w:val="center"/>
              <w:rPr>
                <w:bCs/>
                <w:sz w:val="24"/>
              </w:rPr>
            </w:pPr>
            <w:r>
              <w:rPr>
                <w:bCs/>
                <w:sz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5000-10000</w:t>
            </w:r>
          </w:p>
        </w:tc>
        <w:tc>
          <w:tcPr>
            <w:tcW w:w="2174" w:type="dxa"/>
          </w:tcPr>
          <w:p>
            <w:pPr>
              <w:snapToGrid w:val="0"/>
              <w:spacing w:line="360" w:lineRule="auto"/>
              <w:jc w:val="center"/>
              <w:rPr>
                <w:bCs/>
                <w:sz w:val="24"/>
              </w:rPr>
            </w:pPr>
            <w:r>
              <w:rPr>
                <w:bCs/>
                <w:sz w:val="24"/>
              </w:rPr>
              <w:t>0.25%</w:t>
            </w:r>
          </w:p>
        </w:tc>
        <w:tc>
          <w:tcPr>
            <w:tcW w:w="2175" w:type="dxa"/>
          </w:tcPr>
          <w:p>
            <w:pPr>
              <w:snapToGrid w:val="0"/>
              <w:spacing w:line="360" w:lineRule="auto"/>
              <w:jc w:val="center"/>
              <w:rPr>
                <w:bCs/>
                <w:sz w:val="24"/>
              </w:rPr>
            </w:pPr>
            <w:r>
              <w:rPr>
                <w:bCs/>
                <w:sz w:val="24"/>
              </w:rPr>
              <w:t>0.1%</w:t>
            </w:r>
          </w:p>
        </w:tc>
        <w:tc>
          <w:tcPr>
            <w:tcW w:w="2175" w:type="dxa"/>
          </w:tcPr>
          <w:p>
            <w:pPr>
              <w:snapToGrid w:val="0"/>
              <w:spacing w:line="360" w:lineRule="auto"/>
              <w:jc w:val="center"/>
              <w:rPr>
                <w:bCs/>
                <w:sz w:val="24"/>
              </w:rPr>
            </w:pPr>
            <w:r>
              <w:rPr>
                <w:bCs/>
                <w:sz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10000-100000</w:t>
            </w:r>
          </w:p>
        </w:tc>
        <w:tc>
          <w:tcPr>
            <w:tcW w:w="2174" w:type="dxa"/>
          </w:tcPr>
          <w:p>
            <w:pPr>
              <w:snapToGrid w:val="0"/>
              <w:spacing w:line="360" w:lineRule="auto"/>
              <w:jc w:val="center"/>
              <w:rPr>
                <w:bCs/>
                <w:sz w:val="24"/>
              </w:rPr>
            </w:pPr>
            <w:r>
              <w:rPr>
                <w:bCs/>
                <w:sz w:val="24"/>
              </w:rPr>
              <w:t>0.05%</w:t>
            </w:r>
          </w:p>
        </w:tc>
        <w:tc>
          <w:tcPr>
            <w:tcW w:w="2175" w:type="dxa"/>
          </w:tcPr>
          <w:p>
            <w:pPr>
              <w:snapToGrid w:val="0"/>
              <w:spacing w:line="360" w:lineRule="auto"/>
              <w:jc w:val="center"/>
              <w:rPr>
                <w:bCs/>
                <w:sz w:val="24"/>
              </w:rPr>
            </w:pPr>
            <w:r>
              <w:rPr>
                <w:bCs/>
                <w:sz w:val="24"/>
              </w:rPr>
              <w:t>0.05%</w:t>
            </w:r>
          </w:p>
        </w:tc>
        <w:tc>
          <w:tcPr>
            <w:tcW w:w="2175" w:type="dxa"/>
          </w:tcPr>
          <w:p>
            <w:pPr>
              <w:snapToGrid w:val="0"/>
              <w:spacing w:line="360" w:lineRule="auto"/>
              <w:jc w:val="center"/>
              <w:rPr>
                <w:bCs/>
                <w:sz w:val="24"/>
              </w:rPr>
            </w:pPr>
            <w:r>
              <w:rPr>
                <w:bCs/>
                <w:sz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100000以上</w:t>
            </w:r>
          </w:p>
        </w:tc>
        <w:tc>
          <w:tcPr>
            <w:tcW w:w="2174" w:type="dxa"/>
          </w:tcPr>
          <w:p>
            <w:pPr>
              <w:snapToGrid w:val="0"/>
              <w:spacing w:line="360" w:lineRule="auto"/>
              <w:jc w:val="center"/>
              <w:rPr>
                <w:bCs/>
                <w:sz w:val="24"/>
              </w:rPr>
            </w:pPr>
            <w:r>
              <w:rPr>
                <w:bCs/>
                <w:sz w:val="24"/>
              </w:rPr>
              <w:t>0.01%</w:t>
            </w:r>
          </w:p>
        </w:tc>
        <w:tc>
          <w:tcPr>
            <w:tcW w:w="2175" w:type="dxa"/>
          </w:tcPr>
          <w:p>
            <w:pPr>
              <w:snapToGrid w:val="0"/>
              <w:spacing w:line="360" w:lineRule="auto"/>
              <w:jc w:val="center"/>
              <w:rPr>
                <w:bCs/>
                <w:sz w:val="24"/>
              </w:rPr>
            </w:pPr>
            <w:r>
              <w:rPr>
                <w:bCs/>
                <w:sz w:val="24"/>
              </w:rPr>
              <w:t>0.01%</w:t>
            </w:r>
          </w:p>
        </w:tc>
        <w:tc>
          <w:tcPr>
            <w:tcW w:w="2175" w:type="dxa"/>
          </w:tcPr>
          <w:p>
            <w:pPr>
              <w:snapToGrid w:val="0"/>
              <w:spacing w:line="360" w:lineRule="auto"/>
              <w:jc w:val="center"/>
              <w:rPr>
                <w:bCs/>
                <w:sz w:val="24"/>
              </w:rPr>
            </w:pPr>
            <w:r>
              <w:rPr>
                <w:bCs/>
                <w:sz w:val="24"/>
              </w:rPr>
              <w:t>0.01%</w:t>
            </w:r>
          </w:p>
        </w:tc>
      </w:tr>
    </w:tbl>
    <w:p>
      <w:pPr>
        <w:spacing w:line="360" w:lineRule="auto"/>
        <w:ind w:firstLine="480" w:firstLineChars="200"/>
        <w:rPr>
          <w:sz w:val="24"/>
        </w:rPr>
      </w:pPr>
      <w:r>
        <w:rPr>
          <w:sz w:val="24"/>
        </w:rPr>
        <w:t>注：招标代理服务收费按差额定率累进法计算。</w:t>
      </w:r>
    </w:p>
    <w:p>
      <w:pPr>
        <w:adjustRightInd w:val="0"/>
        <w:spacing w:line="360" w:lineRule="auto"/>
        <w:ind w:firstLine="482" w:firstLineChars="200"/>
        <w:rPr>
          <w:b/>
          <w:sz w:val="24"/>
        </w:rPr>
      </w:pPr>
      <w:r>
        <w:rPr>
          <w:b/>
          <w:sz w:val="24"/>
        </w:rPr>
        <w:t>1</w:t>
      </w:r>
      <w:r>
        <w:rPr>
          <w:rFonts w:hint="eastAsia"/>
          <w:b/>
          <w:sz w:val="24"/>
          <w:lang w:val="en-US" w:eastAsia="zh-CN"/>
        </w:rPr>
        <w:t>0</w:t>
      </w:r>
      <w:r>
        <w:rPr>
          <w:b/>
          <w:sz w:val="24"/>
        </w:rPr>
        <w:t>、保密</w:t>
      </w:r>
    </w:p>
    <w:p>
      <w:pPr>
        <w:overflowPunct w:val="0"/>
        <w:spacing w:line="360" w:lineRule="exact"/>
        <w:ind w:firstLine="480" w:firstLineChars="200"/>
        <w:rPr>
          <w:sz w:val="24"/>
        </w:rPr>
      </w:pPr>
      <w:r>
        <w:rPr>
          <w:sz w:val="24"/>
        </w:rPr>
        <w:t>招投标双方应为对方在投标文件和招标文件中涉及的商业和技术等秘密保密，违者应对由此造成的后果承担责任。</w:t>
      </w:r>
    </w:p>
    <w:p>
      <w:pPr>
        <w:spacing w:line="360" w:lineRule="auto"/>
        <w:ind w:firstLine="480" w:firstLineChars="200"/>
        <w:rPr>
          <w:sz w:val="24"/>
        </w:rPr>
      </w:pPr>
    </w:p>
    <w:p>
      <w:pPr>
        <w:pStyle w:val="4"/>
        <w:adjustRightInd w:val="0"/>
        <w:snapToGrid w:val="0"/>
        <w:spacing w:before="0" w:after="0" w:line="440" w:lineRule="exact"/>
        <w:jc w:val="center"/>
        <w:rPr>
          <w:rFonts w:ascii="宋体" w:hAnsi="宋体" w:cs="宋体"/>
          <w:sz w:val="24"/>
          <w:szCs w:val="24"/>
        </w:rPr>
      </w:pPr>
      <w:r>
        <w:rPr>
          <w:sz w:val="24"/>
          <w:szCs w:val="24"/>
        </w:rPr>
        <w:br w:type="page"/>
      </w:r>
      <w:bookmarkStart w:id="2" w:name="_Toc2009"/>
      <w:r>
        <w:rPr>
          <w:rFonts w:hint="eastAsia" w:ascii="宋体" w:hAnsi="宋体" w:cs="宋体"/>
          <w:sz w:val="32"/>
          <w:szCs w:val="32"/>
        </w:rPr>
        <w:t>第三部分  投标说明</w:t>
      </w:r>
      <w:bookmarkEnd w:id="2"/>
    </w:p>
    <w:p>
      <w:pPr>
        <w:pStyle w:val="51"/>
        <w:ind w:firstLine="560"/>
      </w:pPr>
    </w:p>
    <w:p>
      <w:pPr>
        <w:pStyle w:val="5"/>
        <w:adjustRightInd w:val="0"/>
        <w:snapToGrid w:val="0"/>
        <w:spacing w:before="0" w:after="0" w:line="440" w:lineRule="exact"/>
        <w:jc w:val="center"/>
        <w:rPr>
          <w:rFonts w:ascii="宋体" w:hAnsi="宋体" w:cs="宋体"/>
          <w:sz w:val="24"/>
          <w:szCs w:val="24"/>
        </w:rPr>
      </w:pPr>
      <w:bookmarkStart w:id="3" w:name="_Toc16661"/>
      <w:r>
        <w:rPr>
          <w:rFonts w:hint="eastAsia" w:ascii="宋体" w:hAnsi="宋体" w:cs="宋体"/>
          <w:sz w:val="28"/>
          <w:szCs w:val="28"/>
        </w:rPr>
        <w:t>第一章  投标人资格要求</w:t>
      </w:r>
      <w:bookmarkEnd w:id="3"/>
    </w:p>
    <w:p>
      <w:pPr>
        <w:spacing w:line="440" w:lineRule="exact"/>
        <w:ind w:firstLine="482" w:firstLineChars="200"/>
        <w:rPr>
          <w:rFonts w:ascii="宋体" w:hAnsi="宋体" w:cs="宋体"/>
          <w:b/>
          <w:sz w:val="24"/>
        </w:rPr>
      </w:pPr>
      <w:r>
        <w:rPr>
          <w:rFonts w:hint="eastAsia" w:ascii="宋体" w:hAnsi="宋体" w:cs="宋体"/>
          <w:b/>
          <w:sz w:val="24"/>
        </w:rPr>
        <w:t>1、投标资格</w:t>
      </w:r>
    </w:p>
    <w:p>
      <w:pPr>
        <w:overflowPunct w:val="0"/>
        <w:spacing w:line="44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有效经年检的三证合一营业执照；</w:t>
      </w:r>
    </w:p>
    <w:p>
      <w:pPr>
        <w:overflowPunct w:val="0"/>
        <w:spacing w:line="44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rPr>
        <w:t>2</w:t>
      </w:r>
      <w:r>
        <w:rPr>
          <w:rFonts w:hint="eastAsia" w:ascii="宋体" w:hAnsi="宋体" w:cs="宋体"/>
          <w:sz w:val="24"/>
          <w:lang w:eastAsia="zh-CN"/>
        </w:rPr>
        <w:t>）法人身份证明</w:t>
      </w:r>
      <w:r>
        <w:rPr>
          <w:rFonts w:hint="eastAsia" w:ascii="宋体" w:hAnsi="宋体" w:cs="宋体"/>
          <w:sz w:val="24"/>
        </w:rPr>
        <w:t>（投标代表为法人时）</w:t>
      </w:r>
      <w:r>
        <w:rPr>
          <w:rFonts w:hint="eastAsia" w:ascii="宋体" w:hAnsi="宋体" w:cs="宋体"/>
          <w:sz w:val="24"/>
          <w:lang w:eastAsia="zh-CN"/>
        </w:rPr>
        <w:t>或</w:t>
      </w:r>
      <w:r>
        <w:rPr>
          <w:rFonts w:hint="eastAsia" w:ascii="宋体" w:hAnsi="宋体" w:cs="宋体"/>
          <w:sz w:val="24"/>
        </w:rPr>
        <w:t>法人授权委托书</w:t>
      </w:r>
      <w:r>
        <w:rPr>
          <w:rFonts w:hint="eastAsia" w:ascii="宋体" w:hAnsi="宋体" w:cs="宋体"/>
          <w:sz w:val="24"/>
          <w:lang w:eastAsia="zh-CN"/>
        </w:rPr>
        <w:t>、</w:t>
      </w:r>
      <w:r>
        <w:rPr>
          <w:rFonts w:hint="eastAsia" w:ascii="宋体" w:hAnsi="宋体" w:cs="宋体"/>
          <w:sz w:val="24"/>
        </w:rPr>
        <w:t>被授权人身份证</w:t>
      </w:r>
      <w:r>
        <w:rPr>
          <w:rFonts w:hint="eastAsia" w:ascii="宋体" w:hAnsi="宋体" w:cs="宋体"/>
          <w:sz w:val="24"/>
          <w:lang w:eastAsia="zh-CN"/>
        </w:rPr>
        <w:t>和</w:t>
      </w:r>
      <w:r>
        <w:rPr>
          <w:rFonts w:hint="eastAsia" w:ascii="宋体" w:hAnsi="宋体" w:cs="宋体"/>
          <w:sz w:val="24"/>
        </w:rPr>
        <w:t>法人身份证；</w:t>
      </w:r>
    </w:p>
    <w:p>
      <w:pPr>
        <w:overflowPunct w:val="0"/>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）有效期内的林木种子生产许可证或林木种子经营许可证或林木种子生产经营许可证</w:t>
      </w:r>
      <w:r>
        <w:rPr>
          <w:rFonts w:hint="eastAsia" w:ascii="宋体" w:hAnsi="宋体" w:cs="宋体"/>
          <w:sz w:val="24"/>
        </w:rPr>
        <w:t>；</w:t>
      </w:r>
    </w:p>
    <w:p>
      <w:pPr>
        <w:overflowPunct w:val="0"/>
        <w:spacing w:line="44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lang w:eastAsia="zh-CN"/>
        </w:rPr>
        <w:t>未被信用中国（www.creditchina.gov.cn）、中国政府采购网（www.ccgp.gov.cn）、国家企业信用信息公示系统（http://www.gsxt.gov.cn）列入失信被执行人、税收违法黑名单、政府采购严重违法失信行为记录名单截图</w:t>
      </w:r>
      <w:r>
        <w:rPr>
          <w:rFonts w:hint="eastAsia" w:ascii="宋体" w:hAnsi="宋体" w:cs="宋体"/>
          <w:sz w:val="24"/>
        </w:rPr>
        <w:t>；</w:t>
      </w:r>
    </w:p>
    <w:p>
      <w:pPr>
        <w:spacing w:line="440" w:lineRule="exact"/>
        <w:ind w:firstLine="482" w:firstLineChars="200"/>
        <w:rPr>
          <w:rFonts w:ascii="宋体" w:hAnsi="宋体" w:cs="宋体"/>
          <w:b/>
          <w:sz w:val="24"/>
        </w:rPr>
      </w:pPr>
      <w:r>
        <w:rPr>
          <w:rFonts w:hint="eastAsia" w:ascii="宋体" w:hAnsi="宋体" w:cs="宋体"/>
          <w:b/>
          <w:sz w:val="24"/>
        </w:rPr>
        <w:t>注: 以上资格证明文件，在投标文件中须放入加盖公章的</w:t>
      </w:r>
      <w:r>
        <w:rPr>
          <w:rFonts w:hint="eastAsia" w:ascii="宋体" w:hAnsi="宋体" w:cs="宋体"/>
          <w:b/>
          <w:sz w:val="24"/>
          <w:lang w:eastAsia="zh-CN"/>
        </w:rPr>
        <w:t>清晰</w:t>
      </w:r>
      <w:r>
        <w:rPr>
          <w:rFonts w:hint="eastAsia" w:ascii="宋体" w:hAnsi="宋体" w:cs="宋体"/>
          <w:b/>
          <w:sz w:val="24"/>
        </w:rPr>
        <w:t>复印件</w:t>
      </w:r>
      <w:r>
        <w:rPr>
          <w:rFonts w:hint="eastAsia" w:ascii="宋体" w:hAnsi="宋体" w:cs="宋体"/>
          <w:b/>
          <w:sz w:val="24"/>
          <w:lang w:eastAsia="zh-CN"/>
        </w:rPr>
        <w:t>或扫描件</w:t>
      </w:r>
      <w:r>
        <w:rPr>
          <w:rFonts w:hint="eastAsia" w:ascii="宋体" w:hAnsi="宋体" w:cs="宋体"/>
          <w:b/>
          <w:sz w:val="24"/>
        </w:rPr>
        <w:t>，不提供或未能提供的视为对</w:t>
      </w:r>
      <w:r>
        <w:rPr>
          <w:rFonts w:hint="eastAsia" w:ascii="宋体" w:hAnsi="宋体" w:cs="宋体"/>
          <w:b/>
          <w:bCs/>
          <w:sz w:val="24"/>
          <w:lang w:bidi="zh-CN"/>
        </w:rPr>
        <w:t>招标</w:t>
      </w:r>
      <w:r>
        <w:rPr>
          <w:rFonts w:hint="eastAsia" w:ascii="宋体" w:hAnsi="宋体" w:cs="宋体"/>
          <w:b/>
          <w:sz w:val="24"/>
        </w:rPr>
        <w:t>文件资格审查内容的不响应，投标无效，文件将被拒绝。</w:t>
      </w:r>
    </w:p>
    <w:p>
      <w:pPr>
        <w:pStyle w:val="5"/>
        <w:adjustRightInd w:val="0"/>
        <w:snapToGrid w:val="0"/>
        <w:spacing w:before="0" w:after="0" w:line="440" w:lineRule="exact"/>
        <w:jc w:val="center"/>
        <w:rPr>
          <w:rFonts w:ascii="宋体" w:hAnsi="宋体" w:cs="宋体"/>
          <w:sz w:val="28"/>
          <w:szCs w:val="28"/>
        </w:rPr>
      </w:pPr>
      <w:bookmarkStart w:id="4" w:name="_Toc28206"/>
      <w:r>
        <w:rPr>
          <w:rFonts w:hint="eastAsia" w:ascii="宋体" w:hAnsi="宋体" w:cs="宋体"/>
          <w:sz w:val="28"/>
          <w:szCs w:val="28"/>
        </w:rPr>
        <w:t>第二章  投标文件的编写及编制顺序</w:t>
      </w:r>
      <w:bookmarkEnd w:id="4"/>
    </w:p>
    <w:p>
      <w:pPr>
        <w:spacing w:line="440" w:lineRule="exact"/>
        <w:ind w:firstLine="482" w:firstLineChars="200"/>
        <w:rPr>
          <w:rFonts w:ascii="宋体" w:hAnsi="宋体" w:cs="宋体"/>
          <w:b/>
          <w:sz w:val="24"/>
        </w:rPr>
      </w:pPr>
      <w:r>
        <w:rPr>
          <w:rFonts w:hint="eastAsia" w:ascii="宋体" w:hAnsi="宋体" w:cs="宋体"/>
          <w:b/>
          <w:sz w:val="24"/>
        </w:rPr>
        <w:t>2、要求</w:t>
      </w:r>
    </w:p>
    <w:p>
      <w:pPr>
        <w:overflowPunct w:val="0"/>
        <w:spacing w:line="440" w:lineRule="exact"/>
        <w:ind w:firstLine="480" w:firstLineChars="200"/>
        <w:rPr>
          <w:rFonts w:ascii="宋体" w:hAnsi="宋体" w:cs="宋体"/>
          <w:sz w:val="24"/>
        </w:rPr>
      </w:pPr>
      <w:r>
        <w:rPr>
          <w:rFonts w:hint="eastAsia" w:ascii="宋体" w:hAnsi="宋体" w:cs="宋体"/>
          <w:sz w:val="24"/>
        </w:rPr>
        <w:t>2.1  投标人应详细阅读招标文件中的条款、规范、表示、条件和格式等所有内容，按招标文件的要求份数提供投标文件，并保证所提供全部材料的真实性，以使其投标对招标文件做出实质性响应。否则，其投标会被拒绝。</w:t>
      </w:r>
    </w:p>
    <w:p>
      <w:pPr>
        <w:overflowPunct w:val="0"/>
        <w:spacing w:line="440" w:lineRule="exact"/>
        <w:ind w:firstLine="480" w:firstLineChars="200"/>
        <w:rPr>
          <w:rFonts w:ascii="宋体" w:hAnsi="宋体" w:cs="宋体"/>
          <w:sz w:val="24"/>
        </w:rPr>
      </w:pPr>
      <w:r>
        <w:rPr>
          <w:rFonts w:hint="eastAsia" w:ascii="宋体" w:hAnsi="宋体" w:cs="宋体"/>
          <w:sz w:val="24"/>
        </w:rPr>
        <w:t>2.2  开标、评标、授标均以项目为单位，投标人根据公司的自身实力进行投标，并在所投项目密封袋上清楚标明所投项目的名称。</w:t>
      </w:r>
    </w:p>
    <w:p>
      <w:pPr>
        <w:spacing w:line="440" w:lineRule="exact"/>
        <w:ind w:firstLine="482" w:firstLineChars="200"/>
        <w:rPr>
          <w:rFonts w:ascii="宋体" w:hAnsi="宋体" w:cs="宋体"/>
          <w:b/>
          <w:sz w:val="24"/>
        </w:rPr>
      </w:pPr>
      <w:r>
        <w:rPr>
          <w:rFonts w:hint="eastAsia" w:ascii="宋体" w:hAnsi="宋体" w:cs="宋体"/>
          <w:b/>
          <w:sz w:val="24"/>
        </w:rPr>
        <w:t>3、投标文件语言和度量单位</w:t>
      </w:r>
    </w:p>
    <w:p>
      <w:pPr>
        <w:overflowPunct w:val="0"/>
        <w:spacing w:line="440" w:lineRule="exact"/>
        <w:ind w:firstLine="480" w:firstLineChars="200"/>
        <w:rPr>
          <w:rFonts w:ascii="宋体" w:hAnsi="宋体" w:cs="宋体"/>
          <w:sz w:val="24"/>
        </w:rPr>
      </w:pPr>
      <w:r>
        <w:rPr>
          <w:rFonts w:hint="eastAsia" w:ascii="宋体" w:hAnsi="宋体" w:cs="宋体"/>
          <w:sz w:val="24"/>
        </w:rPr>
        <w:t>3.1 招标文件及投标人和采购方就本次采购交换的文件和往来信件，须以中文书写。</w:t>
      </w:r>
    </w:p>
    <w:p>
      <w:pPr>
        <w:overflowPunct w:val="0"/>
        <w:spacing w:line="440" w:lineRule="exact"/>
        <w:ind w:firstLine="480" w:firstLineChars="200"/>
        <w:rPr>
          <w:rFonts w:ascii="宋体" w:hAnsi="宋体" w:cs="宋体"/>
          <w:sz w:val="24"/>
        </w:rPr>
      </w:pPr>
      <w:r>
        <w:rPr>
          <w:rFonts w:hint="eastAsia" w:ascii="宋体" w:hAnsi="宋体" w:cs="宋体"/>
          <w:sz w:val="24"/>
        </w:rPr>
        <w:t>3.2 除在招标文件的技术规格中另有规定外，计量单位应使用中华人民共和国法定计量单位。</w:t>
      </w:r>
    </w:p>
    <w:p>
      <w:pPr>
        <w:spacing w:line="440" w:lineRule="exact"/>
        <w:ind w:firstLine="482" w:firstLineChars="200"/>
        <w:rPr>
          <w:rFonts w:ascii="宋体" w:hAnsi="宋体" w:cs="宋体"/>
          <w:b/>
          <w:sz w:val="24"/>
        </w:rPr>
      </w:pPr>
      <w:bookmarkStart w:id="5" w:name="_Toc49019220"/>
      <w:bookmarkStart w:id="6" w:name="_Toc48995835"/>
      <w:bookmarkStart w:id="7" w:name="_Toc205342862"/>
      <w:bookmarkStart w:id="8" w:name="_Toc47262053"/>
      <w:bookmarkStart w:id="9" w:name="_Toc47418715"/>
      <w:bookmarkStart w:id="10" w:name="_Toc47261054"/>
      <w:bookmarkStart w:id="11" w:name="_Toc47418922"/>
      <w:bookmarkStart w:id="12" w:name="_Toc47261674"/>
      <w:bookmarkStart w:id="13" w:name="_Toc48791219"/>
      <w:bookmarkStart w:id="14" w:name="_Toc47261869"/>
      <w:bookmarkStart w:id="15" w:name="_Toc47418239"/>
      <w:r>
        <w:rPr>
          <w:rFonts w:hint="eastAsia" w:ascii="宋体" w:hAnsi="宋体" w:cs="宋体"/>
          <w:b/>
          <w:sz w:val="24"/>
        </w:rPr>
        <w:t>4、投标文件的编制</w:t>
      </w:r>
      <w:bookmarkEnd w:id="5"/>
      <w:bookmarkEnd w:id="6"/>
      <w:bookmarkEnd w:id="7"/>
      <w:bookmarkEnd w:id="8"/>
      <w:bookmarkEnd w:id="9"/>
      <w:bookmarkEnd w:id="10"/>
      <w:bookmarkEnd w:id="11"/>
      <w:bookmarkEnd w:id="12"/>
      <w:bookmarkEnd w:id="13"/>
      <w:bookmarkEnd w:id="14"/>
      <w:bookmarkEnd w:id="15"/>
    </w:p>
    <w:p>
      <w:pPr>
        <w:overflowPunct w:val="0"/>
        <w:spacing w:line="440" w:lineRule="exact"/>
        <w:ind w:firstLine="480" w:firstLineChars="200"/>
        <w:rPr>
          <w:rFonts w:ascii="宋体" w:hAnsi="宋体" w:cs="宋体"/>
          <w:sz w:val="24"/>
        </w:rPr>
      </w:pPr>
      <w:r>
        <w:rPr>
          <w:rFonts w:hint="eastAsia" w:ascii="宋体" w:hAnsi="宋体" w:cs="宋体"/>
          <w:sz w:val="24"/>
        </w:rPr>
        <w:t>4.1 投标文件的构成</w:t>
      </w:r>
    </w:p>
    <w:p>
      <w:pPr>
        <w:overflowPunct w:val="0"/>
        <w:spacing w:line="440" w:lineRule="exact"/>
        <w:ind w:firstLine="480" w:firstLineChars="200"/>
        <w:rPr>
          <w:rFonts w:ascii="宋体" w:hAnsi="宋体" w:cs="宋体"/>
          <w:sz w:val="24"/>
        </w:rPr>
      </w:pPr>
      <w:r>
        <w:rPr>
          <w:rFonts w:hint="eastAsia" w:ascii="宋体" w:hAnsi="宋体" w:cs="宋体"/>
          <w:sz w:val="24"/>
        </w:rPr>
        <w:t>4.1.1投标人应认真阅读招标文件的所有内容，按招标文件的要求提供投标文件，并保证提供的全部资料的真实性，以使其投标对招标文件作出实质性响应，否则，其投标将被拒绝。</w:t>
      </w:r>
    </w:p>
    <w:p>
      <w:pPr>
        <w:overflowPunct w:val="0"/>
        <w:spacing w:line="440" w:lineRule="exact"/>
        <w:ind w:firstLine="480" w:firstLineChars="200"/>
        <w:rPr>
          <w:rFonts w:ascii="宋体" w:hAnsi="宋体" w:cs="宋体"/>
          <w:sz w:val="24"/>
        </w:rPr>
      </w:pPr>
      <w:r>
        <w:rPr>
          <w:rFonts w:hint="eastAsia" w:ascii="宋体" w:hAnsi="宋体" w:cs="宋体"/>
          <w:sz w:val="24"/>
        </w:rPr>
        <w:t>4.2 投标文件以不可拆解的方式装订文件，按照以下三部分内容编制投标文件：</w:t>
      </w:r>
    </w:p>
    <w:p>
      <w:pPr>
        <w:spacing w:line="440" w:lineRule="exact"/>
        <w:ind w:firstLine="482" w:firstLineChars="200"/>
        <w:rPr>
          <w:rFonts w:hint="eastAsia"/>
          <w:lang w:eastAsia="zh-CN"/>
        </w:rPr>
      </w:pPr>
      <w:r>
        <w:rPr>
          <w:rFonts w:hint="eastAsia" w:ascii="宋体" w:hAnsi="宋体" w:cs="宋体"/>
          <w:b/>
          <w:sz w:val="24"/>
        </w:rPr>
        <w:t xml:space="preserve">4.2.1 </w:t>
      </w:r>
      <w:r>
        <w:rPr>
          <w:rFonts w:hint="eastAsia" w:ascii="宋体" w:hAnsi="宋体" w:cs="宋体"/>
          <w:b/>
          <w:sz w:val="24"/>
          <w:lang w:eastAsia="zh-CN"/>
        </w:rPr>
        <w:t>资格文件</w:t>
      </w:r>
    </w:p>
    <w:p>
      <w:pPr>
        <w:overflowPunct w:val="0"/>
        <w:spacing w:line="440" w:lineRule="exact"/>
        <w:ind w:firstLine="480" w:firstLineChars="200"/>
        <w:rPr>
          <w:rFonts w:hint="eastAsia" w:ascii="宋体" w:hAnsi="宋体" w:cs="宋体"/>
          <w:sz w:val="24"/>
        </w:rPr>
      </w:pPr>
      <w:r>
        <w:rPr>
          <w:rFonts w:hint="eastAsia" w:ascii="宋体" w:hAnsi="宋体" w:cs="宋体"/>
          <w:sz w:val="24"/>
        </w:rPr>
        <w:t>投标人必须按要求如实、</w:t>
      </w:r>
      <w:r>
        <w:rPr>
          <w:rFonts w:hint="eastAsia" w:ascii="宋体" w:hAnsi="宋体" w:cs="宋体"/>
          <w:sz w:val="24"/>
          <w:u w:val="single"/>
        </w:rPr>
        <w:t>准确</w:t>
      </w:r>
      <w:r>
        <w:rPr>
          <w:rFonts w:hint="eastAsia" w:ascii="宋体" w:hAnsi="宋体" w:cs="宋体"/>
          <w:sz w:val="24"/>
        </w:rPr>
        <w:t>、完整的提供评估因素要求的各类文件资料。否则投标将不被接受。投标文件包括以下部分（但不局限于以下部分）：</w:t>
      </w:r>
    </w:p>
    <w:p>
      <w:pPr>
        <w:overflowPunct w:val="0"/>
        <w:spacing w:line="440" w:lineRule="exact"/>
        <w:ind w:firstLine="480" w:firstLineChars="200"/>
        <w:rPr>
          <w:rFonts w:hint="eastAsia" w:ascii="宋体" w:hAnsi="宋体" w:cs="宋体"/>
          <w:sz w:val="24"/>
        </w:rPr>
      </w:pPr>
      <w:r>
        <w:rPr>
          <w:rFonts w:hint="eastAsia" w:ascii="宋体" w:hAnsi="宋体" w:cs="宋体"/>
          <w:sz w:val="24"/>
        </w:rPr>
        <w:t>（1）有效经年检的三证合一营业执照；</w:t>
      </w:r>
    </w:p>
    <w:p>
      <w:pPr>
        <w:overflowPunct w:val="0"/>
        <w:spacing w:line="440" w:lineRule="exact"/>
        <w:ind w:firstLine="480" w:firstLineChars="200"/>
        <w:rPr>
          <w:rFonts w:hint="eastAsia" w:ascii="宋体" w:hAnsi="宋体" w:cs="宋体"/>
          <w:sz w:val="24"/>
        </w:rPr>
      </w:pPr>
      <w:r>
        <w:rPr>
          <w:rFonts w:hint="eastAsia" w:ascii="宋体" w:hAnsi="宋体" w:cs="宋体"/>
          <w:sz w:val="24"/>
        </w:rPr>
        <w:t>（2）法人身份证明（投标代表为法人时）或法人授权委托书、被授权人身份证和法人身份证；</w:t>
      </w:r>
    </w:p>
    <w:p>
      <w:pPr>
        <w:overflowPunct w:val="0"/>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有效期内的林木种子生产许可证或林木种子经营许可证或林木种子生产经营许可证</w:t>
      </w:r>
      <w:r>
        <w:rPr>
          <w:rFonts w:hint="eastAsia" w:ascii="宋体" w:hAnsi="宋体" w:cs="宋体"/>
          <w:sz w:val="24"/>
        </w:rPr>
        <w:t>；</w:t>
      </w:r>
    </w:p>
    <w:p>
      <w:pPr>
        <w:overflowPunct w:val="0"/>
        <w:spacing w:line="440" w:lineRule="exact"/>
        <w:ind w:firstLine="480" w:firstLineChars="200"/>
        <w:rPr>
          <w:rFonts w:hint="eastAsia" w:ascii="宋体" w:hAnsi="宋体" w:cs="宋体"/>
          <w:sz w:val="24"/>
        </w:rPr>
      </w:pPr>
      <w:r>
        <w:rPr>
          <w:rFonts w:hint="eastAsia" w:ascii="宋体" w:hAnsi="宋体" w:cs="宋体"/>
          <w:sz w:val="24"/>
        </w:rPr>
        <w:t>（4）未被信用中国（www.creditchina.gov.cn）、中国政府采购网（www.ccgp.gov.cn）、国家企业信用信息公示系统（http://www.gsxt.gov.cn）列入失信被执行人、税收违法黑名单、政府采购严重违法失信行为记录名单截图；</w:t>
      </w:r>
    </w:p>
    <w:p>
      <w:pPr>
        <w:spacing w:line="440" w:lineRule="exact"/>
        <w:ind w:firstLine="482" w:firstLineChars="200"/>
        <w:rPr>
          <w:rFonts w:ascii="宋体" w:hAnsi="宋体" w:cs="宋体"/>
          <w:b/>
          <w:sz w:val="24"/>
        </w:rPr>
      </w:pPr>
      <w:r>
        <w:rPr>
          <w:rFonts w:hint="eastAsia" w:ascii="宋体" w:hAnsi="宋体" w:cs="宋体"/>
          <w:b/>
          <w:sz w:val="24"/>
        </w:rPr>
        <w:t>4.2.</w:t>
      </w:r>
      <w:r>
        <w:rPr>
          <w:rFonts w:hint="eastAsia" w:ascii="宋体" w:hAnsi="宋体" w:cs="宋体"/>
          <w:b/>
          <w:sz w:val="24"/>
          <w:lang w:val="en-US" w:eastAsia="zh-CN"/>
        </w:rPr>
        <w:t>2</w:t>
      </w:r>
      <w:r>
        <w:rPr>
          <w:rFonts w:hint="eastAsia" w:ascii="宋体" w:hAnsi="宋体" w:cs="宋体"/>
          <w:b/>
          <w:sz w:val="24"/>
        </w:rPr>
        <w:t xml:space="preserve"> 投标报价书</w:t>
      </w:r>
    </w:p>
    <w:p>
      <w:pPr>
        <w:overflowPunct w:val="0"/>
        <w:spacing w:line="440" w:lineRule="exact"/>
        <w:ind w:firstLine="480" w:firstLineChars="200"/>
        <w:rPr>
          <w:rFonts w:ascii="宋体" w:hAnsi="宋体" w:cs="宋体"/>
          <w:sz w:val="24"/>
        </w:rPr>
      </w:pPr>
      <w:r>
        <w:rPr>
          <w:rFonts w:hint="eastAsia" w:ascii="宋体" w:hAnsi="宋体" w:cs="宋体"/>
          <w:sz w:val="24"/>
        </w:rPr>
        <w:t>4.2.</w:t>
      </w:r>
      <w:r>
        <w:rPr>
          <w:rFonts w:hint="eastAsia" w:ascii="宋体" w:hAnsi="宋体" w:cs="宋体"/>
          <w:sz w:val="24"/>
          <w:lang w:val="en-US" w:eastAsia="zh-CN"/>
        </w:rPr>
        <w:t>2</w:t>
      </w:r>
      <w:r>
        <w:rPr>
          <w:rFonts w:hint="eastAsia" w:ascii="宋体" w:hAnsi="宋体" w:cs="宋体"/>
          <w:sz w:val="24"/>
        </w:rPr>
        <w:t>.2 报价一览表（按附件的格式提供）。</w:t>
      </w:r>
    </w:p>
    <w:p>
      <w:pPr>
        <w:spacing w:line="440" w:lineRule="exact"/>
        <w:ind w:firstLine="482" w:firstLineChars="200"/>
        <w:rPr>
          <w:rFonts w:ascii="宋体" w:hAnsi="宋体" w:cs="宋体"/>
          <w:b/>
          <w:sz w:val="24"/>
        </w:rPr>
      </w:pPr>
      <w:r>
        <w:rPr>
          <w:rFonts w:hint="eastAsia" w:ascii="宋体" w:hAnsi="宋体" w:cs="宋体"/>
          <w:b/>
          <w:sz w:val="24"/>
        </w:rPr>
        <w:t>4.2.</w:t>
      </w:r>
      <w:r>
        <w:rPr>
          <w:rFonts w:hint="eastAsia" w:ascii="宋体" w:hAnsi="宋体" w:cs="宋体"/>
          <w:b/>
          <w:sz w:val="24"/>
          <w:lang w:val="en-US" w:eastAsia="zh-CN"/>
        </w:rPr>
        <w:t>3</w:t>
      </w:r>
      <w:r>
        <w:rPr>
          <w:rFonts w:hint="eastAsia" w:ascii="宋体" w:hAnsi="宋体" w:cs="宋体"/>
          <w:b/>
          <w:sz w:val="24"/>
        </w:rPr>
        <w:t xml:space="preserve">  商务技术投标文件</w:t>
      </w:r>
    </w:p>
    <w:p>
      <w:pPr>
        <w:overflowPunct w:val="0"/>
        <w:spacing w:line="440" w:lineRule="exact"/>
        <w:ind w:firstLine="480" w:firstLineChars="200"/>
        <w:rPr>
          <w:rFonts w:ascii="宋体" w:hAnsi="宋体" w:cs="宋体"/>
          <w:sz w:val="24"/>
        </w:rPr>
      </w:pPr>
      <w:r>
        <w:rPr>
          <w:rFonts w:hint="eastAsia" w:ascii="宋体" w:hAnsi="宋体" w:cs="宋体"/>
          <w:sz w:val="24"/>
        </w:rPr>
        <w:t>投标人必须按要求如实、</w:t>
      </w:r>
      <w:r>
        <w:rPr>
          <w:rFonts w:hint="eastAsia" w:ascii="宋体" w:hAnsi="宋体" w:cs="宋体"/>
          <w:sz w:val="24"/>
          <w:u w:val="single"/>
        </w:rPr>
        <w:t>准确</w:t>
      </w:r>
      <w:r>
        <w:rPr>
          <w:rFonts w:hint="eastAsia" w:ascii="宋体" w:hAnsi="宋体" w:cs="宋体"/>
          <w:sz w:val="24"/>
        </w:rPr>
        <w:t>、完整的提供评估因素要求的各类文件资料。否则投标将不被接受。投标文件包括以下部分（但不局限于以下部分）：</w:t>
      </w:r>
    </w:p>
    <w:p>
      <w:pPr>
        <w:overflowPunct w:val="0"/>
        <w:spacing w:line="440" w:lineRule="exact"/>
        <w:ind w:firstLine="480" w:firstLineChars="200"/>
        <w:rPr>
          <w:rFonts w:hint="eastAsia" w:ascii="宋体" w:hAnsi="宋体" w:cs="宋体"/>
          <w:sz w:val="24"/>
        </w:rPr>
      </w:pPr>
      <w:r>
        <w:rPr>
          <w:rFonts w:hint="eastAsia" w:ascii="宋体" w:hAnsi="宋体" w:cs="宋体"/>
          <w:sz w:val="24"/>
        </w:rPr>
        <w:t>4.2.</w:t>
      </w:r>
      <w:r>
        <w:rPr>
          <w:rFonts w:hint="eastAsia" w:ascii="宋体" w:hAnsi="宋体" w:cs="宋体"/>
          <w:sz w:val="24"/>
          <w:lang w:val="en-US" w:eastAsia="zh-CN"/>
        </w:rPr>
        <w:t>3</w:t>
      </w:r>
      <w:r>
        <w:rPr>
          <w:rFonts w:hint="eastAsia" w:ascii="宋体" w:hAnsi="宋体" w:cs="宋体"/>
          <w:sz w:val="24"/>
        </w:rPr>
        <w:t>.1承 诺 函</w:t>
      </w:r>
    </w:p>
    <w:p>
      <w:pPr>
        <w:overflowPunct w:val="0"/>
        <w:spacing w:line="440" w:lineRule="exact"/>
        <w:ind w:firstLine="480" w:firstLineChars="200"/>
        <w:rPr>
          <w:rFonts w:ascii="宋体" w:hAnsi="宋体" w:cs="宋体"/>
          <w:b/>
          <w:sz w:val="24"/>
        </w:rPr>
      </w:pPr>
      <w:r>
        <w:rPr>
          <w:rFonts w:hint="eastAsia" w:ascii="宋体" w:hAnsi="宋体" w:cs="宋体"/>
          <w:sz w:val="24"/>
        </w:rPr>
        <w:t>4.2.</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关于资格的声明函</w:t>
      </w:r>
    </w:p>
    <w:p>
      <w:pPr>
        <w:overflowPunct w:val="0"/>
        <w:spacing w:line="440" w:lineRule="exact"/>
        <w:ind w:firstLine="480" w:firstLineChars="200"/>
      </w:pPr>
      <w:r>
        <w:rPr>
          <w:rFonts w:hint="eastAsia" w:ascii="宋体" w:hAnsi="宋体" w:cs="宋体"/>
          <w:sz w:val="24"/>
        </w:rPr>
        <w:t>4.2.</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《反商业贿赂承诺书》</w:t>
      </w:r>
    </w:p>
    <w:p>
      <w:pPr>
        <w:overflowPunct w:val="0"/>
        <w:spacing w:line="440" w:lineRule="exact"/>
        <w:ind w:firstLine="480" w:firstLineChars="200"/>
        <w:rPr>
          <w:rFonts w:hint="eastAsia"/>
          <w:highlight w:val="none"/>
        </w:rPr>
      </w:pPr>
      <w:r>
        <w:rPr>
          <w:rFonts w:hint="eastAsia" w:ascii="宋体" w:hAnsi="宋体" w:cs="宋体"/>
          <w:sz w:val="24"/>
          <w:highlight w:val="none"/>
          <w:lang w:val="en-US" w:eastAsia="zh-CN"/>
        </w:rPr>
        <w:t>4.2.3.4</w:t>
      </w:r>
      <w:r>
        <w:rPr>
          <w:rFonts w:hint="eastAsia" w:ascii="宋体" w:hAnsi="宋体" w:cs="宋体"/>
          <w:sz w:val="24"/>
          <w:highlight w:val="none"/>
        </w:rPr>
        <w:t>近三年具有类似业绩</w:t>
      </w:r>
      <w:r>
        <w:rPr>
          <w:rFonts w:hint="eastAsia" w:ascii="宋体" w:hAnsi="宋体" w:cs="宋体"/>
          <w:sz w:val="24"/>
          <w:highlight w:val="none"/>
          <w:lang w:eastAsia="zh-CN"/>
        </w:rPr>
        <w:t>（苗木采购类业绩）</w:t>
      </w:r>
      <w:r>
        <w:rPr>
          <w:rFonts w:hint="eastAsia" w:ascii="宋体" w:hAnsi="宋体" w:cs="宋体"/>
          <w:sz w:val="24"/>
          <w:highlight w:val="none"/>
        </w:rPr>
        <w:t>资料复印件（以中标通知书</w:t>
      </w:r>
      <w:r>
        <w:rPr>
          <w:rFonts w:hint="eastAsia" w:ascii="宋体" w:hAnsi="宋体" w:cs="宋体"/>
          <w:sz w:val="24"/>
          <w:highlight w:val="none"/>
          <w:lang w:eastAsia="zh-CN"/>
        </w:rPr>
        <w:t>或</w:t>
      </w:r>
      <w:r>
        <w:rPr>
          <w:rFonts w:hint="eastAsia" w:ascii="宋体" w:hAnsi="宋体" w:cs="宋体"/>
          <w:sz w:val="24"/>
          <w:highlight w:val="none"/>
        </w:rPr>
        <w:t>合同为准）；</w:t>
      </w:r>
    </w:p>
    <w:p>
      <w:pPr>
        <w:overflowPunct w:val="0"/>
        <w:spacing w:line="44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rPr>
        <w:t>中小企业声明函</w:t>
      </w:r>
      <w:r>
        <w:rPr>
          <w:rFonts w:hint="eastAsia" w:ascii="宋体" w:hAnsi="宋体" w:cs="宋体"/>
          <w:sz w:val="24"/>
          <w:lang w:eastAsia="zh-CN"/>
        </w:rPr>
        <w:t>（如有）</w:t>
      </w:r>
    </w:p>
    <w:p>
      <w:pPr>
        <w:overflowPunct w:val="0"/>
        <w:spacing w:line="440" w:lineRule="exact"/>
        <w:ind w:firstLine="480" w:firstLineChars="200"/>
        <w:rPr>
          <w:rFonts w:hint="eastAsia" w:ascii="宋体" w:hAnsi="宋体" w:cs="宋体"/>
          <w:sz w:val="24"/>
          <w:lang w:eastAsia="zh-CN"/>
        </w:rPr>
      </w:pPr>
      <w:r>
        <w:rPr>
          <w:rFonts w:hint="eastAsia" w:ascii="宋体" w:hAnsi="宋体" w:cs="宋体"/>
          <w:sz w:val="24"/>
        </w:rPr>
        <w:t>4.2.</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残疾人福利性单位声明函</w:t>
      </w:r>
      <w:r>
        <w:rPr>
          <w:rFonts w:hint="eastAsia" w:ascii="宋体" w:hAnsi="宋体" w:cs="宋体"/>
          <w:sz w:val="24"/>
          <w:lang w:eastAsia="zh-CN"/>
        </w:rPr>
        <w:t>（如有）</w:t>
      </w:r>
    </w:p>
    <w:p>
      <w:pPr>
        <w:overflowPunct w:val="0"/>
        <w:spacing w:line="440" w:lineRule="exact"/>
        <w:ind w:firstLine="480" w:firstLineChars="200"/>
        <w:rPr>
          <w:rFonts w:hint="eastAsia" w:ascii="宋体" w:hAnsi="宋体" w:cs="宋体"/>
          <w:sz w:val="24"/>
          <w:lang w:eastAsia="zh-CN"/>
        </w:rPr>
      </w:pPr>
      <w:r>
        <w:rPr>
          <w:rFonts w:hint="eastAsia" w:ascii="宋体" w:hAnsi="宋体" w:cs="宋体"/>
          <w:sz w:val="24"/>
        </w:rPr>
        <w:t>4.2.</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highlight w:val="none"/>
          <w:lang w:eastAsia="zh-CN"/>
        </w:rPr>
        <w:t>技术方案</w:t>
      </w:r>
    </w:p>
    <w:p>
      <w:pPr>
        <w:overflowPunct w:val="0"/>
        <w:spacing w:line="440" w:lineRule="exact"/>
        <w:ind w:firstLine="480" w:firstLineChars="200"/>
        <w:rPr>
          <w:rFonts w:hint="eastAsia"/>
        </w:rPr>
      </w:pPr>
      <w:r>
        <w:rPr>
          <w:rFonts w:hint="eastAsia" w:ascii="宋体" w:hAnsi="宋体" w:cs="宋体"/>
          <w:sz w:val="24"/>
          <w:lang w:val="en-US" w:eastAsia="zh-CN"/>
        </w:rPr>
        <w:t>4.2.3.8</w:t>
      </w:r>
      <w:r>
        <w:rPr>
          <w:rFonts w:hint="eastAsia" w:ascii="宋体" w:hAnsi="宋体" w:cs="宋体"/>
          <w:sz w:val="24"/>
        </w:rPr>
        <w:t>其他证明材料</w:t>
      </w:r>
    </w:p>
    <w:p>
      <w:pPr>
        <w:spacing w:line="440" w:lineRule="exact"/>
        <w:ind w:firstLine="482" w:firstLineChars="200"/>
        <w:rPr>
          <w:rFonts w:ascii="宋体" w:hAnsi="宋体" w:cs="宋体"/>
          <w:b/>
          <w:sz w:val="24"/>
        </w:rPr>
      </w:pPr>
      <w:r>
        <w:rPr>
          <w:rFonts w:hint="eastAsia" w:ascii="宋体" w:hAnsi="宋体" w:cs="宋体"/>
          <w:b/>
          <w:sz w:val="24"/>
        </w:rPr>
        <w:t>4.3  投标文件格式</w:t>
      </w:r>
    </w:p>
    <w:p>
      <w:pPr>
        <w:overflowPunct w:val="0"/>
        <w:spacing w:line="440" w:lineRule="exact"/>
        <w:ind w:firstLine="480" w:firstLineChars="200"/>
        <w:rPr>
          <w:rFonts w:ascii="宋体" w:hAnsi="宋体" w:cs="宋体"/>
          <w:sz w:val="24"/>
        </w:rPr>
      </w:pPr>
      <w:r>
        <w:rPr>
          <w:rFonts w:hint="eastAsia" w:ascii="宋体" w:hAnsi="宋体" w:cs="宋体"/>
          <w:sz w:val="24"/>
        </w:rPr>
        <w:t>4.3.1 本项目要求按照上述内容编制标书，并按照标书中所附的投标文件规格编写，并要求打印装订成册。</w:t>
      </w:r>
    </w:p>
    <w:p>
      <w:pPr>
        <w:overflowPunct w:val="0"/>
        <w:spacing w:line="440" w:lineRule="exact"/>
        <w:ind w:firstLine="480" w:firstLineChars="200"/>
        <w:rPr>
          <w:rFonts w:ascii="宋体" w:hAnsi="宋体" w:cs="宋体"/>
          <w:sz w:val="24"/>
        </w:rPr>
      </w:pPr>
      <w:r>
        <w:rPr>
          <w:rFonts w:hint="eastAsia" w:ascii="宋体" w:hAnsi="宋体" w:cs="宋体"/>
          <w:sz w:val="24"/>
        </w:rPr>
        <w:t>4.3.2 投标人应按招标文件的内容与要求和提供的格式编写其投标文件，投标人不得缺少或留空任何招标文件要求填写的表格或提交的资料。</w:t>
      </w:r>
      <w:r>
        <w:rPr>
          <w:rFonts w:hint="eastAsia" w:ascii="宋体" w:hAnsi="宋体" w:cs="宋体"/>
          <w:kern w:val="0"/>
          <w:sz w:val="24"/>
        </w:rPr>
        <w:t>如招标文件没有提供格式的，投标人可自行设置。</w:t>
      </w:r>
    </w:p>
    <w:p>
      <w:pPr>
        <w:overflowPunct w:val="0"/>
        <w:spacing w:line="440" w:lineRule="exact"/>
        <w:ind w:firstLine="480" w:firstLineChars="200"/>
        <w:rPr>
          <w:rFonts w:ascii="宋体" w:hAnsi="宋体" w:cs="宋体"/>
          <w:sz w:val="24"/>
        </w:rPr>
      </w:pPr>
      <w:r>
        <w:rPr>
          <w:rFonts w:hint="eastAsia" w:ascii="宋体" w:hAnsi="宋体" w:cs="宋体"/>
          <w:sz w:val="24"/>
        </w:rPr>
        <w:t>4.3.3投标人应将投标文件按规定的顺序编排、并应编制目录、逐页标注连续页码，并装订成册</w:t>
      </w:r>
      <w:r>
        <w:rPr>
          <w:rFonts w:hint="eastAsia" w:ascii="宋体" w:hAnsi="宋体" w:cs="宋体"/>
          <w:b/>
          <w:sz w:val="24"/>
        </w:rPr>
        <w:t>。不得采用活页装订。</w:t>
      </w:r>
    </w:p>
    <w:p>
      <w:pPr>
        <w:spacing w:line="440" w:lineRule="exact"/>
        <w:ind w:firstLine="482" w:firstLineChars="200"/>
        <w:rPr>
          <w:rFonts w:ascii="宋体" w:hAnsi="宋体" w:cs="宋体"/>
          <w:b/>
          <w:sz w:val="24"/>
        </w:rPr>
      </w:pPr>
      <w:r>
        <w:rPr>
          <w:rFonts w:hint="eastAsia" w:ascii="宋体" w:hAnsi="宋体" w:cs="宋体"/>
          <w:b/>
          <w:sz w:val="24"/>
        </w:rPr>
        <w:t>5、投标报价</w:t>
      </w:r>
    </w:p>
    <w:p>
      <w:pPr>
        <w:overflowPunct w:val="0"/>
        <w:spacing w:line="440" w:lineRule="exact"/>
        <w:ind w:firstLine="480" w:firstLineChars="200"/>
        <w:rPr>
          <w:rFonts w:ascii="宋体" w:hAnsi="宋体" w:cs="宋体"/>
          <w:sz w:val="24"/>
        </w:rPr>
      </w:pPr>
      <w:r>
        <w:rPr>
          <w:rFonts w:hint="eastAsia" w:ascii="宋体" w:hAnsi="宋体" w:cs="宋体"/>
          <w:sz w:val="24"/>
        </w:rPr>
        <w:t>5.1 投标人应在投标明细报价表上标明本次采购拟提供服务的单价和总价。如单价和总价不符，以单价累计为准。小写和大写不符，以大写为准。投标人如果不同意上述修改原则，其投标将被拒绝。投标人应在明细报价表标明应所述服务的所有工作内容，包括相关的设备、配件、材料采购及售后服务和培训等直至交付业主正常使用前的一切费用。</w:t>
      </w:r>
    </w:p>
    <w:p>
      <w:pPr>
        <w:overflowPunct w:val="0"/>
        <w:spacing w:line="440" w:lineRule="exact"/>
        <w:ind w:firstLine="480" w:firstLineChars="200"/>
        <w:rPr>
          <w:rFonts w:ascii="宋体" w:hAnsi="宋体" w:cs="宋体"/>
          <w:sz w:val="24"/>
        </w:rPr>
      </w:pPr>
      <w:r>
        <w:rPr>
          <w:rFonts w:hint="eastAsia" w:ascii="宋体" w:hAnsi="宋体" w:cs="宋体"/>
          <w:sz w:val="24"/>
        </w:rPr>
        <w:t>5.2 投标人如果免费提供某项服务，除在价格栏中填写“0”外，还必须在备注栏中声明免费或赠送。</w:t>
      </w:r>
    </w:p>
    <w:p>
      <w:pPr>
        <w:spacing w:line="440" w:lineRule="exact"/>
        <w:ind w:firstLine="480" w:firstLineChars="200"/>
        <w:rPr>
          <w:rFonts w:ascii="宋体" w:hAnsi="宋体" w:cs="宋体"/>
          <w:sz w:val="24"/>
        </w:rPr>
      </w:pPr>
      <w:r>
        <w:rPr>
          <w:rFonts w:hint="eastAsia" w:ascii="宋体" w:hAnsi="宋体" w:cs="宋体"/>
          <w:sz w:val="24"/>
        </w:rPr>
        <w:t>5.3 投标报价时应注意下列几点：</w:t>
      </w:r>
    </w:p>
    <w:p>
      <w:pPr>
        <w:overflowPunct w:val="0"/>
        <w:spacing w:line="440" w:lineRule="exact"/>
        <w:ind w:firstLine="480" w:firstLineChars="200"/>
        <w:rPr>
          <w:rFonts w:ascii="宋体" w:hAnsi="宋体" w:cs="宋体"/>
          <w:sz w:val="24"/>
        </w:rPr>
      </w:pPr>
      <w:r>
        <w:rPr>
          <w:rFonts w:hint="eastAsia" w:ascii="宋体" w:hAnsi="宋体" w:cs="宋体"/>
          <w:sz w:val="24"/>
        </w:rPr>
        <w:t>（1）本项目如非因重大需求变化导致成本增加，不得追加费用，投标人应该考虑但没有考虑到的任何费用将由投标人自行承担。</w:t>
      </w:r>
    </w:p>
    <w:p>
      <w:pPr>
        <w:overflowPunct w:val="0"/>
        <w:spacing w:line="440" w:lineRule="exact"/>
        <w:ind w:firstLine="480" w:firstLineChars="200"/>
        <w:rPr>
          <w:rFonts w:ascii="宋体" w:hAnsi="宋体" w:cs="宋体"/>
          <w:sz w:val="24"/>
        </w:rPr>
      </w:pPr>
      <w:r>
        <w:rPr>
          <w:rFonts w:hint="eastAsia" w:ascii="宋体" w:hAnsi="宋体" w:cs="宋体"/>
          <w:sz w:val="24"/>
        </w:rPr>
        <w:t>（2）招标文件中特别要求的其它附带服务的全部费用；</w:t>
      </w:r>
    </w:p>
    <w:p>
      <w:pPr>
        <w:overflowPunct w:val="0"/>
        <w:spacing w:line="440" w:lineRule="exact"/>
        <w:ind w:firstLine="480" w:firstLineChars="200"/>
        <w:rPr>
          <w:rFonts w:ascii="宋体" w:hAnsi="宋体" w:cs="宋体"/>
          <w:b/>
          <w:sz w:val="24"/>
          <w:u w:val="single"/>
        </w:rPr>
      </w:pPr>
      <w:r>
        <w:rPr>
          <w:rFonts w:hint="eastAsia" w:ascii="宋体" w:hAnsi="宋体" w:cs="宋体"/>
          <w:sz w:val="24"/>
        </w:rPr>
        <w:t>5.4 投标人应对投标服务提供完整的详细的书面说明。</w:t>
      </w:r>
    </w:p>
    <w:p>
      <w:pPr>
        <w:overflowPunct w:val="0"/>
        <w:spacing w:line="440" w:lineRule="exact"/>
        <w:ind w:firstLine="480" w:firstLineChars="200"/>
        <w:rPr>
          <w:rFonts w:ascii="宋体" w:hAnsi="宋体" w:cs="宋体"/>
          <w:sz w:val="24"/>
        </w:rPr>
      </w:pPr>
      <w:r>
        <w:rPr>
          <w:rFonts w:hint="eastAsia" w:ascii="宋体" w:hAnsi="宋体" w:cs="宋体"/>
          <w:sz w:val="24"/>
        </w:rPr>
        <w:t>5.5 报价超过最高限价的，该报价为无效报价，不进入商务评比。</w:t>
      </w:r>
    </w:p>
    <w:p>
      <w:pPr>
        <w:overflowPunct w:val="0"/>
        <w:spacing w:line="440" w:lineRule="exact"/>
        <w:ind w:firstLine="480" w:firstLineChars="200"/>
        <w:rPr>
          <w:rFonts w:ascii="宋体" w:hAnsi="宋体" w:cs="宋体"/>
          <w:sz w:val="24"/>
        </w:rPr>
      </w:pPr>
      <w:r>
        <w:rPr>
          <w:rFonts w:hint="eastAsia" w:ascii="宋体" w:hAnsi="宋体" w:cs="宋体"/>
          <w:sz w:val="24"/>
        </w:rPr>
        <w:t>5.6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视为无效标处理。</w:t>
      </w:r>
    </w:p>
    <w:p>
      <w:pPr>
        <w:spacing w:line="440" w:lineRule="exact"/>
        <w:ind w:firstLine="482" w:firstLineChars="200"/>
        <w:rPr>
          <w:rFonts w:ascii="宋体" w:hAnsi="宋体" w:cs="宋体"/>
          <w:b/>
          <w:sz w:val="24"/>
        </w:rPr>
      </w:pPr>
      <w:r>
        <w:rPr>
          <w:rFonts w:hint="eastAsia" w:ascii="宋体" w:hAnsi="宋体" w:cs="宋体"/>
          <w:b/>
          <w:sz w:val="24"/>
        </w:rPr>
        <w:t>6、招标文件规定的技术文件</w:t>
      </w:r>
    </w:p>
    <w:p>
      <w:pPr>
        <w:overflowPunct w:val="0"/>
        <w:spacing w:line="440" w:lineRule="exact"/>
        <w:ind w:firstLine="480" w:firstLineChars="200"/>
        <w:rPr>
          <w:rFonts w:ascii="宋体" w:hAnsi="宋体" w:cs="宋体"/>
          <w:sz w:val="24"/>
        </w:rPr>
      </w:pPr>
      <w:r>
        <w:rPr>
          <w:rFonts w:hint="eastAsia" w:ascii="宋体" w:hAnsi="宋体" w:cs="宋体"/>
          <w:sz w:val="24"/>
        </w:rPr>
        <w:t>6.1 投标人须提交证明拟供服务符合招标文件规定的文件资料，作为投标文件的一部分。</w:t>
      </w:r>
    </w:p>
    <w:p>
      <w:pPr>
        <w:overflowPunct w:val="0"/>
        <w:spacing w:line="440" w:lineRule="exact"/>
        <w:ind w:firstLine="480" w:firstLineChars="200"/>
        <w:rPr>
          <w:rFonts w:ascii="宋体" w:hAnsi="宋体" w:cs="宋体"/>
          <w:sz w:val="24"/>
        </w:rPr>
      </w:pPr>
      <w:r>
        <w:rPr>
          <w:rFonts w:hint="eastAsia" w:ascii="宋体" w:hAnsi="宋体" w:cs="宋体"/>
          <w:sz w:val="24"/>
        </w:rPr>
        <w:t>6.2 上述文件可以是文字资料、图纸和数据等，并提供规格、技术参数。</w:t>
      </w:r>
    </w:p>
    <w:p>
      <w:pPr>
        <w:overflowPunct w:val="0"/>
        <w:spacing w:line="440" w:lineRule="exact"/>
        <w:ind w:firstLine="480" w:firstLineChars="200"/>
        <w:rPr>
          <w:rFonts w:ascii="宋体" w:hAnsi="宋体" w:cs="宋体"/>
          <w:sz w:val="24"/>
        </w:rPr>
      </w:pPr>
      <w:r>
        <w:rPr>
          <w:rFonts w:hint="eastAsia" w:ascii="宋体" w:hAnsi="宋体" w:cs="宋体"/>
          <w:sz w:val="24"/>
        </w:rPr>
        <w:t>6.3 没有按要求提供资料或提供资料不完全的，将被视为对招标文件没有做出实质性响应，其风险由投标人自行承担。</w:t>
      </w:r>
    </w:p>
    <w:p>
      <w:pPr>
        <w:spacing w:line="440" w:lineRule="exact"/>
        <w:ind w:firstLine="482" w:firstLineChars="200"/>
        <w:rPr>
          <w:rFonts w:ascii="宋体" w:hAnsi="宋体" w:cs="宋体"/>
          <w:b/>
          <w:sz w:val="24"/>
        </w:rPr>
      </w:pPr>
      <w:r>
        <w:rPr>
          <w:rFonts w:hint="eastAsia" w:ascii="宋体" w:hAnsi="宋体" w:cs="宋体"/>
          <w:b/>
          <w:sz w:val="24"/>
        </w:rPr>
        <w:t>7、投标有效期</w:t>
      </w:r>
    </w:p>
    <w:p>
      <w:pPr>
        <w:overflowPunct w:val="0"/>
        <w:spacing w:line="440" w:lineRule="exact"/>
        <w:ind w:firstLine="480" w:firstLineChars="200"/>
        <w:rPr>
          <w:rFonts w:ascii="宋体" w:hAnsi="宋体" w:cs="宋体"/>
          <w:sz w:val="24"/>
        </w:rPr>
      </w:pPr>
      <w:r>
        <w:rPr>
          <w:rFonts w:hint="eastAsia" w:ascii="宋体" w:hAnsi="宋体" w:cs="宋体"/>
          <w:sz w:val="24"/>
        </w:rPr>
        <w:t>7.1 投标文件从投标之日起，投标有效期</w:t>
      </w:r>
      <w:r>
        <w:rPr>
          <w:rFonts w:hint="eastAsia" w:ascii="宋体" w:hAnsi="宋体" w:cs="宋体"/>
          <w:sz w:val="24"/>
          <w:lang w:val="en-US" w:eastAsia="zh-CN"/>
        </w:rPr>
        <w:t>90</w:t>
      </w:r>
      <w:r>
        <w:rPr>
          <w:rFonts w:hint="eastAsia" w:ascii="宋体" w:hAnsi="宋体" w:cs="宋体"/>
          <w:sz w:val="24"/>
        </w:rPr>
        <w:t>天。</w:t>
      </w:r>
    </w:p>
    <w:p>
      <w:pPr>
        <w:overflowPunct w:val="0"/>
        <w:spacing w:line="440" w:lineRule="exact"/>
        <w:ind w:firstLine="480" w:firstLineChars="200"/>
        <w:rPr>
          <w:rFonts w:ascii="宋体" w:hAnsi="宋体" w:cs="宋体"/>
          <w:sz w:val="24"/>
        </w:rPr>
      </w:pPr>
      <w:r>
        <w:rPr>
          <w:rFonts w:hint="eastAsia" w:ascii="宋体" w:hAnsi="宋体" w:cs="宋体"/>
          <w:sz w:val="24"/>
        </w:rPr>
        <w:t>7.2 在特殊情况下，采购方可与投标人协商延长投标文件的有效期。</w:t>
      </w:r>
    </w:p>
    <w:p>
      <w:pPr>
        <w:spacing w:line="440" w:lineRule="exact"/>
        <w:ind w:firstLine="482" w:firstLineChars="200"/>
        <w:rPr>
          <w:rFonts w:ascii="宋体" w:hAnsi="宋体" w:cs="宋体"/>
          <w:b/>
          <w:sz w:val="24"/>
        </w:rPr>
      </w:pPr>
      <w:r>
        <w:rPr>
          <w:rFonts w:hint="eastAsia" w:ascii="宋体" w:hAnsi="宋体" w:cs="宋体"/>
          <w:b/>
          <w:sz w:val="24"/>
        </w:rPr>
        <w:t>8、投标文件的签署规定</w:t>
      </w:r>
    </w:p>
    <w:p>
      <w:pPr>
        <w:overflowPunct w:val="0"/>
        <w:spacing w:line="440" w:lineRule="exact"/>
        <w:ind w:firstLine="480" w:firstLineChars="200"/>
        <w:rPr>
          <w:rFonts w:ascii="宋体" w:hAnsi="宋体" w:cs="宋体"/>
          <w:sz w:val="24"/>
        </w:rPr>
      </w:pPr>
      <w:r>
        <w:rPr>
          <w:rFonts w:hint="eastAsia" w:ascii="宋体" w:hAnsi="宋体" w:cs="宋体"/>
          <w:sz w:val="24"/>
        </w:rPr>
        <w:t>8.1投标文件的页面必须用印刷体打印。</w:t>
      </w:r>
    </w:p>
    <w:p>
      <w:pPr>
        <w:overflowPunct w:val="0"/>
        <w:spacing w:line="440" w:lineRule="exact"/>
        <w:ind w:firstLine="480" w:firstLineChars="200"/>
        <w:rPr>
          <w:rFonts w:ascii="宋体" w:hAnsi="宋体" w:cs="宋体"/>
          <w:sz w:val="24"/>
        </w:rPr>
      </w:pPr>
      <w:r>
        <w:rPr>
          <w:rFonts w:hint="eastAsia" w:ascii="宋体" w:hAnsi="宋体" w:cs="宋体"/>
          <w:sz w:val="24"/>
        </w:rPr>
        <w:t>8.2投标文件应清楚工整，一般不准修改。个别非实质性修改之处应由投标人的被授权人或法人代表签章。</w:t>
      </w:r>
    </w:p>
    <w:p>
      <w:pPr>
        <w:overflowPunct w:val="0"/>
        <w:spacing w:line="440" w:lineRule="exact"/>
        <w:ind w:firstLine="480" w:firstLineChars="200"/>
        <w:rPr>
          <w:rFonts w:ascii="宋体" w:hAnsi="宋体" w:cs="宋体"/>
          <w:sz w:val="24"/>
        </w:rPr>
      </w:pPr>
      <w:r>
        <w:rPr>
          <w:rFonts w:hint="eastAsia" w:ascii="宋体" w:hAnsi="宋体" w:cs="宋体"/>
          <w:sz w:val="24"/>
        </w:rPr>
        <w:t>8.3投标文件应由法人代表或授权代表逐页签署并加盖单位公章。所有投标人签字、法人代表签字、法人代表授权人签字和其它签字处必须加盖具有法律效力的投标人的印章后，投标文件方为有效。</w:t>
      </w:r>
    </w:p>
    <w:p>
      <w:pPr>
        <w:overflowPunct w:val="0"/>
        <w:spacing w:line="440" w:lineRule="exact"/>
        <w:ind w:firstLine="480" w:firstLineChars="200"/>
        <w:rPr>
          <w:rFonts w:hint="eastAsia" w:ascii="宋体" w:hAnsi="宋体" w:eastAsia="宋体" w:cs="宋体"/>
          <w:sz w:val="24"/>
          <w:lang w:eastAsia="zh-CN"/>
        </w:rPr>
      </w:pPr>
      <w:r>
        <w:rPr>
          <w:rFonts w:hint="eastAsia" w:ascii="宋体" w:hAnsi="宋体" w:cs="宋体"/>
          <w:sz w:val="24"/>
        </w:rPr>
        <w:t>8.4所有投标文件必须提交纸制版正本一套和副本</w:t>
      </w:r>
      <w:r>
        <w:rPr>
          <w:rFonts w:hint="eastAsia" w:ascii="宋体" w:hAnsi="宋体" w:cs="宋体"/>
          <w:sz w:val="24"/>
          <w:lang w:eastAsia="zh-CN"/>
        </w:rPr>
        <w:t>三</w:t>
      </w:r>
      <w:r>
        <w:rPr>
          <w:rFonts w:hint="eastAsia" w:ascii="宋体" w:hAnsi="宋体" w:cs="宋体"/>
          <w:sz w:val="24"/>
        </w:rPr>
        <w:t>套，电子版一份，（投标文件一律不退），并在封面标记“正本”和“副本”。</w:t>
      </w:r>
      <w:r>
        <w:rPr>
          <w:rFonts w:hint="eastAsia" w:ascii="宋体" w:hAnsi="宋体" w:cs="宋体"/>
          <w:sz w:val="24"/>
          <w:lang w:eastAsia="zh-CN"/>
        </w:rPr>
        <w:t>（标后提交）</w:t>
      </w:r>
    </w:p>
    <w:p>
      <w:pPr>
        <w:overflowPunct w:val="0"/>
        <w:spacing w:line="440" w:lineRule="exact"/>
        <w:ind w:firstLine="480" w:firstLineChars="200"/>
        <w:rPr>
          <w:rFonts w:ascii="宋体" w:hAnsi="宋体" w:cs="宋体"/>
          <w:sz w:val="24"/>
        </w:rPr>
      </w:pPr>
      <w:r>
        <w:rPr>
          <w:rFonts w:hint="eastAsia" w:ascii="宋体" w:hAnsi="宋体" w:cs="宋体"/>
          <w:sz w:val="24"/>
        </w:rPr>
        <w:t>8.5投标文件的正本与副本应当完全一致。当正本和副本之间出现差异时，以正本为准。</w:t>
      </w:r>
    </w:p>
    <w:p>
      <w:pPr>
        <w:overflowPunct w:val="0"/>
        <w:spacing w:line="440" w:lineRule="exact"/>
        <w:ind w:firstLine="480" w:firstLineChars="200"/>
        <w:rPr>
          <w:rFonts w:ascii="宋体" w:hAnsi="宋体" w:cs="宋体"/>
          <w:sz w:val="24"/>
        </w:rPr>
      </w:pPr>
      <w:r>
        <w:rPr>
          <w:rFonts w:hint="eastAsia" w:ascii="宋体" w:hAnsi="宋体" w:cs="宋体"/>
          <w:sz w:val="24"/>
        </w:rPr>
        <w:t>8.6电报、电话、传真、电子邮件等形式的投标概不接受。</w:t>
      </w:r>
    </w:p>
    <w:p>
      <w:pPr>
        <w:spacing w:line="440" w:lineRule="exact"/>
        <w:ind w:firstLine="482" w:firstLineChars="200"/>
        <w:rPr>
          <w:rFonts w:ascii="宋体" w:hAnsi="宋体" w:cs="宋体"/>
          <w:b/>
          <w:sz w:val="24"/>
        </w:rPr>
      </w:pPr>
      <w:r>
        <w:rPr>
          <w:rFonts w:hint="eastAsia" w:ascii="宋体" w:hAnsi="宋体" w:cs="宋体"/>
          <w:b/>
          <w:sz w:val="24"/>
        </w:rPr>
        <w:t>9、投标文件的修改和撤销</w:t>
      </w:r>
    </w:p>
    <w:p>
      <w:pPr>
        <w:overflowPunct w:val="0"/>
        <w:spacing w:line="440" w:lineRule="exact"/>
        <w:ind w:firstLine="480" w:firstLineChars="200"/>
        <w:rPr>
          <w:rFonts w:ascii="宋体" w:hAnsi="宋体" w:cs="宋体"/>
          <w:sz w:val="24"/>
        </w:rPr>
      </w:pPr>
      <w:r>
        <w:rPr>
          <w:rFonts w:hint="eastAsia" w:ascii="宋体" w:hAnsi="宋体" w:cs="宋体"/>
          <w:sz w:val="24"/>
        </w:rPr>
        <w:t>9.1投标人在递交投标文件后，可在规定的投标截止时间之前，对其投标文件以书面通知的形式进行修改或撤销。该通知须有投标代理人的签字，并得到采购方的确认。</w:t>
      </w:r>
    </w:p>
    <w:p>
      <w:pPr>
        <w:overflowPunct w:val="0"/>
        <w:spacing w:line="440" w:lineRule="exact"/>
        <w:ind w:firstLine="480" w:firstLineChars="200"/>
        <w:rPr>
          <w:rFonts w:ascii="宋体" w:hAnsi="宋体" w:cs="宋体"/>
          <w:sz w:val="24"/>
        </w:rPr>
      </w:pPr>
      <w:r>
        <w:rPr>
          <w:rFonts w:hint="eastAsia" w:ascii="宋体" w:hAnsi="宋体" w:cs="宋体"/>
          <w:sz w:val="24"/>
        </w:rPr>
        <w:t>9.2投标人对投标文件修改的书面材料或撤消通知应按招标文件要求进行密封、标注和递交，并注明“修改投标文件”或“撤消投标”字样，修改或撤消的内容须按招标文件的要求签署、盖章，并作为投标文件和组成部分。</w:t>
      </w:r>
    </w:p>
    <w:p>
      <w:pPr>
        <w:overflowPunct w:val="0"/>
        <w:spacing w:line="440" w:lineRule="exact"/>
        <w:ind w:firstLine="480" w:firstLineChars="200"/>
        <w:rPr>
          <w:rFonts w:ascii="宋体" w:hAnsi="宋体" w:cs="宋体"/>
          <w:sz w:val="24"/>
        </w:rPr>
      </w:pPr>
      <w:r>
        <w:rPr>
          <w:rFonts w:hint="eastAsia" w:ascii="宋体" w:hAnsi="宋体" w:cs="宋体"/>
          <w:sz w:val="24"/>
        </w:rPr>
        <w:t>9.3对投标文件修改的书面材料应于投标截止日前送达采购方，投标截止时间以后不得修改投标文件。</w:t>
      </w:r>
    </w:p>
    <w:p>
      <w:pPr>
        <w:overflowPunct w:val="0"/>
        <w:spacing w:line="440" w:lineRule="exact"/>
        <w:ind w:firstLine="480" w:firstLineChars="200"/>
        <w:rPr>
          <w:rFonts w:ascii="宋体" w:hAnsi="宋体" w:cs="宋体"/>
          <w:sz w:val="24"/>
        </w:rPr>
      </w:pPr>
      <w:r>
        <w:rPr>
          <w:rFonts w:hint="eastAsia" w:ascii="宋体" w:hAnsi="宋体" w:cs="宋体"/>
          <w:sz w:val="24"/>
        </w:rPr>
        <w:t>9.4投标人不得在开标后至投标有期满前撤销投标文件。</w:t>
      </w:r>
    </w:p>
    <w:p>
      <w:pPr>
        <w:pStyle w:val="5"/>
        <w:spacing w:before="0" w:after="0" w:line="440" w:lineRule="exact"/>
        <w:jc w:val="center"/>
        <w:rPr>
          <w:rFonts w:ascii="宋体" w:hAnsi="宋体" w:cs="宋体"/>
          <w:sz w:val="24"/>
          <w:szCs w:val="24"/>
        </w:rPr>
      </w:pPr>
      <w:bookmarkStart w:id="16" w:name="_Toc21933"/>
      <w:r>
        <w:rPr>
          <w:rFonts w:hint="eastAsia" w:ascii="宋体" w:hAnsi="宋体" w:cs="宋体"/>
          <w:sz w:val="28"/>
          <w:szCs w:val="28"/>
        </w:rPr>
        <w:t>第三章  投标文件的递交</w:t>
      </w:r>
      <w:bookmarkEnd w:id="16"/>
    </w:p>
    <w:p>
      <w:pPr>
        <w:spacing w:line="440" w:lineRule="exact"/>
        <w:ind w:firstLine="482" w:firstLineChars="200"/>
        <w:rPr>
          <w:rFonts w:hint="eastAsia" w:ascii="宋体" w:hAnsi="宋体" w:eastAsia="宋体" w:cs="宋体"/>
          <w:b/>
          <w:sz w:val="24"/>
          <w:lang w:eastAsia="zh-CN"/>
        </w:rPr>
      </w:pPr>
      <w:r>
        <w:rPr>
          <w:rFonts w:hint="eastAsia" w:ascii="宋体" w:hAnsi="宋体" w:cs="宋体"/>
          <w:b/>
          <w:sz w:val="24"/>
        </w:rPr>
        <w:t>10、投标文件的</w:t>
      </w:r>
      <w:r>
        <w:rPr>
          <w:rFonts w:hint="eastAsia" w:ascii="宋体" w:hAnsi="宋体" w:cs="宋体"/>
          <w:b/>
          <w:sz w:val="24"/>
          <w:lang w:eastAsia="zh-CN"/>
        </w:rPr>
        <w:t>加密</w:t>
      </w:r>
    </w:p>
    <w:p>
      <w:pPr>
        <w:overflowPunct w:val="0"/>
        <w:spacing w:line="4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10.1本项目为政采云不见面开标，</w:t>
      </w:r>
      <w:r>
        <w:rPr>
          <w:rFonts w:hint="eastAsia" w:ascii="宋体" w:hAnsi="宋体" w:cs="宋体"/>
          <w:sz w:val="24"/>
        </w:rPr>
        <w:t>投标人</w:t>
      </w:r>
      <w:r>
        <w:rPr>
          <w:rFonts w:hint="eastAsia" w:ascii="宋体" w:hAnsi="宋体" w:cs="宋体"/>
          <w:sz w:val="24"/>
          <w:lang w:eastAsia="zh-CN"/>
        </w:rPr>
        <w:t>应当在投标截止时间前将加密的投标文件上传至政采云平台，并按时参加开标解密活动。</w:t>
      </w:r>
    </w:p>
    <w:p>
      <w:pPr>
        <w:overflowPunct w:val="0"/>
        <w:spacing w:line="440" w:lineRule="exact"/>
        <w:ind w:firstLine="480" w:firstLineChars="200"/>
        <w:rPr>
          <w:rFonts w:ascii="宋体" w:hAnsi="宋体" w:cs="宋体"/>
          <w:sz w:val="24"/>
        </w:rPr>
      </w:pPr>
      <w:r>
        <w:rPr>
          <w:rFonts w:hint="eastAsia" w:ascii="宋体" w:hAnsi="宋体" w:cs="宋体"/>
          <w:sz w:val="24"/>
        </w:rPr>
        <w:t>10.</w:t>
      </w:r>
      <w:r>
        <w:rPr>
          <w:rFonts w:hint="eastAsia" w:ascii="宋体" w:hAnsi="宋体" w:cs="宋体"/>
          <w:sz w:val="24"/>
          <w:lang w:val="en-US" w:eastAsia="zh-CN"/>
        </w:rPr>
        <w:t>2</w:t>
      </w:r>
      <w:r>
        <w:rPr>
          <w:rFonts w:hint="eastAsia" w:ascii="宋体" w:hAnsi="宋体" w:cs="宋体"/>
          <w:sz w:val="24"/>
        </w:rPr>
        <w:t>发生下列情况之一的投标文件被视为无效：</w:t>
      </w:r>
    </w:p>
    <w:p>
      <w:pPr>
        <w:overflowPunct w:val="0"/>
        <w:spacing w:line="440" w:lineRule="exact"/>
        <w:ind w:firstLine="480" w:firstLineChars="200"/>
        <w:rPr>
          <w:rFonts w:ascii="宋体" w:hAnsi="宋体" w:cs="宋体"/>
          <w:sz w:val="24"/>
        </w:rPr>
      </w:pPr>
      <w:r>
        <w:rPr>
          <w:rFonts w:hint="eastAsia" w:ascii="宋体" w:hAnsi="宋体" w:cs="宋体"/>
          <w:sz w:val="24"/>
        </w:rPr>
        <w:t>（1）投标截止时间以后</w:t>
      </w:r>
      <w:r>
        <w:rPr>
          <w:rFonts w:hint="eastAsia" w:ascii="宋体" w:hAnsi="宋体" w:cs="宋体"/>
          <w:sz w:val="24"/>
          <w:lang w:eastAsia="zh-CN"/>
        </w:rPr>
        <w:t>递交、签到</w:t>
      </w:r>
      <w:r>
        <w:rPr>
          <w:rFonts w:hint="eastAsia" w:ascii="宋体" w:hAnsi="宋体" w:cs="宋体"/>
          <w:sz w:val="24"/>
        </w:rPr>
        <w:t>的投标文件；</w:t>
      </w:r>
    </w:p>
    <w:p>
      <w:pPr>
        <w:overflowPunct w:val="0"/>
        <w:spacing w:line="44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未能按时或成功解密</w:t>
      </w:r>
      <w:r>
        <w:rPr>
          <w:rFonts w:hint="eastAsia" w:ascii="宋体" w:hAnsi="宋体" w:cs="宋体"/>
          <w:sz w:val="24"/>
        </w:rPr>
        <w:t>的投标文件；</w:t>
      </w:r>
    </w:p>
    <w:p>
      <w:pPr>
        <w:overflowPunct w:val="0"/>
        <w:spacing w:line="440" w:lineRule="exact"/>
        <w:ind w:firstLine="480" w:firstLineChars="200"/>
        <w:rPr>
          <w:rFonts w:ascii="宋体" w:hAnsi="宋体" w:cs="宋体"/>
          <w:sz w:val="24"/>
        </w:rPr>
      </w:pPr>
      <w:r>
        <w:rPr>
          <w:rFonts w:hint="eastAsia" w:ascii="宋体" w:hAnsi="宋体" w:cs="宋体"/>
          <w:sz w:val="24"/>
        </w:rPr>
        <w:t>（3）与招标文件有重大偏离的投标文件；</w:t>
      </w:r>
    </w:p>
    <w:p>
      <w:pPr>
        <w:overflowPunct w:val="0"/>
        <w:spacing w:line="440" w:lineRule="exact"/>
        <w:ind w:firstLine="480" w:firstLineChars="200"/>
        <w:rPr>
          <w:rFonts w:ascii="宋体" w:hAnsi="宋体" w:cs="宋体"/>
          <w:sz w:val="24"/>
        </w:rPr>
      </w:pPr>
      <w:r>
        <w:rPr>
          <w:rFonts w:hint="eastAsia" w:ascii="宋体" w:hAnsi="宋体" w:cs="宋体"/>
          <w:sz w:val="24"/>
        </w:rPr>
        <w:t>（4）投标文件应盖而未盖公章或非本公司公章的、不按正确位置盖章的；未装订、未密封、法定代表人授权书、资格声明函等填写不完整或有涂改未加盖公章的；</w:t>
      </w:r>
    </w:p>
    <w:p>
      <w:pPr>
        <w:overflowPunct w:val="0"/>
        <w:spacing w:line="440" w:lineRule="exact"/>
        <w:ind w:firstLine="480" w:firstLineChars="200"/>
        <w:rPr>
          <w:rFonts w:ascii="宋体" w:hAnsi="宋体" w:cs="宋体"/>
          <w:sz w:val="24"/>
        </w:rPr>
      </w:pPr>
      <w:r>
        <w:rPr>
          <w:rFonts w:hint="eastAsia" w:ascii="宋体" w:hAnsi="宋体" w:cs="宋体"/>
          <w:sz w:val="24"/>
        </w:rPr>
        <w:t>（5）无“报价一览表”的投标文件；</w:t>
      </w:r>
    </w:p>
    <w:p>
      <w:pPr>
        <w:overflowPunct w:val="0"/>
        <w:spacing w:line="440" w:lineRule="exact"/>
        <w:ind w:firstLine="480" w:firstLineChars="200"/>
        <w:rPr>
          <w:rFonts w:ascii="宋体" w:hAnsi="宋体" w:cs="宋体"/>
          <w:sz w:val="24"/>
        </w:rPr>
      </w:pPr>
      <w:r>
        <w:rPr>
          <w:rFonts w:hint="eastAsia" w:ascii="宋体" w:hAnsi="宋体" w:cs="宋体"/>
          <w:sz w:val="24"/>
        </w:rPr>
        <w:t>（6）“报价一览表”没有加盖公章的；</w:t>
      </w:r>
    </w:p>
    <w:p>
      <w:pPr>
        <w:overflowPunct w:val="0"/>
        <w:spacing w:line="440" w:lineRule="exact"/>
        <w:ind w:firstLine="480" w:firstLineChars="200"/>
        <w:rPr>
          <w:rFonts w:ascii="宋体" w:hAnsi="宋体" w:cs="宋体"/>
          <w:sz w:val="24"/>
        </w:rPr>
      </w:pPr>
      <w:r>
        <w:rPr>
          <w:rFonts w:hint="eastAsia" w:ascii="宋体" w:hAnsi="宋体" w:cs="宋体"/>
          <w:sz w:val="24"/>
        </w:rPr>
        <w:t>（7）出现影响采购公正的违法违规行为的投标性文件；</w:t>
      </w:r>
    </w:p>
    <w:p>
      <w:pPr>
        <w:spacing w:line="440" w:lineRule="exact"/>
        <w:ind w:firstLine="482" w:firstLineChars="200"/>
        <w:rPr>
          <w:rFonts w:ascii="宋体" w:hAnsi="宋体" w:cs="宋体"/>
          <w:b/>
          <w:sz w:val="24"/>
        </w:rPr>
      </w:pPr>
      <w:r>
        <w:rPr>
          <w:rFonts w:hint="eastAsia" w:ascii="宋体" w:hAnsi="宋体" w:cs="宋体"/>
          <w:b/>
          <w:sz w:val="24"/>
        </w:rPr>
        <w:t>11、投标文件递交截止时间及开标时间和地点</w:t>
      </w:r>
    </w:p>
    <w:p>
      <w:pPr>
        <w:spacing w:line="4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11.1 投标文件递交截止时间</w:t>
      </w:r>
      <w:r>
        <w:rPr>
          <w:rFonts w:hint="eastAsia" w:ascii="宋体" w:hAnsi="宋体" w:cs="宋体"/>
          <w:b/>
          <w:sz w:val="24"/>
        </w:rPr>
        <w:t>：</w:t>
      </w:r>
      <w:r>
        <w:rPr>
          <w:rFonts w:hint="eastAsia" w:ascii="宋体" w:hAnsi="宋体" w:cs="宋体"/>
          <w:sz w:val="24"/>
          <w:u w:val="single"/>
        </w:rPr>
        <w:t>详见投标人须知前附表</w:t>
      </w:r>
      <w:r>
        <w:rPr>
          <w:rFonts w:hint="eastAsia" w:ascii="宋体" w:hAnsi="宋体" w:cs="宋体"/>
          <w:b/>
          <w:sz w:val="24"/>
        </w:rPr>
        <w:t>。投标文件以</w:t>
      </w:r>
      <w:r>
        <w:rPr>
          <w:rFonts w:hint="eastAsia" w:ascii="宋体" w:hAnsi="宋体" w:cs="宋体"/>
          <w:b/>
          <w:sz w:val="24"/>
          <w:lang w:eastAsia="zh-CN"/>
        </w:rPr>
        <w:t>加密</w:t>
      </w:r>
      <w:r>
        <w:rPr>
          <w:rFonts w:hint="eastAsia" w:ascii="宋体" w:hAnsi="宋体" w:cs="宋体"/>
          <w:b/>
          <w:sz w:val="24"/>
        </w:rPr>
        <w:t>形式</w:t>
      </w:r>
      <w:r>
        <w:rPr>
          <w:rFonts w:hint="eastAsia" w:ascii="宋体" w:hAnsi="宋体" w:cs="宋体"/>
          <w:b/>
          <w:sz w:val="24"/>
          <w:lang w:eastAsia="zh-CN"/>
        </w:rPr>
        <w:t>上传</w:t>
      </w:r>
      <w:r>
        <w:rPr>
          <w:rFonts w:hint="eastAsia" w:ascii="宋体" w:hAnsi="宋体" w:cs="宋体"/>
          <w:b/>
          <w:sz w:val="24"/>
        </w:rPr>
        <w:t>至开标地点。</w:t>
      </w:r>
    </w:p>
    <w:p>
      <w:pPr>
        <w:spacing w:line="4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11.2 开标时间：同投标文件递交截止时间。</w:t>
      </w:r>
    </w:p>
    <w:p>
      <w:pPr>
        <w:spacing w:line="4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11.3 开标地点：</w:t>
      </w:r>
      <w:r>
        <w:rPr>
          <w:rFonts w:hint="eastAsia" w:ascii="宋体" w:hAnsi="宋体" w:cs="宋体"/>
          <w:sz w:val="24"/>
          <w:u w:val="single"/>
        </w:rPr>
        <w:t>详见投标人须知前附表</w:t>
      </w:r>
    </w:p>
    <w:p>
      <w:pPr>
        <w:spacing w:line="440" w:lineRule="exact"/>
        <w:ind w:firstLine="480" w:firstLineChars="200"/>
        <w:rPr>
          <w:rFonts w:ascii="宋体" w:hAnsi="宋体" w:cs="宋体"/>
          <w:sz w:val="24"/>
        </w:rPr>
      </w:pPr>
      <w:r>
        <w:rPr>
          <w:rFonts w:hint="eastAsia" w:ascii="宋体" w:hAnsi="宋体" w:cs="宋体"/>
          <w:sz w:val="24"/>
        </w:rPr>
        <w:t>11.4 所有投标文件都必须在采购方规定的投标截止时间之前</w:t>
      </w:r>
      <w:r>
        <w:rPr>
          <w:rFonts w:hint="eastAsia" w:ascii="宋体" w:hAnsi="宋体" w:cs="宋体"/>
          <w:sz w:val="24"/>
          <w:lang w:eastAsia="zh-CN"/>
        </w:rPr>
        <w:t>上传</w:t>
      </w:r>
      <w:r>
        <w:rPr>
          <w:rFonts w:hint="eastAsia" w:ascii="宋体" w:hAnsi="宋体" w:cs="宋体"/>
          <w:sz w:val="24"/>
        </w:rPr>
        <w:t>政采云不见面开评标系统，在此之后投标文件，为无效投标，投标文件将一律被拒绝。</w:t>
      </w:r>
    </w:p>
    <w:p>
      <w:pPr>
        <w:spacing w:line="440" w:lineRule="exact"/>
        <w:ind w:firstLine="480" w:firstLineChars="200"/>
        <w:rPr>
          <w:rFonts w:ascii="宋体" w:hAnsi="宋体" w:cs="宋体"/>
          <w:sz w:val="24"/>
        </w:rPr>
      </w:pPr>
      <w:r>
        <w:rPr>
          <w:rFonts w:hint="eastAsia" w:ascii="宋体" w:hAnsi="宋体" w:cs="宋体"/>
          <w:sz w:val="24"/>
        </w:rPr>
        <w:t>11.5 出现因招标文件的修改而推迟投标截止时间的情况时，投标人则须按采购方的书面修改通知重新规定的投标时间递交。</w:t>
      </w:r>
    </w:p>
    <w:p>
      <w:pPr>
        <w:spacing w:line="440" w:lineRule="exact"/>
        <w:ind w:firstLine="482" w:firstLineChars="200"/>
        <w:rPr>
          <w:rFonts w:hint="eastAsia" w:ascii="宋体" w:hAnsi="宋体" w:eastAsia="宋体" w:cs="宋体"/>
          <w:b/>
          <w:sz w:val="24"/>
          <w:lang w:eastAsia="zh-CN"/>
        </w:rPr>
      </w:pPr>
      <w:r>
        <w:rPr>
          <w:rFonts w:hint="eastAsia" w:ascii="宋体" w:hAnsi="宋体" w:cs="宋体"/>
          <w:b/>
          <w:sz w:val="24"/>
        </w:rPr>
        <w:t>12、投标保证金</w:t>
      </w:r>
      <w:r>
        <w:rPr>
          <w:rFonts w:hint="eastAsia" w:ascii="宋体" w:hAnsi="宋体" w:cs="宋体"/>
          <w:b/>
          <w:sz w:val="24"/>
          <w:lang w:eastAsia="zh-CN"/>
        </w:rPr>
        <w:t>（</w:t>
      </w:r>
      <w:r>
        <w:rPr>
          <w:rFonts w:hint="eastAsia" w:ascii="宋体" w:hAnsi="宋体" w:cs="宋体"/>
          <w:b/>
          <w:sz w:val="24"/>
          <w:lang w:val="en-US" w:eastAsia="zh-CN"/>
        </w:rPr>
        <w:t>本项目不作要求</w:t>
      </w:r>
      <w:r>
        <w:rPr>
          <w:rFonts w:hint="eastAsia" w:ascii="宋体" w:hAnsi="宋体" w:cs="宋体"/>
          <w:b/>
          <w:sz w:val="24"/>
          <w:lang w:eastAsia="zh-CN"/>
        </w:rPr>
        <w:t>）</w:t>
      </w:r>
    </w:p>
    <w:p>
      <w:pPr>
        <w:spacing w:line="440" w:lineRule="exact"/>
        <w:ind w:firstLine="480" w:firstLineChars="200"/>
        <w:rPr>
          <w:rFonts w:ascii="宋体" w:hAnsi="宋体" w:cs="宋体"/>
          <w:sz w:val="24"/>
        </w:rPr>
      </w:pPr>
      <w:r>
        <w:rPr>
          <w:rFonts w:hint="eastAsia" w:ascii="宋体" w:hAnsi="宋体" w:cs="宋体"/>
          <w:sz w:val="24"/>
        </w:rPr>
        <w:t>12.1 投标保证金是为了保护采购方免遭因投标人的行为而蒙受损失。采购方在因投标人的行为受到损害时可根据本须知的规定没收投标人的投标保证金。</w:t>
      </w:r>
    </w:p>
    <w:p>
      <w:pPr>
        <w:spacing w:line="440" w:lineRule="exact"/>
        <w:ind w:firstLine="480" w:firstLineChars="200"/>
        <w:rPr>
          <w:rFonts w:ascii="宋体" w:hAnsi="宋体" w:cs="宋体"/>
          <w:sz w:val="24"/>
        </w:rPr>
      </w:pPr>
      <w:r>
        <w:rPr>
          <w:rFonts w:hint="eastAsia" w:ascii="宋体" w:hAnsi="宋体" w:cs="宋体"/>
          <w:sz w:val="24"/>
        </w:rPr>
        <w:t>12.2 投标保证金的货币为人民币，并采用电汇，支票等形式交纳，如电汇产生的一切费用由投标人自行承担。</w:t>
      </w:r>
    </w:p>
    <w:p>
      <w:pPr>
        <w:spacing w:line="440" w:lineRule="exact"/>
        <w:ind w:firstLine="480" w:firstLineChars="200"/>
        <w:rPr>
          <w:rFonts w:ascii="宋体" w:hAnsi="宋体" w:cs="宋体"/>
          <w:sz w:val="24"/>
        </w:rPr>
      </w:pPr>
      <w:r>
        <w:rPr>
          <w:rFonts w:hint="eastAsia" w:ascii="宋体" w:hAnsi="宋体" w:cs="宋体"/>
          <w:sz w:val="24"/>
        </w:rPr>
        <w:t xml:space="preserve">12.3 </w:t>
      </w:r>
      <w:r>
        <w:rPr>
          <w:rFonts w:hint="eastAsia" w:ascii="宋体" w:hAnsi="宋体" w:cs="宋体"/>
          <w:b/>
          <w:bCs/>
          <w:sz w:val="24"/>
        </w:rPr>
        <w:t>投标保证金金额：</w:t>
      </w:r>
      <w:r>
        <w:rPr>
          <w:rFonts w:hint="eastAsia" w:ascii="宋体" w:hAnsi="宋体" w:cs="宋体"/>
          <w:sz w:val="24"/>
          <w:u w:val="single"/>
        </w:rPr>
        <w:t>详见投标人须知前附表</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12.4 递交投标保证金截止时间：</w:t>
      </w:r>
      <w:r>
        <w:rPr>
          <w:rFonts w:hint="eastAsia" w:ascii="宋体" w:hAnsi="宋体" w:cs="宋体"/>
          <w:sz w:val="24"/>
          <w:u w:val="single"/>
        </w:rPr>
        <w:t>详见投标人须知前附表</w:t>
      </w:r>
      <w:r>
        <w:rPr>
          <w:rFonts w:hint="eastAsia" w:ascii="宋体" w:hAnsi="宋体" w:cs="宋体"/>
          <w:color w:val="000000" w:themeColor="text1"/>
          <w:sz w:val="24"/>
          <w14:textFill>
            <w14:solidFill>
              <w14:schemeClr w14:val="tx1"/>
            </w14:solidFill>
          </w14:textFill>
        </w:rPr>
        <w:t>，凡未提交投标保证金的投标，将视为自动放弃投标，投标将被拒绝。</w:t>
      </w:r>
    </w:p>
    <w:p>
      <w:pPr>
        <w:spacing w:line="440" w:lineRule="exact"/>
        <w:ind w:firstLine="480" w:firstLineChars="200"/>
        <w:rPr>
          <w:rFonts w:ascii="宋体" w:hAnsi="宋体" w:cs="宋体"/>
          <w:sz w:val="24"/>
        </w:rPr>
      </w:pPr>
      <w:r>
        <w:rPr>
          <w:rFonts w:hint="eastAsia" w:ascii="宋体" w:hAnsi="宋体" w:cs="宋体"/>
          <w:sz w:val="24"/>
        </w:rPr>
        <w:t>12.5 资格审查时没有提供投标保证金递交证明的投标，将被视为非响应性投标予以拒绝。</w:t>
      </w:r>
    </w:p>
    <w:p>
      <w:pPr>
        <w:spacing w:line="440" w:lineRule="exact"/>
        <w:ind w:firstLine="480" w:firstLineChars="200"/>
        <w:rPr>
          <w:rFonts w:ascii="宋体" w:hAnsi="宋体" w:cs="宋体"/>
          <w:sz w:val="24"/>
        </w:rPr>
      </w:pPr>
      <w:r>
        <w:rPr>
          <w:rFonts w:hint="eastAsia" w:ascii="宋体" w:hAnsi="宋体" w:cs="宋体"/>
          <w:sz w:val="24"/>
        </w:rPr>
        <w:t>12.6 中标人的投标保证金在合同签订后7个工作日内退还。</w:t>
      </w:r>
    </w:p>
    <w:p>
      <w:pPr>
        <w:spacing w:line="440" w:lineRule="exact"/>
        <w:ind w:firstLine="480" w:firstLineChars="200"/>
        <w:rPr>
          <w:rFonts w:ascii="宋体" w:hAnsi="宋体" w:cs="宋体"/>
          <w:sz w:val="24"/>
        </w:rPr>
      </w:pPr>
      <w:r>
        <w:rPr>
          <w:rFonts w:hint="eastAsia" w:ascii="宋体" w:hAnsi="宋体" w:cs="宋体"/>
          <w:sz w:val="24"/>
        </w:rPr>
        <w:t>12.7 下列任何情况发生时，投标保证金将不予退还。</w:t>
      </w:r>
    </w:p>
    <w:p>
      <w:pPr>
        <w:spacing w:line="440" w:lineRule="exact"/>
        <w:ind w:firstLine="480" w:firstLineChars="200"/>
        <w:rPr>
          <w:rFonts w:ascii="宋体" w:hAnsi="宋体" w:cs="宋体"/>
          <w:sz w:val="24"/>
        </w:rPr>
      </w:pPr>
      <w:r>
        <w:rPr>
          <w:rFonts w:hint="eastAsia" w:ascii="宋体" w:hAnsi="宋体" w:cs="宋体"/>
          <w:sz w:val="24"/>
        </w:rPr>
        <w:t>(1)  投标人在提交投标文件截止时间后撤回投标文件的；</w:t>
      </w:r>
    </w:p>
    <w:p>
      <w:pPr>
        <w:spacing w:line="440" w:lineRule="exact"/>
        <w:ind w:firstLine="480" w:firstLineChars="200"/>
        <w:rPr>
          <w:rFonts w:ascii="宋体" w:hAnsi="宋体" w:cs="宋体"/>
          <w:sz w:val="24"/>
        </w:rPr>
      </w:pPr>
      <w:r>
        <w:rPr>
          <w:rFonts w:hint="eastAsia" w:ascii="宋体" w:hAnsi="宋体" w:cs="宋体"/>
          <w:sz w:val="24"/>
        </w:rPr>
        <w:t>(2)  投标人在投标文件中提供虚假材料的；</w:t>
      </w:r>
    </w:p>
    <w:p>
      <w:pPr>
        <w:spacing w:line="440" w:lineRule="exact"/>
        <w:ind w:firstLine="480" w:firstLineChars="200"/>
        <w:rPr>
          <w:rFonts w:ascii="宋体" w:hAnsi="宋体" w:cs="宋体"/>
          <w:sz w:val="24"/>
        </w:rPr>
      </w:pPr>
      <w:r>
        <w:rPr>
          <w:rFonts w:hint="eastAsia" w:ascii="宋体" w:hAnsi="宋体" w:cs="宋体"/>
          <w:sz w:val="24"/>
        </w:rPr>
        <w:t>(3)  除因不可抗力或招标文件认可的情形外中标投标人不与采购人签订合同的；</w:t>
      </w:r>
    </w:p>
    <w:p>
      <w:pPr>
        <w:spacing w:line="440" w:lineRule="exact"/>
        <w:ind w:firstLine="480" w:firstLineChars="200"/>
        <w:rPr>
          <w:rFonts w:ascii="宋体" w:hAnsi="宋体" w:cs="宋体"/>
          <w:sz w:val="24"/>
        </w:rPr>
      </w:pPr>
      <w:r>
        <w:rPr>
          <w:rFonts w:hint="eastAsia" w:ascii="宋体" w:hAnsi="宋体" w:cs="宋体"/>
          <w:sz w:val="24"/>
        </w:rPr>
        <w:t>(4)  投标人与采购人、其他投标人或者采购代理机构恶意串通的；</w:t>
      </w:r>
    </w:p>
    <w:p>
      <w:pPr>
        <w:spacing w:line="440" w:lineRule="exact"/>
        <w:ind w:firstLine="480" w:firstLineChars="200"/>
        <w:rPr>
          <w:rFonts w:ascii="宋体" w:hAnsi="宋体" w:cs="宋体"/>
          <w:sz w:val="24"/>
        </w:rPr>
      </w:pPr>
      <w:r>
        <w:rPr>
          <w:rFonts w:hint="eastAsia" w:ascii="宋体" w:hAnsi="宋体" w:cs="宋体"/>
          <w:sz w:val="24"/>
        </w:rPr>
        <w:t>(5)  本招标文件中或《政府采购货物和服务招标投标管理办法》第七十五条规定的其他不予退还投标保证金的情形。</w:t>
      </w:r>
    </w:p>
    <w:p>
      <w:pPr>
        <w:spacing w:line="440" w:lineRule="exact"/>
        <w:ind w:firstLine="480" w:firstLineChars="200"/>
        <w:rPr>
          <w:rFonts w:ascii="宋体" w:hAnsi="宋体" w:cs="宋体"/>
          <w:sz w:val="24"/>
        </w:rPr>
      </w:pPr>
      <w:r>
        <w:rPr>
          <w:rFonts w:hint="eastAsia" w:ascii="宋体" w:hAnsi="宋体" w:cs="宋体"/>
          <w:sz w:val="24"/>
        </w:rPr>
        <w:t>上述不予退还投标保证金的情况并给代理机构造成损失的，还要承担赔偿责任。</w:t>
      </w:r>
    </w:p>
    <w:p>
      <w:pPr>
        <w:pStyle w:val="5"/>
        <w:spacing w:before="0" w:after="0" w:line="440" w:lineRule="exact"/>
        <w:jc w:val="center"/>
        <w:rPr>
          <w:rFonts w:ascii="宋体" w:hAnsi="宋体" w:cs="宋体"/>
          <w:sz w:val="28"/>
          <w:szCs w:val="28"/>
        </w:rPr>
      </w:pPr>
      <w:bookmarkStart w:id="17" w:name="_Toc10048"/>
      <w:r>
        <w:rPr>
          <w:rFonts w:hint="eastAsia" w:ascii="宋体" w:hAnsi="宋体" w:cs="宋体"/>
          <w:sz w:val="28"/>
          <w:szCs w:val="28"/>
        </w:rPr>
        <w:t>第四章  开标</w:t>
      </w:r>
      <w:r>
        <w:rPr>
          <w:rFonts w:hint="eastAsia" w:ascii="宋体" w:hAnsi="宋体" w:cs="宋体"/>
          <w:sz w:val="28"/>
          <w:szCs w:val="28"/>
          <w:lang w:eastAsia="zh-CN"/>
        </w:rPr>
        <w:t>（</w:t>
      </w:r>
      <w:r>
        <w:rPr>
          <w:rFonts w:hint="eastAsia" w:ascii="宋体" w:hAnsi="宋体" w:cs="宋体"/>
          <w:sz w:val="28"/>
          <w:szCs w:val="28"/>
        </w:rPr>
        <w:t>政采云不见面开标</w:t>
      </w:r>
      <w:r>
        <w:rPr>
          <w:rFonts w:hint="eastAsia" w:ascii="宋体" w:hAnsi="宋体" w:cs="宋体"/>
          <w:sz w:val="28"/>
          <w:szCs w:val="28"/>
          <w:lang w:eastAsia="zh-CN"/>
        </w:rPr>
        <w:t>）</w:t>
      </w:r>
      <w:bookmarkEnd w:id="17"/>
    </w:p>
    <w:p>
      <w:pPr>
        <w:spacing w:line="440" w:lineRule="exact"/>
        <w:ind w:firstLine="482" w:firstLineChars="200"/>
        <w:jc w:val="left"/>
        <w:rPr>
          <w:rFonts w:ascii="宋体" w:hAnsi="宋体" w:cs="宋体"/>
          <w:b/>
          <w:sz w:val="24"/>
          <w:lang w:bidi="en-US"/>
        </w:rPr>
      </w:pPr>
      <w:r>
        <w:rPr>
          <w:rFonts w:hint="eastAsia" w:ascii="宋体" w:hAnsi="宋体" w:cs="宋体"/>
          <w:b/>
          <w:sz w:val="24"/>
          <w:lang w:bidi="en-US"/>
        </w:rPr>
        <w:t>13、开标</w:t>
      </w:r>
    </w:p>
    <w:p>
      <w:pPr>
        <w:spacing w:line="440" w:lineRule="exact"/>
        <w:ind w:firstLine="480" w:firstLineChars="200"/>
        <w:jc w:val="left"/>
        <w:rPr>
          <w:rFonts w:ascii="宋体" w:hAnsi="宋体" w:cs="宋体"/>
          <w:sz w:val="24"/>
          <w:lang w:bidi="zh-CN"/>
        </w:rPr>
      </w:pPr>
      <w:r>
        <w:rPr>
          <w:rFonts w:hint="eastAsia" w:ascii="宋体" w:hAnsi="宋体" w:cs="宋体"/>
          <w:sz w:val="24"/>
          <w:lang w:bidi="en-US"/>
        </w:rPr>
        <w:t>13.1</w:t>
      </w:r>
      <w:r>
        <w:rPr>
          <w:rFonts w:hint="eastAsia" w:ascii="宋体" w:hAnsi="宋体" w:cs="宋体"/>
          <w:sz w:val="24"/>
          <w:lang w:bidi="zh-CN"/>
        </w:rPr>
        <w:t>招标代理机构在“投标人须知前列表”中规定的日期、时间和地点组织招标会，邀请所有投标人参加。所有投标人的法定代表人或其授权代表人均应持本人身份证（授权代表人还需持授权委托书）准时出席，并在开标记录上签名确认。投标人少于3家的不得开标，招标人应当重新招标。投标人如不派代表参加的，事后不得对釆购相关人员、招标过程和招标结果提出异议。</w:t>
      </w:r>
    </w:p>
    <w:p>
      <w:pPr>
        <w:spacing w:line="440" w:lineRule="exact"/>
        <w:ind w:firstLine="480" w:firstLineChars="200"/>
        <w:jc w:val="left"/>
        <w:rPr>
          <w:rFonts w:ascii="宋体" w:hAnsi="宋体" w:cs="宋体"/>
          <w:sz w:val="24"/>
          <w:lang w:bidi="zh-CN"/>
        </w:rPr>
      </w:pPr>
      <w:r>
        <w:rPr>
          <w:rFonts w:hint="eastAsia" w:ascii="宋体" w:hAnsi="宋体" w:cs="宋体"/>
          <w:sz w:val="24"/>
          <w:lang w:bidi="zh-CN"/>
        </w:rPr>
        <w:t>13.2开标会议由招标代理人组织并主持。开标会上将按照投标人递交文件的逆顺序公布投标人名称、投标担保、投标报价、服务期限和其他需宣布的内容等。</w:t>
      </w:r>
    </w:p>
    <w:p>
      <w:pPr>
        <w:spacing w:line="440" w:lineRule="exact"/>
        <w:ind w:firstLine="480" w:firstLineChars="200"/>
        <w:jc w:val="left"/>
        <w:rPr>
          <w:rFonts w:ascii="宋体" w:hAnsi="宋体" w:cs="宋体"/>
          <w:sz w:val="24"/>
          <w:lang w:bidi="zh-CN"/>
        </w:rPr>
      </w:pPr>
      <w:r>
        <w:rPr>
          <w:rFonts w:hint="eastAsia" w:ascii="宋体" w:hAnsi="宋体" w:cs="宋体"/>
          <w:sz w:val="24"/>
          <w:lang w:bidi="zh-CN"/>
        </w:rPr>
        <w:t>13.3不同投标人的投标文件异常一致或者投标报价呈规律性差异的，视为投标人相互串通投标，评标委员会应当否决其投标，招投标监督管理机构依法追究投标人及相关人员责任。</w:t>
      </w:r>
    </w:p>
    <w:p>
      <w:pPr>
        <w:spacing w:line="440" w:lineRule="exact"/>
        <w:ind w:firstLine="480" w:firstLineChars="200"/>
        <w:jc w:val="left"/>
        <w:rPr>
          <w:rFonts w:ascii="宋体" w:hAnsi="宋体" w:cs="宋体"/>
          <w:sz w:val="24"/>
          <w:lang w:bidi="zh-CN"/>
        </w:rPr>
      </w:pPr>
      <w:r>
        <w:rPr>
          <w:rFonts w:hint="eastAsia" w:ascii="宋体" w:hAnsi="宋体" w:cs="宋体"/>
          <w:sz w:val="24"/>
          <w:lang w:bidi="zh-CN"/>
        </w:rPr>
        <w:t>13.4招标代理人负责开标会议记录并归档。若招标代理人宣读的内容与投标文件不符时，投标人有权在开标现场提出异议，招标人应当当场做出答复，并进行记录。经招标监督部门当场核查确认后，招标代理人应重新宣读其投标文件。投标人的法定代表人或其授权代表人应在开标记录上签名确认。</w:t>
      </w:r>
    </w:p>
    <w:p>
      <w:pPr>
        <w:spacing w:line="440" w:lineRule="exact"/>
        <w:ind w:firstLine="361" w:firstLineChars="150"/>
        <w:jc w:val="left"/>
        <w:rPr>
          <w:rFonts w:ascii="宋体" w:hAnsi="宋体" w:cs="宋体"/>
          <w:b/>
          <w:sz w:val="24"/>
          <w:lang w:bidi="en-US"/>
        </w:rPr>
      </w:pPr>
      <w:r>
        <w:rPr>
          <w:rFonts w:hint="eastAsia" w:ascii="宋体" w:hAnsi="宋体" w:cs="宋体"/>
          <w:b/>
          <w:sz w:val="24"/>
          <w:lang w:bidi="en-US"/>
        </w:rPr>
        <w:t>14、招标会议程序</w:t>
      </w:r>
    </w:p>
    <w:p>
      <w:pPr>
        <w:spacing w:line="440" w:lineRule="exact"/>
        <w:ind w:firstLine="360" w:firstLineChars="150"/>
        <w:rPr>
          <w:rFonts w:ascii="宋体" w:hAnsi="宋体" w:cs="宋体"/>
          <w:sz w:val="24"/>
          <w:lang w:bidi="en-US"/>
        </w:rPr>
      </w:pPr>
      <w:r>
        <w:rPr>
          <w:rFonts w:hint="eastAsia" w:ascii="宋体" w:hAnsi="宋体" w:cs="宋体"/>
          <w:sz w:val="24"/>
          <w:lang w:bidi="en-US"/>
        </w:rPr>
        <w:t>14.1 开标一般按照以下程序进行：</w:t>
      </w:r>
    </w:p>
    <w:p>
      <w:pPr>
        <w:spacing w:line="440" w:lineRule="exact"/>
        <w:ind w:firstLine="360" w:firstLineChars="150"/>
        <w:rPr>
          <w:rFonts w:ascii="宋体" w:hAnsi="宋体" w:cs="宋体"/>
          <w:sz w:val="24"/>
          <w:lang w:bidi="en-US"/>
        </w:rPr>
      </w:pPr>
      <w:r>
        <w:rPr>
          <w:rFonts w:hint="eastAsia" w:ascii="宋体" w:hAnsi="宋体" w:cs="宋体"/>
          <w:sz w:val="24"/>
          <w:lang w:bidi="en-US"/>
        </w:rPr>
        <w:t>1、在招标文件确定的投标截止时间停止接受投标文件。记录人将“投标文件递交记录表”提交开标会主持人，确认投标人数量是否符合开标要求；</w:t>
      </w:r>
    </w:p>
    <w:p>
      <w:pPr>
        <w:spacing w:line="440" w:lineRule="exact"/>
        <w:ind w:firstLine="360" w:firstLineChars="150"/>
        <w:rPr>
          <w:rFonts w:ascii="宋体" w:hAnsi="宋体" w:cs="宋体"/>
          <w:sz w:val="24"/>
          <w:lang w:bidi="en-US"/>
        </w:rPr>
      </w:pPr>
      <w:r>
        <w:rPr>
          <w:rFonts w:hint="eastAsia" w:ascii="宋体" w:hAnsi="宋体" w:cs="宋体"/>
          <w:sz w:val="24"/>
          <w:lang w:bidi="en-US"/>
        </w:rPr>
        <w:t>2、主持人宣布开标会开始，宣布开标纪律；</w:t>
      </w:r>
    </w:p>
    <w:p>
      <w:pPr>
        <w:spacing w:line="440" w:lineRule="exact"/>
        <w:ind w:firstLine="360" w:firstLineChars="150"/>
        <w:rPr>
          <w:rFonts w:ascii="宋体" w:hAnsi="宋体" w:cs="宋体"/>
          <w:sz w:val="24"/>
          <w:lang w:bidi="en-US"/>
        </w:rPr>
      </w:pPr>
      <w:r>
        <w:rPr>
          <w:rFonts w:hint="eastAsia" w:ascii="宋体" w:hAnsi="宋体" w:cs="宋体"/>
          <w:sz w:val="24"/>
          <w:lang w:bidi="en-US"/>
        </w:rPr>
        <w:t>3、公布在投标截止时间递交投标文件的投标人名称；</w:t>
      </w:r>
    </w:p>
    <w:p>
      <w:pPr>
        <w:spacing w:line="440" w:lineRule="exact"/>
        <w:ind w:firstLine="360" w:firstLineChars="150"/>
        <w:rPr>
          <w:rFonts w:ascii="宋体" w:hAnsi="宋体" w:cs="宋体"/>
          <w:sz w:val="24"/>
          <w:lang w:bidi="en-US"/>
        </w:rPr>
      </w:pPr>
      <w:r>
        <w:rPr>
          <w:rFonts w:hint="eastAsia" w:ascii="宋体" w:hAnsi="宋体" w:cs="宋体"/>
          <w:sz w:val="24"/>
          <w:lang w:bidi="en-US"/>
        </w:rPr>
        <w:t>4、宣布主持人、开标人、唱标人、记录人、监督人、公证机构等工作人员姓名；</w:t>
      </w:r>
    </w:p>
    <w:p>
      <w:pPr>
        <w:spacing w:line="440" w:lineRule="exact"/>
        <w:ind w:firstLine="360" w:firstLineChars="150"/>
        <w:rPr>
          <w:rFonts w:hint="eastAsia" w:ascii="宋体" w:hAnsi="宋体" w:eastAsia="宋体" w:cs="宋体"/>
          <w:sz w:val="24"/>
          <w:lang w:eastAsia="zh-CN" w:bidi="en-US"/>
        </w:rPr>
      </w:pPr>
      <w:r>
        <w:rPr>
          <w:rFonts w:hint="eastAsia" w:ascii="宋体" w:hAnsi="宋体" w:cs="宋体"/>
          <w:sz w:val="24"/>
          <w:lang w:bidi="en-US"/>
        </w:rPr>
        <w:t>5、</w:t>
      </w:r>
      <w:r>
        <w:rPr>
          <w:rFonts w:hint="eastAsia" w:ascii="宋体" w:hAnsi="宋体" w:cs="宋体"/>
          <w:sz w:val="24"/>
          <w:lang w:eastAsia="zh-CN" w:bidi="en-US"/>
        </w:rPr>
        <w:t>投标人现场解密投标文件并在系统中签章确认：</w:t>
      </w:r>
    </w:p>
    <w:p>
      <w:pPr>
        <w:spacing w:line="440" w:lineRule="exact"/>
        <w:ind w:firstLine="360" w:firstLineChars="150"/>
        <w:rPr>
          <w:rFonts w:ascii="宋体" w:hAnsi="宋体" w:cs="宋体"/>
          <w:sz w:val="24"/>
          <w:lang w:bidi="en-US"/>
        </w:rPr>
      </w:pPr>
      <w:r>
        <w:rPr>
          <w:rFonts w:hint="eastAsia" w:ascii="宋体" w:hAnsi="宋体" w:cs="宋体"/>
          <w:sz w:val="24"/>
          <w:lang w:bidi="en-US"/>
        </w:rPr>
        <w:t>6、唱标人公布投标人名称、投标报价及其他内容；</w:t>
      </w:r>
    </w:p>
    <w:p>
      <w:pPr>
        <w:spacing w:line="440" w:lineRule="exact"/>
        <w:ind w:firstLine="360" w:firstLineChars="150"/>
        <w:rPr>
          <w:rFonts w:ascii="宋体" w:hAnsi="宋体" w:cs="宋体"/>
          <w:sz w:val="24"/>
          <w:lang w:bidi="en-US"/>
        </w:rPr>
      </w:pPr>
      <w:r>
        <w:rPr>
          <w:rFonts w:hint="eastAsia" w:ascii="宋体" w:hAnsi="宋体" w:cs="宋体"/>
          <w:sz w:val="24"/>
          <w:lang w:val="en-US" w:eastAsia="zh-CN" w:bidi="en-US"/>
        </w:rPr>
        <w:t>7</w:t>
      </w:r>
      <w:r>
        <w:rPr>
          <w:rFonts w:hint="eastAsia" w:ascii="宋体" w:hAnsi="宋体" w:cs="宋体"/>
          <w:sz w:val="24"/>
          <w:lang w:bidi="en-US"/>
        </w:rPr>
        <w:t>、开标结束，进行评标。招标人或者招标代理机构应当对上述开标过程做好记录，存档备查。</w:t>
      </w:r>
    </w:p>
    <w:p>
      <w:pPr>
        <w:spacing w:line="440" w:lineRule="exact"/>
        <w:ind w:firstLine="360" w:firstLineChars="150"/>
        <w:rPr>
          <w:rFonts w:ascii="宋体" w:hAnsi="宋体" w:cs="宋体"/>
          <w:sz w:val="24"/>
          <w:lang w:bidi="en-US"/>
        </w:rPr>
      </w:pPr>
      <w:r>
        <w:rPr>
          <w:rFonts w:hint="eastAsia" w:ascii="宋体" w:hAnsi="宋体" w:cs="宋体"/>
          <w:sz w:val="24"/>
          <w:lang w:bidi="en-US"/>
        </w:rPr>
        <w:t>14.2 有下列情形之一的，监督人应当场宣布投标无效：</w:t>
      </w:r>
    </w:p>
    <w:p>
      <w:pPr>
        <w:spacing w:line="440" w:lineRule="exact"/>
        <w:ind w:firstLine="360" w:firstLineChars="150"/>
        <w:rPr>
          <w:rFonts w:ascii="宋体" w:hAnsi="宋体" w:cs="宋体"/>
          <w:sz w:val="24"/>
          <w:lang w:bidi="en-US"/>
        </w:rPr>
      </w:pPr>
      <w:r>
        <w:rPr>
          <w:rFonts w:hint="eastAsia" w:ascii="宋体" w:hAnsi="宋体" w:cs="宋体"/>
          <w:sz w:val="24"/>
          <w:lang w:bidi="en-US"/>
        </w:rPr>
        <w:t>1、未按照招标文件要求密封的；</w:t>
      </w:r>
    </w:p>
    <w:p>
      <w:pPr>
        <w:spacing w:line="440" w:lineRule="exact"/>
        <w:ind w:firstLine="360" w:firstLineChars="150"/>
        <w:rPr>
          <w:rFonts w:ascii="宋体" w:hAnsi="宋体" w:cs="宋体"/>
          <w:sz w:val="24"/>
          <w:lang w:bidi="en-US"/>
        </w:rPr>
      </w:pPr>
      <w:r>
        <w:rPr>
          <w:rFonts w:hint="eastAsia" w:ascii="宋体" w:hAnsi="宋体" w:cs="宋体"/>
          <w:sz w:val="24"/>
          <w:lang w:bidi="en-US"/>
        </w:rPr>
        <w:t>2、投标人资质审查未通过的；</w:t>
      </w:r>
    </w:p>
    <w:p>
      <w:pPr>
        <w:spacing w:line="440" w:lineRule="exact"/>
        <w:ind w:firstLine="360" w:firstLineChars="150"/>
        <w:rPr>
          <w:rFonts w:ascii="宋体" w:hAnsi="宋体" w:cs="宋体"/>
          <w:sz w:val="24"/>
          <w:lang w:bidi="en-US"/>
        </w:rPr>
      </w:pPr>
      <w:r>
        <w:rPr>
          <w:rFonts w:hint="eastAsia" w:ascii="宋体" w:hAnsi="宋体" w:cs="宋体"/>
          <w:sz w:val="24"/>
          <w:lang w:bidi="en-US"/>
        </w:rPr>
        <w:t>3、投标总报价高于招标控制价（即最高投标限价）的。</w:t>
      </w:r>
    </w:p>
    <w:p>
      <w:pPr>
        <w:spacing w:line="440" w:lineRule="exact"/>
        <w:ind w:firstLine="360" w:firstLineChars="150"/>
        <w:rPr>
          <w:rFonts w:ascii="宋体" w:hAnsi="宋体" w:cs="宋体"/>
          <w:sz w:val="24"/>
          <w:lang w:bidi="zh-CN"/>
        </w:rPr>
      </w:pPr>
      <w:r>
        <w:rPr>
          <w:rFonts w:hint="eastAsia" w:ascii="宋体" w:hAnsi="宋体" w:cs="宋体"/>
          <w:sz w:val="24"/>
          <w:lang w:bidi="en-US"/>
        </w:rPr>
        <w:t xml:space="preserve">14.3 </w:t>
      </w:r>
      <w:r>
        <w:rPr>
          <w:rFonts w:hint="eastAsia" w:ascii="宋体" w:hAnsi="宋体" w:cs="宋体"/>
          <w:sz w:val="24"/>
          <w:lang w:bidi="zh-CN"/>
        </w:rPr>
        <w:t>在评审过程中，评审小组可以根据招标文件和招标情况变动采购需求中的技术、服务要求以及合同草案条款，但不得变动招标文件中的实质性内容。对招标文件作出的变动是招标文件的有效组成部分，评审小组应当及时以书面形式同时通知所有参加投标的投标人。投标人应当按照招标文件的变动情况和评审小组的要求重新提交投标文件，并由其法定代表人或授权代表签字或者加盖公章。由授权代表签字的，应当附法定代表人授权书。投标人为自然人的，应当由本人签字并附身份证明。</w:t>
      </w:r>
    </w:p>
    <w:p>
      <w:pPr>
        <w:pStyle w:val="51"/>
        <w:ind w:firstLine="560"/>
      </w:pPr>
    </w:p>
    <w:p>
      <w:pPr>
        <w:pStyle w:val="5"/>
        <w:spacing w:before="0" w:after="0" w:line="440" w:lineRule="exact"/>
        <w:jc w:val="center"/>
        <w:rPr>
          <w:rFonts w:ascii="宋体" w:hAnsi="宋体" w:cs="宋体"/>
          <w:sz w:val="28"/>
          <w:szCs w:val="28"/>
        </w:rPr>
      </w:pPr>
      <w:bookmarkStart w:id="18" w:name="_Toc23811"/>
      <w:r>
        <w:rPr>
          <w:rFonts w:hint="eastAsia" w:ascii="宋体" w:hAnsi="宋体" w:cs="宋体"/>
          <w:sz w:val="28"/>
          <w:szCs w:val="28"/>
        </w:rPr>
        <w:t>第五章  定标</w:t>
      </w:r>
      <w:bookmarkEnd w:id="18"/>
    </w:p>
    <w:p>
      <w:pPr>
        <w:spacing w:line="440" w:lineRule="exact"/>
        <w:ind w:firstLine="472" w:firstLineChars="196"/>
        <w:rPr>
          <w:rFonts w:ascii="宋体" w:hAnsi="宋体" w:cs="宋体"/>
          <w:b/>
          <w:sz w:val="24"/>
        </w:rPr>
      </w:pPr>
      <w:r>
        <w:rPr>
          <w:rFonts w:hint="eastAsia" w:ascii="宋体" w:hAnsi="宋体" w:cs="宋体"/>
          <w:b/>
          <w:sz w:val="24"/>
        </w:rPr>
        <w:t>15、定标标准</w:t>
      </w:r>
    </w:p>
    <w:p>
      <w:pPr>
        <w:spacing w:line="440" w:lineRule="exact"/>
        <w:ind w:firstLine="472" w:firstLineChars="200"/>
        <w:rPr>
          <w:rFonts w:ascii="宋体" w:hAnsi="宋体" w:cs="宋体"/>
          <w:spacing w:val="-2"/>
          <w:sz w:val="24"/>
        </w:rPr>
      </w:pPr>
      <w:r>
        <w:rPr>
          <w:rFonts w:hint="eastAsia" w:ascii="宋体" w:hAnsi="宋体" w:cs="宋体"/>
          <w:spacing w:val="-2"/>
          <w:sz w:val="24"/>
        </w:rPr>
        <w:t>15.1 由评审小组采用综合评分法对投标人的投标文件和报价进行综合评分。综合评分法，是指投标文件满足招标文件全部实质性要求且按评审因素的量化指标评审得分最高的投标人为中标候选投标人的评审方法。</w:t>
      </w:r>
    </w:p>
    <w:p>
      <w:pPr>
        <w:spacing w:line="440" w:lineRule="exact"/>
        <w:ind w:firstLine="472" w:firstLineChars="200"/>
        <w:rPr>
          <w:rFonts w:ascii="宋体" w:hAnsi="宋体" w:cs="宋体"/>
          <w:spacing w:val="-2"/>
          <w:sz w:val="24"/>
        </w:rPr>
      </w:pPr>
      <w:r>
        <w:rPr>
          <w:rFonts w:hint="eastAsia" w:ascii="宋体" w:hAnsi="宋体" w:cs="宋体"/>
          <w:spacing w:val="-2"/>
          <w:sz w:val="24"/>
        </w:rPr>
        <w:t>评审小组根据依据此原则按由高到低排序向采购人推荐3家投标中标候选人,或拒绝所有投标人，采购人根据专家推荐意见与建议，确定和公布最终中标投标人。</w:t>
      </w:r>
    </w:p>
    <w:p>
      <w:pPr>
        <w:spacing w:line="440" w:lineRule="exact"/>
        <w:ind w:firstLine="472" w:firstLineChars="200"/>
        <w:rPr>
          <w:rFonts w:ascii="宋体" w:hAnsi="宋体" w:cs="宋体"/>
          <w:spacing w:val="-2"/>
          <w:sz w:val="24"/>
        </w:rPr>
      </w:pPr>
      <w:r>
        <w:rPr>
          <w:rFonts w:hint="eastAsia" w:ascii="宋体" w:hAnsi="宋体" w:cs="宋体"/>
          <w:spacing w:val="-2"/>
          <w:sz w:val="24"/>
        </w:rPr>
        <w:t>15.2 原则上应将排名第一的投标人确定为中标投标人，若有以下情形之一者也可确定推荐排名第二的投标人为中标人：</w:t>
      </w:r>
    </w:p>
    <w:p>
      <w:pPr>
        <w:spacing w:line="440" w:lineRule="exact"/>
        <w:ind w:firstLine="472" w:firstLineChars="200"/>
        <w:rPr>
          <w:rFonts w:ascii="宋体" w:hAnsi="宋体" w:cs="宋体"/>
          <w:spacing w:val="-2"/>
          <w:sz w:val="24"/>
        </w:rPr>
      </w:pPr>
      <w:r>
        <w:rPr>
          <w:rFonts w:hint="eastAsia" w:ascii="宋体" w:hAnsi="宋体" w:cs="宋体"/>
          <w:spacing w:val="-2"/>
          <w:sz w:val="24"/>
        </w:rPr>
        <w:t>15.2.1 排名第一的中标候选人放弃中标；</w:t>
      </w:r>
    </w:p>
    <w:p>
      <w:pPr>
        <w:spacing w:line="440" w:lineRule="exact"/>
        <w:ind w:firstLine="472" w:firstLineChars="200"/>
        <w:rPr>
          <w:rFonts w:ascii="宋体" w:hAnsi="宋体" w:cs="宋体"/>
          <w:spacing w:val="-2"/>
          <w:sz w:val="24"/>
        </w:rPr>
      </w:pPr>
      <w:r>
        <w:rPr>
          <w:rFonts w:hint="eastAsia" w:ascii="宋体" w:hAnsi="宋体" w:cs="宋体"/>
          <w:spacing w:val="-2"/>
          <w:sz w:val="24"/>
        </w:rPr>
        <w:t>15.2.2 排名第一的中标候选人因不可抗力提出不能履行合同。</w:t>
      </w:r>
    </w:p>
    <w:p>
      <w:pPr>
        <w:spacing w:line="440" w:lineRule="exact"/>
        <w:ind w:firstLine="472" w:firstLineChars="200"/>
        <w:rPr>
          <w:rFonts w:ascii="宋体" w:hAnsi="宋体" w:cs="宋体"/>
          <w:spacing w:val="-2"/>
          <w:sz w:val="24"/>
        </w:rPr>
      </w:pPr>
      <w:r>
        <w:rPr>
          <w:rFonts w:hint="eastAsia" w:ascii="宋体" w:hAnsi="宋体" w:cs="宋体"/>
          <w:spacing w:val="-2"/>
          <w:sz w:val="24"/>
        </w:rPr>
        <w:t>15.2.3 在接到中标通知30日内第一中标排序人未能如期签订合同。如果第二中标排序人不能满足此条要求（满足其他中标条件），采购人选择与中标排名第三的中标候选人进行技术、商务评审。</w:t>
      </w:r>
    </w:p>
    <w:p>
      <w:pPr>
        <w:spacing w:line="440" w:lineRule="exact"/>
        <w:ind w:firstLine="472" w:firstLineChars="200"/>
        <w:rPr>
          <w:rFonts w:ascii="宋体" w:hAnsi="宋体" w:cs="宋体"/>
          <w:spacing w:val="-2"/>
          <w:sz w:val="24"/>
        </w:rPr>
      </w:pPr>
      <w:r>
        <w:rPr>
          <w:rFonts w:hint="eastAsia" w:ascii="宋体" w:hAnsi="宋体" w:cs="宋体"/>
          <w:spacing w:val="-2"/>
          <w:sz w:val="24"/>
        </w:rPr>
        <w:t>15.3 评审组无义务向投标人进行任何有关招标、评审的解释工作。</w:t>
      </w:r>
    </w:p>
    <w:p>
      <w:pPr>
        <w:spacing w:line="440" w:lineRule="exact"/>
        <w:ind w:firstLine="472" w:firstLineChars="200"/>
        <w:rPr>
          <w:rFonts w:ascii="宋体" w:hAnsi="宋体" w:cs="宋体"/>
          <w:spacing w:val="-2"/>
          <w:sz w:val="24"/>
        </w:rPr>
      </w:pPr>
      <w:r>
        <w:rPr>
          <w:rFonts w:hint="eastAsia" w:ascii="宋体" w:hAnsi="宋体" w:cs="宋体"/>
          <w:spacing w:val="-2"/>
          <w:sz w:val="24"/>
        </w:rPr>
        <w:t>15.4 在确定和公布最终中标人前，采购人认为必要时，可以对认为有必要了解或核实的问题进行考查、核实。</w:t>
      </w:r>
    </w:p>
    <w:p>
      <w:pPr>
        <w:spacing w:line="440" w:lineRule="exact"/>
        <w:ind w:firstLine="472" w:firstLineChars="200"/>
        <w:rPr>
          <w:rFonts w:ascii="宋体" w:hAnsi="宋体" w:cs="宋体"/>
          <w:spacing w:val="-2"/>
          <w:sz w:val="24"/>
        </w:rPr>
      </w:pPr>
      <w:r>
        <w:rPr>
          <w:rFonts w:hint="eastAsia" w:ascii="宋体" w:hAnsi="宋体" w:cs="宋体"/>
          <w:spacing w:val="-2"/>
          <w:sz w:val="24"/>
        </w:rPr>
        <w:t>15.5 如果确定该投标人无条件圆满履行合同，评审小组将对下一个可能中标的投标人资格做出类似的审查。</w:t>
      </w:r>
    </w:p>
    <w:p>
      <w:pPr>
        <w:spacing w:line="440" w:lineRule="exact"/>
        <w:ind w:firstLine="474" w:firstLineChars="200"/>
        <w:rPr>
          <w:rFonts w:ascii="宋体" w:hAnsi="宋体" w:cs="宋体"/>
          <w:b/>
          <w:spacing w:val="-2"/>
          <w:sz w:val="24"/>
        </w:rPr>
      </w:pPr>
      <w:r>
        <w:rPr>
          <w:rFonts w:hint="eastAsia" w:ascii="宋体" w:hAnsi="宋体" w:cs="宋体"/>
          <w:b/>
          <w:spacing w:val="-2"/>
          <w:sz w:val="24"/>
        </w:rPr>
        <w:t>16、结果公示</w:t>
      </w:r>
    </w:p>
    <w:p>
      <w:pPr>
        <w:spacing w:line="440" w:lineRule="exact"/>
        <w:ind w:firstLine="472" w:firstLineChars="200"/>
        <w:rPr>
          <w:rFonts w:ascii="宋体" w:hAnsi="宋体" w:cs="宋体"/>
          <w:spacing w:val="-2"/>
          <w:sz w:val="24"/>
        </w:rPr>
      </w:pPr>
      <w:r>
        <w:rPr>
          <w:rFonts w:hint="eastAsia" w:ascii="宋体" w:hAnsi="宋体" w:cs="宋体"/>
          <w:spacing w:val="-2"/>
          <w:sz w:val="24"/>
        </w:rPr>
        <w:t>依法必须进行招标的项目，招标人在新疆政府采购网公示中标候选人。公示内容包括：中标候选人及其投标报价、评标委员会成员。公示期</w:t>
      </w:r>
      <w:r>
        <w:rPr>
          <w:rFonts w:hint="eastAsia" w:ascii="宋体" w:hAnsi="宋体" w:cs="宋体"/>
          <w:spacing w:val="-2"/>
          <w:sz w:val="24"/>
          <w:lang w:val="en-US" w:eastAsia="zh-CN"/>
        </w:rPr>
        <w:t>1</w:t>
      </w:r>
      <w:r>
        <w:rPr>
          <w:rFonts w:hint="eastAsia" w:ascii="宋体" w:hAnsi="宋体" w:cs="宋体"/>
          <w:spacing w:val="-2"/>
          <w:sz w:val="24"/>
        </w:rPr>
        <w:t>个工作日。</w:t>
      </w:r>
    </w:p>
    <w:p>
      <w:pPr>
        <w:spacing w:line="440" w:lineRule="exact"/>
        <w:ind w:firstLine="472" w:firstLineChars="196"/>
        <w:rPr>
          <w:rFonts w:ascii="宋体" w:hAnsi="宋体" w:cs="宋体"/>
          <w:b/>
          <w:sz w:val="24"/>
        </w:rPr>
      </w:pPr>
      <w:r>
        <w:rPr>
          <w:rFonts w:hint="eastAsia" w:ascii="宋体" w:hAnsi="宋体" w:cs="宋体"/>
          <w:b/>
          <w:sz w:val="24"/>
        </w:rPr>
        <w:t>17、中标通知书</w:t>
      </w:r>
    </w:p>
    <w:p>
      <w:pPr>
        <w:spacing w:line="440" w:lineRule="exact"/>
        <w:ind w:firstLine="480" w:firstLineChars="200"/>
        <w:rPr>
          <w:rFonts w:ascii="宋体" w:hAnsi="宋体" w:cs="宋体"/>
          <w:sz w:val="24"/>
        </w:rPr>
      </w:pPr>
      <w:r>
        <w:rPr>
          <w:rFonts w:hint="eastAsia" w:ascii="宋体" w:hAnsi="宋体" w:cs="宋体"/>
          <w:sz w:val="24"/>
        </w:rPr>
        <w:t>公示期若无异议，</w:t>
      </w:r>
      <w:r>
        <w:rPr>
          <w:rFonts w:hint="eastAsia" w:ascii="宋体" w:hAnsi="宋体" w:cs="宋体"/>
          <w:sz w:val="24"/>
          <w:lang w:eastAsia="zh-CN"/>
        </w:rPr>
        <w:t>新疆乾明臻合项目管理有限责任公司</w:t>
      </w:r>
      <w:r>
        <w:rPr>
          <w:rFonts w:hint="eastAsia" w:ascii="宋体" w:hAnsi="宋体" w:cs="宋体"/>
          <w:sz w:val="24"/>
        </w:rPr>
        <w:t>将以书面形式发出《中标通知书》。《中标通知书》将作为签订合同的依据。</w:t>
      </w:r>
    </w:p>
    <w:p>
      <w:pPr>
        <w:spacing w:line="440" w:lineRule="exact"/>
        <w:ind w:firstLine="482" w:firstLineChars="200"/>
        <w:rPr>
          <w:rFonts w:ascii="宋体" w:hAnsi="宋体" w:cs="宋体"/>
          <w:b/>
          <w:sz w:val="24"/>
          <w:lang w:bidi="zh-CN"/>
        </w:rPr>
      </w:pPr>
      <w:r>
        <w:rPr>
          <w:rFonts w:hint="eastAsia" w:ascii="宋体" w:hAnsi="宋体" w:cs="宋体"/>
          <w:b/>
          <w:sz w:val="24"/>
          <w:lang w:bidi="zh-CN"/>
        </w:rPr>
        <w:t>18、质疑</w:t>
      </w:r>
    </w:p>
    <w:p>
      <w:pPr>
        <w:spacing w:line="440" w:lineRule="exact"/>
        <w:ind w:firstLine="480" w:firstLineChars="200"/>
        <w:contextualSpacing/>
        <w:rPr>
          <w:rFonts w:ascii="宋体" w:hAnsi="宋体" w:cs="宋体"/>
          <w:sz w:val="24"/>
        </w:rPr>
      </w:pPr>
      <w:r>
        <w:rPr>
          <w:rFonts w:hint="eastAsia" w:ascii="宋体" w:hAnsi="宋体" w:cs="宋体"/>
          <w:sz w:val="24"/>
        </w:rPr>
        <w:t>招标程序受《中华人民共和国政府采购法》、《政府采购法实施条例》和相关法律法规的约束，并受到严格的内部监督，以确保授予合同过程的公平、公正。</w:t>
      </w:r>
    </w:p>
    <w:p>
      <w:pPr>
        <w:spacing w:line="440" w:lineRule="exact"/>
        <w:ind w:firstLine="480" w:firstLineChars="200"/>
        <w:contextualSpacing/>
        <w:rPr>
          <w:rFonts w:ascii="宋体" w:hAnsi="宋体" w:cs="宋体"/>
          <w:sz w:val="24"/>
        </w:rPr>
      </w:pPr>
      <w:r>
        <w:rPr>
          <w:rFonts w:hint="eastAsia" w:ascii="宋体" w:hAnsi="宋体" w:cs="宋体"/>
          <w:sz w:val="24"/>
        </w:rPr>
        <w:t>18.1 投标人已经参与了投标，并于开标后对招标文件提出质疑的，其质疑被视为无效质疑。</w:t>
      </w:r>
    </w:p>
    <w:p>
      <w:pPr>
        <w:spacing w:line="440" w:lineRule="exact"/>
        <w:ind w:firstLine="480" w:firstLineChars="200"/>
        <w:rPr>
          <w:rFonts w:ascii="宋体" w:hAnsi="宋体" w:cs="宋体"/>
          <w:sz w:val="24"/>
        </w:rPr>
      </w:pPr>
      <w:r>
        <w:rPr>
          <w:rFonts w:hint="eastAsia" w:ascii="宋体" w:hAnsi="宋体" w:cs="宋体"/>
          <w:sz w:val="24"/>
        </w:rPr>
        <w:t>18.2 投标人对开标过程（接受投标文件、查验投标人资格、开标唱标）有异议的，应当在开标现场提出，由监标人及采购人、招标代理机构作出答复或更正，对开标过程未提出质疑的，在开标程序结束后或招标工作结束后，其对开标过程的质疑视为无效。</w:t>
      </w:r>
    </w:p>
    <w:p>
      <w:pPr>
        <w:spacing w:line="440" w:lineRule="exact"/>
        <w:ind w:firstLine="480" w:firstLineChars="200"/>
        <w:rPr>
          <w:rFonts w:ascii="宋体" w:hAnsi="宋体" w:cs="宋体"/>
          <w:sz w:val="24"/>
        </w:rPr>
      </w:pPr>
      <w:r>
        <w:rPr>
          <w:rFonts w:hint="eastAsia" w:ascii="宋体" w:hAnsi="宋体" w:cs="宋体"/>
          <w:sz w:val="24"/>
        </w:rPr>
        <w:t>18.3 投标人认为中标结果使自己的权益受到损害的，可以在知道或者应知其权益受到损害之日起七个工作日内，以书面形式向代理机构提出质疑。</w:t>
      </w:r>
    </w:p>
    <w:p>
      <w:pPr>
        <w:spacing w:line="440" w:lineRule="exact"/>
        <w:ind w:firstLine="480" w:firstLineChars="200"/>
        <w:contextualSpacing/>
        <w:rPr>
          <w:rFonts w:ascii="宋体" w:hAnsi="宋体" w:cs="宋体"/>
          <w:sz w:val="24"/>
        </w:rPr>
      </w:pPr>
      <w:r>
        <w:rPr>
          <w:rFonts w:hint="eastAsia" w:ascii="宋体" w:hAnsi="宋体" w:cs="宋体"/>
          <w:sz w:val="24"/>
        </w:rPr>
        <w:t>18.4 质疑应严格按照招标程序以质疑函书面格式向代理机构提出，质疑函须经法定代表人签字并加盖公章。</w:t>
      </w:r>
    </w:p>
    <w:p>
      <w:pPr>
        <w:spacing w:line="440" w:lineRule="exact"/>
        <w:ind w:firstLine="480" w:firstLineChars="200"/>
        <w:contextualSpacing/>
        <w:rPr>
          <w:rFonts w:ascii="宋体" w:hAnsi="宋体" w:cs="宋体"/>
          <w:sz w:val="24"/>
        </w:rPr>
      </w:pPr>
      <w:r>
        <w:rPr>
          <w:rFonts w:hint="eastAsia" w:ascii="宋体" w:hAnsi="宋体" w:cs="宋体"/>
          <w:sz w:val="24"/>
        </w:rPr>
        <w:t>18.5 按照“谁主张、谁举证”的原则，质疑时应当提供相关证明材料。质疑材料按照一式二份提供。</w:t>
      </w:r>
    </w:p>
    <w:p>
      <w:pPr>
        <w:spacing w:line="440" w:lineRule="exact"/>
        <w:ind w:firstLine="480" w:firstLineChars="200"/>
        <w:contextualSpacing/>
        <w:rPr>
          <w:rFonts w:ascii="宋体" w:hAnsi="宋体" w:cs="宋体"/>
          <w:sz w:val="24"/>
        </w:rPr>
      </w:pPr>
      <w:r>
        <w:rPr>
          <w:rFonts w:hint="eastAsia" w:ascii="宋体" w:hAnsi="宋体" w:cs="宋体"/>
          <w:sz w:val="24"/>
        </w:rPr>
        <w:t>18.6 有下列情形之一的，属于无效质疑，代理机构可不予受理：</w:t>
      </w:r>
    </w:p>
    <w:p>
      <w:pPr>
        <w:spacing w:line="440" w:lineRule="exact"/>
        <w:ind w:firstLine="1200" w:firstLineChars="500"/>
        <w:contextualSpacing/>
        <w:rPr>
          <w:rFonts w:ascii="宋体" w:hAnsi="宋体" w:cs="宋体"/>
          <w:sz w:val="24"/>
        </w:rPr>
      </w:pPr>
      <w:r>
        <w:rPr>
          <w:rFonts w:hint="eastAsia" w:ascii="宋体" w:hAnsi="宋体" w:cs="宋体"/>
          <w:sz w:val="24"/>
        </w:rPr>
        <w:t>A 未在有效期限内提出质疑的；</w:t>
      </w:r>
    </w:p>
    <w:p>
      <w:pPr>
        <w:spacing w:line="440" w:lineRule="exact"/>
        <w:ind w:firstLine="1200" w:firstLineChars="500"/>
        <w:contextualSpacing/>
        <w:rPr>
          <w:rFonts w:ascii="宋体" w:hAnsi="宋体" w:cs="宋体"/>
          <w:sz w:val="24"/>
        </w:rPr>
      </w:pPr>
      <w:r>
        <w:rPr>
          <w:rFonts w:hint="eastAsia" w:ascii="宋体" w:hAnsi="宋体" w:cs="宋体"/>
          <w:sz w:val="24"/>
        </w:rPr>
        <w:t>B 质疑未以书面形式提出的；</w:t>
      </w:r>
    </w:p>
    <w:p>
      <w:pPr>
        <w:spacing w:line="440" w:lineRule="exact"/>
        <w:ind w:firstLine="1200" w:firstLineChars="500"/>
        <w:contextualSpacing/>
        <w:rPr>
          <w:rFonts w:ascii="宋体" w:hAnsi="宋体" w:cs="宋体"/>
          <w:sz w:val="24"/>
        </w:rPr>
      </w:pPr>
      <w:r>
        <w:rPr>
          <w:rFonts w:hint="eastAsia" w:ascii="宋体" w:hAnsi="宋体" w:cs="宋体"/>
          <w:sz w:val="24"/>
        </w:rPr>
        <w:t>C 质疑函没有法定代表人签署并加盖单位公章的；</w:t>
      </w:r>
    </w:p>
    <w:p>
      <w:pPr>
        <w:spacing w:line="440" w:lineRule="exact"/>
        <w:ind w:firstLine="1200" w:firstLineChars="500"/>
        <w:contextualSpacing/>
        <w:rPr>
          <w:rFonts w:ascii="宋体" w:hAnsi="宋体" w:cs="宋体"/>
          <w:sz w:val="24"/>
        </w:rPr>
      </w:pPr>
      <w:r>
        <w:rPr>
          <w:rFonts w:hint="eastAsia" w:ascii="宋体" w:hAnsi="宋体" w:cs="宋体"/>
          <w:sz w:val="24"/>
        </w:rPr>
        <w:t>D 质疑事项已经进入投诉或者诉讼程序的；</w:t>
      </w:r>
    </w:p>
    <w:p>
      <w:pPr>
        <w:spacing w:line="440" w:lineRule="exact"/>
        <w:ind w:firstLine="1200" w:firstLineChars="500"/>
        <w:contextualSpacing/>
        <w:rPr>
          <w:rFonts w:ascii="宋体" w:hAnsi="宋体" w:cs="宋体"/>
          <w:sz w:val="24"/>
        </w:rPr>
      </w:pPr>
      <w:r>
        <w:rPr>
          <w:rFonts w:hint="eastAsia" w:ascii="宋体" w:hAnsi="宋体" w:cs="宋体"/>
          <w:sz w:val="24"/>
        </w:rPr>
        <w:t>E 其它不符合受理条件的情形。</w:t>
      </w:r>
    </w:p>
    <w:p>
      <w:pPr>
        <w:spacing w:line="440" w:lineRule="exact"/>
        <w:ind w:firstLine="600" w:firstLineChars="250"/>
        <w:contextualSpacing/>
        <w:rPr>
          <w:rFonts w:ascii="宋体" w:hAnsi="宋体" w:cs="宋体"/>
          <w:sz w:val="24"/>
        </w:rPr>
      </w:pPr>
      <w:r>
        <w:rPr>
          <w:rFonts w:hint="eastAsia" w:ascii="宋体" w:hAnsi="宋体" w:cs="宋体"/>
          <w:sz w:val="24"/>
        </w:rPr>
        <w:t>18.7 代理机构将在收到书面质疑后7个工作日内作出答复或相关处理决定，并以书面形式通知质疑投标企业和其他有关部门。</w:t>
      </w:r>
    </w:p>
    <w:p>
      <w:pPr>
        <w:spacing w:line="440" w:lineRule="exact"/>
        <w:ind w:firstLine="600" w:firstLineChars="250"/>
        <w:contextualSpacing/>
        <w:rPr>
          <w:rFonts w:ascii="宋体" w:hAnsi="宋体" w:cs="宋体"/>
          <w:sz w:val="24"/>
        </w:rPr>
      </w:pPr>
      <w:r>
        <w:rPr>
          <w:rFonts w:hint="eastAsia" w:ascii="宋体" w:hAnsi="宋体" w:cs="宋体"/>
          <w:sz w:val="24"/>
        </w:rPr>
        <w:t>18.8 投标人进行虚假和恶意质疑的，代理机构可以提请行业行政监管部门将其列入不良记录名单，在一至三年内禁止参加本地区招投标活动，并将处理决定在相关媒体上公布。</w:t>
      </w:r>
    </w:p>
    <w:p>
      <w:pPr>
        <w:spacing w:line="440" w:lineRule="exact"/>
        <w:ind w:firstLine="600" w:firstLineChars="250"/>
        <w:contextualSpacing/>
        <w:rPr>
          <w:rFonts w:ascii="宋体" w:hAnsi="宋体" w:cs="宋体"/>
          <w:sz w:val="24"/>
        </w:rPr>
      </w:pPr>
      <w:r>
        <w:rPr>
          <w:rFonts w:hint="eastAsia" w:ascii="宋体" w:hAnsi="宋体" w:cs="宋体"/>
          <w:sz w:val="24"/>
        </w:rPr>
        <w:t>18.9 投标人对代理机构的答复不满意以及代理机构未在规定的时间内做出答复的，可以在答复期满后15个工作日内向行业行政监管部门进行投诉。</w:t>
      </w:r>
    </w:p>
    <w:p>
      <w:pPr>
        <w:pStyle w:val="51"/>
        <w:ind w:firstLine="560"/>
      </w:pPr>
    </w:p>
    <w:p>
      <w:pPr>
        <w:pStyle w:val="5"/>
        <w:spacing w:before="0" w:after="0" w:line="440" w:lineRule="exact"/>
        <w:jc w:val="center"/>
        <w:rPr>
          <w:rFonts w:ascii="宋体" w:hAnsi="宋体" w:cs="宋体"/>
          <w:sz w:val="24"/>
          <w:szCs w:val="24"/>
        </w:rPr>
      </w:pPr>
      <w:bookmarkStart w:id="19" w:name="_Toc13364"/>
      <w:r>
        <w:rPr>
          <w:rFonts w:hint="eastAsia" w:ascii="宋体" w:hAnsi="宋体" w:cs="宋体"/>
          <w:sz w:val="28"/>
          <w:szCs w:val="28"/>
        </w:rPr>
        <w:t>第六章  授予合同</w:t>
      </w:r>
      <w:bookmarkEnd w:id="19"/>
    </w:p>
    <w:p>
      <w:pPr>
        <w:spacing w:line="440" w:lineRule="exact"/>
        <w:ind w:firstLine="480" w:firstLineChars="200"/>
        <w:rPr>
          <w:rFonts w:ascii="宋体" w:hAnsi="宋体" w:cs="宋体"/>
          <w:sz w:val="24"/>
        </w:rPr>
      </w:pPr>
      <w:r>
        <w:rPr>
          <w:rFonts w:hint="eastAsia" w:ascii="宋体" w:hAnsi="宋体" w:cs="宋体"/>
          <w:sz w:val="24"/>
        </w:rPr>
        <w:t>19、签订合同</w:t>
      </w:r>
    </w:p>
    <w:p>
      <w:pPr>
        <w:spacing w:line="440" w:lineRule="exact"/>
        <w:ind w:firstLine="480" w:firstLineChars="200"/>
        <w:rPr>
          <w:rFonts w:ascii="宋体" w:hAnsi="宋体" w:cs="宋体"/>
          <w:sz w:val="24"/>
        </w:rPr>
      </w:pPr>
      <w:r>
        <w:rPr>
          <w:rFonts w:hint="eastAsia" w:ascii="宋体" w:hAnsi="宋体" w:cs="宋体"/>
          <w:sz w:val="24"/>
        </w:rPr>
        <w:t>19.1中标方收到采购方的《中标通知书》后30日内，按照招标文件的约定和中标人投标文件中的承诺与采购单位签订书面合同，所签订的合同不得对招标文件和中标人的投标文件作实质性修改。</w:t>
      </w:r>
    </w:p>
    <w:p>
      <w:pPr>
        <w:spacing w:line="440" w:lineRule="exact"/>
        <w:ind w:firstLine="480" w:firstLineChars="200"/>
        <w:rPr>
          <w:rFonts w:ascii="宋体" w:hAnsi="宋体" w:cs="宋体"/>
          <w:sz w:val="24"/>
        </w:rPr>
      </w:pPr>
      <w:r>
        <w:rPr>
          <w:rFonts w:hint="eastAsia" w:ascii="宋体" w:hAnsi="宋体" w:cs="宋体"/>
          <w:sz w:val="24"/>
        </w:rPr>
        <w:t>19.2采购方在授予合同时，有权对招标文件中规定的服务的数量在10%的幅度内予以增加或减少。但不得对单价更改。</w:t>
      </w:r>
    </w:p>
    <w:p>
      <w:pPr>
        <w:spacing w:line="440" w:lineRule="exact"/>
        <w:ind w:firstLine="480" w:firstLineChars="200"/>
        <w:rPr>
          <w:rFonts w:ascii="宋体" w:hAnsi="宋体" w:cs="宋体"/>
          <w:sz w:val="24"/>
        </w:rPr>
      </w:pPr>
      <w:r>
        <w:rPr>
          <w:rFonts w:hint="eastAsia" w:ascii="宋体" w:hAnsi="宋体" w:cs="宋体"/>
          <w:sz w:val="24"/>
        </w:rPr>
        <w:t>19.3如中标方拒签合同，则按违约处理。</w:t>
      </w:r>
    </w:p>
    <w:p>
      <w:pPr>
        <w:spacing w:line="440" w:lineRule="exact"/>
        <w:ind w:firstLine="480" w:firstLineChars="200"/>
        <w:rPr>
          <w:rFonts w:ascii="宋体" w:hAnsi="宋体" w:cs="宋体"/>
          <w:sz w:val="24"/>
        </w:rPr>
      </w:pPr>
      <w:r>
        <w:rPr>
          <w:rFonts w:hint="eastAsia" w:ascii="宋体" w:hAnsi="宋体" w:cs="宋体"/>
          <w:sz w:val="24"/>
        </w:rPr>
        <w:t>19.4招标文件、中标人投标文件及其澄清文件等，均为签订经济合同的依据。</w:t>
      </w:r>
    </w:p>
    <w:p>
      <w:pPr>
        <w:spacing w:line="440" w:lineRule="exact"/>
        <w:ind w:firstLine="480" w:firstLineChars="200"/>
        <w:rPr>
          <w:rFonts w:ascii="宋体" w:hAnsi="宋体" w:cs="宋体"/>
          <w:sz w:val="24"/>
        </w:rPr>
      </w:pPr>
      <w:r>
        <w:rPr>
          <w:rFonts w:hint="eastAsia" w:ascii="宋体" w:hAnsi="宋体" w:cs="宋体"/>
          <w:sz w:val="24"/>
        </w:rPr>
        <w:t>19.5不允许中标人将中标项目分包或转交他人承担，特殊情况下，中标人必须与采购方协商后共同决定将合同标的中的部分由第三方承担供货和服务责任，但中标人必须对合同标的全部内容向采购方负责，并保证第三方提供的供货和服务符合招标文件的约定和投标文件的承诺及相关约定。</w:t>
      </w:r>
    </w:p>
    <w:p>
      <w:pPr>
        <w:pStyle w:val="4"/>
        <w:adjustRightInd w:val="0"/>
        <w:snapToGrid w:val="0"/>
        <w:spacing w:before="100" w:beforeAutospacing="1" w:after="100" w:afterAutospacing="1" w:line="240" w:lineRule="auto"/>
        <w:jc w:val="center"/>
        <w:rPr>
          <w:rFonts w:hint="eastAsia" w:eastAsia="宋体"/>
          <w:sz w:val="32"/>
          <w:szCs w:val="32"/>
          <w:highlight w:val="yellow"/>
          <w:lang w:eastAsia="zh-CN"/>
        </w:rPr>
      </w:pPr>
      <w:r>
        <w:rPr>
          <w:bCs/>
          <w:kern w:val="0"/>
          <w:sz w:val="28"/>
          <w:szCs w:val="28"/>
        </w:rPr>
        <w:br w:type="page"/>
      </w:r>
      <w:bookmarkStart w:id="20" w:name="_Toc7527"/>
      <w:r>
        <w:rPr>
          <w:sz w:val="32"/>
          <w:szCs w:val="32"/>
          <w:highlight w:val="none"/>
        </w:rPr>
        <w:t xml:space="preserve">第四部分  </w:t>
      </w:r>
      <w:bookmarkEnd w:id="20"/>
      <w:bookmarkStart w:id="21" w:name="_Toc9809"/>
      <w:r>
        <w:rPr>
          <w:rFonts w:hint="eastAsia"/>
          <w:sz w:val="32"/>
          <w:szCs w:val="32"/>
          <w:highlight w:val="none"/>
          <w:lang w:eastAsia="zh-CN"/>
        </w:rPr>
        <w:t>采购需求</w:t>
      </w:r>
    </w:p>
    <w:tbl>
      <w:tblPr>
        <w:tblStyle w:val="26"/>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147"/>
        <w:gridCol w:w="1855"/>
        <w:gridCol w:w="984"/>
        <w:gridCol w:w="732"/>
        <w:gridCol w:w="981"/>
        <w:gridCol w:w="1131"/>
        <w:gridCol w:w="1494"/>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045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新和县2023年国土绿化造林补助项目：乔木造林（一标段）采购清单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规格型号（结构）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面积（亩）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2年生，地径1.5cm以上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地径1.5cm以上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沙枣</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合格种子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3.5公斤/亩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开沟、定植穴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栽植</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hint="eastAsia" w:eastAsia="宋体"/>
          <w:b/>
          <w:bCs/>
          <w:sz w:val="24"/>
          <w:szCs w:val="24"/>
          <w:lang w:eastAsia="zh-CN"/>
        </w:rPr>
      </w:pPr>
      <w:r>
        <w:rPr>
          <w:rFonts w:hint="eastAsia"/>
          <w:b/>
          <w:bCs/>
          <w:sz w:val="24"/>
          <w:szCs w:val="24"/>
          <w:lang w:eastAsia="zh-CN"/>
        </w:rPr>
        <w:t xml:space="preserve">注：需要提供苗木合格证、产地检疫证，无病虫害的健康苗 </w:t>
      </w:r>
    </w:p>
    <w:p>
      <w:pPr>
        <w:rPr>
          <w:sz w:val="32"/>
          <w:szCs w:val="32"/>
        </w:rPr>
      </w:pPr>
      <w:r>
        <w:rPr>
          <w:sz w:val="32"/>
          <w:szCs w:val="32"/>
        </w:rPr>
        <w:br w:type="page"/>
      </w:r>
    </w:p>
    <w:p>
      <w:pPr>
        <w:pStyle w:val="4"/>
        <w:keepNext w:val="0"/>
        <w:keepLines w:val="0"/>
        <w:adjustRightInd w:val="0"/>
        <w:snapToGrid w:val="0"/>
        <w:spacing w:before="100" w:beforeAutospacing="1" w:after="100" w:afterAutospacing="1" w:line="240" w:lineRule="auto"/>
        <w:jc w:val="center"/>
        <w:rPr>
          <w:sz w:val="30"/>
          <w:szCs w:val="30"/>
        </w:rPr>
      </w:pPr>
      <w:r>
        <w:rPr>
          <w:sz w:val="32"/>
          <w:szCs w:val="32"/>
        </w:rPr>
        <w:t>第五部分  合同条款</w:t>
      </w:r>
      <w:bookmarkEnd w:id="21"/>
    </w:p>
    <w:p>
      <w:pPr>
        <w:spacing w:line="360" w:lineRule="auto"/>
        <w:ind w:firstLine="482" w:firstLineChars="200"/>
        <w:rPr>
          <w:b/>
          <w:sz w:val="24"/>
        </w:rPr>
      </w:pPr>
      <w:r>
        <w:rPr>
          <w:b/>
          <w:sz w:val="24"/>
        </w:rPr>
        <w:t>1、定义</w:t>
      </w:r>
    </w:p>
    <w:p>
      <w:pPr>
        <w:spacing w:line="360" w:lineRule="auto"/>
        <w:ind w:firstLine="480" w:firstLineChars="200"/>
        <w:rPr>
          <w:sz w:val="24"/>
        </w:rPr>
      </w:pPr>
      <w:r>
        <w:rPr>
          <w:sz w:val="24"/>
        </w:rPr>
        <w:t>1.1  “合同”系指买方和卖方（以下简称合同双方）已达成的协议，即由双方签订的合同格式文件，包括所有的招标文件、投标文件、招标答疑纪录、澄清说明、附件、附录和组成合同的所有其他文件。</w:t>
      </w:r>
    </w:p>
    <w:p>
      <w:pPr>
        <w:spacing w:line="360" w:lineRule="auto"/>
        <w:ind w:firstLine="480" w:firstLineChars="200"/>
        <w:rPr>
          <w:sz w:val="24"/>
        </w:rPr>
      </w:pPr>
      <w:r>
        <w:rPr>
          <w:sz w:val="24"/>
        </w:rPr>
        <w:t>1.2  “合同价格”系指根据合同规定，在卖方全面正确地履行合同义务时，买方应支付给卖方的款项。</w:t>
      </w:r>
    </w:p>
    <w:p>
      <w:pPr>
        <w:spacing w:line="360" w:lineRule="auto"/>
        <w:ind w:firstLine="480" w:firstLineChars="200"/>
        <w:rPr>
          <w:sz w:val="24"/>
        </w:rPr>
      </w:pPr>
      <w:r>
        <w:rPr>
          <w:sz w:val="24"/>
        </w:rPr>
        <w:t>1.3  “服务”系指合同规定卖方必须承担的</w:t>
      </w:r>
      <w:r>
        <w:rPr>
          <w:rFonts w:hint="eastAsia"/>
          <w:sz w:val="24"/>
        </w:rPr>
        <w:t>本项目</w:t>
      </w:r>
      <w:r>
        <w:rPr>
          <w:sz w:val="24"/>
        </w:rPr>
        <w:t>以及其他</w:t>
      </w:r>
      <w:r>
        <w:rPr>
          <w:sz w:val="24"/>
          <w:lang w:bidi="zh-CN"/>
        </w:rPr>
        <w:t>附随服务</w:t>
      </w:r>
      <w:r>
        <w:rPr>
          <w:sz w:val="24"/>
        </w:rPr>
        <w:t>。</w:t>
      </w:r>
    </w:p>
    <w:p>
      <w:pPr>
        <w:spacing w:line="360" w:lineRule="auto"/>
        <w:ind w:firstLine="480" w:firstLineChars="200"/>
        <w:rPr>
          <w:sz w:val="24"/>
        </w:rPr>
      </w:pPr>
      <w:r>
        <w:rPr>
          <w:sz w:val="24"/>
        </w:rPr>
        <w:t>1.4  “甲方”、“买方”、“采购方”均系指通过招标采购，接受合同服务的自治区各行政事业单位、社会团体</w:t>
      </w:r>
      <w:r>
        <w:rPr>
          <w:rFonts w:hint="eastAsia"/>
          <w:sz w:val="24"/>
        </w:rPr>
        <w:t>（</w:t>
      </w:r>
      <w:r>
        <w:rPr>
          <w:sz w:val="24"/>
        </w:rPr>
        <w:t>采购单位</w:t>
      </w:r>
      <w:r>
        <w:rPr>
          <w:rFonts w:hint="eastAsia"/>
          <w:sz w:val="24"/>
        </w:rPr>
        <w:t>）</w:t>
      </w:r>
      <w:r>
        <w:rPr>
          <w:sz w:val="24"/>
        </w:rPr>
        <w:t>及社会代理机构。</w:t>
      </w:r>
    </w:p>
    <w:p>
      <w:pPr>
        <w:spacing w:line="360" w:lineRule="auto"/>
        <w:ind w:firstLine="480" w:firstLineChars="200"/>
        <w:rPr>
          <w:sz w:val="24"/>
        </w:rPr>
      </w:pPr>
      <w:r>
        <w:rPr>
          <w:sz w:val="24"/>
        </w:rPr>
        <w:t>1.5  “乙方”、“卖方”系指中标后提供合同服务的经济实体。</w:t>
      </w:r>
    </w:p>
    <w:p>
      <w:pPr>
        <w:spacing w:line="360" w:lineRule="auto"/>
        <w:ind w:firstLine="480" w:firstLineChars="200"/>
        <w:rPr>
          <w:sz w:val="24"/>
        </w:rPr>
      </w:pPr>
      <w:r>
        <w:rPr>
          <w:sz w:val="24"/>
        </w:rPr>
        <w:t>1.6  “现场”系指将要进行服务的地点。</w:t>
      </w:r>
    </w:p>
    <w:p>
      <w:pPr>
        <w:spacing w:line="360" w:lineRule="auto"/>
        <w:ind w:firstLine="480" w:firstLineChars="200"/>
        <w:rPr>
          <w:sz w:val="24"/>
        </w:rPr>
      </w:pPr>
      <w:r>
        <w:rPr>
          <w:sz w:val="24"/>
        </w:rPr>
        <w:t>1.7  “验收”系指买方依据国家技术规范及本合同的约定，对内技术规格规定接受合同服务所依据的程序和条件。</w:t>
      </w:r>
    </w:p>
    <w:p>
      <w:pPr>
        <w:spacing w:line="360" w:lineRule="auto"/>
        <w:ind w:firstLine="472" w:firstLineChars="196"/>
        <w:rPr>
          <w:b/>
          <w:sz w:val="24"/>
        </w:rPr>
      </w:pPr>
      <w:r>
        <w:rPr>
          <w:b/>
          <w:sz w:val="24"/>
        </w:rPr>
        <w:t>2、适用范围</w:t>
      </w:r>
    </w:p>
    <w:p>
      <w:pPr>
        <w:spacing w:line="360" w:lineRule="auto"/>
        <w:ind w:firstLine="480" w:firstLineChars="200"/>
        <w:rPr>
          <w:sz w:val="24"/>
        </w:rPr>
      </w:pPr>
      <w:r>
        <w:rPr>
          <w:sz w:val="24"/>
        </w:rPr>
        <w:t>2.1本合同条款仅适用于本次采购活动。</w:t>
      </w:r>
    </w:p>
    <w:p>
      <w:pPr>
        <w:spacing w:line="360" w:lineRule="auto"/>
        <w:ind w:firstLine="482" w:firstLineChars="200"/>
        <w:rPr>
          <w:b/>
          <w:sz w:val="24"/>
        </w:rPr>
      </w:pPr>
      <w:r>
        <w:rPr>
          <w:b/>
          <w:sz w:val="24"/>
        </w:rPr>
        <w:t>3、原产地</w:t>
      </w:r>
    </w:p>
    <w:p>
      <w:pPr>
        <w:spacing w:line="360" w:lineRule="auto"/>
        <w:ind w:firstLine="480" w:firstLineChars="200"/>
        <w:rPr>
          <w:sz w:val="24"/>
        </w:rPr>
      </w:pPr>
      <w:r>
        <w:rPr>
          <w:sz w:val="24"/>
        </w:rPr>
        <w:t>3.1原产地系指服务的生产地，或提供辅助服务的来源地。</w:t>
      </w:r>
    </w:p>
    <w:p>
      <w:pPr>
        <w:spacing w:line="360" w:lineRule="auto"/>
        <w:ind w:firstLine="482" w:firstLineChars="200"/>
        <w:rPr>
          <w:b/>
          <w:sz w:val="24"/>
        </w:rPr>
      </w:pPr>
      <w:r>
        <w:rPr>
          <w:b/>
          <w:sz w:val="24"/>
        </w:rPr>
        <w:t>4、技术规格和标准</w:t>
      </w:r>
    </w:p>
    <w:p>
      <w:pPr>
        <w:spacing w:line="360" w:lineRule="auto"/>
        <w:ind w:firstLine="480" w:firstLineChars="200"/>
        <w:rPr>
          <w:sz w:val="24"/>
        </w:rPr>
      </w:pPr>
      <w:r>
        <w:rPr>
          <w:sz w:val="24"/>
        </w:rPr>
        <w:t>4.1本合同项下所供服务的技术规格应与本招标文件技术规格规定的标准相一致。若技术规格中无相应规定，则应符合相应的国家标准或有关权威部门最新颁布的相应的正式标准。</w:t>
      </w:r>
    </w:p>
    <w:p>
      <w:pPr>
        <w:spacing w:line="360" w:lineRule="auto"/>
        <w:ind w:firstLine="482" w:firstLineChars="200"/>
        <w:rPr>
          <w:b/>
          <w:sz w:val="24"/>
        </w:rPr>
      </w:pPr>
      <w:r>
        <w:rPr>
          <w:b/>
          <w:sz w:val="24"/>
        </w:rPr>
        <w:t>5、专利权</w:t>
      </w:r>
    </w:p>
    <w:p>
      <w:pPr>
        <w:spacing w:line="360" w:lineRule="auto"/>
        <w:ind w:firstLine="480" w:firstLineChars="200"/>
        <w:rPr>
          <w:sz w:val="24"/>
        </w:rPr>
      </w:pPr>
      <w:r>
        <w:rPr>
          <w:sz w:val="24"/>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spacing w:line="360" w:lineRule="auto"/>
        <w:ind w:firstLine="482" w:firstLineChars="200"/>
        <w:rPr>
          <w:b/>
          <w:sz w:val="24"/>
        </w:rPr>
      </w:pPr>
      <w:r>
        <w:rPr>
          <w:b/>
          <w:sz w:val="24"/>
        </w:rPr>
        <w:t>6、保险</w:t>
      </w:r>
    </w:p>
    <w:p>
      <w:pPr>
        <w:spacing w:line="360" w:lineRule="auto"/>
        <w:ind w:firstLine="480" w:firstLineChars="200"/>
        <w:rPr>
          <w:sz w:val="24"/>
        </w:rPr>
      </w:pPr>
      <w:r>
        <w:rPr>
          <w:sz w:val="24"/>
        </w:rPr>
        <w:t>6.1在合同价条件下，由卖方负责办理保险。</w:t>
      </w:r>
    </w:p>
    <w:p>
      <w:pPr>
        <w:spacing w:line="360" w:lineRule="auto"/>
        <w:ind w:firstLine="482" w:firstLineChars="200"/>
        <w:rPr>
          <w:b/>
          <w:sz w:val="24"/>
        </w:rPr>
      </w:pPr>
      <w:r>
        <w:rPr>
          <w:b/>
          <w:sz w:val="24"/>
        </w:rPr>
        <w:t>7、合同价款的支付方式</w:t>
      </w:r>
    </w:p>
    <w:p>
      <w:pPr>
        <w:spacing w:line="360" w:lineRule="auto"/>
        <w:ind w:firstLine="480" w:firstLineChars="200"/>
        <w:rPr>
          <w:sz w:val="24"/>
        </w:rPr>
      </w:pPr>
      <w:r>
        <w:rPr>
          <w:sz w:val="24"/>
        </w:rPr>
        <w:t>7.1合同价款的支付方式以双方协商为准。（另有规定者外）。</w:t>
      </w:r>
    </w:p>
    <w:p>
      <w:pPr>
        <w:spacing w:line="360" w:lineRule="auto"/>
        <w:ind w:firstLine="482" w:firstLineChars="200"/>
        <w:rPr>
          <w:b/>
          <w:sz w:val="24"/>
        </w:rPr>
      </w:pPr>
      <w:r>
        <w:rPr>
          <w:b/>
          <w:sz w:val="24"/>
        </w:rPr>
        <w:t>8、价格</w:t>
      </w:r>
    </w:p>
    <w:p>
      <w:pPr>
        <w:spacing w:line="360" w:lineRule="auto"/>
        <w:ind w:firstLine="480" w:firstLineChars="200"/>
        <w:rPr>
          <w:sz w:val="24"/>
        </w:rPr>
      </w:pPr>
      <w:r>
        <w:rPr>
          <w:sz w:val="24"/>
        </w:rPr>
        <w:t>8.1除合同中另有规定者外，卖方为其所供服务而要求买方支付的金额应与其投标报价一致。</w:t>
      </w:r>
    </w:p>
    <w:p>
      <w:pPr>
        <w:spacing w:line="360" w:lineRule="auto"/>
        <w:ind w:firstLine="482" w:firstLineChars="200"/>
        <w:rPr>
          <w:b/>
          <w:sz w:val="24"/>
        </w:rPr>
      </w:pPr>
      <w:r>
        <w:rPr>
          <w:b/>
          <w:sz w:val="24"/>
        </w:rPr>
        <w:t>9、履约保证金</w:t>
      </w:r>
    </w:p>
    <w:p>
      <w:pPr>
        <w:spacing w:line="360" w:lineRule="auto"/>
        <w:ind w:firstLine="480" w:firstLineChars="200"/>
        <w:rPr>
          <w:sz w:val="24"/>
        </w:rPr>
      </w:pPr>
      <w:r>
        <w:rPr>
          <w:sz w:val="24"/>
        </w:rPr>
        <w:t>9.1合同签订后，卖方须向采购人提交</w:t>
      </w:r>
      <w:r>
        <w:rPr>
          <w:sz w:val="24"/>
          <w:highlight w:val="none"/>
        </w:rPr>
        <w:t>5％</w:t>
      </w:r>
      <w:r>
        <w:rPr>
          <w:sz w:val="24"/>
        </w:rPr>
        <w:t>的履约保证金。</w:t>
      </w:r>
    </w:p>
    <w:p>
      <w:pPr>
        <w:spacing w:line="360" w:lineRule="auto"/>
        <w:ind w:firstLine="480" w:firstLineChars="200"/>
        <w:rPr>
          <w:sz w:val="24"/>
        </w:rPr>
      </w:pPr>
      <w:r>
        <w:rPr>
          <w:sz w:val="24"/>
        </w:rPr>
        <w:t>9.2采购人在验收合格后，七个工作日内无息退还履约保证金。</w:t>
      </w:r>
    </w:p>
    <w:p>
      <w:pPr>
        <w:spacing w:line="360" w:lineRule="auto"/>
        <w:ind w:firstLine="482" w:firstLineChars="200"/>
        <w:rPr>
          <w:b/>
          <w:sz w:val="24"/>
        </w:rPr>
      </w:pPr>
      <w:r>
        <w:rPr>
          <w:b/>
          <w:sz w:val="24"/>
        </w:rPr>
        <w:t>10、索赔</w:t>
      </w:r>
    </w:p>
    <w:p>
      <w:pPr>
        <w:spacing w:line="360" w:lineRule="auto"/>
        <w:ind w:firstLine="480" w:firstLineChars="200"/>
        <w:rPr>
          <w:sz w:val="24"/>
        </w:rPr>
      </w:pPr>
      <w:r>
        <w:rPr>
          <w:sz w:val="24"/>
        </w:rPr>
        <w:t>10.1卖方对所供服务与合同约定相一致负完全责任。在买方已于规定的检验、安装、调试和验收测试期限内提出索赔时，卖方应按买方同意的下述一种或多种方法解决索赔事宜。</w:t>
      </w:r>
    </w:p>
    <w:p>
      <w:pPr>
        <w:spacing w:line="360" w:lineRule="auto"/>
        <w:ind w:firstLine="480" w:firstLineChars="200"/>
        <w:rPr>
          <w:sz w:val="24"/>
        </w:rPr>
      </w:pPr>
      <w:r>
        <w:rPr>
          <w:sz w:val="24"/>
        </w:rPr>
        <w:t>10.2</w:t>
      </w:r>
      <w:r>
        <w:rPr>
          <w:rFonts w:hint="eastAsia"/>
          <w:sz w:val="24"/>
        </w:rPr>
        <w:t>投标人</w:t>
      </w:r>
      <w:r>
        <w:rPr>
          <w:sz w:val="24"/>
        </w:rPr>
        <w:t>提供的服务未能达到标书规定的要求，或者有明显缺陷及损坏设备或软件，采购人将保留索赔的权利。</w:t>
      </w:r>
    </w:p>
    <w:p>
      <w:pPr>
        <w:spacing w:line="360" w:lineRule="auto"/>
        <w:ind w:firstLine="480" w:firstLineChars="200"/>
        <w:rPr>
          <w:sz w:val="24"/>
        </w:rPr>
      </w:pPr>
      <w:r>
        <w:rPr>
          <w:sz w:val="24"/>
        </w:rPr>
        <w:t>10.3若卖方未能在买方依据合法证据正式提出书面索赔通知的10天内或买方同意的更长时间内，按买方同意的上述任何一种方式响应和处理索赔事宜，卖方向买方赔偿违约部分金额的10%的违约金。</w:t>
      </w:r>
    </w:p>
    <w:p>
      <w:pPr>
        <w:spacing w:line="360" w:lineRule="auto"/>
        <w:ind w:firstLine="482" w:firstLineChars="200"/>
        <w:rPr>
          <w:b/>
          <w:sz w:val="24"/>
        </w:rPr>
      </w:pPr>
      <w:r>
        <w:rPr>
          <w:b/>
          <w:sz w:val="24"/>
        </w:rPr>
        <w:t>11、服务响应及</w:t>
      </w:r>
      <w:r>
        <w:rPr>
          <w:rFonts w:hint="eastAsia"/>
          <w:b/>
          <w:sz w:val="24"/>
          <w:lang w:eastAsia="zh-CN"/>
        </w:rPr>
        <w:t>回复</w:t>
      </w:r>
      <w:r>
        <w:rPr>
          <w:b/>
          <w:sz w:val="24"/>
        </w:rPr>
        <w:t>时间要求</w:t>
      </w:r>
    </w:p>
    <w:p>
      <w:pPr>
        <w:spacing w:line="360" w:lineRule="auto"/>
        <w:ind w:firstLine="480" w:firstLineChars="200"/>
        <w:rPr>
          <w:sz w:val="24"/>
        </w:rPr>
      </w:pPr>
      <w:r>
        <w:rPr>
          <w:sz w:val="24"/>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spacing w:line="360" w:lineRule="auto"/>
        <w:ind w:firstLine="480" w:firstLineChars="200"/>
        <w:rPr>
          <w:sz w:val="24"/>
        </w:rPr>
      </w:pPr>
      <w:r>
        <w:rPr>
          <w:sz w:val="24"/>
        </w:rPr>
        <w:t>11.2业主单位安排的其它工作。</w:t>
      </w:r>
    </w:p>
    <w:p>
      <w:pPr>
        <w:spacing w:line="360" w:lineRule="auto"/>
        <w:ind w:firstLine="482" w:firstLineChars="200"/>
        <w:rPr>
          <w:b/>
          <w:sz w:val="24"/>
        </w:rPr>
      </w:pPr>
      <w:r>
        <w:rPr>
          <w:b/>
          <w:sz w:val="24"/>
        </w:rPr>
        <w:t>12、不可抗力</w:t>
      </w:r>
    </w:p>
    <w:p>
      <w:pPr>
        <w:spacing w:line="360" w:lineRule="auto"/>
        <w:ind w:firstLine="480" w:firstLineChars="200"/>
        <w:rPr>
          <w:sz w:val="24"/>
        </w:rPr>
      </w:pPr>
      <w:r>
        <w:rPr>
          <w:sz w:val="24"/>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sz w:val="24"/>
        </w:rPr>
      </w:pPr>
      <w:r>
        <w:rPr>
          <w:sz w:val="24"/>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firstLineChars="200"/>
        <w:rPr>
          <w:b/>
          <w:sz w:val="24"/>
        </w:rPr>
      </w:pPr>
      <w:r>
        <w:rPr>
          <w:b/>
          <w:sz w:val="24"/>
        </w:rPr>
        <w:t>13、仲裁</w:t>
      </w:r>
    </w:p>
    <w:p>
      <w:pPr>
        <w:spacing w:line="360" w:lineRule="auto"/>
        <w:ind w:firstLine="480" w:firstLineChars="200"/>
        <w:rPr>
          <w:sz w:val="24"/>
        </w:rPr>
      </w:pPr>
      <w:r>
        <w:rPr>
          <w:sz w:val="24"/>
        </w:rPr>
        <w:t>13.1在执行本合同中发生的或与本合同有关的争端，双方应通过友好协商解决，经协商在30天内不能达成协议时，应提交仲裁。</w:t>
      </w:r>
    </w:p>
    <w:p>
      <w:pPr>
        <w:spacing w:line="360" w:lineRule="auto"/>
        <w:ind w:firstLine="480" w:firstLineChars="200"/>
        <w:rPr>
          <w:sz w:val="24"/>
        </w:rPr>
      </w:pPr>
      <w:r>
        <w:rPr>
          <w:sz w:val="24"/>
        </w:rPr>
        <w:t>13.2仲裁应由买方所在地仲裁机构，根据其仲裁程序和规则进行。</w:t>
      </w:r>
    </w:p>
    <w:p>
      <w:pPr>
        <w:spacing w:line="360" w:lineRule="auto"/>
        <w:ind w:firstLine="480" w:firstLineChars="200"/>
        <w:rPr>
          <w:sz w:val="24"/>
        </w:rPr>
      </w:pPr>
      <w:r>
        <w:rPr>
          <w:sz w:val="24"/>
        </w:rPr>
        <w:t>13.3仲裁裁决为最终决定，并对双方具有约束力。</w:t>
      </w:r>
    </w:p>
    <w:p>
      <w:pPr>
        <w:spacing w:line="360" w:lineRule="auto"/>
        <w:ind w:firstLine="480" w:firstLineChars="200"/>
        <w:rPr>
          <w:sz w:val="24"/>
        </w:rPr>
      </w:pPr>
      <w:r>
        <w:rPr>
          <w:sz w:val="24"/>
        </w:rPr>
        <w:t>13.4除另有裁决外，仲裁费应由败诉方负担。</w:t>
      </w:r>
    </w:p>
    <w:p>
      <w:pPr>
        <w:spacing w:line="360" w:lineRule="auto"/>
        <w:ind w:firstLine="480" w:firstLineChars="200"/>
        <w:rPr>
          <w:sz w:val="24"/>
        </w:rPr>
      </w:pPr>
      <w:r>
        <w:rPr>
          <w:sz w:val="24"/>
        </w:rPr>
        <w:t>13.5在仲裁期间，除正在进行的仲裁部分外，合同其它部分继续执行。</w:t>
      </w:r>
    </w:p>
    <w:p>
      <w:pPr>
        <w:spacing w:line="360" w:lineRule="auto"/>
        <w:ind w:firstLine="482" w:firstLineChars="200"/>
        <w:rPr>
          <w:b/>
          <w:sz w:val="24"/>
        </w:rPr>
      </w:pPr>
      <w:r>
        <w:rPr>
          <w:b/>
          <w:sz w:val="24"/>
        </w:rPr>
        <w:t>14、违约终止合同</w:t>
      </w:r>
    </w:p>
    <w:p>
      <w:pPr>
        <w:spacing w:line="360" w:lineRule="auto"/>
        <w:ind w:firstLine="480" w:firstLineChars="200"/>
        <w:rPr>
          <w:sz w:val="24"/>
        </w:rPr>
      </w:pPr>
      <w:r>
        <w:rPr>
          <w:sz w:val="24"/>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ind w:firstLine="480" w:firstLineChars="200"/>
        <w:rPr>
          <w:sz w:val="24"/>
        </w:rPr>
      </w:pPr>
      <w:r>
        <w:rPr>
          <w:rFonts w:hint="eastAsia"/>
          <w:sz w:val="24"/>
        </w:rPr>
        <w:t>（1）</w:t>
      </w:r>
      <w:r>
        <w:rPr>
          <w:sz w:val="24"/>
        </w:rPr>
        <w:t>如果卖方未能在合同规定的期限内或买方准许的任何延期内交付部分或全部服务。</w:t>
      </w:r>
    </w:p>
    <w:p>
      <w:pPr>
        <w:spacing w:line="360" w:lineRule="auto"/>
        <w:ind w:firstLine="480" w:firstLineChars="200"/>
        <w:rPr>
          <w:sz w:val="24"/>
        </w:rPr>
      </w:pPr>
      <w:r>
        <w:rPr>
          <w:rFonts w:hint="eastAsia"/>
          <w:sz w:val="24"/>
        </w:rPr>
        <w:t>（2）</w:t>
      </w:r>
      <w:r>
        <w:rPr>
          <w:sz w:val="24"/>
        </w:rPr>
        <w:t>卖方未能履行合同项下的其它义务。</w:t>
      </w:r>
    </w:p>
    <w:p>
      <w:pPr>
        <w:spacing w:line="360" w:lineRule="auto"/>
        <w:ind w:firstLine="480" w:firstLineChars="200"/>
        <w:rPr>
          <w:sz w:val="24"/>
        </w:rPr>
      </w:pPr>
      <w:r>
        <w:rPr>
          <w:sz w:val="24"/>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spacing w:line="360" w:lineRule="auto"/>
        <w:ind w:firstLine="472" w:firstLineChars="196"/>
        <w:rPr>
          <w:b/>
          <w:sz w:val="24"/>
        </w:rPr>
      </w:pPr>
      <w:r>
        <w:rPr>
          <w:b/>
          <w:sz w:val="24"/>
        </w:rPr>
        <w:t>15、变更指示</w:t>
      </w:r>
    </w:p>
    <w:p>
      <w:pPr>
        <w:spacing w:line="360" w:lineRule="auto"/>
        <w:ind w:firstLine="480" w:firstLineChars="200"/>
        <w:rPr>
          <w:sz w:val="24"/>
        </w:rPr>
      </w:pPr>
      <w:r>
        <w:rPr>
          <w:sz w:val="24"/>
        </w:rPr>
        <w:t>15.1买卖双方经友好协商可对某些条款作出更改和调整，但不得对招投标内容做出实质性更改，且需以书面形式确认变更内容</w:t>
      </w:r>
    </w:p>
    <w:p>
      <w:pPr>
        <w:spacing w:line="360" w:lineRule="auto"/>
        <w:ind w:firstLine="480" w:firstLineChars="200"/>
        <w:rPr>
          <w:sz w:val="24"/>
        </w:rPr>
      </w:pPr>
      <w:r>
        <w:rPr>
          <w:sz w:val="24"/>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360" w:lineRule="auto"/>
        <w:ind w:firstLine="472" w:firstLineChars="196"/>
        <w:rPr>
          <w:b/>
          <w:sz w:val="24"/>
        </w:rPr>
      </w:pPr>
      <w:r>
        <w:rPr>
          <w:b/>
          <w:sz w:val="24"/>
        </w:rPr>
        <w:t>16、合同修改</w:t>
      </w:r>
    </w:p>
    <w:p>
      <w:pPr>
        <w:spacing w:line="360" w:lineRule="auto"/>
        <w:ind w:firstLine="480" w:firstLineChars="200"/>
        <w:rPr>
          <w:sz w:val="24"/>
        </w:rPr>
      </w:pPr>
      <w:r>
        <w:rPr>
          <w:sz w:val="24"/>
        </w:rPr>
        <w:t>16.1欲对合同条款做出任何改动或偏离，均须由买卖双方签署书面的合同修改书。</w:t>
      </w:r>
    </w:p>
    <w:p>
      <w:pPr>
        <w:spacing w:line="360" w:lineRule="auto"/>
        <w:ind w:firstLine="472" w:firstLineChars="196"/>
        <w:rPr>
          <w:b/>
          <w:sz w:val="24"/>
        </w:rPr>
      </w:pPr>
      <w:r>
        <w:rPr>
          <w:b/>
          <w:sz w:val="24"/>
        </w:rPr>
        <w:t>17、适用法律</w:t>
      </w:r>
    </w:p>
    <w:p>
      <w:pPr>
        <w:spacing w:line="360" w:lineRule="auto"/>
        <w:ind w:firstLine="480" w:firstLineChars="200"/>
        <w:rPr>
          <w:sz w:val="24"/>
        </w:rPr>
      </w:pPr>
      <w:r>
        <w:rPr>
          <w:sz w:val="24"/>
        </w:rPr>
        <w:t>17.1本合同应按中华人民共和国的相关法律解释。</w:t>
      </w:r>
    </w:p>
    <w:p>
      <w:pPr>
        <w:spacing w:line="360" w:lineRule="auto"/>
        <w:ind w:firstLine="472" w:firstLineChars="196"/>
        <w:rPr>
          <w:b/>
          <w:sz w:val="24"/>
        </w:rPr>
      </w:pPr>
      <w:r>
        <w:rPr>
          <w:b/>
          <w:sz w:val="24"/>
        </w:rPr>
        <w:t>18、通知</w:t>
      </w:r>
    </w:p>
    <w:p>
      <w:pPr>
        <w:spacing w:line="360" w:lineRule="auto"/>
        <w:ind w:firstLine="480" w:firstLineChars="200"/>
        <w:rPr>
          <w:sz w:val="24"/>
        </w:rPr>
      </w:pPr>
      <w:r>
        <w:rPr>
          <w:sz w:val="24"/>
        </w:rPr>
        <w:t>18.1本合同任何一方给另一方的通知都应以书面或电传、电报、传真的形式发送，而另一方应以书面形式确认并发送到对方明确的地址。</w:t>
      </w:r>
    </w:p>
    <w:p>
      <w:pPr>
        <w:spacing w:line="360" w:lineRule="auto"/>
        <w:ind w:firstLine="472" w:firstLineChars="196"/>
        <w:rPr>
          <w:b/>
          <w:sz w:val="24"/>
        </w:rPr>
      </w:pPr>
      <w:r>
        <w:rPr>
          <w:b/>
          <w:sz w:val="24"/>
        </w:rPr>
        <w:t>19、合同文件及资料的使用</w:t>
      </w:r>
    </w:p>
    <w:p>
      <w:pPr>
        <w:spacing w:line="360" w:lineRule="auto"/>
        <w:ind w:firstLine="480" w:firstLineChars="200"/>
        <w:rPr>
          <w:sz w:val="24"/>
        </w:rPr>
      </w:pPr>
      <w:r>
        <w:rPr>
          <w:sz w:val="24"/>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spacing w:line="360" w:lineRule="auto"/>
        <w:ind w:firstLine="480" w:firstLineChars="200"/>
        <w:rPr>
          <w:sz w:val="24"/>
        </w:rPr>
      </w:pPr>
      <w:r>
        <w:rPr>
          <w:sz w:val="24"/>
        </w:rPr>
        <w:t>19.2除非执行合同需要，在事先末得到买、卖方同意的情况下，买、卖方不得将与本合同有关的任何文件和资料给第三方使用。</w:t>
      </w:r>
    </w:p>
    <w:p>
      <w:pPr>
        <w:spacing w:line="360" w:lineRule="auto"/>
        <w:ind w:firstLine="472" w:firstLineChars="196"/>
        <w:rPr>
          <w:sz w:val="24"/>
        </w:rPr>
      </w:pPr>
      <w:r>
        <w:rPr>
          <w:b/>
          <w:sz w:val="24"/>
        </w:rPr>
        <w:t>20、合同生效及其他</w:t>
      </w:r>
    </w:p>
    <w:p>
      <w:pPr>
        <w:spacing w:line="360" w:lineRule="auto"/>
        <w:ind w:firstLine="480" w:firstLineChars="200"/>
        <w:rPr>
          <w:sz w:val="24"/>
        </w:rPr>
      </w:pPr>
      <w:r>
        <w:rPr>
          <w:sz w:val="24"/>
        </w:rPr>
        <w:t>20.1本合同应在买方和卖方签字盖章后生效。</w:t>
      </w:r>
    </w:p>
    <w:p>
      <w:pPr>
        <w:spacing w:line="360" w:lineRule="auto"/>
        <w:ind w:firstLine="480" w:firstLineChars="200"/>
        <w:rPr>
          <w:sz w:val="24"/>
        </w:rPr>
      </w:pPr>
      <w:r>
        <w:rPr>
          <w:sz w:val="24"/>
        </w:rPr>
        <w:t>20.2卖方须按技术规格中的规定，向买方提供与合同项下服务有关的现场、技术服务、培训等其他相关服务。</w:t>
      </w:r>
    </w:p>
    <w:p>
      <w:pPr>
        <w:spacing w:line="360" w:lineRule="auto"/>
        <w:ind w:firstLine="480" w:firstLineChars="200"/>
        <w:rPr>
          <w:sz w:val="24"/>
        </w:rPr>
      </w:pPr>
      <w:r>
        <w:rPr>
          <w:sz w:val="24"/>
        </w:rPr>
        <w:t>20.3商务合同应包括买方最后确认的价格条款和付款方式。</w:t>
      </w:r>
    </w:p>
    <w:p>
      <w:pPr>
        <w:spacing w:line="360" w:lineRule="auto"/>
        <w:ind w:firstLine="480" w:firstLineChars="200"/>
        <w:rPr>
          <w:sz w:val="24"/>
        </w:rPr>
      </w:pPr>
      <w:r>
        <w:rPr>
          <w:sz w:val="24"/>
        </w:rPr>
        <w:t>20.4下述文件将作为合同附件，为本合同不可分割的组成部分，并与本合具有同等效力；</w:t>
      </w:r>
    </w:p>
    <w:p>
      <w:pPr>
        <w:spacing w:line="360" w:lineRule="auto"/>
        <w:ind w:firstLine="600" w:firstLineChars="250"/>
        <w:rPr>
          <w:sz w:val="24"/>
        </w:rPr>
      </w:pPr>
      <w:r>
        <w:rPr>
          <w:sz w:val="24"/>
        </w:rPr>
        <w:t>（1）招标文件</w:t>
      </w:r>
      <w:r>
        <w:rPr>
          <w:rFonts w:hint="eastAsia"/>
          <w:sz w:val="24"/>
        </w:rPr>
        <w:t>；</w:t>
      </w:r>
    </w:p>
    <w:p>
      <w:pPr>
        <w:spacing w:line="360" w:lineRule="auto"/>
        <w:ind w:firstLine="600" w:firstLineChars="250"/>
        <w:rPr>
          <w:sz w:val="24"/>
        </w:rPr>
      </w:pPr>
      <w:r>
        <w:rPr>
          <w:rFonts w:hint="eastAsia"/>
          <w:sz w:val="24"/>
        </w:rPr>
        <w:t>（2）</w:t>
      </w:r>
      <w:r>
        <w:rPr>
          <w:sz w:val="24"/>
        </w:rPr>
        <w:t>中标通知书</w:t>
      </w:r>
      <w:r>
        <w:rPr>
          <w:rFonts w:hint="eastAsia"/>
          <w:sz w:val="24"/>
        </w:rPr>
        <w:t>；</w:t>
      </w:r>
    </w:p>
    <w:p>
      <w:pPr>
        <w:spacing w:line="360" w:lineRule="auto"/>
        <w:ind w:firstLine="600" w:firstLineChars="250"/>
        <w:rPr>
          <w:sz w:val="24"/>
        </w:rPr>
      </w:pPr>
      <w:r>
        <w:rPr>
          <w:rFonts w:hint="eastAsia"/>
          <w:sz w:val="24"/>
        </w:rPr>
        <w:t>（3）</w:t>
      </w:r>
      <w:r>
        <w:rPr>
          <w:sz w:val="24"/>
        </w:rPr>
        <w:t>中标人的投标文件及询标过程中的书面答疑记录</w:t>
      </w:r>
      <w:r>
        <w:rPr>
          <w:rFonts w:hint="eastAsia"/>
          <w:sz w:val="24"/>
        </w:rPr>
        <w:t>；</w:t>
      </w:r>
    </w:p>
    <w:p>
      <w:pPr>
        <w:spacing w:line="360" w:lineRule="auto"/>
        <w:ind w:firstLine="482" w:firstLineChars="200"/>
        <w:rPr>
          <w:b/>
          <w:sz w:val="24"/>
        </w:rPr>
      </w:pPr>
      <w:r>
        <w:rPr>
          <w:b/>
          <w:sz w:val="24"/>
        </w:rPr>
        <w:t>21、质量保证</w:t>
      </w:r>
    </w:p>
    <w:p>
      <w:pPr>
        <w:spacing w:line="360" w:lineRule="auto"/>
        <w:ind w:firstLine="480" w:firstLineChars="200"/>
        <w:rPr>
          <w:sz w:val="24"/>
        </w:rPr>
      </w:pPr>
      <w:r>
        <w:rPr>
          <w:sz w:val="24"/>
        </w:rPr>
        <w:t>21.1因乙方原因造成甲方不能按时使用（根据合同有关条款）所购设备或服务时，乙方应根据合同规定向甲方做出赔偿。</w:t>
      </w:r>
    </w:p>
    <w:p>
      <w:pPr>
        <w:spacing w:line="360" w:lineRule="auto"/>
        <w:ind w:firstLine="482" w:firstLineChars="200"/>
        <w:rPr>
          <w:b/>
          <w:sz w:val="24"/>
        </w:rPr>
      </w:pPr>
      <w:r>
        <w:rPr>
          <w:b/>
          <w:sz w:val="24"/>
        </w:rPr>
        <w:t>22、投标报价</w:t>
      </w:r>
    </w:p>
    <w:p>
      <w:pPr>
        <w:spacing w:line="360" w:lineRule="auto"/>
        <w:ind w:firstLine="480" w:firstLineChars="200"/>
        <w:rPr>
          <w:sz w:val="24"/>
        </w:rPr>
      </w:pPr>
      <w:r>
        <w:rPr>
          <w:sz w:val="24"/>
        </w:rPr>
        <w:t>22.1投标报价：交钥匙服务价，内容见须知前附表。</w:t>
      </w:r>
    </w:p>
    <w:p>
      <w:pPr>
        <w:spacing w:line="360" w:lineRule="auto"/>
        <w:ind w:firstLine="480" w:firstLineChars="200"/>
        <w:rPr>
          <w:sz w:val="24"/>
        </w:rPr>
      </w:pPr>
      <w:r>
        <w:rPr>
          <w:sz w:val="24"/>
        </w:rPr>
        <w:t>22.2投标货币：人民币</w:t>
      </w:r>
    </w:p>
    <w:p>
      <w:pPr>
        <w:spacing w:line="360" w:lineRule="auto"/>
        <w:ind w:firstLine="472" w:firstLineChars="196"/>
        <w:rPr>
          <w:b/>
          <w:sz w:val="24"/>
        </w:rPr>
      </w:pPr>
      <w:r>
        <w:rPr>
          <w:b/>
          <w:sz w:val="24"/>
        </w:rPr>
        <w:t>23、特殊要求</w:t>
      </w:r>
    </w:p>
    <w:p>
      <w:pPr>
        <w:spacing w:line="360" w:lineRule="auto"/>
        <w:ind w:firstLine="470" w:firstLineChars="196"/>
        <w:rPr>
          <w:b/>
          <w:sz w:val="32"/>
          <w:szCs w:val="32"/>
        </w:rPr>
      </w:pPr>
      <w:r>
        <w:rPr>
          <w:sz w:val="24"/>
        </w:rPr>
        <w:t>合同特殊条款是对合同一般条款的补充和修改，如果两者之间有不一致之处时，应以特殊条款为准。</w:t>
      </w:r>
    </w:p>
    <w:p>
      <w:pPr>
        <w:adjustRightInd w:val="0"/>
        <w:snapToGrid w:val="0"/>
        <w:spacing w:before="100" w:beforeAutospacing="1" w:after="100" w:afterAutospacing="1"/>
        <w:jc w:val="center"/>
        <w:rPr>
          <w:b/>
          <w:sz w:val="32"/>
          <w:szCs w:val="32"/>
        </w:rPr>
      </w:pPr>
    </w:p>
    <w:p>
      <w:pPr>
        <w:adjustRightInd w:val="0"/>
        <w:snapToGrid w:val="0"/>
        <w:spacing w:before="100" w:beforeAutospacing="1" w:after="100" w:afterAutospacing="1"/>
        <w:jc w:val="center"/>
        <w:rPr>
          <w:b/>
          <w:sz w:val="32"/>
          <w:szCs w:val="32"/>
        </w:rPr>
      </w:pPr>
    </w:p>
    <w:p>
      <w:pPr>
        <w:adjustRightInd w:val="0"/>
        <w:snapToGrid w:val="0"/>
        <w:spacing w:before="100" w:beforeAutospacing="1" w:after="100" w:afterAutospacing="1"/>
        <w:jc w:val="center"/>
        <w:rPr>
          <w:b/>
          <w:sz w:val="32"/>
          <w:szCs w:val="32"/>
        </w:rPr>
      </w:pPr>
    </w:p>
    <w:p>
      <w:pPr>
        <w:adjustRightInd w:val="0"/>
        <w:snapToGrid w:val="0"/>
        <w:spacing w:before="100" w:beforeAutospacing="1" w:after="100" w:afterAutospacing="1"/>
        <w:jc w:val="center"/>
        <w:rPr>
          <w:b/>
          <w:sz w:val="32"/>
          <w:szCs w:val="32"/>
        </w:rPr>
      </w:pPr>
    </w:p>
    <w:p>
      <w:pPr>
        <w:pStyle w:val="4"/>
        <w:keepNext w:val="0"/>
        <w:keepLines w:val="0"/>
        <w:numPr>
          <w:ilvl w:val="0"/>
          <w:numId w:val="3"/>
        </w:numPr>
        <w:adjustRightInd w:val="0"/>
        <w:snapToGrid w:val="0"/>
        <w:spacing w:before="100" w:beforeAutospacing="1" w:after="100" w:afterAutospacing="1" w:line="240" w:lineRule="auto"/>
        <w:jc w:val="center"/>
        <w:rPr>
          <w:rFonts w:hint="eastAsia"/>
          <w:sz w:val="32"/>
          <w:szCs w:val="32"/>
          <w:lang w:eastAsia="zh-CN"/>
        </w:rPr>
      </w:pPr>
      <w:bookmarkStart w:id="22" w:name="_Toc9321"/>
      <w:r>
        <w:rPr>
          <w:rFonts w:hint="eastAsia"/>
          <w:sz w:val="32"/>
          <w:szCs w:val="32"/>
          <w:lang w:eastAsia="zh-CN"/>
        </w:rPr>
        <w:t>投标文件格式</w:t>
      </w:r>
      <w:bookmarkEnd w:id="22"/>
    </w:p>
    <w:p>
      <w:pPr>
        <w:spacing w:line="440" w:lineRule="exact"/>
        <w:rPr>
          <w:rFonts w:hint="eastAsia" w:ascii="宋体" w:hAnsi="宋体" w:cs="宋体"/>
          <w:b/>
          <w:sz w:val="24"/>
        </w:rPr>
      </w:pPr>
    </w:p>
    <w:p>
      <w:pPr>
        <w:spacing w:line="440" w:lineRule="exact"/>
        <w:rPr>
          <w:rFonts w:hint="default" w:ascii="宋体" w:hAnsi="宋体" w:eastAsia="宋体" w:cs="宋体"/>
          <w:b/>
          <w:sz w:val="24"/>
          <w:lang w:val="en-US" w:eastAsia="zh-CN"/>
        </w:rPr>
      </w:pPr>
      <w:r>
        <w:rPr>
          <w:rFonts w:hint="eastAsia" w:ascii="宋体" w:hAnsi="宋体" w:cs="宋体"/>
          <w:b/>
          <w:sz w:val="24"/>
        </w:rPr>
        <w:t>注:</w:t>
      </w:r>
      <w:r>
        <w:rPr>
          <w:rFonts w:hint="eastAsia" w:ascii="宋体" w:hAnsi="宋体" w:cs="宋体"/>
          <w:b/>
          <w:sz w:val="24"/>
          <w:lang w:val="en-US" w:eastAsia="zh-CN"/>
        </w:rPr>
        <w:t>投标文件按照招标文件</w:t>
      </w:r>
      <w:r>
        <w:rPr>
          <w:rFonts w:hint="eastAsia" w:ascii="宋体" w:hAnsi="宋体" w:eastAsia="宋体" w:cs="宋体"/>
          <w:b/>
          <w:sz w:val="24"/>
          <w:lang w:val="en-US" w:eastAsia="zh-CN"/>
        </w:rPr>
        <w:t>第三部分投标说明</w:t>
      </w:r>
      <w:r>
        <w:rPr>
          <w:rFonts w:hint="eastAsia" w:ascii="宋体" w:hAnsi="宋体" w:cs="宋体"/>
          <w:b/>
          <w:sz w:val="24"/>
          <w:lang w:val="en-US" w:eastAsia="zh-CN"/>
        </w:rPr>
        <w:t>相关要求进行编写，未提供格式部分格式自拟</w:t>
      </w: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ind w:firstLine="562" w:firstLineChars="200"/>
        <w:rPr>
          <w:b/>
          <w:sz w:val="28"/>
          <w:szCs w:val="28"/>
        </w:rPr>
      </w:pPr>
    </w:p>
    <w:p>
      <w:pPr>
        <w:spacing w:line="440" w:lineRule="exact"/>
        <w:rPr>
          <w:b/>
          <w:sz w:val="28"/>
          <w:szCs w:val="28"/>
        </w:rPr>
      </w:pPr>
    </w:p>
    <w:p>
      <w:pPr>
        <w:spacing w:line="440" w:lineRule="exact"/>
        <w:rPr>
          <w:b/>
          <w:sz w:val="28"/>
          <w:szCs w:val="28"/>
        </w:rPr>
      </w:pPr>
      <w:r>
        <w:rPr>
          <w:b/>
          <w:sz w:val="28"/>
          <w:szCs w:val="28"/>
        </w:rPr>
        <w:t xml:space="preserve">附表一                           </w:t>
      </w:r>
    </w:p>
    <w:p>
      <w:pPr>
        <w:spacing w:line="440" w:lineRule="exact"/>
        <w:jc w:val="center"/>
        <w:rPr>
          <w:b/>
          <w:sz w:val="28"/>
          <w:szCs w:val="28"/>
        </w:rPr>
      </w:pPr>
      <w:r>
        <w:rPr>
          <w:b/>
          <w:sz w:val="28"/>
          <w:szCs w:val="28"/>
        </w:rPr>
        <w:t>承 诺 函</w:t>
      </w:r>
    </w:p>
    <w:p>
      <w:pPr>
        <w:pStyle w:val="35"/>
        <w:ind w:firstLine="560"/>
      </w:pPr>
    </w:p>
    <w:p>
      <w:pPr>
        <w:spacing w:line="440" w:lineRule="exact"/>
        <w:ind w:firstLine="480" w:firstLineChars="200"/>
        <w:rPr>
          <w:rFonts w:hint="eastAsia" w:eastAsia="宋体"/>
          <w:sz w:val="24"/>
          <w:u w:val="single"/>
          <w:lang w:eastAsia="zh-CN"/>
        </w:rPr>
      </w:pPr>
      <w:r>
        <w:rPr>
          <w:rFonts w:hint="eastAsia"/>
          <w:sz w:val="24"/>
          <w:u w:val="single"/>
          <w:lang w:eastAsia="zh-CN"/>
        </w:rPr>
        <w:t>新和县林业和草原局</w:t>
      </w:r>
    </w:p>
    <w:p>
      <w:pPr>
        <w:spacing w:line="440" w:lineRule="exact"/>
        <w:ind w:firstLine="480" w:firstLineChars="200"/>
        <w:rPr>
          <w:sz w:val="24"/>
        </w:rPr>
      </w:pPr>
      <w:r>
        <w:rPr>
          <w:rFonts w:hint="eastAsia"/>
          <w:sz w:val="24"/>
          <w:u w:val="single"/>
        </w:rPr>
        <w:t>（</w:t>
      </w:r>
      <w:r>
        <w:rPr>
          <w:sz w:val="24"/>
          <w:u w:val="single"/>
        </w:rPr>
        <w:t>投标人全称</w:t>
      </w:r>
      <w:r>
        <w:rPr>
          <w:rFonts w:hint="eastAsia"/>
          <w:sz w:val="24"/>
          <w:u w:val="single"/>
        </w:rPr>
        <w:t>）</w:t>
      </w:r>
      <w:r>
        <w:rPr>
          <w:sz w:val="24"/>
        </w:rPr>
        <w:t>授权</w:t>
      </w:r>
      <w:r>
        <w:rPr>
          <w:rFonts w:hint="eastAsia"/>
          <w:sz w:val="24"/>
          <w:u w:val="single"/>
        </w:rPr>
        <w:t>（</w:t>
      </w:r>
      <w:r>
        <w:rPr>
          <w:sz w:val="24"/>
          <w:u w:val="single"/>
        </w:rPr>
        <w:t>全权代表姓名）（职务、职称</w:t>
      </w:r>
      <w:r>
        <w:rPr>
          <w:rFonts w:hint="eastAsia"/>
          <w:sz w:val="24"/>
          <w:u w:val="single"/>
        </w:rPr>
        <w:t>）</w:t>
      </w:r>
      <w:r>
        <w:rPr>
          <w:sz w:val="24"/>
        </w:rPr>
        <w:t>为全权代表，参加贵方组织的</w:t>
      </w:r>
      <w:r>
        <w:rPr>
          <w:sz w:val="24"/>
          <w:u w:val="single"/>
        </w:rPr>
        <w:t>（采购编号、釆购项目 名称、包号）</w:t>
      </w:r>
      <w:r>
        <w:rPr>
          <w:sz w:val="24"/>
        </w:rPr>
        <w:t>招标的有关活动。为此：我方同意在投标人须知前列表规定的投标日期起遵守本承诺函中的承诺且在投标有效期满之前均具有约束力。</w:t>
      </w:r>
    </w:p>
    <w:p>
      <w:pPr>
        <w:spacing w:line="440" w:lineRule="exact"/>
        <w:ind w:firstLine="480" w:firstLineChars="200"/>
        <w:rPr>
          <w:sz w:val="24"/>
        </w:rPr>
      </w:pPr>
      <w:r>
        <w:rPr>
          <w:sz w:val="24"/>
        </w:rPr>
        <w:t>1、我方承诺已经具备《中华人民共和国政府采购法》中规定的参加政府采购活动的投标人应当具备的条件：</w:t>
      </w:r>
    </w:p>
    <w:p>
      <w:pPr>
        <w:spacing w:line="440" w:lineRule="exact"/>
        <w:ind w:firstLine="480" w:firstLineChars="200"/>
        <w:rPr>
          <w:sz w:val="24"/>
        </w:rPr>
      </w:pPr>
      <w:r>
        <w:rPr>
          <w:sz w:val="24"/>
        </w:rPr>
        <w:t>（1）具有独立承担民事责任的能力；</w:t>
      </w:r>
    </w:p>
    <w:p>
      <w:pPr>
        <w:spacing w:line="440" w:lineRule="exact"/>
        <w:ind w:firstLine="480" w:firstLineChars="200"/>
        <w:rPr>
          <w:sz w:val="24"/>
        </w:rPr>
      </w:pPr>
      <w:r>
        <w:rPr>
          <w:sz w:val="24"/>
        </w:rPr>
        <w:t>（2）遵守国家法律、行政法规，具有良好的信誉和商业道德；</w:t>
      </w:r>
    </w:p>
    <w:p>
      <w:pPr>
        <w:spacing w:line="440" w:lineRule="exact"/>
        <w:ind w:firstLine="480" w:firstLineChars="200"/>
        <w:rPr>
          <w:sz w:val="24"/>
        </w:rPr>
      </w:pPr>
      <w:r>
        <w:rPr>
          <w:sz w:val="24"/>
        </w:rPr>
        <w:t>（3）具有履行合同的能力和良好的履行合同记录；</w:t>
      </w:r>
    </w:p>
    <w:p>
      <w:pPr>
        <w:spacing w:line="440" w:lineRule="exact"/>
        <w:ind w:firstLine="480" w:firstLineChars="200"/>
        <w:rPr>
          <w:sz w:val="24"/>
        </w:rPr>
      </w:pPr>
      <w:r>
        <w:rPr>
          <w:sz w:val="24"/>
        </w:rPr>
        <w:t>（4）具有良好的资金、财务状况及依法缴纳税收和社会保障资金的记录；</w:t>
      </w:r>
    </w:p>
    <w:p>
      <w:pPr>
        <w:spacing w:line="440" w:lineRule="exact"/>
        <w:ind w:firstLine="480" w:firstLineChars="200"/>
        <w:rPr>
          <w:sz w:val="24"/>
        </w:rPr>
      </w:pPr>
      <w:r>
        <w:rPr>
          <w:sz w:val="24"/>
        </w:rPr>
        <w:t>（5）产品及生产所需装备符合中国政府规定的相应技术标准和环保标准；</w:t>
      </w:r>
    </w:p>
    <w:p>
      <w:pPr>
        <w:spacing w:line="440" w:lineRule="exact"/>
        <w:ind w:firstLine="480" w:firstLineChars="200"/>
        <w:rPr>
          <w:sz w:val="24"/>
        </w:rPr>
      </w:pPr>
      <w:r>
        <w:rPr>
          <w:sz w:val="24"/>
        </w:rPr>
        <w:t>（6）没有违反政府采购法规、政策的记录；</w:t>
      </w:r>
    </w:p>
    <w:p>
      <w:pPr>
        <w:spacing w:line="440" w:lineRule="exact"/>
        <w:ind w:firstLine="480" w:firstLineChars="200"/>
        <w:rPr>
          <w:sz w:val="24"/>
        </w:rPr>
      </w:pPr>
      <w:r>
        <w:rPr>
          <w:sz w:val="24"/>
        </w:rPr>
        <w:t>（7）没有发生重大经济纠纷、经济犯罪和走私犯罪记录；</w:t>
      </w:r>
    </w:p>
    <w:p>
      <w:pPr>
        <w:spacing w:line="440" w:lineRule="exact"/>
        <w:ind w:firstLine="480" w:firstLineChars="200"/>
        <w:rPr>
          <w:sz w:val="24"/>
        </w:rPr>
      </w:pPr>
      <w:r>
        <w:rPr>
          <w:sz w:val="24"/>
        </w:rPr>
        <w:t>2、提供投标须知规定的全部投标文件；投标人须知前</w:t>
      </w:r>
      <w:r>
        <w:rPr>
          <w:rFonts w:hint="eastAsia"/>
          <w:sz w:val="24"/>
          <w:lang w:eastAsia="zh-CN"/>
        </w:rPr>
        <w:t>附</w:t>
      </w:r>
      <w:r>
        <w:rPr>
          <w:sz w:val="24"/>
        </w:rPr>
        <w:t>表要求的投标人提交的全部文件；按招标文件要求提供和交付的服务的报价详见商务报价表。</w:t>
      </w:r>
    </w:p>
    <w:p>
      <w:pPr>
        <w:spacing w:line="440" w:lineRule="exact"/>
        <w:ind w:firstLine="480" w:firstLineChars="200"/>
        <w:rPr>
          <w:sz w:val="24"/>
        </w:rPr>
      </w:pPr>
      <w:r>
        <w:rPr>
          <w:sz w:val="24"/>
        </w:rPr>
        <w:t>3、保证忠实地执行双方所签订的合同，并承担合同规定的责任和义务。</w:t>
      </w:r>
    </w:p>
    <w:p>
      <w:pPr>
        <w:spacing w:line="440" w:lineRule="exact"/>
        <w:ind w:firstLine="480" w:firstLineChars="200"/>
        <w:rPr>
          <w:sz w:val="24"/>
        </w:rPr>
      </w:pPr>
      <w:r>
        <w:rPr>
          <w:sz w:val="24"/>
        </w:rPr>
        <w:t>4、保证遵守招标文件中的其他有关条款。</w:t>
      </w:r>
    </w:p>
    <w:p>
      <w:pPr>
        <w:spacing w:line="440" w:lineRule="exact"/>
        <w:ind w:firstLine="480" w:firstLineChars="200"/>
        <w:rPr>
          <w:sz w:val="24"/>
        </w:rPr>
      </w:pPr>
      <w:r>
        <w:rPr>
          <w:sz w:val="24"/>
        </w:rPr>
        <w:t>5、如果在招标后规定的投标有效期内撤回投标文件或者有其他违约行为。</w:t>
      </w:r>
    </w:p>
    <w:p>
      <w:pPr>
        <w:spacing w:line="440" w:lineRule="exact"/>
        <w:ind w:firstLine="480" w:firstLineChars="200"/>
        <w:rPr>
          <w:sz w:val="24"/>
        </w:rPr>
      </w:pPr>
      <w:r>
        <w:rPr>
          <w:sz w:val="24"/>
        </w:rPr>
        <w:t>6、我们完全理解贵方不一定要接受最低报价或收到的任何投标。</w:t>
      </w:r>
    </w:p>
    <w:p>
      <w:pPr>
        <w:spacing w:line="440" w:lineRule="exact"/>
        <w:ind w:firstLine="480" w:firstLineChars="200"/>
        <w:rPr>
          <w:sz w:val="24"/>
        </w:rPr>
      </w:pPr>
      <w:r>
        <w:rPr>
          <w:sz w:val="24"/>
        </w:rPr>
        <w:t>7、我方愿意向贵方提供真实完整的任何与该项目有关的数据、情况和技术资料。若贵方需要，我方愿意提供我方作出的一切承诺的证明材料。</w:t>
      </w:r>
    </w:p>
    <w:p>
      <w:pPr>
        <w:spacing w:line="440" w:lineRule="exact"/>
        <w:ind w:firstLine="480" w:firstLineChars="200"/>
        <w:rPr>
          <w:sz w:val="24"/>
        </w:rPr>
      </w:pPr>
      <w:r>
        <w:rPr>
          <w:sz w:val="24"/>
        </w:rPr>
        <w:t>8、我方已详细审核全部招标文件，包括招标的修改文件（如有的话）、参考资料及有关附件，确认无误。</w:t>
      </w:r>
    </w:p>
    <w:p>
      <w:pPr>
        <w:spacing w:line="440" w:lineRule="exact"/>
        <w:ind w:firstLine="480" w:firstLineChars="200"/>
        <w:rPr>
          <w:sz w:val="24"/>
        </w:rPr>
      </w:pPr>
      <w:r>
        <w:rPr>
          <w:sz w:val="24"/>
        </w:rPr>
        <w:t>9、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440" w:lineRule="exact"/>
        <w:ind w:firstLine="480" w:firstLineChars="200"/>
        <w:rPr>
          <w:sz w:val="24"/>
        </w:rPr>
      </w:pPr>
      <w:r>
        <w:rPr>
          <w:rFonts w:hint="eastAsia"/>
          <w:sz w:val="24"/>
        </w:rPr>
        <w:t>（</w:t>
      </w:r>
      <w:r>
        <w:rPr>
          <w:sz w:val="24"/>
        </w:rPr>
        <w:t>一）提供虚假材料谋取中标的；</w:t>
      </w:r>
    </w:p>
    <w:p>
      <w:pPr>
        <w:spacing w:line="440" w:lineRule="exact"/>
        <w:ind w:firstLine="480" w:firstLineChars="200"/>
        <w:rPr>
          <w:sz w:val="24"/>
        </w:rPr>
      </w:pPr>
      <w:r>
        <w:rPr>
          <w:rFonts w:hint="eastAsia"/>
          <w:sz w:val="24"/>
        </w:rPr>
        <w:t>（</w:t>
      </w:r>
      <w:r>
        <w:rPr>
          <w:sz w:val="24"/>
        </w:rPr>
        <w:t>二）采取不正当手段诋毁、排挤其他投标人的；</w:t>
      </w:r>
    </w:p>
    <w:p>
      <w:pPr>
        <w:spacing w:line="440" w:lineRule="exact"/>
        <w:ind w:firstLine="480" w:firstLineChars="200"/>
        <w:rPr>
          <w:sz w:val="24"/>
        </w:rPr>
      </w:pPr>
      <w:r>
        <w:rPr>
          <w:rFonts w:hint="eastAsia"/>
          <w:sz w:val="24"/>
        </w:rPr>
        <w:t>（</w:t>
      </w:r>
      <w:r>
        <w:rPr>
          <w:sz w:val="24"/>
        </w:rPr>
        <w:t>三）与采购单位、其它投标人或者釆购代理机构恶意串通的；</w:t>
      </w:r>
    </w:p>
    <w:p>
      <w:pPr>
        <w:spacing w:line="440" w:lineRule="exact"/>
        <w:ind w:firstLine="480" w:firstLineChars="200"/>
        <w:rPr>
          <w:sz w:val="24"/>
        </w:rPr>
      </w:pPr>
      <w:r>
        <w:rPr>
          <w:rFonts w:hint="eastAsia"/>
          <w:sz w:val="24"/>
        </w:rPr>
        <w:t>（</w:t>
      </w:r>
      <w:r>
        <w:rPr>
          <w:sz w:val="24"/>
        </w:rPr>
        <w:t>四）向采购人、采购代理机构行贿或者提供其他不正当利益的；</w:t>
      </w:r>
    </w:p>
    <w:p>
      <w:pPr>
        <w:spacing w:line="440" w:lineRule="exact"/>
        <w:ind w:firstLine="480" w:firstLineChars="200"/>
        <w:rPr>
          <w:sz w:val="24"/>
        </w:rPr>
      </w:pPr>
      <w:r>
        <w:rPr>
          <w:rFonts w:hint="eastAsia"/>
          <w:sz w:val="24"/>
        </w:rPr>
        <w:t>（</w:t>
      </w:r>
      <w:r>
        <w:rPr>
          <w:sz w:val="24"/>
        </w:rPr>
        <w:t>五）在招标采购过程中与采购人进行协商的；</w:t>
      </w:r>
    </w:p>
    <w:p>
      <w:pPr>
        <w:spacing w:line="440" w:lineRule="exact"/>
        <w:ind w:firstLine="480" w:firstLineChars="200"/>
        <w:rPr>
          <w:sz w:val="24"/>
        </w:rPr>
      </w:pPr>
      <w:r>
        <w:rPr>
          <w:rFonts w:hint="eastAsia"/>
          <w:sz w:val="24"/>
        </w:rPr>
        <w:t>（</w:t>
      </w:r>
      <w:r>
        <w:rPr>
          <w:sz w:val="24"/>
        </w:rPr>
        <w:t>六）拒绝有关部门监督检查或提供虚假情况的。</w:t>
      </w:r>
    </w:p>
    <w:p>
      <w:pPr>
        <w:spacing w:line="440" w:lineRule="exact"/>
        <w:ind w:firstLine="480" w:firstLineChars="200"/>
        <w:rPr>
          <w:sz w:val="24"/>
        </w:rPr>
      </w:pPr>
      <w:r>
        <w:rPr>
          <w:sz w:val="24"/>
        </w:rPr>
        <w:t>10、我方的投标文件在中标后</w:t>
      </w:r>
      <w:r>
        <w:rPr>
          <w:rFonts w:hint="eastAsia"/>
          <w:sz w:val="24"/>
          <w:lang w:val="en-US" w:eastAsia="zh-CN"/>
        </w:rPr>
        <w:t>90</w:t>
      </w:r>
      <w:r>
        <w:rPr>
          <w:sz w:val="24"/>
        </w:rPr>
        <w:t>天内有效。</w:t>
      </w:r>
    </w:p>
    <w:p>
      <w:pPr>
        <w:spacing w:line="440" w:lineRule="exact"/>
        <w:rPr>
          <w:sz w:val="24"/>
        </w:rPr>
      </w:pPr>
      <w:r>
        <w:rPr>
          <w:b/>
          <w:bCs/>
          <w:sz w:val="24"/>
        </w:rPr>
        <w:t>注：</w:t>
      </w:r>
      <w:r>
        <w:rPr>
          <w:sz w:val="24"/>
        </w:rPr>
        <w:t>未按照本承诺函要求填报的承诺函将被视为非实质性响应，从而导致其被拒绝。</w:t>
      </w:r>
    </w:p>
    <w:p>
      <w:pPr>
        <w:spacing w:line="440" w:lineRule="exact"/>
        <w:rPr>
          <w:b/>
          <w:sz w:val="28"/>
          <w:szCs w:val="28"/>
        </w:rPr>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spacing w:line="440" w:lineRule="exact"/>
        <w:rPr>
          <w:b/>
          <w:sz w:val="28"/>
          <w:szCs w:val="28"/>
        </w:rPr>
      </w:pPr>
    </w:p>
    <w:p>
      <w:pPr>
        <w:spacing w:line="440" w:lineRule="exact"/>
        <w:rPr>
          <w:b/>
          <w:sz w:val="28"/>
          <w:szCs w:val="28"/>
        </w:rPr>
      </w:pPr>
    </w:p>
    <w:p>
      <w:pPr>
        <w:rPr>
          <w:b/>
          <w:sz w:val="28"/>
          <w:szCs w:val="28"/>
        </w:rPr>
      </w:pPr>
      <w:r>
        <w:rPr>
          <w:b/>
          <w:sz w:val="28"/>
          <w:szCs w:val="28"/>
        </w:rPr>
        <w:br w:type="page"/>
      </w:r>
    </w:p>
    <w:p>
      <w:pPr>
        <w:spacing w:line="440" w:lineRule="exact"/>
        <w:rPr>
          <w:sz w:val="28"/>
          <w:szCs w:val="28"/>
        </w:rPr>
      </w:pPr>
      <w:r>
        <w:rPr>
          <w:b/>
          <w:sz w:val="28"/>
          <w:szCs w:val="28"/>
        </w:rPr>
        <w:t>附表二：</w:t>
      </w:r>
    </w:p>
    <w:p>
      <w:pPr>
        <w:spacing w:line="440" w:lineRule="exact"/>
        <w:jc w:val="center"/>
        <w:rPr>
          <w:b/>
          <w:sz w:val="28"/>
          <w:szCs w:val="28"/>
        </w:rPr>
      </w:pPr>
      <w:r>
        <w:rPr>
          <w:b/>
          <w:sz w:val="28"/>
          <w:szCs w:val="28"/>
        </w:rPr>
        <w:t>法人代表授权书格式</w:t>
      </w:r>
    </w:p>
    <w:p>
      <w:pPr>
        <w:spacing w:line="440" w:lineRule="exact"/>
        <w:jc w:val="center"/>
        <w:rPr>
          <w:b/>
          <w:sz w:val="24"/>
        </w:rPr>
      </w:pPr>
    </w:p>
    <w:p>
      <w:pPr>
        <w:spacing w:line="480" w:lineRule="auto"/>
        <w:ind w:firstLine="435"/>
        <w:rPr>
          <w:sz w:val="24"/>
        </w:rPr>
      </w:pPr>
      <w:r>
        <w:rPr>
          <w:sz w:val="24"/>
        </w:rPr>
        <w:t>本授权书声明：注册于</w:t>
      </w:r>
      <w:r>
        <w:rPr>
          <w:sz w:val="24"/>
          <w:u w:val="single"/>
        </w:rPr>
        <w:t>（地区的名称）</w:t>
      </w:r>
      <w:r>
        <w:rPr>
          <w:sz w:val="24"/>
        </w:rPr>
        <w:t>的（</w:t>
      </w:r>
      <w:r>
        <w:rPr>
          <w:sz w:val="24"/>
          <w:u w:val="single"/>
        </w:rPr>
        <w:t>公司名称），</w:t>
      </w:r>
      <w:r>
        <w:rPr>
          <w:sz w:val="24"/>
        </w:rPr>
        <w:t>在下面签字的法人代表</w:t>
      </w:r>
      <w:r>
        <w:rPr>
          <w:sz w:val="24"/>
          <w:u w:val="single"/>
        </w:rPr>
        <w:t>（姓名、职务），</w:t>
      </w:r>
      <w:r>
        <w:rPr>
          <w:sz w:val="24"/>
        </w:rPr>
        <w:t>代表本公司授权在下面签字的</w:t>
      </w:r>
      <w:r>
        <w:rPr>
          <w:sz w:val="24"/>
          <w:u w:val="single"/>
        </w:rPr>
        <w:t>（被授权人的姓名、职务、身份证号）</w:t>
      </w:r>
      <w:r>
        <w:rPr>
          <w:sz w:val="24"/>
        </w:rPr>
        <w:t>为本公司的合法代理人，就</w:t>
      </w:r>
      <w:r>
        <w:rPr>
          <w:sz w:val="24"/>
          <w:u w:val="single"/>
        </w:rPr>
        <w:t>（项目名称/编号）</w:t>
      </w:r>
      <w:r>
        <w:rPr>
          <w:sz w:val="24"/>
        </w:rPr>
        <w:t>的投标，以本公司的名义处理一切与之有关的事务。</w:t>
      </w:r>
    </w:p>
    <w:p>
      <w:pPr>
        <w:spacing w:line="480" w:lineRule="auto"/>
        <w:ind w:firstLine="435"/>
        <w:rPr>
          <w:sz w:val="24"/>
        </w:rPr>
      </w:pPr>
      <w:r>
        <w:rPr>
          <w:sz w:val="24"/>
        </w:rPr>
        <w:t>本授权书于20</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日签字生效，特此声明。</w:t>
      </w:r>
    </w:p>
    <w:p>
      <w:pPr>
        <w:spacing w:line="480" w:lineRule="auto"/>
        <w:ind w:firstLine="435"/>
        <w:rPr>
          <w:sz w:val="24"/>
        </w:rPr>
      </w:pPr>
    </w:p>
    <w:p>
      <w:pPr>
        <w:spacing w:line="480" w:lineRule="auto"/>
        <w:ind w:firstLine="435"/>
        <w:rPr>
          <w:sz w:val="24"/>
          <w:u w:val="single"/>
        </w:rPr>
      </w:pPr>
      <w:r>
        <w:rPr>
          <w:sz w:val="24"/>
        </w:rPr>
        <w:t>法人代表盖章</w:t>
      </w:r>
      <w:r>
        <w:rPr>
          <w:sz w:val="24"/>
          <w:u w:val="single"/>
        </w:rPr>
        <w:t xml:space="preserve">               </w:t>
      </w:r>
    </w:p>
    <w:p>
      <w:pPr>
        <w:spacing w:line="480" w:lineRule="auto"/>
        <w:ind w:firstLine="435"/>
        <w:rPr>
          <w:sz w:val="24"/>
          <w:u w:val="single"/>
        </w:rPr>
      </w:pPr>
      <w:r>
        <w:rPr>
          <w:sz w:val="24"/>
        </w:rPr>
        <w:t>被授权人签字或盖章</w:t>
      </w:r>
      <w:r>
        <w:rPr>
          <w:sz w:val="24"/>
          <w:u w:val="single"/>
        </w:rPr>
        <w:t xml:space="preserve">               </w:t>
      </w:r>
    </w:p>
    <w:p>
      <w:pPr>
        <w:spacing w:line="480" w:lineRule="auto"/>
        <w:ind w:firstLine="435"/>
        <w:rPr>
          <w:sz w:val="24"/>
        </w:rPr>
      </w:pPr>
      <w:r>
        <w:rPr>
          <w:sz w:val="24"/>
        </w:rPr>
        <w:t>公      章：</w:t>
      </w:r>
      <w:r>
        <w:rPr>
          <w:sz w:val="24"/>
          <w:u w:val="single"/>
        </w:rPr>
        <w:t xml:space="preserve">              </w:t>
      </w:r>
    </w:p>
    <w:p>
      <w:pPr>
        <w:spacing w:line="480" w:lineRule="auto"/>
        <w:ind w:firstLine="480" w:firstLineChars="200"/>
        <w:rPr>
          <w:sz w:val="24"/>
        </w:rPr>
      </w:pPr>
      <w:r>
        <w:rPr>
          <w:rFonts w:hint="eastAsia"/>
          <w:sz w:val="24"/>
          <w:lang w:eastAsia="zh-CN"/>
        </w:rPr>
        <w:t>注：</w:t>
      </w:r>
      <w:r>
        <w:rPr>
          <w:rFonts w:hint="eastAsia"/>
          <w:sz w:val="24"/>
        </w:rPr>
        <w:t>法人和</w:t>
      </w:r>
      <w:r>
        <w:rPr>
          <w:sz w:val="24"/>
        </w:rPr>
        <w:t>被授权人身份证复印件</w:t>
      </w:r>
    </w:p>
    <w:p>
      <w:pPr>
        <w:spacing w:line="480" w:lineRule="auto"/>
        <w:ind w:firstLine="3612" w:firstLineChars="1505"/>
        <w:jc w:val="right"/>
        <w:rPr>
          <w:sz w:val="24"/>
        </w:rPr>
      </w:pPr>
    </w:p>
    <w:p>
      <w:pPr>
        <w:spacing w:line="480" w:lineRule="auto"/>
        <w:ind w:firstLine="3612" w:firstLineChars="1505"/>
        <w:jc w:val="right"/>
        <w:rPr>
          <w:sz w:val="24"/>
        </w:rPr>
      </w:pPr>
      <w:r>
        <w:rPr>
          <w:sz w:val="24"/>
        </w:rPr>
        <w:t>授权日期：20</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40" w:lineRule="exact"/>
        <w:rPr>
          <w:sz w:val="24"/>
        </w:rPr>
      </w:pPr>
    </w:p>
    <w:p>
      <w:pPr>
        <w:spacing w:line="440" w:lineRule="exact"/>
        <w:rPr>
          <w:sz w:val="24"/>
        </w:rPr>
      </w:pPr>
      <w:r>
        <w:rPr>
          <w:b/>
          <w:bCs/>
          <w:sz w:val="24"/>
        </w:rPr>
        <w:t>注：</w:t>
      </w:r>
      <w:r>
        <w:rPr>
          <w:sz w:val="24"/>
        </w:rPr>
        <w:t>法人代表本人作为公司代理人前来参加投标的投标人，可不提供此项证明文件。</w:t>
      </w:r>
    </w:p>
    <w:p>
      <w:pPr>
        <w:spacing w:line="440" w:lineRule="exact"/>
        <w:rPr>
          <w:b/>
          <w:sz w:val="28"/>
          <w:szCs w:val="28"/>
        </w:rPr>
      </w:pPr>
    </w:p>
    <w:p>
      <w:pPr>
        <w:spacing w:line="440" w:lineRule="exact"/>
        <w:rPr>
          <w:b/>
          <w:sz w:val="28"/>
          <w:szCs w:val="28"/>
        </w:rPr>
      </w:pPr>
    </w:p>
    <w:p>
      <w:pPr>
        <w:pStyle w:val="35"/>
        <w:ind w:firstLine="560"/>
      </w:pPr>
    </w:p>
    <w:p>
      <w:pPr>
        <w:pStyle w:val="35"/>
        <w:ind w:firstLine="560"/>
      </w:pPr>
    </w:p>
    <w:p>
      <w:pPr>
        <w:pStyle w:val="35"/>
        <w:ind w:firstLine="560"/>
      </w:pPr>
    </w:p>
    <w:p>
      <w:pPr>
        <w:pStyle w:val="35"/>
        <w:ind w:firstLine="560"/>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4"/>
          <w:lang w:val="zh-CN"/>
        </w:rPr>
      </w:pPr>
      <w:r>
        <w:rPr>
          <w:b/>
          <w:sz w:val="28"/>
          <w:szCs w:val="28"/>
        </w:rPr>
        <w:t>附表三：</w:t>
      </w:r>
      <w:r>
        <w:rPr>
          <w:b/>
          <w:sz w:val="24"/>
          <w:lang w:val="zh-CN"/>
        </w:rPr>
        <w:t xml:space="preserve"> </w:t>
      </w:r>
    </w:p>
    <w:p>
      <w:pPr>
        <w:spacing w:line="440" w:lineRule="exact"/>
        <w:ind w:firstLine="3486" w:firstLineChars="1240"/>
        <w:rPr>
          <w:b/>
          <w:sz w:val="28"/>
          <w:szCs w:val="28"/>
        </w:rPr>
      </w:pPr>
      <w:r>
        <w:rPr>
          <w:b/>
          <w:sz w:val="28"/>
          <w:szCs w:val="28"/>
        </w:rPr>
        <w:t>投标报价一览表</w:t>
      </w:r>
    </w:p>
    <w:p>
      <w:pPr>
        <w:wordWrap w:val="0"/>
        <w:spacing w:line="440" w:lineRule="exact"/>
        <w:ind w:right="960" w:firstLine="360" w:firstLineChars="150"/>
        <w:textAlignment w:val="baseline"/>
        <w:rPr>
          <w:b/>
          <w:sz w:val="24"/>
        </w:rPr>
      </w:pPr>
      <w:r>
        <w:rPr>
          <w:sz w:val="24"/>
        </w:rPr>
        <w:t xml:space="preserve">项目名称：                                           </w:t>
      </w:r>
    </w:p>
    <w:tbl>
      <w:tblPr>
        <w:tblStyle w:val="26"/>
        <w:tblW w:w="9753" w:type="dxa"/>
        <w:jc w:val="center"/>
        <w:tblLayout w:type="fixed"/>
        <w:tblCellMar>
          <w:top w:w="0" w:type="dxa"/>
          <w:left w:w="0" w:type="dxa"/>
          <w:bottom w:w="0" w:type="dxa"/>
          <w:right w:w="0" w:type="dxa"/>
        </w:tblCellMar>
      </w:tblPr>
      <w:tblGrid>
        <w:gridCol w:w="3548"/>
        <w:gridCol w:w="6205"/>
      </w:tblGrid>
      <w:tr>
        <w:tblPrEx>
          <w:tblCellMar>
            <w:top w:w="0" w:type="dxa"/>
            <w:left w:w="0" w:type="dxa"/>
            <w:bottom w:w="0" w:type="dxa"/>
            <w:right w:w="0" w:type="dxa"/>
          </w:tblCellMar>
        </w:tblPrEx>
        <w:trPr>
          <w:trHeight w:val="615" w:hRule="atLeast"/>
          <w:jc w:val="center"/>
        </w:trPr>
        <w:tc>
          <w:tcPr>
            <w:tcW w:w="354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baseline"/>
              <w:rPr>
                <w:b/>
                <w:sz w:val="24"/>
              </w:rPr>
            </w:pPr>
            <w:r>
              <w:rPr>
                <w:b/>
                <w:sz w:val="24"/>
              </w:rPr>
              <w:t>投标人名称</w:t>
            </w:r>
          </w:p>
        </w:tc>
        <w:tc>
          <w:tcPr>
            <w:tcW w:w="6205" w:type="dxa"/>
            <w:tcBorders>
              <w:top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p>
        </w:tc>
      </w:tr>
      <w:tr>
        <w:tblPrEx>
          <w:tblCellMar>
            <w:top w:w="0" w:type="dxa"/>
            <w:left w:w="0" w:type="dxa"/>
            <w:bottom w:w="0" w:type="dxa"/>
            <w:right w:w="0" w:type="dxa"/>
          </w:tblCellMar>
        </w:tblPrEx>
        <w:trPr>
          <w:trHeight w:val="615" w:hRule="atLeast"/>
          <w:jc w:val="center"/>
        </w:trPr>
        <w:tc>
          <w:tcPr>
            <w:tcW w:w="3548" w:type="dxa"/>
            <w:vMerge w:val="restart"/>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baseline"/>
              <w:rPr>
                <w:b/>
                <w:sz w:val="24"/>
              </w:rPr>
            </w:pPr>
            <w:r>
              <w:rPr>
                <w:b/>
                <w:sz w:val="24"/>
              </w:rPr>
              <w:t>投标总报价</w:t>
            </w:r>
            <w:r>
              <w:rPr>
                <w:rFonts w:hint="eastAsia"/>
                <w:b/>
                <w:sz w:val="24"/>
              </w:rPr>
              <w:t>（</w:t>
            </w:r>
            <w:r>
              <w:rPr>
                <w:b/>
                <w:sz w:val="24"/>
              </w:rPr>
              <w:t>元</w:t>
            </w:r>
            <w:r>
              <w:rPr>
                <w:rFonts w:hint="eastAsia"/>
                <w:b/>
                <w:sz w:val="24"/>
              </w:rPr>
              <w:t>）</w:t>
            </w:r>
          </w:p>
        </w:tc>
        <w:tc>
          <w:tcPr>
            <w:tcW w:w="6205" w:type="dxa"/>
            <w:tcBorders>
              <w:bottom w:val="single" w:color="000000" w:sz="4" w:space="0"/>
              <w:right w:val="single" w:color="000000" w:sz="4" w:space="0"/>
            </w:tcBorders>
            <w:tcMar>
              <w:left w:w="0" w:type="dxa"/>
              <w:right w:w="0" w:type="dxa"/>
            </w:tcMar>
            <w:vAlign w:val="center"/>
          </w:tcPr>
          <w:p>
            <w:pPr>
              <w:spacing w:line="440" w:lineRule="exact"/>
              <w:ind w:right="480"/>
              <w:textAlignment w:val="baseline"/>
              <w:rPr>
                <w:b/>
                <w:sz w:val="24"/>
              </w:rPr>
            </w:pPr>
            <w:r>
              <w:rPr>
                <w:rFonts w:hint="eastAsia"/>
                <w:b/>
                <w:sz w:val="24"/>
                <w:lang w:eastAsia="zh-CN"/>
              </w:rPr>
              <w:t>小</w:t>
            </w:r>
            <w:r>
              <w:rPr>
                <w:b/>
                <w:sz w:val="24"/>
              </w:rPr>
              <w:t xml:space="preserve">写:                     </w:t>
            </w:r>
          </w:p>
        </w:tc>
      </w:tr>
      <w:tr>
        <w:tblPrEx>
          <w:tblCellMar>
            <w:top w:w="0" w:type="dxa"/>
            <w:left w:w="0" w:type="dxa"/>
            <w:bottom w:w="0" w:type="dxa"/>
            <w:right w:w="0" w:type="dxa"/>
          </w:tblCellMar>
        </w:tblPrEx>
        <w:trPr>
          <w:trHeight w:val="615" w:hRule="atLeast"/>
          <w:jc w:val="center"/>
        </w:trPr>
        <w:tc>
          <w:tcPr>
            <w:tcW w:w="3548" w:type="dxa"/>
            <w:vMerge w:val="continue"/>
            <w:tcBorders>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p>
        </w:tc>
        <w:tc>
          <w:tcPr>
            <w:tcW w:w="6205" w:type="dxa"/>
            <w:tcBorders>
              <w:bottom w:val="single" w:color="000000" w:sz="4" w:space="0"/>
              <w:right w:val="single" w:color="000000" w:sz="4" w:space="0"/>
            </w:tcBorders>
            <w:tcMar>
              <w:left w:w="0" w:type="dxa"/>
              <w:right w:w="0" w:type="dxa"/>
            </w:tcMar>
            <w:vAlign w:val="center"/>
          </w:tcPr>
          <w:p>
            <w:pPr>
              <w:spacing w:line="440" w:lineRule="exact"/>
              <w:ind w:right="480"/>
              <w:textAlignment w:val="baseline"/>
              <w:rPr>
                <w:b/>
                <w:sz w:val="24"/>
              </w:rPr>
            </w:pPr>
            <w:r>
              <w:rPr>
                <w:rFonts w:hint="eastAsia"/>
                <w:b/>
                <w:sz w:val="24"/>
                <w:lang w:eastAsia="zh-CN"/>
              </w:rPr>
              <w:t>大</w:t>
            </w:r>
            <w:r>
              <w:rPr>
                <w:b/>
                <w:sz w:val="24"/>
              </w:rPr>
              <w:t>写：</w:t>
            </w:r>
          </w:p>
        </w:tc>
      </w:tr>
      <w:tr>
        <w:tblPrEx>
          <w:tblCellMar>
            <w:top w:w="0" w:type="dxa"/>
            <w:left w:w="0" w:type="dxa"/>
            <w:bottom w:w="0" w:type="dxa"/>
            <w:right w:w="0" w:type="dxa"/>
          </w:tblCellMar>
        </w:tblPrEx>
        <w:trPr>
          <w:trHeight w:val="615" w:hRule="atLeast"/>
          <w:jc w:val="center"/>
        </w:trPr>
        <w:tc>
          <w:tcPr>
            <w:tcW w:w="3548" w:type="dxa"/>
            <w:tcBorders>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r>
              <w:rPr>
                <w:rFonts w:hint="eastAsia"/>
                <w:b/>
                <w:sz w:val="24"/>
              </w:rPr>
              <w:t xml:space="preserve">   合同履行期限</w:t>
            </w:r>
          </w:p>
        </w:tc>
        <w:tc>
          <w:tcPr>
            <w:tcW w:w="6205" w:type="dxa"/>
            <w:tcBorders>
              <w:bottom w:val="single" w:color="000000" w:sz="4" w:space="0"/>
              <w:right w:val="single" w:color="000000" w:sz="4" w:space="0"/>
            </w:tcBorders>
            <w:tcMar>
              <w:left w:w="0" w:type="dxa"/>
              <w:right w:w="0" w:type="dxa"/>
            </w:tcMar>
            <w:vAlign w:val="center"/>
          </w:tcPr>
          <w:p>
            <w:pPr>
              <w:spacing w:line="440" w:lineRule="exact"/>
              <w:ind w:right="480"/>
              <w:textAlignment w:val="baseline"/>
              <w:rPr>
                <w:b/>
                <w:sz w:val="24"/>
              </w:rPr>
            </w:pPr>
          </w:p>
        </w:tc>
      </w:tr>
      <w:tr>
        <w:tblPrEx>
          <w:tblCellMar>
            <w:top w:w="0" w:type="dxa"/>
            <w:left w:w="0" w:type="dxa"/>
            <w:bottom w:w="0" w:type="dxa"/>
            <w:right w:w="0" w:type="dxa"/>
          </w:tblCellMar>
        </w:tblPrEx>
        <w:trPr>
          <w:trHeight w:val="615" w:hRule="atLeast"/>
          <w:jc w:val="center"/>
        </w:trPr>
        <w:tc>
          <w:tcPr>
            <w:tcW w:w="3548" w:type="dxa"/>
            <w:tcBorders>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rFonts w:hint="eastAsia" w:eastAsia="宋体"/>
                <w:b/>
                <w:sz w:val="24"/>
                <w:lang w:eastAsia="zh-CN"/>
              </w:rPr>
            </w:pPr>
            <w:r>
              <w:rPr>
                <w:rFonts w:hint="eastAsia"/>
                <w:b/>
                <w:sz w:val="24"/>
                <w:lang w:eastAsia="zh-CN"/>
              </w:rPr>
              <w:t>交货（服务）地点</w:t>
            </w:r>
          </w:p>
        </w:tc>
        <w:tc>
          <w:tcPr>
            <w:tcW w:w="6205" w:type="dxa"/>
            <w:tcBorders>
              <w:bottom w:val="single" w:color="000000" w:sz="4" w:space="0"/>
              <w:right w:val="single" w:color="000000" w:sz="4" w:space="0"/>
            </w:tcBorders>
            <w:tcMar>
              <w:left w:w="0" w:type="dxa"/>
              <w:right w:w="0" w:type="dxa"/>
            </w:tcMar>
            <w:vAlign w:val="center"/>
          </w:tcPr>
          <w:p>
            <w:pPr>
              <w:spacing w:line="440" w:lineRule="exact"/>
              <w:ind w:right="480"/>
              <w:textAlignment w:val="baseline"/>
              <w:rPr>
                <w:b/>
                <w:sz w:val="24"/>
              </w:rPr>
            </w:pPr>
          </w:p>
        </w:tc>
      </w:tr>
      <w:tr>
        <w:tblPrEx>
          <w:tblCellMar>
            <w:top w:w="0" w:type="dxa"/>
            <w:left w:w="0" w:type="dxa"/>
            <w:bottom w:w="0" w:type="dxa"/>
            <w:right w:w="0" w:type="dxa"/>
          </w:tblCellMar>
        </w:tblPrEx>
        <w:trPr>
          <w:trHeight w:val="675" w:hRule="atLeast"/>
          <w:jc w:val="center"/>
        </w:trPr>
        <w:tc>
          <w:tcPr>
            <w:tcW w:w="354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40" w:lineRule="exact"/>
              <w:jc w:val="center"/>
              <w:textAlignment w:val="baseline"/>
              <w:rPr>
                <w:b/>
                <w:sz w:val="24"/>
              </w:rPr>
            </w:pPr>
            <w:r>
              <w:rPr>
                <w:rFonts w:hint="eastAsia"/>
                <w:b/>
                <w:sz w:val="24"/>
              </w:rPr>
              <w:t>是否为小微企业或残疾人福利性单位</w:t>
            </w:r>
          </w:p>
        </w:tc>
        <w:tc>
          <w:tcPr>
            <w:tcW w:w="620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p>
        </w:tc>
      </w:tr>
    </w:tbl>
    <w:p>
      <w:pPr>
        <w:rPr>
          <w:sz w:val="24"/>
        </w:rPr>
      </w:pPr>
    </w:p>
    <w:p>
      <w:pPr>
        <w:rPr>
          <w:rFonts w:ascii="宋体" w:hAnsi="宋体" w:cs="宋体"/>
          <w:sz w:val="24"/>
        </w:rPr>
      </w:pPr>
      <w:r>
        <w:rPr>
          <w:rFonts w:hint="eastAsia" w:ascii="宋体" w:hAnsi="宋体" w:cs="宋体"/>
          <w:b/>
          <w:bCs/>
          <w:sz w:val="24"/>
        </w:rPr>
        <w:t>注</w:t>
      </w: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、以上所有报价不得高于招标文件规定的最高限价。</w:t>
      </w:r>
    </w:p>
    <w:p>
      <w:pPr>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eastAsia="zh-CN"/>
        </w:rPr>
        <w:t>服务期限</w:t>
      </w:r>
      <w:r>
        <w:rPr>
          <w:rFonts w:hint="eastAsia" w:ascii="宋体" w:hAnsi="宋体" w:cs="宋体"/>
          <w:sz w:val="24"/>
        </w:rPr>
        <w:t>必须响应招标文件。</w:t>
      </w:r>
    </w:p>
    <w:p>
      <w:pPr>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3、本表后需附采购报价清单。</w:t>
      </w:r>
    </w:p>
    <w:p/>
    <w:p>
      <w:pPr>
        <w:spacing w:line="440" w:lineRule="exact"/>
        <w:ind w:right="480"/>
        <w:jc w:val="right"/>
        <w:textAlignment w:val="baseline"/>
        <w:rPr>
          <w:b/>
          <w:sz w:val="24"/>
        </w:rPr>
      </w:pPr>
    </w:p>
    <w:p>
      <w:pPr>
        <w:spacing w:line="440" w:lineRule="exact"/>
        <w:ind w:right="480"/>
        <w:jc w:val="center"/>
        <w:rPr>
          <w:sz w:val="24"/>
        </w:rPr>
      </w:pPr>
      <w:r>
        <w:rPr>
          <w:sz w:val="24"/>
        </w:rPr>
        <w:t xml:space="preserve">                                  投标人：（单位盖章）</w:t>
      </w:r>
    </w:p>
    <w:p>
      <w:pPr>
        <w:spacing w:line="440" w:lineRule="exact"/>
        <w:ind w:right="120"/>
        <w:jc w:val="right"/>
        <w:rPr>
          <w:sz w:val="24"/>
        </w:rPr>
      </w:pPr>
      <w:r>
        <w:rPr>
          <w:sz w:val="24"/>
        </w:rPr>
        <w:t>法定代表人或代理人：（签字或盖章）</w:t>
      </w:r>
    </w:p>
    <w:p>
      <w:pPr>
        <w:spacing w:line="440" w:lineRule="exact"/>
        <w:ind w:right="480" w:firstLine="5400" w:firstLineChars="2250"/>
        <w:rPr>
          <w:sz w:val="24"/>
        </w:rPr>
      </w:pPr>
      <w:r>
        <w:rPr>
          <w:sz w:val="24"/>
        </w:rPr>
        <w:t>日期：         年  月  日</w:t>
      </w: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jc w:val="left"/>
        <w:rPr>
          <w:b/>
          <w:sz w:val="28"/>
          <w:szCs w:val="28"/>
        </w:rPr>
      </w:pPr>
    </w:p>
    <w:p>
      <w:pPr>
        <w:rPr>
          <w:b/>
          <w:sz w:val="28"/>
          <w:szCs w:val="28"/>
        </w:rPr>
      </w:pPr>
      <w:r>
        <w:rPr>
          <w:b/>
          <w:sz w:val="28"/>
          <w:szCs w:val="28"/>
        </w:rPr>
        <w:br w:type="page"/>
      </w:r>
    </w:p>
    <w:p>
      <w:pPr>
        <w:wordWrap w:val="0"/>
        <w:spacing w:line="440" w:lineRule="exact"/>
        <w:jc w:val="left"/>
        <w:rPr>
          <w:sz w:val="24"/>
        </w:rPr>
      </w:pPr>
      <w:r>
        <w:rPr>
          <w:b/>
          <w:sz w:val="28"/>
          <w:szCs w:val="28"/>
        </w:rPr>
        <w:t>附表</w:t>
      </w:r>
      <w:r>
        <w:rPr>
          <w:rFonts w:hint="eastAsia"/>
          <w:b/>
          <w:sz w:val="28"/>
          <w:szCs w:val="28"/>
          <w:lang w:eastAsia="zh-CN"/>
        </w:rPr>
        <w:t>四</w:t>
      </w:r>
      <w:r>
        <w:rPr>
          <w:b/>
          <w:sz w:val="28"/>
          <w:szCs w:val="28"/>
        </w:rPr>
        <w:t>：</w:t>
      </w:r>
    </w:p>
    <w:p>
      <w:pPr>
        <w:spacing w:line="440" w:lineRule="exact"/>
        <w:jc w:val="center"/>
        <w:rPr>
          <w:b/>
          <w:sz w:val="28"/>
          <w:szCs w:val="28"/>
        </w:rPr>
      </w:pPr>
      <w:r>
        <w:rPr>
          <w:b/>
          <w:sz w:val="28"/>
          <w:szCs w:val="28"/>
        </w:rPr>
        <w:t>关于资格的声明函</w:t>
      </w:r>
    </w:p>
    <w:p>
      <w:pPr>
        <w:spacing w:line="440" w:lineRule="exact"/>
        <w:rPr>
          <w:sz w:val="24"/>
        </w:rPr>
      </w:pPr>
    </w:p>
    <w:p>
      <w:pPr>
        <w:spacing w:line="480" w:lineRule="auto"/>
        <w:rPr>
          <w:sz w:val="24"/>
        </w:rPr>
      </w:pPr>
      <w:r>
        <w:rPr>
          <w:sz w:val="24"/>
        </w:rPr>
        <w:t>致</w:t>
      </w:r>
      <w:r>
        <w:rPr>
          <w:rFonts w:hint="eastAsia"/>
          <w:sz w:val="24"/>
          <w:lang w:eastAsia="zh-CN"/>
        </w:rPr>
        <w:t>新疆乾明臻合项目管理有限责任公司</w:t>
      </w:r>
      <w:r>
        <w:rPr>
          <w:sz w:val="24"/>
        </w:rPr>
        <w:t>：</w:t>
      </w:r>
    </w:p>
    <w:p>
      <w:pPr>
        <w:spacing w:line="480" w:lineRule="auto"/>
        <w:ind w:firstLine="570"/>
        <w:rPr>
          <w:sz w:val="24"/>
        </w:rPr>
      </w:pPr>
      <w:r>
        <w:rPr>
          <w:sz w:val="24"/>
        </w:rPr>
        <w:t>关于贵方20</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日招标公告关于</w:t>
      </w:r>
      <w:r>
        <w:rPr>
          <w:sz w:val="24"/>
          <w:u w:val="single"/>
        </w:rPr>
        <w:t>“     ”</w:t>
      </w:r>
      <w:r>
        <w:rPr>
          <w:sz w:val="24"/>
        </w:rPr>
        <w:t>的项目，本签字人愿意参加投标，并有能力提供项目中的相关服务，并保证所提交的所有文件和说明是真实和准确的。</w:t>
      </w:r>
    </w:p>
    <w:p>
      <w:pPr>
        <w:spacing w:line="480" w:lineRule="auto"/>
        <w:ind w:firstLine="570"/>
        <w:rPr>
          <w:sz w:val="24"/>
          <w:u w:val="single"/>
        </w:rPr>
      </w:pPr>
      <w:r>
        <w:rPr>
          <w:sz w:val="24"/>
        </w:rPr>
        <w:t xml:space="preserve">投标人：               签字人姓名、职务：               </w:t>
      </w:r>
    </w:p>
    <w:p>
      <w:pPr>
        <w:spacing w:line="480" w:lineRule="auto"/>
        <w:ind w:firstLine="570"/>
        <w:rPr>
          <w:sz w:val="24"/>
          <w:u w:val="single"/>
        </w:rPr>
      </w:pPr>
      <w:r>
        <w:rPr>
          <w:sz w:val="24"/>
        </w:rPr>
        <w:t xml:space="preserve">地址：                 授权签署本资格文件人： </w:t>
      </w:r>
    </w:p>
    <w:p>
      <w:pPr>
        <w:spacing w:line="480" w:lineRule="auto"/>
        <w:ind w:firstLine="570"/>
        <w:rPr>
          <w:sz w:val="24"/>
        </w:rPr>
      </w:pPr>
      <w:r>
        <w:rPr>
          <w:sz w:val="24"/>
        </w:rPr>
        <w:t xml:space="preserve">传真：        </w:t>
      </w:r>
    </w:p>
    <w:p>
      <w:pPr>
        <w:spacing w:line="480" w:lineRule="auto"/>
        <w:ind w:firstLine="570"/>
        <w:rPr>
          <w:sz w:val="24"/>
        </w:rPr>
      </w:pPr>
      <w:r>
        <w:rPr>
          <w:sz w:val="24"/>
        </w:rPr>
        <w:t>邮编：                      电话：</w:t>
      </w:r>
    </w:p>
    <w:p>
      <w:pPr>
        <w:spacing w:line="480" w:lineRule="auto"/>
        <w:ind w:firstLine="570"/>
        <w:rPr>
          <w:sz w:val="24"/>
        </w:rPr>
      </w:pPr>
      <w:r>
        <w:rPr>
          <w:sz w:val="24"/>
        </w:rPr>
        <w:t xml:space="preserve">投标人法人盖章：       </w:t>
      </w:r>
    </w:p>
    <w:p>
      <w:pPr>
        <w:spacing w:line="480" w:lineRule="auto"/>
        <w:ind w:firstLine="570"/>
        <w:rPr>
          <w:sz w:val="24"/>
        </w:rPr>
      </w:pPr>
      <w:r>
        <w:rPr>
          <w:sz w:val="24"/>
        </w:rPr>
        <w:t>投标人盖章：                                     20</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rPr>
          <w:sz w:val="24"/>
        </w:rPr>
      </w:pPr>
      <w:r>
        <w:rPr>
          <w:sz w:val="24"/>
        </w:rPr>
        <w:br w:type="page"/>
      </w:r>
    </w:p>
    <w:p>
      <w:pPr>
        <w:pStyle w:val="6"/>
        <w:numPr>
          <w:ilvl w:val="0"/>
          <w:numId w:val="0"/>
        </w:numPr>
        <w:spacing w:line="360" w:lineRule="auto"/>
        <w:ind w:leftChars="0" w:right="210" w:rightChars="100"/>
        <w:jc w:val="left"/>
        <w:rPr>
          <w:rFonts w:hint="eastAsia" w:ascii="宋体" w:hAnsi="宋体" w:cs="宋体"/>
          <w:sz w:val="28"/>
          <w:szCs w:val="28"/>
          <w:highlight w:val="none"/>
          <w:lang w:eastAsia="zh-CN"/>
        </w:rPr>
      </w:pPr>
      <w:r>
        <w:rPr>
          <w:b/>
          <w:sz w:val="28"/>
          <w:szCs w:val="28"/>
        </w:rPr>
        <w:t>附表</w:t>
      </w:r>
      <w:r>
        <w:rPr>
          <w:rFonts w:hint="eastAsia"/>
          <w:b/>
          <w:sz w:val="28"/>
          <w:szCs w:val="28"/>
          <w:lang w:eastAsia="zh-CN"/>
        </w:rPr>
        <w:t>五</w:t>
      </w:r>
      <w:r>
        <w:rPr>
          <w:b/>
          <w:sz w:val="28"/>
          <w:szCs w:val="28"/>
        </w:rPr>
        <w:t>：</w:t>
      </w:r>
    </w:p>
    <w:p>
      <w:pPr>
        <w:pStyle w:val="6"/>
        <w:numPr>
          <w:ilvl w:val="0"/>
          <w:numId w:val="0"/>
        </w:numPr>
        <w:spacing w:line="360" w:lineRule="auto"/>
        <w:ind w:leftChars="0" w:right="210" w:rightChars="100"/>
        <w:jc w:val="center"/>
        <w:rPr>
          <w:rFonts w:hint="eastAsia" w:ascii="宋体" w:hAnsi="宋体" w:cs="宋体"/>
          <w:sz w:val="28"/>
          <w:szCs w:val="28"/>
          <w:highlight w:val="none"/>
        </w:rPr>
      </w:pPr>
      <w:r>
        <w:rPr>
          <w:rFonts w:hint="eastAsia" w:ascii="宋体" w:hAnsi="宋体" w:cs="宋体"/>
          <w:sz w:val="28"/>
          <w:szCs w:val="28"/>
          <w:highlight w:val="none"/>
          <w:lang w:eastAsia="zh-CN"/>
        </w:rPr>
        <w:t>投标人</w:t>
      </w:r>
      <w:r>
        <w:rPr>
          <w:rFonts w:hint="eastAsia" w:ascii="宋体" w:hAnsi="宋体" w:cs="宋体"/>
          <w:sz w:val="28"/>
          <w:szCs w:val="28"/>
          <w:highlight w:val="none"/>
        </w:rPr>
        <w:t>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149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lang w:eastAsia="zh-CN"/>
              </w:rPr>
              <w:t>投标人</w:t>
            </w:r>
            <w:r>
              <w:rPr>
                <w:rFonts w:hint="eastAsia" w:ascii="宋体" w:hAnsi="宋体" w:cs="宋体"/>
                <w:szCs w:val="21"/>
                <w:highlight w:val="none"/>
              </w:rPr>
              <w:t>名称</w:t>
            </w:r>
          </w:p>
        </w:tc>
        <w:tc>
          <w:tcPr>
            <w:tcW w:w="8202" w:type="dxa"/>
            <w:gridSpan w:val="8"/>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注册地址</w:t>
            </w:r>
          </w:p>
        </w:tc>
        <w:tc>
          <w:tcPr>
            <w:tcW w:w="3959" w:type="dxa"/>
            <w:gridSpan w:val="4"/>
            <w:noWrap w:val="0"/>
            <w:vAlign w:val="center"/>
          </w:tcPr>
          <w:p>
            <w:pPr>
              <w:jc w:val="center"/>
              <w:rPr>
                <w:rFonts w:hint="eastAsia" w:ascii="宋体" w:hAnsi="宋体" w:cs="宋体"/>
                <w:szCs w:val="21"/>
                <w:highlight w:val="none"/>
              </w:rPr>
            </w:pPr>
          </w:p>
        </w:tc>
        <w:tc>
          <w:tcPr>
            <w:tcW w:w="145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邮政编码</w:t>
            </w:r>
          </w:p>
        </w:tc>
        <w:tc>
          <w:tcPr>
            <w:tcW w:w="2787" w:type="dxa"/>
            <w:gridSpan w:val="3"/>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rPr>
              <w:t>联系方式</w:t>
            </w:r>
          </w:p>
        </w:tc>
        <w:tc>
          <w:tcPr>
            <w:tcW w:w="1341"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联系人</w:t>
            </w:r>
          </w:p>
        </w:tc>
        <w:tc>
          <w:tcPr>
            <w:tcW w:w="2618" w:type="dxa"/>
            <w:gridSpan w:val="2"/>
            <w:noWrap w:val="0"/>
            <w:vAlign w:val="center"/>
          </w:tcPr>
          <w:p>
            <w:pPr>
              <w:jc w:val="center"/>
              <w:rPr>
                <w:rFonts w:hint="eastAsia" w:ascii="宋体" w:hAnsi="宋体" w:cs="宋体"/>
                <w:szCs w:val="21"/>
                <w:highlight w:val="none"/>
              </w:rPr>
            </w:pPr>
          </w:p>
        </w:tc>
        <w:tc>
          <w:tcPr>
            <w:tcW w:w="145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电  话</w:t>
            </w:r>
          </w:p>
        </w:tc>
        <w:tc>
          <w:tcPr>
            <w:tcW w:w="2787" w:type="dxa"/>
            <w:gridSpan w:val="3"/>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pPr>
              <w:jc w:val="center"/>
              <w:rPr>
                <w:rFonts w:hint="eastAsia" w:ascii="宋体" w:hAnsi="宋体" w:cs="宋体"/>
                <w:szCs w:val="21"/>
                <w:highlight w:val="none"/>
              </w:rPr>
            </w:pPr>
          </w:p>
        </w:tc>
        <w:tc>
          <w:tcPr>
            <w:tcW w:w="1341"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传  真</w:t>
            </w:r>
          </w:p>
        </w:tc>
        <w:tc>
          <w:tcPr>
            <w:tcW w:w="2618" w:type="dxa"/>
            <w:gridSpan w:val="2"/>
            <w:noWrap w:val="0"/>
            <w:vAlign w:val="center"/>
          </w:tcPr>
          <w:p>
            <w:pPr>
              <w:jc w:val="center"/>
              <w:rPr>
                <w:rFonts w:hint="eastAsia" w:ascii="宋体" w:hAnsi="宋体" w:cs="宋体"/>
                <w:szCs w:val="21"/>
                <w:highlight w:val="none"/>
              </w:rPr>
            </w:pPr>
          </w:p>
        </w:tc>
        <w:tc>
          <w:tcPr>
            <w:tcW w:w="145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网  址</w:t>
            </w:r>
          </w:p>
        </w:tc>
        <w:tc>
          <w:tcPr>
            <w:tcW w:w="2787" w:type="dxa"/>
            <w:gridSpan w:val="3"/>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组织结构</w:t>
            </w:r>
          </w:p>
        </w:tc>
        <w:tc>
          <w:tcPr>
            <w:tcW w:w="8202" w:type="dxa"/>
            <w:gridSpan w:val="8"/>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法定代表人</w:t>
            </w:r>
          </w:p>
        </w:tc>
        <w:tc>
          <w:tcPr>
            <w:tcW w:w="104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姓名</w:t>
            </w:r>
          </w:p>
        </w:tc>
        <w:tc>
          <w:tcPr>
            <w:tcW w:w="1412" w:type="dxa"/>
            <w:gridSpan w:val="2"/>
            <w:noWrap w:val="0"/>
            <w:vAlign w:val="center"/>
          </w:tcPr>
          <w:p>
            <w:pPr>
              <w:jc w:val="center"/>
              <w:rPr>
                <w:rFonts w:hint="eastAsia" w:ascii="宋体" w:hAnsi="宋体" w:cs="宋体"/>
                <w:szCs w:val="21"/>
                <w:highlight w:val="none"/>
              </w:rPr>
            </w:pPr>
          </w:p>
        </w:tc>
        <w:tc>
          <w:tcPr>
            <w:tcW w:w="1499"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技术职称</w:t>
            </w:r>
          </w:p>
        </w:tc>
        <w:tc>
          <w:tcPr>
            <w:tcW w:w="1760" w:type="dxa"/>
            <w:gridSpan w:val="2"/>
            <w:noWrap w:val="0"/>
            <w:vAlign w:val="center"/>
          </w:tcPr>
          <w:p>
            <w:pPr>
              <w:jc w:val="center"/>
              <w:rPr>
                <w:rFonts w:hint="eastAsia" w:ascii="宋体" w:hAnsi="宋体" w:cs="宋体"/>
                <w:szCs w:val="21"/>
                <w:highlight w:val="none"/>
              </w:rPr>
            </w:pPr>
          </w:p>
        </w:tc>
        <w:tc>
          <w:tcPr>
            <w:tcW w:w="82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电话</w:t>
            </w:r>
          </w:p>
        </w:tc>
        <w:tc>
          <w:tcPr>
            <w:tcW w:w="1655" w:type="dxa"/>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技术负责人</w:t>
            </w:r>
          </w:p>
        </w:tc>
        <w:tc>
          <w:tcPr>
            <w:tcW w:w="104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姓名</w:t>
            </w:r>
          </w:p>
        </w:tc>
        <w:tc>
          <w:tcPr>
            <w:tcW w:w="1412" w:type="dxa"/>
            <w:gridSpan w:val="2"/>
            <w:noWrap w:val="0"/>
            <w:vAlign w:val="center"/>
          </w:tcPr>
          <w:p>
            <w:pPr>
              <w:jc w:val="center"/>
              <w:rPr>
                <w:rFonts w:hint="eastAsia" w:ascii="宋体" w:hAnsi="宋体" w:cs="宋体"/>
                <w:szCs w:val="21"/>
                <w:highlight w:val="none"/>
              </w:rPr>
            </w:pPr>
          </w:p>
        </w:tc>
        <w:tc>
          <w:tcPr>
            <w:tcW w:w="1499"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技术职称</w:t>
            </w:r>
          </w:p>
        </w:tc>
        <w:tc>
          <w:tcPr>
            <w:tcW w:w="1760" w:type="dxa"/>
            <w:gridSpan w:val="2"/>
            <w:noWrap w:val="0"/>
            <w:vAlign w:val="center"/>
          </w:tcPr>
          <w:p>
            <w:pPr>
              <w:jc w:val="center"/>
              <w:rPr>
                <w:rFonts w:hint="eastAsia" w:ascii="宋体" w:hAnsi="宋体" w:cs="宋体"/>
                <w:szCs w:val="21"/>
                <w:highlight w:val="none"/>
              </w:rPr>
            </w:pPr>
          </w:p>
        </w:tc>
        <w:tc>
          <w:tcPr>
            <w:tcW w:w="82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电话</w:t>
            </w:r>
          </w:p>
        </w:tc>
        <w:tc>
          <w:tcPr>
            <w:tcW w:w="1655" w:type="dxa"/>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成立时间</w:t>
            </w:r>
          </w:p>
        </w:tc>
        <w:tc>
          <w:tcPr>
            <w:tcW w:w="2460" w:type="dxa"/>
            <w:gridSpan w:val="3"/>
            <w:noWrap w:val="0"/>
            <w:vAlign w:val="center"/>
          </w:tcPr>
          <w:p>
            <w:pPr>
              <w:jc w:val="center"/>
              <w:rPr>
                <w:rFonts w:hint="eastAsia" w:ascii="宋体" w:hAnsi="宋体" w:cs="宋体"/>
                <w:szCs w:val="21"/>
                <w:highlight w:val="none"/>
              </w:rPr>
            </w:pPr>
          </w:p>
        </w:tc>
        <w:tc>
          <w:tcPr>
            <w:tcW w:w="5742" w:type="dxa"/>
            <w:gridSpan w:val="5"/>
            <w:noWrap w:val="0"/>
            <w:vAlign w:val="center"/>
          </w:tcPr>
          <w:p>
            <w:pPr>
              <w:jc w:val="both"/>
              <w:rPr>
                <w:rFonts w:hint="eastAsia" w:ascii="宋体" w:hAnsi="宋体" w:cs="宋体"/>
                <w:szCs w:val="21"/>
                <w:highlight w:val="none"/>
              </w:rPr>
            </w:pPr>
            <w:r>
              <w:rPr>
                <w:rFonts w:hint="eastAsia" w:ascii="宋体" w:hAnsi="宋体" w:cs="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营业执照号</w:t>
            </w:r>
          </w:p>
        </w:tc>
        <w:tc>
          <w:tcPr>
            <w:tcW w:w="8202" w:type="dxa"/>
            <w:gridSpan w:val="8"/>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注册资金</w:t>
            </w:r>
          </w:p>
        </w:tc>
        <w:tc>
          <w:tcPr>
            <w:tcW w:w="8202" w:type="dxa"/>
            <w:gridSpan w:val="8"/>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开户银行</w:t>
            </w:r>
          </w:p>
        </w:tc>
        <w:tc>
          <w:tcPr>
            <w:tcW w:w="8202" w:type="dxa"/>
            <w:gridSpan w:val="8"/>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账号</w:t>
            </w:r>
          </w:p>
        </w:tc>
        <w:tc>
          <w:tcPr>
            <w:tcW w:w="8202" w:type="dxa"/>
            <w:gridSpan w:val="8"/>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经营范围</w:t>
            </w:r>
          </w:p>
        </w:tc>
        <w:tc>
          <w:tcPr>
            <w:tcW w:w="8202" w:type="dxa"/>
            <w:gridSpan w:val="8"/>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备注</w:t>
            </w:r>
          </w:p>
        </w:tc>
        <w:tc>
          <w:tcPr>
            <w:tcW w:w="8202" w:type="dxa"/>
            <w:gridSpan w:val="8"/>
            <w:noWrap w:val="0"/>
            <w:vAlign w:val="center"/>
          </w:tcPr>
          <w:p>
            <w:pPr>
              <w:jc w:val="center"/>
              <w:rPr>
                <w:rFonts w:hint="eastAsia" w:ascii="宋体" w:hAnsi="宋体" w:cs="宋体"/>
                <w:szCs w:val="21"/>
                <w:highlight w:val="none"/>
              </w:rPr>
            </w:pPr>
          </w:p>
        </w:tc>
      </w:tr>
    </w:tbl>
    <w:p>
      <w:pPr>
        <w:pStyle w:val="2"/>
      </w:pPr>
      <w:r>
        <w:rPr>
          <w:rFonts w:hint="eastAsia" w:ascii="宋体" w:hAnsi="宋体" w:cs="宋体"/>
          <w:b/>
          <w:sz w:val="24"/>
          <w:szCs w:val="21"/>
          <w:highlight w:val="none"/>
        </w:rPr>
        <w:t>备注：本表后应附企业法人营业执照</w:t>
      </w:r>
      <w:r>
        <w:rPr>
          <w:rFonts w:hint="eastAsia" w:ascii="宋体" w:hAnsi="宋体" w:cs="宋体"/>
          <w:b/>
          <w:sz w:val="24"/>
          <w:szCs w:val="21"/>
          <w:highlight w:val="none"/>
          <w:lang w:eastAsia="zh-CN"/>
        </w:rPr>
        <w:t>、</w:t>
      </w:r>
      <w:r>
        <w:rPr>
          <w:rFonts w:hint="eastAsia" w:ascii="宋体" w:hAnsi="宋体" w:cs="宋体"/>
          <w:b/>
          <w:sz w:val="24"/>
          <w:szCs w:val="21"/>
          <w:highlight w:val="none"/>
        </w:rPr>
        <w:t>开户许可证等材料的复印件。</w:t>
      </w:r>
    </w:p>
    <w:p>
      <w:pPr>
        <w:spacing w:line="440" w:lineRule="exact"/>
        <w:rPr>
          <w:b/>
          <w:sz w:val="28"/>
          <w:szCs w:val="28"/>
        </w:rPr>
      </w:pPr>
      <w:r>
        <w:rPr>
          <w:b/>
          <w:sz w:val="28"/>
          <w:szCs w:val="28"/>
        </w:rPr>
        <w:br w:type="page"/>
      </w:r>
      <w:r>
        <w:rPr>
          <w:b/>
          <w:sz w:val="28"/>
          <w:szCs w:val="28"/>
        </w:rPr>
        <w:t>附表</w:t>
      </w:r>
      <w:r>
        <w:rPr>
          <w:rFonts w:hint="eastAsia"/>
          <w:b/>
          <w:sz w:val="28"/>
          <w:szCs w:val="28"/>
          <w:lang w:eastAsia="zh-CN"/>
        </w:rPr>
        <w:t>六</w:t>
      </w:r>
      <w:r>
        <w:rPr>
          <w:b/>
          <w:sz w:val="28"/>
          <w:szCs w:val="28"/>
        </w:rPr>
        <w:t>：</w:t>
      </w:r>
    </w:p>
    <w:p>
      <w:pPr>
        <w:spacing w:before="156" w:beforeLines="50" w:after="156" w:afterLines="50" w:line="480" w:lineRule="auto"/>
        <w:jc w:val="center"/>
        <w:rPr>
          <w:b/>
          <w:sz w:val="28"/>
          <w:szCs w:val="28"/>
        </w:rPr>
      </w:pPr>
      <w:r>
        <w:rPr>
          <w:b/>
          <w:sz w:val="28"/>
          <w:szCs w:val="28"/>
        </w:rPr>
        <w:t>（投标人）《反商业贿赂承诺书》</w:t>
      </w:r>
    </w:p>
    <w:p>
      <w:pPr>
        <w:pStyle w:val="12"/>
        <w:spacing w:line="480" w:lineRule="auto"/>
        <w:ind w:firstLine="482"/>
        <w:rPr>
          <w:b w:val="0"/>
        </w:rPr>
      </w:pPr>
      <w:r>
        <w:rPr>
          <w:b w:val="0"/>
        </w:rPr>
        <w:t>我公司承诺在</w:t>
      </w:r>
      <w:r>
        <w:rPr>
          <w:b w:val="0"/>
          <w:u w:val="single"/>
        </w:rPr>
        <w:t>（项目名称、项目编号）</w:t>
      </w:r>
      <w:r>
        <w:rPr>
          <w:b w:val="0"/>
        </w:rPr>
        <w:t xml:space="preserve">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480" w:lineRule="auto"/>
        <w:ind w:firstLine="482"/>
        <w:rPr>
          <w:b w:val="0"/>
        </w:rPr>
      </w:pPr>
      <w:r>
        <w:rPr>
          <w:b w:val="0"/>
        </w:rPr>
        <w:t>法定代表人：</w:t>
      </w:r>
    </w:p>
    <w:p>
      <w:pPr>
        <w:pStyle w:val="12"/>
        <w:spacing w:line="480" w:lineRule="auto"/>
        <w:ind w:firstLine="482"/>
        <w:rPr>
          <w:b w:val="0"/>
        </w:rPr>
      </w:pPr>
      <w:r>
        <w:rPr>
          <w:b w:val="0"/>
        </w:rPr>
        <w:t xml:space="preserve">法人授权代表：   </w:t>
      </w:r>
      <w:r>
        <w:rPr>
          <w:rFonts w:hint="eastAsia"/>
          <w:b w:val="0"/>
        </w:rPr>
        <w:t xml:space="preserve">  </w:t>
      </w:r>
      <w:r>
        <w:rPr>
          <w:b w:val="0"/>
        </w:rPr>
        <w:t xml:space="preserve">                       日期：</w:t>
      </w:r>
    </w:p>
    <w:p>
      <w:pPr>
        <w:spacing w:line="440" w:lineRule="exact"/>
        <w:rPr>
          <w:b/>
          <w:sz w:val="28"/>
          <w:szCs w:val="28"/>
        </w:rPr>
      </w:pPr>
    </w:p>
    <w:p>
      <w:pPr>
        <w:spacing w:line="440" w:lineRule="exact"/>
        <w:rPr>
          <w:b/>
          <w:sz w:val="28"/>
          <w:szCs w:val="28"/>
        </w:rPr>
      </w:pPr>
    </w:p>
    <w:p>
      <w:pPr>
        <w:spacing w:line="440" w:lineRule="exact"/>
        <w:rPr>
          <w:b/>
          <w:sz w:val="28"/>
          <w:szCs w:val="28"/>
        </w:rPr>
      </w:pPr>
      <w:r>
        <w:rPr>
          <w:b/>
          <w:sz w:val="28"/>
          <w:szCs w:val="28"/>
        </w:rPr>
        <w:t>附表</w:t>
      </w:r>
      <w:r>
        <w:rPr>
          <w:rFonts w:hint="eastAsia"/>
          <w:b/>
          <w:sz w:val="28"/>
          <w:szCs w:val="28"/>
          <w:lang w:eastAsia="zh-CN"/>
        </w:rPr>
        <w:t>七</w:t>
      </w:r>
      <w:r>
        <w:rPr>
          <w:b/>
          <w:sz w:val="28"/>
          <w:szCs w:val="28"/>
        </w:rPr>
        <w:t>：</w:t>
      </w:r>
    </w:p>
    <w:p>
      <w:pPr>
        <w:pStyle w:val="38"/>
        <w:spacing w:line="440" w:lineRule="exact"/>
        <w:jc w:val="center"/>
        <w:rPr>
          <w:rFonts w:hint="eastAsia" w:eastAsia="宋体"/>
          <w:b/>
          <w:color w:val="auto"/>
          <w:sz w:val="28"/>
          <w:szCs w:val="28"/>
          <w:lang w:eastAsia="zh-CN"/>
        </w:rPr>
      </w:pPr>
      <w:r>
        <w:rPr>
          <w:b/>
          <w:color w:val="auto"/>
          <w:sz w:val="28"/>
          <w:szCs w:val="28"/>
        </w:rPr>
        <w:t>近</w:t>
      </w:r>
      <w:r>
        <w:rPr>
          <w:rFonts w:hint="eastAsia"/>
          <w:b/>
          <w:color w:val="auto"/>
          <w:sz w:val="28"/>
          <w:szCs w:val="28"/>
          <w:lang w:val="en-US" w:eastAsia="zh-CN"/>
        </w:rPr>
        <w:t>三</w:t>
      </w:r>
      <w:r>
        <w:rPr>
          <w:b/>
          <w:color w:val="auto"/>
          <w:sz w:val="28"/>
          <w:szCs w:val="28"/>
        </w:rPr>
        <w:t>年（20</w:t>
      </w:r>
      <w:r>
        <w:rPr>
          <w:rFonts w:hint="eastAsia"/>
          <w:b/>
          <w:color w:val="auto"/>
          <w:sz w:val="28"/>
          <w:szCs w:val="28"/>
          <w:lang w:val="en-US" w:eastAsia="zh-CN"/>
        </w:rPr>
        <w:t>20</w:t>
      </w:r>
      <w:r>
        <w:rPr>
          <w:b/>
          <w:color w:val="auto"/>
          <w:sz w:val="28"/>
          <w:szCs w:val="28"/>
        </w:rPr>
        <w:t>年</w:t>
      </w:r>
      <w:r>
        <w:rPr>
          <w:rFonts w:hint="eastAsia"/>
          <w:b/>
          <w:color w:val="auto"/>
          <w:sz w:val="28"/>
          <w:szCs w:val="28"/>
          <w:lang w:val="en-US" w:eastAsia="zh-CN"/>
        </w:rPr>
        <w:t>3</w:t>
      </w:r>
      <w:r>
        <w:rPr>
          <w:b/>
          <w:color w:val="auto"/>
          <w:sz w:val="28"/>
          <w:szCs w:val="28"/>
        </w:rPr>
        <w:t>月至今）类似项目业绩表</w:t>
      </w:r>
      <w:r>
        <w:rPr>
          <w:rFonts w:hint="eastAsia"/>
          <w:b/>
          <w:color w:val="auto"/>
          <w:sz w:val="28"/>
          <w:szCs w:val="28"/>
          <w:lang w:eastAsia="zh-CN"/>
        </w:rPr>
        <w:t>（如有）</w:t>
      </w:r>
    </w:p>
    <w:p>
      <w:pPr>
        <w:pStyle w:val="38"/>
        <w:spacing w:line="440" w:lineRule="exact"/>
        <w:rPr>
          <w:color w:val="auto"/>
          <w:sz w:val="24"/>
        </w:rPr>
      </w:pPr>
      <w:r>
        <w:rPr>
          <w:color w:val="auto"/>
          <w:sz w:val="24"/>
        </w:rPr>
        <w:t xml:space="preserve">项目名称：                             </w:t>
      </w:r>
    </w:p>
    <w:tbl>
      <w:tblPr>
        <w:tblStyle w:val="26"/>
        <w:tblW w:w="978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538"/>
        <w:gridCol w:w="2106"/>
        <w:gridCol w:w="979"/>
        <w:gridCol w:w="2374"/>
        <w:gridCol w:w="18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70" w:type="dxa"/>
            <w:tcBorders>
              <w:top w:val="double" w:color="auto" w:sz="4"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序号</w:t>
            </w:r>
          </w:p>
        </w:tc>
        <w:tc>
          <w:tcPr>
            <w:tcW w:w="1538" w:type="dxa"/>
            <w:tcBorders>
              <w:top w:val="double" w:color="auto" w:sz="4" w:space="0"/>
              <w:left w:val="single" w:color="auto" w:sz="6" w:space="0"/>
              <w:bottom w:val="single" w:color="auto" w:sz="6" w:space="0"/>
              <w:right w:val="single" w:color="auto" w:sz="6" w:space="0"/>
            </w:tcBorders>
            <w:vAlign w:val="center"/>
          </w:tcPr>
          <w:p>
            <w:pPr>
              <w:pStyle w:val="39"/>
              <w:spacing w:line="440" w:lineRule="exact"/>
              <w:jc w:val="center"/>
              <w:rPr>
                <w:color w:val="auto"/>
              </w:rPr>
            </w:pPr>
            <w:r>
              <w:rPr>
                <w:color w:val="auto"/>
              </w:rPr>
              <w:t>项目名称</w:t>
            </w:r>
          </w:p>
        </w:tc>
        <w:tc>
          <w:tcPr>
            <w:tcW w:w="2106" w:type="dxa"/>
            <w:tcBorders>
              <w:top w:val="double" w:color="auto" w:sz="4" w:space="0"/>
              <w:left w:val="single" w:color="auto" w:sz="6" w:space="0"/>
              <w:bottom w:val="single" w:color="auto" w:sz="6" w:space="0"/>
              <w:right w:val="single" w:color="auto" w:sz="6" w:space="0"/>
            </w:tcBorders>
            <w:vAlign w:val="center"/>
          </w:tcPr>
          <w:p>
            <w:pPr>
              <w:pStyle w:val="39"/>
              <w:spacing w:line="440" w:lineRule="exact"/>
              <w:jc w:val="center"/>
              <w:rPr>
                <w:color w:val="auto"/>
              </w:rPr>
            </w:pPr>
            <w:r>
              <w:rPr>
                <w:color w:val="auto"/>
              </w:rPr>
              <w:t>年份</w:t>
            </w:r>
          </w:p>
        </w:tc>
        <w:tc>
          <w:tcPr>
            <w:tcW w:w="979" w:type="dxa"/>
            <w:tcBorders>
              <w:top w:val="double" w:color="auto" w:sz="4" w:space="0"/>
              <w:left w:val="single" w:color="auto" w:sz="6" w:space="0"/>
              <w:bottom w:val="single" w:color="auto" w:sz="6" w:space="0"/>
              <w:right w:val="single" w:color="auto" w:sz="6" w:space="0"/>
            </w:tcBorders>
            <w:vAlign w:val="center"/>
          </w:tcPr>
          <w:p>
            <w:pPr>
              <w:pStyle w:val="39"/>
              <w:spacing w:line="440" w:lineRule="exact"/>
              <w:ind w:left="785" w:hanging="784" w:hangingChars="327"/>
              <w:jc w:val="center"/>
              <w:rPr>
                <w:color w:val="auto"/>
              </w:rPr>
            </w:pPr>
            <w:r>
              <w:rPr>
                <w:color w:val="auto"/>
              </w:rPr>
              <w:t>中标价</w:t>
            </w:r>
          </w:p>
        </w:tc>
        <w:tc>
          <w:tcPr>
            <w:tcW w:w="2374" w:type="dxa"/>
            <w:tcBorders>
              <w:top w:val="double" w:color="auto" w:sz="4" w:space="0"/>
              <w:left w:val="single" w:color="auto" w:sz="6" w:space="0"/>
              <w:bottom w:val="single" w:color="auto" w:sz="6" w:space="0"/>
              <w:right w:val="single" w:color="auto" w:sz="6" w:space="0"/>
            </w:tcBorders>
          </w:tcPr>
          <w:p>
            <w:pPr>
              <w:pStyle w:val="39"/>
              <w:spacing w:line="440" w:lineRule="exact"/>
              <w:jc w:val="center"/>
              <w:rPr>
                <w:color w:val="auto"/>
              </w:rPr>
            </w:pPr>
            <w:r>
              <w:rPr>
                <w:color w:val="auto"/>
              </w:rPr>
              <w:t>项目实施单位</w:t>
            </w:r>
          </w:p>
        </w:tc>
        <w:tc>
          <w:tcPr>
            <w:tcW w:w="1814" w:type="dxa"/>
            <w:tcBorders>
              <w:top w:val="double" w:color="auto" w:sz="4" w:space="0"/>
              <w:left w:val="single" w:color="auto" w:sz="6" w:space="0"/>
              <w:bottom w:val="single" w:color="auto" w:sz="6" w:space="0"/>
              <w:right w:val="double" w:color="auto" w:sz="4" w:space="0"/>
            </w:tcBorders>
            <w:vAlign w:val="center"/>
          </w:tcPr>
          <w:p>
            <w:pPr>
              <w:pStyle w:val="39"/>
              <w:spacing w:line="440" w:lineRule="exact"/>
              <w:jc w:val="center"/>
              <w:rPr>
                <w:color w:val="auto"/>
              </w:rPr>
            </w:pPr>
            <w:r>
              <w:rPr>
                <w:color w:val="auto"/>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1</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2</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3</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4</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bl>
    <w:p>
      <w:pPr>
        <w:pStyle w:val="12"/>
        <w:spacing w:line="480" w:lineRule="auto"/>
        <w:ind w:left="0" w:leftChars="0" w:firstLine="0" w:firstLineChars="0"/>
        <w:rPr>
          <w:rFonts w:hint="eastAsia"/>
          <w:b w:val="0"/>
          <w:lang w:val="en-US" w:eastAsia="zh-CN"/>
        </w:rPr>
      </w:pPr>
      <w:r>
        <w:rPr>
          <w:rFonts w:hint="eastAsia"/>
          <w:b w:val="0"/>
          <w:lang w:val="en-US" w:eastAsia="zh-CN"/>
        </w:rPr>
        <w:t>注：需提供合同或中标通知书</w:t>
      </w:r>
    </w:p>
    <w:p>
      <w:pPr>
        <w:wordWrap w:val="0"/>
        <w:spacing w:line="440" w:lineRule="exact"/>
        <w:ind w:right="120"/>
        <w:jc w:val="right"/>
        <w:rPr>
          <w:sz w:val="24"/>
        </w:rPr>
      </w:pPr>
      <w:r>
        <w:rPr>
          <w:sz w:val="24"/>
        </w:rPr>
        <w:t xml:space="preserve">投标人盖章：                     </w:t>
      </w:r>
    </w:p>
    <w:p>
      <w:pPr>
        <w:spacing w:line="440" w:lineRule="exact"/>
        <w:jc w:val="right"/>
        <w:rPr>
          <w:sz w:val="24"/>
        </w:rPr>
      </w:pPr>
    </w:p>
    <w:p>
      <w:pPr>
        <w:spacing w:line="440" w:lineRule="exact"/>
        <w:jc w:val="right"/>
        <w:rPr>
          <w:sz w:val="24"/>
        </w:rPr>
      </w:pPr>
      <w:r>
        <w:rPr>
          <w:sz w:val="24"/>
        </w:rPr>
        <w:t>投标人法人或代理人（盖章或签字）：</w:t>
      </w:r>
    </w:p>
    <w:p>
      <w:pPr>
        <w:spacing w:line="440" w:lineRule="exact"/>
        <w:jc w:val="right"/>
        <w:rPr>
          <w:sz w:val="24"/>
        </w:rPr>
      </w:pPr>
    </w:p>
    <w:p>
      <w:pPr>
        <w:spacing w:line="440" w:lineRule="exact"/>
        <w:jc w:val="right"/>
        <w:rPr>
          <w:sz w:val="24"/>
        </w:rPr>
      </w:pPr>
      <w:r>
        <w:rPr>
          <w:sz w:val="24"/>
        </w:rPr>
        <w:t xml:space="preserve">                                      年    月     日</w:t>
      </w:r>
    </w:p>
    <w:p>
      <w:pPr>
        <w:spacing w:line="440" w:lineRule="exact"/>
        <w:jc w:val="right"/>
        <w:rPr>
          <w:sz w:val="24"/>
        </w:rPr>
      </w:pPr>
      <w:r>
        <w:rPr>
          <w:sz w:val="24"/>
        </w:rPr>
        <w:br w:type="page"/>
      </w:r>
    </w:p>
    <w:p>
      <w:pPr>
        <w:spacing w:line="440" w:lineRule="exact"/>
        <w:rPr>
          <w:b/>
          <w:sz w:val="28"/>
          <w:szCs w:val="28"/>
        </w:rPr>
      </w:pPr>
      <w:r>
        <w:rPr>
          <w:b/>
          <w:sz w:val="28"/>
          <w:szCs w:val="28"/>
        </w:rPr>
        <w:t>附表</w:t>
      </w:r>
      <w:r>
        <w:rPr>
          <w:rFonts w:hint="eastAsia"/>
          <w:b/>
          <w:sz w:val="28"/>
          <w:szCs w:val="28"/>
          <w:lang w:eastAsia="zh-CN"/>
        </w:rPr>
        <w:t>八</w:t>
      </w:r>
      <w:r>
        <w:rPr>
          <w:b/>
          <w:sz w:val="28"/>
          <w:szCs w:val="28"/>
        </w:rPr>
        <w:t>：</w:t>
      </w:r>
    </w:p>
    <w:p>
      <w:pPr>
        <w:spacing w:line="440" w:lineRule="exact"/>
        <w:jc w:val="center"/>
        <w:rPr>
          <w:rFonts w:hint="eastAsia" w:eastAsia="宋体"/>
          <w:b/>
          <w:sz w:val="28"/>
          <w:szCs w:val="28"/>
          <w:lang w:eastAsia="zh-CN"/>
        </w:rPr>
      </w:pPr>
      <w:r>
        <w:rPr>
          <w:rFonts w:hint="eastAsia"/>
          <w:b/>
          <w:sz w:val="28"/>
          <w:szCs w:val="28"/>
        </w:rPr>
        <w:t>投标保证金缴纳凭证</w:t>
      </w:r>
      <w:r>
        <w:rPr>
          <w:rFonts w:hint="eastAsia"/>
          <w:b/>
          <w:sz w:val="28"/>
          <w:szCs w:val="28"/>
          <w:lang w:eastAsia="zh-CN"/>
        </w:rPr>
        <w:t>（</w:t>
      </w:r>
      <w:r>
        <w:rPr>
          <w:rFonts w:hint="eastAsia"/>
          <w:b/>
          <w:sz w:val="28"/>
          <w:szCs w:val="28"/>
          <w:lang w:val="en-US" w:eastAsia="zh-CN"/>
        </w:rPr>
        <w:t>本项目不做要求</w:t>
      </w:r>
      <w:r>
        <w:rPr>
          <w:rFonts w:hint="eastAsia"/>
          <w:b/>
          <w:sz w:val="28"/>
          <w:szCs w:val="28"/>
          <w:lang w:eastAsia="zh-CN"/>
        </w:rPr>
        <w:t>）</w:t>
      </w:r>
    </w:p>
    <w:p>
      <w:pPr>
        <w:spacing w:line="440" w:lineRule="exact"/>
        <w:rPr>
          <w:b/>
          <w:sz w:val="28"/>
          <w:szCs w:val="28"/>
        </w:rPr>
      </w:pPr>
    </w:p>
    <w:p>
      <w:pPr>
        <w:spacing w:line="440" w:lineRule="exact"/>
        <w:rPr>
          <w:b/>
          <w:sz w:val="28"/>
          <w:szCs w:val="28"/>
        </w:rPr>
      </w:pPr>
    </w:p>
    <w:p>
      <w:pPr>
        <w:spacing w:line="440" w:lineRule="exact"/>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440" w:lineRule="exact"/>
        <w:jc w:val="right"/>
        <w:rPr>
          <w:b/>
          <w:sz w:val="28"/>
          <w:szCs w:val="28"/>
        </w:rPr>
      </w:pPr>
      <w:r>
        <w:rPr>
          <w:b/>
          <w:sz w:val="28"/>
          <w:szCs w:val="28"/>
        </w:rPr>
        <w:br w:type="page"/>
      </w:r>
    </w:p>
    <w:p>
      <w:pPr>
        <w:jc w:val="both"/>
        <w:rPr>
          <w:rFonts w:ascii="宋体" w:hAnsi="宋体"/>
          <w:sz w:val="24"/>
        </w:rPr>
      </w:pPr>
      <w:r>
        <w:rPr>
          <w:rFonts w:hint="eastAsia" w:ascii="宋体" w:hAnsi="宋体"/>
          <w:b/>
          <w:sz w:val="28"/>
          <w:szCs w:val="28"/>
        </w:rPr>
        <w:t>附</w:t>
      </w:r>
      <w:r>
        <w:rPr>
          <w:rFonts w:hint="eastAsia" w:ascii="宋体" w:hAnsi="宋体"/>
          <w:b/>
          <w:sz w:val="28"/>
          <w:szCs w:val="28"/>
          <w:lang w:eastAsia="zh-CN"/>
        </w:rPr>
        <w:t>表九</w:t>
      </w:r>
      <w:r>
        <w:rPr>
          <w:rFonts w:hint="eastAsia" w:ascii="宋体" w:hAnsi="宋体"/>
          <w:b/>
          <w:sz w:val="28"/>
          <w:szCs w:val="28"/>
        </w:rPr>
        <w:t>：</w:t>
      </w:r>
      <w:r>
        <w:rPr>
          <w:rFonts w:ascii="宋体" w:hAnsi="宋体"/>
          <w:b/>
          <w:sz w:val="28"/>
          <w:szCs w:val="28"/>
        </w:rPr>
        <w:t xml:space="preserve"> </w:t>
      </w:r>
      <w:r>
        <w:rPr>
          <w:rFonts w:hint="eastAsia" w:ascii="宋体" w:hAnsi="宋体"/>
          <w:sz w:val="24"/>
        </w:rPr>
        <w:t xml:space="preserve"> </w:t>
      </w:r>
    </w:p>
    <w:p>
      <w:pPr>
        <w:spacing w:line="440" w:lineRule="exact"/>
        <w:jc w:val="center"/>
        <w:rPr>
          <w:rFonts w:hint="eastAsia" w:eastAsia="宋体"/>
          <w:b/>
          <w:bCs/>
          <w:sz w:val="24"/>
          <w:lang w:eastAsia="zh-CN"/>
        </w:rPr>
      </w:pPr>
      <w:r>
        <w:rPr>
          <w:rFonts w:hint="eastAsia"/>
          <w:b/>
          <w:sz w:val="28"/>
          <w:szCs w:val="28"/>
        </w:rPr>
        <w:t>项目</w:t>
      </w:r>
      <w:r>
        <w:rPr>
          <w:rFonts w:hint="eastAsia"/>
          <w:b/>
          <w:sz w:val="28"/>
          <w:szCs w:val="28"/>
          <w:lang w:eastAsia="zh-CN"/>
        </w:rPr>
        <w:t>技术方案</w:t>
      </w:r>
    </w:p>
    <w:p>
      <w:pPr>
        <w:jc w:val="center"/>
        <w:rPr>
          <w:rFonts w:hint="eastAsia"/>
          <w:sz w:val="24"/>
          <w:lang w:eastAsia="zh-CN"/>
        </w:rPr>
      </w:pPr>
      <w:r>
        <w:rPr>
          <w:rFonts w:hint="eastAsia"/>
          <w:sz w:val="24"/>
          <w:lang w:eastAsia="zh-CN"/>
        </w:rPr>
        <w:t>（</w:t>
      </w:r>
      <w:r>
        <w:rPr>
          <w:rFonts w:hint="eastAsia" w:ascii="宋体" w:hAnsi="宋体"/>
          <w:sz w:val="24"/>
          <w:lang w:eastAsia="zh-CN"/>
        </w:rPr>
        <w:t>请</w:t>
      </w:r>
      <w:r>
        <w:rPr>
          <w:rFonts w:hint="eastAsia"/>
          <w:sz w:val="24"/>
          <w:lang w:eastAsia="zh-CN"/>
        </w:rPr>
        <w:t>根据评标办法中商务技术部分评分内容编制完善</w:t>
      </w:r>
      <w:r>
        <w:rPr>
          <w:sz w:val="24"/>
        </w:rPr>
        <w:t>。</w:t>
      </w:r>
      <w:r>
        <w:rPr>
          <w:rFonts w:hint="eastAsia"/>
          <w:sz w:val="24"/>
          <w:lang w:eastAsia="zh-CN"/>
        </w:rPr>
        <w:t>）</w:t>
      </w:r>
    </w:p>
    <w:p>
      <w:pPr>
        <w:pStyle w:val="8"/>
        <w:rPr>
          <w:b w:val="0"/>
          <w:bCs/>
        </w:rPr>
      </w:pPr>
    </w:p>
    <w:p>
      <w:pPr>
        <w:rPr>
          <w:b/>
          <w:sz w:val="28"/>
          <w:szCs w:val="28"/>
        </w:rPr>
      </w:pPr>
      <w:r>
        <w:rPr>
          <w:b/>
          <w:sz w:val="28"/>
          <w:szCs w:val="28"/>
        </w:rPr>
        <w:br w:type="page"/>
      </w:r>
    </w:p>
    <w:p>
      <w:pPr>
        <w:rPr>
          <w:rFonts w:hint="eastAsia" w:ascii="宋体" w:hAnsi="宋体"/>
          <w:b/>
          <w:sz w:val="28"/>
          <w:szCs w:val="28"/>
        </w:rPr>
      </w:pPr>
      <w:r>
        <w:rPr>
          <w:rFonts w:hint="eastAsia" w:ascii="宋体" w:hAnsi="宋体"/>
          <w:b/>
          <w:sz w:val="28"/>
          <w:szCs w:val="28"/>
        </w:rPr>
        <w:t>附</w:t>
      </w:r>
      <w:r>
        <w:rPr>
          <w:rFonts w:hint="eastAsia" w:ascii="宋体" w:hAnsi="宋体"/>
          <w:b/>
          <w:sz w:val="28"/>
          <w:szCs w:val="28"/>
          <w:lang w:eastAsia="zh-CN"/>
        </w:rPr>
        <w:t>表十</w:t>
      </w:r>
      <w:r>
        <w:rPr>
          <w:rFonts w:hint="eastAsia" w:ascii="宋体" w:hAnsi="宋体"/>
          <w:b/>
          <w:sz w:val="28"/>
          <w:szCs w:val="28"/>
        </w:rPr>
        <w:t>：</w:t>
      </w:r>
    </w:p>
    <w:p>
      <w:pPr>
        <w:spacing w:line="440" w:lineRule="exact"/>
        <w:rPr>
          <w:b/>
          <w:sz w:val="28"/>
          <w:szCs w:val="28"/>
        </w:rPr>
      </w:pPr>
      <w:r>
        <w:rPr>
          <w:b/>
          <w:bCs/>
          <w:sz w:val="24"/>
        </w:rPr>
        <w:t>具有履行合同所必需的设备和专业技术能力</w:t>
      </w:r>
      <w:r>
        <w:rPr>
          <w:rFonts w:hint="eastAsia"/>
          <w:b/>
          <w:bCs/>
          <w:sz w:val="24"/>
          <w:lang w:eastAsia="zh-CN"/>
        </w:rPr>
        <w:t>（格式自拟）</w:t>
      </w: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r>
        <w:rPr>
          <w:b/>
          <w:sz w:val="28"/>
          <w:szCs w:val="28"/>
        </w:rPr>
        <w:t>附</w:t>
      </w:r>
      <w:r>
        <w:rPr>
          <w:rFonts w:hint="eastAsia"/>
          <w:b/>
          <w:sz w:val="28"/>
          <w:szCs w:val="28"/>
          <w:lang w:eastAsia="zh-CN"/>
        </w:rPr>
        <w:t>表</w:t>
      </w:r>
      <w:r>
        <w:rPr>
          <w:rFonts w:hint="eastAsia"/>
          <w:b/>
          <w:sz w:val="28"/>
          <w:szCs w:val="28"/>
        </w:rPr>
        <w:t>十</w:t>
      </w:r>
      <w:r>
        <w:rPr>
          <w:rFonts w:hint="eastAsia"/>
          <w:b/>
          <w:sz w:val="28"/>
          <w:szCs w:val="28"/>
          <w:lang w:eastAsia="zh-CN"/>
        </w:rPr>
        <w:t>一</w:t>
      </w:r>
      <w:r>
        <w:rPr>
          <w:b/>
          <w:sz w:val="28"/>
          <w:szCs w:val="28"/>
        </w:rPr>
        <w:t>：</w:t>
      </w:r>
    </w:p>
    <w:p>
      <w:pPr>
        <w:spacing w:line="440" w:lineRule="exact"/>
        <w:jc w:val="center"/>
        <w:rPr>
          <w:rFonts w:hint="eastAsia"/>
          <w:b/>
          <w:bCs/>
          <w:sz w:val="24"/>
        </w:rPr>
      </w:pPr>
      <w:r>
        <w:rPr>
          <w:rFonts w:hint="eastAsia"/>
          <w:b/>
          <w:bCs/>
          <w:sz w:val="24"/>
        </w:rPr>
        <w:t>未被信用中国（www.creditchina.gov.cn）、中国政府采购网（www.ccgp.gov.cn）、国家企业信用信息公示系统（http://www.gsxt.gov.cn）列入失信被执行人、税收违法黑名单、政府采购严重违法失信行为记录名单截图</w:t>
      </w:r>
    </w:p>
    <w:p>
      <w:pPr>
        <w:jc w:val="center"/>
        <w:rPr>
          <w:b/>
          <w:sz w:val="28"/>
          <w:szCs w:val="28"/>
        </w:rPr>
      </w:pPr>
      <w:r>
        <w:rPr>
          <w:b/>
          <w:sz w:val="28"/>
          <w:szCs w:val="28"/>
        </w:rPr>
        <w:br w:type="page"/>
      </w:r>
    </w:p>
    <w:p>
      <w:pPr>
        <w:rPr>
          <w:rFonts w:hint="eastAsia" w:ascii="宋体" w:hAnsi="宋体"/>
          <w:b/>
          <w:sz w:val="28"/>
          <w:szCs w:val="28"/>
        </w:rPr>
      </w:pPr>
      <w:r>
        <w:rPr>
          <w:b/>
          <w:sz w:val="28"/>
          <w:szCs w:val="28"/>
        </w:rPr>
        <w:t>附</w:t>
      </w:r>
      <w:r>
        <w:rPr>
          <w:rFonts w:hint="eastAsia"/>
          <w:b/>
          <w:sz w:val="28"/>
          <w:szCs w:val="28"/>
          <w:lang w:eastAsia="zh-CN"/>
        </w:rPr>
        <w:t>表</w:t>
      </w:r>
      <w:r>
        <w:rPr>
          <w:rFonts w:hint="eastAsia"/>
          <w:b/>
          <w:sz w:val="28"/>
          <w:szCs w:val="28"/>
        </w:rPr>
        <w:t>十</w:t>
      </w:r>
      <w:r>
        <w:rPr>
          <w:rFonts w:hint="eastAsia"/>
          <w:b/>
          <w:sz w:val="28"/>
          <w:szCs w:val="28"/>
          <w:lang w:eastAsia="zh-CN"/>
        </w:rPr>
        <w:t>二</w:t>
      </w:r>
      <w:r>
        <w:rPr>
          <w:b/>
          <w:sz w:val="28"/>
          <w:szCs w:val="28"/>
        </w:rPr>
        <w:t>：</w:t>
      </w:r>
    </w:p>
    <w:p>
      <w:pPr>
        <w:spacing w:line="360" w:lineRule="auto"/>
        <w:jc w:val="center"/>
        <w:rPr>
          <w:rFonts w:hint="eastAsia" w:ascii="宋体" w:hAnsi="宋体" w:cs="宋体"/>
          <w:b/>
          <w:spacing w:val="6"/>
          <w:sz w:val="24"/>
          <w:shd w:val="clear" w:color="auto" w:fill="FFFFFF"/>
        </w:rPr>
      </w:pPr>
      <w:r>
        <w:rPr>
          <w:rFonts w:hint="eastAsia" w:ascii="宋体" w:hAnsi="宋体" w:cs="宋体"/>
          <w:b/>
          <w:spacing w:val="6"/>
          <w:sz w:val="24"/>
          <w:shd w:val="clear" w:color="auto" w:fill="FFFFFF"/>
        </w:rPr>
        <w:t>中小企业声明函（货物）</w:t>
      </w:r>
    </w:p>
    <w:p>
      <w:pPr>
        <w:spacing w:line="360" w:lineRule="auto"/>
        <w:jc w:val="center"/>
        <w:rPr>
          <w:rFonts w:ascii="宋体" w:hAnsi="宋体" w:cs="宋体"/>
          <w:b/>
          <w:spacing w:val="6"/>
          <w:sz w:val="24"/>
          <w:shd w:val="clear" w:color="auto" w:fill="FFFFFF"/>
        </w:rPr>
      </w:pPr>
    </w:p>
    <w:p>
      <w:pPr>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本公司（联合体）郑重声明，根据《政府采购促进中小企业发展管理办法》（财库﹝2020﹞46 号）的规定，本公司（联合体）参加</w:t>
      </w:r>
      <w:r>
        <w:rPr>
          <w:rFonts w:hint="eastAsia" w:ascii="宋体" w:hAnsi="宋体" w:cs="宋体"/>
          <w:spacing w:val="6"/>
          <w:sz w:val="24"/>
          <w:u w:val="single"/>
          <w:shd w:val="clear" w:color="auto" w:fill="FFFFFF"/>
        </w:rPr>
        <w:t>（单位名称）</w:t>
      </w:r>
      <w:r>
        <w:rPr>
          <w:rFonts w:hint="eastAsia" w:ascii="宋体" w:hAnsi="宋体" w:cs="宋体"/>
          <w:spacing w:val="6"/>
          <w:sz w:val="24"/>
          <w:shd w:val="clear" w:color="auto" w:fill="FFFFFF"/>
        </w:rPr>
        <w:t>的</w:t>
      </w:r>
      <w:r>
        <w:rPr>
          <w:rFonts w:hint="eastAsia" w:ascii="宋体" w:hAnsi="宋体" w:cs="宋体"/>
          <w:spacing w:val="6"/>
          <w:sz w:val="24"/>
          <w:u w:val="single"/>
          <w:shd w:val="clear" w:color="auto" w:fill="FFFFFF"/>
        </w:rPr>
        <w:t>（项目名称）</w:t>
      </w:r>
      <w:r>
        <w:rPr>
          <w:rFonts w:hint="eastAsia" w:ascii="宋体" w:hAnsi="宋体" w:cs="宋体"/>
          <w:spacing w:val="6"/>
          <w:sz w:val="24"/>
          <w:shd w:val="clear" w:color="auto" w:fill="FFFFFF"/>
        </w:rPr>
        <w:t>采购活动，提供的货物全部由符合政策要求的中小企业制造。相关企业（含联合体中的中小企业、签订分包意向协议的中小企业）的具体情况如下：</w:t>
      </w:r>
    </w:p>
    <w:p>
      <w:pPr>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1.</w:t>
      </w:r>
      <w:r>
        <w:rPr>
          <w:rFonts w:hint="eastAsia" w:ascii="宋体" w:hAnsi="宋体" w:cs="宋体"/>
          <w:spacing w:val="6"/>
          <w:sz w:val="24"/>
          <w:u w:val="single"/>
          <w:shd w:val="clear" w:color="auto" w:fill="FFFFFF"/>
        </w:rPr>
        <w:t>（标的名称）</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行业；制造商为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2.</w:t>
      </w:r>
      <w:r>
        <w:rPr>
          <w:rFonts w:hint="eastAsia" w:ascii="宋体" w:hAnsi="宋体" w:cs="宋体"/>
          <w:spacing w:val="6"/>
          <w:sz w:val="24"/>
          <w:u w:val="single"/>
          <w:shd w:val="clear" w:color="auto" w:fill="FFFFFF"/>
        </w:rPr>
        <w:t>（标的名称）</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行业；制造商为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w:t>
      </w:r>
    </w:p>
    <w:p>
      <w:pPr>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sz w:val="24"/>
          <w:shd w:val="clear" w:color="auto" w:fill="FFFFFF"/>
        </w:rPr>
      </w:pPr>
      <w:r>
        <w:rPr>
          <w:rFonts w:hint="eastAsia" w:ascii="宋体" w:hAnsi="宋体" w:cs="宋体"/>
          <w:spacing w:val="6"/>
          <w:sz w:val="24"/>
          <w:shd w:val="clear" w:color="auto" w:fill="FFFFFF"/>
        </w:rPr>
        <w:t>本企业对上述声明内容的真实性负责。如有虚假，将依法承担相应责任。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600" w:firstLineChars="1500"/>
        <w:jc w:val="left"/>
        <w:textAlignment w:val="auto"/>
        <w:rPr>
          <w:rFonts w:hint="eastAsia" w:ascii="宋体" w:hAnsi="宋体" w:eastAsia="宋体" w:cs="宋体"/>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600" w:firstLineChars="1500"/>
        <w:jc w:val="lef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rPr>
        <w:t>企业名称（盖章）：</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 xml:space="preserve">  </w:t>
      </w:r>
    </w:p>
    <w:p>
      <w:pPr>
        <w:ind w:firstLine="3600" w:firstLineChars="1500"/>
        <w:rPr>
          <w:rFonts w:hint="eastAsia" w:ascii="宋体" w:hAnsi="宋体"/>
          <w:b/>
          <w:sz w:val="28"/>
          <w:szCs w:val="28"/>
        </w:rPr>
      </w:pPr>
      <w:r>
        <w:rPr>
          <w:rFonts w:hint="eastAsia" w:ascii="宋体" w:hAnsi="宋体" w:eastAsia="宋体" w:cs="宋体"/>
          <w:b w:val="0"/>
          <w:bCs/>
          <w:kern w:val="0"/>
          <w:sz w:val="24"/>
          <w:szCs w:val="24"/>
          <w:highlight w:val="none"/>
          <w:u w:val="none"/>
        </w:rPr>
        <w:t>日期：</w:t>
      </w:r>
      <w:r>
        <w:rPr>
          <w:rFonts w:hint="eastAsia" w:ascii="宋体" w:hAnsi="宋体" w:eastAsia="宋体" w:cs="宋体"/>
          <w:b w:val="0"/>
          <w:bCs/>
          <w:kern w:val="0"/>
          <w:sz w:val="24"/>
          <w:szCs w:val="24"/>
          <w:highlight w:val="none"/>
          <w:u w:val="single"/>
          <w:lang w:val="en-US" w:eastAsia="zh-CN"/>
        </w:rPr>
        <w:t xml:space="preserve">                              </w:t>
      </w:r>
    </w:p>
    <w:p>
      <w:pPr>
        <w:rPr>
          <w:rFonts w:hint="eastAsia" w:ascii="宋体" w:hAnsi="宋体"/>
          <w:b/>
          <w:sz w:val="28"/>
          <w:szCs w:val="28"/>
        </w:rPr>
      </w:pPr>
    </w:p>
    <w:p>
      <w:pPr>
        <w:rPr>
          <w:rFonts w:hint="eastAsia" w:ascii="宋体" w:hAnsi="宋体"/>
          <w:b/>
          <w:sz w:val="28"/>
          <w:szCs w:val="28"/>
        </w:rPr>
      </w:pPr>
      <w:r>
        <w:rPr>
          <w:rFonts w:hint="eastAsia" w:ascii="宋体" w:hAnsi="宋体"/>
          <w:b/>
          <w:sz w:val="28"/>
          <w:szCs w:val="28"/>
        </w:rPr>
        <w:br w:type="page"/>
      </w:r>
    </w:p>
    <w:p>
      <w:pPr>
        <w:spacing w:line="440" w:lineRule="exact"/>
        <w:rPr>
          <w:rFonts w:ascii="宋体" w:hAnsi="宋体"/>
          <w:b/>
          <w:sz w:val="28"/>
          <w:szCs w:val="28"/>
        </w:rPr>
      </w:pPr>
      <w:r>
        <w:rPr>
          <w:rFonts w:hint="eastAsia" w:ascii="宋体" w:hAnsi="宋体"/>
          <w:b/>
          <w:sz w:val="28"/>
          <w:szCs w:val="28"/>
        </w:rPr>
        <w:t>附</w:t>
      </w:r>
      <w:r>
        <w:rPr>
          <w:rFonts w:hint="eastAsia"/>
          <w:b/>
          <w:sz w:val="28"/>
          <w:szCs w:val="28"/>
          <w:lang w:eastAsia="zh-CN"/>
        </w:rPr>
        <w:t>表</w:t>
      </w:r>
      <w:r>
        <w:rPr>
          <w:rFonts w:hint="eastAsia" w:ascii="宋体" w:hAnsi="宋体"/>
          <w:b/>
          <w:sz w:val="28"/>
          <w:szCs w:val="28"/>
        </w:rPr>
        <w:t>十</w:t>
      </w:r>
      <w:r>
        <w:rPr>
          <w:rFonts w:hint="eastAsia" w:ascii="宋体" w:hAnsi="宋体"/>
          <w:b/>
          <w:sz w:val="28"/>
          <w:szCs w:val="28"/>
          <w:lang w:eastAsia="zh-CN"/>
        </w:rPr>
        <w:t>三</w:t>
      </w:r>
      <w:r>
        <w:rPr>
          <w:rFonts w:hint="eastAsia" w:ascii="宋体" w:hAnsi="宋体"/>
          <w:b/>
          <w:sz w:val="28"/>
          <w:szCs w:val="28"/>
        </w:rPr>
        <w:t xml:space="preserve">：               </w:t>
      </w:r>
    </w:p>
    <w:p>
      <w:pPr>
        <w:pStyle w:val="4"/>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残疾人福利性单位声明函</w:t>
      </w:r>
      <w:r>
        <w:rPr>
          <w:rFonts w:hint="eastAsia" w:ascii="宋体" w:hAnsi="宋体" w:eastAsia="宋体" w:cs="宋体"/>
          <w:b/>
          <w:bCs/>
          <w:sz w:val="24"/>
          <w:szCs w:val="24"/>
          <w:highlight w:val="none"/>
          <w:lang w:eastAsia="zh-CN"/>
        </w:rPr>
        <w:t>（格式）</w:t>
      </w:r>
    </w:p>
    <w:p>
      <w:pPr>
        <w:spacing w:line="360" w:lineRule="exact"/>
        <w:ind w:left="1080" w:leftChars="257" w:hanging="540"/>
        <w:jc w:val="center"/>
        <w:rPr>
          <w:rFonts w:hint="eastAsia" w:ascii="宋体" w:hAnsi="宋体" w:eastAsia="宋体" w:cs="宋体"/>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本单位对上述声明的真实性负责。如有虚假，将依法承担相应责任。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残疾人福利性单位名称（盖单位章）：</w:t>
      </w:r>
      <w:r>
        <w:rPr>
          <w:rFonts w:hint="eastAsia" w:ascii="宋体" w:hAnsi="宋体" w:eastAsia="宋体" w:cs="宋体"/>
          <w:kern w:val="0"/>
          <w:sz w:val="24"/>
          <w:szCs w:val="24"/>
          <w:highlight w:val="none"/>
          <w:u w:val="single"/>
          <w:lang w:val="en-US" w:eastAsia="zh-CN"/>
        </w:rPr>
        <w:t xml:space="preserve">               </w:t>
      </w:r>
    </w:p>
    <w:p>
      <w:pPr>
        <w:pStyle w:val="4"/>
        <w:ind w:firstLine="3614" w:firstLineChars="1500"/>
        <w:jc w:val="both"/>
        <w:rPr>
          <w:rFonts w:hint="eastAsia" w:ascii="宋体" w:hAnsi="宋体" w:eastAsia="宋体" w:cs="宋体"/>
          <w:kern w:val="0"/>
          <w:sz w:val="28"/>
          <w:szCs w:val="28"/>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8"/>
          <w:szCs w:val="28"/>
          <w:highlight w:val="none"/>
        </w:rPr>
        <w:br w:type="page"/>
      </w:r>
    </w:p>
    <w:p>
      <w:pPr>
        <w:pStyle w:val="4"/>
        <w:jc w:val="both"/>
        <w:rPr>
          <w:b/>
          <w:bCs/>
          <w:sz w:val="28"/>
          <w:szCs w:val="28"/>
        </w:rPr>
      </w:pPr>
      <w:r>
        <w:rPr>
          <w:b/>
          <w:bCs/>
          <w:sz w:val="28"/>
          <w:szCs w:val="28"/>
        </w:rPr>
        <w:t>附</w:t>
      </w:r>
      <w:r>
        <w:rPr>
          <w:rFonts w:hint="eastAsia"/>
          <w:b/>
          <w:sz w:val="28"/>
          <w:szCs w:val="28"/>
          <w:lang w:eastAsia="zh-CN"/>
        </w:rPr>
        <w:t>表</w:t>
      </w:r>
      <w:r>
        <w:rPr>
          <w:b/>
          <w:bCs/>
          <w:sz w:val="28"/>
          <w:szCs w:val="28"/>
        </w:rPr>
        <w:t>十</w:t>
      </w:r>
      <w:r>
        <w:rPr>
          <w:rFonts w:hint="eastAsia"/>
          <w:b/>
          <w:bCs/>
          <w:sz w:val="28"/>
          <w:szCs w:val="28"/>
          <w:lang w:val="en-US" w:eastAsia="zh-CN"/>
        </w:rPr>
        <w:t>四</w:t>
      </w:r>
      <w:r>
        <w:rPr>
          <w:b/>
          <w:bCs/>
          <w:sz w:val="28"/>
          <w:szCs w:val="28"/>
        </w:rPr>
        <w:t>：</w:t>
      </w:r>
    </w:p>
    <w:p>
      <w:pPr>
        <w:pStyle w:val="35"/>
        <w:ind w:firstLine="562"/>
        <w:jc w:val="center"/>
      </w:pPr>
      <w:r>
        <w:rPr>
          <w:rFonts w:hint="eastAsia" w:ascii="宋体" w:hAnsi="宋体" w:eastAsia="宋体"/>
          <w:b/>
          <w:szCs w:val="28"/>
        </w:rPr>
        <w:t>其他证明材料</w:t>
      </w:r>
    </w:p>
    <w:p>
      <w:pPr>
        <w:spacing w:line="360" w:lineRule="auto"/>
        <w:jc w:val="center"/>
        <w:rPr>
          <w:b/>
          <w:bCs/>
          <w:sz w:val="24"/>
        </w:rPr>
      </w:pPr>
    </w:p>
    <w:p>
      <w:pPr>
        <w:spacing w:line="360" w:lineRule="auto"/>
        <w:ind w:firstLine="480" w:firstLineChars="200"/>
        <w:rPr>
          <w:sz w:val="24"/>
        </w:rPr>
      </w:pPr>
      <w:r>
        <w:rPr>
          <w:sz w:val="24"/>
        </w:rPr>
        <w:t>投标人认为有必要提供的其他资料。</w:t>
      </w:r>
    </w:p>
    <w:p>
      <w:pPr>
        <w:rPr>
          <w:rFonts w:hint="eastAsia"/>
        </w:rPr>
      </w:pPr>
    </w:p>
    <w:p>
      <w:pPr>
        <w:rPr>
          <w:b/>
          <w:bCs/>
          <w:sz w:val="28"/>
          <w:szCs w:val="28"/>
        </w:rPr>
      </w:pPr>
      <w:r>
        <w:rPr>
          <w:rFonts w:hint="eastAsia" w:ascii="宋体" w:hAnsi="宋体" w:eastAsia="宋体" w:cs="宋体"/>
          <w:kern w:val="0"/>
          <w:sz w:val="24"/>
          <w:szCs w:val="24"/>
          <w:highlight w:val="none"/>
        </w:rPr>
        <w:br w:type="page"/>
      </w:r>
    </w:p>
    <w:p>
      <w:pPr>
        <w:adjustRightInd w:val="0"/>
        <w:snapToGrid w:val="0"/>
        <w:spacing w:before="100" w:beforeAutospacing="1" w:after="100" w:afterAutospacing="1" w:line="360" w:lineRule="auto"/>
        <w:jc w:val="center"/>
        <w:outlineLvl w:val="0"/>
        <w:rPr>
          <w:b/>
          <w:sz w:val="28"/>
          <w:szCs w:val="28"/>
        </w:rPr>
      </w:pPr>
      <w:bookmarkStart w:id="23" w:name="_Toc7351"/>
      <w:r>
        <w:rPr>
          <w:b/>
          <w:sz w:val="32"/>
          <w:szCs w:val="32"/>
        </w:rPr>
        <w:t>第七部分  评标办法和细则</w:t>
      </w:r>
      <w:bookmarkEnd w:id="23"/>
    </w:p>
    <w:p>
      <w:pPr>
        <w:adjustRightInd w:val="0"/>
        <w:snapToGrid w:val="0"/>
        <w:spacing w:line="440" w:lineRule="exact"/>
        <w:ind w:firstLine="480" w:firstLineChars="200"/>
        <w:rPr>
          <w:rFonts w:ascii="宋体" w:hAnsi="宋体" w:cs="宋体"/>
          <w:sz w:val="24"/>
        </w:rPr>
      </w:pPr>
      <w:r>
        <w:rPr>
          <w:rFonts w:hint="eastAsia" w:ascii="宋体" w:hAnsi="宋体" w:cs="宋体"/>
          <w:sz w:val="24"/>
        </w:rPr>
        <w:t>根据《中华人民共和国招标投标法》、《中华人民共和国政府采购法》、《政府采购招标采购方式管理暂行办法》《政府采购货物和服务招标投标管理办法》《评标委员会和评标方法暂行规定》、《政府采购评审专家管理办法》以及国家和地方颁布的有关法令、法规，并结合本项目的实际，按照公正、公平、科学、择优的原则选择中标人，特制定本办法。</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一、评定总则和规定</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1.1 为最大限度地保护各当事人的权益，评审小组应严格按照招标文件的要求进行评定，编制评标报告。评审人员必须严格遵守保密规定，不得泄漏评审有关的情况，不得索贿受贿，不得参加影响评审的任何活动。</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1.2 评审时，评审小组应当对照招标文件规定的条件和标准，对各投标人投标文件的合格性、完整性和有效性进行审查、比较和评估，其中对投标人的资格条件、主要技术参数、商务报价和其他评审要素等，评定人员应逐项进行审查、比较，不得漏评少评。如发现与招标文件要求相偏离的，应对其偏离情况进行必要的核实，并在工作底稿中予以说明；如属于实质性偏离或符合无效响应条件的，应当询问投标人，并允许投标人进行陈述申辩，但不允许其对实质性偏离条款进行补充、修正或撤回。</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1.3 评定原则</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1.3.1采取综合评分法。由评审小组采用综合评分法对提交有效报价的投标人的投标文件进行综合评分。综合评分法，是指投标文件满足招标文件全部实质性要求且按评审因素的量化指标评审得分最高的投标人为中标候选投标人的评审方法。</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1.3.2评审小组应当根据综合评分情况，按照评审得分由高到低顺序推荐3 名以上中标候选投标人，并编写评标报告。评审得分相同的，按照最后报价由低到高的顺序推荐。评审得分且最后报价相同的，由评审小组确定以按照技术指标优劣顺序或抽签确定排名先后推荐。</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1.4 本评标办法仅适用于本次招标。</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二、机构组成和职能</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2.1 本次招标将设监督小组、组织机构和评审小组。</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2.2 监督小组机构组成和职能</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2.2.1机构成员：由</w:t>
      </w:r>
      <w:r>
        <w:rPr>
          <w:rFonts w:hint="eastAsia" w:ascii="宋体" w:hAnsi="宋体" w:cs="宋体"/>
          <w:sz w:val="24"/>
          <w:highlight w:val="none"/>
          <w:lang w:eastAsia="zh-CN"/>
        </w:rPr>
        <w:t>新和县林业和草原局</w:t>
      </w:r>
      <w:r>
        <w:rPr>
          <w:rFonts w:hint="eastAsia" w:ascii="宋体" w:hAnsi="宋体" w:cs="宋体"/>
          <w:sz w:val="24"/>
          <w:highlight w:val="none"/>
        </w:rPr>
        <w:t>相关部门负责。</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2.2.2职能：独立行使监督工作，对所有招标工作做出复审意见。</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2.3 组织机构的组成和职能</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2.3.1机构成员：由本项目采购代理机构相关人员组成。</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2.3.2职能：按规定的程序和要求依法严密组织招标、评定等各项活动，且客观如实予以记录和反映，对评审小组的评分记录，评定过程中不干扰和影响评审小组正常的评定工作。</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2.4 评审小组组成和职能</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2.4.1机构成员：由采购人和专家共</w:t>
      </w:r>
      <w:r>
        <w:rPr>
          <w:rFonts w:hint="eastAsia" w:ascii="宋体" w:hAnsi="宋体" w:cs="宋体"/>
          <w:sz w:val="24"/>
          <w:highlight w:val="none"/>
          <w:u w:val="single"/>
          <w:lang w:val="en-US" w:eastAsia="zh-CN"/>
        </w:rPr>
        <w:t>5</w:t>
      </w:r>
      <w:r>
        <w:rPr>
          <w:rFonts w:hint="eastAsia" w:ascii="宋体" w:hAnsi="宋体" w:cs="宋体"/>
          <w:sz w:val="24"/>
          <w:highlight w:val="none"/>
        </w:rPr>
        <w:t>人组成，其中相关行业专家</w:t>
      </w:r>
      <w:r>
        <w:rPr>
          <w:rFonts w:hint="eastAsia" w:ascii="宋体" w:hAnsi="宋体" w:cs="宋体"/>
          <w:sz w:val="24"/>
          <w:highlight w:val="none"/>
          <w:lang w:val="en-US" w:eastAsia="zh-CN"/>
        </w:rPr>
        <w:t>5</w:t>
      </w:r>
      <w:r>
        <w:rPr>
          <w:rFonts w:hint="eastAsia" w:ascii="宋体" w:hAnsi="宋体" w:cs="宋体"/>
          <w:sz w:val="24"/>
          <w:highlight w:val="none"/>
        </w:rPr>
        <w:t>人，业主代表</w:t>
      </w:r>
      <w:r>
        <w:rPr>
          <w:rFonts w:hint="eastAsia" w:ascii="宋体" w:hAnsi="宋体" w:cs="宋体"/>
          <w:sz w:val="24"/>
          <w:highlight w:val="none"/>
          <w:lang w:val="en-US" w:eastAsia="zh-CN"/>
        </w:rPr>
        <w:t>0</w:t>
      </w:r>
      <w:r>
        <w:rPr>
          <w:rFonts w:hint="eastAsia" w:ascii="宋体" w:hAnsi="宋体" w:cs="宋体"/>
          <w:sz w:val="24"/>
          <w:highlight w:val="none"/>
        </w:rPr>
        <w:t>人。</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2.4.2职能：根据招标文件的要求，对投标文件进行初步检查、汇总、分析和比较，并做好记录；对合格的投标人提出投标文件中需要澄清的问题。对不合格的投标人说明原因；对合格的投标文件认真、客观、公正地评审；对合格的投标人进行评定；完成所评审项目的评定报告，评审小组按评定原则推荐中标候选人。</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2.5 评审小组的专家由采购人和采购代理机构在相关专家库随机抽取。</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2.6 各评审小组成员的评分情况和评审意见由采购代理机构审查，如发现评审小组的评审意见带有明显倾向性，或不按规定程序和标准评审、计分的，必须要求评审小组进行书面澄清和说明。</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2.7 评标原则</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2.7.1评标遵循公平、公正、科学、择优的原则。</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2.7.2对所有投标人的投标评估，都采用相同的程序和标准。</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2.7.3评标将严格按照招标文件的要求和评标标准及办法进行。</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2.7.4根据招标文件规定的各项评价标准通过评审打分排序推荐出1-3名中标候选人。</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2.7.5评标委员会判断投标文件的响应性仅基于投标文件本身而不靠外部证据。</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2.7.6评标委员会拒绝被确定为非实质性响应的投标，投标人不能通过修正或撤销不符之处而使其投标成为实质性响应的投标。</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 评标纪律</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8.1评标委员会成员应当客观、公正地履行职责，遵守职业道德，对所提出的评审意见承担个人责任；</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8.2评标委员会成员和与评标活动有关的工作人员不得向任何投标人或与评标工作无关的人员透露与评标有关的任何情况；</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8.3封闭评标期间，评委不得独自与外界接触，个人的通讯工具均应交由招标监督人员集中保管。需要和外部联系应通过招标监督人员联系。</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8.4评标期间，投标人应服从工作人员的指挥，不得出现干扰评标工作的正常进行或影响评标公正性的现象，否则，将视为废标。</w:t>
      </w:r>
    </w:p>
    <w:p>
      <w:pPr>
        <w:adjustRightInd w:val="0"/>
        <w:snapToGrid w:val="0"/>
        <w:spacing w:line="440" w:lineRule="exact"/>
        <w:ind w:firstLine="482" w:firstLineChars="200"/>
        <w:rPr>
          <w:b/>
          <w:sz w:val="24"/>
        </w:rPr>
      </w:pPr>
      <w:r>
        <w:rPr>
          <w:b/>
          <w:sz w:val="24"/>
        </w:rPr>
        <w:t>三、评定程序</w:t>
      </w:r>
    </w:p>
    <w:p>
      <w:pPr>
        <w:adjustRightInd w:val="0"/>
        <w:snapToGrid w:val="0"/>
        <w:spacing w:line="440" w:lineRule="exact"/>
        <w:ind w:firstLine="482" w:firstLineChars="200"/>
        <w:rPr>
          <w:b/>
          <w:bCs/>
          <w:sz w:val="24"/>
        </w:rPr>
      </w:pPr>
      <w:r>
        <w:rPr>
          <w:b/>
          <w:bCs/>
          <w:sz w:val="24"/>
        </w:rPr>
        <w:t>3.1 初步评审</w:t>
      </w:r>
      <w:r>
        <w:rPr>
          <w:rFonts w:hint="eastAsia"/>
          <w:b/>
          <w:bCs/>
          <w:sz w:val="24"/>
          <w:lang w:eastAsia="zh-CN"/>
        </w:rPr>
        <w:t>（</w:t>
      </w:r>
      <w:r>
        <w:rPr>
          <w:rFonts w:hint="eastAsia"/>
          <w:b/>
          <w:sz w:val="24"/>
          <w:lang w:eastAsia="zh-CN"/>
        </w:rPr>
        <w:t>资格审查、</w:t>
      </w:r>
      <w:r>
        <w:rPr>
          <w:rFonts w:hint="eastAsia"/>
          <w:b/>
          <w:bCs/>
          <w:sz w:val="24"/>
          <w:lang w:eastAsia="zh-CN"/>
        </w:rPr>
        <w:t>符合性审查）</w:t>
      </w:r>
      <w:r>
        <w:rPr>
          <w:b/>
          <w:bCs/>
          <w:sz w:val="24"/>
        </w:rPr>
        <w:t>及报价复核</w:t>
      </w:r>
    </w:p>
    <w:p>
      <w:pPr>
        <w:adjustRightInd w:val="0"/>
        <w:snapToGrid w:val="0"/>
        <w:spacing w:line="440" w:lineRule="exact"/>
        <w:ind w:firstLine="480" w:firstLineChars="200"/>
        <w:rPr>
          <w:sz w:val="24"/>
        </w:rPr>
      </w:pPr>
      <w:r>
        <w:rPr>
          <w:bCs/>
          <w:sz w:val="24"/>
        </w:rPr>
        <w:t>3.1.1初步评审将对开标时有效的投标文件进行</w:t>
      </w:r>
      <w:r>
        <w:rPr>
          <w:rFonts w:hint="eastAsia"/>
          <w:bCs/>
          <w:sz w:val="24"/>
        </w:rPr>
        <w:t>，</w:t>
      </w:r>
      <w:r>
        <w:rPr>
          <w:bCs/>
          <w:sz w:val="24"/>
        </w:rPr>
        <w:t>根据招标文件</w:t>
      </w:r>
      <w:r>
        <w:rPr>
          <w:rFonts w:hint="eastAsia"/>
          <w:bCs/>
          <w:sz w:val="24"/>
        </w:rPr>
        <w:t>，</w:t>
      </w:r>
      <w:r>
        <w:rPr>
          <w:bCs/>
          <w:sz w:val="24"/>
        </w:rPr>
        <w:t>审查并逐项列出投标文件的全部投标重大偏差。</w:t>
      </w:r>
    </w:p>
    <w:p>
      <w:pPr>
        <w:adjustRightInd w:val="0"/>
        <w:snapToGrid w:val="0"/>
        <w:spacing w:line="440" w:lineRule="exact"/>
        <w:ind w:firstLine="480" w:firstLineChars="200"/>
        <w:rPr>
          <w:sz w:val="24"/>
        </w:rPr>
      </w:pPr>
      <w:r>
        <w:rPr>
          <w:sz w:val="24"/>
        </w:rPr>
        <w:t>3.1.2下列情况属于重大偏差：</w:t>
      </w:r>
    </w:p>
    <w:p>
      <w:pPr>
        <w:adjustRightInd w:val="0"/>
        <w:snapToGrid w:val="0"/>
        <w:spacing w:line="440" w:lineRule="exact"/>
        <w:ind w:firstLine="480" w:firstLineChars="200"/>
        <w:rPr>
          <w:sz w:val="24"/>
        </w:rPr>
      </w:pPr>
      <w:bookmarkStart w:id="24" w:name="OLE_LINK18"/>
      <w:bookmarkStart w:id="25" w:name="OLE_LINK17"/>
      <w:r>
        <w:rPr>
          <w:sz w:val="24"/>
        </w:rPr>
        <w:t>（1）投标文件没有投标单位法定代表人或其授权代表签字加盖投标单位公章的；</w:t>
      </w:r>
    </w:p>
    <w:p>
      <w:pPr>
        <w:adjustRightInd w:val="0"/>
        <w:snapToGrid w:val="0"/>
        <w:spacing w:line="440" w:lineRule="exact"/>
        <w:ind w:firstLine="480" w:firstLineChars="200"/>
        <w:rPr>
          <w:sz w:val="24"/>
        </w:rPr>
      </w:pPr>
      <w:r>
        <w:rPr>
          <w:sz w:val="24"/>
        </w:rPr>
        <w:t>（</w:t>
      </w:r>
      <w:r>
        <w:rPr>
          <w:rFonts w:hint="eastAsia"/>
          <w:sz w:val="24"/>
          <w:lang w:val="en-US" w:eastAsia="zh-CN"/>
        </w:rPr>
        <w:t>2</w:t>
      </w:r>
      <w:r>
        <w:rPr>
          <w:sz w:val="24"/>
        </w:rPr>
        <w:t>）无法定代表人出具的授权委托书的；</w:t>
      </w:r>
    </w:p>
    <w:p>
      <w:pPr>
        <w:adjustRightInd w:val="0"/>
        <w:snapToGrid w:val="0"/>
        <w:spacing w:line="440" w:lineRule="exact"/>
        <w:ind w:firstLine="480" w:firstLineChars="200"/>
        <w:rPr>
          <w:sz w:val="24"/>
        </w:rPr>
      </w:pPr>
      <w:r>
        <w:rPr>
          <w:sz w:val="24"/>
        </w:rPr>
        <w:t>（</w:t>
      </w:r>
      <w:r>
        <w:rPr>
          <w:rFonts w:hint="eastAsia"/>
          <w:sz w:val="24"/>
          <w:lang w:val="en-US" w:eastAsia="zh-CN"/>
        </w:rPr>
        <w:t>3</w:t>
      </w:r>
      <w:r>
        <w:rPr>
          <w:sz w:val="24"/>
        </w:rPr>
        <w:t>）不满足第四章“</w:t>
      </w:r>
      <w:r>
        <w:rPr>
          <w:rFonts w:hint="eastAsia"/>
          <w:sz w:val="24"/>
          <w:lang w:val="en-US" w:eastAsia="zh-CN"/>
        </w:rPr>
        <w:t>采购需求</w:t>
      </w:r>
      <w:r>
        <w:rPr>
          <w:sz w:val="24"/>
        </w:rPr>
        <w:t>”中主要参数的；</w:t>
      </w:r>
    </w:p>
    <w:p>
      <w:pPr>
        <w:adjustRightInd w:val="0"/>
        <w:snapToGrid w:val="0"/>
        <w:spacing w:line="440" w:lineRule="exact"/>
        <w:ind w:firstLine="480" w:firstLineChars="200"/>
        <w:rPr>
          <w:sz w:val="24"/>
        </w:rPr>
      </w:pPr>
      <w:r>
        <w:rPr>
          <w:sz w:val="24"/>
        </w:rPr>
        <w:t>（</w:t>
      </w:r>
      <w:r>
        <w:rPr>
          <w:rFonts w:hint="eastAsia"/>
          <w:sz w:val="24"/>
          <w:lang w:val="en-US" w:eastAsia="zh-CN"/>
        </w:rPr>
        <w:t>4</w:t>
      </w:r>
      <w:r>
        <w:rPr>
          <w:sz w:val="24"/>
        </w:rPr>
        <w:t>）投标人对同一招标项目作出两个以上报价未明确效力的；</w:t>
      </w:r>
    </w:p>
    <w:p>
      <w:pPr>
        <w:adjustRightInd w:val="0"/>
        <w:snapToGrid w:val="0"/>
        <w:spacing w:line="440" w:lineRule="exact"/>
        <w:ind w:firstLine="480" w:firstLineChars="200"/>
        <w:rPr>
          <w:sz w:val="24"/>
        </w:rPr>
      </w:pPr>
      <w:r>
        <w:rPr>
          <w:sz w:val="24"/>
        </w:rPr>
        <w:t>（</w:t>
      </w:r>
      <w:r>
        <w:rPr>
          <w:rFonts w:hint="eastAsia"/>
          <w:sz w:val="24"/>
          <w:lang w:val="en-US" w:eastAsia="zh-CN"/>
        </w:rPr>
        <w:t>5</w:t>
      </w:r>
      <w:r>
        <w:rPr>
          <w:sz w:val="24"/>
        </w:rPr>
        <w:t>）未按招标文件的格式填写，内容不全或关键字迹模糊、无法辨认的；</w:t>
      </w:r>
    </w:p>
    <w:p>
      <w:pPr>
        <w:adjustRightInd w:val="0"/>
        <w:snapToGrid w:val="0"/>
        <w:spacing w:line="440" w:lineRule="exact"/>
        <w:ind w:firstLine="480" w:firstLineChars="200"/>
        <w:rPr>
          <w:sz w:val="24"/>
        </w:rPr>
      </w:pPr>
      <w:r>
        <w:rPr>
          <w:sz w:val="24"/>
        </w:rPr>
        <w:t>（</w:t>
      </w:r>
      <w:r>
        <w:rPr>
          <w:rFonts w:hint="eastAsia"/>
          <w:sz w:val="24"/>
          <w:lang w:val="en-US" w:eastAsia="zh-CN"/>
        </w:rPr>
        <w:t>6</w:t>
      </w:r>
      <w:r>
        <w:rPr>
          <w:sz w:val="24"/>
        </w:rPr>
        <w:t>）投标有效期不满足招标文件要求的；</w:t>
      </w:r>
    </w:p>
    <w:p>
      <w:pPr>
        <w:adjustRightInd w:val="0"/>
        <w:snapToGrid w:val="0"/>
        <w:spacing w:line="440" w:lineRule="exact"/>
        <w:ind w:firstLine="480" w:firstLineChars="200"/>
        <w:rPr>
          <w:sz w:val="24"/>
        </w:rPr>
      </w:pPr>
      <w:r>
        <w:rPr>
          <w:sz w:val="24"/>
        </w:rPr>
        <w:t>（</w:t>
      </w:r>
      <w:r>
        <w:rPr>
          <w:rFonts w:hint="eastAsia"/>
          <w:sz w:val="24"/>
          <w:lang w:val="en-US" w:eastAsia="zh-CN"/>
        </w:rPr>
        <w:t>7</w:t>
      </w:r>
      <w:r>
        <w:rPr>
          <w:sz w:val="24"/>
        </w:rPr>
        <w:t>）投标文件附有招标人不能接受的条件。</w:t>
      </w:r>
    </w:p>
    <w:p>
      <w:pPr>
        <w:adjustRightInd w:val="0"/>
        <w:snapToGrid w:val="0"/>
        <w:spacing w:line="440" w:lineRule="exact"/>
        <w:ind w:firstLine="480" w:firstLineChars="200"/>
        <w:rPr>
          <w:sz w:val="24"/>
        </w:rPr>
      </w:pPr>
      <w:r>
        <w:rPr>
          <w:sz w:val="24"/>
        </w:rPr>
        <w:t>（</w:t>
      </w:r>
      <w:r>
        <w:rPr>
          <w:rFonts w:hint="eastAsia"/>
          <w:sz w:val="24"/>
          <w:lang w:val="en-US" w:eastAsia="zh-CN"/>
        </w:rPr>
        <w:t>8</w:t>
      </w:r>
      <w:r>
        <w:rPr>
          <w:sz w:val="24"/>
        </w:rPr>
        <w:t>）存在招标文件规定的其它废标情况。</w:t>
      </w:r>
    </w:p>
    <w:bookmarkEnd w:id="24"/>
    <w:bookmarkEnd w:id="25"/>
    <w:p>
      <w:pPr>
        <w:adjustRightInd w:val="0"/>
        <w:snapToGrid w:val="0"/>
        <w:spacing w:line="440" w:lineRule="exact"/>
        <w:ind w:firstLine="480" w:firstLineChars="200"/>
        <w:rPr>
          <w:sz w:val="24"/>
        </w:rPr>
      </w:pPr>
      <w:r>
        <w:rPr>
          <w:sz w:val="24"/>
        </w:rPr>
        <w:t>3.1.3投标文件有上述重大偏差之一的，为未能对招标文件做出实质性响应，作废标处理，不再进入以后的评标程序。</w:t>
      </w:r>
    </w:p>
    <w:p>
      <w:pPr>
        <w:adjustRightInd w:val="0"/>
        <w:snapToGrid w:val="0"/>
        <w:spacing w:line="440" w:lineRule="exact"/>
        <w:ind w:firstLine="480" w:firstLineChars="200"/>
        <w:rPr>
          <w:sz w:val="24"/>
        </w:rPr>
      </w:pPr>
      <w:r>
        <w:rPr>
          <w:sz w:val="24"/>
        </w:rPr>
        <w:t>3.1.4细微偏差是指投标文件在实质上响应招标文件要求，但在个别地方存在漏项或者提供了不完整的技术信息和数据等情况，并且补正这些遗漏或者不完整不会对其他投标人造成不公平结果。细微偏差不影响投标文件的有效性。</w:t>
      </w:r>
    </w:p>
    <w:p>
      <w:pPr>
        <w:adjustRightInd w:val="0"/>
        <w:snapToGrid w:val="0"/>
        <w:spacing w:line="440" w:lineRule="exact"/>
        <w:ind w:firstLine="480" w:firstLineChars="200"/>
        <w:rPr>
          <w:sz w:val="24"/>
        </w:rPr>
      </w:pPr>
      <w:r>
        <w:rPr>
          <w:sz w:val="24"/>
        </w:rPr>
        <w:t>3.1.5评标委员会应当书面要求存在细微偏差的投标人在评标结果前予以补正。</w:t>
      </w:r>
    </w:p>
    <w:p>
      <w:pPr>
        <w:adjustRightInd w:val="0"/>
        <w:snapToGrid w:val="0"/>
        <w:spacing w:line="440" w:lineRule="exact"/>
        <w:ind w:firstLine="480" w:firstLineChars="200"/>
        <w:rPr>
          <w:sz w:val="24"/>
        </w:rPr>
      </w:pPr>
      <w:r>
        <w:rPr>
          <w:bCs/>
          <w:sz w:val="24"/>
        </w:rPr>
        <w:t>3.1</w:t>
      </w:r>
      <w:r>
        <w:rPr>
          <w:sz w:val="24"/>
        </w:rPr>
        <w:t>.6计算错误将按以下方法更正：若按单价计算的结果与总价不一致，以单价为准修改总价；若用文字表示的数值与用数字表示的数值不一致，以文字表示的数值为准。如果投标人不接受对其错误的更正，其投标将被拒绝。</w:t>
      </w:r>
    </w:p>
    <w:p>
      <w:pPr>
        <w:adjustRightInd w:val="0"/>
        <w:snapToGrid w:val="0"/>
        <w:spacing w:line="440" w:lineRule="exact"/>
        <w:ind w:firstLine="480" w:firstLineChars="200"/>
        <w:rPr>
          <w:sz w:val="24"/>
        </w:rPr>
      </w:pPr>
      <w:r>
        <w:rPr>
          <w:bCs/>
          <w:sz w:val="24"/>
        </w:rPr>
        <w:t>3.1</w:t>
      </w:r>
      <w:r>
        <w:rPr>
          <w:sz w:val="24"/>
        </w:rPr>
        <w:t>.7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的实质性内容。拒不按照要求对投标文件进行澄清、说明或者补正的，评标委员会可以否决其投标，作废标处理。</w:t>
      </w:r>
    </w:p>
    <w:p>
      <w:pPr>
        <w:adjustRightInd w:val="0"/>
        <w:snapToGrid w:val="0"/>
        <w:spacing w:line="440" w:lineRule="exact"/>
        <w:ind w:firstLine="480" w:firstLineChars="200"/>
        <w:rPr>
          <w:sz w:val="24"/>
        </w:rPr>
      </w:pPr>
      <w:r>
        <w:rPr>
          <w:bCs/>
          <w:sz w:val="24"/>
        </w:rPr>
        <w:t>3.1.8</w:t>
      </w:r>
      <w:r>
        <w:rPr>
          <w:sz w:val="24"/>
        </w:rPr>
        <w:t>评标委员会判断投标文件的响应程度仅基于投标文件本身，而不靠外部证据。</w:t>
      </w:r>
    </w:p>
    <w:p>
      <w:pPr>
        <w:adjustRightInd w:val="0"/>
        <w:snapToGrid w:val="0"/>
        <w:spacing w:line="440" w:lineRule="exact"/>
        <w:ind w:firstLine="480" w:firstLineChars="200"/>
        <w:rPr>
          <w:sz w:val="24"/>
        </w:rPr>
      </w:pPr>
      <w:r>
        <w:rPr>
          <w:bCs/>
          <w:sz w:val="24"/>
        </w:rPr>
        <w:t>3.</w:t>
      </w:r>
      <w:r>
        <w:rPr>
          <w:sz w:val="24"/>
        </w:rPr>
        <w:t>1.9在评标过程中，评标委员会发现投标人以他人的名义投标、串通投标、以行贿手段谋取中标或者以其它弄虚作假方式投标的,该投标将作废标处理。</w:t>
      </w:r>
    </w:p>
    <w:p>
      <w:pPr>
        <w:adjustRightInd w:val="0"/>
        <w:snapToGrid w:val="0"/>
        <w:spacing w:line="440" w:lineRule="exact"/>
        <w:ind w:firstLine="480" w:firstLineChars="200"/>
        <w:rPr>
          <w:sz w:val="24"/>
        </w:rPr>
      </w:pPr>
      <w:r>
        <w:rPr>
          <w:bCs/>
          <w:sz w:val="24"/>
        </w:rPr>
        <w:t>3.</w:t>
      </w:r>
      <w:r>
        <w:rPr>
          <w:sz w:val="24"/>
        </w:rPr>
        <w:t>1.10评标委员会经评审，认为所有投标都不符合招标文件要求的或所有投标报价均过高时，可以否决所有投标。评标委员会经评审，认定投标人以低于成本报价竟标的，其投标将作废标处理。</w:t>
      </w:r>
    </w:p>
    <w:p>
      <w:pPr>
        <w:adjustRightInd w:val="0"/>
        <w:snapToGrid w:val="0"/>
        <w:spacing w:line="440" w:lineRule="exact"/>
        <w:ind w:firstLine="480" w:firstLineChars="200"/>
        <w:rPr>
          <w:bCs/>
          <w:sz w:val="24"/>
        </w:rPr>
      </w:pPr>
      <w:r>
        <w:rPr>
          <w:bCs/>
          <w:sz w:val="24"/>
        </w:rPr>
        <w:t>3.1.11经过初步评审，如果由于有效投标不足三家使得投标明显缺乏竞争的，评标委员会可以否决全部投标。</w:t>
      </w:r>
    </w:p>
    <w:p>
      <w:pPr>
        <w:adjustRightInd w:val="0"/>
        <w:snapToGrid w:val="0"/>
        <w:spacing w:line="440" w:lineRule="exact"/>
        <w:ind w:firstLine="482" w:firstLineChars="200"/>
        <w:rPr>
          <w:b/>
          <w:bCs/>
          <w:sz w:val="24"/>
        </w:rPr>
      </w:pPr>
      <w:r>
        <w:rPr>
          <w:b/>
          <w:bCs/>
          <w:sz w:val="24"/>
        </w:rPr>
        <w:t>3.2 详细评审</w:t>
      </w:r>
    </w:p>
    <w:p>
      <w:pPr>
        <w:adjustRightInd w:val="0"/>
        <w:snapToGrid w:val="0"/>
        <w:spacing w:line="440" w:lineRule="exact"/>
        <w:ind w:firstLine="480" w:firstLineChars="200"/>
        <w:rPr>
          <w:bCs/>
          <w:sz w:val="24"/>
        </w:rPr>
      </w:pPr>
      <w:r>
        <w:rPr>
          <w:bCs/>
          <w:sz w:val="24"/>
        </w:rPr>
        <w:t>经初步评审合格的投标文件，评标委员会成员将对投标文件进行进一步评审、比较。</w:t>
      </w:r>
    </w:p>
    <w:p>
      <w:pPr>
        <w:adjustRightInd w:val="0"/>
        <w:snapToGrid w:val="0"/>
        <w:spacing w:line="440" w:lineRule="exact"/>
        <w:ind w:firstLine="482" w:firstLineChars="200"/>
        <w:rPr>
          <w:b/>
          <w:sz w:val="24"/>
        </w:rPr>
      </w:pPr>
      <w:r>
        <w:rPr>
          <w:b/>
          <w:bCs/>
          <w:sz w:val="24"/>
        </w:rPr>
        <w:t>3.</w:t>
      </w:r>
      <w:r>
        <w:rPr>
          <w:b/>
          <w:sz w:val="24"/>
        </w:rPr>
        <w:t>3 评分办法</w:t>
      </w:r>
    </w:p>
    <w:p>
      <w:pPr>
        <w:adjustRightInd w:val="0"/>
        <w:snapToGrid w:val="0"/>
        <w:spacing w:line="440" w:lineRule="exact"/>
        <w:ind w:firstLine="480" w:firstLineChars="200"/>
        <w:rPr>
          <w:bCs/>
          <w:sz w:val="24"/>
        </w:rPr>
      </w:pPr>
      <w:r>
        <w:rPr>
          <w:bCs/>
          <w:sz w:val="24"/>
        </w:rPr>
        <w:t>3.3.1经济标（</w:t>
      </w:r>
      <w:r>
        <w:rPr>
          <w:rFonts w:hint="eastAsia"/>
          <w:bCs/>
          <w:sz w:val="24"/>
          <w:lang w:val="en-US" w:eastAsia="zh-CN"/>
        </w:rPr>
        <w:t>3</w:t>
      </w:r>
      <w:r>
        <w:rPr>
          <w:bCs/>
          <w:sz w:val="24"/>
        </w:rPr>
        <w:t>0分）</w:t>
      </w:r>
    </w:p>
    <w:p>
      <w:pPr>
        <w:adjustRightInd w:val="0"/>
        <w:snapToGrid w:val="0"/>
        <w:spacing w:line="440" w:lineRule="exact"/>
        <w:ind w:firstLine="480" w:firstLineChars="200"/>
        <w:rPr>
          <w:bCs/>
          <w:sz w:val="24"/>
        </w:rPr>
      </w:pPr>
      <w:r>
        <w:rPr>
          <w:bCs/>
          <w:sz w:val="24"/>
        </w:rPr>
        <w:t>3.3.2商务</w:t>
      </w:r>
      <w:r>
        <w:rPr>
          <w:rFonts w:hint="eastAsia"/>
          <w:bCs/>
          <w:sz w:val="24"/>
        </w:rPr>
        <w:t>及技术</w:t>
      </w:r>
      <w:r>
        <w:rPr>
          <w:bCs/>
          <w:sz w:val="24"/>
        </w:rPr>
        <w:t>标（</w:t>
      </w:r>
      <w:r>
        <w:rPr>
          <w:rFonts w:hint="eastAsia"/>
          <w:bCs/>
          <w:sz w:val="24"/>
          <w:lang w:val="en-US" w:eastAsia="zh-CN"/>
        </w:rPr>
        <w:t>7</w:t>
      </w:r>
      <w:r>
        <w:rPr>
          <w:bCs/>
          <w:sz w:val="24"/>
        </w:rPr>
        <w:t>0分）</w:t>
      </w:r>
    </w:p>
    <w:p>
      <w:pPr>
        <w:adjustRightInd w:val="0"/>
        <w:snapToGrid w:val="0"/>
        <w:spacing w:line="440" w:lineRule="exact"/>
        <w:ind w:firstLine="482" w:firstLineChars="200"/>
        <w:rPr>
          <w:b/>
          <w:sz w:val="24"/>
        </w:rPr>
      </w:pPr>
      <w:r>
        <w:rPr>
          <w:b/>
          <w:sz w:val="24"/>
        </w:rPr>
        <w:t>3.3.4价格调整原则</w:t>
      </w:r>
    </w:p>
    <w:p>
      <w:pPr>
        <w:adjustRightInd w:val="0"/>
        <w:snapToGrid w:val="0"/>
        <w:spacing w:line="440" w:lineRule="exact"/>
        <w:ind w:firstLine="480" w:firstLineChars="200"/>
        <w:rPr>
          <w:sz w:val="24"/>
        </w:rPr>
      </w:pPr>
      <w:r>
        <w:rPr>
          <w:sz w:val="24"/>
        </w:rPr>
        <w:t>1）投标人的报价必须包含所有服务内容。</w:t>
      </w:r>
    </w:p>
    <w:p>
      <w:pPr>
        <w:adjustRightInd w:val="0"/>
        <w:snapToGrid w:val="0"/>
        <w:spacing w:line="440" w:lineRule="exact"/>
        <w:ind w:firstLine="480" w:firstLineChars="200"/>
        <w:rPr>
          <w:sz w:val="24"/>
        </w:rPr>
      </w:pPr>
      <w:r>
        <w:rPr>
          <w:sz w:val="24"/>
        </w:rPr>
        <w:t>2）投标人报价如有漏项，则须将其他投标人报价中该项价格的最高价加计入该投标人的投标总价。</w:t>
      </w:r>
    </w:p>
    <w:p>
      <w:pPr>
        <w:adjustRightInd w:val="0"/>
        <w:snapToGrid w:val="0"/>
        <w:spacing w:line="440" w:lineRule="exact"/>
        <w:ind w:firstLine="480" w:firstLineChars="200"/>
        <w:rPr>
          <w:sz w:val="24"/>
        </w:rPr>
      </w:pPr>
      <w:r>
        <w:rPr>
          <w:sz w:val="24"/>
        </w:rPr>
        <w:t>3）调整后的价格作为投标人的评标价。根据评标价测算各投标人的经济标分值。</w:t>
      </w:r>
    </w:p>
    <w:p>
      <w:pPr>
        <w:adjustRightInd w:val="0"/>
        <w:snapToGrid w:val="0"/>
        <w:spacing w:line="440" w:lineRule="exact"/>
        <w:ind w:firstLine="482" w:firstLineChars="200"/>
        <w:rPr>
          <w:sz w:val="24"/>
        </w:rPr>
      </w:pPr>
      <w:r>
        <w:rPr>
          <w:b/>
          <w:sz w:val="24"/>
        </w:rPr>
        <w:t>3.3.</w:t>
      </w:r>
      <w:r>
        <w:rPr>
          <w:rFonts w:hint="eastAsia"/>
          <w:b/>
          <w:sz w:val="24"/>
        </w:rPr>
        <w:t>5</w:t>
      </w:r>
      <w:r>
        <w:rPr>
          <w:b/>
          <w:sz w:val="24"/>
        </w:rPr>
        <w:t>经济标不设标底，依照如下标准计算商务标得分：</w:t>
      </w:r>
    </w:p>
    <w:p>
      <w:pPr>
        <w:adjustRightInd w:val="0"/>
        <w:snapToGrid w:val="0"/>
        <w:spacing w:line="440" w:lineRule="exact"/>
        <w:ind w:firstLine="480" w:firstLineChars="200"/>
        <w:rPr>
          <w:sz w:val="24"/>
        </w:rPr>
      </w:pPr>
      <w:r>
        <w:rPr>
          <w:sz w:val="24"/>
        </w:rPr>
        <w:t>1</w:t>
      </w:r>
      <w:r>
        <w:rPr>
          <w:rFonts w:hint="eastAsia"/>
          <w:sz w:val="24"/>
        </w:rPr>
        <w:t>）</w:t>
      </w:r>
      <w:r>
        <w:rPr>
          <w:sz w:val="24"/>
        </w:rPr>
        <w:t>基准价为合理低价，即满足招标文件要求且投标价格最低的投标报价为评标基准价，其价格分为满分。其他投标投标人的价格分统一按照下列公式计算：</w:t>
      </w:r>
    </w:p>
    <w:p>
      <w:pPr>
        <w:adjustRightInd w:val="0"/>
        <w:snapToGrid w:val="0"/>
        <w:spacing w:line="440" w:lineRule="exact"/>
        <w:ind w:firstLine="480" w:firstLineChars="200"/>
        <w:rPr>
          <w:sz w:val="24"/>
        </w:rPr>
      </w:pPr>
      <w:r>
        <w:rPr>
          <w:sz w:val="24"/>
        </w:rPr>
        <w:t>投标报价得分=</w:t>
      </w:r>
      <w:r>
        <w:rPr>
          <w:rFonts w:hint="eastAsia"/>
          <w:sz w:val="24"/>
        </w:rPr>
        <w:t>（</w:t>
      </w:r>
      <w:r>
        <w:rPr>
          <w:sz w:val="24"/>
        </w:rPr>
        <w:t>评标基准价／投标报价</w:t>
      </w:r>
      <w:r>
        <w:rPr>
          <w:rFonts w:hint="eastAsia"/>
          <w:sz w:val="24"/>
        </w:rPr>
        <w:t>）</w:t>
      </w:r>
      <w:r>
        <w:rPr>
          <w:sz w:val="24"/>
        </w:rPr>
        <w:t xml:space="preserve">×价格分值×100% </w:t>
      </w:r>
    </w:p>
    <w:p>
      <w:pPr>
        <w:adjustRightInd w:val="0"/>
        <w:snapToGrid w:val="0"/>
        <w:spacing w:line="440" w:lineRule="exact"/>
        <w:ind w:firstLine="480" w:firstLineChars="200"/>
        <w:rPr>
          <w:sz w:val="24"/>
        </w:rPr>
      </w:pPr>
      <w:r>
        <w:rPr>
          <w:sz w:val="24"/>
        </w:rPr>
        <w:t>结果保留两位小数。</w:t>
      </w:r>
    </w:p>
    <w:p>
      <w:pPr>
        <w:adjustRightInd w:val="0"/>
        <w:snapToGrid w:val="0"/>
        <w:spacing w:line="440" w:lineRule="exact"/>
        <w:ind w:firstLine="480" w:firstLineChars="200"/>
        <w:rPr>
          <w:sz w:val="24"/>
        </w:rPr>
      </w:pPr>
      <w:r>
        <w:rPr>
          <w:sz w:val="24"/>
        </w:rPr>
        <w:t>2</w:t>
      </w:r>
      <w:r>
        <w:rPr>
          <w:rFonts w:hint="eastAsia"/>
          <w:sz w:val="24"/>
        </w:rPr>
        <w:t>）</w:t>
      </w:r>
      <w:r>
        <w:rPr>
          <w:sz w:val="24"/>
        </w:rPr>
        <w:t>如果得分为负分时</w:t>
      </w:r>
      <w:r>
        <w:rPr>
          <w:rFonts w:hint="eastAsia"/>
          <w:sz w:val="24"/>
        </w:rPr>
        <w:t>，</w:t>
      </w:r>
      <w:r>
        <w:rPr>
          <w:sz w:val="24"/>
        </w:rPr>
        <w:t>按零分计。</w:t>
      </w:r>
    </w:p>
    <w:p>
      <w:pPr>
        <w:spacing w:line="360" w:lineRule="auto"/>
        <w:rPr>
          <w:b/>
          <w:sz w:val="24"/>
        </w:rPr>
      </w:pPr>
    </w:p>
    <w:p>
      <w:pPr>
        <w:spacing w:line="360" w:lineRule="auto"/>
        <w:rPr>
          <w:rFonts w:hint="eastAsia" w:eastAsia="宋体"/>
          <w:b/>
          <w:sz w:val="24"/>
          <w:lang w:eastAsia="zh-CN"/>
        </w:rPr>
      </w:pPr>
      <w:r>
        <w:rPr>
          <w:b/>
          <w:sz w:val="24"/>
        </w:rPr>
        <w:t>附表1：</w:t>
      </w:r>
      <w:r>
        <w:rPr>
          <w:rFonts w:hint="eastAsia"/>
          <w:b/>
          <w:sz w:val="24"/>
          <w:lang w:eastAsia="zh-CN"/>
        </w:rPr>
        <w:t>资格审查表</w:t>
      </w:r>
    </w:p>
    <w:tbl>
      <w:tblPr>
        <w:tblStyle w:val="26"/>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1266" w:type="dxa"/>
            <w:vAlign w:val="center"/>
          </w:tcPr>
          <w:p>
            <w:pPr>
              <w:snapToGrid w:val="0"/>
              <w:jc w:val="center"/>
              <w:rPr>
                <w:b/>
                <w:sz w:val="24"/>
              </w:rPr>
            </w:pPr>
            <w:r>
              <w:rPr>
                <w:b/>
                <w:sz w:val="24"/>
              </w:rPr>
              <w:t>序号</w:t>
            </w:r>
          </w:p>
        </w:tc>
        <w:tc>
          <w:tcPr>
            <w:tcW w:w="8499" w:type="dxa"/>
            <w:vAlign w:val="center"/>
          </w:tcPr>
          <w:p>
            <w:pPr>
              <w:snapToGrid w:val="0"/>
              <w:jc w:val="center"/>
              <w:rPr>
                <w:b/>
                <w:sz w:val="24"/>
              </w:rPr>
            </w:pPr>
            <w:r>
              <w:rPr>
                <w:b/>
                <w:bCs/>
                <w:sz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ind w:firstLine="232" w:firstLineChars="97"/>
              <w:rPr>
                <w:sz w:val="24"/>
              </w:rPr>
            </w:pPr>
            <w:r>
              <w:rPr>
                <w:sz w:val="24"/>
              </w:rPr>
              <w:t>1</w:t>
            </w:r>
          </w:p>
        </w:tc>
        <w:tc>
          <w:tcPr>
            <w:tcW w:w="8499" w:type="dxa"/>
            <w:vAlign w:val="center"/>
          </w:tcPr>
          <w:p>
            <w:pP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有效经年检的三证合一营业执照；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ind w:firstLine="232" w:firstLineChars="97"/>
              <w:rPr>
                <w:rFonts w:hint="eastAsia" w:eastAsia="宋体"/>
                <w:sz w:val="24"/>
                <w:lang w:val="en-US" w:eastAsia="zh-CN"/>
              </w:rPr>
            </w:pPr>
            <w:r>
              <w:rPr>
                <w:rFonts w:hint="eastAsia"/>
                <w:sz w:val="24"/>
                <w:lang w:val="en-US" w:eastAsia="zh-CN"/>
              </w:rPr>
              <w:t>2</w:t>
            </w:r>
          </w:p>
        </w:tc>
        <w:tc>
          <w:tcPr>
            <w:tcW w:w="8499" w:type="dxa"/>
            <w:vAlign w:val="center"/>
          </w:tcPr>
          <w:p>
            <w:pPr>
              <w:rPr>
                <w:rFonts w:hint="eastAsia" w:ascii="Times New Roman" w:hAnsi="Times New Roman" w:cs="Times New Roman"/>
                <w:sz w:val="24"/>
              </w:rPr>
            </w:pPr>
            <w:r>
              <w:rPr>
                <w:rFonts w:hint="eastAsia" w:ascii="Times New Roman" w:hAnsi="Times New Roman" w:eastAsia="宋体" w:cs="Times New Roman"/>
                <w:sz w:val="24"/>
                <w:lang w:eastAsia="zh-CN"/>
              </w:rPr>
              <w:t>法人身份证明（投标代表为法人时）或法人授权委托书、被授权人身份证和法人身份证；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266" w:type="dxa"/>
            <w:vAlign w:val="center"/>
          </w:tcPr>
          <w:p>
            <w:pPr>
              <w:ind w:firstLine="232" w:firstLineChars="97"/>
              <w:rPr>
                <w:rFonts w:hint="eastAsia" w:eastAsia="宋体"/>
                <w:sz w:val="24"/>
                <w:lang w:eastAsia="zh-CN"/>
              </w:rPr>
            </w:pPr>
            <w:r>
              <w:rPr>
                <w:rFonts w:hint="eastAsia"/>
                <w:sz w:val="24"/>
                <w:lang w:val="en-US" w:eastAsia="zh-CN"/>
              </w:rPr>
              <w:t>3</w:t>
            </w:r>
          </w:p>
        </w:tc>
        <w:tc>
          <w:tcPr>
            <w:tcW w:w="8499" w:type="dxa"/>
            <w:vAlign w:val="center"/>
          </w:tcPr>
          <w:p>
            <w:pPr>
              <w:rPr>
                <w:rFonts w:hint="eastAsia" w:ascii="Times New Roman" w:hAnsi="Times New Roman" w:eastAsia="宋体" w:cs="Times New Roman"/>
                <w:sz w:val="24"/>
                <w:lang w:eastAsia="zh-CN"/>
              </w:rPr>
            </w:pPr>
            <w:r>
              <w:rPr>
                <w:rFonts w:hint="eastAsia" w:ascii="Times New Roman" w:hAnsi="Times New Roman" w:cs="Times New Roman"/>
                <w:sz w:val="24"/>
              </w:rPr>
              <w:t>林木种子生产许可证或林木种子经营许可证或林木种子生产经营许可证</w:t>
            </w:r>
            <w:r>
              <w:rPr>
                <w:rFonts w:hint="eastAsia" w:cs="Times New Roman"/>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266" w:type="dxa"/>
            <w:vAlign w:val="center"/>
          </w:tcPr>
          <w:p>
            <w:pPr>
              <w:ind w:firstLine="232" w:firstLineChars="97"/>
              <w:rPr>
                <w:rFonts w:hint="eastAsia" w:eastAsia="宋体"/>
                <w:sz w:val="24"/>
                <w:lang w:eastAsia="zh-CN"/>
              </w:rPr>
            </w:pPr>
            <w:r>
              <w:rPr>
                <w:rFonts w:hint="eastAsia"/>
                <w:sz w:val="24"/>
                <w:lang w:val="en-US" w:eastAsia="zh-CN"/>
              </w:rPr>
              <w:t>4</w:t>
            </w:r>
          </w:p>
        </w:tc>
        <w:tc>
          <w:tcPr>
            <w:tcW w:w="8499" w:type="dxa"/>
            <w:vAlign w:val="center"/>
          </w:tcPr>
          <w:p>
            <w:pPr>
              <w:rPr>
                <w:rFonts w:hint="eastAsia" w:eastAsia="宋体"/>
                <w:sz w:val="24"/>
                <w:lang w:eastAsia="zh-CN"/>
              </w:rPr>
            </w:pPr>
            <w:r>
              <w:rPr>
                <w:rFonts w:hint="eastAsia" w:ascii="Times New Roman" w:hAnsi="Times New Roman" w:eastAsia="宋体" w:cs="Times New Roman"/>
                <w:sz w:val="24"/>
                <w:lang w:eastAsia="zh-CN"/>
              </w:rPr>
              <w:t>未被信用中国（www.creditchina.gov.cn）、中国政府采购网（www.ccgp.gov.cn）、国家企业信用信息公示系统（http://www.gsxt.gov.cn）列入失信被执行人、税收违法黑名单、政府采购严重违法失信行为记录名单截图；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1266" w:type="dxa"/>
            <w:vAlign w:val="center"/>
          </w:tcPr>
          <w:p>
            <w:pPr>
              <w:ind w:firstLine="232" w:firstLineChars="97"/>
              <w:rPr>
                <w:rFonts w:hint="default"/>
                <w:sz w:val="24"/>
                <w:lang w:val="en-US" w:eastAsia="zh-CN"/>
              </w:rPr>
            </w:pPr>
            <w:r>
              <w:rPr>
                <w:rFonts w:hint="eastAsia"/>
                <w:sz w:val="24"/>
                <w:lang w:val="en-US" w:eastAsia="zh-CN"/>
              </w:rPr>
              <w:t>5</w:t>
            </w:r>
          </w:p>
        </w:tc>
        <w:tc>
          <w:tcPr>
            <w:tcW w:w="8499" w:type="dxa"/>
            <w:vAlign w:val="center"/>
          </w:tcPr>
          <w:p>
            <w:pPr>
              <w:rPr>
                <w:sz w:val="24"/>
              </w:rPr>
            </w:pPr>
            <w:r>
              <w:rPr>
                <w:rFonts w:hint="eastAsia" w:ascii="Times New Roman" w:hAnsi="Times New Roman" w:eastAsia="宋体" w:cs="Times New Roman"/>
                <w:sz w:val="24"/>
                <w:lang w:eastAsia="zh-CN"/>
              </w:rPr>
              <w:t>与采购人存在利害关系可能影响采购公正性的单位，不得参加磋商。单位负责人为同一人或存在控股、管理关系的不同单位，不得参加同一标段磋商，否则，相关磋商均无效。</w:t>
            </w:r>
          </w:p>
        </w:tc>
      </w:tr>
    </w:tbl>
    <w:p>
      <w:pPr>
        <w:spacing w:line="360" w:lineRule="auto"/>
        <w:rPr>
          <w:b/>
          <w:sz w:val="24"/>
        </w:rPr>
      </w:pPr>
    </w:p>
    <w:p>
      <w:pPr>
        <w:spacing w:line="360" w:lineRule="auto"/>
        <w:rPr>
          <w:b/>
          <w:sz w:val="24"/>
        </w:rPr>
      </w:pPr>
    </w:p>
    <w:p>
      <w:pPr>
        <w:spacing w:line="360" w:lineRule="auto"/>
        <w:rPr>
          <w:b/>
          <w:sz w:val="24"/>
        </w:rPr>
      </w:pPr>
    </w:p>
    <w:p>
      <w:pPr>
        <w:spacing w:line="360" w:lineRule="auto"/>
        <w:rPr>
          <w:rFonts w:hint="eastAsia" w:eastAsia="宋体"/>
          <w:b/>
          <w:bCs/>
          <w:sz w:val="24"/>
          <w:lang w:eastAsia="zh-CN"/>
        </w:rPr>
      </w:pPr>
      <w:r>
        <w:rPr>
          <w:b/>
          <w:sz w:val="24"/>
        </w:rPr>
        <w:t>附表</w:t>
      </w:r>
      <w:r>
        <w:rPr>
          <w:rFonts w:hint="eastAsia"/>
          <w:b/>
          <w:sz w:val="24"/>
          <w:lang w:val="en-US" w:eastAsia="zh-CN"/>
        </w:rPr>
        <w:t>2</w:t>
      </w:r>
      <w:r>
        <w:rPr>
          <w:b/>
          <w:sz w:val="24"/>
        </w:rPr>
        <w:t>：</w:t>
      </w:r>
      <w:r>
        <w:rPr>
          <w:rFonts w:hint="eastAsia"/>
          <w:b/>
          <w:bCs/>
          <w:sz w:val="24"/>
          <w:lang w:eastAsia="zh-CN"/>
        </w:rPr>
        <w:t>符合性审查表</w:t>
      </w:r>
    </w:p>
    <w:tbl>
      <w:tblPr>
        <w:tblStyle w:val="26"/>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1266" w:type="dxa"/>
            <w:vAlign w:val="center"/>
          </w:tcPr>
          <w:p>
            <w:pPr>
              <w:snapToGrid w:val="0"/>
              <w:jc w:val="center"/>
              <w:rPr>
                <w:b/>
                <w:sz w:val="24"/>
              </w:rPr>
            </w:pPr>
            <w:r>
              <w:rPr>
                <w:b/>
                <w:sz w:val="24"/>
              </w:rPr>
              <w:t>序号</w:t>
            </w:r>
          </w:p>
        </w:tc>
        <w:tc>
          <w:tcPr>
            <w:tcW w:w="8499" w:type="dxa"/>
            <w:vAlign w:val="center"/>
          </w:tcPr>
          <w:p>
            <w:pPr>
              <w:snapToGrid w:val="0"/>
              <w:jc w:val="center"/>
              <w:rPr>
                <w:b/>
                <w:sz w:val="24"/>
              </w:rPr>
            </w:pPr>
            <w:r>
              <w:rPr>
                <w:b/>
                <w:bCs/>
                <w:sz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ind w:firstLine="232" w:firstLineChars="97"/>
              <w:rPr>
                <w:sz w:val="24"/>
              </w:rPr>
            </w:pPr>
            <w:r>
              <w:rPr>
                <w:sz w:val="24"/>
              </w:rPr>
              <w:t>1</w:t>
            </w:r>
          </w:p>
        </w:tc>
        <w:tc>
          <w:tcPr>
            <w:tcW w:w="8499" w:type="dxa"/>
            <w:vAlign w:val="center"/>
          </w:tcPr>
          <w:p>
            <w:pP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是否只有一个有效报价且不超过预算金额。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266" w:type="dxa"/>
            <w:vAlign w:val="center"/>
          </w:tcPr>
          <w:p>
            <w:pPr>
              <w:ind w:firstLine="232" w:firstLineChars="97"/>
              <w:rPr>
                <w:sz w:val="24"/>
              </w:rPr>
            </w:pPr>
            <w:r>
              <w:rPr>
                <w:sz w:val="24"/>
              </w:rPr>
              <w:t>2</w:t>
            </w:r>
          </w:p>
        </w:tc>
        <w:tc>
          <w:tcPr>
            <w:tcW w:w="8499" w:type="dxa"/>
            <w:vAlign w:val="center"/>
          </w:tcPr>
          <w:p>
            <w:pPr>
              <w:rPr>
                <w:rFonts w:hint="eastAsia" w:ascii="Times New Roman" w:hAnsi="Times New Roman" w:cs="Times New Roman"/>
                <w:sz w:val="24"/>
                <w:lang w:val="en-US" w:eastAsia="zh-CN"/>
              </w:rPr>
            </w:pPr>
            <w:r>
              <w:rPr>
                <w:sz w:val="24"/>
              </w:rPr>
              <w:t>项目</w:t>
            </w:r>
            <w:r>
              <w:rPr>
                <w:rFonts w:hint="eastAsia"/>
                <w:sz w:val="24"/>
                <w:lang w:eastAsia="zh-CN"/>
              </w:rPr>
              <w:t>履约</w:t>
            </w:r>
            <w:r>
              <w:rPr>
                <w:sz w:val="24"/>
              </w:rPr>
              <w:t>期限</w:t>
            </w:r>
            <w:r>
              <w:rPr>
                <w:rFonts w:hint="eastAsia" w:eastAsia="宋体"/>
                <w:sz w:val="24"/>
                <w:lang w:eastAsia="zh-CN"/>
              </w:rPr>
              <w:t>符合招标文件要求</w:t>
            </w:r>
            <w:r>
              <w:rPr>
                <w:rFonts w:hint="eastAsia"/>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266" w:type="dxa"/>
            <w:vAlign w:val="center"/>
          </w:tcPr>
          <w:p>
            <w:pPr>
              <w:ind w:firstLine="232" w:firstLineChars="97"/>
              <w:rPr>
                <w:sz w:val="24"/>
              </w:rPr>
            </w:pPr>
            <w:r>
              <w:rPr>
                <w:sz w:val="24"/>
              </w:rPr>
              <w:t>3</w:t>
            </w:r>
          </w:p>
        </w:tc>
        <w:tc>
          <w:tcPr>
            <w:tcW w:w="8499" w:type="dxa"/>
            <w:vAlign w:val="center"/>
          </w:tcPr>
          <w:p>
            <w:pPr>
              <w:rPr>
                <w:rFonts w:hint="eastAsia" w:ascii="Times New Roman" w:hAnsi="Times New Roman" w:eastAsia="宋体" w:cs="Times New Roman"/>
                <w:kern w:val="2"/>
                <w:sz w:val="24"/>
                <w:szCs w:val="24"/>
                <w:lang w:val="en-US" w:eastAsia="zh-CN" w:bidi="ar-SA"/>
              </w:rPr>
            </w:pPr>
            <w:r>
              <w:rPr>
                <w:rFonts w:hint="eastAsia"/>
                <w:sz w:val="24"/>
                <w:lang w:eastAsia="zh-CN"/>
              </w:rPr>
              <w:t>投标有效期符合招标文件要求。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266" w:type="dxa"/>
            <w:vAlign w:val="center"/>
          </w:tcPr>
          <w:p>
            <w:pPr>
              <w:ind w:firstLine="232" w:firstLineChars="97"/>
              <w:rPr>
                <w:sz w:val="24"/>
              </w:rPr>
            </w:pPr>
            <w:r>
              <w:rPr>
                <w:sz w:val="24"/>
              </w:rPr>
              <w:t>4</w:t>
            </w:r>
          </w:p>
        </w:tc>
        <w:tc>
          <w:tcPr>
            <w:tcW w:w="8499" w:type="dxa"/>
            <w:vAlign w:val="center"/>
          </w:tcPr>
          <w:p>
            <w:pPr>
              <w:rPr>
                <w:rFonts w:hint="eastAsia" w:eastAsia="宋体"/>
                <w:sz w:val="24"/>
                <w:lang w:eastAsia="zh-CN"/>
              </w:rPr>
            </w:pPr>
            <w:r>
              <w:rPr>
                <w:rFonts w:hint="eastAsia"/>
                <w:sz w:val="24"/>
              </w:rPr>
              <w:t>投标文件</w:t>
            </w:r>
            <w:r>
              <w:rPr>
                <w:rFonts w:hint="eastAsia"/>
                <w:sz w:val="24"/>
                <w:lang w:eastAsia="zh-CN"/>
              </w:rPr>
              <w:t>未</w:t>
            </w:r>
            <w:r>
              <w:rPr>
                <w:rFonts w:hint="eastAsia"/>
                <w:sz w:val="24"/>
              </w:rPr>
              <w:t>附有采购人不能接受条件的</w:t>
            </w:r>
            <w:r>
              <w:rPr>
                <w:rFonts w:hint="eastAsia"/>
                <w:sz w:val="24"/>
                <w:lang w:eastAsia="zh-CN"/>
              </w:rPr>
              <w:t>。</w:t>
            </w:r>
          </w:p>
        </w:tc>
      </w:tr>
    </w:tbl>
    <w:p>
      <w:pPr>
        <w:spacing w:line="360" w:lineRule="auto"/>
        <w:ind w:firstLine="482" w:firstLineChars="200"/>
      </w:pPr>
      <w:r>
        <w:rPr>
          <w:b/>
          <w:bCs/>
          <w:sz w:val="24"/>
        </w:rPr>
        <w:t>特别说明：</w:t>
      </w:r>
      <w:r>
        <w:rPr>
          <w:sz w:val="24"/>
        </w:rPr>
        <w:t>如投标人的投标文件中没有按此表的内容提供相关证明文件（如无特别要求，均提供复印件）或不符合上述审查内容的任意一条，其投标文件将视为无效投标文件。</w:t>
      </w:r>
    </w:p>
    <w:p>
      <w:pPr>
        <w:spacing w:line="360" w:lineRule="auto"/>
        <w:rPr>
          <w:b/>
          <w:sz w:val="24"/>
        </w:rPr>
      </w:pPr>
      <w:r>
        <w:rPr>
          <w:b/>
          <w:sz w:val="24"/>
        </w:rPr>
        <w:t>附表2：经济标得分（</w:t>
      </w:r>
      <w:r>
        <w:rPr>
          <w:rFonts w:hint="eastAsia"/>
          <w:b/>
          <w:sz w:val="24"/>
          <w:lang w:val="en-US" w:eastAsia="zh-CN"/>
        </w:rPr>
        <w:t>3</w:t>
      </w:r>
      <w:r>
        <w:rPr>
          <w:rFonts w:hint="eastAsia"/>
          <w:b/>
          <w:sz w:val="24"/>
        </w:rPr>
        <w:t>0</w:t>
      </w:r>
      <w:r>
        <w:rPr>
          <w:b/>
          <w:sz w:val="24"/>
        </w:rPr>
        <w:t>分）</w:t>
      </w:r>
    </w:p>
    <w:tbl>
      <w:tblPr>
        <w:tblStyle w:val="26"/>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50"/>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shd w:val="clear" w:color="auto" w:fill="D7D7D7" w:themeFill="background1" w:themeFillShade="D8"/>
            <w:vAlign w:val="center"/>
          </w:tcPr>
          <w:p>
            <w:pPr>
              <w:spacing w:line="276" w:lineRule="auto"/>
              <w:jc w:val="center"/>
              <w:rPr>
                <w:b/>
                <w:bCs/>
                <w:sz w:val="24"/>
              </w:rPr>
            </w:pPr>
            <w:r>
              <w:rPr>
                <w:b/>
                <w:bCs/>
                <w:sz w:val="24"/>
              </w:rPr>
              <w:t>评分项目</w:t>
            </w:r>
          </w:p>
        </w:tc>
        <w:tc>
          <w:tcPr>
            <w:tcW w:w="850" w:type="dxa"/>
            <w:shd w:val="clear" w:color="auto" w:fill="D7D7D7" w:themeFill="background1" w:themeFillShade="D8"/>
            <w:vAlign w:val="center"/>
          </w:tcPr>
          <w:p>
            <w:pPr>
              <w:spacing w:line="276" w:lineRule="auto"/>
              <w:jc w:val="center"/>
              <w:rPr>
                <w:b/>
                <w:bCs/>
                <w:sz w:val="24"/>
              </w:rPr>
            </w:pPr>
            <w:r>
              <w:rPr>
                <w:b/>
                <w:bCs/>
                <w:sz w:val="24"/>
              </w:rPr>
              <w:t>分值</w:t>
            </w:r>
          </w:p>
        </w:tc>
        <w:tc>
          <w:tcPr>
            <w:tcW w:w="7483" w:type="dxa"/>
            <w:shd w:val="clear" w:color="auto" w:fill="D7D7D7" w:themeFill="background1" w:themeFillShade="D8"/>
            <w:vAlign w:val="center"/>
          </w:tcPr>
          <w:p>
            <w:pPr>
              <w:spacing w:line="276" w:lineRule="auto"/>
              <w:jc w:val="center"/>
              <w:rPr>
                <w:b/>
                <w:bCs/>
                <w:sz w:val="24"/>
              </w:rPr>
            </w:pPr>
            <w:r>
              <w:rPr>
                <w:b/>
                <w:bCs/>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Align w:val="center"/>
          </w:tcPr>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经济标</w:t>
            </w:r>
          </w:p>
        </w:tc>
        <w:tc>
          <w:tcPr>
            <w:tcW w:w="850" w:type="dxa"/>
            <w:vAlign w:val="center"/>
          </w:tcPr>
          <w:p>
            <w:pPr>
              <w:spacing w:line="276" w:lineRule="auto"/>
              <w:jc w:val="center"/>
              <w:rPr>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w:t>
            </w:r>
            <w:r>
              <w:rPr>
                <w:color w:val="000000" w:themeColor="text1"/>
                <w:sz w:val="24"/>
                <w14:textFill>
                  <w14:solidFill>
                    <w14:schemeClr w14:val="tx1"/>
                  </w14:solidFill>
                </w14:textFill>
              </w:rPr>
              <w:t>分</w:t>
            </w:r>
          </w:p>
        </w:tc>
        <w:tc>
          <w:tcPr>
            <w:tcW w:w="7483" w:type="dxa"/>
          </w:tcPr>
          <w:p>
            <w:pPr>
              <w:widowControl/>
              <w:jc w:val="left"/>
              <w:rPr>
                <w:rFonts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投标报价得分=(评标基准价/修正后投标报价)×100%×</w:t>
            </w:r>
            <w: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0</w:t>
            </w:r>
          </w:p>
          <w:p>
            <w:pPr>
              <w:widowControl/>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1、投标价格评分采用低价优先法计算；</w:t>
            </w:r>
          </w:p>
          <w:p>
            <w:pPr>
              <w:widowControl/>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2、评标基准价：满足招标文件要求且经算术修正，依据政府采购政策进行价格扣除后的最低报价为评标基准价；</w:t>
            </w:r>
          </w:p>
          <w:p>
            <w:pPr>
              <w:widowControl/>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3、修正后投标报价：评标委员会以开标一览表中投标报价为基础，对其进行算术修正，依据政府采购政策进行价格扣除后，作为投标报价计算的依据。</w:t>
            </w:r>
          </w:p>
          <w:p>
            <w:pPr>
              <w:widowControl/>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4、根据《政府采购促进中小企业发展暂行办法》的相关规定，对小型和微型企业制造（生产）产品的价格给予</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 w:val="24"/>
                <w14:textFill>
                  <w14:solidFill>
                    <w14:schemeClr w14:val="tx1"/>
                  </w14:solidFill>
                </w14:textFill>
              </w:rPr>
              <w:t>%的扣除，用扣除后的价格参与评审。</w:t>
            </w:r>
          </w:p>
          <w:p>
            <w:pPr>
              <w:widowControl/>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5、根据《关于促进残疾人就业政府采购政策的通知》（财库[2017]141号），残疾人福利性单位视同小型、微型企业。</w:t>
            </w:r>
          </w:p>
          <w:p>
            <w:pPr>
              <w:spacing w:line="276" w:lineRule="auto"/>
              <w:jc w:val="left"/>
              <w:rPr>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6、残疾人福利性单位属于小型、微型企业的，不重复享受政策。</w:t>
            </w:r>
          </w:p>
        </w:tc>
      </w:tr>
    </w:tbl>
    <w:p>
      <w:pPr>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附表3、商务</w:t>
      </w:r>
      <w:r>
        <w:rPr>
          <w:rFonts w:hint="eastAsia"/>
          <w:b/>
          <w:color w:val="000000" w:themeColor="text1"/>
          <w:sz w:val="24"/>
          <w14:textFill>
            <w14:solidFill>
              <w14:schemeClr w14:val="tx1"/>
            </w14:solidFill>
          </w14:textFill>
        </w:rPr>
        <w:t>及技术</w:t>
      </w:r>
      <w:r>
        <w:rPr>
          <w:b/>
          <w:color w:val="000000" w:themeColor="text1"/>
          <w:sz w:val="24"/>
          <w14:textFill>
            <w14:solidFill>
              <w14:schemeClr w14:val="tx1"/>
            </w14:solidFill>
          </w14:textFill>
        </w:rPr>
        <w:t>部分评审表（</w:t>
      </w:r>
      <w:r>
        <w:rPr>
          <w:rFonts w:hint="eastAsia"/>
          <w:b/>
          <w:color w:val="000000" w:themeColor="text1"/>
          <w:sz w:val="24"/>
          <w:lang w:val="en-US" w:eastAsia="zh-CN"/>
          <w14:textFill>
            <w14:solidFill>
              <w14:schemeClr w14:val="tx1"/>
            </w14:solidFill>
          </w14:textFill>
        </w:rPr>
        <w:t>7</w:t>
      </w:r>
      <w:r>
        <w:rPr>
          <w:rFonts w:hint="eastAsia"/>
          <w:b/>
          <w:color w:val="000000" w:themeColor="text1"/>
          <w:sz w:val="24"/>
          <w14:textFill>
            <w14:solidFill>
              <w14:schemeClr w14:val="tx1"/>
            </w14:solidFill>
          </w14:textFill>
        </w:rPr>
        <w:t>0</w:t>
      </w:r>
      <w:r>
        <w:rPr>
          <w:b/>
          <w:color w:val="000000" w:themeColor="text1"/>
          <w:sz w:val="24"/>
          <w14:textFill>
            <w14:solidFill>
              <w14:schemeClr w14:val="tx1"/>
            </w14:solidFill>
          </w14:textFill>
        </w:rPr>
        <w:t>分）</w:t>
      </w:r>
    </w:p>
    <w:tbl>
      <w:tblPr>
        <w:tblStyle w:val="26"/>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51"/>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7" w:type="dxa"/>
            <w:shd w:val="clear" w:color="auto" w:fill="D7D7D7" w:themeFill="background1" w:themeFillShade="D8"/>
            <w:tcMar>
              <w:top w:w="28" w:type="dxa"/>
              <w:left w:w="108" w:type="dxa"/>
              <w:bottom w:w="28" w:type="dxa"/>
              <w:right w:w="108" w:type="dxa"/>
            </w:tcMar>
            <w:vAlign w:val="center"/>
          </w:tcPr>
          <w:p>
            <w:pPr>
              <w:adjustRightInd w:val="0"/>
              <w:snapToGrid w:val="0"/>
              <w:spacing w:line="276" w:lineRule="auto"/>
              <w:jc w:val="center"/>
              <w:rPr>
                <w:rFonts w:ascii="宋体" w:hAnsi="宋体"/>
                <w:b/>
                <w:color w:val="000000"/>
                <w:sz w:val="24"/>
              </w:rPr>
            </w:pPr>
            <w:r>
              <w:rPr>
                <w:rFonts w:hint="eastAsia" w:ascii="宋体" w:hAnsi="宋体"/>
                <w:b/>
                <w:color w:val="000000"/>
                <w:sz w:val="24"/>
              </w:rPr>
              <w:t>项目</w:t>
            </w:r>
          </w:p>
        </w:tc>
        <w:tc>
          <w:tcPr>
            <w:tcW w:w="751" w:type="dxa"/>
            <w:shd w:val="clear" w:color="auto" w:fill="D7D7D7" w:themeFill="background1" w:themeFillShade="D8"/>
            <w:tcMar>
              <w:top w:w="28" w:type="dxa"/>
              <w:left w:w="108" w:type="dxa"/>
              <w:bottom w:w="28" w:type="dxa"/>
              <w:right w:w="108" w:type="dxa"/>
            </w:tcMar>
            <w:vAlign w:val="center"/>
          </w:tcPr>
          <w:p>
            <w:pPr>
              <w:adjustRightInd w:val="0"/>
              <w:snapToGrid w:val="0"/>
              <w:spacing w:line="276" w:lineRule="auto"/>
              <w:jc w:val="center"/>
              <w:rPr>
                <w:rFonts w:ascii="宋体" w:hAnsi="宋体"/>
                <w:b/>
                <w:color w:val="000000"/>
                <w:sz w:val="24"/>
              </w:rPr>
            </w:pPr>
            <w:r>
              <w:rPr>
                <w:rFonts w:hint="eastAsia" w:ascii="宋体" w:hAnsi="宋体"/>
                <w:b/>
                <w:color w:val="000000"/>
                <w:sz w:val="24"/>
              </w:rPr>
              <w:t>分值</w:t>
            </w:r>
          </w:p>
        </w:tc>
        <w:tc>
          <w:tcPr>
            <w:tcW w:w="7519" w:type="dxa"/>
            <w:shd w:val="clear" w:color="auto" w:fill="D7D7D7" w:themeFill="background1" w:themeFillShade="D8"/>
            <w:tcMar>
              <w:top w:w="28" w:type="dxa"/>
              <w:left w:w="108" w:type="dxa"/>
              <w:bottom w:w="28" w:type="dxa"/>
              <w:right w:w="108" w:type="dxa"/>
            </w:tcMar>
            <w:vAlign w:val="center"/>
          </w:tcPr>
          <w:p>
            <w:pPr>
              <w:adjustRightInd w:val="0"/>
              <w:snapToGrid w:val="0"/>
              <w:spacing w:line="276" w:lineRule="auto"/>
              <w:jc w:val="center"/>
              <w:rPr>
                <w:rFonts w:ascii="宋体" w:hAnsi="宋体"/>
                <w:b/>
                <w:color w:val="000000"/>
                <w:sz w:val="24"/>
              </w:rPr>
            </w:pPr>
            <w:r>
              <w:rPr>
                <w:rFonts w:hint="eastAsia" w:ascii="宋体" w:hAnsi="宋体"/>
                <w:b/>
                <w:color w:val="000000"/>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507" w:type="dxa"/>
            <w:tcBorders>
              <w:righ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项目理解</w:t>
            </w:r>
          </w:p>
          <w:p>
            <w:pPr>
              <w:widowControl/>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与认识</w:t>
            </w:r>
          </w:p>
        </w:tc>
        <w:tc>
          <w:tcPr>
            <w:tcW w:w="751" w:type="dxa"/>
            <w:tcBorders>
              <w:left w:val="single" w:color="auto" w:sz="4" w:space="0"/>
              <w:right w:val="single" w:color="auto" w:sz="4" w:space="0"/>
            </w:tcBorders>
            <w:tcMar>
              <w:top w:w="28" w:type="dxa"/>
              <w:left w:w="108" w:type="dxa"/>
              <w:bottom w:w="28" w:type="dxa"/>
              <w:right w:w="108" w:type="dxa"/>
            </w:tcMar>
            <w:vAlign w:val="center"/>
          </w:tcPr>
          <w:p>
            <w:pPr>
              <w:widowControl/>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0-15</w:t>
            </w:r>
          </w:p>
        </w:tc>
        <w:tc>
          <w:tcPr>
            <w:tcW w:w="7519"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widowControl/>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投标人对本项目提供的项目理解与认识进行综合评比，项目理解与认识（包含①项目重点分析②项目难点分析②项目重点、难点解决方案）方案齐全且</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切合实际</w:t>
            </w: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的得1</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分，每缺少一项内容的扣</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分；每有一处</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不符合实际要求</w:t>
            </w: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的扣</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分，直到扣完为止。未提供不得分。</w:t>
            </w: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07" w:type="dxa"/>
            <w:tcBorders>
              <w:righ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实施方案</w:t>
            </w:r>
          </w:p>
        </w:tc>
        <w:tc>
          <w:tcPr>
            <w:tcW w:w="751" w:type="dxa"/>
            <w:tcBorders>
              <w:left w:val="single" w:color="auto" w:sz="4" w:space="0"/>
              <w:right w:val="single" w:color="auto" w:sz="4" w:space="0"/>
            </w:tcBorders>
            <w:tcMar>
              <w:top w:w="28" w:type="dxa"/>
              <w:left w:w="108" w:type="dxa"/>
              <w:bottom w:w="28" w:type="dxa"/>
              <w:right w:w="108" w:type="dxa"/>
            </w:tcMar>
            <w:vAlign w:val="center"/>
          </w:tcPr>
          <w:p>
            <w:pPr>
              <w:widowControl/>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0-21</w:t>
            </w:r>
          </w:p>
        </w:tc>
        <w:tc>
          <w:tcPr>
            <w:tcW w:w="7519"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widowControl/>
              <w:rPr>
                <w:rFonts w:hint="default" w:asciiTheme="minorEastAsia" w:hAnsiTheme="minorEastAsia" w:eastAsiaTheme="minorEastAsia" w:cstheme="minorEastAsia"/>
                <w:color w:val="000000" w:themeColor="text1"/>
                <w:kern w:val="0"/>
                <w:sz w:val="24"/>
                <w:lang w:val="en-US"/>
                <w14:textFill>
                  <w14:solidFill>
                    <w14:schemeClr w14:val="tx1"/>
                  </w14:solidFill>
                </w14:textFill>
              </w:rPr>
            </w:pPr>
            <w:r>
              <w:rPr>
                <w:rFonts w:hint="default" w:asciiTheme="minorEastAsia" w:hAnsiTheme="minorEastAsia" w:eastAsiaTheme="minorEastAsia" w:cstheme="minorEastAsia"/>
                <w:color w:val="000000" w:themeColor="text1"/>
                <w:kern w:val="0"/>
                <w:sz w:val="24"/>
                <w:lang w:val="en-US"/>
                <w14:textFill>
                  <w14:solidFill>
                    <w14:schemeClr w14:val="tx1"/>
                  </w14:solidFill>
                </w14:textFill>
              </w:rPr>
              <w:t>投标人对本项目提供的实施方案进行综合评比，实施方案（包含①苗木起苗方案、②种苗分级措施、③包装方案、④种子及苗木运输方案、⑤苗木根部保护方案、⑥病虫害防治方案、⑦栽植技术方案）方案齐全且</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符合实际</w:t>
            </w:r>
            <w:r>
              <w:rPr>
                <w:rFonts w:hint="default" w:asciiTheme="minorEastAsia" w:hAnsiTheme="minorEastAsia" w:eastAsiaTheme="minorEastAsia" w:cstheme="minorEastAsia"/>
                <w:color w:val="000000" w:themeColor="text1"/>
                <w:kern w:val="0"/>
                <w:sz w:val="24"/>
                <w:lang w:val="en-US"/>
                <w14:textFill>
                  <w14:solidFill>
                    <w14:schemeClr w14:val="tx1"/>
                  </w14:solidFill>
                </w14:textFill>
              </w:rPr>
              <w:t>的得 21 分，每缺少一项内容的扣 3 分；每有一处</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不符合实际要求</w:t>
            </w:r>
            <w:r>
              <w:rPr>
                <w:rFonts w:hint="default" w:asciiTheme="minorEastAsia" w:hAnsiTheme="minorEastAsia" w:eastAsiaTheme="minorEastAsia" w:cstheme="minorEastAsia"/>
                <w:color w:val="000000" w:themeColor="text1"/>
                <w:kern w:val="0"/>
                <w:sz w:val="24"/>
                <w:lang w:val="en-US"/>
                <w14:textFill>
                  <w14:solidFill>
                    <w14:schemeClr w14:val="tx1"/>
                  </w14:solidFill>
                </w14:textFill>
              </w:rPr>
              <w:t>的扣 1.5 分，直到扣完为止。未提供不得分。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07" w:type="dxa"/>
            <w:tcBorders>
              <w:right w:val="single" w:color="auto" w:sz="4" w:space="0"/>
            </w:tcBorders>
            <w:vAlign w:val="center"/>
          </w:tcPr>
          <w:p>
            <w:pPr>
              <w:widowControl/>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保障方案</w:t>
            </w:r>
          </w:p>
        </w:tc>
        <w:tc>
          <w:tcPr>
            <w:tcW w:w="751" w:type="dxa"/>
            <w:tcBorders>
              <w:left w:val="single" w:color="auto" w:sz="4" w:space="0"/>
              <w:right w:val="single" w:color="auto" w:sz="4" w:space="0"/>
            </w:tcBorders>
            <w:tcMar>
              <w:top w:w="28" w:type="dxa"/>
              <w:left w:w="108" w:type="dxa"/>
              <w:bottom w:w="28" w:type="dxa"/>
              <w:right w:w="108" w:type="dxa"/>
            </w:tcMar>
            <w:vAlign w:val="center"/>
          </w:tcPr>
          <w:p>
            <w:pPr>
              <w:widowControl/>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0-12</w:t>
            </w:r>
          </w:p>
        </w:tc>
        <w:tc>
          <w:tcPr>
            <w:tcW w:w="7519"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widowControl/>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根据投标人针对本项目提供保障方案进行综合评比，保障方案（包含①质量保证方案、②安全保障措施、③管理制度、④培训方案）方案齐全且</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切合实际</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的得1</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分，每缺少一项内容的扣</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分；每有一处</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不符合实际要求</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的扣1</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分，直到扣完为止。未提供不得分</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07" w:type="dxa"/>
            <w:tcBorders>
              <w:righ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应急预案及突发事件的处理措施</w:t>
            </w:r>
          </w:p>
        </w:tc>
        <w:tc>
          <w:tcPr>
            <w:tcW w:w="751" w:type="dxa"/>
            <w:tcBorders>
              <w:left w:val="single" w:color="auto" w:sz="4" w:space="0"/>
              <w:right w:val="single" w:color="auto" w:sz="4" w:space="0"/>
            </w:tcBorders>
            <w:tcMar>
              <w:top w:w="28" w:type="dxa"/>
              <w:left w:w="108" w:type="dxa"/>
              <w:bottom w:w="28" w:type="dxa"/>
              <w:right w:w="108" w:type="dxa"/>
            </w:tcMar>
            <w:vAlign w:val="center"/>
          </w:tcPr>
          <w:p>
            <w:pPr>
              <w:widowControl/>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0-10</w:t>
            </w:r>
          </w:p>
        </w:tc>
        <w:tc>
          <w:tcPr>
            <w:tcW w:w="7519"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7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针对本项目</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提供应急预案（包括</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①</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自然灾害、</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交通意外、</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响应时间、</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④</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人员安排、</w:t>
            </w:r>
            <w:r>
              <w:rPr>
                <w:rFonts w:hint="default" w:asciiTheme="minorEastAsia" w:hAnsiTheme="minorEastAsia" w:eastAsiaTheme="minorEastAsia" w:cstheme="minorEastAsia"/>
                <w:color w:val="000000" w:themeColor="text1"/>
                <w:kern w:val="0"/>
                <w:sz w:val="24"/>
                <w:lang w:val="en-US"/>
                <w14:textFill>
                  <w14:solidFill>
                    <w14:schemeClr w14:val="tx1"/>
                  </w14:solidFill>
                </w14:textFill>
              </w:rPr>
              <w:t>⑤</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突发状况）</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进行综合评比</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w:t>
            </w:r>
          </w:p>
          <w:p>
            <w:pPr>
              <w:widowControl/>
              <w:rPr>
                <w:rFonts w:hint="default" w:asciiTheme="minorEastAsia" w:hAnsiTheme="minorEastAsia" w:eastAsiaTheme="minorEastAsia" w:cstheme="minorEastAsia"/>
                <w:color w:val="000000" w:themeColor="text1"/>
                <w:kern w:val="0"/>
                <w:sz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应急预案</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齐全且</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切合实际</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的得</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分，每缺少一项内容的扣</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分；每有一处</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不符合实际要求</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的扣1分，直到扣完为止。未提供不得分。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07" w:type="dxa"/>
            <w:tcBorders>
              <w:righ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售后服务</w:t>
            </w:r>
          </w:p>
        </w:tc>
        <w:tc>
          <w:tcPr>
            <w:tcW w:w="751" w:type="dxa"/>
            <w:tcBorders>
              <w:left w:val="single" w:color="auto" w:sz="4" w:space="0"/>
              <w:right w:val="single" w:color="auto" w:sz="4" w:space="0"/>
            </w:tcBorders>
            <w:tcMar>
              <w:top w:w="28" w:type="dxa"/>
              <w:left w:w="108" w:type="dxa"/>
              <w:bottom w:w="28" w:type="dxa"/>
              <w:right w:w="108" w:type="dxa"/>
            </w:tcMar>
            <w:vAlign w:val="center"/>
          </w:tcPr>
          <w:p>
            <w:pPr>
              <w:widowControl/>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0-12</w:t>
            </w:r>
          </w:p>
        </w:tc>
        <w:tc>
          <w:tcPr>
            <w:tcW w:w="7519"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widowControl/>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投标人针对本项目提供的售后服务进行综合评比，售后服务（包含①响应及处理时间、②服务电话及对接人员名单、③售后服务体系及处理方式、④售后期限及售后期内的售后内容与范围）方案齐全且</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切合实际</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的得</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12</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分，每缺少一项内容的扣</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分；每有一处</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不符合实际要求</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的扣1</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t>分，直到扣完为止。未提供不得分。</w:t>
            </w:r>
          </w:p>
        </w:tc>
      </w:tr>
    </w:tbl>
    <w:p>
      <w:pPr>
        <w:spacing w:line="440" w:lineRule="exact"/>
        <w:ind w:firstLine="482" w:firstLineChars="200"/>
        <w:rPr>
          <w:rFonts w:ascii="宋体" w:hAnsi="宋体" w:cs="宋体"/>
          <w:b/>
          <w:sz w:val="24"/>
        </w:rPr>
      </w:pPr>
      <w:r>
        <w:rPr>
          <w:rFonts w:hint="eastAsia" w:ascii="宋体" w:hAnsi="宋体" w:cs="宋体"/>
          <w:b/>
          <w:sz w:val="24"/>
        </w:rPr>
        <w:t>四、招标注意事项</w:t>
      </w:r>
    </w:p>
    <w:p>
      <w:pPr>
        <w:spacing w:line="440" w:lineRule="exact"/>
        <w:ind w:firstLine="480" w:firstLineChars="200"/>
        <w:rPr>
          <w:rFonts w:ascii="宋体" w:hAnsi="宋体" w:cs="宋体"/>
          <w:sz w:val="24"/>
        </w:rPr>
      </w:pPr>
      <w:r>
        <w:rPr>
          <w:rFonts w:hint="eastAsia" w:ascii="宋体" w:hAnsi="宋体" w:cs="宋体"/>
          <w:sz w:val="24"/>
        </w:rPr>
        <w:t>4.1投标时，投标人应派代表在指定的地点参加投标。投标人人员必须及时解释和澄清投标文件内容，并以书面的形式签署确定等。</w:t>
      </w:r>
    </w:p>
    <w:p>
      <w:pPr>
        <w:spacing w:line="440" w:lineRule="exact"/>
        <w:ind w:firstLine="480" w:firstLineChars="200"/>
        <w:rPr>
          <w:rFonts w:ascii="宋体" w:hAnsi="宋体" w:cs="宋体"/>
          <w:sz w:val="24"/>
        </w:rPr>
      </w:pPr>
      <w:r>
        <w:rPr>
          <w:rFonts w:hint="eastAsia" w:ascii="宋体" w:hAnsi="宋体" w:cs="宋体"/>
          <w:sz w:val="24"/>
        </w:rPr>
        <w:t>4.2评审时如发现投标人的报价明显高于其市场报价或低于成本价的，应要求该投标人书面说明并提供相关证明材料。该投标人不能合理说明原因并提供证明材料的，评审小组应将该投标人的采购投标文件作无效处理，同时采购组织机构应将该情况报同级财政部门，并视情将其列入不良投标人名单。</w:t>
      </w:r>
    </w:p>
    <w:p>
      <w:pPr>
        <w:spacing w:line="440" w:lineRule="exact"/>
        <w:ind w:firstLine="482" w:firstLineChars="200"/>
        <w:rPr>
          <w:rFonts w:ascii="宋体" w:hAnsi="宋体" w:cs="宋体"/>
          <w:b/>
          <w:sz w:val="24"/>
        </w:rPr>
      </w:pPr>
      <w:r>
        <w:rPr>
          <w:rFonts w:hint="eastAsia" w:ascii="宋体" w:hAnsi="宋体" w:cs="宋体"/>
          <w:b/>
          <w:sz w:val="24"/>
        </w:rPr>
        <w:t>五、评定纪律</w:t>
      </w:r>
    </w:p>
    <w:p>
      <w:pPr>
        <w:spacing w:line="440" w:lineRule="exact"/>
        <w:ind w:firstLine="480" w:firstLineChars="200"/>
        <w:rPr>
          <w:rFonts w:ascii="宋体" w:hAnsi="宋体" w:cs="宋体"/>
          <w:sz w:val="24"/>
        </w:rPr>
      </w:pPr>
      <w:r>
        <w:rPr>
          <w:rFonts w:hint="eastAsia" w:ascii="宋体" w:hAnsi="宋体" w:cs="宋体"/>
          <w:sz w:val="24"/>
        </w:rPr>
        <w:t>5.1评审小组必须公平、公正评定；遵纪守法，客观、廉洁地履行职责；</w:t>
      </w:r>
    </w:p>
    <w:p>
      <w:pPr>
        <w:spacing w:line="440" w:lineRule="exact"/>
        <w:ind w:firstLine="480" w:firstLineChars="200"/>
        <w:rPr>
          <w:rFonts w:ascii="宋体" w:hAnsi="宋体" w:cs="宋体"/>
          <w:sz w:val="24"/>
        </w:rPr>
      </w:pPr>
      <w:r>
        <w:rPr>
          <w:rFonts w:hint="eastAsia" w:ascii="宋体" w:hAnsi="宋体" w:cs="宋体"/>
          <w:sz w:val="24"/>
        </w:rPr>
        <w:t>5.2评审小组在评定开始前，应关闭随身携带的各种通信工具；</w:t>
      </w:r>
    </w:p>
    <w:p>
      <w:pPr>
        <w:spacing w:line="440" w:lineRule="exact"/>
        <w:ind w:firstLine="480" w:firstLineChars="200"/>
        <w:rPr>
          <w:rFonts w:ascii="宋体" w:hAnsi="宋体" w:cs="宋体"/>
          <w:sz w:val="24"/>
        </w:rPr>
      </w:pPr>
      <w:r>
        <w:rPr>
          <w:rFonts w:hint="eastAsia" w:ascii="宋体" w:hAnsi="宋体" w:cs="宋体"/>
          <w:sz w:val="24"/>
        </w:rPr>
        <w:t>5.3评审小组在评定过程中，未经许可不得中途离开评定现场，不得迟到早退；</w:t>
      </w:r>
    </w:p>
    <w:p>
      <w:pPr>
        <w:spacing w:line="440" w:lineRule="exact"/>
        <w:ind w:firstLine="480" w:firstLineChars="200"/>
        <w:rPr>
          <w:rFonts w:ascii="宋体" w:hAnsi="宋体" w:cs="宋体"/>
          <w:sz w:val="24"/>
        </w:rPr>
      </w:pPr>
      <w:r>
        <w:rPr>
          <w:rFonts w:hint="eastAsia" w:ascii="宋体" w:hAnsi="宋体" w:cs="宋体"/>
          <w:sz w:val="24"/>
        </w:rPr>
        <w:t>5.4评审小组和工作人员不得透露评定过程中的讨论情况和评定结果。</w:t>
      </w:r>
    </w:p>
    <w:p>
      <w:pPr>
        <w:spacing w:line="440" w:lineRule="exact"/>
        <w:ind w:firstLine="480" w:firstLineChars="200"/>
        <w:rPr>
          <w:rFonts w:ascii="宋体" w:hAnsi="宋体" w:cs="宋体"/>
          <w:sz w:val="24"/>
        </w:rPr>
      </w:pPr>
      <w:r>
        <w:rPr>
          <w:rFonts w:hint="eastAsia" w:ascii="宋体" w:hAnsi="宋体" w:cs="宋体"/>
          <w:sz w:val="24"/>
        </w:rPr>
        <w:t>5.5评审小组应当对照招标文件规定的条件和标准，对各投标人投标文件的合格性、完整性和有效性进行审查、比较和评估，其中对投标人的资格条件、主要技术参数、商务报价和其他评审要素等，评审专家应逐项进行审查、比较，不得漏评少评。如发现与采购文件要求相偏离的，应对其偏离情形进行必要的核实，并在评审报告中予以说明；如属于实质性偏离或符合无效响应条件的，应当询问投标人，并允许投标人进行陈述申辩，但不允许其对偏离条款时行补充、修正或搞撤回。</w:t>
      </w:r>
    </w:p>
    <w:p>
      <w:pPr>
        <w:spacing w:line="440" w:lineRule="exact"/>
        <w:ind w:firstLine="480" w:firstLineChars="200"/>
        <w:rPr>
          <w:rFonts w:ascii="宋体" w:hAnsi="宋体" w:cs="宋体"/>
          <w:sz w:val="24"/>
        </w:rPr>
      </w:pPr>
      <w:r>
        <w:rPr>
          <w:rFonts w:hint="eastAsia" w:ascii="宋体" w:hAnsi="宋体" w:cs="宋体"/>
          <w:sz w:val="24"/>
        </w:rPr>
        <w:t>5.6评审小组在评定过程中不得将自己的观点，强加给其他评审小组，评审小组应自主发表见解，对评审意见承担个人责任。</w:t>
      </w:r>
    </w:p>
    <w:p>
      <w:pPr>
        <w:spacing w:line="440" w:lineRule="exact"/>
        <w:ind w:firstLine="480" w:firstLineChars="200"/>
        <w:rPr>
          <w:rFonts w:ascii="宋体" w:hAnsi="宋体" w:cs="宋体"/>
          <w:sz w:val="24"/>
        </w:rPr>
      </w:pPr>
      <w:r>
        <w:rPr>
          <w:rFonts w:hint="eastAsia" w:ascii="宋体" w:hAnsi="宋体" w:cs="宋体"/>
          <w:sz w:val="24"/>
        </w:rPr>
        <w:t>5.7评审小组应根据评定办法确定项目得分，并参与评标报告的起草，按评定原则推荐1-3名中标候选人。</w:t>
      </w:r>
    </w:p>
    <w:p>
      <w:pPr>
        <w:spacing w:line="440" w:lineRule="exact"/>
        <w:ind w:firstLine="480" w:firstLineChars="200"/>
        <w:rPr>
          <w:rFonts w:ascii="宋体" w:hAnsi="宋体" w:cs="宋体"/>
          <w:sz w:val="24"/>
        </w:rPr>
      </w:pPr>
      <w:r>
        <w:rPr>
          <w:rFonts w:hint="eastAsia" w:ascii="宋体" w:hAnsi="宋体" w:cs="宋体"/>
          <w:sz w:val="24"/>
        </w:rPr>
        <w:t>5.8各评审人员应当独立、客观、公正地提出评审意见，不得带有倾向性，不得影响其他人员评审，并在评标报告上签字；如对评标报告有异议的，可以在报告上签署不同意见，并说明理由，否则将视为同意。</w:t>
      </w:r>
    </w:p>
    <w:p>
      <w:pPr>
        <w:spacing w:line="440" w:lineRule="exact"/>
        <w:ind w:firstLine="480" w:firstLineChars="200"/>
        <w:rPr>
          <w:rFonts w:ascii="宋体" w:hAnsi="宋体" w:cs="宋体"/>
          <w:sz w:val="24"/>
        </w:rPr>
      </w:pPr>
      <w:r>
        <w:rPr>
          <w:rFonts w:hint="eastAsia" w:ascii="宋体" w:hAnsi="宋体" w:cs="宋体"/>
          <w:sz w:val="24"/>
        </w:rPr>
        <w:t>5.9配合财政部门的投诉处理工作。</w:t>
      </w:r>
    </w:p>
    <w:p>
      <w:pPr>
        <w:spacing w:line="440" w:lineRule="exact"/>
        <w:ind w:firstLine="480" w:firstLineChars="200"/>
        <w:rPr>
          <w:rFonts w:ascii="宋体" w:hAnsi="宋体" w:cs="宋体"/>
          <w:sz w:val="24"/>
        </w:rPr>
      </w:pPr>
      <w:r>
        <w:rPr>
          <w:rFonts w:hint="eastAsia" w:ascii="宋体" w:hAnsi="宋体" w:cs="宋体"/>
          <w:sz w:val="24"/>
        </w:rPr>
        <w:t>5.10配合采购代理机构单位答复投标人提出的质疑。</w:t>
      </w:r>
    </w:p>
    <w:p>
      <w:pPr>
        <w:spacing w:line="440" w:lineRule="exact"/>
        <w:ind w:firstLine="480" w:firstLineChars="200"/>
        <w:rPr>
          <w:rFonts w:ascii="宋体" w:hAnsi="宋体" w:cs="宋体"/>
          <w:sz w:val="24"/>
        </w:rPr>
      </w:pPr>
      <w:r>
        <w:rPr>
          <w:rFonts w:hint="eastAsia" w:ascii="宋体" w:hAnsi="宋体" w:cs="宋体"/>
          <w:sz w:val="24"/>
        </w:rPr>
        <w:t>5.11评定委员会成员有如下行为之一的，责令改正，给予警告，可以并处一千元以下的罚款：</w:t>
      </w:r>
    </w:p>
    <w:p>
      <w:pPr>
        <w:spacing w:line="440" w:lineRule="exact"/>
        <w:ind w:firstLine="480" w:firstLineChars="200"/>
        <w:rPr>
          <w:rFonts w:ascii="宋体" w:hAnsi="宋体" w:cs="宋体"/>
          <w:sz w:val="24"/>
        </w:rPr>
      </w:pPr>
      <w:r>
        <w:rPr>
          <w:rFonts w:hint="eastAsia" w:ascii="宋体" w:hAnsi="宋体" w:cs="宋体"/>
          <w:sz w:val="24"/>
        </w:rPr>
        <w:t>5.11.1明知应当回避而未主动回避的；</w:t>
      </w:r>
    </w:p>
    <w:p>
      <w:pPr>
        <w:spacing w:line="440" w:lineRule="exact"/>
        <w:ind w:firstLine="480" w:firstLineChars="200"/>
        <w:rPr>
          <w:rFonts w:ascii="宋体" w:hAnsi="宋体" w:cs="宋体"/>
          <w:sz w:val="24"/>
        </w:rPr>
      </w:pPr>
      <w:r>
        <w:rPr>
          <w:rFonts w:hint="eastAsia" w:ascii="宋体" w:hAnsi="宋体" w:cs="宋体"/>
          <w:sz w:val="24"/>
        </w:rPr>
        <w:t>5.11.2在知道自己为评审小组身份后至评定结束前的时段内私下接触投标人的；</w:t>
      </w:r>
    </w:p>
    <w:p>
      <w:pPr>
        <w:spacing w:line="440" w:lineRule="exact"/>
        <w:ind w:firstLine="480" w:firstLineChars="200"/>
        <w:rPr>
          <w:rFonts w:ascii="宋体" w:hAnsi="宋体" w:cs="宋体"/>
          <w:sz w:val="24"/>
        </w:rPr>
      </w:pPr>
      <w:r>
        <w:rPr>
          <w:rFonts w:hint="eastAsia" w:ascii="宋体" w:hAnsi="宋体" w:cs="宋体"/>
          <w:sz w:val="24"/>
        </w:rPr>
        <w:t>5.11.3在评定过程中擅离职守，影响评定程序正常进行的；</w:t>
      </w:r>
    </w:p>
    <w:p>
      <w:pPr>
        <w:spacing w:line="440" w:lineRule="exact"/>
        <w:ind w:firstLine="480" w:firstLineChars="200"/>
        <w:rPr>
          <w:rFonts w:ascii="宋体" w:hAnsi="宋体" w:cs="宋体"/>
          <w:sz w:val="24"/>
        </w:rPr>
      </w:pPr>
      <w:r>
        <w:rPr>
          <w:rFonts w:hint="eastAsia" w:ascii="宋体" w:hAnsi="宋体" w:cs="宋体"/>
          <w:sz w:val="24"/>
        </w:rPr>
        <w:t>5.11.4在评定过程有明显不合理或者不正当倾向性的；</w:t>
      </w:r>
    </w:p>
    <w:p>
      <w:pPr>
        <w:spacing w:line="440" w:lineRule="exact"/>
        <w:ind w:firstLine="480" w:firstLineChars="200"/>
        <w:rPr>
          <w:rFonts w:hint="eastAsia" w:ascii="宋体" w:hAnsi="宋体" w:cs="宋体"/>
          <w:sz w:val="24"/>
        </w:rPr>
      </w:pPr>
      <w:r>
        <w:rPr>
          <w:rFonts w:hint="eastAsia" w:ascii="宋体" w:hAnsi="宋体" w:cs="宋体"/>
          <w:sz w:val="24"/>
        </w:rPr>
        <w:t xml:space="preserve">5.11.5未按招标文件规定的评定方法和标准进行评定的。 </w:t>
      </w:r>
    </w:p>
    <w:p>
      <w:pPr>
        <w:rPr>
          <w:rFonts w:hint="eastAsia" w:ascii="宋体" w:hAnsi="宋体" w:cs="宋体"/>
          <w:sz w:val="24"/>
        </w:rPr>
      </w:pPr>
      <w:r>
        <w:rPr>
          <w:rFonts w:hint="eastAsia" w:ascii="宋体" w:hAnsi="宋体" w:cs="宋体"/>
          <w:sz w:val="24"/>
        </w:rPr>
        <w:br w:type="page"/>
      </w:r>
    </w:p>
    <w:p>
      <w:pPr>
        <w:adjustRightInd w:val="0"/>
        <w:snapToGrid w:val="0"/>
        <w:spacing w:before="100" w:beforeAutospacing="1" w:after="100" w:afterAutospacing="1" w:line="360" w:lineRule="auto"/>
        <w:jc w:val="center"/>
        <w:outlineLvl w:val="0"/>
        <w:rPr>
          <w:rFonts w:hint="eastAsia"/>
          <w:b/>
          <w:sz w:val="32"/>
          <w:szCs w:val="32"/>
        </w:rPr>
      </w:pPr>
      <w:bookmarkStart w:id="26" w:name="_Toc576"/>
      <w:r>
        <w:rPr>
          <w:rFonts w:hint="eastAsia"/>
          <w:b/>
          <w:sz w:val="32"/>
          <w:szCs w:val="32"/>
          <w:lang w:eastAsia="zh-CN"/>
        </w:rPr>
        <w:t>第八部分</w:t>
      </w:r>
      <w:r>
        <w:rPr>
          <w:rFonts w:hint="eastAsia"/>
          <w:b/>
          <w:sz w:val="32"/>
          <w:szCs w:val="32"/>
          <w:lang w:val="en-US" w:eastAsia="zh-CN"/>
        </w:rPr>
        <w:t xml:space="preserve">  </w:t>
      </w:r>
      <w:r>
        <w:rPr>
          <w:rFonts w:hint="eastAsia"/>
          <w:b/>
          <w:sz w:val="32"/>
          <w:szCs w:val="32"/>
        </w:rPr>
        <w:t>政府采购项目招标代理协议书</w:t>
      </w:r>
      <w:bookmarkEnd w:id="26"/>
    </w:p>
    <w:p>
      <w:pPr>
        <w:snapToGrid w:val="0"/>
        <w:spacing w:line="600" w:lineRule="exact"/>
        <w:ind w:firstLine="480" w:firstLineChars="200"/>
        <w:rPr>
          <w:rFonts w:hint="eastAsia" w:ascii="宋体" w:hAnsi="宋体" w:cs="宋体"/>
          <w:sz w:val="24"/>
        </w:rPr>
      </w:pPr>
      <w:r>
        <w:rPr>
          <w:rFonts w:hint="eastAsia" w:ascii="宋体" w:hAnsi="宋体" w:cs="宋体"/>
          <w:sz w:val="24"/>
        </w:rPr>
        <w:t>委托人：</w:t>
      </w:r>
      <w:r>
        <w:rPr>
          <w:rFonts w:hint="eastAsia" w:ascii="宋体" w:hAnsi="宋体" w:cs="宋体"/>
          <w:sz w:val="24"/>
          <w:u w:val="single"/>
        </w:rPr>
        <w:t xml:space="preserve"> </w:t>
      </w:r>
      <w:r>
        <w:rPr>
          <w:rFonts w:hint="eastAsia" w:ascii="宋体" w:hAnsi="宋体" w:cs="宋体"/>
          <w:sz w:val="24"/>
          <w:u w:val="single"/>
          <w:lang w:eastAsia="zh-CN"/>
        </w:rPr>
        <w:t>新和县林业和草原局</w:t>
      </w:r>
      <w:r>
        <w:rPr>
          <w:rFonts w:hint="eastAsia" w:ascii="宋体" w:hAnsi="宋体" w:cs="宋体"/>
          <w:sz w:val="24"/>
          <w:u w:val="single"/>
        </w:rPr>
        <w:t xml:space="preserve">   </w:t>
      </w:r>
    </w:p>
    <w:p>
      <w:pPr>
        <w:snapToGrid w:val="0"/>
        <w:spacing w:line="600" w:lineRule="exact"/>
        <w:ind w:firstLine="480" w:firstLineChars="200"/>
        <w:rPr>
          <w:rFonts w:hint="eastAsia" w:ascii="宋体" w:hAnsi="宋体" w:eastAsia="宋体" w:cs="宋体"/>
          <w:sz w:val="24"/>
          <w:lang w:eastAsia="zh-CN"/>
        </w:rPr>
      </w:pPr>
      <w:r>
        <w:rPr>
          <w:rFonts w:hint="eastAsia" w:ascii="宋体" w:hAnsi="宋体" w:cs="宋体"/>
          <w:sz w:val="24"/>
        </w:rPr>
        <w:t>受委托人：</w:t>
      </w:r>
      <w:r>
        <w:rPr>
          <w:rFonts w:hint="eastAsia"/>
          <w:sz w:val="24"/>
          <w:u w:val="single"/>
          <w:lang w:eastAsia="zh-CN"/>
        </w:rPr>
        <w:t>新疆乾明臻合项目管理有限责任公司</w:t>
      </w:r>
    </w:p>
    <w:p>
      <w:pPr>
        <w:snapToGrid w:val="0"/>
        <w:spacing w:line="600" w:lineRule="exact"/>
        <w:ind w:firstLine="480" w:firstLineChars="200"/>
        <w:rPr>
          <w:rFonts w:hint="eastAsia" w:ascii="宋体" w:hAnsi="宋体" w:cs="宋体"/>
          <w:sz w:val="24"/>
        </w:rPr>
      </w:pPr>
      <w:r>
        <w:rPr>
          <w:rFonts w:hint="eastAsia" w:ascii="宋体" w:hAnsi="宋体" w:cs="宋体"/>
          <w:sz w:val="24"/>
        </w:rPr>
        <w:t>依照《中华人民共和国合同法》、《中华人民共和国政府采购法》及国家的有关法律、行政法规，遵循平等、自愿、公平和诚实信用的原则，双方就</w:t>
      </w:r>
      <w:r>
        <w:rPr>
          <w:rFonts w:hint="eastAsia" w:ascii="宋体" w:hAnsi="宋体" w:cs="宋体"/>
          <w:sz w:val="24"/>
          <w:u w:val="single"/>
        </w:rPr>
        <w:t>本项目</w:t>
      </w:r>
      <w:r>
        <w:rPr>
          <w:rFonts w:hint="eastAsia" w:ascii="宋体" w:hAnsi="宋体" w:cs="宋体"/>
          <w:sz w:val="24"/>
          <w:u w:val="none"/>
        </w:rPr>
        <w:t>的</w:t>
      </w:r>
      <w:r>
        <w:rPr>
          <w:rFonts w:hint="eastAsia" w:ascii="宋体" w:hAnsi="宋体" w:cs="宋体"/>
          <w:sz w:val="24"/>
        </w:rPr>
        <w:t>招标代理事项协商一致，订立本合同。</w:t>
      </w:r>
    </w:p>
    <w:p>
      <w:pPr>
        <w:snapToGrid w:val="0"/>
        <w:spacing w:line="600" w:lineRule="exact"/>
        <w:ind w:firstLine="480" w:firstLineChars="200"/>
        <w:rPr>
          <w:rFonts w:hint="eastAsia" w:ascii="宋体" w:hAnsi="宋体" w:cs="宋体"/>
          <w:sz w:val="24"/>
        </w:rPr>
      </w:pPr>
      <w:r>
        <w:rPr>
          <w:rFonts w:hint="eastAsia" w:ascii="宋体" w:hAnsi="宋体" w:cs="宋体"/>
          <w:sz w:val="24"/>
        </w:rPr>
        <w:t>一、项目概况</w:t>
      </w:r>
    </w:p>
    <w:p>
      <w:pPr>
        <w:tabs>
          <w:tab w:val="left" w:pos="8820"/>
        </w:tabs>
        <w:snapToGrid w:val="0"/>
        <w:spacing w:line="600" w:lineRule="exact"/>
        <w:ind w:firstLine="480" w:firstLineChars="200"/>
        <w:jc w:val="left"/>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lang w:eastAsia="zh-CN"/>
        </w:rPr>
        <w:t>新和县2023年国土绿化造林补助项目：乔木造林（一标段）</w:t>
      </w:r>
      <w:r>
        <w:rPr>
          <w:rFonts w:hint="eastAsia"/>
          <w:sz w:val="24"/>
          <w:szCs w:val="22"/>
          <w:u w:val="single"/>
        </w:rPr>
        <w:t xml:space="preserve">    </w:t>
      </w:r>
      <w:r>
        <w:rPr>
          <w:rFonts w:hint="eastAsia"/>
          <w:sz w:val="24"/>
          <w:u w:val="single"/>
        </w:rPr>
        <w:t xml:space="preserve">                                            </w:t>
      </w:r>
      <w:r>
        <w:rPr>
          <w:rFonts w:hint="eastAsia" w:ascii="宋体" w:hAnsi="宋体" w:cs="宋体"/>
          <w:sz w:val="24"/>
          <w:u w:val="single"/>
        </w:rPr>
        <w:t xml:space="preserve">   </w:t>
      </w:r>
    </w:p>
    <w:p>
      <w:pPr>
        <w:tabs>
          <w:tab w:val="left" w:pos="8820"/>
        </w:tabs>
        <w:snapToGrid w:val="0"/>
        <w:spacing w:line="600" w:lineRule="exact"/>
        <w:ind w:firstLine="480" w:firstLineChars="200"/>
        <w:jc w:val="left"/>
        <w:rPr>
          <w:rFonts w:hint="eastAsia" w:ascii="宋体" w:hAnsi="宋体" w:cs="宋体"/>
          <w:sz w:val="24"/>
          <w:u w:val="single"/>
        </w:rPr>
      </w:pPr>
      <w:r>
        <w:rPr>
          <w:rFonts w:hint="eastAsia"/>
          <w:sz w:val="24"/>
          <w:u w:val="none"/>
          <w:lang w:eastAsia="zh-CN"/>
        </w:rPr>
        <w:t>项目</w:t>
      </w:r>
      <w:r>
        <w:rPr>
          <w:rFonts w:hint="eastAsia"/>
          <w:sz w:val="24"/>
          <w:u w:val="none"/>
        </w:rPr>
        <w:t>地址：</w:t>
      </w:r>
      <w:r>
        <w:rPr>
          <w:rFonts w:hint="eastAsia"/>
          <w:sz w:val="24"/>
          <w:u w:val="single"/>
        </w:rPr>
        <w:t>本项目位于</w:t>
      </w:r>
      <w:r>
        <w:rPr>
          <w:rFonts w:hint="eastAsia" w:ascii="宋体" w:hAnsi="宋体" w:cs="宋体"/>
          <w:sz w:val="24"/>
          <w:u w:val="single"/>
          <w:lang w:eastAsia="zh-CN"/>
        </w:rPr>
        <w:t>新和县</w:t>
      </w:r>
      <w:r>
        <w:rPr>
          <w:rFonts w:hint="eastAsia"/>
          <w:sz w:val="24"/>
          <w:u w:val="single"/>
        </w:rPr>
        <w:t xml:space="preserve">。   </w:t>
      </w:r>
      <w:r>
        <w:rPr>
          <w:rFonts w:hint="eastAsia" w:ascii="宋体" w:hAnsi="宋体" w:cs="宋体"/>
          <w:sz w:val="24"/>
          <w:u w:val="single"/>
        </w:rPr>
        <w:t xml:space="preserve">                                                     </w:t>
      </w:r>
    </w:p>
    <w:p>
      <w:pPr>
        <w:tabs>
          <w:tab w:val="left" w:pos="8820"/>
        </w:tabs>
        <w:snapToGrid w:val="0"/>
        <w:spacing w:line="600" w:lineRule="exact"/>
        <w:ind w:firstLine="480" w:firstLineChars="200"/>
        <w:jc w:val="left"/>
        <w:rPr>
          <w:rFonts w:hint="eastAsia" w:ascii="宋体" w:hAnsi="宋体" w:cs="宋体"/>
          <w:sz w:val="24"/>
          <w:u w:val="single"/>
        </w:rPr>
      </w:pPr>
      <w:r>
        <w:rPr>
          <w:rFonts w:hint="eastAsia" w:ascii="宋体" w:hAnsi="宋体" w:cs="宋体"/>
          <w:sz w:val="24"/>
          <w:u w:val="none"/>
          <w:lang w:eastAsia="zh-CN"/>
        </w:rPr>
        <w:t>项目</w:t>
      </w:r>
      <w:r>
        <w:rPr>
          <w:rFonts w:hint="eastAsia" w:ascii="宋体" w:hAnsi="宋体" w:cs="宋体"/>
          <w:sz w:val="24"/>
          <w:u w:val="none"/>
        </w:rPr>
        <w:t>规模：</w:t>
      </w:r>
      <w:r>
        <w:rPr>
          <w:rFonts w:hint="eastAsia" w:ascii="宋体" w:hAnsi="宋体" w:cs="宋体"/>
          <w:sz w:val="24"/>
          <w:u w:val="single"/>
        </w:rPr>
        <w:t>详见</w:t>
      </w:r>
      <w:r>
        <w:rPr>
          <w:rFonts w:hint="eastAsia" w:ascii="宋体" w:hAnsi="宋体" w:cs="宋体"/>
          <w:sz w:val="24"/>
          <w:u w:val="single"/>
          <w:lang w:eastAsia="zh-CN"/>
        </w:rPr>
        <w:t>采购清单。</w:t>
      </w:r>
      <w:r>
        <w:rPr>
          <w:rFonts w:hint="eastAsia" w:ascii="宋体" w:hAnsi="宋体" w:cs="宋体"/>
          <w:sz w:val="24"/>
          <w:u w:val="single"/>
        </w:rPr>
        <w:t xml:space="preserve">                                                                            </w:t>
      </w:r>
    </w:p>
    <w:p>
      <w:pPr>
        <w:tabs>
          <w:tab w:val="left" w:pos="8400"/>
        </w:tabs>
        <w:snapToGrid w:val="0"/>
        <w:spacing w:line="600" w:lineRule="exact"/>
        <w:ind w:firstLine="480" w:firstLineChars="200"/>
        <w:rPr>
          <w:rFonts w:hint="eastAsia" w:ascii="宋体" w:hAnsi="宋体" w:cs="宋体"/>
          <w:sz w:val="24"/>
          <w:highlight w:val="yellow"/>
        </w:rPr>
      </w:pPr>
      <w:r>
        <w:rPr>
          <w:rFonts w:hint="eastAsia" w:ascii="宋体" w:hAnsi="宋体" w:cs="宋体"/>
          <w:sz w:val="24"/>
          <w:highlight w:val="none"/>
        </w:rPr>
        <w:t>预算金额：</w:t>
      </w:r>
      <w:r>
        <w:rPr>
          <w:rFonts w:hint="eastAsia" w:ascii="宋体" w:hAnsi="宋体" w:cs="宋体"/>
          <w:sz w:val="24"/>
          <w:highlight w:val="none"/>
          <w:u w:val="single"/>
        </w:rPr>
        <w:t>1736600.00</w:t>
      </w:r>
      <w:r>
        <w:rPr>
          <w:rFonts w:hint="eastAsia" w:ascii="宋体" w:hAnsi="宋体" w:cs="宋体"/>
          <w:sz w:val="24"/>
          <w:szCs w:val="22"/>
          <w:highlight w:val="none"/>
          <w:u w:val="single"/>
          <w:lang w:eastAsia="zh-CN"/>
        </w:rPr>
        <w:t xml:space="preserve">元 </w:t>
      </w:r>
    </w:p>
    <w:p>
      <w:pPr>
        <w:snapToGrid w:val="0"/>
        <w:spacing w:line="600" w:lineRule="exact"/>
        <w:ind w:firstLine="480" w:firstLineChars="200"/>
        <w:jc w:val="left"/>
        <w:rPr>
          <w:rFonts w:hint="eastAsia" w:ascii="宋体" w:hAnsi="宋体" w:cs="宋体"/>
          <w:sz w:val="24"/>
        </w:rPr>
      </w:pPr>
      <w:r>
        <w:rPr>
          <w:rFonts w:hint="eastAsia" w:ascii="宋体" w:hAnsi="宋体" w:cs="宋体"/>
          <w:sz w:val="24"/>
        </w:rPr>
        <w:t>二、委托人委托受托人为本次采购项目的招标代理机构，承担本项目的招标代理工作。</w:t>
      </w:r>
    </w:p>
    <w:p>
      <w:pPr>
        <w:snapToGrid w:val="0"/>
        <w:spacing w:line="600" w:lineRule="exact"/>
        <w:ind w:firstLine="480" w:firstLineChars="200"/>
        <w:rPr>
          <w:rFonts w:hint="eastAsia" w:ascii="宋体" w:hAnsi="宋体" w:cs="宋体"/>
          <w:sz w:val="24"/>
        </w:rPr>
      </w:pPr>
      <w:r>
        <w:rPr>
          <w:rFonts w:hint="eastAsia" w:ascii="宋体" w:hAnsi="宋体" w:cs="宋体"/>
          <w:sz w:val="24"/>
        </w:rPr>
        <w:t>三、合同价款</w:t>
      </w:r>
    </w:p>
    <w:p>
      <w:pPr>
        <w:snapToGrid w:val="0"/>
        <w:spacing w:line="600" w:lineRule="exact"/>
        <w:ind w:firstLine="480" w:firstLineChars="200"/>
        <w:rPr>
          <w:rFonts w:hint="eastAsia" w:ascii="宋体" w:hAnsi="宋体" w:cs="宋体"/>
          <w:sz w:val="24"/>
          <w:u w:val="single"/>
        </w:rPr>
      </w:pPr>
      <w:r>
        <w:rPr>
          <w:rFonts w:hint="eastAsia" w:ascii="宋体" w:hAnsi="宋体" w:cs="宋体"/>
          <w:sz w:val="24"/>
        </w:rPr>
        <w:t>代理报酬为人民币</w:t>
      </w:r>
      <w:r>
        <w:rPr>
          <w:rFonts w:hint="eastAsia"/>
          <w:sz w:val="24"/>
          <w:u w:val="single"/>
        </w:rPr>
        <w:t>根据国家计委《计价格[2002]1980号》文件</w:t>
      </w:r>
      <w:r>
        <w:rPr>
          <w:rFonts w:hint="eastAsia"/>
          <w:sz w:val="24"/>
          <w:u w:val="none"/>
        </w:rPr>
        <w:t>计取</w:t>
      </w:r>
      <w:r>
        <w:rPr>
          <w:rFonts w:hint="eastAsia" w:ascii="宋体" w:hAnsi="宋体" w:cs="宋体"/>
          <w:sz w:val="24"/>
          <w:u w:val="none"/>
        </w:rPr>
        <w:t xml:space="preserve">。 </w:t>
      </w:r>
    </w:p>
    <w:p>
      <w:pPr>
        <w:snapToGrid w:val="0"/>
        <w:spacing w:line="600" w:lineRule="exact"/>
        <w:ind w:firstLine="480" w:firstLineChars="200"/>
        <w:rPr>
          <w:rFonts w:hint="eastAsia" w:ascii="宋体" w:hAnsi="宋体" w:cs="宋体"/>
          <w:sz w:val="24"/>
        </w:rPr>
      </w:pPr>
      <w:r>
        <w:rPr>
          <w:rFonts w:hint="eastAsia" w:ascii="宋体" w:hAnsi="宋体" w:cs="宋体"/>
          <w:sz w:val="24"/>
        </w:rPr>
        <w:t>四、合同订立</w:t>
      </w:r>
    </w:p>
    <w:p>
      <w:pPr>
        <w:snapToGrid w:val="0"/>
        <w:spacing w:line="600" w:lineRule="exact"/>
        <w:ind w:firstLine="480" w:firstLineChars="200"/>
        <w:rPr>
          <w:rFonts w:hint="eastAsia" w:ascii="宋体" w:hAnsi="宋体" w:cs="宋体"/>
          <w:sz w:val="24"/>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sz w:val="24"/>
          <w:u w:val="single"/>
          <w:lang w:val="en-US" w:eastAsia="zh-CN"/>
        </w:rPr>
        <w:t>2023</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22</w:t>
      </w:r>
      <w:r>
        <w:rPr>
          <w:rFonts w:hint="eastAsia" w:ascii="宋体" w:hAnsi="宋体" w:cs="宋体"/>
          <w:sz w:val="24"/>
          <w:u w:val="single"/>
        </w:rPr>
        <w:t xml:space="preserve"> </w:t>
      </w:r>
      <w:r>
        <w:rPr>
          <w:rFonts w:hint="eastAsia" w:ascii="宋体" w:hAnsi="宋体" w:cs="宋体"/>
          <w:sz w:val="24"/>
        </w:rPr>
        <w:t>日</w:t>
      </w:r>
    </w:p>
    <w:p>
      <w:pPr>
        <w:snapToGrid w:val="0"/>
        <w:spacing w:line="600" w:lineRule="exact"/>
        <w:ind w:firstLine="480" w:firstLineChars="200"/>
        <w:rPr>
          <w:rFonts w:hint="eastAsia" w:ascii="宋体" w:hAnsi="宋体" w:cs="宋体"/>
          <w:sz w:val="24"/>
        </w:rPr>
      </w:pPr>
      <w:r>
        <w:rPr>
          <w:rFonts w:hint="eastAsia" w:ascii="宋体" w:hAnsi="宋体" w:cs="宋体"/>
          <w:sz w:val="24"/>
        </w:rPr>
        <w:t>合同订立地点：</w:t>
      </w:r>
      <w:r>
        <w:rPr>
          <w:rFonts w:hint="eastAsia" w:ascii="宋体" w:hAnsi="宋体" w:cs="宋体"/>
          <w:sz w:val="24"/>
          <w:u w:val="single"/>
        </w:rPr>
        <w:t xml:space="preserve"> </w:t>
      </w:r>
      <w:r>
        <w:rPr>
          <w:rFonts w:hint="eastAsia" w:ascii="宋体" w:hAnsi="宋体" w:cs="宋体"/>
          <w:sz w:val="24"/>
          <w:u w:val="single"/>
          <w:lang w:eastAsia="zh-CN"/>
        </w:rPr>
        <w:t>新和县林业和草原局</w:t>
      </w:r>
      <w:r>
        <w:rPr>
          <w:rFonts w:hint="eastAsia" w:ascii="宋体" w:hAnsi="宋体" w:cs="宋体"/>
          <w:sz w:val="24"/>
          <w:u w:val="single"/>
        </w:rPr>
        <w:t xml:space="preserve">   </w:t>
      </w:r>
    </w:p>
    <w:p>
      <w:pPr>
        <w:snapToGrid w:val="0"/>
        <w:spacing w:line="600" w:lineRule="exact"/>
        <w:rPr>
          <w:rFonts w:hint="eastAsia" w:ascii="宋体" w:hAnsi="宋体" w:cs="宋体"/>
          <w:sz w:val="24"/>
        </w:rPr>
        <w:sectPr>
          <w:headerReference r:id="rId7" w:type="default"/>
          <w:footerReference r:id="rId8" w:type="default"/>
          <w:pgSz w:w="11906" w:h="16838"/>
          <w:pgMar w:top="1440" w:right="1080" w:bottom="1440" w:left="1080" w:header="851" w:footer="992" w:gutter="0"/>
          <w:pgNumType w:fmt="decimal"/>
          <w:cols w:space="720" w:num="1"/>
          <w:docGrid w:type="lines" w:linePitch="312" w:charSpace="0"/>
        </w:sectPr>
      </w:pPr>
    </w:p>
    <w:p>
      <w:pPr>
        <w:snapToGrid w:val="0"/>
        <w:spacing w:line="600" w:lineRule="exact"/>
        <w:ind w:firstLine="480" w:firstLineChars="200"/>
        <w:rPr>
          <w:rFonts w:hint="eastAsia" w:ascii="宋体" w:hAnsi="宋体" w:cs="宋体"/>
          <w:sz w:val="24"/>
        </w:rPr>
      </w:pPr>
      <w:r>
        <w:rPr>
          <w:rFonts w:hint="eastAsia" w:ascii="宋体" w:hAnsi="宋体" w:cs="宋体"/>
          <w:sz w:val="24"/>
        </w:rPr>
        <w:t>五、合同生效</w:t>
      </w:r>
    </w:p>
    <w:p>
      <w:pPr>
        <w:snapToGrid w:val="0"/>
        <w:spacing w:line="600" w:lineRule="exact"/>
        <w:ind w:firstLine="480" w:firstLineChars="200"/>
        <w:rPr>
          <w:rFonts w:hint="eastAsia" w:ascii="宋体" w:hAnsi="宋体" w:cs="宋体"/>
          <w:sz w:val="24"/>
        </w:rPr>
      </w:pPr>
      <w:r>
        <w:rPr>
          <w:rFonts w:hint="eastAsia" w:ascii="宋体" w:hAnsi="宋体" w:cs="宋体"/>
          <w:sz w:val="24"/>
        </w:rPr>
        <w:t>本合同双方约定</w:t>
      </w:r>
      <w:r>
        <w:rPr>
          <w:rFonts w:hint="eastAsia" w:ascii="宋体" w:hAnsi="宋体" w:cs="宋体"/>
          <w:sz w:val="24"/>
          <w:u w:val="single"/>
        </w:rPr>
        <w:t xml:space="preserve">  签字盖章  </w:t>
      </w:r>
      <w:r>
        <w:rPr>
          <w:rFonts w:hint="eastAsia" w:ascii="宋体" w:hAnsi="宋体" w:cs="宋体"/>
          <w:sz w:val="24"/>
        </w:rPr>
        <w:t>后生效</w:t>
      </w:r>
    </w:p>
    <w:p>
      <w:pPr>
        <w:snapToGrid w:val="0"/>
        <w:spacing w:line="460" w:lineRule="exact"/>
        <w:ind w:firstLine="480" w:firstLineChars="200"/>
        <w:rPr>
          <w:rFonts w:hint="eastAsia" w:ascii="宋体" w:hAnsi="宋体" w:cs="宋体"/>
          <w:sz w:val="24"/>
        </w:rPr>
      </w:pPr>
    </w:p>
    <w:p>
      <w:pPr>
        <w:snapToGrid w:val="0"/>
        <w:spacing w:line="460" w:lineRule="exact"/>
        <w:rPr>
          <w:rFonts w:hint="eastAsia" w:ascii="宋体" w:hAnsi="宋体" w:cs="宋体"/>
          <w:sz w:val="24"/>
        </w:rPr>
      </w:pPr>
    </w:p>
    <w:p>
      <w:pPr>
        <w:tabs>
          <w:tab w:val="left" w:pos="4680"/>
        </w:tabs>
        <w:snapToGrid w:val="0"/>
        <w:spacing w:line="460" w:lineRule="exact"/>
        <w:ind w:firstLine="480" w:firstLineChars="200"/>
        <w:rPr>
          <w:rFonts w:hint="eastAsia" w:ascii="宋体" w:hAnsi="宋体" w:cs="宋体"/>
          <w:sz w:val="24"/>
        </w:rPr>
      </w:pPr>
      <w:r>
        <w:rPr>
          <w:rFonts w:hint="eastAsia" w:ascii="宋体" w:hAnsi="宋体" w:cs="宋体"/>
          <w:sz w:val="24"/>
        </w:rPr>
        <w:t xml:space="preserve">委托人(盖章)：                   </w:t>
      </w:r>
    </w:p>
    <w:p>
      <w:pPr>
        <w:tabs>
          <w:tab w:val="left" w:pos="4680"/>
        </w:tabs>
        <w:snapToGrid w:val="0"/>
        <w:spacing w:line="460" w:lineRule="exact"/>
        <w:ind w:firstLine="480" w:firstLineChars="200"/>
        <w:rPr>
          <w:rFonts w:hint="eastAsia" w:ascii="宋体" w:hAnsi="宋体" w:cs="宋体"/>
          <w:sz w:val="24"/>
          <w:u w:val="single"/>
        </w:rPr>
      </w:pPr>
      <w:r>
        <w:rPr>
          <w:rFonts w:hint="eastAsia" w:ascii="宋体" w:hAnsi="宋体" w:cs="宋体"/>
          <w:sz w:val="24"/>
        </w:rPr>
        <w:t>法定代表人(签字或盖章)：</w:t>
      </w:r>
      <w:r>
        <w:rPr>
          <w:rFonts w:hint="eastAsia" w:ascii="宋体" w:hAnsi="宋体" w:cs="宋体"/>
          <w:sz w:val="24"/>
          <w:u w:val="single"/>
        </w:rPr>
        <w:t xml:space="preserve">                                               </w:t>
      </w:r>
    </w:p>
    <w:p>
      <w:pPr>
        <w:tabs>
          <w:tab w:val="left" w:pos="4680"/>
        </w:tabs>
        <w:snapToGrid w:val="0"/>
        <w:spacing w:line="460" w:lineRule="exact"/>
        <w:ind w:firstLine="480" w:firstLineChars="200"/>
        <w:rPr>
          <w:rFonts w:hint="eastAsia" w:ascii="宋体" w:hAnsi="宋体" w:cs="宋体"/>
          <w:sz w:val="24"/>
          <w:u w:val="single"/>
        </w:rPr>
      </w:pPr>
      <w:r>
        <w:rPr>
          <w:rFonts w:hint="eastAsia" w:ascii="宋体" w:hAnsi="宋体" w:cs="宋体"/>
          <w:sz w:val="24"/>
        </w:rPr>
        <w:t>授权代理人(签字或盖章)：</w:t>
      </w:r>
      <w:r>
        <w:rPr>
          <w:rFonts w:hint="eastAsia" w:ascii="宋体" w:hAnsi="宋体" w:cs="宋体"/>
          <w:sz w:val="24"/>
          <w:u w:val="single"/>
        </w:rPr>
        <w:t xml:space="preserve">                                               </w:t>
      </w:r>
    </w:p>
    <w:p>
      <w:pPr>
        <w:tabs>
          <w:tab w:val="left" w:pos="4680"/>
        </w:tabs>
        <w:snapToGrid w:val="0"/>
        <w:spacing w:line="460" w:lineRule="exact"/>
        <w:ind w:firstLine="480" w:firstLineChars="200"/>
        <w:rPr>
          <w:rFonts w:hint="eastAsia" w:ascii="宋体" w:hAnsi="宋体" w:cs="宋体"/>
          <w:sz w:val="24"/>
          <w:u w:val="single"/>
        </w:rPr>
      </w:pPr>
      <w:r>
        <w:rPr>
          <w:rFonts w:hint="eastAsia" w:ascii="宋体" w:hAnsi="宋体" w:cs="宋体"/>
          <w:sz w:val="24"/>
        </w:rPr>
        <w:t>单位地址：</w:t>
      </w:r>
      <w:r>
        <w:rPr>
          <w:rFonts w:hint="eastAsia" w:ascii="宋体" w:hAnsi="宋体" w:cs="宋体"/>
          <w:sz w:val="24"/>
          <w:u w:val="single"/>
        </w:rPr>
        <w:t xml:space="preserve">                                                            </w:t>
      </w:r>
    </w:p>
    <w:p>
      <w:pPr>
        <w:tabs>
          <w:tab w:val="left" w:pos="4680"/>
        </w:tabs>
        <w:snapToGrid w:val="0"/>
        <w:spacing w:line="460" w:lineRule="exact"/>
        <w:ind w:firstLine="480" w:firstLineChars="200"/>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w:t>
      </w:r>
    </w:p>
    <w:p>
      <w:pPr>
        <w:tabs>
          <w:tab w:val="left" w:pos="4140"/>
        </w:tabs>
        <w:snapToGrid w:val="0"/>
        <w:spacing w:line="460" w:lineRule="exact"/>
        <w:ind w:firstLine="480" w:firstLineChars="200"/>
        <w:jc w:val="left"/>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p>
    <w:p>
      <w:pPr>
        <w:tabs>
          <w:tab w:val="left" w:pos="4140"/>
        </w:tabs>
        <w:snapToGrid w:val="0"/>
        <w:spacing w:line="460" w:lineRule="exact"/>
        <w:ind w:firstLine="480" w:firstLineChars="200"/>
        <w:rPr>
          <w:rFonts w:hint="eastAsia" w:ascii="宋体" w:hAnsi="宋体" w:cs="宋体"/>
          <w:sz w:val="24"/>
          <w:u w:val="single"/>
        </w:rPr>
      </w:pPr>
      <w:r>
        <w:rPr>
          <w:rFonts w:hint="eastAsia" w:ascii="宋体" w:hAnsi="宋体" w:cs="宋体"/>
          <w:sz w:val="24"/>
        </w:rPr>
        <w:t>传    真：</w:t>
      </w:r>
      <w:r>
        <w:rPr>
          <w:rFonts w:hint="eastAsia" w:ascii="宋体" w:hAnsi="宋体" w:cs="宋体"/>
          <w:sz w:val="24"/>
          <w:u w:val="single"/>
        </w:rPr>
        <w:tab/>
      </w:r>
      <w:r>
        <w:rPr>
          <w:rFonts w:hint="eastAsia" w:ascii="宋体" w:hAnsi="宋体" w:cs="宋体"/>
          <w:sz w:val="24"/>
          <w:u w:val="single"/>
        </w:rPr>
        <w:t xml:space="preserve">                                         </w:t>
      </w:r>
    </w:p>
    <w:p>
      <w:pPr>
        <w:snapToGrid w:val="0"/>
        <w:spacing w:line="460" w:lineRule="exact"/>
        <w:ind w:firstLine="480" w:firstLineChars="200"/>
        <w:rPr>
          <w:rFonts w:hint="eastAsia" w:ascii="宋体" w:hAnsi="宋体" w:cs="宋体"/>
          <w:sz w:val="24"/>
          <w:u w:val="single"/>
        </w:rPr>
      </w:pPr>
      <w:r>
        <w:rPr>
          <w:rFonts w:hint="eastAsia" w:ascii="宋体" w:hAnsi="宋体" w:cs="宋体"/>
          <w:sz w:val="24"/>
        </w:rPr>
        <w:t>电子信箱：</w:t>
      </w:r>
      <w:r>
        <w:rPr>
          <w:rFonts w:hint="eastAsia" w:ascii="宋体" w:hAnsi="宋体" w:cs="宋体"/>
          <w:sz w:val="24"/>
          <w:u w:val="single"/>
        </w:rPr>
        <w:tab/>
      </w:r>
      <w:r>
        <w:rPr>
          <w:rFonts w:hint="eastAsia" w:ascii="宋体" w:hAnsi="宋体" w:cs="宋体"/>
          <w:sz w:val="24"/>
          <w:u w:val="single"/>
        </w:rPr>
        <w:t xml:space="preserve">                                                          </w:t>
      </w:r>
    </w:p>
    <w:p>
      <w:pPr>
        <w:tabs>
          <w:tab w:val="left" w:pos="4140"/>
        </w:tabs>
        <w:snapToGrid w:val="0"/>
        <w:spacing w:line="460" w:lineRule="exact"/>
        <w:ind w:left="478" w:leftChars="228"/>
        <w:rPr>
          <w:rFonts w:hint="eastAsia" w:ascii="宋体" w:hAnsi="宋体" w:cs="宋体"/>
          <w:sz w:val="24"/>
          <w:u w:val="single"/>
        </w:rPr>
      </w:pPr>
      <w:r>
        <w:rPr>
          <w:rFonts w:hint="eastAsia" w:ascii="宋体" w:hAnsi="宋体" w:cs="宋体"/>
          <w:sz w:val="24"/>
        </w:rPr>
        <w:t>开户银行：</w:t>
      </w:r>
      <w:r>
        <w:rPr>
          <w:rFonts w:hint="eastAsia" w:ascii="宋体" w:hAnsi="宋体" w:cs="宋体"/>
          <w:sz w:val="24"/>
          <w:u w:val="single"/>
        </w:rPr>
        <w:tab/>
      </w:r>
      <w:r>
        <w:rPr>
          <w:rFonts w:hint="eastAsia" w:ascii="宋体" w:hAnsi="宋体" w:cs="宋体"/>
          <w:sz w:val="24"/>
          <w:u w:val="single"/>
        </w:rPr>
        <w:t xml:space="preserve">                                        </w:t>
      </w:r>
    </w:p>
    <w:p>
      <w:pPr>
        <w:tabs>
          <w:tab w:val="left" w:pos="4140"/>
        </w:tabs>
        <w:snapToGrid w:val="0"/>
        <w:spacing w:line="460" w:lineRule="exact"/>
        <w:ind w:left="478" w:leftChars="228"/>
        <w:rPr>
          <w:rFonts w:hint="eastAsia" w:ascii="宋体" w:hAnsi="宋体" w:cs="宋体"/>
          <w:sz w:val="24"/>
          <w:u w:val="single"/>
        </w:rPr>
      </w:pPr>
      <w:r>
        <w:rPr>
          <w:rFonts w:hint="eastAsia" w:ascii="宋体" w:hAnsi="宋体" w:cs="宋体"/>
          <w:sz w:val="24"/>
        </w:rPr>
        <w:t>帐    号：</w:t>
      </w:r>
      <w:r>
        <w:rPr>
          <w:rFonts w:hint="eastAsia" w:ascii="宋体" w:hAnsi="宋体" w:cs="宋体"/>
          <w:sz w:val="24"/>
          <w:u w:val="single"/>
        </w:rPr>
        <w:t xml:space="preserve">                                                             </w:t>
      </w:r>
    </w:p>
    <w:p>
      <w:pPr>
        <w:tabs>
          <w:tab w:val="left" w:pos="4110"/>
        </w:tabs>
        <w:snapToGrid w:val="0"/>
        <w:spacing w:line="460" w:lineRule="exact"/>
        <w:ind w:firstLine="480" w:firstLineChars="200"/>
        <w:rPr>
          <w:rFonts w:hint="eastAsia" w:ascii="宋体" w:hAnsi="宋体" w:cs="宋体"/>
          <w:sz w:val="24"/>
        </w:rPr>
      </w:pPr>
      <w:r>
        <w:rPr>
          <w:rFonts w:hint="eastAsia" w:ascii="宋体" w:hAnsi="宋体" w:cs="宋体"/>
          <w:sz w:val="24"/>
        </w:rPr>
        <w:tab/>
      </w:r>
      <w:r>
        <w:rPr>
          <w:rFonts w:hint="eastAsia" w:ascii="宋体" w:hAnsi="宋体" w:cs="宋体"/>
          <w:sz w:val="24"/>
        </w:rPr>
        <w:t xml:space="preserve">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受托人(盖章)：</w:t>
      </w:r>
      <w:r>
        <w:rPr>
          <w:rFonts w:hint="default" w:ascii="宋体" w:hAnsi="宋体" w:eastAsia="宋体" w:cs="宋体"/>
          <w:sz w:val="24"/>
          <w:u w:val="single"/>
          <w:lang w:val="en-US" w:eastAsia="zh-CN"/>
        </w:rPr>
        <w:t xml:space="preserve">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法定代表人(签字或盖章)：</w:t>
      </w:r>
      <w:r>
        <w:rPr>
          <w:rFonts w:hint="default" w:ascii="宋体" w:hAnsi="宋体" w:eastAsia="宋体" w:cs="宋体"/>
          <w:sz w:val="24"/>
          <w:u w:val="single"/>
          <w:lang w:val="en-US" w:eastAsia="zh-CN"/>
        </w:rPr>
        <w:t xml:space="preserve">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授权代理人(签字或盖章)：</w:t>
      </w:r>
      <w:r>
        <w:rPr>
          <w:rFonts w:hint="default" w:ascii="宋体" w:hAnsi="宋体" w:eastAsia="宋体" w:cs="宋体"/>
          <w:sz w:val="24"/>
          <w:u w:val="single"/>
          <w:lang w:val="en-US" w:eastAsia="zh-CN"/>
        </w:rPr>
        <w:t xml:space="preserve">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单位地址：</w:t>
      </w:r>
      <w:r>
        <w:rPr>
          <w:rFonts w:hint="default" w:ascii="宋体" w:hAnsi="宋体" w:eastAsia="宋体" w:cs="宋体"/>
          <w:sz w:val="24"/>
          <w:u w:val="single"/>
          <w:lang w:val="en-US" w:eastAsia="zh-CN"/>
        </w:rPr>
        <w:t xml:space="preserve">阿克苏市北大街苏和口腔医院（原地委综合办公楼）7楼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邮政编码：</w:t>
      </w:r>
      <w:r>
        <w:rPr>
          <w:rFonts w:hint="default" w:ascii="宋体" w:hAnsi="宋体" w:eastAsia="宋体" w:cs="宋体"/>
          <w:sz w:val="24"/>
          <w:u w:val="single"/>
          <w:lang w:val="en-US" w:eastAsia="zh-CN"/>
        </w:rPr>
        <w:t xml:space="preserve">830000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联系电话：</w:t>
      </w:r>
      <w:r>
        <w:rPr>
          <w:rFonts w:hint="default" w:ascii="宋体" w:hAnsi="宋体" w:eastAsia="宋体" w:cs="宋体"/>
          <w:sz w:val="24"/>
          <w:u w:val="single"/>
          <w:lang w:val="en-US" w:eastAsia="zh-CN"/>
        </w:rPr>
        <w:t xml:space="preserve">18699776158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电子信箱：</w:t>
      </w:r>
      <w:r>
        <w:rPr>
          <w:rFonts w:hint="default" w:ascii="宋体" w:hAnsi="宋体" w:eastAsia="宋体" w:cs="宋体"/>
          <w:sz w:val="24"/>
          <w:u w:val="single"/>
          <w:lang w:val="en-US" w:eastAsia="zh-CN"/>
        </w:rPr>
        <w:fldChar w:fldCharType="begin"/>
      </w:r>
      <w:r>
        <w:rPr>
          <w:rFonts w:hint="default" w:ascii="宋体" w:hAnsi="宋体" w:eastAsia="宋体" w:cs="宋体"/>
          <w:sz w:val="24"/>
          <w:u w:val="single"/>
          <w:lang w:val="en-US" w:eastAsia="zh-CN"/>
        </w:rPr>
        <w:instrText xml:space="preserve"> HYPERLINK "mailto:75954861@qq.com" </w:instrText>
      </w:r>
      <w:r>
        <w:rPr>
          <w:rFonts w:hint="default" w:ascii="宋体" w:hAnsi="宋体" w:eastAsia="宋体" w:cs="宋体"/>
          <w:sz w:val="24"/>
          <w:u w:val="single"/>
          <w:lang w:val="en-US" w:eastAsia="zh-CN"/>
        </w:rPr>
        <w:fldChar w:fldCharType="separate"/>
      </w:r>
      <w:r>
        <w:rPr>
          <w:rFonts w:hint="default" w:ascii="宋体" w:hAnsi="宋体" w:eastAsia="宋体" w:cs="宋体"/>
          <w:sz w:val="24"/>
          <w:u w:val="single"/>
          <w:lang w:val="en-US" w:eastAsia="zh-CN"/>
        </w:rPr>
        <w:t>75954861@qq.com</w:t>
      </w:r>
      <w:r>
        <w:rPr>
          <w:rFonts w:hint="default" w:ascii="宋体" w:hAnsi="宋体" w:eastAsia="宋体" w:cs="宋体"/>
          <w:sz w:val="24"/>
          <w:u w:val="single"/>
          <w:lang w:val="en-US" w:eastAsia="zh-CN"/>
        </w:rPr>
        <w:fldChar w:fldCharType="end"/>
      </w:r>
      <w:r>
        <w:rPr>
          <w:rFonts w:hint="default" w:ascii="宋体" w:hAnsi="宋体" w:eastAsia="宋体" w:cs="宋体"/>
          <w:sz w:val="24"/>
          <w:u w:val="single"/>
          <w:lang w:val="en-US" w:eastAsia="zh-CN"/>
        </w:rPr>
        <w:t xml:space="preserve">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开户银行：</w:t>
      </w:r>
      <w:r>
        <w:rPr>
          <w:rFonts w:hint="default" w:ascii="宋体" w:hAnsi="宋体" w:eastAsia="宋体" w:cs="宋体"/>
          <w:sz w:val="24"/>
          <w:u w:val="single"/>
          <w:lang w:val="en-US" w:eastAsia="zh-CN"/>
        </w:rPr>
        <w:t xml:space="preserve">中国工商银行乌鲁木齐西大桥支行                                </w:t>
      </w:r>
    </w:p>
    <w:p>
      <w:pPr>
        <w:tabs>
          <w:tab w:val="left" w:pos="3750"/>
        </w:tabs>
        <w:snapToGrid w:val="0"/>
        <w:spacing w:line="440" w:lineRule="exact"/>
        <w:ind w:firstLine="480" w:firstLineChars="200"/>
        <w:rPr>
          <w:rFonts w:hint="default" w:ascii="宋体" w:hAnsi="宋体" w:eastAsia="宋体" w:cs="宋体"/>
          <w:sz w:val="24"/>
          <w:u w:val="single"/>
          <w:lang w:val="en-US" w:eastAsia="zh-CN"/>
        </w:rPr>
      </w:pPr>
      <w:r>
        <w:rPr>
          <w:rFonts w:hint="default" w:ascii="宋体" w:hAnsi="宋体" w:eastAsia="宋体" w:cs="宋体"/>
          <w:sz w:val="24"/>
          <w:u w:val="none"/>
          <w:lang w:val="en-US" w:eastAsia="zh-CN"/>
        </w:rPr>
        <w:t>帐    号：</w:t>
      </w:r>
      <w:r>
        <w:rPr>
          <w:rFonts w:hint="default" w:ascii="宋体" w:hAnsi="宋体" w:eastAsia="宋体" w:cs="宋体"/>
          <w:sz w:val="24"/>
          <w:u w:val="single"/>
          <w:lang w:val="en-US" w:eastAsia="zh-CN"/>
        </w:rPr>
        <w:t xml:space="preserve">3002013109200102606                                     </w:t>
      </w:r>
    </w:p>
    <w:p>
      <w:pPr>
        <w:tabs>
          <w:tab w:val="left" w:pos="3750"/>
        </w:tabs>
        <w:snapToGrid w:val="0"/>
        <w:spacing w:line="440" w:lineRule="exact"/>
        <w:ind w:firstLine="480" w:firstLineChars="200"/>
        <w:rPr>
          <w:rFonts w:hint="eastAsia" w:ascii="宋体" w:hAnsi="宋体" w:cs="宋体"/>
          <w:sz w:val="24"/>
        </w:rPr>
      </w:pPr>
    </w:p>
    <w:p>
      <w:pPr>
        <w:tabs>
          <w:tab w:val="left" w:pos="3750"/>
        </w:tabs>
        <w:snapToGrid w:val="0"/>
        <w:spacing w:line="440" w:lineRule="exact"/>
        <w:ind w:firstLine="480" w:firstLineChars="200"/>
        <w:rPr>
          <w:rFonts w:hint="eastAsia" w:ascii="宋体" w:hAnsi="宋体" w:cs="宋体"/>
          <w:sz w:val="24"/>
        </w:rPr>
      </w:pPr>
    </w:p>
    <w:p>
      <w:pPr>
        <w:tabs>
          <w:tab w:val="left" w:pos="3750"/>
        </w:tabs>
        <w:snapToGrid w:val="0"/>
        <w:spacing w:line="440" w:lineRule="exact"/>
        <w:ind w:firstLine="480" w:firstLineChars="200"/>
        <w:rPr>
          <w:rFonts w:hint="eastAsia" w:ascii="宋体" w:hAnsi="宋体" w:cs="宋体"/>
          <w:sz w:val="24"/>
        </w:rPr>
      </w:pPr>
    </w:p>
    <w:p>
      <w:pPr>
        <w:tabs>
          <w:tab w:val="left" w:pos="3750"/>
        </w:tabs>
        <w:snapToGrid w:val="0"/>
        <w:spacing w:line="440" w:lineRule="exact"/>
        <w:ind w:firstLine="480" w:firstLineChars="200"/>
        <w:rPr>
          <w:rFonts w:hint="eastAsia" w:ascii="宋体" w:hAnsi="宋体" w:cs="宋体"/>
          <w:sz w:val="24"/>
        </w:rPr>
      </w:pPr>
    </w:p>
    <w:p>
      <w:pPr>
        <w:tabs>
          <w:tab w:val="left" w:pos="3750"/>
        </w:tabs>
        <w:snapToGrid w:val="0"/>
        <w:spacing w:line="440" w:lineRule="exact"/>
        <w:ind w:firstLine="480" w:firstLineChars="200"/>
        <w:rPr>
          <w:rFonts w:hint="eastAsia" w:ascii="宋体" w:hAnsi="宋体" w:cs="宋体"/>
          <w:sz w:val="24"/>
        </w:rPr>
      </w:pPr>
    </w:p>
    <w:p>
      <w:pPr>
        <w:rPr>
          <w:rFonts w:hint="eastAsia" w:ascii="宋体" w:hAnsi="宋体" w:cs="宋体"/>
        </w:rPr>
      </w:pPr>
    </w:p>
    <w:p>
      <w:pPr>
        <w:rPr>
          <w:rFonts w:hint="eastAsia" w:ascii="宋体" w:hAnsi="宋体" w:cs="宋体"/>
          <w:b/>
          <w:sz w:val="24"/>
          <w:szCs w:val="24"/>
        </w:rPr>
      </w:pPr>
      <w:r>
        <w:rPr>
          <w:rFonts w:hint="eastAsia" w:ascii="宋体" w:hAnsi="宋体" w:cs="宋体"/>
          <w:b/>
          <w:sz w:val="24"/>
          <w:szCs w:val="24"/>
        </w:rPr>
        <w:br w:type="page"/>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一、委托代理范围</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组织招标工作的内容和时间：招标前期咨询；项目招标备案；发布招标公告；投标报名单位资质审查；编制招标文件；组织澄清和答疑；组织开标、评标、定标；发布中标公示；签发中标通知书；协助处理异议、投诉；协调合同的签订等服务。具体时间安排依据项目的实际进展情况。</w:t>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二、委托人的权利</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委托人有权参与招投标的有关活动，审定代理人提交的招标公告、资格预审文件、招标文件、评标办法等相关文件文本。并有权要求代理人对其中与采购需要相关的地方进行修改，但修改不得违反相关法律、法规的规定。</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2、委托人有权要求代理人及时提供代理工作阶段性的进展情况。</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3、委托人有权要求代理人更换不称职的人员或应回避的人员。</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4、委托人有权确定代理人的具体工作内容。</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5、如委托人或政府采购主管部门发现代理人在代理活动中违反有关的法律、法规或采购程序并经确认，委托人有权要求代理人纠正，直至中止合同。</w:t>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三、委托人的义务和责任</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1、委托人在代理人开展招标代理业务之前应按照有关规定办全本项目招标所需的有关审批手续，编制政府采购计划，落实本次采购活动的资金，使招标工作具备条件。</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2、委托人应当向代理人及时、无偿、真实、详细的提供招投标代理工作范围内所需的文件和资料（如采购标的的服务、商务等有关采购需求）。并负责对供应商有关采购标的的服务、商务等与采购需求有关询问、质疑的答复。</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3、对代理人提出的书面要求，委托人应当在三日内做出书面答复，如因此造成的时间延长由委托人负责。</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4、在合同履行期间，委派熟悉业务、知晓法律法规、工作认真负责的作为委托人的代表，配合代理人工作。</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5、委托代理咨询项目中如内容、时间等有重大调整，委托人应当书面提前三日通知代理人，以便调整相应的工作安排，如因此造成的时间延长由委托人负责。</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6、委托人不得泄露依法应当保密的任何信息。</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7、在法律规定的时限内签订采购合同，并在签订合同后提交政府采购监管机构备案。</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8、委托人应负责对供应商履约的验收。</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9、承担由于自己过失造成代理人的经济损失。</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10、委托方及其工作人员，不得以任何形式向代理人收受或索要回扣、好处费、礼金、有价证券和其它礼物，不得要求代理人报销应由个人支付的费用。</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11、委托人应当完成的其它工作：</w:t>
      </w:r>
    </w:p>
    <w:p>
      <w:pPr>
        <w:spacing w:line="60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                                            </w:t>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四、代理人的权利</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1、有权拒绝违反国家法律、法规和规章以及政府采购主管部门有关规定的人为干预。</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2、依据国家有关法律法规的规定，在授权范围内办理委托项目的招标工作。</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3、有权建议更换不称职或有其它原因不宜参与招标活动的委托方人员。</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4、如委托人的某些条件和要求不符合现行的法律、法规或程序，代理人可以建议委托人进行修改。拒不修改的，代理人有权单方面终止履行合同。</w:t>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五、代理人的义务和责任</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1、按照国家法律、法规以及政府采购行政主管部门的有关规定从事招投标代理活动。</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2、在本合同规定的范围内为委托方提供招标代理服务，不得将本合同所确定的招标代理服务转让给第三方。</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3、有义务向委托方提供招标计划以及相关的招投标资料，做好相关法律、法规及规章的解释工作。并协助委托人做好采购供应商的询问、质疑的答复。</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4、代理方工作人员如与本采购项目潜在投标人有任何利益关系应主动提出回避。</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5、在代理活动中不得泄露依法应当保密的任何信息。</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6、对代理人在代理过程中自行提出的技术方案、数据参数、技术经济的分析结论负责。</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7、代理人成立招标代理项目组，并任命具有中级及以上职称的技术人员为项目组组长，负责该项目招标代理工作。</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8、因代理人的单方过失造成的经济损失，应当向委托人进行赔偿。累计赔偿总额不应超过招标代理服务费总额（除去税金）。</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9、因不可抗力导致代理合同不能全部或部分履行，代理人不承担责任。</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10、代理人不得采用行贿、给予其他利益或者诋毁他人等不正当手段进行竞争。</w:t>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六、招标代理服务收费的计取</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1、根据国家现行取费政策，按照以下计算方法确定招标代理服务费金额：</w:t>
      </w:r>
    </w:p>
    <w:p>
      <w:pPr>
        <w:snapToGrid w:val="0"/>
        <w:spacing w:line="600" w:lineRule="exact"/>
        <w:ind w:firstLine="480" w:firstLineChars="200"/>
        <w:rPr>
          <w:rFonts w:hint="eastAsia" w:ascii="宋体" w:hAnsi="宋体" w:cs="宋体"/>
          <w:color w:val="auto"/>
          <w:sz w:val="24"/>
          <w:szCs w:val="24"/>
          <w:u w:val="single"/>
        </w:rPr>
      </w:pPr>
      <w:r>
        <w:rPr>
          <w:rFonts w:hint="eastAsia" w:ascii="宋体" w:hAnsi="宋体" w:cs="宋体"/>
          <w:sz w:val="24"/>
          <w:szCs w:val="24"/>
        </w:rPr>
        <w:t>公开（邀请）招标：</w:t>
      </w:r>
      <w:r>
        <w:rPr>
          <w:rFonts w:hint="eastAsia" w:ascii="宋体" w:hAnsi="宋体" w:cs="宋体"/>
          <w:sz w:val="24"/>
          <w:szCs w:val="24"/>
          <w:u w:val="single"/>
        </w:rPr>
        <w:t xml:space="preserve">  </w:t>
      </w:r>
      <w:r>
        <w:rPr>
          <w:rFonts w:hint="eastAsia" w:ascii="宋体" w:hAnsi="宋体" w:cs="宋体"/>
          <w:color w:val="auto"/>
          <w:sz w:val="24"/>
          <w:u w:val="single"/>
        </w:rPr>
        <w:t>同招标代理协议书第三款“合同价款”的要求</w:t>
      </w:r>
      <w:r>
        <w:rPr>
          <w:rFonts w:hint="eastAsia" w:ascii="宋体" w:hAnsi="宋体" w:cs="宋体"/>
          <w:color w:val="auto"/>
          <w:sz w:val="24"/>
          <w:szCs w:val="24"/>
        </w:rPr>
        <w:t xml:space="preserve"> </w:t>
      </w:r>
    </w:p>
    <w:p>
      <w:pPr>
        <w:spacing w:line="6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非招标采购方式：</w:t>
      </w:r>
      <w:r>
        <w:rPr>
          <w:rFonts w:hint="eastAsia" w:ascii="宋体" w:hAnsi="宋体" w:cs="宋体"/>
          <w:color w:val="auto"/>
          <w:sz w:val="24"/>
          <w:szCs w:val="24"/>
          <w:u w:val="single"/>
        </w:rPr>
        <w:t xml:space="preserve">  </w:t>
      </w:r>
      <w:r>
        <w:rPr>
          <w:rFonts w:hint="eastAsia" w:ascii="宋体" w:hAnsi="宋体" w:cs="宋体"/>
          <w:color w:val="auto"/>
          <w:sz w:val="24"/>
          <w:u w:val="single"/>
        </w:rPr>
        <w:t>同招标代理协议书第三款“合同价款”的要求</w:t>
      </w:r>
      <w:r>
        <w:rPr>
          <w:rFonts w:hint="eastAsia" w:ascii="宋体" w:hAnsi="宋体" w:cs="宋体"/>
          <w:color w:val="auto"/>
          <w:sz w:val="24"/>
          <w:szCs w:val="24"/>
        </w:rPr>
        <w:t xml:space="preserve"> </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2、招标代理服务费的支付，采用以下</w:t>
      </w:r>
      <w:r>
        <w:rPr>
          <w:rFonts w:hint="eastAsia" w:ascii="宋体" w:hAnsi="宋体" w:cs="宋体"/>
          <w:sz w:val="24"/>
          <w:szCs w:val="24"/>
          <w:u w:val="single"/>
        </w:rPr>
        <w:t xml:space="preserve">      </w:t>
      </w:r>
      <w:r>
        <w:rPr>
          <w:rFonts w:hint="eastAsia" w:ascii="宋体" w:hAnsi="宋体" w:cs="宋体"/>
          <w:sz w:val="24"/>
          <w:szCs w:val="24"/>
        </w:rPr>
        <w:t>方式。</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（1）由委托人支付。</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（2）由中标人支付。</w:t>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七、委托人对代理人完成本合同委托内容的时间要求</w:t>
      </w:r>
    </w:p>
    <w:p>
      <w:pPr>
        <w:spacing w:line="600" w:lineRule="exact"/>
        <w:ind w:firstLine="480" w:firstLineChars="200"/>
        <w:rPr>
          <w:rFonts w:hint="eastAsia" w:ascii="宋体" w:hAnsi="宋体" w:cs="宋体"/>
          <w:sz w:val="24"/>
          <w:szCs w:val="24"/>
          <w:u w:val="single"/>
        </w:rPr>
      </w:pPr>
      <w:r>
        <w:rPr>
          <w:rFonts w:hint="eastAsia" w:ascii="宋体" w:hAnsi="宋体" w:cs="宋体"/>
          <w:sz w:val="24"/>
          <w:szCs w:val="24"/>
        </w:rPr>
        <w:t>1、代理工作开始时间：</w:t>
      </w:r>
      <w:r>
        <w:rPr>
          <w:rFonts w:hint="eastAsia" w:ascii="宋体" w:hAnsi="宋体" w:cs="宋体"/>
          <w:sz w:val="24"/>
          <w:szCs w:val="24"/>
          <w:u w:val="single"/>
        </w:rPr>
        <w:t xml:space="preserve">    合同签订之日起    </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2、代理工作完成时间：</w:t>
      </w:r>
      <w:r>
        <w:rPr>
          <w:rFonts w:hint="eastAsia" w:ascii="宋体" w:hAnsi="宋体" w:cs="宋体"/>
          <w:sz w:val="24"/>
          <w:szCs w:val="24"/>
          <w:u w:val="single"/>
        </w:rPr>
        <w:t xml:space="preserve">    项目招投标档案资料交接完毕        </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非代理方原因造成的时间延误，结束时间相应延长；代理结束以完成</w:t>
      </w:r>
      <w:r>
        <w:rPr>
          <w:rFonts w:hint="eastAsia" w:ascii="宋体" w:hAnsi="宋体" w:cs="宋体"/>
          <w:sz w:val="24"/>
          <w:szCs w:val="24"/>
          <w:u w:val="single"/>
        </w:rPr>
        <w:t>委托人与中标人签订合同并生效</w:t>
      </w:r>
      <w:r>
        <w:rPr>
          <w:rFonts w:hint="eastAsia" w:ascii="宋体" w:hAnsi="宋体" w:cs="宋体"/>
          <w:sz w:val="24"/>
          <w:szCs w:val="24"/>
        </w:rPr>
        <w:t>时间为准。</w:t>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八、违约和争议的解决</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1、由于一方违约造成的损失，由违约方承担，另一方要求违约方继续履行合同时，违约方承担上述违约责任后仍应继续履行合同。</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2、由于违约造成第三方损失的，也由违约方在赔偿另一方损失的基础上再赔偿第三方损失。</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3、双方对代理合同条款变更时必须另签补充合同条款，补充合同条款作为本代理合同的组成部分与主合同具有同等法律效力。</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4、委托人与代理人在合同履行期间发生争议时，可以和解或者要求有关主管部门调解。一方不愿和解、调解或者和解、调解不成的，双方可以选择以下</w:t>
      </w:r>
      <w:r>
        <w:rPr>
          <w:rFonts w:hint="eastAsia" w:ascii="宋体" w:hAnsi="宋体" w:cs="宋体"/>
          <w:sz w:val="24"/>
          <w:szCs w:val="24"/>
          <w:u w:val="single"/>
        </w:rPr>
        <w:t>（2）</w:t>
      </w:r>
      <w:r>
        <w:rPr>
          <w:rFonts w:hint="eastAsia" w:ascii="宋体" w:hAnsi="宋体" w:cs="宋体"/>
          <w:sz w:val="24"/>
          <w:szCs w:val="24"/>
        </w:rPr>
        <w:t>方式解决争议：</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（1）双方约定向</w:t>
      </w:r>
      <w:r>
        <w:rPr>
          <w:rFonts w:hint="eastAsia" w:ascii="宋体" w:hAnsi="宋体" w:cs="宋体"/>
          <w:sz w:val="24"/>
          <w:szCs w:val="24"/>
          <w:u w:val="single"/>
        </w:rPr>
        <w:t xml:space="preserve">      /       </w:t>
      </w:r>
      <w:r>
        <w:rPr>
          <w:rFonts w:hint="eastAsia" w:ascii="宋体" w:hAnsi="宋体" w:cs="宋体"/>
          <w:sz w:val="24"/>
          <w:szCs w:val="24"/>
        </w:rPr>
        <w:t>仲裁委员会申请仲裁。</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（2）向</w:t>
      </w:r>
      <w:r>
        <w:rPr>
          <w:rFonts w:hint="eastAsia" w:ascii="宋体" w:hAnsi="宋体" w:cs="宋体"/>
          <w:sz w:val="24"/>
          <w:szCs w:val="24"/>
          <w:u w:val="single"/>
        </w:rPr>
        <w:t xml:space="preserve">   </w:t>
      </w:r>
      <w:r>
        <w:rPr>
          <w:rFonts w:hint="eastAsia" w:ascii="宋体" w:hAnsi="宋体" w:cs="宋体"/>
          <w:sz w:val="24"/>
          <w:szCs w:val="24"/>
          <w:u w:val="single"/>
          <w:lang w:eastAsia="zh-CN"/>
        </w:rPr>
        <w:t>当地</w:t>
      </w:r>
      <w:r>
        <w:rPr>
          <w:rFonts w:hint="eastAsia" w:ascii="宋体" w:hAnsi="宋体" w:cs="宋体"/>
          <w:sz w:val="24"/>
          <w:szCs w:val="24"/>
          <w:u w:val="single"/>
        </w:rPr>
        <w:t xml:space="preserve">   </w:t>
      </w:r>
      <w:r>
        <w:rPr>
          <w:rFonts w:hint="eastAsia" w:ascii="宋体" w:hAnsi="宋体" w:cs="宋体"/>
          <w:sz w:val="24"/>
          <w:szCs w:val="24"/>
        </w:rPr>
        <w:t>人民法院起诉。</w:t>
      </w:r>
    </w:p>
    <w:p>
      <w:pPr>
        <w:spacing w:line="600" w:lineRule="exact"/>
        <w:ind w:firstLine="480" w:firstLineChars="200"/>
        <w:rPr>
          <w:rFonts w:hint="eastAsia" w:ascii="宋体" w:hAnsi="宋体" w:cs="宋体"/>
          <w:sz w:val="24"/>
          <w:szCs w:val="24"/>
        </w:rPr>
      </w:pPr>
      <w:r>
        <w:rPr>
          <w:rFonts w:hint="eastAsia" w:ascii="宋体" w:hAnsi="宋体" w:cs="宋体"/>
          <w:b/>
          <w:sz w:val="24"/>
          <w:szCs w:val="24"/>
        </w:rPr>
        <w:t>九、合同份数</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双方约定本合同一式</w:t>
      </w:r>
      <w:r>
        <w:rPr>
          <w:rFonts w:hint="eastAsia" w:ascii="宋体" w:hAnsi="宋体" w:cs="宋体"/>
          <w:sz w:val="24"/>
          <w:szCs w:val="24"/>
          <w:u w:val="single"/>
        </w:rPr>
        <w:t xml:space="preserve"> </w:t>
      </w:r>
      <w:r>
        <w:rPr>
          <w:rFonts w:hint="eastAsia" w:ascii="宋体" w:hAnsi="宋体" w:cs="宋体"/>
          <w:sz w:val="24"/>
          <w:szCs w:val="24"/>
          <w:u w:val="single"/>
          <w:lang w:eastAsia="zh-CN"/>
        </w:rPr>
        <w:t>四</w:t>
      </w:r>
      <w:r>
        <w:rPr>
          <w:rFonts w:hint="eastAsia" w:ascii="宋体" w:hAnsi="宋体" w:cs="宋体"/>
          <w:sz w:val="24"/>
          <w:szCs w:val="24"/>
          <w:u w:val="single"/>
        </w:rPr>
        <w:t xml:space="preserve"> </w:t>
      </w:r>
      <w:r>
        <w:rPr>
          <w:rFonts w:hint="eastAsia" w:ascii="宋体" w:hAnsi="宋体" w:cs="宋体"/>
          <w:sz w:val="24"/>
          <w:szCs w:val="24"/>
        </w:rPr>
        <w:t>份，双方各执</w:t>
      </w:r>
      <w:r>
        <w:rPr>
          <w:rFonts w:hint="eastAsia" w:ascii="宋体" w:hAnsi="宋体" w:cs="宋体"/>
          <w:sz w:val="24"/>
          <w:szCs w:val="24"/>
          <w:u w:val="single"/>
        </w:rPr>
        <w:t xml:space="preserve"> </w:t>
      </w:r>
      <w:r>
        <w:rPr>
          <w:rFonts w:hint="eastAsia" w:ascii="宋体" w:hAnsi="宋体" w:cs="宋体"/>
          <w:sz w:val="24"/>
          <w:szCs w:val="24"/>
          <w:u w:val="single"/>
          <w:lang w:eastAsia="zh-CN"/>
        </w:rPr>
        <w:t>两</w:t>
      </w:r>
      <w:r>
        <w:rPr>
          <w:rFonts w:hint="eastAsia" w:ascii="宋体" w:hAnsi="宋体" w:cs="宋体"/>
          <w:sz w:val="24"/>
          <w:szCs w:val="24"/>
          <w:u w:val="single"/>
        </w:rPr>
        <w:t xml:space="preserve"> </w:t>
      </w:r>
      <w:r>
        <w:rPr>
          <w:rFonts w:hint="eastAsia" w:ascii="宋体" w:hAnsi="宋体" w:cs="宋体"/>
          <w:sz w:val="24"/>
          <w:szCs w:val="24"/>
        </w:rPr>
        <w:t>份。</w:t>
      </w:r>
    </w:p>
    <w:p>
      <w:pPr>
        <w:spacing w:line="600" w:lineRule="exact"/>
        <w:ind w:firstLine="480" w:firstLineChars="200"/>
        <w:rPr>
          <w:rFonts w:hint="eastAsia" w:ascii="宋体" w:hAnsi="宋体" w:cs="宋体"/>
          <w:sz w:val="24"/>
          <w:szCs w:val="24"/>
        </w:rPr>
      </w:pPr>
      <w:r>
        <w:rPr>
          <w:rFonts w:hint="eastAsia" w:ascii="宋体" w:hAnsi="宋体" w:cs="宋体"/>
          <w:sz w:val="24"/>
          <w:szCs w:val="24"/>
        </w:rPr>
        <w:t>补充条款：</w:t>
      </w:r>
    </w:p>
    <w:p>
      <w:pPr>
        <w:spacing w:line="600" w:lineRule="exact"/>
        <w:ind w:firstLine="480" w:firstLineChars="200"/>
        <w:rPr>
          <w:rFonts w:hint="eastAsia" w:ascii="宋体" w:hAnsi="宋体" w:cs="宋体"/>
          <w:sz w:val="24"/>
          <w:szCs w:val="24"/>
          <w:u w:val="single"/>
        </w:rPr>
      </w:pPr>
      <w:r>
        <w:rPr>
          <w:rFonts w:hint="eastAsia" w:ascii="宋体" w:hAnsi="宋体" w:cs="宋体"/>
          <w:sz w:val="24"/>
          <w:szCs w:val="24"/>
          <w:u w:val="single"/>
          <w:lang w:eastAsia="zh-CN"/>
        </w:rPr>
        <w:t>无</w:t>
      </w:r>
      <w:r>
        <w:rPr>
          <w:rFonts w:hint="eastAsia" w:ascii="宋体" w:hAnsi="宋体" w:cs="宋体"/>
          <w:sz w:val="24"/>
          <w:szCs w:val="24"/>
          <w:u w:val="single"/>
        </w:rPr>
        <w:t xml:space="preserve">                                                                             </w:t>
      </w:r>
    </w:p>
    <w:p>
      <w:pPr>
        <w:spacing w:line="600" w:lineRule="exact"/>
        <w:ind w:firstLine="480" w:firstLineChars="200"/>
        <w:rPr>
          <w:rFonts w:hint="eastAsia" w:ascii="宋体" w:hAnsi="宋体" w:cs="宋体"/>
          <w:sz w:val="24"/>
          <w:szCs w:val="24"/>
          <w:u w:val="single"/>
        </w:rPr>
      </w:pPr>
      <w:r>
        <w:rPr>
          <w:rFonts w:hint="eastAsia" w:ascii="宋体" w:hAnsi="宋体" w:cs="宋体"/>
          <w:sz w:val="24"/>
          <w:szCs w:val="24"/>
          <w:u w:val="single"/>
        </w:rPr>
        <w:t xml:space="preserve">                                                                             </w:t>
      </w:r>
    </w:p>
    <w:p>
      <w:pPr>
        <w:spacing w:line="600" w:lineRule="exact"/>
        <w:ind w:firstLine="480" w:firstLineChars="200"/>
        <w:rPr>
          <w:rFonts w:hint="eastAsia" w:ascii="宋体" w:hAnsi="宋体" w:cs="宋体"/>
          <w:sz w:val="24"/>
          <w:szCs w:val="24"/>
          <w:u w:val="single"/>
        </w:rPr>
      </w:pPr>
    </w:p>
    <w:p>
      <w:pPr>
        <w:spacing w:line="600" w:lineRule="exact"/>
        <w:ind w:firstLine="480" w:firstLineChars="200"/>
        <w:rPr>
          <w:rFonts w:hint="eastAsia" w:ascii="宋体" w:hAnsi="宋体" w:cs="宋体"/>
          <w:sz w:val="24"/>
          <w:szCs w:val="24"/>
          <w:u w:val="single"/>
        </w:rPr>
      </w:pPr>
    </w:p>
    <w:p>
      <w:pPr>
        <w:spacing w:line="600" w:lineRule="exact"/>
        <w:ind w:firstLine="480" w:firstLineChars="200"/>
        <w:rPr>
          <w:rFonts w:hint="eastAsia" w:ascii="宋体" w:hAnsi="宋体" w:cs="宋体"/>
          <w:sz w:val="24"/>
          <w:szCs w:val="24"/>
          <w:u w:val="single"/>
        </w:rPr>
      </w:pPr>
    </w:p>
    <w:p>
      <w:pPr>
        <w:spacing w:line="600" w:lineRule="exact"/>
        <w:ind w:firstLine="480" w:firstLineChars="200"/>
        <w:rPr>
          <w:rFonts w:hint="eastAsia" w:ascii="宋体" w:hAnsi="宋体" w:cs="宋体"/>
          <w:sz w:val="24"/>
          <w:szCs w:val="24"/>
          <w:u w:val="single"/>
        </w:rPr>
      </w:pPr>
    </w:p>
    <w:p>
      <w:pPr>
        <w:spacing w:line="600" w:lineRule="exact"/>
        <w:ind w:firstLine="480" w:firstLineChars="200"/>
        <w:rPr>
          <w:rFonts w:hint="eastAsia" w:ascii="宋体" w:hAnsi="宋体" w:cs="宋体"/>
          <w:sz w:val="24"/>
          <w:szCs w:val="24"/>
          <w:u w:val="single"/>
        </w:rPr>
      </w:pPr>
    </w:p>
    <w:p>
      <w:pPr>
        <w:spacing w:line="600" w:lineRule="exact"/>
        <w:ind w:firstLine="480" w:firstLineChars="200"/>
        <w:rPr>
          <w:rFonts w:hint="eastAsia" w:ascii="宋体" w:hAnsi="宋体" w:cs="宋体"/>
          <w:sz w:val="24"/>
          <w:szCs w:val="24"/>
          <w:u w:val="single"/>
        </w:rPr>
      </w:pPr>
    </w:p>
    <w:p>
      <w:pPr>
        <w:spacing w:line="600" w:lineRule="exact"/>
        <w:rPr>
          <w:rFonts w:hint="eastAsia" w:ascii="宋体" w:hAnsi="宋体" w:cs="宋体"/>
          <w:sz w:val="24"/>
          <w:szCs w:val="24"/>
          <w:u w:val="single"/>
        </w:rPr>
      </w:pPr>
    </w:p>
    <w:p>
      <w:pPr>
        <w:spacing w:line="600" w:lineRule="exact"/>
        <w:rPr>
          <w:rFonts w:hint="eastAsia" w:ascii="宋体" w:hAnsi="宋体" w:cs="宋体"/>
          <w:sz w:val="24"/>
          <w:szCs w:val="24"/>
          <w:u w:val="single"/>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br w:type="page"/>
      </w:r>
    </w:p>
    <w:p>
      <w:pPr>
        <w:spacing w:line="380" w:lineRule="exact"/>
        <w:rPr>
          <w:rFonts w:hint="eastAsia" w:ascii="宋体" w:hAnsi="宋体" w:cs="宋体"/>
          <w:sz w:val="24"/>
          <w:szCs w:val="24"/>
        </w:rPr>
      </w:pPr>
      <w:r>
        <w:rPr>
          <w:rFonts w:hint="eastAsia" w:ascii="宋体" w:hAnsi="宋体" w:cs="宋体"/>
          <w:sz w:val="24"/>
          <w:szCs w:val="24"/>
        </w:rPr>
        <w:t>附:</w:t>
      </w:r>
      <w:r>
        <w:rPr>
          <w:rFonts w:hint="eastAsia" w:ascii="宋体" w:hAnsi="宋体" w:cs="宋体"/>
          <w:sz w:val="24"/>
          <w:szCs w:val="24"/>
        </w:rPr>
        <w:fldChar w:fldCharType="begin"/>
      </w:r>
      <w:r>
        <w:rPr>
          <w:rFonts w:hint="eastAsia" w:ascii="宋体" w:hAnsi="宋体" w:cs="宋体"/>
          <w:sz w:val="24"/>
          <w:szCs w:val="24"/>
        </w:rPr>
        <w:instrText xml:space="preserve"> HYPERLINK "http://www.cin.gov.cn/law/other/2003010201.doc" \t "_blank" </w:instrText>
      </w:r>
      <w:r>
        <w:rPr>
          <w:rFonts w:hint="eastAsia" w:ascii="宋体" w:hAnsi="宋体" w:cs="宋体"/>
          <w:sz w:val="24"/>
          <w:szCs w:val="24"/>
        </w:rPr>
        <w:fldChar w:fldCharType="separate"/>
      </w:r>
      <w:r>
        <w:rPr>
          <w:rStyle w:val="31"/>
          <w:rFonts w:hint="eastAsia" w:ascii="宋体" w:hAnsi="宋体" w:cs="宋体"/>
          <w:color w:val="auto"/>
          <w:sz w:val="24"/>
          <w:szCs w:val="24"/>
        </w:rPr>
        <w:t>招标代理服务计</w:t>
      </w:r>
      <w:r>
        <w:rPr>
          <w:rFonts w:hint="eastAsia" w:ascii="宋体" w:hAnsi="宋体" w:cs="宋体"/>
          <w:sz w:val="24"/>
          <w:szCs w:val="24"/>
        </w:rPr>
        <w:fldChar w:fldCharType="end"/>
      </w:r>
      <w:r>
        <w:rPr>
          <w:rFonts w:hint="eastAsia" w:ascii="宋体" w:hAnsi="宋体" w:cs="宋体"/>
          <w:sz w:val="24"/>
          <w:szCs w:val="24"/>
        </w:rPr>
        <w:t>算方法</w:t>
      </w:r>
    </w:p>
    <w:tbl>
      <w:tblPr>
        <w:tblStyle w:val="26"/>
        <w:tblpPr w:leftFromText="180" w:rightFromText="180" w:vertAnchor="text" w:horzAnchor="page" w:tblpXSpec="center" w:tblpY="37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2352"/>
        <w:gridCol w:w="235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907" w:type="dxa"/>
            <w:tcBorders>
              <w:tl2br w:val="single" w:color="auto" w:sz="4" w:space="0"/>
            </w:tcBorders>
            <w:noWrap w:val="0"/>
            <w:vAlign w:val="center"/>
          </w:tcPr>
          <w:p>
            <w:pPr>
              <w:spacing w:line="440" w:lineRule="exact"/>
              <w:ind w:firstLine="1200" w:firstLineChars="500"/>
              <w:jc w:val="right"/>
              <w:rPr>
                <w:rFonts w:hint="eastAsia"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R037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s="宋体"/>
                <w:b/>
                <w:sz w:val="24"/>
                <w:szCs w:val="24"/>
              </w:rPr>
              <w:t>服务类型</w:t>
            </w:r>
          </w:p>
          <w:p>
            <w:pPr>
              <w:spacing w:line="440" w:lineRule="exact"/>
              <w:jc w:val="left"/>
              <w:rPr>
                <w:rFonts w:hint="eastAsia" w:ascii="宋体" w:hAnsi="宋体" w:cs="宋体"/>
                <w:b/>
                <w:sz w:val="24"/>
                <w:szCs w:val="24"/>
              </w:rPr>
            </w:pPr>
            <w:r>
              <w:rPr>
                <w:rFonts w:hint="eastAsia" w:ascii="宋体" w:hAnsi="宋体" w:cs="宋体"/>
                <w:b/>
                <w:sz w:val="24"/>
                <w:szCs w:val="24"/>
              </w:rPr>
              <w:t>中标金额</w:t>
            </w:r>
          </w:p>
        </w:tc>
        <w:tc>
          <w:tcPr>
            <w:tcW w:w="2352" w:type="dxa"/>
            <w:noWrap w:val="0"/>
            <w:vAlign w:val="center"/>
          </w:tcPr>
          <w:p>
            <w:pPr>
              <w:spacing w:line="440" w:lineRule="exact"/>
              <w:jc w:val="center"/>
              <w:rPr>
                <w:rFonts w:hint="eastAsia" w:ascii="宋体" w:hAnsi="宋体" w:cs="宋体"/>
                <w:b/>
                <w:sz w:val="24"/>
                <w:szCs w:val="24"/>
              </w:rPr>
            </w:pPr>
            <w:r>
              <w:rPr>
                <w:rFonts w:hint="eastAsia" w:ascii="宋体" w:hAnsi="宋体" w:cs="宋体"/>
                <w:b/>
                <w:sz w:val="24"/>
                <w:szCs w:val="24"/>
              </w:rPr>
              <w:t>货物招标</w:t>
            </w:r>
          </w:p>
        </w:tc>
        <w:tc>
          <w:tcPr>
            <w:tcW w:w="2351" w:type="dxa"/>
            <w:noWrap w:val="0"/>
            <w:vAlign w:val="center"/>
          </w:tcPr>
          <w:p>
            <w:pPr>
              <w:spacing w:line="440" w:lineRule="exact"/>
              <w:jc w:val="center"/>
              <w:rPr>
                <w:rFonts w:hint="eastAsia" w:ascii="宋体" w:hAnsi="宋体" w:cs="宋体"/>
                <w:b/>
                <w:sz w:val="24"/>
                <w:szCs w:val="24"/>
              </w:rPr>
            </w:pPr>
            <w:r>
              <w:rPr>
                <w:rFonts w:hint="eastAsia" w:ascii="宋体" w:hAnsi="宋体" w:cs="宋体"/>
                <w:b/>
                <w:sz w:val="24"/>
                <w:szCs w:val="24"/>
              </w:rPr>
              <w:t>服务招标</w:t>
            </w:r>
          </w:p>
        </w:tc>
        <w:tc>
          <w:tcPr>
            <w:tcW w:w="2352" w:type="dxa"/>
            <w:noWrap w:val="0"/>
            <w:vAlign w:val="center"/>
          </w:tcPr>
          <w:p>
            <w:pPr>
              <w:spacing w:line="440" w:lineRule="exact"/>
              <w:jc w:val="center"/>
              <w:rPr>
                <w:rFonts w:hint="eastAsia" w:ascii="宋体" w:hAnsi="宋体" w:cs="宋体"/>
                <w:b/>
                <w:sz w:val="24"/>
                <w:szCs w:val="24"/>
              </w:rPr>
            </w:pPr>
            <w:r>
              <w:rPr>
                <w:rFonts w:hint="eastAsia" w:ascii="宋体" w:hAnsi="宋体" w:cs="宋体"/>
                <w:b/>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100万元以下</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1.5%</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1.5%</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100-500万元</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1.1%</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0.8%</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500-1000万元</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0.8%</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0.45%</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1000-5000万元</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0.5%</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0.25%</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5000万元-1亿元</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0.25%</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0.1%</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1-5亿元</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0.05%</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0.05%</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5-10亿元</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0.035%</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0.035%</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10-50亿元</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0.008%</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0.008%</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50-100亿元</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0.006%</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0.006%</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100亿元以上</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0.004%</w:t>
            </w:r>
          </w:p>
        </w:tc>
        <w:tc>
          <w:tcPr>
            <w:tcW w:w="2351"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0.004%</w:t>
            </w:r>
          </w:p>
        </w:tc>
        <w:tc>
          <w:tcPr>
            <w:tcW w:w="2352"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0.004%</w:t>
            </w:r>
          </w:p>
        </w:tc>
      </w:tr>
    </w:tbl>
    <w:p>
      <w:pPr>
        <w:rPr>
          <w:rFonts w:hint="eastAsia" w:ascii="宋体" w:hAnsi="宋体" w:cs="宋体"/>
          <w:sz w:val="24"/>
          <w:szCs w:val="24"/>
        </w:rPr>
      </w:pPr>
    </w:p>
    <w:p>
      <w:pPr>
        <w:spacing w:line="600" w:lineRule="exact"/>
        <w:rPr>
          <w:rFonts w:hint="eastAsia" w:ascii="宋体" w:hAnsi="宋体" w:cs="宋体"/>
          <w:sz w:val="24"/>
          <w:szCs w:val="24"/>
        </w:rPr>
      </w:pPr>
      <w:r>
        <w:rPr>
          <w:rFonts w:hint="eastAsia" w:ascii="宋体" w:hAnsi="宋体" w:cs="宋体"/>
          <w:sz w:val="24"/>
          <w:szCs w:val="24"/>
        </w:rPr>
        <w:t>注：1.按本表费率计算的收费为招标代理服务全过程的收费基准价格，单独提供编制招标文件（有标底的含标底）服务的，可按规定标准的30%计收。</w:t>
      </w:r>
    </w:p>
    <w:p>
      <w:pPr>
        <w:spacing w:line="600" w:lineRule="exact"/>
        <w:rPr>
          <w:rFonts w:hint="eastAsia" w:ascii="宋体" w:hAnsi="宋体" w:cs="宋体"/>
          <w:sz w:val="24"/>
          <w:szCs w:val="24"/>
        </w:rPr>
      </w:pPr>
      <w:r>
        <w:rPr>
          <w:rFonts w:hint="eastAsia" w:ascii="宋体" w:hAnsi="宋体" w:cs="宋体"/>
          <w:sz w:val="24"/>
          <w:szCs w:val="24"/>
        </w:rPr>
        <w:t>2.招标代理服务收费按差额定率累进法计算。例如：某工程招标代理业务中标金额为6000万元，计算招标代理服务收费额如下：</w:t>
      </w:r>
    </w:p>
    <w:p>
      <w:pPr>
        <w:spacing w:line="600" w:lineRule="exact"/>
        <w:rPr>
          <w:rFonts w:hint="eastAsia" w:ascii="宋体" w:hAnsi="宋体" w:cs="宋体"/>
          <w:sz w:val="24"/>
          <w:szCs w:val="24"/>
        </w:rPr>
      </w:pPr>
      <w:r>
        <w:rPr>
          <w:rFonts w:hint="eastAsia" w:ascii="宋体" w:hAnsi="宋体" w:cs="宋体"/>
          <w:sz w:val="24"/>
          <w:szCs w:val="24"/>
        </w:rPr>
        <w:t>100万元×1.0%=1万元</w:t>
      </w:r>
    </w:p>
    <w:p>
      <w:pPr>
        <w:spacing w:line="600" w:lineRule="exact"/>
        <w:rPr>
          <w:rFonts w:hint="eastAsia" w:ascii="宋体" w:hAnsi="宋体" w:cs="宋体"/>
          <w:sz w:val="24"/>
          <w:szCs w:val="24"/>
        </w:rPr>
      </w:pPr>
      <w:r>
        <w:rPr>
          <w:rFonts w:hint="eastAsia" w:ascii="宋体" w:hAnsi="宋体" w:cs="宋体"/>
          <w:sz w:val="24"/>
          <w:szCs w:val="24"/>
        </w:rPr>
        <w:t>（500-100）万元×0.7%=2.8万元</w:t>
      </w:r>
    </w:p>
    <w:p>
      <w:pPr>
        <w:spacing w:line="600" w:lineRule="exact"/>
        <w:rPr>
          <w:rFonts w:hint="eastAsia" w:ascii="宋体" w:hAnsi="宋体" w:cs="宋体"/>
          <w:sz w:val="24"/>
          <w:szCs w:val="24"/>
        </w:rPr>
      </w:pPr>
      <w:r>
        <w:rPr>
          <w:rFonts w:hint="eastAsia" w:ascii="宋体" w:hAnsi="宋体" w:cs="宋体"/>
          <w:sz w:val="24"/>
          <w:szCs w:val="24"/>
        </w:rPr>
        <w:t>（1000-500）×0.55%=2.75万元</w:t>
      </w:r>
    </w:p>
    <w:p>
      <w:pPr>
        <w:spacing w:line="600" w:lineRule="exact"/>
        <w:rPr>
          <w:rFonts w:hint="eastAsia" w:ascii="宋体" w:hAnsi="宋体" w:cs="宋体"/>
          <w:sz w:val="24"/>
          <w:szCs w:val="24"/>
        </w:rPr>
      </w:pPr>
      <w:r>
        <w:rPr>
          <w:rFonts w:hint="eastAsia" w:ascii="宋体" w:hAnsi="宋体" w:cs="宋体"/>
          <w:sz w:val="24"/>
          <w:szCs w:val="24"/>
        </w:rPr>
        <w:t>（5000-1000）×0.35%=14万元</w:t>
      </w:r>
    </w:p>
    <w:p>
      <w:pPr>
        <w:spacing w:line="600" w:lineRule="exact"/>
        <w:rPr>
          <w:rFonts w:hint="eastAsia" w:ascii="宋体" w:hAnsi="宋体" w:cs="宋体"/>
          <w:sz w:val="24"/>
          <w:szCs w:val="24"/>
        </w:rPr>
      </w:pPr>
      <w:r>
        <w:rPr>
          <w:rFonts w:hint="eastAsia" w:ascii="宋体" w:hAnsi="宋体" w:cs="宋体"/>
          <w:sz w:val="24"/>
          <w:szCs w:val="24"/>
        </w:rPr>
        <w:t>（6000-5000）×0.2%=2万元</w:t>
      </w:r>
    </w:p>
    <w:p>
      <w:pPr>
        <w:pStyle w:val="33"/>
      </w:pPr>
      <w:r>
        <w:rPr>
          <w:rFonts w:hint="eastAsia" w:ascii="宋体" w:hAnsi="宋体" w:cs="宋体"/>
          <w:sz w:val="24"/>
          <w:szCs w:val="24"/>
        </w:rPr>
        <w:t xml:space="preserve"> 合计收费=1+2.8+2.75+14+2=22.55（万元）</w:t>
      </w:r>
    </w:p>
    <w:p/>
    <w:sectPr>
      <w:pgSz w:w="11906" w:h="16838"/>
      <w:pgMar w:top="993" w:right="1080" w:bottom="1440" w:left="1080" w:header="4" w:footer="567"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ngsana New">
    <w:panose1 w:val="02020603050405020304"/>
    <w:charset w:val="00"/>
    <w:family w:val="roman"/>
    <w:pitch w:val="default"/>
    <w:sig w:usb0="81000003" w:usb1="00000000" w:usb2="00000000" w:usb3="00000000" w:csb0="0001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icrosoft Uighur">
    <w:panose1 w:val="02000000000000000000"/>
    <w:charset w:val="00"/>
    <w:family w:val="auto"/>
    <w:pitch w:val="default"/>
    <w:sig w:usb0="00002003" w:usb1="80000000" w:usb2="00000008" w:usb3="00000000" w:csb0="0000004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仿宋_GB2312" w:hAnsi="华文楷体" w:eastAsia="仿宋_GB2312"/>
        <w:b/>
        <w:bCs/>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C69CF"/>
    <w:multiLevelType w:val="singleLevel"/>
    <w:tmpl w:val="543C69CF"/>
    <w:lvl w:ilvl="0" w:tentative="0">
      <w:start w:val="6"/>
      <w:numFmt w:val="chineseCounting"/>
      <w:suff w:val="space"/>
      <w:lvlText w:val="第%1部分"/>
      <w:lvlJc w:val="left"/>
      <w:rPr>
        <w:rFonts w:hint="eastAsia"/>
      </w:rPr>
    </w:lvl>
  </w:abstractNum>
  <w:abstractNum w:abstractNumId="1">
    <w:nsid w:val="64487842"/>
    <w:multiLevelType w:val="multilevel"/>
    <w:tmpl w:val="64487842"/>
    <w:lvl w:ilvl="0" w:tentative="0">
      <w:start w:val="1"/>
      <w:numFmt w:val="decimal"/>
      <w:pStyle w:val="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0E499E"/>
    <w:multiLevelType w:val="multilevel"/>
    <w:tmpl w:val="6F0E499E"/>
    <w:lvl w:ilvl="0" w:tentative="0">
      <w:start w:val="1"/>
      <w:numFmt w:val="decimal"/>
      <w:pStyle w:val="6"/>
      <w:lvlText w:val="%1、"/>
      <w:lvlJc w:val="left"/>
      <w:pPr>
        <w:ind w:left="704" w:hanging="420"/>
      </w:pPr>
      <w:rPr>
        <w:rFonts w:hint="default"/>
      </w:rPr>
    </w:lvl>
    <w:lvl w:ilvl="1" w:tentative="0">
      <w:start w:val="1"/>
      <w:numFmt w:val="lowerLetter"/>
      <w:lvlText w:val="%2)"/>
      <w:lvlJc w:val="left"/>
      <w:pPr>
        <w:ind w:left="5094" w:hanging="420"/>
      </w:pPr>
    </w:lvl>
    <w:lvl w:ilvl="2" w:tentative="0">
      <w:start w:val="1"/>
      <w:numFmt w:val="lowerRoman"/>
      <w:lvlText w:val="%3."/>
      <w:lvlJc w:val="right"/>
      <w:pPr>
        <w:ind w:left="5514" w:hanging="420"/>
      </w:pPr>
    </w:lvl>
    <w:lvl w:ilvl="3" w:tentative="0">
      <w:start w:val="1"/>
      <w:numFmt w:val="decimal"/>
      <w:lvlText w:val="%4."/>
      <w:lvlJc w:val="left"/>
      <w:pPr>
        <w:ind w:left="5934" w:hanging="420"/>
      </w:pPr>
    </w:lvl>
    <w:lvl w:ilvl="4" w:tentative="0">
      <w:start w:val="1"/>
      <w:numFmt w:val="lowerLetter"/>
      <w:lvlText w:val="%5)"/>
      <w:lvlJc w:val="left"/>
      <w:pPr>
        <w:ind w:left="6354" w:hanging="420"/>
      </w:pPr>
    </w:lvl>
    <w:lvl w:ilvl="5" w:tentative="0">
      <w:start w:val="1"/>
      <w:numFmt w:val="lowerRoman"/>
      <w:lvlText w:val="%6."/>
      <w:lvlJc w:val="right"/>
      <w:pPr>
        <w:ind w:left="6774" w:hanging="420"/>
      </w:pPr>
    </w:lvl>
    <w:lvl w:ilvl="6" w:tentative="0">
      <w:start w:val="1"/>
      <w:numFmt w:val="decimal"/>
      <w:lvlText w:val="%7."/>
      <w:lvlJc w:val="left"/>
      <w:pPr>
        <w:ind w:left="7194" w:hanging="420"/>
      </w:pPr>
    </w:lvl>
    <w:lvl w:ilvl="7" w:tentative="0">
      <w:start w:val="1"/>
      <w:numFmt w:val="lowerLetter"/>
      <w:lvlText w:val="%8)"/>
      <w:lvlJc w:val="left"/>
      <w:pPr>
        <w:ind w:left="7614" w:hanging="420"/>
      </w:pPr>
    </w:lvl>
    <w:lvl w:ilvl="8" w:tentative="0">
      <w:start w:val="1"/>
      <w:numFmt w:val="lowerRoman"/>
      <w:lvlText w:val="%9."/>
      <w:lvlJc w:val="right"/>
      <w:pPr>
        <w:ind w:left="803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ZjQ1YzBiNzU1MmEwN2VhNjQ5YTZhNDhiY2JlN2QifQ=="/>
  </w:docVars>
  <w:rsids>
    <w:rsidRoot w:val="04A10F5C"/>
    <w:rsid w:val="00025388"/>
    <w:rsid w:val="000423BA"/>
    <w:rsid w:val="000759A5"/>
    <w:rsid w:val="00080820"/>
    <w:rsid w:val="00094D67"/>
    <w:rsid w:val="000955B0"/>
    <w:rsid w:val="000E0E13"/>
    <w:rsid w:val="000E144D"/>
    <w:rsid w:val="000E3FC3"/>
    <w:rsid w:val="000E411D"/>
    <w:rsid w:val="001009ED"/>
    <w:rsid w:val="00124C2E"/>
    <w:rsid w:val="00131FC5"/>
    <w:rsid w:val="001452DA"/>
    <w:rsid w:val="001705D7"/>
    <w:rsid w:val="001C379F"/>
    <w:rsid w:val="001D2F6F"/>
    <w:rsid w:val="001F4C71"/>
    <w:rsid w:val="00270CEC"/>
    <w:rsid w:val="00280B1B"/>
    <w:rsid w:val="0028565E"/>
    <w:rsid w:val="002A316A"/>
    <w:rsid w:val="002A7346"/>
    <w:rsid w:val="002B0F3C"/>
    <w:rsid w:val="002F09E1"/>
    <w:rsid w:val="00304A7E"/>
    <w:rsid w:val="00352FE0"/>
    <w:rsid w:val="00354510"/>
    <w:rsid w:val="00356005"/>
    <w:rsid w:val="00374080"/>
    <w:rsid w:val="00376872"/>
    <w:rsid w:val="00377EFE"/>
    <w:rsid w:val="003925CB"/>
    <w:rsid w:val="003A3AEF"/>
    <w:rsid w:val="003D6A01"/>
    <w:rsid w:val="0041192A"/>
    <w:rsid w:val="00417DD7"/>
    <w:rsid w:val="00423D60"/>
    <w:rsid w:val="0046293C"/>
    <w:rsid w:val="00473F00"/>
    <w:rsid w:val="00496CCE"/>
    <w:rsid w:val="004A5330"/>
    <w:rsid w:val="004B25A2"/>
    <w:rsid w:val="004D592C"/>
    <w:rsid w:val="004E0F63"/>
    <w:rsid w:val="004F3314"/>
    <w:rsid w:val="005139AD"/>
    <w:rsid w:val="00522057"/>
    <w:rsid w:val="005535BF"/>
    <w:rsid w:val="005606BA"/>
    <w:rsid w:val="00572B40"/>
    <w:rsid w:val="00587C54"/>
    <w:rsid w:val="00595FBC"/>
    <w:rsid w:val="005B2260"/>
    <w:rsid w:val="005C6A18"/>
    <w:rsid w:val="005D3880"/>
    <w:rsid w:val="005F6E15"/>
    <w:rsid w:val="00614BCB"/>
    <w:rsid w:val="00614FB5"/>
    <w:rsid w:val="00630321"/>
    <w:rsid w:val="00671D07"/>
    <w:rsid w:val="00674899"/>
    <w:rsid w:val="006818C1"/>
    <w:rsid w:val="006A47A7"/>
    <w:rsid w:val="006B3A30"/>
    <w:rsid w:val="006B5DFC"/>
    <w:rsid w:val="006D695D"/>
    <w:rsid w:val="006F433D"/>
    <w:rsid w:val="006F68F1"/>
    <w:rsid w:val="0070030F"/>
    <w:rsid w:val="00735D4F"/>
    <w:rsid w:val="00740B71"/>
    <w:rsid w:val="00746AE7"/>
    <w:rsid w:val="007572E5"/>
    <w:rsid w:val="007B53CD"/>
    <w:rsid w:val="007D5EB3"/>
    <w:rsid w:val="007F015C"/>
    <w:rsid w:val="007F4A9F"/>
    <w:rsid w:val="00815C31"/>
    <w:rsid w:val="00821789"/>
    <w:rsid w:val="00826009"/>
    <w:rsid w:val="00835472"/>
    <w:rsid w:val="008725A3"/>
    <w:rsid w:val="008C651E"/>
    <w:rsid w:val="008D1543"/>
    <w:rsid w:val="008F1784"/>
    <w:rsid w:val="00902E92"/>
    <w:rsid w:val="009230BA"/>
    <w:rsid w:val="00923438"/>
    <w:rsid w:val="009615A1"/>
    <w:rsid w:val="00970733"/>
    <w:rsid w:val="00A25A08"/>
    <w:rsid w:val="00AC09FC"/>
    <w:rsid w:val="00AD5837"/>
    <w:rsid w:val="00AE75C4"/>
    <w:rsid w:val="00B03E26"/>
    <w:rsid w:val="00B14DB4"/>
    <w:rsid w:val="00B32B72"/>
    <w:rsid w:val="00B37484"/>
    <w:rsid w:val="00B5323E"/>
    <w:rsid w:val="00B63A66"/>
    <w:rsid w:val="00B708C9"/>
    <w:rsid w:val="00B8118E"/>
    <w:rsid w:val="00BA256F"/>
    <w:rsid w:val="00BC46D9"/>
    <w:rsid w:val="00BD5D7F"/>
    <w:rsid w:val="00C51C42"/>
    <w:rsid w:val="00CD094A"/>
    <w:rsid w:val="00D030BB"/>
    <w:rsid w:val="00D344B7"/>
    <w:rsid w:val="00D40CCD"/>
    <w:rsid w:val="00D5285B"/>
    <w:rsid w:val="00DD6500"/>
    <w:rsid w:val="00DF4433"/>
    <w:rsid w:val="00E01495"/>
    <w:rsid w:val="00E0260A"/>
    <w:rsid w:val="00E11A29"/>
    <w:rsid w:val="00E15163"/>
    <w:rsid w:val="00E15234"/>
    <w:rsid w:val="00E2349B"/>
    <w:rsid w:val="00E24262"/>
    <w:rsid w:val="00E348E1"/>
    <w:rsid w:val="00E52194"/>
    <w:rsid w:val="00EC52C3"/>
    <w:rsid w:val="00EF550D"/>
    <w:rsid w:val="00F06C7B"/>
    <w:rsid w:val="00F1543D"/>
    <w:rsid w:val="00F41FC5"/>
    <w:rsid w:val="00F42B57"/>
    <w:rsid w:val="00F62216"/>
    <w:rsid w:val="00F63F5A"/>
    <w:rsid w:val="00F73896"/>
    <w:rsid w:val="00FA4EBD"/>
    <w:rsid w:val="00FD2601"/>
    <w:rsid w:val="00FD7E74"/>
    <w:rsid w:val="00FE394E"/>
    <w:rsid w:val="00FE6902"/>
    <w:rsid w:val="00FE6A9D"/>
    <w:rsid w:val="00FF6DE1"/>
    <w:rsid w:val="010D6029"/>
    <w:rsid w:val="01211AD4"/>
    <w:rsid w:val="012D2A7A"/>
    <w:rsid w:val="01534979"/>
    <w:rsid w:val="0156177E"/>
    <w:rsid w:val="015C1D7C"/>
    <w:rsid w:val="0174398E"/>
    <w:rsid w:val="018A6BE2"/>
    <w:rsid w:val="019B2EF9"/>
    <w:rsid w:val="01A06E9D"/>
    <w:rsid w:val="01C831C4"/>
    <w:rsid w:val="01E160C9"/>
    <w:rsid w:val="01E50D53"/>
    <w:rsid w:val="022F7165"/>
    <w:rsid w:val="023458FA"/>
    <w:rsid w:val="02647ECA"/>
    <w:rsid w:val="02780693"/>
    <w:rsid w:val="02B625AB"/>
    <w:rsid w:val="02B7510C"/>
    <w:rsid w:val="02D45050"/>
    <w:rsid w:val="02FC1D07"/>
    <w:rsid w:val="03012D45"/>
    <w:rsid w:val="032064E7"/>
    <w:rsid w:val="032B2F92"/>
    <w:rsid w:val="03326D42"/>
    <w:rsid w:val="034F43D4"/>
    <w:rsid w:val="03597303"/>
    <w:rsid w:val="035D6DC5"/>
    <w:rsid w:val="03AE265E"/>
    <w:rsid w:val="046B5540"/>
    <w:rsid w:val="04730898"/>
    <w:rsid w:val="049956CF"/>
    <w:rsid w:val="04A10F5C"/>
    <w:rsid w:val="04A44EF6"/>
    <w:rsid w:val="04D8694E"/>
    <w:rsid w:val="04F35535"/>
    <w:rsid w:val="05017C52"/>
    <w:rsid w:val="051D1CC1"/>
    <w:rsid w:val="053915D1"/>
    <w:rsid w:val="057B4A25"/>
    <w:rsid w:val="059705B7"/>
    <w:rsid w:val="05C553A5"/>
    <w:rsid w:val="05DB4D76"/>
    <w:rsid w:val="05DF0254"/>
    <w:rsid w:val="063D115E"/>
    <w:rsid w:val="065F4D96"/>
    <w:rsid w:val="06943F80"/>
    <w:rsid w:val="06AA1A32"/>
    <w:rsid w:val="06C87947"/>
    <w:rsid w:val="06CC603E"/>
    <w:rsid w:val="06EB13F0"/>
    <w:rsid w:val="075306D3"/>
    <w:rsid w:val="07623775"/>
    <w:rsid w:val="078604E1"/>
    <w:rsid w:val="078E1545"/>
    <w:rsid w:val="079223B4"/>
    <w:rsid w:val="07CB3F4E"/>
    <w:rsid w:val="07EE2A40"/>
    <w:rsid w:val="082223BA"/>
    <w:rsid w:val="083A61D5"/>
    <w:rsid w:val="08497781"/>
    <w:rsid w:val="084F1FE0"/>
    <w:rsid w:val="085608FD"/>
    <w:rsid w:val="08701417"/>
    <w:rsid w:val="087E07B8"/>
    <w:rsid w:val="08941AA5"/>
    <w:rsid w:val="08A52E38"/>
    <w:rsid w:val="08BC7646"/>
    <w:rsid w:val="08C23B9D"/>
    <w:rsid w:val="08CA47FF"/>
    <w:rsid w:val="08CA572C"/>
    <w:rsid w:val="08CB0CA3"/>
    <w:rsid w:val="08EF122D"/>
    <w:rsid w:val="09137F54"/>
    <w:rsid w:val="092E24FE"/>
    <w:rsid w:val="096C6BA2"/>
    <w:rsid w:val="098470A4"/>
    <w:rsid w:val="098E057A"/>
    <w:rsid w:val="09944DDA"/>
    <w:rsid w:val="09AC2584"/>
    <w:rsid w:val="09FE6AEA"/>
    <w:rsid w:val="0A3665F0"/>
    <w:rsid w:val="0A725D8F"/>
    <w:rsid w:val="0A7C3D9F"/>
    <w:rsid w:val="0A894677"/>
    <w:rsid w:val="0A9934A8"/>
    <w:rsid w:val="0AB92482"/>
    <w:rsid w:val="0AD57E02"/>
    <w:rsid w:val="0B1361DB"/>
    <w:rsid w:val="0B2F3D58"/>
    <w:rsid w:val="0B3C7C36"/>
    <w:rsid w:val="0B651A09"/>
    <w:rsid w:val="0BB537FB"/>
    <w:rsid w:val="0BBA7D82"/>
    <w:rsid w:val="0BC85764"/>
    <w:rsid w:val="0BE15762"/>
    <w:rsid w:val="0BE91440"/>
    <w:rsid w:val="0BFF5B37"/>
    <w:rsid w:val="0C0B7CD8"/>
    <w:rsid w:val="0C1F2F11"/>
    <w:rsid w:val="0C660306"/>
    <w:rsid w:val="0C66480D"/>
    <w:rsid w:val="0C692E54"/>
    <w:rsid w:val="0C7C7FF7"/>
    <w:rsid w:val="0C842572"/>
    <w:rsid w:val="0C8B665C"/>
    <w:rsid w:val="0C944FBF"/>
    <w:rsid w:val="0CB53909"/>
    <w:rsid w:val="0CCA3020"/>
    <w:rsid w:val="0CCF21BE"/>
    <w:rsid w:val="0CE43377"/>
    <w:rsid w:val="0D0522AA"/>
    <w:rsid w:val="0D465956"/>
    <w:rsid w:val="0D4E1D85"/>
    <w:rsid w:val="0D576FA9"/>
    <w:rsid w:val="0DC8579F"/>
    <w:rsid w:val="0DD0598D"/>
    <w:rsid w:val="0DD55107"/>
    <w:rsid w:val="0DEC6F5F"/>
    <w:rsid w:val="0E0F1632"/>
    <w:rsid w:val="0E2F56F1"/>
    <w:rsid w:val="0E574D87"/>
    <w:rsid w:val="0E6B25E0"/>
    <w:rsid w:val="0E770F85"/>
    <w:rsid w:val="0E7B120A"/>
    <w:rsid w:val="0EA07513"/>
    <w:rsid w:val="0EBA0110"/>
    <w:rsid w:val="0EBE394A"/>
    <w:rsid w:val="0EE505E5"/>
    <w:rsid w:val="0F10078F"/>
    <w:rsid w:val="0F2F3E65"/>
    <w:rsid w:val="0F6F19F5"/>
    <w:rsid w:val="0F86221E"/>
    <w:rsid w:val="0F9D2E3B"/>
    <w:rsid w:val="0FCB06D7"/>
    <w:rsid w:val="0FD001C2"/>
    <w:rsid w:val="10240C99"/>
    <w:rsid w:val="104430E9"/>
    <w:rsid w:val="10501A8E"/>
    <w:rsid w:val="10A65B52"/>
    <w:rsid w:val="10BA62DC"/>
    <w:rsid w:val="10E24DDC"/>
    <w:rsid w:val="10EC77C3"/>
    <w:rsid w:val="10EF724A"/>
    <w:rsid w:val="11625F1D"/>
    <w:rsid w:val="11A50E79"/>
    <w:rsid w:val="11BB562D"/>
    <w:rsid w:val="11C52008"/>
    <w:rsid w:val="121E2100"/>
    <w:rsid w:val="122F1CA3"/>
    <w:rsid w:val="124A70DD"/>
    <w:rsid w:val="125C5139"/>
    <w:rsid w:val="126902C7"/>
    <w:rsid w:val="1299181E"/>
    <w:rsid w:val="12B84F7B"/>
    <w:rsid w:val="12C66037"/>
    <w:rsid w:val="12EC2D29"/>
    <w:rsid w:val="131018D8"/>
    <w:rsid w:val="132536A6"/>
    <w:rsid w:val="132F322B"/>
    <w:rsid w:val="135D4BEE"/>
    <w:rsid w:val="13685340"/>
    <w:rsid w:val="136E6DFB"/>
    <w:rsid w:val="136F66CF"/>
    <w:rsid w:val="139F590B"/>
    <w:rsid w:val="13B35A4F"/>
    <w:rsid w:val="13BD1122"/>
    <w:rsid w:val="13E96D0C"/>
    <w:rsid w:val="13F32DFD"/>
    <w:rsid w:val="13FA779F"/>
    <w:rsid w:val="14042DB7"/>
    <w:rsid w:val="141421B6"/>
    <w:rsid w:val="142C1457"/>
    <w:rsid w:val="146F48E9"/>
    <w:rsid w:val="14797507"/>
    <w:rsid w:val="14912710"/>
    <w:rsid w:val="14983A03"/>
    <w:rsid w:val="14CA6F83"/>
    <w:rsid w:val="14D7531B"/>
    <w:rsid w:val="14EA24B1"/>
    <w:rsid w:val="150A66AF"/>
    <w:rsid w:val="15312B70"/>
    <w:rsid w:val="1532074D"/>
    <w:rsid w:val="154E0CCD"/>
    <w:rsid w:val="15595808"/>
    <w:rsid w:val="15783F61"/>
    <w:rsid w:val="15921793"/>
    <w:rsid w:val="15D33DF0"/>
    <w:rsid w:val="15FB48C3"/>
    <w:rsid w:val="160133BB"/>
    <w:rsid w:val="163836F0"/>
    <w:rsid w:val="16662F5D"/>
    <w:rsid w:val="16687B33"/>
    <w:rsid w:val="166B5873"/>
    <w:rsid w:val="16865DF7"/>
    <w:rsid w:val="16907AC1"/>
    <w:rsid w:val="16A27929"/>
    <w:rsid w:val="16DE3658"/>
    <w:rsid w:val="16F95816"/>
    <w:rsid w:val="173B5412"/>
    <w:rsid w:val="174152AC"/>
    <w:rsid w:val="178A1F00"/>
    <w:rsid w:val="17B005EC"/>
    <w:rsid w:val="17B370DB"/>
    <w:rsid w:val="17BD5B44"/>
    <w:rsid w:val="17E340BC"/>
    <w:rsid w:val="18027BC4"/>
    <w:rsid w:val="18075128"/>
    <w:rsid w:val="184027AC"/>
    <w:rsid w:val="184629F8"/>
    <w:rsid w:val="184A3267"/>
    <w:rsid w:val="18511A82"/>
    <w:rsid w:val="1880614A"/>
    <w:rsid w:val="18B03A11"/>
    <w:rsid w:val="18B776FF"/>
    <w:rsid w:val="18C96881"/>
    <w:rsid w:val="18E4746B"/>
    <w:rsid w:val="18FF22A3"/>
    <w:rsid w:val="19033E41"/>
    <w:rsid w:val="19483C4A"/>
    <w:rsid w:val="19634C35"/>
    <w:rsid w:val="19682338"/>
    <w:rsid w:val="19704DB0"/>
    <w:rsid w:val="19810F0A"/>
    <w:rsid w:val="199271FE"/>
    <w:rsid w:val="199A3C4D"/>
    <w:rsid w:val="19B25567"/>
    <w:rsid w:val="19B72B7E"/>
    <w:rsid w:val="19C257AA"/>
    <w:rsid w:val="19DF151F"/>
    <w:rsid w:val="19E20B38"/>
    <w:rsid w:val="19EC54DE"/>
    <w:rsid w:val="19F416DC"/>
    <w:rsid w:val="1A385ECC"/>
    <w:rsid w:val="1A3A1D53"/>
    <w:rsid w:val="1A536139"/>
    <w:rsid w:val="1A7A244E"/>
    <w:rsid w:val="1A973807"/>
    <w:rsid w:val="1AB232E4"/>
    <w:rsid w:val="1B1B527C"/>
    <w:rsid w:val="1B2168A4"/>
    <w:rsid w:val="1B68296A"/>
    <w:rsid w:val="1B6F54BE"/>
    <w:rsid w:val="1B702951"/>
    <w:rsid w:val="1B8E7054"/>
    <w:rsid w:val="1B9211AC"/>
    <w:rsid w:val="1BA24DBD"/>
    <w:rsid w:val="1BAF14AC"/>
    <w:rsid w:val="1BD14A1C"/>
    <w:rsid w:val="1BD209BD"/>
    <w:rsid w:val="1BF93DC9"/>
    <w:rsid w:val="1BFD51C0"/>
    <w:rsid w:val="1C1826E0"/>
    <w:rsid w:val="1C2362A8"/>
    <w:rsid w:val="1C2B1C40"/>
    <w:rsid w:val="1C692927"/>
    <w:rsid w:val="1C9E36FB"/>
    <w:rsid w:val="1CFF3E3D"/>
    <w:rsid w:val="1D0D6025"/>
    <w:rsid w:val="1D1522F2"/>
    <w:rsid w:val="1D417BBA"/>
    <w:rsid w:val="1D444728"/>
    <w:rsid w:val="1D953906"/>
    <w:rsid w:val="1DA01267"/>
    <w:rsid w:val="1DCF018E"/>
    <w:rsid w:val="1DD652A4"/>
    <w:rsid w:val="1E262347"/>
    <w:rsid w:val="1E2973BC"/>
    <w:rsid w:val="1E390E69"/>
    <w:rsid w:val="1E3E4C49"/>
    <w:rsid w:val="1E4F496B"/>
    <w:rsid w:val="1E547805"/>
    <w:rsid w:val="1E5B2EFF"/>
    <w:rsid w:val="1E74103D"/>
    <w:rsid w:val="1E753245"/>
    <w:rsid w:val="1EFF4CE4"/>
    <w:rsid w:val="1F02211F"/>
    <w:rsid w:val="1F432F96"/>
    <w:rsid w:val="1F5A6485"/>
    <w:rsid w:val="1F5E5F75"/>
    <w:rsid w:val="1F690E94"/>
    <w:rsid w:val="1F7216C1"/>
    <w:rsid w:val="1F8452B0"/>
    <w:rsid w:val="1F9B1C25"/>
    <w:rsid w:val="1FB75686"/>
    <w:rsid w:val="1FE560C6"/>
    <w:rsid w:val="1FEF6BCD"/>
    <w:rsid w:val="20323B1D"/>
    <w:rsid w:val="2039104C"/>
    <w:rsid w:val="204B3751"/>
    <w:rsid w:val="20592BE1"/>
    <w:rsid w:val="206C6329"/>
    <w:rsid w:val="206E426A"/>
    <w:rsid w:val="208048FB"/>
    <w:rsid w:val="20854AE6"/>
    <w:rsid w:val="20894213"/>
    <w:rsid w:val="208A1887"/>
    <w:rsid w:val="2091237A"/>
    <w:rsid w:val="20C1485B"/>
    <w:rsid w:val="20C73C26"/>
    <w:rsid w:val="20CA2B64"/>
    <w:rsid w:val="20CB2D23"/>
    <w:rsid w:val="20CE17ED"/>
    <w:rsid w:val="20D364EF"/>
    <w:rsid w:val="20EA55E7"/>
    <w:rsid w:val="20FC3B24"/>
    <w:rsid w:val="21072BF0"/>
    <w:rsid w:val="2107788D"/>
    <w:rsid w:val="212241F5"/>
    <w:rsid w:val="21294361"/>
    <w:rsid w:val="215A2846"/>
    <w:rsid w:val="2181453C"/>
    <w:rsid w:val="218E28AD"/>
    <w:rsid w:val="21D41DD3"/>
    <w:rsid w:val="21D70261"/>
    <w:rsid w:val="21D73DBD"/>
    <w:rsid w:val="21E25BC6"/>
    <w:rsid w:val="21E85FCA"/>
    <w:rsid w:val="222271FB"/>
    <w:rsid w:val="22373980"/>
    <w:rsid w:val="22851372"/>
    <w:rsid w:val="22B24EA1"/>
    <w:rsid w:val="22C6648E"/>
    <w:rsid w:val="22E345E0"/>
    <w:rsid w:val="22E57ED1"/>
    <w:rsid w:val="22F41543"/>
    <w:rsid w:val="230D27BA"/>
    <w:rsid w:val="2318468D"/>
    <w:rsid w:val="231A3C2B"/>
    <w:rsid w:val="231E22FE"/>
    <w:rsid w:val="23203D54"/>
    <w:rsid w:val="23215484"/>
    <w:rsid w:val="23390F0A"/>
    <w:rsid w:val="23737B15"/>
    <w:rsid w:val="23DF3883"/>
    <w:rsid w:val="23E72ABF"/>
    <w:rsid w:val="23EC3205"/>
    <w:rsid w:val="23F925C2"/>
    <w:rsid w:val="240370EB"/>
    <w:rsid w:val="241115F5"/>
    <w:rsid w:val="244E3DAE"/>
    <w:rsid w:val="245F6A86"/>
    <w:rsid w:val="246D4540"/>
    <w:rsid w:val="2471674B"/>
    <w:rsid w:val="24883A94"/>
    <w:rsid w:val="24A645D9"/>
    <w:rsid w:val="24AA57B9"/>
    <w:rsid w:val="24C50DD5"/>
    <w:rsid w:val="24CF521F"/>
    <w:rsid w:val="24FE5B05"/>
    <w:rsid w:val="253A7ACB"/>
    <w:rsid w:val="25707940"/>
    <w:rsid w:val="25AB6067"/>
    <w:rsid w:val="25AC694C"/>
    <w:rsid w:val="26117E15"/>
    <w:rsid w:val="263168D5"/>
    <w:rsid w:val="26461511"/>
    <w:rsid w:val="265D6B71"/>
    <w:rsid w:val="26844E74"/>
    <w:rsid w:val="26887C85"/>
    <w:rsid w:val="26942C8F"/>
    <w:rsid w:val="26962499"/>
    <w:rsid w:val="26E054C2"/>
    <w:rsid w:val="26F15921"/>
    <w:rsid w:val="27085BFB"/>
    <w:rsid w:val="27092ACA"/>
    <w:rsid w:val="27233601"/>
    <w:rsid w:val="274A360B"/>
    <w:rsid w:val="279544FE"/>
    <w:rsid w:val="27A44741"/>
    <w:rsid w:val="27BA21B7"/>
    <w:rsid w:val="27BC2A82"/>
    <w:rsid w:val="27D77E4D"/>
    <w:rsid w:val="27E91D37"/>
    <w:rsid w:val="27FD48FE"/>
    <w:rsid w:val="28537F15"/>
    <w:rsid w:val="289C366A"/>
    <w:rsid w:val="28DE0127"/>
    <w:rsid w:val="28F17E5A"/>
    <w:rsid w:val="29015BC3"/>
    <w:rsid w:val="290C1448"/>
    <w:rsid w:val="291E49C7"/>
    <w:rsid w:val="292673D8"/>
    <w:rsid w:val="29304698"/>
    <w:rsid w:val="297E0FC2"/>
    <w:rsid w:val="29D924A0"/>
    <w:rsid w:val="29EC615C"/>
    <w:rsid w:val="2A0C2212"/>
    <w:rsid w:val="2A0C2316"/>
    <w:rsid w:val="2A0E2346"/>
    <w:rsid w:val="2A202079"/>
    <w:rsid w:val="2A353271"/>
    <w:rsid w:val="2A50504C"/>
    <w:rsid w:val="2A602AE0"/>
    <w:rsid w:val="2AE6620E"/>
    <w:rsid w:val="2AF161D4"/>
    <w:rsid w:val="2B400C25"/>
    <w:rsid w:val="2B5A3C59"/>
    <w:rsid w:val="2B670055"/>
    <w:rsid w:val="2BA50A88"/>
    <w:rsid w:val="2BD3243F"/>
    <w:rsid w:val="2BDF21EC"/>
    <w:rsid w:val="2BE33EDA"/>
    <w:rsid w:val="2C105B86"/>
    <w:rsid w:val="2C1C3C0F"/>
    <w:rsid w:val="2CBA0319"/>
    <w:rsid w:val="2CBD21FA"/>
    <w:rsid w:val="2CC460B5"/>
    <w:rsid w:val="2CCA6412"/>
    <w:rsid w:val="2CD044A4"/>
    <w:rsid w:val="2CD6590B"/>
    <w:rsid w:val="2D853B95"/>
    <w:rsid w:val="2D964B2C"/>
    <w:rsid w:val="2D9C735E"/>
    <w:rsid w:val="2DA83F99"/>
    <w:rsid w:val="2DB96E3A"/>
    <w:rsid w:val="2DBD5646"/>
    <w:rsid w:val="2DC225E3"/>
    <w:rsid w:val="2DCE28FC"/>
    <w:rsid w:val="2E02243A"/>
    <w:rsid w:val="2E277E7A"/>
    <w:rsid w:val="2E3916CB"/>
    <w:rsid w:val="2E516CA5"/>
    <w:rsid w:val="2E58756D"/>
    <w:rsid w:val="2E5A3DAC"/>
    <w:rsid w:val="2E857DAE"/>
    <w:rsid w:val="2E905B07"/>
    <w:rsid w:val="2E9F751D"/>
    <w:rsid w:val="2EB21E3A"/>
    <w:rsid w:val="2EC61641"/>
    <w:rsid w:val="2ED718A0"/>
    <w:rsid w:val="2EFC44C7"/>
    <w:rsid w:val="2F037C30"/>
    <w:rsid w:val="2F171E02"/>
    <w:rsid w:val="2F3B1E2F"/>
    <w:rsid w:val="2F4F0498"/>
    <w:rsid w:val="2F8B61E7"/>
    <w:rsid w:val="2F974B8C"/>
    <w:rsid w:val="2FA2183B"/>
    <w:rsid w:val="3005243D"/>
    <w:rsid w:val="30134A8B"/>
    <w:rsid w:val="302D3FB4"/>
    <w:rsid w:val="303F0EEB"/>
    <w:rsid w:val="305666F0"/>
    <w:rsid w:val="30617E20"/>
    <w:rsid w:val="30965626"/>
    <w:rsid w:val="30C776F3"/>
    <w:rsid w:val="30EC5878"/>
    <w:rsid w:val="30F57DBC"/>
    <w:rsid w:val="312B1D4E"/>
    <w:rsid w:val="318178A1"/>
    <w:rsid w:val="31A23A12"/>
    <w:rsid w:val="31AE3035"/>
    <w:rsid w:val="31B639EF"/>
    <w:rsid w:val="31C45729"/>
    <w:rsid w:val="31C872F8"/>
    <w:rsid w:val="31D04385"/>
    <w:rsid w:val="31E247E4"/>
    <w:rsid w:val="32030F40"/>
    <w:rsid w:val="323C2E8C"/>
    <w:rsid w:val="323F73DA"/>
    <w:rsid w:val="32791867"/>
    <w:rsid w:val="32A16ECB"/>
    <w:rsid w:val="32AD727A"/>
    <w:rsid w:val="32BF01BA"/>
    <w:rsid w:val="32BF68D3"/>
    <w:rsid w:val="32D97B55"/>
    <w:rsid w:val="32DE7BE5"/>
    <w:rsid w:val="32E334F3"/>
    <w:rsid w:val="33254336"/>
    <w:rsid w:val="33266952"/>
    <w:rsid w:val="33352DD5"/>
    <w:rsid w:val="3361379C"/>
    <w:rsid w:val="338C0A3B"/>
    <w:rsid w:val="33AD6236"/>
    <w:rsid w:val="33C566E9"/>
    <w:rsid w:val="33C76311"/>
    <w:rsid w:val="33D44600"/>
    <w:rsid w:val="34164C19"/>
    <w:rsid w:val="34E326FC"/>
    <w:rsid w:val="34F94FD1"/>
    <w:rsid w:val="35110564"/>
    <w:rsid w:val="3522630E"/>
    <w:rsid w:val="352549E8"/>
    <w:rsid w:val="353A0493"/>
    <w:rsid w:val="355A2FBA"/>
    <w:rsid w:val="3582679B"/>
    <w:rsid w:val="35887BD1"/>
    <w:rsid w:val="35B1007D"/>
    <w:rsid w:val="35DA3A24"/>
    <w:rsid w:val="3650773F"/>
    <w:rsid w:val="36592B9B"/>
    <w:rsid w:val="3660007A"/>
    <w:rsid w:val="367B3E03"/>
    <w:rsid w:val="368E4F3A"/>
    <w:rsid w:val="36B21D04"/>
    <w:rsid w:val="36B95684"/>
    <w:rsid w:val="36C739BA"/>
    <w:rsid w:val="36DA644C"/>
    <w:rsid w:val="373D2F9E"/>
    <w:rsid w:val="375A5B41"/>
    <w:rsid w:val="37991EBF"/>
    <w:rsid w:val="37C84F19"/>
    <w:rsid w:val="37D96425"/>
    <w:rsid w:val="37F6004B"/>
    <w:rsid w:val="38351008"/>
    <w:rsid w:val="386D0B7F"/>
    <w:rsid w:val="38790164"/>
    <w:rsid w:val="38B779DA"/>
    <w:rsid w:val="38DE3B01"/>
    <w:rsid w:val="399D36E6"/>
    <w:rsid w:val="39D32C64"/>
    <w:rsid w:val="3A3C6CAC"/>
    <w:rsid w:val="3A4D58B7"/>
    <w:rsid w:val="3A794F7C"/>
    <w:rsid w:val="3AA407BD"/>
    <w:rsid w:val="3B0C6285"/>
    <w:rsid w:val="3B110927"/>
    <w:rsid w:val="3B246063"/>
    <w:rsid w:val="3B265113"/>
    <w:rsid w:val="3B4C7D7B"/>
    <w:rsid w:val="3B840735"/>
    <w:rsid w:val="3B936CA3"/>
    <w:rsid w:val="3BBA7AA0"/>
    <w:rsid w:val="3BF72025"/>
    <w:rsid w:val="3C027831"/>
    <w:rsid w:val="3C0A0621"/>
    <w:rsid w:val="3C2829AE"/>
    <w:rsid w:val="3C5B491C"/>
    <w:rsid w:val="3C6D42A2"/>
    <w:rsid w:val="3CD70087"/>
    <w:rsid w:val="3CF4361D"/>
    <w:rsid w:val="3CF60293"/>
    <w:rsid w:val="3D0371AF"/>
    <w:rsid w:val="3D164601"/>
    <w:rsid w:val="3D436353"/>
    <w:rsid w:val="3D45031D"/>
    <w:rsid w:val="3D6469F5"/>
    <w:rsid w:val="3D69223C"/>
    <w:rsid w:val="3D7B45E7"/>
    <w:rsid w:val="3E1279E1"/>
    <w:rsid w:val="3E37499A"/>
    <w:rsid w:val="3E532C8F"/>
    <w:rsid w:val="3E7029D7"/>
    <w:rsid w:val="3E7B2753"/>
    <w:rsid w:val="3E825277"/>
    <w:rsid w:val="3EB56AD2"/>
    <w:rsid w:val="3EBD1FBA"/>
    <w:rsid w:val="3EE618F9"/>
    <w:rsid w:val="3EFE0783"/>
    <w:rsid w:val="3F2B3D4A"/>
    <w:rsid w:val="3F3F6447"/>
    <w:rsid w:val="3F516B05"/>
    <w:rsid w:val="3F5A449A"/>
    <w:rsid w:val="3FBE50DF"/>
    <w:rsid w:val="3FC20F62"/>
    <w:rsid w:val="3FFE5DE2"/>
    <w:rsid w:val="40231A17"/>
    <w:rsid w:val="402E32EA"/>
    <w:rsid w:val="4075017B"/>
    <w:rsid w:val="4084103D"/>
    <w:rsid w:val="40AF29F5"/>
    <w:rsid w:val="40C1415E"/>
    <w:rsid w:val="40C7345C"/>
    <w:rsid w:val="40D23C76"/>
    <w:rsid w:val="40D95004"/>
    <w:rsid w:val="40E90FBF"/>
    <w:rsid w:val="4103323B"/>
    <w:rsid w:val="41150E86"/>
    <w:rsid w:val="411E335F"/>
    <w:rsid w:val="416442EA"/>
    <w:rsid w:val="419B49AF"/>
    <w:rsid w:val="41CC4B69"/>
    <w:rsid w:val="429C09DF"/>
    <w:rsid w:val="42BB1633"/>
    <w:rsid w:val="430912E0"/>
    <w:rsid w:val="430976F7"/>
    <w:rsid w:val="4317039A"/>
    <w:rsid w:val="433C618D"/>
    <w:rsid w:val="434846C3"/>
    <w:rsid w:val="434E13A9"/>
    <w:rsid w:val="436E4930"/>
    <w:rsid w:val="43776534"/>
    <w:rsid w:val="43891618"/>
    <w:rsid w:val="43AB5691"/>
    <w:rsid w:val="43B56997"/>
    <w:rsid w:val="43D7687B"/>
    <w:rsid w:val="43DC60B2"/>
    <w:rsid w:val="43E91F39"/>
    <w:rsid w:val="43F8280E"/>
    <w:rsid w:val="440D6621"/>
    <w:rsid w:val="440D7267"/>
    <w:rsid w:val="441632C2"/>
    <w:rsid w:val="44541936"/>
    <w:rsid w:val="44797F00"/>
    <w:rsid w:val="449556E6"/>
    <w:rsid w:val="449B35A0"/>
    <w:rsid w:val="4508012C"/>
    <w:rsid w:val="45206EA7"/>
    <w:rsid w:val="453B3CB1"/>
    <w:rsid w:val="45554082"/>
    <w:rsid w:val="45663891"/>
    <w:rsid w:val="45685D0B"/>
    <w:rsid w:val="45790967"/>
    <w:rsid w:val="45BE408F"/>
    <w:rsid w:val="46072613"/>
    <w:rsid w:val="46245607"/>
    <w:rsid w:val="46736CD7"/>
    <w:rsid w:val="46C06704"/>
    <w:rsid w:val="46C4213A"/>
    <w:rsid w:val="46C73B51"/>
    <w:rsid w:val="46D02A05"/>
    <w:rsid w:val="46D149CF"/>
    <w:rsid w:val="46D93082"/>
    <w:rsid w:val="46DA1AD6"/>
    <w:rsid w:val="46E841F3"/>
    <w:rsid w:val="472E107D"/>
    <w:rsid w:val="473E4DBB"/>
    <w:rsid w:val="47490A0A"/>
    <w:rsid w:val="47637D1D"/>
    <w:rsid w:val="476475F1"/>
    <w:rsid w:val="47BB389B"/>
    <w:rsid w:val="47BE31A6"/>
    <w:rsid w:val="47D324F0"/>
    <w:rsid w:val="47DB411D"/>
    <w:rsid w:val="480C3F11"/>
    <w:rsid w:val="482B1A8E"/>
    <w:rsid w:val="48474F49"/>
    <w:rsid w:val="486F0E49"/>
    <w:rsid w:val="48806059"/>
    <w:rsid w:val="48CA7928"/>
    <w:rsid w:val="48D04F3E"/>
    <w:rsid w:val="48D20BCE"/>
    <w:rsid w:val="48FB5D34"/>
    <w:rsid w:val="49074DFE"/>
    <w:rsid w:val="490D6193"/>
    <w:rsid w:val="49276B29"/>
    <w:rsid w:val="494E2307"/>
    <w:rsid w:val="499A379E"/>
    <w:rsid w:val="49A60395"/>
    <w:rsid w:val="49D361E3"/>
    <w:rsid w:val="4A073FC5"/>
    <w:rsid w:val="4A1379A0"/>
    <w:rsid w:val="4A477482"/>
    <w:rsid w:val="4A4B3126"/>
    <w:rsid w:val="4A5477E6"/>
    <w:rsid w:val="4A555C30"/>
    <w:rsid w:val="4B187071"/>
    <w:rsid w:val="4B7818BD"/>
    <w:rsid w:val="4B787A3F"/>
    <w:rsid w:val="4BFF1F54"/>
    <w:rsid w:val="4C3C5617"/>
    <w:rsid w:val="4C4D4AF8"/>
    <w:rsid w:val="4C4F261E"/>
    <w:rsid w:val="4C8756E3"/>
    <w:rsid w:val="4C8D3147"/>
    <w:rsid w:val="4C951AAA"/>
    <w:rsid w:val="4C982217"/>
    <w:rsid w:val="4CB62B01"/>
    <w:rsid w:val="4CCA2BFB"/>
    <w:rsid w:val="4CD45A3E"/>
    <w:rsid w:val="4CE3349F"/>
    <w:rsid w:val="4CF34742"/>
    <w:rsid w:val="4D044DB4"/>
    <w:rsid w:val="4D4E28D6"/>
    <w:rsid w:val="4D557329"/>
    <w:rsid w:val="4D5B14B4"/>
    <w:rsid w:val="4D6245D3"/>
    <w:rsid w:val="4D736443"/>
    <w:rsid w:val="4D8D29C9"/>
    <w:rsid w:val="4DB84022"/>
    <w:rsid w:val="4DD70B1D"/>
    <w:rsid w:val="4DEC2FFC"/>
    <w:rsid w:val="4DFA480C"/>
    <w:rsid w:val="4E165F61"/>
    <w:rsid w:val="4E203E0E"/>
    <w:rsid w:val="4E23222F"/>
    <w:rsid w:val="4E503BAA"/>
    <w:rsid w:val="4E8F351A"/>
    <w:rsid w:val="4EFC5790"/>
    <w:rsid w:val="4F142BB7"/>
    <w:rsid w:val="4F416B96"/>
    <w:rsid w:val="4F4B5368"/>
    <w:rsid w:val="4F5A1A06"/>
    <w:rsid w:val="4F5B577E"/>
    <w:rsid w:val="4F7D3946"/>
    <w:rsid w:val="4F7F4EB2"/>
    <w:rsid w:val="4F846A83"/>
    <w:rsid w:val="4FA90297"/>
    <w:rsid w:val="4FB9443F"/>
    <w:rsid w:val="4FBD08DF"/>
    <w:rsid w:val="4FC46117"/>
    <w:rsid w:val="4FDE5BC3"/>
    <w:rsid w:val="4FE6207D"/>
    <w:rsid w:val="4FEB08B0"/>
    <w:rsid w:val="500009EA"/>
    <w:rsid w:val="50040D6C"/>
    <w:rsid w:val="50281B04"/>
    <w:rsid w:val="5029771A"/>
    <w:rsid w:val="509251CF"/>
    <w:rsid w:val="50B05148"/>
    <w:rsid w:val="50B17533"/>
    <w:rsid w:val="51246D13"/>
    <w:rsid w:val="51C05FDF"/>
    <w:rsid w:val="51D80421"/>
    <w:rsid w:val="51DC2D32"/>
    <w:rsid w:val="51E47CAD"/>
    <w:rsid w:val="51E655A8"/>
    <w:rsid w:val="52293911"/>
    <w:rsid w:val="53016CFD"/>
    <w:rsid w:val="530C1269"/>
    <w:rsid w:val="531405EC"/>
    <w:rsid w:val="531C5BCB"/>
    <w:rsid w:val="533E66BE"/>
    <w:rsid w:val="536746F1"/>
    <w:rsid w:val="5382152B"/>
    <w:rsid w:val="539B3EAD"/>
    <w:rsid w:val="53B4545D"/>
    <w:rsid w:val="53D068D4"/>
    <w:rsid w:val="53F4459D"/>
    <w:rsid w:val="54271FE7"/>
    <w:rsid w:val="543F0341"/>
    <w:rsid w:val="54513065"/>
    <w:rsid w:val="54723DEB"/>
    <w:rsid w:val="54A656ED"/>
    <w:rsid w:val="54AD53A0"/>
    <w:rsid w:val="54D2649A"/>
    <w:rsid w:val="55103E40"/>
    <w:rsid w:val="55306D65"/>
    <w:rsid w:val="557B06BC"/>
    <w:rsid w:val="557D6F17"/>
    <w:rsid w:val="55920CA6"/>
    <w:rsid w:val="55A439DB"/>
    <w:rsid w:val="55A66B18"/>
    <w:rsid w:val="55CE5FAF"/>
    <w:rsid w:val="55F33BA2"/>
    <w:rsid w:val="55F95084"/>
    <w:rsid w:val="56072502"/>
    <w:rsid w:val="561346BC"/>
    <w:rsid w:val="56180F27"/>
    <w:rsid w:val="5632548A"/>
    <w:rsid w:val="56947CB9"/>
    <w:rsid w:val="56A87D26"/>
    <w:rsid w:val="56C31910"/>
    <w:rsid w:val="56CD475D"/>
    <w:rsid w:val="56E36785"/>
    <w:rsid w:val="56FB3ACE"/>
    <w:rsid w:val="57174680"/>
    <w:rsid w:val="572C012C"/>
    <w:rsid w:val="57494A63"/>
    <w:rsid w:val="57BA777E"/>
    <w:rsid w:val="57D2216F"/>
    <w:rsid w:val="58146A07"/>
    <w:rsid w:val="586E4240"/>
    <w:rsid w:val="58772B82"/>
    <w:rsid w:val="588A66DF"/>
    <w:rsid w:val="589760B9"/>
    <w:rsid w:val="58C53696"/>
    <w:rsid w:val="58EC42D4"/>
    <w:rsid w:val="58F6733F"/>
    <w:rsid w:val="58FA7DB6"/>
    <w:rsid w:val="5903310E"/>
    <w:rsid w:val="59176D0E"/>
    <w:rsid w:val="59202368"/>
    <w:rsid w:val="5937763B"/>
    <w:rsid w:val="59377FE6"/>
    <w:rsid w:val="59554FEC"/>
    <w:rsid w:val="5979360D"/>
    <w:rsid w:val="5987231B"/>
    <w:rsid w:val="59892CB1"/>
    <w:rsid w:val="59961CCE"/>
    <w:rsid w:val="599761D5"/>
    <w:rsid w:val="59BE36AB"/>
    <w:rsid w:val="5A4C2893"/>
    <w:rsid w:val="5A5D5CA9"/>
    <w:rsid w:val="5A8F631C"/>
    <w:rsid w:val="5A9A0292"/>
    <w:rsid w:val="5A9F51BF"/>
    <w:rsid w:val="5AA21243"/>
    <w:rsid w:val="5ABA09C3"/>
    <w:rsid w:val="5ADA0D78"/>
    <w:rsid w:val="5B5A4B3C"/>
    <w:rsid w:val="5B5E287E"/>
    <w:rsid w:val="5BB72DFA"/>
    <w:rsid w:val="5BC76675"/>
    <w:rsid w:val="5BEA2363"/>
    <w:rsid w:val="5BF1122A"/>
    <w:rsid w:val="5BF14209"/>
    <w:rsid w:val="5BFE5E0F"/>
    <w:rsid w:val="5C0D324F"/>
    <w:rsid w:val="5C243387"/>
    <w:rsid w:val="5C5A7255"/>
    <w:rsid w:val="5C7B1A0A"/>
    <w:rsid w:val="5C8B4720"/>
    <w:rsid w:val="5CF43966"/>
    <w:rsid w:val="5D170F36"/>
    <w:rsid w:val="5D270DF1"/>
    <w:rsid w:val="5D276C9F"/>
    <w:rsid w:val="5D35760E"/>
    <w:rsid w:val="5D47794D"/>
    <w:rsid w:val="5D6718A8"/>
    <w:rsid w:val="5DA4378F"/>
    <w:rsid w:val="5DA44433"/>
    <w:rsid w:val="5DBA48BB"/>
    <w:rsid w:val="5DC0337C"/>
    <w:rsid w:val="5DD200E2"/>
    <w:rsid w:val="5DF47470"/>
    <w:rsid w:val="5DFE3EA4"/>
    <w:rsid w:val="5DFE6F3B"/>
    <w:rsid w:val="5DFF3FD4"/>
    <w:rsid w:val="5E033269"/>
    <w:rsid w:val="5E141DC9"/>
    <w:rsid w:val="5E422C68"/>
    <w:rsid w:val="5E8171A1"/>
    <w:rsid w:val="5E9642F5"/>
    <w:rsid w:val="5EA315E6"/>
    <w:rsid w:val="5EAB50CF"/>
    <w:rsid w:val="5EB75082"/>
    <w:rsid w:val="5ED82947"/>
    <w:rsid w:val="5EF552A7"/>
    <w:rsid w:val="5F1A373D"/>
    <w:rsid w:val="5F6B2401"/>
    <w:rsid w:val="5F6D434A"/>
    <w:rsid w:val="5F940380"/>
    <w:rsid w:val="5FCC6AA8"/>
    <w:rsid w:val="5FD21C15"/>
    <w:rsid w:val="5FDC0D4A"/>
    <w:rsid w:val="5FE33352"/>
    <w:rsid w:val="5FE92684"/>
    <w:rsid w:val="60111CAB"/>
    <w:rsid w:val="60430294"/>
    <w:rsid w:val="60713851"/>
    <w:rsid w:val="60A2401D"/>
    <w:rsid w:val="60B719D8"/>
    <w:rsid w:val="60C82547"/>
    <w:rsid w:val="60F15F42"/>
    <w:rsid w:val="612479FF"/>
    <w:rsid w:val="61471ACE"/>
    <w:rsid w:val="616A7F28"/>
    <w:rsid w:val="61C13B66"/>
    <w:rsid w:val="61CC66FB"/>
    <w:rsid w:val="61E0223F"/>
    <w:rsid w:val="62161F3E"/>
    <w:rsid w:val="622B71B9"/>
    <w:rsid w:val="6270239D"/>
    <w:rsid w:val="62AF04F7"/>
    <w:rsid w:val="62E053D1"/>
    <w:rsid w:val="630A262A"/>
    <w:rsid w:val="6315416A"/>
    <w:rsid w:val="6320666B"/>
    <w:rsid w:val="63666773"/>
    <w:rsid w:val="63812B2C"/>
    <w:rsid w:val="639F3A33"/>
    <w:rsid w:val="63B92BCC"/>
    <w:rsid w:val="63BA6ABF"/>
    <w:rsid w:val="63CE7438"/>
    <w:rsid w:val="63E06A7E"/>
    <w:rsid w:val="63EC01F2"/>
    <w:rsid w:val="63F208C0"/>
    <w:rsid w:val="64015D03"/>
    <w:rsid w:val="64155AA4"/>
    <w:rsid w:val="641E51DF"/>
    <w:rsid w:val="642C178F"/>
    <w:rsid w:val="64915A72"/>
    <w:rsid w:val="64D21BE7"/>
    <w:rsid w:val="64E75692"/>
    <w:rsid w:val="650A75D2"/>
    <w:rsid w:val="651112BF"/>
    <w:rsid w:val="6525705F"/>
    <w:rsid w:val="652C1320"/>
    <w:rsid w:val="65796CD3"/>
    <w:rsid w:val="658E1FB1"/>
    <w:rsid w:val="658F0C8A"/>
    <w:rsid w:val="65943C08"/>
    <w:rsid w:val="65960E66"/>
    <w:rsid w:val="659E5E1D"/>
    <w:rsid w:val="65AD4628"/>
    <w:rsid w:val="65B01F28"/>
    <w:rsid w:val="65B55E97"/>
    <w:rsid w:val="65C571F4"/>
    <w:rsid w:val="65DC3A1F"/>
    <w:rsid w:val="65DE7A95"/>
    <w:rsid w:val="65E6594A"/>
    <w:rsid w:val="66002466"/>
    <w:rsid w:val="660D1128"/>
    <w:rsid w:val="66185489"/>
    <w:rsid w:val="66195D1F"/>
    <w:rsid w:val="662B5A52"/>
    <w:rsid w:val="66501015"/>
    <w:rsid w:val="666F3B91"/>
    <w:rsid w:val="66725BFB"/>
    <w:rsid w:val="667C0290"/>
    <w:rsid w:val="667C4500"/>
    <w:rsid w:val="669827C7"/>
    <w:rsid w:val="66AD6467"/>
    <w:rsid w:val="66C27D6F"/>
    <w:rsid w:val="66C337DE"/>
    <w:rsid w:val="66D26775"/>
    <w:rsid w:val="66E16111"/>
    <w:rsid w:val="66EF5AA1"/>
    <w:rsid w:val="67006EDF"/>
    <w:rsid w:val="67184229"/>
    <w:rsid w:val="671D477F"/>
    <w:rsid w:val="67452B44"/>
    <w:rsid w:val="676D5447"/>
    <w:rsid w:val="6787315C"/>
    <w:rsid w:val="67A35B3A"/>
    <w:rsid w:val="67C0431D"/>
    <w:rsid w:val="67CF0D07"/>
    <w:rsid w:val="67E83C27"/>
    <w:rsid w:val="67EC2FBF"/>
    <w:rsid w:val="67ED7A99"/>
    <w:rsid w:val="68085F5A"/>
    <w:rsid w:val="68131D4B"/>
    <w:rsid w:val="68272C9C"/>
    <w:rsid w:val="68273FF7"/>
    <w:rsid w:val="683F7593"/>
    <w:rsid w:val="684D3A5E"/>
    <w:rsid w:val="68623356"/>
    <w:rsid w:val="6865011A"/>
    <w:rsid w:val="689E1495"/>
    <w:rsid w:val="68D8555E"/>
    <w:rsid w:val="68DC4DE2"/>
    <w:rsid w:val="691B0000"/>
    <w:rsid w:val="694A4DB3"/>
    <w:rsid w:val="696873C7"/>
    <w:rsid w:val="69CC4E56"/>
    <w:rsid w:val="69DB6C70"/>
    <w:rsid w:val="69DC0762"/>
    <w:rsid w:val="69E95A08"/>
    <w:rsid w:val="6A057816"/>
    <w:rsid w:val="6A096CD3"/>
    <w:rsid w:val="6A3A44B6"/>
    <w:rsid w:val="6A577655"/>
    <w:rsid w:val="6A5A55C2"/>
    <w:rsid w:val="6AA858C3"/>
    <w:rsid w:val="6AB3678B"/>
    <w:rsid w:val="6AB541FC"/>
    <w:rsid w:val="6ABA600F"/>
    <w:rsid w:val="6ACA4F42"/>
    <w:rsid w:val="6AD8488D"/>
    <w:rsid w:val="6AFA55B6"/>
    <w:rsid w:val="6B06502A"/>
    <w:rsid w:val="6B11490F"/>
    <w:rsid w:val="6B296E17"/>
    <w:rsid w:val="6B302937"/>
    <w:rsid w:val="6B4D1FC7"/>
    <w:rsid w:val="6B572DC3"/>
    <w:rsid w:val="6B614B0C"/>
    <w:rsid w:val="6B80414A"/>
    <w:rsid w:val="6B902452"/>
    <w:rsid w:val="6B9F4B52"/>
    <w:rsid w:val="6BD149A6"/>
    <w:rsid w:val="6BDB5825"/>
    <w:rsid w:val="6C111246"/>
    <w:rsid w:val="6C1D5E3D"/>
    <w:rsid w:val="6C803039"/>
    <w:rsid w:val="6C8F6784"/>
    <w:rsid w:val="6C916AB9"/>
    <w:rsid w:val="6C93245A"/>
    <w:rsid w:val="6CB43503"/>
    <w:rsid w:val="6CCB5899"/>
    <w:rsid w:val="6D22603A"/>
    <w:rsid w:val="6D3F3B91"/>
    <w:rsid w:val="6D823EBE"/>
    <w:rsid w:val="6D8C0532"/>
    <w:rsid w:val="6DD34C67"/>
    <w:rsid w:val="6E214824"/>
    <w:rsid w:val="6E657628"/>
    <w:rsid w:val="6E6B6F27"/>
    <w:rsid w:val="6E80505B"/>
    <w:rsid w:val="6E8126B3"/>
    <w:rsid w:val="6E835C32"/>
    <w:rsid w:val="6E9A5523"/>
    <w:rsid w:val="6E9D034A"/>
    <w:rsid w:val="6EAE77A9"/>
    <w:rsid w:val="6ED94286"/>
    <w:rsid w:val="6EDC04F7"/>
    <w:rsid w:val="6EF914F5"/>
    <w:rsid w:val="6F0B6421"/>
    <w:rsid w:val="6F1572A0"/>
    <w:rsid w:val="6F2C51E7"/>
    <w:rsid w:val="6F3E308A"/>
    <w:rsid w:val="6F476480"/>
    <w:rsid w:val="6F564F1C"/>
    <w:rsid w:val="6FA1728E"/>
    <w:rsid w:val="6FA46DD8"/>
    <w:rsid w:val="6FBB7E47"/>
    <w:rsid w:val="6FC860C0"/>
    <w:rsid w:val="6FF43359"/>
    <w:rsid w:val="70006D09"/>
    <w:rsid w:val="7006027C"/>
    <w:rsid w:val="70065DD2"/>
    <w:rsid w:val="701249CD"/>
    <w:rsid w:val="706E686D"/>
    <w:rsid w:val="70871AD7"/>
    <w:rsid w:val="70972D4C"/>
    <w:rsid w:val="70B94357"/>
    <w:rsid w:val="70D535B7"/>
    <w:rsid w:val="70D806F3"/>
    <w:rsid w:val="70DF5DB7"/>
    <w:rsid w:val="70E23EAC"/>
    <w:rsid w:val="71131A08"/>
    <w:rsid w:val="712612F0"/>
    <w:rsid w:val="712C56E3"/>
    <w:rsid w:val="71664F1F"/>
    <w:rsid w:val="723F63A5"/>
    <w:rsid w:val="724F2AC9"/>
    <w:rsid w:val="726F1F3A"/>
    <w:rsid w:val="727268E0"/>
    <w:rsid w:val="72830C57"/>
    <w:rsid w:val="72C94629"/>
    <w:rsid w:val="72D72D41"/>
    <w:rsid w:val="72F71196"/>
    <w:rsid w:val="731B14E6"/>
    <w:rsid w:val="73353A6C"/>
    <w:rsid w:val="73756254"/>
    <w:rsid w:val="737A29C8"/>
    <w:rsid w:val="738B2725"/>
    <w:rsid w:val="739C1D3D"/>
    <w:rsid w:val="73D73D11"/>
    <w:rsid w:val="73EB6821"/>
    <w:rsid w:val="73EC265C"/>
    <w:rsid w:val="74034986"/>
    <w:rsid w:val="741D7F20"/>
    <w:rsid w:val="741E09A4"/>
    <w:rsid w:val="741E5701"/>
    <w:rsid w:val="7423420D"/>
    <w:rsid w:val="747F7695"/>
    <w:rsid w:val="7491404D"/>
    <w:rsid w:val="74923DD8"/>
    <w:rsid w:val="74980757"/>
    <w:rsid w:val="74A16D28"/>
    <w:rsid w:val="74DB106B"/>
    <w:rsid w:val="75106440"/>
    <w:rsid w:val="756C51E3"/>
    <w:rsid w:val="75A0762E"/>
    <w:rsid w:val="75AB479D"/>
    <w:rsid w:val="75CE7D56"/>
    <w:rsid w:val="75DD2AFA"/>
    <w:rsid w:val="75E460AA"/>
    <w:rsid w:val="75F25761"/>
    <w:rsid w:val="76165DD7"/>
    <w:rsid w:val="762F455C"/>
    <w:rsid w:val="76447F3E"/>
    <w:rsid w:val="76A11F6D"/>
    <w:rsid w:val="76DE7925"/>
    <w:rsid w:val="76F517C0"/>
    <w:rsid w:val="771B4819"/>
    <w:rsid w:val="7723168A"/>
    <w:rsid w:val="7736125B"/>
    <w:rsid w:val="774626EC"/>
    <w:rsid w:val="77626DFA"/>
    <w:rsid w:val="77642210"/>
    <w:rsid w:val="777702D8"/>
    <w:rsid w:val="778E3A71"/>
    <w:rsid w:val="778F4F02"/>
    <w:rsid w:val="77A212FD"/>
    <w:rsid w:val="77C655DB"/>
    <w:rsid w:val="78021921"/>
    <w:rsid w:val="7825412B"/>
    <w:rsid w:val="784C7EB0"/>
    <w:rsid w:val="7859644F"/>
    <w:rsid w:val="785E52D9"/>
    <w:rsid w:val="78825428"/>
    <w:rsid w:val="788F1E71"/>
    <w:rsid w:val="78957F17"/>
    <w:rsid w:val="78A551F0"/>
    <w:rsid w:val="78B92171"/>
    <w:rsid w:val="78CD5ADC"/>
    <w:rsid w:val="78FD14F2"/>
    <w:rsid w:val="79330A4E"/>
    <w:rsid w:val="793D1D39"/>
    <w:rsid w:val="79904AAD"/>
    <w:rsid w:val="79921B7D"/>
    <w:rsid w:val="79955265"/>
    <w:rsid w:val="799A1440"/>
    <w:rsid w:val="79A100AE"/>
    <w:rsid w:val="79A438AD"/>
    <w:rsid w:val="79B606C6"/>
    <w:rsid w:val="79E033A0"/>
    <w:rsid w:val="79ED703A"/>
    <w:rsid w:val="7A187C44"/>
    <w:rsid w:val="7A390E51"/>
    <w:rsid w:val="7A431664"/>
    <w:rsid w:val="7A635363"/>
    <w:rsid w:val="7A7E03EF"/>
    <w:rsid w:val="7A804167"/>
    <w:rsid w:val="7A8D6872"/>
    <w:rsid w:val="7A943D7D"/>
    <w:rsid w:val="7A98273D"/>
    <w:rsid w:val="7A9C2087"/>
    <w:rsid w:val="7AC62AC8"/>
    <w:rsid w:val="7AD51C0E"/>
    <w:rsid w:val="7AF2795C"/>
    <w:rsid w:val="7B087DC6"/>
    <w:rsid w:val="7B1152C8"/>
    <w:rsid w:val="7B18614D"/>
    <w:rsid w:val="7B3B2BBC"/>
    <w:rsid w:val="7B6C7864"/>
    <w:rsid w:val="7B8F013F"/>
    <w:rsid w:val="7B9F686F"/>
    <w:rsid w:val="7BAD0F8C"/>
    <w:rsid w:val="7BB10004"/>
    <w:rsid w:val="7BB702A7"/>
    <w:rsid w:val="7BC93656"/>
    <w:rsid w:val="7BC9569A"/>
    <w:rsid w:val="7BC96752"/>
    <w:rsid w:val="7BFB0ABB"/>
    <w:rsid w:val="7C125848"/>
    <w:rsid w:val="7C1728A9"/>
    <w:rsid w:val="7C1F275F"/>
    <w:rsid w:val="7C4A287E"/>
    <w:rsid w:val="7C5D6902"/>
    <w:rsid w:val="7C5F6F1C"/>
    <w:rsid w:val="7C6465C1"/>
    <w:rsid w:val="7C780A48"/>
    <w:rsid w:val="7C7C0683"/>
    <w:rsid w:val="7C7C66A8"/>
    <w:rsid w:val="7C7D3061"/>
    <w:rsid w:val="7C812119"/>
    <w:rsid w:val="7C82611E"/>
    <w:rsid w:val="7CAA6373"/>
    <w:rsid w:val="7CAE4C51"/>
    <w:rsid w:val="7CE85FC4"/>
    <w:rsid w:val="7D05671F"/>
    <w:rsid w:val="7D6878F6"/>
    <w:rsid w:val="7DC30D31"/>
    <w:rsid w:val="7E024E93"/>
    <w:rsid w:val="7E110BB2"/>
    <w:rsid w:val="7E293129"/>
    <w:rsid w:val="7E3F60E7"/>
    <w:rsid w:val="7E86775F"/>
    <w:rsid w:val="7EF21420"/>
    <w:rsid w:val="7F09731F"/>
    <w:rsid w:val="7F1565E0"/>
    <w:rsid w:val="7F2B3C8E"/>
    <w:rsid w:val="7F305AED"/>
    <w:rsid w:val="7F507DBC"/>
    <w:rsid w:val="7F531E4A"/>
    <w:rsid w:val="7F5C05D3"/>
    <w:rsid w:val="7F7B4D7A"/>
    <w:rsid w:val="7F82628B"/>
    <w:rsid w:val="7F9F6E3D"/>
    <w:rsid w:val="7FBA13A9"/>
    <w:rsid w:val="7FBD3767"/>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0"/>
    <w:pPr>
      <w:keepNext/>
      <w:keepLines/>
      <w:spacing w:before="340" w:after="330" w:line="576" w:lineRule="auto"/>
      <w:outlineLvl w:val="0"/>
    </w:pPr>
    <w:rPr>
      <w:b/>
      <w:kern w:val="44"/>
      <w:sz w:val="44"/>
      <w:szCs w:val="20"/>
    </w:rPr>
  </w:style>
  <w:style w:type="paragraph" w:styleId="5">
    <w:name w:val="heading 2"/>
    <w:basedOn w:val="1"/>
    <w:next w:val="1"/>
    <w:qFormat/>
    <w:uiPriority w:val="0"/>
    <w:pPr>
      <w:keepNext/>
      <w:keepLines/>
      <w:spacing w:before="260" w:after="120" w:line="415" w:lineRule="auto"/>
      <w:outlineLvl w:val="1"/>
    </w:pPr>
    <w:rPr>
      <w:rFonts w:ascii="Arial" w:hAnsi="Arial"/>
      <w:b/>
      <w:bCs/>
      <w:kern w:val="0"/>
      <w:sz w:val="32"/>
      <w:szCs w:val="32"/>
    </w:rPr>
  </w:style>
  <w:style w:type="paragraph" w:styleId="6">
    <w:name w:val="heading 3"/>
    <w:basedOn w:val="1"/>
    <w:next w:val="1"/>
    <w:unhideWhenUsed/>
    <w:qFormat/>
    <w:uiPriority w:val="0"/>
    <w:pPr>
      <w:keepNext/>
      <w:keepLines/>
      <w:numPr>
        <w:ilvl w:val="0"/>
        <w:numId w:val="1"/>
      </w:numPr>
      <w:spacing w:before="260" w:line="360" w:lineRule="auto"/>
      <w:ind w:left="420" w:right="100" w:rightChars="100"/>
      <w:jc w:val="left"/>
      <w:outlineLvl w:val="2"/>
    </w:pPr>
    <w:rPr>
      <w:b/>
      <w:bCs/>
      <w:sz w:val="28"/>
      <w:szCs w:val="32"/>
    </w:rPr>
  </w:style>
  <w:style w:type="paragraph" w:styleId="7">
    <w:name w:val="heading 4"/>
    <w:basedOn w:val="1"/>
    <w:next w:val="1"/>
    <w:unhideWhenUsed/>
    <w:qFormat/>
    <w:uiPriority w:val="0"/>
    <w:pPr>
      <w:keepNext/>
      <w:keepLines/>
      <w:numPr>
        <w:ilvl w:val="0"/>
        <w:numId w:val="2"/>
      </w:numPr>
      <w:spacing w:before="280" w:line="377" w:lineRule="auto"/>
      <w:outlineLvl w:val="3"/>
    </w:pPr>
    <w:rPr>
      <w:rFonts w:asciiTheme="majorHAnsi" w:hAnsiTheme="majorHAnsi" w:eastAsiaTheme="majorEastAsia" w:cstheme="majorBidi"/>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39"/>
    <w:pPr>
      <w:ind w:left="420" w:leftChars="200"/>
    </w:pPr>
    <w:rPr>
      <w:rFonts w:cs="Angsana New"/>
      <w:lang w:bidi="th-TH"/>
    </w:rPr>
  </w:style>
  <w:style w:type="paragraph" w:styleId="8">
    <w:name w:val="Normal Indent"/>
    <w:basedOn w:val="1"/>
    <w:next w:val="1"/>
    <w:qFormat/>
    <w:uiPriority w:val="0"/>
    <w:pPr>
      <w:ind w:firstLine="420" w:firstLineChars="200"/>
    </w:pPr>
  </w:style>
  <w:style w:type="paragraph" w:styleId="9">
    <w:name w:val="caption"/>
    <w:basedOn w:val="1"/>
    <w:next w:val="1"/>
    <w:unhideWhenUsed/>
    <w:qFormat/>
    <w:uiPriority w:val="0"/>
    <w:rPr>
      <w:rFonts w:eastAsia="黑体" w:asciiTheme="majorHAnsi" w:hAnsiTheme="majorHAnsi" w:cstheme="majorBidi"/>
      <w:sz w:val="20"/>
      <w:szCs w:val="20"/>
    </w:rPr>
  </w:style>
  <w:style w:type="paragraph" w:styleId="10">
    <w:name w:val="annotation text"/>
    <w:basedOn w:val="1"/>
    <w:link w:val="48"/>
    <w:qFormat/>
    <w:uiPriority w:val="0"/>
    <w:pPr>
      <w:jc w:val="left"/>
    </w:pPr>
  </w:style>
  <w:style w:type="paragraph" w:styleId="11">
    <w:name w:val="Body Text 3"/>
    <w:basedOn w:val="1"/>
    <w:qFormat/>
    <w:uiPriority w:val="0"/>
    <w:pPr>
      <w:spacing w:line="440" w:lineRule="exact"/>
    </w:pPr>
    <w:rPr>
      <w:color w:val="000000"/>
      <w:szCs w:val="18"/>
    </w:rPr>
  </w:style>
  <w:style w:type="paragraph" w:styleId="12">
    <w:name w:val="Body Text Indent"/>
    <w:basedOn w:val="1"/>
    <w:qFormat/>
    <w:uiPriority w:val="0"/>
    <w:pPr>
      <w:ind w:firstLine="444"/>
    </w:pPr>
    <w:rPr>
      <w:b/>
      <w:kern w:val="0"/>
      <w:sz w:val="24"/>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ody Text Indent 2"/>
    <w:basedOn w:val="1"/>
    <w:qFormat/>
    <w:uiPriority w:val="0"/>
    <w:pPr>
      <w:spacing w:line="440" w:lineRule="exact"/>
      <w:ind w:firstLine="412" w:firstLineChars="200"/>
    </w:pPr>
    <w:rPr>
      <w:rFonts w:ascii="宋体" w:hAnsi="宋体"/>
      <w:b/>
      <w:bCs/>
      <w:szCs w:val="20"/>
    </w:rPr>
  </w:style>
  <w:style w:type="paragraph" w:styleId="16">
    <w:name w:val="Balloon Text"/>
    <w:basedOn w:val="1"/>
    <w:link w:val="45"/>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dotted" w:color="auto" w:sz="4" w:space="1"/>
      </w:pBdr>
      <w:tabs>
        <w:tab w:val="center" w:pos="4153"/>
        <w:tab w:val="right" w:pos="8306"/>
      </w:tabs>
      <w:adjustRightInd w:val="0"/>
      <w:spacing w:line="240" w:lineRule="atLeast"/>
      <w:textAlignment w:val="baseline"/>
    </w:pPr>
    <w:rPr>
      <w:rFonts w:ascii="华文楷体" w:hAnsi="华文楷体" w:eastAsia="华文楷体"/>
      <w:kern w:val="0"/>
      <w:sz w:val="18"/>
      <w:szCs w:val="18"/>
    </w:rPr>
  </w:style>
  <w:style w:type="paragraph" w:styleId="19">
    <w:name w:val="toc 1"/>
    <w:basedOn w:val="1"/>
    <w:next w:val="1"/>
    <w:qFormat/>
    <w:uiPriority w:val="39"/>
    <w:rPr>
      <w:rFonts w:cs="Angsana New"/>
      <w:lang w:bidi="th-TH"/>
    </w:rPr>
  </w:style>
  <w:style w:type="paragraph" w:styleId="20">
    <w:name w:val="footnote text"/>
    <w:basedOn w:val="1"/>
    <w:qFormat/>
    <w:uiPriority w:val="0"/>
    <w:rPr>
      <w:sz w:val="20"/>
      <w:szCs w:val="20"/>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napToGrid/>
      <w:kern w:val="0"/>
      <w:sz w:val="21"/>
      <w:szCs w:val="21"/>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annotation subject"/>
    <w:basedOn w:val="10"/>
    <w:next w:val="10"/>
    <w:link w:val="49"/>
    <w:qFormat/>
    <w:uiPriority w:val="0"/>
    <w:rPr>
      <w:b/>
      <w:bCs/>
    </w:rPr>
  </w:style>
  <w:style w:type="paragraph" w:styleId="24">
    <w:name w:val="Body Text First Indent"/>
    <w:basedOn w:val="2"/>
    <w:qFormat/>
    <w:uiPriority w:val="0"/>
    <w:pPr>
      <w:ind w:firstLine="100" w:firstLineChars="100"/>
    </w:pPr>
    <w:rPr>
      <w:szCs w:val="20"/>
    </w:rPr>
  </w:style>
  <w:style w:type="paragraph" w:styleId="25">
    <w:name w:val="Body Text First Indent 2"/>
    <w:basedOn w:val="12"/>
    <w:qFormat/>
    <w:uiPriority w:val="0"/>
    <w:pPr>
      <w:tabs>
        <w:tab w:val="left" w:pos="930"/>
      </w:tabs>
      <w:ind w:left="0" w:leftChars="0" w:firstLine="210"/>
    </w:pPr>
    <w:rPr>
      <w:szCs w:val="20"/>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semiHidden/>
    <w:unhideWhenUsed/>
    <w:qFormat/>
    <w:uiPriority w:val="0"/>
    <w:rPr>
      <w:color w:val="800080"/>
      <w:u w:val="single"/>
    </w:rPr>
  </w:style>
  <w:style w:type="character" w:styleId="31">
    <w:name w:val="Hyperlink"/>
    <w:qFormat/>
    <w:uiPriority w:val="99"/>
    <w:rPr>
      <w:color w:val="0000FF"/>
      <w:u w:val="single"/>
    </w:rPr>
  </w:style>
  <w:style w:type="character" w:styleId="32">
    <w:name w:val="annotation reference"/>
    <w:basedOn w:val="28"/>
    <w:qFormat/>
    <w:uiPriority w:val="0"/>
    <w:rPr>
      <w:sz w:val="21"/>
      <w:szCs w:val="21"/>
    </w:rPr>
  </w:style>
  <w:style w:type="paragraph" w:styleId="33">
    <w:name w:val="No Spacing"/>
    <w:qFormat/>
    <w:uiPriority w:val="0"/>
    <w:rPr>
      <w:rFonts w:ascii="Times New Roman" w:hAnsi="Times New Roman" w:eastAsia="宋体" w:cs="Times New Roman"/>
      <w:sz w:val="22"/>
      <w:szCs w:val="22"/>
      <w:lang w:val="en-US" w:eastAsia="zh-CN" w:bidi="ar-SA"/>
    </w:rPr>
  </w:style>
  <w:style w:type="character" w:customStyle="1" w:styleId="34">
    <w:name w:val="标题 1 字符"/>
    <w:link w:val="4"/>
    <w:qFormat/>
    <w:uiPriority w:val="0"/>
    <w:rPr>
      <w:rFonts w:ascii="Times New Roman" w:hAnsi="Times New Roman" w:eastAsia="宋体" w:cs="Times New Roman"/>
      <w:b/>
      <w:kern w:val="44"/>
      <w:sz w:val="44"/>
    </w:rPr>
  </w:style>
  <w:style w:type="paragraph" w:customStyle="1" w:styleId="35">
    <w:name w:val="z-正文"/>
    <w:basedOn w:val="1"/>
    <w:qFormat/>
    <w:uiPriority w:val="0"/>
    <w:pPr>
      <w:spacing w:line="560" w:lineRule="exact"/>
      <w:ind w:firstLine="200" w:firstLineChars="200"/>
      <w:jc w:val="left"/>
    </w:pPr>
    <w:rPr>
      <w:rFonts w:eastAsia="仿宋_GB2312"/>
      <w:sz w:val="28"/>
      <w:szCs w:val="44"/>
    </w:rPr>
  </w:style>
  <w:style w:type="paragraph" w:customStyle="1" w:styleId="36">
    <w:name w:val="列出段落11"/>
    <w:basedOn w:val="1"/>
    <w:qFormat/>
    <w:uiPriority w:val="34"/>
    <w:pPr>
      <w:ind w:firstLine="420" w:firstLineChars="200"/>
    </w:pPr>
    <w:rPr>
      <w:rFonts w:ascii="宋体" w:hAnsi="宋体"/>
      <w:szCs w:val="22"/>
    </w:rPr>
  </w:style>
  <w:style w:type="paragraph" w:styleId="37">
    <w:name w:val="List Paragraph"/>
    <w:basedOn w:val="1"/>
    <w:qFormat/>
    <w:uiPriority w:val="34"/>
    <w:pPr>
      <w:ind w:firstLine="420" w:firstLineChars="200"/>
    </w:p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41">
    <w:name w:val="列出段落2"/>
    <w:basedOn w:val="1"/>
    <w:qFormat/>
    <w:uiPriority w:val="34"/>
    <w:pPr>
      <w:spacing w:line="360" w:lineRule="auto"/>
      <w:ind w:firstLine="420" w:firstLineChars="200"/>
    </w:pPr>
    <w:rPr>
      <w:rFonts w:ascii="Calibri" w:hAnsi="Calibri"/>
      <w:sz w:val="24"/>
      <w:szCs w:val="22"/>
    </w:rPr>
  </w:style>
  <w:style w:type="paragraph" w:customStyle="1" w:styleId="42">
    <w:name w:val="正文（绿盟科技）"/>
    <w:qFormat/>
    <w:uiPriority w:val="0"/>
    <w:pPr>
      <w:spacing w:line="300" w:lineRule="auto"/>
    </w:pPr>
    <w:rPr>
      <w:rFonts w:ascii="Arial" w:hAnsi="Arial" w:eastAsia="宋体" w:cs="Times New Roman"/>
      <w:szCs w:val="21"/>
      <w:lang w:val="en-US" w:eastAsia="zh-CN" w:bidi="ar-SA"/>
    </w:rPr>
  </w:style>
  <w:style w:type="paragraph" w:customStyle="1" w:styleId="43">
    <w:name w:val="正文_河南黄河信息技术公司模板"/>
    <w:basedOn w:val="1"/>
    <w:qFormat/>
    <w:uiPriority w:val="99"/>
    <w:pPr>
      <w:spacing w:line="360" w:lineRule="auto"/>
      <w:ind w:firstLine="200" w:firstLineChars="200"/>
    </w:pPr>
    <w:rPr>
      <w:rFonts w:ascii="Calibri" w:hAnsi="Calibri" w:cs="Microsoft Uighur"/>
      <w:sz w:val="24"/>
    </w:rPr>
  </w:style>
  <w:style w:type="paragraph" w:customStyle="1" w:styleId="44">
    <w:name w:val="正文 Char Char"/>
    <w:basedOn w:val="1"/>
    <w:qFormat/>
    <w:uiPriority w:val="0"/>
    <w:pPr>
      <w:adjustRightInd w:val="0"/>
      <w:spacing w:line="360" w:lineRule="auto"/>
      <w:ind w:firstLine="480" w:firstLineChars="200"/>
      <w:textAlignment w:val="baseline"/>
    </w:pPr>
    <w:rPr>
      <w:rFonts w:ascii="宋体" w:hAnsi="宋体"/>
      <w:kern w:val="0"/>
      <w:sz w:val="24"/>
    </w:rPr>
  </w:style>
  <w:style w:type="character" w:customStyle="1" w:styleId="45">
    <w:name w:val="批注框文本 字符"/>
    <w:basedOn w:val="28"/>
    <w:link w:val="16"/>
    <w:qFormat/>
    <w:uiPriority w:val="0"/>
    <w:rPr>
      <w:kern w:val="2"/>
      <w:sz w:val="18"/>
      <w:szCs w:val="18"/>
    </w:rPr>
  </w:style>
  <w:style w:type="paragraph" w:customStyle="1" w:styleId="46">
    <w:name w:val="正文A"/>
    <w:basedOn w:val="1"/>
    <w:qFormat/>
    <w:uiPriority w:val="0"/>
    <w:pPr>
      <w:spacing w:line="360" w:lineRule="auto"/>
      <w:ind w:firstLine="200" w:firstLineChars="200"/>
    </w:pPr>
    <w:rPr>
      <w:sz w:val="24"/>
    </w:rPr>
  </w:style>
  <w:style w:type="paragraph" w:customStyle="1" w:styleId="47">
    <w:name w:val="正文_河南黄河信息技术公司"/>
    <w:basedOn w:val="1"/>
    <w:qFormat/>
    <w:uiPriority w:val="0"/>
    <w:pPr>
      <w:spacing w:line="360" w:lineRule="auto"/>
      <w:ind w:left="105" w:leftChars="50" w:firstLine="480" w:firstLineChars="200"/>
    </w:pPr>
    <w:rPr>
      <w:sz w:val="24"/>
    </w:rPr>
  </w:style>
  <w:style w:type="character" w:customStyle="1" w:styleId="48">
    <w:name w:val="批注文字 字符"/>
    <w:basedOn w:val="28"/>
    <w:link w:val="10"/>
    <w:qFormat/>
    <w:uiPriority w:val="0"/>
    <w:rPr>
      <w:kern w:val="2"/>
      <w:sz w:val="21"/>
      <w:szCs w:val="24"/>
    </w:rPr>
  </w:style>
  <w:style w:type="character" w:customStyle="1" w:styleId="49">
    <w:name w:val="批注主题 字符"/>
    <w:basedOn w:val="48"/>
    <w:link w:val="23"/>
    <w:qFormat/>
    <w:uiPriority w:val="0"/>
    <w:rPr>
      <w:b/>
      <w:bCs/>
      <w:kern w:val="2"/>
      <w:sz w:val="21"/>
      <w:szCs w:val="24"/>
    </w:rPr>
  </w:style>
  <w:style w:type="paragraph" w:customStyle="1" w:styleId="50">
    <w:name w:val="图表标题"/>
    <w:basedOn w:val="1"/>
    <w:qFormat/>
    <w:uiPriority w:val="0"/>
    <w:pPr>
      <w:spacing w:line="360" w:lineRule="auto"/>
      <w:jc w:val="center"/>
    </w:pPr>
    <w:rPr>
      <w:rFonts w:eastAsia="黑体"/>
    </w:rPr>
  </w:style>
  <w:style w:type="paragraph" w:customStyle="1" w:styleId="51">
    <w:name w:val="A 正文"/>
    <w:basedOn w:val="1"/>
    <w:qFormat/>
    <w:uiPriority w:val="0"/>
    <w:pPr>
      <w:adjustRightInd w:val="0"/>
      <w:snapToGrid w:val="0"/>
      <w:spacing w:line="288" w:lineRule="auto"/>
      <w:ind w:firstLine="200" w:firstLineChars="200"/>
    </w:pPr>
    <w:rPr>
      <w:rFonts w:ascii="宋体" w:hAnsi="宋体"/>
      <w:sz w:val="28"/>
    </w:rPr>
  </w:style>
  <w:style w:type="paragraph" w:customStyle="1" w:styleId="52">
    <w:name w:val="样式 首行缩进:  2 字符 行距: 单倍行距"/>
    <w:basedOn w:val="1"/>
    <w:qFormat/>
    <w:uiPriority w:val="0"/>
    <w:pPr>
      <w:adjustRightInd w:val="0"/>
      <w:snapToGrid w:val="0"/>
      <w:spacing w:line="288" w:lineRule="auto"/>
      <w:ind w:firstLine="200" w:firstLineChars="200"/>
    </w:pPr>
    <w:rPr>
      <w:rFonts w:ascii="Calibri" w:hAnsi="Calibri" w:cs="宋体"/>
      <w:sz w:val="28"/>
      <w:szCs w:val="20"/>
    </w:rPr>
  </w:style>
  <w:style w:type="paragraph" w:customStyle="1" w:styleId="53">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54">
    <w:name w:val="正文_塔河"/>
    <w:basedOn w:val="1"/>
    <w:qFormat/>
    <w:uiPriority w:val="0"/>
    <w:pPr>
      <w:spacing w:line="360" w:lineRule="auto"/>
      <w:ind w:firstLine="200" w:firstLineChars="200"/>
    </w:pPr>
    <w:rPr>
      <w:rFonts w:ascii="Calibri" w:hAnsi="Calibri" w:cs="黑体"/>
      <w:sz w:val="24"/>
    </w:rPr>
  </w:style>
  <w:style w:type="paragraph" w:customStyle="1" w:styleId="55">
    <w:name w:val="烽火正文"/>
    <w:basedOn w:val="8"/>
    <w:qFormat/>
    <w:uiPriority w:val="0"/>
    <w:pPr>
      <w:spacing w:line="360" w:lineRule="auto"/>
      <w:ind w:firstLine="200"/>
      <w:jc w:val="left"/>
    </w:pPr>
    <w:rPr>
      <w:szCs w:val="21"/>
    </w:rPr>
  </w:style>
  <w:style w:type="character" w:customStyle="1" w:styleId="56">
    <w:name w:val="font151"/>
    <w:basedOn w:val="28"/>
    <w:qFormat/>
    <w:uiPriority w:val="0"/>
    <w:rPr>
      <w:rFonts w:hint="eastAsia" w:ascii="宋体" w:hAnsi="宋体" w:eastAsia="宋体" w:cs="宋体"/>
      <w:color w:val="000000"/>
      <w:sz w:val="18"/>
      <w:szCs w:val="18"/>
      <w:u w:val="none"/>
    </w:rPr>
  </w:style>
  <w:style w:type="character" w:customStyle="1" w:styleId="57">
    <w:name w:val="font251"/>
    <w:basedOn w:val="28"/>
    <w:qFormat/>
    <w:uiPriority w:val="0"/>
    <w:rPr>
      <w:rFonts w:ascii="Wingdings 2" w:hAnsi="Wingdings 2" w:eastAsia="Wingdings 2" w:cs="Wingdings 2"/>
      <w:color w:val="000000"/>
      <w:sz w:val="18"/>
      <w:szCs w:val="18"/>
      <w:u w:val="none"/>
    </w:rPr>
  </w:style>
  <w:style w:type="character" w:customStyle="1" w:styleId="58">
    <w:name w:val="font281"/>
    <w:basedOn w:val="28"/>
    <w:qFormat/>
    <w:uiPriority w:val="0"/>
    <w:rPr>
      <w:rFonts w:hint="default" w:ascii="Wingdings 2" w:hAnsi="Wingdings 2" w:eastAsia="Wingdings 2" w:cs="Wingdings 2"/>
      <w:color w:val="000000"/>
      <w:sz w:val="18"/>
      <w:szCs w:val="18"/>
      <w:u w:val="none"/>
    </w:rPr>
  </w:style>
  <w:style w:type="character" w:customStyle="1" w:styleId="59">
    <w:name w:val="font241"/>
    <w:basedOn w:val="28"/>
    <w:qFormat/>
    <w:uiPriority w:val="0"/>
    <w:rPr>
      <w:rFonts w:hint="eastAsia" w:ascii="宋体" w:hAnsi="宋体" w:eastAsia="宋体" w:cs="宋体"/>
      <w:b/>
      <w:bCs/>
      <w:color w:val="000000"/>
      <w:sz w:val="18"/>
      <w:szCs w:val="18"/>
      <w:u w:val="single"/>
    </w:rPr>
  </w:style>
  <w:style w:type="character" w:customStyle="1" w:styleId="60">
    <w:name w:val="font51"/>
    <w:basedOn w:val="28"/>
    <w:qFormat/>
    <w:uiPriority w:val="0"/>
    <w:rPr>
      <w:rFonts w:hint="eastAsia" w:ascii="宋体" w:hAnsi="宋体" w:eastAsia="宋体" w:cs="宋体"/>
      <w:color w:val="000000"/>
      <w:sz w:val="18"/>
      <w:szCs w:val="18"/>
      <w:u w:val="none"/>
    </w:rPr>
  </w:style>
  <w:style w:type="character" w:customStyle="1" w:styleId="61">
    <w:name w:val="font291"/>
    <w:basedOn w:val="28"/>
    <w:qFormat/>
    <w:uiPriority w:val="0"/>
    <w:rPr>
      <w:rFonts w:hint="default" w:ascii="Times New Roman" w:hAnsi="Times New Roman" w:cs="Times New Roman"/>
      <w:color w:val="000000"/>
      <w:sz w:val="24"/>
      <w:szCs w:val="24"/>
      <w:u w:val="none"/>
    </w:rPr>
  </w:style>
  <w:style w:type="character" w:customStyle="1" w:styleId="62">
    <w:name w:val="font271"/>
    <w:basedOn w:val="28"/>
    <w:qFormat/>
    <w:uiPriority w:val="0"/>
    <w:rPr>
      <w:rFonts w:hint="eastAsia" w:ascii="微软雅黑" w:hAnsi="微软雅黑" w:eastAsia="微软雅黑" w:cs="微软雅黑"/>
      <w:color w:val="000000"/>
      <w:sz w:val="24"/>
      <w:szCs w:val="24"/>
      <w:u w:val="none"/>
    </w:rPr>
  </w:style>
  <w:style w:type="character" w:customStyle="1" w:styleId="63">
    <w:name w:val="font141"/>
    <w:basedOn w:val="28"/>
    <w:qFormat/>
    <w:uiPriority w:val="0"/>
    <w:rPr>
      <w:rFonts w:hint="eastAsia" w:ascii="宋体" w:hAnsi="宋体" w:eastAsia="宋体" w:cs="宋体"/>
      <w:color w:val="000000"/>
      <w:sz w:val="18"/>
      <w:szCs w:val="18"/>
      <w:u w:val="none"/>
    </w:rPr>
  </w:style>
  <w:style w:type="character" w:customStyle="1" w:styleId="64">
    <w:name w:val="font381"/>
    <w:basedOn w:val="28"/>
    <w:qFormat/>
    <w:uiPriority w:val="0"/>
    <w:rPr>
      <w:rFonts w:hint="eastAsia" w:ascii="宋体" w:hAnsi="宋体" w:eastAsia="宋体" w:cs="宋体"/>
      <w:b/>
      <w:bCs/>
      <w:color w:val="000000"/>
      <w:sz w:val="18"/>
      <w:szCs w:val="18"/>
      <w:u w:val="single"/>
    </w:rPr>
  </w:style>
  <w:style w:type="character" w:customStyle="1" w:styleId="65">
    <w:name w:val="font341"/>
    <w:basedOn w:val="28"/>
    <w:qFormat/>
    <w:uiPriority w:val="0"/>
    <w:rPr>
      <w:rFonts w:hint="eastAsia" w:ascii="微软雅黑" w:hAnsi="微软雅黑" w:eastAsia="微软雅黑" w:cs="微软雅黑"/>
      <w:color w:val="000000"/>
      <w:sz w:val="24"/>
      <w:szCs w:val="24"/>
      <w:u w:val="none"/>
    </w:rPr>
  </w:style>
  <w:style w:type="character" w:customStyle="1" w:styleId="66">
    <w:name w:val="font11"/>
    <w:basedOn w:val="28"/>
    <w:qFormat/>
    <w:uiPriority w:val="0"/>
    <w:rPr>
      <w:rFonts w:hint="eastAsia" w:ascii="微软雅黑" w:hAnsi="微软雅黑" w:eastAsia="微软雅黑" w:cs="微软雅黑"/>
      <w:color w:val="000000"/>
      <w:sz w:val="20"/>
      <w:szCs w:val="20"/>
      <w:u w:val="none"/>
    </w:rPr>
  </w:style>
  <w:style w:type="character" w:customStyle="1" w:styleId="67">
    <w:name w:val="font321"/>
    <w:basedOn w:val="28"/>
    <w:qFormat/>
    <w:uiPriority w:val="0"/>
    <w:rPr>
      <w:rFonts w:hint="eastAsia" w:ascii="宋体" w:hAnsi="宋体" w:eastAsia="宋体" w:cs="宋体"/>
      <w:b/>
      <w:bCs/>
      <w:color w:val="000000"/>
      <w:sz w:val="18"/>
      <w:szCs w:val="18"/>
      <w:u w:val="single"/>
    </w:rPr>
  </w:style>
  <w:style w:type="character" w:customStyle="1" w:styleId="68">
    <w:name w:val="font41"/>
    <w:basedOn w:val="28"/>
    <w:qFormat/>
    <w:uiPriority w:val="0"/>
    <w:rPr>
      <w:rFonts w:hint="eastAsia" w:ascii="宋体" w:hAnsi="宋体" w:eastAsia="宋体" w:cs="宋体"/>
      <w:color w:val="000000"/>
      <w:sz w:val="20"/>
      <w:szCs w:val="20"/>
      <w:u w:val="none"/>
    </w:rPr>
  </w:style>
  <w:style w:type="character" w:customStyle="1" w:styleId="69">
    <w:name w:val="font12"/>
    <w:basedOn w:val="28"/>
    <w:qFormat/>
    <w:uiPriority w:val="0"/>
    <w:rPr>
      <w:rFonts w:hint="eastAsia" w:ascii="宋体" w:hAnsi="宋体" w:eastAsia="宋体" w:cs="宋体"/>
      <w:b/>
      <w:bCs/>
      <w:color w:val="000000"/>
      <w:sz w:val="18"/>
      <w:szCs w:val="18"/>
      <w:u w:val="none"/>
    </w:rPr>
  </w:style>
  <w:style w:type="character" w:customStyle="1" w:styleId="70">
    <w:name w:val="font71"/>
    <w:basedOn w:val="28"/>
    <w:qFormat/>
    <w:uiPriority w:val="0"/>
    <w:rPr>
      <w:rFonts w:hint="default" w:ascii="Times New Roman" w:hAnsi="Times New Roman" w:cs="Times New Roman"/>
      <w:b/>
      <w:bCs/>
      <w:color w:val="000000"/>
      <w:sz w:val="18"/>
      <w:szCs w:val="18"/>
      <w:u w:val="none"/>
    </w:rPr>
  </w:style>
  <w:style w:type="character" w:customStyle="1" w:styleId="71">
    <w:name w:val="font61"/>
    <w:basedOn w:val="28"/>
    <w:qFormat/>
    <w:uiPriority w:val="0"/>
    <w:rPr>
      <w:rFonts w:hint="eastAsia" w:ascii="宋体" w:hAnsi="宋体" w:eastAsia="宋体" w:cs="宋体"/>
      <w:b/>
      <w:bCs/>
      <w:color w:val="000000"/>
      <w:sz w:val="20"/>
      <w:szCs w:val="20"/>
      <w:u w:val="none"/>
    </w:rPr>
  </w:style>
  <w:style w:type="character" w:customStyle="1" w:styleId="72">
    <w:name w:val="NormalCharacter"/>
    <w:semiHidden/>
    <w:qFormat/>
    <w:uiPriority w:val="0"/>
    <w:rPr>
      <w:kern w:val="2"/>
      <w:sz w:val="21"/>
      <w:lang w:val="en-US" w:eastAsia="zh-CN" w:bidi="ar-SA"/>
    </w:rPr>
  </w:style>
  <w:style w:type="paragraph" w:customStyle="1" w:styleId="73">
    <w:name w:val="Default"/>
    <w:qFormat/>
    <w:uiPriority w:val="0"/>
    <w:pPr>
      <w:widowControl w:val="0"/>
      <w:autoSpaceDE w:val="0"/>
      <w:autoSpaceDN w:val="0"/>
      <w:adjustRightInd w:val="0"/>
    </w:pPr>
    <w:rPr>
      <w:rFonts w:ascii="华文中宋" w:hAnsi="Times New Roman" w:eastAsia="华文中宋" w:cs="Arial"/>
      <w:color w:val="000000"/>
      <w:sz w:val="24"/>
      <w:szCs w:val="22"/>
      <w:lang w:val="en-US" w:eastAsia="zh-CN" w:bidi="ar-SA"/>
    </w:rPr>
  </w:style>
  <w:style w:type="paragraph" w:customStyle="1" w:styleId="74">
    <w:name w:val="Bid_正文"/>
    <w:basedOn w:val="8"/>
    <w:qFormat/>
    <w:uiPriority w:val="0"/>
    <w:pPr>
      <w:spacing w:afterLines="50"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53</Pages>
  <Words>26052</Words>
  <Characters>28252</Characters>
  <Lines>235</Lines>
  <Paragraphs>66</Paragraphs>
  <TotalTime>1</TotalTime>
  <ScaleCrop>false</ScaleCrop>
  <LinksUpToDate>false</LinksUpToDate>
  <CharactersWithSpaces>30874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2021-04-21T06:01:00Z</dcterms:created>
  <dc:creator>Ray</dc:creator>
  <cp:lastModifiedBy>YJT</cp:lastModifiedBy>
  <cp:lastPrinted>2021-11-24T04:49:00Z</cp:lastPrinted>
  <dcterms:modified xsi:type="dcterms:W3CDTF">2023-03-24T11:13:07Z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1903329AC8EA4FABB44407824F598EC3</vt:lpwstr>
  </property>
</Properties>
</file>