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240" w:lineRule="atLeast"/>
        <w:jc w:val="both"/>
        <w:outlineLvl w:val="9"/>
        <w:rPr>
          <w:rFonts w:hint="eastAsia" w:ascii="微软雅黑" w:hAnsi="微软雅黑" w:eastAsia="微软雅黑" w:cs="微软雅黑"/>
          <w:b/>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center"/>
        <w:textAlignment w:val="auto"/>
        <w:rPr>
          <w:rFonts w:hint="eastAsia" w:ascii="微软雅黑" w:hAnsi="微软雅黑" w:eastAsia="微软雅黑" w:cs="微软雅黑"/>
          <w:b/>
          <w:bCs/>
          <w:color w:val="auto"/>
          <w:sz w:val="56"/>
          <w:szCs w:val="44"/>
          <w:highlight w:val="none"/>
          <w:lang w:eastAsia="zh-CN"/>
        </w:rPr>
      </w:pPr>
      <w:r>
        <w:rPr>
          <w:rFonts w:hint="eastAsia" w:ascii="微软雅黑" w:hAnsi="微软雅黑" w:eastAsia="微软雅黑" w:cs="微软雅黑"/>
          <w:b/>
          <w:bCs/>
          <w:color w:val="auto"/>
          <w:sz w:val="56"/>
          <w:szCs w:val="44"/>
          <w:highlight w:val="none"/>
          <w:lang w:eastAsia="zh-CN"/>
        </w:rPr>
        <w:t>喀什地区第二人民医院2023年度全打印机维修及微机耗材更换服务采购项目</w:t>
      </w:r>
    </w:p>
    <w:p>
      <w:pPr>
        <w:pStyle w:val="2"/>
        <w:rPr>
          <w:rFonts w:hint="eastAsia" w:ascii="微软雅黑" w:hAnsi="微软雅黑" w:eastAsia="微软雅黑" w:cs="微软雅黑"/>
          <w:b/>
          <w:bCs/>
          <w:color w:val="auto"/>
          <w:sz w:val="56"/>
          <w:szCs w:val="44"/>
          <w:highlight w:val="none"/>
          <w:lang w:eastAsia="zh-CN"/>
        </w:rPr>
      </w:pPr>
    </w:p>
    <w:p>
      <w:pPr>
        <w:pStyle w:val="4"/>
        <w:rPr>
          <w:rFonts w:hint="eastAsia"/>
          <w:lang w:eastAsia="zh-CN"/>
        </w:rPr>
      </w:pPr>
    </w:p>
    <w:p>
      <w:pPr>
        <w:pStyle w:val="17"/>
        <w:rPr>
          <w:rFonts w:hint="eastAsia"/>
          <w:color w:val="auto"/>
          <w:highlight w:val="none"/>
        </w:rPr>
      </w:pPr>
    </w:p>
    <w:p>
      <w:pPr>
        <w:spacing w:beforeAutospacing="0" w:afterAutospacing="0" w:line="240" w:lineRule="atLeast"/>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lang w:eastAsia="zh-CN"/>
        </w:rPr>
        <w:t>磋</w:t>
      </w:r>
      <w:r>
        <w:rPr>
          <w:rFonts w:hint="eastAsia" w:ascii="微软雅黑" w:hAnsi="微软雅黑" w:eastAsia="微软雅黑" w:cs="微软雅黑"/>
          <w:b/>
          <w:color w:val="auto"/>
          <w:sz w:val="44"/>
          <w:szCs w:val="44"/>
          <w:highlight w:val="none"/>
          <w:lang w:val="en-US" w:eastAsia="zh-CN"/>
        </w:rPr>
        <w:t xml:space="preserve"> </w:t>
      </w:r>
      <w:r>
        <w:rPr>
          <w:rFonts w:hint="eastAsia" w:ascii="微软雅黑" w:hAnsi="微软雅黑" w:eastAsia="微软雅黑" w:cs="微软雅黑"/>
          <w:b/>
          <w:color w:val="auto"/>
          <w:sz w:val="44"/>
          <w:szCs w:val="44"/>
          <w:highlight w:val="none"/>
          <w:lang w:eastAsia="zh-CN"/>
        </w:rPr>
        <w:t>商</w:t>
      </w:r>
      <w:r>
        <w:rPr>
          <w:rFonts w:hint="eastAsia" w:ascii="微软雅黑" w:hAnsi="微软雅黑" w:eastAsia="微软雅黑" w:cs="微软雅黑"/>
          <w:b/>
          <w:color w:val="auto"/>
          <w:sz w:val="44"/>
          <w:szCs w:val="44"/>
          <w:highlight w:val="none"/>
        </w:rPr>
        <w:t xml:space="preserve"> 文 件</w:t>
      </w:r>
    </w:p>
    <w:p>
      <w:pPr>
        <w:rPr>
          <w:rFonts w:hint="eastAsia" w:ascii="微软雅黑" w:hAnsi="微软雅黑" w:eastAsia="微软雅黑" w:cs="微软雅黑"/>
          <w:color w:val="auto"/>
          <w:highlight w:val="none"/>
        </w:rPr>
      </w:pPr>
    </w:p>
    <w:p>
      <w:pPr>
        <w:spacing w:beforeAutospacing="0" w:afterAutospacing="0" w:line="240" w:lineRule="atLeast"/>
        <w:ind w:firstLine="1921" w:firstLineChars="600"/>
        <w:jc w:val="both"/>
        <w:rPr>
          <w:rFonts w:hint="eastAsia" w:ascii="微软雅黑" w:hAnsi="微软雅黑" w:eastAsia="微软雅黑" w:cs="微软雅黑"/>
          <w:b/>
          <w:color w:val="auto"/>
          <w:sz w:val="32"/>
          <w:highlight w:val="none"/>
          <w:lang w:val="en-US" w:eastAsia="zh-CN"/>
        </w:rPr>
      </w:pPr>
      <w:r>
        <w:rPr>
          <w:rFonts w:hint="eastAsia" w:ascii="微软雅黑" w:hAnsi="微软雅黑" w:eastAsia="微软雅黑" w:cs="微软雅黑"/>
          <w:b/>
          <w:color w:val="auto"/>
          <w:sz w:val="32"/>
          <w:highlight w:val="none"/>
        </w:rPr>
        <w:t>项目编号：</w:t>
      </w:r>
      <w:r>
        <w:rPr>
          <w:rFonts w:hint="eastAsia" w:ascii="微软雅黑" w:hAnsi="微软雅黑" w:eastAsia="微软雅黑" w:cs="微软雅黑"/>
          <w:b/>
          <w:color w:val="auto"/>
          <w:sz w:val="32"/>
          <w:highlight w:val="none"/>
          <w:lang w:eastAsia="zh-CN"/>
        </w:rPr>
        <w:t>23GJ-(CS)004</w:t>
      </w:r>
    </w:p>
    <w:p>
      <w:pPr>
        <w:spacing w:beforeAutospacing="0" w:afterAutospacing="0" w:line="240" w:lineRule="atLeast"/>
        <w:jc w:val="center"/>
        <w:rPr>
          <w:rFonts w:hint="eastAsia" w:ascii="微软雅黑" w:hAnsi="微软雅黑" w:eastAsia="微软雅黑" w:cs="微软雅黑"/>
          <w:b/>
          <w:color w:val="auto"/>
          <w:sz w:val="32"/>
          <w:highlight w:val="none"/>
        </w:rPr>
      </w:pPr>
    </w:p>
    <w:p>
      <w:pPr>
        <w:spacing w:beforeAutospacing="0" w:afterAutospacing="0" w:line="240" w:lineRule="atLeast"/>
        <w:jc w:val="center"/>
        <w:rPr>
          <w:rFonts w:hint="eastAsia" w:ascii="微软雅黑" w:hAnsi="微软雅黑" w:eastAsia="微软雅黑" w:cs="微软雅黑"/>
          <w:b/>
          <w:color w:val="auto"/>
          <w:sz w:val="32"/>
          <w:highlight w:val="none"/>
        </w:rPr>
      </w:pPr>
      <w:r>
        <w:rPr>
          <w:rFonts w:hint="eastAsia" w:ascii="微软雅黑" w:hAnsi="微软雅黑" w:eastAsia="微软雅黑" w:cs="微软雅黑"/>
          <w:b/>
          <w:color w:val="auto"/>
          <w:sz w:val="32"/>
          <w:highlight w:val="none"/>
        </w:rPr>
        <w:t xml:space="preserve">  </w:t>
      </w:r>
    </w:p>
    <w:p>
      <w:pPr>
        <w:spacing w:beforeAutospacing="0" w:afterAutospacing="0" w:line="240" w:lineRule="atLeast"/>
        <w:ind w:firstLine="1121" w:firstLineChars="400"/>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lang w:eastAsia="zh-CN"/>
        </w:rPr>
        <w:t>采</w:t>
      </w:r>
      <w:r>
        <w:rPr>
          <w:rFonts w:hint="eastAsia" w:ascii="微软雅黑" w:hAnsi="微软雅黑" w:eastAsia="微软雅黑" w:cs="微软雅黑"/>
          <w:b/>
          <w:color w:val="auto"/>
          <w:sz w:val="28"/>
          <w:szCs w:val="28"/>
          <w:highlight w:val="none"/>
          <w:lang w:val="en-US" w:eastAsia="zh-CN"/>
        </w:rPr>
        <w:t xml:space="preserve"> </w:t>
      </w:r>
      <w:r>
        <w:rPr>
          <w:rFonts w:hint="eastAsia" w:ascii="微软雅黑" w:hAnsi="微软雅黑" w:eastAsia="微软雅黑" w:cs="微软雅黑"/>
          <w:b/>
          <w:color w:val="auto"/>
          <w:sz w:val="28"/>
          <w:szCs w:val="28"/>
          <w:highlight w:val="none"/>
          <w:lang w:eastAsia="zh-CN"/>
        </w:rPr>
        <w:t>购</w:t>
      </w:r>
      <w:r>
        <w:rPr>
          <w:rFonts w:hint="eastAsia" w:ascii="微软雅黑" w:hAnsi="微软雅黑" w:eastAsia="微软雅黑" w:cs="微软雅黑"/>
          <w:b/>
          <w:color w:val="auto"/>
          <w:sz w:val="28"/>
          <w:szCs w:val="28"/>
          <w:highlight w:val="none"/>
          <w:lang w:val="en-US" w:eastAsia="zh-CN"/>
        </w:rPr>
        <w:t xml:space="preserve"> </w:t>
      </w:r>
      <w:r>
        <w:rPr>
          <w:rFonts w:hint="eastAsia" w:ascii="微软雅黑" w:hAnsi="微软雅黑" w:eastAsia="微软雅黑" w:cs="微软雅黑"/>
          <w:b/>
          <w:color w:val="auto"/>
          <w:sz w:val="28"/>
          <w:szCs w:val="28"/>
          <w:highlight w:val="none"/>
          <w:lang w:eastAsia="zh-CN"/>
        </w:rPr>
        <w:t>人</w:t>
      </w:r>
      <w:r>
        <w:rPr>
          <w:rFonts w:hint="eastAsia" w:ascii="微软雅黑" w:hAnsi="微软雅黑" w:eastAsia="微软雅黑" w:cs="微软雅黑"/>
          <w:b/>
          <w:color w:val="auto"/>
          <w:sz w:val="28"/>
          <w:szCs w:val="28"/>
          <w:highlight w:val="none"/>
        </w:rPr>
        <w:t xml:space="preserve">：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lang w:eastAsia="zh-CN"/>
        </w:rPr>
        <w:t>喀什地区第二人民医院</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rPr>
        <w:t xml:space="preserve"> </w:t>
      </w:r>
    </w:p>
    <w:p>
      <w:pPr>
        <w:ind w:firstLine="1121" w:firstLineChars="400"/>
        <w:rPr>
          <w:rFonts w:hint="eastAsia" w:ascii="微软雅黑" w:hAnsi="微软雅黑" w:eastAsia="微软雅黑" w:cs="微软雅黑"/>
          <w:b/>
          <w:color w:val="auto"/>
          <w:sz w:val="28"/>
          <w:szCs w:val="28"/>
          <w:highlight w:val="none"/>
          <w:u w:val="single"/>
        </w:rPr>
      </w:pPr>
      <w:r>
        <w:rPr>
          <w:rFonts w:hint="eastAsia" w:ascii="微软雅黑" w:hAnsi="微软雅黑" w:eastAsia="微软雅黑" w:cs="微软雅黑"/>
          <w:b/>
          <w:color w:val="auto"/>
          <w:sz w:val="28"/>
          <w:szCs w:val="28"/>
          <w:highlight w:val="none"/>
        </w:rPr>
        <w:t xml:space="preserve">联 系 人：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rPr>
        <w:t xml:space="preserve">伊尔潘江·依布拉音  </w:t>
      </w:r>
      <w:r>
        <w:rPr>
          <w:rFonts w:hint="eastAsia" w:ascii="微软雅黑" w:hAnsi="微软雅黑" w:eastAsia="微软雅黑" w:cs="微软雅黑"/>
          <w:b/>
          <w:color w:val="auto"/>
          <w:sz w:val="28"/>
          <w:szCs w:val="28"/>
          <w:highlight w:val="none"/>
          <w:lang w:val="en-US" w:eastAsia="zh-CN"/>
        </w:rPr>
        <w:t xml:space="preserve"> </w:t>
      </w:r>
      <w:r>
        <w:rPr>
          <w:rFonts w:hint="eastAsia" w:ascii="微软雅黑" w:hAnsi="微软雅黑" w:eastAsia="微软雅黑" w:cs="微软雅黑"/>
          <w:b/>
          <w:color w:val="auto"/>
          <w:sz w:val="28"/>
          <w:szCs w:val="28"/>
          <w:highlight w:val="none"/>
        </w:rPr>
        <w:t xml:space="preserve">   </w:t>
      </w:r>
    </w:p>
    <w:p>
      <w:pPr>
        <w:spacing w:beforeAutospacing="0" w:afterAutospacing="0" w:line="360" w:lineRule="auto"/>
        <w:ind w:firstLine="1121" w:firstLineChars="4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b/>
          <w:color w:val="auto"/>
          <w:sz w:val="28"/>
          <w:szCs w:val="28"/>
          <w:highlight w:val="none"/>
        </w:rPr>
        <w:t xml:space="preserve">联系电话：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13201317901</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p>
    <w:p>
      <w:pPr>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pStyle w:val="17"/>
        <w:rPr>
          <w:rFonts w:hint="eastAsia" w:ascii="微软雅黑" w:hAnsi="微软雅黑" w:eastAsia="微软雅黑" w:cs="微软雅黑"/>
          <w:color w:val="auto"/>
          <w:highlight w:val="none"/>
        </w:rPr>
      </w:pPr>
    </w:p>
    <w:p>
      <w:pPr>
        <w:pStyle w:val="17"/>
        <w:rPr>
          <w:rFonts w:hint="eastAsia" w:ascii="微软雅黑" w:hAnsi="微软雅黑" w:eastAsia="微软雅黑" w:cs="微软雅黑"/>
          <w:color w:val="auto"/>
          <w:highlight w:val="none"/>
        </w:rPr>
      </w:pPr>
    </w:p>
    <w:p>
      <w:pPr>
        <w:pStyle w:val="17"/>
        <w:rPr>
          <w:rFonts w:hint="eastAsia" w:ascii="微软雅黑" w:hAnsi="微软雅黑" w:eastAsia="微软雅黑" w:cs="微软雅黑"/>
          <w:color w:val="auto"/>
          <w:highlight w:val="none"/>
        </w:rPr>
      </w:pPr>
    </w:p>
    <w:p>
      <w:pPr>
        <w:pStyle w:val="17"/>
        <w:rPr>
          <w:rFonts w:hint="eastAsia" w:ascii="微软雅黑" w:hAnsi="微软雅黑" w:eastAsia="微软雅黑" w:cs="微软雅黑"/>
          <w:color w:val="auto"/>
          <w:highlight w:val="none"/>
        </w:rPr>
      </w:pPr>
    </w:p>
    <w:p>
      <w:pPr>
        <w:pStyle w:val="4"/>
        <w:rPr>
          <w:rFonts w:hint="eastAsia" w:ascii="微软雅黑" w:hAnsi="微软雅黑" w:eastAsia="微软雅黑" w:cs="微软雅黑"/>
          <w:color w:val="auto"/>
          <w:sz w:val="28"/>
          <w:szCs w:val="28"/>
          <w:highlight w:val="none"/>
        </w:rPr>
      </w:pPr>
    </w:p>
    <w:p>
      <w:pPr>
        <w:spacing w:beforeAutospacing="0" w:afterAutospacing="0" w:line="240" w:lineRule="atLeast"/>
        <w:ind w:firstLine="1121" w:firstLineChars="400"/>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 xml:space="preserve">代理机构：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eastAsia="zh-CN"/>
        </w:rPr>
        <w:t>新疆共建恒业信息咨询有限责任公司</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rPr>
        <w:t xml:space="preserve">  </w:t>
      </w:r>
    </w:p>
    <w:p>
      <w:pPr>
        <w:spacing w:beforeAutospacing="0" w:afterAutospacing="0" w:line="240" w:lineRule="atLeast"/>
        <w:ind w:firstLine="1121" w:firstLineChars="400"/>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联</w:t>
      </w:r>
      <w:r>
        <w:rPr>
          <w:rFonts w:hint="eastAsia" w:ascii="微软雅黑" w:hAnsi="微软雅黑" w:eastAsia="微软雅黑" w:cs="微软雅黑"/>
          <w:b/>
          <w:color w:val="auto"/>
          <w:sz w:val="28"/>
          <w:szCs w:val="28"/>
          <w:highlight w:val="none"/>
          <w:lang w:val="en-US" w:eastAsia="zh-CN"/>
        </w:rPr>
        <w:t xml:space="preserve"> </w:t>
      </w:r>
      <w:r>
        <w:rPr>
          <w:rFonts w:hint="eastAsia" w:ascii="微软雅黑" w:hAnsi="微软雅黑" w:eastAsia="微软雅黑" w:cs="微软雅黑"/>
          <w:b/>
          <w:color w:val="auto"/>
          <w:sz w:val="28"/>
          <w:szCs w:val="28"/>
          <w:highlight w:val="none"/>
        </w:rPr>
        <w:t>系</w:t>
      </w:r>
      <w:r>
        <w:rPr>
          <w:rFonts w:hint="eastAsia" w:ascii="微软雅黑" w:hAnsi="微软雅黑" w:eastAsia="微软雅黑" w:cs="微软雅黑"/>
          <w:b/>
          <w:color w:val="auto"/>
          <w:sz w:val="28"/>
          <w:szCs w:val="28"/>
          <w:highlight w:val="none"/>
          <w:lang w:val="en-US" w:eastAsia="zh-CN"/>
        </w:rPr>
        <w:t xml:space="preserve"> </w:t>
      </w:r>
      <w:r>
        <w:rPr>
          <w:rFonts w:hint="eastAsia" w:ascii="微软雅黑" w:hAnsi="微软雅黑" w:eastAsia="微软雅黑" w:cs="微软雅黑"/>
          <w:b/>
          <w:color w:val="auto"/>
          <w:sz w:val="28"/>
          <w:szCs w:val="28"/>
          <w:highlight w:val="none"/>
        </w:rPr>
        <w:t xml:space="preserve">人：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朱   萍</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rPr>
        <w:t xml:space="preserve">       </w:t>
      </w:r>
    </w:p>
    <w:p>
      <w:pPr>
        <w:spacing w:beforeAutospacing="0" w:afterAutospacing="0" w:line="240" w:lineRule="atLeast"/>
        <w:ind w:firstLine="1121" w:firstLineChars="400"/>
        <w:rPr>
          <w:rFonts w:hint="eastAsia" w:ascii="微软雅黑" w:hAnsi="微软雅黑" w:eastAsia="微软雅黑" w:cs="微软雅黑"/>
          <w:b/>
          <w:bCs/>
          <w:color w:val="auto"/>
          <w:sz w:val="40"/>
          <w:szCs w:val="48"/>
          <w:highlight w:val="none"/>
        </w:rPr>
      </w:pPr>
      <w:r>
        <w:rPr>
          <w:rFonts w:hint="eastAsia" w:ascii="微软雅黑" w:hAnsi="微软雅黑" w:eastAsia="微软雅黑" w:cs="微软雅黑"/>
          <w:b/>
          <w:color w:val="auto"/>
          <w:sz w:val="28"/>
          <w:szCs w:val="28"/>
          <w:highlight w:val="none"/>
        </w:rPr>
        <w:t xml:space="preserve">联系电话： </w:t>
      </w:r>
      <w:r>
        <w:rPr>
          <w:rFonts w:hint="eastAsia" w:ascii="微软雅黑" w:hAnsi="微软雅黑" w:eastAsia="微软雅黑" w:cs="微软雅黑"/>
          <w:b/>
          <w:color w:val="auto"/>
          <w:sz w:val="28"/>
          <w:szCs w:val="28"/>
          <w:highlight w:val="none"/>
          <w:u w:val="single"/>
        </w:rPr>
        <w:t xml:space="preserve">       18209987338          </w:t>
      </w:r>
      <w:r>
        <w:rPr>
          <w:rFonts w:hint="eastAsia" w:ascii="微软雅黑" w:hAnsi="微软雅黑" w:eastAsia="微软雅黑" w:cs="微软雅黑"/>
          <w:b/>
          <w:color w:val="auto"/>
          <w:sz w:val="28"/>
          <w:szCs w:val="28"/>
          <w:highlight w:val="none"/>
        </w:rPr>
        <w:t xml:space="preserve">   </w:t>
      </w:r>
    </w:p>
    <w:p>
      <w:pPr>
        <w:jc w:val="center"/>
        <w:rPr>
          <w:rFonts w:hint="eastAsia" w:ascii="微软雅黑" w:hAnsi="微软雅黑" w:eastAsia="微软雅黑" w:cs="微软雅黑"/>
          <w:b/>
          <w:bCs/>
          <w:color w:val="auto"/>
          <w:sz w:val="40"/>
          <w:szCs w:val="48"/>
          <w:highlight w:val="none"/>
        </w:rPr>
        <w:sectPr>
          <w:headerReference r:id="rId3" w:type="default"/>
          <w:footerReference r:id="rId4" w:type="default"/>
          <w:pgSz w:w="11906" w:h="16838"/>
          <w:pgMar w:top="1440" w:right="1797" w:bottom="1440" w:left="1797" w:header="851" w:footer="992" w:gutter="0"/>
          <w:pgNumType w:fmt="decimal" w:start="1"/>
          <w:cols w:space="720" w:num="1"/>
          <w:docGrid w:linePitch="312" w:charSpace="0"/>
        </w:sectPr>
      </w:pPr>
    </w:p>
    <w:p>
      <w:pPr>
        <w:jc w:val="center"/>
        <w:rPr>
          <w:rFonts w:hint="eastAsia" w:ascii="微软雅黑" w:hAnsi="微软雅黑" w:eastAsia="微软雅黑" w:cs="微软雅黑"/>
          <w:b/>
          <w:bCs/>
          <w:color w:val="auto"/>
          <w:sz w:val="40"/>
          <w:szCs w:val="48"/>
          <w:highlight w:val="none"/>
        </w:rPr>
      </w:pPr>
      <w:r>
        <w:rPr>
          <w:rFonts w:hint="eastAsia" w:ascii="微软雅黑" w:hAnsi="微软雅黑" w:eastAsia="微软雅黑" w:cs="微软雅黑"/>
          <w:b/>
          <w:bCs/>
          <w:color w:val="auto"/>
          <w:sz w:val="40"/>
          <w:szCs w:val="48"/>
          <w:highlight w:val="none"/>
        </w:rPr>
        <w:t>目录</w:t>
      </w:r>
    </w:p>
    <w:p>
      <w:pPr>
        <w:pStyle w:val="16"/>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color w:val="auto"/>
          <w:kern w:val="0"/>
          <w:szCs w:val="21"/>
          <w:highlight w:val="none"/>
        </w:rPr>
        <w:instrText xml:space="preserve">TOC \o "1-2" \h \u </w:instrText>
      </w:r>
      <w:r>
        <w:rPr>
          <w:rFonts w:hint="eastAsia" w:ascii="微软雅黑" w:hAnsi="微软雅黑" w:eastAsia="微软雅黑" w:cs="微软雅黑"/>
          <w:color w:val="auto"/>
          <w:kern w:val="0"/>
          <w:szCs w:val="21"/>
          <w:highlight w:val="none"/>
        </w:rPr>
        <w:fldChar w:fldCharType="separate"/>
      </w: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_Toc25453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bCs/>
          <w:szCs w:val="21"/>
          <w:highlight w:val="none"/>
          <w:lang w:val="en-US" w:eastAsia="zh-CN"/>
        </w:rPr>
        <w:t>第1章</w: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bCs/>
          <w:szCs w:val="21"/>
          <w:highlight w:val="none"/>
          <w:lang w:val="en-US" w:eastAsia="zh-CN"/>
        </w:rPr>
        <w:t>供应商</w:t>
      </w:r>
      <w:r>
        <w:rPr>
          <w:rFonts w:hint="eastAsia" w:ascii="微软雅黑" w:hAnsi="微软雅黑" w:eastAsia="微软雅黑" w:cs="微软雅黑"/>
          <w:bCs/>
          <w:szCs w:val="21"/>
          <w:highlight w:val="none"/>
        </w:rPr>
        <w:t>须知</w:t>
      </w:r>
      <w:r>
        <w:tab/>
      </w:r>
      <w:r>
        <w:fldChar w:fldCharType="begin"/>
      </w:r>
      <w:r>
        <w:instrText xml:space="preserve"> PAGEREF _Toc25453 \h </w:instrText>
      </w:r>
      <w:r>
        <w:fldChar w:fldCharType="separate"/>
      </w:r>
      <w:r>
        <w:t>3</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_Toc20888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highlight w:val="none"/>
        </w:rPr>
        <w:t>一   总 则</w:t>
      </w:r>
      <w:r>
        <w:tab/>
      </w:r>
      <w:r>
        <w:fldChar w:fldCharType="begin"/>
      </w:r>
      <w:r>
        <w:instrText xml:space="preserve"> PAGEREF _Toc20888 \h </w:instrText>
      </w:r>
      <w:r>
        <w:fldChar w:fldCharType="separate"/>
      </w:r>
      <w:r>
        <w:t>3</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_Toc5830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highlight w:val="none"/>
        </w:rPr>
        <w:t xml:space="preserve">二   </w:t>
      </w:r>
      <w:r>
        <w:rPr>
          <w:rFonts w:hint="eastAsia" w:ascii="微软雅黑" w:hAnsi="微软雅黑" w:eastAsia="微软雅黑" w:cs="微软雅黑"/>
          <w:highlight w:val="none"/>
          <w:lang w:eastAsia="zh-CN"/>
        </w:rPr>
        <w:t>磋商文件</w:t>
      </w:r>
      <w:r>
        <w:tab/>
      </w:r>
      <w:r>
        <w:fldChar w:fldCharType="begin"/>
      </w:r>
      <w:r>
        <w:instrText xml:space="preserve"> PAGEREF _Toc5830 \h </w:instrText>
      </w:r>
      <w:r>
        <w:fldChar w:fldCharType="separate"/>
      </w:r>
      <w:r>
        <w:t>4</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_Toc480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highlight w:val="none"/>
        </w:rPr>
        <w:t xml:space="preserve">三   </w:t>
      </w:r>
      <w:r>
        <w:rPr>
          <w:rFonts w:hint="eastAsia" w:ascii="微软雅黑" w:hAnsi="微软雅黑" w:eastAsia="微软雅黑" w:cs="微软雅黑"/>
          <w:highlight w:val="none"/>
          <w:lang w:eastAsia="zh-CN"/>
        </w:rPr>
        <w:t>响应文件</w:t>
      </w:r>
      <w:r>
        <w:rPr>
          <w:rFonts w:hint="eastAsia" w:ascii="微软雅黑" w:hAnsi="微软雅黑" w:eastAsia="微软雅黑" w:cs="微软雅黑"/>
          <w:highlight w:val="none"/>
        </w:rPr>
        <w:t>的编制</w:t>
      </w:r>
      <w:r>
        <w:tab/>
      </w:r>
      <w:r>
        <w:fldChar w:fldCharType="begin"/>
      </w:r>
      <w:r>
        <w:instrText xml:space="preserve"> PAGEREF _Toc480 \h </w:instrText>
      </w:r>
      <w:r>
        <w:fldChar w:fldCharType="separate"/>
      </w:r>
      <w:r>
        <w:t>5</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_Toc5014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i w:val="0"/>
          <w:spacing w:val="0"/>
          <w:w w:val="100"/>
          <w:highlight w:val="none"/>
        </w:rPr>
        <w:t>四   响应文件的递交</w:t>
      </w:r>
      <w:r>
        <w:tab/>
      </w:r>
      <w:r>
        <w:fldChar w:fldCharType="begin"/>
      </w:r>
      <w:r>
        <w:instrText xml:space="preserve"> PAGEREF _Toc5014 \h </w:instrText>
      </w:r>
      <w:r>
        <w:fldChar w:fldCharType="separate"/>
      </w:r>
      <w:r>
        <w:t>7</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_Toc7319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highlight w:val="none"/>
        </w:rPr>
        <w:t>五   开标及评标</w:t>
      </w:r>
      <w:r>
        <w:tab/>
      </w:r>
      <w:r>
        <w:fldChar w:fldCharType="begin"/>
      </w:r>
      <w:r>
        <w:instrText xml:space="preserve"> PAGEREF _Toc7319 \h </w:instrText>
      </w:r>
      <w:r>
        <w:fldChar w:fldCharType="separate"/>
      </w:r>
      <w:r>
        <w:t>8</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_Toc24983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highlight w:val="none"/>
        </w:rPr>
        <w:t>六   确定</w:t>
      </w:r>
      <w:r>
        <w:rPr>
          <w:rFonts w:hint="eastAsia" w:ascii="微软雅黑" w:hAnsi="微软雅黑" w:eastAsia="微软雅黑" w:cs="微软雅黑"/>
          <w:highlight w:val="none"/>
          <w:lang w:val="en-US" w:eastAsia="zh-CN"/>
        </w:rPr>
        <w:t>成交</w:t>
      </w:r>
      <w:r>
        <w:tab/>
      </w:r>
      <w:r>
        <w:fldChar w:fldCharType="begin"/>
      </w:r>
      <w:r>
        <w:instrText xml:space="preserve"> PAGEREF _Toc24983 \h </w:instrText>
      </w:r>
      <w:r>
        <w:fldChar w:fldCharType="separate"/>
      </w:r>
      <w:r>
        <w:t>12</w:t>
      </w:r>
      <w:r>
        <w:fldChar w:fldCharType="end"/>
      </w:r>
      <w:r>
        <w:rPr>
          <w:rFonts w:hint="eastAsia" w:ascii="微软雅黑" w:hAnsi="微软雅黑" w:eastAsia="微软雅黑" w:cs="微软雅黑"/>
          <w:color w:val="auto"/>
          <w:kern w:val="0"/>
          <w:szCs w:val="21"/>
          <w:highlight w:val="none"/>
        </w:rPr>
        <w:fldChar w:fldCharType="end"/>
      </w:r>
    </w:p>
    <w:p>
      <w:pPr>
        <w:pStyle w:val="16"/>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_Toc25402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i w:val="0"/>
          <w:spacing w:val="0"/>
          <w:w w:val="100"/>
          <w:szCs w:val="24"/>
          <w:highlight w:val="none"/>
        </w:rPr>
        <w:t>第2章 响应文件格式</w:t>
      </w:r>
      <w:r>
        <w:tab/>
      </w:r>
      <w:r>
        <w:fldChar w:fldCharType="begin"/>
      </w:r>
      <w:r>
        <w:instrText xml:space="preserve"> PAGEREF _Toc25402 \h </w:instrText>
      </w:r>
      <w:r>
        <w:fldChar w:fldCharType="separate"/>
      </w:r>
      <w:r>
        <w:t>18</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_Toc23129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i w:val="0"/>
          <w:spacing w:val="0"/>
          <w:w w:val="100"/>
          <w:szCs w:val="24"/>
          <w:highlight w:val="none"/>
        </w:rPr>
        <w:t>第一部分 磋商开启一览表及资格证明文件</w:t>
      </w:r>
      <w:r>
        <w:tab/>
      </w:r>
      <w:r>
        <w:fldChar w:fldCharType="begin"/>
      </w:r>
      <w:r>
        <w:instrText xml:space="preserve"> PAGEREF _Toc23129 \h </w:instrText>
      </w:r>
      <w:r>
        <w:fldChar w:fldCharType="separate"/>
      </w:r>
      <w:r>
        <w:t>18</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_Toc30485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szCs w:val="24"/>
        </w:rPr>
        <w:t xml:space="preserve">1. </w:t>
      </w:r>
      <w:r>
        <w:rPr>
          <w:rFonts w:hint="eastAsia" w:ascii="微软雅黑" w:hAnsi="微软雅黑" w:eastAsia="微软雅黑" w:cs="微软雅黑"/>
          <w:szCs w:val="24"/>
          <w:highlight w:val="none"/>
          <w:lang w:eastAsia="zh-CN"/>
        </w:rPr>
        <w:t>磋商一览表</w:t>
      </w:r>
      <w:r>
        <w:tab/>
      </w:r>
      <w:r>
        <w:fldChar w:fldCharType="begin"/>
      </w:r>
      <w:r>
        <w:instrText xml:space="preserve"> PAGEREF _Toc30485 \h </w:instrText>
      </w:r>
      <w:r>
        <w:fldChar w:fldCharType="separate"/>
      </w:r>
      <w:r>
        <w:t>19</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_Toc30729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kern w:val="0"/>
          <w:szCs w:val="24"/>
          <w:highlight w:val="none"/>
          <w:lang w:val="en-US" w:eastAsia="zh-CN" w:bidi="ar-SA"/>
        </w:rPr>
        <w:t>2.具有有效的营业执照；</w:t>
      </w:r>
      <w:r>
        <w:tab/>
      </w:r>
      <w:r>
        <w:fldChar w:fldCharType="begin"/>
      </w:r>
      <w:r>
        <w:instrText xml:space="preserve"> PAGEREF _Toc30729 \h </w:instrText>
      </w:r>
      <w:r>
        <w:fldChar w:fldCharType="separate"/>
      </w:r>
      <w:r>
        <w:t>19</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_Toc5994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kern w:val="0"/>
          <w:szCs w:val="24"/>
          <w:highlight w:val="none"/>
          <w:lang w:val="en-US" w:eastAsia="zh-CN" w:bidi="ar-SA"/>
        </w:rPr>
        <w:t>3.提供法定代表人身份证明及授权书、被授权人身份证；(法定代表人磋商需提供法定代表人身份证复印件)；</w:t>
      </w:r>
      <w:r>
        <w:tab/>
      </w:r>
      <w:r>
        <w:fldChar w:fldCharType="begin"/>
      </w:r>
      <w:r>
        <w:instrText xml:space="preserve"> PAGEREF _Toc5994 \h </w:instrText>
      </w:r>
      <w:r>
        <w:fldChar w:fldCharType="separate"/>
      </w:r>
      <w:r>
        <w:t>20</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_Toc7038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kern w:val="0"/>
          <w:szCs w:val="24"/>
          <w:highlight w:val="none"/>
          <w:lang w:val="en-US" w:eastAsia="zh-CN" w:bidi="ar-SA"/>
        </w:rPr>
        <w:t>4.近两年任意一年的财务审计报告，新成立的公司提供近三个月内任意一个月的银行资信证明；</w:t>
      </w:r>
      <w:r>
        <w:tab/>
      </w:r>
      <w:r>
        <w:fldChar w:fldCharType="begin"/>
      </w:r>
      <w:r>
        <w:instrText xml:space="preserve"> PAGEREF _Toc7038 \h </w:instrText>
      </w:r>
      <w:r>
        <w:fldChar w:fldCharType="separate"/>
      </w:r>
      <w:r>
        <w:t>22</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_Toc19915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kern w:val="0"/>
          <w:szCs w:val="24"/>
          <w:highlight w:val="none"/>
          <w:lang w:val="en-US" w:eastAsia="zh-CN" w:bidi="ar-SA"/>
        </w:rPr>
        <w:t>5.提供依法缴纳近6个月任意1个月社会保险的证明；</w:t>
      </w:r>
      <w:r>
        <w:tab/>
      </w:r>
      <w:r>
        <w:fldChar w:fldCharType="begin"/>
      </w:r>
      <w:r>
        <w:instrText xml:space="preserve"> PAGEREF _Toc19915 \h </w:instrText>
      </w:r>
      <w:r>
        <w:fldChar w:fldCharType="separate"/>
      </w:r>
      <w:r>
        <w:t>22</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_Toc25128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kern w:val="0"/>
          <w:szCs w:val="24"/>
          <w:highlight w:val="none"/>
          <w:lang w:val="en-US" w:eastAsia="zh-CN" w:bidi="ar-SA"/>
        </w:rPr>
        <w:t>6.提供依法缴纳近6个月任意1个月的税收证明；</w:t>
      </w:r>
      <w:r>
        <w:tab/>
      </w:r>
      <w:r>
        <w:fldChar w:fldCharType="begin"/>
      </w:r>
      <w:r>
        <w:instrText xml:space="preserve"> PAGEREF _Toc25128 \h </w:instrText>
      </w:r>
      <w:r>
        <w:fldChar w:fldCharType="separate"/>
      </w:r>
      <w:r>
        <w:t>22</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_Toc16936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kern w:val="0"/>
          <w:szCs w:val="24"/>
          <w:highlight w:val="none"/>
          <w:lang w:val="en-US" w:eastAsia="zh-CN" w:bidi="ar-SA"/>
        </w:rPr>
        <w:t>7.根据《财政部关于在政府采购活动中查询及使用信用记录有关问题的通知》（财库﹝2016﹞125号）的要求，凡拟参加本次采购项目的供应商，如在“信用中国”网站（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将拒绝其参加本次采购活动；（以采购代理或采购人查询为准）；</w:t>
      </w:r>
      <w:r>
        <w:tab/>
      </w:r>
      <w:r>
        <w:fldChar w:fldCharType="begin"/>
      </w:r>
      <w:r>
        <w:instrText xml:space="preserve"> PAGEREF _Toc16936 \h </w:instrText>
      </w:r>
      <w:r>
        <w:fldChar w:fldCharType="separate"/>
      </w:r>
      <w:r>
        <w:t>22</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_Toc31839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kern w:val="0"/>
          <w:szCs w:val="24"/>
          <w:highlight w:val="none"/>
          <w:lang w:val="en-US" w:eastAsia="zh-CN" w:bidi="ar-SA"/>
        </w:rPr>
        <w:t>8.参与政府采购活动前3年内未被列入失信、重大税收违法案件、财政部门禁止参加政府采购活动的承诺书；</w:t>
      </w:r>
      <w:r>
        <w:tab/>
      </w:r>
      <w:r>
        <w:fldChar w:fldCharType="begin"/>
      </w:r>
      <w:r>
        <w:instrText xml:space="preserve"> PAGEREF _Toc31839 \h </w:instrText>
      </w:r>
      <w:r>
        <w:fldChar w:fldCharType="separate"/>
      </w:r>
      <w:r>
        <w:t>22</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_Toc29318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kern w:val="0"/>
          <w:szCs w:val="24"/>
          <w:highlight w:val="none"/>
          <w:lang w:val="en-US" w:eastAsia="zh-CN" w:bidi="ar-SA"/>
        </w:rPr>
        <w:t>9.提供针对本次项目《反商业贿赂承诺书》；</w:t>
      </w:r>
      <w:r>
        <w:tab/>
      </w:r>
      <w:r>
        <w:fldChar w:fldCharType="begin"/>
      </w:r>
      <w:r>
        <w:instrText xml:space="preserve"> PAGEREF _Toc29318 \h </w:instrText>
      </w:r>
      <w:r>
        <w:fldChar w:fldCharType="separate"/>
      </w:r>
      <w:r>
        <w:t>22</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_Toc18265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kern w:val="0"/>
          <w:szCs w:val="24"/>
          <w:highlight w:val="none"/>
          <w:lang w:val="en-US" w:eastAsia="zh-CN" w:bidi="ar-SA"/>
        </w:rPr>
        <w:t>10.缴纳磋商保证金有效凭证；</w:t>
      </w:r>
      <w:r>
        <w:tab/>
      </w:r>
      <w:r>
        <w:fldChar w:fldCharType="begin"/>
      </w:r>
      <w:r>
        <w:instrText xml:space="preserve"> PAGEREF _Toc18265 \h </w:instrText>
      </w:r>
      <w:r>
        <w:fldChar w:fldCharType="separate"/>
      </w:r>
      <w:r>
        <w:t>23</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_Toc29180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kern w:val="0"/>
          <w:szCs w:val="24"/>
          <w:highlight w:val="none"/>
          <w:lang w:val="en-US" w:eastAsia="zh-CN" w:bidi="ar-SA"/>
        </w:rPr>
        <w:t>11.银行开户许可证复印件或银行基本账户信息(包含：银行账号及开户行名称）；</w:t>
      </w:r>
      <w:r>
        <w:tab/>
      </w:r>
      <w:r>
        <w:fldChar w:fldCharType="begin"/>
      </w:r>
      <w:r>
        <w:instrText xml:space="preserve"> PAGEREF _Toc29180 \h </w:instrText>
      </w:r>
      <w:r>
        <w:fldChar w:fldCharType="separate"/>
      </w:r>
      <w:r>
        <w:t>23</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_Toc230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kern w:val="0"/>
          <w:szCs w:val="24"/>
          <w:highlight w:val="none"/>
          <w:lang w:val="en-US" w:eastAsia="zh-CN" w:bidi="ar-SA"/>
        </w:rPr>
        <w:t>12.供应商可提供有利于磋商的其他资格证明材料。</w:t>
      </w:r>
      <w:r>
        <w:tab/>
      </w:r>
      <w:r>
        <w:fldChar w:fldCharType="begin"/>
      </w:r>
      <w:r>
        <w:instrText xml:space="preserve"> PAGEREF _Toc230 \h </w:instrText>
      </w:r>
      <w:r>
        <w:fldChar w:fldCharType="separate"/>
      </w:r>
      <w:r>
        <w:t>23</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_Toc3133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i w:val="0"/>
          <w:spacing w:val="0"/>
          <w:w w:val="100"/>
          <w:szCs w:val="24"/>
          <w:highlight w:val="none"/>
        </w:rPr>
        <w:t>第二部分  商务及技术文件</w:t>
      </w:r>
      <w:r>
        <w:tab/>
      </w:r>
      <w:r>
        <w:fldChar w:fldCharType="begin"/>
      </w:r>
      <w:r>
        <w:instrText xml:space="preserve"> PAGEREF _Toc3133 \h </w:instrText>
      </w:r>
      <w:r>
        <w:fldChar w:fldCharType="separate"/>
      </w:r>
      <w:r>
        <w:t>24</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_Toc21381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i w:val="0"/>
          <w:spacing w:val="0"/>
          <w:w w:val="100"/>
          <w:szCs w:val="24"/>
          <w:highlight w:val="none"/>
        </w:rPr>
        <w:t>1</w:t>
      </w:r>
      <w:r>
        <w:rPr>
          <w:rFonts w:hint="eastAsia" w:ascii="微软雅黑" w:hAnsi="微软雅黑" w:eastAsia="微软雅黑" w:cs="微软雅黑"/>
          <w:i w:val="0"/>
          <w:spacing w:val="0"/>
          <w:w w:val="100"/>
          <w:szCs w:val="24"/>
          <w:highlight w:val="none"/>
          <w:lang w:eastAsia="zh-CN"/>
        </w:rPr>
        <w:t>、</w:t>
      </w:r>
      <w:r>
        <w:rPr>
          <w:rFonts w:hint="eastAsia" w:ascii="微软雅黑" w:hAnsi="微软雅黑" w:eastAsia="微软雅黑" w:cs="微软雅黑"/>
          <w:i w:val="0"/>
          <w:spacing w:val="0"/>
          <w:w w:val="100"/>
          <w:szCs w:val="24"/>
          <w:highlight w:val="none"/>
        </w:rPr>
        <w:t>磋商书</w:t>
      </w:r>
      <w:r>
        <w:tab/>
      </w:r>
      <w:r>
        <w:fldChar w:fldCharType="begin"/>
      </w:r>
      <w:r>
        <w:instrText xml:space="preserve"> PAGEREF _Toc21381 \h </w:instrText>
      </w:r>
      <w:r>
        <w:fldChar w:fldCharType="separate"/>
      </w:r>
      <w:r>
        <w:t>25</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_Toc5105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i w:val="0"/>
          <w:spacing w:val="0"/>
          <w:w w:val="100"/>
          <w:szCs w:val="24"/>
          <w:highlight w:val="none"/>
        </w:rPr>
        <w:t>2</w:t>
      </w:r>
      <w:r>
        <w:rPr>
          <w:rFonts w:hint="eastAsia" w:ascii="微软雅黑" w:hAnsi="微软雅黑" w:eastAsia="微软雅黑" w:cs="微软雅黑"/>
          <w:i w:val="0"/>
          <w:spacing w:val="0"/>
          <w:w w:val="100"/>
          <w:szCs w:val="24"/>
          <w:highlight w:val="none"/>
          <w:lang w:eastAsia="zh-CN"/>
        </w:rPr>
        <w:t>、</w:t>
      </w:r>
      <w:r>
        <w:rPr>
          <w:rFonts w:hint="eastAsia" w:ascii="微软雅黑" w:hAnsi="微软雅黑" w:eastAsia="微软雅黑" w:cs="微软雅黑"/>
          <w:i w:val="0"/>
          <w:spacing w:val="0"/>
          <w:w w:val="100"/>
          <w:szCs w:val="24"/>
          <w:highlight w:val="none"/>
        </w:rPr>
        <w:t>分项报价表</w:t>
      </w:r>
      <w:r>
        <w:tab/>
      </w:r>
      <w:r>
        <w:fldChar w:fldCharType="begin"/>
      </w:r>
      <w:r>
        <w:instrText xml:space="preserve"> PAGEREF _Toc5105 \h </w:instrText>
      </w:r>
      <w:r>
        <w:fldChar w:fldCharType="separate"/>
      </w:r>
      <w:r>
        <w:t>26</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_Toc22868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i w:val="0"/>
          <w:spacing w:val="0"/>
          <w:w w:val="100"/>
          <w:szCs w:val="24"/>
          <w:highlight w:val="none"/>
        </w:rPr>
        <w:t>3</w:t>
      </w:r>
      <w:r>
        <w:rPr>
          <w:rFonts w:hint="eastAsia" w:ascii="微软雅黑" w:hAnsi="微软雅黑" w:eastAsia="微软雅黑" w:cs="微软雅黑"/>
          <w:i w:val="0"/>
          <w:spacing w:val="0"/>
          <w:w w:val="100"/>
          <w:szCs w:val="24"/>
          <w:highlight w:val="none"/>
          <w:lang w:eastAsia="zh-CN"/>
        </w:rPr>
        <w:t>、</w:t>
      </w:r>
      <w:r>
        <w:rPr>
          <w:rFonts w:hint="eastAsia" w:ascii="微软雅黑" w:hAnsi="微软雅黑" w:eastAsia="微软雅黑" w:cs="微软雅黑"/>
          <w:i w:val="0"/>
          <w:spacing w:val="0"/>
          <w:w w:val="100"/>
          <w:szCs w:val="24"/>
          <w:highlight w:val="none"/>
          <w:lang w:val="en-US" w:eastAsia="zh-CN"/>
        </w:rPr>
        <w:t>服务</w:t>
      </w:r>
      <w:r>
        <w:rPr>
          <w:rFonts w:hint="eastAsia" w:ascii="微软雅黑" w:hAnsi="微软雅黑" w:eastAsia="微软雅黑" w:cs="微软雅黑"/>
          <w:i w:val="0"/>
          <w:spacing w:val="0"/>
          <w:w w:val="100"/>
          <w:szCs w:val="24"/>
          <w:highlight w:val="none"/>
        </w:rPr>
        <w:t>说明一览表</w:t>
      </w:r>
      <w:r>
        <w:tab/>
      </w:r>
      <w:r>
        <w:fldChar w:fldCharType="begin"/>
      </w:r>
      <w:r>
        <w:instrText xml:space="preserve"> PAGEREF _Toc22868 \h </w:instrText>
      </w:r>
      <w:r>
        <w:fldChar w:fldCharType="separate"/>
      </w:r>
      <w:r>
        <w:t>28</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_Toc22762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i w:val="0"/>
          <w:spacing w:val="0"/>
          <w:w w:val="100"/>
          <w:szCs w:val="24"/>
          <w:highlight w:val="none"/>
        </w:rPr>
        <w:t>4</w:t>
      </w:r>
      <w:r>
        <w:rPr>
          <w:rFonts w:hint="eastAsia" w:ascii="微软雅黑" w:hAnsi="微软雅黑" w:eastAsia="微软雅黑" w:cs="微软雅黑"/>
          <w:i w:val="0"/>
          <w:spacing w:val="0"/>
          <w:w w:val="100"/>
          <w:szCs w:val="24"/>
          <w:highlight w:val="none"/>
          <w:lang w:eastAsia="zh-CN"/>
        </w:rPr>
        <w:t>、</w:t>
      </w:r>
      <w:r>
        <w:rPr>
          <w:rFonts w:hint="eastAsia" w:ascii="微软雅黑" w:hAnsi="微软雅黑" w:eastAsia="微软雅黑" w:cs="微软雅黑"/>
          <w:i w:val="0"/>
          <w:spacing w:val="0"/>
          <w:w w:val="100"/>
          <w:szCs w:val="24"/>
          <w:highlight w:val="none"/>
        </w:rPr>
        <w:t>技术规格偏离表</w:t>
      </w:r>
      <w:r>
        <w:tab/>
      </w:r>
      <w:r>
        <w:fldChar w:fldCharType="begin"/>
      </w:r>
      <w:r>
        <w:instrText xml:space="preserve"> PAGEREF _Toc22762 \h </w:instrText>
      </w:r>
      <w:r>
        <w:fldChar w:fldCharType="separate"/>
      </w:r>
      <w:r>
        <w:t>29</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_Toc32727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i w:val="0"/>
          <w:spacing w:val="0"/>
          <w:w w:val="100"/>
          <w:szCs w:val="24"/>
          <w:highlight w:val="none"/>
          <w:lang w:val="en-US" w:eastAsia="zh-CN"/>
        </w:rPr>
        <w:t>5</w:t>
      </w:r>
      <w:r>
        <w:rPr>
          <w:rFonts w:hint="eastAsia" w:ascii="微软雅黑" w:hAnsi="微软雅黑" w:eastAsia="微软雅黑" w:cs="微软雅黑"/>
          <w:i w:val="0"/>
          <w:spacing w:val="0"/>
          <w:w w:val="100"/>
          <w:szCs w:val="24"/>
          <w:highlight w:val="none"/>
          <w:lang w:eastAsia="zh-CN"/>
        </w:rPr>
        <w:t>、</w:t>
      </w:r>
      <w:r>
        <w:rPr>
          <w:rFonts w:hint="eastAsia" w:ascii="微软雅黑" w:hAnsi="微软雅黑" w:eastAsia="微软雅黑" w:cs="微软雅黑"/>
          <w:i w:val="0"/>
          <w:spacing w:val="0"/>
          <w:w w:val="100"/>
          <w:szCs w:val="24"/>
          <w:highlight w:val="none"/>
        </w:rPr>
        <w:t>商务条款偏离表</w:t>
      </w:r>
      <w:r>
        <w:tab/>
      </w:r>
      <w:r>
        <w:fldChar w:fldCharType="begin"/>
      </w:r>
      <w:r>
        <w:instrText xml:space="preserve"> PAGEREF _Toc32727 \h </w:instrText>
      </w:r>
      <w:r>
        <w:fldChar w:fldCharType="separate"/>
      </w:r>
      <w:r>
        <w:t>30</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_Toc6963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i w:val="0"/>
          <w:spacing w:val="0"/>
          <w:w w:val="100"/>
          <w:szCs w:val="24"/>
          <w:highlight w:val="none"/>
          <w:lang w:val="en-US" w:eastAsia="zh-CN"/>
        </w:rPr>
        <w:t>6-1  中小企业声明函</w:t>
      </w:r>
      <w:r>
        <w:tab/>
      </w:r>
      <w:r>
        <w:fldChar w:fldCharType="begin"/>
      </w:r>
      <w:r>
        <w:instrText xml:space="preserve"> PAGEREF _Toc6963 \h </w:instrText>
      </w:r>
      <w:r>
        <w:fldChar w:fldCharType="separate"/>
      </w:r>
      <w:r>
        <w:t>31</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_Toc21795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i w:val="0"/>
          <w:spacing w:val="0"/>
          <w:w w:val="100"/>
          <w:szCs w:val="24"/>
          <w:highlight w:val="none"/>
          <w:lang w:val="en-US" w:eastAsia="zh-CN"/>
        </w:rPr>
        <w:t>6-2  残疾人福利性单位声明函</w:t>
      </w:r>
      <w:r>
        <w:tab/>
      </w:r>
      <w:r>
        <w:fldChar w:fldCharType="begin"/>
      </w:r>
      <w:r>
        <w:instrText xml:space="preserve"> PAGEREF _Toc21795 \h </w:instrText>
      </w:r>
      <w:r>
        <w:fldChar w:fldCharType="separate"/>
      </w:r>
      <w:r>
        <w:t>34</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_Toc3577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i w:val="0"/>
          <w:spacing w:val="0"/>
          <w:w w:val="100"/>
          <w:szCs w:val="24"/>
          <w:highlight w:val="none"/>
          <w:lang w:val="en-US" w:eastAsia="zh-CN"/>
        </w:rPr>
        <w:t>7、供应商关联单位的说明</w:t>
      </w:r>
      <w:r>
        <w:tab/>
      </w:r>
      <w:r>
        <w:fldChar w:fldCharType="begin"/>
      </w:r>
      <w:r>
        <w:instrText xml:space="preserve"> PAGEREF _Toc3577 \h </w:instrText>
      </w:r>
      <w:r>
        <w:fldChar w:fldCharType="separate"/>
      </w:r>
      <w:r>
        <w:t>34</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_Toc20339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i w:val="0"/>
          <w:spacing w:val="0"/>
          <w:w w:val="100"/>
          <w:szCs w:val="24"/>
          <w:highlight w:val="none"/>
          <w:lang w:val="en-US" w:eastAsia="zh-CN"/>
        </w:rPr>
        <w:t>8、供应商可提供有利于磋商的其他资格证明材料</w:t>
      </w:r>
      <w:r>
        <w:tab/>
      </w:r>
      <w:r>
        <w:fldChar w:fldCharType="begin"/>
      </w:r>
      <w:r>
        <w:instrText xml:space="preserve"> PAGEREF _Toc20339 \h </w:instrText>
      </w:r>
      <w:r>
        <w:fldChar w:fldCharType="separate"/>
      </w:r>
      <w:r>
        <w:t>34</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_Toc10053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kern w:val="0"/>
          <w:szCs w:val="20"/>
          <w:highlight w:val="none"/>
          <w:lang w:val="en-US" w:eastAsia="zh-CN"/>
        </w:rPr>
        <w:t>9、</w:t>
      </w:r>
      <w:r>
        <w:rPr>
          <w:rFonts w:hint="eastAsia" w:ascii="微软雅黑" w:hAnsi="微软雅黑" w:eastAsia="微软雅黑" w:cs="微软雅黑"/>
          <w:kern w:val="0"/>
          <w:szCs w:val="20"/>
          <w:highlight w:val="none"/>
          <w:lang w:eastAsia="zh-CN"/>
        </w:rPr>
        <w:t>响应文件</w:t>
      </w:r>
      <w:r>
        <w:rPr>
          <w:rFonts w:hint="eastAsia" w:ascii="微软雅黑" w:hAnsi="微软雅黑" w:eastAsia="微软雅黑" w:cs="微软雅黑"/>
          <w:kern w:val="0"/>
          <w:szCs w:val="20"/>
          <w:highlight w:val="none"/>
        </w:rPr>
        <w:t>格式范本</w:t>
      </w:r>
      <w:r>
        <w:tab/>
      </w:r>
      <w:r>
        <w:fldChar w:fldCharType="begin"/>
      </w:r>
      <w:r>
        <w:instrText xml:space="preserve"> PAGEREF _Toc10053 \h </w:instrText>
      </w:r>
      <w:r>
        <w:fldChar w:fldCharType="separate"/>
      </w:r>
      <w:r>
        <w:t>35</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_Toc27261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kern w:val="0"/>
          <w:szCs w:val="20"/>
          <w:highlight w:val="none"/>
          <w:lang w:val="en-US" w:eastAsia="zh-CN"/>
        </w:rPr>
        <w:t>10、二轮报价表（此表用于磋商现场）</w:t>
      </w:r>
      <w:r>
        <w:tab/>
      </w:r>
      <w:r>
        <w:fldChar w:fldCharType="begin"/>
      </w:r>
      <w:r>
        <w:instrText xml:space="preserve"> PAGEREF _Toc27261 \h </w:instrText>
      </w:r>
      <w:r>
        <w:fldChar w:fldCharType="separate"/>
      </w:r>
      <w:r>
        <w:t>36</w:t>
      </w:r>
      <w:r>
        <w:fldChar w:fldCharType="end"/>
      </w:r>
      <w:r>
        <w:rPr>
          <w:rFonts w:hint="eastAsia" w:ascii="微软雅黑" w:hAnsi="微软雅黑" w:eastAsia="微软雅黑" w:cs="微软雅黑"/>
          <w:color w:val="auto"/>
          <w:kern w:val="0"/>
          <w:szCs w:val="21"/>
          <w:highlight w:val="none"/>
        </w:rPr>
        <w:fldChar w:fldCharType="end"/>
      </w:r>
    </w:p>
    <w:p>
      <w:pPr>
        <w:pStyle w:val="16"/>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_Toc8831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highlight w:val="none"/>
          <w:lang w:val="en-US" w:eastAsia="zh-CN"/>
        </w:rPr>
        <w:t>第3章</w:t>
      </w:r>
      <w:r>
        <w:rPr>
          <w:rFonts w:hint="eastAsia" w:ascii="微软雅黑" w:hAnsi="微软雅黑" w:eastAsia="微软雅黑" w:cs="微软雅黑"/>
          <w:highlight w:val="none"/>
        </w:rPr>
        <w:t xml:space="preserve"> </w:t>
      </w:r>
      <w:r>
        <w:rPr>
          <w:rFonts w:hint="eastAsia" w:ascii="微软雅黑" w:hAnsi="微软雅黑" w:eastAsia="微软雅黑" w:cs="微软雅黑"/>
          <w:highlight w:val="none"/>
          <w:lang w:eastAsia="zh-CN"/>
        </w:rPr>
        <w:t>磋商</w:t>
      </w:r>
      <w:r>
        <w:rPr>
          <w:rFonts w:hint="eastAsia" w:ascii="微软雅黑" w:hAnsi="微软雅黑" w:eastAsia="微软雅黑" w:cs="微软雅黑"/>
          <w:highlight w:val="none"/>
        </w:rPr>
        <w:t>邀请</w:t>
      </w:r>
      <w:r>
        <w:tab/>
      </w:r>
      <w:r>
        <w:fldChar w:fldCharType="begin"/>
      </w:r>
      <w:r>
        <w:instrText xml:space="preserve"> PAGEREF _Toc8831 \h </w:instrText>
      </w:r>
      <w:r>
        <w:fldChar w:fldCharType="separate"/>
      </w:r>
      <w:r>
        <w:t>41</w:t>
      </w:r>
      <w:r>
        <w:fldChar w:fldCharType="end"/>
      </w:r>
      <w:r>
        <w:rPr>
          <w:rFonts w:hint="eastAsia" w:ascii="微软雅黑" w:hAnsi="微软雅黑" w:eastAsia="微软雅黑" w:cs="微软雅黑"/>
          <w:color w:val="auto"/>
          <w:kern w:val="0"/>
          <w:szCs w:val="21"/>
          <w:highlight w:val="none"/>
        </w:rPr>
        <w:fldChar w:fldCharType="end"/>
      </w:r>
    </w:p>
    <w:p>
      <w:pPr>
        <w:pStyle w:val="16"/>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_Toc4203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highlight w:val="none"/>
          <w:lang w:val="en-US" w:eastAsia="zh-CN"/>
        </w:rPr>
        <w:t xml:space="preserve">第4章 </w:t>
      </w:r>
      <w:r>
        <w:rPr>
          <w:rFonts w:hint="eastAsia" w:ascii="微软雅黑" w:hAnsi="微软雅黑" w:eastAsia="微软雅黑" w:cs="微软雅黑"/>
          <w:highlight w:val="none"/>
          <w:lang w:eastAsia="zh-CN"/>
        </w:rPr>
        <w:t>供应商</w:t>
      </w:r>
      <w:r>
        <w:rPr>
          <w:rFonts w:hint="eastAsia" w:ascii="微软雅黑" w:hAnsi="微软雅黑" w:eastAsia="微软雅黑" w:cs="微软雅黑"/>
          <w:highlight w:val="none"/>
        </w:rPr>
        <w:t>须知资料表</w:t>
      </w:r>
      <w:r>
        <w:tab/>
      </w:r>
      <w:r>
        <w:fldChar w:fldCharType="begin"/>
      </w:r>
      <w:r>
        <w:instrText xml:space="preserve"> PAGEREF _Toc4203 \h </w:instrText>
      </w:r>
      <w:r>
        <w:fldChar w:fldCharType="separate"/>
      </w:r>
      <w:r>
        <w:t>44</w:t>
      </w:r>
      <w:r>
        <w:fldChar w:fldCharType="end"/>
      </w:r>
      <w:r>
        <w:rPr>
          <w:rFonts w:hint="eastAsia" w:ascii="微软雅黑" w:hAnsi="微软雅黑" w:eastAsia="微软雅黑" w:cs="微软雅黑"/>
          <w:color w:val="auto"/>
          <w:kern w:val="0"/>
          <w:szCs w:val="21"/>
          <w:highlight w:val="none"/>
        </w:rPr>
        <w:fldChar w:fldCharType="end"/>
      </w:r>
    </w:p>
    <w:p>
      <w:pPr>
        <w:pStyle w:val="16"/>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_Toc13221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szCs w:val="32"/>
          <w:highlight w:val="none"/>
          <w:lang w:val="en-US" w:eastAsia="zh-CN"/>
        </w:rPr>
        <w:t>第5章 服务内容及项目要求</w:t>
      </w:r>
      <w:r>
        <w:tab/>
      </w:r>
      <w:r>
        <w:fldChar w:fldCharType="begin"/>
      </w:r>
      <w:r>
        <w:instrText xml:space="preserve"> PAGEREF _Toc13221 \h </w:instrText>
      </w:r>
      <w:r>
        <w:fldChar w:fldCharType="separate"/>
      </w:r>
      <w:r>
        <w:t>48</w:t>
      </w:r>
      <w:r>
        <w:fldChar w:fldCharType="end"/>
      </w:r>
      <w:r>
        <w:rPr>
          <w:rFonts w:hint="eastAsia" w:ascii="微软雅黑" w:hAnsi="微软雅黑" w:eastAsia="微软雅黑" w:cs="微软雅黑"/>
          <w:color w:val="auto"/>
          <w:kern w:val="0"/>
          <w:szCs w:val="21"/>
          <w:highlight w:val="none"/>
        </w:rPr>
        <w:fldChar w:fldCharType="end"/>
      </w:r>
    </w:p>
    <w:p>
      <w:pPr>
        <w:pStyle w:val="16"/>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_Toc31614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i w:val="0"/>
          <w:spacing w:val="0"/>
          <w:w w:val="100"/>
          <w:highlight w:val="none"/>
        </w:rPr>
        <w:t>第6章 评审方法和标准</w:t>
      </w:r>
      <w:r>
        <w:tab/>
      </w:r>
      <w:r>
        <w:fldChar w:fldCharType="begin"/>
      </w:r>
      <w:r>
        <w:instrText xml:space="preserve"> PAGEREF _Toc31614 \h </w:instrText>
      </w:r>
      <w:r>
        <w:fldChar w:fldCharType="separate"/>
      </w:r>
      <w:r>
        <w:t>53</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_Toc1053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bCs/>
          <w:szCs w:val="28"/>
          <w:highlight w:val="none"/>
        </w:rPr>
        <w:t>初步评审—资格性审查表</w:t>
      </w:r>
      <w:r>
        <w:tab/>
      </w:r>
      <w:r>
        <w:fldChar w:fldCharType="begin"/>
      </w:r>
      <w:r>
        <w:instrText xml:space="preserve"> PAGEREF _Toc1053 \h </w:instrText>
      </w:r>
      <w:r>
        <w:fldChar w:fldCharType="separate"/>
      </w:r>
      <w:r>
        <w:t>58</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_Toc32138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bCs/>
          <w:szCs w:val="28"/>
          <w:highlight w:val="none"/>
        </w:rPr>
        <w:t>初步评审—符合性审查表</w:t>
      </w:r>
      <w:r>
        <w:tab/>
      </w:r>
      <w:r>
        <w:fldChar w:fldCharType="begin"/>
      </w:r>
      <w:r>
        <w:instrText xml:space="preserve"> PAGEREF _Toc32138 \h </w:instrText>
      </w:r>
      <w:r>
        <w:fldChar w:fldCharType="separate"/>
      </w:r>
      <w:r>
        <w:t>59</w:t>
      </w:r>
      <w:r>
        <w:fldChar w:fldCharType="end"/>
      </w:r>
      <w:r>
        <w:rPr>
          <w:rFonts w:hint="eastAsia" w:ascii="微软雅黑" w:hAnsi="微软雅黑" w:eastAsia="微软雅黑" w:cs="微软雅黑"/>
          <w:color w:val="auto"/>
          <w:kern w:val="0"/>
          <w:szCs w:val="21"/>
          <w:highlight w:val="none"/>
        </w:rPr>
        <w:fldChar w:fldCharType="end"/>
      </w:r>
    </w:p>
    <w:p>
      <w:pPr>
        <w:pStyle w:val="19"/>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_Toc29521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szCs w:val="28"/>
          <w:highlight w:val="none"/>
        </w:rPr>
        <w:t>综合评分表</w:t>
      </w:r>
      <w:r>
        <w:tab/>
      </w:r>
      <w:r>
        <w:fldChar w:fldCharType="begin"/>
      </w:r>
      <w:r>
        <w:instrText xml:space="preserve"> PAGEREF _Toc29521 \h </w:instrText>
      </w:r>
      <w:r>
        <w:fldChar w:fldCharType="separate"/>
      </w:r>
      <w:r>
        <w:t>60</w:t>
      </w:r>
      <w:r>
        <w:fldChar w:fldCharType="end"/>
      </w:r>
      <w:r>
        <w:rPr>
          <w:rFonts w:hint="eastAsia" w:ascii="微软雅黑" w:hAnsi="微软雅黑" w:eastAsia="微软雅黑" w:cs="微软雅黑"/>
          <w:color w:val="auto"/>
          <w:kern w:val="0"/>
          <w:szCs w:val="21"/>
          <w:highlight w:val="none"/>
        </w:rPr>
        <w:fldChar w:fldCharType="end"/>
      </w:r>
    </w:p>
    <w:p>
      <w:pPr>
        <w:pStyle w:val="16"/>
        <w:tabs>
          <w:tab w:val="right" w:leader="dot" w:pos="8312"/>
        </w:tabs>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kern w:val="0"/>
          <w:szCs w:val="21"/>
          <w:highlight w:val="none"/>
        </w:rPr>
        <w:instrText xml:space="preserve"> HYPERLINK \l _Toc16598 </w:instrText>
      </w:r>
      <w:r>
        <w:rPr>
          <w:rFonts w:hint="eastAsia" w:ascii="微软雅黑" w:hAnsi="微软雅黑" w:eastAsia="微软雅黑" w:cs="微软雅黑"/>
          <w:kern w:val="0"/>
          <w:szCs w:val="21"/>
          <w:highlight w:val="none"/>
        </w:rPr>
        <w:fldChar w:fldCharType="separate"/>
      </w:r>
      <w:r>
        <w:rPr>
          <w:rFonts w:hint="eastAsia" w:ascii="微软雅黑" w:hAnsi="微软雅黑" w:eastAsia="微软雅黑" w:cs="微软雅黑"/>
          <w:highlight w:val="none"/>
        </w:rPr>
        <w:t>第7章 政府采购合同</w:t>
      </w:r>
      <w:r>
        <w:tab/>
      </w:r>
      <w:r>
        <w:fldChar w:fldCharType="begin"/>
      </w:r>
      <w:r>
        <w:instrText xml:space="preserve"> PAGEREF _Toc16598 \h </w:instrText>
      </w:r>
      <w:r>
        <w:fldChar w:fldCharType="separate"/>
      </w:r>
      <w:r>
        <w:t>62</w:t>
      </w:r>
      <w:r>
        <w:fldChar w:fldCharType="end"/>
      </w:r>
      <w:r>
        <w:rPr>
          <w:rFonts w:hint="eastAsia" w:ascii="微软雅黑" w:hAnsi="微软雅黑" w:eastAsia="微软雅黑" w:cs="微软雅黑"/>
          <w:color w:val="auto"/>
          <w:kern w:val="0"/>
          <w:szCs w:val="21"/>
          <w:highlight w:val="none"/>
        </w:rPr>
        <w:fldChar w:fldCharType="end"/>
      </w:r>
    </w:p>
    <w:p>
      <w:pPr>
        <w:pStyle w:val="16"/>
        <w:tabs>
          <w:tab w:val="right" w:leader="dot" w:pos="8312"/>
        </w:tabs>
      </w:pPr>
    </w:p>
    <w:p>
      <w:pPr>
        <w:pStyle w:val="16"/>
        <w:keepNext w:val="0"/>
        <w:keepLines w:val="0"/>
        <w:pageBreakBefore w:val="0"/>
        <w:widowControl w:val="0"/>
        <w:tabs>
          <w:tab w:val="right" w:leader="dot" w:pos="8312"/>
        </w:tabs>
        <w:kinsoku/>
        <w:wordWrap/>
        <w:overflowPunct/>
        <w:topLinePunct w:val="0"/>
        <w:autoSpaceDE/>
        <w:autoSpaceDN/>
        <w:bidi w:val="0"/>
        <w:adjustRightInd/>
        <w:snapToGrid/>
        <w:spacing w:beforeAutospacing="0" w:afterAutospacing="0" w:line="260" w:lineRule="exact"/>
        <w:textAlignment w:val="auto"/>
        <w:rPr>
          <w:rFonts w:hint="eastAsia" w:ascii="微软雅黑" w:hAnsi="微软雅黑" w:eastAsia="微软雅黑" w:cs="微软雅黑"/>
          <w:color w:val="auto"/>
          <w:highlight w:val="none"/>
        </w:rPr>
        <w:sectPr>
          <w:footerReference r:id="rId5" w:type="default"/>
          <w:pgSz w:w="11906" w:h="16838"/>
          <w:pgMar w:top="1440" w:right="1797" w:bottom="1440" w:left="1797" w:header="851" w:footer="992" w:gutter="0"/>
          <w:pgNumType w:fmt="decimal" w:start="1"/>
          <w:cols w:space="720" w:num="1"/>
          <w:docGrid w:linePitch="312" w:charSpace="0"/>
        </w:sectPr>
      </w:pPr>
      <w:r>
        <w:rPr>
          <w:rFonts w:hint="eastAsia" w:ascii="微软雅黑" w:hAnsi="微软雅黑" w:eastAsia="微软雅黑" w:cs="微软雅黑"/>
          <w:color w:val="auto"/>
          <w:kern w:val="0"/>
          <w:szCs w:val="21"/>
          <w:highlight w:val="none"/>
        </w:rPr>
        <w:fldChar w:fldCharType="end"/>
      </w:r>
    </w:p>
    <w:p>
      <w:pPr>
        <w:pStyle w:val="4"/>
        <w:ind w:firstLine="0"/>
        <w:jc w:val="center"/>
        <w:outlineLvl w:val="0"/>
        <w:rPr>
          <w:rFonts w:hint="eastAsia" w:ascii="微软雅黑" w:hAnsi="微软雅黑" w:eastAsia="微软雅黑" w:cs="微软雅黑"/>
          <w:color w:val="auto"/>
          <w:highlight w:val="none"/>
        </w:rPr>
      </w:pPr>
      <w:bookmarkStart w:id="0" w:name="_Toc25453"/>
      <w:r>
        <w:rPr>
          <w:rFonts w:hint="eastAsia" w:ascii="微软雅黑" w:hAnsi="微软雅黑" w:eastAsia="微软雅黑" w:cs="微软雅黑"/>
          <w:b/>
          <w:bCs/>
          <w:color w:val="auto"/>
          <w:sz w:val="28"/>
          <w:szCs w:val="21"/>
          <w:highlight w:val="none"/>
          <w:lang w:val="en-US" w:eastAsia="zh-CN"/>
        </w:rPr>
        <w:t>第1章</w:t>
      </w:r>
      <w:r>
        <w:rPr>
          <w:rFonts w:hint="eastAsia" w:ascii="微软雅黑" w:hAnsi="微软雅黑" w:eastAsia="微软雅黑" w:cs="微软雅黑"/>
          <w:color w:val="auto"/>
          <w:highlight w:val="none"/>
          <w:lang w:val="en-US" w:eastAsia="zh-CN"/>
        </w:rPr>
        <w:t xml:space="preserve"> </w:t>
      </w:r>
      <w:bookmarkStart w:id="1" w:name="_Toc515647756"/>
      <w:r>
        <w:rPr>
          <w:rFonts w:hint="eastAsia" w:ascii="微软雅黑" w:hAnsi="微软雅黑" w:eastAsia="微软雅黑" w:cs="微软雅黑"/>
          <w:b/>
          <w:bCs/>
          <w:color w:val="auto"/>
          <w:sz w:val="28"/>
          <w:szCs w:val="21"/>
          <w:highlight w:val="none"/>
          <w:lang w:val="en-US" w:eastAsia="zh-CN"/>
        </w:rPr>
        <w:t>供应商</w:t>
      </w:r>
      <w:r>
        <w:rPr>
          <w:rFonts w:hint="eastAsia" w:ascii="微软雅黑" w:hAnsi="微软雅黑" w:eastAsia="微软雅黑" w:cs="微软雅黑"/>
          <w:b/>
          <w:bCs/>
          <w:color w:val="auto"/>
          <w:sz w:val="28"/>
          <w:szCs w:val="21"/>
          <w:highlight w:val="none"/>
        </w:rPr>
        <w:t>须知</w:t>
      </w:r>
      <w:bookmarkEnd w:id="0"/>
      <w:bookmarkEnd w:id="1"/>
    </w:p>
    <w:p>
      <w:pPr>
        <w:pStyle w:val="7"/>
        <w:spacing w:before="0" w:line="240" w:lineRule="atLeast"/>
        <w:ind w:left="1080" w:leftChars="257" w:hanging="540"/>
        <w:rPr>
          <w:rFonts w:hint="eastAsia" w:ascii="微软雅黑" w:hAnsi="微软雅黑" w:eastAsia="微软雅黑" w:cs="微软雅黑"/>
          <w:color w:val="auto"/>
          <w:highlight w:val="none"/>
        </w:rPr>
      </w:pPr>
      <w:bookmarkStart w:id="2" w:name="_Toc520356143"/>
      <w:bookmarkStart w:id="3" w:name="_Toc515647757"/>
      <w:bookmarkStart w:id="4" w:name="_Toc216582805"/>
      <w:bookmarkStart w:id="5" w:name="_Toc20888"/>
      <w:bookmarkStart w:id="6" w:name="_Toc21215"/>
      <w:bookmarkStart w:id="7" w:name="_Toc21015"/>
      <w:bookmarkStart w:id="8" w:name="_Toc30955"/>
      <w:bookmarkStart w:id="9" w:name="_Toc11227"/>
      <w:r>
        <w:rPr>
          <w:rFonts w:hint="eastAsia" w:ascii="微软雅黑" w:hAnsi="微软雅黑" w:eastAsia="微软雅黑" w:cs="微软雅黑"/>
          <w:color w:val="auto"/>
          <w:sz w:val="28"/>
          <w:highlight w:val="none"/>
        </w:rPr>
        <w:t xml:space="preserve">一   </w:t>
      </w:r>
      <w:bookmarkEnd w:id="2"/>
      <w:bookmarkEnd w:id="3"/>
      <w:bookmarkEnd w:id="4"/>
      <w:r>
        <w:rPr>
          <w:rFonts w:hint="eastAsia" w:ascii="微软雅黑" w:hAnsi="微软雅黑" w:eastAsia="微软雅黑" w:cs="微软雅黑"/>
          <w:color w:val="auto"/>
          <w:sz w:val="28"/>
          <w:highlight w:val="none"/>
        </w:rPr>
        <w:t>总 则</w:t>
      </w:r>
      <w:bookmarkEnd w:id="5"/>
      <w:bookmarkEnd w:id="6"/>
      <w:bookmarkEnd w:id="7"/>
      <w:bookmarkEnd w:id="8"/>
      <w:bookmarkEnd w:id="9"/>
    </w:p>
    <w:p>
      <w:pPr>
        <w:pStyle w:val="8"/>
        <w:spacing w:before="0" w:after="0" w:line="360" w:lineRule="exact"/>
        <w:rPr>
          <w:rFonts w:hint="eastAsia" w:ascii="微软雅黑" w:hAnsi="微软雅黑" w:eastAsia="微软雅黑" w:cs="微软雅黑"/>
          <w:color w:val="auto"/>
          <w:highlight w:val="none"/>
          <w:u w:val="none"/>
        </w:rPr>
      </w:pPr>
      <w:bookmarkStart w:id="10" w:name="_Toc32623"/>
      <w:bookmarkStart w:id="11" w:name="_Toc520356144"/>
      <w:bookmarkStart w:id="12" w:name="_Toc333"/>
      <w:bookmarkStart w:id="13" w:name="_Toc15441"/>
      <w:bookmarkStart w:id="14" w:name="_Toc515647758"/>
      <w:bookmarkStart w:id="15" w:name="_Toc31685"/>
      <w:bookmarkStart w:id="16" w:name="_Toc29554"/>
      <w:bookmarkStart w:id="17" w:name="_Toc12861"/>
      <w:bookmarkStart w:id="18" w:name="_Toc11808"/>
      <w:bookmarkStart w:id="19" w:name="_Toc2450"/>
      <w:bookmarkStart w:id="20" w:name="_Toc32189"/>
      <w:bookmarkStart w:id="21" w:name="_Toc16847"/>
      <w:bookmarkStart w:id="22" w:name="_Toc13517"/>
      <w:r>
        <w:rPr>
          <w:rFonts w:hint="eastAsia" w:ascii="微软雅黑" w:hAnsi="微软雅黑" w:eastAsia="微软雅黑" w:cs="微软雅黑"/>
          <w:color w:val="auto"/>
          <w:highlight w:val="none"/>
          <w:u w:val="none"/>
        </w:rPr>
        <w:t>1.采购人、采购代理机构及</w:t>
      </w:r>
      <w:bookmarkEnd w:id="10"/>
      <w:bookmarkEnd w:id="11"/>
      <w:bookmarkEnd w:id="12"/>
      <w:bookmarkEnd w:id="13"/>
      <w:bookmarkEnd w:id="14"/>
      <w:bookmarkEnd w:id="15"/>
      <w:bookmarkEnd w:id="16"/>
      <w:bookmarkEnd w:id="17"/>
      <w:bookmarkEnd w:id="18"/>
      <w:bookmarkEnd w:id="19"/>
      <w:bookmarkEnd w:id="20"/>
      <w:bookmarkEnd w:id="21"/>
      <w:bookmarkEnd w:id="22"/>
      <w:r>
        <w:rPr>
          <w:rFonts w:hint="eastAsia" w:ascii="微软雅黑" w:hAnsi="微软雅黑" w:eastAsia="微软雅黑" w:cs="微软雅黑"/>
          <w:color w:val="auto"/>
          <w:highlight w:val="none"/>
          <w:u w:val="none"/>
        </w:rPr>
        <w:t>供应商</w:t>
      </w:r>
    </w:p>
    <w:p>
      <w:pPr>
        <w:numPr>
          <w:ilvl w:val="1"/>
          <w:numId w:val="2"/>
        </w:numPr>
        <w:tabs>
          <w:tab w:val="clear" w:pos="900"/>
        </w:tabs>
        <w:spacing w:line="360" w:lineRule="exact"/>
        <w:ind w:left="0" w:hanging="898"/>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采购人：是指依法开展政府采购活动的国家机关、事业单位、团体组织。</w:t>
      </w:r>
    </w:p>
    <w:p>
      <w:pPr>
        <w:tabs>
          <w:tab w:val="left" w:pos="0"/>
        </w:tabs>
        <w:spacing w:line="360" w:lineRule="exact"/>
        <w:ind w:firstLine="960" w:firstLine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本项目的采购人见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numPr>
          <w:ilvl w:val="1"/>
          <w:numId w:val="2"/>
        </w:numPr>
        <w:tabs>
          <w:tab w:val="clear" w:pos="900"/>
        </w:tabs>
        <w:spacing w:line="360" w:lineRule="exact"/>
        <w:ind w:left="0" w:hanging="898"/>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采购代理机构：是指在集中采购机构或从事采购代理业务的社会中介机构。本项目的采购代理机构见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numPr>
          <w:ilvl w:val="1"/>
          <w:numId w:val="2"/>
        </w:numPr>
        <w:spacing w:line="360" w:lineRule="exact"/>
        <w:ind w:left="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：是指向采购人提供货物、工程或者服务的法人、非法人组织或者自然人。本项目的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及其服务须满足以下条件：</w:t>
      </w:r>
    </w:p>
    <w:p>
      <w:pPr>
        <w:spacing w:line="360" w:lineRule="exact"/>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在中华人民共和国境内注册，能够独立承担民事责任，有生产或供应能力的本国供应商。</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  具备《中华人民共和国政府采购法》第二十二条关于供应商条件的规定，遵守本项目采购人本级和上级财政部门政府采购的有关规定。</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1.3.3   以采购代理机构认可的方式获得了本项目的</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   符合</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中规定的其他要求。</w:t>
      </w:r>
    </w:p>
    <w:p>
      <w:pPr>
        <w:spacing w:line="360" w:lineRule="exact"/>
        <w:ind w:left="840" w:hanging="840" w:hangingChars="3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1.3.5    若</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中写明专门面向中小企业采购的，如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为非中小企业且所投产品为非中小企业产品，其</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    如</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中允许联合体</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，对联合体规定如下：</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   两个以上供应商可以组成一个</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联合体，以一个</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的身份</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   联合体各方均应符合《中华人民共和国政府采购法》第二十二条规定的条件。</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1.4.3   采购人根据采购项目对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的特殊要求，联合体中至少应当有一方符合相关规定。</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1.4.4   联合体各方应签订共同</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协议，明确约定联合体各方承担的工作和相应的责任，并将共同</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协议连同作为</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第一部分的内容提交。</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1.4.5   大中型企业、其他自然人、法人或者非法人组织与小型、微型企业组成联合体共同参加</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，共同</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协议中应写明小型、微型企业的协议合同金额占到共同</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协议</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总金额的比例。</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1.4.6  联合体中有同类资质的供应商按照联合体分工承担相同工作的，按照较低的资质等级确定联合体的资质等级。</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1.4.7  以联合体形式参加政府采购活动的，联合体各方不得再单独参加或者与其他供应商另外组成联合体参加本项目</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，否则相关</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   对联合体</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的其他资格要求见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    单位负责人为同一人或者存在直接控股、管理关系的不同供应商，其相关</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1.6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在</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过程中不得向采购人提供、给予任何有价值的物品，影响其正常决策行为。一经发现，其将被认定为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pPr>
        <w:pStyle w:val="8"/>
        <w:spacing w:before="0" w:after="0" w:line="360" w:lineRule="exact"/>
        <w:rPr>
          <w:rFonts w:hint="eastAsia" w:ascii="微软雅黑" w:hAnsi="微软雅黑" w:eastAsia="微软雅黑" w:cs="微软雅黑"/>
          <w:color w:val="auto"/>
          <w:highlight w:val="none"/>
          <w:u w:val="none"/>
        </w:rPr>
      </w:pPr>
      <w:bookmarkStart w:id="23" w:name="_Toc7800"/>
      <w:bookmarkStart w:id="24" w:name="_Toc515647759"/>
      <w:bookmarkStart w:id="25" w:name="_Toc1403"/>
      <w:bookmarkStart w:id="26" w:name="_Toc27814"/>
      <w:bookmarkStart w:id="27" w:name="_Toc28511"/>
      <w:bookmarkStart w:id="28" w:name="_Toc25491"/>
      <w:bookmarkStart w:id="29" w:name="_Toc26900"/>
      <w:bookmarkStart w:id="30" w:name="_Toc13872"/>
      <w:bookmarkStart w:id="31" w:name="_Toc10189"/>
      <w:bookmarkStart w:id="32" w:name="_Toc5286"/>
      <w:bookmarkStart w:id="33" w:name="_Toc1760"/>
      <w:bookmarkStart w:id="34" w:name="_Toc12139"/>
      <w:bookmarkStart w:id="35" w:name="_Toc4429"/>
      <w:r>
        <w:rPr>
          <w:rFonts w:hint="eastAsia" w:ascii="微软雅黑" w:hAnsi="微软雅黑" w:eastAsia="微软雅黑" w:cs="微软雅黑"/>
          <w:color w:val="auto"/>
          <w:highlight w:val="none"/>
          <w:u w:val="none"/>
        </w:rPr>
        <w:t>2.资金来源</w:t>
      </w:r>
      <w:bookmarkEnd w:id="23"/>
      <w:bookmarkEnd w:id="24"/>
      <w:bookmarkEnd w:id="25"/>
      <w:bookmarkEnd w:id="26"/>
      <w:bookmarkEnd w:id="27"/>
      <w:bookmarkEnd w:id="28"/>
      <w:bookmarkEnd w:id="29"/>
      <w:bookmarkEnd w:id="30"/>
      <w:bookmarkEnd w:id="31"/>
      <w:bookmarkEnd w:id="32"/>
      <w:bookmarkEnd w:id="33"/>
      <w:bookmarkEnd w:id="34"/>
      <w:bookmarkEnd w:id="35"/>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本项目的采购人已获得足以支付本次招标后所签订的合同项下的资金（包括财政性资金和本项目采购中无法与财政性资金分割的非财政性资金）。</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    项目预算金额和分项或分包最高限价</w:t>
      </w:r>
      <w:r>
        <w:rPr>
          <w:rFonts w:hint="eastAsia" w:ascii="微软雅黑" w:hAnsi="微软雅黑" w:eastAsia="微软雅黑" w:cs="微软雅黑"/>
          <w:color w:val="auto"/>
          <w:sz w:val="24"/>
          <w:highlight w:val="none"/>
          <w:u w:val="single"/>
        </w:rPr>
        <w:t>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2.3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报价超过</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规定的预算金额或者分项、分包最高限价的，其</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pPr>
        <w:pStyle w:val="8"/>
        <w:spacing w:before="0" w:after="0" w:line="360" w:lineRule="exact"/>
        <w:rPr>
          <w:rFonts w:hint="eastAsia" w:ascii="微软雅黑" w:hAnsi="微软雅黑" w:eastAsia="微软雅黑" w:cs="微软雅黑"/>
          <w:color w:val="auto"/>
          <w:highlight w:val="none"/>
          <w:u w:val="none"/>
        </w:rPr>
      </w:pPr>
      <w:bookmarkStart w:id="36" w:name="_Toc5207"/>
      <w:bookmarkStart w:id="37" w:name="_Toc22731"/>
      <w:bookmarkStart w:id="38" w:name="_Toc30650"/>
      <w:bookmarkStart w:id="39" w:name="_Toc20526"/>
      <w:bookmarkStart w:id="40" w:name="_Toc515647760"/>
      <w:bookmarkStart w:id="41" w:name="_Toc14525"/>
      <w:bookmarkStart w:id="42" w:name="_Toc27475"/>
      <w:bookmarkStart w:id="43" w:name="_Toc29481"/>
      <w:bookmarkStart w:id="44" w:name="_Toc16114"/>
      <w:bookmarkStart w:id="45" w:name="_Toc14612"/>
      <w:bookmarkStart w:id="46" w:name="_Toc520356145"/>
      <w:bookmarkStart w:id="47" w:name="_Toc2269"/>
      <w:bookmarkStart w:id="48" w:name="_Toc20799"/>
      <w:bookmarkStart w:id="49" w:name="_Toc15936"/>
      <w:r>
        <w:rPr>
          <w:rFonts w:hint="eastAsia" w:ascii="微软雅黑" w:hAnsi="微软雅黑" w:eastAsia="微软雅黑" w:cs="微软雅黑"/>
          <w:color w:val="auto"/>
          <w:highlight w:val="none"/>
          <w:u w:val="none"/>
        </w:rPr>
        <w:t>3.</w:t>
      </w:r>
      <w:r>
        <w:rPr>
          <w:rFonts w:hint="eastAsia" w:ascii="微软雅黑" w:hAnsi="微软雅黑" w:eastAsia="微软雅黑" w:cs="微软雅黑"/>
          <w:color w:val="auto"/>
          <w:highlight w:val="none"/>
          <w:u w:val="none"/>
          <w:lang w:val="en-US" w:eastAsia="zh-CN"/>
        </w:rPr>
        <w:t>磋商</w:t>
      </w:r>
      <w:r>
        <w:rPr>
          <w:rFonts w:hint="eastAsia" w:ascii="微软雅黑" w:hAnsi="微软雅黑" w:eastAsia="微软雅黑" w:cs="微软雅黑"/>
          <w:color w:val="auto"/>
          <w:highlight w:val="none"/>
          <w:u w:val="none"/>
        </w:rPr>
        <w:t>费用</w:t>
      </w:r>
      <w:bookmarkEnd w:id="36"/>
      <w:bookmarkEnd w:id="37"/>
      <w:bookmarkEnd w:id="38"/>
      <w:bookmarkEnd w:id="39"/>
      <w:bookmarkEnd w:id="40"/>
      <w:bookmarkEnd w:id="41"/>
      <w:bookmarkEnd w:id="42"/>
      <w:bookmarkEnd w:id="43"/>
      <w:bookmarkEnd w:id="44"/>
      <w:bookmarkEnd w:id="45"/>
      <w:bookmarkEnd w:id="46"/>
      <w:bookmarkEnd w:id="47"/>
      <w:bookmarkEnd w:id="48"/>
      <w:bookmarkEnd w:id="49"/>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不论</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的结果如何，</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应承担所有与准备和参加</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有关的费用。</w:t>
      </w:r>
    </w:p>
    <w:p>
      <w:pPr>
        <w:pStyle w:val="8"/>
        <w:spacing w:before="0" w:after="0" w:line="360" w:lineRule="exact"/>
        <w:rPr>
          <w:rFonts w:hint="eastAsia" w:ascii="微软雅黑" w:hAnsi="微软雅黑" w:eastAsia="微软雅黑" w:cs="微软雅黑"/>
          <w:color w:val="auto"/>
          <w:highlight w:val="none"/>
          <w:u w:val="none"/>
        </w:rPr>
      </w:pPr>
      <w:bookmarkStart w:id="50" w:name="_Toc4133"/>
      <w:bookmarkStart w:id="51" w:name="_Toc515647761"/>
      <w:bookmarkStart w:id="52" w:name="_Toc14718"/>
      <w:bookmarkStart w:id="53" w:name="_Toc1198"/>
      <w:bookmarkStart w:id="54" w:name="_Toc23668"/>
      <w:bookmarkStart w:id="55" w:name="_Toc21641"/>
      <w:bookmarkStart w:id="56" w:name="_Toc6116"/>
      <w:bookmarkStart w:id="57" w:name="_Toc12920"/>
      <w:bookmarkStart w:id="58" w:name="_Toc27687"/>
      <w:bookmarkStart w:id="59" w:name="_Toc4463"/>
      <w:bookmarkStart w:id="60" w:name="_Toc5853"/>
      <w:bookmarkStart w:id="61" w:name="_Toc16328"/>
      <w:r>
        <w:rPr>
          <w:rFonts w:hint="eastAsia" w:ascii="微软雅黑" w:hAnsi="微软雅黑" w:eastAsia="微软雅黑" w:cs="微软雅黑"/>
          <w:color w:val="auto"/>
          <w:highlight w:val="none"/>
          <w:u w:val="none"/>
        </w:rPr>
        <w:t>4.适用法律</w:t>
      </w:r>
      <w:bookmarkEnd w:id="50"/>
      <w:bookmarkEnd w:id="51"/>
      <w:bookmarkEnd w:id="52"/>
      <w:bookmarkEnd w:id="53"/>
      <w:bookmarkEnd w:id="54"/>
      <w:bookmarkEnd w:id="55"/>
      <w:bookmarkEnd w:id="56"/>
      <w:bookmarkEnd w:id="57"/>
      <w:bookmarkEnd w:id="58"/>
      <w:bookmarkEnd w:id="59"/>
      <w:bookmarkEnd w:id="60"/>
      <w:bookmarkEnd w:id="61"/>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本项目采购人、采购代理机构、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的相关行为均受《中华人民共和国政府采购法》、《中华人民共和国政府采购法实施条例》及本项目本级和上级财政部门政府采购有关规定的约束，其权利受到上述法律法规的保护。</w:t>
      </w:r>
    </w:p>
    <w:p>
      <w:pPr>
        <w:spacing w:line="360" w:lineRule="exact"/>
        <w:rPr>
          <w:rFonts w:hint="eastAsia" w:ascii="微软雅黑" w:hAnsi="微软雅黑" w:eastAsia="微软雅黑" w:cs="微软雅黑"/>
          <w:color w:val="auto"/>
          <w:sz w:val="24"/>
          <w:highlight w:val="none"/>
        </w:rPr>
      </w:pPr>
    </w:p>
    <w:p>
      <w:pPr>
        <w:pStyle w:val="7"/>
        <w:spacing w:before="0" w:line="360" w:lineRule="exact"/>
        <w:rPr>
          <w:rFonts w:hint="eastAsia" w:ascii="微软雅黑" w:hAnsi="微软雅黑" w:eastAsia="微软雅黑" w:cs="微软雅黑"/>
          <w:color w:val="auto"/>
          <w:highlight w:val="none"/>
          <w:lang w:eastAsia="zh-CN"/>
        </w:rPr>
      </w:pPr>
      <w:bookmarkStart w:id="62" w:name="_Toc6385"/>
      <w:bookmarkStart w:id="63" w:name="_Toc4365"/>
      <w:bookmarkStart w:id="64" w:name="_Toc216582806"/>
      <w:bookmarkStart w:id="65" w:name="_Toc520356146"/>
      <w:bookmarkStart w:id="66" w:name="_Toc515647762"/>
      <w:bookmarkStart w:id="67" w:name="_Toc12561"/>
      <w:bookmarkStart w:id="68" w:name="_Toc21566"/>
      <w:bookmarkStart w:id="69" w:name="_Toc5830"/>
      <w:r>
        <w:rPr>
          <w:rFonts w:hint="eastAsia" w:ascii="微软雅黑" w:hAnsi="微软雅黑" w:eastAsia="微软雅黑" w:cs="微软雅黑"/>
          <w:color w:val="auto"/>
          <w:sz w:val="28"/>
          <w:highlight w:val="none"/>
        </w:rPr>
        <w:t xml:space="preserve">二   </w:t>
      </w:r>
      <w:bookmarkEnd w:id="62"/>
      <w:bookmarkEnd w:id="63"/>
      <w:bookmarkEnd w:id="64"/>
      <w:bookmarkEnd w:id="65"/>
      <w:bookmarkEnd w:id="66"/>
      <w:bookmarkEnd w:id="67"/>
      <w:bookmarkEnd w:id="68"/>
      <w:r>
        <w:rPr>
          <w:rFonts w:hint="eastAsia" w:ascii="微软雅黑" w:hAnsi="微软雅黑" w:eastAsia="微软雅黑" w:cs="微软雅黑"/>
          <w:color w:val="auto"/>
          <w:sz w:val="28"/>
          <w:highlight w:val="none"/>
          <w:lang w:eastAsia="zh-CN"/>
        </w:rPr>
        <w:t>磋商文件</w:t>
      </w:r>
      <w:bookmarkEnd w:id="69"/>
    </w:p>
    <w:p>
      <w:pPr>
        <w:pStyle w:val="8"/>
        <w:spacing w:before="0" w:after="0" w:line="360" w:lineRule="exact"/>
        <w:rPr>
          <w:rFonts w:hint="eastAsia" w:ascii="微软雅黑" w:hAnsi="微软雅黑" w:eastAsia="微软雅黑" w:cs="微软雅黑"/>
          <w:color w:val="auto"/>
          <w:highlight w:val="none"/>
          <w:u w:val="none"/>
        </w:rPr>
      </w:pPr>
      <w:bookmarkStart w:id="70" w:name="_Toc4818"/>
      <w:bookmarkStart w:id="71" w:name="_Toc14084"/>
      <w:bookmarkStart w:id="72" w:name="_Toc11557"/>
      <w:bookmarkStart w:id="73" w:name="_Toc15203"/>
      <w:bookmarkStart w:id="74" w:name="_Toc18213"/>
      <w:bookmarkStart w:id="75" w:name="_Toc21275"/>
      <w:bookmarkStart w:id="76" w:name="_Toc2004"/>
      <w:bookmarkStart w:id="77" w:name="_Toc22962"/>
      <w:bookmarkStart w:id="78" w:name="_Toc515647763"/>
      <w:bookmarkStart w:id="79" w:name="_Toc24971"/>
      <w:bookmarkStart w:id="80" w:name="_Toc29550"/>
      <w:bookmarkStart w:id="81" w:name="_Toc25743"/>
      <w:bookmarkStart w:id="82" w:name="_Toc520356147"/>
      <w:r>
        <w:rPr>
          <w:rFonts w:hint="eastAsia" w:ascii="微软雅黑" w:hAnsi="微软雅黑" w:eastAsia="微软雅黑" w:cs="微软雅黑"/>
          <w:color w:val="auto"/>
          <w:highlight w:val="none"/>
          <w:u w:val="none"/>
        </w:rPr>
        <w:t>5.</w:t>
      </w:r>
      <w:r>
        <w:rPr>
          <w:rFonts w:hint="eastAsia" w:ascii="微软雅黑" w:hAnsi="微软雅黑" w:eastAsia="微软雅黑" w:cs="微软雅黑"/>
          <w:color w:val="auto"/>
          <w:highlight w:val="none"/>
          <w:u w:val="none"/>
          <w:lang w:eastAsia="zh-CN"/>
        </w:rPr>
        <w:t>磋商文件</w:t>
      </w:r>
      <w:r>
        <w:rPr>
          <w:rFonts w:hint="eastAsia" w:ascii="微软雅黑" w:hAnsi="微软雅黑" w:eastAsia="微软雅黑" w:cs="微软雅黑"/>
          <w:color w:val="auto"/>
          <w:highlight w:val="none"/>
          <w:u w:val="none"/>
        </w:rPr>
        <w:t>构成</w:t>
      </w:r>
      <w:bookmarkEnd w:id="70"/>
      <w:bookmarkEnd w:id="71"/>
      <w:bookmarkEnd w:id="72"/>
      <w:bookmarkEnd w:id="73"/>
      <w:bookmarkEnd w:id="74"/>
      <w:bookmarkEnd w:id="75"/>
      <w:bookmarkEnd w:id="76"/>
      <w:bookmarkEnd w:id="77"/>
      <w:bookmarkEnd w:id="78"/>
      <w:bookmarkEnd w:id="79"/>
      <w:bookmarkEnd w:id="80"/>
      <w:bookmarkEnd w:id="81"/>
      <w:bookmarkEnd w:id="82"/>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分为三册共7章，内容如下：</w:t>
      </w:r>
    </w:p>
    <w:p>
      <w:pPr>
        <w:spacing w:line="360" w:lineRule="exact"/>
        <w:ind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第一册</w:t>
      </w:r>
    </w:p>
    <w:p>
      <w:pPr>
        <w:tabs>
          <w:tab w:val="left" w:pos="0"/>
        </w:tabs>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须知</w:t>
      </w:r>
    </w:p>
    <w:p>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格式</w:t>
      </w:r>
    </w:p>
    <w:p>
      <w:pPr>
        <w:spacing w:line="360" w:lineRule="exact"/>
        <w:ind w:firstLine="33" w:firstLineChars="1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第二册</w:t>
      </w:r>
    </w:p>
    <w:p>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3 </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邀请</w:t>
      </w:r>
    </w:p>
    <w:p>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4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须知资料表</w:t>
      </w:r>
    </w:p>
    <w:p>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5 服务内容及项目要求 </w:t>
      </w:r>
    </w:p>
    <w:p>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 评标方法和标准</w:t>
      </w:r>
    </w:p>
    <w:p>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第三册</w:t>
      </w:r>
    </w:p>
    <w:p>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7政府采购合同格式</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如本文件的前后内容不一致，以最后描述为准。</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5.3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应认真阅读</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所有的事项、格式、条款和技术规范等。如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没有按照</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要求提交全部资料，或者</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没有对</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在各方面都做出实质性响应，可能导致其</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pPr>
        <w:pStyle w:val="8"/>
        <w:spacing w:before="0" w:after="0" w:line="360" w:lineRule="exact"/>
        <w:rPr>
          <w:rFonts w:hint="eastAsia" w:ascii="微软雅黑" w:hAnsi="微软雅黑" w:eastAsia="微软雅黑" w:cs="微软雅黑"/>
          <w:color w:val="auto"/>
          <w:highlight w:val="none"/>
          <w:u w:val="none"/>
        </w:rPr>
      </w:pPr>
      <w:bookmarkStart w:id="83" w:name="_Toc515904805"/>
      <w:bookmarkStart w:id="84" w:name="_Toc520356148"/>
      <w:bookmarkStart w:id="85" w:name="_Toc20202"/>
      <w:bookmarkStart w:id="86" w:name="_Toc19275"/>
      <w:bookmarkStart w:id="87" w:name="_Toc1227"/>
      <w:bookmarkStart w:id="88" w:name="_Toc24067"/>
      <w:bookmarkStart w:id="89" w:name="_Toc26044"/>
      <w:bookmarkStart w:id="90" w:name="_Toc28731"/>
      <w:bookmarkStart w:id="91" w:name="_Toc1117"/>
      <w:bookmarkStart w:id="92" w:name="_Toc21231"/>
      <w:bookmarkStart w:id="93" w:name="_Toc9232"/>
      <w:bookmarkStart w:id="94" w:name="_Toc14910"/>
      <w:bookmarkStart w:id="95" w:name="_Toc25866"/>
      <w:bookmarkStart w:id="96" w:name="_Toc10034"/>
      <w:r>
        <w:rPr>
          <w:rFonts w:hint="eastAsia" w:ascii="微软雅黑" w:hAnsi="微软雅黑" w:eastAsia="微软雅黑" w:cs="微软雅黑"/>
          <w:color w:val="auto"/>
          <w:highlight w:val="none"/>
          <w:u w:val="none"/>
        </w:rPr>
        <w:t>6.</w:t>
      </w:r>
      <w:r>
        <w:rPr>
          <w:rFonts w:hint="eastAsia" w:ascii="微软雅黑" w:hAnsi="微软雅黑" w:eastAsia="微软雅黑" w:cs="微软雅黑"/>
          <w:color w:val="auto"/>
          <w:highlight w:val="none"/>
          <w:u w:val="none"/>
          <w:lang w:eastAsia="zh-CN"/>
        </w:rPr>
        <w:t>磋商文件</w:t>
      </w:r>
      <w:r>
        <w:rPr>
          <w:rFonts w:hint="eastAsia" w:ascii="微软雅黑" w:hAnsi="微软雅黑" w:eastAsia="微软雅黑" w:cs="微软雅黑"/>
          <w:color w:val="auto"/>
          <w:highlight w:val="none"/>
          <w:u w:val="none"/>
        </w:rPr>
        <w:t>的澄清</w:t>
      </w:r>
      <w:bookmarkEnd w:id="83"/>
      <w:bookmarkEnd w:id="84"/>
      <w:r>
        <w:rPr>
          <w:rFonts w:hint="eastAsia" w:ascii="微软雅黑" w:hAnsi="微软雅黑" w:eastAsia="微软雅黑" w:cs="微软雅黑"/>
          <w:color w:val="auto"/>
          <w:highlight w:val="none"/>
          <w:u w:val="none"/>
        </w:rPr>
        <w:t>与修改</w:t>
      </w:r>
      <w:bookmarkEnd w:id="85"/>
      <w:bookmarkEnd w:id="86"/>
      <w:bookmarkEnd w:id="87"/>
      <w:bookmarkEnd w:id="88"/>
      <w:bookmarkEnd w:id="89"/>
      <w:bookmarkEnd w:id="90"/>
      <w:bookmarkEnd w:id="91"/>
      <w:bookmarkEnd w:id="92"/>
      <w:bookmarkEnd w:id="93"/>
      <w:bookmarkEnd w:id="94"/>
      <w:bookmarkEnd w:id="95"/>
      <w:bookmarkEnd w:id="96"/>
    </w:p>
    <w:p>
      <w:pPr>
        <w:pStyle w:val="4"/>
        <w:spacing w:line="360" w:lineRule="exact"/>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6.1    为了保证对</w:t>
      </w:r>
      <w:r>
        <w:rPr>
          <w:rFonts w:hint="eastAsia" w:ascii="微软雅黑" w:hAnsi="微软雅黑" w:eastAsia="微软雅黑" w:cs="微软雅黑"/>
          <w:color w:val="auto"/>
          <w:szCs w:val="24"/>
          <w:highlight w:val="none"/>
          <w:lang w:eastAsia="zh-CN"/>
        </w:rPr>
        <w:t>磋商文件</w:t>
      </w:r>
      <w:r>
        <w:rPr>
          <w:rFonts w:hint="eastAsia" w:ascii="微软雅黑" w:hAnsi="微软雅黑" w:eastAsia="微软雅黑" w:cs="微软雅黑"/>
          <w:color w:val="auto"/>
          <w:szCs w:val="24"/>
          <w:highlight w:val="none"/>
        </w:rPr>
        <w:t>的澄清和修改满足法律的时限要求，任何要求对</w:t>
      </w:r>
      <w:r>
        <w:rPr>
          <w:rFonts w:hint="eastAsia" w:ascii="微软雅黑" w:hAnsi="微软雅黑" w:eastAsia="微软雅黑" w:cs="微软雅黑"/>
          <w:color w:val="auto"/>
          <w:szCs w:val="24"/>
          <w:highlight w:val="none"/>
          <w:lang w:eastAsia="zh-CN"/>
        </w:rPr>
        <w:t>磋商文件</w:t>
      </w:r>
      <w:r>
        <w:rPr>
          <w:rFonts w:hint="eastAsia" w:ascii="微软雅黑" w:hAnsi="微软雅黑" w:eastAsia="微软雅黑" w:cs="微软雅黑"/>
          <w:color w:val="auto"/>
          <w:szCs w:val="24"/>
          <w:highlight w:val="none"/>
        </w:rPr>
        <w:t>进行澄清的</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，均应在</w:t>
      </w:r>
      <w:r>
        <w:rPr>
          <w:rFonts w:hint="eastAsia" w:ascii="微软雅黑" w:hAnsi="微软雅黑" w:eastAsia="微软雅黑" w:cs="微软雅黑"/>
          <w:color w:val="auto"/>
          <w:szCs w:val="24"/>
          <w:highlight w:val="none"/>
          <w:lang w:val="en-US" w:eastAsia="zh-CN"/>
        </w:rPr>
        <w:t>磋商</w:t>
      </w:r>
      <w:r>
        <w:rPr>
          <w:rFonts w:hint="eastAsia" w:ascii="微软雅黑" w:hAnsi="微软雅黑" w:eastAsia="微软雅黑" w:cs="微软雅黑"/>
          <w:color w:val="auto"/>
          <w:szCs w:val="24"/>
          <w:highlight w:val="none"/>
        </w:rPr>
        <w:t>截止</w:t>
      </w:r>
      <w:r>
        <w:rPr>
          <w:rFonts w:hint="eastAsia" w:ascii="微软雅黑" w:hAnsi="微软雅黑" w:eastAsia="微软雅黑" w:cs="微软雅黑"/>
          <w:color w:val="auto"/>
          <w:szCs w:val="24"/>
          <w:highlight w:val="none"/>
          <w:lang w:val="en-US" w:eastAsia="zh-CN"/>
        </w:rPr>
        <w:t>时间五个工作日</w:t>
      </w:r>
      <w:r>
        <w:rPr>
          <w:rFonts w:hint="eastAsia" w:ascii="微软雅黑" w:hAnsi="微软雅黑" w:eastAsia="微软雅黑" w:cs="微软雅黑"/>
          <w:color w:val="auto"/>
          <w:szCs w:val="24"/>
          <w:highlight w:val="none"/>
        </w:rPr>
        <w:t>前，以书面形式将澄清要求通知采购人或采购代理机构。</w:t>
      </w:r>
    </w:p>
    <w:p>
      <w:pPr>
        <w:pStyle w:val="4"/>
        <w:spacing w:line="360" w:lineRule="exact"/>
        <w:ind w:left="840" w:hanging="840" w:hangingChars="350"/>
        <w:rPr>
          <w:rFonts w:hint="eastAsia" w:ascii="微软雅黑" w:hAnsi="微软雅黑" w:eastAsia="微软雅黑" w:cs="微软雅黑"/>
          <w:color w:val="auto"/>
          <w:szCs w:val="24"/>
          <w:highlight w:val="none"/>
        </w:rPr>
      </w:pPr>
      <w:bookmarkStart w:id="97" w:name="_Toc520356149"/>
      <w:bookmarkStart w:id="98" w:name="_Toc515904806"/>
      <w:bookmarkStart w:id="99" w:name="_Ref467378678"/>
      <w:r>
        <w:rPr>
          <w:rFonts w:hint="eastAsia" w:ascii="微软雅黑" w:hAnsi="微软雅黑" w:eastAsia="微软雅黑" w:cs="微软雅黑"/>
          <w:color w:val="auto"/>
          <w:szCs w:val="24"/>
          <w:highlight w:val="none"/>
        </w:rPr>
        <w:t>6.2</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采购人可主动地或在解答</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提出的澄清问题时对</w:t>
      </w:r>
      <w:r>
        <w:rPr>
          <w:rFonts w:hint="eastAsia" w:ascii="微软雅黑" w:hAnsi="微软雅黑" w:eastAsia="微软雅黑" w:cs="微软雅黑"/>
          <w:color w:val="auto"/>
          <w:szCs w:val="24"/>
          <w:highlight w:val="none"/>
          <w:lang w:eastAsia="zh-CN"/>
        </w:rPr>
        <w:t>磋商文件</w:t>
      </w:r>
      <w:r>
        <w:rPr>
          <w:rFonts w:hint="eastAsia" w:ascii="微软雅黑" w:hAnsi="微软雅黑" w:eastAsia="微软雅黑" w:cs="微软雅黑"/>
          <w:color w:val="auto"/>
          <w:szCs w:val="24"/>
          <w:highlight w:val="none"/>
        </w:rPr>
        <w:t>进行澄清或修改。采购代理机构将以发布澄清（更正）公告的方式，澄清或修改</w:t>
      </w:r>
      <w:r>
        <w:rPr>
          <w:rFonts w:hint="eastAsia" w:ascii="微软雅黑" w:hAnsi="微软雅黑" w:eastAsia="微软雅黑" w:cs="微软雅黑"/>
          <w:color w:val="auto"/>
          <w:szCs w:val="24"/>
          <w:highlight w:val="none"/>
          <w:lang w:eastAsia="zh-CN"/>
        </w:rPr>
        <w:t>磋商文件</w:t>
      </w:r>
      <w:r>
        <w:rPr>
          <w:rFonts w:hint="eastAsia" w:ascii="微软雅黑" w:hAnsi="微软雅黑" w:eastAsia="微软雅黑" w:cs="微软雅黑"/>
          <w:color w:val="auto"/>
          <w:szCs w:val="24"/>
          <w:highlight w:val="none"/>
        </w:rPr>
        <w:t>，澄清或修改内容作为</w:t>
      </w:r>
      <w:r>
        <w:rPr>
          <w:rFonts w:hint="eastAsia" w:ascii="微软雅黑" w:hAnsi="微软雅黑" w:eastAsia="微软雅黑" w:cs="微软雅黑"/>
          <w:color w:val="auto"/>
          <w:szCs w:val="24"/>
          <w:highlight w:val="none"/>
          <w:lang w:eastAsia="zh-CN"/>
        </w:rPr>
        <w:t>磋商文件</w:t>
      </w:r>
      <w:r>
        <w:rPr>
          <w:rFonts w:hint="eastAsia" w:ascii="微软雅黑" w:hAnsi="微软雅黑" w:eastAsia="微软雅黑" w:cs="微软雅黑"/>
          <w:color w:val="auto"/>
          <w:szCs w:val="24"/>
          <w:highlight w:val="none"/>
        </w:rPr>
        <w:t>的组成部分。</w:t>
      </w:r>
    </w:p>
    <w:p>
      <w:pPr>
        <w:pStyle w:val="4"/>
        <w:spacing w:line="360" w:lineRule="exact"/>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6.3</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澄清或者修改的内容可能影响</w:t>
      </w:r>
      <w:r>
        <w:rPr>
          <w:rFonts w:hint="eastAsia" w:ascii="微软雅黑" w:hAnsi="微软雅黑" w:eastAsia="微软雅黑" w:cs="微软雅黑"/>
          <w:color w:val="auto"/>
          <w:szCs w:val="24"/>
          <w:highlight w:val="none"/>
          <w:lang w:eastAsia="zh-CN"/>
        </w:rPr>
        <w:t>响应文件</w:t>
      </w:r>
      <w:r>
        <w:rPr>
          <w:rFonts w:hint="eastAsia" w:ascii="微软雅黑" w:hAnsi="微软雅黑" w:eastAsia="微软雅黑" w:cs="微软雅黑"/>
          <w:color w:val="auto"/>
          <w:szCs w:val="24"/>
          <w:highlight w:val="none"/>
        </w:rPr>
        <w:t>编制的，采购代理机构将以书面形式通知所有购买</w:t>
      </w:r>
      <w:r>
        <w:rPr>
          <w:rFonts w:hint="eastAsia" w:ascii="微软雅黑" w:hAnsi="微软雅黑" w:eastAsia="微软雅黑" w:cs="微软雅黑"/>
          <w:color w:val="auto"/>
          <w:szCs w:val="24"/>
          <w:highlight w:val="none"/>
          <w:lang w:eastAsia="zh-CN"/>
        </w:rPr>
        <w:t>磋商文件</w:t>
      </w:r>
      <w:r>
        <w:rPr>
          <w:rFonts w:hint="eastAsia" w:ascii="微软雅黑" w:hAnsi="微软雅黑" w:eastAsia="微软雅黑" w:cs="微软雅黑"/>
          <w:color w:val="auto"/>
          <w:szCs w:val="24"/>
          <w:highlight w:val="none"/>
        </w:rPr>
        <w:t>的潜在</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，并对其具有约束力。</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在收到上述通知后，应及时向采购代理机构回函确认。</w:t>
      </w:r>
    </w:p>
    <w:p>
      <w:pPr>
        <w:pStyle w:val="8"/>
        <w:tabs>
          <w:tab w:val="left" w:pos="900"/>
        </w:tabs>
        <w:spacing w:before="0" w:after="0" w:line="360" w:lineRule="exact"/>
        <w:rPr>
          <w:rFonts w:hint="eastAsia" w:ascii="微软雅黑" w:hAnsi="微软雅黑" w:eastAsia="微软雅黑" w:cs="微软雅黑"/>
          <w:color w:val="auto"/>
          <w:highlight w:val="none"/>
          <w:u w:val="none"/>
        </w:rPr>
      </w:pPr>
      <w:bookmarkStart w:id="100" w:name="_Toc10823"/>
      <w:bookmarkStart w:id="101" w:name="_Toc5103"/>
      <w:bookmarkStart w:id="102" w:name="_Toc14569"/>
      <w:bookmarkStart w:id="103" w:name="_Toc12558"/>
      <w:bookmarkStart w:id="104" w:name="_Toc25635"/>
      <w:bookmarkStart w:id="105" w:name="_Toc978"/>
      <w:bookmarkStart w:id="106" w:name="_Toc517"/>
      <w:bookmarkStart w:id="107" w:name="_Toc11187"/>
      <w:bookmarkStart w:id="108" w:name="_Toc8561"/>
      <w:bookmarkStart w:id="109" w:name="_Toc22107"/>
      <w:bookmarkStart w:id="110" w:name="_Toc3118"/>
      <w:bookmarkStart w:id="111" w:name="_Toc1073"/>
      <w:r>
        <w:rPr>
          <w:rFonts w:hint="eastAsia" w:ascii="微软雅黑" w:hAnsi="微软雅黑" w:eastAsia="微软雅黑" w:cs="微软雅黑"/>
          <w:color w:val="auto"/>
          <w:highlight w:val="none"/>
          <w:u w:val="none"/>
        </w:rPr>
        <w:t>7</w:t>
      </w:r>
      <w:bookmarkEnd w:id="97"/>
      <w:bookmarkEnd w:id="98"/>
      <w:bookmarkEnd w:id="99"/>
      <w:r>
        <w:rPr>
          <w:rFonts w:hint="eastAsia" w:ascii="微软雅黑" w:hAnsi="微软雅黑" w:eastAsia="微软雅黑" w:cs="微软雅黑"/>
          <w:color w:val="auto"/>
          <w:highlight w:val="none"/>
          <w:u w:val="none"/>
        </w:rPr>
        <w:t>.</w:t>
      </w:r>
      <w:r>
        <w:rPr>
          <w:rFonts w:hint="eastAsia" w:ascii="微软雅黑" w:hAnsi="微软雅黑" w:eastAsia="微软雅黑" w:cs="微软雅黑"/>
          <w:color w:val="auto"/>
          <w:highlight w:val="none"/>
          <w:u w:val="none"/>
          <w:lang w:val="en-US" w:eastAsia="zh-CN"/>
        </w:rPr>
        <w:t>磋商</w:t>
      </w:r>
      <w:r>
        <w:rPr>
          <w:rFonts w:hint="eastAsia" w:ascii="微软雅黑" w:hAnsi="微软雅黑" w:eastAsia="微软雅黑" w:cs="微软雅黑"/>
          <w:color w:val="auto"/>
          <w:highlight w:val="none"/>
          <w:u w:val="none"/>
        </w:rPr>
        <w:t>截止时间的顺延</w:t>
      </w:r>
      <w:bookmarkEnd w:id="100"/>
      <w:bookmarkEnd w:id="101"/>
      <w:bookmarkEnd w:id="102"/>
      <w:bookmarkEnd w:id="103"/>
      <w:bookmarkEnd w:id="104"/>
      <w:bookmarkEnd w:id="105"/>
      <w:bookmarkEnd w:id="106"/>
      <w:bookmarkEnd w:id="107"/>
      <w:bookmarkEnd w:id="108"/>
      <w:bookmarkEnd w:id="109"/>
      <w:bookmarkEnd w:id="110"/>
      <w:bookmarkEnd w:id="111"/>
    </w:p>
    <w:p>
      <w:pPr>
        <w:spacing w:line="360" w:lineRule="exact"/>
        <w:ind w:left="900" w:hanging="900" w:hangingChars="375"/>
        <w:rPr>
          <w:rFonts w:hint="eastAsia" w:ascii="微软雅黑" w:hAnsi="微软雅黑" w:eastAsia="微软雅黑" w:cs="微软雅黑"/>
          <w:color w:val="auto"/>
          <w:sz w:val="28"/>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为使</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准备</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时有足够的时间对</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的澄清或者修改部分进行研究，采购人将依法决定是否顺延</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截止时间。</w:t>
      </w:r>
      <w:bookmarkStart w:id="112" w:name="_Toc516367020"/>
      <w:bookmarkStart w:id="113" w:name="_Toc7636"/>
      <w:bookmarkStart w:id="114" w:name="_Toc216582807"/>
      <w:bookmarkStart w:id="115" w:name="_Toc515647766"/>
      <w:bookmarkStart w:id="116" w:name="_Toc30808"/>
      <w:bookmarkStart w:id="117" w:name="_Toc520356150"/>
    </w:p>
    <w:p>
      <w:pPr>
        <w:tabs>
          <w:tab w:val="left" w:pos="900"/>
        </w:tabs>
        <w:spacing w:line="360" w:lineRule="exact"/>
        <w:ind w:hanging="540"/>
        <w:rPr>
          <w:rFonts w:hint="eastAsia" w:ascii="微软雅黑" w:hAnsi="微软雅黑" w:eastAsia="微软雅黑" w:cs="微软雅黑"/>
          <w:color w:val="auto"/>
          <w:sz w:val="28"/>
          <w:highlight w:val="none"/>
        </w:rPr>
      </w:pPr>
    </w:p>
    <w:p>
      <w:pPr>
        <w:pStyle w:val="7"/>
        <w:tabs>
          <w:tab w:val="left" w:pos="900"/>
        </w:tabs>
        <w:spacing w:before="0" w:line="360" w:lineRule="exact"/>
        <w:ind w:hanging="540"/>
        <w:rPr>
          <w:rFonts w:hint="eastAsia" w:ascii="微软雅黑" w:hAnsi="微软雅黑" w:eastAsia="微软雅黑" w:cs="微软雅黑"/>
          <w:color w:val="auto"/>
          <w:sz w:val="28"/>
          <w:highlight w:val="none"/>
        </w:rPr>
      </w:pPr>
      <w:bookmarkStart w:id="118" w:name="_Toc480"/>
      <w:bookmarkStart w:id="119" w:name="_Toc29522"/>
      <w:bookmarkStart w:id="120" w:name="_Toc13965"/>
      <w:r>
        <w:rPr>
          <w:rFonts w:hint="eastAsia" w:ascii="微软雅黑" w:hAnsi="微软雅黑" w:eastAsia="微软雅黑" w:cs="微软雅黑"/>
          <w:color w:val="auto"/>
          <w:sz w:val="28"/>
          <w:highlight w:val="none"/>
        </w:rPr>
        <w:t xml:space="preserve">三   </w:t>
      </w:r>
      <w:bookmarkEnd w:id="112"/>
      <w:r>
        <w:rPr>
          <w:rFonts w:hint="eastAsia" w:ascii="微软雅黑" w:hAnsi="微软雅黑" w:eastAsia="微软雅黑" w:cs="微软雅黑"/>
          <w:color w:val="auto"/>
          <w:sz w:val="28"/>
          <w:highlight w:val="none"/>
          <w:lang w:eastAsia="zh-CN"/>
        </w:rPr>
        <w:t>响应文件</w:t>
      </w:r>
      <w:r>
        <w:rPr>
          <w:rFonts w:hint="eastAsia" w:ascii="微软雅黑" w:hAnsi="微软雅黑" w:eastAsia="微软雅黑" w:cs="微软雅黑"/>
          <w:color w:val="auto"/>
          <w:sz w:val="28"/>
          <w:highlight w:val="none"/>
        </w:rPr>
        <w:t>的编制</w:t>
      </w:r>
      <w:bookmarkEnd w:id="113"/>
      <w:bookmarkEnd w:id="114"/>
      <w:bookmarkEnd w:id="115"/>
      <w:bookmarkEnd w:id="116"/>
      <w:bookmarkEnd w:id="117"/>
      <w:bookmarkEnd w:id="118"/>
      <w:bookmarkEnd w:id="119"/>
      <w:bookmarkEnd w:id="120"/>
    </w:p>
    <w:p>
      <w:pPr>
        <w:pStyle w:val="4"/>
        <w:spacing w:line="360" w:lineRule="exact"/>
        <w:rPr>
          <w:rFonts w:hint="eastAsia" w:ascii="微软雅黑" w:hAnsi="微软雅黑" w:eastAsia="微软雅黑" w:cs="微软雅黑"/>
          <w:color w:val="auto"/>
          <w:highlight w:val="none"/>
        </w:rPr>
      </w:pPr>
    </w:p>
    <w:p>
      <w:pPr>
        <w:pStyle w:val="8"/>
        <w:tabs>
          <w:tab w:val="left" w:pos="900"/>
        </w:tabs>
        <w:spacing w:before="0" w:after="0" w:line="360" w:lineRule="exact"/>
        <w:rPr>
          <w:rFonts w:hint="eastAsia" w:ascii="微软雅黑" w:hAnsi="微软雅黑" w:eastAsia="微软雅黑" w:cs="微软雅黑"/>
          <w:color w:val="auto"/>
          <w:highlight w:val="none"/>
          <w:u w:val="none"/>
        </w:rPr>
      </w:pPr>
      <w:bookmarkStart w:id="121" w:name="_Toc516367021"/>
      <w:bookmarkStart w:id="122" w:name="_Toc520356151"/>
      <w:bookmarkStart w:id="123" w:name="_Toc7786"/>
      <w:bookmarkStart w:id="124" w:name="_Toc5890"/>
      <w:bookmarkStart w:id="125" w:name="_Toc2539"/>
      <w:bookmarkStart w:id="126" w:name="_Toc7120"/>
      <w:bookmarkStart w:id="127" w:name="_Toc29861"/>
      <w:bookmarkStart w:id="128" w:name="_Toc3553"/>
      <w:bookmarkStart w:id="129" w:name="_Toc20486"/>
      <w:bookmarkStart w:id="130" w:name="_Toc515647767"/>
      <w:bookmarkStart w:id="131" w:name="_Toc15642"/>
      <w:bookmarkStart w:id="132" w:name="_Toc5025"/>
      <w:bookmarkStart w:id="133" w:name="_Toc2129"/>
      <w:bookmarkStart w:id="134" w:name="_Toc3785"/>
      <w:bookmarkStart w:id="135" w:name="_Toc11691"/>
      <w:r>
        <w:rPr>
          <w:rFonts w:hint="eastAsia" w:ascii="微软雅黑" w:hAnsi="微软雅黑" w:eastAsia="微软雅黑" w:cs="微软雅黑"/>
          <w:color w:val="auto"/>
          <w:highlight w:val="none"/>
          <w:u w:val="none"/>
        </w:rPr>
        <w:t>8.</w:t>
      </w:r>
      <w:r>
        <w:rPr>
          <w:rFonts w:hint="eastAsia" w:ascii="微软雅黑" w:hAnsi="微软雅黑" w:eastAsia="微软雅黑" w:cs="微软雅黑"/>
          <w:color w:val="auto"/>
          <w:highlight w:val="none"/>
          <w:u w:val="none"/>
        </w:rPr>
        <w:tab/>
      </w:r>
      <w:r>
        <w:rPr>
          <w:rFonts w:hint="eastAsia" w:ascii="微软雅黑" w:hAnsi="微软雅黑" w:eastAsia="微软雅黑" w:cs="微软雅黑"/>
          <w:color w:val="auto"/>
          <w:highlight w:val="none"/>
          <w:u w:val="none"/>
          <w:lang w:val="en-US" w:eastAsia="zh-CN"/>
        </w:rPr>
        <w:t>磋商</w:t>
      </w:r>
      <w:r>
        <w:rPr>
          <w:rFonts w:hint="eastAsia" w:ascii="微软雅黑" w:hAnsi="微软雅黑" w:eastAsia="微软雅黑" w:cs="微软雅黑"/>
          <w:color w:val="auto"/>
          <w:highlight w:val="none"/>
          <w:u w:val="none"/>
        </w:rPr>
        <w:t>范围及</w:t>
      </w:r>
      <w:r>
        <w:rPr>
          <w:rFonts w:hint="eastAsia" w:ascii="微软雅黑" w:hAnsi="微软雅黑" w:eastAsia="微软雅黑" w:cs="微软雅黑"/>
          <w:color w:val="auto"/>
          <w:highlight w:val="none"/>
          <w:u w:val="none"/>
          <w:lang w:eastAsia="zh-CN"/>
        </w:rPr>
        <w:t>响应文件</w:t>
      </w:r>
      <w:r>
        <w:rPr>
          <w:rFonts w:hint="eastAsia" w:ascii="微软雅黑" w:hAnsi="微软雅黑" w:eastAsia="微软雅黑" w:cs="微软雅黑"/>
          <w:color w:val="auto"/>
          <w:highlight w:val="none"/>
          <w:u w:val="none"/>
          <w:lang w:val="en-US" w:eastAsia="zh-CN"/>
        </w:rPr>
        <w:t>成交</w:t>
      </w:r>
      <w:r>
        <w:rPr>
          <w:rFonts w:hint="eastAsia" w:ascii="微软雅黑" w:hAnsi="微软雅黑" w:eastAsia="微软雅黑" w:cs="微软雅黑"/>
          <w:color w:val="auto"/>
          <w:highlight w:val="none"/>
          <w:u w:val="none"/>
        </w:rPr>
        <w:t>准和计量单位的使用</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项目有分包的，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可对</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其中某一个或几个分包服务进行</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，除非在</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中另有规定。</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8.2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应当对所投分包</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中“服务内容及项目要求”所列的所有内容进行</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，如仅响应某一包中的部分内容，其</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8.3     除</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中有特殊要求外，</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中所使用的计量单位，应采用中华人民共和国法定计量单位。</w:t>
      </w:r>
    </w:p>
    <w:p>
      <w:pPr>
        <w:pStyle w:val="8"/>
        <w:tabs>
          <w:tab w:val="left" w:pos="900"/>
        </w:tabs>
        <w:spacing w:before="0" w:after="0" w:line="360" w:lineRule="exact"/>
        <w:rPr>
          <w:rFonts w:hint="eastAsia" w:ascii="微软雅黑" w:hAnsi="微软雅黑" w:eastAsia="微软雅黑" w:cs="微软雅黑"/>
          <w:color w:val="auto"/>
          <w:highlight w:val="none"/>
          <w:u w:val="none"/>
        </w:rPr>
      </w:pPr>
      <w:bookmarkStart w:id="136" w:name="_Toc516367022"/>
      <w:bookmarkStart w:id="137" w:name="_Ref467306195"/>
      <w:bookmarkStart w:id="138" w:name="_Ref467306676"/>
      <w:bookmarkStart w:id="139" w:name="_Toc29587"/>
      <w:bookmarkStart w:id="140" w:name="_Toc10364"/>
      <w:bookmarkStart w:id="141" w:name="_Toc22897"/>
      <w:bookmarkStart w:id="142" w:name="_Toc515647768"/>
      <w:bookmarkStart w:id="143" w:name="_Toc520356152"/>
      <w:bookmarkStart w:id="144" w:name="_Toc12220"/>
      <w:bookmarkStart w:id="145" w:name="_Toc23715"/>
      <w:bookmarkStart w:id="146" w:name="_Toc22417"/>
      <w:bookmarkStart w:id="147" w:name="_Toc28307"/>
      <w:bookmarkStart w:id="148" w:name="_Toc258"/>
      <w:bookmarkStart w:id="149" w:name="_Toc16592"/>
      <w:bookmarkStart w:id="150" w:name="_Toc15740"/>
      <w:bookmarkStart w:id="151" w:name="_Toc16016"/>
      <w:r>
        <w:rPr>
          <w:rFonts w:hint="eastAsia" w:ascii="微软雅黑" w:hAnsi="微软雅黑" w:eastAsia="微软雅黑" w:cs="微软雅黑"/>
          <w:color w:val="auto"/>
          <w:highlight w:val="none"/>
          <w:u w:val="none"/>
        </w:rPr>
        <w:t>9.</w:t>
      </w:r>
      <w:bookmarkEnd w:id="136"/>
      <w:bookmarkEnd w:id="137"/>
      <w:bookmarkEnd w:id="138"/>
      <w:r>
        <w:rPr>
          <w:rFonts w:hint="eastAsia" w:ascii="微软雅黑" w:hAnsi="微软雅黑" w:eastAsia="微软雅黑" w:cs="微软雅黑"/>
          <w:color w:val="auto"/>
          <w:highlight w:val="none"/>
          <w:u w:val="none"/>
          <w:lang w:eastAsia="zh-CN"/>
        </w:rPr>
        <w:t>响应文件</w:t>
      </w:r>
      <w:r>
        <w:rPr>
          <w:rFonts w:hint="eastAsia" w:ascii="微软雅黑" w:hAnsi="微软雅黑" w:eastAsia="微软雅黑" w:cs="微软雅黑"/>
          <w:color w:val="auto"/>
          <w:highlight w:val="none"/>
          <w:u w:val="none"/>
        </w:rPr>
        <w:t>构成</w:t>
      </w:r>
      <w:bookmarkEnd w:id="139"/>
      <w:bookmarkEnd w:id="140"/>
      <w:bookmarkEnd w:id="141"/>
      <w:bookmarkEnd w:id="142"/>
      <w:bookmarkEnd w:id="143"/>
      <w:bookmarkEnd w:id="144"/>
      <w:bookmarkEnd w:id="145"/>
      <w:bookmarkEnd w:id="146"/>
      <w:bookmarkEnd w:id="147"/>
      <w:bookmarkEnd w:id="148"/>
      <w:bookmarkEnd w:id="149"/>
      <w:bookmarkEnd w:id="150"/>
      <w:bookmarkEnd w:id="151"/>
    </w:p>
    <w:p>
      <w:pPr>
        <w:tabs>
          <w:tab w:val="left" w:pos="900"/>
          <w:tab w:val="left" w:pos="5580"/>
        </w:tabs>
        <w:spacing w:line="360" w:lineRule="exact"/>
        <w:ind w:left="960" w:hanging="960" w:hangingChars="400"/>
        <w:jc w:val="left"/>
        <w:rPr>
          <w:rFonts w:hint="eastAsia" w:ascii="微软雅黑" w:hAnsi="微软雅黑" w:eastAsia="微软雅黑" w:cs="微软雅黑"/>
          <w:color w:val="auto"/>
          <w:sz w:val="24"/>
          <w:highlight w:val="none"/>
          <w:u w:val="single"/>
        </w:rPr>
      </w:pPr>
      <w:bookmarkStart w:id="152" w:name="_Ref467052588"/>
      <w:r>
        <w:rPr>
          <w:rFonts w:hint="eastAsia" w:ascii="微软雅黑" w:hAnsi="微软雅黑" w:eastAsia="微软雅黑" w:cs="微软雅黑"/>
          <w:color w:val="auto"/>
          <w:sz w:val="24"/>
          <w:highlight w:val="none"/>
        </w:rPr>
        <w:t xml:space="preserve">9.1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应完整地按</w:t>
      </w:r>
      <w:r>
        <w:rPr>
          <w:rFonts w:hint="eastAsia" w:ascii="微软雅黑" w:hAnsi="微软雅黑" w:eastAsia="微软雅黑" w:cs="微软雅黑"/>
          <w:color w:val="auto"/>
          <w:sz w:val="24"/>
          <w:highlight w:val="none"/>
          <w:u w:val="single"/>
          <w:lang w:eastAsia="zh-CN"/>
        </w:rPr>
        <w:t>磋商文件</w:t>
      </w:r>
      <w:r>
        <w:rPr>
          <w:rFonts w:hint="eastAsia" w:ascii="微软雅黑" w:hAnsi="微软雅黑" w:eastAsia="微软雅黑" w:cs="微软雅黑"/>
          <w:color w:val="auto"/>
          <w:sz w:val="24"/>
          <w:highlight w:val="none"/>
          <w:u w:val="single"/>
        </w:rPr>
        <w:t>提供的</w:t>
      </w:r>
      <w:r>
        <w:rPr>
          <w:rFonts w:hint="eastAsia" w:ascii="微软雅黑" w:hAnsi="微软雅黑" w:eastAsia="微软雅黑" w:cs="微软雅黑"/>
          <w:color w:val="auto"/>
          <w:sz w:val="24"/>
          <w:highlight w:val="none"/>
          <w:u w:val="single"/>
          <w:lang w:eastAsia="zh-CN"/>
        </w:rPr>
        <w:t>响应文件</w:t>
      </w:r>
      <w:r>
        <w:rPr>
          <w:rFonts w:hint="eastAsia" w:ascii="微软雅黑" w:hAnsi="微软雅黑" w:eastAsia="微软雅黑" w:cs="微软雅黑"/>
          <w:color w:val="auto"/>
          <w:sz w:val="24"/>
          <w:highlight w:val="none"/>
          <w:u w:val="single"/>
        </w:rPr>
        <w:t>格式及要求遍写</w:t>
      </w:r>
      <w:r>
        <w:rPr>
          <w:rFonts w:hint="eastAsia" w:ascii="微软雅黑" w:hAnsi="微软雅黑" w:eastAsia="微软雅黑" w:cs="微软雅黑"/>
          <w:color w:val="auto"/>
          <w:sz w:val="24"/>
          <w:highlight w:val="none"/>
          <w:u w:val="single"/>
          <w:lang w:eastAsia="zh-CN"/>
        </w:rPr>
        <w:t>响应文件</w:t>
      </w:r>
      <w:r>
        <w:rPr>
          <w:rFonts w:hint="eastAsia" w:ascii="微软雅黑" w:hAnsi="微软雅黑" w:eastAsia="微软雅黑" w:cs="微软雅黑"/>
          <w:color w:val="auto"/>
          <w:sz w:val="24"/>
          <w:highlight w:val="none"/>
          <w:u w:val="single"/>
        </w:rPr>
        <w:t>，</w:t>
      </w:r>
      <w:r>
        <w:rPr>
          <w:rFonts w:hint="eastAsia" w:ascii="微软雅黑" w:hAnsi="微软雅黑" w:eastAsia="微软雅黑" w:cs="微软雅黑"/>
          <w:color w:val="auto"/>
          <w:sz w:val="24"/>
          <w:highlight w:val="none"/>
          <w:u w:val="single"/>
          <w:lang w:eastAsia="zh-CN"/>
        </w:rPr>
        <w:t>响应文件</w:t>
      </w:r>
      <w:r>
        <w:rPr>
          <w:rFonts w:hint="eastAsia" w:ascii="微软雅黑" w:hAnsi="微软雅黑" w:eastAsia="微软雅黑" w:cs="微软雅黑"/>
          <w:color w:val="auto"/>
          <w:sz w:val="24"/>
          <w:highlight w:val="none"/>
          <w:u w:val="single"/>
        </w:rPr>
        <w:t>应包括“开标一览表及资格证明文件”和“商务及技术文件”两部分，两部分合订成一册，密封</w:t>
      </w:r>
      <w:r>
        <w:rPr>
          <w:rFonts w:hint="eastAsia" w:ascii="微软雅黑" w:hAnsi="微软雅黑" w:eastAsia="微软雅黑" w:cs="微软雅黑"/>
          <w:color w:val="auto"/>
          <w:sz w:val="24"/>
          <w:highlight w:val="none"/>
          <w:u w:val="single"/>
          <w:lang w:val="en-US" w:eastAsia="zh-CN"/>
        </w:rPr>
        <w:t>上传</w:t>
      </w:r>
      <w:r>
        <w:rPr>
          <w:rFonts w:hint="eastAsia" w:ascii="微软雅黑" w:hAnsi="微软雅黑" w:eastAsia="微软雅黑" w:cs="微软雅黑"/>
          <w:color w:val="auto"/>
          <w:sz w:val="24"/>
          <w:highlight w:val="none"/>
          <w:u w:val="single"/>
        </w:rPr>
        <w:t>。</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应承担</w:t>
      </w:r>
      <w:r>
        <w:rPr>
          <w:rFonts w:hint="eastAsia" w:ascii="微软雅黑" w:hAnsi="微软雅黑" w:eastAsia="微软雅黑" w:cs="微软雅黑"/>
          <w:color w:val="auto"/>
          <w:sz w:val="24"/>
          <w:highlight w:val="none"/>
          <w:u w:val="single"/>
          <w:lang w:val="en-US" w:eastAsia="zh-CN"/>
        </w:rPr>
        <w:t>上传</w:t>
      </w:r>
      <w:r>
        <w:rPr>
          <w:rFonts w:hint="eastAsia" w:ascii="微软雅黑" w:hAnsi="微软雅黑" w:eastAsia="微软雅黑" w:cs="微软雅黑"/>
          <w:color w:val="auto"/>
          <w:sz w:val="24"/>
          <w:highlight w:val="none"/>
          <w:u w:val="single"/>
        </w:rPr>
        <w:t>失误产生的任何后果。</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9.2    上述文件应按照</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规定的格式填写、签署和盖章。</w:t>
      </w:r>
      <w:bookmarkEnd w:id="152"/>
    </w:p>
    <w:p>
      <w:pPr>
        <w:pStyle w:val="8"/>
        <w:tabs>
          <w:tab w:val="left" w:pos="900"/>
        </w:tabs>
        <w:spacing w:before="0" w:after="0" w:line="360" w:lineRule="exact"/>
        <w:rPr>
          <w:rFonts w:hint="eastAsia" w:ascii="微软雅黑" w:hAnsi="微软雅黑" w:eastAsia="微软雅黑" w:cs="微软雅黑"/>
          <w:color w:val="auto"/>
          <w:highlight w:val="none"/>
          <w:u w:val="none"/>
        </w:rPr>
      </w:pPr>
      <w:bookmarkStart w:id="153" w:name="_Toc10584"/>
      <w:bookmarkStart w:id="154" w:name="_Toc516367023"/>
      <w:bookmarkStart w:id="155" w:name="_Toc17395"/>
      <w:bookmarkStart w:id="156" w:name="_Toc30354"/>
      <w:bookmarkStart w:id="157" w:name="_Toc2056"/>
      <w:bookmarkStart w:id="158" w:name="_Toc11200"/>
      <w:bookmarkStart w:id="159" w:name="_Toc2564"/>
      <w:bookmarkStart w:id="160" w:name="_Toc6978"/>
      <w:bookmarkStart w:id="161" w:name="_Toc15151"/>
      <w:bookmarkStart w:id="162" w:name="_Toc515647769"/>
      <w:bookmarkStart w:id="163" w:name="_Toc10379"/>
      <w:bookmarkStart w:id="164" w:name="_Toc2999"/>
      <w:bookmarkStart w:id="165" w:name="_Toc4601"/>
      <w:bookmarkStart w:id="166" w:name="_Toc520356153"/>
      <w:bookmarkStart w:id="167" w:name="_Toc17150"/>
      <w:r>
        <w:rPr>
          <w:rFonts w:hint="eastAsia" w:ascii="微软雅黑" w:hAnsi="微软雅黑" w:eastAsia="微软雅黑" w:cs="微软雅黑"/>
          <w:color w:val="auto"/>
          <w:highlight w:val="none"/>
          <w:u w:val="none"/>
        </w:rPr>
        <w:t>10.</w:t>
      </w:r>
      <w:r>
        <w:rPr>
          <w:rFonts w:hint="eastAsia" w:ascii="微软雅黑" w:hAnsi="微软雅黑" w:eastAsia="微软雅黑" w:cs="微软雅黑"/>
          <w:color w:val="auto"/>
          <w:highlight w:val="none"/>
          <w:u w:val="none"/>
        </w:rPr>
        <w:tab/>
      </w:r>
      <w:r>
        <w:rPr>
          <w:rFonts w:hint="eastAsia" w:ascii="微软雅黑" w:hAnsi="微软雅黑" w:eastAsia="微软雅黑" w:cs="微软雅黑"/>
          <w:color w:val="auto"/>
          <w:highlight w:val="none"/>
          <w:u w:val="none"/>
        </w:rPr>
        <w:t>证明</w:t>
      </w:r>
      <w:r>
        <w:rPr>
          <w:rFonts w:hint="eastAsia" w:ascii="微软雅黑" w:hAnsi="微软雅黑" w:eastAsia="微软雅黑" w:cs="微软雅黑"/>
          <w:color w:val="auto"/>
          <w:highlight w:val="none"/>
          <w:u w:val="none"/>
          <w:lang w:val="en-US" w:eastAsia="zh-CN"/>
        </w:rPr>
        <w:t>磋商</w:t>
      </w:r>
      <w:r>
        <w:rPr>
          <w:rFonts w:hint="eastAsia" w:ascii="微软雅黑" w:hAnsi="微软雅黑" w:eastAsia="微软雅黑" w:cs="微软雅黑"/>
          <w:color w:val="auto"/>
          <w:highlight w:val="none"/>
          <w:u w:val="none"/>
        </w:rPr>
        <w:t>的的合格性和符合</w:t>
      </w:r>
      <w:r>
        <w:rPr>
          <w:rFonts w:hint="eastAsia" w:ascii="微软雅黑" w:hAnsi="微软雅黑" w:eastAsia="微软雅黑" w:cs="微软雅黑"/>
          <w:color w:val="auto"/>
          <w:highlight w:val="none"/>
          <w:u w:val="none"/>
          <w:lang w:eastAsia="zh-CN"/>
        </w:rPr>
        <w:t>磋商文件</w:t>
      </w:r>
      <w:r>
        <w:rPr>
          <w:rFonts w:hint="eastAsia" w:ascii="微软雅黑" w:hAnsi="微软雅黑" w:eastAsia="微软雅黑" w:cs="微软雅黑"/>
          <w:color w:val="auto"/>
          <w:highlight w:val="none"/>
          <w:u w:val="none"/>
        </w:rPr>
        <w:t>规定的技术文件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应提交证明文件，证明其</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内容符合</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规定。该证明文件是</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的一部分。</w:t>
      </w:r>
    </w:p>
    <w:p>
      <w:pPr>
        <w:spacing w:line="360" w:lineRule="exact"/>
        <w:ind w:left="900" w:hanging="900" w:hangingChars="375"/>
        <w:rPr>
          <w:rFonts w:hint="eastAsia" w:ascii="微软雅黑" w:hAnsi="微软雅黑" w:eastAsia="微软雅黑" w:cs="微软雅黑"/>
          <w:color w:val="auto"/>
          <w:sz w:val="24"/>
          <w:highlight w:val="none"/>
        </w:rPr>
      </w:pPr>
      <w:bookmarkStart w:id="168" w:name="_Ref467306244"/>
      <w:r>
        <w:rPr>
          <w:rFonts w:hint="eastAsia" w:ascii="微软雅黑" w:hAnsi="微软雅黑" w:eastAsia="微软雅黑" w:cs="微软雅黑"/>
          <w:color w:val="auto"/>
          <w:sz w:val="24"/>
          <w:highlight w:val="none"/>
        </w:rPr>
        <w:t>10.2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上款所述的证明文件，可以是文字资料、图纸和数据，</w:t>
      </w:r>
      <w:bookmarkEnd w:id="168"/>
      <w:r>
        <w:rPr>
          <w:rFonts w:hint="eastAsia" w:ascii="微软雅黑" w:hAnsi="微软雅黑" w:eastAsia="微软雅黑" w:cs="微软雅黑"/>
          <w:color w:val="auto"/>
          <w:sz w:val="24"/>
          <w:highlight w:val="none"/>
        </w:rPr>
        <w:t>它包括：</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建设内容及设备主要技术指标的详细说明；</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从采购单位开始使用至</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规定的保质期内正常、连续地使用所必须的备件和专用工具清单；</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对照</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技术规格，逐条说明所提供服务及伴随的工程和服务已对</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的技术规格做出了实质性的响应，或申明与技术规格条文的偏差和例外。</w:t>
      </w:r>
    </w:p>
    <w:p>
      <w:pPr>
        <w:pStyle w:val="8"/>
        <w:spacing w:before="0" w:after="0" w:line="360" w:lineRule="exact"/>
        <w:rPr>
          <w:rFonts w:hint="eastAsia" w:ascii="微软雅黑" w:hAnsi="微软雅黑" w:eastAsia="微软雅黑" w:cs="微软雅黑"/>
          <w:color w:val="auto"/>
          <w:highlight w:val="none"/>
          <w:u w:val="none"/>
        </w:rPr>
      </w:pPr>
      <w:bookmarkStart w:id="169" w:name="_Toc28798"/>
      <w:bookmarkStart w:id="170" w:name="_Toc520356155"/>
      <w:bookmarkStart w:id="171" w:name="_Toc29340"/>
      <w:bookmarkStart w:id="172" w:name="_Toc515647770"/>
      <w:bookmarkStart w:id="173" w:name="_Toc29220"/>
      <w:bookmarkStart w:id="174" w:name="_Toc301"/>
      <w:bookmarkStart w:id="175" w:name="_Toc25641"/>
      <w:bookmarkStart w:id="176" w:name="_Toc1607"/>
      <w:bookmarkStart w:id="177" w:name="_Toc16118"/>
      <w:bookmarkStart w:id="178" w:name="_Toc23231"/>
      <w:bookmarkStart w:id="179" w:name="_Toc5144"/>
      <w:bookmarkStart w:id="180" w:name="_Toc21396"/>
      <w:bookmarkStart w:id="181" w:name="_Toc2248"/>
      <w:r>
        <w:rPr>
          <w:rFonts w:hint="eastAsia" w:ascii="微软雅黑" w:hAnsi="微软雅黑" w:eastAsia="微软雅黑" w:cs="微软雅黑"/>
          <w:color w:val="auto"/>
          <w:highlight w:val="none"/>
          <w:u w:val="none"/>
        </w:rPr>
        <w:t>11.</w:t>
      </w:r>
      <w:r>
        <w:rPr>
          <w:rFonts w:hint="eastAsia" w:ascii="微软雅黑" w:hAnsi="微软雅黑" w:eastAsia="微软雅黑" w:cs="微软雅黑"/>
          <w:color w:val="auto"/>
          <w:highlight w:val="none"/>
          <w:u w:val="none"/>
          <w:lang w:val="en-US" w:eastAsia="zh-CN"/>
        </w:rPr>
        <w:t>磋商</w:t>
      </w:r>
      <w:r>
        <w:rPr>
          <w:rFonts w:hint="eastAsia" w:ascii="微软雅黑" w:hAnsi="微软雅黑" w:eastAsia="微软雅黑" w:cs="微软雅黑"/>
          <w:color w:val="auto"/>
          <w:highlight w:val="none"/>
          <w:u w:val="none"/>
        </w:rPr>
        <w:t>报价</w:t>
      </w:r>
      <w:bookmarkEnd w:id="169"/>
      <w:bookmarkEnd w:id="170"/>
      <w:bookmarkEnd w:id="171"/>
      <w:bookmarkEnd w:id="172"/>
      <w:bookmarkEnd w:id="173"/>
      <w:bookmarkEnd w:id="174"/>
      <w:bookmarkEnd w:id="175"/>
      <w:bookmarkEnd w:id="176"/>
      <w:bookmarkEnd w:id="177"/>
      <w:bookmarkEnd w:id="178"/>
      <w:bookmarkEnd w:id="179"/>
      <w:bookmarkEnd w:id="180"/>
      <w:bookmarkEnd w:id="181"/>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所有</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均以人民币报价。</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报价应遵守《中华人民共和国价格法》。同时，根据《中华人民共和国政府采购法》第二条的规定，为保证公平竞争，如有主体部分的赠与行为，其</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应在</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分项报价表上标明</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相关服务的单价（如适用），并由法定代表人或其授权代表签署。</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分项报价表上的价格应按下列方式填写；</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所报的各分项</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单价在合同履行过程中是固定不变的，不得以任何理由予以变更。任何包含价格调整要求的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，其</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11.5</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每种服务只能有一个</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报价。采购人不接受具有附加条件的报价。</w:t>
      </w:r>
    </w:p>
    <w:p>
      <w:pPr>
        <w:pStyle w:val="8"/>
        <w:spacing w:before="0" w:after="0" w:line="360" w:lineRule="exact"/>
        <w:rPr>
          <w:rFonts w:hint="eastAsia" w:ascii="微软雅黑" w:hAnsi="微软雅黑" w:eastAsia="微软雅黑" w:cs="微软雅黑"/>
          <w:color w:val="auto"/>
          <w:highlight w:val="none"/>
          <w:u w:val="none"/>
          <w:lang w:eastAsia="zh-CN"/>
        </w:rPr>
      </w:pPr>
      <w:bookmarkStart w:id="182" w:name="_Toc520356156"/>
      <w:bookmarkStart w:id="183" w:name="_Toc17788"/>
      <w:bookmarkStart w:id="184" w:name="_Toc11514"/>
      <w:bookmarkStart w:id="185" w:name="_Ref467306513"/>
      <w:bookmarkStart w:id="186" w:name="_Toc21719"/>
      <w:bookmarkStart w:id="187" w:name="_Toc23666"/>
      <w:bookmarkStart w:id="188" w:name="_Toc17122"/>
      <w:bookmarkStart w:id="189" w:name="_Toc515647771"/>
      <w:bookmarkStart w:id="190" w:name="_Toc18556"/>
      <w:bookmarkStart w:id="191" w:name="_Toc30245"/>
      <w:bookmarkStart w:id="192" w:name="_Toc14823"/>
      <w:bookmarkStart w:id="193" w:name="_Toc3453"/>
      <w:bookmarkStart w:id="194" w:name="_Toc1683"/>
      <w:bookmarkStart w:id="195" w:name="_Toc5648"/>
      <w:bookmarkStart w:id="196" w:name="_Toc20784"/>
      <w:r>
        <w:rPr>
          <w:rFonts w:hint="eastAsia" w:ascii="微软雅黑" w:hAnsi="微软雅黑" w:eastAsia="微软雅黑" w:cs="微软雅黑"/>
          <w:color w:val="auto"/>
          <w:highlight w:val="none"/>
          <w:u w:val="none"/>
        </w:rPr>
        <w:t>12.</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微软雅黑" w:hAnsi="微软雅黑" w:eastAsia="微软雅黑" w:cs="微软雅黑"/>
          <w:color w:val="auto"/>
          <w:highlight w:val="none"/>
          <w:u w:val="none"/>
          <w:lang w:eastAsia="zh-CN"/>
        </w:rPr>
        <w:t>磋商保证金</w:t>
      </w:r>
    </w:p>
    <w:p>
      <w:pPr>
        <w:spacing w:line="360" w:lineRule="exact"/>
        <w:ind w:left="900" w:hanging="900" w:hangingChars="375"/>
        <w:rPr>
          <w:rFonts w:hint="eastAsia" w:ascii="微软雅黑" w:hAnsi="微软雅黑" w:eastAsia="微软雅黑" w:cs="微软雅黑"/>
          <w:color w:val="auto"/>
          <w:sz w:val="24"/>
          <w:highlight w:val="none"/>
        </w:rPr>
      </w:pPr>
      <w:bookmarkStart w:id="197" w:name="_Ref467306302"/>
      <w:r>
        <w:rPr>
          <w:rFonts w:hint="eastAsia" w:ascii="微软雅黑" w:hAnsi="微软雅黑" w:eastAsia="微软雅黑" w:cs="微软雅黑"/>
          <w:color w:val="auto"/>
          <w:sz w:val="24"/>
          <w:highlight w:val="none"/>
        </w:rPr>
        <w:t>12.1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应提交</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中规定的</w:t>
      </w:r>
      <w:bookmarkEnd w:id="197"/>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，并作为</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的一部分。</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存在下列情形的，</w:t>
      </w: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不予退还：</w:t>
      </w:r>
    </w:p>
    <w:p>
      <w:pPr>
        <w:pStyle w:val="12"/>
        <w:tabs>
          <w:tab w:val="left" w:pos="2240"/>
        </w:tabs>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（1）在</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有效期内，撤销</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的；</w:t>
      </w:r>
    </w:p>
    <w:p>
      <w:pPr>
        <w:pStyle w:val="12"/>
        <w:tabs>
          <w:tab w:val="left" w:pos="2240"/>
        </w:tabs>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lang w:val="en-US" w:eastAsia="zh-CN"/>
        </w:rPr>
        <w:t>成交</w:t>
      </w:r>
      <w:r>
        <w:rPr>
          <w:rFonts w:hint="eastAsia" w:ascii="微软雅黑" w:hAnsi="微软雅黑" w:eastAsia="微软雅黑" w:cs="微软雅黑"/>
          <w:color w:val="auto"/>
          <w:sz w:val="24"/>
          <w:highlight w:val="none"/>
        </w:rPr>
        <w:t>后不按本须知第30条的规定与采购人签订合同的；</w:t>
      </w:r>
    </w:p>
    <w:p>
      <w:pPr>
        <w:pStyle w:val="12"/>
        <w:tabs>
          <w:tab w:val="left" w:pos="2240"/>
        </w:tabs>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r>
        <w:rPr>
          <w:rFonts w:hint="eastAsia" w:ascii="微软雅黑" w:hAnsi="微软雅黑" w:eastAsia="微软雅黑" w:cs="微软雅黑"/>
          <w:color w:val="auto"/>
          <w:sz w:val="24"/>
          <w:highlight w:val="none"/>
          <w:lang w:val="en-US" w:eastAsia="zh-CN"/>
        </w:rPr>
        <w:t>成交</w:t>
      </w:r>
      <w:r>
        <w:rPr>
          <w:rFonts w:hint="eastAsia" w:ascii="微软雅黑" w:hAnsi="微软雅黑" w:eastAsia="微软雅黑" w:cs="微软雅黑"/>
          <w:color w:val="auto"/>
          <w:sz w:val="24"/>
          <w:highlight w:val="none"/>
        </w:rPr>
        <w:t>后不按本须知第31条的规定提交履约保证金的；</w:t>
      </w:r>
    </w:p>
    <w:p>
      <w:pPr>
        <w:pStyle w:val="12"/>
        <w:tabs>
          <w:tab w:val="left" w:pos="2240"/>
        </w:tabs>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r>
        <w:rPr>
          <w:rFonts w:hint="eastAsia" w:ascii="微软雅黑" w:hAnsi="微软雅黑" w:eastAsia="微软雅黑" w:cs="微软雅黑"/>
          <w:color w:val="auto"/>
          <w:sz w:val="24"/>
          <w:highlight w:val="none"/>
          <w:lang w:val="en-US" w:eastAsia="zh-CN"/>
        </w:rPr>
        <w:t>成交</w:t>
      </w:r>
      <w:r>
        <w:rPr>
          <w:rFonts w:hint="eastAsia" w:ascii="微软雅黑" w:hAnsi="微软雅黑" w:eastAsia="微软雅黑" w:cs="微软雅黑"/>
          <w:color w:val="auto"/>
          <w:sz w:val="24"/>
          <w:highlight w:val="none"/>
        </w:rPr>
        <w:t>后不按本须知第32条的规定缴纳</w:t>
      </w:r>
      <w:r>
        <w:rPr>
          <w:rFonts w:hint="eastAsia" w:ascii="微软雅黑" w:hAnsi="微软雅黑" w:eastAsia="微软雅黑" w:cs="微软雅黑"/>
          <w:color w:val="auto"/>
          <w:sz w:val="24"/>
          <w:highlight w:val="none"/>
          <w:lang w:eastAsia="zh-CN"/>
        </w:rPr>
        <w:t>成交服务费</w:t>
      </w:r>
      <w:r>
        <w:rPr>
          <w:rFonts w:hint="eastAsia" w:ascii="微软雅黑" w:hAnsi="微软雅黑" w:eastAsia="微软雅黑" w:cs="微软雅黑"/>
          <w:color w:val="auto"/>
          <w:sz w:val="24"/>
          <w:highlight w:val="none"/>
        </w:rPr>
        <w:t>的；</w:t>
      </w:r>
    </w:p>
    <w:p>
      <w:pPr>
        <w:pStyle w:val="12"/>
        <w:tabs>
          <w:tab w:val="left" w:pos="2240"/>
        </w:tabs>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（5）存在其他违法违规行为的。</w:t>
      </w:r>
    </w:p>
    <w:p>
      <w:pPr>
        <w:spacing w:line="360" w:lineRule="exact"/>
        <w:ind w:left="900" w:hanging="900" w:hangingChars="375"/>
        <w:rPr>
          <w:rFonts w:hint="eastAsia" w:ascii="微软雅黑" w:hAnsi="微软雅黑" w:eastAsia="微软雅黑" w:cs="微软雅黑"/>
          <w:color w:val="auto"/>
          <w:sz w:val="24"/>
          <w:highlight w:val="none"/>
        </w:rPr>
      </w:pPr>
      <w:bookmarkStart w:id="198" w:name="_Ref467306336"/>
      <w:r>
        <w:rPr>
          <w:rFonts w:hint="eastAsia" w:ascii="微软雅黑" w:hAnsi="微软雅黑" w:eastAsia="微软雅黑" w:cs="微软雅黑"/>
          <w:color w:val="auto"/>
          <w:sz w:val="24"/>
          <w:highlight w:val="none"/>
        </w:rPr>
        <w:t>12.3</w:t>
      </w:r>
      <w:r>
        <w:rPr>
          <w:rFonts w:hint="eastAsia" w:ascii="微软雅黑" w:hAnsi="微软雅黑" w:eastAsia="微软雅黑" w:cs="微软雅黑"/>
          <w:color w:val="auto"/>
          <w:sz w:val="24"/>
          <w:highlight w:val="none"/>
        </w:rPr>
        <w:tab/>
      </w:r>
      <w:bookmarkEnd w:id="198"/>
      <w:r>
        <w:rPr>
          <w:rFonts w:hint="eastAsia" w:ascii="微软雅黑" w:hAnsi="微软雅黑" w:eastAsia="微软雅黑" w:cs="微软雅黑"/>
          <w:color w:val="auto"/>
          <w:sz w:val="24"/>
          <w:highlight w:val="none"/>
        </w:rPr>
        <w:t>政府采购信用担保试点范围内的项目，接受符合财政部门规定的政府采购</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担保函原件。</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未按本须知第12.1和12.3条规定提交</w:t>
      </w: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的，其</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12.4.1  采用电汇形式的，一般可以实时入账。</w:t>
      </w:r>
    </w:p>
    <w:p>
      <w:pPr>
        <w:spacing w:line="360" w:lineRule="exact"/>
        <w:ind w:left="960" w:hanging="960" w:hangingChars="4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12.4.2  采用支票形式的，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则应充分考虑支票入账时间，以确保</w:t>
      </w: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能按时进入指定账户。根据银行信息交换和付款时间，支票从递交至实际入账一般需要4-5个工作日。如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未及时提交支票或支票不符合银行委托收款要求（如污损、折叠、胶装等），导致</w:t>
      </w: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不能按时进入指定账户的，将按照</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的第22.2条相关规定处理。</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12.5   联合体</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的，可以由联合体中的一方或者共同提交</w:t>
      </w: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。以一方名义提交</w:t>
      </w: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的，对联合体各方均具有约束力。</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的退还</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12.6.1  </w:t>
      </w:r>
      <w:r>
        <w:rPr>
          <w:rFonts w:hint="eastAsia" w:ascii="微软雅黑" w:hAnsi="微软雅黑" w:eastAsia="微软雅黑" w:cs="微软雅黑"/>
          <w:color w:val="auto"/>
          <w:sz w:val="24"/>
          <w:highlight w:val="none"/>
          <w:lang w:eastAsia="zh-CN"/>
        </w:rPr>
        <w:t>成交供应商</w:t>
      </w:r>
      <w:r>
        <w:rPr>
          <w:rFonts w:hint="eastAsia" w:ascii="微软雅黑" w:hAnsi="微软雅黑" w:eastAsia="微软雅黑" w:cs="微软雅黑"/>
          <w:color w:val="auto"/>
          <w:sz w:val="24"/>
          <w:highlight w:val="none"/>
        </w:rPr>
        <w:t>应在与采购人签订合同之日起5个工作日内，及时联系保证金收受机构办理</w:t>
      </w: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无息退还手续。</w:t>
      </w:r>
    </w:p>
    <w:p>
      <w:pPr>
        <w:spacing w:line="360" w:lineRule="exact"/>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12.6.2  未</w:t>
      </w:r>
      <w:r>
        <w:rPr>
          <w:rFonts w:hint="eastAsia" w:ascii="微软雅黑" w:hAnsi="微软雅黑" w:eastAsia="微软雅黑" w:cs="微软雅黑"/>
          <w:color w:val="auto"/>
          <w:sz w:val="24"/>
          <w:highlight w:val="none"/>
          <w:lang w:eastAsia="zh-CN"/>
        </w:rPr>
        <w:t>成交供应商</w:t>
      </w:r>
      <w:r>
        <w:rPr>
          <w:rFonts w:hint="eastAsia" w:ascii="微软雅黑" w:hAnsi="微软雅黑" w:eastAsia="微软雅黑" w:cs="微软雅黑"/>
          <w:color w:val="auto"/>
          <w:sz w:val="24"/>
          <w:highlight w:val="none"/>
        </w:rPr>
        <w:t>的</w:t>
      </w: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将在</w:t>
      </w:r>
      <w:r>
        <w:rPr>
          <w:rFonts w:hint="eastAsia" w:ascii="微软雅黑" w:hAnsi="微软雅黑" w:eastAsia="微软雅黑" w:cs="微软雅黑"/>
          <w:color w:val="auto"/>
          <w:sz w:val="24"/>
          <w:highlight w:val="none"/>
          <w:lang w:eastAsia="zh-CN"/>
        </w:rPr>
        <w:t>成交通知书</w:t>
      </w:r>
      <w:r>
        <w:rPr>
          <w:rFonts w:hint="eastAsia" w:ascii="微软雅黑" w:hAnsi="微软雅黑" w:eastAsia="微软雅黑" w:cs="微软雅黑"/>
          <w:color w:val="auto"/>
          <w:sz w:val="24"/>
          <w:highlight w:val="none"/>
        </w:rPr>
        <w:t>发出之日暨</w:t>
      </w:r>
      <w:r>
        <w:rPr>
          <w:rFonts w:hint="eastAsia" w:ascii="微软雅黑" w:hAnsi="微软雅黑" w:eastAsia="微软雅黑" w:cs="微软雅黑"/>
          <w:color w:val="auto"/>
          <w:sz w:val="24"/>
          <w:highlight w:val="none"/>
          <w:lang w:val="en-US" w:eastAsia="zh-CN"/>
        </w:rPr>
        <w:t>成交</w:t>
      </w:r>
      <w:r>
        <w:rPr>
          <w:rFonts w:hint="eastAsia" w:ascii="微软雅黑" w:hAnsi="微软雅黑" w:eastAsia="微软雅黑" w:cs="微软雅黑"/>
          <w:color w:val="auto"/>
          <w:sz w:val="24"/>
          <w:highlight w:val="none"/>
        </w:rPr>
        <w:t>结果公告公布之日起5个工作日内无息退还。</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应及时联系保证金收受机构办理退还</w:t>
      </w: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手续。</w:t>
      </w:r>
    </w:p>
    <w:p>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12.6.3  政府采购</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担保函不予退回。</w:t>
      </w:r>
    </w:p>
    <w:p>
      <w:pPr>
        <w:spacing w:line="360" w:lineRule="exact"/>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12.7    因</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自身原因导致无法及时退还的，采购人或采购代理机构将不承担相应责任。</w:t>
      </w:r>
    </w:p>
    <w:p>
      <w:pPr>
        <w:pStyle w:val="8"/>
        <w:spacing w:before="0" w:after="0" w:line="360" w:lineRule="exact"/>
        <w:rPr>
          <w:rFonts w:hint="eastAsia" w:ascii="微软雅黑" w:hAnsi="微软雅黑" w:eastAsia="微软雅黑" w:cs="微软雅黑"/>
          <w:color w:val="auto"/>
          <w:highlight w:val="none"/>
          <w:u w:val="none"/>
        </w:rPr>
      </w:pPr>
      <w:bookmarkStart w:id="199" w:name="_Toc30519"/>
      <w:bookmarkStart w:id="200" w:name="_Toc27662"/>
      <w:bookmarkStart w:id="201" w:name="_Toc27999"/>
      <w:bookmarkStart w:id="202" w:name="_Toc1255"/>
      <w:bookmarkStart w:id="203" w:name="_Toc19068"/>
      <w:bookmarkStart w:id="204" w:name="_Toc515647772"/>
      <w:bookmarkStart w:id="205" w:name="_Toc520356157"/>
      <w:bookmarkStart w:id="206" w:name="_Toc31306"/>
      <w:bookmarkStart w:id="207" w:name="_Toc12947"/>
      <w:bookmarkStart w:id="208" w:name="_Toc16678"/>
      <w:bookmarkStart w:id="209" w:name="_Toc19152"/>
      <w:bookmarkStart w:id="210" w:name="_Toc32569"/>
      <w:bookmarkStart w:id="211" w:name="_Toc17101"/>
      <w:bookmarkStart w:id="212" w:name="_Toc23590"/>
      <w:r>
        <w:rPr>
          <w:rFonts w:hint="eastAsia" w:ascii="微软雅黑" w:hAnsi="微软雅黑" w:eastAsia="微软雅黑" w:cs="微软雅黑"/>
          <w:color w:val="auto"/>
          <w:highlight w:val="none"/>
          <w:u w:val="none"/>
        </w:rPr>
        <w:t>13.</w:t>
      </w:r>
      <w:r>
        <w:rPr>
          <w:rFonts w:hint="eastAsia" w:ascii="微软雅黑" w:hAnsi="微软雅黑" w:eastAsia="微软雅黑" w:cs="微软雅黑"/>
          <w:color w:val="auto"/>
          <w:highlight w:val="none"/>
          <w:u w:val="none"/>
          <w:lang w:val="en-US" w:eastAsia="zh-CN"/>
        </w:rPr>
        <w:t>磋商</w:t>
      </w:r>
      <w:r>
        <w:rPr>
          <w:rFonts w:hint="eastAsia" w:ascii="微软雅黑" w:hAnsi="微软雅黑" w:eastAsia="微软雅黑" w:cs="微软雅黑"/>
          <w:color w:val="auto"/>
          <w:highlight w:val="none"/>
          <w:u w:val="none"/>
        </w:rPr>
        <w:t>有效期</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应在</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中规定时间内保持有效。</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有效期不满足要求的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，其</w:t>
      </w:r>
      <w:r>
        <w:rPr>
          <w:rFonts w:hint="eastAsia" w:ascii="微软雅黑" w:hAnsi="微软雅黑" w:eastAsia="微软雅黑" w:cs="微软雅黑"/>
          <w:color w:val="auto"/>
          <w:sz w:val="24"/>
          <w:highlight w:val="none"/>
          <w:lang w:eastAsia="zh-CN"/>
        </w:rPr>
        <w:t>磋商将被</w:t>
      </w:r>
      <w:r>
        <w:rPr>
          <w:rFonts w:hint="eastAsia" w:ascii="微软雅黑" w:hAnsi="微软雅黑" w:eastAsia="微软雅黑" w:cs="微软雅黑"/>
          <w:color w:val="auto"/>
          <w:sz w:val="24"/>
          <w:highlight w:val="none"/>
        </w:rPr>
        <w:t>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pPr>
        <w:spacing w:line="360" w:lineRule="exact"/>
        <w:ind w:left="900" w:hanging="900" w:hangingChars="375"/>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color w:val="auto"/>
          <w:sz w:val="24"/>
          <w:highlight w:val="none"/>
        </w:rPr>
        <w:t>13.2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为保证有充分时间签订合同，采购人或采购代理机构可根据实际情况，在原</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有效期截止之前，要求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延长</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的有效期。接受该要求的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将不会被要求和允许修正其</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，且本须知中有关</w:t>
      </w: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的要求须在延长的有效期内继续有效。</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可以拒绝延长</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有效期的要求，其</w:t>
      </w: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将及时无息退还。上述要求和答复都应以书面形式提交。</w:t>
      </w:r>
    </w:p>
    <w:p>
      <w:pPr>
        <w:pStyle w:val="8"/>
        <w:spacing w:before="0" w:beforeAutospacing="0" w:after="0" w:afterAutospacing="0" w:line="360" w:lineRule="exact"/>
        <w:rPr>
          <w:rFonts w:hint="eastAsia" w:ascii="微软雅黑" w:hAnsi="微软雅黑" w:eastAsia="微软雅黑" w:cs="微软雅黑"/>
          <w:color w:val="auto"/>
          <w:highlight w:val="none"/>
          <w:u w:val="none"/>
        </w:rPr>
      </w:pPr>
      <w:bookmarkStart w:id="213" w:name="_Toc10391"/>
      <w:bookmarkEnd w:id="213"/>
      <w:bookmarkStart w:id="214" w:name="_Toc493"/>
      <w:bookmarkEnd w:id="214"/>
      <w:bookmarkStart w:id="215" w:name="_Toc3558"/>
      <w:bookmarkEnd w:id="215"/>
      <w:bookmarkStart w:id="216" w:name="_Toc6286"/>
      <w:bookmarkEnd w:id="216"/>
      <w:bookmarkStart w:id="217" w:name="_Toc9672"/>
      <w:bookmarkEnd w:id="217"/>
      <w:bookmarkStart w:id="218" w:name="_Toc6302"/>
      <w:bookmarkEnd w:id="218"/>
      <w:bookmarkStart w:id="219" w:name="_Toc520356158"/>
      <w:bookmarkEnd w:id="219"/>
      <w:bookmarkStart w:id="220" w:name="_Toc30127"/>
      <w:bookmarkEnd w:id="220"/>
      <w:bookmarkStart w:id="221" w:name="_Toc4425"/>
      <w:bookmarkEnd w:id="221"/>
      <w:bookmarkStart w:id="222" w:name="_Toc515647773"/>
      <w:bookmarkEnd w:id="222"/>
      <w:bookmarkStart w:id="223" w:name="_Toc26703"/>
      <w:bookmarkEnd w:id="223"/>
      <w:bookmarkStart w:id="224" w:name="_Toc29619"/>
      <w:bookmarkEnd w:id="224"/>
      <w:bookmarkStart w:id="225" w:name="_Toc17074"/>
      <w:bookmarkEnd w:id="225"/>
      <w:bookmarkStart w:id="226" w:name="_Toc24787"/>
      <w:bookmarkEnd w:id="226"/>
      <w:bookmarkStart w:id="227" w:name="_Toc16503"/>
      <w:bookmarkEnd w:id="227"/>
      <w:bookmarkStart w:id="228" w:name="_Toc515647774"/>
      <w:bookmarkStart w:id="229" w:name="_Toc8824"/>
      <w:bookmarkStart w:id="230" w:name="_Toc16865"/>
      <w:bookmarkStart w:id="231" w:name="_Toc8711"/>
      <w:bookmarkStart w:id="232" w:name="_Toc520356159"/>
      <w:bookmarkStart w:id="233" w:name="_Toc11179"/>
      <w:bookmarkStart w:id="234" w:name="_Toc216582808"/>
      <w:r>
        <w:rPr>
          <w:rFonts w:hint="eastAsia" w:ascii="微软雅黑" w:hAnsi="微软雅黑" w:eastAsia="微软雅黑" w:cs="微软雅黑"/>
          <w:color w:val="auto"/>
          <w:highlight w:val="none"/>
          <w:u w:val="none"/>
        </w:rPr>
        <w:t>14.</w:t>
      </w:r>
      <w:r>
        <w:rPr>
          <w:rFonts w:hint="eastAsia" w:ascii="微软雅黑" w:hAnsi="微软雅黑" w:eastAsia="微软雅黑" w:cs="微软雅黑"/>
          <w:color w:val="auto"/>
          <w:highlight w:val="none"/>
          <w:u w:val="none"/>
          <w:lang w:eastAsia="zh-CN"/>
        </w:rPr>
        <w:t>响应文件</w:t>
      </w:r>
      <w:r>
        <w:rPr>
          <w:rFonts w:hint="eastAsia" w:ascii="微软雅黑" w:hAnsi="微软雅黑" w:eastAsia="微软雅黑" w:cs="微软雅黑"/>
          <w:color w:val="auto"/>
          <w:highlight w:val="none"/>
          <w:u w:val="none"/>
        </w:rPr>
        <w:t>的签署及规定</w:t>
      </w:r>
      <w:r>
        <w:rPr>
          <w:rFonts w:hint="eastAsia" w:ascii="微软雅黑" w:hAnsi="微软雅黑" w:eastAsia="微软雅黑" w:cs="微软雅黑"/>
          <w:b/>
          <w:color w:val="auto"/>
          <w:highlight w:val="none"/>
          <w:u w:color="000000"/>
        </w:rPr>
        <w:t>（后期邮寄的</w:t>
      </w:r>
      <w:r>
        <w:rPr>
          <w:rFonts w:hint="eastAsia" w:ascii="微软雅黑" w:hAnsi="微软雅黑" w:eastAsia="微软雅黑" w:cs="微软雅黑"/>
          <w:b/>
          <w:color w:val="auto"/>
          <w:highlight w:val="none"/>
          <w:u w:color="000000"/>
          <w:lang w:eastAsia="zh-CN"/>
        </w:rPr>
        <w:t>响应文件</w:t>
      </w:r>
      <w:r>
        <w:rPr>
          <w:rFonts w:hint="eastAsia" w:ascii="微软雅黑" w:hAnsi="微软雅黑" w:eastAsia="微软雅黑" w:cs="微软雅黑"/>
          <w:b/>
          <w:color w:val="auto"/>
          <w:highlight w:val="none"/>
          <w:u w:color="000000"/>
        </w:rPr>
        <w:t>）</w:t>
      </w:r>
    </w:p>
    <w:p>
      <w:pPr>
        <w:spacing w:beforeAutospacing="0" w:afterAutospacing="0"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供应商应按供应商须知资料表中的规定，准备和递交</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、磋商报价一览表”。</w:t>
      </w:r>
    </w:p>
    <w:p>
      <w:pPr>
        <w:spacing w:beforeAutospacing="0" w:afterAutospacing="0"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的正本需打印或用不褪色墨水书写，并由供应商的法定代表人或经其正式委托代理人按</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规定在</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上签字或盖章并加盖单位印章。委托代理人须持有书面的“法定代表人授权委托书”，并将其附在</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中。如对</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进行了修改，则应由供应商的法定代表人或其委托代理人在每一修改处签字。</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的副本可采用正本的复印件。</w:t>
      </w:r>
    </w:p>
    <w:p>
      <w:pPr>
        <w:spacing w:beforeAutospacing="0" w:afterAutospacing="0"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14.3   </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因字迹潦草、表达不清或装订不当所引起的后果由供应商负责。</w:t>
      </w:r>
    </w:p>
    <w:p>
      <w:pPr>
        <w:pStyle w:val="2"/>
        <w:rPr>
          <w:rFonts w:hint="eastAsia" w:ascii="微软雅黑" w:hAnsi="微软雅黑" w:eastAsia="微软雅黑" w:cs="微软雅黑"/>
          <w:color w:val="auto"/>
          <w:highlight w:val="none"/>
        </w:rPr>
      </w:pPr>
    </w:p>
    <w:bookmarkEnd w:id="228"/>
    <w:bookmarkEnd w:id="229"/>
    <w:bookmarkEnd w:id="230"/>
    <w:bookmarkEnd w:id="231"/>
    <w:bookmarkEnd w:id="232"/>
    <w:bookmarkEnd w:id="233"/>
    <w:bookmarkEnd w:id="234"/>
    <w:p>
      <w:pPr>
        <w:pStyle w:val="7"/>
        <w:pageBreakBefore w:val="0"/>
        <w:widowControl w:val="0"/>
        <w:shd w:val="clear"/>
        <w:kinsoku/>
        <w:wordWrap/>
        <w:overflowPunct/>
        <w:topLinePunct w:val="0"/>
        <w:bidi w:val="0"/>
        <w:snapToGrid w:val="0"/>
        <w:spacing w:before="0" w:beforeAutospacing="0" w:after="0" w:afterAutospacing="0" w:line="460" w:lineRule="exact"/>
        <w:ind w:left="1080" w:leftChars="257" w:hanging="540"/>
        <w:jc w:val="center"/>
        <w:textAlignment w:val="baseline"/>
        <w:rPr>
          <w:rFonts w:hint="eastAsia" w:ascii="微软雅黑" w:hAnsi="微软雅黑" w:eastAsia="微软雅黑" w:cs="微软雅黑"/>
          <w:b/>
          <w:i w:val="0"/>
          <w:color w:val="auto"/>
          <w:spacing w:val="0"/>
          <w:w w:val="100"/>
          <w:sz w:val="24"/>
          <w:highlight w:val="none"/>
        </w:rPr>
      </w:pPr>
      <w:bookmarkStart w:id="235" w:name="_Toc5014"/>
      <w:r>
        <w:rPr>
          <w:rFonts w:hint="eastAsia" w:ascii="微软雅黑" w:hAnsi="微软雅黑" w:eastAsia="微软雅黑" w:cs="微软雅黑"/>
          <w:b/>
          <w:i w:val="0"/>
          <w:color w:val="auto"/>
          <w:spacing w:val="0"/>
          <w:w w:val="100"/>
          <w:sz w:val="24"/>
          <w:highlight w:val="none"/>
        </w:rPr>
        <w:t>四   响应文件的递交</w:t>
      </w:r>
      <w:bookmarkEnd w:id="235"/>
    </w:p>
    <w:p>
      <w:pPr>
        <w:numPr>
          <w:ilvl w:val="0"/>
          <w:numId w:val="3"/>
        </w:numPr>
        <w:spacing w:beforeAutospacing="0" w:afterAutospacing="0" w:line="360" w:lineRule="exact"/>
        <w:outlineLvl w:val="2"/>
        <w:rPr>
          <w:rFonts w:hint="eastAsia" w:ascii="微软雅黑" w:hAnsi="微软雅黑" w:eastAsia="微软雅黑" w:cs="微软雅黑"/>
          <w:color w:val="auto"/>
          <w:sz w:val="24"/>
          <w:highlight w:val="none"/>
        </w:rPr>
      </w:pPr>
      <w:bookmarkStart w:id="236" w:name="_Toc14401"/>
      <w:bookmarkEnd w:id="236"/>
      <w:bookmarkStart w:id="237" w:name="_Toc8317"/>
      <w:bookmarkEnd w:id="237"/>
      <w:bookmarkStart w:id="238" w:name="_Toc20727"/>
      <w:bookmarkEnd w:id="238"/>
      <w:bookmarkStart w:id="239" w:name="_Toc515647776"/>
      <w:bookmarkStart w:id="240" w:name="_Toc27010"/>
      <w:bookmarkStart w:id="241" w:name="_Toc12751"/>
      <w:bookmarkStart w:id="242" w:name="_Toc26069"/>
      <w:bookmarkStart w:id="243" w:name="_Toc7478"/>
      <w:bookmarkStart w:id="244" w:name="_Toc9452"/>
      <w:bookmarkStart w:id="245" w:name="_Toc9840"/>
      <w:bookmarkStart w:id="246" w:name="_Toc24025"/>
      <w:bookmarkStart w:id="247" w:name="_Toc7238"/>
      <w:bookmarkStart w:id="248" w:name="_Toc520356161"/>
      <w:bookmarkStart w:id="249" w:name="_Toc31921"/>
      <w:bookmarkStart w:id="250" w:name="_Toc11639"/>
      <w:bookmarkStart w:id="251" w:name="_Toc8557"/>
      <w:bookmarkStart w:id="252" w:name="_Toc2068"/>
      <w:bookmarkStart w:id="253" w:name="_Toc3372"/>
      <w:bookmarkStart w:id="254" w:name="_Toc18350"/>
      <w:bookmarkStart w:id="255" w:name="_Toc515647778"/>
      <w:bookmarkStart w:id="256" w:name="_Toc27283"/>
      <w:bookmarkStart w:id="257" w:name="_Toc28398"/>
      <w:bookmarkStart w:id="258" w:name="_Toc520356163"/>
      <w:bookmarkStart w:id="259" w:name="_Toc216582809"/>
      <w:bookmarkStart w:id="260" w:name="_Toc12436"/>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的密封和标记</w:t>
      </w:r>
      <w:r>
        <w:rPr>
          <w:rFonts w:hint="eastAsia" w:ascii="微软雅黑" w:hAnsi="微软雅黑" w:eastAsia="微软雅黑" w:cs="微软雅黑"/>
          <w:b/>
          <w:color w:val="auto"/>
          <w:sz w:val="24"/>
          <w:highlight w:val="none"/>
          <w:u w:val="single" w:color="000000"/>
        </w:rPr>
        <w:t>（后期邮寄的</w:t>
      </w:r>
      <w:r>
        <w:rPr>
          <w:rFonts w:hint="eastAsia" w:ascii="微软雅黑" w:hAnsi="微软雅黑" w:eastAsia="微软雅黑" w:cs="微软雅黑"/>
          <w:b/>
          <w:color w:val="auto"/>
          <w:sz w:val="24"/>
          <w:highlight w:val="none"/>
          <w:u w:val="single" w:color="000000"/>
          <w:lang w:eastAsia="zh-CN"/>
        </w:rPr>
        <w:t>响应文件</w:t>
      </w:r>
      <w:r>
        <w:rPr>
          <w:rFonts w:hint="eastAsia" w:ascii="微软雅黑" w:hAnsi="微软雅黑" w:eastAsia="微软雅黑" w:cs="微软雅黑"/>
          <w:b/>
          <w:color w:val="auto"/>
          <w:sz w:val="24"/>
          <w:highlight w:val="none"/>
          <w:u w:val="single" w:color="000000"/>
        </w:rPr>
        <w:t>）</w:t>
      </w:r>
    </w:p>
    <w:p>
      <w:pPr>
        <w:spacing w:beforeAutospacing="0" w:afterAutospacing="0"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15.1  为方便开启，供应商应将</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第一部分和第二部分的内容合并装订成一册，密封提交，并在封皮正面标明“</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”字样。</w:t>
      </w:r>
    </w:p>
    <w:p>
      <w:pPr>
        <w:spacing w:beforeAutospacing="0" w:afterAutospacing="0"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15.2   如果供应商未按上述要求标记的，将承担相应的后果。</w:t>
      </w:r>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Pr>
        <w:pStyle w:val="8"/>
        <w:shd w:val="clear"/>
        <w:snapToGrid w:val="0"/>
        <w:spacing w:before="0" w:beforeAutospacing="0" w:after="0" w:afterAutospacing="0" w:line="380" w:lineRule="exact"/>
        <w:textAlignment w:val="baseline"/>
        <w:rPr>
          <w:rFonts w:hint="eastAsia" w:ascii="微软雅黑" w:hAnsi="微软雅黑" w:eastAsia="微软雅黑" w:cs="微软雅黑"/>
          <w:color w:val="auto"/>
          <w:highlight w:val="none"/>
          <w:u w:color="000000"/>
        </w:rPr>
      </w:pPr>
      <w:r>
        <w:rPr>
          <w:rFonts w:hint="eastAsia" w:ascii="微软雅黑" w:hAnsi="微软雅黑" w:eastAsia="微软雅黑" w:cs="微软雅黑"/>
          <w:color w:val="auto"/>
          <w:highlight w:val="none"/>
          <w:u w:color="000000"/>
        </w:rPr>
        <w:t>16.磋商截止</w:t>
      </w:r>
    </w:p>
    <w:p>
      <w:pPr>
        <w:spacing w:beforeAutospacing="0" w:afterAutospacing="0" w:line="360" w:lineRule="exact"/>
        <w:rPr>
          <w:rFonts w:hint="eastAsia" w:ascii="微软雅黑" w:hAnsi="微软雅黑" w:eastAsia="微软雅黑" w:cs="微软雅黑"/>
          <w:color w:val="auto"/>
          <w:sz w:val="24"/>
          <w:highlight w:val="none"/>
        </w:rPr>
      </w:pPr>
      <w:bookmarkStart w:id="261" w:name="_Toc18537"/>
      <w:bookmarkStart w:id="262" w:name="_Toc29943"/>
      <w:bookmarkStart w:id="263" w:name="_Toc31057"/>
      <w:bookmarkStart w:id="264" w:name="_Toc21926"/>
      <w:bookmarkStart w:id="265" w:name="_Toc11003"/>
      <w:bookmarkStart w:id="266" w:name="_Toc515647777"/>
      <w:bookmarkStart w:id="267" w:name="_Toc27719"/>
      <w:bookmarkStart w:id="268" w:name="_Toc22201"/>
      <w:bookmarkStart w:id="269" w:name="_Toc23557"/>
      <w:bookmarkStart w:id="270" w:name="_Toc520356162"/>
      <w:bookmarkStart w:id="271" w:name="_Toc24275"/>
      <w:bookmarkStart w:id="272" w:name="_Toc3014"/>
      <w:bookmarkStart w:id="273" w:name="_Toc7274"/>
      <w:bookmarkStart w:id="274" w:name="_Toc10299"/>
      <w:bookmarkStart w:id="275" w:name="_Toc18594"/>
      <w:r>
        <w:rPr>
          <w:rFonts w:hint="eastAsia" w:ascii="微软雅黑" w:hAnsi="微软雅黑" w:eastAsia="微软雅黑" w:cs="微软雅黑"/>
          <w:color w:val="auto"/>
          <w:sz w:val="24"/>
          <w:highlight w:val="none"/>
        </w:rPr>
        <w:t>16.1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供应商应在供应商须知资料表中规定的</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截止时间前，将</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上传到公开</w:t>
      </w:r>
      <w:r>
        <w:rPr>
          <w:rFonts w:hint="eastAsia" w:ascii="微软雅黑" w:hAnsi="微软雅黑" w:eastAsia="微软雅黑" w:cs="微软雅黑"/>
          <w:color w:val="auto"/>
          <w:sz w:val="24"/>
          <w:highlight w:val="none"/>
          <w:lang w:eastAsia="zh-CN"/>
        </w:rPr>
        <w:t>采购</w:t>
      </w:r>
      <w:r>
        <w:rPr>
          <w:rFonts w:hint="eastAsia" w:ascii="微软雅黑" w:hAnsi="微软雅黑" w:eastAsia="微软雅黑" w:cs="微软雅黑"/>
          <w:color w:val="auto"/>
          <w:sz w:val="24"/>
          <w:highlight w:val="none"/>
        </w:rPr>
        <w:t>公告中规定的地点。</w:t>
      </w:r>
    </w:p>
    <w:p>
      <w:pPr>
        <w:spacing w:beforeAutospacing="0" w:afterAutospacing="0"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采购人和采购代理机构有权按本须知的规定，延迟</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截止时间。在此情况下，采购人、采购代理机构和供应商受</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截止时间制约的所有权利和义务均应延长至新的截止时间。</w:t>
      </w:r>
    </w:p>
    <w:p>
      <w:pPr>
        <w:spacing w:beforeAutospacing="0" w:afterAutospacing="0"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采购人和采购代理机构将拒绝接收在</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截止时间后上传的</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w:t>
      </w: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Pr>
        <w:pStyle w:val="8"/>
        <w:shd w:val="clear"/>
        <w:snapToGrid w:val="0"/>
        <w:spacing w:before="0" w:beforeAutospacing="0" w:after="0" w:afterAutospacing="0" w:line="380" w:lineRule="exact"/>
        <w:textAlignment w:val="baseline"/>
        <w:rPr>
          <w:rFonts w:hint="eastAsia" w:ascii="微软雅黑" w:hAnsi="微软雅黑" w:eastAsia="微软雅黑" w:cs="微软雅黑"/>
          <w:color w:val="auto"/>
          <w:highlight w:val="none"/>
          <w:u w:color="000000"/>
        </w:rPr>
      </w:pPr>
      <w:r>
        <w:rPr>
          <w:rFonts w:hint="eastAsia" w:ascii="微软雅黑" w:hAnsi="微软雅黑" w:eastAsia="微软雅黑" w:cs="微软雅黑"/>
          <w:color w:val="auto"/>
          <w:highlight w:val="none"/>
          <w:u w:color="000000"/>
        </w:rPr>
        <w:t>17.响应文件的接收、修改与撤回</w:t>
      </w:r>
    </w:p>
    <w:bookmarkEnd w:id="255"/>
    <w:bookmarkEnd w:id="256"/>
    <w:bookmarkEnd w:id="257"/>
    <w:bookmarkEnd w:id="258"/>
    <w:bookmarkEnd w:id="259"/>
    <w:bookmarkEnd w:id="260"/>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截止时间后送达的</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的，采购人和采购代理机构将拒绝接收。</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递交</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以后，如果</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要进行修改或撤回</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，须提出书面申请并在</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截止时间前送达开标地点，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对</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的修改或撤回通知应按本须知规定编制、密封、标记。</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采购人和采购代理机构将予以接收，并视为</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的组成部分。</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截止期之后，采购人和采购代理机构不接受</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主动对其</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做任何修改。</w:t>
      </w:r>
    </w:p>
    <w:p>
      <w:pPr>
        <w:spacing w:line="360" w:lineRule="exact"/>
        <w:ind w:left="900" w:hanging="900" w:hangingChars="375"/>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 w:val="24"/>
          <w:highlight w:val="none"/>
        </w:rPr>
        <w:t>17.4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采购人和采购代理机构对所接收</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概不退回</w:t>
      </w:r>
      <w:r>
        <w:rPr>
          <w:rFonts w:hint="eastAsia" w:ascii="微软雅黑" w:hAnsi="微软雅黑" w:eastAsia="微软雅黑" w:cs="微软雅黑"/>
          <w:color w:val="auto"/>
          <w:szCs w:val="21"/>
          <w:highlight w:val="none"/>
        </w:rPr>
        <w:t>。</w:t>
      </w:r>
    </w:p>
    <w:p>
      <w:pPr>
        <w:spacing w:line="360" w:lineRule="exact"/>
        <w:rPr>
          <w:rFonts w:hint="eastAsia" w:ascii="微软雅黑" w:hAnsi="微软雅黑" w:eastAsia="微软雅黑" w:cs="微软雅黑"/>
          <w:color w:val="auto"/>
          <w:sz w:val="24"/>
          <w:highlight w:val="none"/>
        </w:rPr>
      </w:pPr>
    </w:p>
    <w:p>
      <w:pPr>
        <w:pStyle w:val="7"/>
        <w:spacing w:before="0" w:line="360" w:lineRule="exact"/>
        <w:ind w:hanging="540"/>
        <w:rPr>
          <w:rFonts w:hint="eastAsia" w:ascii="微软雅黑" w:hAnsi="微软雅黑" w:eastAsia="微软雅黑" w:cs="微软雅黑"/>
          <w:color w:val="auto"/>
          <w:highlight w:val="none"/>
        </w:rPr>
      </w:pPr>
      <w:bookmarkStart w:id="276" w:name="_Toc17356"/>
      <w:bookmarkStart w:id="277" w:name="_Toc7470"/>
      <w:bookmarkStart w:id="278" w:name="_Toc7319"/>
      <w:r>
        <w:rPr>
          <w:rFonts w:hint="eastAsia" w:ascii="微软雅黑" w:hAnsi="微软雅黑" w:eastAsia="微软雅黑" w:cs="微软雅黑"/>
          <w:color w:val="auto"/>
          <w:sz w:val="24"/>
          <w:highlight w:val="none"/>
        </w:rPr>
        <w:t>五   开标及评标</w:t>
      </w:r>
      <w:bookmarkEnd w:id="276"/>
      <w:bookmarkEnd w:id="277"/>
      <w:bookmarkEnd w:id="278"/>
    </w:p>
    <w:p>
      <w:pPr>
        <w:pStyle w:val="8"/>
        <w:numPr>
          <w:ilvl w:val="0"/>
          <w:numId w:val="4"/>
        </w:numPr>
        <w:spacing w:before="0" w:line="360" w:lineRule="exact"/>
        <w:rPr>
          <w:rFonts w:hint="eastAsia" w:ascii="微软雅黑" w:hAnsi="微软雅黑" w:eastAsia="微软雅黑" w:cs="微软雅黑"/>
          <w:color w:val="auto"/>
          <w:highlight w:val="none"/>
        </w:rPr>
      </w:pPr>
      <w:bookmarkStart w:id="279" w:name="_Toc32409"/>
      <w:bookmarkStart w:id="280" w:name="_Toc4502"/>
      <w:bookmarkStart w:id="281" w:name="_Toc6118"/>
      <w:bookmarkStart w:id="282" w:name="_Toc63"/>
      <w:bookmarkStart w:id="283" w:name="_Toc21418"/>
      <w:bookmarkStart w:id="284" w:name="_Toc515647779"/>
      <w:bookmarkStart w:id="285" w:name="_Toc19962"/>
      <w:bookmarkStart w:id="286" w:name="_Toc12718"/>
      <w:bookmarkStart w:id="287" w:name="_Toc23987"/>
      <w:bookmarkStart w:id="288" w:name="_Toc7186"/>
      <w:bookmarkStart w:id="289" w:name="_Toc24922"/>
      <w:bookmarkStart w:id="290" w:name="_Toc25345"/>
      <w:bookmarkStart w:id="291" w:name="_Toc3498"/>
      <w:bookmarkStart w:id="292" w:name="_Toc520356164"/>
      <w:r>
        <w:rPr>
          <w:rFonts w:hint="eastAsia" w:ascii="微软雅黑" w:hAnsi="微软雅黑" w:eastAsia="微软雅黑" w:cs="微软雅黑"/>
          <w:color w:val="auto"/>
          <w:highlight w:val="none"/>
          <w:u w:val="none"/>
        </w:rPr>
        <w:t>开标</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numPr>
          <w:ilvl w:val="1"/>
          <w:numId w:val="4"/>
        </w:num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采购人和采购代理机构将按</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中规定的开标时间和地点组织公开开标并邀请所有</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代表参加。</w:t>
      </w:r>
    </w:p>
    <w:p>
      <w:pPr>
        <w:spacing w:line="360" w:lineRule="exact"/>
        <w:ind w:firstLine="120" w:firstLineChars="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不足3家的，不得开标。</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18.2    采购人或采购代理机构将对开标过程进行记录</w:t>
      </w:r>
      <w:bookmarkStart w:id="293" w:name="_Toc520356165"/>
      <w:r>
        <w:rPr>
          <w:rFonts w:hint="eastAsia" w:ascii="微软雅黑" w:hAnsi="微软雅黑" w:eastAsia="微软雅黑" w:cs="微软雅黑"/>
          <w:color w:val="auto"/>
          <w:sz w:val="24"/>
          <w:highlight w:val="none"/>
        </w:rPr>
        <w:t>，由参加开标的各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代表和相关工作人员签字确认，并存档备查。</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代表对开标过程和开标记录有疑义，以及认为采购人、采购代理机构相关工作人员有需要回避的情形的，应当场提出询问或者回避申请。</w:t>
      </w:r>
    </w:p>
    <w:p>
      <w:pPr>
        <w:pStyle w:val="8"/>
        <w:spacing w:before="0" w:after="0" w:line="360" w:lineRule="exact"/>
        <w:rPr>
          <w:rFonts w:hint="eastAsia" w:ascii="微软雅黑" w:hAnsi="微软雅黑" w:eastAsia="微软雅黑" w:cs="微软雅黑"/>
          <w:color w:val="auto"/>
          <w:highlight w:val="none"/>
          <w:u w:val="none"/>
          <w:lang w:eastAsia="zh-CN"/>
        </w:rPr>
      </w:pPr>
      <w:bookmarkStart w:id="294" w:name="_Toc378"/>
      <w:bookmarkStart w:id="295" w:name="_Toc28586"/>
      <w:bookmarkStart w:id="296" w:name="_Toc21372"/>
      <w:bookmarkStart w:id="297" w:name="_Toc10550"/>
      <w:bookmarkStart w:id="298" w:name="_Toc19296"/>
      <w:bookmarkStart w:id="299" w:name="_Toc18233"/>
      <w:bookmarkStart w:id="300" w:name="_Toc27495"/>
      <w:bookmarkStart w:id="301" w:name="_Toc18228"/>
      <w:bookmarkStart w:id="302" w:name="_Toc515647780"/>
      <w:bookmarkStart w:id="303" w:name="_Toc5231"/>
      <w:bookmarkStart w:id="304" w:name="_Toc5052"/>
      <w:bookmarkStart w:id="305" w:name="_Toc21667"/>
      <w:bookmarkStart w:id="306" w:name="_Toc32415"/>
      <w:r>
        <w:rPr>
          <w:rFonts w:hint="eastAsia" w:ascii="微软雅黑" w:hAnsi="微软雅黑" w:eastAsia="微软雅黑" w:cs="微软雅黑"/>
          <w:color w:val="auto"/>
          <w:highlight w:val="none"/>
          <w:u w:val="none"/>
        </w:rPr>
        <w:t>19.</w:t>
      </w:r>
      <w:bookmarkEnd w:id="293"/>
      <w:r>
        <w:rPr>
          <w:rFonts w:hint="eastAsia" w:ascii="微软雅黑" w:hAnsi="微软雅黑" w:eastAsia="微软雅黑" w:cs="微软雅黑"/>
          <w:color w:val="auto"/>
          <w:highlight w:val="none"/>
          <w:u w:val="none"/>
        </w:rPr>
        <w:t>资格审查及组建</w:t>
      </w:r>
      <w:bookmarkEnd w:id="294"/>
      <w:bookmarkEnd w:id="295"/>
      <w:bookmarkEnd w:id="296"/>
      <w:bookmarkEnd w:id="297"/>
      <w:bookmarkEnd w:id="298"/>
      <w:bookmarkEnd w:id="299"/>
      <w:bookmarkEnd w:id="300"/>
      <w:bookmarkEnd w:id="301"/>
      <w:bookmarkEnd w:id="302"/>
      <w:bookmarkEnd w:id="303"/>
      <w:bookmarkEnd w:id="304"/>
      <w:bookmarkEnd w:id="305"/>
      <w:bookmarkEnd w:id="306"/>
      <w:r>
        <w:rPr>
          <w:rFonts w:hint="eastAsia" w:ascii="微软雅黑" w:hAnsi="微软雅黑" w:eastAsia="微软雅黑" w:cs="微软雅黑"/>
          <w:color w:val="auto"/>
          <w:highlight w:val="none"/>
          <w:u w:val="none"/>
          <w:lang w:eastAsia="zh-CN"/>
        </w:rPr>
        <w:t>磋商小组</w:t>
      </w:r>
    </w:p>
    <w:p>
      <w:pPr>
        <w:spacing w:line="360" w:lineRule="exact"/>
        <w:ind w:left="960" w:hanging="960" w:hangingChars="400"/>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t>19.1    采购人或采购代理机构依据法律法规和</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中规定的内容，对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及其服务的资格进行审查，</w:t>
      </w:r>
      <w:r>
        <w:rPr>
          <w:rFonts w:hint="eastAsia" w:ascii="微软雅黑" w:hAnsi="微软雅黑" w:eastAsia="微软雅黑" w:cs="微软雅黑"/>
          <w:b/>
          <w:bCs/>
          <w:color w:val="auto"/>
          <w:sz w:val="24"/>
          <w:highlight w:val="none"/>
        </w:rPr>
        <w:t>本项目审查内容如下：</w:t>
      </w:r>
    </w:p>
    <w:p>
      <w:pPr>
        <w:spacing w:line="360" w:lineRule="exact"/>
        <w:ind w:firstLine="960" w:firstLineChars="4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合格</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的其他资格要求（</w:t>
      </w:r>
      <w:r>
        <w:rPr>
          <w:rFonts w:hint="eastAsia" w:ascii="微软雅黑" w:hAnsi="微软雅黑" w:eastAsia="微软雅黑" w:cs="微软雅黑"/>
          <w:b/>
          <w:bCs/>
          <w:color w:val="auto"/>
          <w:sz w:val="24"/>
          <w:highlight w:val="none"/>
          <w:lang w:val="en-US" w:eastAsia="zh-CN"/>
        </w:rPr>
        <w:t>需将以下证明资料附在响应文件中</w:t>
      </w:r>
      <w:r>
        <w:rPr>
          <w:rFonts w:hint="eastAsia" w:ascii="微软雅黑" w:hAnsi="微软雅黑" w:eastAsia="微软雅黑" w:cs="微软雅黑"/>
          <w:b/>
          <w:bCs/>
          <w:color w:val="auto"/>
          <w:sz w:val="24"/>
          <w:highlight w:val="none"/>
        </w:rPr>
        <w:t>）：</w:t>
      </w:r>
    </w:p>
    <w:p>
      <w:pPr>
        <w:spacing w:line="360" w:lineRule="exact"/>
        <w:ind w:firstLine="480" w:firstLineChars="2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w:t>
      </w:r>
      <w:r>
        <w:rPr>
          <w:rFonts w:hint="eastAsia" w:ascii="微软雅黑" w:hAnsi="微软雅黑" w:eastAsia="微软雅黑" w:cs="微软雅黑"/>
          <w:b/>
          <w:bCs/>
          <w:color w:val="auto"/>
          <w:sz w:val="24"/>
          <w:highlight w:val="none"/>
          <w:lang w:eastAsia="zh-CN"/>
        </w:rPr>
        <w:t>具有有效的营业执照</w:t>
      </w:r>
      <w:r>
        <w:rPr>
          <w:rFonts w:hint="eastAsia" w:ascii="微软雅黑" w:hAnsi="微软雅黑" w:eastAsia="微软雅黑" w:cs="微软雅黑"/>
          <w:b/>
          <w:bCs/>
          <w:color w:val="auto"/>
          <w:sz w:val="24"/>
          <w:highlight w:val="none"/>
        </w:rPr>
        <w:t>；</w:t>
      </w:r>
    </w:p>
    <w:p>
      <w:pPr>
        <w:spacing w:line="360" w:lineRule="exact"/>
        <w:ind w:firstLine="480" w:firstLineChars="2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2.提供法定代表人身份证明及授权书、被授权人身份证；(法定代表人磋商需提供法定代表人身份证复印件)；</w:t>
      </w:r>
    </w:p>
    <w:p>
      <w:pPr>
        <w:spacing w:line="360" w:lineRule="exact"/>
        <w:ind w:firstLine="480" w:firstLineChars="2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w:t>
      </w:r>
      <w:r>
        <w:rPr>
          <w:rFonts w:hint="eastAsia" w:ascii="微软雅黑" w:hAnsi="微软雅黑" w:eastAsia="微软雅黑" w:cs="微软雅黑"/>
          <w:b/>
          <w:bCs/>
          <w:color w:val="auto"/>
          <w:sz w:val="24"/>
          <w:highlight w:val="none"/>
          <w:lang w:eastAsia="zh-CN"/>
        </w:rPr>
        <w:t>近两年任意一年的财务审计报告，新成立的公司提供近三个月内任意一个月的银行资信证明</w:t>
      </w:r>
      <w:r>
        <w:rPr>
          <w:rFonts w:hint="eastAsia" w:ascii="微软雅黑" w:hAnsi="微软雅黑" w:eastAsia="微软雅黑" w:cs="微软雅黑"/>
          <w:b/>
          <w:bCs/>
          <w:color w:val="auto"/>
          <w:sz w:val="24"/>
          <w:highlight w:val="none"/>
        </w:rPr>
        <w:t>；</w:t>
      </w:r>
    </w:p>
    <w:p>
      <w:pPr>
        <w:spacing w:line="360" w:lineRule="exact"/>
        <w:ind w:firstLine="480" w:firstLineChars="2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4.</w:t>
      </w:r>
      <w:r>
        <w:rPr>
          <w:rFonts w:hint="eastAsia" w:ascii="微软雅黑" w:hAnsi="微软雅黑" w:eastAsia="微软雅黑" w:cs="微软雅黑"/>
          <w:b/>
          <w:bCs/>
          <w:color w:val="auto"/>
          <w:sz w:val="24"/>
          <w:highlight w:val="none"/>
          <w:lang w:eastAsia="zh-CN"/>
        </w:rPr>
        <w:t>提供依法缴纳近6个月任意1个月社会保险的证明</w:t>
      </w:r>
      <w:r>
        <w:rPr>
          <w:rFonts w:hint="eastAsia" w:ascii="微软雅黑" w:hAnsi="微软雅黑" w:eastAsia="微软雅黑" w:cs="微软雅黑"/>
          <w:b/>
          <w:bCs/>
          <w:color w:val="auto"/>
          <w:sz w:val="24"/>
          <w:highlight w:val="none"/>
        </w:rPr>
        <w:t>；</w:t>
      </w:r>
    </w:p>
    <w:p>
      <w:pPr>
        <w:spacing w:line="360" w:lineRule="exact"/>
        <w:ind w:firstLine="480" w:firstLineChars="2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5.</w:t>
      </w:r>
      <w:r>
        <w:rPr>
          <w:rFonts w:hint="eastAsia" w:ascii="微软雅黑" w:hAnsi="微软雅黑" w:eastAsia="微软雅黑" w:cs="微软雅黑"/>
          <w:b/>
          <w:bCs/>
          <w:color w:val="auto"/>
          <w:sz w:val="24"/>
          <w:highlight w:val="none"/>
          <w:lang w:eastAsia="zh-CN"/>
        </w:rPr>
        <w:t>提供依法缴纳近6个月任意1个月的税收证明</w:t>
      </w:r>
      <w:r>
        <w:rPr>
          <w:rFonts w:hint="eastAsia" w:ascii="微软雅黑" w:hAnsi="微软雅黑" w:eastAsia="微软雅黑" w:cs="微软雅黑"/>
          <w:b/>
          <w:bCs/>
          <w:color w:val="auto"/>
          <w:sz w:val="24"/>
          <w:highlight w:val="none"/>
        </w:rPr>
        <w:t>；</w:t>
      </w:r>
    </w:p>
    <w:p>
      <w:pPr>
        <w:spacing w:line="360" w:lineRule="exact"/>
        <w:ind w:firstLine="480" w:firstLineChars="2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将拒绝其参加本次招标活动；（以招标代理或招标人查询为准）</w:t>
      </w:r>
    </w:p>
    <w:p>
      <w:pPr>
        <w:spacing w:line="360" w:lineRule="exact"/>
        <w:ind w:firstLine="480" w:firstLineChars="2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7.参与政府采购活动前3年内未被列入失信、重大税收违法案件、财政部门禁止参加政府采购活动的承诺书；</w:t>
      </w:r>
    </w:p>
    <w:p>
      <w:pPr>
        <w:spacing w:line="360" w:lineRule="exact"/>
        <w:ind w:firstLine="480" w:firstLineChars="2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8.提供针对本次项目《反商业贿赂承诺书》；</w:t>
      </w:r>
    </w:p>
    <w:p>
      <w:pPr>
        <w:spacing w:line="360" w:lineRule="exact"/>
        <w:ind w:firstLine="480" w:firstLineChars="2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9.缴纳磋商保证金有效凭证。</w:t>
      </w:r>
    </w:p>
    <w:p>
      <w:pPr>
        <w:widowControl/>
        <w:snapToGrid w:val="0"/>
        <w:spacing w:line="470" w:lineRule="exact"/>
        <w:jc w:val="left"/>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w:t>
      </w:r>
      <w:r>
        <w:rPr>
          <w:rFonts w:hint="eastAsia" w:ascii="微软雅黑" w:hAnsi="微软雅黑" w:eastAsia="微软雅黑" w:cs="微软雅黑"/>
          <w:b/>
          <w:bCs/>
          <w:color w:val="auto"/>
          <w:sz w:val="24"/>
          <w:highlight w:val="none"/>
          <w:lang w:eastAsia="zh-CN"/>
        </w:rPr>
        <w:t>提供依法缴纳近6个月任意1个月的税收证明</w:t>
      </w:r>
      <w:r>
        <w:rPr>
          <w:rFonts w:hint="eastAsia" w:ascii="微软雅黑" w:hAnsi="微软雅黑" w:eastAsia="微软雅黑" w:cs="微软雅黑"/>
          <w:b/>
          <w:bCs/>
          <w:color w:val="auto"/>
          <w:sz w:val="24"/>
          <w:highlight w:val="none"/>
        </w:rPr>
        <w:t>”：①若供应商某月税收为零申报，须提供“国家税务总局电子税务局（12366.chinatax.gov.cn/bsfw/onlinetaxation/main）”的申报结果查询截图。②完税证明中“税种”非养老保险、医疗保险、失业保险、工伤保险和生育保险。请各供应商注意！</w:t>
      </w:r>
    </w:p>
    <w:p>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未通过资格审查的</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不进入评标；通过资格审查的</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少于不足三家的，不得评标。</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19.2   采购人或采购代理机构将在开标前1个工作日至</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截止后1小时的期间内查询</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的信用记录。</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存在不良信用记录的，其</w:t>
      </w:r>
      <w:r>
        <w:rPr>
          <w:rFonts w:hint="eastAsia" w:ascii="微软雅黑" w:hAnsi="微软雅黑" w:eastAsia="微软雅黑" w:cs="微软雅黑"/>
          <w:color w:val="auto"/>
          <w:sz w:val="24"/>
          <w:highlight w:val="none"/>
          <w:lang w:eastAsia="zh-CN"/>
        </w:rPr>
        <w:t>磋商将被</w:t>
      </w:r>
      <w:r>
        <w:rPr>
          <w:rFonts w:hint="eastAsia" w:ascii="微软雅黑" w:hAnsi="微软雅黑" w:eastAsia="微软雅黑" w:cs="微软雅黑"/>
          <w:color w:val="auto"/>
          <w:sz w:val="24"/>
          <w:highlight w:val="none"/>
        </w:rPr>
        <w:t>认定为</w:t>
      </w:r>
      <w:r>
        <w:rPr>
          <w:rFonts w:hint="eastAsia" w:ascii="微软雅黑" w:hAnsi="微软雅黑" w:eastAsia="微软雅黑" w:cs="微软雅黑"/>
          <w:color w:val="auto"/>
          <w:sz w:val="24"/>
          <w:highlight w:val="none"/>
          <w:lang w:eastAsia="zh-CN"/>
        </w:rPr>
        <w:t>磋商无效</w:t>
      </w:r>
      <w:r>
        <w:rPr>
          <w:rFonts w:hint="eastAsia" w:ascii="微软雅黑" w:hAnsi="微软雅黑" w:eastAsia="微软雅黑" w:cs="微软雅黑"/>
          <w:color w:val="auto"/>
          <w:sz w:val="24"/>
          <w:highlight w:val="none"/>
        </w:rPr>
        <w:t>。</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19.2.1 不良信用记录指：</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以联合体形式参加</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的，联合体任何成员存在以上不良信用记录的，联合体</w:t>
      </w:r>
      <w:r>
        <w:rPr>
          <w:rFonts w:hint="eastAsia" w:ascii="微软雅黑" w:hAnsi="微软雅黑" w:eastAsia="微软雅黑" w:cs="微软雅黑"/>
          <w:color w:val="auto"/>
          <w:sz w:val="24"/>
          <w:highlight w:val="none"/>
          <w:lang w:eastAsia="zh-CN"/>
        </w:rPr>
        <w:t>磋商将被</w:t>
      </w:r>
      <w:r>
        <w:rPr>
          <w:rFonts w:hint="eastAsia" w:ascii="微软雅黑" w:hAnsi="微软雅黑" w:eastAsia="微软雅黑" w:cs="微软雅黑"/>
          <w:color w:val="auto"/>
          <w:sz w:val="24"/>
          <w:highlight w:val="none"/>
        </w:rPr>
        <w:t>认定为</w:t>
      </w:r>
      <w:r>
        <w:rPr>
          <w:rFonts w:hint="eastAsia" w:ascii="微软雅黑" w:hAnsi="微软雅黑" w:eastAsia="微软雅黑" w:cs="微软雅黑"/>
          <w:color w:val="auto"/>
          <w:sz w:val="24"/>
          <w:highlight w:val="none"/>
          <w:lang w:eastAsia="zh-CN"/>
        </w:rPr>
        <w:t>磋商无效</w:t>
      </w:r>
      <w:r>
        <w:rPr>
          <w:rFonts w:hint="eastAsia" w:ascii="微软雅黑" w:hAnsi="微软雅黑" w:eastAsia="微软雅黑" w:cs="微软雅黑"/>
          <w:color w:val="auto"/>
          <w:sz w:val="24"/>
          <w:highlight w:val="none"/>
        </w:rPr>
        <w:t>。</w:t>
      </w:r>
    </w:p>
    <w:p>
      <w:pPr>
        <w:pStyle w:val="4"/>
        <w:spacing w:line="360" w:lineRule="exact"/>
        <w:ind w:left="850" w:hanging="849" w:hangingChars="354"/>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19.2.2 查询及记录方式：采购人或采购代理机构经办人将查询网页打印、签字并存档备查。</w:t>
      </w:r>
      <w:r>
        <w:rPr>
          <w:rFonts w:hint="eastAsia" w:ascii="微软雅黑" w:hAnsi="微软雅黑" w:eastAsia="微软雅黑" w:cs="微软雅黑"/>
          <w:color w:val="auto"/>
          <w:highlight w:val="none"/>
          <w:lang w:eastAsia="zh-CN"/>
        </w:rPr>
        <w:t>供应商</w:t>
      </w:r>
      <w:r>
        <w:rPr>
          <w:rFonts w:hint="eastAsia" w:ascii="微软雅黑" w:hAnsi="微软雅黑" w:eastAsia="微软雅黑" w:cs="微软雅黑"/>
          <w:color w:val="auto"/>
          <w:highlight w:val="none"/>
        </w:rPr>
        <w:t>不良信用记录以采购人或采购代理机构查询结果为准。</w:t>
      </w:r>
    </w:p>
    <w:p>
      <w:pPr>
        <w:pStyle w:val="4"/>
        <w:spacing w:line="360" w:lineRule="exact"/>
        <w:ind w:firstLine="720" w:firstLineChars="300"/>
        <w:jc w:val="both"/>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在本</w:t>
      </w:r>
      <w:r>
        <w:rPr>
          <w:rFonts w:hint="eastAsia" w:ascii="微软雅黑" w:hAnsi="微软雅黑" w:eastAsia="微软雅黑" w:cs="微软雅黑"/>
          <w:b/>
          <w:bCs/>
          <w:color w:val="auto"/>
          <w:highlight w:val="none"/>
          <w:lang w:eastAsia="zh-CN"/>
        </w:rPr>
        <w:t>磋商文件</w:t>
      </w:r>
      <w:r>
        <w:rPr>
          <w:rFonts w:hint="eastAsia" w:ascii="微软雅黑" w:hAnsi="微软雅黑" w:eastAsia="微软雅黑" w:cs="微软雅黑"/>
          <w:b/>
          <w:bCs/>
          <w:color w:val="auto"/>
          <w:highlight w:val="none"/>
        </w:rPr>
        <w:t>规定的查询时间之后，网站信息发生的任何变更均不再作</w:t>
      </w:r>
    </w:p>
    <w:p>
      <w:pPr>
        <w:pStyle w:val="4"/>
        <w:spacing w:line="360" w:lineRule="exact"/>
        <w:ind w:firstLine="720" w:firstLineChars="300"/>
        <w:jc w:val="both"/>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为评标依据。</w:t>
      </w:r>
    </w:p>
    <w:p>
      <w:pPr>
        <w:pStyle w:val="4"/>
        <w:spacing w:line="360" w:lineRule="exact"/>
        <w:ind w:firstLine="240" w:firstLineChars="100"/>
        <w:jc w:val="both"/>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eastAsia="zh-CN"/>
        </w:rPr>
        <w:t>供应商</w:t>
      </w:r>
      <w:r>
        <w:rPr>
          <w:rFonts w:hint="eastAsia" w:ascii="微软雅黑" w:hAnsi="微软雅黑" w:eastAsia="微软雅黑" w:cs="微软雅黑"/>
          <w:b/>
          <w:bCs/>
          <w:color w:val="auto"/>
          <w:highlight w:val="none"/>
        </w:rPr>
        <w:t>自行提供的与网站信息不一致的其他证明材料亦不作为资格审查依据。</w:t>
      </w:r>
    </w:p>
    <w:p>
      <w:pPr>
        <w:spacing w:line="360" w:lineRule="exact"/>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19.3   按照《中华人民共和国政府采购法》、《中华人民共和国政府采购法实施条例》、《政府采购货物和服务招标投标管理办法》财政部令第87号及本项目本级和上级财政部门的有关规定依法在政采云平台上自行抽取</w:t>
      </w:r>
      <w:r>
        <w:rPr>
          <w:rFonts w:hint="eastAsia" w:ascii="微软雅黑" w:hAnsi="微软雅黑" w:eastAsia="微软雅黑" w:cs="微软雅黑"/>
          <w:b/>
          <w:bCs/>
          <w:color w:val="auto"/>
          <w:sz w:val="24"/>
          <w:highlight w:val="none"/>
          <w:lang w:val="en-US" w:eastAsia="zh-CN"/>
        </w:rPr>
        <w:t>2</w:t>
      </w:r>
      <w:r>
        <w:rPr>
          <w:rFonts w:hint="eastAsia" w:ascii="微软雅黑" w:hAnsi="微软雅黑" w:eastAsia="微软雅黑" w:cs="微软雅黑"/>
          <w:b/>
          <w:bCs/>
          <w:color w:val="auto"/>
          <w:sz w:val="24"/>
          <w:highlight w:val="none"/>
        </w:rPr>
        <w:t>名</w:t>
      </w:r>
      <w:r>
        <w:rPr>
          <w:rFonts w:hint="eastAsia" w:ascii="微软雅黑" w:hAnsi="微软雅黑" w:eastAsia="微软雅黑" w:cs="微软雅黑"/>
          <w:b/>
          <w:bCs/>
          <w:color w:val="auto"/>
          <w:sz w:val="24"/>
          <w:highlight w:val="none"/>
          <w:lang w:eastAsia="zh-CN"/>
        </w:rPr>
        <w:t>磋商小组</w:t>
      </w:r>
      <w:r>
        <w:rPr>
          <w:rFonts w:hint="eastAsia" w:ascii="微软雅黑" w:hAnsi="微软雅黑" w:eastAsia="微软雅黑" w:cs="微软雅黑"/>
          <w:b/>
          <w:bCs/>
          <w:color w:val="auto"/>
          <w:sz w:val="24"/>
          <w:highlight w:val="none"/>
        </w:rPr>
        <w:t>，委托1名业主专家，共</w:t>
      </w:r>
      <w:r>
        <w:rPr>
          <w:rFonts w:hint="eastAsia" w:ascii="微软雅黑" w:hAnsi="微软雅黑" w:eastAsia="微软雅黑" w:cs="微软雅黑"/>
          <w:b/>
          <w:bCs/>
          <w:color w:val="auto"/>
          <w:sz w:val="24"/>
          <w:highlight w:val="none"/>
          <w:lang w:val="en-US" w:eastAsia="zh-CN"/>
        </w:rPr>
        <w:t>3</w:t>
      </w:r>
      <w:r>
        <w:rPr>
          <w:rFonts w:hint="eastAsia" w:ascii="微软雅黑" w:hAnsi="微软雅黑" w:eastAsia="微软雅黑" w:cs="微软雅黑"/>
          <w:b/>
          <w:bCs/>
          <w:color w:val="auto"/>
          <w:sz w:val="24"/>
          <w:highlight w:val="none"/>
        </w:rPr>
        <w:t>名组成</w:t>
      </w:r>
      <w:r>
        <w:rPr>
          <w:rFonts w:hint="eastAsia" w:ascii="微软雅黑" w:hAnsi="微软雅黑" w:eastAsia="微软雅黑" w:cs="微软雅黑"/>
          <w:b/>
          <w:bCs/>
          <w:color w:val="auto"/>
          <w:sz w:val="24"/>
          <w:highlight w:val="none"/>
          <w:lang w:eastAsia="zh-CN"/>
        </w:rPr>
        <w:t>磋商小组</w:t>
      </w:r>
      <w:r>
        <w:rPr>
          <w:rFonts w:hint="eastAsia" w:ascii="微软雅黑" w:hAnsi="微软雅黑" w:eastAsia="微软雅黑" w:cs="微软雅黑"/>
          <w:color w:val="auto"/>
          <w:sz w:val="24"/>
          <w:highlight w:val="none"/>
        </w:rPr>
        <w:t>负责评标工作。</w:t>
      </w:r>
      <w:bookmarkStart w:id="307" w:name="_Toc520356166"/>
    </w:p>
    <w:p>
      <w:pPr>
        <w:pStyle w:val="8"/>
        <w:spacing w:before="0" w:after="0" w:line="360" w:lineRule="exact"/>
        <w:rPr>
          <w:rFonts w:hint="eastAsia" w:ascii="微软雅黑" w:hAnsi="微软雅黑" w:eastAsia="微软雅黑" w:cs="微软雅黑"/>
          <w:bCs/>
          <w:color w:val="auto"/>
          <w:highlight w:val="none"/>
          <w:bdr w:val="single" w:color="auto" w:sz="4" w:space="0"/>
        </w:rPr>
      </w:pPr>
      <w:bookmarkStart w:id="308" w:name="_Toc515647781"/>
      <w:bookmarkStart w:id="309" w:name="_Toc11595"/>
      <w:bookmarkStart w:id="310" w:name="_Toc21156"/>
      <w:bookmarkStart w:id="311" w:name="_Toc19949"/>
      <w:bookmarkStart w:id="312" w:name="_Toc3936"/>
      <w:bookmarkStart w:id="313" w:name="_Toc22021"/>
      <w:bookmarkStart w:id="314" w:name="_Toc13892"/>
      <w:bookmarkStart w:id="315" w:name="_Toc29696"/>
      <w:bookmarkStart w:id="316" w:name="_Toc28479"/>
      <w:bookmarkStart w:id="317" w:name="_Toc14028"/>
      <w:bookmarkStart w:id="318" w:name="_Toc22736"/>
      <w:bookmarkStart w:id="319" w:name="_Toc8432"/>
      <w:bookmarkStart w:id="320" w:name="_Toc14775"/>
      <w:r>
        <w:rPr>
          <w:rFonts w:hint="eastAsia" w:ascii="微软雅黑" w:hAnsi="微软雅黑" w:eastAsia="微软雅黑" w:cs="微软雅黑"/>
          <w:color w:val="auto"/>
          <w:highlight w:val="none"/>
          <w:u w:val="none"/>
        </w:rPr>
        <w:t>20.</w:t>
      </w:r>
      <w:bookmarkEnd w:id="307"/>
      <w:r>
        <w:rPr>
          <w:rFonts w:hint="eastAsia" w:ascii="微软雅黑" w:hAnsi="微软雅黑" w:eastAsia="微软雅黑" w:cs="微软雅黑"/>
          <w:color w:val="auto"/>
          <w:highlight w:val="none"/>
          <w:u w:val="none"/>
          <w:lang w:eastAsia="zh-CN"/>
        </w:rPr>
        <w:t>响应文件</w:t>
      </w:r>
      <w:r>
        <w:rPr>
          <w:rFonts w:hint="eastAsia" w:ascii="微软雅黑" w:hAnsi="微软雅黑" w:eastAsia="微软雅黑" w:cs="微软雅黑"/>
          <w:color w:val="auto"/>
          <w:highlight w:val="none"/>
          <w:u w:val="none"/>
        </w:rPr>
        <w:t>符合性审查与澄清</w:t>
      </w:r>
      <w:bookmarkEnd w:id="308"/>
      <w:bookmarkEnd w:id="309"/>
      <w:bookmarkEnd w:id="310"/>
      <w:bookmarkEnd w:id="311"/>
      <w:bookmarkEnd w:id="312"/>
      <w:bookmarkEnd w:id="313"/>
      <w:bookmarkEnd w:id="314"/>
      <w:bookmarkEnd w:id="315"/>
      <w:bookmarkEnd w:id="316"/>
      <w:bookmarkEnd w:id="317"/>
      <w:bookmarkEnd w:id="318"/>
      <w:bookmarkEnd w:id="319"/>
      <w:bookmarkEnd w:id="320"/>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20.1   符合性审查是指依据</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的规定，从</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的有效性和完整性对</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的响应程度进行审查，以确定是否对</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的实质性要求做出响应。</w:t>
      </w:r>
      <w:bookmarkStart w:id="321" w:name="_Hlt522424701"/>
      <w:bookmarkEnd w:id="321"/>
      <w:bookmarkStart w:id="322" w:name="_Toc520356167"/>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的澄清</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20.2.1  在评标期间，</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将以书面方式要求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对其</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中含义不明确、对同类问题表述不一致或者有明显文字和计算错误的内容，以及</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认为</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的报价明显低于其他通过符合性检查</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的报价，有可能影响履约的情况作必要的澄清、说明或补正。</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的澄清、说明或补正应在</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规定的时间内以书面方式进行，并不得超出</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范围或者改变</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的实质性内容。</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20.2.2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的的澄清、说明或补正将作为</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的一部分。</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20.3  </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报价出现前后不一致的，按照下列规定修正：</w:t>
      </w:r>
    </w:p>
    <w:p>
      <w:pPr>
        <w:spacing w:line="360" w:lineRule="exact"/>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（一）</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中开标一览表（报价表）内容与</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中相应内容不一致的，以开标一览表（报价表）为准；</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（二）大写金额和小写金额不一致的，以大写金额为准；</w:t>
      </w:r>
    </w:p>
    <w:p>
      <w:pPr>
        <w:spacing w:line="360" w:lineRule="exact"/>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（三）单价金额小数点或者百分比有明显错位的，以开标一览表的总价为准，并修改单价；</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（四）总价金额与按单价汇总金额不一致的，以单价金额计算结果为准。</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同时出现两种以上不一致的，按照前款规定的顺序修正。修正后的报价按照第20.2条的规定经</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确认后产生约束力，</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不确认的，其</w:t>
      </w:r>
      <w:r>
        <w:rPr>
          <w:rFonts w:hint="eastAsia" w:ascii="微软雅黑" w:hAnsi="微软雅黑" w:eastAsia="微软雅黑" w:cs="微软雅黑"/>
          <w:color w:val="auto"/>
          <w:sz w:val="24"/>
          <w:highlight w:val="none"/>
          <w:lang w:eastAsia="zh-CN"/>
        </w:rPr>
        <w:t>磋商将被</w:t>
      </w:r>
      <w:r>
        <w:rPr>
          <w:rFonts w:hint="eastAsia" w:ascii="微软雅黑" w:hAnsi="微软雅黑" w:eastAsia="微软雅黑" w:cs="微软雅黑"/>
          <w:color w:val="auto"/>
          <w:sz w:val="24"/>
          <w:highlight w:val="none"/>
        </w:rPr>
        <w:t>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pPr>
        <w:spacing w:line="360" w:lineRule="exact"/>
        <w:ind w:firstLine="120" w:firstLineChars="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对不同文字文本</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的解释发生异议的，以中文文本为准。</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20.4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如采购人所采购产品为政府强制采购的节能产品，</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所投产品的品牌及型号必须为清单中有效期内产品并提供证明文件，否则其</w:t>
      </w:r>
      <w:r>
        <w:rPr>
          <w:rFonts w:hint="eastAsia" w:ascii="微软雅黑" w:hAnsi="微软雅黑" w:eastAsia="微软雅黑" w:cs="微软雅黑"/>
          <w:color w:val="auto"/>
          <w:sz w:val="24"/>
          <w:highlight w:val="none"/>
          <w:lang w:eastAsia="zh-CN"/>
        </w:rPr>
        <w:t>磋商将被</w:t>
      </w:r>
      <w:r>
        <w:rPr>
          <w:rFonts w:hint="eastAsia" w:ascii="微软雅黑" w:hAnsi="微软雅黑" w:eastAsia="微软雅黑" w:cs="微软雅黑"/>
          <w:color w:val="auto"/>
          <w:sz w:val="24"/>
          <w:highlight w:val="none"/>
        </w:rPr>
        <w:t>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pPr>
        <w:pStyle w:val="8"/>
        <w:spacing w:before="0" w:after="0" w:line="360" w:lineRule="exact"/>
        <w:rPr>
          <w:rFonts w:hint="eastAsia" w:ascii="微软雅黑" w:hAnsi="微软雅黑" w:eastAsia="微软雅黑" w:cs="微软雅黑"/>
          <w:color w:val="auto"/>
          <w:highlight w:val="none"/>
          <w:u w:val="none"/>
        </w:rPr>
      </w:pPr>
      <w:bookmarkStart w:id="323" w:name="_Toc12161"/>
      <w:bookmarkStart w:id="324" w:name="_Toc11608"/>
      <w:bookmarkStart w:id="325" w:name="_Toc515647782"/>
      <w:bookmarkStart w:id="326" w:name="_Toc6538"/>
      <w:bookmarkStart w:id="327" w:name="_Toc29292"/>
      <w:bookmarkStart w:id="328" w:name="_Toc7973"/>
      <w:bookmarkStart w:id="329" w:name="_Toc9469"/>
      <w:bookmarkStart w:id="330" w:name="_Toc6364"/>
      <w:bookmarkStart w:id="331" w:name="_Toc27238"/>
      <w:bookmarkStart w:id="332" w:name="_Toc16665"/>
      <w:bookmarkStart w:id="333" w:name="_Toc24991"/>
      <w:bookmarkStart w:id="334" w:name="_Toc17990"/>
      <w:r>
        <w:rPr>
          <w:rFonts w:hint="eastAsia" w:ascii="微软雅黑" w:hAnsi="微软雅黑" w:eastAsia="微软雅黑" w:cs="微软雅黑"/>
          <w:color w:val="auto"/>
          <w:highlight w:val="none"/>
          <w:u w:val="none"/>
        </w:rPr>
        <w:t>21.</w:t>
      </w:r>
      <w:r>
        <w:rPr>
          <w:rFonts w:hint="eastAsia" w:ascii="微软雅黑" w:hAnsi="微软雅黑" w:eastAsia="微软雅黑" w:cs="微软雅黑"/>
          <w:color w:val="auto"/>
          <w:highlight w:val="none"/>
          <w:u w:val="none"/>
          <w:lang w:val="en-US" w:eastAsia="zh-CN"/>
        </w:rPr>
        <w:t>磋商</w:t>
      </w:r>
      <w:r>
        <w:rPr>
          <w:rFonts w:hint="eastAsia" w:ascii="微软雅黑" w:hAnsi="微软雅黑" w:eastAsia="微软雅黑" w:cs="微软雅黑"/>
          <w:color w:val="auto"/>
          <w:highlight w:val="none"/>
          <w:u w:val="none"/>
        </w:rPr>
        <w:t>偏离</w:t>
      </w:r>
      <w:bookmarkEnd w:id="323"/>
      <w:bookmarkEnd w:id="324"/>
      <w:bookmarkEnd w:id="325"/>
      <w:bookmarkEnd w:id="326"/>
      <w:bookmarkEnd w:id="327"/>
      <w:bookmarkEnd w:id="328"/>
      <w:bookmarkEnd w:id="329"/>
      <w:bookmarkEnd w:id="330"/>
      <w:bookmarkEnd w:id="331"/>
      <w:bookmarkEnd w:id="332"/>
      <w:bookmarkEnd w:id="333"/>
      <w:bookmarkEnd w:id="334"/>
    </w:p>
    <w:p>
      <w:pPr>
        <w:spacing w:line="360" w:lineRule="exact"/>
        <w:ind w:left="641" w:hanging="640" w:hangingChars="267"/>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可以接受</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中不构成实质性偏离的不正规或不一致。</w:t>
      </w:r>
      <w:bookmarkStart w:id="335" w:name="_Toc515647783"/>
      <w:bookmarkStart w:id="336" w:name="_Toc6092"/>
      <w:bookmarkStart w:id="337" w:name="_Toc4950"/>
    </w:p>
    <w:p>
      <w:pPr>
        <w:pStyle w:val="8"/>
        <w:spacing w:before="0" w:after="0" w:line="360" w:lineRule="exact"/>
        <w:rPr>
          <w:rFonts w:hint="eastAsia" w:ascii="微软雅黑" w:hAnsi="微软雅黑" w:eastAsia="微软雅黑" w:cs="微软雅黑"/>
          <w:color w:val="auto"/>
          <w:highlight w:val="none"/>
          <w:u w:val="none"/>
          <w:lang w:eastAsia="zh-CN"/>
        </w:rPr>
      </w:pPr>
      <w:bookmarkStart w:id="338" w:name="_Toc23335"/>
      <w:bookmarkStart w:id="339" w:name="_Toc19605"/>
      <w:bookmarkStart w:id="340" w:name="_Toc2301"/>
      <w:bookmarkStart w:id="341" w:name="_Toc22179"/>
      <w:bookmarkStart w:id="342" w:name="_Toc8973"/>
      <w:bookmarkStart w:id="343" w:name="_Toc26299"/>
      <w:bookmarkStart w:id="344" w:name="_Toc28742"/>
      <w:bookmarkStart w:id="345" w:name="_Toc8254"/>
      <w:bookmarkStart w:id="346" w:name="_Toc1222"/>
      <w:bookmarkStart w:id="347" w:name="_Toc28630"/>
      <w:r>
        <w:rPr>
          <w:rFonts w:hint="eastAsia" w:ascii="微软雅黑" w:hAnsi="微软雅黑" w:eastAsia="微软雅黑" w:cs="微软雅黑"/>
          <w:color w:val="auto"/>
          <w:highlight w:val="none"/>
          <w:u w:val="none"/>
        </w:rPr>
        <w:t>22.</w:t>
      </w:r>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微软雅黑" w:hAnsi="微软雅黑" w:eastAsia="微软雅黑" w:cs="微软雅黑"/>
          <w:color w:val="auto"/>
          <w:highlight w:val="none"/>
          <w:u w:val="none"/>
          <w:lang w:eastAsia="zh-CN"/>
        </w:rPr>
        <w:t>磋商无效</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22.1  </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决定</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的响应性只根据</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要求、</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内容及财政主管部门指定相关信息发布媒体。</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rPr>
        <w:t>如发现下列情况之一的，其</w:t>
      </w:r>
      <w:r>
        <w:rPr>
          <w:rFonts w:hint="eastAsia" w:ascii="微软雅黑" w:hAnsi="微软雅黑" w:eastAsia="微软雅黑" w:cs="微软雅黑"/>
          <w:b/>
          <w:bCs/>
          <w:color w:val="auto"/>
          <w:sz w:val="24"/>
          <w:highlight w:val="none"/>
          <w:lang w:eastAsia="zh-CN"/>
        </w:rPr>
        <w:t>磋商将被</w:t>
      </w:r>
      <w:r>
        <w:rPr>
          <w:rFonts w:hint="eastAsia" w:ascii="微软雅黑" w:hAnsi="微软雅黑" w:eastAsia="微软雅黑" w:cs="微软雅黑"/>
          <w:b/>
          <w:bCs/>
          <w:color w:val="auto"/>
          <w:sz w:val="24"/>
          <w:highlight w:val="none"/>
        </w:rPr>
        <w:t>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pPr>
        <w:numPr>
          <w:ilvl w:val="0"/>
          <w:numId w:val="5"/>
        </w:numPr>
        <w:spacing w:line="360" w:lineRule="exact"/>
        <w:ind w:left="0"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未按</w:t>
      </w:r>
      <w:r>
        <w:rPr>
          <w:rFonts w:hint="eastAsia" w:ascii="微软雅黑" w:hAnsi="微软雅黑" w:eastAsia="微软雅黑" w:cs="微软雅黑"/>
          <w:b/>
          <w:bCs/>
          <w:color w:val="auto"/>
          <w:sz w:val="24"/>
          <w:highlight w:val="none"/>
          <w:lang w:eastAsia="zh-CN"/>
        </w:rPr>
        <w:t>磋商文件</w:t>
      </w:r>
      <w:r>
        <w:rPr>
          <w:rFonts w:hint="eastAsia" w:ascii="微软雅黑" w:hAnsi="微软雅黑" w:eastAsia="微软雅黑" w:cs="微软雅黑"/>
          <w:b/>
          <w:bCs/>
          <w:color w:val="auto"/>
          <w:sz w:val="24"/>
          <w:highlight w:val="none"/>
        </w:rPr>
        <w:t>规定的形式和金额提交</w:t>
      </w:r>
      <w:r>
        <w:rPr>
          <w:rFonts w:hint="eastAsia" w:ascii="微软雅黑" w:hAnsi="微软雅黑" w:eastAsia="微软雅黑" w:cs="微软雅黑"/>
          <w:b/>
          <w:bCs/>
          <w:color w:val="auto"/>
          <w:sz w:val="24"/>
          <w:highlight w:val="none"/>
          <w:lang w:eastAsia="zh-CN"/>
        </w:rPr>
        <w:t>磋商保证金</w:t>
      </w:r>
      <w:r>
        <w:rPr>
          <w:rFonts w:hint="eastAsia" w:ascii="微软雅黑" w:hAnsi="微软雅黑" w:eastAsia="微软雅黑" w:cs="微软雅黑"/>
          <w:b/>
          <w:bCs/>
          <w:color w:val="auto"/>
          <w:sz w:val="24"/>
          <w:highlight w:val="none"/>
        </w:rPr>
        <w:t>的；</w:t>
      </w:r>
    </w:p>
    <w:p>
      <w:pPr>
        <w:numPr>
          <w:ilvl w:val="0"/>
          <w:numId w:val="5"/>
        </w:numPr>
        <w:spacing w:line="360" w:lineRule="exact"/>
        <w:ind w:left="0"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未按照</w:t>
      </w:r>
      <w:r>
        <w:rPr>
          <w:rFonts w:hint="eastAsia" w:ascii="微软雅黑" w:hAnsi="微软雅黑" w:eastAsia="微软雅黑" w:cs="微软雅黑"/>
          <w:b/>
          <w:bCs/>
          <w:color w:val="auto"/>
          <w:sz w:val="24"/>
          <w:highlight w:val="none"/>
          <w:lang w:eastAsia="zh-CN"/>
        </w:rPr>
        <w:t>磋商文件</w:t>
      </w:r>
      <w:r>
        <w:rPr>
          <w:rFonts w:hint="eastAsia" w:ascii="微软雅黑" w:hAnsi="微软雅黑" w:eastAsia="微软雅黑" w:cs="微软雅黑"/>
          <w:b/>
          <w:bCs/>
          <w:color w:val="auto"/>
          <w:sz w:val="24"/>
          <w:highlight w:val="none"/>
        </w:rPr>
        <w:t>规定要求签署、盖章的；</w:t>
      </w:r>
    </w:p>
    <w:p>
      <w:pPr>
        <w:numPr>
          <w:ilvl w:val="0"/>
          <w:numId w:val="5"/>
        </w:numPr>
        <w:spacing w:line="360" w:lineRule="exact"/>
        <w:ind w:left="0"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与其他</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串通投标，或者与招标人串通投标；</w:t>
      </w:r>
    </w:p>
    <w:p>
      <w:pPr>
        <w:numPr>
          <w:ilvl w:val="0"/>
          <w:numId w:val="5"/>
        </w:numPr>
        <w:spacing w:line="360" w:lineRule="exact"/>
        <w:ind w:left="0"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属于</w:t>
      </w:r>
      <w:r>
        <w:rPr>
          <w:rFonts w:hint="eastAsia" w:ascii="微软雅黑" w:hAnsi="微软雅黑" w:eastAsia="微软雅黑" w:cs="微软雅黑"/>
          <w:b/>
          <w:bCs/>
          <w:color w:val="auto"/>
          <w:sz w:val="24"/>
          <w:highlight w:val="none"/>
          <w:lang w:eastAsia="zh-CN"/>
        </w:rPr>
        <w:t>磋商文件</w:t>
      </w:r>
      <w:r>
        <w:rPr>
          <w:rFonts w:hint="eastAsia" w:ascii="微软雅黑" w:hAnsi="微软雅黑" w:eastAsia="微软雅黑" w:cs="微软雅黑"/>
          <w:b/>
          <w:bCs/>
          <w:color w:val="auto"/>
          <w:sz w:val="24"/>
          <w:highlight w:val="none"/>
        </w:rPr>
        <w:t>规定的其他</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b/>
          <w:bCs/>
          <w:color w:val="auto"/>
          <w:sz w:val="24"/>
          <w:highlight w:val="none"/>
        </w:rPr>
        <w:t>情形；</w:t>
      </w:r>
    </w:p>
    <w:p>
      <w:pPr>
        <w:numPr>
          <w:ilvl w:val="0"/>
          <w:numId w:val="5"/>
        </w:numPr>
        <w:spacing w:line="360" w:lineRule="exact"/>
        <w:ind w:left="0"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磋商小组</w:t>
      </w:r>
      <w:r>
        <w:rPr>
          <w:rFonts w:hint="eastAsia" w:ascii="微软雅黑" w:hAnsi="微软雅黑" w:eastAsia="微软雅黑" w:cs="微软雅黑"/>
          <w:b/>
          <w:bCs/>
          <w:color w:val="auto"/>
          <w:sz w:val="24"/>
          <w:highlight w:val="none"/>
        </w:rPr>
        <w:t>认为</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的报价明显低于其他通过符合性检查</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的报价，有可能影响履约的，且</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未按照规定证明其报价合理性的；</w:t>
      </w:r>
    </w:p>
    <w:p>
      <w:pPr>
        <w:numPr>
          <w:ilvl w:val="0"/>
          <w:numId w:val="5"/>
        </w:numPr>
        <w:spacing w:line="360" w:lineRule="exact"/>
        <w:ind w:left="0"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响应文件</w:t>
      </w:r>
      <w:r>
        <w:rPr>
          <w:rFonts w:hint="eastAsia" w:ascii="微软雅黑" w:hAnsi="微软雅黑" w:eastAsia="微软雅黑" w:cs="微软雅黑"/>
          <w:b/>
          <w:bCs/>
          <w:color w:val="auto"/>
          <w:sz w:val="24"/>
          <w:highlight w:val="none"/>
        </w:rPr>
        <w:t>含有采购人不能接受的附加条件的；</w:t>
      </w:r>
    </w:p>
    <w:p>
      <w:pPr>
        <w:numPr>
          <w:ilvl w:val="0"/>
          <w:numId w:val="5"/>
        </w:numPr>
        <w:tabs>
          <w:tab w:val="left" w:pos="0"/>
        </w:tabs>
        <w:spacing w:line="360" w:lineRule="exact"/>
        <w:ind w:left="0"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不符合法规和</w:t>
      </w:r>
      <w:r>
        <w:rPr>
          <w:rFonts w:hint="eastAsia" w:ascii="微软雅黑" w:hAnsi="微软雅黑" w:eastAsia="微软雅黑" w:cs="微软雅黑"/>
          <w:b/>
          <w:bCs/>
          <w:color w:val="auto"/>
          <w:sz w:val="24"/>
          <w:highlight w:val="none"/>
          <w:lang w:eastAsia="zh-CN"/>
        </w:rPr>
        <w:t>磋商文件</w:t>
      </w:r>
      <w:r>
        <w:rPr>
          <w:rFonts w:hint="eastAsia" w:ascii="微软雅黑" w:hAnsi="微软雅黑" w:eastAsia="微软雅黑" w:cs="微软雅黑"/>
          <w:b/>
          <w:bCs/>
          <w:color w:val="auto"/>
          <w:sz w:val="24"/>
          <w:highlight w:val="none"/>
        </w:rPr>
        <w:t>中规定的其他实质性要求的。</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22.3   有下列情形之一的，属于恶意串通，对供应商依照政府采购法第七十七条第一款的规定追究法律责任，对采购人、采购代理机构及其工作人员依照政府采购法第七十二条的规定追究法律责任：</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（1）供应商直接或者间接从采购人或者采购代理机构处获得其他供应商的相关情况并修改其</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或者响应文件；</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（2）供应商按照采购人或者采购代理机构的授意撤换、修改</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或者响应文件；</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（3）供应商之间协商报价、技术方案等</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或者响应文件的实质性内容；</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（4）属于同一集团、协会、商会等组织成员的供应商按照该组织要求协同参加政府采购活动；</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（5）供应商之间事先约定由某一特定供应商中标、成交；</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（6）供应商之间商定部分供应商放弃参加政府采购活动或者放弃中标、成交；</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（7）供应商与采购人或者采购代理机构之间、供应商相互之间，为谋求特定供应商中标、成交或者排斥其他供应商的其他串通行为。</w:t>
      </w:r>
    </w:p>
    <w:p>
      <w:pPr>
        <w:pStyle w:val="8"/>
        <w:spacing w:before="0" w:after="0" w:line="360" w:lineRule="exact"/>
        <w:rPr>
          <w:rFonts w:hint="eastAsia" w:ascii="微软雅黑" w:hAnsi="微软雅黑" w:eastAsia="微软雅黑" w:cs="微软雅黑"/>
          <w:color w:val="auto"/>
          <w:highlight w:val="none"/>
          <w:u w:val="none"/>
        </w:rPr>
      </w:pPr>
      <w:bookmarkStart w:id="348" w:name="_Toc20639"/>
      <w:bookmarkStart w:id="349" w:name="_Toc13652"/>
      <w:bookmarkStart w:id="350" w:name="_Toc17090"/>
      <w:bookmarkStart w:id="351" w:name="_Toc4328"/>
      <w:bookmarkStart w:id="352" w:name="_Toc22941"/>
      <w:bookmarkStart w:id="353" w:name="_Toc515647784"/>
      <w:bookmarkStart w:id="354" w:name="_Toc30751"/>
      <w:bookmarkStart w:id="355" w:name="_Toc20498"/>
      <w:bookmarkStart w:id="356" w:name="_Toc7036"/>
      <w:r>
        <w:rPr>
          <w:rFonts w:hint="eastAsia" w:ascii="微软雅黑" w:hAnsi="微软雅黑" w:eastAsia="微软雅黑" w:cs="微软雅黑"/>
          <w:color w:val="auto"/>
          <w:highlight w:val="none"/>
          <w:u w:val="none"/>
        </w:rPr>
        <w:t>23.</w:t>
      </w:r>
      <w:bookmarkEnd w:id="322"/>
      <w:r>
        <w:rPr>
          <w:rFonts w:hint="eastAsia" w:ascii="微软雅黑" w:hAnsi="微软雅黑" w:eastAsia="微软雅黑" w:cs="微软雅黑"/>
          <w:color w:val="auto"/>
          <w:highlight w:val="none"/>
          <w:u w:val="none"/>
        </w:rPr>
        <w:t>比较与评价</w:t>
      </w:r>
      <w:bookmarkEnd w:id="348"/>
      <w:bookmarkEnd w:id="349"/>
      <w:bookmarkEnd w:id="350"/>
      <w:bookmarkEnd w:id="351"/>
      <w:bookmarkEnd w:id="352"/>
      <w:bookmarkEnd w:id="353"/>
      <w:bookmarkEnd w:id="354"/>
      <w:bookmarkEnd w:id="355"/>
      <w:bookmarkEnd w:id="356"/>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经符合性审查合格的</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将根据</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确定的评标方法和标准，对其技术部分和商务部分作进一步的比较和评价。</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23.2  </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评标严格按照</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的要求和条件进行。根据实际情况，在</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中规定采用下列一种评标方法，详细评标标准见</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第六章：</w:t>
      </w:r>
    </w:p>
    <w:p>
      <w:pPr>
        <w:pStyle w:val="12"/>
        <w:spacing w:line="360" w:lineRule="exact"/>
        <w:ind w:left="239" w:leftChars="114" w:firstLine="31" w:firstLineChars="1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（1）最低评标价法，是指</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满足</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全部实质性要求，且</w:t>
      </w:r>
      <w:r>
        <w:rPr>
          <w:rFonts w:hint="eastAsia" w:ascii="微软雅黑" w:hAnsi="微软雅黑" w:eastAsia="微软雅黑" w:cs="微软雅黑"/>
          <w:color w:val="auto"/>
          <w:sz w:val="24"/>
          <w:szCs w:val="24"/>
          <w:highlight w:val="none"/>
          <w:lang w:val="en-US" w:eastAsia="zh-CN"/>
        </w:rPr>
        <w:t>磋商</w:t>
      </w:r>
      <w:r>
        <w:rPr>
          <w:rFonts w:hint="eastAsia" w:ascii="微软雅黑" w:hAnsi="微软雅黑" w:eastAsia="微软雅黑" w:cs="微软雅黑"/>
          <w:color w:val="auto"/>
          <w:sz w:val="24"/>
          <w:szCs w:val="24"/>
          <w:highlight w:val="none"/>
        </w:rPr>
        <w:t>报价最低的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w:t>
      </w:r>
      <w:r>
        <w:rPr>
          <w:rFonts w:hint="eastAsia" w:ascii="微软雅黑" w:hAnsi="微软雅黑" w:eastAsia="微软雅黑" w:cs="微软雅黑"/>
          <w:color w:val="auto"/>
          <w:sz w:val="24"/>
          <w:szCs w:val="24"/>
          <w:highlight w:val="none"/>
          <w:lang w:eastAsia="zh-CN"/>
        </w:rPr>
        <w:t>成交候选人</w:t>
      </w:r>
      <w:r>
        <w:rPr>
          <w:rFonts w:hint="eastAsia" w:ascii="微软雅黑" w:hAnsi="微软雅黑" w:eastAsia="微软雅黑" w:cs="微软雅黑"/>
          <w:color w:val="auto"/>
          <w:sz w:val="24"/>
          <w:szCs w:val="24"/>
          <w:highlight w:val="none"/>
        </w:rPr>
        <w:t>的评标方法。</w:t>
      </w:r>
    </w:p>
    <w:p>
      <w:pPr>
        <w:pStyle w:val="12"/>
        <w:spacing w:line="360" w:lineRule="exact"/>
        <w:ind w:left="239" w:leftChars="114" w:firstLine="33" w:firstLineChars="1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（2）综合评分法，是指</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满足</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全部实质性要求，且按照评审因素的量化指标评审得分最高的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w:t>
      </w:r>
      <w:r>
        <w:rPr>
          <w:rFonts w:hint="eastAsia" w:ascii="微软雅黑" w:hAnsi="微软雅黑" w:eastAsia="微软雅黑" w:cs="微软雅黑"/>
          <w:color w:val="auto"/>
          <w:sz w:val="24"/>
          <w:szCs w:val="24"/>
          <w:highlight w:val="none"/>
          <w:lang w:eastAsia="zh-CN"/>
        </w:rPr>
        <w:t>成交候选人</w:t>
      </w:r>
      <w:r>
        <w:rPr>
          <w:rFonts w:hint="eastAsia" w:ascii="微软雅黑" w:hAnsi="微软雅黑" w:eastAsia="微软雅黑" w:cs="微软雅黑"/>
          <w:color w:val="auto"/>
          <w:sz w:val="24"/>
          <w:szCs w:val="24"/>
          <w:highlight w:val="none"/>
        </w:rPr>
        <w:t>的评标方法。</w:t>
      </w:r>
    </w:p>
    <w:p>
      <w:pPr>
        <w:pStyle w:val="12"/>
        <w:spacing w:line="360" w:lineRule="exact"/>
        <w:ind w:left="239" w:leftChars="114" w:firstLine="34" w:firstLineChars="14"/>
        <w:rPr>
          <w:rFonts w:hint="default"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本项目采用</w:t>
      </w:r>
      <w:r>
        <w:rPr>
          <w:rFonts w:hint="eastAsia" w:ascii="微软雅黑" w:hAnsi="微软雅黑" w:eastAsia="微软雅黑" w:cs="微软雅黑"/>
          <w:b/>
          <w:bCs/>
          <w:color w:val="auto"/>
          <w:sz w:val="24"/>
          <w:szCs w:val="24"/>
          <w:highlight w:val="none"/>
        </w:rPr>
        <w:t>综合评分法，</w:t>
      </w:r>
      <w:r>
        <w:rPr>
          <w:rFonts w:hint="eastAsia" w:ascii="微软雅黑" w:hAnsi="微软雅黑" w:eastAsia="微软雅黑" w:cs="微软雅黑"/>
          <w:b/>
          <w:bCs/>
          <w:color w:val="auto"/>
          <w:sz w:val="24"/>
          <w:highlight w:val="none"/>
        </w:rPr>
        <w:t>其中价格占</w:t>
      </w:r>
      <w:r>
        <w:rPr>
          <w:rFonts w:hint="eastAsia" w:ascii="微软雅黑" w:hAnsi="微软雅黑" w:eastAsia="微软雅黑" w:cs="微软雅黑"/>
          <w:b/>
          <w:bCs/>
          <w:color w:val="auto"/>
          <w:sz w:val="24"/>
          <w:highlight w:val="none"/>
          <w:lang w:val="en-US" w:eastAsia="zh-CN"/>
        </w:rPr>
        <w:t>20</w:t>
      </w:r>
      <w:r>
        <w:rPr>
          <w:rFonts w:hint="eastAsia" w:ascii="微软雅黑" w:hAnsi="微软雅黑" w:eastAsia="微软雅黑" w:cs="微软雅黑"/>
          <w:b/>
          <w:bCs/>
          <w:color w:val="auto"/>
          <w:sz w:val="24"/>
          <w:highlight w:val="none"/>
        </w:rPr>
        <w:t>%，商务占</w:t>
      </w:r>
      <w:r>
        <w:rPr>
          <w:rFonts w:hint="eastAsia" w:ascii="微软雅黑" w:hAnsi="微软雅黑" w:eastAsia="微软雅黑" w:cs="微软雅黑"/>
          <w:b/>
          <w:bCs/>
          <w:color w:val="auto"/>
          <w:sz w:val="24"/>
          <w:highlight w:val="none"/>
          <w:lang w:val="en-US" w:eastAsia="zh-CN"/>
        </w:rPr>
        <w:t>12</w:t>
      </w:r>
      <w:r>
        <w:rPr>
          <w:rFonts w:hint="eastAsia" w:ascii="微软雅黑" w:hAnsi="微软雅黑" w:eastAsia="微软雅黑" w:cs="微软雅黑"/>
          <w:b/>
          <w:bCs/>
          <w:color w:val="auto"/>
          <w:sz w:val="24"/>
          <w:highlight w:val="none"/>
        </w:rPr>
        <w:t>%，技术占</w:t>
      </w:r>
      <w:r>
        <w:rPr>
          <w:rFonts w:hint="eastAsia" w:ascii="微软雅黑" w:hAnsi="微软雅黑" w:eastAsia="微软雅黑" w:cs="微软雅黑"/>
          <w:b/>
          <w:bCs/>
          <w:color w:val="auto"/>
          <w:sz w:val="24"/>
          <w:highlight w:val="none"/>
          <w:lang w:val="en-US" w:eastAsia="zh-CN"/>
        </w:rPr>
        <w:t>68</w:t>
      </w:r>
      <w:r>
        <w:rPr>
          <w:rFonts w:hint="eastAsia" w:ascii="微软雅黑" w:hAnsi="微软雅黑" w:eastAsia="微软雅黑" w:cs="微软雅黑"/>
          <w:b/>
          <w:bCs/>
          <w:color w:val="auto"/>
          <w:sz w:val="24"/>
          <w:highlight w:val="none"/>
        </w:rPr>
        <w:t>%。</w:t>
      </w:r>
    </w:p>
    <w:p>
      <w:pPr>
        <w:pStyle w:val="12"/>
        <w:spacing w:line="360" w:lineRule="exact"/>
        <w:ind w:left="900" w:hanging="900" w:hangingChars="375"/>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 xml:space="preserve">23.3  </w:t>
      </w:r>
      <w:r>
        <w:rPr>
          <w:rFonts w:hint="eastAsia" w:ascii="微软雅黑" w:hAnsi="微软雅黑" w:eastAsia="微软雅黑" w:cs="微软雅黑"/>
          <w:b/>
          <w:bCs/>
          <w:color w:val="auto"/>
          <w:sz w:val="24"/>
          <w:szCs w:val="24"/>
          <w:highlight w:val="none"/>
        </w:rPr>
        <w:t xml:space="preserve"> </w:t>
      </w:r>
      <w:r>
        <w:rPr>
          <w:rFonts w:hint="eastAsia" w:ascii="微软雅黑" w:hAnsi="微软雅黑" w:eastAsia="微软雅黑" w:cs="微软雅黑"/>
          <w:b/>
          <w:bCs/>
          <w:color w:val="auto"/>
          <w:sz w:val="24"/>
          <w:szCs w:val="24"/>
          <w:highlight w:val="none"/>
          <w:lang w:val="en-US" w:eastAsia="zh-CN"/>
        </w:rPr>
        <w:t>本项目专门面向中小企业采购。</w:t>
      </w:r>
      <w:r>
        <w:rPr>
          <w:rFonts w:hint="eastAsia" w:ascii="微软雅黑" w:hAnsi="微软雅黑" w:eastAsia="微软雅黑" w:cs="微软雅黑"/>
          <w:b/>
          <w:bCs/>
          <w:color w:val="auto"/>
          <w:sz w:val="24"/>
          <w:szCs w:val="24"/>
          <w:highlight w:val="none"/>
        </w:rPr>
        <w:t>根据《</w:t>
      </w:r>
      <w:r>
        <w:rPr>
          <w:rFonts w:hint="eastAsia" w:ascii="微软雅黑" w:hAnsi="微软雅黑" w:eastAsia="微软雅黑" w:cs="微软雅黑"/>
          <w:b/>
          <w:bCs/>
          <w:color w:val="auto"/>
          <w:kern w:val="2"/>
          <w:sz w:val="24"/>
          <w:szCs w:val="24"/>
          <w:highlight w:val="none"/>
          <w:lang w:val="en-US" w:eastAsia="zh-CN" w:bidi="ar-SA"/>
        </w:rPr>
        <w:t>财政部关于进一步加大政府采购支持中小企业力度的通知》财库〔2022〕19号、</w:t>
      </w:r>
      <w:r>
        <w:rPr>
          <w:rFonts w:hint="eastAsia" w:ascii="微软雅黑" w:hAnsi="微软雅黑" w:eastAsia="微软雅黑" w:cs="微软雅黑"/>
          <w:b/>
          <w:bCs/>
          <w:color w:val="auto"/>
          <w:sz w:val="24"/>
          <w:szCs w:val="24"/>
          <w:highlight w:val="none"/>
        </w:rPr>
        <w:t>《政府采购促进中小企业发展管理办法》（财库[2020]46号）、《财政部 司法部关于政府采购支持监狱企业发展有关问题的通知》（财库〔2014〕68号）和《三部门联合发布关于促进残疾人就业政府采购政策的通知》（</w:t>
      </w:r>
      <w:bookmarkStart w:id="357" w:name="sendNo"/>
      <w:r>
        <w:rPr>
          <w:rFonts w:hint="eastAsia" w:ascii="微软雅黑" w:hAnsi="微软雅黑" w:eastAsia="微软雅黑" w:cs="微软雅黑"/>
          <w:b/>
          <w:bCs/>
          <w:color w:val="auto"/>
          <w:sz w:val="24"/>
          <w:szCs w:val="24"/>
          <w:highlight w:val="none"/>
        </w:rPr>
        <w:t>财库〔</w:t>
      </w:r>
      <w:bookmarkEnd w:id="357"/>
      <w:r>
        <w:rPr>
          <w:rFonts w:hint="eastAsia" w:ascii="微软雅黑" w:hAnsi="微软雅黑" w:eastAsia="微软雅黑" w:cs="微软雅黑"/>
          <w:b/>
          <w:bCs/>
          <w:color w:val="auto"/>
          <w:sz w:val="24"/>
          <w:szCs w:val="24"/>
          <w:highlight w:val="none"/>
        </w:rPr>
        <w:t>2017〕141号）的规定，对满足价格扣除条件</w:t>
      </w:r>
      <w:r>
        <w:rPr>
          <w:rFonts w:hint="eastAsia" w:ascii="微软雅黑" w:hAnsi="微软雅黑" w:eastAsia="微软雅黑" w:cs="微软雅黑"/>
          <w:b/>
          <w:bCs/>
          <w:color w:val="auto"/>
          <w:sz w:val="24"/>
          <w:szCs w:val="24"/>
          <w:highlight w:val="none"/>
          <w:lang w:val="en-US" w:eastAsia="zh-CN"/>
        </w:rPr>
        <w:t>的小微企业、微型企业</w:t>
      </w:r>
      <w:r>
        <w:rPr>
          <w:rFonts w:hint="eastAsia" w:ascii="微软雅黑" w:hAnsi="微软雅黑" w:eastAsia="微软雅黑" w:cs="微软雅黑"/>
          <w:b/>
          <w:bCs/>
          <w:color w:val="auto"/>
          <w:sz w:val="24"/>
          <w:szCs w:val="24"/>
          <w:highlight w:val="none"/>
        </w:rPr>
        <w:t>且在</w:t>
      </w:r>
      <w:r>
        <w:rPr>
          <w:rFonts w:hint="eastAsia" w:ascii="微软雅黑" w:hAnsi="微软雅黑" w:eastAsia="微软雅黑" w:cs="微软雅黑"/>
          <w:b/>
          <w:bCs/>
          <w:color w:val="auto"/>
          <w:sz w:val="24"/>
          <w:szCs w:val="24"/>
          <w:highlight w:val="none"/>
          <w:lang w:eastAsia="zh-CN"/>
        </w:rPr>
        <w:t>响应文件</w:t>
      </w:r>
      <w:r>
        <w:rPr>
          <w:rFonts w:hint="eastAsia" w:ascii="微软雅黑" w:hAnsi="微软雅黑" w:eastAsia="微软雅黑" w:cs="微软雅黑"/>
          <w:b/>
          <w:bCs/>
          <w:color w:val="auto"/>
          <w:sz w:val="24"/>
          <w:szCs w:val="24"/>
          <w:highlight w:val="none"/>
        </w:rPr>
        <w:t>中提交了《</w:t>
      </w:r>
      <w:r>
        <w:rPr>
          <w:rFonts w:hint="eastAsia" w:ascii="微软雅黑" w:hAnsi="微软雅黑" w:eastAsia="微软雅黑" w:cs="微软雅黑"/>
          <w:b/>
          <w:bCs/>
          <w:color w:val="auto"/>
          <w:sz w:val="24"/>
          <w:szCs w:val="24"/>
          <w:highlight w:val="none"/>
          <w:lang w:val="en-US" w:eastAsia="zh-CN"/>
        </w:rPr>
        <w:t>中小企业</w:t>
      </w:r>
      <w:r>
        <w:rPr>
          <w:rFonts w:hint="eastAsia" w:ascii="微软雅黑" w:hAnsi="微软雅黑" w:eastAsia="微软雅黑" w:cs="微软雅黑"/>
          <w:b/>
          <w:bCs/>
          <w:color w:val="auto"/>
          <w:sz w:val="24"/>
          <w:szCs w:val="24"/>
          <w:highlight w:val="none"/>
        </w:rPr>
        <w:t>声明函》或省级以上监狱管理局、戒毒管理局（含新疆生产建设兵团）出具的属于监狱企业的证明文件的</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，其</w:t>
      </w:r>
      <w:r>
        <w:rPr>
          <w:rFonts w:hint="eastAsia" w:ascii="微软雅黑" w:hAnsi="微软雅黑" w:eastAsia="微软雅黑" w:cs="微软雅黑"/>
          <w:b/>
          <w:bCs/>
          <w:color w:val="auto"/>
          <w:sz w:val="24"/>
          <w:szCs w:val="24"/>
          <w:highlight w:val="none"/>
          <w:lang w:val="en-US" w:eastAsia="zh-CN"/>
        </w:rPr>
        <w:t>磋商</w:t>
      </w:r>
      <w:r>
        <w:rPr>
          <w:rFonts w:hint="eastAsia" w:ascii="微软雅黑" w:hAnsi="微软雅黑" w:eastAsia="微软雅黑" w:cs="微软雅黑"/>
          <w:b/>
          <w:bCs/>
          <w:color w:val="auto"/>
          <w:sz w:val="24"/>
          <w:szCs w:val="24"/>
          <w:highlight w:val="none"/>
        </w:rPr>
        <w:t>报价扣除10%后参与评审。</w:t>
      </w:r>
    </w:p>
    <w:p>
      <w:pPr>
        <w:pStyle w:val="12"/>
        <w:spacing w:line="360" w:lineRule="exact"/>
        <w:ind w:left="900" w:hanging="900" w:hangingChars="375"/>
        <w:rPr>
          <w:rFonts w:hint="eastAsia" w:ascii="微软雅黑" w:hAnsi="微软雅黑" w:eastAsia="微软雅黑" w:cs="微软雅黑"/>
          <w:color w:val="auto"/>
          <w:sz w:val="24"/>
          <w:szCs w:val="24"/>
          <w:highlight w:val="none"/>
        </w:rPr>
      </w:pPr>
    </w:p>
    <w:p>
      <w:pPr>
        <w:pStyle w:val="8"/>
        <w:spacing w:before="0" w:after="0" w:line="360" w:lineRule="exact"/>
        <w:rPr>
          <w:rFonts w:hint="eastAsia" w:ascii="微软雅黑" w:hAnsi="微软雅黑" w:eastAsia="微软雅黑" w:cs="微软雅黑"/>
          <w:color w:val="auto"/>
          <w:highlight w:val="none"/>
          <w:u w:val="none"/>
        </w:rPr>
      </w:pPr>
      <w:bookmarkStart w:id="358" w:name="_Toc520356168"/>
      <w:bookmarkStart w:id="359" w:name="_Toc19218"/>
      <w:bookmarkStart w:id="360" w:name="_Toc20227"/>
      <w:bookmarkStart w:id="361" w:name="_Toc23302"/>
      <w:bookmarkStart w:id="362" w:name="_Toc27067"/>
      <w:bookmarkStart w:id="363" w:name="_Toc31084"/>
      <w:bookmarkStart w:id="364" w:name="_Toc515647785"/>
      <w:bookmarkStart w:id="365" w:name="_Toc2878"/>
      <w:bookmarkStart w:id="366" w:name="_Toc7770"/>
      <w:bookmarkStart w:id="367" w:name="_Toc9378"/>
      <w:bookmarkStart w:id="368" w:name="_Toc20226"/>
      <w:bookmarkStart w:id="369" w:name="_Toc14408"/>
      <w:bookmarkStart w:id="370" w:name="_Toc7858"/>
      <w:bookmarkStart w:id="371" w:name="_Toc15779"/>
      <w:r>
        <w:rPr>
          <w:rFonts w:hint="eastAsia" w:ascii="微软雅黑" w:hAnsi="微软雅黑" w:eastAsia="微软雅黑" w:cs="微软雅黑"/>
          <w:color w:val="auto"/>
          <w:highlight w:val="none"/>
          <w:u w:val="none"/>
        </w:rPr>
        <w:t>24</w:t>
      </w:r>
      <w:bookmarkEnd w:id="358"/>
      <w:r>
        <w:rPr>
          <w:rFonts w:hint="eastAsia" w:ascii="微软雅黑" w:hAnsi="微软雅黑" w:eastAsia="微软雅黑" w:cs="微软雅黑"/>
          <w:color w:val="auto"/>
          <w:highlight w:val="none"/>
          <w:u w:val="none"/>
        </w:rPr>
        <w:t>.废标</w:t>
      </w:r>
      <w:bookmarkEnd w:id="359"/>
      <w:bookmarkEnd w:id="360"/>
      <w:bookmarkEnd w:id="361"/>
      <w:bookmarkEnd w:id="362"/>
      <w:bookmarkEnd w:id="363"/>
      <w:bookmarkEnd w:id="364"/>
      <w:bookmarkEnd w:id="365"/>
      <w:bookmarkEnd w:id="366"/>
      <w:bookmarkEnd w:id="367"/>
      <w:bookmarkEnd w:id="368"/>
      <w:bookmarkEnd w:id="369"/>
      <w:bookmarkEnd w:id="370"/>
      <w:bookmarkEnd w:id="371"/>
    </w:p>
    <w:p>
      <w:pPr>
        <w:spacing w:line="360" w:lineRule="exact"/>
        <w:ind w:left="60" w:hanging="60" w:hangingChars="25"/>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24.1出现下列情形之一，将导致项目废标：</w:t>
      </w:r>
      <w:r>
        <w:rPr>
          <w:rFonts w:hint="eastAsia" w:ascii="微软雅黑" w:hAnsi="微软雅黑" w:eastAsia="微软雅黑" w:cs="微软雅黑"/>
          <w:color w:val="auto"/>
          <w:sz w:val="24"/>
          <w:highlight w:val="none"/>
        </w:rPr>
        <w:t xml:space="preserve"> </w:t>
      </w:r>
    </w:p>
    <w:p>
      <w:pPr>
        <w:spacing w:line="360" w:lineRule="exact"/>
        <w:ind w:left="900" w:hanging="900" w:hangingChars="375"/>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rPr>
        <w:t>（1）符合专业条件的供应商或者对</w:t>
      </w:r>
      <w:r>
        <w:rPr>
          <w:rFonts w:hint="eastAsia" w:ascii="微软雅黑" w:hAnsi="微软雅黑" w:eastAsia="微软雅黑" w:cs="微软雅黑"/>
          <w:b/>
          <w:bCs/>
          <w:color w:val="auto"/>
          <w:sz w:val="24"/>
          <w:highlight w:val="none"/>
          <w:lang w:eastAsia="zh-CN"/>
        </w:rPr>
        <w:t>磋商文件</w:t>
      </w:r>
      <w:r>
        <w:rPr>
          <w:rFonts w:hint="eastAsia" w:ascii="微软雅黑" w:hAnsi="微软雅黑" w:eastAsia="微软雅黑" w:cs="微软雅黑"/>
          <w:b/>
          <w:bCs/>
          <w:color w:val="auto"/>
          <w:sz w:val="24"/>
          <w:highlight w:val="none"/>
        </w:rPr>
        <w:t>做实质性响应的供应商不足三家；</w:t>
      </w:r>
    </w:p>
    <w:p>
      <w:pPr>
        <w:spacing w:line="360" w:lineRule="exact"/>
        <w:ind w:left="900" w:hanging="900" w:hangingChars="375"/>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ab/>
      </w:r>
      <w:r>
        <w:rPr>
          <w:rFonts w:hint="eastAsia" w:ascii="微软雅黑" w:hAnsi="微软雅黑" w:eastAsia="微软雅黑" w:cs="微软雅黑"/>
          <w:b/>
          <w:bCs/>
          <w:color w:val="auto"/>
          <w:sz w:val="24"/>
          <w:highlight w:val="none"/>
        </w:rPr>
        <w:t>（2）出现影响采购公正的违法、违规行为的；</w:t>
      </w:r>
    </w:p>
    <w:p>
      <w:pPr>
        <w:spacing w:line="360" w:lineRule="exact"/>
        <w:ind w:firstLine="840" w:firstLineChars="35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的报价均超过了采购预算，采购人不能支付的；</w:t>
      </w:r>
    </w:p>
    <w:p>
      <w:pPr>
        <w:spacing w:line="360" w:lineRule="exact"/>
        <w:ind w:firstLine="840" w:firstLineChars="35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 xml:space="preserve">（4）因重大变故，采购任务取消的。  </w:t>
      </w:r>
      <w:r>
        <w:rPr>
          <w:rFonts w:hint="eastAsia" w:ascii="微软雅黑" w:hAnsi="微软雅黑" w:eastAsia="微软雅黑" w:cs="微软雅黑"/>
          <w:color w:val="auto"/>
          <w:sz w:val="24"/>
          <w:highlight w:val="none"/>
        </w:rPr>
        <w:t xml:space="preserve"> </w:t>
      </w:r>
    </w:p>
    <w:p>
      <w:pPr>
        <w:pStyle w:val="8"/>
        <w:spacing w:before="0" w:after="0" w:line="360" w:lineRule="exact"/>
        <w:rPr>
          <w:rFonts w:hint="eastAsia" w:ascii="微软雅黑" w:hAnsi="微软雅黑" w:eastAsia="微软雅黑" w:cs="微软雅黑"/>
          <w:color w:val="auto"/>
          <w:highlight w:val="none"/>
          <w:u w:val="none"/>
        </w:rPr>
      </w:pPr>
      <w:bookmarkStart w:id="372" w:name="_Toc24972"/>
      <w:bookmarkStart w:id="373" w:name="_Toc10657"/>
      <w:bookmarkStart w:id="374" w:name="_Toc29935"/>
      <w:bookmarkStart w:id="375" w:name="_Toc23725"/>
      <w:bookmarkStart w:id="376" w:name="_Toc21697"/>
      <w:bookmarkStart w:id="377" w:name="_Toc25096"/>
      <w:bookmarkStart w:id="378" w:name="_Toc3793"/>
      <w:bookmarkStart w:id="379" w:name="_Toc31289"/>
      <w:bookmarkStart w:id="380" w:name="_Toc21380"/>
      <w:bookmarkStart w:id="381" w:name="_Toc16842"/>
      <w:bookmarkStart w:id="382" w:name="_Toc8315"/>
      <w:bookmarkStart w:id="383" w:name="_Toc29646"/>
      <w:bookmarkStart w:id="384" w:name="_Toc515647786"/>
      <w:bookmarkStart w:id="385" w:name="_Toc520356169"/>
      <w:r>
        <w:rPr>
          <w:rFonts w:hint="eastAsia" w:ascii="微软雅黑" w:hAnsi="微软雅黑" w:eastAsia="微软雅黑" w:cs="微软雅黑"/>
          <w:color w:val="auto"/>
          <w:highlight w:val="none"/>
          <w:u w:val="none"/>
        </w:rPr>
        <w:t>25.保密原则</w:t>
      </w:r>
      <w:bookmarkEnd w:id="372"/>
      <w:bookmarkEnd w:id="373"/>
      <w:bookmarkEnd w:id="374"/>
      <w:bookmarkEnd w:id="375"/>
      <w:bookmarkEnd w:id="376"/>
      <w:bookmarkEnd w:id="377"/>
      <w:bookmarkEnd w:id="378"/>
      <w:bookmarkEnd w:id="379"/>
      <w:bookmarkEnd w:id="380"/>
      <w:bookmarkEnd w:id="381"/>
      <w:bookmarkEnd w:id="382"/>
      <w:bookmarkEnd w:id="383"/>
      <w:bookmarkEnd w:id="384"/>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评标将在严格保密的情况下进行。</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政府采购评审专家应当遵守评审工作纪律，不得泄露评审文件、评审情况和评审中获悉的商业秘密。</w:t>
      </w:r>
    </w:p>
    <w:p>
      <w:pPr>
        <w:spacing w:line="360" w:lineRule="exact"/>
        <w:ind w:hanging="540"/>
        <w:rPr>
          <w:rFonts w:hint="eastAsia" w:ascii="微软雅黑" w:hAnsi="微软雅黑" w:eastAsia="微软雅黑" w:cs="微软雅黑"/>
          <w:color w:val="auto"/>
          <w:sz w:val="24"/>
          <w:highlight w:val="none"/>
        </w:rPr>
      </w:pPr>
    </w:p>
    <w:p>
      <w:pPr>
        <w:pStyle w:val="7"/>
        <w:spacing w:before="0" w:line="360" w:lineRule="exact"/>
        <w:ind w:hanging="540"/>
        <w:rPr>
          <w:rFonts w:hint="eastAsia" w:ascii="微软雅黑" w:hAnsi="微软雅黑" w:eastAsia="微软雅黑" w:cs="微软雅黑"/>
          <w:color w:val="auto"/>
          <w:highlight w:val="none"/>
          <w:lang w:eastAsia="zh-CN"/>
        </w:rPr>
      </w:pPr>
      <w:bookmarkStart w:id="386" w:name="_Toc515647787"/>
      <w:bookmarkStart w:id="387" w:name="_Toc12143"/>
      <w:bookmarkStart w:id="388" w:name="_Toc31410"/>
      <w:bookmarkStart w:id="389" w:name="_Toc23904"/>
      <w:bookmarkStart w:id="390" w:name="_Toc5206"/>
      <w:bookmarkStart w:id="391" w:name="_Toc216582810"/>
      <w:bookmarkStart w:id="392" w:name="_Toc24983"/>
      <w:r>
        <w:rPr>
          <w:rFonts w:hint="eastAsia" w:ascii="微软雅黑" w:hAnsi="微软雅黑" w:eastAsia="微软雅黑" w:cs="微软雅黑"/>
          <w:color w:val="auto"/>
          <w:sz w:val="24"/>
          <w:highlight w:val="none"/>
        </w:rPr>
        <w:t xml:space="preserve">六   </w:t>
      </w:r>
      <w:bookmarkEnd w:id="385"/>
      <w:r>
        <w:rPr>
          <w:rFonts w:hint="eastAsia" w:ascii="微软雅黑" w:hAnsi="微软雅黑" w:eastAsia="微软雅黑" w:cs="微软雅黑"/>
          <w:color w:val="auto"/>
          <w:sz w:val="24"/>
          <w:highlight w:val="none"/>
        </w:rPr>
        <w:t>确定</w:t>
      </w:r>
      <w:bookmarkEnd w:id="386"/>
      <w:bookmarkEnd w:id="387"/>
      <w:bookmarkEnd w:id="388"/>
      <w:bookmarkEnd w:id="389"/>
      <w:bookmarkEnd w:id="390"/>
      <w:bookmarkEnd w:id="391"/>
      <w:r>
        <w:rPr>
          <w:rFonts w:hint="eastAsia" w:ascii="微软雅黑" w:hAnsi="微软雅黑" w:eastAsia="微软雅黑" w:cs="微软雅黑"/>
          <w:color w:val="auto"/>
          <w:sz w:val="24"/>
          <w:highlight w:val="none"/>
          <w:lang w:val="en-US" w:eastAsia="zh-CN"/>
        </w:rPr>
        <w:t>成交</w:t>
      </w:r>
      <w:bookmarkEnd w:id="392"/>
    </w:p>
    <w:p>
      <w:pPr>
        <w:pStyle w:val="8"/>
        <w:spacing w:before="0" w:after="0" w:line="360" w:lineRule="exact"/>
        <w:rPr>
          <w:rFonts w:hint="eastAsia" w:ascii="微软雅黑" w:hAnsi="微软雅黑" w:eastAsia="微软雅黑" w:cs="微软雅黑"/>
          <w:color w:val="auto"/>
          <w:highlight w:val="none"/>
          <w:u w:val="none"/>
        </w:rPr>
      </w:pPr>
      <w:bookmarkStart w:id="393" w:name="_Toc31710"/>
      <w:bookmarkStart w:id="394" w:name="_Toc14953"/>
      <w:bookmarkStart w:id="395" w:name="_Toc520356170"/>
      <w:bookmarkStart w:id="396" w:name="_Toc17209"/>
      <w:bookmarkStart w:id="397" w:name="_Toc515647788"/>
      <w:bookmarkStart w:id="398" w:name="_Toc30510"/>
      <w:bookmarkStart w:id="399" w:name="_Toc3336"/>
      <w:bookmarkStart w:id="400" w:name="_Toc28179"/>
      <w:bookmarkStart w:id="401" w:name="_Ref467307010"/>
      <w:bookmarkStart w:id="402" w:name="_Toc1624"/>
      <w:bookmarkStart w:id="403" w:name="_Toc13936"/>
      <w:bookmarkStart w:id="404" w:name="_Toc23762"/>
      <w:bookmarkStart w:id="405" w:name="_Toc20061"/>
      <w:bookmarkStart w:id="406" w:name="_Toc23617"/>
      <w:r>
        <w:rPr>
          <w:rFonts w:hint="eastAsia" w:ascii="微软雅黑" w:hAnsi="微软雅黑" w:eastAsia="微软雅黑" w:cs="微软雅黑"/>
          <w:color w:val="auto"/>
          <w:highlight w:val="none"/>
          <w:u w:val="none"/>
        </w:rPr>
        <w:t>26.</w:t>
      </w:r>
      <w:r>
        <w:rPr>
          <w:rFonts w:hint="eastAsia" w:ascii="微软雅黑" w:hAnsi="微软雅黑" w:eastAsia="微软雅黑" w:cs="微软雅黑"/>
          <w:color w:val="auto"/>
          <w:highlight w:val="none"/>
          <w:u w:val="none"/>
          <w:lang w:eastAsia="zh-CN"/>
        </w:rPr>
        <w:t>成交候选人</w:t>
      </w:r>
      <w:r>
        <w:rPr>
          <w:rFonts w:hint="eastAsia" w:ascii="微软雅黑" w:hAnsi="微软雅黑" w:eastAsia="微软雅黑" w:cs="微软雅黑"/>
          <w:color w:val="auto"/>
          <w:highlight w:val="none"/>
          <w:u w:val="none"/>
        </w:rPr>
        <w:t>的确定原则及标准</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pPr>
        <w:spacing w:line="3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对实质上响应</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按下列方法进行排序，确定</w:t>
      </w:r>
      <w:r>
        <w:rPr>
          <w:rFonts w:hint="eastAsia" w:ascii="微软雅黑" w:hAnsi="微软雅黑" w:eastAsia="微软雅黑" w:cs="微软雅黑"/>
          <w:color w:val="auto"/>
          <w:sz w:val="24"/>
          <w:highlight w:val="none"/>
          <w:lang w:val="en-US" w:eastAsia="zh-CN"/>
        </w:rPr>
        <w:t>成交</w:t>
      </w:r>
      <w:r>
        <w:rPr>
          <w:rFonts w:hint="eastAsia" w:ascii="微软雅黑" w:hAnsi="微软雅黑" w:eastAsia="微软雅黑" w:cs="微软雅黑"/>
          <w:color w:val="auto"/>
          <w:sz w:val="24"/>
          <w:highlight w:val="none"/>
        </w:rPr>
        <w:t>候选人：</w:t>
      </w:r>
    </w:p>
    <w:p>
      <w:pPr>
        <w:spacing w:line="360" w:lineRule="exact"/>
        <w:ind w:firstLine="480" w:firstLineChars="200"/>
        <w:rPr>
          <w:rFonts w:hint="eastAsia" w:ascii="微软雅黑" w:hAnsi="微软雅黑" w:eastAsia="微软雅黑" w:cs="微软雅黑"/>
          <w:color w:val="auto"/>
          <w:sz w:val="24"/>
          <w:highlight w:val="none"/>
        </w:rPr>
      </w:pPr>
      <w:bookmarkStart w:id="407" w:name="_Toc520356171"/>
      <w:bookmarkStart w:id="408" w:name="_Toc515647789"/>
      <w:r>
        <w:rPr>
          <w:rFonts w:hint="eastAsia" w:ascii="微软雅黑" w:hAnsi="微软雅黑" w:eastAsia="微软雅黑" w:cs="微软雅黑"/>
          <w:color w:val="auto"/>
          <w:sz w:val="24"/>
          <w:highlight w:val="none"/>
        </w:rPr>
        <w:t>（1）采用最低评标价法的，除了算术修正和落实政府采购政策需进行的价格扣除外，不对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价格进行任何调整。评标结果按修正和扣除后的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报价由低到高顺序排列。报价相同的处理方式详见</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第6章。</w:t>
      </w:r>
    </w:p>
    <w:p>
      <w:pPr>
        <w:spacing w:line="3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（2）采用综合评分法的，评标结果按评审后得分由高到低顺序排列。得分相同的，按修正和扣除后的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报价由低到高顺序排列。得分与</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报价均相同的处理方式详见</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第6章。</w:t>
      </w:r>
    </w:p>
    <w:p>
      <w:pPr>
        <w:snapToGrid w:val="0"/>
        <w:spacing w:line="360" w:lineRule="exact"/>
        <w:ind w:firstLine="480" w:firstLineChars="200"/>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本项目采用综合评分法，其中价格占</w:t>
      </w:r>
      <w:r>
        <w:rPr>
          <w:rFonts w:hint="eastAsia" w:ascii="微软雅黑" w:hAnsi="微软雅黑" w:eastAsia="微软雅黑" w:cs="微软雅黑"/>
          <w:b/>
          <w:bCs/>
          <w:color w:val="auto"/>
          <w:sz w:val="24"/>
          <w:highlight w:val="none"/>
          <w:lang w:val="en-US" w:eastAsia="zh-CN"/>
        </w:rPr>
        <w:t>20</w:t>
      </w:r>
      <w:r>
        <w:rPr>
          <w:rFonts w:hint="eastAsia" w:ascii="微软雅黑" w:hAnsi="微软雅黑" w:eastAsia="微软雅黑" w:cs="微软雅黑"/>
          <w:b/>
          <w:bCs/>
          <w:color w:val="auto"/>
          <w:sz w:val="24"/>
          <w:highlight w:val="none"/>
        </w:rPr>
        <w:t>%，商务占</w:t>
      </w:r>
      <w:r>
        <w:rPr>
          <w:rFonts w:hint="eastAsia" w:ascii="微软雅黑" w:hAnsi="微软雅黑" w:eastAsia="微软雅黑" w:cs="微软雅黑"/>
          <w:b/>
          <w:bCs/>
          <w:color w:val="auto"/>
          <w:sz w:val="24"/>
          <w:highlight w:val="none"/>
          <w:lang w:val="en-US" w:eastAsia="zh-CN"/>
        </w:rPr>
        <w:t>12</w:t>
      </w:r>
      <w:r>
        <w:rPr>
          <w:rFonts w:hint="eastAsia" w:ascii="微软雅黑" w:hAnsi="微软雅黑" w:eastAsia="微软雅黑" w:cs="微软雅黑"/>
          <w:b/>
          <w:bCs/>
          <w:color w:val="auto"/>
          <w:sz w:val="24"/>
          <w:highlight w:val="none"/>
        </w:rPr>
        <w:t>%，技术占</w:t>
      </w:r>
      <w:r>
        <w:rPr>
          <w:rFonts w:hint="eastAsia" w:ascii="微软雅黑" w:hAnsi="微软雅黑" w:eastAsia="微软雅黑" w:cs="微软雅黑"/>
          <w:b/>
          <w:bCs/>
          <w:color w:val="auto"/>
          <w:sz w:val="24"/>
          <w:highlight w:val="none"/>
          <w:lang w:val="en-US" w:eastAsia="zh-CN"/>
        </w:rPr>
        <w:t>68</w:t>
      </w:r>
      <w:r>
        <w:rPr>
          <w:rFonts w:hint="eastAsia" w:ascii="微软雅黑" w:hAnsi="微软雅黑" w:eastAsia="微软雅黑" w:cs="微软雅黑"/>
          <w:b/>
          <w:bCs/>
          <w:color w:val="auto"/>
          <w:sz w:val="24"/>
          <w:highlight w:val="none"/>
        </w:rPr>
        <w:t>%。</w:t>
      </w:r>
    </w:p>
    <w:p>
      <w:pPr>
        <w:pStyle w:val="8"/>
        <w:tabs>
          <w:tab w:val="left" w:pos="900"/>
        </w:tabs>
        <w:snapToGrid w:val="0"/>
        <w:spacing w:before="0" w:after="0" w:line="360" w:lineRule="exact"/>
        <w:textAlignment w:val="baseline"/>
        <w:rPr>
          <w:rFonts w:hint="eastAsia" w:ascii="微软雅黑" w:hAnsi="微软雅黑" w:eastAsia="微软雅黑" w:cs="微软雅黑"/>
          <w:color w:val="auto"/>
          <w:highlight w:val="none"/>
        </w:rPr>
      </w:pPr>
      <w:bookmarkStart w:id="409" w:name="_Toc17933"/>
      <w:bookmarkStart w:id="410" w:name="_Toc24948"/>
      <w:bookmarkStart w:id="411" w:name="_Toc11907"/>
      <w:bookmarkStart w:id="412" w:name="_Toc3418"/>
      <w:bookmarkStart w:id="413" w:name="_Toc3500"/>
      <w:bookmarkStart w:id="414" w:name="_Toc17164"/>
      <w:bookmarkStart w:id="415" w:name="_Toc21913"/>
      <w:bookmarkStart w:id="416" w:name="_Toc3661"/>
      <w:bookmarkStart w:id="417" w:name="_Toc16846"/>
      <w:bookmarkStart w:id="418" w:name="_Toc14558"/>
      <w:bookmarkStart w:id="419" w:name="_Toc721"/>
      <w:bookmarkStart w:id="420" w:name="_Toc3720"/>
      <w:bookmarkStart w:id="421" w:name="_Toc1644"/>
      <w:r>
        <w:rPr>
          <w:rFonts w:hint="eastAsia" w:ascii="微软雅黑" w:hAnsi="微软雅黑" w:eastAsia="微软雅黑" w:cs="微软雅黑"/>
          <w:b/>
          <w:color w:val="auto"/>
          <w:highlight w:val="none"/>
          <w:u w:color="000000"/>
        </w:rPr>
        <w:t>27.确定成交候选人和</w:t>
      </w:r>
      <w:bookmarkEnd w:id="409"/>
      <w:r>
        <w:rPr>
          <w:rFonts w:hint="eastAsia" w:ascii="微软雅黑" w:hAnsi="微软雅黑" w:eastAsia="微软雅黑" w:cs="微软雅黑"/>
          <w:b/>
          <w:color w:val="auto"/>
          <w:highlight w:val="none"/>
          <w:u w:color="000000"/>
        </w:rPr>
        <w:t>成交人</w:t>
      </w:r>
      <w:bookmarkEnd w:id="410"/>
      <w:bookmarkEnd w:id="411"/>
      <w:bookmarkEnd w:id="412"/>
      <w:bookmarkEnd w:id="413"/>
      <w:bookmarkEnd w:id="414"/>
      <w:bookmarkEnd w:id="415"/>
      <w:bookmarkEnd w:id="416"/>
      <w:bookmarkEnd w:id="417"/>
      <w:bookmarkEnd w:id="418"/>
      <w:bookmarkEnd w:id="419"/>
      <w:bookmarkEnd w:id="420"/>
      <w:bookmarkEnd w:id="421"/>
    </w:p>
    <w:p>
      <w:pPr>
        <w:pStyle w:val="8"/>
        <w:tabs>
          <w:tab w:val="left" w:pos="900"/>
        </w:tabs>
        <w:spacing w:before="0" w:after="0" w:line="360" w:lineRule="exact"/>
        <w:rPr>
          <w:rFonts w:hint="eastAsia" w:ascii="微软雅黑" w:hAnsi="微软雅黑" w:eastAsia="微软雅黑" w:cs="微软雅黑"/>
          <w:color w:val="auto"/>
          <w:highlight w:val="none"/>
          <w:u w:val="none"/>
          <w:lang w:eastAsia="zh-CN"/>
        </w:rPr>
      </w:pPr>
      <w:bookmarkStart w:id="422" w:name="_Toc21768"/>
      <w:bookmarkStart w:id="423" w:name="_Toc18962"/>
      <w:bookmarkStart w:id="424" w:name="_Toc23951"/>
      <w:bookmarkStart w:id="425" w:name="_Toc29192"/>
      <w:bookmarkStart w:id="426" w:name="_Toc8919"/>
      <w:bookmarkStart w:id="427" w:name="_Toc31025"/>
      <w:bookmarkStart w:id="428" w:name="_Toc24480"/>
      <w:bookmarkStart w:id="429" w:name="_Toc20688"/>
      <w:bookmarkStart w:id="430" w:name="_Toc30072"/>
      <w:bookmarkStart w:id="431" w:name="_Toc9653"/>
      <w:bookmarkStart w:id="432" w:name="_Toc1916"/>
      <w:bookmarkStart w:id="433" w:name="_Toc460"/>
      <w:r>
        <w:rPr>
          <w:rFonts w:hint="eastAsia" w:ascii="微软雅黑" w:hAnsi="微软雅黑" w:eastAsia="微软雅黑" w:cs="微软雅黑"/>
          <w:color w:val="auto"/>
          <w:highlight w:val="none"/>
          <w:u w:val="none"/>
        </w:rPr>
        <w:t>27</w:t>
      </w:r>
      <w:bookmarkEnd w:id="407"/>
      <w:r>
        <w:rPr>
          <w:rFonts w:hint="eastAsia" w:ascii="微软雅黑" w:hAnsi="微软雅黑" w:eastAsia="微软雅黑" w:cs="微软雅黑"/>
          <w:color w:val="auto"/>
          <w:highlight w:val="none"/>
          <w:u w:val="none"/>
        </w:rPr>
        <w:t>.确定</w:t>
      </w:r>
      <w:r>
        <w:rPr>
          <w:rFonts w:hint="eastAsia" w:ascii="微软雅黑" w:hAnsi="微软雅黑" w:eastAsia="微软雅黑" w:cs="微软雅黑"/>
          <w:color w:val="auto"/>
          <w:highlight w:val="none"/>
          <w:u w:val="none"/>
          <w:lang w:eastAsia="zh-CN"/>
        </w:rPr>
        <w:t>成交候选人</w:t>
      </w:r>
      <w:r>
        <w:rPr>
          <w:rFonts w:hint="eastAsia" w:ascii="微软雅黑" w:hAnsi="微软雅黑" w:eastAsia="微软雅黑" w:cs="微软雅黑"/>
          <w:color w:val="auto"/>
          <w:highlight w:val="none"/>
          <w:u w:val="none"/>
        </w:rPr>
        <w:t>和</w:t>
      </w:r>
      <w:bookmarkEnd w:id="408"/>
      <w:bookmarkEnd w:id="422"/>
      <w:bookmarkEnd w:id="423"/>
      <w:bookmarkEnd w:id="424"/>
      <w:bookmarkEnd w:id="425"/>
      <w:bookmarkEnd w:id="426"/>
      <w:bookmarkEnd w:id="427"/>
      <w:bookmarkEnd w:id="428"/>
      <w:bookmarkEnd w:id="429"/>
      <w:bookmarkEnd w:id="430"/>
      <w:bookmarkEnd w:id="431"/>
      <w:bookmarkEnd w:id="432"/>
      <w:bookmarkEnd w:id="433"/>
      <w:r>
        <w:rPr>
          <w:rFonts w:hint="eastAsia" w:ascii="微软雅黑" w:hAnsi="微软雅黑" w:eastAsia="微软雅黑" w:cs="微软雅黑"/>
          <w:color w:val="auto"/>
          <w:highlight w:val="none"/>
          <w:u w:val="none"/>
          <w:lang w:eastAsia="zh-CN"/>
        </w:rPr>
        <w:t>成交供应商</w:t>
      </w:r>
    </w:p>
    <w:p>
      <w:pPr>
        <w:spacing w:line="360" w:lineRule="exact"/>
        <w:ind w:left="479" w:leftChars="228"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将根据评标标准，按</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须知资料表中</w:t>
      </w:r>
      <w:r>
        <w:rPr>
          <w:rFonts w:hint="eastAsia" w:ascii="微软雅黑" w:hAnsi="微软雅黑" w:eastAsia="微软雅黑" w:cs="微软雅黑"/>
          <w:color w:val="auto"/>
          <w:sz w:val="24"/>
          <w:highlight w:val="none"/>
        </w:rPr>
        <w:t>规定数量推荐</w:t>
      </w:r>
      <w:r>
        <w:rPr>
          <w:rFonts w:hint="eastAsia" w:ascii="微软雅黑" w:hAnsi="微软雅黑" w:eastAsia="微软雅黑" w:cs="微软雅黑"/>
          <w:color w:val="auto"/>
          <w:sz w:val="24"/>
          <w:highlight w:val="none"/>
          <w:lang w:eastAsia="zh-CN"/>
        </w:rPr>
        <w:t>成交候选人</w:t>
      </w:r>
      <w:r>
        <w:rPr>
          <w:rFonts w:hint="eastAsia" w:ascii="微软雅黑" w:hAnsi="微软雅黑" w:eastAsia="微软雅黑" w:cs="微软雅黑"/>
          <w:color w:val="auto"/>
          <w:sz w:val="24"/>
          <w:highlight w:val="none"/>
        </w:rPr>
        <w:t>。</w:t>
      </w:r>
    </w:p>
    <w:p>
      <w:pPr>
        <w:pStyle w:val="8"/>
        <w:tabs>
          <w:tab w:val="left" w:pos="900"/>
        </w:tabs>
        <w:spacing w:before="0" w:after="0" w:line="360" w:lineRule="exact"/>
        <w:rPr>
          <w:rFonts w:hint="eastAsia" w:ascii="微软雅黑" w:hAnsi="微软雅黑" w:eastAsia="微软雅黑" w:cs="微软雅黑"/>
          <w:color w:val="auto"/>
          <w:highlight w:val="none"/>
          <w:u w:val="none"/>
        </w:rPr>
      </w:pPr>
      <w:bookmarkStart w:id="434" w:name="_Toc520356173"/>
      <w:bookmarkStart w:id="435" w:name="_Ref467306874"/>
      <w:bookmarkStart w:id="436" w:name="_Toc17591"/>
      <w:bookmarkStart w:id="437" w:name="_Toc32455"/>
      <w:bookmarkStart w:id="438" w:name="_Toc8389"/>
      <w:bookmarkStart w:id="439" w:name="_Toc14284"/>
      <w:bookmarkStart w:id="440" w:name="_Toc7156"/>
      <w:bookmarkStart w:id="441" w:name="_Toc515647790"/>
      <w:bookmarkStart w:id="442" w:name="_Toc30883"/>
      <w:bookmarkStart w:id="443" w:name="_Toc25730"/>
      <w:bookmarkStart w:id="444" w:name="_Toc20001"/>
      <w:bookmarkStart w:id="445" w:name="_Toc22540"/>
      <w:bookmarkStart w:id="446" w:name="_Toc28562"/>
      <w:bookmarkStart w:id="447" w:name="_Toc31043"/>
      <w:bookmarkStart w:id="448" w:name="_Toc20705"/>
      <w:r>
        <w:rPr>
          <w:rFonts w:hint="eastAsia" w:ascii="微软雅黑" w:hAnsi="微软雅黑" w:eastAsia="微软雅黑" w:cs="微软雅黑"/>
          <w:color w:val="auto"/>
          <w:highlight w:val="none"/>
          <w:u w:val="none"/>
        </w:rPr>
        <w:t>28.</w:t>
      </w:r>
      <w:bookmarkEnd w:id="434"/>
      <w:bookmarkEnd w:id="435"/>
      <w:r>
        <w:rPr>
          <w:rFonts w:hint="eastAsia" w:ascii="微软雅黑" w:hAnsi="微软雅黑" w:eastAsia="微软雅黑" w:cs="微软雅黑"/>
          <w:color w:val="auto"/>
          <w:highlight w:val="none"/>
          <w:u w:val="none"/>
        </w:rPr>
        <w:t>采购任务取消</w:t>
      </w:r>
      <w:bookmarkEnd w:id="436"/>
      <w:bookmarkEnd w:id="437"/>
      <w:bookmarkEnd w:id="438"/>
      <w:bookmarkEnd w:id="439"/>
      <w:bookmarkEnd w:id="440"/>
      <w:bookmarkEnd w:id="441"/>
      <w:bookmarkEnd w:id="442"/>
      <w:bookmarkEnd w:id="443"/>
      <w:bookmarkEnd w:id="444"/>
      <w:bookmarkEnd w:id="445"/>
      <w:bookmarkEnd w:id="446"/>
      <w:bookmarkEnd w:id="447"/>
      <w:bookmarkEnd w:id="448"/>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因重大变故采购任务取消时，采购人有权拒绝任何</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lang w:val="en-US" w:eastAsia="zh-CN"/>
        </w:rPr>
        <w:t>成交</w:t>
      </w:r>
      <w:r>
        <w:rPr>
          <w:rFonts w:hint="eastAsia" w:ascii="微软雅黑" w:hAnsi="微软雅黑" w:eastAsia="微软雅黑" w:cs="微软雅黑"/>
          <w:color w:val="auto"/>
          <w:sz w:val="24"/>
          <w:highlight w:val="none"/>
        </w:rPr>
        <w:t>，且对受影响的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不承担任何责任。</w:t>
      </w:r>
      <w:bookmarkStart w:id="449" w:name="_Toc520356174"/>
    </w:p>
    <w:p>
      <w:pPr>
        <w:pStyle w:val="8"/>
        <w:spacing w:before="0" w:after="0" w:line="360" w:lineRule="exact"/>
        <w:rPr>
          <w:rFonts w:hint="eastAsia" w:ascii="微软雅黑" w:hAnsi="微软雅黑" w:eastAsia="微软雅黑" w:cs="微软雅黑"/>
          <w:color w:val="auto"/>
          <w:highlight w:val="none"/>
          <w:u w:val="none"/>
        </w:rPr>
      </w:pPr>
      <w:bookmarkStart w:id="450" w:name="_Toc25835"/>
      <w:bookmarkStart w:id="451" w:name="_Toc17202"/>
      <w:bookmarkStart w:id="452" w:name="_Toc28901"/>
      <w:bookmarkStart w:id="453" w:name="_Toc515647791"/>
      <w:bookmarkStart w:id="454" w:name="_Toc11896"/>
      <w:bookmarkStart w:id="455" w:name="_Toc8834"/>
      <w:bookmarkStart w:id="456" w:name="_Toc30170"/>
      <w:bookmarkStart w:id="457" w:name="_Toc30149"/>
      <w:bookmarkStart w:id="458" w:name="_Toc27996"/>
      <w:bookmarkStart w:id="459" w:name="_Toc21583"/>
      <w:bookmarkStart w:id="460" w:name="_Toc9205"/>
      <w:bookmarkStart w:id="461" w:name="_Toc30931"/>
      <w:bookmarkStart w:id="462" w:name="_Toc31099"/>
      <w:r>
        <w:rPr>
          <w:rFonts w:hint="eastAsia" w:ascii="微软雅黑" w:hAnsi="微软雅黑" w:eastAsia="微软雅黑" w:cs="微软雅黑"/>
          <w:color w:val="auto"/>
          <w:highlight w:val="none"/>
          <w:u w:val="none"/>
        </w:rPr>
        <w:t>29.</w:t>
      </w:r>
      <w:bookmarkEnd w:id="449"/>
      <w:r>
        <w:rPr>
          <w:rFonts w:hint="eastAsia" w:ascii="微软雅黑" w:hAnsi="微软雅黑" w:eastAsia="微软雅黑" w:cs="微软雅黑"/>
          <w:color w:val="auto"/>
          <w:highlight w:val="none"/>
          <w:u w:val="none"/>
          <w:lang w:eastAsia="zh-CN"/>
        </w:rPr>
        <w:t>成交通知书</w:t>
      </w:r>
      <w:r>
        <w:rPr>
          <w:rFonts w:hint="eastAsia" w:ascii="微软雅黑" w:hAnsi="微软雅黑" w:eastAsia="微软雅黑" w:cs="微软雅黑"/>
          <w:color w:val="auto"/>
          <w:highlight w:val="none"/>
          <w:u w:val="none"/>
        </w:rPr>
        <w:t>和招标结果通知书</w:t>
      </w:r>
      <w:bookmarkEnd w:id="450"/>
      <w:bookmarkEnd w:id="451"/>
      <w:bookmarkEnd w:id="452"/>
      <w:bookmarkEnd w:id="453"/>
      <w:bookmarkEnd w:id="454"/>
      <w:bookmarkEnd w:id="455"/>
      <w:bookmarkEnd w:id="456"/>
      <w:bookmarkEnd w:id="457"/>
      <w:bookmarkEnd w:id="458"/>
      <w:bookmarkEnd w:id="459"/>
      <w:bookmarkEnd w:id="460"/>
      <w:bookmarkEnd w:id="461"/>
      <w:bookmarkEnd w:id="462"/>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有效期内，</w:t>
      </w:r>
      <w:r>
        <w:rPr>
          <w:rFonts w:hint="eastAsia" w:ascii="微软雅黑" w:hAnsi="微软雅黑" w:eastAsia="微软雅黑" w:cs="微软雅黑"/>
          <w:color w:val="auto"/>
          <w:sz w:val="24"/>
          <w:highlight w:val="none"/>
          <w:lang w:eastAsia="zh-CN"/>
        </w:rPr>
        <w:t>成交供应商</w:t>
      </w:r>
      <w:r>
        <w:rPr>
          <w:rFonts w:hint="eastAsia" w:ascii="微软雅黑" w:hAnsi="微软雅黑" w:eastAsia="微软雅黑" w:cs="微软雅黑"/>
          <w:color w:val="auto"/>
          <w:sz w:val="24"/>
          <w:highlight w:val="none"/>
        </w:rPr>
        <w:t>确定后，采购人或者采购代理机构发布</w:t>
      </w:r>
      <w:r>
        <w:rPr>
          <w:rFonts w:hint="eastAsia" w:ascii="微软雅黑" w:hAnsi="微软雅黑" w:eastAsia="微软雅黑" w:cs="微软雅黑"/>
          <w:color w:val="auto"/>
          <w:sz w:val="24"/>
          <w:highlight w:val="none"/>
          <w:lang w:eastAsia="zh-CN"/>
        </w:rPr>
        <w:t>成交公告</w:t>
      </w:r>
      <w:r>
        <w:rPr>
          <w:rFonts w:hint="eastAsia" w:ascii="微软雅黑" w:hAnsi="微软雅黑" w:eastAsia="微软雅黑" w:cs="微软雅黑"/>
          <w:color w:val="auto"/>
          <w:sz w:val="24"/>
          <w:highlight w:val="none"/>
        </w:rPr>
        <w:t>，同时以书面形式向</w:t>
      </w:r>
      <w:r>
        <w:rPr>
          <w:rFonts w:hint="eastAsia" w:ascii="微软雅黑" w:hAnsi="微软雅黑" w:eastAsia="微软雅黑" w:cs="微软雅黑"/>
          <w:color w:val="auto"/>
          <w:sz w:val="24"/>
          <w:highlight w:val="none"/>
          <w:lang w:eastAsia="zh-CN"/>
        </w:rPr>
        <w:t>成交供应商</w:t>
      </w:r>
      <w:r>
        <w:rPr>
          <w:rFonts w:hint="eastAsia" w:ascii="微软雅黑" w:hAnsi="微软雅黑" w:eastAsia="微软雅黑" w:cs="微软雅黑"/>
          <w:color w:val="auto"/>
          <w:sz w:val="24"/>
          <w:highlight w:val="none"/>
        </w:rPr>
        <w:t>发出</w:t>
      </w:r>
      <w:r>
        <w:rPr>
          <w:rFonts w:hint="eastAsia" w:ascii="微软雅黑" w:hAnsi="微软雅黑" w:eastAsia="微软雅黑" w:cs="微软雅黑"/>
          <w:color w:val="auto"/>
          <w:sz w:val="24"/>
          <w:highlight w:val="none"/>
          <w:lang w:eastAsia="zh-CN"/>
        </w:rPr>
        <w:t>成交通知书</w:t>
      </w:r>
      <w:r>
        <w:rPr>
          <w:rFonts w:hint="eastAsia" w:ascii="微软雅黑" w:hAnsi="微软雅黑" w:eastAsia="微软雅黑" w:cs="微软雅黑"/>
          <w:color w:val="auto"/>
          <w:sz w:val="24"/>
          <w:highlight w:val="none"/>
        </w:rPr>
        <w:t>。</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成交通知书</w:t>
      </w:r>
      <w:r>
        <w:rPr>
          <w:rFonts w:hint="eastAsia" w:ascii="微软雅黑" w:hAnsi="微软雅黑" w:eastAsia="微软雅黑" w:cs="微软雅黑"/>
          <w:color w:val="auto"/>
          <w:sz w:val="24"/>
          <w:highlight w:val="none"/>
        </w:rPr>
        <w:t>是合同的组成部分。</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29.3    招标结果通知书和</w:t>
      </w:r>
      <w:r>
        <w:rPr>
          <w:rFonts w:hint="eastAsia" w:ascii="微软雅黑" w:hAnsi="微软雅黑" w:eastAsia="微软雅黑" w:cs="微软雅黑"/>
          <w:color w:val="auto"/>
          <w:sz w:val="24"/>
          <w:highlight w:val="none"/>
          <w:lang w:eastAsia="zh-CN"/>
        </w:rPr>
        <w:t>成交通知书</w:t>
      </w:r>
      <w:r>
        <w:rPr>
          <w:rFonts w:hint="eastAsia" w:ascii="微软雅黑" w:hAnsi="微软雅黑" w:eastAsia="微软雅黑" w:cs="微软雅黑"/>
          <w:color w:val="auto"/>
          <w:sz w:val="24"/>
          <w:highlight w:val="none"/>
        </w:rPr>
        <w:t>同时发出。招标结果通知书中将告知未通过资格审查的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未通过的原因；采用综合评分法评审的，还将告知未</w:t>
      </w:r>
      <w:r>
        <w:rPr>
          <w:rFonts w:hint="eastAsia" w:ascii="微软雅黑" w:hAnsi="微软雅黑" w:eastAsia="微软雅黑" w:cs="微软雅黑"/>
          <w:color w:val="auto"/>
          <w:sz w:val="24"/>
          <w:highlight w:val="none"/>
          <w:lang w:eastAsia="zh-CN"/>
        </w:rPr>
        <w:t>成交供应商</w:t>
      </w:r>
      <w:r>
        <w:rPr>
          <w:rFonts w:hint="eastAsia" w:ascii="微软雅黑" w:hAnsi="微软雅黑" w:eastAsia="微软雅黑" w:cs="微软雅黑"/>
          <w:color w:val="auto"/>
          <w:sz w:val="24"/>
          <w:highlight w:val="none"/>
        </w:rPr>
        <w:t>本人的评审得分和排序。</w:t>
      </w:r>
    </w:p>
    <w:p>
      <w:pPr>
        <w:pStyle w:val="8"/>
        <w:spacing w:before="0" w:after="0" w:line="360" w:lineRule="exact"/>
        <w:rPr>
          <w:rFonts w:hint="eastAsia" w:ascii="微软雅黑" w:hAnsi="微软雅黑" w:eastAsia="微软雅黑" w:cs="微软雅黑"/>
          <w:color w:val="auto"/>
          <w:highlight w:val="none"/>
          <w:u w:val="none"/>
        </w:rPr>
      </w:pPr>
      <w:bookmarkStart w:id="463" w:name="_Toc9518"/>
      <w:bookmarkStart w:id="464" w:name="_Ref467307062"/>
      <w:bookmarkStart w:id="465" w:name="_Toc520356175"/>
      <w:bookmarkStart w:id="466" w:name="_Toc22777"/>
      <w:bookmarkStart w:id="467" w:name="_Toc13851"/>
      <w:bookmarkStart w:id="468" w:name="_Toc15018"/>
      <w:bookmarkStart w:id="469" w:name="_Toc515647792"/>
      <w:bookmarkStart w:id="470" w:name="_Toc29299"/>
      <w:bookmarkStart w:id="471" w:name="_Toc790"/>
      <w:bookmarkStart w:id="472" w:name="_Ref467306978"/>
      <w:bookmarkStart w:id="473" w:name="_Toc24666"/>
      <w:bookmarkStart w:id="474" w:name="_Toc7584"/>
      <w:bookmarkStart w:id="475" w:name="_Toc14106"/>
      <w:bookmarkStart w:id="476" w:name="_Toc9114"/>
      <w:bookmarkStart w:id="477" w:name="_Ref467306377"/>
      <w:bookmarkStart w:id="478" w:name="_Toc7779"/>
      <w:bookmarkStart w:id="479" w:name="_Toc14551"/>
      <w:bookmarkStart w:id="480" w:name="_Ref467307204"/>
      <w:r>
        <w:rPr>
          <w:rFonts w:hint="eastAsia" w:ascii="微软雅黑" w:hAnsi="微软雅黑" w:eastAsia="微软雅黑" w:cs="微软雅黑"/>
          <w:color w:val="auto"/>
          <w:highlight w:val="none"/>
          <w:u w:val="none"/>
        </w:rPr>
        <w:t>30.签订合同</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成交供应商</w:t>
      </w:r>
      <w:r>
        <w:rPr>
          <w:rFonts w:hint="eastAsia" w:ascii="微软雅黑" w:hAnsi="微软雅黑" w:eastAsia="微软雅黑" w:cs="微软雅黑"/>
          <w:color w:val="auto"/>
          <w:sz w:val="24"/>
          <w:highlight w:val="none"/>
        </w:rPr>
        <w:t>应当自发出</w:t>
      </w:r>
      <w:r>
        <w:rPr>
          <w:rFonts w:hint="eastAsia" w:ascii="微软雅黑" w:hAnsi="微软雅黑" w:eastAsia="微软雅黑" w:cs="微软雅黑"/>
          <w:color w:val="auto"/>
          <w:sz w:val="24"/>
          <w:highlight w:val="none"/>
          <w:lang w:eastAsia="zh-CN"/>
        </w:rPr>
        <w:t>成交通知书</w:t>
      </w:r>
      <w:r>
        <w:rPr>
          <w:rFonts w:hint="eastAsia" w:ascii="微软雅黑" w:hAnsi="微软雅黑" w:eastAsia="微软雅黑" w:cs="微软雅黑"/>
          <w:color w:val="auto"/>
          <w:sz w:val="24"/>
          <w:highlight w:val="none"/>
        </w:rPr>
        <w:t>之日起30日内，与采购人签订合同。</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30.2</w:t>
      </w:r>
      <w:r>
        <w:rPr>
          <w:rFonts w:hint="eastAsia" w:ascii="微软雅黑" w:hAnsi="微软雅黑" w:eastAsia="微软雅黑" w:cs="微软雅黑"/>
          <w:color w:val="auto"/>
          <w:sz w:val="24"/>
          <w:highlight w:val="none"/>
        </w:rPr>
        <w:tab/>
      </w:r>
      <w:bookmarkStart w:id="481" w:name="_Ref467306425"/>
      <w:bookmarkStart w:id="482" w:name="_Toc520356176"/>
      <w:bookmarkStart w:id="483" w:name="_Ref467307090"/>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成交供应商</w:t>
      </w:r>
      <w:r>
        <w:rPr>
          <w:rFonts w:hint="eastAsia" w:ascii="微软雅黑" w:hAnsi="微软雅黑" w:eastAsia="微软雅黑" w:cs="微软雅黑"/>
          <w:color w:val="auto"/>
          <w:sz w:val="24"/>
          <w:highlight w:val="none"/>
        </w:rPr>
        <w:t>的</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及其澄清文件等，均为签订合同的依据。</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30.3   </w:t>
      </w:r>
      <w:r>
        <w:rPr>
          <w:rFonts w:hint="eastAsia" w:ascii="微软雅黑" w:hAnsi="微软雅黑" w:eastAsia="微软雅黑" w:cs="微软雅黑"/>
          <w:color w:val="auto"/>
          <w:sz w:val="24"/>
          <w:highlight w:val="none"/>
          <w:lang w:eastAsia="zh-CN"/>
        </w:rPr>
        <w:t>成交供应商</w:t>
      </w:r>
      <w:r>
        <w:rPr>
          <w:rFonts w:hint="eastAsia" w:ascii="微软雅黑" w:hAnsi="微软雅黑" w:eastAsia="微软雅黑" w:cs="微软雅黑"/>
          <w:color w:val="auto"/>
          <w:sz w:val="24"/>
          <w:highlight w:val="none"/>
        </w:rPr>
        <w:t>拒绝与采购人签订合同的，采购人可以按照评审报告推荐的</w:t>
      </w:r>
      <w:r>
        <w:rPr>
          <w:rFonts w:hint="eastAsia" w:ascii="微软雅黑" w:hAnsi="微软雅黑" w:eastAsia="微软雅黑" w:cs="微软雅黑"/>
          <w:color w:val="auto"/>
          <w:sz w:val="24"/>
          <w:highlight w:val="none"/>
          <w:lang w:eastAsia="zh-CN"/>
        </w:rPr>
        <w:t>成交候选人</w:t>
      </w:r>
      <w:r>
        <w:rPr>
          <w:rFonts w:hint="eastAsia" w:ascii="微软雅黑" w:hAnsi="微软雅黑" w:eastAsia="微软雅黑" w:cs="微软雅黑"/>
          <w:color w:val="auto"/>
          <w:sz w:val="24"/>
          <w:highlight w:val="none"/>
        </w:rPr>
        <w:t>名单排序，确定下一</w:t>
      </w:r>
      <w:r>
        <w:rPr>
          <w:rFonts w:hint="eastAsia" w:ascii="微软雅黑" w:hAnsi="微软雅黑" w:eastAsia="微软雅黑" w:cs="微软雅黑"/>
          <w:color w:val="auto"/>
          <w:sz w:val="24"/>
          <w:highlight w:val="none"/>
          <w:lang w:eastAsia="zh-CN"/>
        </w:rPr>
        <w:t>成交候选人</w:t>
      </w:r>
      <w:r>
        <w:rPr>
          <w:rFonts w:hint="eastAsia" w:ascii="微软雅黑" w:hAnsi="微软雅黑" w:eastAsia="微软雅黑" w:cs="微软雅黑"/>
          <w:color w:val="auto"/>
          <w:sz w:val="24"/>
          <w:highlight w:val="none"/>
        </w:rPr>
        <w:t>为</w:t>
      </w:r>
      <w:r>
        <w:rPr>
          <w:rFonts w:hint="eastAsia" w:ascii="微软雅黑" w:hAnsi="微软雅黑" w:eastAsia="微软雅黑" w:cs="微软雅黑"/>
          <w:color w:val="auto"/>
          <w:sz w:val="24"/>
          <w:highlight w:val="none"/>
          <w:lang w:eastAsia="zh-CN"/>
        </w:rPr>
        <w:t>成交供应商</w:t>
      </w:r>
      <w:r>
        <w:rPr>
          <w:rFonts w:hint="eastAsia" w:ascii="微软雅黑" w:hAnsi="微软雅黑" w:eastAsia="微软雅黑" w:cs="微软雅黑"/>
          <w:color w:val="auto"/>
          <w:sz w:val="24"/>
          <w:highlight w:val="none"/>
        </w:rPr>
        <w:t>，也可以重新开展政府采购活动。</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30.4   当出现法规规定的</w:t>
      </w:r>
      <w:r>
        <w:rPr>
          <w:rFonts w:hint="eastAsia" w:ascii="微软雅黑" w:hAnsi="微软雅黑" w:eastAsia="微软雅黑" w:cs="微软雅黑"/>
          <w:b/>
          <w:color w:val="auto"/>
          <w:sz w:val="24"/>
          <w:highlight w:val="none"/>
          <w:lang w:val="en-US" w:eastAsia="zh-CN"/>
        </w:rPr>
        <w:t>成交</w:t>
      </w:r>
      <w:r>
        <w:rPr>
          <w:rFonts w:hint="eastAsia" w:ascii="微软雅黑" w:hAnsi="微软雅黑" w:eastAsia="微软雅黑" w:cs="微软雅黑"/>
          <w:b/>
          <w:color w:val="auto"/>
          <w:sz w:val="24"/>
          <w:highlight w:val="none"/>
        </w:rPr>
        <w:t>无效或</w:t>
      </w:r>
      <w:r>
        <w:rPr>
          <w:rFonts w:hint="eastAsia" w:ascii="微软雅黑" w:hAnsi="微软雅黑" w:eastAsia="微软雅黑" w:cs="微软雅黑"/>
          <w:b/>
          <w:color w:val="auto"/>
          <w:sz w:val="24"/>
          <w:highlight w:val="none"/>
          <w:lang w:val="en-US" w:eastAsia="zh-CN"/>
        </w:rPr>
        <w:t>成交</w:t>
      </w:r>
      <w:r>
        <w:rPr>
          <w:rFonts w:hint="eastAsia" w:ascii="微软雅黑" w:hAnsi="微软雅黑" w:eastAsia="微软雅黑" w:cs="微软雅黑"/>
          <w:b/>
          <w:color w:val="auto"/>
          <w:sz w:val="24"/>
          <w:highlight w:val="none"/>
        </w:rPr>
        <w:t>结果无效</w:t>
      </w:r>
      <w:r>
        <w:rPr>
          <w:rFonts w:hint="eastAsia" w:ascii="微软雅黑" w:hAnsi="微软雅黑" w:eastAsia="微软雅黑" w:cs="微软雅黑"/>
          <w:color w:val="auto"/>
          <w:sz w:val="24"/>
          <w:highlight w:val="none"/>
        </w:rPr>
        <w:t>情形时，采购人可与排名下一位的</w:t>
      </w:r>
      <w:r>
        <w:rPr>
          <w:rFonts w:hint="eastAsia" w:ascii="微软雅黑" w:hAnsi="微软雅黑" w:eastAsia="微软雅黑" w:cs="微软雅黑"/>
          <w:color w:val="auto"/>
          <w:sz w:val="24"/>
          <w:highlight w:val="none"/>
          <w:lang w:eastAsia="zh-CN"/>
        </w:rPr>
        <w:t>成交候选人</w:t>
      </w:r>
      <w:r>
        <w:rPr>
          <w:rFonts w:hint="eastAsia" w:ascii="微软雅黑" w:hAnsi="微软雅黑" w:eastAsia="微软雅黑" w:cs="微软雅黑"/>
          <w:color w:val="auto"/>
          <w:sz w:val="24"/>
          <w:highlight w:val="none"/>
        </w:rPr>
        <w:t>另行签订合同，或依法重新开展采购活动。</w:t>
      </w:r>
    </w:p>
    <w:p>
      <w:pPr>
        <w:pStyle w:val="8"/>
        <w:spacing w:before="0" w:after="0" w:line="360" w:lineRule="exact"/>
        <w:rPr>
          <w:rFonts w:hint="eastAsia" w:ascii="微软雅黑" w:hAnsi="微软雅黑" w:eastAsia="微软雅黑" w:cs="微软雅黑"/>
          <w:color w:val="auto"/>
          <w:highlight w:val="none"/>
          <w:u w:val="none"/>
        </w:rPr>
      </w:pPr>
      <w:bookmarkStart w:id="484" w:name="_Toc28788"/>
      <w:bookmarkStart w:id="485" w:name="_Toc4849"/>
      <w:bookmarkStart w:id="486" w:name="_Toc26007"/>
      <w:bookmarkStart w:id="487" w:name="_Toc8189"/>
      <w:bookmarkStart w:id="488" w:name="_Toc22398"/>
      <w:bookmarkStart w:id="489" w:name="_Toc515647793"/>
      <w:bookmarkStart w:id="490" w:name="_Toc30291"/>
      <w:bookmarkStart w:id="491" w:name="_Toc22555"/>
      <w:bookmarkStart w:id="492" w:name="_Toc14080"/>
      <w:bookmarkStart w:id="493" w:name="_Toc17960"/>
      <w:bookmarkStart w:id="494" w:name="_Toc10991"/>
      <w:bookmarkStart w:id="495" w:name="_Toc20986"/>
      <w:bookmarkStart w:id="496" w:name="_Toc11467"/>
      <w:r>
        <w:rPr>
          <w:rFonts w:hint="eastAsia" w:ascii="微软雅黑" w:hAnsi="微软雅黑" w:eastAsia="微软雅黑" w:cs="微软雅黑"/>
          <w:color w:val="auto"/>
          <w:highlight w:val="none"/>
          <w:u w:val="none"/>
        </w:rPr>
        <w:t>31.履约保证金</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成交供应商</w:t>
      </w:r>
      <w:r>
        <w:rPr>
          <w:rFonts w:hint="eastAsia" w:ascii="微软雅黑" w:hAnsi="微软雅黑" w:eastAsia="微软雅黑" w:cs="微软雅黑"/>
          <w:color w:val="auto"/>
          <w:sz w:val="24"/>
          <w:highlight w:val="none"/>
        </w:rPr>
        <w:t>应按照</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规定向采购人缴纳履约保证金（如采用保函形式，格式见本章附件1）。</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政府采购利用担保试点范围内的项目，除31.1规定的情形外，</w:t>
      </w:r>
      <w:r>
        <w:rPr>
          <w:rFonts w:hint="eastAsia" w:ascii="微软雅黑" w:hAnsi="微软雅黑" w:eastAsia="微软雅黑" w:cs="微软雅黑"/>
          <w:color w:val="auto"/>
          <w:sz w:val="24"/>
          <w:highlight w:val="none"/>
          <w:lang w:eastAsia="zh-CN"/>
        </w:rPr>
        <w:t>成交供应商</w:t>
      </w:r>
      <w:r>
        <w:rPr>
          <w:rFonts w:hint="eastAsia" w:ascii="微软雅黑" w:hAnsi="微软雅黑" w:eastAsia="微软雅黑" w:cs="微软雅黑"/>
          <w:color w:val="auto"/>
          <w:sz w:val="24"/>
          <w:highlight w:val="none"/>
        </w:rPr>
        <w:t>也可以按照财政部门的规定，向采购人提供合格的履约担保函（格式见本章附件2）。</w:t>
      </w:r>
    </w:p>
    <w:p>
      <w:pPr>
        <w:pStyle w:val="8"/>
        <w:spacing w:before="0" w:after="0" w:line="360" w:lineRule="exact"/>
        <w:rPr>
          <w:rFonts w:hint="eastAsia" w:ascii="微软雅黑" w:hAnsi="微软雅黑" w:eastAsia="微软雅黑" w:cs="微软雅黑"/>
          <w:color w:val="auto"/>
          <w:highlight w:val="none"/>
          <w:u w:val="none"/>
          <w:lang w:eastAsia="zh-CN"/>
        </w:rPr>
      </w:pPr>
      <w:bookmarkStart w:id="497" w:name="_Toc26497"/>
      <w:bookmarkStart w:id="498" w:name="_Toc9967"/>
      <w:bookmarkStart w:id="499" w:name="_Toc515647794"/>
      <w:bookmarkStart w:id="500" w:name="_Toc3025"/>
      <w:bookmarkStart w:id="501" w:name="_Toc14539"/>
      <w:bookmarkStart w:id="502" w:name="_Toc11298"/>
      <w:bookmarkStart w:id="503" w:name="_Toc21246"/>
      <w:bookmarkStart w:id="504" w:name="_Toc3090"/>
      <w:bookmarkStart w:id="505" w:name="_Toc21835"/>
      <w:bookmarkStart w:id="506" w:name="_Toc16406"/>
      <w:bookmarkStart w:id="507" w:name="_Toc10577"/>
      <w:bookmarkStart w:id="508" w:name="_Toc17626"/>
      <w:bookmarkStart w:id="509" w:name="_Toc29408"/>
      <w:r>
        <w:rPr>
          <w:rFonts w:hint="eastAsia" w:ascii="微软雅黑" w:hAnsi="微软雅黑" w:eastAsia="微软雅黑" w:cs="微软雅黑"/>
          <w:color w:val="auto"/>
          <w:highlight w:val="none"/>
          <w:u w:val="none"/>
        </w:rPr>
        <w:t>32.</w:t>
      </w:r>
      <w:bookmarkEnd w:id="497"/>
      <w:bookmarkEnd w:id="498"/>
      <w:bookmarkEnd w:id="499"/>
      <w:bookmarkEnd w:id="500"/>
      <w:bookmarkEnd w:id="501"/>
      <w:bookmarkEnd w:id="502"/>
      <w:bookmarkEnd w:id="503"/>
      <w:bookmarkEnd w:id="504"/>
      <w:bookmarkEnd w:id="505"/>
      <w:bookmarkEnd w:id="506"/>
      <w:bookmarkEnd w:id="507"/>
      <w:bookmarkEnd w:id="508"/>
      <w:bookmarkEnd w:id="509"/>
      <w:r>
        <w:rPr>
          <w:rFonts w:hint="eastAsia" w:ascii="微软雅黑" w:hAnsi="微软雅黑" w:eastAsia="微软雅黑" w:cs="微软雅黑"/>
          <w:color w:val="auto"/>
          <w:highlight w:val="none"/>
          <w:u w:val="none"/>
          <w:lang w:eastAsia="zh-CN"/>
        </w:rPr>
        <w:t>成交服务费</w:t>
      </w:r>
    </w:p>
    <w:p>
      <w:pPr>
        <w:spacing w:line="360" w:lineRule="exact"/>
        <w:ind w:left="420" w:hanging="420" w:hangingChars="1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成交供应商</w:t>
      </w:r>
      <w:r>
        <w:rPr>
          <w:rFonts w:hint="eastAsia" w:ascii="微软雅黑" w:hAnsi="微软雅黑" w:eastAsia="微软雅黑" w:cs="微软雅黑"/>
          <w:color w:val="auto"/>
          <w:sz w:val="24"/>
          <w:highlight w:val="none"/>
        </w:rPr>
        <w:t>须按照</w:t>
      </w:r>
      <w:r>
        <w:rPr>
          <w:rFonts w:hint="eastAsia" w:ascii="微软雅黑" w:hAnsi="微软雅黑" w:eastAsia="微软雅黑" w:cs="微软雅黑"/>
          <w:color w:val="auto"/>
          <w:sz w:val="24"/>
          <w:highlight w:val="none"/>
          <w:u w:val="single"/>
          <w:lang w:val="en-US"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规定，向采购代理机构支付</w:t>
      </w:r>
      <w:r>
        <w:rPr>
          <w:rFonts w:hint="eastAsia" w:ascii="微软雅黑" w:hAnsi="微软雅黑" w:eastAsia="微软雅黑" w:cs="微软雅黑"/>
          <w:color w:val="auto"/>
          <w:sz w:val="24"/>
          <w:highlight w:val="none"/>
          <w:lang w:eastAsia="zh-CN"/>
        </w:rPr>
        <w:t>成交服务费</w:t>
      </w:r>
      <w:r>
        <w:rPr>
          <w:rFonts w:hint="eastAsia" w:ascii="微软雅黑" w:hAnsi="微软雅黑" w:eastAsia="微软雅黑" w:cs="微软雅黑"/>
          <w:color w:val="auto"/>
          <w:sz w:val="24"/>
          <w:highlight w:val="none"/>
        </w:rPr>
        <w:t>。</w:t>
      </w:r>
    </w:p>
    <w:p>
      <w:pPr>
        <w:pStyle w:val="8"/>
        <w:spacing w:before="0" w:after="0" w:line="360" w:lineRule="exact"/>
        <w:rPr>
          <w:rFonts w:hint="eastAsia" w:ascii="微软雅黑" w:hAnsi="微软雅黑" w:eastAsia="微软雅黑" w:cs="微软雅黑"/>
          <w:color w:val="auto"/>
          <w:highlight w:val="none"/>
          <w:u w:val="none"/>
        </w:rPr>
      </w:pPr>
      <w:bookmarkStart w:id="510" w:name="_Toc8303"/>
      <w:bookmarkStart w:id="511" w:name="_Toc24417"/>
      <w:bookmarkStart w:id="512" w:name="_Toc8426"/>
      <w:bookmarkStart w:id="513" w:name="_Toc515647795"/>
      <w:bookmarkStart w:id="514" w:name="_Toc3013"/>
      <w:bookmarkStart w:id="515" w:name="_Toc4947"/>
      <w:bookmarkStart w:id="516" w:name="_Toc7049"/>
      <w:bookmarkStart w:id="517" w:name="_Toc6923"/>
      <w:bookmarkStart w:id="518" w:name="_Toc24525"/>
      <w:bookmarkStart w:id="519" w:name="_Toc16900"/>
      <w:bookmarkStart w:id="520" w:name="_Toc8477"/>
      <w:bookmarkStart w:id="521" w:name="_Toc23330"/>
      <w:bookmarkStart w:id="522" w:name="_Toc3053"/>
      <w:r>
        <w:rPr>
          <w:rFonts w:hint="eastAsia" w:ascii="微软雅黑" w:hAnsi="微软雅黑" w:eastAsia="微软雅黑" w:cs="微软雅黑"/>
          <w:color w:val="auto"/>
          <w:highlight w:val="none"/>
          <w:u w:val="none"/>
        </w:rPr>
        <w:t>33.政府采购信用担保</w:t>
      </w:r>
      <w:bookmarkEnd w:id="510"/>
      <w:bookmarkEnd w:id="511"/>
      <w:bookmarkEnd w:id="512"/>
      <w:bookmarkEnd w:id="513"/>
      <w:bookmarkEnd w:id="514"/>
      <w:bookmarkEnd w:id="515"/>
      <w:bookmarkEnd w:id="516"/>
      <w:bookmarkEnd w:id="517"/>
      <w:bookmarkEnd w:id="518"/>
      <w:bookmarkEnd w:id="519"/>
      <w:bookmarkEnd w:id="520"/>
      <w:bookmarkEnd w:id="521"/>
      <w:bookmarkEnd w:id="522"/>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   本项目是否属于信用担保试点范围见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spacing w:line="360" w:lineRule="exact"/>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   如属于政府采购信用担保试点范围内，中小型企业</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可以自由按照财政部门的规定，采用</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担保、履约担保和融资担保。</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33.2.1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递交的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担保函和履约担保函应符合本</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的规定。</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33.2.2 </w:t>
      </w:r>
      <w:r>
        <w:rPr>
          <w:rFonts w:hint="eastAsia" w:ascii="微软雅黑" w:hAnsi="微软雅黑" w:eastAsia="微软雅黑" w:cs="微软雅黑"/>
          <w:color w:val="auto"/>
          <w:sz w:val="24"/>
          <w:highlight w:val="none"/>
          <w:lang w:eastAsia="zh-CN"/>
        </w:rPr>
        <w:t>成交供应商</w:t>
      </w:r>
      <w:r>
        <w:rPr>
          <w:rFonts w:hint="eastAsia" w:ascii="微软雅黑" w:hAnsi="微软雅黑" w:eastAsia="微软雅黑" w:cs="微软雅黑"/>
          <w:color w:val="auto"/>
          <w:sz w:val="24"/>
          <w:highlight w:val="none"/>
        </w:rPr>
        <w:t>可以采取融资担保的形式为政府采购项目履约进行融资。</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33.2.3 合格的政府采购专业信用担保机构名单见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pStyle w:val="8"/>
        <w:spacing w:before="0" w:after="0" w:line="360" w:lineRule="exact"/>
        <w:rPr>
          <w:rFonts w:hint="eastAsia" w:ascii="微软雅黑" w:hAnsi="微软雅黑" w:eastAsia="微软雅黑" w:cs="微软雅黑"/>
          <w:color w:val="auto"/>
          <w:highlight w:val="none"/>
          <w:u w:val="none"/>
        </w:rPr>
      </w:pPr>
      <w:bookmarkStart w:id="523" w:name="_Toc31178"/>
      <w:bookmarkStart w:id="524" w:name="_Toc26130"/>
      <w:bookmarkStart w:id="525" w:name="_Toc24458"/>
      <w:bookmarkStart w:id="526" w:name="_Toc23161"/>
      <w:bookmarkStart w:id="527" w:name="_Toc6656"/>
      <w:bookmarkStart w:id="528" w:name="_Toc3656"/>
      <w:bookmarkStart w:id="529" w:name="_Toc27009"/>
      <w:bookmarkStart w:id="530" w:name="_Toc21125"/>
      <w:bookmarkStart w:id="531" w:name="_Toc2133"/>
      <w:bookmarkStart w:id="532" w:name="_Toc29108"/>
      <w:bookmarkStart w:id="533" w:name="_Toc22695"/>
      <w:bookmarkStart w:id="534" w:name="_Toc23999"/>
      <w:bookmarkStart w:id="535" w:name="_Toc515647796"/>
      <w:r>
        <w:rPr>
          <w:rFonts w:hint="eastAsia" w:ascii="微软雅黑" w:hAnsi="微软雅黑" w:eastAsia="微软雅黑" w:cs="微软雅黑"/>
          <w:color w:val="auto"/>
          <w:highlight w:val="none"/>
          <w:u w:val="none"/>
        </w:rPr>
        <w:t>34.廉洁自律规定</w:t>
      </w:r>
      <w:bookmarkEnd w:id="523"/>
      <w:bookmarkEnd w:id="524"/>
      <w:bookmarkEnd w:id="525"/>
      <w:bookmarkEnd w:id="526"/>
      <w:bookmarkEnd w:id="527"/>
      <w:bookmarkEnd w:id="528"/>
      <w:bookmarkEnd w:id="529"/>
      <w:bookmarkEnd w:id="530"/>
      <w:bookmarkEnd w:id="531"/>
      <w:bookmarkEnd w:id="532"/>
      <w:bookmarkEnd w:id="533"/>
      <w:bookmarkEnd w:id="534"/>
      <w:bookmarkEnd w:id="535"/>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34.1   采购代理机构工作人员不得以不正当手段获取政府采购代理业务，不得与采购人、供应商恶意串通操纵政府采购活动。</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34.2   采购代理机构工作人员不得接受采购人或者供应商组织的宴请、旅游、娱乐，不得收受礼品、现金、有价证券等，不得向采购人或者供应商报销应当由个人承担的费用。</w:t>
      </w:r>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34.3   为强化采购代理机构内部监督机制，供应商可按</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须知资料表中的</w:t>
      </w:r>
      <w:r>
        <w:rPr>
          <w:rFonts w:hint="eastAsia" w:ascii="微软雅黑" w:hAnsi="微软雅黑" w:eastAsia="微软雅黑" w:cs="微软雅黑"/>
          <w:color w:val="auto"/>
          <w:sz w:val="24"/>
          <w:highlight w:val="none"/>
        </w:rPr>
        <w:t>监督电话和邮箱，反映采购代理机构的廉洁自律等问题。</w:t>
      </w:r>
    </w:p>
    <w:p>
      <w:pPr>
        <w:pStyle w:val="8"/>
        <w:spacing w:before="0" w:after="0" w:line="360" w:lineRule="exact"/>
        <w:rPr>
          <w:rFonts w:hint="eastAsia" w:ascii="微软雅黑" w:hAnsi="微软雅黑" w:eastAsia="微软雅黑" w:cs="微软雅黑"/>
          <w:color w:val="auto"/>
          <w:highlight w:val="none"/>
          <w:u w:val="none"/>
        </w:rPr>
      </w:pPr>
      <w:bookmarkStart w:id="536" w:name="_Toc29018"/>
      <w:bookmarkStart w:id="537" w:name="_Toc3319"/>
      <w:bookmarkStart w:id="538" w:name="_Toc12619"/>
      <w:bookmarkStart w:id="539" w:name="_Toc13915"/>
      <w:bookmarkStart w:id="540" w:name="_Toc30009"/>
      <w:bookmarkStart w:id="541" w:name="_Toc11586"/>
      <w:bookmarkStart w:id="542" w:name="_Toc10801"/>
      <w:bookmarkStart w:id="543" w:name="_Toc25480"/>
      <w:bookmarkStart w:id="544" w:name="_Toc5069"/>
      <w:bookmarkStart w:id="545" w:name="_Toc5448"/>
      <w:bookmarkStart w:id="546" w:name="_Toc19854"/>
      <w:bookmarkStart w:id="547" w:name="_Toc515647797"/>
      <w:bookmarkStart w:id="548" w:name="_Toc17079"/>
      <w:r>
        <w:rPr>
          <w:rFonts w:hint="eastAsia" w:ascii="微软雅黑" w:hAnsi="微软雅黑" w:eastAsia="微软雅黑" w:cs="微软雅黑"/>
          <w:color w:val="auto"/>
          <w:highlight w:val="none"/>
          <w:u w:val="none"/>
        </w:rPr>
        <w:t>35.人员回避</w:t>
      </w:r>
      <w:bookmarkEnd w:id="536"/>
      <w:bookmarkEnd w:id="537"/>
      <w:bookmarkEnd w:id="538"/>
      <w:bookmarkEnd w:id="539"/>
      <w:bookmarkEnd w:id="540"/>
      <w:bookmarkEnd w:id="541"/>
      <w:bookmarkEnd w:id="542"/>
      <w:bookmarkEnd w:id="543"/>
      <w:bookmarkEnd w:id="544"/>
      <w:bookmarkEnd w:id="545"/>
      <w:bookmarkEnd w:id="546"/>
      <w:bookmarkEnd w:id="547"/>
      <w:bookmarkEnd w:id="548"/>
    </w:p>
    <w:p>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认为采购人员及其相关人员有法律法规所列与其他供应商有利害关系的，可以向采购人或采购代理机构书面提出回避申请，并说明理由。</w:t>
      </w:r>
    </w:p>
    <w:p>
      <w:pPr>
        <w:pStyle w:val="8"/>
        <w:spacing w:before="0" w:after="0" w:line="360" w:lineRule="exact"/>
        <w:rPr>
          <w:rFonts w:hint="eastAsia" w:ascii="微软雅黑" w:hAnsi="微软雅黑" w:eastAsia="微软雅黑" w:cs="微软雅黑"/>
          <w:color w:val="auto"/>
          <w:highlight w:val="none"/>
          <w:u w:val="none"/>
        </w:rPr>
      </w:pPr>
      <w:bookmarkStart w:id="549" w:name="_Toc31362"/>
      <w:bookmarkStart w:id="550" w:name="_Toc6634"/>
      <w:bookmarkStart w:id="551" w:name="_Toc12880"/>
      <w:bookmarkStart w:id="552" w:name="_Toc10068"/>
      <w:bookmarkStart w:id="553" w:name="_Toc17040"/>
      <w:bookmarkStart w:id="554" w:name="_Toc7870"/>
      <w:bookmarkStart w:id="555" w:name="_Toc30943"/>
      <w:bookmarkStart w:id="556" w:name="_Toc15205"/>
      <w:bookmarkStart w:id="557" w:name="_Toc24153"/>
      <w:bookmarkStart w:id="558" w:name="_Toc6387"/>
      <w:r>
        <w:rPr>
          <w:rFonts w:hint="eastAsia" w:ascii="微软雅黑" w:hAnsi="微软雅黑" w:eastAsia="微软雅黑" w:cs="微软雅黑"/>
          <w:color w:val="auto"/>
          <w:highlight w:val="none"/>
          <w:u w:val="none"/>
        </w:rPr>
        <w:t>36.</w:t>
      </w:r>
      <w:bookmarkEnd w:id="549"/>
      <w:r>
        <w:rPr>
          <w:rFonts w:hint="eastAsia" w:ascii="微软雅黑" w:hAnsi="微软雅黑" w:eastAsia="微软雅黑" w:cs="微软雅黑"/>
          <w:color w:val="auto"/>
          <w:highlight w:val="none"/>
          <w:u w:val="none"/>
        </w:rPr>
        <w:t>质疑与接收</w:t>
      </w:r>
      <w:bookmarkEnd w:id="550"/>
      <w:bookmarkEnd w:id="551"/>
      <w:bookmarkEnd w:id="552"/>
      <w:bookmarkEnd w:id="553"/>
      <w:bookmarkEnd w:id="554"/>
      <w:bookmarkEnd w:id="555"/>
      <w:bookmarkEnd w:id="556"/>
      <w:bookmarkEnd w:id="557"/>
      <w:bookmarkEnd w:id="558"/>
    </w:p>
    <w:p>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  供应商认为</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、招标过程和</w:t>
      </w:r>
      <w:r>
        <w:rPr>
          <w:rFonts w:hint="eastAsia" w:ascii="微软雅黑" w:hAnsi="微软雅黑" w:eastAsia="微软雅黑" w:cs="微软雅黑"/>
          <w:color w:val="auto"/>
          <w:sz w:val="24"/>
          <w:highlight w:val="none"/>
          <w:lang w:val="en-US" w:eastAsia="zh-CN"/>
        </w:rPr>
        <w:t>成交</w:t>
      </w:r>
      <w:r>
        <w:rPr>
          <w:rFonts w:hint="eastAsia" w:ascii="微软雅黑" w:hAnsi="微软雅黑" w:eastAsia="微软雅黑" w:cs="微软雅黑"/>
          <w:color w:val="auto"/>
          <w:sz w:val="24"/>
          <w:highlight w:val="none"/>
        </w:rPr>
        <w:t>结果使自己的权益受到损害的，可以根据《中华人民共和国政府采购法》、《中华人民共和国政府采购法实施条例》和《政府采购质疑和投诉办法》的有关规定，依法向采购人或其委托的采购代理机构提出质疑。</w:t>
      </w:r>
    </w:p>
    <w:p>
      <w:pPr>
        <w:pStyle w:val="30"/>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30"/>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36.5  采购代理机构质疑函接收部门、联系电话和通讯地址, 见</w:t>
      </w:r>
      <w:r>
        <w:rPr>
          <w:rFonts w:hint="eastAsia" w:ascii="微软雅黑" w:hAnsi="微软雅黑" w:eastAsia="微软雅黑" w:cs="微软雅黑"/>
          <w:color w:val="auto"/>
          <w:sz w:val="24"/>
          <w:highlight w:val="none"/>
          <w:u w:val="single"/>
        </w:rPr>
        <w:t>供应商须知资料表。</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36.6   供应商认为采购文件、采购过程和</w:t>
      </w:r>
      <w:r>
        <w:rPr>
          <w:rFonts w:hint="eastAsia" w:ascii="微软雅黑" w:hAnsi="微软雅黑" w:eastAsia="微软雅黑" w:cs="微软雅黑"/>
          <w:color w:val="auto"/>
          <w:sz w:val="24"/>
          <w:highlight w:val="none"/>
          <w:lang w:val="en-US" w:eastAsia="zh-CN"/>
        </w:rPr>
        <w:t>成交</w:t>
      </w:r>
      <w:r>
        <w:rPr>
          <w:rFonts w:hint="eastAsia" w:ascii="微软雅黑" w:hAnsi="微软雅黑" w:eastAsia="微软雅黑" w:cs="微软雅黑"/>
          <w:color w:val="auto"/>
          <w:sz w:val="24"/>
          <w:highlight w:val="none"/>
        </w:rPr>
        <w:t>结果使自己的权益受到损害的，可以在知道或者应知其权益受到损害之日起7个工作日内，以书面形式向采购方提出质疑。供应商应知其权益受到损害之日，是指：</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（一）对可以质疑的采购文件提出质疑的，为收到采购文件之日或者采购文件公告期限届满之日；</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（二）对采购过程提出质疑的，为各采购程序环节结束之日；</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（三）对</w:t>
      </w:r>
      <w:r>
        <w:rPr>
          <w:rFonts w:hint="eastAsia" w:ascii="微软雅黑" w:hAnsi="微软雅黑" w:eastAsia="微软雅黑" w:cs="微软雅黑"/>
          <w:color w:val="auto"/>
          <w:sz w:val="24"/>
          <w:highlight w:val="none"/>
          <w:lang w:val="en-US" w:eastAsia="zh-CN"/>
        </w:rPr>
        <w:t>成交</w:t>
      </w:r>
      <w:r>
        <w:rPr>
          <w:rFonts w:hint="eastAsia" w:ascii="微软雅黑" w:hAnsi="微软雅黑" w:eastAsia="微软雅黑" w:cs="微软雅黑"/>
          <w:color w:val="auto"/>
          <w:sz w:val="24"/>
          <w:highlight w:val="none"/>
        </w:rPr>
        <w:t>结果提出质疑的，为</w:t>
      </w:r>
      <w:r>
        <w:rPr>
          <w:rFonts w:hint="eastAsia" w:ascii="微软雅黑" w:hAnsi="微软雅黑" w:eastAsia="微软雅黑" w:cs="微软雅黑"/>
          <w:color w:val="auto"/>
          <w:sz w:val="24"/>
          <w:highlight w:val="none"/>
          <w:lang w:val="en-US" w:eastAsia="zh-CN"/>
        </w:rPr>
        <w:t>成交</w:t>
      </w:r>
      <w:r>
        <w:rPr>
          <w:rFonts w:hint="eastAsia" w:ascii="微软雅黑" w:hAnsi="微软雅黑" w:eastAsia="微软雅黑" w:cs="微软雅黑"/>
          <w:color w:val="auto"/>
          <w:sz w:val="24"/>
          <w:highlight w:val="none"/>
        </w:rPr>
        <w:t>结果公告期限届满之日。</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36.7   供应商有权提出一次质疑，不能多次提出。</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36.8   对可以质疑的采购文件提出质疑的，质疑人为参与本项目的报价方或潜在报价方。可质疑的文件为采购公告以及采购文件（包括属于其组成部分的澄清、修改、补充文件和评审标准、合同文本等）。</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36.9  对采购过程和</w:t>
      </w:r>
      <w:r>
        <w:rPr>
          <w:rFonts w:hint="eastAsia" w:ascii="微软雅黑" w:hAnsi="微软雅黑" w:eastAsia="微软雅黑" w:cs="微软雅黑"/>
          <w:color w:val="auto"/>
          <w:sz w:val="24"/>
          <w:highlight w:val="none"/>
          <w:lang w:val="en-US" w:eastAsia="zh-CN"/>
        </w:rPr>
        <w:t>成交</w:t>
      </w:r>
      <w:r>
        <w:rPr>
          <w:rFonts w:hint="eastAsia" w:ascii="微软雅黑" w:hAnsi="微软雅黑" w:eastAsia="微软雅黑" w:cs="微软雅黑"/>
          <w:color w:val="auto"/>
          <w:sz w:val="24"/>
          <w:highlight w:val="none"/>
        </w:rPr>
        <w:t>结果提出质疑的，质疑人为直接参与本项目的报价方。采购过程,即从采购项目信息公告发布起到</w:t>
      </w:r>
      <w:r>
        <w:rPr>
          <w:rFonts w:hint="eastAsia" w:ascii="微软雅黑" w:hAnsi="微软雅黑" w:eastAsia="微软雅黑" w:cs="微软雅黑"/>
          <w:color w:val="auto"/>
          <w:sz w:val="24"/>
          <w:highlight w:val="none"/>
          <w:lang w:val="en-US" w:eastAsia="zh-CN"/>
        </w:rPr>
        <w:t>成交</w:t>
      </w:r>
      <w:r>
        <w:rPr>
          <w:rFonts w:hint="eastAsia" w:ascii="微软雅黑" w:hAnsi="微软雅黑" w:eastAsia="微软雅黑" w:cs="微软雅黑"/>
          <w:color w:val="auto"/>
          <w:sz w:val="24"/>
          <w:highlight w:val="none"/>
        </w:rPr>
        <w:t>结果公告止，包括采购文件的发出、提交响应文件、响应文件开启、评审等各个采购程序环节。</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36.10  提出质疑应当符合下列条件：</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（一）质疑主体应当符合有关规定；</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（二）在质疑法定期限内提出；</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（三）属于可以提出质疑的政府采购事项受理范围和本项目采购人的管辖权范围；</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（四）政府采购法律、法规、规章规定的其他条件。</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36.12  质疑人所提供的证明材料应当具有真实性、合法性以及与质疑事项的关联性和证明力，否则不能作为认定该质疑事项成立的依据。</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36.13 质疑人提出质疑时应当提交质疑函。质疑函包括下列内容：</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（一）提出质疑的质疑人的名称、地址、邮编、联系人及联系电话等；</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（二）质疑项目的名称、编号；</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（三）质疑事项；</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（四）事实依据和证明材料；</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（五）法律依据；</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（六）提出质疑的日期。</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36.14  质疑人可以委托代理人进行质疑。代理人应当提交授权委托书。授权委托书应当载明委托代理的具体权限、期限和相关事项。</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36.15  质疑的审查和受理</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采购方在收到质疑函后应当及时审查是否符合质疑受理条件，对符合质疑受理条件的，及时予以受理。</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36.16  对不符合质疑受理条件的，分别按照下列不同情形予以处理：</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（一）质疑函内容不符合规定的，告知质疑人进行修改并重新提出质疑。修改后质疑事项仍不具体、不明确或者最终递交质疑函的时间超过质疑法定期限的，不予受理；</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（二）质疑主体不符合有关规定的，告知质疑人不予受理；</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（三）超过质疑法定期限提出质疑的，告知质疑人不予受理；</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（四）对不属于可以提出质疑的政府采购事项提出质疑的，告知质疑人不予受理；</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（五）质疑不属于本项目采购方管辖的，告知质疑人向有管辖权的采购人提出质疑；</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（六）质疑不符合其他条件的，告知质疑人不予受理。</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36.17  质疑的处理和答复</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36.18  采购方受理质疑后，将及时把质疑函发送给被质疑人，并要求其在一定限期内提交书面答复，同时提供有关证据、依据和相关材料。</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36.19  对于质疑事项中涉及的问题较多、情况比较复杂的，为了全面查清事实、取得充分的证据，采购方认为有必要时，可以进行调查取证或者组织质证。</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36.20  对评审过程、</w:t>
      </w:r>
      <w:r>
        <w:rPr>
          <w:rFonts w:hint="eastAsia" w:ascii="微软雅黑" w:hAnsi="微软雅黑" w:eastAsia="微软雅黑" w:cs="微软雅黑"/>
          <w:color w:val="auto"/>
          <w:sz w:val="24"/>
          <w:highlight w:val="none"/>
          <w:lang w:val="en-US" w:eastAsia="zh-CN"/>
        </w:rPr>
        <w:t>成交</w:t>
      </w:r>
      <w:r>
        <w:rPr>
          <w:rFonts w:hint="eastAsia" w:ascii="微软雅黑" w:hAnsi="微软雅黑" w:eastAsia="微软雅黑" w:cs="微软雅黑"/>
          <w:color w:val="auto"/>
          <w:sz w:val="24"/>
          <w:highlight w:val="none"/>
        </w:rPr>
        <w:t>结果提出质疑的，采购方可以组织原评审委员会协助答复质疑。</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36.21  质疑处理过程中，质疑人书面申请撤回质疑的，将终止质疑处理程序。</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36.22  质疑人拒绝配合采购方依法对质疑进行调查处理的，采购方将按质疑人自动撤回质疑处理；被质疑人拒绝配合采购方依法对质疑进行调查处理的，采购方将视同其认可质疑事项。</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36.23  质疑人拒绝配合采购方依法对质疑进行调查处理的，采购方将按质疑人自动撤回质疑处理；被质疑人拒绝配合采购方依法对质疑进行调查处理的，采购方将视同其认可质疑事项。</w:t>
      </w:r>
    </w:p>
    <w:p>
      <w:pPr>
        <w:spacing w:line="360" w:lineRule="exact"/>
        <w:jc w:val="left"/>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sz w:val="24"/>
          <w:highlight w:val="none"/>
        </w:rPr>
        <w:t xml:space="preserve">36.24  采购方将在正式受理质疑后7个工作日内作出答复。 </w:t>
      </w:r>
    </w:p>
    <w:p>
      <w:pPr>
        <w:pStyle w:val="30"/>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36.25 质疑答复应当包括下列内容：</w:t>
      </w:r>
    </w:p>
    <w:p>
      <w:pPr>
        <w:pStyle w:val="30"/>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（一）质疑人的姓名或者名称；</w:t>
      </w:r>
    </w:p>
    <w:p>
      <w:pPr>
        <w:pStyle w:val="30"/>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（二）收到质疑函的日期、质疑项目名称及编号；</w:t>
      </w:r>
    </w:p>
    <w:p>
      <w:pPr>
        <w:pStyle w:val="30"/>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（三）质疑事项、质疑答复的具体内容、事实依据和法律依据；</w:t>
      </w:r>
    </w:p>
    <w:p>
      <w:pPr>
        <w:pStyle w:val="30"/>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（四）告知质疑供应商依法投诉的权利；</w:t>
      </w:r>
    </w:p>
    <w:p>
      <w:pPr>
        <w:pStyle w:val="30"/>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（五）质疑答复人名称；</w:t>
      </w:r>
    </w:p>
    <w:p>
      <w:pPr>
        <w:pStyle w:val="30"/>
        <w:spacing w:line="360" w:lineRule="exact"/>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（六）答复质疑的日期。</w:t>
      </w:r>
    </w:p>
    <w:p>
      <w:pPr>
        <w:spacing w:line="360" w:lineRule="exact"/>
        <w:jc w:val="center"/>
        <w:outlineLvl w:val="2"/>
        <w:rPr>
          <w:rFonts w:hint="eastAsia" w:ascii="微软雅黑" w:hAnsi="微软雅黑" w:eastAsia="微软雅黑" w:cs="微软雅黑"/>
          <w:b/>
          <w:bCs/>
          <w:color w:val="auto"/>
          <w:sz w:val="24"/>
          <w:highlight w:val="none"/>
        </w:rPr>
      </w:pPr>
      <w:bookmarkStart w:id="559" w:name="_Toc25636"/>
      <w:bookmarkStart w:id="560" w:name="_Toc23411"/>
      <w:bookmarkStart w:id="561" w:name="_Toc7516"/>
      <w:bookmarkStart w:id="562" w:name="_Toc9016"/>
      <w:bookmarkStart w:id="563" w:name="_Toc8353"/>
      <w:bookmarkStart w:id="564" w:name="_Toc1369"/>
      <w:bookmarkStart w:id="565" w:name="_Toc9437"/>
      <w:bookmarkStart w:id="566" w:name="_Toc11297"/>
      <w:bookmarkStart w:id="567" w:name="_Toc20088"/>
      <w:bookmarkStart w:id="568" w:name="_Toc27601"/>
      <w:bookmarkStart w:id="569" w:name="_Toc16553"/>
      <w:bookmarkStart w:id="570" w:name="_Toc30093"/>
      <w:bookmarkStart w:id="571" w:name="_Toc20549"/>
      <w:bookmarkStart w:id="572" w:name="_Toc12088"/>
      <w:r>
        <w:rPr>
          <w:rFonts w:hint="eastAsia" w:ascii="微软雅黑" w:hAnsi="微软雅黑" w:eastAsia="微软雅黑" w:cs="微软雅黑"/>
          <w:b/>
          <w:bCs/>
          <w:color w:val="auto"/>
          <w:sz w:val="24"/>
          <w:highlight w:val="none"/>
        </w:rPr>
        <w:t>质疑函范本</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pPr>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一、质疑供应商基本信息</w:t>
      </w:r>
    </w:p>
    <w:p>
      <w:pPr>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质疑供应商：</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授权代表：</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 xml:space="preserve"> </w:t>
      </w:r>
    </w:p>
    <w:p>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地址： </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二、质疑项目基本情况</w:t>
      </w:r>
    </w:p>
    <w:p>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质疑项目的名称：</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质疑项目的编号：</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包号：</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采购人名称：</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采购文件获取日期：</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三、质疑事项具体内容</w:t>
      </w:r>
    </w:p>
    <w:p>
      <w:pPr>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质疑事项1：</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事实依据：</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dotted"/>
        </w:rPr>
        <w:t xml:space="preserve">                                                       </w:t>
      </w:r>
    </w:p>
    <w:p>
      <w:pPr>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法律依据：</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u w:val="dotted"/>
        </w:rPr>
        <w:t xml:space="preserve">                                                     </w:t>
      </w:r>
    </w:p>
    <w:p>
      <w:pPr>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质疑事项2</w:t>
      </w:r>
    </w:p>
    <w:p>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p>
    <w:p>
      <w:pPr>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四、与质疑事项相关的质疑请求</w:t>
      </w:r>
    </w:p>
    <w:p>
      <w:pPr>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请求：</w:t>
      </w:r>
      <w:r>
        <w:rPr>
          <w:rFonts w:hint="eastAsia" w:ascii="微软雅黑" w:hAnsi="微软雅黑" w:eastAsia="微软雅黑" w:cs="微软雅黑"/>
          <w:color w:val="auto"/>
          <w:sz w:val="24"/>
          <w:highlight w:val="none"/>
          <w:u w:val="dotted"/>
        </w:rPr>
        <w:t xml:space="preserve">                                               </w:t>
      </w:r>
    </w:p>
    <w:p>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签字(签章)：                   公章：                      </w:t>
      </w:r>
    </w:p>
    <w:p>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日期：    </w:t>
      </w:r>
    </w:p>
    <w:p>
      <w:pPr>
        <w:spacing w:line="360" w:lineRule="exact"/>
        <w:rPr>
          <w:rFonts w:hint="eastAsia" w:ascii="微软雅黑" w:hAnsi="微软雅黑" w:eastAsia="微软雅黑" w:cs="微软雅黑"/>
          <w:b/>
          <w:color w:val="auto"/>
          <w:sz w:val="24"/>
          <w:highlight w:val="none"/>
        </w:rPr>
      </w:pPr>
    </w:p>
    <w:p>
      <w:pPr>
        <w:spacing w:line="36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质疑函制作说明：</w:t>
      </w:r>
    </w:p>
    <w:p>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1.供应商提出质疑时，应提交质疑函和必要的证明材料。</w:t>
      </w:r>
    </w:p>
    <w:p>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highlight w:val="none"/>
        </w:rPr>
        <w:t>供应商签署的授权委托书。授权委托书应载明代理人的姓名或者名称、代理事项、具体权限、期限和相关事项。</w:t>
      </w:r>
    </w:p>
    <w:p>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3.质疑供应商若对项目的某一分包进行质疑，质疑函中应列明具体分包号。</w:t>
      </w:r>
    </w:p>
    <w:p>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4.质疑函的质疑事项应具体、明确，并有必要的事实依据和法律依据。</w:t>
      </w:r>
    </w:p>
    <w:p>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5.质疑函的质疑请求应与质疑事项相关。</w:t>
      </w:r>
    </w:p>
    <w:p>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hd w:val="clear"/>
        <w:snapToGrid w:val="0"/>
        <w:spacing w:before="0" w:beforeAutospacing="0" w:after="0" w:afterAutospacing="0" w:line="400" w:lineRule="exact"/>
        <w:ind w:firstLine="480" w:firstLineChars="200"/>
        <w:jc w:val="left"/>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者盖章，并加盖公章。</w:t>
      </w:r>
    </w:p>
    <w:p>
      <w:pPr>
        <w:spacing w:before="0" w:beforeAutospacing="0" w:afterAutospacing="0" w:line="240" w:lineRule="atLeast"/>
        <w:jc w:val="both"/>
        <w:outlineLvl w:val="9"/>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color w:val="auto"/>
          <w:sz w:val="24"/>
          <w:szCs w:val="24"/>
          <w:highlight w:val="none"/>
        </w:rPr>
      </w:pPr>
    </w:p>
    <w:p>
      <w:pPr>
        <w:tabs>
          <w:tab w:val="left" w:pos="0"/>
        </w:tabs>
        <w:spacing w:before="0" w:beforeAutospacing="0" w:after="0" w:afterAutospacing="0" w:line="240" w:lineRule="atLeast"/>
        <w:jc w:val="center"/>
        <w:outlineLvl w:val="9"/>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pPr>
        <w:pStyle w:val="6"/>
        <w:shd w:val="clear"/>
        <w:snapToGrid w:val="0"/>
        <w:spacing w:before="0" w:beforeAutospacing="0" w:after="0" w:afterAutospacing="0" w:line="240" w:lineRule="atLeast"/>
        <w:jc w:val="center"/>
        <w:textAlignment w:val="baseline"/>
        <w:rPr>
          <w:rFonts w:hint="eastAsia" w:ascii="微软雅黑" w:hAnsi="微软雅黑" w:eastAsia="微软雅黑" w:cs="微软雅黑"/>
          <w:b/>
          <w:i w:val="0"/>
          <w:color w:val="auto"/>
          <w:spacing w:val="0"/>
          <w:w w:val="100"/>
          <w:sz w:val="24"/>
          <w:highlight w:val="none"/>
        </w:rPr>
      </w:pPr>
      <w:bookmarkStart w:id="573" w:name="_Toc25402"/>
      <w:r>
        <w:rPr>
          <w:rFonts w:hint="eastAsia" w:ascii="微软雅黑" w:hAnsi="微软雅黑" w:eastAsia="微软雅黑" w:cs="微软雅黑"/>
          <w:b/>
          <w:i w:val="0"/>
          <w:color w:val="auto"/>
          <w:spacing w:val="0"/>
          <w:w w:val="100"/>
          <w:sz w:val="24"/>
          <w:szCs w:val="24"/>
          <w:highlight w:val="none"/>
        </w:rPr>
        <w:t>第2章 响应文件格式</w:t>
      </w:r>
      <w:bookmarkEnd w:id="573"/>
    </w:p>
    <w:p>
      <w:pPr>
        <w:pStyle w:val="7"/>
        <w:shd w:val="clea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olor w:val="auto"/>
          <w:spacing w:val="0"/>
          <w:w w:val="100"/>
          <w:sz w:val="24"/>
          <w:highlight w:val="none"/>
        </w:rPr>
      </w:pPr>
      <w:bookmarkStart w:id="574" w:name="_Toc18694"/>
      <w:bookmarkEnd w:id="574"/>
      <w:bookmarkStart w:id="575" w:name="_Toc3315"/>
      <w:bookmarkEnd w:id="575"/>
      <w:bookmarkStart w:id="576" w:name="_Toc26489"/>
      <w:bookmarkEnd w:id="576"/>
      <w:bookmarkStart w:id="577" w:name="_Toc18974"/>
      <w:bookmarkEnd w:id="577"/>
      <w:bookmarkStart w:id="578" w:name="_Toc19961"/>
      <w:bookmarkEnd w:id="578"/>
      <w:bookmarkStart w:id="579" w:name="_Toc515647803"/>
      <w:bookmarkEnd w:id="579"/>
      <w:bookmarkStart w:id="580" w:name="_Toc21920"/>
      <w:bookmarkEnd w:id="580"/>
      <w:bookmarkStart w:id="581" w:name="_Toc23129"/>
      <w:r>
        <w:rPr>
          <w:rFonts w:hint="eastAsia" w:ascii="微软雅黑" w:hAnsi="微软雅黑" w:eastAsia="微软雅黑" w:cs="微软雅黑"/>
          <w:b/>
          <w:i w:val="0"/>
          <w:color w:val="auto"/>
          <w:spacing w:val="0"/>
          <w:w w:val="100"/>
          <w:sz w:val="24"/>
          <w:szCs w:val="24"/>
          <w:highlight w:val="none"/>
        </w:rPr>
        <w:t>第一部分 磋商开启一览表及资格证明文件</w:t>
      </w:r>
      <w:bookmarkEnd w:id="581"/>
    </w:p>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exact"/>
        <w:ind w:left="613" w:leftChars="114" w:hanging="374" w:hangingChars="156"/>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磋商一览表；</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exact"/>
        <w:ind w:left="613" w:leftChars="114" w:hanging="374" w:hangingChars="156"/>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2.具有有效的营业执照；</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exact"/>
        <w:ind w:left="613" w:leftChars="114" w:hanging="374" w:hangingChars="156"/>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3.提供法定代表人身份证明及授权书、被授权人身份证；(法定代表人磋商需提供法定代表人身份证复印件)；</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exact"/>
        <w:ind w:left="613" w:leftChars="114" w:hanging="374" w:hangingChars="156"/>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4.近两年任意一年的财务审计报告，新成立的公司提供近三个月内任意一个月的银行资信证明；</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exact"/>
        <w:ind w:left="613" w:leftChars="114" w:hanging="374" w:hangingChars="156"/>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5.提供依法缴纳近6个月任意1个月社会保险的证明； </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exact"/>
        <w:ind w:left="613" w:leftChars="114" w:hanging="374" w:hangingChars="156"/>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6.提供依法缴纳近6个月任意1个月的税收证明；</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exact"/>
        <w:ind w:left="613" w:leftChars="114" w:hanging="374" w:hangingChars="156"/>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7.根据《财政部关于在政府采购活动中查询及使用信用记录有关问题的通知》（财库﹝2016﹞125号）的要求，凡拟参加本次采购项目的供应商，如在“信用中国”网站（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将拒绝其参加本次采购活动；（以采购代理或采购人查询为准）；</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exact"/>
        <w:ind w:left="613" w:leftChars="114" w:hanging="374" w:hangingChars="156"/>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8.参与政府采购活动前3年内未被列入失信、重大税收违法案件、财政部门禁止参加政府采购活动的承诺书；</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exact"/>
        <w:ind w:left="613" w:leftChars="114" w:hanging="374" w:hangingChars="156"/>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9.提供针对本次项目《反商业贿赂承诺书》；</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exact"/>
        <w:ind w:left="613" w:leftChars="114" w:hanging="374" w:hangingChars="156"/>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10.缴纳磋商保证金有效凭证；</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exact"/>
        <w:ind w:left="613" w:leftChars="114" w:hanging="374" w:hangingChars="156"/>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11.银行开户许可证复印件或银行基本账户信息(包含：银行账号及开户行名称）；</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exact"/>
        <w:ind w:left="613" w:leftChars="114" w:hanging="374" w:hangingChars="156"/>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可提供有利于</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的其他资格证明材料。</w:t>
      </w:r>
    </w:p>
    <w:p>
      <w:pPr>
        <w:rPr>
          <w:rFonts w:hint="eastAsia" w:ascii="微软雅黑" w:hAnsi="微软雅黑" w:eastAsia="微软雅黑" w:cs="微软雅黑"/>
          <w:b/>
          <w:bCs/>
          <w:color w:val="auto"/>
          <w:sz w:val="24"/>
          <w:szCs w:val="24"/>
          <w:highlight w:val="none"/>
        </w:rPr>
      </w:pPr>
    </w:p>
    <w:p>
      <w:pP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bCs/>
          <w:color w:val="auto"/>
          <w:sz w:val="24"/>
          <w:szCs w:val="24"/>
          <w:highlight w:val="none"/>
        </w:rPr>
        <w:t>注：1、“</w:t>
      </w:r>
      <w:r>
        <w:rPr>
          <w:rFonts w:hint="eastAsia" w:ascii="微软雅黑" w:hAnsi="微软雅黑" w:eastAsia="微软雅黑" w:cs="微软雅黑"/>
          <w:b/>
          <w:bCs/>
          <w:color w:val="auto"/>
          <w:sz w:val="24"/>
          <w:szCs w:val="24"/>
          <w:highlight w:val="none"/>
          <w:lang w:eastAsia="zh-CN"/>
        </w:rPr>
        <w:t>提供依法缴纳近6个月任意1个月的税收证明</w:t>
      </w:r>
      <w:r>
        <w:rPr>
          <w:rFonts w:hint="eastAsia" w:ascii="微软雅黑" w:hAnsi="微软雅黑" w:eastAsia="微软雅黑" w:cs="微软雅黑"/>
          <w:b/>
          <w:bCs/>
          <w:color w:val="auto"/>
          <w:sz w:val="24"/>
          <w:szCs w:val="24"/>
          <w:highlight w:val="none"/>
        </w:rPr>
        <w:t>”：①若供应商某月税收为零申报，须提供“国家税务总局电子税务局（12366.chinatax.gov.cn/bsfw/onlinetaxation/main）”的申报结果查询截图。②完税证明中“税种”非养老保险、医疗保险、失业保险、工伤保险和生育保险。请各供应商注意！</w:t>
      </w:r>
      <w:r>
        <w:rPr>
          <w:rFonts w:hint="eastAsia" w:ascii="微软雅黑" w:hAnsi="微软雅黑" w:eastAsia="微软雅黑" w:cs="微软雅黑"/>
          <w:b/>
          <w:color w:val="auto"/>
          <w:sz w:val="24"/>
          <w:szCs w:val="24"/>
          <w:highlight w:val="none"/>
        </w:rPr>
        <w:br w:type="page"/>
      </w:r>
    </w:p>
    <w:p>
      <w:pPr>
        <w:numPr>
          <w:ilvl w:val="0"/>
          <w:numId w:val="6"/>
        </w:numPr>
        <w:spacing w:before="0" w:beforeAutospacing="0" w:afterAutospacing="0" w:line="240" w:lineRule="atLeast"/>
        <w:jc w:val="left"/>
        <w:outlineLvl w:val="1"/>
        <w:rPr>
          <w:rFonts w:hint="eastAsia" w:ascii="微软雅黑" w:hAnsi="微软雅黑" w:eastAsia="微软雅黑" w:cs="微软雅黑"/>
          <w:b/>
          <w:color w:val="auto"/>
          <w:sz w:val="24"/>
          <w:szCs w:val="24"/>
          <w:highlight w:val="none"/>
        </w:rPr>
      </w:pPr>
      <w:bookmarkStart w:id="582" w:name="_Hlt520356241"/>
      <w:bookmarkEnd w:id="582"/>
      <w:bookmarkStart w:id="583" w:name="_Toc30485"/>
      <w:bookmarkStart w:id="584" w:name="_Toc494296984"/>
      <w:r>
        <w:rPr>
          <w:rFonts w:hint="eastAsia" w:ascii="微软雅黑" w:hAnsi="微软雅黑" w:eastAsia="微软雅黑" w:cs="微软雅黑"/>
          <w:b/>
          <w:color w:val="auto"/>
          <w:sz w:val="24"/>
          <w:szCs w:val="24"/>
          <w:highlight w:val="none"/>
          <w:lang w:eastAsia="zh-CN"/>
        </w:rPr>
        <w:t>磋商一览表</w:t>
      </w:r>
      <w:bookmarkEnd w:id="583"/>
    </w:p>
    <w:p>
      <w:pPr>
        <w:bidi w:val="0"/>
        <w:jc w:val="center"/>
        <w:rPr>
          <w:rFonts w:hint="eastAsia" w:ascii="微软雅黑" w:hAnsi="微软雅黑" w:eastAsia="微软雅黑" w:cs="微软雅黑"/>
          <w:b/>
          <w:bCs/>
          <w:color w:val="auto"/>
          <w:sz w:val="24"/>
          <w:szCs w:val="32"/>
          <w:highlight w:val="none"/>
          <w:lang w:val="en-US" w:eastAsia="zh-CN"/>
        </w:rPr>
      </w:pPr>
    </w:p>
    <w:p>
      <w:pPr>
        <w:bidi w:val="0"/>
        <w:jc w:val="center"/>
        <w:rPr>
          <w:rFonts w:hint="eastAsia" w:ascii="微软雅黑" w:hAnsi="微软雅黑" w:eastAsia="微软雅黑" w:cs="微软雅黑"/>
          <w:b/>
          <w:bCs/>
          <w:color w:val="auto"/>
          <w:sz w:val="24"/>
          <w:szCs w:val="32"/>
          <w:highlight w:val="none"/>
          <w:lang w:val="en-US" w:eastAsia="zh-CN"/>
        </w:rPr>
      </w:pPr>
      <w:r>
        <w:rPr>
          <w:rFonts w:hint="eastAsia" w:ascii="微软雅黑" w:hAnsi="微软雅黑" w:eastAsia="微软雅黑" w:cs="微软雅黑"/>
          <w:b/>
          <w:bCs/>
          <w:color w:val="auto"/>
          <w:sz w:val="24"/>
          <w:szCs w:val="32"/>
          <w:highlight w:val="none"/>
          <w:lang w:val="en-US" w:eastAsia="zh-CN"/>
        </w:rPr>
        <w:t>磋商一览表</w:t>
      </w:r>
    </w:p>
    <w:p>
      <w:pPr>
        <w:pStyle w:val="4"/>
        <w:tabs>
          <w:tab w:val="left" w:pos="5580"/>
        </w:tabs>
        <w:spacing w:beforeAutospacing="0" w:afterAutospacing="0" w:line="240" w:lineRule="atLeast"/>
        <w:ind w:left="1080" w:leftChars="257" w:hanging="540"/>
        <w:outlineLvl w:val="9"/>
        <w:rPr>
          <w:rFonts w:hint="eastAsia" w:ascii="微软雅黑" w:hAnsi="微软雅黑" w:eastAsia="微软雅黑" w:cs="微软雅黑"/>
          <w:color w:val="auto"/>
          <w:sz w:val="24"/>
          <w:szCs w:val="24"/>
          <w:highlight w:val="none"/>
        </w:rPr>
      </w:pPr>
    </w:p>
    <w:p>
      <w:pPr>
        <w:tabs>
          <w:tab w:val="left" w:pos="1800"/>
          <w:tab w:val="left" w:pos="5580"/>
        </w:tabs>
        <w:spacing w:beforeAutospacing="0" w:afterAutospacing="0" w:line="240" w:lineRule="atLeast"/>
        <w:ind w:right="-867" w:rightChars="-41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w:t>
      </w:r>
      <w:r>
        <w:rPr>
          <w:rFonts w:hint="eastAsia" w:ascii="微软雅黑" w:hAnsi="微软雅黑" w:eastAsia="微软雅黑" w:cs="微软雅黑"/>
          <w:color w:val="auto"/>
          <w:sz w:val="24"/>
          <w:szCs w:val="24"/>
          <w:highlight w:val="none"/>
          <w:lang w:eastAsia="zh-CN"/>
        </w:rPr>
        <w:t>项目编号</w:t>
      </w:r>
      <w:r>
        <w:rPr>
          <w:rFonts w:hint="eastAsia" w:ascii="微软雅黑" w:hAnsi="微软雅黑" w:eastAsia="微软雅黑" w:cs="微软雅黑"/>
          <w:color w:val="auto"/>
          <w:sz w:val="24"/>
          <w:szCs w:val="24"/>
          <w:highlight w:val="none"/>
        </w:rPr>
        <w:t xml:space="preserve">：                 </w:t>
      </w:r>
    </w:p>
    <w:p>
      <w:pPr>
        <w:tabs>
          <w:tab w:val="left" w:pos="1800"/>
          <w:tab w:val="left" w:pos="5580"/>
        </w:tabs>
        <w:spacing w:beforeAutospacing="0" w:afterAutospacing="0" w:line="240" w:lineRule="atLeast"/>
        <w:ind w:right="-867" w:rightChars="-413"/>
        <w:rPr>
          <w:rFonts w:hint="eastAsia" w:ascii="微软雅黑" w:hAnsi="微软雅黑" w:eastAsia="微软雅黑" w:cs="微软雅黑"/>
          <w:color w:val="auto"/>
          <w:sz w:val="24"/>
          <w:szCs w:val="24"/>
          <w:highlight w:val="none"/>
        </w:rPr>
      </w:pPr>
    </w:p>
    <w:p>
      <w:pPr>
        <w:tabs>
          <w:tab w:val="left" w:pos="1800"/>
          <w:tab w:val="left" w:pos="5580"/>
        </w:tabs>
        <w:spacing w:beforeAutospacing="0" w:afterAutospacing="0" w:line="240" w:lineRule="atLeast"/>
        <w:ind w:right="-867" w:rightChars="-41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报价</w:t>
      </w:r>
      <w:r>
        <w:rPr>
          <w:rFonts w:hint="eastAsia" w:ascii="微软雅黑" w:hAnsi="微软雅黑" w:eastAsia="微软雅黑" w:cs="微软雅黑"/>
          <w:color w:val="auto"/>
          <w:sz w:val="24"/>
          <w:szCs w:val="24"/>
          <w:highlight w:val="none"/>
        </w:rPr>
        <w:t xml:space="preserve">单位：人民币  </w:t>
      </w:r>
      <w:r>
        <w:rPr>
          <w:rFonts w:hint="eastAsia" w:ascii="微软雅黑" w:hAnsi="微软雅黑" w:eastAsia="微软雅黑" w:cs="微软雅黑"/>
          <w:b/>
          <w:color w:val="auto"/>
          <w:sz w:val="24"/>
          <w:szCs w:val="24"/>
          <w:highlight w:val="none"/>
        </w:rPr>
        <w:t xml:space="preserve">元                 </w:t>
      </w:r>
      <w:r>
        <w:rPr>
          <w:rFonts w:hint="eastAsia" w:ascii="微软雅黑" w:hAnsi="微软雅黑" w:eastAsia="微软雅黑" w:cs="微软雅黑"/>
          <w:color w:val="auto"/>
          <w:sz w:val="24"/>
          <w:szCs w:val="24"/>
          <w:highlight w:val="none"/>
        </w:rPr>
        <w:t xml:space="preserve">      </w:t>
      </w:r>
    </w:p>
    <w:tbl>
      <w:tblPr>
        <w:tblStyle w:val="22"/>
        <w:tblW w:w="9155"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2340"/>
        <w:gridCol w:w="1805"/>
        <w:gridCol w:w="1445"/>
        <w:gridCol w:w="1016"/>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1420" w:type="dxa"/>
            <w:vAlign w:val="center"/>
          </w:tcPr>
          <w:p>
            <w:pPr>
              <w:tabs>
                <w:tab w:val="left" w:pos="5580"/>
              </w:tabs>
              <w:spacing w:beforeAutospacing="0" w:afterAutospacing="0" w:line="400" w:lineRule="exact"/>
              <w:ind w:right="-199"/>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服务</w:t>
            </w:r>
            <w:r>
              <w:rPr>
                <w:rFonts w:hint="eastAsia" w:ascii="微软雅黑" w:hAnsi="微软雅黑" w:eastAsia="微软雅黑" w:cs="微软雅黑"/>
                <w:color w:val="auto"/>
                <w:sz w:val="24"/>
                <w:highlight w:val="none"/>
              </w:rPr>
              <w:t>名称</w:t>
            </w:r>
          </w:p>
        </w:tc>
        <w:tc>
          <w:tcPr>
            <w:tcW w:w="2340" w:type="dxa"/>
            <w:vAlign w:val="center"/>
          </w:tcPr>
          <w:p>
            <w:pPr>
              <w:tabs>
                <w:tab w:val="left" w:pos="5580"/>
              </w:tabs>
              <w:spacing w:beforeAutospacing="0" w:afterAutospacing="0"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总价</w:t>
            </w:r>
          </w:p>
        </w:tc>
        <w:tc>
          <w:tcPr>
            <w:tcW w:w="1805" w:type="dxa"/>
            <w:vAlign w:val="center"/>
          </w:tcPr>
          <w:p>
            <w:pPr>
              <w:tabs>
                <w:tab w:val="left" w:pos="5580"/>
              </w:tabs>
              <w:spacing w:beforeAutospacing="0" w:afterAutospacing="0"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保证金</w:t>
            </w:r>
          </w:p>
        </w:tc>
        <w:tc>
          <w:tcPr>
            <w:tcW w:w="1445" w:type="dxa"/>
            <w:vAlign w:val="center"/>
          </w:tcPr>
          <w:p>
            <w:pPr>
              <w:tabs>
                <w:tab w:val="left" w:pos="5580"/>
              </w:tabs>
              <w:spacing w:beforeAutospacing="0" w:afterAutospacing="0" w:line="400" w:lineRule="exact"/>
              <w:jc w:val="center"/>
              <w:rPr>
                <w:rFonts w:hint="default" w:ascii="微软雅黑" w:hAnsi="微软雅黑" w:eastAsia="微软雅黑" w:cs="微软雅黑"/>
                <w:color w:val="auto"/>
                <w:sz w:val="24"/>
                <w:highlight w:val="none"/>
                <w:lang w:val="en-US"/>
              </w:rPr>
            </w:pPr>
            <w:r>
              <w:rPr>
                <w:rFonts w:hint="eastAsia" w:ascii="微软雅黑" w:hAnsi="微软雅黑" w:eastAsia="微软雅黑" w:cs="微软雅黑"/>
                <w:color w:val="auto"/>
                <w:sz w:val="24"/>
                <w:highlight w:val="none"/>
                <w:lang w:val="en-US" w:eastAsia="zh-CN"/>
              </w:rPr>
              <w:t>服务期限</w:t>
            </w:r>
          </w:p>
        </w:tc>
        <w:tc>
          <w:tcPr>
            <w:tcW w:w="1016" w:type="dxa"/>
            <w:vAlign w:val="center"/>
          </w:tcPr>
          <w:p>
            <w:pPr>
              <w:tabs>
                <w:tab w:val="left" w:pos="5580"/>
              </w:tabs>
              <w:spacing w:beforeAutospacing="0" w:afterAutospacing="0"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服务</w:t>
            </w:r>
            <w:r>
              <w:rPr>
                <w:rFonts w:hint="eastAsia" w:ascii="微软雅黑" w:hAnsi="微软雅黑" w:eastAsia="微软雅黑" w:cs="微软雅黑"/>
                <w:color w:val="auto"/>
                <w:sz w:val="24"/>
                <w:highlight w:val="none"/>
              </w:rPr>
              <w:t>地点</w:t>
            </w:r>
          </w:p>
        </w:tc>
        <w:tc>
          <w:tcPr>
            <w:tcW w:w="1129" w:type="dxa"/>
            <w:vAlign w:val="center"/>
          </w:tcPr>
          <w:p>
            <w:pPr>
              <w:tabs>
                <w:tab w:val="left" w:pos="5580"/>
              </w:tabs>
              <w:spacing w:beforeAutospacing="0" w:afterAutospacing="0" w:line="40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trPr>
        <w:tc>
          <w:tcPr>
            <w:tcW w:w="1420" w:type="dxa"/>
            <w:vAlign w:val="center"/>
          </w:tcPr>
          <w:p>
            <w:pPr>
              <w:tabs>
                <w:tab w:val="left" w:pos="5580"/>
              </w:tabs>
              <w:spacing w:beforeAutospacing="0" w:afterAutospacing="0" w:line="400" w:lineRule="exact"/>
              <w:ind w:left="1080" w:leftChars="257" w:hanging="540"/>
              <w:jc w:val="center"/>
              <w:rPr>
                <w:rFonts w:hint="eastAsia" w:ascii="微软雅黑" w:hAnsi="微软雅黑" w:eastAsia="微软雅黑" w:cs="微软雅黑"/>
                <w:color w:val="auto"/>
                <w:sz w:val="24"/>
                <w:highlight w:val="none"/>
              </w:rPr>
            </w:pPr>
          </w:p>
        </w:tc>
        <w:tc>
          <w:tcPr>
            <w:tcW w:w="2340" w:type="dxa"/>
            <w:vAlign w:val="center"/>
          </w:tcPr>
          <w:p>
            <w:pPr>
              <w:tabs>
                <w:tab w:val="left" w:pos="5580"/>
              </w:tabs>
              <w:spacing w:beforeAutospacing="0" w:afterAutospacing="0" w:line="40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大写：</w:t>
            </w:r>
          </w:p>
          <w:p>
            <w:pPr>
              <w:tabs>
                <w:tab w:val="left" w:pos="5580"/>
              </w:tabs>
              <w:spacing w:beforeAutospacing="0" w:afterAutospacing="0" w:line="40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小写：</w:t>
            </w:r>
          </w:p>
        </w:tc>
        <w:tc>
          <w:tcPr>
            <w:tcW w:w="1805" w:type="dxa"/>
            <w:vAlign w:val="center"/>
          </w:tcPr>
          <w:p>
            <w:pPr>
              <w:tabs>
                <w:tab w:val="left" w:pos="5580"/>
              </w:tabs>
              <w:spacing w:beforeAutospacing="0" w:afterAutospacing="0" w:line="400" w:lineRule="exact"/>
              <w:ind w:left="1080" w:leftChars="257" w:hanging="540"/>
              <w:jc w:val="center"/>
              <w:rPr>
                <w:rFonts w:hint="eastAsia" w:ascii="微软雅黑" w:hAnsi="微软雅黑" w:eastAsia="微软雅黑" w:cs="微软雅黑"/>
                <w:color w:val="auto"/>
                <w:sz w:val="24"/>
                <w:highlight w:val="none"/>
              </w:rPr>
            </w:pPr>
          </w:p>
        </w:tc>
        <w:tc>
          <w:tcPr>
            <w:tcW w:w="1445" w:type="dxa"/>
            <w:vAlign w:val="center"/>
          </w:tcPr>
          <w:p>
            <w:pPr>
              <w:tabs>
                <w:tab w:val="left" w:pos="5580"/>
              </w:tabs>
              <w:spacing w:beforeAutospacing="0" w:afterAutospacing="0" w:line="400" w:lineRule="exact"/>
              <w:ind w:left="1080" w:leftChars="257" w:hanging="540"/>
              <w:jc w:val="center"/>
              <w:rPr>
                <w:rFonts w:hint="eastAsia" w:ascii="微软雅黑" w:hAnsi="微软雅黑" w:eastAsia="微软雅黑" w:cs="微软雅黑"/>
                <w:color w:val="auto"/>
                <w:sz w:val="24"/>
                <w:highlight w:val="none"/>
              </w:rPr>
            </w:pPr>
          </w:p>
        </w:tc>
        <w:tc>
          <w:tcPr>
            <w:tcW w:w="1016" w:type="dxa"/>
            <w:vAlign w:val="center"/>
          </w:tcPr>
          <w:p>
            <w:pPr>
              <w:tabs>
                <w:tab w:val="left" w:pos="5580"/>
              </w:tabs>
              <w:spacing w:beforeAutospacing="0" w:afterAutospacing="0" w:line="400" w:lineRule="exact"/>
              <w:ind w:left="1080" w:leftChars="257" w:hanging="540"/>
              <w:jc w:val="center"/>
              <w:rPr>
                <w:rFonts w:hint="eastAsia" w:ascii="微软雅黑" w:hAnsi="微软雅黑" w:eastAsia="微软雅黑" w:cs="微软雅黑"/>
                <w:color w:val="auto"/>
                <w:sz w:val="24"/>
                <w:highlight w:val="none"/>
              </w:rPr>
            </w:pPr>
          </w:p>
        </w:tc>
        <w:tc>
          <w:tcPr>
            <w:tcW w:w="1129" w:type="dxa"/>
            <w:vAlign w:val="center"/>
          </w:tcPr>
          <w:p>
            <w:pPr>
              <w:keepNext w:val="0"/>
              <w:keepLines w:val="0"/>
              <w:pageBreakBefore w:val="0"/>
              <w:widowControl w:val="0"/>
              <w:tabs>
                <w:tab w:val="left" w:pos="5580"/>
              </w:tabs>
              <w:kinsoku/>
              <w:wordWrap/>
              <w:overflowPunct/>
              <w:topLinePunct w:val="0"/>
              <w:autoSpaceDE/>
              <w:autoSpaceDN/>
              <w:bidi w:val="0"/>
              <w:adjustRightInd/>
              <w:snapToGrid/>
              <w:spacing w:beforeAutospacing="0" w:afterAutospacing="0" w:line="400" w:lineRule="exact"/>
              <w:ind w:left="539" w:leftChars="0" w:hanging="539"/>
              <w:jc w:val="center"/>
              <w:textAlignment w:val="auto"/>
              <w:rPr>
                <w:rFonts w:hint="eastAsia" w:ascii="微软雅黑" w:hAnsi="微软雅黑" w:eastAsia="微软雅黑" w:cs="微软雅黑"/>
                <w:color w:val="auto"/>
                <w:sz w:val="24"/>
                <w:highlight w:val="none"/>
              </w:rPr>
            </w:pPr>
          </w:p>
        </w:tc>
      </w:tr>
    </w:tbl>
    <w:p>
      <w:pPr>
        <w:pStyle w:val="12"/>
        <w:tabs>
          <w:tab w:val="left" w:pos="5580"/>
        </w:tabs>
        <w:spacing w:beforeAutospacing="0" w:afterAutospacing="0" w:line="240" w:lineRule="atLeast"/>
        <w:ind w:left="1080" w:leftChars="257" w:hanging="540"/>
        <w:rPr>
          <w:rFonts w:hint="eastAsia" w:ascii="微软雅黑" w:hAnsi="微软雅黑" w:eastAsia="微软雅黑" w:cs="微软雅黑"/>
          <w:color w:val="auto"/>
          <w:sz w:val="24"/>
          <w:szCs w:val="24"/>
          <w:highlight w:val="none"/>
        </w:rPr>
      </w:pPr>
    </w:p>
    <w:p>
      <w:pPr>
        <w:pStyle w:val="12"/>
        <w:tabs>
          <w:tab w:val="left" w:pos="5580"/>
        </w:tabs>
        <w:spacing w:beforeAutospacing="0" w:afterAutospacing="0" w:line="240" w:lineRule="atLeast"/>
        <w:ind w:left="1080" w:leftChars="257" w:hanging="540"/>
        <w:rPr>
          <w:rFonts w:hint="eastAsia" w:ascii="微软雅黑" w:hAnsi="微软雅黑" w:eastAsia="微软雅黑" w:cs="微软雅黑"/>
          <w:color w:val="auto"/>
          <w:sz w:val="24"/>
          <w:szCs w:val="24"/>
          <w:highlight w:val="none"/>
          <w:u w:val="single"/>
        </w:rPr>
      </w:pP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供应商名称（公章）：</w:t>
      </w:r>
      <w:r>
        <w:rPr>
          <w:rFonts w:hint="eastAsia" w:ascii="微软雅黑" w:hAnsi="微软雅黑" w:eastAsia="微软雅黑" w:cs="微软雅黑"/>
          <w:b w:val="0"/>
          <w:i w:val="0"/>
          <w:color w:val="auto"/>
          <w:spacing w:val="0"/>
          <w:w w:val="100"/>
          <w:sz w:val="24"/>
          <w:szCs w:val="24"/>
          <w:highlight w:val="none"/>
          <w:u w:val="single" w:color="000000"/>
        </w:rPr>
        <w:t xml:space="preserve">                       </w:t>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u w:val="single" w:color="000000"/>
        </w:rPr>
      </w:pPr>
      <w:r>
        <w:rPr>
          <w:rFonts w:hint="eastAsia" w:ascii="微软雅黑" w:hAnsi="微软雅黑" w:eastAsia="微软雅黑" w:cs="微软雅黑"/>
          <w:b w:val="0"/>
          <w:i w:val="0"/>
          <w:color w:val="auto"/>
          <w:spacing w:val="0"/>
          <w:w w:val="100"/>
          <w:sz w:val="24"/>
          <w:szCs w:val="24"/>
          <w:highlight w:val="none"/>
        </w:rPr>
        <w:t>法定代表人或委托代理(签字</w:t>
      </w:r>
      <w:r>
        <w:rPr>
          <w:rFonts w:hint="eastAsia" w:ascii="微软雅黑" w:hAnsi="微软雅黑" w:eastAsia="微软雅黑" w:cs="微软雅黑"/>
          <w:b w:val="0"/>
          <w:i w:val="0"/>
          <w:color w:val="auto"/>
          <w:spacing w:val="0"/>
          <w:w w:val="100"/>
          <w:sz w:val="24"/>
          <w:szCs w:val="24"/>
          <w:highlight w:val="none"/>
          <w:lang w:val="en-US" w:eastAsia="zh-CN"/>
        </w:rPr>
        <w:t>或盖章</w:t>
      </w:r>
      <w:r>
        <w:rPr>
          <w:rFonts w:hint="eastAsia" w:ascii="微软雅黑" w:hAnsi="微软雅黑" w:eastAsia="微软雅黑" w:cs="微软雅黑"/>
          <w:b w:val="0"/>
          <w:i w:val="0"/>
          <w:color w:val="auto"/>
          <w:spacing w:val="0"/>
          <w:w w:val="100"/>
          <w:sz w:val="24"/>
          <w:szCs w:val="24"/>
          <w:highlight w:val="none"/>
        </w:rPr>
        <w:t>):</w:t>
      </w:r>
      <w:r>
        <w:rPr>
          <w:rFonts w:hint="eastAsia" w:ascii="微软雅黑" w:hAnsi="微软雅黑" w:eastAsia="微软雅黑" w:cs="微软雅黑"/>
          <w:b w:val="0"/>
          <w:i w:val="0"/>
          <w:color w:val="auto"/>
          <w:spacing w:val="0"/>
          <w:w w:val="100"/>
          <w:sz w:val="24"/>
          <w:szCs w:val="24"/>
          <w:highlight w:val="none"/>
          <w:u w:val="single" w:color="000000"/>
        </w:rPr>
        <w:tab/>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bookmarkEnd w:id="584"/>
    <w:p>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注:1、此表应按供应商须知的规定装订密封。</w:t>
      </w:r>
    </w:p>
    <w:p>
      <w:pP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2、此表中，</w:t>
      </w:r>
      <w:r>
        <w:rPr>
          <w:rFonts w:hint="eastAsia" w:ascii="微软雅黑" w:hAnsi="微软雅黑" w:eastAsia="微软雅黑" w:cs="微软雅黑"/>
          <w:b/>
          <w:bCs/>
          <w:color w:val="auto"/>
          <w:sz w:val="24"/>
          <w:highlight w:val="none"/>
          <w:lang w:eastAsia="zh-CN"/>
        </w:rPr>
        <w:t>磋商总价</w:t>
      </w:r>
      <w:r>
        <w:rPr>
          <w:rFonts w:hint="eastAsia" w:ascii="微软雅黑" w:hAnsi="微软雅黑" w:eastAsia="微软雅黑" w:cs="微软雅黑"/>
          <w:b/>
          <w:bCs/>
          <w:color w:val="auto"/>
          <w:sz w:val="24"/>
          <w:highlight w:val="none"/>
        </w:rPr>
        <w:t>为单价的合计。</w:t>
      </w:r>
    </w:p>
    <w:p>
      <w:pP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3、此表中，</w:t>
      </w:r>
      <w:r>
        <w:rPr>
          <w:rFonts w:hint="eastAsia" w:ascii="微软雅黑" w:hAnsi="微软雅黑" w:eastAsia="微软雅黑" w:cs="微软雅黑"/>
          <w:b/>
          <w:bCs/>
          <w:color w:val="auto"/>
          <w:sz w:val="24"/>
          <w:highlight w:val="none"/>
          <w:lang w:eastAsia="zh-CN"/>
        </w:rPr>
        <w:t>磋商总价</w:t>
      </w:r>
      <w:r>
        <w:rPr>
          <w:rFonts w:hint="eastAsia" w:ascii="微软雅黑" w:hAnsi="微软雅黑" w:eastAsia="微软雅黑" w:cs="微软雅黑"/>
          <w:b/>
          <w:bCs/>
          <w:color w:val="auto"/>
          <w:sz w:val="24"/>
          <w:highlight w:val="none"/>
        </w:rPr>
        <w:t>应和分项报价表的总价相一致。</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4、投标商报价时包含税费等一切与本次项目相关的费用。</w:t>
      </w:r>
      <w:r>
        <w:rPr>
          <w:rFonts w:hint="eastAsia" w:ascii="微软雅黑" w:hAnsi="微软雅黑" w:eastAsia="微软雅黑" w:cs="微软雅黑"/>
          <w:color w:val="auto"/>
          <w:sz w:val="24"/>
          <w:szCs w:val="24"/>
          <w:highlight w:val="none"/>
        </w:rPr>
        <w:t xml:space="preserve"> </w:t>
      </w:r>
    </w:p>
    <w:p>
      <w:pPr>
        <w:rPr>
          <w:rFonts w:hint="eastAsia" w:ascii="微软雅黑" w:hAnsi="微软雅黑" w:eastAsia="微软雅黑" w:cs="微软雅黑"/>
          <w:color w:val="auto"/>
          <w:sz w:val="24"/>
          <w:szCs w:val="24"/>
          <w:highlight w:val="none"/>
        </w:rPr>
      </w:pPr>
    </w:p>
    <w:p>
      <w:pPr>
        <w:pStyle w:val="2"/>
        <w:spacing w:beforeAutospacing="0" w:afterAutospacing="0" w:line="400" w:lineRule="exact"/>
        <w:ind w:left="0" w:leftChars="0" w:firstLine="0" w:firstLineChars="0"/>
        <w:outlineLvl w:val="1"/>
        <w:rPr>
          <w:rFonts w:hint="eastAsia" w:ascii="微软雅黑" w:hAnsi="微软雅黑" w:eastAsia="微软雅黑" w:cs="微软雅黑"/>
          <w:b/>
          <w:color w:val="auto"/>
          <w:kern w:val="0"/>
          <w:sz w:val="24"/>
          <w:szCs w:val="24"/>
          <w:highlight w:val="none"/>
          <w:lang w:val="en-US" w:eastAsia="zh-CN" w:bidi="ar-SA"/>
        </w:rPr>
      </w:pPr>
      <w:bookmarkStart w:id="585" w:name="_Toc8331"/>
      <w:bookmarkEnd w:id="585"/>
      <w:bookmarkStart w:id="586" w:name="_Toc26792"/>
      <w:bookmarkEnd w:id="586"/>
      <w:bookmarkStart w:id="587" w:name="_Toc30729"/>
      <w:r>
        <w:rPr>
          <w:rFonts w:hint="eastAsia" w:ascii="微软雅黑" w:hAnsi="微软雅黑" w:eastAsia="微软雅黑" w:cs="微软雅黑"/>
          <w:b/>
          <w:color w:val="auto"/>
          <w:kern w:val="0"/>
          <w:sz w:val="24"/>
          <w:szCs w:val="24"/>
          <w:highlight w:val="none"/>
          <w:lang w:val="en-US" w:eastAsia="zh-CN" w:bidi="ar-SA"/>
        </w:rPr>
        <w:t>2.具有有效的营业执照；</w:t>
      </w:r>
      <w:bookmarkEnd w:id="587"/>
    </w:p>
    <w:p>
      <w:pPr>
        <w:pStyle w:val="2"/>
        <w:spacing w:beforeAutospacing="0" w:afterAutospacing="0" w:line="400" w:lineRule="exact"/>
        <w:rPr>
          <w:rFonts w:hint="eastAsia" w:ascii="微软雅黑" w:hAnsi="微软雅黑" w:eastAsia="微软雅黑" w:cs="微软雅黑"/>
          <w:b/>
          <w:color w:val="auto"/>
          <w:kern w:val="0"/>
          <w:sz w:val="24"/>
          <w:szCs w:val="24"/>
          <w:highlight w:val="none"/>
          <w:lang w:val="en-US" w:eastAsia="zh-CN" w:bidi="ar-SA"/>
        </w:rPr>
      </w:pPr>
    </w:p>
    <w:p>
      <w:pPr>
        <w:pStyle w:val="2"/>
        <w:spacing w:beforeAutospacing="0" w:afterAutospacing="0" w:line="400" w:lineRule="exact"/>
        <w:rPr>
          <w:rFonts w:hint="eastAsia" w:ascii="微软雅黑" w:hAnsi="微软雅黑" w:eastAsia="微软雅黑" w:cs="微软雅黑"/>
          <w:b/>
          <w:color w:val="auto"/>
          <w:kern w:val="0"/>
          <w:sz w:val="24"/>
          <w:szCs w:val="24"/>
          <w:highlight w:val="none"/>
          <w:lang w:val="en-US" w:eastAsia="zh-CN" w:bidi="ar-SA"/>
        </w:rPr>
      </w:pPr>
    </w:p>
    <w:p>
      <w:pPr>
        <w:pStyle w:val="2"/>
        <w:spacing w:beforeAutospacing="0" w:afterAutospacing="0" w:line="400" w:lineRule="exact"/>
        <w:rPr>
          <w:rFonts w:hint="eastAsia" w:ascii="微软雅黑" w:hAnsi="微软雅黑" w:eastAsia="微软雅黑" w:cs="微软雅黑"/>
          <w:b/>
          <w:color w:val="auto"/>
          <w:kern w:val="0"/>
          <w:sz w:val="24"/>
          <w:szCs w:val="24"/>
          <w:highlight w:val="none"/>
          <w:lang w:val="en-US" w:eastAsia="zh-CN" w:bidi="ar-SA"/>
        </w:rPr>
      </w:pPr>
    </w:p>
    <w:p>
      <w:pPr>
        <w:bidi w:val="0"/>
        <w:rPr>
          <w:rFonts w:hint="eastAsia" w:ascii="微软雅黑" w:hAnsi="微软雅黑" w:eastAsia="微软雅黑" w:cs="微软雅黑"/>
          <w:color w:val="auto"/>
          <w:sz w:val="24"/>
          <w:szCs w:val="24"/>
          <w:highlight w:val="none"/>
          <w:lang w:val="en-US" w:eastAsia="zh-CN"/>
        </w:rPr>
      </w:pPr>
    </w:p>
    <w:p>
      <w:pPr>
        <w:pStyle w:val="2"/>
        <w:rPr>
          <w:rFonts w:hint="eastAsia" w:ascii="微软雅黑" w:hAnsi="微软雅黑" w:eastAsia="微软雅黑" w:cs="微软雅黑"/>
          <w:color w:val="auto"/>
          <w:sz w:val="24"/>
          <w:szCs w:val="24"/>
          <w:highlight w:val="none"/>
          <w:lang w:val="en-US" w:eastAsia="zh-CN"/>
        </w:rPr>
      </w:pPr>
    </w:p>
    <w:p>
      <w:pPr>
        <w:pStyle w:val="2"/>
        <w:rPr>
          <w:rFonts w:hint="eastAsia" w:ascii="微软雅黑" w:hAnsi="微软雅黑" w:eastAsia="微软雅黑" w:cs="微软雅黑"/>
          <w:color w:val="auto"/>
          <w:sz w:val="24"/>
          <w:szCs w:val="24"/>
          <w:highlight w:val="none"/>
          <w:lang w:val="en-US" w:eastAsia="zh-CN"/>
        </w:rPr>
      </w:pPr>
    </w:p>
    <w:p>
      <w:pPr>
        <w:pStyle w:val="2"/>
        <w:rPr>
          <w:rFonts w:hint="eastAsia" w:ascii="微软雅黑" w:hAnsi="微软雅黑" w:eastAsia="微软雅黑" w:cs="微软雅黑"/>
          <w:color w:val="auto"/>
          <w:sz w:val="24"/>
          <w:szCs w:val="24"/>
          <w:highlight w:val="none"/>
          <w:lang w:val="en-US" w:eastAsia="zh-CN"/>
        </w:rPr>
      </w:pPr>
    </w:p>
    <w:p>
      <w:pPr>
        <w:pStyle w:val="2"/>
        <w:rPr>
          <w:rFonts w:hint="eastAsia" w:ascii="微软雅黑" w:hAnsi="微软雅黑" w:eastAsia="微软雅黑" w:cs="微软雅黑"/>
          <w:color w:val="auto"/>
          <w:sz w:val="24"/>
          <w:szCs w:val="24"/>
          <w:highlight w:val="none"/>
          <w:lang w:val="en-US" w:eastAsia="zh-CN"/>
        </w:rPr>
      </w:pPr>
    </w:p>
    <w:p>
      <w:pPr>
        <w:pageBreakBefore w:val="0"/>
        <w:widowControl w:val="0"/>
        <w:kinsoku/>
        <w:wordWrap/>
        <w:overflowPunct/>
        <w:topLinePunct w:val="0"/>
        <w:bidi w:val="0"/>
        <w:snapToGrid/>
        <w:spacing w:beforeAutospacing="0" w:afterAutospacing="0" w:line="400" w:lineRule="exact"/>
        <w:textAlignment w:val="auto"/>
        <w:outlineLvl w:val="1"/>
        <w:rPr>
          <w:rFonts w:hint="eastAsia" w:ascii="微软雅黑" w:hAnsi="微软雅黑" w:eastAsia="微软雅黑" w:cs="微软雅黑"/>
          <w:b/>
          <w:color w:val="auto"/>
          <w:kern w:val="0"/>
          <w:sz w:val="24"/>
          <w:szCs w:val="24"/>
          <w:highlight w:val="none"/>
          <w:lang w:val="en-US" w:eastAsia="zh-CN" w:bidi="ar-SA"/>
        </w:rPr>
      </w:pPr>
      <w:bookmarkStart w:id="588" w:name="_Toc5994"/>
      <w:r>
        <w:rPr>
          <w:rFonts w:hint="eastAsia" w:ascii="微软雅黑" w:hAnsi="微软雅黑" w:eastAsia="微软雅黑" w:cs="微软雅黑"/>
          <w:b/>
          <w:color w:val="auto"/>
          <w:kern w:val="0"/>
          <w:sz w:val="24"/>
          <w:szCs w:val="24"/>
          <w:highlight w:val="none"/>
          <w:lang w:val="en-US" w:eastAsia="zh-CN" w:bidi="ar-SA"/>
        </w:rPr>
        <w:t>3.提供法定代表人身份证明及授权书、被授权人身份证；(法定代表人磋商需提供法定代表人身份证复印件)；</w:t>
      </w:r>
      <w:bookmarkEnd w:id="588"/>
    </w:p>
    <w:p>
      <w:pPr>
        <w:adjustRightInd w:val="0"/>
        <w:snapToGrid w:val="0"/>
        <w:spacing w:before="240" w:beforeLines="100" w:beforeAutospacing="0" w:after="240" w:afterLines="10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t>（一）法定代表人身份证明</w:t>
      </w:r>
    </w:p>
    <w:p>
      <w:pPr>
        <w:spacing w:beforeAutospacing="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同志，现任我单位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职务，为法定代表人，特此证明。</w:t>
      </w:r>
    </w:p>
    <w:p>
      <w:pPr>
        <w:spacing w:beforeAutospacing="0" w:afterAutospacing="0"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签发日期：                  单位：        </w:t>
      </w:r>
    </w:p>
    <w:p>
      <w:pPr>
        <w:spacing w:beforeAutospacing="0" w:afterAutospacing="0"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附：性别：            年龄：           身份证号码：</w:t>
      </w:r>
    </w:p>
    <w:p>
      <w:pPr>
        <w:spacing w:beforeAutospacing="0" w:afterAutospacing="0"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p>
    <w:p>
      <w:pPr>
        <w:spacing w:beforeAutospacing="0" w:afterAutospacing="0"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营业执照号码：              经济性质：</w:t>
      </w:r>
    </w:p>
    <w:p>
      <w:pPr>
        <w:spacing w:beforeAutospacing="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p>
      <w:pPr>
        <w:spacing w:beforeAutospacing="0" w:afterAutospacing="0"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1、法定代表人为企业事业单位、国家机关、社会团体的主要行政负责人。</w:t>
      </w:r>
    </w:p>
    <w:p>
      <w:pPr>
        <w:spacing w:beforeAutospacing="0" w:afterAutospacing="0"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b/>
          <w:bCs/>
          <w:color w:val="auto"/>
          <w:sz w:val="24"/>
          <w:szCs w:val="24"/>
          <w:highlight w:val="none"/>
        </w:rPr>
        <w:t>2、</w:t>
      </w:r>
      <w:r>
        <w:rPr>
          <w:rFonts w:hint="eastAsia" w:ascii="微软雅黑" w:hAnsi="微软雅黑" w:eastAsia="微软雅黑" w:cs="微软雅黑"/>
          <w:b/>
          <w:bCs/>
          <w:color w:val="auto"/>
          <w:sz w:val="24"/>
          <w:szCs w:val="24"/>
          <w:highlight w:val="none"/>
          <w:lang w:val="en-US" w:eastAsia="zh-CN"/>
        </w:rPr>
        <w:t>提供身份证正反面。</w:t>
      </w:r>
    </w:p>
    <w:p>
      <w:pPr>
        <w:spacing w:beforeAutospacing="0" w:afterAutospacing="0"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内容必须填写真实、清楚、涂改无效，不得转让。</w:t>
      </w:r>
    </w:p>
    <w:p>
      <w:pPr>
        <w:spacing w:beforeAutospacing="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lim="0"/>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rot="0" vert="horz" wrap="square" lIns="91440" tIns="45720" rIns="91440" bIns="45720" anchor="t" anchorCtr="0"/>
                    </wps:wsp>
                  </a:graphicData>
                </a:graphic>
              </wp:anchor>
            </w:drawing>
          </mc:Choice>
          <mc:Fallback>
            <w:pict>
              <v:shape id="流程图: 可选过程 14"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fHkSB1gAAAAgBAAAPAAAAAAAAAAEAIAAAACIAAABkcnMvZG93bnJldi54bWxQSwECFAAUAAAA&#10;CACHTuJAtimr32ICAADKBAAADgAAAAAAAAABACAAAAAlAQAAZHJzL2Uyb0RvYy54bWxQSwUGAAAA&#10;AAYABgBZAQAA+QUAAAAA&#10;">
                <v:fill on="t" focussize="0,0"/>
                <v:stroke color="#000000" miterlimit="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3"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4"/>
                            </w:pPr>
                          </w:p>
                          <w:p>
                            <w:pPr>
                              <w:pStyle w:val="4"/>
                            </w:pPr>
                          </w:p>
                          <w:p>
                            <w:pPr>
                              <w:pStyle w:val="4"/>
                            </w:pPr>
                          </w:p>
                          <w:p>
                            <w:pPr>
                              <w:pStyle w:val="4"/>
                            </w:pPr>
                          </w:p>
                        </w:txbxContent>
                      </wps:txbx>
                      <wps:bodyPr rot="0" vert="horz" wrap="square" lIns="91440" tIns="45720" rIns="91440" bIns="45720" anchor="t" anchorCtr="0"/>
                    </wps:wsp>
                  </a:graphicData>
                </a:graphic>
              </wp:anchor>
            </w:drawing>
          </mc:Choice>
          <mc:Fallback>
            <w:pict>
              <v:roundrect id="圆角矩形 15"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PL2Nf2gAAAAkBAAAPAAAAAAAAAAEAIAAAACIAAABkcnMvZG93bnJldi54bWxQSwECFAAUAAAA&#10;CACHTuJAANkZHl4CAADKBAAADgAAAAAAAAABACAAAAApAQAAZHJzL2Uyb0RvYy54bWxQSwUGAAAA&#10;AAYABgBZAQAA+QU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4"/>
                      </w:pPr>
                    </w:p>
                    <w:p>
                      <w:pPr>
                        <w:pStyle w:val="4"/>
                      </w:pPr>
                    </w:p>
                    <w:p>
                      <w:pPr>
                        <w:pStyle w:val="4"/>
                      </w:pPr>
                    </w:p>
                    <w:p>
                      <w:pPr>
                        <w:pStyle w:val="4"/>
                      </w:pPr>
                    </w:p>
                  </w:txbxContent>
                </v:textbox>
              </v:roundrect>
            </w:pict>
          </mc:Fallback>
        </mc:AlternateContent>
      </w:r>
    </w:p>
    <w:p>
      <w:pPr>
        <w:spacing w:beforeAutospacing="0" w:afterAutospacing="0" w:line="360" w:lineRule="auto"/>
        <w:rPr>
          <w:rFonts w:hint="eastAsia" w:ascii="微软雅黑" w:hAnsi="微软雅黑" w:eastAsia="微软雅黑" w:cs="微软雅黑"/>
          <w:color w:val="auto"/>
          <w:sz w:val="24"/>
          <w:szCs w:val="24"/>
          <w:highlight w:val="none"/>
        </w:rPr>
      </w:pPr>
    </w:p>
    <w:p>
      <w:pPr>
        <w:spacing w:beforeAutospacing="0" w:afterAutospacing="0" w:line="360" w:lineRule="auto"/>
        <w:rPr>
          <w:rFonts w:hint="eastAsia" w:ascii="微软雅黑" w:hAnsi="微软雅黑" w:eastAsia="微软雅黑" w:cs="微软雅黑"/>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beforeAutospacing="0" w:afterAutospacing="0" w:line="360" w:lineRule="auto"/>
        <w:rPr>
          <w:rFonts w:hint="eastAsia" w:ascii="微软雅黑" w:hAnsi="微软雅黑" w:eastAsia="微软雅黑" w:cs="微软雅黑"/>
          <w:color w:val="auto"/>
          <w:sz w:val="24"/>
          <w:szCs w:val="24"/>
          <w:highlight w:val="none"/>
        </w:rPr>
      </w:pPr>
    </w:p>
    <w:p>
      <w:pPr>
        <w:autoSpaceDE w:val="0"/>
        <w:autoSpaceDN w:val="0"/>
        <w:adjustRightInd w:val="0"/>
        <w:spacing w:beforeAutospacing="0" w:afterAutospacing="0" w:line="360" w:lineRule="auto"/>
        <w:ind w:right="246" w:firstLine="784" w:firstLineChars="327"/>
        <w:rPr>
          <w:rFonts w:hint="eastAsia" w:ascii="微软雅黑" w:hAnsi="微软雅黑" w:eastAsia="微软雅黑" w:cs="微软雅黑"/>
          <w:color w:val="auto"/>
          <w:kern w:val="0"/>
          <w:sz w:val="24"/>
          <w:szCs w:val="24"/>
          <w:highlight w:val="none"/>
        </w:rPr>
      </w:pPr>
    </w:p>
    <w:p>
      <w:pPr>
        <w:autoSpaceDE w:val="0"/>
        <w:autoSpaceDN w:val="0"/>
        <w:adjustRightInd w:val="0"/>
        <w:spacing w:beforeAutospacing="0" w:afterAutospacing="0" w:line="360" w:lineRule="auto"/>
        <w:ind w:right="246" w:firstLine="784" w:firstLineChars="32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lang w:val="en-US" w:eastAsia="zh-CN"/>
        </w:rPr>
        <w:t>名称</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lang w:eastAsia="zh-CN"/>
        </w:rPr>
        <w:t>公</w:t>
      </w:r>
      <w:r>
        <w:rPr>
          <w:rFonts w:hint="eastAsia" w:ascii="微软雅黑" w:hAnsi="微软雅黑" w:eastAsia="微软雅黑" w:cs="微软雅黑"/>
          <w:color w:val="auto"/>
          <w:kern w:val="0"/>
          <w:sz w:val="24"/>
          <w:szCs w:val="24"/>
          <w:highlight w:val="none"/>
        </w:rPr>
        <w:t>章）：</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 xml:space="preserve"> </w:t>
      </w:r>
    </w:p>
    <w:p>
      <w:pPr>
        <w:adjustRightInd w:val="0"/>
        <w:snapToGrid w:val="0"/>
        <w:spacing w:beforeAutospacing="0" w:afterAutospacing="0" w:line="360" w:lineRule="auto"/>
        <w:ind w:firstLine="784" w:firstLineChars="32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法定代表人</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签/章</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u w:val="single"/>
        </w:rPr>
        <w:t xml:space="preserve">                    </w:t>
      </w:r>
    </w:p>
    <w:p>
      <w:pPr>
        <w:adjustRightInd w:val="0"/>
        <w:snapToGrid w:val="0"/>
        <w:spacing w:beforeAutospacing="0" w:afterAutospacing="0" w:line="360" w:lineRule="auto"/>
        <w:ind w:firstLine="784" w:firstLineChars="327"/>
        <w:rPr>
          <w:rFonts w:hint="eastAsia" w:ascii="微软雅黑" w:hAnsi="微软雅黑" w:eastAsia="微软雅黑" w:cs="微软雅黑"/>
          <w:b/>
          <w:bCs/>
          <w:color w:val="auto"/>
          <w:sz w:val="24"/>
          <w:szCs w:val="24"/>
          <w:highlight w:val="none"/>
        </w:rPr>
      </w:pPr>
      <w:bookmarkStart w:id="589" w:name="_Toc22472"/>
      <w:bookmarkStart w:id="590" w:name="_Toc515647807"/>
      <w:bookmarkStart w:id="591" w:name="_Toc1083"/>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p>
    <w:p>
      <w:pPr>
        <w:spacing w:beforeAutospacing="0" w:afterAutospacing="0" w:line="360" w:lineRule="auto"/>
        <w:rPr>
          <w:rFonts w:hint="eastAsia" w:ascii="微软雅黑" w:hAnsi="微软雅黑" w:eastAsia="微软雅黑" w:cs="微软雅黑"/>
          <w:b/>
          <w:bCs/>
          <w:color w:val="auto"/>
          <w:sz w:val="24"/>
          <w:szCs w:val="24"/>
          <w:highlight w:val="none"/>
        </w:rPr>
      </w:pPr>
    </w:p>
    <w:p>
      <w:pPr>
        <w:spacing w:beforeAutospacing="0" w:afterAutospacing="0" w:line="360" w:lineRule="auto"/>
        <w:rPr>
          <w:rFonts w:hint="eastAsia" w:ascii="微软雅黑" w:hAnsi="微软雅黑" w:eastAsia="微软雅黑" w:cs="微软雅黑"/>
          <w:b/>
          <w:bCs/>
          <w:color w:val="auto"/>
          <w:sz w:val="24"/>
          <w:szCs w:val="24"/>
          <w:highlight w:val="none"/>
        </w:rPr>
      </w:pPr>
    </w:p>
    <w:bookmarkEnd w:id="589"/>
    <w:bookmarkEnd w:id="590"/>
    <w:bookmarkEnd w:id="591"/>
    <w:p>
      <w:pPr>
        <w:spacing w:beforeAutospacing="0" w:afterAutospacing="0" w:line="360" w:lineRule="auto"/>
        <w:jc w:val="center"/>
        <w:rPr>
          <w:rFonts w:hint="eastAsia" w:ascii="微软雅黑" w:hAnsi="微软雅黑" w:eastAsia="微软雅黑" w:cs="微软雅黑"/>
          <w:b/>
          <w:bCs/>
          <w:color w:val="auto"/>
          <w:sz w:val="24"/>
          <w:szCs w:val="24"/>
          <w:highlight w:val="none"/>
          <w:u w:val="single"/>
        </w:rPr>
      </w:pPr>
      <w:r>
        <w:rPr>
          <w:rFonts w:hint="eastAsia" w:ascii="微软雅黑" w:hAnsi="微软雅黑" w:eastAsia="微软雅黑" w:cs="微软雅黑"/>
          <w:b/>
          <w:bCs/>
          <w:color w:val="auto"/>
          <w:sz w:val="24"/>
          <w:szCs w:val="24"/>
          <w:highlight w:val="none"/>
        </w:rPr>
        <w:t>（二）法定代表人授权委托书</w:t>
      </w:r>
    </w:p>
    <w:p>
      <w:pPr>
        <w:pStyle w:val="12"/>
        <w:tabs>
          <w:tab w:val="left" w:pos="5580"/>
        </w:tabs>
        <w:spacing w:beforeAutospacing="0" w:afterAutospacing="0"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本</w:t>
      </w:r>
      <w:r>
        <w:rPr>
          <w:rFonts w:hint="eastAsia" w:ascii="微软雅黑" w:hAnsi="微软雅黑" w:eastAsia="微软雅黑" w:cs="微软雅黑"/>
          <w:i w:val="0"/>
          <w:iCs w:val="0"/>
          <w:color w:val="auto"/>
          <w:sz w:val="24"/>
          <w:szCs w:val="24"/>
          <w:highlight w:val="none"/>
        </w:rPr>
        <w:t>授权书声明：注册于</w:t>
      </w:r>
      <w:r>
        <w:rPr>
          <w:rFonts w:hint="eastAsia" w:ascii="微软雅黑" w:hAnsi="微软雅黑" w:eastAsia="微软雅黑" w:cs="微软雅黑"/>
          <w:i w:val="0"/>
          <w:iCs w:val="0"/>
          <w:color w:val="auto"/>
          <w:sz w:val="24"/>
          <w:szCs w:val="24"/>
          <w:highlight w:val="none"/>
          <w:u w:val="single"/>
        </w:rPr>
        <w:t>（国家或地区的名称）</w:t>
      </w:r>
      <w:r>
        <w:rPr>
          <w:rFonts w:hint="eastAsia" w:ascii="微软雅黑" w:hAnsi="微软雅黑" w:eastAsia="微软雅黑" w:cs="微软雅黑"/>
          <w:i w:val="0"/>
          <w:iCs w:val="0"/>
          <w:color w:val="auto"/>
          <w:sz w:val="24"/>
          <w:szCs w:val="24"/>
          <w:highlight w:val="none"/>
        </w:rPr>
        <w:t>的（</w:t>
      </w:r>
      <w:r>
        <w:rPr>
          <w:rFonts w:hint="eastAsia" w:ascii="微软雅黑" w:hAnsi="微软雅黑" w:eastAsia="微软雅黑" w:cs="微软雅黑"/>
          <w:i w:val="0"/>
          <w:iCs w:val="0"/>
          <w:color w:val="auto"/>
          <w:sz w:val="24"/>
          <w:szCs w:val="24"/>
          <w:highlight w:val="none"/>
          <w:u w:val="single"/>
          <w:lang w:eastAsia="zh-CN"/>
        </w:rPr>
        <w:t>供应商</w:t>
      </w:r>
      <w:r>
        <w:rPr>
          <w:rFonts w:hint="eastAsia" w:ascii="微软雅黑" w:hAnsi="微软雅黑" w:eastAsia="微软雅黑" w:cs="微软雅黑"/>
          <w:i w:val="0"/>
          <w:iCs w:val="0"/>
          <w:color w:val="auto"/>
          <w:sz w:val="24"/>
          <w:szCs w:val="24"/>
          <w:highlight w:val="none"/>
        </w:rPr>
        <w:t>）的在下面签字的（</w:t>
      </w:r>
      <w:r>
        <w:rPr>
          <w:rFonts w:hint="eastAsia" w:ascii="微软雅黑" w:hAnsi="微软雅黑" w:eastAsia="微软雅黑" w:cs="微软雅黑"/>
          <w:i w:val="0"/>
          <w:iCs w:val="0"/>
          <w:color w:val="auto"/>
          <w:sz w:val="24"/>
          <w:szCs w:val="24"/>
          <w:highlight w:val="none"/>
          <w:u w:val="single"/>
          <w:lang w:eastAsia="zh-CN"/>
        </w:rPr>
        <w:t>法定代表人</w:t>
      </w:r>
      <w:r>
        <w:rPr>
          <w:rFonts w:hint="eastAsia" w:ascii="微软雅黑" w:hAnsi="微软雅黑" w:eastAsia="微软雅黑" w:cs="微软雅黑"/>
          <w:i w:val="0"/>
          <w:iCs w:val="0"/>
          <w:color w:val="auto"/>
          <w:sz w:val="24"/>
          <w:szCs w:val="24"/>
          <w:highlight w:val="none"/>
          <w:u w:val="single"/>
        </w:rPr>
        <w:t>姓名、职务</w:t>
      </w:r>
      <w:r>
        <w:rPr>
          <w:rFonts w:hint="eastAsia" w:ascii="微软雅黑" w:hAnsi="微软雅黑" w:eastAsia="微软雅黑" w:cs="微软雅黑"/>
          <w:i w:val="0"/>
          <w:iCs w:val="0"/>
          <w:color w:val="auto"/>
          <w:sz w:val="24"/>
          <w:szCs w:val="24"/>
          <w:highlight w:val="none"/>
        </w:rPr>
        <w:t>）代表我单位授权（</w:t>
      </w:r>
      <w:r>
        <w:rPr>
          <w:rFonts w:hint="eastAsia" w:ascii="微软雅黑" w:hAnsi="微软雅黑" w:eastAsia="微软雅黑" w:cs="微软雅黑"/>
          <w:i w:val="0"/>
          <w:iCs w:val="0"/>
          <w:color w:val="auto"/>
          <w:sz w:val="24"/>
          <w:szCs w:val="24"/>
          <w:highlight w:val="none"/>
          <w:u w:val="single"/>
        </w:rPr>
        <w:t>单位名称</w:t>
      </w:r>
      <w:r>
        <w:rPr>
          <w:rFonts w:hint="eastAsia" w:ascii="微软雅黑" w:hAnsi="微软雅黑" w:eastAsia="微软雅黑" w:cs="微软雅黑"/>
          <w:i w:val="0"/>
          <w:iCs w:val="0"/>
          <w:color w:val="auto"/>
          <w:sz w:val="24"/>
          <w:szCs w:val="24"/>
          <w:highlight w:val="none"/>
        </w:rPr>
        <w:t>）的在下面签字的（</w:t>
      </w:r>
      <w:r>
        <w:rPr>
          <w:rFonts w:hint="eastAsia" w:ascii="微软雅黑" w:hAnsi="微软雅黑" w:eastAsia="微软雅黑" w:cs="微软雅黑"/>
          <w:i w:val="0"/>
          <w:iCs w:val="0"/>
          <w:color w:val="auto"/>
          <w:sz w:val="24"/>
          <w:szCs w:val="24"/>
          <w:highlight w:val="none"/>
          <w:u w:val="single"/>
        </w:rPr>
        <w:t>被授权人的姓名、职务</w:t>
      </w:r>
      <w:r>
        <w:rPr>
          <w:rFonts w:hint="eastAsia" w:ascii="微软雅黑" w:hAnsi="微软雅黑" w:eastAsia="微软雅黑" w:cs="微软雅黑"/>
          <w:i w:val="0"/>
          <w:iCs w:val="0"/>
          <w:color w:val="auto"/>
          <w:sz w:val="24"/>
          <w:szCs w:val="24"/>
          <w:highlight w:val="none"/>
        </w:rPr>
        <w:t>）为我单位的合法代理人，就（</w:t>
      </w:r>
      <w:r>
        <w:rPr>
          <w:rFonts w:hint="eastAsia" w:ascii="微软雅黑" w:hAnsi="微软雅黑" w:eastAsia="微软雅黑" w:cs="微软雅黑"/>
          <w:i w:val="0"/>
          <w:iCs w:val="0"/>
          <w:color w:val="auto"/>
          <w:sz w:val="24"/>
          <w:szCs w:val="24"/>
          <w:highlight w:val="none"/>
          <w:u w:val="single"/>
        </w:rPr>
        <w:t>项目名称</w:t>
      </w:r>
      <w:r>
        <w:rPr>
          <w:rFonts w:hint="eastAsia" w:ascii="微软雅黑" w:hAnsi="微软雅黑" w:eastAsia="微软雅黑" w:cs="微软雅黑"/>
          <w:i w:val="0"/>
          <w:iCs w:val="0"/>
          <w:color w:val="auto"/>
          <w:sz w:val="24"/>
          <w:szCs w:val="24"/>
          <w:highlight w:val="none"/>
        </w:rPr>
        <w:t>）的</w:t>
      </w:r>
      <w:r>
        <w:rPr>
          <w:rFonts w:hint="eastAsia" w:ascii="微软雅黑" w:hAnsi="微软雅黑" w:eastAsia="微软雅黑" w:cs="微软雅黑"/>
          <w:i w:val="0"/>
          <w:iCs w:val="0"/>
          <w:color w:val="auto"/>
          <w:sz w:val="24"/>
          <w:szCs w:val="24"/>
          <w:highlight w:val="none"/>
          <w:lang w:eastAsia="zh-CN"/>
        </w:rPr>
        <w:t>磋商</w:t>
      </w:r>
      <w:r>
        <w:rPr>
          <w:rFonts w:hint="eastAsia" w:ascii="微软雅黑" w:hAnsi="微软雅黑" w:eastAsia="微软雅黑" w:cs="微软雅黑"/>
          <w:i w:val="0"/>
          <w:iCs w:val="0"/>
          <w:color w:val="auto"/>
          <w:sz w:val="24"/>
          <w:szCs w:val="24"/>
          <w:highlight w:val="none"/>
        </w:rPr>
        <w:t>，以我单位名义处理一切与之有关的事</w:t>
      </w:r>
      <w:r>
        <w:rPr>
          <w:rFonts w:hint="eastAsia" w:ascii="微软雅黑" w:hAnsi="微软雅黑" w:eastAsia="微软雅黑" w:cs="微软雅黑"/>
          <w:color w:val="auto"/>
          <w:sz w:val="24"/>
          <w:szCs w:val="24"/>
          <w:highlight w:val="none"/>
        </w:rPr>
        <w:t>务。</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w:t>
      </w:r>
    </w:p>
    <w:p>
      <w:pPr>
        <w:pStyle w:val="12"/>
        <w:tabs>
          <w:tab w:val="left" w:pos="5580"/>
        </w:tabs>
        <w:spacing w:beforeAutospacing="0" w:afterAutospacing="0" w:line="360" w:lineRule="exact"/>
        <w:ind w:left="-540" w:leftChars="-257" w:firstLine="900" w:firstLine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本授权书于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日签字生效,特此声明。</w:t>
      </w:r>
    </w:p>
    <w:p>
      <w:pPr>
        <w:pStyle w:val="12"/>
        <w:tabs>
          <w:tab w:val="left" w:pos="5580"/>
        </w:tabs>
        <w:spacing w:beforeAutospacing="0" w:afterAutospacing="0" w:line="240" w:lineRule="atLeast"/>
        <w:ind w:left="-540" w:leftChars="-257" w:firstLine="900" w:firstLine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5" name="自选图形 5"/>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Ansi="宋体"/>
                              </w:rPr>
                            </w:pPr>
                          </w:p>
                          <w:p>
                            <w:pPr>
                              <w:rPr>
                                <w:rFonts w:hAnsi="宋体"/>
                              </w:rPr>
                            </w:pPr>
                          </w:p>
                          <w:p>
                            <w:pPr>
                              <w:rPr>
                                <w:rFonts w:hAnsi="宋体"/>
                              </w:rPr>
                            </w:pPr>
                          </w:p>
                          <w:p>
                            <w:pPr>
                              <w:jc w:val="center"/>
                            </w:pPr>
                            <w:r>
                              <w:rPr>
                                <w:rFonts w:hint="eastAsia" w:hAnsi="宋体"/>
                              </w:rPr>
                              <w:t>授权委托人身份证复印件</w:t>
                            </w:r>
                          </w:p>
                          <w:p/>
                        </w:txbxContent>
                      </wps:txbx>
                      <wps:bodyPr rot="0" vert="horz" wrap="square" lIns="91440" tIns="45720" rIns="91440" bIns="45720" anchor="t" anchorCtr="0"/>
                    </wps:wsp>
                  </a:graphicData>
                </a:graphic>
              </wp:anchor>
            </w:drawing>
          </mc:Choice>
          <mc:Fallback>
            <w:pict>
              <v:roundrect id="自选图形 5" o:spid="_x0000_s1026" o:spt="2" style="position:absolute;left:0pt;margin-left:239.3pt;margin-top:13.2pt;height:76.3pt;width:195.15pt;z-index:251662336;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MFn7jbAAAA&#10;CgEAAA8AAAAAAAAAAQAgAAAAIgAAAGRycy9kb3ducmV2LnhtbFBLAQIUABQAAAAIAIdO4kBphN3n&#10;UwIAALoEAAAOAAAAAAAAAAEAIAAAACoBAABkcnMvZTJvRG9jLnhtbFBLBQYAAAAABgAGAFkBAADv&#10;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jc w:val="center"/>
                      </w:pPr>
                      <w:r>
                        <w:rPr>
                          <w:rFonts w:hint="eastAsia" w:hAnsi="宋体"/>
                        </w:rPr>
                        <w:t>授权委托人身份证复印件</w:t>
                      </w:r>
                    </w:p>
                    <w:p/>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317750" cy="942340"/>
                <wp:effectExtent l="4445" t="4445" r="20955" b="5715"/>
                <wp:wrapNone/>
                <wp:docPr id="7" name="自选图形 6"/>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lim="0"/>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rot="0" vert="horz" wrap="square" lIns="91440" tIns="45720" rIns="91440" bIns="45720" anchor="t" anchorCtr="0"/>
                    </wps:wsp>
                  </a:graphicData>
                </a:graphic>
              </wp:anchor>
            </w:drawing>
          </mc:Choice>
          <mc:Fallback>
            <w:pict>
              <v:shape id="自选图形 6" o:spid="_x0000_s1026" o:spt="176" type="#_x0000_t176" style="position:absolute;left:0pt;margin-left:1.65pt;margin-top:10.7pt;height:74.2pt;width:182.5pt;z-index:251661312;mso-width-relative:page;mso-height-relative:page;" fillcolor="#FFFFFF" filled="t" stroked="t" coordsize="21600,21600" o:gfxdata="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SXH6etYAAAAIAQAADwAA&#10;AAAAAAABACAAAAAiAAAAZHJzL2Rvd25yZXYueG1sUEsBAhQAFAAAAAgAh07iQGbnS7BRAgAArwQA&#10;AA4AAAAAAAAAAQAgAAAAJQEAAGRycy9lMm9Eb2MueG1sUEsFBgAAAAAGAAYAWQEAAOgFAAAAAA==&#10;">
                <v:fill on="t" focussize="0,0"/>
                <v:stroke color="#000000" miterlimit="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spacing w:beforeAutospacing="0" w:afterAutospacing="0" w:line="360" w:lineRule="auto"/>
        <w:ind w:firstLine="240" w:firstLineChars="100"/>
        <w:rPr>
          <w:rFonts w:hint="eastAsia" w:ascii="微软雅黑" w:hAnsi="微软雅黑" w:eastAsia="微软雅黑" w:cs="微软雅黑"/>
          <w:color w:val="auto"/>
          <w:sz w:val="24"/>
          <w:szCs w:val="24"/>
          <w:highlight w:val="none"/>
        </w:rPr>
      </w:pPr>
    </w:p>
    <w:p>
      <w:pPr>
        <w:spacing w:beforeAutospacing="0" w:afterAutospacing="0" w:line="360" w:lineRule="auto"/>
        <w:ind w:firstLine="240" w:firstLineChars="100"/>
        <w:rPr>
          <w:rFonts w:hint="eastAsia" w:ascii="微软雅黑" w:hAnsi="微软雅黑" w:eastAsia="微软雅黑" w:cs="微软雅黑"/>
          <w:color w:val="auto"/>
          <w:sz w:val="24"/>
          <w:szCs w:val="24"/>
          <w:highlight w:val="none"/>
        </w:rPr>
      </w:pPr>
    </w:p>
    <w:p>
      <w:pPr>
        <w:spacing w:beforeAutospacing="0" w:afterAutospacing="0" w:line="360" w:lineRule="auto"/>
        <w:ind w:firstLine="240" w:firstLineChars="100"/>
        <w:rPr>
          <w:rFonts w:hint="eastAsia" w:ascii="微软雅黑" w:hAnsi="微软雅黑" w:eastAsia="微软雅黑" w:cs="微软雅黑"/>
          <w:color w:val="auto"/>
          <w:sz w:val="24"/>
          <w:szCs w:val="24"/>
          <w:highlight w:val="none"/>
        </w:rPr>
      </w:pPr>
    </w:p>
    <w:p>
      <w:pPr>
        <w:spacing w:beforeAutospacing="0" w:afterAutospacing="0" w:line="360" w:lineRule="auto"/>
        <w:ind w:firstLine="240" w:firstLineChars="100"/>
        <w:rPr>
          <w:rFonts w:hint="eastAsia" w:ascii="微软雅黑" w:hAnsi="微软雅黑" w:eastAsia="微软雅黑" w:cs="微软雅黑"/>
          <w:color w:val="auto"/>
          <w:sz w:val="24"/>
          <w:szCs w:val="24"/>
          <w:highlight w:val="none"/>
        </w:rPr>
      </w:pPr>
    </w:p>
    <w:p>
      <w:pPr>
        <w:spacing w:beforeAutospacing="0" w:afterAutospacing="0"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9" name="自选图形 7"/>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r>
                              <w:rPr>
                                <w:rFonts w:hint="eastAsia" w:hAnsi="宋体"/>
                              </w:rPr>
                              <w:t xml:space="preserve">  </w:t>
                            </w:r>
                          </w:p>
                          <w:p>
                            <w:pPr>
                              <w:rPr>
                                <w:rFonts w:hAnsi="宋体"/>
                              </w:rPr>
                            </w:pPr>
                          </w:p>
                          <w:p>
                            <w:pPr>
                              <w:jc w:val="center"/>
                              <w:rPr>
                                <w:szCs w:val="21"/>
                              </w:rPr>
                            </w:pPr>
                            <w:r>
                              <w:rPr>
                                <w:rFonts w:hint="eastAsia" w:hAnsi="宋体"/>
                                <w:szCs w:val="21"/>
                              </w:rPr>
                              <w:t>法定代表人身份证复印件</w:t>
                            </w:r>
                          </w:p>
                          <w:p/>
                        </w:txbxContent>
                      </wps:txbx>
                      <wps:bodyPr rot="0" vert="horz" wrap="square" lIns="91440" tIns="45720" rIns="91440" bIns="45720" anchor="t" anchorCtr="0"/>
                    </wps:wsp>
                  </a:graphicData>
                </a:graphic>
              </wp:anchor>
            </w:drawing>
          </mc:Choice>
          <mc:Fallback>
            <w:pict>
              <v:roundrect id="自选图形 7" o:spid="_x0000_s1026" o:spt="2" style="position:absolute;left:0pt;margin-left:237.65pt;margin-top:7.6pt;height:73.65pt;width:199.65pt;z-index:251664384;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A0VntsAAAAK&#10;AQAADwAAAAAAAAABACAAAAAiAAAAZHJzL2Rvd25yZXYueG1sUEsBAhQAFAAAAAgAh07iQN4QXbJS&#10;AgAAugQAAA4AAAAAAAAAAQAgAAAAKgEAAGRycy9lMm9Eb2MueG1sUEsFBgAAAAAGAAYAWQEAAO4F&#10;A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rPr>
                          <w:rFonts w:hAnsi="宋体"/>
                        </w:rPr>
                      </w:pPr>
                    </w:p>
                    <w:p>
                      <w:pPr>
                        <w:jc w:val="center"/>
                        <w:rPr>
                          <w:szCs w:val="21"/>
                        </w:rPr>
                      </w:pPr>
                      <w:r>
                        <w:rPr>
                          <w:rFonts w:hint="eastAsia" w:hAnsi="宋体"/>
                          <w:szCs w:val="21"/>
                        </w:rPr>
                        <w:t>法定代表人身份证复印件</w:t>
                      </w:r>
                    </w:p>
                    <w:p/>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1" name="自选图形 8"/>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p>
                          <w:p>
                            <w:pPr>
                              <w:rPr>
                                <w:rFonts w:hAnsi="宋体"/>
                              </w:rPr>
                            </w:pPr>
                          </w:p>
                          <w:p>
                            <w:pPr>
                              <w:jc w:val="center"/>
                              <w:rPr>
                                <w:szCs w:val="21"/>
                              </w:rPr>
                            </w:pPr>
                            <w:r>
                              <w:rPr>
                                <w:rFonts w:hint="eastAsia" w:hAnsi="宋体"/>
                                <w:szCs w:val="21"/>
                              </w:rPr>
                              <w:t>法定代表人身份证复印件</w:t>
                            </w:r>
                          </w:p>
                          <w:p/>
                        </w:txbxContent>
                      </wps:txbx>
                      <wps:bodyPr rot="0" vert="horz" wrap="square" lIns="91440" tIns="45720" rIns="91440" bIns="45720" anchor="t" anchorCtr="0"/>
                    </wps:wsp>
                  </a:graphicData>
                </a:graphic>
              </wp:anchor>
            </w:drawing>
          </mc:Choice>
          <mc:Fallback>
            <w:pict>
              <v:roundrect id="自选图形 8" o:spid="_x0000_s1026" o:spt="2" style="position:absolute;left:0pt;margin-left:-0.85pt;margin-top:2.35pt;height:80.7pt;width:201.2pt;z-index:251663360;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Tvgt72AAA&#10;AAgBAAAPAAAAAAAAAAEAIAAAACIAAABkcnMvZG93bnJldi54bWxQSwECFAAUAAAACACHTuJAWd1f&#10;ZFcCAAC8BAAADgAAAAAAAAABACAAAAAnAQAAZHJzL2Uyb0RvYy54bWxQSwUGAAAAAAYABgBZAQAA&#10;8AUAAAAA&#10;">
                <v:fill on="t" focussize="0,0"/>
                <v:stroke weight="1.25pt" color="#808080" joinstyle="round"/>
                <v:imagedata o:title=""/>
                <o:lock v:ext="edit" aspectratio="f"/>
                <v:textbox>
                  <w:txbxContent>
                    <w:p>
                      <w:pPr>
                        <w:jc w:val="center"/>
                        <w:rPr>
                          <w:rFonts w:hAnsi="宋体"/>
                        </w:rPr>
                      </w:pPr>
                    </w:p>
                    <w:p>
                      <w:pPr>
                        <w:rPr>
                          <w:rFonts w:hAnsi="宋体"/>
                        </w:rPr>
                      </w:pPr>
                    </w:p>
                    <w:p>
                      <w:pPr>
                        <w:jc w:val="center"/>
                        <w:rPr>
                          <w:szCs w:val="21"/>
                        </w:rPr>
                      </w:pPr>
                      <w:r>
                        <w:rPr>
                          <w:rFonts w:hint="eastAsia" w:hAnsi="宋体"/>
                          <w:szCs w:val="21"/>
                        </w:rPr>
                        <w:t>法定代表人身份证复印件</w:t>
                      </w:r>
                    </w:p>
                    <w:p/>
                  </w:txbxContent>
                </v:textbox>
              </v:roundrect>
            </w:pict>
          </mc:Fallback>
        </mc:AlternateContent>
      </w:r>
    </w:p>
    <w:p>
      <w:pPr>
        <w:spacing w:beforeAutospacing="0" w:afterAutospacing="0" w:line="360" w:lineRule="auto"/>
        <w:ind w:firstLine="240" w:firstLineChars="100"/>
        <w:rPr>
          <w:rFonts w:hint="eastAsia" w:ascii="微软雅黑" w:hAnsi="微软雅黑" w:eastAsia="微软雅黑" w:cs="微软雅黑"/>
          <w:color w:val="auto"/>
          <w:sz w:val="24"/>
          <w:szCs w:val="24"/>
          <w:highlight w:val="none"/>
        </w:rPr>
      </w:pPr>
    </w:p>
    <w:p>
      <w:pPr>
        <w:spacing w:beforeAutospacing="0" w:afterAutospacing="0" w:line="360" w:lineRule="auto"/>
        <w:ind w:firstLine="240" w:firstLineChars="100"/>
        <w:rPr>
          <w:rFonts w:hint="eastAsia" w:ascii="微软雅黑" w:hAnsi="微软雅黑" w:eastAsia="微软雅黑" w:cs="微软雅黑"/>
          <w:color w:val="auto"/>
          <w:sz w:val="24"/>
          <w:szCs w:val="24"/>
          <w:highlight w:val="none"/>
        </w:rPr>
      </w:pPr>
    </w:p>
    <w:p>
      <w:pPr>
        <w:pStyle w:val="17"/>
        <w:rPr>
          <w:rFonts w:hint="eastAsia" w:ascii="微软雅黑" w:hAnsi="微软雅黑" w:eastAsia="微软雅黑" w:cs="微软雅黑"/>
          <w:color w:val="auto"/>
          <w:sz w:val="24"/>
          <w:szCs w:val="24"/>
          <w:highlight w:val="none"/>
        </w:rPr>
      </w:pPr>
    </w:p>
    <w:p>
      <w:pPr>
        <w:spacing w:beforeAutospacing="0" w:afterAutospacing="0" w:line="360" w:lineRule="auto"/>
        <w:ind w:firstLine="240" w:firstLineChars="100"/>
        <w:rPr>
          <w:rFonts w:hint="eastAsia" w:ascii="微软雅黑" w:hAnsi="微软雅黑" w:eastAsia="微软雅黑" w:cs="微软雅黑"/>
          <w:color w:val="auto"/>
          <w:sz w:val="24"/>
          <w:szCs w:val="24"/>
          <w:highlight w:val="none"/>
        </w:rPr>
      </w:pPr>
    </w:p>
    <w:p>
      <w:pPr>
        <w:spacing w:beforeAutospacing="0" w:afterAutospacing="0" w:line="360" w:lineRule="auto"/>
        <w:ind w:firstLine="240" w:firstLineChars="1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注：提供身份证正反面。</w:t>
      </w:r>
    </w:p>
    <w:p>
      <w:pPr>
        <w:pStyle w:val="12"/>
        <w:tabs>
          <w:tab w:val="left" w:pos="5580"/>
        </w:tabs>
        <w:spacing w:beforeAutospacing="0" w:afterAutospacing="0" w:line="36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lang w:val="en-US" w:eastAsia="zh-CN"/>
        </w:rPr>
        <w:t>名称</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公章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p>
    <w:p>
      <w:pPr>
        <w:pStyle w:val="12"/>
        <w:tabs>
          <w:tab w:val="left" w:pos="5580"/>
        </w:tabs>
        <w:spacing w:beforeAutospacing="0" w:afterAutospacing="0" w:line="360" w:lineRule="exac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签/章</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p>
    <w:p>
      <w:pPr>
        <w:pStyle w:val="12"/>
        <w:tabs>
          <w:tab w:val="left" w:pos="5580"/>
        </w:tabs>
        <w:spacing w:beforeAutospacing="0" w:afterAutospacing="0"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身份证号码：__________________________________ </w:t>
      </w:r>
    </w:p>
    <w:p>
      <w:pPr>
        <w:pStyle w:val="12"/>
        <w:tabs>
          <w:tab w:val="left" w:pos="5580"/>
        </w:tabs>
        <w:spacing w:beforeAutospacing="0" w:afterAutospacing="0"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委托代理人</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签/章</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pPr>
        <w:pStyle w:val="12"/>
        <w:tabs>
          <w:tab w:val="left" w:pos="5580"/>
        </w:tabs>
        <w:spacing w:beforeAutospacing="0" w:afterAutospacing="0"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身份证号码：</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pPr>
        <w:pStyle w:val="12"/>
        <w:tabs>
          <w:tab w:val="left" w:pos="5580"/>
        </w:tabs>
        <w:spacing w:beforeAutospacing="0" w:afterAutospacing="0"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详细通讯地址：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pPr>
        <w:pStyle w:val="12"/>
        <w:tabs>
          <w:tab w:val="left" w:pos="5580"/>
        </w:tabs>
        <w:spacing w:beforeAutospacing="0" w:afterAutospacing="0"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邮 政 编 码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pPr>
        <w:pStyle w:val="12"/>
        <w:tabs>
          <w:tab w:val="left" w:pos="5580"/>
        </w:tabs>
        <w:spacing w:beforeAutospacing="0" w:afterAutospacing="0"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传　　　　真：</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pPr>
        <w:pStyle w:val="12"/>
        <w:tabs>
          <w:tab w:val="left" w:pos="5580"/>
        </w:tabs>
        <w:spacing w:beforeAutospacing="0" w:afterAutospacing="0"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pPr>
        <w:pStyle w:val="12"/>
        <w:tabs>
          <w:tab w:val="left" w:pos="5580"/>
        </w:tabs>
        <w:spacing w:beforeAutospacing="0" w:afterAutospacing="0" w:line="360" w:lineRule="exact"/>
        <w:jc w:val="right"/>
        <w:rPr>
          <w:rFonts w:hint="eastAsia" w:ascii="微软雅黑" w:hAnsi="微软雅黑" w:eastAsia="微软雅黑" w:cs="微软雅黑"/>
          <w:color w:val="auto"/>
          <w:sz w:val="24"/>
          <w:szCs w:val="24"/>
          <w:highlight w:val="none"/>
        </w:rPr>
      </w:pPr>
    </w:p>
    <w:p>
      <w:pPr>
        <w:pStyle w:val="12"/>
        <w:tabs>
          <w:tab w:val="left" w:pos="5580"/>
        </w:tabs>
        <w:spacing w:beforeAutospacing="0" w:afterAutospacing="0" w:line="360" w:lineRule="exact"/>
        <w:jc w:val="right"/>
        <w:rPr>
          <w:rFonts w:hint="eastAsia" w:ascii="微软雅黑" w:hAnsi="微软雅黑" w:eastAsia="微软雅黑" w:cs="微软雅黑"/>
          <w:color w:val="auto"/>
          <w:sz w:val="24"/>
          <w:szCs w:val="24"/>
          <w:highlight w:val="none"/>
        </w:rPr>
      </w:pPr>
    </w:p>
    <w:p>
      <w:pPr>
        <w:pStyle w:val="12"/>
        <w:tabs>
          <w:tab w:val="left" w:pos="5580"/>
        </w:tabs>
        <w:spacing w:beforeAutospacing="0" w:afterAutospacing="0" w:line="360" w:lineRule="exact"/>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pPr>
        <w:rPr>
          <w:rFonts w:hint="eastAsia" w:ascii="微软雅黑" w:hAnsi="微软雅黑" w:eastAsia="微软雅黑" w:cs="微软雅黑"/>
          <w:b/>
          <w:color w:val="auto"/>
          <w:kern w:val="0"/>
          <w:sz w:val="24"/>
          <w:szCs w:val="24"/>
          <w:highlight w:val="none"/>
          <w:lang w:val="en-US" w:eastAsia="zh-CN" w:bidi="ar-SA"/>
        </w:rPr>
      </w:pPr>
      <w:bookmarkStart w:id="592" w:name="_Toc7550"/>
      <w:bookmarkStart w:id="593" w:name="_Toc24456"/>
      <w:r>
        <w:rPr>
          <w:rFonts w:hint="eastAsia" w:ascii="微软雅黑" w:hAnsi="微软雅黑" w:eastAsia="微软雅黑" w:cs="微软雅黑"/>
          <w:b/>
          <w:color w:val="auto"/>
          <w:kern w:val="0"/>
          <w:sz w:val="24"/>
          <w:szCs w:val="24"/>
          <w:highlight w:val="none"/>
          <w:lang w:val="en-US" w:eastAsia="zh-CN" w:bidi="ar-SA"/>
        </w:rPr>
        <w:br w:type="page"/>
      </w:r>
    </w:p>
    <w:p>
      <w:pPr>
        <w:bidi w:val="0"/>
        <w:outlineLvl w:val="1"/>
        <w:rPr>
          <w:rFonts w:hint="eastAsia" w:ascii="微软雅黑" w:hAnsi="微软雅黑" w:eastAsia="微软雅黑" w:cs="微软雅黑"/>
          <w:color w:val="auto"/>
          <w:sz w:val="24"/>
          <w:szCs w:val="24"/>
          <w:highlight w:val="none"/>
          <w:lang w:val="en-US" w:eastAsia="zh-CN"/>
        </w:rPr>
      </w:pPr>
      <w:bookmarkStart w:id="594" w:name="_Toc7038"/>
      <w:r>
        <w:rPr>
          <w:rFonts w:hint="eastAsia" w:ascii="微软雅黑" w:hAnsi="微软雅黑" w:eastAsia="微软雅黑" w:cs="微软雅黑"/>
          <w:b/>
          <w:color w:val="auto"/>
          <w:kern w:val="0"/>
          <w:sz w:val="24"/>
          <w:szCs w:val="24"/>
          <w:highlight w:val="none"/>
          <w:lang w:val="en-US" w:eastAsia="zh-CN" w:bidi="ar-SA"/>
        </w:rPr>
        <w:t>4.</w:t>
      </w:r>
      <w:bookmarkEnd w:id="592"/>
      <w:bookmarkEnd w:id="593"/>
      <w:r>
        <w:rPr>
          <w:rFonts w:hint="eastAsia" w:ascii="微软雅黑" w:hAnsi="微软雅黑" w:eastAsia="微软雅黑" w:cs="微软雅黑"/>
          <w:b/>
          <w:color w:val="auto"/>
          <w:kern w:val="0"/>
          <w:sz w:val="24"/>
          <w:szCs w:val="24"/>
          <w:highlight w:val="none"/>
          <w:lang w:val="en-US" w:eastAsia="zh-CN" w:bidi="ar-SA"/>
        </w:rPr>
        <w:t>近两年任意一年的财务审计报告，新成立的公司提供近三个月内任意一个月的银行资信证明；</w:t>
      </w:r>
      <w:bookmarkEnd w:id="594"/>
    </w:p>
    <w:p>
      <w:pPr>
        <w:pStyle w:val="4"/>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color w:val="auto"/>
          <w:sz w:val="24"/>
          <w:szCs w:val="24"/>
          <w:highlight w:val="none"/>
        </w:rPr>
      </w:pPr>
    </w:p>
    <w:p>
      <w:pPr>
        <w:pStyle w:val="4"/>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color w:val="auto"/>
          <w:sz w:val="24"/>
          <w:szCs w:val="24"/>
          <w:highlight w:val="none"/>
        </w:rPr>
      </w:pPr>
    </w:p>
    <w:p>
      <w:pPr>
        <w:pStyle w:val="2"/>
        <w:spacing w:beforeAutospacing="0" w:afterAutospacing="0" w:line="400" w:lineRule="exact"/>
        <w:ind w:left="0" w:leftChars="0" w:firstLine="0" w:firstLineChars="0"/>
        <w:outlineLvl w:val="1"/>
        <w:rPr>
          <w:rFonts w:hint="eastAsia" w:ascii="微软雅黑" w:hAnsi="微软雅黑" w:eastAsia="微软雅黑" w:cs="微软雅黑"/>
          <w:b/>
          <w:color w:val="auto"/>
          <w:kern w:val="0"/>
          <w:sz w:val="24"/>
          <w:szCs w:val="24"/>
          <w:highlight w:val="none"/>
          <w:lang w:val="en-US" w:eastAsia="zh-CN" w:bidi="ar-SA"/>
        </w:rPr>
      </w:pPr>
      <w:bookmarkStart w:id="595" w:name="_Toc15050"/>
      <w:bookmarkEnd w:id="595"/>
      <w:bookmarkStart w:id="596" w:name="_Toc29065"/>
      <w:bookmarkEnd w:id="596"/>
      <w:bookmarkStart w:id="597" w:name="_Toc19915"/>
      <w:r>
        <w:rPr>
          <w:rFonts w:hint="eastAsia" w:ascii="微软雅黑" w:hAnsi="微软雅黑" w:eastAsia="微软雅黑" w:cs="微软雅黑"/>
          <w:b/>
          <w:color w:val="auto"/>
          <w:kern w:val="0"/>
          <w:sz w:val="24"/>
          <w:szCs w:val="24"/>
          <w:highlight w:val="none"/>
          <w:lang w:val="en-US" w:eastAsia="zh-CN" w:bidi="ar-SA"/>
        </w:rPr>
        <w:t>5.提供依法缴纳近6个月任意1个月社会保险的证明；</w:t>
      </w:r>
      <w:bookmarkEnd w:id="597"/>
    </w:p>
    <w:p>
      <w:pPr>
        <w:bidi w:val="0"/>
        <w:rPr>
          <w:rFonts w:hint="eastAsia" w:ascii="微软雅黑" w:hAnsi="微软雅黑" w:eastAsia="微软雅黑" w:cs="微软雅黑"/>
          <w:color w:val="auto"/>
          <w:sz w:val="24"/>
          <w:szCs w:val="24"/>
          <w:highlight w:val="none"/>
          <w:lang w:val="en-US" w:eastAsia="zh-CN"/>
        </w:rPr>
      </w:pPr>
    </w:p>
    <w:p>
      <w:pPr>
        <w:rPr>
          <w:rFonts w:hint="eastAsia" w:ascii="微软雅黑" w:hAnsi="微软雅黑" w:eastAsia="微软雅黑" w:cs="微软雅黑"/>
          <w:color w:val="auto"/>
          <w:sz w:val="24"/>
          <w:szCs w:val="24"/>
          <w:highlight w:val="none"/>
        </w:rPr>
      </w:pPr>
    </w:p>
    <w:p>
      <w:pPr>
        <w:pStyle w:val="4"/>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color w:val="auto"/>
          <w:sz w:val="24"/>
          <w:szCs w:val="24"/>
          <w:highlight w:val="none"/>
        </w:rPr>
      </w:pPr>
    </w:p>
    <w:p>
      <w:pPr>
        <w:pStyle w:val="4"/>
        <w:rPr>
          <w:rFonts w:hint="eastAsia" w:ascii="微软雅黑" w:hAnsi="微软雅黑" w:eastAsia="微软雅黑" w:cs="微软雅黑"/>
          <w:color w:val="auto"/>
          <w:sz w:val="24"/>
          <w:szCs w:val="24"/>
          <w:highlight w:val="none"/>
        </w:rPr>
      </w:pPr>
    </w:p>
    <w:p>
      <w:pPr>
        <w:pStyle w:val="4"/>
        <w:ind w:left="0" w:leftChars="0" w:firstLine="0" w:firstLineChars="0"/>
        <w:outlineLvl w:val="1"/>
        <w:rPr>
          <w:rFonts w:hint="eastAsia" w:ascii="微软雅黑" w:hAnsi="微软雅黑" w:eastAsia="微软雅黑" w:cs="微软雅黑"/>
          <w:color w:val="auto"/>
          <w:sz w:val="24"/>
          <w:szCs w:val="24"/>
          <w:highlight w:val="none"/>
        </w:rPr>
      </w:pPr>
      <w:bookmarkStart w:id="598" w:name="_Toc13272"/>
      <w:bookmarkEnd w:id="598"/>
      <w:bookmarkStart w:id="599" w:name="_Toc5698"/>
      <w:bookmarkEnd w:id="599"/>
      <w:bookmarkStart w:id="600" w:name="_Toc25128"/>
      <w:r>
        <w:rPr>
          <w:rFonts w:hint="eastAsia" w:ascii="微软雅黑" w:hAnsi="微软雅黑" w:eastAsia="微软雅黑" w:cs="微软雅黑"/>
          <w:b/>
          <w:color w:val="auto"/>
          <w:kern w:val="0"/>
          <w:sz w:val="24"/>
          <w:szCs w:val="24"/>
          <w:highlight w:val="none"/>
          <w:lang w:val="en-US" w:eastAsia="zh-CN" w:bidi="ar-SA"/>
        </w:rPr>
        <w:t>6.提供依法缴纳近6个月任意1个月的税收证明；</w:t>
      </w:r>
      <w:bookmarkEnd w:id="600"/>
    </w:p>
    <w:p>
      <w:pPr>
        <w:rPr>
          <w:rFonts w:hint="eastAsia" w:ascii="微软雅黑" w:hAnsi="微软雅黑" w:eastAsia="微软雅黑" w:cs="微软雅黑"/>
          <w:color w:val="auto"/>
          <w:sz w:val="24"/>
          <w:szCs w:val="24"/>
          <w:highlight w:val="none"/>
        </w:rPr>
      </w:pPr>
    </w:p>
    <w:p>
      <w:pPr>
        <w:pStyle w:val="2"/>
        <w:rPr>
          <w:rFonts w:hint="eastAsia" w:ascii="微软雅黑" w:hAnsi="微软雅黑" w:eastAsia="微软雅黑" w:cs="微软雅黑"/>
          <w:color w:val="auto"/>
          <w:sz w:val="24"/>
          <w:szCs w:val="24"/>
          <w:highlight w:val="none"/>
        </w:rPr>
      </w:pPr>
    </w:p>
    <w:p>
      <w:pPr>
        <w:bidi w:val="0"/>
        <w:rPr>
          <w:rFonts w:hint="eastAsia" w:ascii="微软雅黑" w:hAnsi="微软雅黑" w:eastAsia="微软雅黑" w:cs="微软雅黑"/>
          <w:color w:val="auto"/>
          <w:sz w:val="24"/>
          <w:szCs w:val="24"/>
          <w:highlight w:val="none"/>
        </w:rPr>
      </w:pPr>
    </w:p>
    <w:p>
      <w:pPr>
        <w:bidi w:val="0"/>
        <w:rPr>
          <w:rFonts w:hint="eastAsia" w:ascii="微软雅黑" w:hAnsi="微软雅黑" w:eastAsia="微软雅黑" w:cs="微软雅黑"/>
          <w:color w:val="auto"/>
          <w:sz w:val="24"/>
          <w:szCs w:val="24"/>
          <w:highlight w:val="none"/>
        </w:rPr>
      </w:pPr>
    </w:p>
    <w:p>
      <w:pPr>
        <w:pStyle w:val="4"/>
        <w:ind w:left="0" w:leftChars="0" w:firstLine="0" w:firstLineChars="0"/>
        <w:outlineLvl w:val="1"/>
        <w:rPr>
          <w:rFonts w:hint="eastAsia" w:ascii="微软雅黑" w:hAnsi="微软雅黑" w:eastAsia="微软雅黑" w:cs="微软雅黑"/>
          <w:b/>
          <w:color w:val="auto"/>
          <w:kern w:val="0"/>
          <w:sz w:val="24"/>
          <w:szCs w:val="24"/>
          <w:highlight w:val="none"/>
          <w:lang w:val="en-US" w:eastAsia="zh-CN" w:bidi="ar-SA"/>
        </w:rPr>
      </w:pPr>
      <w:bookmarkStart w:id="601" w:name="_Toc18144"/>
      <w:bookmarkEnd w:id="601"/>
      <w:bookmarkStart w:id="602" w:name="_Toc16936"/>
      <w:r>
        <w:rPr>
          <w:rFonts w:hint="eastAsia" w:ascii="微软雅黑" w:hAnsi="微软雅黑" w:eastAsia="微软雅黑" w:cs="微软雅黑"/>
          <w:b/>
          <w:color w:val="auto"/>
          <w:kern w:val="0"/>
          <w:sz w:val="24"/>
          <w:szCs w:val="24"/>
          <w:highlight w:val="none"/>
          <w:lang w:val="en-US" w:eastAsia="zh-CN" w:bidi="ar-SA"/>
        </w:rPr>
        <w:t>7.根据《财政部关于在政府采购活动中查询及使用信用记录有关问题的通知》（财库﹝2016﹞125号）的要求，凡拟参加本次采购项目的供应商，如在“信用中国”网站（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将拒绝其参加本次采购活动；（以采购代理或采购人查询为准）；</w:t>
      </w:r>
      <w:bookmarkEnd w:id="602"/>
    </w:p>
    <w:p>
      <w:pPr>
        <w:rPr>
          <w:rFonts w:hint="eastAsia" w:ascii="微软雅黑" w:hAnsi="微软雅黑" w:eastAsia="微软雅黑" w:cs="微软雅黑"/>
          <w:b/>
          <w:color w:val="auto"/>
          <w:kern w:val="0"/>
          <w:sz w:val="24"/>
          <w:szCs w:val="24"/>
          <w:highlight w:val="none"/>
          <w:lang w:val="en-US" w:eastAsia="zh-CN" w:bidi="ar-SA"/>
        </w:rPr>
      </w:pPr>
    </w:p>
    <w:p>
      <w:pPr>
        <w:pStyle w:val="2"/>
        <w:rPr>
          <w:rFonts w:hint="eastAsia" w:ascii="微软雅黑" w:hAnsi="微软雅黑" w:eastAsia="微软雅黑" w:cs="微软雅黑"/>
          <w:color w:val="auto"/>
          <w:sz w:val="24"/>
          <w:szCs w:val="24"/>
          <w:highlight w:val="none"/>
          <w:lang w:val="en-US" w:eastAsia="zh-CN"/>
        </w:rPr>
      </w:pPr>
    </w:p>
    <w:p>
      <w:pPr>
        <w:outlineLvl w:val="1"/>
        <w:rPr>
          <w:rFonts w:hint="eastAsia" w:ascii="微软雅黑" w:hAnsi="微软雅黑" w:eastAsia="微软雅黑" w:cs="微软雅黑"/>
          <w:b/>
          <w:color w:val="auto"/>
          <w:sz w:val="24"/>
          <w:szCs w:val="24"/>
          <w:highlight w:val="none"/>
          <w:lang w:val="en-US" w:eastAsia="zh-CN"/>
        </w:rPr>
      </w:pPr>
      <w:bookmarkStart w:id="603" w:name="_Toc30494"/>
      <w:bookmarkEnd w:id="603"/>
      <w:bookmarkStart w:id="604" w:name="_Toc31839"/>
      <w:r>
        <w:rPr>
          <w:rFonts w:hint="eastAsia" w:ascii="微软雅黑" w:hAnsi="微软雅黑" w:eastAsia="微软雅黑" w:cs="微软雅黑"/>
          <w:b/>
          <w:color w:val="auto"/>
          <w:kern w:val="0"/>
          <w:sz w:val="24"/>
          <w:szCs w:val="24"/>
          <w:highlight w:val="none"/>
          <w:lang w:val="en-US" w:eastAsia="zh-CN" w:bidi="ar-SA"/>
        </w:rPr>
        <w:t>8.参与政府采购活动前3年内未被列入失信、重大税收违法案件、财政部门禁止参加政府采购活动的承诺书；</w:t>
      </w:r>
      <w:bookmarkEnd w:id="604"/>
    </w:p>
    <w:p>
      <w:pPr>
        <w:tabs>
          <w:tab w:val="left" w:pos="1009"/>
        </w:tabs>
        <w:bidi w:val="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ab/>
      </w:r>
    </w:p>
    <w:p>
      <w:pPr>
        <w:pStyle w:val="17"/>
        <w:rPr>
          <w:rFonts w:hint="eastAsia" w:ascii="微软雅黑" w:hAnsi="微软雅黑" w:eastAsia="微软雅黑" w:cs="微软雅黑"/>
          <w:color w:val="auto"/>
          <w:sz w:val="24"/>
          <w:szCs w:val="24"/>
          <w:highlight w:val="none"/>
          <w:lang w:val="en-US" w:eastAsia="zh-CN"/>
        </w:rPr>
      </w:pPr>
    </w:p>
    <w:p>
      <w:pPr>
        <w:pStyle w:val="2"/>
        <w:ind w:left="0" w:leftChars="0" w:firstLine="0" w:firstLineChars="0"/>
        <w:outlineLvl w:val="1"/>
        <w:rPr>
          <w:rFonts w:hint="eastAsia" w:ascii="微软雅黑" w:hAnsi="微软雅黑" w:eastAsia="微软雅黑" w:cs="微软雅黑"/>
          <w:color w:val="auto"/>
          <w:sz w:val="24"/>
          <w:szCs w:val="24"/>
          <w:highlight w:val="none"/>
          <w:lang w:val="en-US" w:eastAsia="zh-CN"/>
        </w:rPr>
      </w:pPr>
      <w:bookmarkStart w:id="605" w:name="_Toc29318"/>
      <w:r>
        <w:rPr>
          <w:rFonts w:hint="eastAsia" w:ascii="微软雅黑" w:hAnsi="微软雅黑" w:eastAsia="微软雅黑" w:cs="微软雅黑"/>
          <w:b/>
          <w:color w:val="auto"/>
          <w:kern w:val="0"/>
          <w:sz w:val="24"/>
          <w:szCs w:val="24"/>
          <w:highlight w:val="none"/>
          <w:lang w:val="en-US" w:eastAsia="zh-CN" w:bidi="ar-SA"/>
        </w:rPr>
        <w:t>9.提供针对本次项目《反商业贿赂承诺书》；</w:t>
      </w:r>
      <w:bookmarkEnd w:id="605"/>
    </w:p>
    <w:p>
      <w:pPr>
        <w:numPr>
          <w:ilvl w:val="0"/>
          <w:numId w:val="0"/>
        </w:numPr>
        <w:outlineLvl w:val="1"/>
        <w:rPr>
          <w:rFonts w:hint="eastAsia" w:ascii="微软雅黑" w:hAnsi="微软雅黑" w:eastAsia="微软雅黑" w:cs="微软雅黑"/>
          <w:b/>
          <w:color w:val="auto"/>
          <w:kern w:val="0"/>
          <w:sz w:val="24"/>
          <w:szCs w:val="24"/>
          <w:highlight w:val="none"/>
          <w:lang w:val="en-US" w:eastAsia="zh-CN" w:bidi="ar-SA"/>
        </w:rPr>
      </w:pPr>
      <w:bookmarkStart w:id="606" w:name="_Toc18265"/>
      <w:r>
        <w:rPr>
          <w:rFonts w:hint="eastAsia" w:ascii="微软雅黑" w:hAnsi="微软雅黑" w:eastAsia="微软雅黑" w:cs="微软雅黑"/>
          <w:b/>
          <w:color w:val="auto"/>
          <w:kern w:val="0"/>
          <w:sz w:val="24"/>
          <w:szCs w:val="24"/>
          <w:highlight w:val="none"/>
          <w:lang w:val="en-US" w:eastAsia="zh-CN" w:bidi="ar-SA"/>
        </w:rPr>
        <w:t>10.缴纳磋商保证金有效凭证；</w:t>
      </w:r>
      <w:bookmarkEnd w:id="606"/>
    </w:p>
    <w:p>
      <w:pPr>
        <w:numPr>
          <w:ilvl w:val="0"/>
          <w:numId w:val="0"/>
        </w:numPr>
        <w:rPr>
          <w:rFonts w:hint="eastAsia" w:ascii="微软雅黑" w:hAnsi="微软雅黑" w:eastAsia="微软雅黑" w:cs="微软雅黑"/>
          <w:b/>
          <w:bCs/>
          <w:color w:val="auto"/>
          <w:sz w:val="24"/>
          <w:szCs w:val="24"/>
          <w:highlight w:val="none"/>
          <w:lang w:eastAsia="zh-CN"/>
        </w:rPr>
      </w:pPr>
    </w:p>
    <w:p>
      <w:pPr>
        <w:outlineLvl w:val="9"/>
        <w:rPr>
          <w:rFonts w:hint="eastAsia" w:ascii="微软雅黑" w:hAnsi="微软雅黑" w:eastAsia="微软雅黑" w:cs="微软雅黑"/>
          <w:color w:val="auto"/>
          <w:sz w:val="24"/>
          <w:szCs w:val="24"/>
          <w:highlight w:val="none"/>
        </w:rPr>
      </w:pPr>
    </w:p>
    <w:tbl>
      <w:tblPr>
        <w:tblStyle w:val="2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8528" w:type="dxa"/>
            <w:vAlign w:val="center"/>
          </w:tcPr>
          <w:p>
            <w:pPr>
              <w:pStyle w:val="4"/>
              <w:jc w:val="center"/>
              <w:outlineLvl w:val="9"/>
              <w:rPr>
                <w:rFonts w:hint="eastAsia" w:ascii="微软雅黑" w:hAnsi="微软雅黑" w:eastAsia="微软雅黑" w:cs="微软雅黑"/>
                <w:b/>
                <w:color w:val="auto"/>
                <w:kern w:val="0"/>
                <w:sz w:val="24"/>
                <w:szCs w:val="24"/>
                <w:highlight w:val="none"/>
                <w:vertAlign w:val="baseline"/>
                <w:lang w:val="en-US" w:eastAsia="zh-CN" w:bidi="ar-SA"/>
              </w:rPr>
            </w:pPr>
            <w:r>
              <w:rPr>
                <w:rFonts w:hint="eastAsia" w:ascii="微软雅黑" w:hAnsi="微软雅黑" w:eastAsia="微软雅黑" w:cs="微软雅黑"/>
                <w:b/>
                <w:color w:val="auto"/>
                <w:kern w:val="0"/>
                <w:sz w:val="24"/>
                <w:szCs w:val="24"/>
                <w:highlight w:val="none"/>
                <w:lang w:val="en-US" w:eastAsia="zh-CN" w:bidi="ar-SA"/>
              </w:rPr>
              <w:t>缴纳磋商保证金有效凭证</w:t>
            </w:r>
          </w:p>
        </w:tc>
      </w:tr>
    </w:tbl>
    <w:p>
      <w:pPr>
        <w:pStyle w:val="4"/>
        <w:outlineLvl w:val="9"/>
        <w:rPr>
          <w:rFonts w:hint="eastAsia" w:ascii="微软雅黑" w:hAnsi="微软雅黑" w:eastAsia="微软雅黑" w:cs="微软雅黑"/>
          <w:b/>
          <w:color w:val="auto"/>
          <w:kern w:val="0"/>
          <w:sz w:val="24"/>
          <w:szCs w:val="24"/>
          <w:highlight w:val="none"/>
          <w:lang w:val="en-US" w:eastAsia="zh-CN" w:bidi="ar-SA"/>
        </w:rPr>
      </w:pPr>
    </w:p>
    <w:p>
      <w:pPr>
        <w:shd w:val="clear"/>
        <w:snapToGrid w:val="0"/>
        <w:spacing w:before="0" w:beforeAutospacing="0" w:after="0" w:afterAutospacing="0" w:line="360" w:lineRule="exact"/>
        <w:jc w:val="both"/>
        <w:textAlignment w:val="baseline"/>
        <w:rPr>
          <w:rFonts w:hint="eastAsia" w:ascii="微软雅黑" w:hAnsi="微软雅黑" w:eastAsia="微软雅黑" w:cs="微软雅黑"/>
          <w:b/>
          <w:bCs/>
          <w:i w:val="0"/>
          <w:color w:val="auto"/>
          <w:spacing w:val="0"/>
          <w:w w:val="100"/>
          <w:sz w:val="24"/>
          <w:highlight w:val="none"/>
        </w:rPr>
      </w:pPr>
      <w:r>
        <w:rPr>
          <w:rFonts w:hint="eastAsia" w:ascii="微软雅黑" w:hAnsi="微软雅黑" w:eastAsia="微软雅黑" w:cs="微软雅黑"/>
          <w:b/>
          <w:bCs/>
          <w:i w:val="0"/>
          <w:color w:val="auto"/>
          <w:spacing w:val="0"/>
          <w:w w:val="100"/>
          <w:sz w:val="24"/>
          <w:highlight w:val="none"/>
        </w:rPr>
        <w:t>注：本项目以</w:t>
      </w:r>
      <w:r>
        <w:rPr>
          <w:rFonts w:hint="eastAsia" w:ascii="微软雅黑" w:hAnsi="微软雅黑" w:eastAsia="微软雅黑" w:cs="微软雅黑"/>
          <w:b/>
          <w:bCs/>
          <w:i w:val="0"/>
          <w:color w:val="auto"/>
          <w:spacing w:val="0"/>
          <w:w w:val="100"/>
          <w:sz w:val="24"/>
          <w:highlight w:val="none"/>
          <w:lang w:eastAsia="zh-CN"/>
        </w:rPr>
        <w:t>缴纳磋商保证金的有效凭证</w:t>
      </w:r>
      <w:r>
        <w:rPr>
          <w:rFonts w:hint="eastAsia" w:ascii="微软雅黑" w:hAnsi="微软雅黑" w:eastAsia="微软雅黑" w:cs="微软雅黑"/>
          <w:b/>
          <w:bCs/>
          <w:i w:val="0"/>
          <w:color w:val="auto"/>
          <w:spacing w:val="0"/>
          <w:w w:val="100"/>
          <w:sz w:val="24"/>
          <w:highlight w:val="none"/>
        </w:rPr>
        <w:t>复印件盖公章为准。</w:t>
      </w:r>
    </w:p>
    <w:p>
      <w:pPr>
        <w:bidi w:val="0"/>
        <w:rPr>
          <w:rFonts w:hint="eastAsia" w:ascii="微软雅黑" w:hAnsi="微软雅黑" w:eastAsia="微软雅黑" w:cs="微软雅黑"/>
          <w:color w:val="auto"/>
          <w:sz w:val="24"/>
          <w:szCs w:val="24"/>
          <w:highlight w:val="none"/>
          <w:lang w:val="en-US" w:eastAsia="zh-CN"/>
        </w:rPr>
      </w:pPr>
    </w:p>
    <w:p>
      <w:pPr>
        <w:pStyle w:val="4"/>
        <w:rPr>
          <w:rFonts w:hint="eastAsia" w:ascii="微软雅黑" w:hAnsi="微软雅黑" w:eastAsia="微软雅黑" w:cs="微软雅黑"/>
          <w:b/>
          <w:color w:val="auto"/>
          <w:kern w:val="0"/>
          <w:sz w:val="24"/>
          <w:szCs w:val="24"/>
          <w:highlight w:val="none"/>
          <w:lang w:val="en-US" w:eastAsia="zh-CN" w:bidi="ar-SA"/>
        </w:rPr>
      </w:pPr>
      <w:bookmarkStart w:id="607" w:name="_Toc26152"/>
      <w:bookmarkStart w:id="608" w:name="_Toc3829"/>
      <w:bookmarkStart w:id="609" w:name="_Toc28906"/>
    </w:p>
    <w:p>
      <w:pPr>
        <w:pStyle w:val="2"/>
        <w:ind w:left="0" w:leftChars="0" w:firstLine="0" w:firstLineChars="0"/>
        <w:rPr>
          <w:rFonts w:hint="eastAsia" w:ascii="微软雅黑" w:hAnsi="微软雅黑" w:eastAsia="微软雅黑" w:cs="微软雅黑"/>
          <w:b/>
          <w:color w:val="auto"/>
          <w:kern w:val="0"/>
          <w:sz w:val="24"/>
          <w:szCs w:val="24"/>
          <w:highlight w:val="none"/>
          <w:lang w:val="en-US" w:eastAsia="zh-CN" w:bidi="ar-SA"/>
        </w:rPr>
      </w:pPr>
    </w:p>
    <w:p>
      <w:pPr>
        <w:rPr>
          <w:rFonts w:hint="eastAsia" w:ascii="微软雅黑" w:hAnsi="微软雅黑" w:eastAsia="微软雅黑" w:cs="微软雅黑"/>
          <w:color w:val="auto"/>
          <w:sz w:val="24"/>
          <w:szCs w:val="24"/>
          <w:highlight w:val="none"/>
          <w:lang w:val="en-US" w:eastAsia="zh-CN"/>
        </w:rPr>
      </w:pPr>
    </w:p>
    <w:p>
      <w:pPr>
        <w:pStyle w:val="4"/>
        <w:rPr>
          <w:rFonts w:hint="eastAsia" w:ascii="微软雅黑" w:hAnsi="微软雅黑" w:eastAsia="微软雅黑" w:cs="微软雅黑"/>
          <w:color w:val="auto"/>
          <w:sz w:val="24"/>
          <w:szCs w:val="24"/>
          <w:highlight w:val="none"/>
          <w:lang w:val="en-US" w:eastAsia="zh-CN"/>
        </w:rPr>
      </w:pPr>
    </w:p>
    <w:bookmarkEnd w:id="607"/>
    <w:bookmarkEnd w:id="608"/>
    <w:bookmarkEnd w:id="609"/>
    <w:p>
      <w:pPr>
        <w:tabs>
          <w:tab w:val="left" w:pos="5580"/>
        </w:tabs>
        <w:spacing w:beforeAutospacing="0" w:afterAutospacing="0" w:line="400" w:lineRule="atLeast"/>
        <w:outlineLvl w:val="1"/>
        <w:rPr>
          <w:rFonts w:hint="eastAsia" w:ascii="微软雅黑" w:hAnsi="微软雅黑" w:eastAsia="微软雅黑" w:cs="微软雅黑"/>
          <w:b/>
          <w:color w:val="auto"/>
          <w:kern w:val="0"/>
          <w:sz w:val="24"/>
          <w:szCs w:val="24"/>
          <w:highlight w:val="none"/>
          <w:lang w:val="en-US" w:eastAsia="zh-CN" w:bidi="ar-SA"/>
        </w:rPr>
      </w:pPr>
      <w:bookmarkStart w:id="610" w:name="_Toc15105"/>
      <w:bookmarkEnd w:id="610"/>
      <w:bookmarkStart w:id="611" w:name="_Toc23170"/>
      <w:bookmarkEnd w:id="611"/>
      <w:bookmarkStart w:id="612" w:name="_Toc29180"/>
      <w:r>
        <w:rPr>
          <w:rFonts w:hint="eastAsia" w:ascii="微软雅黑" w:hAnsi="微软雅黑" w:eastAsia="微软雅黑" w:cs="微软雅黑"/>
          <w:b/>
          <w:color w:val="auto"/>
          <w:kern w:val="0"/>
          <w:sz w:val="24"/>
          <w:szCs w:val="24"/>
          <w:highlight w:val="none"/>
          <w:lang w:val="en-US" w:eastAsia="zh-CN" w:bidi="ar-SA"/>
        </w:rPr>
        <w:t>11.银行开户许可证复印件或银行基本账户信息(包含：银行账号及开户行名称）；</w:t>
      </w:r>
      <w:bookmarkEnd w:id="612"/>
    </w:p>
    <w:p>
      <w:pPr>
        <w:pStyle w:val="2"/>
        <w:rPr>
          <w:rFonts w:hint="eastAsia" w:ascii="微软雅黑" w:hAnsi="微软雅黑" w:eastAsia="微软雅黑" w:cs="微软雅黑"/>
          <w:b/>
          <w:color w:val="auto"/>
          <w:kern w:val="0"/>
          <w:sz w:val="24"/>
          <w:szCs w:val="24"/>
          <w:highlight w:val="none"/>
          <w:lang w:val="en-US" w:eastAsia="zh-CN" w:bidi="ar-SA"/>
        </w:rPr>
      </w:pPr>
    </w:p>
    <w:p>
      <w:pPr>
        <w:pStyle w:val="4"/>
        <w:rPr>
          <w:rFonts w:hint="eastAsia" w:ascii="微软雅黑" w:hAnsi="微软雅黑" w:eastAsia="微软雅黑" w:cs="微软雅黑"/>
          <w:b/>
          <w:color w:val="auto"/>
          <w:kern w:val="0"/>
          <w:sz w:val="24"/>
          <w:szCs w:val="24"/>
          <w:highlight w:val="none"/>
          <w:lang w:val="en-US" w:eastAsia="zh-CN" w:bidi="ar-SA"/>
        </w:rPr>
      </w:pPr>
    </w:p>
    <w:p>
      <w:pPr>
        <w:pStyle w:val="5"/>
        <w:rPr>
          <w:rFonts w:hint="eastAsia"/>
          <w:lang w:val="en-US" w:eastAsia="zh-CN"/>
        </w:rPr>
      </w:pPr>
    </w:p>
    <w:p>
      <w:pPr>
        <w:pStyle w:val="4"/>
        <w:rPr>
          <w:rFonts w:hint="eastAsia"/>
          <w:lang w:val="en-US" w:eastAsia="zh-CN"/>
        </w:rPr>
      </w:pPr>
    </w:p>
    <w:p>
      <w:pPr>
        <w:tabs>
          <w:tab w:val="left" w:pos="5580"/>
        </w:tabs>
        <w:spacing w:beforeAutospacing="0" w:afterAutospacing="0" w:line="400" w:lineRule="atLeast"/>
        <w:outlineLvl w:val="1"/>
        <w:rPr>
          <w:rFonts w:hint="eastAsia" w:ascii="微软雅黑" w:hAnsi="微软雅黑" w:eastAsia="微软雅黑" w:cs="微软雅黑"/>
          <w:b/>
          <w:color w:val="auto"/>
          <w:kern w:val="0"/>
          <w:sz w:val="24"/>
          <w:szCs w:val="24"/>
          <w:highlight w:val="none"/>
          <w:lang w:val="en-US" w:eastAsia="zh-CN" w:bidi="ar-SA"/>
        </w:rPr>
      </w:pPr>
      <w:bookmarkStart w:id="613" w:name="_Toc230"/>
      <w:r>
        <w:rPr>
          <w:rFonts w:hint="eastAsia" w:ascii="微软雅黑" w:hAnsi="微软雅黑" w:eastAsia="微软雅黑" w:cs="微软雅黑"/>
          <w:b/>
          <w:color w:val="auto"/>
          <w:kern w:val="0"/>
          <w:sz w:val="24"/>
          <w:szCs w:val="24"/>
          <w:highlight w:val="none"/>
          <w:lang w:val="en-US" w:eastAsia="zh-CN" w:bidi="ar-SA"/>
        </w:rPr>
        <w:t>12.供应商可提供有利于磋商的其他资格证明材料。</w:t>
      </w:r>
      <w:bookmarkEnd w:id="613"/>
    </w:p>
    <w:p>
      <w:pPr>
        <w:pStyle w:val="5"/>
        <w:rPr>
          <w:rFonts w:hint="eastAsia" w:ascii="微软雅黑" w:hAnsi="微软雅黑" w:eastAsia="微软雅黑" w:cs="微软雅黑"/>
          <w:b/>
          <w:color w:val="auto"/>
          <w:kern w:val="0"/>
          <w:szCs w:val="21"/>
          <w:highlight w:val="none"/>
        </w:rPr>
      </w:pPr>
    </w:p>
    <w:p>
      <w:pPr>
        <w:rPr>
          <w:rFonts w:hint="eastAsia" w:ascii="微软雅黑" w:hAnsi="微软雅黑" w:eastAsia="微软雅黑" w:cs="微软雅黑"/>
          <w:color w:val="auto"/>
          <w:highlight w:val="none"/>
        </w:rPr>
      </w:pPr>
    </w:p>
    <w:p>
      <w:pPr>
        <w:pStyle w:val="17"/>
        <w:rPr>
          <w:rFonts w:hint="eastAsia" w:ascii="微软雅黑" w:hAnsi="微软雅黑" w:eastAsia="微软雅黑" w:cs="微软雅黑"/>
          <w:color w:val="auto"/>
          <w:highlight w:val="none"/>
        </w:rPr>
      </w:pPr>
    </w:p>
    <w:p>
      <w:pPr>
        <w:pStyle w:val="17"/>
        <w:rPr>
          <w:rFonts w:hint="eastAsia" w:ascii="微软雅黑" w:hAnsi="微软雅黑" w:eastAsia="微软雅黑" w:cs="微软雅黑"/>
          <w:color w:val="auto"/>
          <w:highlight w:val="none"/>
        </w:rPr>
      </w:pPr>
    </w:p>
    <w:p>
      <w:pPr>
        <w:pStyle w:val="17"/>
        <w:rPr>
          <w:rFonts w:hint="eastAsia" w:ascii="微软雅黑" w:hAnsi="微软雅黑" w:eastAsia="微软雅黑" w:cs="微软雅黑"/>
          <w:color w:val="auto"/>
          <w:highlight w:val="none"/>
        </w:rPr>
      </w:pPr>
    </w:p>
    <w:p>
      <w:pPr>
        <w:pStyle w:val="17"/>
        <w:rPr>
          <w:rFonts w:hint="eastAsia" w:ascii="微软雅黑" w:hAnsi="微软雅黑" w:eastAsia="微软雅黑" w:cs="微软雅黑"/>
          <w:color w:val="auto"/>
          <w:highlight w:val="none"/>
        </w:rPr>
      </w:pPr>
    </w:p>
    <w:p>
      <w:pPr>
        <w:pStyle w:val="17"/>
        <w:rPr>
          <w:rFonts w:hint="eastAsia" w:ascii="微软雅黑" w:hAnsi="微软雅黑" w:eastAsia="微软雅黑" w:cs="微软雅黑"/>
          <w:color w:val="auto"/>
          <w:highlight w:val="none"/>
        </w:rPr>
      </w:pPr>
    </w:p>
    <w:p>
      <w:pPr>
        <w:pStyle w:val="17"/>
        <w:rPr>
          <w:rFonts w:hint="eastAsia" w:ascii="微软雅黑" w:hAnsi="微软雅黑" w:eastAsia="微软雅黑" w:cs="微软雅黑"/>
          <w:color w:val="auto"/>
          <w:highlight w:val="none"/>
        </w:rPr>
      </w:pPr>
    </w:p>
    <w:p>
      <w:pPr>
        <w:pStyle w:val="17"/>
        <w:rPr>
          <w:rFonts w:hint="eastAsia" w:ascii="微软雅黑" w:hAnsi="微软雅黑" w:eastAsia="微软雅黑" w:cs="微软雅黑"/>
          <w:color w:val="auto"/>
          <w:highlight w:val="none"/>
        </w:rPr>
      </w:pPr>
    </w:p>
    <w:p>
      <w:pPr>
        <w:pStyle w:val="4"/>
        <w:ind w:firstLine="0"/>
        <w:rPr>
          <w:rFonts w:hint="eastAsia" w:ascii="微软雅黑" w:hAnsi="微软雅黑" w:eastAsia="微软雅黑" w:cs="微软雅黑"/>
          <w:color w:val="auto"/>
          <w:sz w:val="21"/>
          <w:szCs w:val="21"/>
          <w:highlight w:val="none"/>
        </w:rPr>
      </w:pPr>
    </w:p>
    <w:p>
      <w:pPr>
        <w:rPr>
          <w:rFonts w:hint="eastAsia" w:ascii="微软雅黑" w:hAnsi="微软雅黑" w:eastAsia="微软雅黑" w:cs="微软雅黑"/>
          <w:color w:val="auto"/>
          <w:sz w:val="21"/>
          <w:szCs w:val="21"/>
          <w:highlight w:val="none"/>
        </w:rPr>
      </w:pPr>
    </w:p>
    <w:p>
      <w:pPr>
        <w:pStyle w:val="7"/>
        <w:shd w:val="clea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olor w:val="auto"/>
          <w:spacing w:val="0"/>
          <w:w w:val="100"/>
          <w:sz w:val="24"/>
          <w:szCs w:val="24"/>
          <w:highlight w:val="none"/>
        </w:rPr>
      </w:pPr>
      <w:bookmarkStart w:id="614" w:name="_Toc3552"/>
      <w:bookmarkEnd w:id="614"/>
      <w:bookmarkStart w:id="615" w:name="_Toc8486"/>
      <w:bookmarkEnd w:id="615"/>
      <w:bookmarkStart w:id="616" w:name="_Toc25827"/>
      <w:bookmarkEnd w:id="616"/>
      <w:bookmarkStart w:id="617" w:name="_Toc12440"/>
      <w:bookmarkEnd w:id="617"/>
      <w:bookmarkStart w:id="618" w:name="_Toc11956"/>
      <w:bookmarkEnd w:id="618"/>
      <w:bookmarkStart w:id="619" w:name="_Toc3133"/>
      <w:r>
        <w:rPr>
          <w:rFonts w:hint="eastAsia" w:ascii="微软雅黑" w:hAnsi="微软雅黑" w:eastAsia="微软雅黑" w:cs="微软雅黑"/>
          <w:b/>
          <w:i w:val="0"/>
          <w:color w:val="auto"/>
          <w:spacing w:val="0"/>
          <w:w w:val="100"/>
          <w:sz w:val="24"/>
          <w:szCs w:val="24"/>
          <w:highlight w:val="none"/>
        </w:rPr>
        <w:t>第二部分  商务及技术文件</w:t>
      </w:r>
      <w:bookmarkEnd w:id="619"/>
    </w:p>
    <w:p>
      <w:pPr>
        <w:pStyle w:val="12"/>
        <w:shd w:val="clear"/>
        <w:snapToGrid w:val="0"/>
        <w:spacing w:before="0" w:beforeAutospacing="0" w:after="0" w:afterAutospacing="0" w:line="240" w:lineRule="auto"/>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1、磋商书</w:t>
      </w:r>
    </w:p>
    <w:p>
      <w:pPr>
        <w:pStyle w:val="12"/>
        <w:shd w:val="clear"/>
        <w:snapToGrid w:val="0"/>
        <w:spacing w:before="0" w:beforeAutospacing="0" w:after="0" w:afterAutospacing="0" w:line="240" w:lineRule="auto"/>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lang w:eastAsia="zh-CN"/>
        </w:rPr>
      </w:pPr>
      <w:r>
        <w:rPr>
          <w:rFonts w:hint="eastAsia" w:ascii="微软雅黑" w:hAnsi="微软雅黑" w:eastAsia="微软雅黑" w:cs="微软雅黑"/>
          <w:b w:val="0"/>
          <w:i w:val="0"/>
          <w:color w:val="auto"/>
          <w:spacing w:val="0"/>
          <w:w w:val="100"/>
          <w:sz w:val="24"/>
          <w:szCs w:val="24"/>
          <w:highlight w:val="none"/>
        </w:rPr>
        <w:t>2、分项报价表</w:t>
      </w:r>
    </w:p>
    <w:p>
      <w:pPr>
        <w:pStyle w:val="12"/>
        <w:shd w:val="clear"/>
        <w:snapToGrid w:val="0"/>
        <w:spacing w:before="0" w:beforeAutospacing="0" w:after="0" w:afterAutospacing="0" w:line="240" w:lineRule="auto"/>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3、</w:t>
      </w:r>
      <w:r>
        <w:rPr>
          <w:rFonts w:hint="eastAsia" w:ascii="微软雅黑" w:hAnsi="微软雅黑" w:eastAsia="微软雅黑" w:cs="微软雅黑"/>
          <w:b w:val="0"/>
          <w:i w:val="0"/>
          <w:color w:val="auto"/>
          <w:spacing w:val="0"/>
          <w:w w:val="100"/>
          <w:sz w:val="24"/>
          <w:szCs w:val="24"/>
          <w:highlight w:val="none"/>
          <w:lang w:val="en-US" w:eastAsia="zh-CN"/>
        </w:rPr>
        <w:t>服务</w:t>
      </w:r>
      <w:r>
        <w:rPr>
          <w:rFonts w:hint="eastAsia" w:ascii="微软雅黑" w:hAnsi="微软雅黑" w:eastAsia="微软雅黑" w:cs="微软雅黑"/>
          <w:b w:val="0"/>
          <w:i w:val="0"/>
          <w:color w:val="auto"/>
          <w:spacing w:val="0"/>
          <w:w w:val="100"/>
          <w:sz w:val="24"/>
          <w:szCs w:val="24"/>
          <w:highlight w:val="none"/>
        </w:rPr>
        <w:t>说明一览表</w:t>
      </w:r>
    </w:p>
    <w:p>
      <w:pPr>
        <w:pStyle w:val="12"/>
        <w:shd w:val="clear"/>
        <w:snapToGrid w:val="0"/>
        <w:spacing w:before="0" w:beforeAutospacing="0" w:after="0" w:afterAutospacing="0" w:line="240" w:lineRule="auto"/>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lang w:val="en-US" w:eastAsia="zh-CN"/>
        </w:rPr>
      </w:pPr>
      <w:r>
        <w:rPr>
          <w:rFonts w:hint="eastAsia" w:ascii="微软雅黑" w:hAnsi="微软雅黑" w:eastAsia="微软雅黑" w:cs="微软雅黑"/>
          <w:b w:val="0"/>
          <w:i w:val="0"/>
          <w:color w:val="auto"/>
          <w:spacing w:val="0"/>
          <w:w w:val="100"/>
          <w:sz w:val="24"/>
          <w:szCs w:val="24"/>
          <w:highlight w:val="none"/>
        </w:rPr>
        <w:t>4、</w:t>
      </w:r>
      <w:r>
        <w:rPr>
          <w:rFonts w:hint="eastAsia" w:ascii="微软雅黑" w:hAnsi="微软雅黑" w:eastAsia="微软雅黑" w:cs="微软雅黑"/>
          <w:b w:val="0"/>
          <w:i w:val="0"/>
          <w:color w:val="auto"/>
          <w:spacing w:val="0"/>
          <w:w w:val="100"/>
          <w:sz w:val="24"/>
          <w:szCs w:val="24"/>
          <w:highlight w:val="none"/>
          <w:lang w:val="en-US" w:eastAsia="zh-CN"/>
        </w:rPr>
        <w:t>技术规格偏离表</w:t>
      </w:r>
    </w:p>
    <w:p>
      <w:pPr>
        <w:pStyle w:val="12"/>
        <w:shd w:val="clear"/>
        <w:snapToGrid w:val="0"/>
        <w:spacing w:before="0" w:beforeAutospacing="0" w:after="0" w:afterAutospacing="0" w:line="240" w:lineRule="auto"/>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lang w:val="en-US" w:eastAsia="zh-CN"/>
        </w:rPr>
        <w:t>5、</w:t>
      </w:r>
      <w:r>
        <w:rPr>
          <w:rFonts w:hint="eastAsia" w:ascii="微软雅黑" w:hAnsi="微软雅黑" w:eastAsia="微软雅黑" w:cs="微软雅黑"/>
          <w:b w:val="0"/>
          <w:i w:val="0"/>
          <w:color w:val="auto"/>
          <w:spacing w:val="0"/>
          <w:w w:val="100"/>
          <w:sz w:val="24"/>
          <w:szCs w:val="24"/>
          <w:highlight w:val="none"/>
        </w:rPr>
        <w:t>商务条款偏离表</w:t>
      </w:r>
    </w:p>
    <w:p>
      <w:pPr>
        <w:pStyle w:val="12"/>
        <w:shd w:val="clear"/>
        <w:snapToGrid w:val="0"/>
        <w:spacing w:before="0" w:beforeAutospacing="0" w:after="0" w:afterAutospacing="0" w:line="240" w:lineRule="auto"/>
        <w:ind w:left="311" w:leftChars="148" w:firstLine="228"/>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lang w:val="en-US" w:eastAsia="zh-CN"/>
        </w:rPr>
        <w:t>6</w:t>
      </w:r>
      <w:r>
        <w:rPr>
          <w:rFonts w:hint="eastAsia" w:ascii="微软雅黑" w:hAnsi="微软雅黑" w:eastAsia="微软雅黑" w:cs="微软雅黑"/>
          <w:b w:val="0"/>
          <w:i w:val="0"/>
          <w:color w:val="auto"/>
          <w:spacing w:val="0"/>
          <w:w w:val="100"/>
          <w:sz w:val="24"/>
          <w:szCs w:val="24"/>
          <w:highlight w:val="none"/>
        </w:rPr>
        <w:t>-1</w:t>
      </w:r>
      <w:r>
        <w:rPr>
          <w:rFonts w:hint="eastAsia" w:ascii="微软雅黑" w:hAnsi="微软雅黑" w:eastAsia="微软雅黑" w:cs="微软雅黑"/>
          <w:b w:val="0"/>
          <w:i w:val="0"/>
          <w:color w:val="auto"/>
          <w:spacing w:val="0"/>
          <w:w w:val="100"/>
          <w:sz w:val="24"/>
          <w:szCs w:val="24"/>
          <w:highlight w:val="none"/>
          <w:lang w:val="en-US" w:eastAsia="zh-CN"/>
        </w:rPr>
        <w:t>中小企业声明函</w:t>
      </w:r>
    </w:p>
    <w:p>
      <w:pPr>
        <w:pStyle w:val="12"/>
        <w:shd w:val="clear"/>
        <w:snapToGrid w:val="0"/>
        <w:spacing w:before="0" w:beforeAutospacing="0" w:after="0" w:afterAutospacing="0" w:line="240" w:lineRule="auto"/>
        <w:ind w:left="311" w:leftChars="148" w:firstLine="228"/>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lang w:val="en-US" w:eastAsia="zh-CN"/>
        </w:rPr>
        <w:t>6</w:t>
      </w:r>
      <w:r>
        <w:rPr>
          <w:rFonts w:hint="eastAsia" w:ascii="微软雅黑" w:hAnsi="微软雅黑" w:eastAsia="微软雅黑" w:cs="微软雅黑"/>
          <w:b w:val="0"/>
          <w:i w:val="0"/>
          <w:color w:val="auto"/>
          <w:spacing w:val="0"/>
          <w:w w:val="100"/>
          <w:sz w:val="24"/>
          <w:szCs w:val="24"/>
          <w:highlight w:val="none"/>
        </w:rPr>
        <w:t>-2《残疾人福利性单位声明函》</w:t>
      </w:r>
    </w:p>
    <w:p>
      <w:pPr>
        <w:pStyle w:val="12"/>
        <w:shd w:val="clear"/>
        <w:snapToGrid w:val="0"/>
        <w:spacing w:before="0" w:beforeAutospacing="0" w:after="0" w:afterAutospacing="0" w:line="240" w:lineRule="auto"/>
        <w:ind w:left="311" w:leftChars="148" w:firstLine="228"/>
        <w:jc w:val="both"/>
        <w:textAlignment w:val="baseline"/>
        <w:rPr>
          <w:rFonts w:hint="eastAsia" w:ascii="微软雅黑" w:hAnsi="微软雅黑" w:eastAsia="微软雅黑" w:cs="微软雅黑"/>
          <w:b w:val="0"/>
          <w:i w:val="0"/>
          <w:color w:val="auto"/>
          <w:spacing w:val="0"/>
          <w:w w:val="100"/>
          <w:sz w:val="24"/>
          <w:szCs w:val="24"/>
          <w:highlight w:val="none"/>
        </w:rPr>
      </w:pPr>
      <w:bookmarkStart w:id="620" w:name="_Toc9302"/>
      <w:bookmarkStart w:id="621" w:name="_Toc30163"/>
      <w:r>
        <w:rPr>
          <w:rFonts w:hint="eastAsia" w:ascii="微软雅黑" w:hAnsi="微软雅黑" w:eastAsia="微软雅黑" w:cs="微软雅黑"/>
          <w:b w:val="0"/>
          <w:i w:val="0"/>
          <w:color w:val="auto"/>
          <w:spacing w:val="0"/>
          <w:w w:val="100"/>
          <w:sz w:val="24"/>
          <w:szCs w:val="24"/>
          <w:highlight w:val="none"/>
          <w:lang w:val="en-US" w:eastAsia="zh-CN"/>
        </w:rPr>
        <w:t>7</w:t>
      </w:r>
      <w:r>
        <w:rPr>
          <w:rFonts w:hint="eastAsia" w:ascii="微软雅黑" w:hAnsi="微软雅黑" w:eastAsia="微软雅黑" w:cs="微软雅黑"/>
          <w:b w:val="0"/>
          <w:i w:val="0"/>
          <w:color w:val="auto"/>
          <w:spacing w:val="0"/>
          <w:w w:val="100"/>
          <w:sz w:val="24"/>
          <w:szCs w:val="24"/>
          <w:highlight w:val="none"/>
        </w:rPr>
        <w:t>、供应商关联单位的说明</w:t>
      </w:r>
    </w:p>
    <w:bookmarkEnd w:id="620"/>
    <w:bookmarkEnd w:id="621"/>
    <w:p>
      <w:pPr>
        <w:pStyle w:val="12"/>
        <w:shd w:val="clear"/>
        <w:snapToGrid w:val="0"/>
        <w:spacing w:before="0" w:beforeAutospacing="0" w:after="0" w:afterAutospacing="0" w:line="240" w:lineRule="auto"/>
        <w:ind w:left="311" w:leftChars="148" w:firstLine="228"/>
        <w:jc w:val="both"/>
        <w:textAlignment w:val="baseline"/>
        <w:rPr>
          <w:rFonts w:hint="eastAsia" w:ascii="微软雅黑" w:hAnsi="微软雅黑" w:eastAsia="微软雅黑" w:cs="微软雅黑"/>
          <w:b w:val="0"/>
          <w:bCs/>
          <w:i w:val="0"/>
          <w:color w:val="auto"/>
          <w:spacing w:val="0"/>
          <w:w w:val="100"/>
          <w:sz w:val="24"/>
          <w:highlight w:val="none"/>
        </w:rPr>
      </w:pPr>
      <w:r>
        <w:rPr>
          <w:rFonts w:hint="eastAsia" w:ascii="微软雅黑" w:hAnsi="微软雅黑" w:eastAsia="微软雅黑" w:cs="微软雅黑"/>
          <w:b w:val="0"/>
          <w:bCs/>
          <w:i w:val="0"/>
          <w:color w:val="auto"/>
          <w:spacing w:val="0"/>
          <w:w w:val="100"/>
          <w:sz w:val="24"/>
          <w:highlight w:val="none"/>
          <w:lang w:val="en-US" w:eastAsia="zh-CN"/>
        </w:rPr>
        <w:t>8</w:t>
      </w:r>
      <w:r>
        <w:rPr>
          <w:rFonts w:hint="eastAsia" w:ascii="微软雅黑" w:hAnsi="微软雅黑" w:eastAsia="微软雅黑" w:cs="微软雅黑"/>
          <w:b w:val="0"/>
          <w:bCs/>
          <w:i w:val="0"/>
          <w:color w:val="auto"/>
          <w:spacing w:val="0"/>
          <w:w w:val="100"/>
          <w:sz w:val="24"/>
          <w:highlight w:val="none"/>
        </w:rPr>
        <w:t>、提供有利于磋商的其他证明材料</w:t>
      </w:r>
    </w:p>
    <w:p>
      <w:pPr>
        <w:shd w:val="clear"/>
        <w:snapToGrid w:val="0"/>
        <w:spacing w:before="0" w:beforeAutospacing="0" w:after="0" w:afterAutospacing="0" w:line="240" w:lineRule="atLeast"/>
        <w:ind w:left="1079" w:leftChars="257" w:hanging="539"/>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lang w:val="en-US" w:eastAsia="zh-CN"/>
        </w:rPr>
        <w:t>9</w:t>
      </w:r>
      <w:r>
        <w:rPr>
          <w:rFonts w:hint="eastAsia" w:ascii="微软雅黑" w:hAnsi="微软雅黑" w:eastAsia="微软雅黑" w:cs="微软雅黑"/>
          <w:b w:val="0"/>
          <w:i w:val="0"/>
          <w:color w:val="auto"/>
          <w:spacing w:val="0"/>
          <w:w w:val="100"/>
          <w:sz w:val="24"/>
          <w:highlight w:val="none"/>
        </w:rPr>
        <w:t>、磋商文件格式范本</w:t>
      </w:r>
    </w:p>
    <w:p>
      <w:pPr>
        <w:pStyle w:val="12"/>
        <w:tabs>
          <w:tab w:val="left" w:pos="5580"/>
        </w:tabs>
        <w:spacing w:beforeAutospacing="0" w:afterAutospacing="0" w:line="240" w:lineRule="atLeas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10、二轮报价表（此表用于磋商现场）</w:t>
      </w:r>
    </w:p>
    <w:p>
      <w:pPr>
        <w:spacing w:beforeAutospacing="0" w:afterAutospacing="0" w:line="360" w:lineRule="auto"/>
        <w:rPr>
          <w:rFonts w:hint="eastAsia" w:ascii="微软雅黑" w:hAnsi="微软雅黑" w:eastAsia="微软雅黑" w:cs="微软雅黑"/>
          <w:b/>
          <w:bCs/>
          <w:color w:val="auto"/>
          <w:highlight w:val="none"/>
        </w:rPr>
      </w:pPr>
    </w:p>
    <w:p>
      <w:pPr>
        <w:pStyle w:val="4"/>
        <w:rPr>
          <w:rFonts w:hint="eastAsia" w:ascii="微软雅黑" w:hAnsi="微软雅黑" w:eastAsia="微软雅黑" w:cs="微软雅黑"/>
          <w:b/>
          <w:bCs/>
          <w:color w:val="auto"/>
          <w:highlight w:val="none"/>
        </w:rPr>
      </w:pPr>
    </w:p>
    <w:p>
      <w:pPr>
        <w:pStyle w:val="4"/>
        <w:rPr>
          <w:rFonts w:hint="eastAsia" w:ascii="微软雅黑" w:hAnsi="微软雅黑" w:eastAsia="微软雅黑" w:cs="微软雅黑"/>
          <w:b/>
          <w:bCs/>
          <w:color w:val="auto"/>
          <w:highlight w:val="none"/>
        </w:rPr>
      </w:pPr>
    </w:p>
    <w:p>
      <w:pPr>
        <w:pStyle w:val="4"/>
        <w:rPr>
          <w:rFonts w:hint="eastAsia" w:ascii="微软雅黑" w:hAnsi="微软雅黑" w:eastAsia="微软雅黑" w:cs="微软雅黑"/>
          <w:b/>
          <w:bCs/>
          <w:color w:val="auto"/>
          <w:highlight w:val="none"/>
        </w:rPr>
      </w:pPr>
    </w:p>
    <w:p>
      <w:pPr>
        <w:pStyle w:val="4"/>
        <w:rPr>
          <w:rFonts w:hint="eastAsia" w:ascii="微软雅黑" w:hAnsi="微软雅黑" w:eastAsia="微软雅黑" w:cs="微软雅黑"/>
          <w:b/>
          <w:bCs/>
          <w:color w:val="auto"/>
          <w:highlight w:val="none"/>
        </w:rPr>
      </w:pPr>
    </w:p>
    <w:p>
      <w:pPr>
        <w:pStyle w:val="4"/>
        <w:rPr>
          <w:rFonts w:hint="eastAsia" w:ascii="微软雅黑" w:hAnsi="微软雅黑" w:eastAsia="微软雅黑" w:cs="微软雅黑"/>
          <w:b/>
          <w:bCs/>
          <w:color w:val="auto"/>
          <w:highlight w:val="none"/>
        </w:rPr>
      </w:pPr>
    </w:p>
    <w:p>
      <w:pPr>
        <w:pStyle w:val="4"/>
        <w:rPr>
          <w:rFonts w:hint="eastAsia" w:ascii="微软雅黑" w:hAnsi="微软雅黑" w:eastAsia="微软雅黑" w:cs="微软雅黑"/>
          <w:b/>
          <w:bCs/>
          <w:color w:val="auto"/>
          <w:highlight w:val="none"/>
        </w:rPr>
      </w:pPr>
    </w:p>
    <w:p>
      <w:pPr>
        <w:spacing w:beforeAutospacing="0" w:afterAutospacing="0" w:line="360" w:lineRule="auto"/>
        <w:rPr>
          <w:rFonts w:hint="eastAsia" w:ascii="微软雅黑" w:hAnsi="微软雅黑" w:eastAsia="微软雅黑" w:cs="微软雅黑"/>
          <w:color w:val="auto"/>
          <w:sz w:val="24"/>
          <w:highlight w:val="none"/>
        </w:rPr>
      </w:pPr>
    </w:p>
    <w:p>
      <w:pPr>
        <w:pStyle w:val="12"/>
        <w:tabs>
          <w:tab w:val="left" w:pos="5580"/>
        </w:tabs>
        <w:spacing w:beforeAutospacing="0" w:afterAutospacing="0" w:line="240" w:lineRule="atLeast"/>
        <w:rPr>
          <w:rFonts w:hint="eastAsia" w:ascii="微软雅黑" w:hAnsi="微软雅黑" w:eastAsia="微软雅黑" w:cs="微软雅黑"/>
          <w:color w:val="auto"/>
          <w:szCs w:val="21"/>
          <w:highlight w:val="none"/>
        </w:rPr>
      </w:pPr>
    </w:p>
    <w:p>
      <w:pPr>
        <w:pStyle w:val="12"/>
        <w:tabs>
          <w:tab w:val="left" w:pos="5580"/>
        </w:tabs>
        <w:spacing w:beforeAutospacing="0" w:afterAutospacing="0" w:line="240" w:lineRule="atLeast"/>
        <w:rPr>
          <w:rFonts w:hint="eastAsia" w:ascii="微软雅黑" w:hAnsi="微软雅黑" w:eastAsia="微软雅黑" w:cs="微软雅黑"/>
          <w:color w:val="auto"/>
          <w:szCs w:val="21"/>
          <w:highlight w:val="none"/>
        </w:rPr>
      </w:pPr>
    </w:p>
    <w:p>
      <w:pPr>
        <w:pStyle w:val="12"/>
        <w:tabs>
          <w:tab w:val="left" w:pos="5580"/>
        </w:tabs>
        <w:spacing w:beforeAutospacing="0" w:afterAutospacing="0" w:line="240" w:lineRule="atLeast"/>
        <w:rPr>
          <w:rFonts w:hint="eastAsia" w:ascii="微软雅黑" w:hAnsi="微软雅黑" w:eastAsia="微软雅黑" w:cs="微软雅黑"/>
          <w:color w:val="auto"/>
          <w:szCs w:val="21"/>
          <w:highlight w:val="none"/>
        </w:rPr>
      </w:pPr>
    </w:p>
    <w:p>
      <w:pPr>
        <w:pStyle w:val="12"/>
        <w:tabs>
          <w:tab w:val="left" w:pos="5580"/>
        </w:tabs>
        <w:spacing w:beforeAutospacing="0" w:afterAutospacing="0" w:line="240" w:lineRule="atLeast"/>
        <w:rPr>
          <w:rFonts w:hint="eastAsia" w:ascii="微软雅黑" w:hAnsi="微软雅黑" w:eastAsia="微软雅黑" w:cs="微软雅黑"/>
          <w:color w:val="auto"/>
          <w:szCs w:val="21"/>
          <w:highlight w:val="none"/>
        </w:rPr>
      </w:pPr>
    </w:p>
    <w:p>
      <w:pPr>
        <w:pStyle w:val="12"/>
        <w:tabs>
          <w:tab w:val="left" w:pos="5580"/>
        </w:tabs>
        <w:spacing w:beforeAutospacing="0" w:afterAutospacing="0" w:line="240" w:lineRule="atLeast"/>
        <w:rPr>
          <w:rFonts w:hint="eastAsia" w:ascii="微软雅黑" w:hAnsi="微软雅黑" w:eastAsia="微软雅黑" w:cs="微软雅黑"/>
          <w:color w:val="auto"/>
          <w:szCs w:val="21"/>
          <w:highlight w:val="none"/>
        </w:rPr>
      </w:pPr>
    </w:p>
    <w:p>
      <w:pPr>
        <w:pStyle w:val="12"/>
        <w:tabs>
          <w:tab w:val="left" w:pos="5580"/>
        </w:tabs>
        <w:spacing w:beforeAutospacing="0" w:afterAutospacing="0" w:line="240" w:lineRule="atLeast"/>
        <w:rPr>
          <w:rFonts w:hint="eastAsia" w:ascii="微软雅黑" w:hAnsi="微软雅黑" w:eastAsia="微软雅黑" w:cs="微软雅黑"/>
          <w:color w:val="auto"/>
          <w:szCs w:val="21"/>
          <w:highlight w:val="none"/>
        </w:rPr>
      </w:pPr>
    </w:p>
    <w:p>
      <w:pPr>
        <w:pStyle w:val="12"/>
        <w:tabs>
          <w:tab w:val="left" w:pos="5580"/>
        </w:tabs>
        <w:spacing w:beforeAutospacing="0" w:afterAutospacing="0" w:line="240" w:lineRule="atLeast"/>
        <w:rPr>
          <w:rFonts w:hint="eastAsia" w:ascii="微软雅黑" w:hAnsi="微软雅黑" w:eastAsia="微软雅黑" w:cs="微软雅黑"/>
          <w:color w:val="auto"/>
          <w:szCs w:val="21"/>
          <w:highlight w:val="none"/>
        </w:rPr>
      </w:pPr>
    </w:p>
    <w:p>
      <w:pPr>
        <w:pStyle w:val="12"/>
        <w:tabs>
          <w:tab w:val="left" w:pos="5580"/>
        </w:tabs>
        <w:spacing w:beforeAutospacing="0" w:afterAutospacing="0" w:line="240" w:lineRule="atLeast"/>
        <w:rPr>
          <w:rFonts w:hint="eastAsia" w:ascii="微软雅黑" w:hAnsi="微软雅黑" w:eastAsia="微软雅黑" w:cs="微软雅黑"/>
          <w:color w:val="auto"/>
          <w:szCs w:val="21"/>
          <w:highlight w:val="none"/>
        </w:rPr>
      </w:pPr>
    </w:p>
    <w:p>
      <w:pPr>
        <w:pStyle w:val="12"/>
        <w:tabs>
          <w:tab w:val="left" w:pos="5580"/>
        </w:tabs>
        <w:spacing w:beforeAutospacing="0" w:afterAutospacing="0" w:line="240" w:lineRule="atLeast"/>
        <w:rPr>
          <w:rFonts w:hint="eastAsia" w:ascii="微软雅黑" w:hAnsi="微软雅黑" w:eastAsia="微软雅黑" w:cs="微软雅黑"/>
          <w:color w:val="auto"/>
          <w:szCs w:val="21"/>
          <w:highlight w:val="none"/>
        </w:rPr>
      </w:pPr>
    </w:p>
    <w:p>
      <w:pPr>
        <w:pStyle w:val="12"/>
        <w:tabs>
          <w:tab w:val="left" w:pos="5580"/>
        </w:tabs>
        <w:spacing w:beforeAutospacing="0" w:afterAutospacing="0" w:line="240" w:lineRule="atLeast"/>
        <w:rPr>
          <w:rFonts w:hint="eastAsia" w:ascii="微软雅黑" w:hAnsi="微软雅黑" w:eastAsia="微软雅黑" w:cs="微软雅黑"/>
          <w:color w:val="auto"/>
          <w:szCs w:val="21"/>
          <w:highlight w:val="none"/>
        </w:rPr>
      </w:pPr>
    </w:p>
    <w:p>
      <w:pPr>
        <w:pStyle w:val="12"/>
        <w:tabs>
          <w:tab w:val="left" w:pos="5580"/>
        </w:tabs>
        <w:spacing w:beforeAutospacing="0" w:afterAutospacing="0" w:line="240" w:lineRule="atLeast"/>
        <w:rPr>
          <w:rFonts w:hint="eastAsia" w:ascii="微软雅黑" w:hAnsi="微软雅黑" w:eastAsia="微软雅黑" w:cs="微软雅黑"/>
          <w:color w:val="auto"/>
          <w:szCs w:val="21"/>
          <w:highlight w:val="none"/>
        </w:rPr>
      </w:pPr>
    </w:p>
    <w:p>
      <w:pPr>
        <w:pStyle w:val="12"/>
        <w:tabs>
          <w:tab w:val="left" w:pos="5580"/>
        </w:tabs>
        <w:spacing w:beforeAutospacing="0" w:afterAutospacing="0" w:line="240" w:lineRule="atLeast"/>
        <w:rPr>
          <w:rFonts w:hint="eastAsia" w:ascii="微软雅黑" w:hAnsi="微软雅黑" w:eastAsia="微软雅黑" w:cs="微软雅黑"/>
          <w:color w:val="auto"/>
          <w:szCs w:val="21"/>
          <w:highlight w:val="none"/>
        </w:rPr>
      </w:pPr>
    </w:p>
    <w:p>
      <w:pPr>
        <w:pStyle w:val="12"/>
        <w:tabs>
          <w:tab w:val="left" w:pos="5580"/>
        </w:tabs>
        <w:spacing w:beforeAutospacing="0" w:afterAutospacing="0" w:line="240" w:lineRule="atLeast"/>
        <w:rPr>
          <w:rFonts w:hint="eastAsia" w:ascii="微软雅黑" w:hAnsi="微软雅黑" w:eastAsia="微软雅黑" w:cs="微软雅黑"/>
          <w:color w:val="auto"/>
          <w:szCs w:val="21"/>
          <w:highlight w:val="none"/>
        </w:rPr>
      </w:pPr>
    </w:p>
    <w:p>
      <w:pPr>
        <w:pStyle w:val="12"/>
        <w:tabs>
          <w:tab w:val="left" w:pos="5580"/>
        </w:tabs>
        <w:spacing w:beforeAutospacing="0" w:afterAutospacing="0" w:line="240" w:lineRule="atLeast"/>
        <w:rPr>
          <w:rFonts w:hint="eastAsia" w:ascii="微软雅黑" w:hAnsi="微软雅黑" w:eastAsia="微软雅黑" w:cs="微软雅黑"/>
          <w:color w:val="auto"/>
          <w:szCs w:val="21"/>
          <w:highlight w:val="none"/>
        </w:rPr>
      </w:pPr>
    </w:p>
    <w:p>
      <w:pPr>
        <w:pStyle w:val="7"/>
        <w:shd w:val="clea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olor w:val="auto"/>
          <w:spacing w:val="0"/>
          <w:w w:val="100"/>
          <w:sz w:val="24"/>
          <w:highlight w:val="none"/>
        </w:rPr>
      </w:pPr>
      <w:bookmarkStart w:id="622" w:name="_Toc8940"/>
      <w:bookmarkEnd w:id="622"/>
      <w:bookmarkStart w:id="623" w:name="_Hlt520274065"/>
      <w:bookmarkEnd w:id="623"/>
      <w:bookmarkStart w:id="624" w:name="_Hlt520350957"/>
      <w:bookmarkEnd w:id="624"/>
      <w:bookmarkStart w:id="625" w:name="_Hlt520274911"/>
      <w:bookmarkEnd w:id="625"/>
      <w:bookmarkStart w:id="626" w:name="_Hlt520274393"/>
      <w:bookmarkEnd w:id="626"/>
      <w:bookmarkStart w:id="627" w:name="_Hlt520273973"/>
      <w:bookmarkEnd w:id="627"/>
      <w:bookmarkStart w:id="628" w:name="_Hlt520274407"/>
      <w:bookmarkEnd w:id="628"/>
      <w:bookmarkStart w:id="629" w:name="_Toc14858"/>
      <w:bookmarkEnd w:id="629"/>
      <w:bookmarkStart w:id="630" w:name="_Toc11475"/>
      <w:bookmarkEnd w:id="630"/>
      <w:bookmarkStart w:id="631" w:name="_Toc18506"/>
      <w:bookmarkEnd w:id="631"/>
      <w:bookmarkStart w:id="632" w:name="_Hlt520271212"/>
      <w:bookmarkEnd w:id="632"/>
      <w:bookmarkStart w:id="633" w:name="_Hlt520355504"/>
      <w:bookmarkEnd w:id="633"/>
      <w:bookmarkStart w:id="634" w:name="_Hlt520273711"/>
      <w:bookmarkEnd w:id="634"/>
      <w:bookmarkStart w:id="635" w:name="_Toc12852"/>
      <w:bookmarkEnd w:id="635"/>
      <w:bookmarkStart w:id="636" w:name="_Hlt520343000"/>
      <w:bookmarkEnd w:id="636"/>
      <w:bookmarkStart w:id="637" w:name="_Toc22432"/>
      <w:bookmarkEnd w:id="637"/>
      <w:bookmarkStart w:id="638" w:name="_Toc18614"/>
      <w:bookmarkEnd w:id="638"/>
      <w:bookmarkStart w:id="639" w:name="_Hlt520350918"/>
      <w:bookmarkEnd w:id="639"/>
      <w:bookmarkStart w:id="640" w:name="_Hlt520343392"/>
      <w:bookmarkEnd w:id="640"/>
      <w:bookmarkStart w:id="641" w:name="_Toc21381"/>
      <w:r>
        <w:rPr>
          <w:rFonts w:hint="eastAsia" w:ascii="微软雅黑" w:hAnsi="微软雅黑" w:eastAsia="微软雅黑" w:cs="微软雅黑"/>
          <w:b/>
          <w:i w:val="0"/>
          <w:color w:val="auto"/>
          <w:spacing w:val="0"/>
          <w:w w:val="100"/>
          <w:sz w:val="24"/>
          <w:szCs w:val="24"/>
          <w:highlight w:val="none"/>
        </w:rPr>
        <w:t>1</w:t>
      </w:r>
      <w:r>
        <w:rPr>
          <w:rFonts w:hint="eastAsia" w:ascii="微软雅黑" w:hAnsi="微软雅黑" w:eastAsia="微软雅黑" w:cs="微软雅黑"/>
          <w:b/>
          <w:i w:val="0"/>
          <w:color w:val="auto"/>
          <w:spacing w:val="0"/>
          <w:w w:val="100"/>
          <w:sz w:val="24"/>
          <w:szCs w:val="24"/>
          <w:highlight w:val="none"/>
          <w:lang w:eastAsia="zh-CN"/>
        </w:rPr>
        <w:t>、</w:t>
      </w:r>
      <w:r>
        <w:rPr>
          <w:rFonts w:hint="eastAsia" w:ascii="微软雅黑" w:hAnsi="微软雅黑" w:eastAsia="微软雅黑" w:cs="微软雅黑"/>
          <w:b/>
          <w:i w:val="0"/>
          <w:color w:val="auto"/>
          <w:spacing w:val="0"/>
          <w:w w:val="100"/>
          <w:sz w:val="24"/>
          <w:szCs w:val="24"/>
          <w:highlight w:val="none"/>
        </w:rPr>
        <w:t>磋商书</w:t>
      </w:r>
      <w:bookmarkEnd w:id="641"/>
    </w:p>
    <w:p>
      <w:pPr>
        <w:shd w:val="clear"/>
        <w:tabs>
          <w:tab w:val="left" w:pos="5580"/>
        </w:tabs>
        <w:snapToGrid w:val="0"/>
        <w:spacing w:before="0" w:beforeAutospacing="0" w:after="0" w:afterAutospacing="0" w:line="240" w:lineRule="atLeast"/>
        <w:ind w:left="1080" w:hanging="1080"/>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致：</w:t>
      </w:r>
    </w:p>
    <w:p>
      <w:pPr>
        <w:pStyle w:val="12"/>
        <w:shd w:val="clear"/>
        <w:tabs>
          <w:tab w:val="left" w:pos="5580"/>
        </w:tabs>
        <w:snapToGrid w:val="0"/>
        <w:spacing w:before="0" w:beforeAutospacing="0" w:after="0" w:afterAutospacing="0" w:line="240" w:lineRule="atLeast"/>
        <w:ind w:left="2" w:leftChars="1" w:firstLine="480" w:firstLineChars="20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根据贵方(</w:t>
      </w:r>
      <w:r>
        <w:rPr>
          <w:rFonts w:hint="eastAsia" w:ascii="微软雅黑" w:hAnsi="微软雅黑" w:eastAsia="微软雅黑" w:cs="微软雅黑"/>
          <w:b w:val="0"/>
          <w:i/>
          <w:color w:val="auto"/>
          <w:spacing w:val="0"/>
          <w:w w:val="100"/>
          <w:sz w:val="24"/>
          <w:szCs w:val="24"/>
          <w:highlight w:val="none"/>
          <w:u w:val="single" w:color="000000"/>
        </w:rPr>
        <w:t>项目名称</w:t>
      </w:r>
      <w:r>
        <w:rPr>
          <w:rFonts w:hint="eastAsia" w:ascii="微软雅黑" w:hAnsi="微软雅黑" w:eastAsia="微软雅黑" w:cs="微软雅黑"/>
          <w:b w:val="0"/>
          <w:i w:val="0"/>
          <w:color w:val="auto"/>
          <w:spacing w:val="0"/>
          <w:w w:val="100"/>
          <w:sz w:val="24"/>
          <w:szCs w:val="24"/>
          <w:highlight w:val="none"/>
        </w:rPr>
        <w:t>)项目的磋商邀请(</w:t>
      </w:r>
      <w:r>
        <w:rPr>
          <w:rFonts w:hint="eastAsia" w:ascii="微软雅黑" w:hAnsi="微软雅黑" w:eastAsia="微软雅黑" w:cs="微软雅黑"/>
          <w:b w:val="0"/>
          <w:i/>
          <w:color w:val="auto"/>
          <w:spacing w:val="0"/>
          <w:w w:val="100"/>
          <w:sz w:val="24"/>
          <w:szCs w:val="24"/>
          <w:highlight w:val="none"/>
          <w:u w:val="single" w:color="000000"/>
          <w:lang w:eastAsia="zh-CN"/>
        </w:rPr>
        <w:t>项目编号</w:t>
      </w:r>
      <w:r>
        <w:rPr>
          <w:rFonts w:hint="eastAsia" w:ascii="微软雅黑" w:hAnsi="微软雅黑" w:eastAsia="微软雅黑" w:cs="微软雅黑"/>
          <w:b w:val="0"/>
          <w:i w:val="0"/>
          <w:color w:val="auto"/>
          <w:spacing w:val="0"/>
          <w:w w:val="100"/>
          <w:sz w:val="24"/>
          <w:szCs w:val="24"/>
          <w:highlight w:val="none"/>
        </w:rPr>
        <w:t>),签字代表(</w:t>
      </w:r>
      <w:r>
        <w:rPr>
          <w:rFonts w:hint="eastAsia" w:ascii="微软雅黑" w:hAnsi="微软雅黑" w:eastAsia="微软雅黑" w:cs="微软雅黑"/>
          <w:b w:val="0"/>
          <w:i/>
          <w:color w:val="auto"/>
          <w:spacing w:val="0"/>
          <w:w w:val="100"/>
          <w:sz w:val="24"/>
          <w:szCs w:val="24"/>
          <w:highlight w:val="none"/>
          <w:u w:val="single" w:color="000000"/>
        </w:rPr>
        <w:t>姓名、职务</w:t>
      </w:r>
      <w:r>
        <w:rPr>
          <w:rFonts w:hint="eastAsia" w:ascii="微软雅黑" w:hAnsi="微软雅黑" w:eastAsia="微软雅黑" w:cs="微软雅黑"/>
          <w:b w:val="0"/>
          <w:i w:val="0"/>
          <w:color w:val="auto"/>
          <w:spacing w:val="0"/>
          <w:w w:val="100"/>
          <w:sz w:val="24"/>
          <w:szCs w:val="24"/>
          <w:highlight w:val="none"/>
        </w:rPr>
        <w:t>)经正式授权并代表供应商（</w:t>
      </w:r>
      <w:r>
        <w:rPr>
          <w:rFonts w:hint="eastAsia" w:ascii="微软雅黑" w:hAnsi="微软雅黑" w:eastAsia="微软雅黑" w:cs="微软雅黑"/>
          <w:b w:val="0"/>
          <w:i/>
          <w:color w:val="auto"/>
          <w:spacing w:val="0"/>
          <w:w w:val="100"/>
          <w:sz w:val="24"/>
          <w:szCs w:val="24"/>
          <w:highlight w:val="none"/>
          <w:u w:val="single" w:color="000000"/>
        </w:rPr>
        <w:t>名称、地址</w:t>
      </w:r>
      <w:r>
        <w:rPr>
          <w:rFonts w:hint="eastAsia" w:ascii="微软雅黑" w:hAnsi="微软雅黑" w:eastAsia="微软雅黑" w:cs="微软雅黑"/>
          <w:b w:val="0"/>
          <w:i w:val="0"/>
          <w:color w:val="auto"/>
          <w:spacing w:val="0"/>
          <w:w w:val="100"/>
          <w:sz w:val="24"/>
          <w:szCs w:val="24"/>
          <w:highlight w:val="none"/>
        </w:rPr>
        <w:t>），并以</w:t>
      </w:r>
      <w:r>
        <w:rPr>
          <w:rFonts w:hint="eastAsia" w:ascii="微软雅黑" w:hAnsi="微软雅黑" w:eastAsia="微软雅黑" w:cs="微软雅黑"/>
          <w:b w:val="0"/>
          <w:i w:val="0"/>
          <w:color w:val="auto"/>
          <w:spacing w:val="0"/>
          <w:w w:val="100"/>
          <w:sz w:val="24"/>
          <w:szCs w:val="24"/>
          <w:highlight w:val="none"/>
          <w:u w:val="single" w:color="000000"/>
        </w:rPr>
        <w:t xml:space="preserve">         </w:t>
      </w:r>
      <w:r>
        <w:rPr>
          <w:rFonts w:hint="eastAsia" w:ascii="微软雅黑" w:hAnsi="微软雅黑" w:eastAsia="微软雅黑" w:cs="微软雅黑"/>
          <w:b w:val="0"/>
          <w:i w:val="0"/>
          <w:color w:val="auto"/>
          <w:spacing w:val="0"/>
          <w:w w:val="100"/>
          <w:sz w:val="24"/>
          <w:szCs w:val="24"/>
          <w:highlight w:val="none"/>
        </w:rPr>
        <w:t>形式出具的金额为人民币</w:t>
      </w:r>
      <w:r>
        <w:rPr>
          <w:rFonts w:hint="eastAsia" w:ascii="微软雅黑" w:hAnsi="微软雅黑" w:eastAsia="微软雅黑" w:cs="微软雅黑"/>
          <w:b w:val="0"/>
          <w:i w:val="0"/>
          <w:color w:val="auto"/>
          <w:spacing w:val="0"/>
          <w:w w:val="100"/>
          <w:sz w:val="24"/>
          <w:szCs w:val="24"/>
          <w:highlight w:val="none"/>
          <w:u w:val="single" w:color="000000"/>
        </w:rPr>
        <w:t>　　　　</w:t>
      </w:r>
      <w:r>
        <w:rPr>
          <w:rFonts w:hint="eastAsia" w:ascii="微软雅黑" w:hAnsi="微软雅黑" w:eastAsia="微软雅黑" w:cs="微软雅黑"/>
          <w:b w:val="0"/>
          <w:i w:val="0"/>
          <w:color w:val="auto"/>
          <w:spacing w:val="0"/>
          <w:w w:val="100"/>
          <w:sz w:val="24"/>
          <w:szCs w:val="24"/>
          <w:highlight w:val="none"/>
        </w:rPr>
        <w:t>元的磋商保证金。</w:t>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据此，签字代表宣布同意如下：</w:t>
      </w:r>
    </w:p>
    <w:p>
      <w:pPr>
        <w:pStyle w:val="12"/>
        <w:shd w:val="clear"/>
        <w:tabs>
          <w:tab w:val="left" w:pos="720"/>
          <w:tab w:val="left" w:pos="900"/>
        </w:tabs>
        <w:snapToGrid w:val="0"/>
        <w:spacing w:before="0" w:beforeAutospacing="0" w:after="0" w:afterAutospacing="0" w:line="240" w:lineRule="atLeast"/>
        <w:ind w:left="769" w:leftChars="257" w:hanging="229"/>
        <w:jc w:val="both"/>
        <w:textAlignment w:val="baseline"/>
        <w:rPr>
          <w:rFonts w:hint="eastAsia" w:ascii="微软雅黑" w:hAnsi="微软雅黑" w:eastAsia="微软雅黑" w:cs="微软雅黑"/>
          <w:b w:val="0"/>
          <w:i w:val="0"/>
          <w:color w:val="auto"/>
          <w:spacing w:val="0"/>
          <w:w w:val="100"/>
          <w:sz w:val="24"/>
          <w:szCs w:val="24"/>
          <w:highlight w:val="none"/>
          <w:u w:val="single" w:color="000000"/>
        </w:rPr>
      </w:pPr>
      <w:r>
        <w:rPr>
          <w:rFonts w:hint="eastAsia" w:ascii="微软雅黑" w:hAnsi="微软雅黑" w:eastAsia="微软雅黑" w:cs="微软雅黑"/>
          <w:b w:val="0"/>
          <w:i w:val="0"/>
          <w:color w:val="auto"/>
          <w:spacing w:val="0"/>
          <w:w w:val="100"/>
          <w:sz w:val="24"/>
          <w:szCs w:val="24"/>
          <w:highlight w:val="none"/>
        </w:rPr>
        <w:t>（1）附磋商价格表中规定的应提供</w:t>
      </w:r>
      <w:r>
        <w:rPr>
          <w:rFonts w:hint="eastAsia" w:ascii="微软雅黑" w:hAnsi="微软雅黑" w:eastAsia="微软雅黑" w:cs="微软雅黑"/>
          <w:b w:val="0"/>
          <w:i w:val="0"/>
          <w:color w:val="auto"/>
          <w:spacing w:val="0"/>
          <w:w w:val="100"/>
          <w:sz w:val="24"/>
          <w:szCs w:val="24"/>
          <w:highlight w:val="none"/>
          <w:lang w:val="en-US" w:eastAsia="zh-CN"/>
        </w:rPr>
        <w:t>服务</w:t>
      </w:r>
      <w:r>
        <w:rPr>
          <w:rFonts w:hint="eastAsia" w:ascii="微软雅黑" w:hAnsi="微软雅黑" w:eastAsia="微软雅黑" w:cs="微软雅黑"/>
          <w:b w:val="0"/>
          <w:i w:val="0"/>
          <w:color w:val="auto"/>
          <w:spacing w:val="0"/>
          <w:w w:val="100"/>
          <w:sz w:val="24"/>
          <w:szCs w:val="24"/>
          <w:highlight w:val="none"/>
        </w:rPr>
        <w:t>的磋商总价详见磋商开启一览表，</w:t>
      </w:r>
      <w:r>
        <w:rPr>
          <w:rFonts w:hint="eastAsia" w:ascii="微软雅黑" w:hAnsi="微软雅黑" w:eastAsia="微软雅黑" w:cs="微软雅黑"/>
          <w:b w:val="0"/>
          <w:i w:val="0"/>
          <w:color w:val="auto"/>
          <w:spacing w:val="0"/>
          <w:w w:val="100"/>
          <w:sz w:val="24"/>
          <w:szCs w:val="24"/>
          <w:highlight w:val="none"/>
          <w:u w:val="single" w:color="000000"/>
        </w:rPr>
        <w:t>其中由小型和</w:t>
      </w:r>
      <w:r>
        <w:rPr>
          <w:rFonts w:hint="eastAsia" w:ascii="微软雅黑" w:hAnsi="微软雅黑" w:eastAsia="微软雅黑" w:cs="微软雅黑"/>
          <w:b w:val="0"/>
          <w:i w:val="0"/>
          <w:color w:val="auto"/>
          <w:spacing w:val="0"/>
          <w:w w:val="100"/>
          <w:sz w:val="24"/>
          <w:szCs w:val="24"/>
          <w:highlight w:val="none"/>
        </w:rPr>
        <w:t>微型企业制造产品的价格为</w:t>
      </w:r>
      <w:r>
        <w:rPr>
          <w:rFonts w:hint="eastAsia" w:ascii="微软雅黑" w:hAnsi="微软雅黑" w:eastAsia="微软雅黑" w:cs="微软雅黑"/>
          <w:b w:val="0"/>
          <w:i w:val="0"/>
          <w:color w:val="auto"/>
          <w:spacing w:val="0"/>
          <w:w w:val="100"/>
          <w:sz w:val="24"/>
          <w:szCs w:val="24"/>
          <w:highlight w:val="none"/>
          <w:u w:val="single" w:color="000000"/>
        </w:rPr>
        <w:t>　　  （用文字和数字表示），占磋商总价   %</w:t>
      </w:r>
      <w:r>
        <w:rPr>
          <w:rFonts w:hint="eastAsia" w:ascii="微软雅黑" w:hAnsi="微软雅黑" w:eastAsia="微软雅黑" w:cs="微软雅黑"/>
          <w:b w:val="0"/>
          <w:i w:val="0"/>
          <w:color w:val="auto"/>
          <w:spacing w:val="0"/>
          <w:w w:val="100"/>
          <w:sz w:val="24"/>
          <w:szCs w:val="24"/>
          <w:highlight w:val="none"/>
        </w:rPr>
        <w:t>。</w:t>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（2）本磋商有效期为自磋商截止之日起</w:t>
      </w:r>
      <w:r>
        <w:rPr>
          <w:rFonts w:hint="eastAsia" w:ascii="微软雅黑" w:hAnsi="微软雅黑" w:eastAsia="微软雅黑" w:cs="微软雅黑"/>
          <w:b w:val="0"/>
          <w:i w:val="0"/>
          <w:color w:val="auto"/>
          <w:spacing w:val="0"/>
          <w:w w:val="100"/>
          <w:sz w:val="24"/>
          <w:szCs w:val="24"/>
          <w:highlight w:val="none"/>
          <w:u w:val="single" w:color="000000"/>
        </w:rPr>
        <w:t xml:space="preserve">          </w:t>
      </w:r>
      <w:r>
        <w:rPr>
          <w:rFonts w:hint="eastAsia" w:ascii="微软雅黑" w:hAnsi="微软雅黑" w:eastAsia="微软雅黑" w:cs="微软雅黑"/>
          <w:b w:val="0"/>
          <w:i w:val="0"/>
          <w:color w:val="auto"/>
          <w:spacing w:val="0"/>
          <w:w w:val="100"/>
          <w:sz w:val="24"/>
          <w:szCs w:val="24"/>
          <w:highlight w:val="none"/>
        </w:rPr>
        <w:t>个日历日。</w:t>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（3）联合体中的大中型企业和其他自然人、</w:t>
      </w:r>
      <w:r>
        <w:rPr>
          <w:rFonts w:hint="eastAsia" w:ascii="微软雅黑" w:hAnsi="微软雅黑" w:eastAsia="微软雅黑" w:cs="微软雅黑"/>
          <w:b w:val="0"/>
          <w:i w:val="0"/>
          <w:color w:val="auto"/>
          <w:spacing w:val="0"/>
          <w:w w:val="100"/>
          <w:sz w:val="24"/>
          <w:szCs w:val="24"/>
          <w:highlight w:val="none"/>
          <w:lang w:eastAsia="zh-CN"/>
        </w:rPr>
        <w:t>法定代表人</w:t>
      </w:r>
      <w:r>
        <w:rPr>
          <w:rFonts w:hint="eastAsia" w:ascii="微软雅黑" w:hAnsi="微软雅黑" w:eastAsia="微软雅黑" w:cs="微软雅黑"/>
          <w:b w:val="0"/>
          <w:i w:val="0"/>
          <w:color w:val="auto"/>
          <w:spacing w:val="0"/>
          <w:w w:val="100"/>
          <w:sz w:val="24"/>
          <w:szCs w:val="24"/>
          <w:highlight w:val="none"/>
        </w:rPr>
        <w:t>或者非</w:t>
      </w:r>
      <w:r>
        <w:rPr>
          <w:rFonts w:hint="eastAsia" w:ascii="微软雅黑" w:hAnsi="微软雅黑" w:eastAsia="微软雅黑" w:cs="微软雅黑"/>
          <w:b w:val="0"/>
          <w:i w:val="0"/>
          <w:color w:val="auto"/>
          <w:spacing w:val="0"/>
          <w:w w:val="100"/>
          <w:sz w:val="24"/>
          <w:szCs w:val="24"/>
          <w:highlight w:val="none"/>
          <w:lang w:eastAsia="zh-CN"/>
        </w:rPr>
        <w:t>法定代表人</w:t>
      </w:r>
      <w:r>
        <w:rPr>
          <w:rFonts w:hint="eastAsia" w:ascii="微软雅黑" w:hAnsi="微软雅黑" w:eastAsia="微软雅黑" w:cs="微软雅黑"/>
          <w:b w:val="0"/>
          <w:i w:val="0"/>
          <w:color w:val="auto"/>
          <w:spacing w:val="0"/>
          <w:w w:val="100"/>
          <w:sz w:val="24"/>
          <w:szCs w:val="24"/>
          <w:highlight w:val="none"/>
        </w:rPr>
        <w:t>组织，与联合体中的小型、微型企业之间</w:t>
      </w:r>
      <w:r>
        <w:rPr>
          <w:rFonts w:hint="eastAsia" w:ascii="微软雅黑" w:hAnsi="微软雅黑" w:eastAsia="微软雅黑" w:cs="微软雅黑"/>
          <w:b w:val="0"/>
          <w:i w:val="0"/>
          <w:color w:val="auto"/>
          <w:spacing w:val="0"/>
          <w:w w:val="100"/>
          <w:sz w:val="24"/>
          <w:szCs w:val="24"/>
          <w:highlight w:val="none"/>
          <w:u w:val="single" w:color="000000"/>
        </w:rPr>
        <w:t xml:space="preserve">     （</w:t>
      </w:r>
      <w:r>
        <w:rPr>
          <w:rFonts w:hint="eastAsia" w:ascii="微软雅黑" w:hAnsi="微软雅黑" w:eastAsia="微软雅黑" w:cs="微软雅黑"/>
          <w:b w:val="0"/>
          <w:i w:val="0"/>
          <w:color w:val="auto"/>
          <w:spacing w:val="0"/>
          <w:w w:val="100"/>
          <w:sz w:val="24"/>
          <w:szCs w:val="24"/>
          <w:highlight w:val="none"/>
        </w:rPr>
        <w:t>存在、不存在）投资关系（如果是联合体的话）。</w:t>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（4）已详细审查全部磋商文件，包括所有补充通知（如果有的话），完全理解并同意放弃对这方面有不明、误解和质疑的权力。</w:t>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（5）在规定的磋商开启时间后，遵守磋商文件中有关保证金的规定。</w:t>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（6）我方不是为本项目提供整体设计、规范编制或者项目管理、监理、检测等</w:t>
      </w:r>
      <w:r>
        <w:rPr>
          <w:rFonts w:hint="eastAsia" w:ascii="微软雅黑" w:hAnsi="微软雅黑" w:eastAsia="微软雅黑" w:cs="微软雅黑"/>
          <w:b w:val="0"/>
          <w:i w:val="0"/>
          <w:color w:val="auto"/>
          <w:spacing w:val="0"/>
          <w:w w:val="100"/>
          <w:sz w:val="24"/>
          <w:szCs w:val="24"/>
          <w:highlight w:val="none"/>
          <w:lang w:val="en-US" w:eastAsia="zh-CN"/>
        </w:rPr>
        <w:t>服务</w:t>
      </w:r>
      <w:r>
        <w:rPr>
          <w:rFonts w:hint="eastAsia" w:ascii="微软雅黑" w:hAnsi="微软雅黑" w:eastAsia="微软雅黑" w:cs="微软雅黑"/>
          <w:b w:val="0"/>
          <w:i w:val="0"/>
          <w:color w:val="auto"/>
          <w:spacing w:val="0"/>
          <w:w w:val="100"/>
          <w:sz w:val="24"/>
          <w:szCs w:val="24"/>
          <w:highlight w:val="none"/>
        </w:rPr>
        <w:t>的供应商，我方不是采购代理机构的附属机构。</w:t>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（7）在领取成交通知书的同时按磋商文件规定的形式，向贵方一次性支付成交</w:t>
      </w:r>
      <w:r>
        <w:rPr>
          <w:rFonts w:hint="eastAsia" w:ascii="微软雅黑" w:hAnsi="微软雅黑" w:eastAsia="微软雅黑" w:cs="微软雅黑"/>
          <w:b w:val="0"/>
          <w:i w:val="0"/>
          <w:color w:val="auto"/>
          <w:spacing w:val="0"/>
          <w:w w:val="100"/>
          <w:sz w:val="24"/>
          <w:szCs w:val="24"/>
          <w:highlight w:val="none"/>
          <w:lang w:val="en-US" w:eastAsia="zh-CN"/>
        </w:rPr>
        <w:t>服务</w:t>
      </w:r>
      <w:r>
        <w:rPr>
          <w:rFonts w:hint="eastAsia" w:ascii="微软雅黑" w:hAnsi="微软雅黑" w:eastAsia="微软雅黑" w:cs="微软雅黑"/>
          <w:b w:val="0"/>
          <w:i w:val="0"/>
          <w:color w:val="auto"/>
          <w:spacing w:val="0"/>
          <w:w w:val="100"/>
          <w:sz w:val="24"/>
          <w:szCs w:val="24"/>
          <w:highlight w:val="none"/>
        </w:rPr>
        <w:t>费。</w:t>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（8）按照贵方可能要求，提供与其磋商有关的一切数据或资料，完全理解贵方不一定接受最低价的磋商或收到的任何磋商。</w:t>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（9）按照磋商文件的规定履行合同责任和义务。</w:t>
      </w:r>
    </w:p>
    <w:p>
      <w:pPr>
        <w:pStyle w:val="12"/>
        <w:shd w:val="clear"/>
        <w:tabs>
          <w:tab w:val="left" w:pos="5580"/>
        </w:tabs>
        <w:snapToGrid w:val="0"/>
        <w:spacing w:before="0" w:beforeAutospacing="0" w:after="0" w:afterAutospacing="0" w:line="240" w:lineRule="atLeast"/>
        <w:ind w:left="359" w:leftChars="68" w:hangingChars="9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 xml:space="preserve">  与本磋商有关的一切正式往来信函请寄：</w:t>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地址</w:t>
      </w:r>
      <w:r>
        <w:rPr>
          <w:rFonts w:hint="eastAsia" w:ascii="微软雅黑" w:hAnsi="微软雅黑" w:eastAsia="微软雅黑" w:cs="微软雅黑"/>
          <w:b w:val="0"/>
          <w:i w:val="0"/>
          <w:color w:val="auto"/>
          <w:spacing w:val="0"/>
          <w:w w:val="100"/>
          <w:sz w:val="24"/>
          <w:szCs w:val="24"/>
          <w:highlight w:val="none"/>
          <w:u w:val="single" w:color="000000"/>
        </w:rPr>
        <w:t xml:space="preserve">                         </w:t>
      </w:r>
      <w:r>
        <w:rPr>
          <w:rFonts w:hint="eastAsia" w:ascii="微软雅黑" w:hAnsi="微软雅黑" w:eastAsia="微软雅黑" w:cs="微软雅黑"/>
          <w:b w:val="0"/>
          <w:i w:val="0"/>
          <w:color w:val="auto"/>
          <w:spacing w:val="0"/>
          <w:w w:val="100"/>
          <w:sz w:val="24"/>
          <w:szCs w:val="24"/>
          <w:highlight w:val="none"/>
        </w:rPr>
        <w:t xml:space="preserve">     传真</w:t>
      </w:r>
      <w:r>
        <w:rPr>
          <w:rFonts w:hint="eastAsia" w:ascii="微软雅黑" w:hAnsi="微软雅黑" w:eastAsia="微软雅黑" w:cs="微软雅黑"/>
          <w:b w:val="0"/>
          <w:i w:val="0"/>
          <w:color w:val="auto"/>
          <w:spacing w:val="0"/>
          <w:w w:val="100"/>
          <w:sz w:val="24"/>
          <w:szCs w:val="24"/>
          <w:highlight w:val="none"/>
          <w:u w:val="single" w:color="000000"/>
        </w:rPr>
        <w:t xml:space="preserve">                             </w:t>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电话</w:t>
      </w:r>
      <w:r>
        <w:rPr>
          <w:rFonts w:hint="eastAsia" w:ascii="微软雅黑" w:hAnsi="微软雅黑" w:eastAsia="微软雅黑" w:cs="微软雅黑"/>
          <w:b w:val="0"/>
          <w:i w:val="0"/>
          <w:color w:val="auto"/>
          <w:spacing w:val="0"/>
          <w:w w:val="100"/>
          <w:sz w:val="24"/>
          <w:szCs w:val="24"/>
          <w:highlight w:val="none"/>
          <w:u w:val="single" w:color="000000"/>
        </w:rPr>
        <w:t xml:space="preserve">                         </w:t>
      </w:r>
      <w:r>
        <w:rPr>
          <w:rFonts w:hint="eastAsia" w:ascii="微软雅黑" w:hAnsi="微软雅黑" w:eastAsia="微软雅黑" w:cs="微软雅黑"/>
          <w:b w:val="0"/>
          <w:i w:val="0"/>
          <w:color w:val="auto"/>
          <w:spacing w:val="0"/>
          <w:w w:val="100"/>
          <w:sz w:val="24"/>
          <w:szCs w:val="24"/>
          <w:highlight w:val="none"/>
        </w:rPr>
        <w:t xml:space="preserve">     电子函件</w:t>
      </w:r>
      <w:r>
        <w:rPr>
          <w:rFonts w:hint="eastAsia" w:ascii="微软雅黑" w:hAnsi="微软雅黑" w:eastAsia="微软雅黑" w:cs="微软雅黑"/>
          <w:b w:val="0"/>
          <w:i w:val="0"/>
          <w:color w:val="auto"/>
          <w:spacing w:val="0"/>
          <w:w w:val="100"/>
          <w:sz w:val="24"/>
          <w:szCs w:val="24"/>
          <w:highlight w:val="none"/>
          <w:u w:val="single" w:color="000000"/>
        </w:rPr>
        <w:t xml:space="preserve">                         </w:t>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u w:val="single" w:color="000000"/>
        </w:rPr>
      </w:pPr>
      <w:r>
        <w:rPr>
          <w:rFonts w:hint="eastAsia" w:ascii="微软雅黑" w:hAnsi="微软雅黑" w:eastAsia="微软雅黑" w:cs="微软雅黑"/>
          <w:b w:val="0"/>
          <w:i w:val="0"/>
          <w:color w:val="auto"/>
          <w:spacing w:val="0"/>
          <w:w w:val="100"/>
          <w:sz w:val="24"/>
          <w:szCs w:val="24"/>
          <w:highlight w:val="none"/>
        </w:rPr>
        <w:t>法定代表人或其委托代理人（签/章）</w:t>
      </w:r>
      <w:r>
        <w:rPr>
          <w:rFonts w:hint="eastAsia" w:ascii="微软雅黑" w:hAnsi="微软雅黑" w:eastAsia="微软雅黑" w:cs="微软雅黑"/>
          <w:b w:val="0"/>
          <w:i w:val="0"/>
          <w:color w:val="auto"/>
          <w:spacing w:val="0"/>
          <w:w w:val="100"/>
          <w:sz w:val="24"/>
          <w:szCs w:val="24"/>
          <w:highlight w:val="none"/>
          <w:u w:val="single" w:color="000000"/>
        </w:rPr>
        <w:t xml:space="preserve">　　　　　　 </w:t>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供应商名称（全称）</w:t>
      </w:r>
      <w:r>
        <w:rPr>
          <w:rFonts w:hint="eastAsia" w:ascii="微软雅黑" w:hAnsi="微软雅黑" w:eastAsia="微软雅黑" w:cs="微软雅黑"/>
          <w:b w:val="0"/>
          <w:i w:val="0"/>
          <w:color w:val="auto"/>
          <w:spacing w:val="0"/>
          <w:w w:val="100"/>
          <w:sz w:val="24"/>
          <w:szCs w:val="24"/>
          <w:highlight w:val="none"/>
          <w:u w:val="single" w:color="000000"/>
        </w:rPr>
        <w:t xml:space="preserve">　　　　　　 </w:t>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供应商开户银行（全称）</w:t>
      </w:r>
      <w:r>
        <w:rPr>
          <w:rFonts w:hint="eastAsia" w:ascii="微软雅黑" w:hAnsi="微软雅黑" w:eastAsia="微软雅黑" w:cs="微软雅黑"/>
          <w:b w:val="0"/>
          <w:i w:val="0"/>
          <w:color w:val="auto"/>
          <w:spacing w:val="0"/>
          <w:w w:val="100"/>
          <w:sz w:val="24"/>
          <w:szCs w:val="24"/>
          <w:highlight w:val="none"/>
          <w:u w:val="single" w:color="000000"/>
        </w:rPr>
        <w:t xml:space="preserve">　　　　　　 </w:t>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供应商银行帐号</w:t>
      </w:r>
      <w:r>
        <w:rPr>
          <w:rFonts w:hint="eastAsia" w:ascii="微软雅黑" w:hAnsi="微软雅黑" w:eastAsia="微软雅黑" w:cs="微软雅黑"/>
          <w:b w:val="0"/>
          <w:i w:val="0"/>
          <w:color w:val="auto"/>
          <w:spacing w:val="0"/>
          <w:w w:val="100"/>
          <w:sz w:val="24"/>
          <w:szCs w:val="24"/>
          <w:highlight w:val="none"/>
          <w:u w:val="single" w:color="000000"/>
        </w:rPr>
        <w:t>　　　　　　　　 　　</w:t>
      </w:r>
    </w:p>
    <w:p>
      <w:pPr>
        <w:pStyle w:val="12"/>
        <w:shd w:val="clear"/>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u w:val="single" w:color="000000"/>
        </w:rPr>
      </w:pPr>
      <w:bookmarkStart w:id="642" w:name="_Toc515647818"/>
      <w:bookmarkStart w:id="643" w:name="_Toc216582815"/>
      <w:bookmarkStart w:id="644" w:name="_Toc20897"/>
      <w:bookmarkStart w:id="645" w:name="_Toc1881"/>
      <w:r>
        <w:rPr>
          <w:rFonts w:hint="eastAsia" w:ascii="微软雅黑" w:hAnsi="微软雅黑" w:eastAsia="微软雅黑" w:cs="微软雅黑"/>
          <w:b w:val="0"/>
          <w:i w:val="0"/>
          <w:color w:val="auto"/>
          <w:spacing w:val="0"/>
          <w:w w:val="100"/>
          <w:sz w:val="24"/>
          <w:szCs w:val="24"/>
          <w:highlight w:val="none"/>
        </w:rPr>
        <w:t>供应商</w:t>
      </w:r>
      <w:r>
        <w:rPr>
          <w:rFonts w:hint="eastAsia" w:ascii="微软雅黑" w:hAnsi="微软雅黑" w:eastAsia="微软雅黑" w:cs="微软雅黑"/>
          <w:b w:val="0"/>
          <w:i w:val="0"/>
          <w:color w:val="auto"/>
          <w:spacing w:val="0"/>
          <w:w w:val="100"/>
          <w:sz w:val="24"/>
          <w:szCs w:val="24"/>
          <w:highlight w:val="none"/>
          <w:lang w:val="en-US" w:eastAsia="zh-CN"/>
        </w:rPr>
        <w:t>名称</w:t>
      </w:r>
      <w:r>
        <w:rPr>
          <w:rFonts w:hint="eastAsia" w:ascii="微软雅黑" w:hAnsi="微软雅黑" w:eastAsia="微软雅黑" w:cs="微软雅黑"/>
          <w:b w:val="0"/>
          <w:i w:val="0"/>
          <w:color w:val="auto"/>
          <w:spacing w:val="0"/>
          <w:w w:val="100"/>
          <w:sz w:val="24"/>
          <w:szCs w:val="24"/>
          <w:highlight w:val="none"/>
        </w:rPr>
        <w:t>（公章）</w:t>
      </w:r>
      <w:r>
        <w:rPr>
          <w:rFonts w:hint="eastAsia" w:ascii="微软雅黑" w:hAnsi="微软雅黑" w:eastAsia="微软雅黑" w:cs="微软雅黑"/>
          <w:b w:val="0"/>
          <w:i w:val="0"/>
          <w:color w:val="auto"/>
          <w:spacing w:val="0"/>
          <w:w w:val="100"/>
          <w:sz w:val="24"/>
          <w:szCs w:val="24"/>
          <w:highlight w:val="none"/>
          <w:u w:val="single" w:color="000000"/>
        </w:rPr>
        <w:t xml:space="preserve">　　　　　　       </w:t>
      </w:r>
      <w:r>
        <w:rPr>
          <w:rFonts w:hint="eastAsia" w:ascii="微软雅黑" w:hAnsi="微软雅黑" w:eastAsia="微软雅黑" w:cs="微软雅黑"/>
          <w:b w:val="0"/>
          <w:i w:val="0"/>
          <w:color w:val="auto"/>
          <w:spacing w:val="0"/>
          <w:w w:val="100"/>
          <w:sz w:val="24"/>
          <w:szCs w:val="24"/>
          <w:highlight w:val="none"/>
        </w:rPr>
        <w:t>日期</w:t>
      </w:r>
      <w:r>
        <w:rPr>
          <w:rFonts w:hint="eastAsia" w:ascii="微软雅黑" w:hAnsi="微软雅黑" w:eastAsia="微软雅黑" w:cs="微软雅黑"/>
          <w:b w:val="0"/>
          <w:i w:val="0"/>
          <w:color w:val="auto"/>
          <w:spacing w:val="0"/>
          <w:w w:val="100"/>
          <w:sz w:val="24"/>
          <w:szCs w:val="24"/>
          <w:highlight w:val="none"/>
          <w:u w:val="single" w:color="000000"/>
        </w:rPr>
        <w:t>　　　　　　</w:t>
      </w:r>
    </w:p>
    <w:p>
      <w:pPr>
        <w:rPr>
          <w:rFonts w:hint="eastAsia" w:ascii="微软雅黑" w:hAnsi="微软雅黑" w:eastAsia="微软雅黑" w:cs="微软雅黑"/>
          <w:b/>
          <w:i w:val="0"/>
          <w:color w:val="auto"/>
          <w:spacing w:val="0"/>
          <w:w w:val="100"/>
          <w:sz w:val="24"/>
          <w:szCs w:val="24"/>
          <w:highlight w:val="none"/>
        </w:rPr>
      </w:pPr>
      <w:bookmarkStart w:id="646" w:name="_Toc23321"/>
      <w:bookmarkStart w:id="647" w:name="_Toc32493"/>
      <w:bookmarkStart w:id="648" w:name="_Toc23248"/>
      <w:bookmarkStart w:id="649" w:name="_Toc16705"/>
      <w:bookmarkStart w:id="650" w:name="_Toc29155"/>
      <w:bookmarkStart w:id="651" w:name="_Toc12874"/>
      <w:bookmarkStart w:id="652" w:name="_Toc18221"/>
      <w:r>
        <w:rPr>
          <w:rFonts w:hint="eastAsia" w:ascii="微软雅黑" w:hAnsi="微软雅黑" w:eastAsia="微软雅黑" w:cs="微软雅黑"/>
          <w:b/>
          <w:i w:val="0"/>
          <w:color w:val="auto"/>
          <w:spacing w:val="0"/>
          <w:w w:val="100"/>
          <w:sz w:val="24"/>
          <w:szCs w:val="24"/>
          <w:highlight w:val="none"/>
        </w:rPr>
        <w:br w:type="page"/>
      </w:r>
    </w:p>
    <w:bookmarkEnd w:id="642"/>
    <w:bookmarkEnd w:id="643"/>
    <w:bookmarkEnd w:id="644"/>
    <w:bookmarkEnd w:id="645"/>
    <w:bookmarkEnd w:id="646"/>
    <w:bookmarkEnd w:id="647"/>
    <w:bookmarkEnd w:id="648"/>
    <w:bookmarkEnd w:id="649"/>
    <w:bookmarkEnd w:id="650"/>
    <w:bookmarkEnd w:id="651"/>
    <w:bookmarkEnd w:id="652"/>
    <w:p>
      <w:pPr>
        <w:pStyle w:val="7"/>
        <w:shd w:val="clea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olor w:val="auto"/>
          <w:spacing w:val="0"/>
          <w:w w:val="100"/>
          <w:sz w:val="24"/>
          <w:szCs w:val="24"/>
          <w:highlight w:val="none"/>
          <w:lang w:eastAsia="zh-CN"/>
        </w:rPr>
      </w:pPr>
      <w:bookmarkStart w:id="653" w:name="_Toc5105"/>
      <w:r>
        <w:rPr>
          <w:rFonts w:hint="eastAsia" w:ascii="微软雅黑" w:hAnsi="微软雅黑" w:eastAsia="微软雅黑" w:cs="微软雅黑"/>
          <w:b/>
          <w:i w:val="0"/>
          <w:color w:val="auto"/>
          <w:spacing w:val="0"/>
          <w:w w:val="100"/>
          <w:sz w:val="24"/>
          <w:szCs w:val="24"/>
          <w:highlight w:val="none"/>
        </w:rPr>
        <w:t>2</w:t>
      </w:r>
      <w:r>
        <w:rPr>
          <w:rFonts w:hint="eastAsia" w:ascii="微软雅黑" w:hAnsi="微软雅黑" w:eastAsia="微软雅黑" w:cs="微软雅黑"/>
          <w:b/>
          <w:i w:val="0"/>
          <w:color w:val="auto"/>
          <w:spacing w:val="0"/>
          <w:w w:val="100"/>
          <w:sz w:val="24"/>
          <w:szCs w:val="24"/>
          <w:highlight w:val="none"/>
          <w:lang w:eastAsia="zh-CN"/>
        </w:rPr>
        <w:t>、</w:t>
      </w:r>
      <w:r>
        <w:rPr>
          <w:rFonts w:hint="eastAsia" w:ascii="微软雅黑" w:hAnsi="微软雅黑" w:eastAsia="微软雅黑" w:cs="微软雅黑"/>
          <w:b/>
          <w:i w:val="0"/>
          <w:color w:val="auto"/>
          <w:spacing w:val="0"/>
          <w:w w:val="100"/>
          <w:sz w:val="24"/>
          <w:szCs w:val="24"/>
          <w:highlight w:val="none"/>
        </w:rPr>
        <w:t>分项报价表</w:t>
      </w:r>
      <w:bookmarkEnd w:id="653"/>
    </w:p>
    <w:p>
      <w:pPr>
        <w:pStyle w:val="12"/>
        <w:spacing w:line="400" w:lineRule="exact"/>
        <w:jc w:val="left"/>
        <w:rPr>
          <w:rFonts w:hint="eastAsia" w:ascii="微软雅黑" w:hAnsi="微软雅黑" w:eastAsia="微软雅黑" w:cs="微软雅黑"/>
          <w:color w:val="auto"/>
          <w:sz w:val="24"/>
          <w:szCs w:val="24"/>
          <w:highlight w:val="none"/>
        </w:rPr>
      </w:pPr>
      <w:bookmarkStart w:id="654" w:name="_Toc9921"/>
      <w:bookmarkStart w:id="655" w:name="_Toc22132"/>
      <w:bookmarkStart w:id="656" w:name="_Toc12151"/>
      <w:bookmarkStart w:id="657" w:name="_Toc216582816"/>
      <w:bookmarkStart w:id="658" w:name="_Toc515647819"/>
      <w:bookmarkStart w:id="659" w:name="_Toc6343"/>
      <w:bookmarkStart w:id="660" w:name="_Toc18267"/>
      <w:bookmarkStart w:id="661" w:name="_Toc25251"/>
      <w:bookmarkStart w:id="662" w:name="_Toc14037"/>
      <w:bookmarkStart w:id="663" w:name="_Toc24292"/>
      <w:r>
        <w:rPr>
          <w:rFonts w:hint="eastAsia" w:ascii="微软雅黑" w:hAnsi="微软雅黑" w:eastAsia="微软雅黑" w:cs="微软雅黑"/>
          <w:color w:val="auto"/>
          <w:sz w:val="24"/>
          <w:szCs w:val="24"/>
          <w:highlight w:val="none"/>
        </w:rPr>
        <w:t>项目名称:                      项目编号:                 包号: 　 　         报价单位：       人民币元</w:t>
      </w:r>
    </w:p>
    <w:tbl>
      <w:tblPr>
        <w:tblStyle w:val="22"/>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633"/>
        <w:gridCol w:w="823"/>
        <w:gridCol w:w="26"/>
        <w:gridCol w:w="1079"/>
        <w:gridCol w:w="1241"/>
        <w:gridCol w:w="1716"/>
        <w:gridCol w:w="1434"/>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612" w:type="dxa"/>
            <w:vAlign w:val="center"/>
          </w:tcPr>
          <w:p>
            <w:pPr>
              <w:tabs>
                <w:tab w:val="left" w:pos="1337"/>
              </w:tabs>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1633" w:type="dxa"/>
            <w:vAlign w:val="center"/>
          </w:tcPr>
          <w:p>
            <w:pPr>
              <w:tabs>
                <w:tab w:val="left" w:pos="1337"/>
              </w:tabs>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服务名称</w:t>
            </w:r>
          </w:p>
        </w:tc>
        <w:tc>
          <w:tcPr>
            <w:tcW w:w="823" w:type="dxa"/>
            <w:vAlign w:val="center"/>
          </w:tcPr>
          <w:p>
            <w:pPr>
              <w:tabs>
                <w:tab w:val="left" w:pos="1337"/>
              </w:tabs>
              <w:ind w:left="-42" w:right="-42"/>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品牌</w:t>
            </w:r>
          </w:p>
        </w:tc>
        <w:tc>
          <w:tcPr>
            <w:tcW w:w="1105" w:type="dxa"/>
            <w:gridSpan w:val="2"/>
            <w:vAlign w:val="center"/>
          </w:tcPr>
          <w:p>
            <w:pPr>
              <w:tabs>
                <w:tab w:val="left" w:pos="1337"/>
              </w:tabs>
              <w:ind w:left="-42" w:right="-42"/>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型号</w:t>
            </w:r>
          </w:p>
        </w:tc>
        <w:tc>
          <w:tcPr>
            <w:tcW w:w="1241" w:type="dxa"/>
            <w:vAlign w:val="center"/>
          </w:tcPr>
          <w:p>
            <w:pPr>
              <w:tabs>
                <w:tab w:val="left" w:pos="1337"/>
              </w:tabs>
              <w:ind w:left="-42" w:right="-42"/>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原产地</w:t>
            </w:r>
          </w:p>
        </w:tc>
        <w:tc>
          <w:tcPr>
            <w:tcW w:w="1716" w:type="dxa"/>
            <w:vAlign w:val="center"/>
          </w:tcPr>
          <w:p>
            <w:pPr>
              <w:tabs>
                <w:tab w:val="left" w:pos="1337"/>
              </w:tabs>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制造商</w:t>
            </w:r>
          </w:p>
        </w:tc>
        <w:tc>
          <w:tcPr>
            <w:tcW w:w="1434" w:type="dxa"/>
            <w:vAlign w:val="center"/>
          </w:tcPr>
          <w:p>
            <w:pPr>
              <w:tabs>
                <w:tab w:val="left" w:pos="1337"/>
              </w:tabs>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单价</w:t>
            </w:r>
          </w:p>
        </w:tc>
        <w:tc>
          <w:tcPr>
            <w:tcW w:w="1170" w:type="dxa"/>
            <w:vAlign w:val="center"/>
          </w:tcPr>
          <w:p>
            <w:pPr>
              <w:tabs>
                <w:tab w:val="left" w:pos="1337"/>
              </w:tabs>
              <w:ind w:left="-42" w:right="-42"/>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12" w:type="dxa"/>
            <w:vAlign w:val="center"/>
          </w:tcPr>
          <w:p>
            <w:pPr>
              <w:tabs>
                <w:tab w:val="left" w:pos="1337"/>
              </w:tabs>
              <w:jc w:val="center"/>
              <w:rPr>
                <w:rFonts w:hint="eastAsia" w:ascii="微软雅黑" w:hAnsi="微软雅黑" w:eastAsia="微软雅黑" w:cs="微软雅黑"/>
                <w:color w:val="auto"/>
                <w:sz w:val="24"/>
                <w:highlight w:val="none"/>
              </w:rPr>
            </w:pPr>
          </w:p>
        </w:tc>
        <w:tc>
          <w:tcPr>
            <w:tcW w:w="1633" w:type="dxa"/>
            <w:vAlign w:val="center"/>
          </w:tcPr>
          <w:p>
            <w:pPr>
              <w:tabs>
                <w:tab w:val="left" w:pos="1337"/>
              </w:tabs>
              <w:jc w:val="center"/>
              <w:rPr>
                <w:rFonts w:hint="eastAsia" w:ascii="微软雅黑" w:hAnsi="微软雅黑" w:eastAsia="微软雅黑" w:cs="微软雅黑"/>
                <w:color w:val="auto"/>
                <w:sz w:val="24"/>
                <w:highlight w:val="none"/>
              </w:rPr>
            </w:pPr>
          </w:p>
        </w:tc>
        <w:tc>
          <w:tcPr>
            <w:tcW w:w="823" w:type="dxa"/>
            <w:vAlign w:val="center"/>
          </w:tcPr>
          <w:p>
            <w:pPr>
              <w:tabs>
                <w:tab w:val="left" w:pos="1337"/>
              </w:tabs>
              <w:jc w:val="center"/>
              <w:rPr>
                <w:rFonts w:hint="eastAsia" w:ascii="微软雅黑" w:hAnsi="微软雅黑" w:eastAsia="微软雅黑" w:cs="微软雅黑"/>
                <w:color w:val="auto"/>
                <w:sz w:val="24"/>
                <w:highlight w:val="none"/>
              </w:rPr>
            </w:pPr>
          </w:p>
        </w:tc>
        <w:tc>
          <w:tcPr>
            <w:tcW w:w="1105" w:type="dxa"/>
            <w:gridSpan w:val="2"/>
            <w:vAlign w:val="center"/>
          </w:tcPr>
          <w:p>
            <w:pPr>
              <w:tabs>
                <w:tab w:val="left" w:pos="1337"/>
              </w:tabs>
              <w:jc w:val="center"/>
              <w:rPr>
                <w:rFonts w:hint="eastAsia" w:ascii="微软雅黑" w:hAnsi="微软雅黑" w:eastAsia="微软雅黑" w:cs="微软雅黑"/>
                <w:color w:val="auto"/>
                <w:sz w:val="24"/>
                <w:highlight w:val="none"/>
              </w:rPr>
            </w:pPr>
          </w:p>
        </w:tc>
        <w:tc>
          <w:tcPr>
            <w:tcW w:w="1241" w:type="dxa"/>
            <w:vAlign w:val="center"/>
          </w:tcPr>
          <w:p>
            <w:pPr>
              <w:tabs>
                <w:tab w:val="left" w:pos="1337"/>
              </w:tabs>
              <w:jc w:val="center"/>
              <w:rPr>
                <w:rFonts w:hint="eastAsia" w:ascii="微软雅黑" w:hAnsi="微软雅黑" w:eastAsia="微软雅黑" w:cs="微软雅黑"/>
                <w:color w:val="auto"/>
                <w:sz w:val="24"/>
                <w:highlight w:val="none"/>
              </w:rPr>
            </w:pPr>
          </w:p>
        </w:tc>
        <w:tc>
          <w:tcPr>
            <w:tcW w:w="1716" w:type="dxa"/>
            <w:vAlign w:val="center"/>
          </w:tcPr>
          <w:p>
            <w:pPr>
              <w:tabs>
                <w:tab w:val="left" w:pos="1337"/>
              </w:tabs>
              <w:jc w:val="center"/>
              <w:rPr>
                <w:rFonts w:hint="eastAsia" w:ascii="微软雅黑" w:hAnsi="微软雅黑" w:eastAsia="微软雅黑" w:cs="微软雅黑"/>
                <w:color w:val="auto"/>
                <w:sz w:val="24"/>
                <w:highlight w:val="none"/>
              </w:rPr>
            </w:pPr>
          </w:p>
        </w:tc>
        <w:tc>
          <w:tcPr>
            <w:tcW w:w="1434" w:type="dxa"/>
            <w:vAlign w:val="center"/>
          </w:tcPr>
          <w:p>
            <w:pPr>
              <w:tabs>
                <w:tab w:val="left" w:pos="1337"/>
              </w:tabs>
              <w:jc w:val="center"/>
              <w:rPr>
                <w:rFonts w:hint="eastAsia" w:ascii="微软雅黑" w:hAnsi="微软雅黑" w:eastAsia="微软雅黑" w:cs="微软雅黑"/>
                <w:color w:val="auto"/>
                <w:sz w:val="24"/>
                <w:highlight w:val="none"/>
              </w:rPr>
            </w:pPr>
          </w:p>
        </w:tc>
        <w:tc>
          <w:tcPr>
            <w:tcW w:w="1170" w:type="dxa"/>
            <w:vAlign w:val="center"/>
          </w:tcPr>
          <w:p>
            <w:pPr>
              <w:tabs>
                <w:tab w:val="left" w:pos="1337"/>
              </w:tabs>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12" w:type="dxa"/>
            <w:vAlign w:val="center"/>
          </w:tcPr>
          <w:p>
            <w:pPr>
              <w:tabs>
                <w:tab w:val="left" w:pos="1337"/>
              </w:tabs>
              <w:jc w:val="center"/>
              <w:rPr>
                <w:rFonts w:hint="eastAsia" w:ascii="微软雅黑" w:hAnsi="微软雅黑" w:eastAsia="微软雅黑" w:cs="微软雅黑"/>
                <w:color w:val="auto"/>
                <w:sz w:val="24"/>
                <w:highlight w:val="none"/>
              </w:rPr>
            </w:pPr>
          </w:p>
        </w:tc>
        <w:tc>
          <w:tcPr>
            <w:tcW w:w="1633" w:type="dxa"/>
            <w:vAlign w:val="center"/>
          </w:tcPr>
          <w:p>
            <w:pPr>
              <w:tabs>
                <w:tab w:val="left" w:pos="1337"/>
              </w:tabs>
              <w:jc w:val="center"/>
              <w:rPr>
                <w:rFonts w:hint="eastAsia" w:ascii="微软雅黑" w:hAnsi="微软雅黑" w:eastAsia="微软雅黑" w:cs="微软雅黑"/>
                <w:color w:val="auto"/>
                <w:sz w:val="24"/>
                <w:highlight w:val="none"/>
              </w:rPr>
            </w:pPr>
          </w:p>
        </w:tc>
        <w:tc>
          <w:tcPr>
            <w:tcW w:w="823" w:type="dxa"/>
            <w:vAlign w:val="center"/>
          </w:tcPr>
          <w:p>
            <w:pPr>
              <w:tabs>
                <w:tab w:val="left" w:pos="1337"/>
              </w:tabs>
              <w:jc w:val="center"/>
              <w:rPr>
                <w:rFonts w:hint="eastAsia" w:ascii="微软雅黑" w:hAnsi="微软雅黑" w:eastAsia="微软雅黑" w:cs="微软雅黑"/>
                <w:color w:val="auto"/>
                <w:sz w:val="24"/>
                <w:highlight w:val="none"/>
              </w:rPr>
            </w:pPr>
          </w:p>
        </w:tc>
        <w:tc>
          <w:tcPr>
            <w:tcW w:w="1105" w:type="dxa"/>
            <w:gridSpan w:val="2"/>
            <w:vAlign w:val="center"/>
          </w:tcPr>
          <w:p>
            <w:pPr>
              <w:tabs>
                <w:tab w:val="left" w:pos="1337"/>
              </w:tabs>
              <w:jc w:val="center"/>
              <w:rPr>
                <w:rFonts w:hint="eastAsia" w:ascii="微软雅黑" w:hAnsi="微软雅黑" w:eastAsia="微软雅黑" w:cs="微软雅黑"/>
                <w:color w:val="auto"/>
                <w:sz w:val="24"/>
                <w:highlight w:val="none"/>
              </w:rPr>
            </w:pPr>
          </w:p>
        </w:tc>
        <w:tc>
          <w:tcPr>
            <w:tcW w:w="1241" w:type="dxa"/>
            <w:vAlign w:val="center"/>
          </w:tcPr>
          <w:p>
            <w:pPr>
              <w:tabs>
                <w:tab w:val="left" w:pos="1337"/>
              </w:tabs>
              <w:jc w:val="center"/>
              <w:rPr>
                <w:rFonts w:hint="eastAsia" w:ascii="微软雅黑" w:hAnsi="微软雅黑" w:eastAsia="微软雅黑" w:cs="微软雅黑"/>
                <w:color w:val="auto"/>
                <w:sz w:val="24"/>
                <w:highlight w:val="none"/>
              </w:rPr>
            </w:pPr>
          </w:p>
        </w:tc>
        <w:tc>
          <w:tcPr>
            <w:tcW w:w="1716" w:type="dxa"/>
            <w:vAlign w:val="center"/>
          </w:tcPr>
          <w:p>
            <w:pPr>
              <w:tabs>
                <w:tab w:val="left" w:pos="1337"/>
              </w:tabs>
              <w:jc w:val="center"/>
              <w:rPr>
                <w:rFonts w:hint="eastAsia" w:ascii="微软雅黑" w:hAnsi="微软雅黑" w:eastAsia="微软雅黑" w:cs="微软雅黑"/>
                <w:color w:val="auto"/>
                <w:sz w:val="24"/>
                <w:highlight w:val="none"/>
              </w:rPr>
            </w:pPr>
          </w:p>
        </w:tc>
        <w:tc>
          <w:tcPr>
            <w:tcW w:w="1434" w:type="dxa"/>
            <w:vAlign w:val="center"/>
          </w:tcPr>
          <w:p>
            <w:pPr>
              <w:tabs>
                <w:tab w:val="left" w:pos="1337"/>
              </w:tabs>
              <w:jc w:val="center"/>
              <w:rPr>
                <w:rFonts w:hint="eastAsia" w:ascii="微软雅黑" w:hAnsi="微软雅黑" w:eastAsia="微软雅黑" w:cs="微软雅黑"/>
                <w:color w:val="auto"/>
                <w:sz w:val="24"/>
                <w:highlight w:val="none"/>
              </w:rPr>
            </w:pPr>
          </w:p>
        </w:tc>
        <w:tc>
          <w:tcPr>
            <w:tcW w:w="1170" w:type="dxa"/>
            <w:vAlign w:val="center"/>
          </w:tcPr>
          <w:p>
            <w:pPr>
              <w:tabs>
                <w:tab w:val="left" w:pos="1337"/>
              </w:tabs>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12" w:type="dxa"/>
            <w:vAlign w:val="center"/>
          </w:tcPr>
          <w:p>
            <w:pPr>
              <w:tabs>
                <w:tab w:val="left" w:pos="1337"/>
              </w:tabs>
              <w:jc w:val="center"/>
              <w:rPr>
                <w:rFonts w:hint="eastAsia" w:ascii="微软雅黑" w:hAnsi="微软雅黑" w:eastAsia="微软雅黑" w:cs="微软雅黑"/>
                <w:color w:val="auto"/>
                <w:sz w:val="24"/>
                <w:highlight w:val="none"/>
              </w:rPr>
            </w:pPr>
          </w:p>
        </w:tc>
        <w:tc>
          <w:tcPr>
            <w:tcW w:w="1633" w:type="dxa"/>
            <w:vAlign w:val="center"/>
          </w:tcPr>
          <w:p>
            <w:pPr>
              <w:tabs>
                <w:tab w:val="left" w:pos="1337"/>
              </w:tabs>
              <w:jc w:val="center"/>
              <w:rPr>
                <w:rFonts w:hint="eastAsia" w:ascii="微软雅黑" w:hAnsi="微软雅黑" w:eastAsia="微软雅黑" w:cs="微软雅黑"/>
                <w:color w:val="auto"/>
                <w:sz w:val="24"/>
                <w:highlight w:val="none"/>
              </w:rPr>
            </w:pPr>
          </w:p>
        </w:tc>
        <w:tc>
          <w:tcPr>
            <w:tcW w:w="823" w:type="dxa"/>
            <w:vAlign w:val="center"/>
          </w:tcPr>
          <w:p>
            <w:pPr>
              <w:tabs>
                <w:tab w:val="left" w:pos="1337"/>
              </w:tabs>
              <w:jc w:val="center"/>
              <w:rPr>
                <w:rFonts w:hint="eastAsia" w:ascii="微软雅黑" w:hAnsi="微软雅黑" w:eastAsia="微软雅黑" w:cs="微软雅黑"/>
                <w:color w:val="auto"/>
                <w:sz w:val="24"/>
                <w:highlight w:val="none"/>
              </w:rPr>
            </w:pPr>
          </w:p>
        </w:tc>
        <w:tc>
          <w:tcPr>
            <w:tcW w:w="1105" w:type="dxa"/>
            <w:gridSpan w:val="2"/>
            <w:vAlign w:val="center"/>
          </w:tcPr>
          <w:p>
            <w:pPr>
              <w:tabs>
                <w:tab w:val="left" w:pos="1337"/>
              </w:tabs>
              <w:jc w:val="center"/>
              <w:rPr>
                <w:rFonts w:hint="eastAsia" w:ascii="微软雅黑" w:hAnsi="微软雅黑" w:eastAsia="微软雅黑" w:cs="微软雅黑"/>
                <w:color w:val="auto"/>
                <w:sz w:val="24"/>
                <w:highlight w:val="none"/>
              </w:rPr>
            </w:pPr>
          </w:p>
        </w:tc>
        <w:tc>
          <w:tcPr>
            <w:tcW w:w="1241" w:type="dxa"/>
            <w:vAlign w:val="center"/>
          </w:tcPr>
          <w:p>
            <w:pPr>
              <w:tabs>
                <w:tab w:val="left" w:pos="1337"/>
              </w:tabs>
              <w:jc w:val="center"/>
              <w:rPr>
                <w:rFonts w:hint="eastAsia" w:ascii="微软雅黑" w:hAnsi="微软雅黑" w:eastAsia="微软雅黑" w:cs="微软雅黑"/>
                <w:color w:val="auto"/>
                <w:sz w:val="24"/>
                <w:highlight w:val="none"/>
              </w:rPr>
            </w:pPr>
          </w:p>
        </w:tc>
        <w:tc>
          <w:tcPr>
            <w:tcW w:w="1716" w:type="dxa"/>
            <w:vAlign w:val="center"/>
          </w:tcPr>
          <w:p>
            <w:pPr>
              <w:tabs>
                <w:tab w:val="left" w:pos="1337"/>
              </w:tabs>
              <w:jc w:val="center"/>
              <w:rPr>
                <w:rFonts w:hint="eastAsia" w:ascii="微软雅黑" w:hAnsi="微软雅黑" w:eastAsia="微软雅黑" w:cs="微软雅黑"/>
                <w:color w:val="auto"/>
                <w:sz w:val="24"/>
                <w:highlight w:val="none"/>
              </w:rPr>
            </w:pPr>
          </w:p>
        </w:tc>
        <w:tc>
          <w:tcPr>
            <w:tcW w:w="1434" w:type="dxa"/>
            <w:vAlign w:val="center"/>
          </w:tcPr>
          <w:p>
            <w:pPr>
              <w:tabs>
                <w:tab w:val="left" w:pos="1337"/>
              </w:tabs>
              <w:jc w:val="center"/>
              <w:rPr>
                <w:rFonts w:hint="eastAsia" w:ascii="微软雅黑" w:hAnsi="微软雅黑" w:eastAsia="微软雅黑" w:cs="微软雅黑"/>
                <w:color w:val="auto"/>
                <w:sz w:val="24"/>
                <w:highlight w:val="none"/>
              </w:rPr>
            </w:pPr>
          </w:p>
        </w:tc>
        <w:tc>
          <w:tcPr>
            <w:tcW w:w="1170" w:type="dxa"/>
            <w:vAlign w:val="center"/>
          </w:tcPr>
          <w:p>
            <w:pPr>
              <w:tabs>
                <w:tab w:val="left" w:pos="1337"/>
              </w:tabs>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12" w:type="dxa"/>
            <w:vAlign w:val="center"/>
          </w:tcPr>
          <w:p>
            <w:pPr>
              <w:tabs>
                <w:tab w:val="left" w:pos="1337"/>
              </w:tabs>
              <w:jc w:val="center"/>
              <w:rPr>
                <w:rFonts w:hint="eastAsia" w:ascii="微软雅黑" w:hAnsi="微软雅黑" w:eastAsia="微软雅黑" w:cs="微软雅黑"/>
                <w:color w:val="auto"/>
                <w:sz w:val="24"/>
                <w:highlight w:val="none"/>
              </w:rPr>
            </w:pPr>
          </w:p>
        </w:tc>
        <w:tc>
          <w:tcPr>
            <w:tcW w:w="1633" w:type="dxa"/>
            <w:vAlign w:val="center"/>
          </w:tcPr>
          <w:p>
            <w:pPr>
              <w:tabs>
                <w:tab w:val="left" w:pos="1337"/>
              </w:tabs>
              <w:jc w:val="center"/>
              <w:rPr>
                <w:rFonts w:hint="eastAsia" w:ascii="微软雅黑" w:hAnsi="微软雅黑" w:eastAsia="微软雅黑" w:cs="微软雅黑"/>
                <w:color w:val="auto"/>
                <w:sz w:val="24"/>
                <w:highlight w:val="none"/>
              </w:rPr>
            </w:pPr>
          </w:p>
        </w:tc>
        <w:tc>
          <w:tcPr>
            <w:tcW w:w="823" w:type="dxa"/>
            <w:vAlign w:val="center"/>
          </w:tcPr>
          <w:p>
            <w:pPr>
              <w:tabs>
                <w:tab w:val="left" w:pos="1337"/>
              </w:tabs>
              <w:jc w:val="center"/>
              <w:rPr>
                <w:rFonts w:hint="eastAsia" w:ascii="微软雅黑" w:hAnsi="微软雅黑" w:eastAsia="微软雅黑" w:cs="微软雅黑"/>
                <w:color w:val="auto"/>
                <w:sz w:val="24"/>
                <w:highlight w:val="none"/>
              </w:rPr>
            </w:pPr>
          </w:p>
        </w:tc>
        <w:tc>
          <w:tcPr>
            <w:tcW w:w="1105" w:type="dxa"/>
            <w:gridSpan w:val="2"/>
            <w:vAlign w:val="center"/>
          </w:tcPr>
          <w:p>
            <w:pPr>
              <w:tabs>
                <w:tab w:val="left" w:pos="1337"/>
              </w:tabs>
              <w:jc w:val="center"/>
              <w:rPr>
                <w:rFonts w:hint="eastAsia" w:ascii="微软雅黑" w:hAnsi="微软雅黑" w:eastAsia="微软雅黑" w:cs="微软雅黑"/>
                <w:color w:val="auto"/>
                <w:sz w:val="24"/>
                <w:highlight w:val="none"/>
              </w:rPr>
            </w:pPr>
          </w:p>
        </w:tc>
        <w:tc>
          <w:tcPr>
            <w:tcW w:w="1241" w:type="dxa"/>
            <w:vAlign w:val="center"/>
          </w:tcPr>
          <w:p>
            <w:pPr>
              <w:tabs>
                <w:tab w:val="left" w:pos="1337"/>
              </w:tabs>
              <w:jc w:val="center"/>
              <w:rPr>
                <w:rFonts w:hint="eastAsia" w:ascii="微软雅黑" w:hAnsi="微软雅黑" w:eastAsia="微软雅黑" w:cs="微软雅黑"/>
                <w:color w:val="auto"/>
                <w:sz w:val="24"/>
                <w:highlight w:val="none"/>
              </w:rPr>
            </w:pPr>
          </w:p>
        </w:tc>
        <w:tc>
          <w:tcPr>
            <w:tcW w:w="1716" w:type="dxa"/>
            <w:vAlign w:val="center"/>
          </w:tcPr>
          <w:p>
            <w:pPr>
              <w:tabs>
                <w:tab w:val="left" w:pos="1337"/>
              </w:tabs>
              <w:jc w:val="center"/>
              <w:rPr>
                <w:rFonts w:hint="eastAsia" w:ascii="微软雅黑" w:hAnsi="微软雅黑" w:eastAsia="微软雅黑" w:cs="微软雅黑"/>
                <w:i/>
                <w:iCs/>
                <w:color w:val="auto"/>
                <w:sz w:val="24"/>
                <w:highlight w:val="none"/>
              </w:rPr>
            </w:pPr>
          </w:p>
        </w:tc>
        <w:tc>
          <w:tcPr>
            <w:tcW w:w="1434" w:type="dxa"/>
            <w:vAlign w:val="center"/>
          </w:tcPr>
          <w:p>
            <w:pPr>
              <w:tabs>
                <w:tab w:val="left" w:pos="1337"/>
              </w:tabs>
              <w:jc w:val="center"/>
              <w:rPr>
                <w:rFonts w:hint="eastAsia" w:ascii="微软雅黑" w:hAnsi="微软雅黑" w:eastAsia="微软雅黑" w:cs="微软雅黑"/>
                <w:i/>
                <w:iCs/>
                <w:color w:val="auto"/>
                <w:sz w:val="24"/>
                <w:highlight w:val="none"/>
              </w:rPr>
            </w:pPr>
          </w:p>
        </w:tc>
        <w:tc>
          <w:tcPr>
            <w:tcW w:w="1170" w:type="dxa"/>
            <w:vAlign w:val="center"/>
          </w:tcPr>
          <w:p>
            <w:pPr>
              <w:tabs>
                <w:tab w:val="left" w:pos="1337"/>
              </w:tabs>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12" w:type="dxa"/>
            <w:vAlign w:val="center"/>
          </w:tcPr>
          <w:p>
            <w:pPr>
              <w:tabs>
                <w:tab w:val="left" w:pos="1337"/>
              </w:tabs>
              <w:jc w:val="center"/>
              <w:rPr>
                <w:rFonts w:hint="eastAsia" w:ascii="微软雅黑" w:hAnsi="微软雅黑" w:eastAsia="微软雅黑" w:cs="微软雅黑"/>
                <w:color w:val="auto"/>
                <w:sz w:val="24"/>
                <w:highlight w:val="none"/>
              </w:rPr>
            </w:pPr>
          </w:p>
        </w:tc>
        <w:tc>
          <w:tcPr>
            <w:tcW w:w="6518" w:type="dxa"/>
            <w:gridSpan w:val="6"/>
            <w:vAlign w:val="center"/>
          </w:tcPr>
          <w:p>
            <w:pPr>
              <w:tabs>
                <w:tab w:val="left" w:pos="1337"/>
              </w:tabs>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维修服务费</w:t>
            </w:r>
          </w:p>
        </w:tc>
        <w:tc>
          <w:tcPr>
            <w:tcW w:w="1434" w:type="dxa"/>
            <w:vAlign w:val="center"/>
          </w:tcPr>
          <w:p>
            <w:pPr>
              <w:tabs>
                <w:tab w:val="left" w:pos="1337"/>
              </w:tabs>
              <w:jc w:val="center"/>
              <w:rPr>
                <w:rFonts w:hint="eastAsia" w:ascii="微软雅黑" w:hAnsi="微软雅黑" w:eastAsia="微软雅黑" w:cs="微软雅黑"/>
                <w:color w:val="auto"/>
                <w:sz w:val="24"/>
                <w:highlight w:val="none"/>
              </w:rPr>
            </w:pPr>
          </w:p>
        </w:tc>
        <w:tc>
          <w:tcPr>
            <w:tcW w:w="1170" w:type="dxa"/>
            <w:vAlign w:val="center"/>
          </w:tcPr>
          <w:p>
            <w:pPr>
              <w:tabs>
                <w:tab w:val="left" w:pos="1337"/>
              </w:tabs>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094" w:type="dxa"/>
            <w:gridSpan w:val="4"/>
            <w:vMerge w:val="restart"/>
            <w:vAlign w:val="center"/>
          </w:tcPr>
          <w:p>
            <w:pPr>
              <w:tabs>
                <w:tab w:val="left" w:pos="1337"/>
              </w:tabs>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  计</w:t>
            </w:r>
          </w:p>
        </w:tc>
        <w:tc>
          <w:tcPr>
            <w:tcW w:w="6640" w:type="dxa"/>
            <w:gridSpan w:val="5"/>
            <w:vAlign w:val="center"/>
          </w:tcPr>
          <w:p>
            <w:pPr>
              <w:tabs>
                <w:tab w:val="left" w:pos="1337"/>
              </w:tabs>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3094" w:type="dxa"/>
            <w:gridSpan w:val="4"/>
            <w:vMerge w:val="continue"/>
            <w:vAlign w:val="center"/>
          </w:tcPr>
          <w:p>
            <w:pPr>
              <w:tabs>
                <w:tab w:val="left" w:pos="1337"/>
              </w:tabs>
              <w:jc w:val="center"/>
              <w:rPr>
                <w:rFonts w:hint="eastAsia" w:ascii="微软雅黑" w:hAnsi="微软雅黑" w:eastAsia="微软雅黑" w:cs="微软雅黑"/>
                <w:color w:val="auto"/>
                <w:sz w:val="24"/>
                <w:highlight w:val="none"/>
              </w:rPr>
            </w:pPr>
          </w:p>
        </w:tc>
        <w:tc>
          <w:tcPr>
            <w:tcW w:w="6640" w:type="dxa"/>
            <w:gridSpan w:val="5"/>
            <w:vAlign w:val="center"/>
          </w:tcPr>
          <w:p>
            <w:pPr>
              <w:tabs>
                <w:tab w:val="left" w:pos="1337"/>
              </w:tabs>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大写：</w:t>
            </w:r>
          </w:p>
        </w:tc>
      </w:tr>
    </w:tbl>
    <w:p>
      <w:pPr>
        <w:pStyle w:val="12"/>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2"/>
        <w:tabs>
          <w:tab w:val="left" w:pos="537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r>
        <w:rPr>
          <w:rFonts w:hint="eastAsia" w:ascii="微软雅黑" w:hAnsi="微软雅黑" w:eastAsia="微软雅黑" w:cs="微软雅黑"/>
          <w:color w:val="auto"/>
          <w:sz w:val="24"/>
          <w:szCs w:val="24"/>
          <w:highlight w:val="none"/>
          <w:u w:val="single"/>
        </w:rPr>
        <w:tab/>
      </w:r>
    </w:p>
    <w:p>
      <w:pPr>
        <w:pStyle w:val="12"/>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注:1.如果供应商认为需要，每种服务填写一份该表。</w:t>
      </w:r>
    </w:p>
    <w:p>
      <w:pPr>
        <w:pStyle w:val="12"/>
        <w:spacing w:line="400" w:lineRule="exact"/>
        <w:ind w:left="1079" w:leftChars="428" w:hanging="180" w:hangingChars="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2.如果按单价计算的结果与总价不一致,以单价为准修正总价。</w:t>
      </w:r>
    </w:p>
    <w:p>
      <w:pPr>
        <w:pStyle w:val="12"/>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3.如果不提供详细分项报价将视为没有实质性响应</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w:t>
      </w:r>
    </w:p>
    <w:p>
      <w:pPr>
        <w:pStyle w:val="12"/>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4.上述各项的详细分项报价，应另页描述。</w:t>
      </w:r>
    </w:p>
    <w:p>
      <w:pPr>
        <w:pStyle w:val="12"/>
        <w:spacing w:line="400" w:lineRule="exact"/>
        <w:ind w:left="1080" w:leftChars="257" w:hanging="540"/>
        <w:rPr>
          <w:rFonts w:hint="eastAsia" w:ascii="微软雅黑" w:hAnsi="微软雅黑" w:eastAsia="微软雅黑" w:cs="微软雅黑"/>
          <w:b/>
          <w:color w:val="auto"/>
          <w:kern w:val="0"/>
          <w:szCs w:val="21"/>
          <w:highlight w:val="none"/>
        </w:rPr>
      </w:pPr>
      <w:r>
        <w:rPr>
          <w:rFonts w:hint="eastAsia" w:ascii="微软雅黑" w:hAnsi="微软雅黑" w:eastAsia="微软雅黑" w:cs="微软雅黑"/>
          <w:color w:val="auto"/>
          <w:sz w:val="24"/>
          <w:szCs w:val="24"/>
          <w:highlight w:val="none"/>
        </w:rPr>
        <w:t xml:space="preserve">   5.如果开标一览表（报价表）内容与</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中明细表内容不一致的，以开标一览表（报价表）内容为准。</w:t>
      </w:r>
    </w:p>
    <w:p>
      <w:pPr>
        <w:pStyle w:val="12"/>
        <w:tabs>
          <w:tab w:val="left" w:pos="5580"/>
        </w:tabs>
        <w:spacing w:line="400" w:lineRule="exact"/>
        <w:ind w:left="741" w:leftChars="353" w:firstLine="240" w:firstLineChars="1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6.此表中，合计应和</w:t>
      </w:r>
      <w:r>
        <w:rPr>
          <w:rFonts w:hint="eastAsia" w:ascii="微软雅黑" w:hAnsi="微软雅黑" w:eastAsia="微软雅黑" w:cs="微软雅黑"/>
          <w:b/>
          <w:bCs/>
          <w:color w:val="auto"/>
          <w:sz w:val="24"/>
          <w:highlight w:val="none"/>
          <w:lang w:val="en-US" w:eastAsia="zh-CN"/>
        </w:rPr>
        <w:t>磋商</w:t>
      </w:r>
      <w:r>
        <w:rPr>
          <w:rFonts w:hint="eastAsia" w:ascii="微软雅黑" w:hAnsi="微软雅黑" w:eastAsia="微软雅黑" w:cs="微软雅黑"/>
          <w:b/>
          <w:bCs/>
          <w:color w:val="auto"/>
          <w:sz w:val="24"/>
          <w:highlight w:val="none"/>
        </w:rPr>
        <w:t>一览表的</w:t>
      </w:r>
      <w:r>
        <w:rPr>
          <w:rFonts w:hint="eastAsia" w:ascii="微软雅黑" w:hAnsi="微软雅黑" w:eastAsia="微软雅黑" w:cs="微软雅黑"/>
          <w:b/>
          <w:bCs/>
          <w:color w:val="auto"/>
          <w:sz w:val="24"/>
          <w:highlight w:val="none"/>
          <w:lang w:eastAsia="zh-CN"/>
        </w:rPr>
        <w:t>磋商总价</w:t>
      </w:r>
      <w:r>
        <w:rPr>
          <w:rFonts w:hint="eastAsia" w:ascii="微软雅黑" w:hAnsi="微软雅黑" w:eastAsia="微软雅黑" w:cs="微软雅黑"/>
          <w:b/>
          <w:bCs/>
          <w:color w:val="auto"/>
          <w:sz w:val="24"/>
          <w:highlight w:val="none"/>
        </w:rPr>
        <w:t>相一致。</w:t>
      </w:r>
    </w:p>
    <w:p>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pPr>
        <w:jc w:val="center"/>
        <w:outlineLvl w:val="9"/>
        <w:rPr>
          <w:rFonts w:hint="eastAsia" w:ascii="微软雅黑" w:hAnsi="微软雅黑" w:eastAsia="微软雅黑" w:cs="微软雅黑"/>
          <w:b/>
          <w:i w:val="0"/>
          <w:color w:val="auto"/>
          <w:spacing w:val="0"/>
          <w:w w:val="100"/>
          <w:sz w:val="24"/>
          <w:szCs w:val="24"/>
          <w:highlight w:val="none"/>
        </w:rPr>
      </w:pPr>
      <w:bookmarkStart w:id="664" w:name="_Toc1284"/>
      <w:bookmarkEnd w:id="664"/>
      <w:bookmarkStart w:id="665" w:name="_Toc16798"/>
      <w:bookmarkEnd w:id="665"/>
      <w:bookmarkStart w:id="666" w:name="_Toc10486"/>
      <w:bookmarkEnd w:id="666"/>
      <w:bookmarkStart w:id="667" w:name="_Toc28199"/>
      <w:bookmarkEnd w:id="667"/>
      <w:bookmarkStart w:id="668" w:name="_Toc30209"/>
      <w:bookmarkEnd w:id="668"/>
      <w:bookmarkStart w:id="669" w:name="_Toc6480"/>
      <w:bookmarkEnd w:id="669"/>
      <w:bookmarkStart w:id="670" w:name="_Toc27975"/>
      <w:bookmarkEnd w:id="670"/>
      <w:bookmarkStart w:id="671" w:name="_Toc13950"/>
      <w:bookmarkEnd w:id="671"/>
      <w:bookmarkStart w:id="672" w:name="_Toc29174"/>
      <w:bookmarkEnd w:id="672"/>
      <w:bookmarkStart w:id="673" w:name="_Toc14619"/>
      <w:bookmarkEnd w:id="673"/>
      <w:bookmarkStart w:id="674" w:name="_Toc21933"/>
      <w:bookmarkEnd w:id="674"/>
      <w:bookmarkStart w:id="675" w:name="_Toc2132"/>
      <w:bookmarkEnd w:id="675"/>
      <w:bookmarkStart w:id="676" w:name="_Toc4279"/>
      <w:bookmarkEnd w:id="676"/>
      <w:bookmarkStart w:id="677" w:name="_Toc10123"/>
      <w:bookmarkEnd w:id="677"/>
      <w:bookmarkStart w:id="678" w:name="_Toc27721"/>
      <w:bookmarkEnd w:id="678"/>
      <w:bookmarkStart w:id="679" w:name="_Toc26666"/>
      <w:r>
        <w:rPr>
          <w:rFonts w:hint="eastAsia" w:ascii="微软雅黑" w:hAnsi="微软雅黑" w:eastAsia="微软雅黑" w:cs="微软雅黑"/>
          <w:b/>
          <w:i w:val="0"/>
          <w:color w:val="auto"/>
          <w:spacing w:val="0"/>
          <w:w w:val="100"/>
          <w:sz w:val="24"/>
          <w:szCs w:val="24"/>
          <w:highlight w:val="none"/>
        </w:rPr>
        <w:t>（二）备品备件设备分项报价表</w:t>
      </w:r>
    </w:p>
    <w:tbl>
      <w:tblPr>
        <w:tblStyle w:val="22"/>
        <w:tblW w:w="9806" w:type="dxa"/>
        <w:tblInd w:w="-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794"/>
        <w:gridCol w:w="703"/>
        <w:gridCol w:w="805"/>
        <w:gridCol w:w="1249"/>
        <w:gridCol w:w="975"/>
        <w:gridCol w:w="543"/>
        <w:gridCol w:w="675"/>
        <w:gridCol w:w="732"/>
        <w:gridCol w:w="675"/>
        <w:gridCol w:w="656"/>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2"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794"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编号</w:t>
            </w:r>
          </w:p>
        </w:tc>
        <w:tc>
          <w:tcPr>
            <w:tcW w:w="70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名称</w:t>
            </w:r>
          </w:p>
        </w:tc>
        <w:tc>
          <w:tcPr>
            <w:tcW w:w="80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品牌</w:t>
            </w:r>
          </w:p>
        </w:tc>
        <w:tc>
          <w:tcPr>
            <w:tcW w:w="1249"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规格型号</w:t>
            </w:r>
          </w:p>
        </w:tc>
        <w:tc>
          <w:tcPr>
            <w:tcW w:w="9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i w:val="0"/>
                <w:color w:val="auto"/>
                <w:spacing w:val="0"/>
                <w:w w:val="100"/>
                <w:sz w:val="24"/>
                <w:szCs w:val="24"/>
                <w:highlight w:val="none"/>
                <w:lang w:val="en-US" w:eastAsia="zh-CN"/>
              </w:rPr>
              <w:t>制造商名称</w:t>
            </w:r>
          </w:p>
        </w:tc>
        <w:tc>
          <w:tcPr>
            <w:tcW w:w="54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产地</w:t>
            </w: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732"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w:t>
            </w: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单价</w:t>
            </w:r>
          </w:p>
        </w:tc>
        <w:tc>
          <w:tcPr>
            <w:tcW w:w="656"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合价</w:t>
            </w:r>
          </w:p>
        </w:tc>
        <w:tc>
          <w:tcPr>
            <w:tcW w:w="637"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质保期外设备报价</w:t>
            </w:r>
          </w:p>
        </w:tc>
        <w:tc>
          <w:tcPr>
            <w:tcW w:w="794"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70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80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1249"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9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54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732"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56"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37"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794"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70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80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1249"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9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54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732"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56"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37"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794"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70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80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1249"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9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54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732"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56"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37"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794"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w:t>
            </w:r>
          </w:p>
        </w:tc>
        <w:tc>
          <w:tcPr>
            <w:tcW w:w="70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80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1249"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9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54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732"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56"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37"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62"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8444" w:type="dxa"/>
            <w:gridSpan w:val="11"/>
            <w:vAlign w:val="center"/>
          </w:tcPr>
          <w:p>
            <w:pPr>
              <w:shd w:val="clear"/>
              <w:spacing w:beforeAutospacing="0" w:afterAutospacing="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质保期内免费设备</w:t>
            </w:r>
          </w:p>
        </w:tc>
        <w:tc>
          <w:tcPr>
            <w:tcW w:w="794"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5</w:t>
            </w:r>
          </w:p>
        </w:tc>
        <w:tc>
          <w:tcPr>
            <w:tcW w:w="70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80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1249"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9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54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732"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56"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37"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794"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6</w:t>
            </w:r>
          </w:p>
        </w:tc>
        <w:tc>
          <w:tcPr>
            <w:tcW w:w="70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80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1249"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9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54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732"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56"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37"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794"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7</w:t>
            </w:r>
          </w:p>
        </w:tc>
        <w:tc>
          <w:tcPr>
            <w:tcW w:w="70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80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1249"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9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54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732"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56"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37"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794"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8</w:t>
            </w:r>
          </w:p>
        </w:tc>
        <w:tc>
          <w:tcPr>
            <w:tcW w:w="70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80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1249"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9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543"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732"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56"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c>
          <w:tcPr>
            <w:tcW w:w="637" w:type="dxa"/>
            <w:vAlign w:val="center"/>
          </w:tcPr>
          <w:p>
            <w:pPr>
              <w:shd w:val="clear"/>
              <w:spacing w:beforeAutospacing="0" w:afterAutospacing="0"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9169" w:type="dxa"/>
            <w:gridSpan w:val="11"/>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    价（元）：</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（质保期外设备报价）</w:t>
            </w:r>
          </w:p>
        </w:tc>
        <w:tc>
          <w:tcPr>
            <w:tcW w:w="637" w:type="dxa"/>
            <w:vAlign w:val="center"/>
          </w:tcPr>
          <w:p>
            <w:pPr>
              <w:shd w:val="clear"/>
              <w:spacing w:beforeAutospacing="0" w:afterAutospacing="0" w:line="360" w:lineRule="auto"/>
              <w:rPr>
                <w:rFonts w:hint="eastAsia" w:ascii="微软雅黑" w:hAnsi="微软雅黑" w:eastAsia="微软雅黑" w:cs="微软雅黑"/>
                <w:color w:val="auto"/>
                <w:sz w:val="24"/>
                <w:szCs w:val="24"/>
                <w:highlight w:val="none"/>
              </w:rPr>
            </w:pPr>
          </w:p>
        </w:tc>
      </w:tr>
    </w:tbl>
    <w:p>
      <w:pPr>
        <w:shd w:val="clear"/>
        <w:spacing w:beforeAutospacing="0" w:afterAutospacing="0"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p>
    <w:p>
      <w:pPr>
        <w:shd w:val="clear"/>
        <w:spacing w:beforeAutospacing="0" w:afterAutospacing="0"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法定代表人</w:t>
      </w:r>
      <w:r>
        <w:rPr>
          <w:rFonts w:hint="eastAsia" w:ascii="微软雅黑" w:hAnsi="微软雅黑" w:eastAsia="微软雅黑" w:cs="微软雅黑"/>
          <w:color w:val="auto"/>
          <w:sz w:val="24"/>
          <w:szCs w:val="24"/>
          <w:highlight w:val="none"/>
        </w:rPr>
        <w:t>或授权代表</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签/章</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w:t>
      </w:r>
    </w:p>
    <w:p>
      <w:pPr>
        <w:pStyle w:val="4"/>
        <w:shd w:val="clear"/>
        <w:spacing w:beforeAutospacing="0" w:afterAutospacing="0" w:line="360" w:lineRule="exact"/>
        <w:ind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日       期 ：   </w:t>
      </w:r>
    </w:p>
    <w:p>
      <w:pPr>
        <w:shd w:val="clear"/>
        <w:spacing w:beforeAutospacing="0" w:afterAutospacing="0"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 表格长度方向可做扩展根据需求可补充相关资料，但不可减少。</w:t>
      </w:r>
    </w:p>
    <w:p>
      <w:pPr>
        <w:shd w:val="clear"/>
        <w:spacing w:beforeAutospacing="0" w:afterAutospacing="0"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2、备品备件设备分项报价仅供</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 xml:space="preserve">在设备发生故障情况下采用此报价，填写此表时请谨慎。备品备件分为两部分（1、质保期内免费的备品备件、2、质保期外备品备件报价）                 </w:t>
      </w:r>
    </w:p>
    <w:p>
      <w:pPr>
        <w:pStyle w:val="4"/>
        <w:shd w:val="clear"/>
        <w:spacing w:beforeAutospacing="0" w:afterAutospacing="0" w:line="360" w:lineRule="exact"/>
        <w:ind w:firstLine="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3、备品备件设备分项报价不合计于</w:t>
      </w:r>
      <w:r>
        <w:rPr>
          <w:rFonts w:hint="eastAsia" w:ascii="微软雅黑" w:hAnsi="微软雅黑" w:eastAsia="微软雅黑" w:cs="微软雅黑"/>
          <w:color w:val="auto"/>
          <w:kern w:val="2"/>
          <w:sz w:val="24"/>
          <w:szCs w:val="24"/>
          <w:highlight w:val="none"/>
          <w:lang w:eastAsia="zh-CN"/>
        </w:rPr>
        <w:t>磋商报价表</w:t>
      </w:r>
      <w:r>
        <w:rPr>
          <w:rFonts w:hint="eastAsia" w:ascii="微软雅黑" w:hAnsi="微软雅黑" w:eastAsia="微软雅黑" w:cs="微软雅黑"/>
          <w:color w:val="auto"/>
          <w:kern w:val="2"/>
          <w:sz w:val="24"/>
          <w:szCs w:val="24"/>
          <w:highlight w:val="none"/>
        </w:rPr>
        <w:t>总价，单独名列即可。</w:t>
      </w:r>
    </w:p>
    <w:p>
      <w:pPr>
        <w:pStyle w:val="4"/>
        <w:shd w:val="clear"/>
        <w:spacing w:beforeAutospacing="0" w:afterAutospacing="0" w:line="360" w:lineRule="exact"/>
        <w:ind w:firstLine="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bookmarkEnd w:id="654"/>
    <w:bookmarkEnd w:id="655"/>
    <w:bookmarkEnd w:id="656"/>
    <w:bookmarkEnd w:id="657"/>
    <w:bookmarkEnd w:id="658"/>
    <w:bookmarkEnd w:id="659"/>
    <w:bookmarkEnd w:id="660"/>
    <w:bookmarkEnd w:id="661"/>
    <w:bookmarkEnd w:id="662"/>
    <w:bookmarkEnd w:id="663"/>
    <w:bookmarkEnd w:id="679"/>
    <w:p>
      <w:pPr>
        <w:shd w:val="clear"/>
        <w:snapToGrid w:val="0"/>
        <w:spacing w:before="0" w:beforeAutospacing="0" w:after="0" w:afterAutospacing="0" w:line="240" w:lineRule="atLeast"/>
        <w:ind w:left="1080" w:leftChars="257" w:hanging="540"/>
        <w:jc w:val="center"/>
        <w:textAlignment w:val="baseline"/>
        <w:outlineLvl w:val="1"/>
        <w:rPr>
          <w:rFonts w:hint="eastAsia" w:ascii="微软雅黑" w:hAnsi="微软雅黑" w:eastAsia="微软雅黑" w:cs="微软雅黑"/>
          <w:b/>
          <w:i w:val="0"/>
          <w:color w:val="auto"/>
          <w:spacing w:val="0"/>
          <w:w w:val="100"/>
          <w:sz w:val="24"/>
          <w:szCs w:val="24"/>
          <w:highlight w:val="none"/>
        </w:rPr>
      </w:pPr>
      <w:bookmarkStart w:id="680" w:name="_Toc22868"/>
      <w:r>
        <w:rPr>
          <w:rFonts w:hint="eastAsia" w:ascii="微软雅黑" w:hAnsi="微软雅黑" w:eastAsia="微软雅黑" w:cs="微软雅黑"/>
          <w:b/>
          <w:i w:val="0"/>
          <w:color w:val="auto"/>
          <w:spacing w:val="0"/>
          <w:w w:val="100"/>
          <w:sz w:val="24"/>
          <w:szCs w:val="24"/>
          <w:highlight w:val="none"/>
        </w:rPr>
        <w:t>3</w:t>
      </w:r>
      <w:r>
        <w:rPr>
          <w:rFonts w:hint="eastAsia" w:ascii="微软雅黑" w:hAnsi="微软雅黑" w:eastAsia="微软雅黑" w:cs="微软雅黑"/>
          <w:b/>
          <w:i w:val="0"/>
          <w:color w:val="auto"/>
          <w:spacing w:val="0"/>
          <w:w w:val="100"/>
          <w:sz w:val="24"/>
          <w:szCs w:val="24"/>
          <w:highlight w:val="none"/>
          <w:lang w:eastAsia="zh-CN"/>
        </w:rPr>
        <w:t>、</w:t>
      </w:r>
      <w:r>
        <w:rPr>
          <w:rFonts w:hint="eastAsia" w:ascii="微软雅黑" w:hAnsi="微软雅黑" w:eastAsia="微软雅黑" w:cs="微软雅黑"/>
          <w:b/>
          <w:i w:val="0"/>
          <w:color w:val="auto"/>
          <w:spacing w:val="0"/>
          <w:w w:val="100"/>
          <w:sz w:val="24"/>
          <w:szCs w:val="24"/>
          <w:highlight w:val="none"/>
          <w:lang w:val="en-US" w:eastAsia="zh-CN"/>
        </w:rPr>
        <w:t>服务</w:t>
      </w:r>
      <w:r>
        <w:rPr>
          <w:rFonts w:hint="eastAsia" w:ascii="微软雅黑" w:hAnsi="微软雅黑" w:eastAsia="微软雅黑" w:cs="微软雅黑"/>
          <w:b/>
          <w:i w:val="0"/>
          <w:color w:val="auto"/>
          <w:spacing w:val="0"/>
          <w:w w:val="100"/>
          <w:sz w:val="24"/>
          <w:szCs w:val="24"/>
          <w:highlight w:val="none"/>
        </w:rPr>
        <w:t>说明一览表</w:t>
      </w:r>
      <w:bookmarkEnd w:id="680"/>
    </w:p>
    <w:p>
      <w:pPr>
        <w:pStyle w:val="12"/>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项目名称:                          项目编号:                包号:   </w:t>
      </w:r>
    </w:p>
    <w:p>
      <w:pPr>
        <w:pStyle w:val="12"/>
        <w:spacing w:line="360" w:lineRule="exact"/>
        <w:ind w:left="1080" w:leftChars="257" w:hanging="54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tbl>
      <w:tblPr>
        <w:tblStyle w:val="2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749"/>
        <w:gridCol w:w="1461"/>
        <w:gridCol w:w="1545"/>
        <w:gridCol w:w="1152"/>
        <w:gridCol w:w="1194"/>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6" w:type="dxa"/>
          </w:tcPr>
          <w:p>
            <w:pPr>
              <w:pStyle w:val="12"/>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1749" w:type="dxa"/>
          </w:tcPr>
          <w:p>
            <w:pPr>
              <w:pStyle w:val="12"/>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服务名称</w:t>
            </w:r>
          </w:p>
        </w:tc>
        <w:tc>
          <w:tcPr>
            <w:tcW w:w="1461" w:type="dxa"/>
          </w:tcPr>
          <w:p>
            <w:pPr>
              <w:pStyle w:val="12"/>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主要规格</w:t>
            </w:r>
          </w:p>
        </w:tc>
        <w:tc>
          <w:tcPr>
            <w:tcW w:w="1545" w:type="dxa"/>
          </w:tcPr>
          <w:p>
            <w:pPr>
              <w:pStyle w:val="12"/>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数量</w:t>
            </w:r>
          </w:p>
        </w:tc>
        <w:tc>
          <w:tcPr>
            <w:tcW w:w="1152" w:type="dxa"/>
          </w:tcPr>
          <w:p>
            <w:pPr>
              <w:pStyle w:val="12"/>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服务期</w:t>
            </w:r>
          </w:p>
        </w:tc>
        <w:tc>
          <w:tcPr>
            <w:tcW w:w="1194" w:type="dxa"/>
          </w:tcPr>
          <w:p>
            <w:pPr>
              <w:pStyle w:val="12"/>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服务地点</w:t>
            </w:r>
          </w:p>
        </w:tc>
        <w:tc>
          <w:tcPr>
            <w:tcW w:w="971" w:type="dxa"/>
          </w:tcPr>
          <w:p>
            <w:pPr>
              <w:pStyle w:val="12"/>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749"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461"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545"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152"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194"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971"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749"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461"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545"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152"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194"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971"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749"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461"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545"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152"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194"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971"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749"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461"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545"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152"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194"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971"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749"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461"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545"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152"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194"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971"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749"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461"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545"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152"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194"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971"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749"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461"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545"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152"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194"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971"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749"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461"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545"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152"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1194"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c>
          <w:tcPr>
            <w:tcW w:w="971" w:type="dxa"/>
          </w:tcPr>
          <w:p>
            <w:pPr>
              <w:pStyle w:val="12"/>
              <w:spacing w:line="360" w:lineRule="exact"/>
              <w:ind w:left="1080" w:leftChars="257" w:hanging="540"/>
              <w:rPr>
                <w:rFonts w:hint="eastAsia" w:ascii="微软雅黑" w:hAnsi="微软雅黑" w:eastAsia="微软雅黑" w:cs="微软雅黑"/>
                <w:color w:val="auto"/>
                <w:sz w:val="24"/>
                <w:highlight w:val="none"/>
              </w:rPr>
            </w:pPr>
          </w:p>
        </w:tc>
      </w:tr>
    </w:tbl>
    <w:p>
      <w:pPr>
        <w:pStyle w:val="12"/>
        <w:spacing w:line="360" w:lineRule="exact"/>
        <w:ind w:left="1080" w:leftChars="257" w:hanging="540"/>
        <w:rPr>
          <w:rFonts w:hint="eastAsia" w:ascii="微软雅黑" w:hAnsi="微软雅黑" w:eastAsia="微软雅黑" w:cs="微软雅黑"/>
          <w:color w:val="auto"/>
          <w:sz w:val="24"/>
          <w:highlight w:val="none"/>
        </w:rPr>
      </w:pPr>
    </w:p>
    <w:p>
      <w:pPr>
        <w:pStyle w:val="12"/>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2"/>
        <w:tabs>
          <w:tab w:val="left" w:pos="537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r>
        <w:rPr>
          <w:rFonts w:hint="eastAsia" w:ascii="微软雅黑" w:hAnsi="微软雅黑" w:eastAsia="微软雅黑" w:cs="微软雅黑"/>
          <w:color w:val="auto"/>
          <w:sz w:val="24"/>
          <w:szCs w:val="24"/>
          <w:highlight w:val="none"/>
          <w:u w:val="single"/>
        </w:rPr>
        <w:tab/>
      </w:r>
    </w:p>
    <w:p>
      <w:pPr>
        <w:pStyle w:val="12"/>
        <w:spacing w:line="400" w:lineRule="exact"/>
        <w:ind w:left="1080" w:leftChars="257" w:hanging="540"/>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4"/>
          <w:szCs w:val="24"/>
          <w:highlight w:val="none"/>
        </w:rPr>
        <w:t>注: 各项服务详细技术性能应另页描述。</w:t>
      </w:r>
    </w:p>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p>
      <w:pPr>
        <w:pStyle w:val="12"/>
        <w:shd w:val="clea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olor w:val="auto"/>
          <w:spacing w:val="0"/>
          <w:w w:val="100"/>
          <w:sz w:val="24"/>
          <w:szCs w:val="24"/>
          <w:highlight w:val="none"/>
        </w:rPr>
      </w:pPr>
    </w:p>
    <w:p>
      <w:pPr>
        <w:pStyle w:val="12"/>
        <w:shd w:val="clea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olor w:val="auto"/>
          <w:spacing w:val="0"/>
          <w:w w:val="100"/>
          <w:sz w:val="24"/>
          <w:szCs w:val="24"/>
          <w:highlight w:val="none"/>
        </w:rPr>
        <w:sectPr>
          <w:pgSz w:w="11906" w:h="16838"/>
          <w:pgMar w:top="1440" w:right="1797" w:bottom="1440" w:left="1797" w:header="851" w:footer="992" w:gutter="0"/>
          <w:pgNumType w:fmt="decimal"/>
          <w:cols w:space="720" w:num="1"/>
          <w:docGrid w:linePitch="312" w:charSpace="0"/>
        </w:sectPr>
      </w:pPr>
    </w:p>
    <w:p>
      <w:pPr>
        <w:shd w:val="clear"/>
        <w:snapToGrid w:val="0"/>
        <w:spacing w:before="0" w:beforeAutospacing="0" w:after="0" w:afterAutospacing="0" w:line="240" w:lineRule="atLeast"/>
        <w:ind w:left="1080" w:leftChars="257" w:hanging="540"/>
        <w:jc w:val="center"/>
        <w:textAlignment w:val="baseline"/>
        <w:outlineLvl w:val="1"/>
        <w:rPr>
          <w:rFonts w:hint="eastAsia" w:ascii="微软雅黑" w:hAnsi="微软雅黑" w:eastAsia="微软雅黑" w:cs="微软雅黑"/>
          <w:b/>
          <w:i w:val="0"/>
          <w:color w:val="auto"/>
          <w:spacing w:val="0"/>
          <w:w w:val="100"/>
          <w:sz w:val="24"/>
          <w:szCs w:val="24"/>
          <w:highlight w:val="none"/>
        </w:rPr>
      </w:pPr>
      <w:bookmarkStart w:id="681" w:name="_Toc26490"/>
      <w:bookmarkEnd w:id="681"/>
      <w:bookmarkStart w:id="682" w:name="_Toc3537"/>
      <w:bookmarkEnd w:id="682"/>
      <w:bookmarkStart w:id="683" w:name="_Toc28414"/>
      <w:bookmarkEnd w:id="683"/>
      <w:bookmarkStart w:id="684" w:name="_Toc10773"/>
      <w:bookmarkEnd w:id="684"/>
      <w:bookmarkStart w:id="685" w:name="_Toc13093"/>
      <w:bookmarkEnd w:id="685"/>
      <w:bookmarkStart w:id="686" w:name="_Toc32666"/>
      <w:bookmarkEnd w:id="686"/>
      <w:bookmarkStart w:id="687" w:name="_Toc13229"/>
      <w:bookmarkEnd w:id="687"/>
      <w:bookmarkStart w:id="688" w:name="_Toc21345"/>
      <w:bookmarkEnd w:id="688"/>
      <w:bookmarkStart w:id="689" w:name="_Toc23542"/>
      <w:bookmarkEnd w:id="689"/>
      <w:bookmarkStart w:id="690" w:name="_Toc22762"/>
      <w:bookmarkStart w:id="691" w:name="_Toc216582818"/>
      <w:bookmarkStart w:id="692" w:name="_Toc4467"/>
      <w:bookmarkStart w:id="693" w:name="_Toc23"/>
      <w:bookmarkStart w:id="694" w:name="_Toc515647821"/>
      <w:bookmarkStart w:id="695" w:name="_Toc13810"/>
      <w:bookmarkStart w:id="696" w:name="_Toc3332"/>
      <w:bookmarkStart w:id="697" w:name="_Toc1980"/>
      <w:bookmarkStart w:id="698" w:name="_Toc15724"/>
      <w:bookmarkStart w:id="699" w:name="_Toc24350"/>
      <w:bookmarkStart w:id="700" w:name="_Toc3060"/>
      <w:r>
        <w:rPr>
          <w:rFonts w:hint="eastAsia" w:ascii="微软雅黑" w:hAnsi="微软雅黑" w:eastAsia="微软雅黑" w:cs="微软雅黑"/>
          <w:b/>
          <w:i w:val="0"/>
          <w:color w:val="auto"/>
          <w:spacing w:val="0"/>
          <w:w w:val="100"/>
          <w:sz w:val="24"/>
          <w:szCs w:val="24"/>
          <w:highlight w:val="none"/>
        </w:rPr>
        <w:t>4</w:t>
      </w:r>
      <w:r>
        <w:rPr>
          <w:rFonts w:hint="eastAsia" w:ascii="微软雅黑" w:hAnsi="微软雅黑" w:eastAsia="微软雅黑" w:cs="微软雅黑"/>
          <w:b/>
          <w:i w:val="0"/>
          <w:color w:val="auto"/>
          <w:spacing w:val="0"/>
          <w:w w:val="100"/>
          <w:sz w:val="24"/>
          <w:szCs w:val="24"/>
          <w:highlight w:val="none"/>
          <w:lang w:eastAsia="zh-CN"/>
        </w:rPr>
        <w:t>、</w:t>
      </w:r>
      <w:r>
        <w:rPr>
          <w:rFonts w:hint="eastAsia" w:ascii="微软雅黑" w:hAnsi="微软雅黑" w:eastAsia="微软雅黑" w:cs="微软雅黑"/>
          <w:b/>
          <w:i w:val="0"/>
          <w:color w:val="auto"/>
          <w:spacing w:val="0"/>
          <w:w w:val="100"/>
          <w:sz w:val="24"/>
          <w:szCs w:val="24"/>
          <w:highlight w:val="none"/>
        </w:rPr>
        <w:t>技术规格偏离表</w:t>
      </w:r>
      <w:bookmarkEnd w:id="690"/>
    </w:p>
    <w:p>
      <w:pPr>
        <w:pStyle w:val="12"/>
        <w:shd w:val="clear"/>
        <w:spacing w:beforeAutospacing="0" w:afterAutospacing="0" w:line="240" w:lineRule="atLeast"/>
        <w:ind w:left="1080" w:leftChars="257" w:hanging="540"/>
        <w:rPr>
          <w:rFonts w:hint="eastAsia" w:ascii="微软雅黑" w:hAnsi="微软雅黑" w:eastAsia="微软雅黑" w:cs="微软雅黑"/>
          <w:color w:val="auto"/>
          <w:sz w:val="24"/>
          <w:szCs w:val="24"/>
          <w:highlight w:val="none"/>
        </w:rPr>
      </w:pPr>
    </w:p>
    <w:p>
      <w:pPr>
        <w:pStyle w:val="12"/>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                       项目编号:                 包号:</w:t>
      </w:r>
    </w:p>
    <w:p>
      <w:pPr>
        <w:pStyle w:val="12"/>
        <w:spacing w:line="400" w:lineRule="exact"/>
        <w:ind w:left="1080" w:leftChars="257" w:hanging="540"/>
        <w:rPr>
          <w:rFonts w:hint="eastAsia" w:ascii="微软雅黑" w:hAnsi="微软雅黑" w:eastAsia="微软雅黑" w:cs="微软雅黑"/>
          <w:color w:val="auto"/>
          <w:sz w:val="24"/>
          <w:szCs w:val="24"/>
          <w:highlight w:val="none"/>
        </w:rPr>
      </w:pPr>
    </w:p>
    <w:tbl>
      <w:tblPr>
        <w:tblStyle w:val="22"/>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2"/>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330" w:type="dxa"/>
            <w:vAlign w:val="center"/>
          </w:tcPr>
          <w:p>
            <w:pPr>
              <w:pStyle w:val="12"/>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服务</w:t>
            </w:r>
            <w:r>
              <w:rPr>
                <w:rFonts w:hint="eastAsia" w:ascii="微软雅黑" w:hAnsi="微软雅黑" w:eastAsia="微软雅黑" w:cs="微软雅黑"/>
                <w:color w:val="auto"/>
                <w:sz w:val="24"/>
                <w:szCs w:val="24"/>
                <w:highlight w:val="none"/>
              </w:rPr>
              <w:t>名称</w:t>
            </w:r>
          </w:p>
        </w:tc>
        <w:tc>
          <w:tcPr>
            <w:tcW w:w="2472" w:type="dxa"/>
            <w:vAlign w:val="center"/>
          </w:tcPr>
          <w:p>
            <w:pPr>
              <w:pStyle w:val="12"/>
              <w:spacing w:line="400" w:lineRule="exact"/>
              <w:ind w:left="269" w:leftChars="128"/>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条款号</w:t>
            </w:r>
          </w:p>
        </w:tc>
        <w:tc>
          <w:tcPr>
            <w:tcW w:w="1331" w:type="dxa"/>
            <w:vAlign w:val="center"/>
          </w:tcPr>
          <w:p>
            <w:pPr>
              <w:pStyle w:val="12"/>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招标规格</w:t>
            </w:r>
          </w:p>
        </w:tc>
        <w:tc>
          <w:tcPr>
            <w:tcW w:w="1331" w:type="dxa"/>
            <w:vAlign w:val="center"/>
          </w:tcPr>
          <w:p>
            <w:pPr>
              <w:pStyle w:val="12"/>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投标规格</w:t>
            </w:r>
          </w:p>
        </w:tc>
        <w:tc>
          <w:tcPr>
            <w:tcW w:w="950" w:type="dxa"/>
            <w:vAlign w:val="center"/>
          </w:tcPr>
          <w:p>
            <w:pPr>
              <w:pStyle w:val="12"/>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c>
          <w:tcPr>
            <w:tcW w:w="951" w:type="dxa"/>
            <w:vAlign w:val="center"/>
          </w:tcPr>
          <w:p>
            <w:pPr>
              <w:pStyle w:val="12"/>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2"/>
              <w:spacing w:line="400" w:lineRule="exact"/>
              <w:ind w:left="1080" w:leftChars="257" w:hanging="540"/>
              <w:rPr>
                <w:rFonts w:hint="eastAsia" w:ascii="微软雅黑" w:hAnsi="微软雅黑" w:eastAsia="微软雅黑" w:cs="微软雅黑"/>
                <w:color w:val="auto"/>
                <w:sz w:val="24"/>
                <w:szCs w:val="24"/>
                <w:highlight w:val="none"/>
              </w:rPr>
            </w:pPr>
          </w:p>
        </w:tc>
      </w:tr>
    </w:tbl>
    <w:p>
      <w:pPr>
        <w:pStyle w:val="12"/>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2"/>
        <w:tabs>
          <w:tab w:val="left" w:pos="5370"/>
        </w:tabs>
        <w:spacing w:line="400" w:lineRule="exact"/>
        <w:ind w:left="1080" w:leftChars="257" w:hanging="54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 w:val="24"/>
          <w:szCs w:val="24"/>
          <w:highlight w:val="none"/>
        </w:rPr>
        <w:t>供应商(公章):</w:t>
      </w:r>
      <w:r>
        <w:rPr>
          <w:rFonts w:hint="eastAsia" w:ascii="微软雅黑" w:hAnsi="微软雅黑" w:eastAsia="微软雅黑" w:cs="微软雅黑"/>
          <w:color w:val="auto"/>
          <w:sz w:val="24"/>
          <w:szCs w:val="24"/>
          <w:highlight w:val="none"/>
          <w:u w:val="single"/>
        </w:rPr>
        <w:tab/>
      </w:r>
    </w:p>
    <w:p>
      <w:pPr>
        <w:pStyle w:val="12"/>
        <w:shd w:val="clear"/>
        <w:tabs>
          <w:tab w:val="left" w:pos="5370"/>
        </w:tabs>
        <w:spacing w:beforeAutospacing="0" w:afterAutospacing="0" w:line="240" w:lineRule="atLeast"/>
        <w:ind w:left="1080" w:leftChars="257" w:hanging="540"/>
        <w:rPr>
          <w:rFonts w:hint="eastAsia" w:ascii="微软雅黑" w:hAnsi="微软雅黑" w:eastAsia="微软雅黑" w:cs="微软雅黑"/>
          <w:color w:val="auto"/>
          <w:sz w:val="24"/>
          <w:szCs w:val="24"/>
          <w:highlight w:val="none"/>
          <w:u w:val="single"/>
        </w:rPr>
      </w:pPr>
    </w:p>
    <w:p>
      <w:pPr>
        <w:pStyle w:val="12"/>
        <w:shd w:val="clear"/>
        <w:tabs>
          <w:tab w:val="left" w:pos="5370"/>
        </w:tabs>
        <w:spacing w:beforeAutospacing="0" w:afterAutospacing="0" w:line="240" w:lineRule="atLeast"/>
        <w:ind w:left="1080" w:leftChars="257" w:hanging="540"/>
        <w:rPr>
          <w:rFonts w:hint="eastAsia" w:ascii="微软雅黑" w:hAnsi="微软雅黑" w:eastAsia="微软雅黑" w:cs="微软雅黑"/>
          <w:color w:val="auto"/>
          <w:sz w:val="24"/>
          <w:szCs w:val="24"/>
          <w:highlight w:val="none"/>
          <w:u w:val="single"/>
        </w:rPr>
      </w:pPr>
    </w:p>
    <w:p>
      <w:pPr>
        <w:pStyle w:val="12"/>
        <w:shd w:val="clear"/>
        <w:tabs>
          <w:tab w:val="left" w:pos="5370"/>
        </w:tabs>
        <w:spacing w:beforeAutospacing="0" w:afterAutospacing="0" w:line="240" w:lineRule="atLeast"/>
        <w:ind w:left="1080" w:leftChars="257" w:hanging="540"/>
        <w:rPr>
          <w:rFonts w:hint="eastAsia" w:ascii="微软雅黑" w:hAnsi="微软雅黑" w:eastAsia="微软雅黑" w:cs="微软雅黑"/>
          <w:color w:val="auto"/>
          <w:sz w:val="24"/>
          <w:szCs w:val="24"/>
          <w:highlight w:val="none"/>
          <w:u w:val="single"/>
        </w:rPr>
      </w:pPr>
    </w:p>
    <w:p>
      <w:pPr>
        <w:pStyle w:val="12"/>
        <w:shd w:val="clear"/>
        <w:tabs>
          <w:tab w:val="left" w:pos="5370"/>
        </w:tabs>
        <w:spacing w:beforeAutospacing="0" w:afterAutospacing="0" w:line="240" w:lineRule="atLeast"/>
        <w:ind w:left="1080" w:leftChars="257" w:hanging="540"/>
        <w:rPr>
          <w:rFonts w:hint="eastAsia" w:ascii="微软雅黑" w:hAnsi="微软雅黑" w:eastAsia="微软雅黑" w:cs="微软雅黑"/>
          <w:color w:val="auto"/>
          <w:sz w:val="24"/>
          <w:szCs w:val="24"/>
          <w:highlight w:val="none"/>
          <w:u w:val="single"/>
        </w:rPr>
      </w:pPr>
    </w:p>
    <w:p>
      <w:pPr>
        <w:pStyle w:val="12"/>
        <w:shd w:val="clear"/>
        <w:tabs>
          <w:tab w:val="left" w:pos="5370"/>
        </w:tabs>
        <w:spacing w:beforeAutospacing="0" w:afterAutospacing="0" w:line="240" w:lineRule="atLeast"/>
        <w:ind w:left="1080" w:leftChars="257" w:hanging="540"/>
        <w:rPr>
          <w:rFonts w:hint="eastAsia" w:ascii="微软雅黑" w:hAnsi="微软雅黑" w:eastAsia="微软雅黑" w:cs="微软雅黑"/>
          <w:color w:val="auto"/>
          <w:sz w:val="24"/>
          <w:szCs w:val="24"/>
          <w:highlight w:val="none"/>
          <w:u w:val="single"/>
        </w:rPr>
      </w:pPr>
    </w:p>
    <w:p>
      <w:pPr>
        <w:pStyle w:val="12"/>
        <w:shd w:val="clear"/>
        <w:tabs>
          <w:tab w:val="left" w:pos="5370"/>
        </w:tabs>
        <w:spacing w:beforeAutospacing="0" w:afterAutospacing="0" w:line="240" w:lineRule="atLeast"/>
        <w:ind w:left="1080" w:leftChars="257" w:hanging="540"/>
        <w:rPr>
          <w:rFonts w:hint="eastAsia" w:ascii="微软雅黑" w:hAnsi="微软雅黑" w:eastAsia="微软雅黑" w:cs="微软雅黑"/>
          <w:color w:val="auto"/>
          <w:sz w:val="24"/>
          <w:szCs w:val="24"/>
          <w:highlight w:val="none"/>
          <w:u w:val="single"/>
        </w:rPr>
      </w:pPr>
    </w:p>
    <w:p>
      <w:pPr>
        <w:pStyle w:val="12"/>
        <w:shd w:val="clear"/>
        <w:tabs>
          <w:tab w:val="left" w:pos="5370"/>
        </w:tabs>
        <w:spacing w:beforeAutospacing="0" w:afterAutospacing="0" w:line="240" w:lineRule="atLeast"/>
        <w:ind w:left="1080" w:leftChars="257" w:hanging="540"/>
        <w:rPr>
          <w:rFonts w:hint="eastAsia" w:ascii="微软雅黑" w:hAnsi="微软雅黑" w:eastAsia="微软雅黑" w:cs="微软雅黑"/>
          <w:color w:val="auto"/>
          <w:sz w:val="24"/>
          <w:szCs w:val="24"/>
          <w:highlight w:val="none"/>
          <w:u w:val="single"/>
        </w:rPr>
      </w:pPr>
    </w:p>
    <w:p>
      <w:pPr>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br w:type="page"/>
      </w:r>
    </w:p>
    <w:bookmarkEnd w:id="691"/>
    <w:bookmarkEnd w:id="692"/>
    <w:bookmarkEnd w:id="693"/>
    <w:bookmarkEnd w:id="694"/>
    <w:bookmarkEnd w:id="695"/>
    <w:bookmarkEnd w:id="696"/>
    <w:bookmarkEnd w:id="697"/>
    <w:bookmarkEnd w:id="698"/>
    <w:bookmarkEnd w:id="699"/>
    <w:bookmarkEnd w:id="700"/>
    <w:p>
      <w:pPr>
        <w:pStyle w:val="7"/>
        <w:shd w:val="clea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olor w:val="auto"/>
          <w:spacing w:val="0"/>
          <w:w w:val="100"/>
          <w:sz w:val="24"/>
          <w:szCs w:val="24"/>
          <w:highlight w:val="none"/>
        </w:rPr>
      </w:pPr>
      <w:bookmarkStart w:id="701" w:name="_Toc13576"/>
      <w:bookmarkEnd w:id="701"/>
      <w:bookmarkStart w:id="702" w:name="_Toc32727"/>
      <w:r>
        <w:rPr>
          <w:rFonts w:hint="eastAsia" w:ascii="微软雅黑" w:hAnsi="微软雅黑" w:eastAsia="微软雅黑" w:cs="微软雅黑"/>
          <w:b/>
          <w:i w:val="0"/>
          <w:color w:val="auto"/>
          <w:spacing w:val="0"/>
          <w:w w:val="100"/>
          <w:sz w:val="24"/>
          <w:szCs w:val="24"/>
          <w:highlight w:val="none"/>
          <w:lang w:val="en-US" w:eastAsia="zh-CN"/>
        </w:rPr>
        <w:t>5</w:t>
      </w:r>
      <w:r>
        <w:rPr>
          <w:rFonts w:hint="eastAsia" w:ascii="微软雅黑" w:hAnsi="微软雅黑" w:eastAsia="微软雅黑" w:cs="微软雅黑"/>
          <w:b/>
          <w:i w:val="0"/>
          <w:color w:val="auto"/>
          <w:spacing w:val="0"/>
          <w:w w:val="100"/>
          <w:sz w:val="24"/>
          <w:szCs w:val="24"/>
          <w:highlight w:val="none"/>
          <w:lang w:eastAsia="zh-CN"/>
        </w:rPr>
        <w:t>、</w:t>
      </w:r>
      <w:r>
        <w:rPr>
          <w:rFonts w:hint="eastAsia" w:ascii="微软雅黑" w:hAnsi="微软雅黑" w:eastAsia="微软雅黑" w:cs="微软雅黑"/>
          <w:b/>
          <w:i w:val="0"/>
          <w:color w:val="auto"/>
          <w:spacing w:val="0"/>
          <w:w w:val="100"/>
          <w:sz w:val="24"/>
          <w:szCs w:val="24"/>
          <w:highlight w:val="none"/>
        </w:rPr>
        <w:t>商务条款偏离表</w:t>
      </w:r>
      <w:bookmarkEnd w:id="702"/>
    </w:p>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 xml:space="preserve">项目名称:                      </w:t>
      </w:r>
      <w:r>
        <w:rPr>
          <w:rFonts w:hint="eastAsia" w:ascii="微软雅黑" w:hAnsi="微软雅黑" w:eastAsia="微软雅黑" w:cs="微软雅黑"/>
          <w:b w:val="0"/>
          <w:i w:val="0"/>
          <w:color w:val="auto"/>
          <w:spacing w:val="0"/>
          <w:w w:val="100"/>
          <w:sz w:val="24"/>
          <w:szCs w:val="24"/>
          <w:highlight w:val="none"/>
          <w:lang w:eastAsia="zh-CN"/>
        </w:rPr>
        <w:t>项目编号</w:t>
      </w:r>
      <w:r>
        <w:rPr>
          <w:rFonts w:hint="eastAsia" w:ascii="微软雅黑" w:hAnsi="微软雅黑" w:eastAsia="微软雅黑" w:cs="微软雅黑"/>
          <w:b w:val="0"/>
          <w:i w:val="0"/>
          <w:color w:val="auto"/>
          <w:spacing w:val="0"/>
          <w:w w:val="100"/>
          <w:sz w:val="24"/>
          <w:szCs w:val="24"/>
          <w:highlight w:val="none"/>
        </w:rPr>
        <w:t xml:space="preserve">:                                </w:t>
      </w:r>
    </w:p>
    <w:tbl>
      <w:tblPr>
        <w:tblStyle w:val="2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hd w:val="clear"/>
              <w:snapToGrid w:val="0"/>
              <w:spacing w:before="0" w:beforeAutospacing="0" w:after="0" w:afterAutospacing="0" w:line="240" w:lineRule="atLeast"/>
              <w:jc w:val="center"/>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序号</w:t>
            </w:r>
          </w:p>
        </w:tc>
        <w:tc>
          <w:tcPr>
            <w:tcW w:w="2040" w:type="dxa"/>
          </w:tcPr>
          <w:p>
            <w:pPr>
              <w:pStyle w:val="12"/>
              <w:shd w:val="clear"/>
              <w:snapToGrid w:val="0"/>
              <w:spacing w:before="0" w:beforeAutospacing="0" w:after="0" w:afterAutospacing="0" w:line="240" w:lineRule="atLeast"/>
              <w:jc w:val="center"/>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磋商文件条款号</w:t>
            </w:r>
          </w:p>
        </w:tc>
        <w:tc>
          <w:tcPr>
            <w:tcW w:w="2520" w:type="dxa"/>
          </w:tcPr>
          <w:p>
            <w:pPr>
              <w:pStyle w:val="12"/>
              <w:shd w:val="clear"/>
              <w:snapToGrid w:val="0"/>
              <w:spacing w:before="0" w:beforeAutospacing="0" w:after="0" w:afterAutospacing="0" w:line="240" w:lineRule="atLeast"/>
              <w:jc w:val="center"/>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磋商文件的商务条款</w:t>
            </w:r>
          </w:p>
        </w:tc>
        <w:tc>
          <w:tcPr>
            <w:tcW w:w="2520" w:type="dxa"/>
          </w:tcPr>
          <w:p>
            <w:pPr>
              <w:pStyle w:val="12"/>
              <w:shd w:val="clear"/>
              <w:snapToGrid w:val="0"/>
              <w:spacing w:before="0" w:beforeAutospacing="0" w:after="0" w:afterAutospacing="0" w:line="240" w:lineRule="atLeast"/>
              <w:jc w:val="center"/>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磋商文件的商务条款</w:t>
            </w:r>
          </w:p>
        </w:tc>
        <w:tc>
          <w:tcPr>
            <w:tcW w:w="900" w:type="dxa"/>
          </w:tcPr>
          <w:p>
            <w:pPr>
              <w:pStyle w:val="12"/>
              <w:shd w:val="clear"/>
              <w:snapToGrid w:val="0"/>
              <w:spacing w:before="0" w:beforeAutospacing="0" w:after="0" w:afterAutospacing="0" w:line="240" w:lineRule="atLeast"/>
              <w:jc w:val="center"/>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204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2520" w:type="dxa"/>
          </w:tcPr>
          <w:p>
            <w:pPr>
              <w:pStyle w:val="12"/>
              <w:shd w:val="clea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olor w:val="auto"/>
                <w:spacing w:val="0"/>
                <w:w w:val="100"/>
                <w:sz w:val="24"/>
                <w:szCs w:val="24"/>
                <w:highlight w:val="none"/>
              </w:rPr>
            </w:pPr>
          </w:p>
        </w:tc>
        <w:tc>
          <w:tcPr>
            <w:tcW w:w="2520" w:type="dxa"/>
          </w:tcPr>
          <w:p>
            <w:pPr>
              <w:pStyle w:val="12"/>
              <w:shd w:val="clea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olor w:val="auto"/>
                <w:spacing w:val="0"/>
                <w:w w:val="100"/>
                <w:sz w:val="24"/>
                <w:szCs w:val="24"/>
                <w:highlight w:val="none"/>
              </w:rPr>
            </w:pPr>
          </w:p>
        </w:tc>
        <w:tc>
          <w:tcPr>
            <w:tcW w:w="90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204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252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252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90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204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252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252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90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204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252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252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90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204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252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252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90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204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252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252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c>
          <w:tcPr>
            <w:tcW w:w="900" w:type="dxa"/>
          </w:tcPr>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tc>
      </w:tr>
    </w:tbl>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p>
    <w:p>
      <w:pPr>
        <w:pStyle w:val="12"/>
        <w:shd w:val="clea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rPr>
      </w:pPr>
      <w:r>
        <w:rPr>
          <w:rFonts w:hint="eastAsia" w:ascii="微软雅黑" w:hAnsi="微软雅黑" w:eastAsia="微软雅黑" w:cs="微软雅黑"/>
          <w:b w:val="0"/>
          <w:i w:val="0"/>
          <w:color w:val="auto"/>
          <w:spacing w:val="0"/>
          <w:w w:val="100"/>
          <w:sz w:val="24"/>
          <w:szCs w:val="24"/>
          <w:highlight w:val="none"/>
        </w:rPr>
        <w:t>法定代表人或其委托代理（签/章）:</w:t>
      </w:r>
      <w:r>
        <w:rPr>
          <w:rFonts w:hint="eastAsia" w:ascii="微软雅黑" w:hAnsi="微软雅黑" w:eastAsia="微软雅黑" w:cs="微软雅黑"/>
          <w:b w:val="0"/>
          <w:i w:val="0"/>
          <w:color w:val="auto"/>
          <w:spacing w:val="0"/>
          <w:w w:val="100"/>
          <w:sz w:val="24"/>
          <w:szCs w:val="24"/>
          <w:highlight w:val="none"/>
          <w:u w:val="single" w:color="000000"/>
        </w:rPr>
        <w:t xml:space="preserve"> </w:t>
      </w:r>
      <w:r>
        <w:rPr>
          <w:rFonts w:hint="eastAsia" w:ascii="微软雅黑" w:hAnsi="微软雅黑" w:eastAsia="微软雅黑" w:cs="微软雅黑"/>
          <w:b w:val="0"/>
          <w:i w:val="0"/>
          <w:color w:val="auto"/>
          <w:spacing w:val="0"/>
          <w:w w:val="100"/>
          <w:sz w:val="24"/>
          <w:szCs w:val="24"/>
          <w:highlight w:val="none"/>
          <w:u w:val="single" w:color="000000"/>
        </w:rPr>
        <w:tab/>
      </w:r>
      <w:r>
        <w:rPr>
          <w:rFonts w:hint="eastAsia" w:ascii="微软雅黑" w:hAnsi="微软雅黑" w:eastAsia="微软雅黑" w:cs="微软雅黑"/>
          <w:b w:val="0"/>
          <w:i w:val="0"/>
          <w:color w:val="auto"/>
          <w:spacing w:val="0"/>
          <w:w w:val="100"/>
          <w:sz w:val="24"/>
          <w:szCs w:val="24"/>
          <w:highlight w:val="none"/>
          <w:u w:val="single" w:color="000000"/>
        </w:rPr>
        <w:t xml:space="preserve">                 </w:t>
      </w:r>
    </w:p>
    <w:p>
      <w:pPr>
        <w:pStyle w:val="12"/>
        <w:shd w:val="clear"/>
        <w:tabs>
          <w:tab w:val="left" w:pos="537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olor w:val="auto"/>
          <w:spacing w:val="0"/>
          <w:w w:val="100"/>
          <w:sz w:val="24"/>
          <w:szCs w:val="24"/>
          <w:highlight w:val="none"/>
          <w:u w:val="single" w:color="000000"/>
        </w:rPr>
      </w:pPr>
      <w:r>
        <w:rPr>
          <w:rFonts w:hint="eastAsia" w:ascii="微软雅黑" w:hAnsi="微软雅黑" w:eastAsia="微软雅黑" w:cs="微软雅黑"/>
          <w:b w:val="0"/>
          <w:i w:val="0"/>
          <w:color w:val="auto"/>
          <w:spacing w:val="0"/>
          <w:w w:val="100"/>
          <w:sz w:val="24"/>
          <w:szCs w:val="24"/>
          <w:highlight w:val="none"/>
        </w:rPr>
        <w:t>供应商</w:t>
      </w:r>
      <w:r>
        <w:rPr>
          <w:rFonts w:hint="eastAsia" w:ascii="微软雅黑" w:hAnsi="微软雅黑" w:eastAsia="微软雅黑" w:cs="微软雅黑"/>
          <w:b w:val="0"/>
          <w:i w:val="0"/>
          <w:color w:val="auto"/>
          <w:spacing w:val="0"/>
          <w:w w:val="100"/>
          <w:sz w:val="24"/>
          <w:szCs w:val="24"/>
          <w:highlight w:val="none"/>
          <w:lang w:val="en-US" w:eastAsia="zh-CN"/>
        </w:rPr>
        <w:t>名称</w:t>
      </w:r>
      <w:r>
        <w:rPr>
          <w:rFonts w:hint="eastAsia" w:ascii="微软雅黑" w:hAnsi="微软雅黑" w:eastAsia="微软雅黑" w:cs="微软雅黑"/>
          <w:b w:val="0"/>
          <w:i w:val="0"/>
          <w:color w:val="auto"/>
          <w:spacing w:val="0"/>
          <w:w w:val="100"/>
          <w:sz w:val="24"/>
          <w:szCs w:val="24"/>
          <w:highlight w:val="none"/>
        </w:rPr>
        <w:t>(公章):</w:t>
      </w:r>
      <w:r>
        <w:rPr>
          <w:rFonts w:hint="eastAsia" w:ascii="微软雅黑" w:hAnsi="微软雅黑" w:eastAsia="微软雅黑" w:cs="微软雅黑"/>
          <w:b w:val="0"/>
          <w:i w:val="0"/>
          <w:color w:val="auto"/>
          <w:spacing w:val="0"/>
          <w:w w:val="100"/>
          <w:sz w:val="24"/>
          <w:szCs w:val="24"/>
          <w:highlight w:val="none"/>
          <w:u w:val="single" w:color="000000"/>
        </w:rPr>
        <w:tab/>
      </w:r>
    </w:p>
    <w:p>
      <w:pPr>
        <w:rPr>
          <w:rFonts w:hint="eastAsia" w:ascii="微软雅黑" w:hAnsi="微软雅黑" w:eastAsia="微软雅黑" w:cs="微软雅黑"/>
          <w:b/>
          <w:color w:val="auto"/>
          <w:kern w:val="0"/>
          <w:szCs w:val="21"/>
          <w:highlight w:val="none"/>
        </w:rPr>
      </w:pPr>
      <w:r>
        <w:rPr>
          <w:rFonts w:hint="eastAsia" w:ascii="微软雅黑" w:hAnsi="微软雅黑" w:eastAsia="微软雅黑" w:cs="微软雅黑"/>
          <w:b/>
          <w:color w:val="auto"/>
          <w:kern w:val="0"/>
          <w:szCs w:val="21"/>
          <w:highlight w:val="none"/>
        </w:rPr>
        <w:br w:type="page"/>
      </w:r>
    </w:p>
    <w:p>
      <w:pPr>
        <w:pStyle w:val="7"/>
        <w:shd w:val="clear"/>
        <w:snapToGrid w:val="0"/>
        <w:spacing w:before="0" w:beforeAutospacing="0" w:after="0" w:afterAutospacing="0" w:line="240" w:lineRule="atLeast"/>
        <w:ind w:left="1080" w:leftChars="257" w:hanging="540"/>
        <w:jc w:val="center"/>
        <w:textAlignment w:val="baseline"/>
        <w:outlineLvl w:val="1"/>
        <w:rPr>
          <w:rFonts w:hint="eastAsia" w:ascii="微软雅黑" w:hAnsi="微软雅黑" w:eastAsia="微软雅黑" w:cs="微软雅黑"/>
          <w:b/>
          <w:i w:val="0"/>
          <w:color w:val="auto"/>
          <w:spacing w:val="0"/>
          <w:w w:val="100"/>
          <w:sz w:val="24"/>
          <w:szCs w:val="24"/>
          <w:highlight w:val="none"/>
          <w:lang w:val="en-US" w:eastAsia="zh-CN"/>
        </w:rPr>
      </w:pPr>
      <w:bookmarkStart w:id="703" w:name="_Toc18923"/>
      <w:bookmarkEnd w:id="703"/>
      <w:bookmarkStart w:id="704" w:name="_Toc15213"/>
      <w:bookmarkEnd w:id="704"/>
      <w:bookmarkStart w:id="705" w:name="_Toc21312"/>
      <w:bookmarkEnd w:id="705"/>
      <w:bookmarkStart w:id="706" w:name="_Toc13462"/>
      <w:bookmarkEnd w:id="706"/>
      <w:bookmarkStart w:id="707" w:name="_Toc16929"/>
      <w:bookmarkEnd w:id="707"/>
      <w:bookmarkStart w:id="708" w:name="_Toc6881"/>
      <w:bookmarkEnd w:id="708"/>
      <w:bookmarkStart w:id="709" w:name="_Toc8638"/>
      <w:bookmarkEnd w:id="709"/>
      <w:bookmarkStart w:id="710" w:name="_Toc17820"/>
      <w:bookmarkEnd w:id="710"/>
      <w:bookmarkStart w:id="711" w:name="_Toc10725"/>
      <w:bookmarkEnd w:id="711"/>
      <w:bookmarkStart w:id="712" w:name="_Toc21482"/>
      <w:bookmarkEnd w:id="712"/>
      <w:bookmarkStart w:id="713" w:name="_Toc515647823"/>
      <w:bookmarkEnd w:id="713"/>
      <w:bookmarkStart w:id="714" w:name="_Toc10079"/>
      <w:bookmarkEnd w:id="714"/>
      <w:bookmarkStart w:id="715" w:name="_Toc4073"/>
      <w:bookmarkEnd w:id="715"/>
      <w:bookmarkStart w:id="716" w:name="_Toc3844"/>
      <w:bookmarkEnd w:id="716"/>
      <w:bookmarkStart w:id="717" w:name="_Toc10860"/>
      <w:bookmarkEnd w:id="717"/>
      <w:bookmarkStart w:id="718" w:name="_Toc6963"/>
      <w:r>
        <w:rPr>
          <w:rFonts w:hint="eastAsia" w:ascii="微软雅黑" w:hAnsi="微软雅黑" w:eastAsia="微软雅黑" w:cs="微软雅黑"/>
          <w:b/>
          <w:i w:val="0"/>
          <w:color w:val="auto"/>
          <w:spacing w:val="0"/>
          <w:w w:val="100"/>
          <w:sz w:val="24"/>
          <w:szCs w:val="24"/>
          <w:highlight w:val="none"/>
          <w:lang w:val="en-US" w:eastAsia="zh-CN"/>
        </w:rPr>
        <w:t>6-1  中小企业声明函</w:t>
      </w:r>
      <w:bookmarkEnd w:id="718"/>
    </w:p>
    <w:p>
      <w:pPr>
        <w:pStyle w:val="20"/>
        <w:keepNext w:val="0"/>
        <w:keepLines w:val="0"/>
        <w:widowControl/>
        <w:suppressLineNumbers w:val="0"/>
        <w:spacing w:before="75" w:beforeAutospacing="0" w:after="75" w:afterAutospacing="0" w:line="420" w:lineRule="atLeast"/>
        <w:ind w:left="0" w:right="0" w:firstLine="420"/>
        <w:jc w:val="center"/>
        <w:outlineLvl w:val="9"/>
        <w:rPr>
          <w:rFonts w:hint="eastAsia" w:ascii="微软雅黑" w:hAnsi="微软雅黑" w:eastAsia="微软雅黑" w:cs="微软雅黑"/>
          <w:b/>
          <w:bCs/>
          <w:color w:val="auto"/>
          <w:sz w:val="24"/>
          <w:szCs w:val="24"/>
          <w:highlight w:val="none"/>
          <w:lang w:val="en-US" w:eastAsia="zh-CN" w:bidi="zh-CN"/>
        </w:rPr>
      </w:pPr>
      <w:bookmarkStart w:id="719" w:name="_Toc16627"/>
      <w:r>
        <w:rPr>
          <w:rFonts w:hint="eastAsia" w:ascii="微软雅黑" w:hAnsi="微软雅黑" w:eastAsia="微软雅黑" w:cs="微软雅黑"/>
          <w:b/>
          <w:bCs/>
          <w:color w:val="auto"/>
          <w:sz w:val="24"/>
          <w:szCs w:val="24"/>
          <w:highlight w:val="none"/>
          <w:lang w:val="en-US" w:eastAsia="zh-CN" w:bidi="zh-CN"/>
        </w:rPr>
        <w:t>中小企业声明函（服务）</w:t>
      </w:r>
      <w:bookmarkEnd w:id="719"/>
    </w:p>
    <w:p>
      <w:pPr>
        <w:pStyle w:val="11"/>
        <w:keepNext w:val="0"/>
        <w:keepLines w:val="0"/>
        <w:pageBreakBefore w:val="0"/>
        <w:widowControl w:val="0"/>
        <w:kinsoku/>
        <w:wordWrap/>
        <w:overflowPunct/>
        <w:topLinePunct w:val="0"/>
        <w:autoSpaceDE/>
        <w:autoSpaceDN/>
        <w:bidi w:val="0"/>
        <w:adjustRightInd/>
        <w:snapToGrid/>
        <w:spacing w:before="2" w:line="480" w:lineRule="exact"/>
        <w:ind w:left="0"/>
        <w:textAlignment w:val="auto"/>
        <w:rPr>
          <w:rFonts w:hint="eastAsia" w:ascii="微软雅黑" w:hAnsi="微软雅黑" w:eastAsia="微软雅黑" w:cs="微软雅黑"/>
          <w:b/>
          <w:color w:val="auto"/>
          <w:sz w:val="24"/>
          <w:szCs w:val="24"/>
          <w:highlight w:val="none"/>
        </w:rPr>
      </w:pPr>
    </w:p>
    <w:p>
      <w:pPr>
        <w:pStyle w:val="43"/>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sz w:val="24"/>
          <w:szCs w:val="24"/>
          <w:highlight w:val="none"/>
          <w:u w:val="none"/>
          <w:lang w:val="en-US" w:eastAsia="zh-CN" w:bidi="zh-CN"/>
        </w:rPr>
      </w:pPr>
      <w:r>
        <w:rPr>
          <w:rFonts w:hint="eastAsia" w:ascii="微软雅黑" w:hAnsi="微软雅黑" w:eastAsia="微软雅黑" w:cs="微软雅黑"/>
          <w:color w:val="auto"/>
          <w:spacing w:val="5"/>
          <w:w w:val="95"/>
          <w:sz w:val="24"/>
          <w:szCs w:val="24"/>
          <w:highlight w:val="none"/>
          <w:u w:val="none"/>
          <w:lang w:val="en-US" w:eastAsia="zh-CN" w:bidi="zh-CN"/>
        </w:rPr>
        <w:t>本公司（联合体）郑重声明，根据《政府采购促进中小企业发展管理办法》（财库﹝2020﹞46号）的规定，本公司（联合体）参加</w:t>
      </w:r>
      <w:r>
        <w:rPr>
          <w:rFonts w:hint="eastAsia" w:ascii="微软雅黑" w:hAnsi="微软雅黑" w:eastAsia="微软雅黑" w:cs="微软雅黑"/>
          <w:color w:val="auto"/>
          <w:spacing w:val="5"/>
          <w:w w:val="95"/>
          <w:sz w:val="24"/>
          <w:szCs w:val="24"/>
          <w:highlight w:val="none"/>
          <w:u w:val="single"/>
          <w:lang w:val="zh-CN" w:eastAsia="zh-CN" w:bidi="zh-CN"/>
        </w:rPr>
        <w:t>（单位名称）</w:t>
      </w:r>
      <w:r>
        <w:rPr>
          <w:rFonts w:hint="eastAsia" w:ascii="微软雅黑" w:hAnsi="微软雅黑" w:eastAsia="微软雅黑" w:cs="微软雅黑"/>
          <w:color w:val="auto"/>
          <w:spacing w:val="5"/>
          <w:w w:val="95"/>
          <w:sz w:val="24"/>
          <w:szCs w:val="24"/>
          <w:highlight w:val="none"/>
          <w:u w:val="none"/>
          <w:lang w:val="en-US" w:eastAsia="zh-CN" w:bidi="zh-CN"/>
        </w:rPr>
        <w:t>的</w:t>
      </w:r>
      <w:r>
        <w:rPr>
          <w:rFonts w:hint="eastAsia" w:ascii="微软雅黑" w:hAnsi="微软雅黑" w:eastAsia="微软雅黑" w:cs="微软雅黑"/>
          <w:color w:val="auto"/>
          <w:spacing w:val="5"/>
          <w:w w:val="95"/>
          <w:sz w:val="24"/>
          <w:szCs w:val="24"/>
          <w:highlight w:val="none"/>
          <w:u w:val="single"/>
          <w:lang w:val="zh-CN" w:eastAsia="zh-CN" w:bidi="zh-CN"/>
        </w:rPr>
        <w:t>（项目名称）</w:t>
      </w:r>
      <w:r>
        <w:rPr>
          <w:rFonts w:hint="eastAsia" w:ascii="微软雅黑" w:hAnsi="微软雅黑" w:eastAsia="微软雅黑" w:cs="微软雅黑"/>
          <w:color w:val="auto"/>
          <w:spacing w:val="5"/>
          <w:w w:val="95"/>
          <w:sz w:val="24"/>
          <w:szCs w:val="24"/>
          <w:highlight w:val="none"/>
          <w:u w:val="none"/>
          <w:lang w:val="en-US" w:eastAsia="zh-CN" w:bidi="zh-CN"/>
        </w:rPr>
        <w:t>采购活动，服务全部由符合政策要求的中小企业承接。相关企业（含联合体中的中小企业、签订分包意向协议的中小企业）的具体情况如下：</w:t>
      </w:r>
    </w:p>
    <w:p>
      <w:pPr>
        <w:pStyle w:val="43"/>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color w:val="auto"/>
          <w:spacing w:val="5"/>
          <w:w w:val="95"/>
          <w:sz w:val="24"/>
          <w:szCs w:val="24"/>
          <w:highlight w:val="none"/>
          <w:u w:val="none"/>
          <w:lang w:val="en-US" w:eastAsia="zh-CN" w:bidi="zh-CN"/>
        </w:rPr>
        <w:t>1.</w:t>
      </w:r>
      <w:r>
        <w:rPr>
          <w:rFonts w:hint="eastAsia" w:ascii="微软雅黑" w:hAnsi="微软雅黑" w:eastAsia="微软雅黑" w:cs="微软雅黑"/>
          <w:color w:val="auto"/>
          <w:spacing w:val="5"/>
          <w:w w:val="95"/>
          <w:sz w:val="24"/>
          <w:szCs w:val="24"/>
          <w:highlight w:val="none"/>
          <w:u w:val="single"/>
          <w:lang w:val="zh-CN" w:eastAsia="zh-CN" w:bidi="zh-CN"/>
        </w:rPr>
        <w:t>（标的名称）</w:t>
      </w:r>
      <w:r>
        <w:rPr>
          <w:rFonts w:hint="eastAsia" w:ascii="微软雅黑" w:hAnsi="微软雅黑" w:eastAsia="微软雅黑" w:cs="微软雅黑"/>
          <w:i/>
          <w:color w:val="auto"/>
          <w:sz w:val="24"/>
          <w:szCs w:val="24"/>
          <w:highlight w:val="none"/>
          <w:u w:val="none"/>
        </w:rPr>
        <w:t xml:space="preserve"> </w:t>
      </w:r>
      <w:r>
        <w:rPr>
          <w:rFonts w:hint="eastAsia" w:ascii="微软雅黑" w:hAnsi="微软雅黑" w:eastAsia="微软雅黑" w:cs="微软雅黑"/>
          <w:color w:val="auto"/>
          <w:spacing w:val="-43"/>
          <w:sz w:val="24"/>
          <w:szCs w:val="24"/>
          <w:highlight w:val="none"/>
          <w:u w:val="none"/>
        </w:rPr>
        <w:t xml:space="preserve">， </w:t>
      </w:r>
      <w:r>
        <w:rPr>
          <w:rFonts w:hint="eastAsia" w:ascii="微软雅黑" w:hAnsi="微软雅黑" w:eastAsia="微软雅黑" w:cs="微软雅黑"/>
          <w:color w:val="auto"/>
          <w:spacing w:val="7"/>
          <w:w w:val="99"/>
          <w:sz w:val="24"/>
          <w:szCs w:val="24"/>
          <w:highlight w:val="none"/>
          <w:u w:val="none"/>
          <w:lang w:val="zh-CN" w:eastAsia="zh-CN"/>
        </w:rPr>
        <w:t>属于</w:t>
      </w:r>
      <w:r>
        <w:rPr>
          <w:rFonts w:hint="eastAsia" w:ascii="微软雅黑" w:hAnsi="微软雅黑" w:eastAsia="微软雅黑" w:cs="微软雅黑"/>
          <w:color w:val="auto"/>
          <w:spacing w:val="5"/>
          <w:w w:val="95"/>
          <w:sz w:val="24"/>
          <w:szCs w:val="24"/>
          <w:highlight w:val="none"/>
          <w:u w:val="single"/>
          <w:lang w:val="zh-CN" w:eastAsia="zh-CN" w:bidi="zh-CN"/>
        </w:rPr>
        <w:t>（采购文件中明确的所属行业）行业</w:t>
      </w:r>
      <w:r>
        <w:rPr>
          <w:rFonts w:hint="eastAsia" w:ascii="微软雅黑" w:hAnsi="微软雅黑" w:eastAsia="微软雅黑" w:cs="微软雅黑"/>
          <w:color w:val="auto"/>
          <w:spacing w:val="7"/>
          <w:w w:val="99"/>
          <w:sz w:val="24"/>
          <w:szCs w:val="24"/>
          <w:highlight w:val="none"/>
          <w:u w:val="none"/>
        </w:rPr>
        <w:t>；</w:t>
      </w:r>
      <w:r>
        <w:rPr>
          <w:rFonts w:hint="eastAsia" w:ascii="微软雅黑" w:hAnsi="微软雅黑" w:eastAsia="微软雅黑" w:cs="微软雅黑"/>
          <w:color w:val="auto"/>
          <w:spacing w:val="5"/>
          <w:w w:val="99"/>
          <w:sz w:val="24"/>
          <w:szCs w:val="24"/>
          <w:highlight w:val="none"/>
          <w:u w:val="none"/>
          <w:lang w:val="en-US" w:eastAsia="zh-CN"/>
        </w:rPr>
        <w:t>承建（承接）企业</w:t>
      </w:r>
      <w:r>
        <w:rPr>
          <w:rFonts w:hint="eastAsia" w:ascii="微软雅黑" w:hAnsi="微软雅黑" w:eastAsia="微软雅黑" w:cs="微软雅黑"/>
          <w:color w:val="auto"/>
          <w:spacing w:val="-10"/>
          <w:w w:val="99"/>
          <w:sz w:val="24"/>
          <w:szCs w:val="24"/>
          <w:highlight w:val="none"/>
          <w:u w:val="none"/>
        </w:rPr>
        <w:t>为</w:t>
      </w:r>
      <w:r>
        <w:rPr>
          <w:rFonts w:hint="eastAsia" w:ascii="微软雅黑" w:hAnsi="微软雅黑" w:eastAsia="微软雅黑" w:cs="微软雅黑"/>
          <w:color w:val="auto"/>
          <w:spacing w:val="5"/>
          <w:w w:val="95"/>
          <w:sz w:val="24"/>
          <w:szCs w:val="24"/>
          <w:highlight w:val="none"/>
          <w:u w:val="single"/>
          <w:lang w:val="zh-CN" w:eastAsia="zh-CN" w:bidi="zh-CN"/>
        </w:rPr>
        <w:t>（企业名称）</w:t>
      </w:r>
      <w:r>
        <w:rPr>
          <w:rFonts w:hint="eastAsia" w:ascii="微软雅黑" w:hAnsi="微软雅黑" w:eastAsia="微软雅黑" w:cs="微软雅黑"/>
          <w:color w:val="auto"/>
          <w:spacing w:val="5"/>
          <w:w w:val="95"/>
          <w:sz w:val="24"/>
          <w:szCs w:val="24"/>
          <w:highlight w:val="none"/>
          <w:u w:val="none" w:color="auto"/>
          <w:lang w:val="zh-CN" w:eastAsia="zh-CN" w:bidi="zh-CN"/>
        </w:rPr>
        <w:t>，</w:t>
      </w:r>
      <w:r>
        <w:rPr>
          <w:rFonts w:hint="eastAsia" w:ascii="微软雅黑" w:hAnsi="微软雅黑" w:eastAsia="微软雅黑" w:cs="微软雅黑"/>
          <w:color w:val="auto"/>
          <w:spacing w:val="5"/>
          <w:w w:val="99"/>
          <w:sz w:val="24"/>
          <w:szCs w:val="24"/>
          <w:highlight w:val="none"/>
          <w:u w:val="none"/>
        </w:rPr>
        <w:t>从</w:t>
      </w:r>
      <w:r>
        <w:rPr>
          <w:rFonts w:hint="eastAsia" w:ascii="微软雅黑" w:hAnsi="微软雅黑" w:eastAsia="微软雅黑" w:cs="微软雅黑"/>
          <w:color w:val="auto"/>
          <w:spacing w:val="7"/>
          <w:w w:val="99"/>
          <w:sz w:val="24"/>
          <w:szCs w:val="24"/>
          <w:highlight w:val="none"/>
          <w:u w:val="none"/>
        </w:rPr>
        <w:t>业</w:t>
      </w:r>
      <w:r>
        <w:rPr>
          <w:rFonts w:hint="eastAsia" w:ascii="微软雅黑" w:hAnsi="微软雅黑" w:eastAsia="微软雅黑" w:cs="微软雅黑"/>
          <w:color w:val="auto"/>
          <w:spacing w:val="5"/>
          <w:w w:val="99"/>
          <w:sz w:val="24"/>
          <w:szCs w:val="24"/>
          <w:highlight w:val="none"/>
          <w:u w:val="none"/>
        </w:rPr>
        <w:t>人</w:t>
      </w:r>
      <w:r>
        <w:rPr>
          <w:rFonts w:hint="eastAsia" w:ascii="微软雅黑" w:hAnsi="微软雅黑" w:eastAsia="微软雅黑" w:cs="微软雅黑"/>
          <w:color w:val="auto"/>
          <w:spacing w:val="4"/>
          <w:w w:val="99"/>
          <w:sz w:val="24"/>
          <w:szCs w:val="24"/>
          <w:highlight w:val="none"/>
          <w:u w:val="none"/>
        </w:rPr>
        <w:t>员</w:t>
      </w:r>
      <w:r>
        <w:rPr>
          <w:rFonts w:hint="eastAsia" w:ascii="微软雅黑" w:hAnsi="微软雅黑" w:eastAsia="微软雅黑" w:cs="微软雅黑"/>
          <w:color w:val="auto"/>
          <w:spacing w:val="4"/>
          <w:w w:val="99"/>
          <w:sz w:val="24"/>
          <w:szCs w:val="24"/>
          <w:highlight w:val="none"/>
          <w:u w:val="single"/>
          <w:lang w:val="en-US" w:eastAsia="zh-CN"/>
        </w:rPr>
        <w:t xml:space="preserve">      </w:t>
      </w:r>
      <w:r>
        <w:rPr>
          <w:rFonts w:hint="eastAsia" w:ascii="微软雅黑" w:hAnsi="微软雅黑" w:eastAsia="微软雅黑" w:cs="微软雅黑"/>
          <w:color w:val="auto"/>
          <w:spacing w:val="7"/>
          <w:w w:val="99"/>
          <w:sz w:val="24"/>
          <w:szCs w:val="24"/>
          <w:highlight w:val="none"/>
          <w:u w:val="none"/>
        </w:rPr>
        <w:t>人</w:t>
      </w:r>
      <w:r>
        <w:rPr>
          <w:rFonts w:hint="eastAsia" w:ascii="微软雅黑" w:hAnsi="微软雅黑" w:eastAsia="微软雅黑" w:cs="微软雅黑"/>
          <w:color w:val="auto"/>
          <w:spacing w:val="5"/>
          <w:w w:val="99"/>
          <w:sz w:val="24"/>
          <w:szCs w:val="24"/>
          <w:highlight w:val="none"/>
          <w:u w:val="none"/>
        </w:rPr>
        <w:t>，</w:t>
      </w:r>
      <w:r>
        <w:rPr>
          <w:rFonts w:hint="eastAsia" w:ascii="微软雅黑" w:hAnsi="微软雅黑" w:eastAsia="微软雅黑" w:cs="微软雅黑"/>
          <w:color w:val="auto"/>
          <w:spacing w:val="7"/>
          <w:w w:val="99"/>
          <w:sz w:val="24"/>
          <w:szCs w:val="24"/>
          <w:highlight w:val="none"/>
          <w:u w:val="none"/>
        </w:rPr>
        <w:t>营</w:t>
      </w:r>
      <w:r>
        <w:rPr>
          <w:rFonts w:hint="eastAsia" w:ascii="微软雅黑" w:hAnsi="微软雅黑" w:eastAsia="微软雅黑" w:cs="微软雅黑"/>
          <w:color w:val="auto"/>
          <w:spacing w:val="5"/>
          <w:w w:val="99"/>
          <w:sz w:val="24"/>
          <w:szCs w:val="24"/>
          <w:highlight w:val="none"/>
          <w:u w:val="none"/>
        </w:rPr>
        <w:t>业</w:t>
      </w:r>
      <w:r>
        <w:rPr>
          <w:rFonts w:hint="eastAsia" w:ascii="微软雅黑" w:hAnsi="微软雅黑" w:eastAsia="微软雅黑" w:cs="微软雅黑"/>
          <w:color w:val="auto"/>
          <w:spacing w:val="7"/>
          <w:w w:val="99"/>
          <w:sz w:val="24"/>
          <w:szCs w:val="24"/>
          <w:highlight w:val="none"/>
          <w:u w:val="none"/>
        </w:rPr>
        <w:t>收入为</w:t>
      </w:r>
      <w:r>
        <w:rPr>
          <w:rFonts w:hint="eastAsia" w:ascii="微软雅黑" w:hAnsi="微软雅黑" w:eastAsia="微软雅黑" w:cs="微软雅黑"/>
          <w:color w:val="auto"/>
          <w:spacing w:val="4"/>
          <w:w w:val="99"/>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rPr>
        <w:t>万元</w:t>
      </w:r>
      <w:r>
        <w:rPr>
          <w:rFonts w:hint="eastAsia" w:ascii="微软雅黑" w:hAnsi="微软雅黑" w:eastAsia="微软雅黑" w:cs="微软雅黑"/>
          <w:color w:val="auto"/>
          <w:spacing w:val="-22"/>
          <w:sz w:val="24"/>
          <w:szCs w:val="24"/>
          <w:highlight w:val="none"/>
          <w:u w:val="none"/>
        </w:rPr>
        <w:t>，</w:t>
      </w:r>
      <w:r>
        <w:rPr>
          <w:rFonts w:hint="eastAsia" w:ascii="微软雅黑" w:hAnsi="微软雅黑" w:eastAsia="微软雅黑" w:cs="微软雅黑"/>
          <w:color w:val="auto"/>
          <w:sz w:val="24"/>
          <w:szCs w:val="24"/>
          <w:highlight w:val="none"/>
          <w:u w:val="none"/>
        </w:rPr>
        <w:t>资产总额为</w:t>
      </w:r>
      <w:r>
        <w:rPr>
          <w:rFonts w:hint="eastAsia" w:ascii="微软雅黑" w:hAnsi="微软雅黑" w:eastAsia="微软雅黑" w:cs="微软雅黑"/>
          <w:color w:val="auto"/>
          <w:spacing w:val="4"/>
          <w:w w:val="99"/>
          <w:sz w:val="24"/>
          <w:szCs w:val="24"/>
          <w:highlight w:val="none"/>
          <w:u w:val="single"/>
          <w:lang w:val="en-US" w:eastAsia="zh-CN"/>
        </w:rPr>
        <w:t xml:space="preserve">      </w:t>
      </w:r>
      <w:r>
        <w:rPr>
          <w:rFonts w:hint="eastAsia" w:ascii="微软雅黑" w:hAnsi="微软雅黑" w:eastAsia="微软雅黑" w:cs="微软雅黑"/>
          <w:color w:val="auto"/>
          <w:w w:val="95"/>
          <w:sz w:val="24"/>
          <w:szCs w:val="24"/>
          <w:highlight w:val="none"/>
          <w:u w:val="none"/>
        </w:rPr>
        <w:t>万元</w:t>
      </w:r>
      <w:r>
        <w:rPr>
          <w:rFonts w:hint="eastAsia" w:ascii="微软雅黑" w:hAnsi="微软雅黑" w:eastAsia="微软雅黑" w:cs="微软雅黑"/>
          <w:color w:val="auto"/>
          <w:spacing w:val="-12"/>
          <w:w w:val="95"/>
          <w:sz w:val="24"/>
          <w:szCs w:val="24"/>
          <w:highlight w:val="none"/>
          <w:u w:val="none"/>
        </w:rPr>
        <w:t>，</w:t>
      </w:r>
      <w:r>
        <w:rPr>
          <w:rFonts w:hint="eastAsia" w:ascii="微软雅黑" w:hAnsi="微软雅黑" w:eastAsia="微软雅黑" w:cs="微软雅黑"/>
          <w:color w:val="auto"/>
          <w:spacing w:val="5"/>
          <w:w w:val="95"/>
          <w:sz w:val="24"/>
          <w:szCs w:val="24"/>
          <w:highlight w:val="none"/>
          <w:u w:val="none"/>
          <w:lang w:val="zh-CN" w:eastAsia="zh-CN" w:bidi="zh-CN"/>
        </w:rPr>
        <w:t>属于</w:t>
      </w:r>
      <w:r>
        <w:rPr>
          <w:rFonts w:hint="eastAsia" w:ascii="微软雅黑" w:hAnsi="微软雅黑" w:eastAsia="微软雅黑" w:cs="微软雅黑"/>
          <w:color w:val="auto"/>
          <w:spacing w:val="5"/>
          <w:w w:val="95"/>
          <w:sz w:val="24"/>
          <w:szCs w:val="24"/>
          <w:highlight w:val="none"/>
          <w:u w:val="single"/>
          <w:lang w:val="zh-CN" w:eastAsia="zh-CN" w:bidi="zh-CN"/>
        </w:rPr>
        <w:t>（中型企业、小型企业、微型企业）</w:t>
      </w:r>
      <w:r>
        <w:rPr>
          <w:rFonts w:hint="eastAsia" w:ascii="微软雅黑" w:hAnsi="微软雅黑" w:eastAsia="微软雅黑" w:cs="微软雅黑"/>
          <w:color w:val="auto"/>
          <w:spacing w:val="5"/>
          <w:w w:val="95"/>
          <w:sz w:val="24"/>
          <w:szCs w:val="24"/>
          <w:highlight w:val="none"/>
          <w:u w:val="none" w:color="auto"/>
          <w:lang w:val="zh-CN" w:eastAsia="zh-CN" w:bidi="zh-CN"/>
        </w:rPr>
        <w:t>；</w:t>
      </w:r>
    </w:p>
    <w:p>
      <w:pPr>
        <w:pStyle w:val="43"/>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sz w:val="24"/>
          <w:szCs w:val="24"/>
          <w:highlight w:val="none"/>
          <w:u w:val="none"/>
          <w:lang w:val="en-US" w:eastAsia="zh-CN" w:bidi="zh-CN"/>
        </w:rPr>
      </w:pPr>
      <w:r>
        <w:rPr>
          <w:rFonts w:hint="eastAsia" w:ascii="微软雅黑" w:hAnsi="微软雅黑" w:eastAsia="微软雅黑" w:cs="微软雅黑"/>
          <w:color w:val="auto"/>
          <w:spacing w:val="5"/>
          <w:w w:val="95"/>
          <w:sz w:val="24"/>
          <w:szCs w:val="24"/>
          <w:highlight w:val="none"/>
          <w:u w:val="none"/>
          <w:lang w:val="en-US" w:eastAsia="zh-CN" w:bidi="zh-CN"/>
        </w:rPr>
        <w:t>2.</w:t>
      </w:r>
      <w:r>
        <w:rPr>
          <w:rFonts w:hint="eastAsia" w:ascii="微软雅黑" w:hAnsi="微软雅黑" w:eastAsia="微软雅黑" w:cs="微软雅黑"/>
          <w:color w:val="auto"/>
          <w:spacing w:val="5"/>
          <w:w w:val="95"/>
          <w:sz w:val="24"/>
          <w:szCs w:val="24"/>
          <w:highlight w:val="none"/>
          <w:u w:val="none"/>
          <w:lang w:val="zh-CN" w:eastAsia="zh-CN" w:bidi="zh-CN"/>
        </w:rPr>
        <w:t xml:space="preserve"> </w:t>
      </w:r>
      <w:r>
        <w:rPr>
          <w:rFonts w:hint="eastAsia" w:ascii="微软雅黑" w:hAnsi="微软雅黑" w:eastAsia="微软雅黑" w:cs="微软雅黑"/>
          <w:color w:val="auto"/>
          <w:spacing w:val="5"/>
          <w:w w:val="95"/>
          <w:sz w:val="24"/>
          <w:szCs w:val="24"/>
          <w:highlight w:val="none"/>
          <w:u w:val="single"/>
          <w:lang w:val="zh-CN" w:eastAsia="zh-CN" w:bidi="zh-CN"/>
        </w:rPr>
        <w:t>（标的名称）</w:t>
      </w:r>
      <w:r>
        <w:rPr>
          <w:rFonts w:hint="eastAsia" w:ascii="微软雅黑" w:hAnsi="微软雅黑" w:eastAsia="微软雅黑" w:cs="微软雅黑"/>
          <w:i/>
          <w:color w:val="auto"/>
          <w:sz w:val="24"/>
          <w:szCs w:val="24"/>
          <w:highlight w:val="none"/>
          <w:u w:val="none"/>
        </w:rPr>
        <w:t xml:space="preserve"> </w:t>
      </w:r>
      <w:r>
        <w:rPr>
          <w:rFonts w:hint="eastAsia" w:ascii="微软雅黑" w:hAnsi="微软雅黑" w:eastAsia="微软雅黑" w:cs="微软雅黑"/>
          <w:color w:val="auto"/>
          <w:spacing w:val="-43"/>
          <w:sz w:val="24"/>
          <w:szCs w:val="24"/>
          <w:highlight w:val="none"/>
          <w:u w:val="none"/>
        </w:rPr>
        <w:t xml:space="preserve">， </w:t>
      </w:r>
      <w:r>
        <w:rPr>
          <w:rFonts w:hint="eastAsia" w:ascii="微软雅黑" w:hAnsi="微软雅黑" w:eastAsia="微软雅黑" w:cs="微软雅黑"/>
          <w:color w:val="auto"/>
          <w:spacing w:val="7"/>
          <w:w w:val="99"/>
          <w:sz w:val="24"/>
          <w:szCs w:val="24"/>
          <w:highlight w:val="none"/>
          <w:u w:val="none"/>
          <w:lang w:val="zh-CN" w:eastAsia="zh-CN"/>
        </w:rPr>
        <w:t>属于</w:t>
      </w:r>
      <w:r>
        <w:rPr>
          <w:rFonts w:hint="eastAsia" w:ascii="微软雅黑" w:hAnsi="微软雅黑" w:eastAsia="微软雅黑" w:cs="微软雅黑"/>
          <w:color w:val="auto"/>
          <w:spacing w:val="5"/>
          <w:w w:val="95"/>
          <w:sz w:val="24"/>
          <w:szCs w:val="24"/>
          <w:highlight w:val="none"/>
          <w:u w:val="single"/>
          <w:lang w:val="zh-CN" w:eastAsia="zh-CN" w:bidi="zh-CN"/>
        </w:rPr>
        <w:t>（采购文件中明确的所属行业）行业</w:t>
      </w:r>
      <w:r>
        <w:rPr>
          <w:rFonts w:hint="eastAsia" w:ascii="微软雅黑" w:hAnsi="微软雅黑" w:eastAsia="微软雅黑" w:cs="微软雅黑"/>
          <w:color w:val="auto"/>
          <w:spacing w:val="7"/>
          <w:w w:val="99"/>
          <w:sz w:val="24"/>
          <w:szCs w:val="24"/>
          <w:highlight w:val="none"/>
          <w:u w:val="none"/>
        </w:rPr>
        <w:t>；</w:t>
      </w:r>
      <w:r>
        <w:rPr>
          <w:rFonts w:hint="eastAsia" w:ascii="微软雅黑" w:hAnsi="微软雅黑" w:eastAsia="微软雅黑" w:cs="微软雅黑"/>
          <w:color w:val="auto"/>
          <w:spacing w:val="5"/>
          <w:w w:val="99"/>
          <w:sz w:val="24"/>
          <w:szCs w:val="24"/>
          <w:highlight w:val="none"/>
          <w:u w:val="none"/>
          <w:lang w:val="en-US" w:eastAsia="zh-CN"/>
        </w:rPr>
        <w:t>承建（承接）企业</w:t>
      </w:r>
      <w:r>
        <w:rPr>
          <w:rFonts w:hint="eastAsia" w:ascii="微软雅黑" w:hAnsi="微软雅黑" w:eastAsia="微软雅黑" w:cs="微软雅黑"/>
          <w:color w:val="auto"/>
          <w:spacing w:val="-10"/>
          <w:w w:val="99"/>
          <w:sz w:val="24"/>
          <w:szCs w:val="24"/>
          <w:highlight w:val="none"/>
          <w:u w:val="none"/>
        </w:rPr>
        <w:t>为</w:t>
      </w:r>
      <w:r>
        <w:rPr>
          <w:rFonts w:hint="eastAsia" w:ascii="微软雅黑" w:hAnsi="微软雅黑" w:eastAsia="微软雅黑" w:cs="微软雅黑"/>
          <w:color w:val="auto"/>
          <w:spacing w:val="5"/>
          <w:w w:val="95"/>
          <w:sz w:val="24"/>
          <w:szCs w:val="24"/>
          <w:highlight w:val="none"/>
          <w:u w:val="single"/>
          <w:lang w:val="zh-CN" w:eastAsia="zh-CN" w:bidi="zh-CN"/>
        </w:rPr>
        <w:t>（企业名称）</w:t>
      </w:r>
      <w:r>
        <w:rPr>
          <w:rFonts w:hint="eastAsia" w:ascii="微软雅黑" w:hAnsi="微软雅黑" w:eastAsia="微软雅黑" w:cs="微软雅黑"/>
          <w:color w:val="auto"/>
          <w:spacing w:val="5"/>
          <w:w w:val="95"/>
          <w:sz w:val="24"/>
          <w:szCs w:val="24"/>
          <w:highlight w:val="none"/>
          <w:u w:val="none" w:color="auto"/>
          <w:lang w:val="zh-CN" w:eastAsia="zh-CN" w:bidi="zh-CN"/>
        </w:rPr>
        <w:t>，</w:t>
      </w:r>
      <w:r>
        <w:rPr>
          <w:rFonts w:hint="eastAsia" w:ascii="微软雅黑" w:hAnsi="微软雅黑" w:eastAsia="微软雅黑" w:cs="微软雅黑"/>
          <w:color w:val="auto"/>
          <w:spacing w:val="5"/>
          <w:w w:val="99"/>
          <w:sz w:val="24"/>
          <w:szCs w:val="24"/>
          <w:highlight w:val="none"/>
          <w:u w:val="none"/>
        </w:rPr>
        <w:t>从</w:t>
      </w:r>
      <w:r>
        <w:rPr>
          <w:rFonts w:hint="eastAsia" w:ascii="微软雅黑" w:hAnsi="微软雅黑" w:eastAsia="微软雅黑" w:cs="微软雅黑"/>
          <w:color w:val="auto"/>
          <w:spacing w:val="7"/>
          <w:w w:val="99"/>
          <w:sz w:val="24"/>
          <w:szCs w:val="24"/>
          <w:highlight w:val="none"/>
          <w:u w:val="none"/>
        </w:rPr>
        <w:t>业</w:t>
      </w:r>
      <w:r>
        <w:rPr>
          <w:rFonts w:hint="eastAsia" w:ascii="微软雅黑" w:hAnsi="微软雅黑" w:eastAsia="微软雅黑" w:cs="微软雅黑"/>
          <w:color w:val="auto"/>
          <w:spacing w:val="5"/>
          <w:w w:val="99"/>
          <w:sz w:val="24"/>
          <w:szCs w:val="24"/>
          <w:highlight w:val="none"/>
          <w:u w:val="none"/>
        </w:rPr>
        <w:t>人</w:t>
      </w:r>
      <w:r>
        <w:rPr>
          <w:rFonts w:hint="eastAsia" w:ascii="微软雅黑" w:hAnsi="微软雅黑" w:eastAsia="微软雅黑" w:cs="微软雅黑"/>
          <w:color w:val="auto"/>
          <w:spacing w:val="4"/>
          <w:w w:val="99"/>
          <w:sz w:val="24"/>
          <w:szCs w:val="24"/>
          <w:highlight w:val="none"/>
          <w:u w:val="none"/>
        </w:rPr>
        <w:t>员</w:t>
      </w:r>
      <w:r>
        <w:rPr>
          <w:rFonts w:hint="eastAsia" w:ascii="微软雅黑" w:hAnsi="微软雅黑" w:eastAsia="微软雅黑" w:cs="微软雅黑"/>
          <w:color w:val="auto"/>
          <w:spacing w:val="4"/>
          <w:w w:val="99"/>
          <w:sz w:val="24"/>
          <w:szCs w:val="24"/>
          <w:highlight w:val="none"/>
          <w:u w:val="single"/>
          <w:lang w:val="en-US" w:eastAsia="zh-CN"/>
        </w:rPr>
        <w:t xml:space="preserve">      </w:t>
      </w:r>
      <w:r>
        <w:rPr>
          <w:rFonts w:hint="eastAsia" w:ascii="微软雅黑" w:hAnsi="微软雅黑" w:eastAsia="微软雅黑" w:cs="微软雅黑"/>
          <w:color w:val="auto"/>
          <w:spacing w:val="7"/>
          <w:w w:val="99"/>
          <w:sz w:val="24"/>
          <w:szCs w:val="24"/>
          <w:highlight w:val="none"/>
          <w:u w:val="none"/>
        </w:rPr>
        <w:t>人</w:t>
      </w:r>
      <w:r>
        <w:rPr>
          <w:rFonts w:hint="eastAsia" w:ascii="微软雅黑" w:hAnsi="微软雅黑" w:eastAsia="微软雅黑" w:cs="微软雅黑"/>
          <w:color w:val="auto"/>
          <w:spacing w:val="5"/>
          <w:w w:val="99"/>
          <w:sz w:val="24"/>
          <w:szCs w:val="24"/>
          <w:highlight w:val="none"/>
          <w:u w:val="none"/>
        </w:rPr>
        <w:t>，</w:t>
      </w:r>
      <w:r>
        <w:rPr>
          <w:rFonts w:hint="eastAsia" w:ascii="微软雅黑" w:hAnsi="微软雅黑" w:eastAsia="微软雅黑" w:cs="微软雅黑"/>
          <w:color w:val="auto"/>
          <w:spacing w:val="7"/>
          <w:w w:val="99"/>
          <w:sz w:val="24"/>
          <w:szCs w:val="24"/>
          <w:highlight w:val="none"/>
          <w:u w:val="none"/>
        </w:rPr>
        <w:t>营</w:t>
      </w:r>
      <w:r>
        <w:rPr>
          <w:rFonts w:hint="eastAsia" w:ascii="微软雅黑" w:hAnsi="微软雅黑" w:eastAsia="微软雅黑" w:cs="微软雅黑"/>
          <w:color w:val="auto"/>
          <w:spacing w:val="5"/>
          <w:w w:val="99"/>
          <w:sz w:val="24"/>
          <w:szCs w:val="24"/>
          <w:highlight w:val="none"/>
          <w:u w:val="none"/>
        </w:rPr>
        <w:t>业</w:t>
      </w:r>
      <w:r>
        <w:rPr>
          <w:rFonts w:hint="eastAsia" w:ascii="微软雅黑" w:hAnsi="微软雅黑" w:eastAsia="微软雅黑" w:cs="微软雅黑"/>
          <w:color w:val="auto"/>
          <w:spacing w:val="7"/>
          <w:w w:val="99"/>
          <w:sz w:val="24"/>
          <w:szCs w:val="24"/>
          <w:highlight w:val="none"/>
          <w:u w:val="none"/>
        </w:rPr>
        <w:t>收入为</w:t>
      </w:r>
      <w:r>
        <w:rPr>
          <w:rFonts w:hint="eastAsia" w:ascii="微软雅黑" w:hAnsi="微软雅黑" w:eastAsia="微软雅黑" w:cs="微软雅黑"/>
          <w:color w:val="auto"/>
          <w:spacing w:val="4"/>
          <w:w w:val="99"/>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rPr>
        <w:t>万元</w:t>
      </w:r>
      <w:r>
        <w:rPr>
          <w:rFonts w:hint="eastAsia" w:ascii="微软雅黑" w:hAnsi="微软雅黑" w:eastAsia="微软雅黑" w:cs="微软雅黑"/>
          <w:color w:val="auto"/>
          <w:spacing w:val="-22"/>
          <w:sz w:val="24"/>
          <w:szCs w:val="24"/>
          <w:highlight w:val="none"/>
          <w:u w:val="none"/>
        </w:rPr>
        <w:t>，</w:t>
      </w:r>
      <w:r>
        <w:rPr>
          <w:rFonts w:hint="eastAsia" w:ascii="微软雅黑" w:hAnsi="微软雅黑" w:eastAsia="微软雅黑" w:cs="微软雅黑"/>
          <w:color w:val="auto"/>
          <w:sz w:val="24"/>
          <w:szCs w:val="24"/>
          <w:highlight w:val="none"/>
          <w:u w:val="none"/>
        </w:rPr>
        <w:t>资产总额为</w:t>
      </w:r>
      <w:r>
        <w:rPr>
          <w:rFonts w:hint="eastAsia" w:ascii="微软雅黑" w:hAnsi="微软雅黑" w:eastAsia="微软雅黑" w:cs="微软雅黑"/>
          <w:color w:val="auto"/>
          <w:spacing w:val="4"/>
          <w:w w:val="99"/>
          <w:sz w:val="24"/>
          <w:szCs w:val="24"/>
          <w:highlight w:val="none"/>
          <w:u w:val="single"/>
          <w:lang w:val="en-US" w:eastAsia="zh-CN"/>
        </w:rPr>
        <w:t xml:space="preserve">      </w:t>
      </w:r>
      <w:r>
        <w:rPr>
          <w:rFonts w:hint="eastAsia" w:ascii="微软雅黑" w:hAnsi="微软雅黑" w:eastAsia="微软雅黑" w:cs="微软雅黑"/>
          <w:color w:val="auto"/>
          <w:w w:val="95"/>
          <w:sz w:val="24"/>
          <w:szCs w:val="24"/>
          <w:highlight w:val="none"/>
          <w:u w:val="none"/>
        </w:rPr>
        <w:t>万元</w:t>
      </w:r>
      <w:r>
        <w:rPr>
          <w:rFonts w:hint="eastAsia" w:ascii="微软雅黑" w:hAnsi="微软雅黑" w:eastAsia="微软雅黑" w:cs="微软雅黑"/>
          <w:color w:val="auto"/>
          <w:spacing w:val="-12"/>
          <w:w w:val="95"/>
          <w:sz w:val="24"/>
          <w:szCs w:val="24"/>
          <w:highlight w:val="none"/>
          <w:u w:val="none"/>
        </w:rPr>
        <w:t>，</w:t>
      </w:r>
      <w:r>
        <w:rPr>
          <w:rFonts w:hint="eastAsia" w:ascii="微软雅黑" w:hAnsi="微软雅黑" w:eastAsia="微软雅黑" w:cs="微软雅黑"/>
          <w:color w:val="auto"/>
          <w:spacing w:val="5"/>
          <w:w w:val="95"/>
          <w:sz w:val="24"/>
          <w:szCs w:val="24"/>
          <w:highlight w:val="none"/>
          <w:u w:val="none"/>
          <w:lang w:val="zh-CN" w:eastAsia="zh-CN" w:bidi="zh-CN"/>
        </w:rPr>
        <w:t>属于</w:t>
      </w:r>
      <w:r>
        <w:rPr>
          <w:rFonts w:hint="eastAsia" w:ascii="微软雅黑" w:hAnsi="微软雅黑" w:eastAsia="微软雅黑" w:cs="微软雅黑"/>
          <w:color w:val="auto"/>
          <w:spacing w:val="5"/>
          <w:w w:val="95"/>
          <w:sz w:val="24"/>
          <w:szCs w:val="24"/>
          <w:highlight w:val="none"/>
          <w:u w:val="single"/>
          <w:lang w:val="zh-CN" w:eastAsia="zh-CN" w:bidi="zh-CN"/>
        </w:rPr>
        <w:t>（中型企业、小型企业、微型企业）</w:t>
      </w:r>
      <w:r>
        <w:rPr>
          <w:rFonts w:hint="eastAsia" w:ascii="微软雅黑" w:hAnsi="微软雅黑" w:eastAsia="微软雅黑" w:cs="微软雅黑"/>
          <w:color w:val="auto"/>
          <w:spacing w:val="5"/>
          <w:w w:val="95"/>
          <w:sz w:val="24"/>
          <w:szCs w:val="24"/>
          <w:highlight w:val="none"/>
          <w:u w:val="none"/>
          <w:lang w:val="zh-CN" w:eastAsia="zh-CN" w:bidi="zh-CN"/>
        </w:rPr>
        <w:t>；</w:t>
      </w:r>
    </w:p>
    <w:p>
      <w:pPr>
        <w:pStyle w:val="43"/>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sz w:val="24"/>
          <w:szCs w:val="24"/>
          <w:highlight w:val="none"/>
          <w:u w:val="none"/>
          <w:lang w:val="en-US" w:eastAsia="zh-CN" w:bidi="zh-CN"/>
        </w:rPr>
      </w:pPr>
      <w:r>
        <w:rPr>
          <w:rFonts w:hint="eastAsia" w:ascii="微软雅黑" w:hAnsi="微软雅黑" w:eastAsia="微软雅黑" w:cs="微软雅黑"/>
          <w:color w:val="auto"/>
          <w:spacing w:val="5"/>
          <w:w w:val="95"/>
          <w:sz w:val="24"/>
          <w:szCs w:val="24"/>
          <w:highlight w:val="none"/>
          <w:u w:val="none"/>
          <w:lang w:val="en-US" w:eastAsia="zh-CN" w:bidi="zh-CN"/>
        </w:rPr>
        <w:t>……</w:t>
      </w:r>
    </w:p>
    <w:p>
      <w:pPr>
        <w:pStyle w:val="43"/>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sz w:val="24"/>
          <w:szCs w:val="24"/>
          <w:highlight w:val="none"/>
          <w:u w:val="none"/>
          <w:lang w:val="en-US" w:eastAsia="zh-CN" w:bidi="zh-CN"/>
        </w:rPr>
      </w:pPr>
      <w:r>
        <w:rPr>
          <w:rFonts w:hint="eastAsia" w:ascii="微软雅黑" w:hAnsi="微软雅黑" w:eastAsia="微软雅黑" w:cs="微软雅黑"/>
          <w:color w:val="auto"/>
          <w:spacing w:val="5"/>
          <w:w w:val="95"/>
          <w:sz w:val="24"/>
          <w:szCs w:val="24"/>
          <w:highlight w:val="none"/>
          <w:u w:val="none"/>
          <w:lang w:val="en-US" w:eastAsia="zh-CN" w:bidi="zh-CN"/>
        </w:rPr>
        <w:t>以上企业，不属于大企业的分支机构，不存在控股股东为大企业的情形，也不存在与大企业的负责人为同一人的情形。</w:t>
      </w:r>
    </w:p>
    <w:p>
      <w:pPr>
        <w:pStyle w:val="43"/>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sz w:val="24"/>
          <w:szCs w:val="24"/>
          <w:highlight w:val="none"/>
          <w:u w:val="none"/>
          <w:lang w:val="en-US" w:eastAsia="zh-CN" w:bidi="zh-CN"/>
        </w:rPr>
      </w:pPr>
      <w:r>
        <w:rPr>
          <w:rFonts w:hint="eastAsia" w:ascii="微软雅黑" w:hAnsi="微软雅黑" w:eastAsia="微软雅黑" w:cs="微软雅黑"/>
          <w:color w:val="auto"/>
          <w:spacing w:val="5"/>
          <w:w w:val="95"/>
          <w:sz w:val="24"/>
          <w:szCs w:val="24"/>
          <w:highlight w:val="none"/>
          <w:u w:val="none"/>
          <w:lang w:val="en-US" w:eastAsia="zh-CN" w:bidi="zh-CN"/>
        </w:rPr>
        <w:t>本企业对上述声明内容的真实性负责。如有虚假，将依法承担相应责任。</w:t>
      </w:r>
    </w:p>
    <w:p>
      <w:pPr>
        <w:pStyle w:val="43"/>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sz w:val="24"/>
          <w:szCs w:val="24"/>
          <w:highlight w:val="none"/>
          <w:u w:val="none"/>
          <w:lang w:val="en-US" w:eastAsia="zh-CN" w:bidi="zh-CN"/>
        </w:rPr>
      </w:pPr>
    </w:p>
    <w:p>
      <w:pPr>
        <w:pStyle w:val="43"/>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sz w:val="24"/>
          <w:szCs w:val="24"/>
          <w:highlight w:val="none"/>
          <w:u w:val="none"/>
          <w:lang w:val="en-US" w:eastAsia="zh-CN" w:bidi="zh-CN"/>
        </w:rPr>
      </w:pPr>
    </w:p>
    <w:p>
      <w:pPr>
        <w:pStyle w:val="43"/>
        <w:keepNext w:val="0"/>
        <w:keepLines w:val="0"/>
        <w:pageBreakBefore w:val="0"/>
        <w:widowControl w:val="0"/>
        <w:numPr>
          <w:ilvl w:val="0"/>
          <w:numId w:val="0"/>
        </w:numPr>
        <w:tabs>
          <w:tab w:val="left" w:pos="1183"/>
          <w:tab w:val="left" w:pos="1484"/>
          <w:tab w:val="left" w:pos="4662"/>
          <w:tab w:val="left" w:pos="6903"/>
        </w:tabs>
        <w:kinsoku/>
        <w:wordWrap w:val="0"/>
        <w:overflowPunct/>
        <w:topLinePunct w:val="0"/>
        <w:autoSpaceDE/>
        <w:autoSpaceDN/>
        <w:bidi w:val="0"/>
        <w:adjustRightInd/>
        <w:snapToGrid/>
        <w:spacing w:before="0" w:after="0" w:line="480" w:lineRule="exact"/>
        <w:ind w:leftChars="0" w:right="0" w:rightChars="0" w:firstLine="476" w:firstLineChars="200"/>
        <w:jc w:val="right"/>
        <w:textAlignment w:val="auto"/>
        <w:rPr>
          <w:rFonts w:hint="eastAsia" w:ascii="微软雅黑" w:hAnsi="微软雅黑" w:eastAsia="微软雅黑" w:cs="微软雅黑"/>
          <w:color w:val="auto"/>
          <w:spacing w:val="5"/>
          <w:w w:val="95"/>
          <w:sz w:val="24"/>
          <w:szCs w:val="24"/>
          <w:highlight w:val="none"/>
          <w:u w:val="none"/>
          <w:lang w:val="en-US" w:eastAsia="zh-CN" w:bidi="zh-CN"/>
        </w:rPr>
      </w:pPr>
      <w:r>
        <w:rPr>
          <w:rFonts w:hint="eastAsia" w:ascii="微软雅黑" w:hAnsi="微软雅黑" w:eastAsia="微软雅黑" w:cs="微软雅黑"/>
          <w:color w:val="auto"/>
          <w:spacing w:val="5"/>
          <w:w w:val="95"/>
          <w:sz w:val="24"/>
          <w:szCs w:val="24"/>
          <w:highlight w:val="none"/>
          <w:u w:val="none"/>
          <w:lang w:val="en-US" w:eastAsia="zh-CN" w:bidi="zh-CN"/>
        </w:rPr>
        <w:t xml:space="preserve">企业名称（盖章）：        </w:t>
      </w:r>
    </w:p>
    <w:p>
      <w:pPr>
        <w:jc w:val="center"/>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pacing w:val="5"/>
          <w:w w:val="95"/>
          <w:sz w:val="24"/>
          <w:szCs w:val="24"/>
          <w:highlight w:val="none"/>
          <w:u w:val="none"/>
          <w:lang w:val="en-US" w:eastAsia="zh-CN" w:bidi="zh-CN"/>
        </w:rPr>
        <w:t xml:space="preserve">                        日期：     </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b/>
          <w:bCs/>
          <w:i w:val="0"/>
          <w:iCs w:val="0"/>
          <w:color w:val="auto"/>
          <w:spacing w:val="0"/>
          <w:kern w:val="0"/>
          <w:sz w:val="24"/>
          <w:szCs w:val="24"/>
          <w:highlight w:val="none"/>
          <w:shd w:val="clear" w:color="auto" w:fill="FFFFFF"/>
          <w:lang w:val="en-US" w:eastAsia="zh-CN"/>
        </w:rPr>
      </w:pPr>
      <w:r>
        <w:rPr>
          <w:rFonts w:hint="eastAsia" w:ascii="微软雅黑" w:hAnsi="微软雅黑" w:eastAsia="微软雅黑" w:cs="微软雅黑"/>
          <w:b/>
          <w:bCs/>
          <w:i w:val="0"/>
          <w:iCs w:val="0"/>
          <w:color w:val="auto"/>
          <w:spacing w:val="0"/>
          <w:kern w:val="0"/>
          <w:sz w:val="24"/>
          <w:szCs w:val="24"/>
          <w:highlight w:val="none"/>
          <w:shd w:val="clear" w:color="auto" w:fill="FFFFFF"/>
          <w:lang w:val="en-US" w:eastAsia="zh-CN"/>
        </w:rPr>
        <w:t>注：1、潜在磋商企业属于中小微企业的，请在响应文件中提供“中小企业声明函”，如果未提供或提供虚假的“中小企业声明函”，磋商企业将承担由此造成的一切不利后果。</w:t>
      </w:r>
    </w:p>
    <w:p>
      <w:pPr>
        <w:keepNext w:val="0"/>
        <w:keepLines w:val="0"/>
        <w:widowControl/>
        <w:suppressLineNumbers w:val="0"/>
        <w:shd w:val="clear" w:color="auto" w:fill="auto"/>
        <w:spacing w:before="0" w:beforeAutospacing="1" w:after="0" w:afterAutospacing="1" w:line="348" w:lineRule="atLeast"/>
        <w:ind w:left="0" w:right="0" w:firstLine="915" w:firstLineChars="381"/>
        <w:jc w:val="left"/>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b/>
          <w:bCs/>
          <w:i w:val="0"/>
          <w:iCs w:val="0"/>
          <w:color w:val="auto"/>
          <w:spacing w:val="0"/>
          <w:kern w:val="0"/>
          <w:sz w:val="24"/>
          <w:szCs w:val="24"/>
          <w:highlight w:val="none"/>
          <w:shd w:val="clear" w:color="auto" w:fill="FFFFFF"/>
          <w:lang w:val="en-US" w:eastAsia="zh-CN"/>
        </w:rPr>
        <w:t>2、本项目所属行业属于</w:t>
      </w:r>
      <w:r>
        <w:rPr>
          <w:rFonts w:hint="eastAsia" w:ascii="微软雅黑" w:hAnsi="微软雅黑" w:eastAsia="微软雅黑" w:cs="微软雅黑"/>
          <w:b/>
          <w:bCs/>
          <w:color w:val="auto"/>
          <w:kern w:val="0"/>
          <w:sz w:val="24"/>
          <w:szCs w:val="24"/>
          <w:highlight w:val="none"/>
        </w:rPr>
        <w:t>零售业</w:t>
      </w:r>
      <w:r>
        <w:rPr>
          <w:rFonts w:hint="eastAsia" w:ascii="微软雅黑" w:hAnsi="微软雅黑" w:eastAsia="微软雅黑" w:cs="微软雅黑"/>
          <w:b/>
          <w:bCs/>
          <w:color w:val="auto"/>
          <w:kern w:val="0"/>
          <w:sz w:val="24"/>
          <w:szCs w:val="24"/>
          <w:highlight w:val="none"/>
          <w:lang w:val="en-US" w:eastAsia="zh-CN"/>
        </w:rPr>
        <w:t>或</w:t>
      </w:r>
      <w:r>
        <w:rPr>
          <w:rFonts w:hint="eastAsia" w:ascii="微软雅黑" w:hAnsi="微软雅黑" w:eastAsia="微软雅黑" w:cs="微软雅黑"/>
          <w:b/>
          <w:bCs/>
          <w:color w:val="auto"/>
          <w:kern w:val="0"/>
          <w:sz w:val="24"/>
          <w:szCs w:val="24"/>
          <w:highlight w:val="none"/>
        </w:rPr>
        <w:t>其他未列明行业</w:t>
      </w:r>
      <w:r>
        <w:rPr>
          <w:rFonts w:hint="eastAsia" w:ascii="微软雅黑" w:hAnsi="微软雅黑" w:eastAsia="微软雅黑" w:cs="微软雅黑"/>
          <w:b/>
          <w:bCs/>
          <w:color w:val="auto"/>
          <w:kern w:val="0"/>
          <w:sz w:val="24"/>
          <w:szCs w:val="24"/>
          <w:highlight w:val="none"/>
          <w:lang w:eastAsia="zh-CN"/>
        </w:rPr>
        <w:t>。</w:t>
      </w:r>
    </w:p>
    <w:p>
      <w:pPr>
        <w:rPr>
          <w:rFonts w:hint="eastAsia" w:ascii="微软雅黑" w:hAnsi="微软雅黑" w:eastAsia="微软雅黑" w:cs="微软雅黑"/>
          <w:b/>
          <w:bCs/>
          <w:color w:val="auto"/>
          <w:kern w:val="2"/>
          <w:sz w:val="22"/>
          <w:szCs w:val="22"/>
          <w:highlight w:val="none"/>
        </w:rPr>
      </w:pPr>
      <w:bookmarkStart w:id="720" w:name="_Toc12060"/>
      <w:bookmarkStart w:id="721" w:name="_Toc10977"/>
      <w:bookmarkStart w:id="722" w:name="_Toc11803"/>
      <w:bookmarkStart w:id="723" w:name="_Toc5609"/>
      <w:bookmarkStart w:id="724" w:name="_Toc12692"/>
      <w:bookmarkStart w:id="725" w:name="_Toc752"/>
      <w:bookmarkStart w:id="726" w:name="_Toc29115"/>
      <w:bookmarkStart w:id="727" w:name="_Toc515647824"/>
      <w:bookmarkStart w:id="728" w:name="_Toc7018"/>
      <w:bookmarkStart w:id="729" w:name="_Toc28055"/>
      <w:bookmarkStart w:id="730" w:name="_Toc22307"/>
      <w:bookmarkStart w:id="731" w:name="_Toc26643"/>
      <w:bookmarkStart w:id="732" w:name="_Toc4543"/>
      <w:bookmarkStart w:id="733" w:name="_Toc2709"/>
      <w:bookmarkStart w:id="734" w:name="_Toc18860"/>
      <w:r>
        <w:rPr>
          <w:rFonts w:hint="eastAsia" w:ascii="微软雅黑" w:hAnsi="微软雅黑" w:eastAsia="微软雅黑" w:cs="微软雅黑"/>
          <w:b/>
          <w:bCs/>
          <w:color w:val="auto"/>
          <w:kern w:val="2"/>
          <w:sz w:val="22"/>
          <w:szCs w:val="22"/>
          <w:highlight w:val="none"/>
        </w:rPr>
        <w:br w:type="page"/>
      </w:r>
    </w:p>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Pr>
        <w:keepNext w:val="0"/>
        <w:keepLines w:val="0"/>
        <w:pageBreakBefore w:val="0"/>
        <w:kinsoku/>
        <w:wordWrap/>
        <w:overflowPunct/>
        <w:topLinePunct w:val="0"/>
        <w:autoSpaceDE/>
        <w:autoSpaceDN/>
        <w:bidi w:val="0"/>
        <w:adjustRightInd/>
        <w:spacing w:line="400" w:lineRule="exact"/>
        <w:jc w:val="left"/>
        <w:rPr>
          <w:rFonts w:hint="eastAsia" w:ascii="微软雅黑" w:hAnsi="微软雅黑" w:eastAsia="微软雅黑" w:cs="微软雅黑"/>
          <w:b/>
          <w:bCs/>
          <w:color w:val="auto"/>
          <w:kern w:val="0"/>
          <w:sz w:val="24"/>
          <w:szCs w:val="24"/>
          <w:highlight w:val="none"/>
        </w:rPr>
      </w:pPr>
      <w:bookmarkStart w:id="735" w:name="_Toc732"/>
      <w:bookmarkEnd w:id="735"/>
      <w:bookmarkStart w:id="736" w:name="_Toc15294"/>
      <w:bookmarkEnd w:id="736"/>
      <w:bookmarkStart w:id="737" w:name="_Toc19284"/>
      <w:bookmarkEnd w:id="737"/>
      <w:bookmarkStart w:id="738" w:name="_Toc30849"/>
      <w:bookmarkEnd w:id="738"/>
      <w:bookmarkStart w:id="739" w:name="_Toc32586"/>
      <w:bookmarkEnd w:id="739"/>
      <w:bookmarkStart w:id="740" w:name="_Toc2621"/>
      <w:bookmarkEnd w:id="740"/>
      <w:bookmarkStart w:id="741" w:name="_Toc13947"/>
      <w:bookmarkEnd w:id="741"/>
      <w:bookmarkStart w:id="742" w:name="_Toc26931"/>
      <w:bookmarkEnd w:id="742"/>
      <w:bookmarkStart w:id="743" w:name="_Toc24860"/>
      <w:bookmarkEnd w:id="743"/>
      <w:bookmarkStart w:id="744" w:name="_Toc515647825"/>
      <w:bookmarkEnd w:id="744"/>
      <w:bookmarkStart w:id="745" w:name="_Toc23068"/>
      <w:bookmarkEnd w:id="745"/>
      <w:bookmarkStart w:id="746" w:name="_Toc4244"/>
      <w:bookmarkEnd w:id="746"/>
      <w:bookmarkStart w:id="747" w:name="_Toc3420"/>
      <w:bookmarkEnd w:id="747"/>
      <w:bookmarkStart w:id="748" w:name="_Toc14454"/>
      <w:bookmarkEnd w:id="748"/>
      <w:r>
        <w:rPr>
          <w:rFonts w:hint="eastAsia" w:ascii="微软雅黑" w:hAnsi="微软雅黑" w:eastAsia="微软雅黑" w:cs="微软雅黑"/>
          <w:b/>
          <w:bCs/>
          <w:color w:val="auto"/>
          <w:kern w:val="0"/>
          <w:sz w:val="24"/>
          <w:szCs w:val="24"/>
          <w:highlight w:val="none"/>
        </w:rPr>
        <w:t>附：</w:t>
      </w:r>
    </w:p>
    <w:p>
      <w:pPr>
        <w:keepNext w:val="0"/>
        <w:keepLines w:val="0"/>
        <w:pageBreakBefore w:val="0"/>
        <w:kinsoku/>
        <w:wordWrap/>
        <w:overflowPunct/>
        <w:topLinePunct w:val="0"/>
        <w:autoSpaceDE/>
        <w:autoSpaceDN/>
        <w:bidi w:val="0"/>
        <w:adjustRightInd/>
        <w:spacing w:line="400" w:lineRule="exact"/>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中小微企业划型标准</w:t>
      </w:r>
    </w:p>
    <w:tbl>
      <w:tblPr>
        <w:tblStyle w:val="22"/>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Y＜100</w:t>
            </w:r>
          </w:p>
        </w:tc>
      </w:tr>
      <w:tr>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w:t>
            </w:r>
          </w:p>
        </w:tc>
      </w:tr>
    </w:tbl>
    <w:p>
      <w:pPr>
        <w:keepNext w:val="0"/>
        <w:keepLines w:val="0"/>
        <w:pageBreakBefore w:val="0"/>
        <w:kinsoku/>
        <w:wordWrap/>
        <w:overflowPunct/>
        <w:topLinePunct w:val="0"/>
        <w:autoSpaceDE/>
        <w:autoSpaceDN/>
        <w:bidi w:val="0"/>
        <w:adjustRightInd/>
        <w:snapToGrid w:val="0"/>
        <w:spacing w:line="400" w:lineRule="exact"/>
        <w:contextualSpacing/>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t>说明：</w:t>
      </w:r>
      <w:r>
        <w:rPr>
          <w:rFonts w:hint="eastAsia" w:ascii="微软雅黑" w:hAnsi="微软雅黑" w:eastAsia="微软雅黑" w:cs="微软雅黑"/>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所称中小企业，是指在中华人民共和国境内依法设立，依据国务院批准的</w:t>
      </w:r>
    </w:p>
    <w:p>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规定的中小企业扶持政策：</w:t>
      </w:r>
    </w:p>
    <w:p>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（2）在工程采购项目中，工程由中小企业承建，即工程施工单位为中小企业，不对其中涉及的货物的制造商和服务的承接商作出要求；</w:t>
      </w:r>
    </w:p>
    <w:p>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在货物采购项目中，供应商提供的货物既有中小企业制造货物，也有大型企业制造货物的，不享受本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规定享受扶持政策获得政府采购合同的，小微企业不得将合同分包给大中型企业，中型企业不得将合同分包给大型企业。</w:t>
      </w:r>
    </w:p>
    <w:p>
      <w:pPr>
        <w:pStyle w:val="2"/>
        <w:rPr>
          <w:rFonts w:hint="eastAsia"/>
        </w:rPr>
      </w:pPr>
    </w:p>
    <w:p>
      <w:pPr>
        <w:pStyle w:val="7"/>
        <w:shd w:val="clea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color w:val="auto"/>
          <w:sz w:val="24"/>
          <w:szCs w:val="24"/>
          <w:highlight w:val="none"/>
        </w:rPr>
      </w:pPr>
      <w:bookmarkStart w:id="749" w:name="_Toc21795"/>
      <w:r>
        <w:rPr>
          <w:rFonts w:hint="eastAsia" w:ascii="微软雅黑" w:hAnsi="微软雅黑" w:eastAsia="微软雅黑" w:cs="微软雅黑"/>
          <w:b/>
          <w:i w:val="0"/>
          <w:color w:val="auto"/>
          <w:spacing w:val="0"/>
          <w:w w:val="100"/>
          <w:sz w:val="24"/>
          <w:szCs w:val="24"/>
          <w:highlight w:val="none"/>
          <w:lang w:val="en-US" w:eastAsia="zh-CN"/>
        </w:rPr>
        <w:t>6-2  残疾人福利性单位声明函</w:t>
      </w:r>
      <w:bookmarkEnd w:id="749"/>
    </w:p>
    <w:p>
      <w:pPr>
        <w:spacing w:beforeAutospacing="0" w:afterAutospacing="0" w:line="240" w:lineRule="atLeast"/>
        <w:ind w:firstLine="56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微软雅黑" w:hAnsi="微软雅黑" w:eastAsia="微软雅黑" w:cs="微软雅黑"/>
          <w:b w:val="0"/>
          <w:i w:val="0"/>
          <w:color w:val="auto"/>
          <w:spacing w:val="0"/>
          <w:w w:val="100"/>
          <w:sz w:val="24"/>
          <w:highlight w:val="none"/>
          <w:lang w:val="en-US" w:eastAsia="zh-CN"/>
        </w:rPr>
        <w:t>货物</w:t>
      </w:r>
      <w:r>
        <w:rPr>
          <w:rFonts w:hint="eastAsia" w:ascii="微软雅黑" w:hAnsi="微软雅黑" w:eastAsia="微软雅黑" w:cs="微软雅黑"/>
          <w:color w:val="auto"/>
          <w:sz w:val="24"/>
          <w:szCs w:val="24"/>
          <w:highlight w:val="none"/>
        </w:rPr>
        <w:t>，或者提供其他残疾人福利性单位制造的</w:t>
      </w:r>
      <w:r>
        <w:rPr>
          <w:rFonts w:hint="eastAsia" w:ascii="微软雅黑" w:hAnsi="微软雅黑" w:eastAsia="微软雅黑" w:cs="微软雅黑"/>
          <w:b w:val="0"/>
          <w:i w:val="0"/>
          <w:color w:val="auto"/>
          <w:spacing w:val="0"/>
          <w:w w:val="100"/>
          <w:sz w:val="24"/>
          <w:highlight w:val="none"/>
          <w:lang w:val="en-US" w:eastAsia="zh-CN"/>
        </w:rPr>
        <w:t>货物</w:t>
      </w:r>
      <w:r>
        <w:rPr>
          <w:rFonts w:hint="eastAsia" w:ascii="微软雅黑" w:hAnsi="微软雅黑" w:eastAsia="微软雅黑" w:cs="微软雅黑"/>
          <w:color w:val="auto"/>
          <w:sz w:val="24"/>
          <w:szCs w:val="24"/>
          <w:highlight w:val="none"/>
        </w:rPr>
        <w:t>（不包括使用非残疾人福利性单位注册商标的</w:t>
      </w:r>
      <w:r>
        <w:rPr>
          <w:rFonts w:hint="eastAsia" w:ascii="微软雅黑" w:hAnsi="微软雅黑" w:eastAsia="微软雅黑" w:cs="微软雅黑"/>
          <w:b w:val="0"/>
          <w:i w:val="0"/>
          <w:color w:val="auto"/>
          <w:spacing w:val="0"/>
          <w:w w:val="100"/>
          <w:sz w:val="24"/>
          <w:highlight w:val="none"/>
          <w:lang w:val="en-US" w:eastAsia="zh-CN"/>
        </w:rPr>
        <w:t>货物</w:t>
      </w:r>
      <w:r>
        <w:rPr>
          <w:rFonts w:hint="eastAsia" w:ascii="微软雅黑" w:hAnsi="微软雅黑" w:eastAsia="微软雅黑" w:cs="微软雅黑"/>
          <w:color w:val="auto"/>
          <w:sz w:val="24"/>
          <w:szCs w:val="24"/>
          <w:highlight w:val="none"/>
        </w:rPr>
        <w:t>）。</w:t>
      </w:r>
    </w:p>
    <w:p>
      <w:pPr>
        <w:spacing w:beforeAutospacing="0" w:afterAutospacing="0"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本单位对上述声明的真实性负责。如有虚假，将依法承担相应责任。</w:t>
      </w:r>
    </w:p>
    <w:p>
      <w:pPr>
        <w:spacing w:beforeAutospacing="0" w:afterAutospacing="0" w:line="240" w:lineRule="atLeast"/>
        <w:ind w:left="1080" w:leftChars="257" w:hanging="540"/>
        <w:jc w:val="center"/>
        <w:rPr>
          <w:rFonts w:hint="eastAsia" w:ascii="微软雅黑" w:hAnsi="微软雅黑" w:eastAsia="微软雅黑" w:cs="微软雅黑"/>
          <w:color w:val="auto"/>
          <w:sz w:val="24"/>
          <w:szCs w:val="24"/>
          <w:highlight w:val="none"/>
        </w:rPr>
      </w:pPr>
    </w:p>
    <w:p>
      <w:pPr>
        <w:spacing w:beforeAutospacing="0" w:afterAutospacing="0" w:line="240" w:lineRule="atLeast"/>
        <w:ind w:left="1080" w:leftChars="257" w:hanging="540"/>
        <w:jc w:val="center"/>
        <w:rPr>
          <w:rFonts w:hint="eastAsia" w:ascii="微软雅黑" w:hAnsi="微软雅黑" w:eastAsia="微软雅黑" w:cs="微软雅黑"/>
          <w:color w:val="auto"/>
          <w:sz w:val="24"/>
          <w:szCs w:val="24"/>
          <w:highlight w:val="none"/>
        </w:rPr>
      </w:pPr>
    </w:p>
    <w:p>
      <w:pPr>
        <w:spacing w:beforeAutospacing="0" w:afterAutospacing="0" w:line="240" w:lineRule="atLeast"/>
        <w:ind w:left="1080" w:leftChars="257" w:hanging="540"/>
        <w:jc w:val="center"/>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 xml:space="preserve">              残疾人福利性单位名称（公章）：</w:t>
      </w:r>
      <w:r>
        <w:rPr>
          <w:rFonts w:hint="eastAsia" w:ascii="微软雅黑" w:hAnsi="微软雅黑" w:eastAsia="微软雅黑" w:cs="微软雅黑"/>
          <w:color w:val="auto"/>
          <w:sz w:val="24"/>
          <w:szCs w:val="24"/>
          <w:highlight w:val="none"/>
          <w:u w:val="single"/>
          <w:lang w:val="en-US" w:eastAsia="zh-CN"/>
        </w:rPr>
        <w:t xml:space="preserve">               </w:t>
      </w:r>
    </w:p>
    <w:p>
      <w:pPr>
        <w:spacing w:beforeAutospacing="0" w:afterAutospacing="0" w:line="240" w:lineRule="atLeast"/>
        <w:ind w:left="1080" w:leftChars="257" w:hanging="540"/>
        <w:jc w:val="center"/>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 xml:space="preserve">         日  期：</w:t>
      </w:r>
      <w:r>
        <w:rPr>
          <w:rFonts w:hint="eastAsia" w:ascii="微软雅黑" w:hAnsi="微软雅黑" w:eastAsia="微软雅黑" w:cs="微软雅黑"/>
          <w:color w:val="auto"/>
          <w:sz w:val="24"/>
          <w:szCs w:val="24"/>
          <w:highlight w:val="none"/>
          <w:u w:val="single"/>
          <w:lang w:val="en-US" w:eastAsia="zh-CN"/>
        </w:rPr>
        <w:t xml:space="preserve">                </w:t>
      </w:r>
    </w:p>
    <w:p>
      <w:pPr>
        <w:spacing w:beforeAutospacing="0" w:afterAutospacing="0" w:line="240" w:lineRule="atLeast"/>
        <w:ind w:left="1080" w:leftChars="257" w:hanging="540"/>
        <w:jc w:val="center"/>
        <w:rPr>
          <w:rFonts w:hint="eastAsia" w:ascii="微软雅黑" w:hAnsi="微软雅黑" w:eastAsia="微软雅黑" w:cs="微软雅黑"/>
          <w:color w:val="auto"/>
          <w:sz w:val="24"/>
          <w:szCs w:val="24"/>
          <w:highlight w:val="none"/>
        </w:rPr>
      </w:pPr>
    </w:p>
    <w:p>
      <w:pPr>
        <w:spacing w:beforeAutospacing="0" w:afterAutospacing="0" w:line="240" w:lineRule="atLeast"/>
        <w:jc w:val="both"/>
        <w:rPr>
          <w:rFonts w:hint="eastAsia" w:ascii="微软雅黑" w:hAnsi="微软雅黑" w:eastAsia="微软雅黑" w:cs="微软雅黑"/>
          <w:color w:val="auto"/>
          <w:sz w:val="24"/>
          <w:szCs w:val="24"/>
          <w:highlight w:val="none"/>
        </w:rPr>
      </w:pPr>
    </w:p>
    <w:p>
      <w:pPr>
        <w:pStyle w:val="7"/>
        <w:shd w:val="clea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olor w:val="auto"/>
          <w:spacing w:val="0"/>
          <w:w w:val="100"/>
          <w:sz w:val="24"/>
          <w:szCs w:val="24"/>
          <w:highlight w:val="none"/>
          <w:lang w:val="en-US" w:eastAsia="zh-CN"/>
        </w:rPr>
      </w:pPr>
      <w:bookmarkStart w:id="750" w:name="_Toc515647827"/>
      <w:bookmarkEnd w:id="750"/>
      <w:bookmarkStart w:id="751" w:name="_Toc5527"/>
      <w:bookmarkEnd w:id="751"/>
      <w:bookmarkStart w:id="752" w:name="_Toc6009"/>
      <w:bookmarkEnd w:id="752"/>
      <w:bookmarkStart w:id="753" w:name="_Toc30795"/>
      <w:bookmarkEnd w:id="753"/>
      <w:bookmarkStart w:id="754" w:name="_Toc6004"/>
      <w:bookmarkEnd w:id="754"/>
      <w:bookmarkStart w:id="755" w:name="_Toc11868"/>
      <w:bookmarkEnd w:id="755"/>
      <w:bookmarkStart w:id="756" w:name="_Toc22561"/>
      <w:bookmarkEnd w:id="756"/>
      <w:bookmarkStart w:id="757" w:name="_Toc30946"/>
      <w:bookmarkEnd w:id="757"/>
      <w:bookmarkStart w:id="758" w:name="_Toc26133"/>
      <w:bookmarkEnd w:id="758"/>
      <w:bookmarkStart w:id="759" w:name="_Toc5813"/>
      <w:bookmarkEnd w:id="759"/>
      <w:bookmarkStart w:id="760" w:name="_Toc28099"/>
      <w:bookmarkEnd w:id="760"/>
      <w:bookmarkStart w:id="761" w:name="_Toc2304"/>
      <w:bookmarkEnd w:id="761"/>
      <w:bookmarkStart w:id="762" w:name="_Toc19223"/>
      <w:bookmarkEnd w:id="762"/>
      <w:bookmarkStart w:id="763" w:name="_Toc5568"/>
      <w:bookmarkEnd w:id="763"/>
      <w:bookmarkStart w:id="764" w:name="_Toc22378"/>
      <w:bookmarkEnd w:id="764"/>
      <w:bookmarkStart w:id="765" w:name="_Toc3577"/>
      <w:r>
        <w:rPr>
          <w:rFonts w:hint="eastAsia" w:ascii="微软雅黑" w:hAnsi="微软雅黑" w:eastAsia="微软雅黑" w:cs="微软雅黑"/>
          <w:b/>
          <w:i w:val="0"/>
          <w:color w:val="auto"/>
          <w:spacing w:val="0"/>
          <w:w w:val="100"/>
          <w:sz w:val="24"/>
          <w:szCs w:val="24"/>
          <w:highlight w:val="none"/>
          <w:lang w:val="en-US" w:eastAsia="zh-CN"/>
        </w:rPr>
        <w:t>7、供应商关联单位的说明</w:t>
      </w:r>
      <w:bookmarkEnd w:id="765"/>
    </w:p>
    <w:p>
      <w:pPr>
        <w:pStyle w:val="4"/>
        <w:jc w:val="center"/>
        <w:rPr>
          <w:rFonts w:hint="eastAsia" w:ascii="微软雅黑" w:hAnsi="微软雅黑" w:eastAsia="微软雅黑" w:cs="微软雅黑"/>
          <w:color w:val="auto"/>
          <w:kern w:val="2"/>
          <w:highlight w:val="none"/>
        </w:rPr>
      </w:pPr>
    </w:p>
    <w:p>
      <w:pPr>
        <w:pStyle w:val="4"/>
        <w:ind w:firstLine="480" w:firstLineChars="200"/>
        <w:rPr>
          <w:rFonts w:hint="eastAsia" w:ascii="微软雅黑" w:hAnsi="微软雅黑" w:eastAsia="微软雅黑" w:cs="微软雅黑"/>
          <w:color w:val="auto"/>
          <w:kern w:val="2"/>
          <w:highlight w:val="none"/>
        </w:rPr>
      </w:pPr>
      <w:r>
        <w:rPr>
          <w:rFonts w:hint="eastAsia" w:ascii="微软雅黑" w:hAnsi="微软雅黑" w:eastAsia="微软雅黑" w:cs="微软雅黑"/>
          <w:color w:val="auto"/>
          <w:kern w:val="2"/>
          <w:highlight w:val="none"/>
        </w:rPr>
        <w:t>说明：供应商应当如实披露与本单位存在下列关联关系的单位名称：</w:t>
      </w:r>
    </w:p>
    <w:p>
      <w:pPr>
        <w:pStyle w:val="4"/>
        <w:ind w:firstLine="960" w:firstLineChars="400"/>
        <w:rPr>
          <w:rFonts w:hint="eastAsia" w:ascii="微软雅黑" w:hAnsi="微软雅黑" w:eastAsia="微软雅黑" w:cs="微软雅黑"/>
          <w:color w:val="auto"/>
          <w:kern w:val="2"/>
          <w:highlight w:val="none"/>
          <w:lang w:eastAsia="zh-CN"/>
        </w:rPr>
      </w:pPr>
      <w:r>
        <w:rPr>
          <w:rFonts w:hint="eastAsia" w:ascii="微软雅黑" w:hAnsi="微软雅黑" w:eastAsia="微软雅黑" w:cs="微软雅黑"/>
          <w:color w:val="auto"/>
          <w:kern w:val="2"/>
          <w:highlight w:val="none"/>
        </w:rPr>
        <w:t>（1）与供应商单位负责人为同一人的其他单位；</w:t>
      </w:r>
    </w:p>
    <w:p>
      <w:pPr>
        <w:pStyle w:val="4"/>
        <w:ind w:firstLine="480" w:firstLineChars="200"/>
        <w:rPr>
          <w:rFonts w:hint="eastAsia" w:ascii="微软雅黑" w:hAnsi="微软雅黑" w:eastAsia="微软雅黑" w:cs="微软雅黑"/>
          <w:color w:val="auto"/>
          <w:kern w:val="2"/>
          <w:highlight w:val="none"/>
        </w:rPr>
      </w:pPr>
      <w:r>
        <w:rPr>
          <w:rFonts w:hint="eastAsia" w:ascii="微软雅黑" w:hAnsi="微软雅黑" w:eastAsia="微软雅黑" w:cs="微软雅黑"/>
          <w:color w:val="auto"/>
          <w:kern w:val="2"/>
          <w:highlight w:val="none"/>
        </w:rPr>
        <w:t xml:space="preserve">    （2）与供应商存在直接控股、管理关系的其他单位。</w:t>
      </w:r>
    </w:p>
    <w:p>
      <w:pPr>
        <w:pStyle w:val="4"/>
        <w:ind w:firstLineChars="200"/>
        <w:rPr>
          <w:rFonts w:hint="eastAsia" w:ascii="微软雅黑" w:hAnsi="微软雅黑" w:eastAsia="微软雅黑" w:cs="微软雅黑"/>
          <w:color w:val="auto"/>
          <w:kern w:val="2"/>
          <w:sz w:val="21"/>
          <w:szCs w:val="21"/>
          <w:highlight w:val="none"/>
          <w:lang w:val="en-US" w:eastAsia="zh-CN" w:bidi="ar-SA"/>
        </w:rPr>
      </w:pPr>
    </w:p>
    <w:p>
      <w:pPr>
        <w:pStyle w:val="4"/>
        <w:ind w:left="0" w:leftChars="0" w:firstLine="0" w:firstLineChars="0"/>
        <w:rPr>
          <w:rFonts w:hint="eastAsia" w:ascii="微软雅黑" w:hAnsi="微软雅黑" w:eastAsia="微软雅黑" w:cs="微软雅黑"/>
          <w:color w:val="auto"/>
          <w:kern w:val="2"/>
          <w:sz w:val="21"/>
          <w:szCs w:val="21"/>
          <w:highlight w:val="none"/>
          <w:lang w:val="en-US" w:eastAsia="zh-CN" w:bidi="ar-SA"/>
        </w:rPr>
      </w:pPr>
    </w:p>
    <w:p>
      <w:pPr>
        <w:spacing w:before="0" w:beforeAutospacing="0" w:afterAutospacing="0" w:line="240" w:lineRule="atLeast"/>
        <w:ind w:left="1080" w:leftChars="257" w:hanging="540"/>
        <w:jc w:val="left"/>
        <w:outlineLvl w:val="9"/>
        <w:rPr>
          <w:rFonts w:hint="eastAsia" w:ascii="微软雅黑" w:hAnsi="微软雅黑" w:eastAsia="微软雅黑" w:cs="微软雅黑"/>
          <w:b/>
          <w:bCs/>
          <w:color w:val="auto"/>
          <w:kern w:val="2"/>
          <w:sz w:val="24"/>
          <w:szCs w:val="24"/>
          <w:highlight w:val="none"/>
          <w:lang w:val="en-US" w:eastAsia="zh-CN"/>
        </w:rPr>
      </w:pPr>
    </w:p>
    <w:p>
      <w:pPr>
        <w:pStyle w:val="7"/>
        <w:shd w:val="clea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olor w:val="auto"/>
          <w:spacing w:val="0"/>
          <w:w w:val="100"/>
          <w:sz w:val="24"/>
          <w:szCs w:val="24"/>
          <w:highlight w:val="none"/>
          <w:lang w:val="en-US" w:eastAsia="zh-CN"/>
        </w:rPr>
      </w:pPr>
      <w:bookmarkStart w:id="766" w:name="_Toc10352"/>
      <w:bookmarkEnd w:id="766"/>
      <w:bookmarkStart w:id="767" w:name="_Toc23897"/>
      <w:bookmarkEnd w:id="767"/>
      <w:bookmarkStart w:id="768" w:name="_Toc515647828"/>
      <w:bookmarkEnd w:id="768"/>
      <w:bookmarkStart w:id="769" w:name="_Toc25126"/>
      <w:bookmarkEnd w:id="769"/>
      <w:bookmarkStart w:id="770" w:name="_Toc8658"/>
      <w:bookmarkEnd w:id="770"/>
      <w:bookmarkStart w:id="771" w:name="_Toc31226"/>
      <w:bookmarkEnd w:id="771"/>
      <w:bookmarkStart w:id="772" w:name="_Toc20015"/>
      <w:bookmarkEnd w:id="772"/>
      <w:bookmarkStart w:id="773" w:name="_Toc15535"/>
      <w:bookmarkEnd w:id="773"/>
      <w:bookmarkStart w:id="774" w:name="_Toc27058"/>
      <w:bookmarkEnd w:id="774"/>
      <w:bookmarkStart w:id="775" w:name="_Toc7414"/>
      <w:bookmarkEnd w:id="775"/>
      <w:bookmarkStart w:id="776" w:name="_Toc29367"/>
      <w:bookmarkEnd w:id="776"/>
      <w:bookmarkStart w:id="777" w:name="_Toc7966"/>
      <w:bookmarkEnd w:id="777"/>
      <w:bookmarkStart w:id="778" w:name="_Toc6932"/>
      <w:bookmarkEnd w:id="778"/>
      <w:bookmarkStart w:id="779" w:name="_Toc17333"/>
      <w:bookmarkEnd w:id="779"/>
      <w:bookmarkStart w:id="780" w:name="_Toc17843"/>
      <w:bookmarkEnd w:id="780"/>
      <w:bookmarkStart w:id="781" w:name="_Toc8903"/>
      <w:bookmarkEnd w:id="781"/>
      <w:bookmarkStart w:id="782" w:name="_Toc12486"/>
      <w:bookmarkEnd w:id="782"/>
      <w:bookmarkStart w:id="783" w:name="_Toc20339"/>
      <w:r>
        <w:rPr>
          <w:rFonts w:hint="eastAsia" w:ascii="微软雅黑" w:hAnsi="微软雅黑" w:eastAsia="微软雅黑" w:cs="微软雅黑"/>
          <w:b/>
          <w:i w:val="0"/>
          <w:color w:val="auto"/>
          <w:spacing w:val="0"/>
          <w:w w:val="100"/>
          <w:sz w:val="24"/>
          <w:szCs w:val="24"/>
          <w:highlight w:val="none"/>
          <w:lang w:val="en-US" w:eastAsia="zh-CN"/>
        </w:rPr>
        <w:t>8、供应商可提供有利于磋商的其他资格证明材料</w:t>
      </w:r>
      <w:bookmarkEnd w:id="783"/>
    </w:p>
    <w:p>
      <w:pPr>
        <w:spacing w:beforeAutospacing="0" w:afterAutospacing="0" w:line="240" w:lineRule="atLeast"/>
        <w:jc w:val="left"/>
        <w:rPr>
          <w:rFonts w:hint="eastAsia" w:ascii="微软雅黑" w:hAnsi="微软雅黑" w:eastAsia="微软雅黑" w:cs="微软雅黑"/>
          <w:color w:val="auto"/>
          <w:sz w:val="24"/>
          <w:szCs w:val="24"/>
          <w:highlight w:val="none"/>
        </w:rPr>
      </w:pPr>
    </w:p>
    <w:p>
      <w:pPr>
        <w:pStyle w:val="4"/>
        <w:rPr>
          <w:rFonts w:hint="eastAsia" w:ascii="微软雅黑" w:hAnsi="微软雅黑" w:eastAsia="微软雅黑" w:cs="微软雅黑"/>
          <w:color w:val="auto"/>
          <w:highlight w:val="none"/>
        </w:rPr>
      </w:pPr>
    </w:p>
    <w:p>
      <w:pPr>
        <w:spacing w:beforeAutospacing="0" w:afterAutospacing="0" w:line="240" w:lineRule="atLeast"/>
        <w:ind w:left="1080" w:leftChars="257" w:hanging="540"/>
        <w:outlineLvl w:val="1"/>
        <w:rPr>
          <w:rFonts w:hint="eastAsia" w:ascii="微软雅黑" w:hAnsi="微软雅黑" w:eastAsia="微软雅黑" w:cs="微软雅黑"/>
          <w:b/>
          <w:color w:val="auto"/>
          <w:kern w:val="0"/>
          <w:sz w:val="24"/>
          <w:szCs w:val="20"/>
          <w:highlight w:val="none"/>
        </w:rPr>
      </w:pPr>
      <w:bookmarkStart w:id="784" w:name="_Toc16684"/>
      <w:bookmarkEnd w:id="784"/>
      <w:bookmarkStart w:id="785" w:name="_Toc2969"/>
      <w:bookmarkEnd w:id="785"/>
      <w:bookmarkStart w:id="786" w:name="_Toc5533"/>
      <w:bookmarkEnd w:id="786"/>
      <w:bookmarkStart w:id="787" w:name="_Toc25807"/>
      <w:bookmarkEnd w:id="787"/>
      <w:bookmarkStart w:id="788" w:name="_Toc19009"/>
      <w:bookmarkEnd w:id="788"/>
      <w:bookmarkStart w:id="789" w:name="_Toc31381"/>
      <w:bookmarkEnd w:id="789"/>
      <w:bookmarkStart w:id="790" w:name="_Toc23424"/>
      <w:bookmarkEnd w:id="790"/>
      <w:bookmarkStart w:id="791" w:name="_Toc17701"/>
      <w:bookmarkEnd w:id="791"/>
      <w:bookmarkStart w:id="792" w:name="_Toc16628"/>
      <w:bookmarkEnd w:id="792"/>
      <w:bookmarkStart w:id="793" w:name="_Toc10053"/>
      <w:r>
        <w:rPr>
          <w:rFonts w:hint="eastAsia" w:ascii="微软雅黑" w:hAnsi="微软雅黑" w:eastAsia="微软雅黑" w:cs="微软雅黑"/>
          <w:b/>
          <w:color w:val="auto"/>
          <w:kern w:val="0"/>
          <w:sz w:val="24"/>
          <w:szCs w:val="20"/>
          <w:highlight w:val="none"/>
          <w:lang w:val="en-US" w:eastAsia="zh-CN"/>
        </w:rPr>
        <w:t>9、</w:t>
      </w:r>
      <w:r>
        <w:rPr>
          <w:rFonts w:hint="eastAsia" w:ascii="微软雅黑" w:hAnsi="微软雅黑" w:eastAsia="微软雅黑" w:cs="微软雅黑"/>
          <w:b/>
          <w:color w:val="auto"/>
          <w:kern w:val="0"/>
          <w:sz w:val="24"/>
          <w:szCs w:val="20"/>
          <w:highlight w:val="none"/>
          <w:lang w:eastAsia="zh-CN"/>
        </w:rPr>
        <w:t>响应文件</w:t>
      </w:r>
      <w:r>
        <w:rPr>
          <w:rFonts w:hint="eastAsia" w:ascii="微软雅黑" w:hAnsi="微软雅黑" w:eastAsia="微软雅黑" w:cs="微软雅黑"/>
          <w:b/>
          <w:color w:val="auto"/>
          <w:kern w:val="0"/>
          <w:sz w:val="24"/>
          <w:szCs w:val="20"/>
          <w:highlight w:val="none"/>
        </w:rPr>
        <w:t>格式范本</w:t>
      </w:r>
      <w:bookmarkEnd w:id="793"/>
    </w:p>
    <w:tbl>
      <w:tblPr>
        <w:tblStyle w:val="22"/>
        <w:tblpPr w:leftFromText="180" w:rightFromText="180" w:vertAnchor="text" w:horzAnchor="page" w:tblpX="1380" w:tblpY="440"/>
        <w:tblOverlap w:val="never"/>
        <w:tblW w:w="95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5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335" w:hRule="atLeast"/>
        </w:trPr>
        <w:tc>
          <w:tcPr>
            <w:tcW w:w="9520" w:type="dxa"/>
            <w:shd w:val="clear" w:color="auto" w:fill="FCFEEA"/>
          </w:tcPr>
          <w:p>
            <w:pPr>
              <w:pStyle w:val="11"/>
              <w:jc w:val="cente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xml:space="preserve">                                                （正本</w:t>
            </w:r>
            <w:r>
              <w:rPr>
                <w:rFonts w:hint="eastAsia" w:ascii="微软雅黑" w:hAnsi="微软雅黑" w:eastAsia="微软雅黑" w:cs="微软雅黑"/>
                <w:b/>
                <w:bCs/>
                <w:color w:val="auto"/>
                <w:sz w:val="28"/>
                <w:szCs w:val="28"/>
                <w:highlight w:val="none"/>
                <w:lang w:val="en-US" w:eastAsia="zh-CN"/>
              </w:rPr>
              <w:t>和</w:t>
            </w:r>
            <w:r>
              <w:rPr>
                <w:rFonts w:hint="eastAsia" w:ascii="微软雅黑" w:hAnsi="微软雅黑" w:eastAsia="微软雅黑" w:cs="微软雅黑"/>
                <w:b/>
                <w:bCs/>
                <w:color w:val="auto"/>
                <w:sz w:val="28"/>
                <w:szCs w:val="28"/>
                <w:highlight w:val="none"/>
              </w:rPr>
              <w:t>副本）</w:t>
            </w:r>
          </w:p>
          <w:p>
            <w:pPr>
              <w:pStyle w:val="11"/>
              <w:ind w:firstLine="4202" w:firstLineChars="1500"/>
              <w:rPr>
                <w:rFonts w:hint="eastAsia" w:ascii="微软雅黑" w:hAnsi="微软雅黑" w:eastAsia="微软雅黑" w:cs="微软雅黑"/>
                <w:b/>
                <w:bCs/>
                <w:color w:val="auto"/>
                <w:sz w:val="28"/>
                <w:szCs w:val="28"/>
                <w:highlight w:val="none"/>
              </w:rPr>
            </w:pPr>
          </w:p>
          <w:p>
            <w:pPr>
              <w:pStyle w:val="11"/>
              <w:ind w:firstLine="4202" w:firstLineChars="1500"/>
              <w:rPr>
                <w:rFonts w:hint="eastAsia" w:ascii="微软雅黑" w:hAnsi="微软雅黑" w:eastAsia="微软雅黑" w:cs="微软雅黑"/>
                <w:b/>
                <w:bCs/>
                <w:color w:val="auto"/>
                <w:sz w:val="28"/>
                <w:szCs w:val="28"/>
                <w:highlight w:val="none"/>
              </w:rPr>
            </w:pPr>
          </w:p>
          <w:p>
            <w:pPr>
              <w:pStyle w:val="11"/>
              <w:rPr>
                <w:rFonts w:hint="eastAsia" w:ascii="微软雅黑" w:hAnsi="微软雅黑" w:eastAsia="微软雅黑" w:cs="微软雅黑"/>
                <w:b/>
                <w:bCs/>
                <w:color w:val="auto"/>
                <w:sz w:val="28"/>
                <w:szCs w:val="28"/>
                <w:highlight w:val="none"/>
              </w:rPr>
            </w:pPr>
          </w:p>
          <w:p>
            <w:pPr>
              <w:pStyle w:val="11"/>
              <w:ind w:firstLine="1891" w:firstLineChars="900"/>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1"/>
                <w:szCs w:val="21"/>
                <w:highlight w:val="none"/>
              </w:rPr>
              <w:t>＊＊＊＊＊＊＊＊＊＊＊＊＊＊＊＊＊＊＊＊＊＊＊＊</w:t>
            </w:r>
            <w:r>
              <w:rPr>
                <w:rFonts w:hint="eastAsia" w:ascii="微软雅黑" w:hAnsi="微软雅黑" w:eastAsia="微软雅黑" w:cs="微软雅黑"/>
                <w:b/>
                <w:bCs/>
                <w:color w:val="auto"/>
                <w:sz w:val="28"/>
                <w:szCs w:val="28"/>
                <w:highlight w:val="none"/>
              </w:rPr>
              <w:t xml:space="preserve">   项目</w:t>
            </w:r>
          </w:p>
          <w:p>
            <w:pPr>
              <w:pStyle w:val="11"/>
              <w:jc w:val="center"/>
              <w:rPr>
                <w:rFonts w:hint="eastAsia" w:ascii="微软雅黑" w:hAnsi="微软雅黑" w:eastAsia="微软雅黑" w:cs="微软雅黑"/>
                <w:b/>
                <w:bCs/>
                <w:color w:val="auto"/>
                <w:sz w:val="21"/>
                <w:szCs w:val="21"/>
                <w:highlight w:val="none"/>
              </w:rPr>
            </w:pPr>
          </w:p>
          <w:p>
            <w:pPr>
              <w:pStyle w:val="11"/>
              <w:ind w:firstLine="3152" w:firstLineChars="1500"/>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编号＊＊＊＊＊＊   包号＊＊＊＊＊</w:t>
            </w:r>
          </w:p>
          <w:p>
            <w:pPr>
              <w:pStyle w:val="11"/>
              <w:jc w:val="center"/>
              <w:rPr>
                <w:rFonts w:hint="eastAsia" w:ascii="微软雅黑" w:hAnsi="微软雅黑" w:eastAsia="微软雅黑" w:cs="微软雅黑"/>
                <w:b/>
                <w:bCs/>
                <w:color w:val="auto"/>
                <w:sz w:val="48"/>
                <w:highlight w:val="none"/>
              </w:rPr>
            </w:pPr>
          </w:p>
          <w:p>
            <w:pPr>
              <w:pStyle w:val="11"/>
              <w:jc w:val="center"/>
              <w:rPr>
                <w:rFonts w:hint="eastAsia" w:ascii="微软雅黑" w:hAnsi="微软雅黑" w:eastAsia="微软雅黑" w:cs="微软雅黑"/>
                <w:b/>
                <w:bCs/>
                <w:color w:val="auto"/>
                <w:sz w:val="48"/>
                <w:highlight w:val="none"/>
              </w:rPr>
            </w:pPr>
            <w:r>
              <w:rPr>
                <w:rFonts w:hint="eastAsia" w:ascii="微软雅黑" w:hAnsi="微软雅黑" w:eastAsia="微软雅黑" w:cs="微软雅黑"/>
                <w:b/>
                <w:bCs/>
                <w:color w:val="auto"/>
                <w:sz w:val="48"/>
                <w:highlight w:val="none"/>
                <w:lang w:eastAsia="zh-CN"/>
              </w:rPr>
              <w:t>响</w:t>
            </w:r>
            <w:r>
              <w:rPr>
                <w:rFonts w:hint="eastAsia" w:ascii="微软雅黑" w:hAnsi="微软雅黑" w:eastAsia="微软雅黑" w:cs="微软雅黑"/>
                <w:b/>
                <w:bCs/>
                <w:color w:val="auto"/>
                <w:sz w:val="48"/>
                <w:highlight w:val="none"/>
                <w:lang w:val="en-US" w:eastAsia="zh-CN"/>
              </w:rPr>
              <w:t xml:space="preserve"> </w:t>
            </w:r>
            <w:r>
              <w:rPr>
                <w:rFonts w:hint="eastAsia" w:ascii="微软雅黑" w:hAnsi="微软雅黑" w:eastAsia="微软雅黑" w:cs="微软雅黑"/>
                <w:b/>
                <w:bCs/>
                <w:color w:val="auto"/>
                <w:sz w:val="48"/>
                <w:highlight w:val="none"/>
                <w:lang w:eastAsia="zh-CN"/>
              </w:rPr>
              <w:t>应</w:t>
            </w:r>
            <w:r>
              <w:rPr>
                <w:rFonts w:hint="eastAsia" w:ascii="微软雅黑" w:hAnsi="微软雅黑" w:eastAsia="微软雅黑" w:cs="微软雅黑"/>
                <w:b/>
                <w:bCs/>
                <w:color w:val="auto"/>
                <w:sz w:val="48"/>
                <w:highlight w:val="none"/>
              </w:rPr>
              <w:t xml:space="preserve"> 文 件</w:t>
            </w:r>
          </w:p>
          <w:p>
            <w:pPr>
              <w:jc w:val="center"/>
              <w:rPr>
                <w:rFonts w:hint="eastAsia" w:ascii="微软雅黑" w:hAnsi="微软雅黑" w:eastAsia="微软雅黑" w:cs="微软雅黑"/>
                <w:b/>
                <w:color w:val="auto"/>
                <w:sz w:val="32"/>
                <w:highlight w:val="none"/>
              </w:rPr>
            </w:pPr>
          </w:p>
          <w:p>
            <w:pPr>
              <w:pStyle w:val="4"/>
              <w:rPr>
                <w:rFonts w:hint="eastAsia" w:ascii="微软雅黑" w:hAnsi="微软雅黑" w:eastAsia="微软雅黑" w:cs="微软雅黑"/>
                <w:b/>
                <w:color w:val="auto"/>
                <w:sz w:val="32"/>
                <w:highlight w:val="none"/>
              </w:rPr>
            </w:pPr>
          </w:p>
          <w:p>
            <w:pPr>
              <w:pStyle w:val="4"/>
              <w:rPr>
                <w:rFonts w:hint="eastAsia" w:ascii="微软雅黑" w:hAnsi="微软雅黑" w:eastAsia="微软雅黑" w:cs="微软雅黑"/>
                <w:b/>
                <w:color w:val="auto"/>
                <w:sz w:val="32"/>
                <w:highlight w:val="none"/>
              </w:rPr>
            </w:pPr>
          </w:p>
          <w:p>
            <w:pPr>
              <w:spacing w:beforeAutospacing="0" w:afterAutospacing="0" w:line="360" w:lineRule="auto"/>
              <w:ind w:left="176" w:leftChars="84" w:firstLine="840" w:firstLineChars="4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磋商</w:t>
            </w:r>
            <w:r>
              <w:rPr>
                <w:rFonts w:hint="eastAsia" w:ascii="微软雅黑" w:hAnsi="微软雅黑" w:eastAsia="微软雅黑" w:cs="微软雅黑"/>
                <w:color w:val="auto"/>
                <w:szCs w:val="21"/>
                <w:highlight w:val="none"/>
              </w:rPr>
              <w:t>单位：</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（公章）</w:t>
            </w:r>
          </w:p>
          <w:p>
            <w:pPr>
              <w:spacing w:beforeAutospacing="0" w:afterAutospacing="0" w:line="360" w:lineRule="auto"/>
              <w:ind w:left="176" w:leftChars="84"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项目名称：</w:t>
            </w:r>
            <w:r>
              <w:rPr>
                <w:rFonts w:hint="eastAsia" w:ascii="微软雅黑" w:hAnsi="微软雅黑" w:eastAsia="微软雅黑" w:cs="微软雅黑"/>
                <w:color w:val="auto"/>
                <w:szCs w:val="21"/>
                <w:highlight w:val="none"/>
                <w:u w:val="single"/>
              </w:rPr>
              <w:t xml:space="preserve">                                          </w:t>
            </w:r>
          </w:p>
          <w:p>
            <w:pPr>
              <w:spacing w:beforeAutospacing="0" w:afterAutospacing="0" w:line="360" w:lineRule="auto"/>
              <w:ind w:left="176" w:leftChars="84"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项目编号：</w:t>
            </w:r>
            <w:r>
              <w:rPr>
                <w:rFonts w:hint="eastAsia" w:ascii="微软雅黑" w:hAnsi="微软雅黑" w:eastAsia="微软雅黑" w:cs="微软雅黑"/>
                <w:color w:val="auto"/>
                <w:szCs w:val="21"/>
                <w:highlight w:val="none"/>
                <w:u w:val="single"/>
              </w:rPr>
              <w:t xml:space="preserve">                                        </w:t>
            </w:r>
          </w:p>
          <w:p>
            <w:pPr>
              <w:spacing w:beforeAutospacing="0" w:afterAutospacing="0" w:line="360" w:lineRule="auto"/>
              <w:ind w:left="176" w:leftChars="84"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联 系 人：</w:t>
            </w:r>
            <w:r>
              <w:rPr>
                <w:rFonts w:hint="eastAsia" w:ascii="微软雅黑" w:hAnsi="微软雅黑" w:eastAsia="微软雅黑" w:cs="微软雅黑"/>
                <w:color w:val="auto"/>
                <w:szCs w:val="21"/>
                <w:highlight w:val="none"/>
                <w:u w:val="single"/>
              </w:rPr>
              <w:t xml:space="preserve">                                        </w:t>
            </w:r>
          </w:p>
          <w:p>
            <w:pPr>
              <w:spacing w:beforeAutospacing="0" w:afterAutospacing="0" w:line="360" w:lineRule="auto"/>
              <w:ind w:left="176" w:leftChars="84" w:firstLine="840" w:firstLineChars="4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电    话：</w:t>
            </w:r>
            <w:r>
              <w:rPr>
                <w:rFonts w:hint="eastAsia" w:ascii="微软雅黑" w:hAnsi="微软雅黑" w:eastAsia="微软雅黑" w:cs="微软雅黑"/>
                <w:color w:val="auto"/>
                <w:szCs w:val="21"/>
                <w:highlight w:val="none"/>
                <w:u w:val="single"/>
              </w:rPr>
              <w:t xml:space="preserve">                                        </w:t>
            </w:r>
          </w:p>
          <w:p>
            <w:pPr>
              <w:spacing w:beforeAutospacing="0" w:afterAutospacing="0" w:line="360" w:lineRule="auto"/>
              <w:ind w:left="176" w:leftChars="84"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 xml:space="preserve">地    址  ： </w:t>
            </w:r>
            <w:r>
              <w:rPr>
                <w:rFonts w:hint="eastAsia" w:ascii="微软雅黑" w:hAnsi="微软雅黑" w:eastAsia="微软雅黑" w:cs="微软雅黑"/>
                <w:color w:val="auto"/>
                <w:szCs w:val="21"/>
                <w:highlight w:val="none"/>
                <w:u w:val="single"/>
              </w:rPr>
              <w:t xml:space="preserve">                                    </w:t>
            </w:r>
          </w:p>
          <w:p>
            <w:pPr>
              <w:spacing w:beforeAutospacing="0" w:afterAutospacing="0" w:line="360" w:lineRule="auto"/>
              <w:ind w:left="176" w:leftChars="84" w:firstLine="960" w:firstLineChars="400"/>
              <w:rPr>
                <w:rFonts w:hint="eastAsia" w:ascii="微软雅黑" w:hAnsi="微软雅黑" w:eastAsia="微软雅黑" w:cs="微软雅黑"/>
                <w:color w:val="auto"/>
                <w:sz w:val="24"/>
                <w:highlight w:val="none"/>
              </w:rPr>
            </w:pPr>
          </w:p>
          <w:p>
            <w:pPr>
              <w:jc w:val="center"/>
              <w:rPr>
                <w:rFonts w:hint="eastAsia" w:ascii="微软雅黑" w:hAnsi="微软雅黑" w:eastAsia="微软雅黑" w:cs="微软雅黑"/>
                <w:b/>
                <w:bCs/>
                <w:color w:val="auto"/>
                <w:highlight w:val="none"/>
              </w:rPr>
            </w:pPr>
          </w:p>
          <w:p>
            <w:pPr>
              <w:jc w:val="center"/>
              <w:rPr>
                <w:rFonts w:hint="eastAsia" w:ascii="微软雅黑" w:hAnsi="微软雅黑" w:eastAsia="微软雅黑" w:cs="微软雅黑"/>
                <w:b/>
                <w:bCs/>
                <w:color w:val="auto"/>
                <w:highlight w:val="none"/>
              </w:rPr>
            </w:pPr>
          </w:p>
          <w:p>
            <w:pPr>
              <w:jc w:val="cente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注：   在202</w:t>
            </w:r>
            <w:r>
              <w:rPr>
                <w:rFonts w:hint="eastAsia" w:ascii="微软雅黑" w:hAnsi="微软雅黑" w:eastAsia="微软雅黑" w:cs="微软雅黑"/>
                <w:b/>
                <w:bCs/>
                <w:color w:val="auto"/>
                <w:highlight w:val="none"/>
                <w:lang w:val="en-US" w:eastAsia="zh-CN"/>
              </w:rPr>
              <w:t>3</w:t>
            </w:r>
            <w:r>
              <w:rPr>
                <w:rFonts w:hint="eastAsia" w:ascii="微软雅黑" w:hAnsi="微软雅黑" w:eastAsia="微软雅黑" w:cs="微软雅黑"/>
                <w:b/>
                <w:bCs/>
                <w:color w:val="auto"/>
                <w:highlight w:val="none"/>
              </w:rPr>
              <w:t>年</w:t>
            </w:r>
            <w:r>
              <w:rPr>
                <w:rFonts w:hint="eastAsia" w:ascii="微软雅黑" w:hAnsi="微软雅黑" w:eastAsia="微软雅黑" w:cs="微软雅黑"/>
                <w:b/>
                <w:bCs/>
                <w:color w:val="auto"/>
                <w:sz w:val="21"/>
                <w:szCs w:val="21"/>
                <w:highlight w:val="none"/>
              </w:rPr>
              <w:t xml:space="preserve">＊ </w:t>
            </w:r>
            <w:r>
              <w:rPr>
                <w:rFonts w:hint="eastAsia" w:ascii="微软雅黑" w:hAnsi="微软雅黑" w:eastAsia="微软雅黑" w:cs="微软雅黑"/>
                <w:b/>
                <w:bCs/>
                <w:color w:val="auto"/>
                <w:highlight w:val="none"/>
              </w:rPr>
              <w:t>月</w:t>
            </w:r>
            <w:r>
              <w:rPr>
                <w:rFonts w:hint="eastAsia" w:ascii="微软雅黑" w:hAnsi="微软雅黑" w:eastAsia="微软雅黑" w:cs="微软雅黑"/>
                <w:b/>
                <w:bCs/>
                <w:color w:val="auto"/>
                <w:sz w:val="21"/>
                <w:szCs w:val="21"/>
                <w:highlight w:val="none"/>
              </w:rPr>
              <w:t xml:space="preserve">＊ </w:t>
            </w:r>
            <w:r>
              <w:rPr>
                <w:rFonts w:hint="eastAsia" w:ascii="微软雅黑" w:hAnsi="微软雅黑" w:eastAsia="微软雅黑" w:cs="微软雅黑"/>
                <w:b/>
                <w:bCs/>
                <w:color w:val="auto"/>
                <w:highlight w:val="none"/>
              </w:rPr>
              <w:t xml:space="preserve">日 </w:t>
            </w:r>
            <w:r>
              <w:rPr>
                <w:rFonts w:hint="eastAsia" w:ascii="微软雅黑" w:hAnsi="微软雅黑" w:eastAsia="微软雅黑" w:cs="微软雅黑"/>
                <w:b/>
                <w:bCs/>
                <w:color w:val="auto"/>
                <w:sz w:val="21"/>
                <w:szCs w:val="21"/>
                <w:highlight w:val="none"/>
              </w:rPr>
              <w:t xml:space="preserve">＊ </w:t>
            </w:r>
            <w:r>
              <w:rPr>
                <w:rFonts w:hint="eastAsia" w:ascii="微软雅黑" w:hAnsi="微软雅黑" w:eastAsia="微软雅黑" w:cs="微软雅黑"/>
                <w:b/>
                <w:bCs/>
                <w:color w:val="auto"/>
                <w:highlight w:val="none"/>
              </w:rPr>
              <w:t>午</w:t>
            </w:r>
            <w:r>
              <w:rPr>
                <w:rFonts w:hint="eastAsia" w:ascii="微软雅黑" w:hAnsi="微软雅黑" w:eastAsia="微软雅黑" w:cs="微软雅黑"/>
                <w:b/>
                <w:bCs/>
                <w:color w:val="auto"/>
                <w:sz w:val="21"/>
                <w:szCs w:val="21"/>
                <w:highlight w:val="none"/>
              </w:rPr>
              <w:t xml:space="preserve">＊ </w:t>
            </w:r>
            <w:r>
              <w:rPr>
                <w:rFonts w:hint="eastAsia" w:ascii="微软雅黑" w:hAnsi="微软雅黑" w:eastAsia="微软雅黑" w:cs="微软雅黑"/>
                <w:b/>
                <w:bCs/>
                <w:color w:val="auto"/>
                <w:highlight w:val="none"/>
                <w:lang w:eastAsia="zh-CN"/>
              </w:rPr>
              <w:t>点</w:t>
            </w:r>
            <w:r>
              <w:rPr>
                <w:rFonts w:hint="eastAsia" w:ascii="微软雅黑" w:hAnsi="微软雅黑" w:eastAsia="微软雅黑" w:cs="微软雅黑"/>
                <w:b/>
                <w:bCs/>
                <w:color w:val="auto"/>
                <w:sz w:val="21"/>
                <w:szCs w:val="21"/>
                <w:highlight w:val="none"/>
              </w:rPr>
              <w:t xml:space="preserve">＊ </w:t>
            </w:r>
            <w:r>
              <w:rPr>
                <w:rFonts w:hint="eastAsia" w:ascii="微软雅黑" w:hAnsi="微软雅黑" w:eastAsia="微软雅黑" w:cs="微软雅黑"/>
                <w:b/>
                <w:bCs/>
                <w:color w:val="auto"/>
                <w:highlight w:val="none"/>
                <w:lang w:eastAsia="zh-CN"/>
              </w:rPr>
              <w:t>分</w:t>
            </w:r>
            <w:r>
              <w:rPr>
                <w:rFonts w:hint="eastAsia" w:ascii="微软雅黑" w:hAnsi="微软雅黑" w:eastAsia="微软雅黑" w:cs="微软雅黑"/>
                <w:b/>
                <w:bCs/>
                <w:color w:val="auto"/>
                <w:highlight w:val="none"/>
              </w:rPr>
              <w:t>之前不得启封</w:t>
            </w:r>
          </w:p>
          <w:p>
            <w:pPr>
              <w:jc w:val="center"/>
              <w:rPr>
                <w:rFonts w:hint="eastAsia" w:ascii="微软雅黑" w:hAnsi="微软雅黑" w:eastAsia="微软雅黑" w:cs="微软雅黑"/>
                <w:b/>
                <w:bCs/>
                <w:color w:val="auto"/>
                <w:highlight w:val="none"/>
              </w:rPr>
            </w:pPr>
          </w:p>
        </w:tc>
      </w:tr>
    </w:tbl>
    <w:p>
      <w:pPr>
        <w:spacing w:beforeAutospacing="0" w:afterAutospacing="0" w:line="240" w:lineRule="atLeast"/>
        <w:rPr>
          <w:rFonts w:hint="eastAsia" w:ascii="微软雅黑" w:hAnsi="微软雅黑" w:eastAsia="微软雅黑" w:cs="微软雅黑"/>
          <w:b/>
          <w:color w:val="auto"/>
          <w:sz w:val="30"/>
          <w:szCs w:val="30"/>
          <w:highlight w:val="none"/>
        </w:rPr>
      </w:pPr>
      <w:r>
        <w:rPr>
          <w:rFonts w:hint="eastAsia" w:ascii="微软雅黑" w:hAnsi="微软雅黑" w:eastAsia="微软雅黑" w:cs="微软雅黑"/>
          <w:color w:val="auto"/>
          <w:sz w:val="24"/>
          <w:highlight w:val="none"/>
        </w:rPr>
        <w:br w:type="page"/>
      </w:r>
    </w:p>
    <w:p>
      <w:pPr>
        <w:spacing w:beforeAutospacing="0" w:afterAutospacing="0" w:line="240" w:lineRule="atLeast"/>
        <w:ind w:left="1080" w:leftChars="257" w:hanging="540"/>
        <w:outlineLvl w:val="1"/>
        <w:rPr>
          <w:rFonts w:hint="eastAsia" w:ascii="微软雅黑" w:hAnsi="微软雅黑" w:eastAsia="微软雅黑" w:cs="微软雅黑"/>
          <w:b/>
          <w:color w:val="auto"/>
          <w:kern w:val="0"/>
          <w:sz w:val="24"/>
          <w:szCs w:val="20"/>
          <w:highlight w:val="none"/>
          <w:lang w:val="en-US" w:eastAsia="zh-CN"/>
        </w:rPr>
      </w:pPr>
      <w:bookmarkStart w:id="794" w:name="_Toc27261"/>
      <w:r>
        <w:rPr>
          <w:rFonts w:hint="eastAsia" w:ascii="微软雅黑" w:hAnsi="微软雅黑" w:eastAsia="微软雅黑" w:cs="微软雅黑"/>
          <w:b/>
          <w:color w:val="auto"/>
          <w:kern w:val="0"/>
          <w:sz w:val="24"/>
          <w:szCs w:val="20"/>
          <w:highlight w:val="none"/>
          <w:lang w:val="en-US" w:eastAsia="zh-CN"/>
        </w:rPr>
        <w:t>10、二轮报价表（此表用于磋商现场）</w:t>
      </w:r>
      <w:bookmarkEnd w:id="794"/>
    </w:p>
    <w:tbl>
      <w:tblPr>
        <w:tblStyle w:val="22"/>
        <w:tblW w:w="10010" w:type="dxa"/>
        <w:tblInd w:w="-585" w:type="dxa"/>
        <w:tblLayout w:type="fixed"/>
        <w:tblCellMar>
          <w:top w:w="0" w:type="dxa"/>
          <w:left w:w="108" w:type="dxa"/>
          <w:bottom w:w="0" w:type="dxa"/>
          <w:right w:w="108" w:type="dxa"/>
        </w:tblCellMar>
      </w:tblPr>
      <w:tblGrid>
        <w:gridCol w:w="656"/>
        <w:gridCol w:w="1114"/>
        <w:gridCol w:w="5240"/>
        <w:gridCol w:w="750"/>
        <w:gridCol w:w="710"/>
        <w:gridCol w:w="660"/>
        <w:gridCol w:w="880"/>
      </w:tblGrid>
      <w:tr>
        <w:tblPrEx>
          <w:tblCellMar>
            <w:top w:w="0" w:type="dxa"/>
            <w:left w:w="108" w:type="dxa"/>
            <w:bottom w:w="0" w:type="dxa"/>
            <w:right w:w="108" w:type="dxa"/>
          </w:tblCellMar>
        </w:tblPrEx>
        <w:trPr>
          <w:trHeight w:val="288" w:hRule="atLeast"/>
        </w:trPr>
        <w:tc>
          <w:tcPr>
            <w:tcW w:w="1001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b/>
                <w:bCs/>
                <w:i w:val="0"/>
                <w:iCs w:val="0"/>
                <w:color w:val="auto"/>
                <w:kern w:val="0"/>
                <w:sz w:val="32"/>
                <w:szCs w:val="32"/>
                <w:highlight w:val="none"/>
                <w:u w:val="none"/>
                <w:lang w:val="en-US" w:eastAsia="zh-CN" w:bidi="ar"/>
              </w:rPr>
              <w:t>第二轮报价</w:t>
            </w:r>
          </w:p>
        </w:tc>
      </w:tr>
      <w:tr>
        <w:tblPrEx>
          <w:tblCellMar>
            <w:top w:w="0" w:type="dxa"/>
            <w:left w:w="108" w:type="dxa"/>
            <w:bottom w:w="0" w:type="dxa"/>
            <w:right w:w="108" w:type="dxa"/>
          </w:tblCellMar>
        </w:tblPrEx>
        <w:trPr>
          <w:trHeight w:val="571" w:hRule="atLeast"/>
        </w:trPr>
        <w:tc>
          <w:tcPr>
            <w:tcW w:w="1001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i w:val="0"/>
                <w:iCs w:val="0"/>
                <w:color w:val="auto"/>
                <w:kern w:val="0"/>
                <w:sz w:val="24"/>
                <w:szCs w:val="24"/>
                <w:highlight w:val="none"/>
                <w:u w:val="none"/>
                <w:lang w:val="en-US" w:eastAsia="zh-CN" w:bidi="ar"/>
              </w:rPr>
              <w:t>供应商名称（盖章）：</w:t>
            </w:r>
          </w:p>
        </w:tc>
      </w:tr>
      <w:tr>
        <w:tblPrEx>
          <w:tblCellMar>
            <w:top w:w="0" w:type="dxa"/>
            <w:left w:w="108" w:type="dxa"/>
            <w:bottom w:w="0" w:type="dxa"/>
            <w:right w:w="108" w:type="dxa"/>
          </w:tblCellMar>
        </w:tblPrEx>
        <w:trPr>
          <w:trHeight w:val="288" w:hRule="atLeast"/>
        </w:trPr>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序号</w:t>
            </w:r>
          </w:p>
        </w:tc>
        <w:tc>
          <w:tcPr>
            <w:tcW w:w="111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品名</w:t>
            </w:r>
          </w:p>
        </w:tc>
        <w:tc>
          <w:tcPr>
            <w:tcW w:w="52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规格</w:t>
            </w:r>
          </w:p>
        </w:tc>
        <w:tc>
          <w:tcPr>
            <w:tcW w:w="7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单位</w:t>
            </w:r>
          </w:p>
        </w:tc>
        <w:tc>
          <w:tcPr>
            <w:tcW w:w="7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单价</w:t>
            </w:r>
          </w:p>
        </w:tc>
        <w:tc>
          <w:tcPr>
            <w:tcW w:w="6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rPr>
              <w:t>合计</w:t>
            </w: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备注</w:t>
            </w:r>
          </w:p>
        </w:tc>
      </w:tr>
      <w:tr>
        <w:tblPrEx>
          <w:tblCellMar>
            <w:top w:w="0" w:type="dxa"/>
            <w:left w:w="108" w:type="dxa"/>
            <w:bottom w:w="0" w:type="dxa"/>
            <w:right w:w="108" w:type="dxa"/>
          </w:tblCellMar>
        </w:tblPrEx>
        <w:trPr>
          <w:trHeight w:val="288" w:hRule="atLeast"/>
        </w:trPr>
        <w:tc>
          <w:tcPr>
            <w:tcW w:w="65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1</w:t>
            </w:r>
          </w:p>
        </w:tc>
        <w:tc>
          <w:tcPr>
            <w:tcW w:w="111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复印机-硒鼓</w:t>
            </w:r>
          </w:p>
        </w:tc>
        <w:tc>
          <w:tcPr>
            <w:tcW w:w="524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京瓷MK-4105</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京瓷DK-475</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京瓷DK-428</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2</w:t>
            </w:r>
          </w:p>
        </w:tc>
        <w:tc>
          <w:tcPr>
            <w:tcW w:w="111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复印机-粉盒</w:t>
            </w: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京瓷TK-4108</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xml:space="preserve">京瓷TK-4138 </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京瓷TK-7108</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京瓷TK-7128</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3</w:t>
            </w:r>
          </w:p>
        </w:tc>
        <w:tc>
          <w:tcPr>
            <w:tcW w:w="111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打印机-硒鼓</w:t>
            </w: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HPQ2612A硒鼓</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HPCC388A硒鼓</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HP280A硒鼓</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 xml:space="preserve">HP228硒鼓 </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HPC4129X硒鼓</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HP305A硒鼓（彩）</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HP305A硒鼓（黑）</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HP201A硒鼓（彩）</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HP201A硒鼓（黑）</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HP1215硒鼓（彩）</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HP1215硒鼓（黑）</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HP1005C/109A硒鼓</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三星A4机型硒鼓/2161/2071/2010/2570/3401</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联想A4机型硒鼓2655/7650/2405/7655/7600</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兄弟A4机型硒鼓/2260/7180/2240/7057</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奔图400硒鼓</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立思辰2630硒鼓</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4</w:t>
            </w:r>
          </w:p>
        </w:tc>
        <w:tc>
          <w:tcPr>
            <w:tcW w:w="111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打印机-粉盒</w:t>
            </w: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HP 1108粉盒</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联想A4机型粉盒/2655/7650/2405/7655/7600</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兄弟A4机型粉盒/2260/7180/2240/7057</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京瓷TK-1003粉盒</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奔图400粉盒</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奔图200粉盒</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佳能NPG-67粉盒</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立思辰2630粉盒 彩色</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立思辰2630粉盒 黑色</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5</w:t>
            </w:r>
          </w:p>
        </w:tc>
        <w:tc>
          <w:tcPr>
            <w:tcW w:w="111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打印机-碳粉</w:t>
            </w: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 A4机型碳粉/1005/1010/1008/1536/1020/1007</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瓶</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 A3机型碳粉/5200/701/706/</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瓶</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三星A4机型碳粉/1911/2161/2010/2510/4725</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瓶</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联想A4机型碳粉/2200/2400/2405/2655/7650</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瓶</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兄弟A4机型碳粉/2260/7180/2240/7057/2140/7030</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瓶</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6</w:t>
            </w:r>
          </w:p>
        </w:tc>
        <w:tc>
          <w:tcPr>
            <w:tcW w:w="111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打印机-其它</w:t>
            </w: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 A4机型定影膜/1020/1008/1606/2612/388/278</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 A4机型下棍/1020/1008/1606/2612/388/278</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A4机型打印机主板</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块</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A4相片纸</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包</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斑马888T条码打印机碳带</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7</w:t>
            </w:r>
          </w:p>
        </w:tc>
        <w:tc>
          <w:tcPr>
            <w:tcW w:w="111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墨盒</w:t>
            </w: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HP46墨盒</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HP46墨盒</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HP803墨盒</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HP802墨盒</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HP852墨盒</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HP855墨盒</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佳能815墨盒</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佳能816墨盒</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爱普生T251墨盒</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EPSON270墨盒</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EPSONL301墨水</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5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8</w:t>
            </w:r>
          </w:p>
        </w:tc>
        <w:tc>
          <w:tcPr>
            <w:tcW w:w="111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色带</w:t>
            </w: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EPSON1600K3色带，含色带架</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OKI5560色带，含色带架</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得实3240色带，含色带架</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9</w:t>
            </w:r>
          </w:p>
        </w:tc>
        <w:tc>
          <w:tcPr>
            <w:tcW w:w="111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计算机配件</w:t>
            </w:r>
          </w:p>
        </w:tc>
        <w:tc>
          <w:tcPr>
            <w:tcW w:w="524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3米USB2.0打印线</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 xml:space="preserve">3米HDMI线 </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VGA转HDMI线</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3米电源线</w:t>
            </w:r>
          </w:p>
        </w:tc>
        <w:tc>
          <w:tcPr>
            <w:tcW w:w="7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DVDR光盘</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张</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DVDRW光盘</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张</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32G优盘，USB3.0</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128G优盘，USB3.0</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1T移动硬盘，USB3.0</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2T移动硬盘，USB3.0</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USB键盘，品牌机专用</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USB鼠标，品牌机专用</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无线键盘，品牌机专用</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无线鼠标，品牌机专用</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鼠标垫</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条码扫描枪</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双轨磁卡阅读器</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2口打印切换器</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2口KVM转换器</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USB HUB</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CPU风扇，品牌机专用</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8G内存条，品牌机专用</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1T机械硬盘，品牌机专用</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块</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240G SSD硬盘，品牌机专用</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块</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480G SSD硬盘，品牌机专用</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块</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主板，品牌机专用</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块</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2G独立显卡</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块</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台式电脑电源，品牌机专用</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音箱,品牌机专用</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对</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显示器主板</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块</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10</w:t>
            </w:r>
          </w:p>
        </w:tc>
        <w:tc>
          <w:tcPr>
            <w:tcW w:w="111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网络配件</w:t>
            </w: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5口百兆交换机</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8口百兆交换机</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8口千兆交换机</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24口千兆交换机</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路由器，10M-100M、双天线</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网卡，USB</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块</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网线，超五类网线，无氧铜，305米/箱</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箱</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网线，六类网线，无氧铜，305米/箱</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箱</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11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2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水晶头，六类，100个/盒</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盒</w:t>
            </w:r>
          </w:p>
        </w:tc>
        <w:tc>
          <w:tcPr>
            <w:tcW w:w="7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8470" w:type="dxa"/>
            <w:gridSpan w:val="5"/>
            <w:tcBorders>
              <w:top w:val="nil"/>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color w:val="auto"/>
                <w:kern w:val="0"/>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rPr>
              <w:t>合计</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288" w:hRule="atLeast"/>
        </w:trPr>
        <w:tc>
          <w:tcPr>
            <w:tcW w:w="1001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 xml:space="preserve">最终报价：小写：                     </w:t>
            </w:r>
          </w:p>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p>
          <w:p>
            <w:pPr>
              <w:widowControl/>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i w:val="0"/>
                <w:iCs w:val="0"/>
                <w:color w:val="auto"/>
                <w:kern w:val="0"/>
                <w:sz w:val="24"/>
                <w:szCs w:val="24"/>
                <w:highlight w:val="none"/>
                <w:u w:val="none"/>
                <w:lang w:val="en-US" w:eastAsia="zh-CN" w:bidi="ar"/>
              </w:rPr>
              <w:t xml:space="preserve">          大写：</w:t>
            </w:r>
          </w:p>
        </w:tc>
      </w:tr>
      <w:tr>
        <w:tblPrEx>
          <w:tblCellMar>
            <w:top w:w="0" w:type="dxa"/>
            <w:left w:w="108" w:type="dxa"/>
            <w:bottom w:w="0" w:type="dxa"/>
            <w:right w:w="108" w:type="dxa"/>
          </w:tblCellMar>
        </w:tblPrEx>
        <w:trPr>
          <w:trHeight w:val="4211" w:hRule="atLeast"/>
        </w:trPr>
        <w:tc>
          <w:tcPr>
            <w:tcW w:w="10010"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承诺：</w:t>
            </w:r>
          </w:p>
        </w:tc>
      </w:tr>
      <w:tr>
        <w:tblPrEx>
          <w:tblCellMar>
            <w:top w:w="0" w:type="dxa"/>
            <w:left w:w="108" w:type="dxa"/>
            <w:bottom w:w="0" w:type="dxa"/>
            <w:right w:w="108" w:type="dxa"/>
          </w:tblCellMar>
        </w:tblPrEx>
        <w:trPr>
          <w:trHeight w:val="871" w:hRule="atLeast"/>
        </w:trPr>
        <w:tc>
          <w:tcPr>
            <w:tcW w:w="10010"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承诺人：                                                       年   月   日</w:t>
            </w:r>
          </w:p>
        </w:tc>
      </w:tr>
    </w:tbl>
    <w:p>
      <w:pPr>
        <w:spacing w:beforeAutospacing="0" w:afterAutospacing="0" w:line="240" w:lineRule="atLeast"/>
        <w:ind w:left="1080" w:leftChars="257" w:hanging="540"/>
        <w:outlineLvl w:val="1"/>
        <w:rPr>
          <w:rFonts w:hint="eastAsia" w:ascii="微软雅黑" w:hAnsi="微软雅黑" w:eastAsia="微软雅黑" w:cs="微软雅黑"/>
          <w:b/>
          <w:color w:val="auto"/>
          <w:kern w:val="0"/>
          <w:sz w:val="24"/>
          <w:szCs w:val="20"/>
          <w:highlight w:val="none"/>
          <w:lang w:val="en-US" w:eastAsia="zh-CN"/>
        </w:rPr>
      </w:pPr>
    </w:p>
    <w:p>
      <w:pPr>
        <w:spacing w:beforeAutospacing="0" w:afterAutospacing="0" w:line="240" w:lineRule="atLeast"/>
        <w:jc w:val="both"/>
        <w:rPr>
          <w:rFonts w:hint="eastAsia" w:ascii="微软雅黑" w:hAnsi="微软雅黑" w:eastAsia="微软雅黑" w:cs="微软雅黑"/>
          <w:b/>
          <w:color w:val="auto"/>
          <w:sz w:val="24"/>
          <w:szCs w:val="24"/>
          <w:highlight w:val="none"/>
          <w:lang w:val="en-US" w:eastAsia="zh-CN"/>
        </w:rPr>
      </w:pPr>
    </w:p>
    <w:p>
      <w:pPr>
        <w:spacing w:beforeAutospacing="0" w:afterAutospacing="0" w:line="240" w:lineRule="atLeast"/>
        <w:jc w:val="both"/>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
          <w:color w:val="auto"/>
          <w:sz w:val="24"/>
          <w:szCs w:val="24"/>
          <w:highlight w:val="none"/>
          <w:lang w:val="en-US" w:eastAsia="zh-CN"/>
        </w:rPr>
        <w:t>注：此表只用于磋商现场，请各供应商根据以上内容提前考虑，在二轮报价时上传至政采云平台。</w:t>
      </w:r>
    </w:p>
    <w:p>
      <w:pPr>
        <w:spacing w:beforeAutospacing="0" w:afterAutospacing="0" w:line="240" w:lineRule="atLeast"/>
        <w:jc w:val="center"/>
        <w:rPr>
          <w:rFonts w:hint="eastAsia" w:ascii="微软雅黑" w:hAnsi="微软雅黑" w:eastAsia="微软雅黑" w:cs="微软雅黑"/>
          <w:b/>
          <w:color w:val="auto"/>
          <w:sz w:val="44"/>
          <w:szCs w:val="44"/>
          <w:highlight w:val="none"/>
        </w:rPr>
      </w:pPr>
    </w:p>
    <w:p>
      <w:pPr>
        <w:pStyle w:val="2"/>
        <w:rPr>
          <w:rFonts w:hint="eastAsia" w:ascii="微软雅黑" w:hAnsi="微软雅黑" w:eastAsia="微软雅黑" w:cs="微软雅黑"/>
          <w:b/>
          <w:color w:val="auto"/>
          <w:sz w:val="44"/>
          <w:szCs w:val="44"/>
          <w:highlight w:val="none"/>
        </w:rPr>
      </w:pPr>
    </w:p>
    <w:p>
      <w:pPr>
        <w:pStyle w:val="4"/>
        <w:rPr>
          <w:rFonts w:hint="eastAsia" w:ascii="微软雅黑" w:hAnsi="微软雅黑" w:eastAsia="微软雅黑" w:cs="微软雅黑"/>
          <w:b/>
          <w:color w:val="auto"/>
          <w:sz w:val="44"/>
          <w:szCs w:val="44"/>
          <w:highlight w:val="none"/>
        </w:rPr>
      </w:pPr>
    </w:p>
    <w:p>
      <w:pPr>
        <w:pStyle w:val="5"/>
        <w:rPr>
          <w:rFonts w:hint="eastAsia" w:ascii="微软雅黑" w:hAnsi="微软雅黑" w:eastAsia="微软雅黑" w:cs="微软雅黑"/>
          <w:b/>
          <w:color w:val="auto"/>
          <w:sz w:val="44"/>
          <w:szCs w:val="44"/>
          <w:highlight w:val="none"/>
        </w:rPr>
      </w:pPr>
    </w:p>
    <w:p>
      <w:pPr>
        <w:rPr>
          <w:rFonts w:hint="eastAsia" w:ascii="微软雅黑" w:hAnsi="微软雅黑" w:eastAsia="微软雅黑" w:cs="微软雅黑"/>
          <w:b/>
          <w:color w:val="auto"/>
          <w:sz w:val="44"/>
          <w:szCs w:val="44"/>
          <w:highlight w:val="none"/>
        </w:rPr>
      </w:pPr>
    </w:p>
    <w:p>
      <w:pPr>
        <w:pStyle w:val="2"/>
        <w:rPr>
          <w:rFonts w:hint="eastAsia"/>
          <w:color w:val="auto"/>
          <w:highlight w:val="none"/>
        </w:rPr>
      </w:pPr>
    </w:p>
    <w:p>
      <w:pPr>
        <w:pStyle w:val="2"/>
        <w:rPr>
          <w:rFonts w:hint="eastAsia" w:ascii="微软雅黑" w:hAnsi="微软雅黑" w:eastAsia="微软雅黑" w:cs="微软雅黑"/>
          <w:color w:val="auto"/>
          <w:highlight w:val="none"/>
          <w:lang w:eastAsia="zh-CN"/>
        </w:rPr>
      </w:pPr>
    </w:p>
    <w:p>
      <w:pPr>
        <w:pStyle w:val="4"/>
        <w:rPr>
          <w:rFonts w:hint="eastAsia" w:ascii="微软雅黑" w:hAnsi="微软雅黑" w:eastAsia="微软雅黑" w:cs="微软雅黑"/>
          <w:color w:val="auto"/>
          <w:highlight w:val="none"/>
          <w:lang w:eastAsia="zh-CN"/>
        </w:rPr>
      </w:pPr>
    </w:p>
    <w:p>
      <w:pPr>
        <w:pStyle w:val="5"/>
        <w:rPr>
          <w:rFonts w:hint="eastAsia" w:ascii="微软雅黑" w:hAnsi="微软雅黑" w:eastAsia="微软雅黑" w:cs="微软雅黑"/>
          <w:color w:val="auto"/>
          <w:highlight w:val="none"/>
          <w:lang w:eastAsia="zh-CN"/>
        </w:rPr>
      </w:pPr>
    </w:p>
    <w:p>
      <w:pPr>
        <w:rPr>
          <w:rFonts w:hint="eastAsia" w:ascii="微软雅黑" w:hAnsi="微软雅黑" w:eastAsia="微软雅黑" w:cs="微软雅黑"/>
          <w:color w:val="auto"/>
          <w:highlight w:val="none"/>
          <w:lang w:eastAsia="zh-CN"/>
        </w:rPr>
      </w:pPr>
    </w:p>
    <w:p>
      <w:pPr>
        <w:pStyle w:val="2"/>
        <w:rPr>
          <w:rFonts w:hint="eastAsia" w:ascii="微软雅黑" w:hAnsi="微软雅黑" w:eastAsia="微软雅黑" w:cs="微软雅黑"/>
          <w:color w:val="auto"/>
          <w:highlight w:val="none"/>
          <w:lang w:eastAsia="zh-CN"/>
        </w:rPr>
      </w:pPr>
    </w:p>
    <w:p>
      <w:pPr>
        <w:pStyle w:val="4"/>
        <w:rPr>
          <w:rFonts w:hint="eastAsia" w:ascii="微软雅黑" w:hAnsi="微软雅黑" w:eastAsia="微软雅黑" w:cs="微软雅黑"/>
          <w:color w:val="auto"/>
          <w:highlight w:val="none"/>
          <w:lang w:eastAsia="zh-CN"/>
        </w:rPr>
      </w:pPr>
    </w:p>
    <w:p>
      <w:pPr>
        <w:pStyle w:val="5"/>
        <w:rPr>
          <w:rFonts w:hint="eastAsia" w:ascii="微软雅黑" w:hAnsi="微软雅黑" w:eastAsia="微软雅黑" w:cs="微软雅黑"/>
          <w:color w:val="auto"/>
          <w:highlight w:val="none"/>
          <w:lang w:eastAsia="zh-CN"/>
        </w:rPr>
      </w:pPr>
    </w:p>
    <w:p>
      <w:pPr>
        <w:rPr>
          <w:rFonts w:hint="eastAsia" w:ascii="微软雅黑" w:hAnsi="微软雅黑" w:eastAsia="微软雅黑" w:cs="微软雅黑"/>
          <w:color w:val="auto"/>
          <w:highlight w:val="none"/>
          <w:lang w:eastAsia="zh-CN"/>
        </w:rPr>
      </w:pPr>
    </w:p>
    <w:p>
      <w:pPr>
        <w:pStyle w:val="5"/>
        <w:rPr>
          <w:rFonts w:hint="eastAsia" w:ascii="微软雅黑" w:hAnsi="微软雅黑" w:eastAsia="微软雅黑" w:cs="微软雅黑"/>
          <w:color w:val="auto"/>
          <w:highlight w:val="none"/>
          <w:lang w:eastAsia="zh-CN"/>
        </w:rPr>
      </w:pPr>
    </w:p>
    <w:p>
      <w:pPr>
        <w:rPr>
          <w:rFonts w:hint="eastAsia" w:ascii="微软雅黑" w:hAnsi="微软雅黑" w:eastAsia="微软雅黑" w:cs="微软雅黑"/>
          <w:color w:val="auto"/>
          <w:highlight w:val="none"/>
          <w:lang w:eastAsia="zh-CN"/>
        </w:rPr>
      </w:pPr>
    </w:p>
    <w:p>
      <w:pPr>
        <w:pStyle w:val="2"/>
        <w:rPr>
          <w:rFonts w:hint="eastAsia" w:ascii="微软雅黑" w:hAnsi="微软雅黑" w:eastAsia="微软雅黑" w:cs="微软雅黑"/>
          <w:color w:val="auto"/>
          <w:highlight w:val="none"/>
          <w:lang w:eastAsia="zh-CN"/>
        </w:rPr>
      </w:pPr>
    </w:p>
    <w:p>
      <w:pPr>
        <w:pStyle w:val="4"/>
        <w:rPr>
          <w:rFonts w:hint="eastAsia" w:ascii="微软雅黑" w:hAnsi="微软雅黑" w:eastAsia="微软雅黑" w:cs="微软雅黑"/>
          <w:color w:val="auto"/>
          <w:highlight w:val="none"/>
          <w:lang w:eastAsia="zh-CN"/>
        </w:rPr>
      </w:pPr>
    </w:p>
    <w:p>
      <w:pPr>
        <w:spacing w:beforeAutospacing="0" w:afterAutospacing="0" w:line="240" w:lineRule="atLeast"/>
        <w:jc w:val="center"/>
        <w:rPr>
          <w:rFonts w:hint="eastAsia" w:ascii="微软雅黑" w:hAnsi="微软雅黑" w:eastAsia="微软雅黑" w:cs="微软雅黑"/>
          <w:b/>
          <w:color w:val="auto"/>
          <w:sz w:val="44"/>
          <w:szCs w:val="44"/>
          <w:highlight w:val="none"/>
          <w:lang w:eastAsia="zh-CN"/>
        </w:rPr>
      </w:pPr>
      <w:r>
        <w:rPr>
          <w:rFonts w:hint="eastAsia" w:ascii="微软雅黑" w:hAnsi="微软雅黑" w:eastAsia="微软雅黑" w:cs="微软雅黑"/>
          <w:b/>
          <w:color w:val="auto"/>
          <w:sz w:val="44"/>
          <w:szCs w:val="44"/>
          <w:highlight w:val="none"/>
          <w:lang w:eastAsia="zh-CN"/>
        </w:rPr>
        <w:t>磋 商 文 件</w:t>
      </w:r>
    </w:p>
    <w:p>
      <w:pPr>
        <w:spacing w:beforeAutospacing="0" w:afterAutospacing="0" w:line="240" w:lineRule="atLeast"/>
        <w:jc w:val="center"/>
        <w:rPr>
          <w:rFonts w:hint="eastAsia" w:ascii="微软雅黑" w:hAnsi="微软雅黑" w:eastAsia="微软雅黑" w:cs="微软雅黑"/>
          <w:b/>
          <w:color w:val="auto"/>
          <w:sz w:val="40"/>
          <w:szCs w:val="40"/>
          <w:highlight w:val="none"/>
        </w:rPr>
      </w:pPr>
    </w:p>
    <w:p>
      <w:pPr>
        <w:spacing w:beforeAutospacing="0" w:afterAutospacing="0" w:line="240" w:lineRule="atLeast"/>
        <w:jc w:val="center"/>
        <w:rPr>
          <w:rFonts w:hint="eastAsia" w:ascii="微软雅黑" w:hAnsi="微软雅黑" w:eastAsia="微软雅黑" w:cs="微软雅黑"/>
          <w:b/>
          <w:color w:val="auto"/>
          <w:sz w:val="32"/>
          <w:highlight w:val="none"/>
          <w:lang w:eastAsia="zh-CN"/>
        </w:rPr>
      </w:pPr>
      <w:r>
        <w:rPr>
          <w:rFonts w:hint="eastAsia" w:ascii="微软雅黑" w:hAnsi="微软雅黑" w:eastAsia="微软雅黑" w:cs="微软雅黑"/>
          <w:b/>
          <w:color w:val="auto"/>
          <w:sz w:val="40"/>
          <w:szCs w:val="40"/>
          <w:highlight w:val="none"/>
        </w:rPr>
        <w:t>项目编号：</w:t>
      </w:r>
      <w:r>
        <w:rPr>
          <w:rFonts w:hint="eastAsia" w:ascii="微软雅黑" w:hAnsi="微软雅黑" w:eastAsia="微软雅黑" w:cs="微软雅黑"/>
          <w:b/>
          <w:color w:val="auto"/>
          <w:sz w:val="40"/>
          <w:szCs w:val="40"/>
          <w:highlight w:val="none"/>
          <w:lang w:eastAsia="zh-CN"/>
        </w:rPr>
        <w:t>23GJ-(CS)004</w:t>
      </w:r>
    </w:p>
    <w:p>
      <w:pPr>
        <w:spacing w:beforeAutospacing="0" w:afterAutospacing="0" w:line="240" w:lineRule="atLeast"/>
        <w:jc w:val="center"/>
        <w:rPr>
          <w:rFonts w:hint="eastAsia" w:ascii="微软雅黑" w:hAnsi="微软雅黑" w:eastAsia="微软雅黑" w:cs="微软雅黑"/>
          <w:b/>
          <w:color w:val="auto"/>
          <w:sz w:val="32"/>
          <w:highlight w:val="none"/>
        </w:rPr>
      </w:pPr>
    </w:p>
    <w:p>
      <w:pPr>
        <w:spacing w:beforeAutospacing="0" w:afterAutospacing="0" w:line="240" w:lineRule="atLeast"/>
        <w:jc w:val="center"/>
        <w:rPr>
          <w:rFonts w:hint="eastAsia" w:ascii="微软雅黑" w:hAnsi="微软雅黑" w:eastAsia="微软雅黑" w:cs="微软雅黑"/>
          <w:b/>
          <w:color w:val="auto"/>
          <w:sz w:val="44"/>
          <w:szCs w:val="36"/>
          <w:highlight w:val="none"/>
        </w:rPr>
      </w:pPr>
      <w:r>
        <w:rPr>
          <w:rFonts w:hint="eastAsia" w:ascii="微软雅黑" w:hAnsi="微软雅黑" w:eastAsia="微软雅黑" w:cs="微软雅黑"/>
          <w:b/>
          <w:color w:val="auto"/>
          <w:sz w:val="44"/>
          <w:szCs w:val="36"/>
          <w:highlight w:val="none"/>
        </w:rPr>
        <w:t>第 二 册</w:t>
      </w:r>
    </w:p>
    <w:p>
      <w:pPr>
        <w:spacing w:beforeAutospacing="0" w:afterAutospacing="0" w:line="240" w:lineRule="atLeast"/>
        <w:jc w:val="center"/>
        <w:rPr>
          <w:rFonts w:hint="eastAsia" w:ascii="微软雅黑" w:hAnsi="微软雅黑" w:eastAsia="微软雅黑" w:cs="微软雅黑"/>
          <w:b/>
          <w:color w:val="auto"/>
          <w:sz w:val="32"/>
          <w:highlight w:val="none"/>
        </w:rPr>
      </w:pPr>
    </w:p>
    <w:p>
      <w:pPr>
        <w:spacing w:beforeAutospacing="0" w:afterAutospacing="0" w:line="240" w:lineRule="atLeast"/>
        <w:jc w:val="center"/>
        <w:rPr>
          <w:rFonts w:hint="eastAsia" w:ascii="微软雅黑" w:hAnsi="微软雅黑" w:eastAsia="微软雅黑" w:cs="微软雅黑"/>
          <w:b/>
          <w:color w:val="auto"/>
          <w:sz w:val="32"/>
          <w:highlight w:val="none"/>
        </w:rPr>
      </w:pPr>
      <w:r>
        <w:rPr>
          <w:rFonts w:hint="eastAsia" w:ascii="微软雅黑" w:hAnsi="微软雅黑" w:eastAsia="微软雅黑" w:cs="微软雅黑"/>
          <w:b/>
          <w:color w:val="auto"/>
          <w:sz w:val="32"/>
          <w:highlight w:val="none"/>
        </w:rPr>
        <w:t xml:space="preserve">  </w:t>
      </w:r>
    </w:p>
    <w:p>
      <w:pPr>
        <w:spacing w:beforeAutospacing="0" w:afterAutospacing="0" w:line="240" w:lineRule="atLeast"/>
        <w:ind w:left="1080" w:leftChars="257" w:hanging="540"/>
        <w:rPr>
          <w:rFonts w:hint="eastAsia" w:ascii="微软雅黑" w:hAnsi="微软雅黑" w:eastAsia="微软雅黑" w:cs="微软雅黑"/>
          <w:b/>
          <w:color w:val="auto"/>
          <w:sz w:val="28"/>
          <w:highlight w:val="none"/>
        </w:rPr>
      </w:pPr>
    </w:p>
    <w:p>
      <w:pPr>
        <w:spacing w:beforeAutospacing="0" w:afterAutospacing="0" w:line="240" w:lineRule="atLeast"/>
        <w:ind w:left="1080" w:leftChars="257" w:hanging="540"/>
        <w:rPr>
          <w:rFonts w:hint="eastAsia" w:ascii="微软雅黑" w:hAnsi="微软雅黑" w:eastAsia="微软雅黑" w:cs="微软雅黑"/>
          <w:b/>
          <w:color w:val="auto"/>
          <w:sz w:val="28"/>
          <w:highlight w:val="none"/>
        </w:rPr>
      </w:pPr>
    </w:p>
    <w:p>
      <w:pPr>
        <w:spacing w:beforeAutospacing="0" w:afterAutospacing="0" w:line="240" w:lineRule="atLeast"/>
        <w:ind w:left="1080" w:leftChars="257" w:hanging="540"/>
        <w:rPr>
          <w:rFonts w:hint="eastAsia" w:ascii="微软雅黑" w:hAnsi="微软雅黑" w:eastAsia="微软雅黑" w:cs="微软雅黑"/>
          <w:b/>
          <w:color w:val="auto"/>
          <w:sz w:val="28"/>
          <w:highlight w:val="none"/>
        </w:rPr>
      </w:pPr>
    </w:p>
    <w:p>
      <w:pPr>
        <w:spacing w:beforeAutospacing="0" w:afterAutospacing="0" w:line="240" w:lineRule="atLeast"/>
        <w:ind w:left="1080" w:leftChars="257" w:hanging="540"/>
        <w:jc w:val="center"/>
        <w:rPr>
          <w:rFonts w:hint="eastAsia" w:ascii="微软雅黑" w:hAnsi="微软雅黑" w:eastAsia="微软雅黑" w:cs="微软雅黑"/>
          <w:b/>
          <w:color w:val="auto"/>
          <w:sz w:val="52"/>
          <w:highlight w:val="none"/>
        </w:rPr>
      </w:pPr>
    </w:p>
    <w:p>
      <w:pPr>
        <w:spacing w:beforeAutospacing="0" w:afterAutospacing="0" w:line="240" w:lineRule="atLeast"/>
        <w:ind w:left="1080" w:leftChars="257" w:hanging="540"/>
        <w:jc w:val="center"/>
        <w:rPr>
          <w:rFonts w:hint="eastAsia" w:ascii="微软雅黑" w:hAnsi="微软雅黑" w:eastAsia="微软雅黑" w:cs="微软雅黑"/>
          <w:b/>
          <w:color w:val="auto"/>
          <w:sz w:val="52"/>
          <w:highlight w:val="none"/>
        </w:rPr>
      </w:pPr>
    </w:p>
    <w:p>
      <w:pPr>
        <w:spacing w:beforeAutospacing="0" w:afterAutospacing="0" w:line="240" w:lineRule="atLeast"/>
        <w:ind w:left="1080" w:leftChars="257" w:hanging="540"/>
        <w:jc w:val="center"/>
        <w:rPr>
          <w:rFonts w:hint="eastAsia" w:ascii="微软雅黑" w:hAnsi="微软雅黑" w:eastAsia="微软雅黑" w:cs="微软雅黑"/>
          <w:b/>
          <w:color w:val="auto"/>
          <w:sz w:val="52"/>
          <w:highlight w:val="none"/>
        </w:rPr>
      </w:pPr>
    </w:p>
    <w:p>
      <w:pPr>
        <w:pStyle w:val="6"/>
        <w:jc w:val="both"/>
        <w:rPr>
          <w:rFonts w:hint="eastAsia" w:ascii="微软雅黑" w:hAnsi="微软雅黑" w:eastAsia="微软雅黑" w:cs="微软雅黑"/>
          <w:color w:val="auto"/>
          <w:highlight w:val="none"/>
        </w:rPr>
        <w:sectPr>
          <w:footerReference r:id="rId6" w:type="default"/>
          <w:pgSz w:w="11906" w:h="16838"/>
          <w:pgMar w:top="1440" w:right="1797" w:bottom="1440" w:left="1797" w:header="851" w:footer="992" w:gutter="0"/>
          <w:pgNumType w:fmt="decimal"/>
          <w:cols w:space="720" w:num="1"/>
          <w:docGrid w:linePitch="312" w:charSpace="0"/>
        </w:sectPr>
      </w:pPr>
    </w:p>
    <w:p>
      <w:pPr>
        <w:pStyle w:val="6"/>
        <w:tabs>
          <w:tab w:val="left" w:pos="0"/>
        </w:tabs>
        <w:spacing w:before="0" w:beforeAutospacing="0" w:after="0" w:afterAutospacing="0" w:line="240" w:lineRule="atLeast"/>
        <w:jc w:val="center"/>
        <w:rPr>
          <w:rFonts w:hint="eastAsia" w:ascii="微软雅黑" w:hAnsi="微软雅黑" w:eastAsia="微软雅黑" w:cs="微软雅黑"/>
          <w:color w:val="auto"/>
          <w:highlight w:val="none"/>
        </w:rPr>
      </w:pPr>
      <w:bookmarkStart w:id="795" w:name="_Toc29715"/>
      <w:bookmarkEnd w:id="795"/>
      <w:bookmarkStart w:id="796" w:name="_Toc28765"/>
      <w:bookmarkEnd w:id="796"/>
      <w:bookmarkStart w:id="797" w:name="_Toc515647829"/>
      <w:bookmarkEnd w:id="797"/>
      <w:bookmarkStart w:id="798" w:name="_Toc507399902"/>
      <w:bookmarkEnd w:id="798"/>
      <w:bookmarkStart w:id="799" w:name="_Toc219175634"/>
      <w:bookmarkEnd w:id="799"/>
      <w:bookmarkStart w:id="800" w:name="_Toc218935350"/>
      <w:bookmarkEnd w:id="800"/>
      <w:bookmarkStart w:id="801" w:name="_Toc16370"/>
      <w:bookmarkEnd w:id="801"/>
      <w:bookmarkStart w:id="802" w:name="_Toc216582822"/>
      <w:bookmarkEnd w:id="802"/>
      <w:bookmarkStart w:id="803" w:name="_Toc8831"/>
      <w:r>
        <w:rPr>
          <w:rFonts w:hint="eastAsia" w:ascii="微软雅黑" w:hAnsi="微软雅黑" w:eastAsia="微软雅黑" w:cs="微软雅黑"/>
          <w:color w:val="auto"/>
          <w:highlight w:val="none"/>
          <w:lang w:val="en-US" w:eastAsia="zh-CN"/>
        </w:rPr>
        <w:t>第3章</w:t>
      </w:r>
      <w:r>
        <w:rPr>
          <w:rFonts w:hint="eastAsia" w:ascii="微软雅黑" w:hAnsi="微软雅黑" w:eastAsia="微软雅黑" w:cs="微软雅黑"/>
          <w:color w:val="auto"/>
          <w:highlight w:val="none"/>
        </w:rPr>
        <w:t xml:space="preserve"> </w:t>
      </w:r>
      <w:r>
        <w:rPr>
          <w:rFonts w:hint="eastAsia" w:ascii="微软雅黑" w:hAnsi="微软雅黑" w:eastAsia="微软雅黑" w:cs="微软雅黑"/>
          <w:color w:val="auto"/>
          <w:highlight w:val="none"/>
          <w:lang w:eastAsia="zh-CN"/>
        </w:rPr>
        <w:t>磋商</w:t>
      </w:r>
      <w:r>
        <w:rPr>
          <w:rFonts w:hint="eastAsia" w:ascii="微软雅黑" w:hAnsi="微软雅黑" w:eastAsia="微软雅黑" w:cs="微软雅黑"/>
          <w:color w:val="auto"/>
          <w:highlight w:val="none"/>
        </w:rPr>
        <w:t>邀请</w:t>
      </w:r>
      <w:bookmarkEnd w:id="803"/>
    </w:p>
    <w:p>
      <w:pPr>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500" w:lineRule="exact"/>
        <w:jc w:val="center"/>
        <w:textAlignment w:val="auto"/>
        <w:outlineLvl w:val="9"/>
        <w:rPr>
          <w:rFonts w:hint="eastAsia" w:ascii="微软雅黑" w:hAnsi="微软雅黑" w:eastAsia="微软雅黑" w:cs="微软雅黑"/>
          <w:b/>
          <w:bCs/>
          <w:color w:val="auto"/>
          <w:sz w:val="36"/>
          <w:szCs w:val="36"/>
          <w:highlight w:val="none"/>
          <w:lang w:val="en-US" w:eastAsia="zh-CN"/>
        </w:rPr>
      </w:pPr>
      <w:bookmarkStart w:id="804" w:name="_Toc8815"/>
      <w:bookmarkEnd w:id="804"/>
      <w:bookmarkStart w:id="805" w:name="_Toc14011"/>
      <w:bookmarkEnd w:id="805"/>
      <w:bookmarkStart w:id="806" w:name="_Toc22216"/>
      <w:bookmarkStart w:id="807" w:name="_Toc16036"/>
      <w:bookmarkStart w:id="808" w:name="_Toc13655"/>
      <w:bookmarkStart w:id="809" w:name="_Toc21806"/>
      <w:bookmarkStart w:id="810" w:name="_Toc13846"/>
      <w:bookmarkStart w:id="811" w:name="_Toc28539"/>
      <w:bookmarkStart w:id="812" w:name="_Toc28803"/>
      <w:bookmarkStart w:id="813" w:name="_Toc23395"/>
      <w:bookmarkStart w:id="814" w:name="_Toc25737"/>
      <w:bookmarkStart w:id="815" w:name="_Toc26226"/>
      <w:r>
        <w:rPr>
          <w:rFonts w:hint="eastAsia" w:ascii="微软雅黑" w:hAnsi="微软雅黑" w:eastAsia="微软雅黑" w:cs="微软雅黑"/>
          <w:b/>
          <w:bCs/>
          <w:color w:val="auto"/>
          <w:sz w:val="36"/>
          <w:szCs w:val="36"/>
          <w:highlight w:val="none"/>
          <w:lang w:val="en-US" w:eastAsia="zh-CN"/>
        </w:rPr>
        <w:t>喀什地区第二人民医院2023年度全打印机维修及微机耗材更换服务采购项目</w:t>
      </w:r>
    </w:p>
    <w:p>
      <w:pPr>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500" w:lineRule="exact"/>
        <w:jc w:val="center"/>
        <w:textAlignment w:val="auto"/>
        <w:outlineLvl w:val="9"/>
        <w:rPr>
          <w:rFonts w:hint="eastAsia" w:ascii="微软雅黑" w:hAnsi="微软雅黑" w:eastAsia="微软雅黑" w:cs="微软雅黑"/>
          <w:b/>
          <w:bCs/>
          <w:color w:val="auto"/>
          <w:sz w:val="36"/>
          <w:szCs w:val="36"/>
          <w:highlight w:val="none"/>
        </w:rPr>
      </w:pPr>
      <w:r>
        <w:rPr>
          <w:rFonts w:hint="eastAsia" w:ascii="微软雅黑" w:hAnsi="微软雅黑" w:eastAsia="微软雅黑" w:cs="微软雅黑"/>
          <w:b/>
          <w:bCs/>
          <w:color w:val="auto"/>
          <w:sz w:val="36"/>
          <w:szCs w:val="36"/>
          <w:highlight w:val="none"/>
          <w:lang w:val="en-US" w:eastAsia="zh-CN"/>
        </w:rPr>
        <w:t>磋商</w:t>
      </w:r>
      <w:r>
        <w:rPr>
          <w:rFonts w:hint="eastAsia" w:ascii="微软雅黑" w:hAnsi="微软雅黑" w:eastAsia="微软雅黑" w:cs="微软雅黑"/>
          <w:b/>
          <w:bCs/>
          <w:color w:val="auto"/>
          <w:sz w:val="36"/>
          <w:szCs w:val="36"/>
          <w:highlight w:val="none"/>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360" w:lineRule="exact"/>
        <w:textAlignment w:val="auto"/>
        <w:outlineLvl w:val="9"/>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360" w:lineRule="exact"/>
        <w:ind w:firstLine="480" w:firstLineChars="200"/>
        <w:textAlignment w:val="auto"/>
        <w:outlineLvl w:val="9"/>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single"/>
          <w:lang w:eastAsia="zh-CN"/>
        </w:rPr>
        <w:t>喀什地区第二人民医院2023年度全打印机维修及微机耗材更换服务采购项目</w:t>
      </w:r>
      <w:r>
        <w:rPr>
          <w:rFonts w:hint="eastAsia" w:ascii="微软雅黑" w:hAnsi="微软雅黑" w:eastAsia="微软雅黑" w:cs="微软雅黑"/>
          <w:color w:val="auto"/>
          <w:sz w:val="24"/>
          <w:szCs w:val="24"/>
          <w:highlight w:val="none"/>
          <w:u w:val="none"/>
          <w:lang w:eastAsia="zh-CN"/>
        </w:rPr>
        <w:t>的潜在供应商应在</w:t>
      </w:r>
      <w:r>
        <w:rPr>
          <w:rFonts w:hint="eastAsia" w:ascii="微软雅黑" w:hAnsi="微软雅黑" w:eastAsia="微软雅黑" w:cs="微软雅黑"/>
          <w:color w:val="auto"/>
          <w:sz w:val="24"/>
          <w:szCs w:val="24"/>
          <w:highlight w:val="none"/>
          <w:u w:val="single"/>
          <w:lang w:eastAsia="zh-CN"/>
        </w:rPr>
        <w:t>政采云平台</w:t>
      </w:r>
      <w:r>
        <w:rPr>
          <w:rFonts w:hint="eastAsia" w:ascii="微软雅黑" w:hAnsi="微软雅黑" w:eastAsia="微软雅黑" w:cs="微软雅黑"/>
          <w:color w:val="auto"/>
          <w:sz w:val="24"/>
          <w:szCs w:val="24"/>
          <w:highlight w:val="none"/>
          <w:u w:val="none"/>
          <w:lang w:eastAsia="zh-CN"/>
        </w:rPr>
        <w:t>获取</w:t>
      </w:r>
      <w:r>
        <w:rPr>
          <w:rFonts w:hint="eastAsia" w:ascii="微软雅黑" w:hAnsi="微软雅黑" w:eastAsia="微软雅黑" w:cs="微软雅黑"/>
          <w:color w:val="auto"/>
          <w:sz w:val="24"/>
          <w:szCs w:val="24"/>
          <w:highlight w:val="none"/>
          <w:lang w:val="en-US" w:eastAsia="zh-CN"/>
        </w:rPr>
        <w:t>磋商</w:t>
      </w:r>
      <w:r>
        <w:rPr>
          <w:rFonts w:hint="eastAsia" w:ascii="微软雅黑" w:hAnsi="微软雅黑" w:eastAsia="微软雅黑" w:cs="微软雅黑"/>
          <w:color w:val="auto"/>
          <w:sz w:val="24"/>
          <w:szCs w:val="24"/>
          <w:highlight w:val="none"/>
        </w:rPr>
        <w:t>文件</w:t>
      </w:r>
      <w:r>
        <w:rPr>
          <w:rFonts w:hint="eastAsia" w:ascii="微软雅黑" w:hAnsi="微软雅黑" w:eastAsia="微软雅黑" w:cs="微软雅黑"/>
          <w:color w:val="auto"/>
          <w:sz w:val="24"/>
          <w:szCs w:val="24"/>
          <w:highlight w:val="none"/>
          <w:u w:val="none"/>
          <w:lang w:eastAsia="zh-CN"/>
        </w:rPr>
        <w:t>，并于</w:t>
      </w:r>
      <w:r>
        <w:rPr>
          <w:rFonts w:hint="eastAsia" w:ascii="微软雅黑" w:hAnsi="微软雅黑" w:eastAsia="微软雅黑" w:cs="微软雅黑"/>
          <w:color w:val="auto"/>
          <w:sz w:val="24"/>
          <w:szCs w:val="24"/>
          <w:highlight w:val="none"/>
          <w:u w:val="single"/>
          <w:lang w:eastAsia="zh-CN"/>
        </w:rPr>
        <w:t>202</w:t>
      </w:r>
      <w:r>
        <w:rPr>
          <w:rFonts w:hint="eastAsia" w:ascii="微软雅黑" w:hAnsi="微软雅黑" w:eastAsia="微软雅黑" w:cs="微软雅黑"/>
          <w:color w:val="auto"/>
          <w:sz w:val="24"/>
          <w:szCs w:val="24"/>
          <w:highlight w:val="none"/>
          <w:u w:val="single"/>
          <w:lang w:val="en-US" w:eastAsia="zh-CN"/>
        </w:rPr>
        <w:t>3</w:t>
      </w:r>
      <w:r>
        <w:rPr>
          <w:rFonts w:hint="eastAsia" w:ascii="微软雅黑" w:hAnsi="微软雅黑" w:eastAsia="微软雅黑" w:cs="微软雅黑"/>
          <w:color w:val="auto"/>
          <w:sz w:val="24"/>
          <w:szCs w:val="24"/>
          <w:highlight w:val="none"/>
          <w:u w:val="single"/>
          <w:lang w:eastAsia="zh-CN"/>
        </w:rPr>
        <w:t>年</w:t>
      </w:r>
      <w:r>
        <w:rPr>
          <w:rFonts w:hint="eastAsia" w:ascii="微软雅黑" w:hAnsi="微软雅黑" w:eastAsia="微软雅黑" w:cs="微软雅黑"/>
          <w:color w:val="auto"/>
          <w:sz w:val="24"/>
          <w:szCs w:val="24"/>
          <w:highlight w:val="none"/>
          <w:u w:val="single"/>
          <w:lang w:val="en-US" w:eastAsia="zh-CN"/>
        </w:rPr>
        <w:t>4</w:t>
      </w:r>
      <w:r>
        <w:rPr>
          <w:rFonts w:hint="eastAsia" w:ascii="微软雅黑" w:hAnsi="微软雅黑" w:eastAsia="微软雅黑" w:cs="微软雅黑"/>
          <w:color w:val="auto"/>
          <w:sz w:val="24"/>
          <w:szCs w:val="24"/>
          <w:highlight w:val="none"/>
          <w:u w:val="single"/>
          <w:lang w:eastAsia="zh-CN"/>
        </w:rPr>
        <w:t>月</w:t>
      </w:r>
      <w:r>
        <w:rPr>
          <w:rFonts w:hint="eastAsia" w:ascii="微软雅黑" w:hAnsi="微软雅黑" w:eastAsia="微软雅黑" w:cs="微软雅黑"/>
          <w:color w:val="auto"/>
          <w:sz w:val="24"/>
          <w:szCs w:val="24"/>
          <w:highlight w:val="none"/>
          <w:u w:val="single"/>
          <w:lang w:val="en-US" w:eastAsia="zh-CN"/>
        </w:rPr>
        <w:t>7</w:t>
      </w:r>
      <w:r>
        <w:rPr>
          <w:rFonts w:hint="eastAsia" w:ascii="微软雅黑" w:hAnsi="微软雅黑" w:eastAsia="微软雅黑" w:cs="微软雅黑"/>
          <w:color w:val="auto"/>
          <w:sz w:val="24"/>
          <w:szCs w:val="24"/>
          <w:highlight w:val="none"/>
          <w:u w:val="single"/>
          <w:lang w:eastAsia="zh-CN"/>
        </w:rPr>
        <w:t>日</w:t>
      </w:r>
      <w:r>
        <w:rPr>
          <w:rFonts w:hint="eastAsia" w:ascii="微软雅黑" w:hAnsi="微软雅黑" w:eastAsia="微软雅黑" w:cs="微软雅黑"/>
          <w:color w:val="auto"/>
          <w:sz w:val="24"/>
          <w:szCs w:val="24"/>
          <w:highlight w:val="none"/>
          <w:u w:val="single"/>
          <w:lang w:val="en-US" w:eastAsia="zh-CN"/>
        </w:rPr>
        <w:t>10</w:t>
      </w:r>
      <w:r>
        <w:rPr>
          <w:rFonts w:hint="eastAsia" w:ascii="微软雅黑" w:hAnsi="微软雅黑" w:eastAsia="微软雅黑" w:cs="微软雅黑"/>
          <w:color w:val="auto"/>
          <w:sz w:val="24"/>
          <w:szCs w:val="24"/>
          <w:highlight w:val="none"/>
          <w:u w:val="single"/>
          <w:lang w:eastAsia="zh-CN"/>
        </w:rPr>
        <w:t>点</w:t>
      </w:r>
      <w:r>
        <w:rPr>
          <w:rFonts w:hint="eastAsia" w:ascii="微软雅黑" w:hAnsi="微软雅黑" w:eastAsia="微软雅黑" w:cs="微软雅黑"/>
          <w:color w:val="auto"/>
          <w:sz w:val="24"/>
          <w:szCs w:val="24"/>
          <w:highlight w:val="none"/>
          <w:u w:val="single"/>
          <w:lang w:val="en-US" w:eastAsia="zh-CN"/>
        </w:rPr>
        <w:t>3</w:t>
      </w:r>
      <w:r>
        <w:rPr>
          <w:rFonts w:hint="eastAsia" w:ascii="微软雅黑" w:hAnsi="微软雅黑" w:eastAsia="微软雅黑" w:cs="微软雅黑"/>
          <w:color w:val="auto"/>
          <w:sz w:val="24"/>
          <w:szCs w:val="24"/>
          <w:highlight w:val="none"/>
          <w:u w:val="single"/>
          <w:lang w:eastAsia="zh-CN"/>
        </w:rPr>
        <w:t>0分（北京时间）</w:t>
      </w:r>
      <w:r>
        <w:rPr>
          <w:rFonts w:hint="eastAsia" w:ascii="微软雅黑" w:hAnsi="微软雅黑" w:eastAsia="微软雅黑" w:cs="微软雅黑"/>
          <w:color w:val="auto"/>
          <w:sz w:val="24"/>
          <w:szCs w:val="24"/>
          <w:highlight w:val="none"/>
          <w:u w:val="none"/>
          <w:lang w:eastAsia="zh-CN"/>
        </w:rPr>
        <w:t>前递交</w:t>
      </w:r>
      <w:r>
        <w:rPr>
          <w:rFonts w:hint="eastAsia" w:ascii="微软雅黑" w:hAnsi="微软雅黑" w:eastAsia="微软雅黑" w:cs="微软雅黑"/>
          <w:bCs/>
          <w:color w:val="auto"/>
          <w:sz w:val="24"/>
          <w:szCs w:val="24"/>
          <w:highlight w:val="none"/>
          <w:lang w:val="en-US" w:eastAsia="zh-CN"/>
        </w:rPr>
        <w:t>响应文件</w:t>
      </w:r>
      <w:r>
        <w:rPr>
          <w:rFonts w:hint="eastAsia" w:ascii="微软雅黑" w:hAnsi="微软雅黑" w:eastAsia="微软雅黑" w:cs="微软雅黑"/>
          <w:color w:val="auto"/>
          <w:sz w:val="24"/>
          <w:szCs w:val="24"/>
          <w:highlight w:val="none"/>
          <w:u w:val="none"/>
          <w:lang w:eastAsia="zh-CN"/>
        </w:rPr>
        <w:t>。</w:t>
      </w:r>
    </w:p>
    <w:p>
      <w:pPr>
        <w:pageBreakBefore w:val="0"/>
        <w:widowControl w:val="0"/>
        <w:shd w:val="clear"/>
        <w:kinsoku/>
        <w:wordWrap/>
        <w:overflowPunct/>
        <w:topLinePunct w:val="0"/>
        <w:bidi w:val="0"/>
        <w:snapToGrid/>
        <w:spacing w:before="0" w:beforeAutospacing="0" w:after="0" w:afterAutospacing="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816" w:name="_Toc28359089"/>
      <w:bookmarkEnd w:id="816"/>
      <w:bookmarkStart w:id="817" w:name="_Toc35393798"/>
      <w:bookmarkEnd w:id="817"/>
      <w:bookmarkStart w:id="818" w:name="_Toc29182"/>
      <w:bookmarkEnd w:id="818"/>
      <w:bookmarkStart w:id="819" w:name="_Toc35393629"/>
      <w:bookmarkEnd w:id="819"/>
      <w:bookmarkStart w:id="820" w:name="_Toc8264"/>
      <w:bookmarkEnd w:id="820"/>
      <w:bookmarkStart w:id="821" w:name="_Toc28359012"/>
      <w:bookmarkEnd w:id="821"/>
      <w:r>
        <w:rPr>
          <w:rFonts w:hint="eastAsia" w:ascii="微软雅黑" w:hAnsi="微软雅黑" w:eastAsia="微软雅黑" w:cs="微软雅黑"/>
          <w:b/>
          <w:bCs/>
          <w:color w:val="auto"/>
          <w:kern w:val="0"/>
          <w:sz w:val="24"/>
          <w:szCs w:val="24"/>
          <w:highlight w:val="none"/>
        </w:rPr>
        <w:t>一、项目基本情况</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eastAsia="zh-CN"/>
        </w:rPr>
        <w:t>23GJ-(CS)004</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喀什地区第二人民医院2023年度全打印机维修及微机耗材更换服务采购项目</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u w:val="none"/>
          <w:lang w:val="en-US" w:eastAsia="zh-CN"/>
        </w:rPr>
        <w:t>3、</w:t>
      </w:r>
      <w:r>
        <w:rPr>
          <w:rFonts w:hint="eastAsia" w:ascii="微软雅黑" w:hAnsi="微软雅黑" w:eastAsia="微软雅黑" w:cs="微软雅黑"/>
          <w:color w:val="auto"/>
          <w:sz w:val="24"/>
          <w:szCs w:val="24"/>
          <w:highlight w:val="none"/>
          <w:lang w:val="en-US" w:eastAsia="zh-CN"/>
        </w:rPr>
        <w:t>采购方式：竞争性磋商</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4、预算金额（万元）：75</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5、最高限价（万元）：75</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采购需求：</w:t>
      </w:r>
      <w:r>
        <w:rPr>
          <w:rFonts w:hint="eastAsia" w:ascii="微软雅黑" w:hAnsi="微软雅黑" w:eastAsia="微软雅黑" w:cs="微软雅黑"/>
          <w:color w:val="auto"/>
          <w:sz w:val="24"/>
          <w:highlight w:val="none"/>
        </w:rPr>
        <w:t>打印机维修及更换耗材服务。</w:t>
      </w:r>
      <w:r>
        <w:rPr>
          <w:rFonts w:hint="eastAsia" w:ascii="微软雅黑" w:hAnsi="微软雅黑" w:eastAsia="微软雅黑" w:cs="微软雅黑"/>
          <w:color w:val="auto"/>
          <w:sz w:val="24"/>
          <w:szCs w:val="24"/>
          <w:highlight w:val="none"/>
          <w:lang w:val="en-US" w:eastAsia="zh-CN"/>
        </w:rPr>
        <w:t>（详细规格参数见磋商文件）</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6、本项目（否）接受联合体。</w:t>
      </w:r>
    </w:p>
    <w:p>
      <w:pPr>
        <w:pageBreakBefore w:val="0"/>
        <w:widowControl w:val="0"/>
        <w:shd w:val="clear"/>
        <w:kinsoku/>
        <w:wordWrap/>
        <w:overflowPunct/>
        <w:topLinePunct w:val="0"/>
        <w:bidi w:val="0"/>
        <w:snapToGrid/>
        <w:spacing w:before="0" w:beforeAutospacing="0" w:after="0" w:afterAutospacing="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822" w:name="_Toc28359013"/>
      <w:bookmarkEnd w:id="822"/>
      <w:bookmarkStart w:id="823" w:name="_Toc28359090"/>
      <w:bookmarkEnd w:id="823"/>
      <w:bookmarkStart w:id="824" w:name="_Toc35393630"/>
      <w:bookmarkEnd w:id="824"/>
      <w:bookmarkStart w:id="825" w:name="_Toc35393799"/>
      <w:bookmarkEnd w:id="825"/>
      <w:bookmarkStart w:id="826" w:name="_Toc12963"/>
      <w:bookmarkEnd w:id="826"/>
      <w:r>
        <w:rPr>
          <w:rFonts w:hint="eastAsia" w:ascii="微软雅黑" w:hAnsi="微软雅黑" w:eastAsia="微软雅黑" w:cs="微软雅黑"/>
          <w:b/>
          <w:bCs/>
          <w:color w:val="auto"/>
          <w:kern w:val="0"/>
          <w:sz w:val="24"/>
          <w:szCs w:val="24"/>
          <w:highlight w:val="none"/>
        </w:rPr>
        <w:t>二、申请人的资格要求：</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bookmarkStart w:id="827" w:name="_Toc35393631"/>
      <w:bookmarkStart w:id="828" w:name="_Toc35393800"/>
      <w:bookmarkStart w:id="829" w:name="_Toc28359014"/>
      <w:bookmarkStart w:id="830" w:name="_Toc28359091"/>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1.满足《中华人民共和国政府采购法》第二十二条规定：</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具有有效的营业执照；</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（2）提供法定代表人身份证明及授权书、被授权人身份证；(法定代表人磋商需提供法定代表人身份证复印件)；</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（3）近两年任意一年的财务审计报告，新成立的公司提供近三个月内任意一个月的银行资信证明</w:t>
      </w:r>
      <w:r>
        <w:rPr>
          <w:rFonts w:hint="eastAsia" w:ascii="微软雅黑" w:hAnsi="微软雅黑" w:eastAsia="微软雅黑" w:cs="微软雅黑"/>
          <w:color w:val="auto"/>
          <w:sz w:val="24"/>
          <w:highlight w:val="none"/>
        </w:rPr>
        <w:t>，新成立的公司提供近三个月内任意一个月的银行资信证明；</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（4）提供依法缴纳近6个月任意1个月社会保险的证明；</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（5）提供依法缴纳近6个月任意1个月的税收证明；</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b/>
          <w:bCs/>
          <w:i w:val="0"/>
          <w:color w:val="auto"/>
          <w:spacing w:val="0"/>
          <w:w w:val="100"/>
          <w:sz w:val="24"/>
          <w:szCs w:val="24"/>
          <w:highlight w:val="none"/>
        </w:rPr>
      </w:pPr>
      <w:r>
        <w:rPr>
          <w:rFonts w:hint="eastAsia" w:ascii="微软雅黑" w:hAnsi="微软雅黑" w:eastAsia="微软雅黑" w:cs="微软雅黑"/>
          <w:color w:val="auto"/>
          <w:sz w:val="24"/>
          <w:szCs w:val="24"/>
          <w:highlight w:val="none"/>
          <w:lang w:val="en-US" w:eastAsia="zh-CN"/>
        </w:rPr>
        <w:t>（6）根据《财政部关于在政府采购活动中查询及使用信用记录有关问题的通知》（财库﹝2016﹞125号）的要求，凡拟参加本次采购项目的供应商，如在“信用中国”网站（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将拒绝其参加本次采购活动；（以采购代理或采购人查询为准）；</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（7）参与政府采购活动前3年内未被列入失信、重大税收违法案件、财政部门禁止参加政府采购活动的承诺书；</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szCs w:val="24"/>
          <w:highlight w:val="none"/>
          <w:lang w:val="en-US" w:eastAsia="zh-CN"/>
        </w:rPr>
        <w:t>（8）提供针对本次项目《反商业贿赂承诺书》。</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2.落实政府采购政策需满足的资格要求：标项1：供应商为中小企业。</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3.本项目的特定资格要求：标项1：无。</w:t>
      </w:r>
    </w:p>
    <w:p>
      <w:pPr>
        <w:pageBreakBefore w:val="0"/>
        <w:widowControl w:val="0"/>
        <w:shd w:val="clear"/>
        <w:kinsoku/>
        <w:wordWrap/>
        <w:overflowPunct/>
        <w:topLinePunct w:val="0"/>
        <w:bidi w:val="0"/>
        <w:snapToGrid/>
        <w:spacing w:before="0" w:beforeAutospacing="0" w:after="0" w:afterAutospacing="0" w:line="360" w:lineRule="exact"/>
        <w:jc w:val="left"/>
        <w:textAlignment w:val="auto"/>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三、获取采购文件</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获取磋商文件时间：</w:t>
      </w:r>
      <w:r>
        <w:rPr>
          <w:rFonts w:hint="eastAsia" w:ascii="微软雅黑" w:hAnsi="微软雅黑" w:eastAsia="微软雅黑" w:cs="微软雅黑"/>
          <w:color w:val="auto"/>
          <w:sz w:val="24"/>
          <w:szCs w:val="24"/>
          <w:highlight w:val="none"/>
        </w:rPr>
        <w:t>202</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28</w:t>
      </w:r>
      <w:r>
        <w:rPr>
          <w:rFonts w:hint="eastAsia" w:ascii="微软雅黑" w:hAnsi="微软雅黑" w:eastAsia="微软雅黑" w:cs="微软雅黑"/>
          <w:color w:val="auto"/>
          <w:sz w:val="24"/>
          <w:szCs w:val="24"/>
          <w:highlight w:val="none"/>
        </w:rPr>
        <w:t>日至202</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（上午10:00-14:00，下午15:30-19:30）</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获取磋商文件地点：政采云平台 </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获取磋商文件方式：供应商登陆政采云平台http://www.zcygov.cn/，在线申请获取采购文件（登录政府采购云平台 → 项目采购 → 获取采购文件 → 申请，审核通过后可下载磋商文件，如有操作性问题，可与政采云在线客服进行咨询，咨询电话：400-881-7190）</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售价：0元</w:t>
      </w:r>
    </w:p>
    <w:bookmarkEnd w:id="827"/>
    <w:bookmarkEnd w:id="828"/>
    <w:bookmarkEnd w:id="829"/>
    <w:bookmarkEnd w:id="830"/>
    <w:p>
      <w:pPr>
        <w:pageBreakBefore w:val="0"/>
        <w:widowControl w:val="0"/>
        <w:shd w:val="clear"/>
        <w:kinsoku/>
        <w:wordWrap/>
        <w:overflowPunct/>
        <w:topLinePunct w:val="0"/>
        <w:bidi w:val="0"/>
        <w:snapToGrid/>
        <w:spacing w:before="0" w:beforeAutospacing="0" w:after="0" w:afterAutospacing="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831" w:name="_Toc35393632"/>
      <w:bookmarkEnd w:id="831"/>
      <w:bookmarkStart w:id="832" w:name="_Toc28359092"/>
      <w:bookmarkEnd w:id="832"/>
      <w:bookmarkStart w:id="833" w:name="_Toc28359015"/>
      <w:bookmarkEnd w:id="833"/>
      <w:bookmarkStart w:id="834" w:name="_Toc35393801"/>
      <w:bookmarkEnd w:id="834"/>
      <w:r>
        <w:rPr>
          <w:rFonts w:hint="eastAsia" w:ascii="微软雅黑" w:hAnsi="微软雅黑" w:eastAsia="微软雅黑" w:cs="微软雅黑"/>
          <w:b/>
          <w:bCs/>
          <w:color w:val="auto"/>
          <w:kern w:val="0"/>
          <w:sz w:val="24"/>
          <w:szCs w:val="24"/>
          <w:highlight w:val="none"/>
        </w:rPr>
        <w:t>四、响应文件提交</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bookmarkStart w:id="835" w:name="_Toc35393633"/>
      <w:bookmarkStart w:id="836" w:name="_Toc28359016"/>
      <w:bookmarkStart w:id="837" w:name="_Toc35393802"/>
      <w:bookmarkStart w:id="838" w:name="_Toc28359093"/>
      <w:r>
        <w:rPr>
          <w:rFonts w:hint="eastAsia" w:ascii="微软雅黑" w:hAnsi="微软雅黑" w:eastAsia="微软雅黑" w:cs="微软雅黑"/>
          <w:color w:val="auto"/>
          <w:sz w:val="24"/>
          <w:szCs w:val="24"/>
          <w:highlight w:val="none"/>
        </w:rPr>
        <w:t>截止时间：202</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点</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0分（北京时间）</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地    </w:t>
      </w:r>
      <w:r>
        <w:rPr>
          <w:rFonts w:hint="eastAsia" w:ascii="微软雅黑" w:hAnsi="微软雅黑" w:eastAsia="微软雅黑" w:cs="微软雅黑"/>
          <w:color w:val="auto"/>
          <w:sz w:val="24"/>
          <w:szCs w:val="24"/>
          <w:highlight w:val="none"/>
          <w:lang w:val="en-US" w:eastAsia="zh-CN"/>
        </w:rPr>
        <w:t>点：政采云平台（https://login.zcygov.cn/user-login/#/login）</w:t>
      </w:r>
    </w:p>
    <w:bookmarkEnd w:id="835"/>
    <w:bookmarkEnd w:id="836"/>
    <w:bookmarkEnd w:id="837"/>
    <w:bookmarkEnd w:id="838"/>
    <w:p>
      <w:pPr>
        <w:pageBreakBefore w:val="0"/>
        <w:widowControl w:val="0"/>
        <w:shd w:val="clear"/>
        <w:kinsoku/>
        <w:wordWrap/>
        <w:overflowPunct/>
        <w:topLinePunct w:val="0"/>
        <w:bidi w:val="0"/>
        <w:snapToGrid/>
        <w:spacing w:before="0" w:beforeAutospacing="0" w:after="0" w:afterAutospacing="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839" w:name="_Toc21935"/>
      <w:bookmarkEnd w:id="839"/>
      <w:r>
        <w:rPr>
          <w:rFonts w:hint="eastAsia" w:ascii="微软雅黑" w:hAnsi="微软雅黑" w:eastAsia="微软雅黑" w:cs="微软雅黑"/>
          <w:b/>
          <w:bCs/>
          <w:color w:val="auto"/>
          <w:kern w:val="0"/>
          <w:sz w:val="24"/>
          <w:szCs w:val="24"/>
          <w:highlight w:val="none"/>
        </w:rPr>
        <w:t>五、开启</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时</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间：202</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点</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0分（北京时间）</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地</w:t>
      </w:r>
      <w:r>
        <w:rPr>
          <w:rFonts w:hint="eastAsia" w:ascii="微软雅黑" w:hAnsi="微软雅黑" w:eastAsia="微软雅黑" w:cs="微软雅黑"/>
          <w:color w:val="auto"/>
          <w:sz w:val="24"/>
          <w:szCs w:val="24"/>
          <w:highlight w:val="none"/>
          <w:lang w:val="en-US" w:eastAsia="zh-CN"/>
        </w:rPr>
        <w:t xml:space="preserve">    点：政采云平台（https://login.zcygov.cn/user-login/#/login）</w:t>
      </w:r>
    </w:p>
    <w:p>
      <w:pPr>
        <w:pageBreakBefore w:val="0"/>
        <w:widowControl w:val="0"/>
        <w:shd w:val="clear"/>
        <w:kinsoku/>
        <w:wordWrap/>
        <w:overflowPunct/>
        <w:topLinePunct w:val="0"/>
        <w:bidi w:val="0"/>
        <w:snapToGrid/>
        <w:spacing w:before="0" w:beforeAutospacing="0" w:after="0" w:afterAutospacing="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840" w:name="_Toc28359017"/>
      <w:bookmarkEnd w:id="840"/>
      <w:bookmarkStart w:id="841" w:name="_Toc25583"/>
      <w:bookmarkEnd w:id="841"/>
      <w:bookmarkStart w:id="842" w:name="_Toc28359094"/>
      <w:bookmarkEnd w:id="842"/>
      <w:bookmarkStart w:id="843" w:name="_Toc35393803"/>
      <w:bookmarkEnd w:id="843"/>
      <w:bookmarkStart w:id="844" w:name="_Toc35393634"/>
      <w:bookmarkEnd w:id="844"/>
      <w:r>
        <w:rPr>
          <w:rFonts w:hint="eastAsia" w:ascii="微软雅黑" w:hAnsi="微软雅黑" w:eastAsia="微软雅黑" w:cs="微软雅黑"/>
          <w:b/>
          <w:bCs/>
          <w:color w:val="auto"/>
          <w:kern w:val="0"/>
          <w:sz w:val="24"/>
          <w:szCs w:val="24"/>
          <w:highlight w:val="none"/>
        </w:rPr>
        <w:t>六、公告期限</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自本公告发布之日起5个工作日。</w:t>
      </w:r>
    </w:p>
    <w:p>
      <w:pPr>
        <w:pageBreakBefore w:val="0"/>
        <w:widowControl w:val="0"/>
        <w:numPr>
          <w:ilvl w:val="0"/>
          <w:numId w:val="7"/>
        </w:numPr>
        <w:shd w:val="clear"/>
        <w:kinsoku/>
        <w:wordWrap/>
        <w:overflowPunct/>
        <w:topLinePunct w:val="0"/>
        <w:bidi w:val="0"/>
        <w:snapToGrid/>
        <w:spacing w:before="0" w:beforeAutospacing="0" w:after="0" w:afterAutospacing="0" w:line="360" w:lineRule="exact"/>
        <w:jc w:val="left"/>
        <w:textAlignment w:val="auto"/>
        <w:outlineLvl w:val="9"/>
        <w:rPr>
          <w:rFonts w:hint="eastAsia" w:ascii="微软雅黑" w:hAnsi="微软雅黑" w:eastAsia="微软雅黑" w:cs="微软雅黑"/>
          <w:b/>
          <w:bCs/>
          <w:color w:val="auto"/>
          <w:kern w:val="0"/>
          <w:sz w:val="24"/>
          <w:szCs w:val="24"/>
          <w:highlight w:val="none"/>
          <w:lang w:val="en-US" w:eastAsia="zh-CN"/>
        </w:rPr>
      </w:pPr>
      <w:bookmarkStart w:id="845" w:name="_Toc23916"/>
      <w:bookmarkStart w:id="846" w:name="_Toc28359095"/>
      <w:bookmarkStart w:id="847" w:name="_Toc21330"/>
      <w:bookmarkStart w:id="848" w:name="_Toc35393636"/>
      <w:bookmarkStart w:id="849" w:name="_Toc35393805"/>
      <w:bookmarkStart w:id="850" w:name="_Toc28359018"/>
      <w:bookmarkStart w:id="851" w:name="_Toc18510"/>
      <w:bookmarkStart w:id="852" w:name="_Toc5483"/>
      <w:r>
        <w:rPr>
          <w:rFonts w:hint="eastAsia" w:ascii="微软雅黑" w:hAnsi="微软雅黑" w:eastAsia="微软雅黑" w:cs="微软雅黑"/>
          <w:b/>
          <w:bCs/>
          <w:color w:val="auto"/>
          <w:kern w:val="0"/>
          <w:sz w:val="24"/>
          <w:szCs w:val="24"/>
          <w:highlight w:val="none"/>
          <w:lang w:val="en-US" w:eastAsia="zh-CN"/>
        </w:rPr>
        <w:t>其他事项</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2.本项目实行网上磋商，采用电子响应文件(供应商须使用CA加密设备通过政采云电子磋商客户端制作响应文件)。若供应商参与磋商，自行承担磋商一切费用。</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3.各供应商应在磋商前应确保成为新疆政府采购网正式注册入库供应商，并完成CA数字证书申领。因未注册入库、未办理CA数字证书等原因造成无法磋商或磋商失败等后果由供应商自行承担。</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供应商将政采云电子交易客户端下载、安装完成后，可通过账号密码或CA登录客户端进行响应文件制作。在使用政采云磋商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5.供应商在磋商时须使用制作加密电子响应文件所使用的CA锁及电脑，电脑须提前配置好浏览器（建议使用谷歌浏览器），以便磋商时解锁。</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6.磋商保证金缴纳及确认时间：凡拟参加本次采购项目的供应商，必须在磋商前将磋商保证金汇入指定账户。磋商保证金汇款凭证上用途栏应注明:采购项目名称+标项号+磋商保证金。否则，届时其磋商将被拒绝。</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磋商”—“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bookmarkEnd w:id="845"/>
    <w:bookmarkEnd w:id="846"/>
    <w:bookmarkEnd w:id="847"/>
    <w:bookmarkEnd w:id="848"/>
    <w:bookmarkEnd w:id="849"/>
    <w:bookmarkEnd w:id="850"/>
    <w:bookmarkEnd w:id="851"/>
    <w:bookmarkEnd w:id="852"/>
    <w:p>
      <w:pPr>
        <w:pageBreakBefore w:val="0"/>
        <w:widowControl w:val="0"/>
        <w:shd w:val="clear"/>
        <w:kinsoku/>
        <w:wordWrap/>
        <w:overflowPunct/>
        <w:topLinePunct w:val="0"/>
        <w:bidi w:val="0"/>
        <w:snapToGrid/>
        <w:spacing w:before="0" w:beforeAutospacing="0" w:after="0" w:afterAutospacing="0" w:line="360" w:lineRule="exact"/>
        <w:jc w:val="left"/>
        <w:textAlignment w:val="auto"/>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lang w:val="en-US" w:eastAsia="zh-CN"/>
        </w:rPr>
        <w:t>八、</w:t>
      </w:r>
      <w:r>
        <w:rPr>
          <w:rFonts w:hint="eastAsia" w:ascii="微软雅黑" w:hAnsi="微软雅黑" w:eastAsia="微软雅黑" w:cs="微软雅黑"/>
          <w:b/>
          <w:bCs/>
          <w:color w:val="auto"/>
          <w:kern w:val="0"/>
          <w:sz w:val="24"/>
          <w:szCs w:val="24"/>
          <w:highlight w:val="none"/>
        </w:rPr>
        <w:t>凡对本次采购提出询问，请按以下方式联系。</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1.采购人信息</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名    称：喀什地区第二人民医院</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地    址：</w:t>
      </w:r>
      <w:bookmarkStart w:id="1454" w:name="_GoBack"/>
      <w:r>
        <w:rPr>
          <w:rFonts w:hint="eastAsia" w:ascii="微软雅黑" w:hAnsi="微软雅黑" w:eastAsia="微软雅黑" w:cs="微软雅黑"/>
          <w:color w:val="auto"/>
          <w:sz w:val="24"/>
          <w:highlight w:val="none"/>
          <w:lang w:val="en-US" w:eastAsia="zh-CN"/>
        </w:rPr>
        <w:t>喀什市健康路1号</w:t>
      </w:r>
      <w:bookmarkEnd w:id="1454"/>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bookmarkStart w:id="853" w:name="_Toc28359009"/>
      <w:bookmarkStart w:id="854" w:name="_Toc28359086"/>
      <w:r>
        <w:rPr>
          <w:rFonts w:hint="eastAsia" w:ascii="微软雅黑" w:hAnsi="微软雅黑" w:eastAsia="微软雅黑" w:cs="微软雅黑"/>
          <w:color w:val="auto"/>
          <w:sz w:val="24"/>
          <w:highlight w:val="none"/>
          <w:lang w:val="en-US" w:eastAsia="zh-CN"/>
        </w:rPr>
        <w:t>联 系 人：伊尔潘江·依布拉音</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联系电话：</w:t>
      </w:r>
      <w:bookmarkEnd w:id="853"/>
      <w:bookmarkEnd w:id="854"/>
      <w:r>
        <w:rPr>
          <w:rFonts w:hint="eastAsia" w:ascii="微软雅黑" w:hAnsi="微软雅黑" w:eastAsia="微软雅黑" w:cs="微软雅黑"/>
          <w:color w:val="auto"/>
          <w:sz w:val="24"/>
          <w:highlight w:val="none"/>
          <w:lang w:val="en-US" w:eastAsia="zh-CN"/>
        </w:rPr>
        <w:t>13201317901</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2.采购代理机构信息</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名    称：新疆共建恒业信息咨询有限责任公司</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地　　址：喀什经济开发区深喀大道陕西大厦12楼1208室</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联 系 人：朱萍     </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联系方式：18209987338 </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3.同级政府采购监督管理部门</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名    称：喀什地区财政局政府采购管理办公室            </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地    址：喀什地区财政局 </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lang w:val="en-US" w:eastAsia="zh-CN"/>
        </w:rPr>
        <w:t xml:space="preserve">监督投诉电话：0998-2597200  </w:t>
      </w:r>
      <w:r>
        <w:rPr>
          <w:rFonts w:hint="eastAsia" w:ascii="微软雅黑" w:hAnsi="微软雅黑" w:eastAsia="微软雅黑" w:cs="微软雅黑"/>
          <w:color w:val="auto"/>
          <w:kern w:val="0"/>
          <w:sz w:val="24"/>
          <w:szCs w:val="24"/>
          <w:highlight w:val="none"/>
        </w:rPr>
        <w:t>　</w:t>
      </w:r>
    </w:p>
    <w:p>
      <w:pPr>
        <w:pageBreakBefore w:val="0"/>
        <w:widowControl w:val="0"/>
        <w:kinsoku/>
        <w:wordWrap/>
        <w:overflowPunct/>
        <w:topLinePunct w:val="0"/>
        <w:bidi w:val="0"/>
        <w:snapToGrid/>
        <w:spacing w:beforeAutospacing="0" w:afterAutospacing="0" w:line="360" w:lineRule="exact"/>
        <w:ind w:left="0" w:leftChars="0" w:firstLine="480" w:firstLineChars="200"/>
        <w:jc w:val="right"/>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新疆共建恒业信息咨询有限责任公司</w:t>
      </w:r>
    </w:p>
    <w:p>
      <w:pPr>
        <w:jc w:val="right"/>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2023年</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27</w:t>
      </w:r>
      <w:r>
        <w:rPr>
          <w:rFonts w:hint="eastAsia" w:ascii="微软雅黑" w:hAnsi="微软雅黑" w:eastAsia="微软雅黑" w:cs="微软雅黑"/>
          <w:color w:val="auto"/>
          <w:sz w:val="24"/>
          <w:szCs w:val="24"/>
          <w:highlight w:val="none"/>
        </w:rPr>
        <w:t>日</w:t>
      </w:r>
    </w:p>
    <w:p/>
    <w:p>
      <w:pPr>
        <w:jc w:val="right"/>
        <w:rPr>
          <w:rFonts w:hint="eastAsia" w:ascii="微软雅黑" w:hAnsi="微软雅黑" w:eastAsia="微软雅黑" w:cs="微软雅黑"/>
          <w:color w:val="auto"/>
          <w:highlight w:val="none"/>
        </w:rPr>
      </w:pPr>
    </w:p>
    <w:p>
      <w:pPr>
        <w:pStyle w:val="6"/>
        <w:tabs>
          <w:tab w:val="left" w:pos="0"/>
        </w:tabs>
        <w:spacing w:before="0" w:beforeAutospacing="0" w:after="0" w:afterAutospacing="0" w:line="240" w:lineRule="atLeast"/>
        <w:jc w:val="center"/>
        <w:rPr>
          <w:rFonts w:hint="eastAsia" w:ascii="微软雅黑" w:hAnsi="微软雅黑" w:eastAsia="微软雅黑" w:cs="微软雅黑"/>
          <w:color w:val="auto"/>
          <w:highlight w:val="none"/>
        </w:rPr>
      </w:pPr>
      <w:bookmarkStart w:id="855" w:name="_Toc4203"/>
      <w:r>
        <w:rPr>
          <w:rFonts w:hint="eastAsia" w:ascii="微软雅黑" w:hAnsi="微软雅黑" w:eastAsia="微软雅黑" w:cs="微软雅黑"/>
          <w:color w:val="auto"/>
          <w:highlight w:val="none"/>
          <w:lang w:val="en-US" w:eastAsia="zh-CN"/>
        </w:rPr>
        <w:t xml:space="preserve">第4章 </w:t>
      </w:r>
      <w:r>
        <w:rPr>
          <w:rFonts w:hint="eastAsia" w:ascii="微软雅黑" w:hAnsi="微软雅黑" w:eastAsia="微软雅黑" w:cs="微软雅黑"/>
          <w:color w:val="auto"/>
          <w:highlight w:val="none"/>
          <w:lang w:eastAsia="zh-CN"/>
        </w:rPr>
        <w:t>供应商</w:t>
      </w:r>
      <w:r>
        <w:rPr>
          <w:rFonts w:hint="eastAsia" w:ascii="微软雅黑" w:hAnsi="微软雅黑" w:eastAsia="微软雅黑" w:cs="微软雅黑"/>
          <w:color w:val="auto"/>
          <w:highlight w:val="none"/>
        </w:rPr>
        <w:t>须知资料表</w:t>
      </w:r>
      <w:bookmarkEnd w:id="855"/>
    </w:p>
    <w:p>
      <w:pPr>
        <w:spacing w:beforeAutospacing="0" w:afterAutospacing="0" w:line="240" w:lineRule="atLeast"/>
        <w:ind w:firstLine="360" w:firstLineChars="1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本表是本</w:t>
      </w:r>
      <w:r>
        <w:rPr>
          <w:rFonts w:hint="eastAsia" w:ascii="微软雅黑" w:hAnsi="微软雅黑" w:eastAsia="微软雅黑" w:cs="微软雅黑"/>
          <w:color w:val="auto"/>
          <w:sz w:val="24"/>
          <w:highlight w:val="none"/>
          <w:lang w:eastAsia="zh-CN"/>
        </w:rPr>
        <w:t>采购</w:t>
      </w:r>
      <w:r>
        <w:rPr>
          <w:rFonts w:hint="eastAsia" w:ascii="微软雅黑" w:hAnsi="微软雅黑" w:eastAsia="微软雅黑" w:cs="微软雅黑"/>
          <w:color w:val="auto"/>
          <w:sz w:val="24"/>
          <w:highlight w:val="none"/>
        </w:rPr>
        <w:t>项目的具体资料，是对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须知的具体补充和修改，如有矛盾，应以本资料表为准。</w:t>
      </w:r>
    </w:p>
    <w:tbl>
      <w:tblPr>
        <w:tblStyle w:val="22"/>
        <w:tblW w:w="9367" w:type="dxa"/>
        <w:tblInd w:w="-29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7"/>
        <w:gridCol w:w="85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pPr>
              <w:spacing w:beforeAutospacing="0" w:afterAutospacing="0"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条款号</w:t>
            </w:r>
          </w:p>
        </w:tc>
        <w:tc>
          <w:tcPr>
            <w:tcW w:w="8500" w:type="dxa"/>
            <w:vAlign w:val="center"/>
          </w:tcPr>
          <w:p>
            <w:pPr>
              <w:spacing w:beforeAutospacing="0" w:afterAutospacing="0" w:line="360" w:lineRule="auto"/>
              <w:ind w:left="1080" w:leftChars="257" w:hanging="540"/>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86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采购人：</w:t>
            </w:r>
            <w:r>
              <w:rPr>
                <w:rFonts w:hint="eastAsia" w:ascii="微软雅黑" w:hAnsi="微软雅黑" w:eastAsia="微软雅黑" w:cs="微软雅黑"/>
                <w:color w:val="auto"/>
                <w:sz w:val="24"/>
                <w:highlight w:val="none"/>
                <w:u w:val="single"/>
                <w:lang w:val="en-US" w:eastAsia="zh-CN"/>
              </w:rPr>
              <w:t>喀什地区第二人民医院</w:t>
            </w:r>
            <w:r>
              <w:rPr>
                <w:rFonts w:hint="eastAsia" w:ascii="微软雅黑" w:hAnsi="微软雅黑" w:eastAsia="微软雅黑" w:cs="微软雅黑"/>
                <w:color w:val="auto"/>
                <w:sz w:val="24"/>
                <w:highlight w:val="none"/>
                <w:lang w:val="en-US" w:eastAsia="zh-CN"/>
              </w:rPr>
              <w:t>　</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联系人：</w:t>
            </w:r>
            <w:r>
              <w:rPr>
                <w:rFonts w:hint="eastAsia" w:ascii="微软雅黑" w:hAnsi="微软雅黑" w:eastAsia="微软雅黑" w:cs="微软雅黑"/>
                <w:color w:val="auto"/>
                <w:sz w:val="24"/>
                <w:highlight w:val="none"/>
                <w:u w:val="single"/>
                <w:lang w:val="en-US" w:eastAsia="zh-CN"/>
              </w:rPr>
              <w:t xml:space="preserve">伊尔潘江·依布拉音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 联系电话：</w:t>
            </w:r>
            <w:r>
              <w:rPr>
                <w:rFonts w:hint="eastAsia" w:ascii="微软雅黑" w:hAnsi="微软雅黑" w:eastAsia="微软雅黑" w:cs="微软雅黑"/>
                <w:color w:val="auto"/>
                <w:sz w:val="24"/>
                <w:highlight w:val="none"/>
                <w:u w:val="single"/>
                <w:lang w:val="en-US" w:eastAsia="zh-CN"/>
              </w:rPr>
              <w:t>13201317901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6" w:hRule="atLeast"/>
        </w:trPr>
        <w:tc>
          <w:tcPr>
            <w:tcW w:w="86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w:t>
            </w:r>
          </w:p>
        </w:tc>
        <w:tc>
          <w:tcPr>
            <w:tcW w:w="8500" w:type="dxa"/>
            <w:vAlign w:val="center"/>
          </w:tcPr>
          <w:p>
            <w:pPr>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采购代理机构：</w:t>
            </w:r>
            <w:r>
              <w:rPr>
                <w:rFonts w:hint="eastAsia" w:ascii="微软雅黑" w:hAnsi="微软雅黑" w:eastAsia="微软雅黑" w:cs="微软雅黑"/>
                <w:color w:val="auto"/>
                <w:sz w:val="24"/>
                <w:highlight w:val="none"/>
                <w:u w:val="single"/>
              </w:rPr>
              <w:t xml:space="preserve">新疆共建恒业信息咨询有限责任公司  </w:t>
            </w:r>
          </w:p>
          <w:p>
            <w:pPr>
              <w:spacing w:line="40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single"/>
              </w:rPr>
              <w:t>喀什经济开发区深喀大道陕西大厦12楼1208室</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业务联系人：</w:t>
            </w:r>
            <w:r>
              <w:rPr>
                <w:rFonts w:hint="eastAsia" w:ascii="微软雅黑" w:hAnsi="微软雅黑" w:eastAsia="微软雅黑" w:cs="微软雅黑"/>
                <w:color w:val="auto"/>
                <w:sz w:val="24"/>
                <w:highlight w:val="none"/>
                <w:u w:val="single"/>
                <w:lang w:val="en-US" w:eastAsia="zh-CN"/>
              </w:rPr>
              <w:t>朱萍</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联系电话： </w:t>
            </w:r>
            <w:r>
              <w:rPr>
                <w:rFonts w:hint="eastAsia" w:ascii="微软雅黑" w:hAnsi="微软雅黑" w:eastAsia="微软雅黑" w:cs="微软雅黑"/>
                <w:color w:val="auto"/>
                <w:sz w:val="24"/>
                <w:highlight w:val="none"/>
                <w:u w:val="single"/>
              </w:rPr>
              <w:t>18209987338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4" w:hRule="atLeast"/>
        </w:trPr>
        <w:tc>
          <w:tcPr>
            <w:tcW w:w="867" w:type="dxa"/>
            <w:vAlign w:val="center"/>
          </w:tcPr>
          <w:p>
            <w:pPr>
              <w:keepNext w:val="0"/>
              <w:keepLines w:val="0"/>
              <w:pageBreakBefore w:val="0"/>
              <w:widowControl w:val="0"/>
              <w:kinsoku/>
              <w:wordWrap/>
              <w:overflowPunct/>
              <w:topLinePunct w:val="0"/>
              <w:bidi w:val="0"/>
              <w:snapToGrid/>
              <w:spacing w:beforeAutospacing="0" w:afterAutospacing="0" w:line="40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w:t>
            </w:r>
          </w:p>
        </w:tc>
        <w:tc>
          <w:tcPr>
            <w:tcW w:w="8500" w:type="dxa"/>
            <w:vAlign w:val="center"/>
          </w:tcPr>
          <w:p>
            <w:pPr>
              <w:spacing w:beforeAutospacing="0" w:afterAutospacing="0" w:line="400" w:lineRule="exact"/>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合格供应商的其他资格要求</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需将以下证明资料附在响应文件中</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kern w:val="0"/>
                <w:sz w:val="24"/>
                <w:szCs w:val="24"/>
                <w:highlight w:val="none"/>
              </w:rPr>
              <w:t>：</w:t>
            </w:r>
          </w:p>
          <w:p>
            <w:pPr>
              <w:spacing w:line="42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w:t>
            </w:r>
            <w:r>
              <w:rPr>
                <w:rFonts w:hint="eastAsia" w:ascii="微软雅黑" w:hAnsi="微软雅黑" w:eastAsia="微软雅黑" w:cs="微软雅黑"/>
                <w:b/>
                <w:bCs/>
                <w:color w:val="auto"/>
                <w:sz w:val="24"/>
                <w:highlight w:val="none"/>
                <w:lang w:eastAsia="zh-CN"/>
              </w:rPr>
              <w:t>具有有效的营业执照</w:t>
            </w:r>
            <w:r>
              <w:rPr>
                <w:rFonts w:hint="eastAsia" w:ascii="微软雅黑" w:hAnsi="微软雅黑" w:eastAsia="微软雅黑" w:cs="微软雅黑"/>
                <w:b/>
                <w:bCs/>
                <w:color w:val="auto"/>
                <w:sz w:val="24"/>
                <w:highlight w:val="none"/>
              </w:rPr>
              <w:t>；</w:t>
            </w:r>
          </w:p>
          <w:p>
            <w:pPr>
              <w:spacing w:line="420" w:lineRule="exact"/>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
                <w:bCs/>
                <w:color w:val="auto"/>
                <w:sz w:val="24"/>
                <w:highlight w:val="none"/>
              </w:rPr>
              <w:t>2.提供法定代表人身份证明及授权书、被授权人身份证；(法定代表人磋商需提供法定代表人身份证复印件)</w:t>
            </w:r>
            <w:r>
              <w:rPr>
                <w:rFonts w:hint="eastAsia" w:ascii="微软雅黑" w:hAnsi="微软雅黑" w:eastAsia="微软雅黑" w:cs="微软雅黑"/>
                <w:b/>
                <w:bCs/>
                <w:color w:val="auto"/>
                <w:sz w:val="24"/>
                <w:highlight w:val="none"/>
                <w:lang w:eastAsia="zh-CN"/>
              </w:rPr>
              <w:t>；</w:t>
            </w:r>
          </w:p>
          <w:p>
            <w:pPr>
              <w:spacing w:line="42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w:t>
            </w:r>
            <w:r>
              <w:rPr>
                <w:rFonts w:hint="eastAsia" w:ascii="微软雅黑" w:hAnsi="微软雅黑" w:eastAsia="微软雅黑" w:cs="微软雅黑"/>
                <w:b/>
                <w:bCs/>
                <w:color w:val="auto"/>
                <w:sz w:val="24"/>
                <w:highlight w:val="none"/>
                <w:lang w:eastAsia="zh-CN"/>
              </w:rPr>
              <w:t>近两年任意一年的财务审计报告，新成立的公司提供近三个月内任意一个月的银行资信证明</w:t>
            </w:r>
            <w:r>
              <w:rPr>
                <w:rFonts w:hint="eastAsia" w:ascii="微软雅黑" w:hAnsi="微软雅黑" w:eastAsia="微软雅黑" w:cs="微软雅黑"/>
                <w:b/>
                <w:bCs/>
                <w:color w:val="auto"/>
                <w:sz w:val="24"/>
                <w:highlight w:val="none"/>
              </w:rPr>
              <w:t>；</w:t>
            </w:r>
          </w:p>
          <w:p>
            <w:pPr>
              <w:spacing w:line="42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4.</w:t>
            </w:r>
            <w:r>
              <w:rPr>
                <w:rFonts w:hint="eastAsia" w:ascii="微软雅黑" w:hAnsi="微软雅黑" w:eastAsia="微软雅黑" w:cs="微软雅黑"/>
                <w:b/>
                <w:bCs/>
                <w:color w:val="auto"/>
                <w:sz w:val="24"/>
                <w:highlight w:val="none"/>
                <w:lang w:eastAsia="zh-CN"/>
              </w:rPr>
              <w:t>提供依法缴纳近6个月任意1个月社会保险的证明</w:t>
            </w:r>
            <w:r>
              <w:rPr>
                <w:rFonts w:hint="eastAsia" w:ascii="微软雅黑" w:hAnsi="微软雅黑" w:eastAsia="微软雅黑" w:cs="微软雅黑"/>
                <w:b/>
                <w:bCs/>
                <w:color w:val="auto"/>
                <w:sz w:val="24"/>
                <w:highlight w:val="none"/>
              </w:rPr>
              <w:t>；</w:t>
            </w:r>
          </w:p>
          <w:p>
            <w:pPr>
              <w:spacing w:line="42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5.</w:t>
            </w:r>
            <w:r>
              <w:rPr>
                <w:rFonts w:hint="eastAsia" w:ascii="微软雅黑" w:hAnsi="微软雅黑" w:eastAsia="微软雅黑" w:cs="微软雅黑"/>
                <w:b/>
                <w:bCs/>
                <w:color w:val="auto"/>
                <w:sz w:val="24"/>
                <w:highlight w:val="none"/>
                <w:lang w:eastAsia="zh-CN"/>
              </w:rPr>
              <w:t>提供依法缴纳近6个月任意1个月的税收证明</w:t>
            </w:r>
            <w:r>
              <w:rPr>
                <w:rFonts w:hint="eastAsia" w:ascii="微软雅黑" w:hAnsi="微软雅黑" w:eastAsia="微软雅黑" w:cs="微软雅黑"/>
                <w:b/>
                <w:bCs/>
                <w:color w:val="auto"/>
                <w:sz w:val="24"/>
                <w:highlight w:val="none"/>
              </w:rPr>
              <w:t>；</w:t>
            </w:r>
          </w:p>
          <w:p>
            <w:pPr>
              <w:spacing w:line="42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将拒绝其参加本次招标活动；（以招标代理或招标人查询为准）</w:t>
            </w:r>
          </w:p>
          <w:p>
            <w:pPr>
              <w:spacing w:line="42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7.参与政府采购活动前3年内未被列入失信、重大税收违法案件、财政部门禁止参加政府采购活动的承诺书；</w:t>
            </w:r>
          </w:p>
          <w:p>
            <w:pPr>
              <w:spacing w:line="42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8.提供针对本次项目《反商业贿赂承诺书》；</w:t>
            </w:r>
          </w:p>
          <w:p>
            <w:pPr>
              <w:spacing w:line="420" w:lineRule="exact"/>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highlight w:val="none"/>
              </w:rPr>
              <w:t>9.缴纳磋商保证金有效凭证。</w:t>
            </w:r>
          </w:p>
          <w:p>
            <w:pPr>
              <w:widowControl/>
              <w:snapToGrid w:val="0"/>
              <w:spacing w:beforeAutospacing="0" w:afterAutospacing="0" w:line="440" w:lineRule="exact"/>
              <w:textAlignment w:val="baseline"/>
              <w:rPr>
                <w:rFonts w:hint="eastAsia" w:ascii="微软雅黑" w:hAnsi="微软雅黑" w:eastAsia="微软雅黑" w:cs="微软雅黑"/>
                <w:color w:val="auto"/>
                <w:szCs w:val="24"/>
                <w:highlight w:val="none"/>
              </w:rPr>
            </w:pPr>
            <w:r>
              <w:rPr>
                <w:rFonts w:hint="eastAsia" w:ascii="微软雅黑" w:hAnsi="微软雅黑" w:eastAsia="微软雅黑" w:cs="微软雅黑"/>
                <w:b/>
                <w:bCs/>
                <w:color w:val="auto"/>
                <w:sz w:val="24"/>
                <w:szCs w:val="24"/>
                <w:highlight w:val="none"/>
              </w:rPr>
              <w:t>注：“</w:t>
            </w:r>
            <w:r>
              <w:rPr>
                <w:rFonts w:hint="eastAsia" w:ascii="微软雅黑" w:hAnsi="微软雅黑" w:eastAsia="微软雅黑" w:cs="微软雅黑"/>
                <w:b/>
                <w:bCs/>
                <w:color w:val="auto"/>
                <w:sz w:val="24"/>
                <w:szCs w:val="24"/>
                <w:highlight w:val="none"/>
                <w:lang w:eastAsia="zh-CN"/>
              </w:rPr>
              <w:t>提供依法缴纳近6个月任意1个月的税收证明</w:t>
            </w:r>
            <w:r>
              <w:rPr>
                <w:rFonts w:hint="eastAsia" w:ascii="微软雅黑" w:hAnsi="微软雅黑" w:eastAsia="微软雅黑" w:cs="微软雅黑"/>
                <w:b/>
                <w:bCs/>
                <w:color w:val="auto"/>
                <w:sz w:val="24"/>
                <w:szCs w:val="24"/>
                <w:highlight w:val="none"/>
              </w:rPr>
              <w:t>”：①若供应商某月税收为零申报，须提供“国家税务总局电子税务局（12366.chinatax.gov.cn/bsfw/onlinetaxation/main）”的申报结果查询截图。②完税证明中“税种”非养老保险、医疗保险、失业保险、工伤保险和生育保险。请各供应商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1.3.5   </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b w:val="0"/>
                <w:bCs w:val="0"/>
                <w:color w:val="auto"/>
                <w:sz w:val="24"/>
                <w:highlight w:val="none"/>
              </w:rPr>
              <w:t>是否允许采购进口产品：</w:t>
            </w:r>
            <w:r>
              <w:rPr>
                <w:rFonts w:hint="eastAsia" w:ascii="微软雅黑" w:hAnsi="微软雅黑" w:eastAsia="微软雅黑" w:cs="微软雅黑"/>
                <w:b w:val="0"/>
                <w:bCs w:val="0"/>
                <w:color w:val="auto"/>
                <w:sz w:val="24"/>
                <w:highlight w:val="none"/>
                <w:u w:val="single"/>
              </w:rPr>
              <w:t xml:space="preserve"> </w:t>
            </w:r>
            <w:r>
              <w:rPr>
                <w:rFonts w:hint="eastAsia" w:ascii="微软雅黑" w:hAnsi="微软雅黑" w:eastAsia="微软雅黑" w:cs="微软雅黑"/>
                <w:b w:val="0"/>
                <w:bCs w:val="0"/>
                <w:color w:val="auto"/>
                <w:sz w:val="24"/>
                <w:highlight w:val="none"/>
                <w:u w:val="single"/>
                <w:lang w:val="en-US" w:eastAsia="zh-CN"/>
              </w:rPr>
              <w:t>否</w:t>
            </w:r>
            <w:r>
              <w:rPr>
                <w:rFonts w:hint="eastAsia" w:ascii="微软雅黑" w:hAnsi="微软雅黑" w:eastAsia="微软雅黑" w:cs="微软雅黑"/>
                <w:b w:val="0"/>
                <w:bCs w:val="0"/>
                <w:color w:val="auto"/>
                <w:sz w:val="24"/>
                <w:highlight w:val="none"/>
                <w:u w:val="single"/>
              </w:rPr>
              <w:t xml:space="preserve"> </w:t>
            </w:r>
            <w:r>
              <w:rPr>
                <w:rFonts w:hint="eastAsia" w:ascii="微软雅黑" w:hAnsi="微软雅黑" w:eastAsia="微软雅黑" w:cs="微软雅黑"/>
                <w:b w:val="0"/>
                <w:bCs w:val="0"/>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86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1.3.6</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是否为专门面向中小企业采购：</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val="en-US" w:eastAsia="zh-CN"/>
              </w:rPr>
              <w:t>是</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i/>
                <w:color w:val="auto"/>
                <w:sz w:val="24"/>
                <w:highlight w:val="none"/>
              </w:rPr>
              <w:t>（是、否）</w:t>
            </w:r>
            <w:r>
              <w:rPr>
                <w:rFonts w:hint="eastAsia" w:ascii="微软雅黑" w:hAnsi="微软雅黑" w:eastAsia="微软雅黑" w:cs="微软雅黑"/>
                <w:b/>
                <w:bCs/>
                <w:color w:val="auto"/>
                <w:sz w:val="24"/>
                <w:szCs w:val="32"/>
                <w:highlight w:val="none"/>
                <w:lang w:eastAsia="zh-CN"/>
              </w:rPr>
              <w:t>（注：</w:t>
            </w:r>
            <w:r>
              <w:rPr>
                <w:rFonts w:hint="eastAsia" w:ascii="微软雅黑" w:hAnsi="微软雅黑" w:eastAsia="微软雅黑" w:cs="微软雅黑"/>
                <w:b/>
                <w:bCs/>
                <w:color w:val="auto"/>
                <w:kern w:val="0"/>
                <w:sz w:val="24"/>
                <w:szCs w:val="24"/>
                <w:highlight w:val="none"/>
                <w:lang w:val="en-US" w:eastAsia="zh-CN"/>
              </w:rPr>
              <w:t>潜在磋商企业属于中小微企业的，请在响应文件中提供“中小企业声明函”，如果未提供或提供虚假的“中小企业声明函”，磋商企业将承担由此造成的一切不利后果。）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是否允许联合体</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 xml:space="preserve">  否  </w:t>
            </w:r>
            <w:r>
              <w:rPr>
                <w:rFonts w:hint="eastAsia" w:ascii="微软雅黑" w:hAnsi="微软雅黑" w:eastAsia="微软雅黑" w:cs="微软雅黑"/>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trPr>
        <w:tc>
          <w:tcPr>
            <w:tcW w:w="86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67" w:type="dxa"/>
            <w:vAlign w:val="center"/>
          </w:tcPr>
          <w:p>
            <w:pPr>
              <w:spacing w:beforeAutospacing="0" w:afterAutospacing="0"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w:t>
            </w:r>
          </w:p>
        </w:tc>
        <w:tc>
          <w:tcPr>
            <w:tcW w:w="8500" w:type="dxa"/>
            <w:vAlign w:val="center"/>
          </w:tcPr>
          <w:p>
            <w:pPr>
              <w:widowControl/>
              <w:snapToGrid w:val="0"/>
              <w:spacing w:beforeAutospacing="0" w:afterAutospacing="0" w:line="440" w:lineRule="exac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项目预算金额：75万元</w:t>
            </w:r>
          </w:p>
          <w:p>
            <w:pPr>
              <w:widowControl/>
              <w:snapToGrid w:val="0"/>
              <w:spacing w:beforeAutospacing="0" w:afterAutospacing="0" w:line="440" w:lineRule="exact"/>
              <w:textAlignment w:val="baseline"/>
              <w:rPr>
                <w:rFonts w:hint="eastAsia" w:ascii="微软雅黑" w:hAnsi="微软雅黑" w:eastAsia="微软雅黑" w:cs="微软雅黑"/>
                <w:color w:val="auto"/>
                <w:highlight w:val="none"/>
                <w:lang w:val="en-US"/>
              </w:rPr>
            </w:pPr>
            <w:r>
              <w:rPr>
                <w:rFonts w:hint="eastAsia" w:ascii="微软雅黑" w:hAnsi="微软雅黑" w:eastAsia="微软雅黑" w:cs="微软雅黑"/>
                <w:b/>
                <w:bCs/>
                <w:color w:val="auto"/>
                <w:sz w:val="24"/>
                <w:szCs w:val="24"/>
                <w:highlight w:val="none"/>
                <w:lang w:val="en-US"/>
              </w:rPr>
              <w:t>采购需求：打印机维修及更换耗材服务</w:t>
            </w:r>
            <w:r>
              <w:rPr>
                <w:rFonts w:hint="eastAsia" w:ascii="微软雅黑" w:hAnsi="微软雅黑" w:eastAsia="微软雅黑" w:cs="微软雅黑"/>
                <w:b/>
                <w:bCs/>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pPr>
              <w:spacing w:beforeAutospacing="0" w:afterAutospacing="0" w:line="44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12.1</w:t>
            </w:r>
          </w:p>
        </w:tc>
        <w:tc>
          <w:tcPr>
            <w:tcW w:w="8500" w:type="dxa"/>
            <w:vAlign w:val="center"/>
          </w:tcPr>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 xml:space="preserve">形式：☑保函  ☑电汇  □支票   ☑对公转账   </w:t>
            </w:r>
          </w:p>
          <w:p>
            <w:pPr>
              <w:spacing w:line="360" w:lineRule="exact"/>
              <w:ind w:left="240" w:hanging="240" w:hanging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数额：</w:t>
            </w:r>
            <w:r>
              <w:rPr>
                <w:rFonts w:hint="eastAsia" w:ascii="微软雅黑" w:hAnsi="微软雅黑" w:eastAsia="微软雅黑" w:cs="微软雅黑"/>
                <w:b/>
                <w:bCs/>
                <w:color w:val="auto"/>
                <w:sz w:val="24"/>
                <w:highlight w:val="none"/>
                <w:u w:val="single"/>
              </w:rPr>
              <w:t>¥</w:t>
            </w:r>
            <w:r>
              <w:rPr>
                <w:rFonts w:hint="eastAsia" w:ascii="微软雅黑" w:hAnsi="微软雅黑" w:eastAsia="微软雅黑" w:cs="微软雅黑"/>
                <w:b/>
                <w:bCs/>
                <w:color w:val="auto"/>
                <w:sz w:val="24"/>
                <w:highlight w:val="none"/>
                <w:u w:val="single"/>
                <w:lang w:val="en-US" w:eastAsia="zh-CN"/>
              </w:rPr>
              <w:t>15</w:t>
            </w:r>
            <w:r>
              <w:rPr>
                <w:rFonts w:hint="eastAsia" w:ascii="微软雅黑" w:hAnsi="微软雅黑" w:eastAsia="微软雅黑" w:cs="微软雅黑"/>
                <w:b/>
                <w:bCs/>
                <w:color w:val="auto"/>
                <w:sz w:val="24"/>
                <w:highlight w:val="none"/>
                <w:u w:val="single"/>
              </w:rPr>
              <w:t>000元（人民币</w:t>
            </w:r>
            <w:r>
              <w:rPr>
                <w:rFonts w:hint="eastAsia" w:ascii="微软雅黑" w:hAnsi="微软雅黑" w:eastAsia="微软雅黑" w:cs="微软雅黑"/>
                <w:b/>
                <w:bCs/>
                <w:color w:val="auto"/>
                <w:sz w:val="24"/>
                <w:highlight w:val="none"/>
                <w:u w:val="single"/>
                <w:lang w:val="en-US" w:eastAsia="zh-CN"/>
              </w:rPr>
              <w:t>壹万伍仟元整</w:t>
            </w:r>
            <w:r>
              <w:rPr>
                <w:rFonts w:hint="eastAsia" w:ascii="微软雅黑" w:hAnsi="微软雅黑" w:eastAsia="微软雅黑" w:cs="微软雅黑"/>
                <w:b/>
                <w:bCs/>
                <w:color w:val="auto"/>
                <w:sz w:val="24"/>
                <w:highlight w:val="none"/>
                <w:u w:val="single"/>
              </w:rPr>
              <w:t>）</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color w:val="auto"/>
                <w:sz w:val="24"/>
                <w:highlight w:val="none"/>
              </w:rPr>
              <w:t>（按照控制金额2%以内的整数计算）</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收款单位名称：新疆共建恒业信息咨询有限责任公司</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 户 行：乌鲁木齐银行喀什分行（营业部）</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账    号：0000020080110025191371（电汇时请在汇款备注栏注明项目名称及包号（如有），并注明是</w:t>
            </w: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。否则视为无效</w:t>
            </w: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     </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行    号：313894000405</w:t>
            </w:r>
          </w:p>
          <w:p>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财务室联系方式：18209987338</w:t>
            </w:r>
          </w:p>
          <w:p>
            <w:pPr>
              <w:spacing w:line="36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注意事项：</w:t>
            </w:r>
          </w:p>
          <w:p>
            <w:pPr>
              <w:spacing w:line="360" w:lineRule="exact"/>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highlight w:val="none"/>
              </w:rPr>
              <w:t>A:缴纳保证金要求</w:t>
            </w:r>
            <w:r>
              <w:rPr>
                <w:rFonts w:hint="eastAsia" w:ascii="微软雅黑" w:hAnsi="微软雅黑" w:eastAsia="微软雅黑" w:cs="微软雅黑"/>
                <w:color w:val="auto"/>
                <w:sz w:val="24"/>
                <w:highlight w:val="none"/>
              </w:rPr>
              <w:t>：</w:t>
            </w:r>
            <w:r>
              <w:rPr>
                <w:rFonts w:hint="eastAsia" w:ascii="微软雅黑" w:hAnsi="微软雅黑" w:eastAsia="微软雅黑" w:cs="微软雅黑"/>
                <w:b/>
                <w:bCs/>
                <w:color w:val="auto"/>
                <w:sz w:val="24"/>
                <w:szCs w:val="24"/>
                <w:highlight w:val="none"/>
                <w:lang w:eastAsia="zh-CN"/>
              </w:rPr>
              <w:t>供应商向银行办理保证金汇（转）款时，应在用途栏（备注栏）注明项目名称及包号（如有），并注明是磋商保证金字样，如填写字数有要求可简写项目名称与包号（如有），由于未按要求注明信息而导致的一切后果由供应商自行承担。</w:t>
            </w:r>
          </w:p>
          <w:p>
            <w:pPr>
              <w:spacing w:beforeAutospacing="0" w:afterAutospacing="0" w:line="400" w:lineRule="exact"/>
              <w:jc w:val="left"/>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B：退磋商保证金：（1）根据《中华人民共和国财政部令第87号--政府采购货物和货物</w:t>
            </w:r>
            <w:r>
              <w:rPr>
                <w:rFonts w:hint="eastAsia" w:ascii="微软雅黑" w:hAnsi="微软雅黑" w:eastAsia="微软雅黑" w:cs="微软雅黑"/>
                <w:b/>
                <w:bCs/>
                <w:color w:val="auto"/>
                <w:sz w:val="24"/>
                <w:szCs w:val="24"/>
                <w:highlight w:val="none"/>
                <w:lang w:eastAsia="zh-CN"/>
              </w:rPr>
              <w:t>采购磋商</w:t>
            </w:r>
            <w:r>
              <w:rPr>
                <w:rFonts w:hint="eastAsia" w:ascii="微软雅黑" w:hAnsi="微软雅黑" w:eastAsia="微软雅黑" w:cs="微软雅黑"/>
                <w:b/>
                <w:bCs/>
                <w:color w:val="auto"/>
                <w:sz w:val="24"/>
                <w:szCs w:val="24"/>
                <w:highlight w:val="none"/>
              </w:rPr>
              <w:t>管理办法》第三十八条</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在</w:t>
            </w:r>
            <w:r>
              <w:rPr>
                <w:rFonts w:hint="eastAsia" w:ascii="微软雅黑" w:hAnsi="微软雅黑" w:eastAsia="微软雅黑" w:cs="微软雅黑"/>
                <w:b/>
                <w:bCs/>
                <w:color w:val="auto"/>
                <w:sz w:val="24"/>
                <w:szCs w:val="24"/>
                <w:highlight w:val="none"/>
                <w:lang w:eastAsia="zh-CN"/>
              </w:rPr>
              <w:t>磋商截止</w:t>
            </w:r>
            <w:r>
              <w:rPr>
                <w:rFonts w:hint="eastAsia" w:ascii="微软雅黑" w:hAnsi="微软雅黑" w:eastAsia="微软雅黑" w:cs="微软雅黑"/>
                <w:b/>
                <w:bCs/>
                <w:color w:val="auto"/>
                <w:sz w:val="24"/>
                <w:szCs w:val="24"/>
                <w:highlight w:val="none"/>
              </w:rPr>
              <w:t>时间前撤回已提交的</w:t>
            </w:r>
            <w:r>
              <w:rPr>
                <w:rFonts w:hint="eastAsia" w:ascii="微软雅黑" w:hAnsi="微软雅黑" w:eastAsia="微软雅黑" w:cs="微软雅黑"/>
                <w:b/>
                <w:bCs/>
                <w:color w:val="auto"/>
                <w:sz w:val="24"/>
                <w:szCs w:val="24"/>
                <w:highlight w:val="none"/>
                <w:lang w:eastAsia="zh-CN"/>
              </w:rPr>
              <w:t>响应文件</w:t>
            </w:r>
            <w:r>
              <w:rPr>
                <w:rFonts w:hint="eastAsia" w:ascii="微软雅黑" w:hAnsi="微软雅黑" w:eastAsia="微软雅黑" w:cs="微软雅黑"/>
                <w:b/>
                <w:bCs/>
                <w:color w:val="auto"/>
                <w:sz w:val="24"/>
                <w:szCs w:val="24"/>
                <w:highlight w:val="none"/>
              </w:rPr>
              <w:t>的，采购人或者采购代理机构应当自收到</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书面撤回通知之日起５个工作日内，退还已收取的</w:t>
            </w:r>
            <w:r>
              <w:rPr>
                <w:rFonts w:hint="eastAsia" w:ascii="微软雅黑" w:hAnsi="微软雅黑" w:eastAsia="微软雅黑" w:cs="微软雅黑"/>
                <w:b/>
                <w:bCs/>
                <w:color w:val="auto"/>
                <w:sz w:val="24"/>
                <w:szCs w:val="24"/>
                <w:highlight w:val="none"/>
                <w:lang w:eastAsia="zh-CN"/>
              </w:rPr>
              <w:t>磋商</w:t>
            </w:r>
            <w:r>
              <w:rPr>
                <w:rFonts w:hint="eastAsia" w:ascii="微软雅黑" w:hAnsi="微软雅黑" w:eastAsia="微软雅黑" w:cs="微软雅黑"/>
                <w:b/>
                <w:bCs/>
                <w:color w:val="auto"/>
                <w:sz w:val="24"/>
                <w:szCs w:val="24"/>
                <w:highlight w:val="none"/>
              </w:rPr>
              <w:t>保证金，但因</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自身原因导致无法及时退还的除外。采购人或者采购代理机构应当自</w:t>
            </w:r>
            <w:r>
              <w:rPr>
                <w:rFonts w:hint="eastAsia" w:ascii="微软雅黑" w:hAnsi="微软雅黑" w:eastAsia="微软雅黑" w:cs="微软雅黑"/>
                <w:b/>
                <w:bCs/>
                <w:color w:val="auto"/>
                <w:sz w:val="24"/>
                <w:szCs w:val="24"/>
                <w:highlight w:val="none"/>
                <w:lang w:eastAsia="zh-CN"/>
              </w:rPr>
              <w:t>成交通知书</w:t>
            </w:r>
            <w:r>
              <w:rPr>
                <w:rFonts w:hint="eastAsia" w:ascii="微软雅黑" w:hAnsi="微软雅黑" w:eastAsia="微软雅黑" w:cs="微软雅黑"/>
                <w:b/>
                <w:bCs/>
                <w:color w:val="auto"/>
                <w:sz w:val="24"/>
                <w:szCs w:val="24"/>
                <w:highlight w:val="none"/>
              </w:rPr>
              <w:t>发出之日起5个工作日内退还未</w:t>
            </w:r>
            <w:r>
              <w:rPr>
                <w:rFonts w:hint="eastAsia" w:ascii="微软雅黑" w:hAnsi="微软雅黑" w:eastAsia="微软雅黑" w:cs="微软雅黑"/>
                <w:b/>
                <w:bCs/>
                <w:color w:val="auto"/>
                <w:sz w:val="24"/>
                <w:szCs w:val="24"/>
                <w:highlight w:val="none"/>
                <w:lang w:eastAsia="zh-CN"/>
              </w:rPr>
              <w:t>成交人</w:t>
            </w:r>
            <w:r>
              <w:rPr>
                <w:rFonts w:hint="eastAsia" w:ascii="微软雅黑" w:hAnsi="微软雅黑" w:eastAsia="微软雅黑" w:cs="微软雅黑"/>
                <w:b/>
                <w:bCs/>
                <w:color w:val="auto"/>
                <w:sz w:val="24"/>
                <w:szCs w:val="24"/>
                <w:highlight w:val="none"/>
              </w:rPr>
              <w:t>的</w:t>
            </w:r>
            <w:r>
              <w:rPr>
                <w:rFonts w:hint="eastAsia" w:ascii="微软雅黑" w:hAnsi="微软雅黑" w:eastAsia="微软雅黑" w:cs="微软雅黑"/>
                <w:b/>
                <w:bCs/>
                <w:color w:val="auto"/>
                <w:sz w:val="24"/>
                <w:szCs w:val="24"/>
                <w:highlight w:val="none"/>
                <w:lang w:eastAsia="zh-CN"/>
              </w:rPr>
              <w:t>磋商</w:t>
            </w:r>
            <w:r>
              <w:rPr>
                <w:rFonts w:hint="eastAsia" w:ascii="微软雅黑" w:hAnsi="微软雅黑" w:eastAsia="微软雅黑" w:cs="微软雅黑"/>
                <w:b/>
                <w:bCs/>
                <w:color w:val="auto"/>
                <w:sz w:val="24"/>
                <w:szCs w:val="24"/>
                <w:highlight w:val="none"/>
              </w:rPr>
              <w:t>保证金，自采购合同签订之日起5个工作日内退还</w:t>
            </w:r>
            <w:r>
              <w:rPr>
                <w:rFonts w:hint="eastAsia" w:ascii="微软雅黑" w:hAnsi="微软雅黑" w:eastAsia="微软雅黑" w:cs="微软雅黑"/>
                <w:b/>
                <w:bCs/>
                <w:color w:val="auto"/>
                <w:sz w:val="24"/>
                <w:szCs w:val="24"/>
                <w:highlight w:val="none"/>
                <w:lang w:eastAsia="zh-CN"/>
              </w:rPr>
              <w:t>成交人</w:t>
            </w:r>
            <w:r>
              <w:rPr>
                <w:rFonts w:hint="eastAsia" w:ascii="微软雅黑" w:hAnsi="微软雅黑" w:eastAsia="微软雅黑" w:cs="微软雅黑"/>
                <w:b/>
                <w:bCs/>
                <w:color w:val="auto"/>
                <w:sz w:val="24"/>
                <w:szCs w:val="24"/>
                <w:highlight w:val="none"/>
              </w:rPr>
              <w:t>的</w:t>
            </w:r>
            <w:r>
              <w:rPr>
                <w:rFonts w:hint="eastAsia" w:ascii="微软雅黑" w:hAnsi="微软雅黑" w:eastAsia="微软雅黑" w:cs="微软雅黑"/>
                <w:b/>
                <w:bCs/>
                <w:color w:val="auto"/>
                <w:sz w:val="24"/>
                <w:szCs w:val="24"/>
                <w:highlight w:val="none"/>
                <w:lang w:eastAsia="zh-CN"/>
              </w:rPr>
              <w:t>磋商</w:t>
            </w:r>
            <w:r>
              <w:rPr>
                <w:rFonts w:hint="eastAsia" w:ascii="微软雅黑" w:hAnsi="微软雅黑" w:eastAsia="微软雅黑" w:cs="微软雅黑"/>
                <w:b/>
                <w:bCs/>
                <w:color w:val="auto"/>
                <w:sz w:val="24"/>
                <w:szCs w:val="24"/>
                <w:highlight w:val="none"/>
              </w:rPr>
              <w:t>保证金或者转为</w:t>
            </w:r>
            <w:r>
              <w:rPr>
                <w:rFonts w:hint="eastAsia" w:ascii="微软雅黑" w:hAnsi="微软雅黑" w:eastAsia="微软雅黑" w:cs="微软雅黑"/>
                <w:b/>
                <w:bCs/>
                <w:color w:val="auto"/>
                <w:sz w:val="24"/>
                <w:szCs w:val="24"/>
                <w:highlight w:val="none"/>
                <w:lang w:eastAsia="zh-CN"/>
              </w:rPr>
              <w:t>成交人</w:t>
            </w:r>
            <w:r>
              <w:rPr>
                <w:rFonts w:hint="eastAsia" w:ascii="微软雅黑" w:hAnsi="微软雅黑" w:eastAsia="微软雅黑" w:cs="微软雅黑"/>
                <w:b/>
                <w:bCs/>
                <w:color w:val="auto"/>
                <w:sz w:val="24"/>
                <w:szCs w:val="24"/>
                <w:highlight w:val="none"/>
              </w:rPr>
              <w:t>的履约保证金。</w:t>
            </w:r>
          </w:p>
          <w:p>
            <w:pPr>
              <w:spacing w:beforeAutospacing="0" w:afterAutospacing="0" w:line="40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2</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val="0"/>
                <w:color w:val="auto"/>
                <w:sz w:val="24"/>
                <w:highlight w:val="none"/>
                <w:lang w:eastAsia="zh-CN"/>
              </w:rPr>
              <w:t>成交供应商</w:t>
            </w:r>
            <w:r>
              <w:rPr>
                <w:rFonts w:hint="eastAsia" w:ascii="微软雅黑" w:hAnsi="微软雅黑" w:eastAsia="微软雅黑" w:cs="微软雅黑"/>
                <w:b/>
                <w:bCs w:val="0"/>
                <w:color w:val="auto"/>
                <w:sz w:val="24"/>
                <w:highlight w:val="none"/>
              </w:rPr>
              <w:t>的保证金在与采购人签订合同后，把合同扫描件发送至邮箱3465165565@qq.com后，当日或次日原账户退回。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5" w:hRule="atLeast"/>
        </w:trPr>
        <w:tc>
          <w:tcPr>
            <w:tcW w:w="867" w:type="dxa"/>
            <w:vAlign w:val="center"/>
          </w:tcPr>
          <w:p>
            <w:pPr>
              <w:spacing w:beforeAutospacing="0" w:afterAutospacing="0"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p>
        </w:tc>
        <w:tc>
          <w:tcPr>
            <w:tcW w:w="8500"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有效期：</w:t>
            </w:r>
            <w:r>
              <w:rPr>
                <w:rFonts w:hint="eastAsia" w:ascii="微软雅黑" w:hAnsi="微软雅黑" w:eastAsia="微软雅黑" w:cs="微软雅黑"/>
                <w:color w:val="auto"/>
                <w:sz w:val="24"/>
                <w:highlight w:val="none"/>
                <w:u w:val="single"/>
              </w:rPr>
              <w:t>　60　</w:t>
            </w:r>
            <w:r>
              <w:rPr>
                <w:rFonts w:hint="eastAsia" w:ascii="微软雅黑" w:hAnsi="微软雅黑" w:eastAsia="微软雅黑" w:cs="微软雅黑"/>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867" w:type="dxa"/>
            <w:vAlign w:val="center"/>
          </w:tcPr>
          <w:p>
            <w:pPr>
              <w:keepNext w:val="0"/>
              <w:keepLines w:val="0"/>
              <w:pageBreakBefore w:val="0"/>
              <w:widowControl w:val="0"/>
              <w:kinsoku/>
              <w:wordWrap/>
              <w:overflowPunct/>
              <w:topLinePunct w:val="0"/>
              <w:bidi w:val="0"/>
              <w:snapToGrid/>
              <w:spacing w:beforeAutospacing="0" w:afterAutospacing="0"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w:t>
            </w:r>
          </w:p>
        </w:tc>
        <w:tc>
          <w:tcPr>
            <w:tcW w:w="8500" w:type="dxa"/>
            <w:vAlign w:val="center"/>
          </w:tcPr>
          <w:p>
            <w:pPr>
              <w:shd w:val="clear"/>
              <w:spacing w:beforeAutospacing="0" w:afterAutospacing="0" w:line="40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hd w:val="clear"/>
              <w:spacing w:beforeAutospacing="0" w:afterAutospacing="0" w:line="40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（2）本项目实行网上磋商，采用电子响应文件(供应商须使用CA加密设备通过政采云电子磋商客户端制作响应文件)。若供应商参与磋商，自行承担磋商一切费用。</w:t>
            </w:r>
          </w:p>
          <w:p>
            <w:pPr>
              <w:shd w:val="clear"/>
              <w:spacing w:beforeAutospacing="0" w:afterAutospacing="0" w:line="40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（3）各供应商应在磋商前应确保成为新疆政府采购网正式注册入库供应商，并完成CA数字证书申领。因未注册入库、未办理CA数字证书等原因造成无法磋商或磋商失败等后果由供应商自行承担。</w:t>
            </w:r>
          </w:p>
          <w:p>
            <w:pPr>
              <w:shd w:val="clear"/>
              <w:spacing w:beforeAutospacing="0" w:afterAutospacing="0" w:line="40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4）供应商将政采云电子交易客户端下载、安装完成后，可通过账号密码或CA登录客户端进行响应文件制作。在使用政采云磋商客户端时，建议使用WIN7及以上操作系统。客户端请至新疆政府采购网（http://www.ccgp-xinjiang.gov.cn/）下载专区查看，如有问题可拨打政采云客户服务热线400-881-7190进行咨询。</w:t>
            </w:r>
          </w:p>
          <w:p>
            <w:pPr>
              <w:shd w:val="clear"/>
              <w:spacing w:beforeAutospacing="0" w:afterAutospacing="0" w:line="400" w:lineRule="exact"/>
              <w:jc w:val="left"/>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b/>
                <w:bCs/>
                <w:color w:val="auto"/>
                <w:sz w:val="24"/>
                <w:highlight w:val="none"/>
                <w:lang w:val="en-US" w:eastAsia="zh-CN"/>
              </w:rPr>
              <w:t>（5）供应商在磋商时须使用制作加密电子响应文件所使用的CA锁及电脑，电脑须提前配置好浏览器（建议使用谷歌浏览器），以便磋商时解锁。</w:t>
            </w:r>
          </w:p>
          <w:p>
            <w:pPr>
              <w:shd w:val="clear"/>
              <w:spacing w:beforeAutospacing="0" w:afterAutospacing="0" w:line="40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6）磋商保证金缴纳及确认时间：凡拟参加本次采购项目的供应商，必须在磋商前将磋商保证金汇入指定账户。磋商保证金汇款凭证上用途栏应注明:采购项目名称+标项号+磋商保证金。否则，届时其磋商将被拒绝。</w:t>
            </w:r>
          </w:p>
          <w:p>
            <w:pPr>
              <w:shd w:val="clear"/>
              <w:spacing w:beforeAutospacing="0" w:afterAutospacing="0" w:line="40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磋商”—“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w:t>
            </w:r>
            <w:r>
              <w:rPr>
                <w:rFonts w:hint="eastAsia" w:ascii="微软雅黑" w:hAnsi="微软雅黑" w:eastAsia="微软雅黑" w:cs="微软雅黑"/>
                <w:b/>
                <w:bCs/>
                <w:color w:val="auto"/>
                <w:sz w:val="24"/>
                <w:highlight w:val="none"/>
                <w:lang w:eastAsia="zh-CN"/>
              </w:rPr>
              <w:t>磋商</w:t>
            </w:r>
            <w:r>
              <w:rPr>
                <w:rFonts w:hint="eastAsia" w:ascii="微软雅黑" w:hAnsi="微软雅黑" w:eastAsia="微软雅黑" w:cs="微软雅黑"/>
                <w:b/>
                <w:bCs/>
                <w:color w:val="auto"/>
                <w:sz w:val="24"/>
                <w:highlight w:val="none"/>
                <w:lang w:val="en-US" w:eastAsia="zh-CN"/>
              </w:rPr>
              <w:t>看学习。</w:t>
            </w:r>
          </w:p>
          <w:p>
            <w:pPr>
              <w:shd w:val="clear"/>
              <w:spacing w:beforeAutospacing="0" w:afterAutospacing="0"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val="en-US" w:eastAsia="zh-CN"/>
              </w:rPr>
              <w:t>（8）各供应商</w:t>
            </w:r>
            <w:r>
              <w:rPr>
                <w:rFonts w:hint="eastAsia" w:ascii="微软雅黑" w:hAnsi="微软雅黑" w:eastAsia="微软雅黑" w:cs="微软雅黑"/>
                <w:b/>
                <w:bCs/>
                <w:color w:val="auto"/>
                <w:sz w:val="24"/>
                <w:highlight w:val="none"/>
              </w:rPr>
              <w:t>须在</w:t>
            </w:r>
            <w:r>
              <w:rPr>
                <w:rFonts w:hint="eastAsia" w:ascii="微软雅黑" w:hAnsi="微软雅黑" w:eastAsia="微软雅黑" w:cs="微软雅黑"/>
                <w:b/>
                <w:bCs/>
                <w:color w:val="auto"/>
                <w:sz w:val="24"/>
                <w:highlight w:val="none"/>
                <w:lang w:eastAsia="zh-CN"/>
              </w:rPr>
              <w:t>磋商截止</w:t>
            </w:r>
            <w:r>
              <w:rPr>
                <w:rFonts w:hint="eastAsia" w:ascii="微软雅黑" w:hAnsi="微软雅黑" w:eastAsia="微软雅黑" w:cs="微软雅黑"/>
                <w:b/>
                <w:bCs/>
                <w:color w:val="auto"/>
                <w:sz w:val="24"/>
                <w:highlight w:val="none"/>
              </w:rPr>
              <w:t>时间前完成在系统上递交电子</w:t>
            </w:r>
            <w:r>
              <w:rPr>
                <w:rFonts w:hint="eastAsia" w:ascii="微软雅黑" w:hAnsi="微软雅黑" w:eastAsia="微软雅黑" w:cs="微软雅黑"/>
                <w:b/>
                <w:bCs/>
                <w:color w:val="auto"/>
                <w:sz w:val="24"/>
                <w:highlight w:val="none"/>
                <w:lang w:val="en-US" w:eastAsia="zh-CN"/>
              </w:rPr>
              <w:t>响应文件</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的电子</w:t>
            </w:r>
            <w:r>
              <w:rPr>
                <w:rFonts w:hint="eastAsia" w:ascii="微软雅黑" w:hAnsi="微软雅黑" w:eastAsia="微软雅黑" w:cs="微软雅黑"/>
                <w:b/>
                <w:bCs/>
                <w:color w:val="auto"/>
                <w:sz w:val="24"/>
                <w:highlight w:val="none"/>
                <w:lang w:eastAsia="zh-CN"/>
              </w:rPr>
              <w:t>响应文件</w:t>
            </w:r>
            <w:r>
              <w:rPr>
                <w:rFonts w:hint="eastAsia" w:ascii="微软雅黑" w:hAnsi="微软雅黑" w:eastAsia="微软雅黑" w:cs="微软雅黑"/>
                <w:b/>
                <w:bCs/>
                <w:color w:val="auto"/>
                <w:sz w:val="24"/>
                <w:highlight w:val="none"/>
              </w:rPr>
              <w:t>是经过CA证书加密后上传提交的，任何单位或个人均无法在</w:t>
            </w:r>
            <w:r>
              <w:rPr>
                <w:rFonts w:hint="eastAsia" w:ascii="微软雅黑" w:hAnsi="微软雅黑" w:eastAsia="微软雅黑" w:cs="微软雅黑"/>
                <w:b/>
                <w:bCs/>
                <w:color w:val="auto"/>
                <w:sz w:val="24"/>
                <w:highlight w:val="none"/>
                <w:lang w:eastAsia="zh-CN"/>
              </w:rPr>
              <w:t>磋商截止</w:t>
            </w:r>
            <w:r>
              <w:rPr>
                <w:rFonts w:hint="eastAsia" w:ascii="微软雅黑" w:hAnsi="微软雅黑" w:eastAsia="微软雅黑" w:cs="微软雅黑"/>
                <w:b/>
                <w:bCs/>
                <w:color w:val="auto"/>
                <w:sz w:val="24"/>
                <w:highlight w:val="none"/>
              </w:rPr>
              <w:t>时间(即时间)之前查看或篡改，不存在泄密风险。（严格按照政采云电子</w:t>
            </w:r>
            <w:r>
              <w:rPr>
                <w:rFonts w:hint="eastAsia" w:ascii="微软雅黑" w:hAnsi="微软雅黑" w:eastAsia="微软雅黑" w:cs="微软雅黑"/>
                <w:b/>
                <w:bCs/>
                <w:color w:val="auto"/>
                <w:sz w:val="24"/>
                <w:highlight w:val="none"/>
                <w:lang w:eastAsia="zh-CN"/>
              </w:rPr>
              <w:t>磋商</w:t>
            </w:r>
            <w:r>
              <w:rPr>
                <w:rFonts w:hint="eastAsia" w:ascii="微软雅黑" w:hAnsi="微软雅黑" w:eastAsia="微软雅黑" w:cs="微软雅黑"/>
                <w:b/>
                <w:bCs/>
                <w:color w:val="auto"/>
                <w:sz w:val="24"/>
                <w:highlight w:val="none"/>
              </w:rPr>
              <w:t>流程制作并上传电子</w:t>
            </w:r>
            <w:r>
              <w:rPr>
                <w:rFonts w:hint="eastAsia" w:ascii="微软雅黑" w:hAnsi="微软雅黑" w:eastAsia="微软雅黑" w:cs="微软雅黑"/>
                <w:b/>
                <w:bCs/>
                <w:color w:val="auto"/>
                <w:sz w:val="24"/>
                <w:highlight w:val="none"/>
                <w:lang w:eastAsia="zh-CN"/>
              </w:rPr>
              <w:t>响应文件</w:t>
            </w:r>
            <w:r>
              <w:rPr>
                <w:rFonts w:hint="eastAsia" w:ascii="微软雅黑" w:hAnsi="微软雅黑" w:eastAsia="微软雅黑" w:cs="微软雅黑"/>
                <w:b/>
                <w:bCs/>
                <w:color w:val="auto"/>
                <w:sz w:val="24"/>
                <w:highlight w:val="none"/>
              </w:rPr>
              <w:t>）</w:t>
            </w:r>
          </w:p>
          <w:p>
            <w:pPr>
              <w:shd w:val="clear"/>
              <w:spacing w:beforeAutospacing="0" w:afterAutospacing="0" w:line="40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9</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须供应商提供备份的响应文件,后缀为.bfbs。</w:t>
            </w:r>
          </w:p>
          <w:p>
            <w:pPr>
              <w:shd w:val="clear"/>
              <w:spacing w:beforeAutospacing="0" w:afterAutospacing="0" w:line="40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（10）解密时长为30分钟。</w:t>
            </w:r>
          </w:p>
          <w:p>
            <w:pPr>
              <w:shd w:val="clear"/>
              <w:spacing w:beforeAutospacing="0" w:afterAutospacing="0" w:line="400" w:lineRule="exact"/>
              <w:jc w:val="left"/>
              <w:rPr>
                <w:rFonts w:hint="eastAsia" w:ascii="微软雅黑" w:hAnsi="微软雅黑" w:eastAsia="微软雅黑" w:cs="微软雅黑"/>
                <w:color w:val="auto"/>
                <w:highlight w:val="none"/>
                <w:lang w:eastAsia="zh-CN"/>
              </w:rPr>
            </w:pPr>
            <w:r>
              <w:rPr>
                <w:rFonts w:hint="eastAsia" w:ascii="微软雅黑" w:hAnsi="微软雅黑" w:eastAsia="微软雅黑" w:cs="微软雅黑"/>
                <w:b/>
                <w:bCs/>
                <w:color w:val="auto"/>
                <w:sz w:val="24"/>
                <w:highlight w:val="none"/>
                <w:lang w:val="en-US" w:eastAsia="zh-CN"/>
              </w:rPr>
              <w:t>（11）各供应商在磋商截止时间前将“响应文件”上传至政采云平台。响应文件包括“磋商一览表表及资格证明文件”与“商务及技术文件”两部分合并成一册。响应文件应按照采购文件规定的格式填写、签署和盖章，并以.jmbs格式上传至政采云开评标平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867" w:type="dxa"/>
            <w:vAlign w:val="center"/>
          </w:tcPr>
          <w:p>
            <w:pPr>
              <w:spacing w:beforeAutospacing="0" w:afterAutospacing="0" w:line="360" w:lineRule="auto"/>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w:t>
            </w:r>
          </w:p>
        </w:tc>
        <w:tc>
          <w:tcPr>
            <w:tcW w:w="8500" w:type="dxa"/>
            <w:vAlign w:val="center"/>
          </w:tcPr>
          <w:p>
            <w:pPr>
              <w:spacing w:beforeAutospacing="0" w:afterAutospacing="0"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截止时间</w:t>
            </w:r>
            <w:r>
              <w:rPr>
                <w:rFonts w:hint="eastAsia" w:ascii="微软雅黑" w:hAnsi="微软雅黑" w:eastAsia="微软雅黑" w:cs="微软雅黑"/>
                <w:b/>
                <w:bCs/>
                <w:color w:val="auto"/>
                <w:sz w:val="24"/>
                <w:szCs w:val="24"/>
                <w:highlight w:val="none"/>
                <w:u w:val="none"/>
                <w:lang w:eastAsia="zh-CN"/>
              </w:rPr>
              <w:t>：</w:t>
            </w:r>
            <w:r>
              <w:rPr>
                <w:rFonts w:hint="eastAsia" w:ascii="微软雅黑" w:hAnsi="微软雅黑" w:eastAsia="微软雅黑" w:cs="微软雅黑"/>
                <w:b/>
                <w:bCs/>
                <w:color w:val="auto"/>
                <w:sz w:val="24"/>
                <w:szCs w:val="24"/>
                <w:highlight w:val="none"/>
                <w:u w:val="single"/>
                <w:lang w:eastAsia="zh-CN"/>
              </w:rPr>
              <w:t>202</w:t>
            </w:r>
            <w:r>
              <w:rPr>
                <w:rFonts w:hint="eastAsia" w:ascii="微软雅黑" w:hAnsi="微软雅黑" w:eastAsia="微软雅黑" w:cs="微软雅黑"/>
                <w:b/>
                <w:bCs/>
                <w:color w:val="auto"/>
                <w:sz w:val="24"/>
                <w:szCs w:val="24"/>
                <w:highlight w:val="none"/>
                <w:u w:val="single"/>
                <w:lang w:val="en-US" w:eastAsia="zh-CN"/>
              </w:rPr>
              <w:t>3</w:t>
            </w:r>
            <w:r>
              <w:rPr>
                <w:rFonts w:hint="eastAsia" w:ascii="微软雅黑" w:hAnsi="微软雅黑" w:eastAsia="微软雅黑" w:cs="微软雅黑"/>
                <w:b/>
                <w:bCs/>
                <w:color w:val="auto"/>
                <w:sz w:val="24"/>
                <w:szCs w:val="24"/>
                <w:highlight w:val="none"/>
                <w:u w:val="single"/>
                <w:lang w:eastAsia="zh-CN"/>
              </w:rPr>
              <w:t>年</w:t>
            </w:r>
            <w:r>
              <w:rPr>
                <w:rFonts w:hint="eastAsia" w:ascii="微软雅黑" w:hAnsi="微软雅黑" w:eastAsia="微软雅黑" w:cs="微软雅黑"/>
                <w:b/>
                <w:bCs/>
                <w:color w:val="auto"/>
                <w:sz w:val="24"/>
                <w:szCs w:val="24"/>
                <w:highlight w:val="none"/>
                <w:u w:val="single"/>
                <w:lang w:val="en-US" w:eastAsia="zh-CN"/>
              </w:rPr>
              <w:t>4</w:t>
            </w:r>
            <w:r>
              <w:rPr>
                <w:rFonts w:hint="eastAsia" w:ascii="微软雅黑" w:hAnsi="微软雅黑" w:eastAsia="微软雅黑" w:cs="微软雅黑"/>
                <w:b/>
                <w:bCs/>
                <w:color w:val="auto"/>
                <w:sz w:val="24"/>
                <w:szCs w:val="24"/>
                <w:highlight w:val="none"/>
                <w:u w:val="single"/>
                <w:lang w:eastAsia="zh-CN"/>
              </w:rPr>
              <w:t>月</w:t>
            </w:r>
            <w:r>
              <w:rPr>
                <w:rFonts w:hint="eastAsia" w:ascii="微软雅黑" w:hAnsi="微软雅黑" w:eastAsia="微软雅黑" w:cs="微软雅黑"/>
                <w:b/>
                <w:bCs/>
                <w:color w:val="auto"/>
                <w:sz w:val="24"/>
                <w:szCs w:val="24"/>
                <w:highlight w:val="none"/>
                <w:u w:val="single"/>
                <w:lang w:val="en-US" w:eastAsia="zh-CN"/>
              </w:rPr>
              <w:t>7</w:t>
            </w:r>
            <w:r>
              <w:rPr>
                <w:rFonts w:hint="eastAsia" w:ascii="微软雅黑" w:hAnsi="微软雅黑" w:eastAsia="微软雅黑" w:cs="微软雅黑"/>
                <w:b/>
                <w:bCs/>
                <w:color w:val="auto"/>
                <w:sz w:val="24"/>
                <w:szCs w:val="24"/>
                <w:highlight w:val="none"/>
                <w:u w:val="single"/>
                <w:lang w:eastAsia="zh-CN"/>
              </w:rPr>
              <w:t>日1</w:t>
            </w:r>
            <w:r>
              <w:rPr>
                <w:rFonts w:hint="eastAsia" w:ascii="微软雅黑" w:hAnsi="微软雅黑" w:eastAsia="微软雅黑" w:cs="微软雅黑"/>
                <w:b/>
                <w:bCs/>
                <w:color w:val="auto"/>
                <w:sz w:val="24"/>
                <w:szCs w:val="24"/>
                <w:highlight w:val="none"/>
                <w:u w:val="single"/>
                <w:lang w:val="en-US" w:eastAsia="zh-CN"/>
              </w:rPr>
              <w:t>0</w:t>
            </w:r>
            <w:r>
              <w:rPr>
                <w:rFonts w:hint="eastAsia" w:ascii="微软雅黑" w:hAnsi="微软雅黑" w:eastAsia="微软雅黑" w:cs="微软雅黑"/>
                <w:b/>
                <w:bCs/>
                <w:color w:val="auto"/>
                <w:sz w:val="24"/>
                <w:szCs w:val="24"/>
                <w:highlight w:val="none"/>
                <w:u w:val="single"/>
                <w:lang w:eastAsia="zh-CN"/>
              </w:rPr>
              <w:t>点</w:t>
            </w:r>
            <w:r>
              <w:rPr>
                <w:rFonts w:hint="eastAsia" w:ascii="微软雅黑" w:hAnsi="微软雅黑" w:eastAsia="微软雅黑" w:cs="微软雅黑"/>
                <w:b/>
                <w:bCs/>
                <w:color w:val="auto"/>
                <w:sz w:val="24"/>
                <w:szCs w:val="24"/>
                <w:highlight w:val="none"/>
                <w:u w:val="single"/>
                <w:lang w:val="en-US" w:eastAsia="zh-CN"/>
              </w:rPr>
              <w:t>3</w:t>
            </w:r>
            <w:r>
              <w:rPr>
                <w:rFonts w:hint="eastAsia" w:ascii="微软雅黑" w:hAnsi="微软雅黑" w:eastAsia="微软雅黑" w:cs="微软雅黑"/>
                <w:b/>
                <w:bCs/>
                <w:color w:val="auto"/>
                <w:sz w:val="24"/>
                <w:szCs w:val="24"/>
                <w:highlight w:val="none"/>
                <w:u w:val="single"/>
                <w:lang w:eastAsia="zh-CN"/>
              </w:rPr>
              <w:t>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867" w:type="dxa"/>
            <w:vAlign w:val="center"/>
          </w:tcPr>
          <w:p>
            <w:pPr>
              <w:spacing w:beforeAutospacing="0" w:afterAutospacing="0" w:line="360" w:lineRule="auto"/>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18.1</w:t>
            </w:r>
          </w:p>
        </w:tc>
        <w:tc>
          <w:tcPr>
            <w:tcW w:w="8500" w:type="dxa"/>
            <w:vAlign w:val="center"/>
          </w:tcPr>
          <w:p>
            <w:pPr>
              <w:spacing w:beforeAutospacing="0" w:afterAutospacing="0" w:line="360" w:lineRule="exact"/>
              <w:jc w:val="left"/>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磋商时间</w:t>
            </w:r>
            <w:r>
              <w:rPr>
                <w:rFonts w:hint="eastAsia" w:ascii="微软雅黑" w:hAnsi="微软雅黑" w:eastAsia="微软雅黑" w:cs="微软雅黑"/>
                <w:color w:val="auto"/>
                <w:sz w:val="24"/>
                <w:highlight w:val="none"/>
              </w:rPr>
              <w:t>：</w:t>
            </w:r>
            <w:r>
              <w:rPr>
                <w:rFonts w:hint="eastAsia" w:ascii="微软雅黑" w:hAnsi="微软雅黑" w:eastAsia="微软雅黑" w:cs="微软雅黑"/>
                <w:b/>
                <w:bCs/>
                <w:color w:val="auto"/>
                <w:sz w:val="24"/>
                <w:szCs w:val="24"/>
                <w:highlight w:val="none"/>
                <w:u w:val="single"/>
                <w:lang w:eastAsia="zh-CN"/>
              </w:rPr>
              <w:t>202</w:t>
            </w:r>
            <w:r>
              <w:rPr>
                <w:rFonts w:hint="eastAsia" w:ascii="微软雅黑" w:hAnsi="微软雅黑" w:eastAsia="微软雅黑" w:cs="微软雅黑"/>
                <w:b/>
                <w:bCs/>
                <w:color w:val="auto"/>
                <w:sz w:val="24"/>
                <w:szCs w:val="24"/>
                <w:highlight w:val="none"/>
                <w:u w:val="single"/>
                <w:lang w:val="en-US" w:eastAsia="zh-CN"/>
              </w:rPr>
              <w:t>3</w:t>
            </w:r>
            <w:r>
              <w:rPr>
                <w:rFonts w:hint="eastAsia" w:ascii="微软雅黑" w:hAnsi="微软雅黑" w:eastAsia="微软雅黑" w:cs="微软雅黑"/>
                <w:b/>
                <w:bCs/>
                <w:color w:val="auto"/>
                <w:sz w:val="24"/>
                <w:szCs w:val="24"/>
                <w:highlight w:val="none"/>
                <w:u w:val="single"/>
                <w:lang w:eastAsia="zh-CN"/>
              </w:rPr>
              <w:t>年</w:t>
            </w:r>
            <w:r>
              <w:rPr>
                <w:rFonts w:hint="eastAsia" w:ascii="微软雅黑" w:hAnsi="微软雅黑" w:eastAsia="微软雅黑" w:cs="微软雅黑"/>
                <w:b/>
                <w:bCs/>
                <w:color w:val="auto"/>
                <w:sz w:val="24"/>
                <w:szCs w:val="24"/>
                <w:highlight w:val="none"/>
                <w:u w:val="single"/>
                <w:lang w:val="en-US" w:eastAsia="zh-CN"/>
              </w:rPr>
              <w:t>4</w:t>
            </w:r>
            <w:r>
              <w:rPr>
                <w:rFonts w:hint="eastAsia" w:ascii="微软雅黑" w:hAnsi="微软雅黑" w:eastAsia="微软雅黑" w:cs="微软雅黑"/>
                <w:b/>
                <w:bCs/>
                <w:color w:val="auto"/>
                <w:sz w:val="24"/>
                <w:szCs w:val="24"/>
                <w:highlight w:val="none"/>
                <w:u w:val="single"/>
                <w:lang w:eastAsia="zh-CN"/>
              </w:rPr>
              <w:t>月</w:t>
            </w:r>
            <w:r>
              <w:rPr>
                <w:rFonts w:hint="eastAsia" w:ascii="微软雅黑" w:hAnsi="微软雅黑" w:eastAsia="微软雅黑" w:cs="微软雅黑"/>
                <w:b/>
                <w:bCs/>
                <w:color w:val="auto"/>
                <w:sz w:val="24"/>
                <w:szCs w:val="24"/>
                <w:highlight w:val="none"/>
                <w:u w:val="single"/>
                <w:lang w:val="en-US" w:eastAsia="zh-CN"/>
              </w:rPr>
              <w:t>7</w:t>
            </w:r>
            <w:r>
              <w:rPr>
                <w:rFonts w:hint="eastAsia" w:ascii="微软雅黑" w:hAnsi="微软雅黑" w:eastAsia="微软雅黑" w:cs="微软雅黑"/>
                <w:b/>
                <w:bCs/>
                <w:color w:val="auto"/>
                <w:sz w:val="24"/>
                <w:szCs w:val="24"/>
                <w:highlight w:val="none"/>
                <w:u w:val="single"/>
                <w:lang w:eastAsia="zh-CN"/>
              </w:rPr>
              <w:t>日1</w:t>
            </w:r>
            <w:r>
              <w:rPr>
                <w:rFonts w:hint="eastAsia" w:ascii="微软雅黑" w:hAnsi="微软雅黑" w:eastAsia="微软雅黑" w:cs="微软雅黑"/>
                <w:b/>
                <w:bCs/>
                <w:color w:val="auto"/>
                <w:sz w:val="24"/>
                <w:szCs w:val="24"/>
                <w:highlight w:val="none"/>
                <w:u w:val="single"/>
                <w:lang w:val="en-US" w:eastAsia="zh-CN"/>
              </w:rPr>
              <w:t>0</w:t>
            </w:r>
            <w:r>
              <w:rPr>
                <w:rFonts w:hint="eastAsia" w:ascii="微软雅黑" w:hAnsi="微软雅黑" w:eastAsia="微软雅黑" w:cs="微软雅黑"/>
                <w:b/>
                <w:bCs/>
                <w:color w:val="auto"/>
                <w:sz w:val="24"/>
                <w:szCs w:val="24"/>
                <w:highlight w:val="none"/>
                <w:u w:val="single"/>
                <w:lang w:eastAsia="zh-CN"/>
              </w:rPr>
              <w:t>点</w:t>
            </w:r>
            <w:r>
              <w:rPr>
                <w:rFonts w:hint="eastAsia" w:ascii="微软雅黑" w:hAnsi="微软雅黑" w:eastAsia="微软雅黑" w:cs="微软雅黑"/>
                <w:b/>
                <w:bCs/>
                <w:color w:val="auto"/>
                <w:sz w:val="24"/>
                <w:szCs w:val="24"/>
                <w:highlight w:val="none"/>
                <w:u w:val="single"/>
                <w:lang w:val="en-US" w:eastAsia="zh-CN"/>
              </w:rPr>
              <w:t>3</w:t>
            </w:r>
            <w:r>
              <w:rPr>
                <w:rFonts w:hint="eastAsia" w:ascii="微软雅黑" w:hAnsi="微软雅黑" w:eastAsia="微软雅黑" w:cs="微软雅黑"/>
                <w:b/>
                <w:bCs/>
                <w:color w:val="auto"/>
                <w:sz w:val="24"/>
                <w:szCs w:val="24"/>
                <w:highlight w:val="none"/>
                <w:u w:val="single"/>
                <w:lang w:eastAsia="zh-CN"/>
              </w:rPr>
              <w:t>0分（北京时间）</w:t>
            </w:r>
          </w:p>
          <w:p>
            <w:pPr>
              <w:spacing w:beforeAutospacing="0" w:afterAutospacing="0"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磋商地点</w:t>
            </w:r>
            <w:r>
              <w:rPr>
                <w:rFonts w:hint="eastAsia" w:ascii="微软雅黑" w:hAnsi="微软雅黑" w:eastAsia="微软雅黑" w:cs="微软雅黑"/>
                <w:color w:val="auto"/>
                <w:sz w:val="24"/>
                <w:highlight w:val="none"/>
              </w:rPr>
              <w:t>：</w:t>
            </w:r>
            <w:r>
              <w:rPr>
                <w:rFonts w:hint="eastAsia" w:ascii="微软雅黑" w:hAnsi="微软雅黑" w:eastAsia="微软雅黑" w:cs="微软雅黑"/>
                <w:b/>
                <w:bCs/>
                <w:color w:val="auto"/>
                <w:sz w:val="24"/>
                <w:highlight w:val="none"/>
                <w:u w:val="single"/>
              </w:rPr>
              <w:t>政采云平台（https://login.zcygov.cn/user-login/#/login</w:t>
            </w:r>
            <w:r>
              <w:rPr>
                <w:rFonts w:hint="eastAsia" w:ascii="微软雅黑" w:hAnsi="微软雅黑" w:eastAsia="微软雅黑" w:cs="微软雅黑"/>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trPr>
        <w:tc>
          <w:tcPr>
            <w:tcW w:w="867" w:type="dxa"/>
            <w:vAlign w:val="center"/>
          </w:tcPr>
          <w:p>
            <w:pPr>
              <w:spacing w:beforeAutospacing="0" w:afterAutospacing="0" w:line="360" w:lineRule="auto"/>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23.2</w:t>
            </w:r>
          </w:p>
        </w:tc>
        <w:tc>
          <w:tcPr>
            <w:tcW w:w="8500" w:type="dxa"/>
            <w:vAlign w:val="center"/>
          </w:tcPr>
          <w:p>
            <w:pPr>
              <w:spacing w:beforeAutospacing="0" w:afterAutospacing="0" w:line="360" w:lineRule="auto"/>
              <w:jc w:val="left"/>
              <w:rPr>
                <w:rFonts w:hint="eastAsia" w:ascii="微软雅黑" w:hAnsi="微软雅黑" w:eastAsia="微软雅黑" w:cs="微软雅黑"/>
                <w:i/>
                <w:color w:val="auto"/>
                <w:sz w:val="24"/>
                <w:highlight w:val="none"/>
              </w:rPr>
            </w:pPr>
            <w:r>
              <w:rPr>
                <w:rFonts w:hint="eastAsia" w:ascii="微软雅黑" w:hAnsi="微软雅黑" w:eastAsia="微软雅黑" w:cs="微软雅黑"/>
                <w:color w:val="auto"/>
                <w:sz w:val="24"/>
                <w:highlight w:val="none"/>
                <w:lang w:eastAsia="zh-CN"/>
              </w:rPr>
              <w:t>评审方法</w:t>
            </w:r>
            <w:r>
              <w:rPr>
                <w:rFonts w:hint="eastAsia" w:ascii="微软雅黑" w:hAnsi="微软雅黑" w:eastAsia="微软雅黑" w:cs="微软雅黑"/>
                <w:color w:val="auto"/>
                <w:sz w:val="24"/>
                <w:highlight w:val="none"/>
              </w:rPr>
              <w:t>：适用</w:t>
            </w:r>
            <w:r>
              <w:rPr>
                <w:rFonts w:hint="eastAsia" w:ascii="微软雅黑" w:hAnsi="微软雅黑" w:eastAsia="微软雅黑" w:cs="微软雅黑"/>
                <w:color w:val="auto"/>
                <w:sz w:val="24"/>
                <w:highlight w:val="none"/>
                <w:u w:val="single"/>
              </w:rPr>
              <w:t>　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trPr>
        <w:tc>
          <w:tcPr>
            <w:tcW w:w="867" w:type="dxa"/>
            <w:vAlign w:val="center"/>
          </w:tcPr>
          <w:p>
            <w:pPr>
              <w:spacing w:beforeAutospacing="0" w:afterAutospacing="0" w:line="360" w:lineRule="auto"/>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w:t>
            </w:r>
          </w:p>
        </w:tc>
        <w:tc>
          <w:tcPr>
            <w:tcW w:w="8500" w:type="dxa"/>
            <w:vAlign w:val="center"/>
          </w:tcPr>
          <w:p>
            <w:pPr>
              <w:spacing w:beforeAutospacing="0" w:afterAutospacing="0" w:line="360" w:lineRule="auto"/>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推荐</w:t>
            </w:r>
            <w:r>
              <w:rPr>
                <w:rFonts w:hint="eastAsia" w:ascii="微软雅黑" w:hAnsi="微软雅黑" w:eastAsia="微软雅黑" w:cs="微软雅黑"/>
                <w:color w:val="auto"/>
                <w:sz w:val="24"/>
                <w:highlight w:val="none"/>
                <w:lang w:eastAsia="zh-CN"/>
              </w:rPr>
              <w:t>成交</w:t>
            </w:r>
            <w:r>
              <w:rPr>
                <w:rFonts w:hint="eastAsia" w:ascii="微软雅黑" w:hAnsi="微软雅黑" w:eastAsia="微软雅黑" w:cs="微软雅黑"/>
                <w:color w:val="auto"/>
                <w:sz w:val="24"/>
                <w:highlight w:val="none"/>
              </w:rPr>
              <w:t>候选供应商的数量：</w:t>
            </w:r>
            <w:r>
              <w:rPr>
                <w:rFonts w:hint="eastAsia" w:ascii="微软雅黑" w:hAnsi="微软雅黑" w:eastAsia="微软雅黑" w:cs="微软雅黑"/>
                <w:color w:val="auto"/>
                <w:sz w:val="24"/>
                <w:highlight w:val="none"/>
                <w:u w:val="single"/>
              </w:rPr>
              <w:t>　  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3" w:hRule="atLeast"/>
        </w:trPr>
        <w:tc>
          <w:tcPr>
            <w:tcW w:w="867" w:type="dxa"/>
            <w:vAlign w:val="center"/>
          </w:tcPr>
          <w:p>
            <w:pPr>
              <w:spacing w:beforeAutospacing="0" w:afterAutospacing="0" w:line="360" w:lineRule="auto"/>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w:t>
            </w:r>
          </w:p>
        </w:tc>
        <w:tc>
          <w:tcPr>
            <w:tcW w:w="8500" w:type="dxa"/>
            <w:vAlign w:val="center"/>
          </w:tcPr>
          <w:p>
            <w:pPr>
              <w:spacing w:beforeAutospacing="0" w:afterAutospacing="0" w:line="360" w:lineRule="auto"/>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采购人</w:t>
            </w:r>
            <w:r>
              <w:rPr>
                <w:rFonts w:hint="eastAsia" w:ascii="微软雅黑" w:hAnsi="微软雅黑" w:eastAsia="微软雅黑" w:cs="微软雅黑"/>
                <w:color w:val="auto"/>
                <w:sz w:val="24"/>
                <w:highlight w:val="none"/>
              </w:rPr>
              <w:t>是否委托</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直接确定</w:t>
            </w:r>
            <w:r>
              <w:rPr>
                <w:rFonts w:hint="eastAsia" w:ascii="微软雅黑" w:hAnsi="微软雅黑" w:eastAsia="微软雅黑" w:cs="微软雅黑"/>
                <w:color w:val="auto"/>
                <w:sz w:val="24"/>
                <w:highlight w:val="none"/>
                <w:lang w:eastAsia="zh-CN"/>
              </w:rPr>
              <w:t>成交</w:t>
            </w:r>
            <w:r>
              <w:rPr>
                <w:rFonts w:hint="eastAsia" w:ascii="微软雅黑" w:hAnsi="微软雅黑" w:eastAsia="微软雅黑" w:cs="微软雅黑"/>
                <w:color w:val="auto"/>
                <w:sz w:val="24"/>
                <w:highlight w:val="none"/>
              </w:rPr>
              <w:t>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val="en-US" w:eastAsia="zh-CN"/>
              </w:rPr>
              <w:t>否</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1" w:hRule="atLeast"/>
        </w:trPr>
        <w:tc>
          <w:tcPr>
            <w:tcW w:w="867" w:type="dxa"/>
            <w:vAlign w:val="center"/>
          </w:tcPr>
          <w:p>
            <w:pPr>
              <w:spacing w:beforeAutospacing="0" w:afterAutospacing="0"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31.1</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微软雅黑" w:hAnsi="微软雅黑" w:eastAsia="微软雅黑" w:cs="微软雅黑"/>
                <w:i/>
                <w:color w:val="auto"/>
                <w:sz w:val="24"/>
                <w:highlight w:val="none"/>
              </w:rPr>
            </w:pPr>
            <w:r>
              <w:rPr>
                <w:rFonts w:hint="eastAsia" w:ascii="微软雅黑" w:hAnsi="微软雅黑" w:eastAsia="微软雅黑" w:cs="微软雅黑"/>
                <w:color w:val="auto"/>
                <w:sz w:val="24"/>
                <w:highlight w:val="none"/>
              </w:rPr>
              <w:t>履约保证金金额：合同总价的</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u w:val="single"/>
                <w:lang w:val="en-US" w:eastAsia="zh-CN"/>
              </w:rPr>
              <w:t xml:space="preserve">5 </w:t>
            </w:r>
            <w:r>
              <w:rPr>
                <w:rFonts w:hint="eastAsia" w:ascii="微软雅黑" w:hAnsi="微软雅黑" w:eastAsia="微软雅黑" w:cs="微软雅黑"/>
                <w:color w:val="auto"/>
                <w:sz w:val="24"/>
                <w:highlight w:val="none"/>
                <w:u w:val="single"/>
              </w:rPr>
              <w:t>%</w:t>
            </w:r>
            <w:r>
              <w:rPr>
                <w:rFonts w:hint="eastAsia" w:ascii="微软雅黑" w:hAnsi="微软雅黑" w:eastAsia="微软雅黑" w:cs="微软雅黑"/>
                <w:color w:val="auto"/>
                <w:sz w:val="24"/>
                <w:highlight w:val="none"/>
              </w:rPr>
              <w:t>　（不得超过政府采购合同金额的10%）</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 xml:space="preserve">履约保证金形式：☑保函  ☑电汇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支票   ☑对公转账</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szCs w:val="24"/>
                <w:highlight w:val="none"/>
              </w:rPr>
              <w:t xml:space="preserve">提交履约保证金的时间：签订合同前 </w:t>
            </w:r>
            <w:r>
              <w:rPr>
                <w:rFonts w:hint="eastAsia" w:ascii="微软雅黑" w:hAnsi="微软雅黑" w:eastAsia="微软雅黑" w:cs="微软雅黑"/>
                <w:color w:val="auto"/>
                <w:sz w:val="24"/>
                <w:szCs w:val="24"/>
                <w:highlight w:val="none"/>
                <w:u w:val="single"/>
              </w:rPr>
              <w:t xml:space="preserve">  5  </w:t>
            </w:r>
            <w:r>
              <w:rPr>
                <w:rFonts w:hint="eastAsia" w:ascii="微软雅黑" w:hAnsi="微软雅黑" w:eastAsia="微软雅黑" w:cs="微软雅黑"/>
                <w:color w:val="auto"/>
                <w:sz w:val="24"/>
                <w:szCs w:val="24"/>
                <w:highlight w:val="none"/>
              </w:rPr>
              <w:t>日历日打入甲方指定账户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trPr>
        <w:tc>
          <w:tcPr>
            <w:tcW w:w="867" w:type="dxa"/>
            <w:vAlign w:val="center"/>
          </w:tcPr>
          <w:p>
            <w:pPr>
              <w:spacing w:beforeAutospacing="0" w:afterAutospacing="0"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32</w:t>
            </w:r>
          </w:p>
        </w:tc>
        <w:tc>
          <w:tcPr>
            <w:tcW w:w="8500"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成交通知书</w:t>
            </w:r>
            <w:r>
              <w:rPr>
                <w:rFonts w:hint="eastAsia" w:ascii="微软雅黑" w:hAnsi="微软雅黑" w:eastAsia="微软雅黑" w:cs="微软雅黑"/>
                <w:color w:val="auto"/>
                <w:sz w:val="24"/>
                <w:highlight w:val="none"/>
              </w:rPr>
              <w:t>：根据发改价格[2015]299文件：确定代理服务费按照</w:t>
            </w:r>
            <w:r>
              <w:rPr>
                <w:rFonts w:hint="eastAsia" w:ascii="微软雅黑" w:hAnsi="微软雅黑" w:eastAsia="微软雅黑" w:cs="微软雅黑"/>
                <w:color w:val="auto"/>
                <w:sz w:val="24"/>
                <w:highlight w:val="none"/>
                <w:lang w:val="en-US" w:eastAsia="zh-CN"/>
              </w:rPr>
              <w:t>预算价</w:t>
            </w:r>
            <w:r>
              <w:rPr>
                <w:rFonts w:hint="eastAsia" w:ascii="微软雅黑" w:hAnsi="微软雅黑" w:eastAsia="微软雅黑" w:cs="微软雅黑"/>
                <w:color w:val="auto"/>
                <w:sz w:val="24"/>
                <w:highlight w:val="none"/>
              </w:rPr>
              <w:t>的1.</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%收取。（由</w:t>
            </w:r>
            <w:r>
              <w:rPr>
                <w:rFonts w:hint="eastAsia" w:ascii="微软雅黑" w:hAnsi="微软雅黑" w:eastAsia="微软雅黑" w:cs="微软雅黑"/>
                <w:color w:val="auto"/>
                <w:sz w:val="24"/>
                <w:highlight w:val="none"/>
                <w:lang w:eastAsia="zh-CN"/>
              </w:rPr>
              <w:t>成交供应商</w:t>
            </w:r>
            <w:r>
              <w:rPr>
                <w:rFonts w:hint="eastAsia" w:ascii="微软雅黑" w:hAnsi="微软雅黑" w:eastAsia="微软雅黑" w:cs="微软雅黑"/>
                <w:color w:val="auto"/>
                <w:sz w:val="24"/>
                <w:highlight w:val="none"/>
                <w:lang w:val="en-US" w:eastAsia="zh-CN"/>
              </w:rPr>
              <w:t>一次性</w:t>
            </w:r>
            <w:r>
              <w:rPr>
                <w:rFonts w:hint="eastAsia" w:ascii="微软雅黑" w:hAnsi="微软雅黑" w:eastAsia="微软雅黑" w:cs="微软雅黑"/>
                <w:color w:val="auto"/>
                <w:sz w:val="24"/>
                <w:highlight w:val="none"/>
              </w:rPr>
              <w:t>支付）</w:t>
            </w:r>
          </w:p>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支付时间：领取</w:t>
            </w:r>
            <w:r>
              <w:rPr>
                <w:rFonts w:hint="eastAsia" w:ascii="微软雅黑" w:hAnsi="微软雅黑" w:eastAsia="微软雅黑" w:cs="微软雅黑"/>
                <w:color w:val="auto"/>
                <w:sz w:val="24"/>
                <w:highlight w:val="none"/>
                <w:lang w:eastAsia="zh-CN"/>
              </w:rPr>
              <w:t>成交通知书</w:t>
            </w:r>
            <w:r>
              <w:rPr>
                <w:rFonts w:hint="eastAsia" w:ascii="微软雅黑" w:hAnsi="微软雅黑" w:eastAsia="微软雅黑" w:cs="微软雅黑"/>
                <w:color w:val="auto"/>
                <w:sz w:val="24"/>
                <w:highlight w:val="none"/>
              </w:rPr>
              <w:t xml:space="preserve">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867" w:type="dxa"/>
            <w:vAlign w:val="center"/>
          </w:tcPr>
          <w:p>
            <w:pPr>
              <w:spacing w:beforeAutospacing="0" w:afterAutospacing="0"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w:t>
            </w:r>
          </w:p>
        </w:tc>
        <w:tc>
          <w:tcPr>
            <w:tcW w:w="8500"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本项目是否属于信用担保试点范围：</w:t>
            </w:r>
            <w:r>
              <w:rPr>
                <w:rFonts w:hint="eastAsia" w:ascii="微软雅黑" w:hAnsi="微软雅黑" w:eastAsia="微软雅黑" w:cs="微软雅黑"/>
                <w:color w:val="auto"/>
                <w:sz w:val="24"/>
                <w:highlight w:val="none"/>
                <w:u w:val="single"/>
              </w:rPr>
              <w:t xml:space="preserve">  否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i/>
                <w:color w:val="auto"/>
                <w:sz w:val="24"/>
                <w:highlight w:val="none"/>
              </w:rPr>
              <w:t>（</w:t>
            </w:r>
            <w:r>
              <w:rPr>
                <w:rFonts w:hint="eastAsia" w:ascii="微软雅黑" w:hAnsi="微软雅黑" w:eastAsia="微软雅黑" w:cs="微软雅黑"/>
                <w:color w:val="auto"/>
                <w:sz w:val="24"/>
                <w:highlight w:val="none"/>
              </w:rPr>
              <w:t>是、否）</w:t>
            </w:r>
          </w:p>
        </w:tc>
      </w:tr>
    </w:tbl>
    <w:p>
      <w:pPr>
        <w:pStyle w:val="4"/>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firstLine="0"/>
        <w:textAlignment w:val="auto"/>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pStyle w:val="2"/>
        <w:rPr>
          <w:rFonts w:hint="eastAsia" w:ascii="微软雅黑" w:hAnsi="微软雅黑" w:eastAsia="微软雅黑" w:cs="微软雅黑"/>
          <w:color w:val="auto"/>
          <w:highlight w:val="none"/>
        </w:rPr>
      </w:pPr>
    </w:p>
    <w:p>
      <w:pPr>
        <w:pStyle w:val="2"/>
        <w:rPr>
          <w:rFonts w:hint="eastAsia" w:ascii="微软雅黑" w:hAnsi="微软雅黑" w:eastAsia="微软雅黑" w:cs="微软雅黑"/>
          <w:color w:val="auto"/>
          <w:highlight w:val="none"/>
        </w:rPr>
      </w:pPr>
    </w:p>
    <w:p>
      <w:pPr>
        <w:pStyle w:val="2"/>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pStyle w:val="6"/>
        <w:tabs>
          <w:tab w:val="left" w:pos="0"/>
        </w:tabs>
        <w:spacing w:before="0" w:beforeAutospacing="0" w:after="0" w:afterAutospacing="0" w:line="240" w:lineRule="atLeast"/>
        <w:jc w:val="center"/>
        <w:rPr>
          <w:rFonts w:hint="eastAsia" w:ascii="微软雅黑" w:hAnsi="微软雅黑" w:eastAsia="微软雅黑" w:cs="微软雅黑"/>
          <w:b/>
          <w:color w:val="auto"/>
          <w:sz w:val="32"/>
          <w:szCs w:val="32"/>
          <w:highlight w:val="none"/>
          <w:lang w:val="en-US" w:eastAsia="zh-CN"/>
        </w:rPr>
      </w:pPr>
      <w:bookmarkStart w:id="856" w:name="_Toc13221"/>
      <w:r>
        <w:rPr>
          <w:rFonts w:hint="eastAsia" w:ascii="微软雅黑" w:hAnsi="微软雅黑" w:eastAsia="微软雅黑" w:cs="微软雅黑"/>
          <w:b/>
          <w:color w:val="auto"/>
          <w:sz w:val="32"/>
          <w:szCs w:val="32"/>
          <w:highlight w:val="none"/>
          <w:lang w:val="en-US" w:eastAsia="zh-CN"/>
        </w:rPr>
        <w:t>第5章 服务内容及项目要求</w:t>
      </w:r>
      <w:bookmarkEnd w:id="856"/>
    </w:p>
    <w:bookmarkEnd w:id="806"/>
    <w:bookmarkEnd w:id="807"/>
    <w:bookmarkEnd w:id="808"/>
    <w:bookmarkEnd w:id="809"/>
    <w:bookmarkEnd w:id="810"/>
    <w:bookmarkEnd w:id="811"/>
    <w:bookmarkEnd w:id="812"/>
    <w:bookmarkEnd w:id="813"/>
    <w:bookmarkEnd w:id="814"/>
    <w:bookmarkEnd w:id="815"/>
    <w:p>
      <w:pPr>
        <w:rPr>
          <w:rFonts w:hint="eastAsia" w:ascii="微软雅黑" w:hAnsi="微软雅黑" w:eastAsia="微软雅黑" w:cs="微软雅黑"/>
          <w:b/>
          <w:color w:val="auto"/>
          <w:sz w:val="28"/>
          <w:szCs w:val="28"/>
          <w:highlight w:val="none"/>
          <w:lang w:eastAsia="zh-CN"/>
        </w:rPr>
      </w:pPr>
      <w:r>
        <w:rPr>
          <w:rFonts w:hint="eastAsia" w:ascii="微软雅黑" w:hAnsi="微软雅黑" w:eastAsia="微软雅黑" w:cs="微软雅黑"/>
          <w:b/>
          <w:color w:val="auto"/>
          <w:sz w:val="28"/>
          <w:szCs w:val="28"/>
          <w:highlight w:val="none"/>
          <w:lang w:val="en-US" w:eastAsia="zh-CN"/>
        </w:rPr>
        <w:t>服务内容</w:t>
      </w:r>
      <w:r>
        <w:rPr>
          <w:rFonts w:hint="eastAsia" w:ascii="微软雅黑" w:hAnsi="微软雅黑" w:eastAsia="微软雅黑" w:cs="微软雅黑"/>
          <w:b/>
          <w:color w:val="auto"/>
          <w:sz w:val="28"/>
          <w:szCs w:val="28"/>
          <w:highlight w:val="none"/>
          <w:lang w:eastAsia="zh-CN"/>
        </w:rPr>
        <w:t>：</w:t>
      </w:r>
    </w:p>
    <w:p>
      <w:pPr>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lang w:val="en-US" w:eastAsia="zh-CN"/>
        </w:rPr>
        <w:t>一、</w:t>
      </w:r>
      <w:r>
        <w:rPr>
          <w:rFonts w:hint="eastAsia" w:ascii="微软雅黑" w:hAnsi="微软雅黑" w:eastAsia="微软雅黑" w:cs="微软雅黑"/>
          <w:b/>
          <w:color w:val="auto"/>
          <w:sz w:val="28"/>
          <w:szCs w:val="28"/>
          <w:highlight w:val="none"/>
        </w:rPr>
        <w:t>采购清单及数量：</w:t>
      </w:r>
    </w:p>
    <w:p>
      <w:pPr>
        <w:pStyle w:val="57"/>
        <w:spacing w:before="0" w:after="0"/>
        <w:ind w:firstLine="480" w:firstLineChars="200"/>
        <w:outlineLvl w:val="0"/>
        <w:rPr>
          <w:rStyle w:val="58"/>
          <w:rFonts w:hint="eastAsia" w:ascii="微软雅黑" w:hAnsi="微软雅黑" w:eastAsia="微软雅黑" w:cs="微软雅黑"/>
          <w:bCs/>
          <w:color w:val="auto"/>
          <w:highlight w:val="none"/>
        </w:rPr>
      </w:pPr>
      <w:bookmarkStart w:id="857" w:name="_Toc7743"/>
      <w:r>
        <w:rPr>
          <w:rStyle w:val="58"/>
          <w:rFonts w:hint="eastAsia" w:ascii="微软雅黑" w:hAnsi="微软雅黑" w:eastAsia="微软雅黑" w:cs="微软雅黑"/>
          <w:bCs/>
          <w:color w:val="auto"/>
          <w:highlight w:val="none"/>
        </w:rPr>
        <w:t>为保障医院医疗业务的正常开展，现就我院办公自动化设备耗材及保养、维修服务采购进行招标，详见技术需求表。</w:t>
      </w:r>
      <w:bookmarkEnd w:id="857"/>
    </w:p>
    <w:p>
      <w:pPr>
        <w:pStyle w:val="57"/>
        <w:spacing w:before="0" w:after="0"/>
        <w:ind w:firstLine="480" w:firstLineChars="200"/>
        <w:outlineLvl w:val="0"/>
        <w:rPr>
          <w:rStyle w:val="58"/>
          <w:rFonts w:hint="eastAsia" w:ascii="微软雅黑" w:hAnsi="微软雅黑" w:eastAsia="微软雅黑" w:cs="微软雅黑"/>
          <w:bCs/>
          <w:color w:val="auto"/>
          <w:highlight w:val="none"/>
        </w:rPr>
      </w:pPr>
      <w:bookmarkStart w:id="858" w:name="_Toc26567"/>
      <w:r>
        <w:rPr>
          <w:rStyle w:val="58"/>
          <w:rFonts w:hint="eastAsia" w:ascii="微软雅黑" w:hAnsi="微软雅黑" w:eastAsia="微软雅黑" w:cs="微软雅黑"/>
          <w:bCs/>
          <w:color w:val="auto"/>
          <w:highlight w:val="none"/>
        </w:rPr>
        <w:t>预估每年我院耗材采购金额约在75万左右，本次项目招标耗材单价，服务费用包括在耗材价格中，每月以实际耗材用量进行结算。</w:t>
      </w:r>
      <w:bookmarkEnd w:id="858"/>
    </w:p>
    <w:p>
      <w:pPr>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lang w:val="en-US" w:eastAsia="zh-CN"/>
        </w:rPr>
        <w:t>二</w:t>
      </w:r>
      <w:r>
        <w:rPr>
          <w:rFonts w:hint="eastAsia" w:ascii="微软雅黑" w:hAnsi="微软雅黑" w:eastAsia="微软雅黑" w:cs="微软雅黑"/>
          <w:b/>
          <w:color w:val="auto"/>
          <w:sz w:val="28"/>
          <w:szCs w:val="28"/>
          <w:highlight w:val="none"/>
        </w:rPr>
        <w:t>、技术需求：</w:t>
      </w:r>
    </w:p>
    <w:tbl>
      <w:tblPr>
        <w:tblStyle w:val="22"/>
        <w:tblW w:w="9360" w:type="dxa"/>
        <w:tblInd w:w="96" w:type="dxa"/>
        <w:tblLayout w:type="autofit"/>
        <w:tblCellMar>
          <w:top w:w="0" w:type="dxa"/>
          <w:left w:w="108" w:type="dxa"/>
          <w:bottom w:w="0" w:type="dxa"/>
          <w:right w:w="108" w:type="dxa"/>
        </w:tblCellMar>
      </w:tblPr>
      <w:tblGrid>
        <w:gridCol w:w="600"/>
        <w:gridCol w:w="1580"/>
        <w:gridCol w:w="5020"/>
        <w:gridCol w:w="600"/>
        <w:gridCol w:w="600"/>
        <w:gridCol w:w="960"/>
      </w:tblGrid>
      <w:tr>
        <w:tblPrEx>
          <w:tblCellMar>
            <w:top w:w="0" w:type="dxa"/>
            <w:left w:w="108" w:type="dxa"/>
            <w:bottom w:w="0" w:type="dxa"/>
            <w:right w:w="108" w:type="dxa"/>
          </w:tblCellMar>
        </w:tblPrEx>
        <w:trPr>
          <w:trHeight w:val="288"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序号</w:t>
            </w:r>
          </w:p>
        </w:tc>
        <w:tc>
          <w:tcPr>
            <w:tcW w:w="15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品名</w:t>
            </w:r>
          </w:p>
        </w:tc>
        <w:tc>
          <w:tcPr>
            <w:tcW w:w="5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规格</w:t>
            </w:r>
          </w:p>
        </w:tc>
        <w:tc>
          <w:tcPr>
            <w:tcW w:w="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单位</w:t>
            </w:r>
          </w:p>
        </w:tc>
        <w:tc>
          <w:tcPr>
            <w:tcW w:w="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单价</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备注</w:t>
            </w:r>
          </w:p>
        </w:tc>
      </w:tr>
      <w:tr>
        <w:tblPrEx>
          <w:tblCellMar>
            <w:top w:w="0" w:type="dxa"/>
            <w:left w:w="108" w:type="dxa"/>
            <w:bottom w:w="0" w:type="dxa"/>
            <w:right w:w="108" w:type="dxa"/>
          </w:tblCellMar>
        </w:tblPrEx>
        <w:trPr>
          <w:trHeight w:val="288" w:hRule="atLeast"/>
        </w:trPr>
        <w:tc>
          <w:tcPr>
            <w:tcW w:w="6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1</w:t>
            </w:r>
          </w:p>
        </w:tc>
        <w:tc>
          <w:tcPr>
            <w:tcW w:w="15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复印机-硒鼓</w:t>
            </w:r>
          </w:p>
        </w:tc>
        <w:tc>
          <w:tcPr>
            <w:tcW w:w="5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京瓷MK-4105</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京瓷DK-475</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京瓷DK-428</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2</w:t>
            </w:r>
          </w:p>
        </w:tc>
        <w:tc>
          <w:tcPr>
            <w:tcW w:w="15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复印机-粉盒</w:t>
            </w: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京瓷TK-4108</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xml:space="preserve">京瓷TK-4138 </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京瓷TK-7108</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京瓷TK-7128</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3</w:t>
            </w:r>
          </w:p>
        </w:tc>
        <w:tc>
          <w:tcPr>
            <w:tcW w:w="15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打印机-硒鼓</w:t>
            </w: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HPQ2612A硒鼓</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HPCC388A硒鼓</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HP280A硒鼓</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 xml:space="preserve">HP228硒鼓 </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HPC4129X硒鼓</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HP305A硒鼓（彩）</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HP305A硒鼓（黑）</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HP201A硒鼓（彩）</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HP201A硒鼓（黑）</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HP1215硒鼓（彩）</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HP1215硒鼓（黑）</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HP1005C/109A硒鼓</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三星A4机型硒鼓/2161/2071/2010/2570/3401</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联想A4机型硒鼓2655/7650/2405/7655/7600</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兄弟A4机型硒鼓/2260/7180/2240/7057</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奔图400硒鼓</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立思辰2630硒鼓</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支</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4</w:t>
            </w:r>
          </w:p>
        </w:tc>
        <w:tc>
          <w:tcPr>
            <w:tcW w:w="15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打印机-粉盒</w:t>
            </w: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HP 1108粉盒</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联想A4机型粉盒/2655/7650/2405/7655/7600</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兄弟A4机型粉盒/2260/7180/2240/7057</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京瓷TK-1003粉盒</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奔图400粉盒</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奔图200粉盒</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佳能NPG-67粉盒</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立思辰2630粉盒 彩色</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立思辰2630粉盒 黑色</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5</w:t>
            </w:r>
          </w:p>
        </w:tc>
        <w:tc>
          <w:tcPr>
            <w:tcW w:w="15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打印机-碳粉</w:t>
            </w: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 A4机型碳粉/1005/1010/1008/1536/1020/1007</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瓶</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 A3机型碳粉/5200/701/706/</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瓶</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三星A4机型碳粉/1911/2161/2010/2510/4725</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瓶</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联想A4机型碳粉/2200/2400/2405/2655/7650</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瓶</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兄弟A4机型碳粉/2260/7180/2240/7057/2140/7030</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瓶</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6</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打印机-其它</w:t>
            </w: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 A4机型定影膜/1020/1008/1606/2612/388/278</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 A4机型下棍/1020/1008/1606/2612/388/278</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A4机型打印机主板</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块</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A4相片纸</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斑马888T条码打印机碳带</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7</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墨盒</w:t>
            </w: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HP46墨盒</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HP46墨盒</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HP803墨盒</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HP802墨盒</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HP852墨盒</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HP855墨盒</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佳能815墨盒</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佳能816墨盒</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爱普生T251墨盒</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EPSON270墨盒</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EPSONL301墨水</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原装</w:t>
            </w:r>
          </w:p>
        </w:tc>
      </w:tr>
      <w:tr>
        <w:tblPrEx>
          <w:tblCellMar>
            <w:top w:w="0" w:type="dxa"/>
            <w:left w:w="108" w:type="dxa"/>
            <w:bottom w:w="0" w:type="dxa"/>
            <w:right w:w="108" w:type="dxa"/>
          </w:tblCellMar>
        </w:tblPrEx>
        <w:trPr>
          <w:trHeight w:val="288" w:hRule="atLeast"/>
        </w:trPr>
        <w:tc>
          <w:tcPr>
            <w:tcW w:w="6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8</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色带</w:t>
            </w: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EPSON1600K3色带，含色带架</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OKI5560色带，含色带架</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得实3240色带，含色带架</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9</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计算机配件</w:t>
            </w:r>
          </w:p>
        </w:tc>
        <w:tc>
          <w:tcPr>
            <w:tcW w:w="5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3米USB2.0打印线</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 xml:space="preserve">3米HDMI线 </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VGA转HDMI线</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3米电源线</w:t>
            </w:r>
          </w:p>
        </w:tc>
        <w:tc>
          <w:tcPr>
            <w:tcW w:w="60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DVDR光盘</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张</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DVDRW光盘</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张</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32G优盘，USB3.0</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128G优盘，USB3.0</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1T移动硬盘，USB3.0</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2T移动硬盘，USB3.0</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USB键盘，品牌机专用</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USB鼠标，品牌机专用</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无线键盘，品牌机专用</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无线鼠标，品牌机专用</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鼠标垫</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条码扫描枪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双轨磁卡阅读器</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2口打印切换器</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2口KVM转换器</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USB HUB</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CPU风扇，品牌机专用</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8G内存条，品牌机专用</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条</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1T机械硬盘，品牌机专用</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块</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240G SSD硬盘，品牌机专用</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块</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480G SSD硬盘，品牌机专用</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块</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主板，品牌机专用</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块</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2G独立显卡</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块</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台式电脑电源，品牌机专用</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音箱,品牌机专用</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对</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显示器主板</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块</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10</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网络配件</w:t>
            </w: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5口百兆交换机</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8口百兆交换机</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8口千兆交换机</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24口千兆交换机</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路由器，10M-100M、双天线</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个</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网卡，USB</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块</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网线，超五类网线，无氧铜，305米/箱</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箱</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网线，六类网线，无氧铜，305米/箱</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箱</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6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highlight w:val="none"/>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水晶头，六类，100个/盒</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盒</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微软雅黑"/>
                <w:color w:val="auto"/>
                <w:kern w:val="0"/>
                <w:sz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936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b/>
                <w:bCs/>
                <w:color w:val="auto"/>
                <w:sz w:val="24"/>
                <w:szCs w:val="32"/>
                <w:highlight w:val="none"/>
              </w:rPr>
              <w:t>注：</w:t>
            </w:r>
            <w:r>
              <w:rPr>
                <w:rFonts w:hint="eastAsia" w:ascii="微软雅黑" w:hAnsi="微软雅黑" w:eastAsia="微软雅黑" w:cs="微软雅黑"/>
                <w:b/>
                <w:bCs/>
                <w:color w:val="auto"/>
                <w:sz w:val="24"/>
                <w:szCs w:val="32"/>
                <w:highlight w:val="none"/>
                <w:lang w:val="en-US" w:eastAsia="zh-CN"/>
              </w:rPr>
              <w:t>1、本项目为单价招标，具体以使用量结算。2、磋商</w:t>
            </w:r>
            <w:r>
              <w:rPr>
                <w:rFonts w:hint="eastAsia" w:ascii="微软雅黑" w:hAnsi="微软雅黑" w:eastAsia="微软雅黑" w:cs="微软雅黑"/>
                <w:b/>
                <w:bCs/>
                <w:color w:val="auto"/>
                <w:sz w:val="24"/>
                <w:szCs w:val="32"/>
                <w:highlight w:val="none"/>
              </w:rPr>
              <w:t>总价为单价的合计金额</w:t>
            </w:r>
            <w:r>
              <w:rPr>
                <w:rFonts w:hint="eastAsia" w:ascii="微软雅黑" w:hAnsi="微软雅黑" w:eastAsia="微软雅黑" w:cs="微软雅黑"/>
                <w:b/>
                <w:bCs/>
                <w:color w:val="auto"/>
                <w:sz w:val="21"/>
                <w:szCs w:val="24"/>
                <w:highlight w:val="none"/>
                <w:lang w:eastAsia="zh-CN"/>
              </w:rPr>
              <w:t>。（</w:t>
            </w:r>
            <w:r>
              <w:rPr>
                <w:rFonts w:hint="eastAsia" w:ascii="微软雅黑" w:hAnsi="微软雅黑" w:eastAsia="微软雅黑" w:cs="微软雅黑"/>
                <w:b/>
                <w:bCs/>
                <w:color w:val="auto"/>
                <w:sz w:val="21"/>
                <w:szCs w:val="24"/>
                <w:highlight w:val="none"/>
                <w:lang w:val="en-US" w:eastAsia="zh-CN"/>
              </w:rPr>
              <w:t>需要确认</w:t>
            </w:r>
            <w:r>
              <w:rPr>
                <w:rFonts w:hint="eastAsia" w:ascii="微软雅黑" w:hAnsi="微软雅黑" w:eastAsia="微软雅黑" w:cs="微软雅黑"/>
                <w:b/>
                <w:bCs/>
                <w:color w:val="auto"/>
                <w:sz w:val="21"/>
                <w:szCs w:val="24"/>
                <w:highlight w:val="none"/>
                <w:lang w:eastAsia="zh-CN"/>
              </w:rPr>
              <w:t>）</w:t>
            </w:r>
          </w:p>
        </w:tc>
      </w:tr>
    </w:tbl>
    <w:p>
      <w:pPr>
        <w:spacing w:line="400" w:lineRule="exact"/>
        <w:rPr>
          <w:rFonts w:hint="eastAsia" w:ascii="微软雅黑" w:hAnsi="微软雅黑" w:eastAsia="微软雅黑" w:cs="微软雅黑"/>
          <w:b/>
          <w:color w:val="auto"/>
          <w:highlight w:val="none"/>
        </w:rPr>
      </w:pPr>
      <w:r>
        <w:rPr>
          <w:rFonts w:hint="eastAsia" w:ascii="微软雅黑" w:hAnsi="微软雅黑" w:eastAsia="微软雅黑" w:cs="微软雅黑"/>
          <w:b/>
          <w:color w:val="auto"/>
          <w:highlight w:val="none"/>
        </w:rPr>
        <w:t>说明：</w:t>
      </w:r>
    </w:p>
    <w:p>
      <w:pPr>
        <w:spacing w:line="400" w:lineRule="exact"/>
        <w:rPr>
          <w:rFonts w:hint="eastAsia" w:ascii="微软雅黑" w:hAnsi="微软雅黑" w:eastAsia="微软雅黑" w:cs="微软雅黑"/>
          <w:b/>
          <w:color w:val="auto"/>
          <w:highlight w:val="none"/>
        </w:rPr>
      </w:pPr>
      <w:r>
        <w:rPr>
          <w:rFonts w:hint="eastAsia" w:ascii="微软雅黑" w:hAnsi="微软雅黑" w:eastAsia="微软雅黑" w:cs="微软雅黑"/>
          <w:b/>
          <w:color w:val="auto"/>
          <w:highlight w:val="none"/>
        </w:rPr>
        <w:t>1、报价应包含耗材更换、办公设备保养、维修的服务费用；</w:t>
      </w:r>
    </w:p>
    <w:p>
      <w:pPr>
        <w:spacing w:line="400" w:lineRule="exact"/>
        <w:rPr>
          <w:rFonts w:hint="eastAsia" w:ascii="微软雅黑" w:hAnsi="微软雅黑" w:eastAsia="微软雅黑" w:cs="微软雅黑"/>
          <w:b/>
          <w:color w:val="auto"/>
          <w:highlight w:val="none"/>
        </w:rPr>
      </w:pPr>
      <w:r>
        <w:rPr>
          <w:rFonts w:hint="eastAsia" w:ascii="微软雅黑" w:hAnsi="微软雅黑" w:eastAsia="微软雅黑" w:cs="微软雅黑"/>
          <w:b/>
          <w:color w:val="auto"/>
          <w:highlight w:val="none"/>
        </w:rPr>
        <w:t>2、报价应包含办公设备故障所需更换配件的费用；</w:t>
      </w:r>
    </w:p>
    <w:p>
      <w:pPr>
        <w:spacing w:line="400" w:lineRule="exact"/>
        <w:rPr>
          <w:rFonts w:hint="eastAsia" w:ascii="微软雅黑" w:hAnsi="微软雅黑" w:eastAsia="微软雅黑" w:cs="微软雅黑"/>
          <w:b/>
          <w:color w:val="auto"/>
          <w:highlight w:val="none"/>
        </w:rPr>
      </w:pPr>
      <w:r>
        <w:rPr>
          <w:rFonts w:hint="eastAsia" w:ascii="微软雅黑" w:hAnsi="微软雅黑" w:eastAsia="微软雅黑" w:cs="微软雅黑"/>
          <w:b/>
          <w:color w:val="auto"/>
          <w:highlight w:val="none"/>
        </w:rPr>
        <w:t>3、要求平均每个硒鼓保证可加粉5次以上；</w:t>
      </w:r>
    </w:p>
    <w:p>
      <w:pPr>
        <w:spacing w:line="400" w:lineRule="exact"/>
        <w:rPr>
          <w:rFonts w:hint="eastAsia" w:ascii="微软雅黑" w:hAnsi="微软雅黑" w:eastAsia="微软雅黑" w:cs="微软雅黑"/>
          <w:b/>
          <w:color w:val="auto"/>
          <w:highlight w:val="none"/>
        </w:rPr>
      </w:pPr>
      <w:r>
        <w:rPr>
          <w:rFonts w:hint="eastAsia" w:ascii="微软雅黑" w:hAnsi="微软雅黑" w:eastAsia="微软雅黑" w:cs="微软雅黑"/>
          <w:b/>
          <w:color w:val="auto"/>
          <w:highlight w:val="none"/>
        </w:rPr>
        <w:t>4、备注要求原装的，要求耗材必须是设备原厂原装正品耗材。</w:t>
      </w:r>
    </w:p>
    <w:p>
      <w:pPr>
        <w:pStyle w:val="57"/>
        <w:spacing w:before="0" w:after="0"/>
        <w:outlineLvl w:val="0"/>
        <w:rPr>
          <w:rStyle w:val="58"/>
          <w:rFonts w:hint="eastAsia" w:ascii="微软雅黑" w:hAnsi="微软雅黑" w:eastAsia="微软雅黑" w:cs="微软雅黑"/>
          <w:b/>
          <w:bCs/>
          <w:color w:val="auto"/>
          <w:highlight w:val="none"/>
        </w:rPr>
      </w:pPr>
    </w:p>
    <w:p>
      <w:pPr>
        <w:pStyle w:val="57"/>
        <w:spacing w:before="0" w:after="0"/>
        <w:outlineLvl w:val="0"/>
        <w:rPr>
          <w:rStyle w:val="58"/>
          <w:rFonts w:hint="eastAsia" w:ascii="微软雅黑" w:hAnsi="微软雅黑" w:eastAsia="微软雅黑" w:cs="微软雅黑"/>
          <w:b/>
          <w:bCs/>
          <w:color w:val="auto"/>
          <w:highlight w:val="none"/>
        </w:rPr>
      </w:pPr>
      <w:bookmarkStart w:id="859" w:name="_Toc7517"/>
      <w:r>
        <w:rPr>
          <w:rStyle w:val="58"/>
          <w:rFonts w:hint="eastAsia" w:ascii="微软雅黑" w:hAnsi="微软雅黑" w:eastAsia="微软雅黑" w:cs="微软雅黑"/>
          <w:b/>
          <w:bCs/>
          <w:color w:val="auto"/>
          <w:highlight w:val="none"/>
        </w:rPr>
        <w:t>维保服务要求</w:t>
      </w:r>
      <w:bookmarkEnd w:id="859"/>
      <w:r>
        <w:rPr>
          <w:rStyle w:val="58"/>
          <w:rFonts w:hint="eastAsia" w:ascii="微软雅黑" w:hAnsi="微软雅黑" w:eastAsia="微软雅黑" w:cs="微软雅黑"/>
          <w:b/>
          <w:bCs/>
          <w:color w:val="auto"/>
          <w:highlight w:val="none"/>
        </w:rPr>
        <w:t xml:space="preserve"> </w:t>
      </w:r>
    </w:p>
    <w:p>
      <w:pP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（一）服务团队人员及其基本工作要求：</w:t>
      </w:r>
    </w:p>
    <w:p>
      <w:pPr>
        <w:widowControl/>
        <w:ind w:firstLine="420" w:firstLineChars="200"/>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自中标单位签订合同后3日内，派驻医院办公设备维修保养、耗材更换服务团队。维修设备、工具、工装、专用报修电话由中标单位自备，团队须服从采购单位管理，提供现场服务。在服务期间不得与采购单位就中标价格提出增加的异议（除非服务条件发生根本性的变化）。若出现服务团队人员不足的情况时，投标商必须保证增加必要的人员以保障服务质量和水平（价格不得增加）。</w:t>
      </w:r>
    </w:p>
    <w:p>
      <w:pPr>
        <w:widowControl/>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服务人员分工：</w:t>
      </w:r>
    </w:p>
    <w:p>
      <w:pPr>
        <w:widowControl/>
        <w:ind w:left="420" w:leftChars="200"/>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主管负责与甲方相关科室沟通协调，接听电话，处理投诉、分派报障任务；库房进销存管理、耗材、配件配送，协助院方办理出入库手续，日常单据管理、每月提交相关报表，科室对帐；</w:t>
      </w:r>
    </w:p>
    <w:p>
      <w:pPr>
        <w:widowControl/>
        <w:ind w:left="420" w:leftChars="200"/>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技术人员，处理医院日常一线报修更换任务，处理一线疑难问题；在白班高峰、夜班、双体日、节假日期间均有人值守，提供7*24小时不间断服务。</w:t>
      </w:r>
    </w:p>
    <w:p>
      <w:pPr>
        <w:widowControl/>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资格要求：</w:t>
      </w:r>
    </w:p>
    <w:p>
      <w:pPr>
        <w:widowControl/>
        <w:ind w:firstLine="420" w:firstLineChars="200"/>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中标单位要求必须有有完善的服务团队考核管理制度；</w:t>
      </w:r>
    </w:p>
    <w:p>
      <w:pPr>
        <w:widowControl/>
        <w:ind w:firstLine="420" w:firstLineChars="200"/>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服务人员要求计算机及办公自动化维修能力；为投标单位社保在册员工，人员相对固定，可保证提供长期稳定的服务；</w:t>
      </w:r>
    </w:p>
    <w:p>
      <w:pPr>
        <w:widowControl/>
        <w:ind w:firstLine="420" w:firstLineChars="200"/>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服务人员一经派驻，中标单位负责人员工资、五险一金、值班费、加班费、餐补、话补、交通补助、节日补助，服务期内不得更换人员。</w:t>
      </w:r>
    </w:p>
    <w:p>
      <w:pP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（二）服务内容：</w:t>
      </w:r>
    </w:p>
    <w:p>
      <w:pPr>
        <w:rPr>
          <w:rFonts w:hint="eastAsia" w:ascii="微软雅黑" w:hAnsi="微软雅黑" w:eastAsia="微软雅黑" w:cs="微软雅黑"/>
          <w:color w:val="auto"/>
          <w:highlight w:val="none"/>
        </w:rPr>
      </w:pPr>
      <w:r>
        <w:rPr>
          <w:rFonts w:hint="eastAsia" w:ascii="微软雅黑" w:hAnsi="微软雅黑" w:eastAsia="微软雅黑" w:cs="微软雅黑"/>
          <w:b/>
          <w:color w:val="auto"/>
          <w:sz w:val="24"/>
          <w:szCs w:val="24"/>
          <w:highlight w:val="none"/>
        </w:rPr>
        <w:t>1.服务对象：</w:t>
      </w:r>
      <w:r>
        <w:rPr>
          <w:rFonts w:hint="eastAsia" w:ascii="微软雅黑" w:hAnsi="微软雅黑" w:eastAsia="微软雅黑" w:cs="微软雅黑"/>
          <w:color w:val="auto"/>
          <w:highlight w:val="none"/>
        </w:rPr>
        <w:t>医院激光打印机、喷墨打印机、针式打印机、条码打印机、一体机、传真机、扫描仪、复印机。</w:t>
      </w:r>
    </w:p>
    <w:p>
      <w:pPr>
        <w:rPr>
          <w:rFonts w:hint="eastAsia" w:ascii="微软雅黑" w:hAnsi="微软雅黑" w:eastAsia="微软雅黑" w:cs="微软雅黑"/>
          <w:b/>
          <w:color w:val="auto"/>
          <w:highlight w:val="none"/>
        </w:rPr>
      </w:pPr>
      <w:r>
        <w:rPr>
          <w:rFonts w:hint="eastAsia" w:ascii="微软雅黑" w:hAnsi="微软雅黑" w:eastAsia="微软雅黑" w:cs="微软雅黑"/>
          <w:b/>
          <w:color w:val="auto"/>
          <w:sz w:val="24"/>
          <w:szCs w:val="24"/>
          <w:highlight w:val="none"/>
        </w:rPr>
        <w:t>2.服务地点：</w:t>
      </w:r>
      <w:r>
        <w:rPr>
          <w:rFonts w:hint="eastAsia" w:ascii="微软雅黑" w:hAnsi="微软雅黑" w:eastAsia="微软雅黑" w:cs="微软雅黑"/>
          <w:color w:val="auto"/>
          <w:highlight w:val="none"/>
        </w:rPr>
        <w:t>喀什地区第二人民医院及一分院、二分院。</w:t>
      </w:r>
    </w:p>
    <w:p>
      <w:pPr>
        <w:rPr>
          <w:rFonts w:hint="eastAsia" w:ascii="微软雅黑" w:hAnsi="微软雅黑" w:eastAsia="微软雅黑" w:cs="微软雅黑"/>
          <w:color w:val="auto"/>
          <w:highlight w:val="none"/>
        </w:rPr>
      </w:pPr>
      <w:r>
        <w:rPr>
          <w:rFonts w:hint="eastAsia" w:ascii="微软雅黑" w:hAnsi="微软雅黑" w:eastAsia="微软雅黑" w:cs="微软雅黑"/>
          <w:b/>
          <w:color w:val="auto"/>
          <w:sz w:val="24"/>
          <w:szCs w:val="24"/>
          <w:highlight w:val="none"/>
        </w:rPr>
        <w:t>3.服务方式：</w:t>
      </w:r>
      <w:r>
        <w:rPr>
          <w:rFonts w:hint="eastAsia" w:ascii="微软雅黑" w:hAnsi="微软雅黑" w:eastAsia="微软雅黑" w:cs="微软雅黑"/>
          <w:color w:val="auto"/>
          <w:highlight w:val="none"/>
        </w:rPr>
        <w:t>乙方工程师每天7×8小时常驻甲方单位，夜间、节假日单独安排人员值班制度，对甲方办公自动化设备进行全天候跟踪维护、耗材更换服务。</w:t>
      </w:r>
    </w:p>
    <w:p>
      <w:pPr>
        <w:pStyle w:val="60"/>
        <w:ind w:left="0" w:leftChars="0" w:firstLine="0" w:firstLineChars="0"/>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kern w:val="2"/>
          <w:sz w:val="24"/>
          <w:szCs w:val="24"/>
          <w:highlight w:val="none"/>
          <w:lang w:val="en-US" w:eastAsia="zh-CN" w:bidi="ar-SA"/>
        </w:rPr>
        <w:t>4.服务期限：</w:t>
      </w:r>
      <w:r>
        <w:rPr>
          <w:rFonts w:hint="eastAsia" w:ascii="微软雅黑" w:hAnsi="微软雅黑" w:eastAsia="微软雅黑" w:cs="微软雅黑"/>
          <w:b/>
          <w:color w:val="auto"/>
          <w:szCs w:val="21"/>
          <w:highlight w:val="none"/>
        </w:rPr>
        <w:t>自派驻服务团队之日起一年，服务期满后经双方协商一致可续签合同。</w:t>
      </w:r>
    </w:p>
    <w:p>
      <w:pPr>
        <w:pStyle w:val="60"/>
        <w:ind w:left="0" w:leftChars="0" w:firstLine="0" w:firstLineChars="0"/>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kern w:val="2"/>
          <w:sz w:val="24"/>
          <w:szCs w:val="24"/>
          <w:highlight w:val="none"/>
          <w:lang w:val="en-US" w:eastAsia="zh-CN" w:bidi="ar-SA"/>
        </w:rPr>
        <w:t>5.响应时间：</w:t>
      </w:r>
      <w:r>
        <w:rPr>
          <w:rFonts w:hint="eastAsia" w:ascii="微软雅黑" w:hAnsi="微软雅黑" w:eastAsia="微软雅黑" w:cs="微软雅黑"/>
          <w:color w:val="auto"/>
          <w:szCs w:val="21"/>
          <w:highlight w:val="none"/>
        </w:rPr>
        <w:t>乙方接到报修必须30分钟内响应并解决故障，如无法解决则提供备机保证甲方正常医疗业务开展。</w:t>
      </w:r>
    </w:p>
    <w:p>
      <w:pP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6.服务项目及范围</w:t>
      </w:r>
    </w:p>
    <w:p>
      <w:pPr>
        <w:ind w:firstLine="411" w:firstLineChars="196"/>
        <w:rPr>
          <w:rFonts w:hint="eastAsia" w:ascii="微软雅黑" w:hAnsi="微软雅黑" w:eastAsia="微软雅黑" w:cs="微软雅黑"/>
          <w:bCs/>
          <w:color w:val="auto"/>
          <w:highlight w:val="none"/>
        </w:rPr>
      </w:pPr>
      <w:r>
        <w:rPr>
          <w:rFonts w:hint="eastAsia" w:ascii="微软雅黑" w:hAnsi="微软雅黑" w:eastAsia="微软雅黑" w:cs="微软雅黑"/>
          <w:color w:val="auto"/>
          <w:highlight w:val="none"/>
        </w:rPr>
        <w:t>（1）</w:t>
      </w:r>
      <w:r>
        <w:rPr>
          <w:rFonts w:hint="eastAsia" w:ascii="微软雅黑" w:hAnsi="微软雅黑" w:eastAsia="微软雅黑" w:cs="微软雅黑"/>
          <w:bCs/>
          <w:color w:val="auto"/>
          <w:highlight w:val="none"/>
        </w:rPr>
        <w:t>耗材更换服务：各种办公自动化设备的耗材更换、激光打印机加粉、废粉清理。</w:t>
      </w:r>
    </w:p>
    <w:p>
      <w:pPr>
        <w:ind w:firstLine="411" w:firstLineChars="196"/>
        <w:rPr>
          <w:rFonts w:hint="eastAsia" w:ascii="微软雅黑" w:hAnsi="微软雅黑" w:eastAsia="微软雅黑" w:cs="微软雅黑"/>
          <w:bCs/>
          <w:color w:val="auto"/>
          <w:highlight w:val="none"/>
        </w:rPr>
      </w:pPr>
      <w:r>
        <w:rPr>
          <w:rFonts w:hint="eastAsia" w:ascii="微软雅黑" w:hAnsi="微软雅黑" w:eastAsia="微软雅黑" w:cs="微软雅黑"/>
          <w:bCs/>
          <w:color w:val="auto"/>
          <w:highlight w:val="none"/>
        </w:rPr>
        <w:t>（2）常规维修服务：办公自动化设备安装调试、故障检测、保内硬件维修，联系厂家上门维修。</w:t>
      </w:r>
    </w:p>
    <w:p>
      <w:pPr>
        <w:ind w:left="1" w:firstLine="411" w:firstLineChars="196"/>
        <w:rPr>
          <w:rFonts w:hint="eastAsia" w:ascii="微软雅黑" w:hAnsi="微软雅黑" w:eastAsia="微软雅黑" w:cs="微软雅黑"/>
          <w:bCs/>
          <w:color w:val="auto"/>
          <w:highlight w:val="none"/>
        </w:rPr>
      </w:pPr>
      <w:r>
        <w:rPr>
          <w:rFonts w:hint="eastAsia" w:ascii="微软雅黑" w:hAnsi="微软雅黑" w:eastAsia="微软雅黑" w:cs="微软雅黑"/>
          <w:color w:val="auto"/>
          <w:highlight w:val="none"/>
        </w:rPr>
        <w:t>（3）保养</w:t>
      </w:r>
      <w:r>
        <w:rPr>
          <w:rFonts w:hint="eastAsia" w:ascii="微软雅黑" w:hAnsi="微软雅黑" w:eastAsia="微软雅黑" w:cs="微软雅黑"/>
          <w:bCs/>
          <w:color w:val="auto"/>
          <w:highlight w:val="none"/>
        </w:rPr>
        <w:t>巡检服务：为办公自动化设备提供定期巡检和保养、除尘、保洁。</w:t>
      </w:r>
    </w:p>
    <w:p>
      <w:pPr>
        <w:ind w:firstLine="411" w:firstLineChars="196"/>
        <w:rPr>
          <w:rFonts w:hint="eastAsia" w:ascii="微软雅黑" w:hAnsi="微软雅黑" w:eastAsia="微软雅黑" w:cs="微软雅黑"/>
          <w:bCs/>
          <w:color w:val="auto"/>
          <w:highlight w:val="none"/>
        </w:rPr>
      </w:pPr>
      <w:r>
        <w:rPr>
          <w:rFonts w:hint="eastAsia" w:ascii="微软雅黑" w:hAnsi="微软雅黑" w:eastAsia="微软雅黑" w:cs="微软雅黑"/>
          <w:color w:val="auto"/>
          <w:highlight w:val="none"/>
        </w:rPr>
        <w:t>（4）统计</w:t>
      </w:r>
      <w:r>
        <w:rPr>
          <w:rFonts w:hint="eastAsia" w:ascii="微软雅黑" w:hAnsi="微软雅黑" w:eastAsia="微软雅黑" w:cs="微软雅黑"/>
          <w:bCs/>
          <w:color w:val="auto"/>
          <w:highlight w:val="none"/>
        </w:rPr>
        <w:t>报表：通过耗材更换记录、维修</w:t>
      </w:r>
      <w:r>
        <w:rPr>
          <w:rFonts w:hint="eastAsia" w:ascii="微软雅黑" w:hAnsi="微软雅黑" w:eastAsia="微软雅黑" w:cs="微软雅黑"/>
          <w:color w:val="auto"/>
          <w:highlight w:val="none"/>
        </w:rPr>
        <w:t>维护日志，每月为医院提供成本分析报表、各科室用量报表，每月汇总报表、历史累计报表，</w:t>
      </w:r>
      <w:r>
        <w:rPr>
          <w:rFonts w:hint="eastAsia" w:ascii="微软雅黑" w:hAnsi="微软雅黑" w:eastAsia="微软雅黑" w:cs="微软雅黑"/>
          <w:bCs/>
          <w:color w:val="auto"/>
          <w:highlight w:val="none"/>
        </w:rPr>
        <w:t>供医院管理科室决策分析、财务科室成本核算使用。</w:t>
      </w:r>
    </w:p>
    <w:p>
      <w:pPr>
        <w:pStyle w:val="60"/>
        <w:ind w:firstLineChars="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5）设备管理：建立完善的设备档案，包括设备规格型号、采购时间、使用科室、使用人、使用周期、维修日志、保养日志、耗材更换时间、每次、累计打印数量，方便医院管理查阅，维护人员维修，厉行节约，做好成本控制，保证每个硒鼓加粉不得少于5次。</w:t>
      </w:r>
    </w:p>
    <w:p>
      <w:pPr>
        <w:ind w:left="1" w:firstLine="411" w:firstLineChars="196"/>
        <w:rPr>
          <w:rFonts w:hint="eastAsia" w:ascii="微软雅黑" w:hAnsi="微软雅黑" w:eastAsia="微软雅黑" w:cs="微软雅黑"/>
          <w:bCs/>
          <w:color w:val="auto"/>
          <w:highlight w:val="none"/>
        </w:rPr>
      </w:pPr>
      <w:r>
        <w:rPr>
          <w:rFonts w:hint="eastAsia" w:ascii="微软雅黑" w:hAnsi="微软雅黑" w:eastAsia="微软雅黑" w:cs="微软雅黑"/>
          <w:bCs/>
          <w:color w:val="auto"/>
          <w:highlight w:val="none"/>
        </w:rPr>
        <w:t>（6）免费配件：甲方过保或无法联系供货商的办公自动化设备出现故障，更换配件及维修由乙方免费提供。</w:t>
      </w:r>
    </w:p>
    <w:p>
      <w:pP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7．备件库建立</w:t>
      </w:r>
    </w:p>
    <w:p>
      <w:pPr>
        <w:pStyle w:val="4"/>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在甲方处建立备件库，每种设备提供备机、备件，在设备出现问题无法及时修复时，提供备机、备件，保障医院业务的正常运转。</w:t>
      </w:r>
    </w:p>
    <w:p>
      <w:pP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8、服务质量考核评价标准</w:t>
      </w:r>
    </w:p>
    <w:p>
      <w:pPr>
        <w:pStyle w:val="4"/>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甲方在服务合同期内每月将向设备的使用科室进行服务质量调查，通过调查结果对中标人提供的维护服务进行质量评测考核，做为阶段考核成绩，考核成绩直接与中标人的结算费用挂钩。</w:t>
      </w:r>
    </w:p>
    <w:p>
      <w:pPr>
        <w:pStyle w:val="4"/>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如考核不合格，将扣除中标人当月总费用的10%作为处罚。如果一年内累计2次质量评测考核不合格，则甲方有权终止合同，并保留追究中标人赔偿由此造成我方损失的权利。</w:t>
      </w:r>
    </w:p>
    <w:p>
      <w:pPr>
        <w:pStyle w:val="4"/>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我院耗材费用做成本核算时会分摊到各科室绩效中，为达到节约办公的目的，要求每个硒鼓保证可加粉不少于5次，如未做到，免费为科室提供新硒鼓；</w:t>
      </w:r>
    </w:p>
    <w:p>
      <w:pPr>
        <w:pStyle w:val="4"/>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 xml:space="preserve">如中标人因维护服务问题遭到投诉，经查属实，甲方将对中标人做出每起投诉扣除1000元的处罚，如遭投诉5次以上的，则甲方有权终止合同。  </w:t>
      </w:r>
    </w:p>
    <w:p>
      <w:pP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9、结算方式</w:t>
      </w:r>
    </w:p>
    <w:p>
      <w:pPr>
        <w:pStyle w:val="4"/>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要求投标单位为政采云入围供应商，采购单位依据本次招标的单价及当月科室实际用量，每月在政采云店铺下单并报帐，因医院流程付款时效不做保证。</w:t>
      </w:r>
    </w:p>
    <w:p>
      <w:pP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三、总体要求：</w:t>
      </w:r>
    </w:p>
    <w:p>
      <w:pPr>
        <w:pStyle w:val="4"/>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fldChar w:fldCharType="begin"/>
      </w:r>
      <w:r>
        <w:rPr>
          <w:rFonts w:hint="eastAsia" w:ascii="微软雅黑" w:hAnsi="微软雅黑" w:eastAsia="微软雅黑" w:cs="微软雅黑"/>
          <w:color w:val="auto"/>
          <w:kern w:val="2"/>
          <w:sz w:val="21"/>
          <w:szCs w:val="21"/>
          <w:highlight w:val="none"/>
          <w:lang w:val="en-US" w:eastAsia="zh-CN" w:bidi="ar-SA"/>
        </w:rPr>
        <w:instrText xml:space="preserve"> = 1 \* GB3 </w:instrText>
      </w:r>
      <w:r>
        <w:rPr>
          <w:rFonts w:hint="eastAsia" w:ascii="微软雅黑" w:hAnsi="微软雅黑" w:eastAsia="微软雅黑" w:cs="微软雅黑"/>
          <w:color w:val="auto"/>
          <w:kern w:val="2"/>
          <w:sz w:val="21"/>
          <w:szCs w:val="21"/>
          <w:highlight w:val="none"/>
          <w:lang w:val="en-US" w:eastAsia="zh-CN" w:bidi="ar-SA"/>
        </w:rPr>
        <w:fldChar w:fldCharType="separate"/>
      </w:r>
      <w:r>
        <w:rPr>
          <w:rFonts w:hint="eastAsia" w:ascii="微软雅黑" w:hAnsi="微软雅黑" w:eastAsia="微软雅黑" w:cs="微软雅黑"/>
          <w:color w:val="auto"/>
          <w:kern w:val="2"/>
          <w:sz w:val="21"/>
          <w:szCs w:val="21"/>
          <w:highlight w:val="none"/>
          <w:lang w:val="en-US" w:eastAsia="zh-CN" w:bidi="ar-SA"/>
        </w:rPr>
        <w:t>①</w:t>
      </w:r>
      <w:r>
        <w:rPr>
          <w:rFonts w:hint="eastAsia" w:ascii="微软雅黑" w:hAnsi="微软雅黑" w:eastAsia="微软雅黑" w:cs="微软雅黑"/>
          <w:color w:val="auto"/>
          <w:kern w:val="2"/>
          <w:sz w:val="21"/>
          <w:szCs w:val="21"/>
          <w:highlight w:val="none"/>
          <w:lang w:val="en-US" w:eastAsia="zh-CN" w:bidi="ar-SA"/>
        </w:rPr>
        <w:fldChar w:fldCharType="end"/>
      </w:r>
      <w:r>
        <w:rPr>
          <w:rFonts w:hint="eastAsia" w:ascii="微软雅黑" w:hAnsi="微软雅黑" w:eastAsia="微软雅黑" w:cs="微软雅黑"/>
          <w:color w:val="auto"/>
          <w:kern w:val="2"/>
          <w:sz w:val="21"/>
          <w:szCs w:val="21"/>
          <w:highlight w:val="none"/>
          <w:lang w:val="en-US" w:eastAsia="zh-CN" w:bidi="ar-SA"/>
        </w:rPr>
        <w:t>为保障耗材质量、服务质量，必须提供耗材检验报告（加盖厂家鲜章）。</w:t>
      </w:r>
    </w:p>
    <w:p>
      <w:pPr>
        <w:pStyle w:val="4"/>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fldChar w:fldCharType="begin"/>
      </w:r>
      <w:r>
        <w:rPr>
          <w:rFonts w:hint="eastAsia" w:ascii="微软雅黑" w:hAnsi="微软雅黑" w:eastAsia="微软雅黑" w:cs="微软雅黑"/>
          <w:color w:val="auto"/>
          <w:kern w:val="2"/>
          <w:sz w:val="21"/>
          <w:szCs w:val="21"/>
          <w:highlight w:val="none"/>
          <w:lang w:val="en-US" w:eastAsia="zh-CN" w:bidi="ar-SA"/>
        </w:rPr>
        <w:instrText xml:space="preserve"> = 2 \* GB3 </w:instrText>
      </w:r>
      <w:r>
        <w:rPr>
          <w:rFonts w:hint="eastAsia" w:ascii="微软雅黑" w:hAnsi="微软雅黑" w:eastAsia="微软雅黑" w:cs="微软雅黑"/>
          <w:color w:val="auto"/>
          <w:kern w:val="2"/>
          <w:sz w:val="21"/>
          <w:szCs w:val="21"/>
          <w:highlight w:val="none"/>
          <w:lang w:val="en-US" w:eastAsia="zh-CN" w:bidi="ar-SA"/>
        </w:rPr>
        <w:fldChar w:fldCharType="separate"/>
      </w:r>
      <w:r>
        <w:rPr>
          <w:rFonts w:hint="eastAsia" w:ascii="微软雅黑" w:hAnsi="微软雅黑" w:eastAsia="微软雅黑" w:cs="微软雅黑"/>
          <w:color w:val="auto"/>
          <w:kern w:val="2"/>
          <w:sz w:val="21"/>
          <w:szCs w:val="21"/>
          <w:highlight w:val="none"/>
          <w:lang w:val="en-US" w:eastAsia="zh-CN" w:bidi="ar-SA"/>
        </w:rPr>
        <w:t>②</w:t>
      </w:r>
      <w:r>
        <w:rPr>
          <w:rFonts w:hint="eastAsia" w:ascii="微软雅黑" w:hAnsi="微软雅黑" w:eastAsia="微软雅黑" w:cs="微软雅黑"/>
          <w:color w:val="auto"/>
          <w:kern w:val="2"/>
          <w:sz w:val="21"/>
          <w:szCs w:val="21"/>
          <w:highlight w:val="none"/>
          <w:lang w:val="en-US" w:eastAsia="zh-CN" w:bidi="ar-SA"/>
        </w:rPr>
        <w:fldChar w:fldCharType="end"/>
      </w:r>
      <w:r>
        <w:rPr>
          <w:rFonts w:hint="eastAsia" w:ascii="微软雅黑" w:hAnsi="微软雅黑" w:eastAsia="微软雅黑" w:cs="微软雅黑"/>
          <w:color w:val="auto"/>
          <w:kern w:val="2"/>
          <w:sz w:val="21"/>
          <w:szCs w:val="21"/>
          <w:highlight w:val="none"/>
          <w:lang w:val="en-US" w:eastAsia="zh-CN" w:bidi="ar-SA"/>
        </w:rPr>
        <w:t>按以上要求提供完善的服务运维方案及具体可行实施组织计划；响应时间：接到报修30分钟内解决，要求人员每天7×8小时在采购单位驻场。</w:t>
      </w:r>
    </w:p>
    <w:p>
      <w:pPr>
        <w:pStyle w:val="4"/>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fldChar w:fldCharType="begin"/>
      </w:r>
      <w:r>
        <w:rPr>
          <w:rFonts w:hint="eastAsia" w:ascii="微软雅黑" w:hAnsi="微软雅黑" w:eastAsia="微软雅黑" w:cs="微软雅黑"/>
          <w:color w:val="auto"/>
          <w:kern w:val="2"/>
          <w:sz w:val="21"/>
          <w:szCs w:val="21"/>
          <w:highlight w:val="none"/>
          <w:lang w:val="en-US" w:eastAsia="zh-CN" w:bidi="ar-SA"/>
        </w:rPr>
        <w:instrText xml:space="preserve"> = 3 \* GB3 </w:instrText>
      </w:r>
      <w:r>
        <w:rPr>
          <w:rFonts w:hint="eastAsia" w:ascii="微软雅黑" w:hAnsi="微软雅黑" w:eastAsia="微软雅黑" w:cs="微软雅黑"/>
          <w:color w:val="auto"/>
          <w:kern w:val="2"/>
          <w:sz w:val="21"/>
          <w:szCs w:val="21"/>
          <w:highlight w:val="none"/>
          <w:lang w:val="en-US" w:eastAsia="zh-CN" w:bidi="ar-SA"/>
        </w:rPr>
        <w:fldChar w:fldCharType="separate"/>
      </w:r>
      <w:r>
        <w:rPr>
          <w:rFonts w:hint="eastAsia" w:ascii="微软雅黑" w:hAnsi="微软雅黑" w:eastAsia="微软雅黑" w:cs="微软雅黑"/>
          <w:color w:val="auto"/>
          <w:kern w:val="2"/>
          <w:sz w:val="21"/>
          <w:szCs w:val="21"/>
          <w:highlight w:val="none"/>
          <w:lang w:val="en-US" w:eastAsia="zh-CN" w:bidi="ar-SA"/>
        </w:rPr>
        <w:t>③</w:t>
      </w:r>
      <w:r>
        <w:rPr>
          <w:rFonts w:hint="eastAsia" w:ascii="微软雅黑" w:hAnsi="微软雅黑" w:eastAsia="微软雅黑" w:cs="微软雅黑"/>
          <w:color w:val="auto"/>
          <w:kern w:val="2"/>
          <w:sz w:val="21"/>
          <w:szCs w:val="21"/>
          <w:highlight w:val="none"/>
          <w:lang w:val="en-US" w:eastAsia="zh-CN" w:bidi="ar-SA"/>
        </w:rPr>
        <w:fldChar w:fldCharType="end"/>
      </w:r>
      <w:r>
        <w:rPr>
          <w:rFonts w:hint="eastAsia" w:ascii="微软雅黑" w:hAnsi="微软雅黑" w:eastAsia="微软雅黑" w:cs="微软雅黑"/>
          <w:color w:val="auto"/>
          <w:kern w:val="2"/>
          <w:sz w:val="21"/>
          <w:szCs w:val="21"/>
          <w:highlight w:val="none"/>
          <w:lang w:val="en-US" w:eastAsia="zh-CN" w:bidi="ar-SA"/>
        </w:rPr>
        <w:t>免费提供的常驻医院服务团队，服务人员资质要求为计算机相关专业、学历大专及以上；为保障服务期间正常业务不受服务人员变动影响，要求投标单位可提供长期稳定服务，服务人员一经派驻，在服务期内不得更换人员。</w:t>
      </w:r>
    </w:p>
    <w:p>
      <w:pPr>
        <w:pStyle w:val="4"/>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fldChar w:fldCharType="begin"/>
      </w:r>
      <w:r>
        <w:rPr>
          <w:rFonts w:hint="eastAsia" w:ascii="微软雅黑" w:hAnsi="微软雅黑" w:eastAsia="微软雅黑" w:cs="微软雅黑"/>
          <w:color w:val="auto"/>
          <w:kern w:val="2"/>
          <w:sz w:val="21"/>
          <w:szCs w:val="21"/>
          <w:highlight w:val="none"/>
          <w:lang w:val="en-US" w:eastAsia="zh-CN" w:bidi="ar-SA"/>
        </w:rPr>
        <w:instrText xml:space="preserve"> = 4 \* GB3 </w:instrText>
      </w:r>
      <w:r>
        <w:rPr>
          <w:rFonts w:hint="eastAsia" w:ascii="微软雅黑" w:hAnsi="微软雅黑" w:eastAsia="微软雅黑" w:cs="微软雅黑"/>
          <w:color w:val="auto"/>
          <w:kern w:val="2"/>
          <w:sz w:val="21"/>
          <w:szCs w:val="21"/>
          <w:highlight w:val="none"/>
          <w:lang w:val="en-US" w:eastAsia="zh-CN" w:bidi="ar-SA"/>
        </w:rPr>
        <w:fldChar w:fldCharType="separate"/>
      </w:r>
      <w:r>
        <w:rPr>
          <w:rFonts w:hint="eastAsia" w:ascii="微软雅黑" w:hAnsi="微软雅黑" w:eastAsia="微软雅黑" w:cs="微软雅黑"/>
          <w:color w:val="auto"/>
          <w:kern w:val="2"/>
          <w:sz w:val="21"/>
          <w:szCs w:val="21"/>
          <w:highlight w:val="none"/>
          <w:lang w:val="en-US" w:eastAsia="zh-CN" w:bidi="ar-SA"/>
        </w:rPr>
        <w:t>④</w:t>
      </w:r>
      <w:r>
        <w:rPr>
          <w:rFonts w:hint="eastAsia" w:ascii="微软雅黑" w:hAnsi="微软雅黑" w:eastAsia="微软雅黑" w:cs="微软雅黑"/>
          <w:color w:val="auto"/>
          <w:kern w:val="2"/>
          <w:sz w:val="21"/>
          <w:szCs w:val="21"/>
          <w:highlight w:val="none"/>
          <w:lang w:val="en-US" w:eastAsia="zh-CN" w:bidi="ar-SA"/>
        </w:rPr>
        <w:fldChar w:fldCharType="end"/>
      </w:r>
      <w:r>
        <w:rPr>
          <w:rFonts w:hint="eastAsia" w:ascii="微软雅黑" w:hAnsi="微软雅黑" w:eastAsia="微软雅黑" w:cs="微软雅黑"/>
          <w:color w:val="auto"/>
          <w:kern w:val="2"/>
          <w:sz w:val="21"/>
          <w:szCs w:val="21"/>
          <w:highlight w:val="none"/>
          <w:lang w:val="en-US" w:eastAsia="zh-CN" w:bidi="ar-SA"/>
        </w:rPr>
        <w:t>必须在医院建立耗材库房（场地自行解决），放置15天用量耗材，提供每个设备的备机、备件。</w:t>
      </w:r>
    </w:p>
    <w:p>
      <w:pPr>
        <w:pStyle w:val="4"/>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fldChar w:fldCharType="begin"/>
      </w:r>
      <w:r>
        <w:rPr>
          <w:rFonts w:hint="eastAsia" w:ascii="微软雅黑" w:hAnsi="微软雅黑" w:eastAsia="微软雅黑" w:cs="微软雅黑"/>
          <w:color w:val="auto"/>
          <w:kern w:val="2"/>
          <w:sz w:val="21"/>
          <w:szCs w:val="21"/>
          <w:highlight w:val="none"/>
          <w:lang w:val="en-US" w:eastAsia="zh-CN" w:bidi="ar-SA"/>
        </w:rPr>
        <w:instrText xml:space="preserve"> = 5 \* GB3 </w:instrText>
      </w:r>
      <w:r>
        <w:rPr>
          <w:rFonts w:hint="eastAsia" w:ascii="微软雅黑" w:hAnsi="微软雅黑" w:eastAsia="微软雅黑" w:cs="微软雅黑"/>
          <w:color w:val="auto"/>
          <w:kern w:val="2"/>
          <w:sz w:val="21"/>
          <w:szCs w:val="21"/>
          <w:highlight w:val="none"/>
          <w:lang w:val="en-US" w:eastAsia="zh-CN" w:bidi="ar-SA"/>
        </w:rPr>
        <w:fldChar w:fldCharType="separate"/>
      </w:r>
      <w:r>
        <w:rPr>
          <w:rFonts w:hint="eastAsia" w:ascii="微软雅黑" w:hAnsi="微软雅黑" w:eastAsia="微软雅黑" w:cs="微软雅黑"/>
          <w:color w:val="auto"/>
          <w:kern w:val="2"/>
          <w:sz w:val="21"/>
          <w:szCs w:val="21"/>
          <w:highlight w:val="none"/>
          <w:lang w:val="en-US" w:eastAsia="zh-CN" w:bidi="ar-SA"/>
        </w:rPr>
        <w:t>⑤</w:t>
      </w:r>
      <w:r>
        <w:rPr>
          <w:rFonts w:hint="eastAsia" w:ascii="微软雅黑" w:hAnsi="微软雅黑" w:eastAsia="微软雅黑" w:cs="微软雅黑"/>
          <w:color w:val="auto"/>
          <w:kern w:val="2"/>
          <w:sz w:val="21"/>
          <w:szCs w:val="21"/>
          <w:highlight w:val="none"/>
          <w:lang w:val="en-US" w:eastAsia="zh-CN" w:bidi="ar-SA"/>
        </w:rPr>
        <w:fldChar w:fldCharType="end"/>
      </w:r>
      <w:r>
        <w:rPr>
          <w:rFonts w:hint="eastAsia" w:ascii="微软雅黑" w:hAnsi="微软雅黑" w:eastAsia="微软雅黑" w:cs="微软雅黑"/>
          <w:color w:val="auto"/>
          <w:kern w:val="2"/>
          <w:sz w:val="21"/>
          <w:szCs w:val="21"/>
          <w:highlight w:val="none"/>
          <w:lang w:val="en-US" w:eastAsia="zh-CN" w:bidi="ar-SA"/>
        </w:rPr>
        <w:t>提供承诺书，承诺按招标要求的服务质量考核评价标准，若因耗材质量、服务水平原因导致的科室投诉，完全接受甲方扣款处罚或解除合同的要求。</w:t>
      </w:r>
    </w:p>
    <w:p>
      <w:pPr>
        <w:pStyle w:val="4"/>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⑥服务期：合同一年一签（当年服务结束后对中标方进行考核，考核合格后方可续签。）</w:t>
      </w:r>
    </w:p>
    <w:p>
      <w:pPr>
        <w:pStyle w:val="4"/>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在评标过程直至签订合同前的任何时间，如经证实发现投标人提供虚假投标资料或信息骗取中标的，或者投标的产品不符合本磋商文件要求的技术指标却故意隐瞒不做负偏离说明的，将取消其中标资格，没收其投标保证金，并报主管部门备案。</w:t>
      </w:r>
    </w:p>
    <w:p>
      <w:pPr>
        <w:numPr>
          <w:ilvl w:val="0"/>
          <w:numId w:val="8"/>
        </w:numPr>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
          <w:color w:val="auto"/>
          <w:sz w:val="24"/>
          <w:szCs w:val="24"/>
          <w:highlight w:val="none"/>
          <w:lang w:val="en-US" w:eastAsia="zh-CN"/>
        </w:rPr>
        <w:t>其他要求</w:t>
      </w:r>
    </w:p>
    <w:p>
      <w:pPr>
        <w:pStyle w:val="4"/>
        <w:numPr>
          <w:ilvl w:val="0"/>
          <w:numId w:val="9"/>
        </w:numP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业绩：提供近三年内同类业绩证明材料中标或成交通知书和合同。</w:t>
      </w:r>
    </w:p>
    <w:p>
      <w:pPr>
        <w:pStyle w:val="4"/>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2、检测报告：提供所投产品第三方检测机构出具的全套检测报告或产品合格证。</w:t>
      </w:r>
    </w:p>
    <w:p>
      <w:pPr>
        <w:pStyle w:val="6"/>
        <w:shd w:val="clear"/>
        <w:tabs>
          <w:tab w:val="left" w:pos="0"/>
        </w:tabs>
        <w:snapToGrid w:val="0"/>
        <w:spacing w:before="0" w:beforeAutospacing="0" w:after="0" w:afterAutospacing="0" w:line="240" w:lineRule="atLeast"/>
        <w:jc w:val="center"/>
        <w:textAlignment w:val="baseline"/>
        <w:rPr>
          <w:rFonts w:hint="eastAsia" w:ascii="微软雅黑" w:hAnsi="微软雅黑" w:eastAsia="微软雅黑" w:cs="微软雅黑"/>
          <w:b/>
          <w:i w:val="0"/>
          <w:color w:val="auto"/>
          <w:spacing w:val="0"/>
          <w:w w:val="100"/>
          <w:sz w:val="32"/>
          <w:highlight w:val="none"/>
        </w:rPr>
      </w:pPr>
      <w:bookmarkStart w:id="860" w:name="_Toc23496"/>
      <w:bookmarkEnd w:id="860"/>
      <w:bookmarkStart w:id="861" w:name="_Toc31614"/>
    </w:p>
    <w:p>
      <w:pPr>
        <w:pStyle w:val="6"/>
        <w:shd w:val="clear"/>
        <w:tabs>
          <w:tab w:val="left" w:pos="0"/>
        </w:tabs>
        <w:snapToGrid w:val="0"/>
        <w:spacing w:before="0" w:beforeAutospacing="0" w:after="0" w:afterAutospacing="0" w:line="240" w:lineRule="atLeast"/>
        <w:jc w:val="center"/>
        <w:textAlignment w:val="baseline"/>
        <w:rPr>
          <w:rFonts w:hint="eastAsia" w:ascii="微软雅黑" w:hAnsi="微软雅黑" w:eastAsia="微软雅黑" w:cs="微软雅黑"/>
          <w:b/>
          <w:i w:val="0"/>
          <w:color w:val="auto"/>
          <w:spacing w:val="0"/>
          <w:w w:val="100"/>
          <w:sz w:val="32"/>
          <w:highlight w:val="none"/>
        </w:rPr>
      </w:pPr>
    </w:p>
    <w:p>
      <w:pPr>
        <w:pStyle w:val="6"/>
        <w:shd w:val="clear"/>
        <w:tabs>
          <w:tab w:val="left" w:pos="0"/>
        </w:tabs>
        <w:snapToGrid w:val="0"/>
        <w:spacing w:before="0" w:beforeAutospacing="0" w:after="0" w:afterAutospacing="0" w:line="240" w:lineRule="atLeast"/>
        <w:jc w:val="center"/>
        <w:textAlignment w:val="baseline"/>
        <w:rPr>
          <w:rFonts w:hint="eastAsia" w:ascii="微软雅黑" w:hAnsi="微软雅黑" w:eastAsia="微软雅黑" w:cs="微软雅黑"/>
          <w:b/>
          <w:i w:val="0"/>
          <w:color w:val="auto"/>
          <w:spacing w:val="0"/>
          <w:w w:val="100"/>
          <w:sz w:val="32"/>
          <w:highlight w:val="none"/>
        </w:rPr>
      </w:pPr>
    </w:p>
    <w:p>
      <w:pPr>
        <w:pStyle w:val="6"/>
        <w:shd w:val="clear"/>
        <w:tabs>
          <w:tab w:val="left" w:pos="0"/>
        </w:tabs>
        <w:snapToGrid w:val="0"/>
        <w:spacing w:before="0" w:beforeAutospacing="0" w:after="0" w:afterAutospacing="0" w:line="240" w:lineRule="atLeast"/>
        <w:jc w:val="center"/>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i w:val="0"/>
          <w:color w:val="auto"/>
          <w:spacing w:val="0"/>
          <w:w w:val="100"/>
          <w:sz w:val="32"/>
          <w:highlight w:val="none"/>
        </w:rPr>
        <w:t>第6章 评审方法和标准</w:t>
      </w:r>
      <w:bookmarkEnd w:id="861"/>
    </w:p>
    <w:p>
      <w:pPr>
        <w:pStyle w:val="11"/>
        <w:keepNext w:val="0"/>
        <w:keepLines w:val="0"/>
        <w:pageBreakBefore w:val="0"/>
        <w:shd w:val="clear"/>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本项目将按照磋商文件第一章供应商须知中“五 磋商开启及评审”、“六 确定成交”及本章的规定</w:t>
      </w:r>
      <w:r>
        <w:rPr>
          <w:rFonts w:hint="eastAsia" w:ascii="微软雅黑" w:hAnsi="微软雅黑" w:eastAsia="微软雅黑" w:cs="微软雅黑"/>
          <w:b w:val="0"/>
          <w:i w:val="0"/>
          <w:color w:val="auto"/>
          <w:spacing w:val="0"/>
          <w:w w:val="100"/>
          <w:sz w:val="24"/>
          <w:highlight w:val="none"/>
          <w:lang w:eastAsia="zh-CN"/>
        </w:rPr>
        <w:t>评审</w:t>
      </w:r>
      <w:r>
        <w:rPr>
          <w:rFonts w:hint="eastAsia" w:ascii="微软雅黑" w:hAnsi="微软雅黑" w:eastAsia="微软雅黑" w:cs="微软雅黑"/>
          <w:b w:val="0"/>
          <w:i w:val="0"/>
          <w:color w:val="auto"/>
          <w:spacing w:val="0"/>
          <w:w w:val="100"/>
          <w:sz w:val="24"/>
          <w:highlight w:val="none"/>
        </w:rPr>
        <w:t>。</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olor w:val="auto"/>
          <w:spacing w:val="0"/>
          <w:w w:val="100"/>
          <w:sz w:val="24"/>
          <w:highlight w:val="none"/>
        </w:rPr>
      </w:pPr>
      <w:r>
        <w:rPr>
          <w:rFonts w:hint="eastAsia" w:ascii="微软雅黑" w:hAnsi="微软雅黑" w:eastAsia="微软雅黑" w:cs="微软雅黑"/>
          <w:b/>
          <w:bCs/>
          <w:i w:val="0"/>
          <w:color w:val="auto"/>
          <w:spacing w:val="0"/>
          <w:w w:val="100"/>
          <w:sz w:val="24"/>
          <w:highlight w:val="none"/>
        </w:rPr>
        <w:t>注：1.磋商无效的情形：</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（1）单位负责人为同一人或者存在直接控股、管理关系的不同供应商，其相关磋商将被认定为磋商无效。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（2）若供应商须知资料表中未写明允许采购进口产品，如供应商所投产品为进口产品，其磋商将被认定为磋商无效。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 xml:space="preserve"> （3）为本项目提供过整体设计、规范编制或者项目管理、监理、检测等</w:t>
      </w:r>
      <w:r>
        <w:rPr>
          <w:rFonts w:hint="eastAsia" w:ascii="微软雅黑" w:hAnsi="微软雅黑" w:eastAsia="微软雅黑" w:cs="微软雅黑"/>
          <w:b w:val="0"/>
          <w:i w:val="0"/>
          <w:color w:val="auto"/>
          <w:spacing w:val="0"/>
          <w:w w:val="100"/>
          <w:sz w:val="24"/>
          <w:highlight w:val="none"/>
          <w:lang w:val="en-US" w:eastAsia="zh-CN"/>
        </w:rPr>
        <w:t>货物</w:t>
      </w:r>
      <w:r>
        <w:rPr>
          <w:rFonts w:hint="eastAsia" w:ascii="微软雅黑" w:hAnsi="微软雅黑" w:eastAsia="微软雅黑" w:cs="微软雅黑"/>
          <w:b w:val="0"/>
          <w:i w:val="0"/>
          <w:color w:val="auto"/>
          <w:spacing w:val="0"/>
          <w:w w:val="100"/>
          <w:sz w:val="24"/>
          <w:highlight w:val="none"/>
        </w:rPr>
        <w:t>的供应商，不得再参加本项目上述</w:t>
      </w:r>
      <w:r>
        <w:rPr>
          <w:rFonts w:hint="eastAsia" w:ascii="微软雅黑" w:hAnsi="微软雅黑" w:eastAsia="微软雅黑" w:cs="微软雅黑"/>
          <w:b w:val="0"/>
          <w:i w:val="0"/>
          <w:color w:val="auto"/>
          <w:spacing w:val="0"/>
          <w:w w:val="100"/>
          <w:sz w:val="24"/>
          <w:highlight w:val="none"/>
          <w:lang w:val="en-US" w:eastAsia="zh-CN"/>
        </w:rPr>
        <w:t>货物</w:t>
      </w:r>
      <w:r>
        <w:rPr>
          <w:rFonts w:hint="eastAsia" w:ascii="微软雅黑" w:hAnsi="微软雅黑" w:eastAsia="微软雅黑" w:cs="微软雅黑"/>
          <w:b w:val="0"/>
          <w:i w:val="0"/>
          <w:color w:val="auto"/>
          <w:spacing w:val="0"/>
          <w:w w:val="100"/>
          <w:sz w:val="24"/>
          <w:highlight w:val="none"/>
        </w:rPr>
        <w:t>以外的其他采购活动。否则其磋商将被认定为磋商无效。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供应商在磋商过程中不得向采购人提供、给予任何有价值的物品，影响其正常决策行为。一经发现，其将被认定为磋商无效。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（4）供应商报价超过磋商文件规定的预算金额或者分项、分包最高限价的，其磋商将被认定为磋商无效。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 xml:space="preserve"> （6）供应商应当对所投分包磋商文件中“</w:t>
      </w:r>
      <w:r>
        <w:rPr>
          <w:rFonts w:hint="eastAsia" w:ascii="微软雅黑" w:hAnsi="微软雅黑" w:eastAsia="微软雅黑" w:cs="微软雅黑"/>
          <w:b w:val="0"/>
          <w:i w:val="0"/>
          <w:color w:val="auto"/>
          <w:spacing w:val="0"/>
          <w:w w:val="100"/>
          <w:sz w:val="24"/>
          <w:highlight w:val="none"/>
          <w:lang w:val="en-US" w:eastAsia="zh-CN"/>
        </w:rPr>
        <w:t>货物内容</w:t>
      </w:r>
      <w:r>
        <w:rPr>
          <w:rFonts w:hint="eastAsia" w:ascii="微软雅黑" w:hAnsi="微软雅黑" w:eastAsia="微软雅黑" w:cs="微软雅黑"/>
          <w:b w:val="0"/>
          <w:i w:val="0"/>
          <w:color w:val="auto"/>
          <w:spacing w:val="0"/>
          <w:w w:val="100"/>
          <w:sz w:val="24"/>
          <w:highlight w:val="none"/>
        </w:rPr>
        <w:t>”所列的所有内容进行磋商，如仅响应某一包中的部分内容，其该包磋商将被认定为磋商无效。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（7）供应商未按本须知第12.1和12.3条规定提交磋商保证金的，其磋商资格将被认定为无效。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（8）所有磋商均以人民币报价。供应商的磋商报价应遵守《中华人民共和国价格法》。同时，根据《中华人民共和国政府采购法》第二条的规定，为保证公平竞争，如有</w:t>
      </w:r>
      <w:r>
        <w:rPr>
          <w:rFonts w:hint="eastAsia" w:ascii="微软雅黑" w:hAnsi="微软雅黑" w:eastAsia="微软雅黑" w:cs="微软雅黑"/>
          <w:b w:val="0"/>
          <w:i w:val="0"/>
          <w:color w:val="auto"/>
          <w:spacing w:val="0"/>
          <w:w w:val="100"/>
          <w:sz w:val="24"/>
          <w:highlight w:val="none"/>
          <w:lang w:val="en-US" w:eastAsia="zh-CN"/>
        </w:rPr>
        <w:t>服务</w:t>
      </w:r>
      <w:r>
        <w:rPr>
          <w:rFonts w:hint="eastAsia" w:ascii="微软雅黑" w:hAnsi="微软雅黑" w:eastAsia="微软雅黑" w:cs="微软雅黑"/>
          <w:b w:val="0"/>
          <w:i w:val="0"/>
          <w:color w:val="auto"/>
          <w:spacing w:val="0"/>
          <w:w w:val="100"/>
          <w:sz w:val="24"/>
          <w:highlight w:val="none"/>
        </w:rPr>
        <w:t>主体部分的赠与行为，其磋商将被认定为磋商无效。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（9）供应商所报的各分项磋商单价在合同履行过程中是固定不变的，不得以任何理由予以变更。任何包含价格调整要求的磋商，其磋商将被认定为磋商无效。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（10）磋商应在供应商须知资料表中规定时间内保持有效。磋商有效期不满足要求的磋商，其磋商将被认定为磋商无效。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（11）所有响应文件采用不可拆装的胶订方式装订，否则其磋商将被认定为磋商无效。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（12）采购人或采购代理机构将在</w:t>
      </w:r>
      <w:r>
        <w:rPr>
          <w:rFonts w:hint="eastAsia" w:ascii="微软雅黑" w:hAnsi="微软雅黑" w:eastAsia="微软雅黑" w:cs="微软雅黑"/>
          <w:b w:val="0"/>
          <w:i w:val="0"/>
          <w:color w:val="auto"/>
          <w:spacing w:val="0"/>
          <w:w w:val="100"/>
          <w:sz w:val="24"/>
          <w:highlight w:val="none"/>
          <w:lang w:eastAsia="zh-CN"/>
        </w:rPr>
        <w:t>磋商</w:t>
      </w:r>
      <w:r>
        <w:rPr>
          <w:rFonts w:hint="eastAsia" w:ascii="微软雅黑" w:hAnsi="微软雅黑" w:eastAsia="微软雅黑" w:cs="微软雅黑"/>
          <w:b w:val="0"/>
          <w:i w:val="0"/>
          <w:color w:val="auto"/>
          <w:spacing w:val="0"/>
          <w:w w:val="100"/>
          <w:sz w:val="24"/>
          <w:highlight w:val="none"/>
        </w:rPr>
        <w:t>前1个工作日至磋商截止后1小时的期间内查询供应商的信用记录。供应商存在不良信用记录的，其磋商将被认定为磋商无效。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13）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14）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（15）如发现下列情况之一的，其磋商将被认定为磋商无效：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未按磋商文件规定的形式和金额提交磋商保证金的；未按照磋商文件规定要求签署、盖章的；未满足磋商文件中技术条款的实质性要求；与其他供应商串通磋商，或者与</w:t>
      </w:r>
      <w:r>
        <w:rPr>
          <w:rFonts w:hint="eastAsia" w:ascii="微软雅黑" w:hAnsi="微软雅黑" w:eastAsia="微软雅黑" w:cs="微软雅黑"/>
          <w:b w:val="0"/>
          <w:i w:val="0"/>
          <w:color w:val="auto"/>
          <w:spacing w:val="0"/>
          <w:w w:val="100"/>
          <w:sz w:val="24"/>
          <w:highlight w:val="none"/>
          <w:lang w:eastAsia="zh-CN"/>
        </w:rPr>
        <w:t>采购人</w:t>
      </w:r>
      <w:r>
        <w:rPr>
          <w:rFonts w:hint="eastAsia" w:ascii="微软雅黑" w:hAnsi="微软雅黑" w:eastAsia="微软雅黑" w:cs="微软雅黑"/>
          <w:b w:val="0"/>
          <w:i w:val="0"/>
          <w:color w:val="auto"/>
          <w:spacing w:val="0"/>
          <w:w w:val="100"/>
          <w:sz w:val="24"/>
          <w:highlight w:val="none"/>
        </w:rPr>
        <w:t>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pPr>
        <w:keepNext w:val="0"/>
        <w:keepLines w:val="0"/>
        <w:pageBreakBefore w:val="0"/>
        <w:widowControl/>
        <w:numPr>
          <w:ilvl w:val="0"/>
          <w:numId w:val="0"/>
        </w:numPr>
        <w:shd w:val="clear"/>
        <w:kinsoku/>
        <w:wordWrap/>
        <w:overflowPunct/>
        <w:topLinePunct w:val="0"/>
        <w:bidi w:val="0"/>
        <w:snapToGrid w:val="0"/>
        <w:spacing w:before="0" w:beforeAutospacing="0" w:after="0" w:afterAutospacing="0" w:line="400" w:lineRule="exact"/>
        <w:ind w:leftChars="0"/>
        <w:jc w:val="left"/>
        <w:textAlignment w:val="baseline"/>
        <w:rPr>
          <w:rFonts w:hint="eastAsia" w:ascii="微软雅黑" w:hAnsi="微软雅黑" w:eastAsia="微软雅黑" w:cs="微软雅黑"/>
          <w:b/>
          <w:bCs/>
          <w:i w:val="0"/>
          <w:color w:val="auto"/>
          <w:spacing w:val="0"/>
          <w:w w:val="100"/>
          <w:kern w:val="2"/>
          <w:sz w:val="24"/>
          <w:szCs w:val="24"/>
          <w:highlight w:val="none"/>
          <w:lang w:val="en-US" w:eastAsia="zh-CN" w:bidi="ar-SA"/>
        </w:rPr>
      </w:pPr>
      <w:r>
        <w:rPr>
          <w:rFonts w:hint="eastAsia" w:ascii="微软雅黑" w:hAnsi="微软雅黑" w:eastAsia="微软雅黑" w:cs="微软雅黑"/>
          <w:b/>
          <w:bCs/>
          <w:i w:val="0"/>
          <w:color w:val="auto"/>
          <w:spacing w:val="0"/>
          <w:w w:val="100"/>
          <w:kern w:val="2"/>
          <w:sz w:val="24"/>
          <w:szCs w:val="24"/>
          <w:highlight w:val="none"/>
          <w:lang w:val="en-US" w:eastAsia="zh-CN" w:bidi="ar-SA"/>
        </w:rPr>
        <w:t>2.本项目专门面向中小企业采购。根据《财政部关于进一步加大政府采购支持中小企业力度的通知》财库〔2022〕19号、《政府采购促进中小企业发展管理办法》（财库[2020]46号）、《财政部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的小微企业、微型企业且在响应文件中提交了《中小企业声明函》或省级以上监狱管理局、戒毒管理局（含新疆生产建设兵团）出具的属于监狱企业的证明文件的供应商，其磋商报价扣除10%后参与评审。</w:t>
      </w:r>
    </w:p>
    <w:p>
      <w:pPr>
        <w:keepNext w:val="0"/>
        <w:keepLines w:val="0"/>
        <w:pageBreakBefore w:val="0"/>
        <w:widowControl/>
        <w:numPr>
          <w:ilvl w:val="0"/>
          <w:numId w:val="0"/>
        </w:numPr>
        <w:shd w:val="clear"/>
        <w:kinsoku/>
        <w:wordWrap/>
        <w:overflowPunct/>
        <w:topLinePunct w:val="0"/>
        <w:bidi w:val="0"/>
        <w:snapToGrid w:val="0"/>
        <w:spacing w:before="0" w:beforeAutospacing="0" w:after="0" w:afterAutospacing="0" w:line="400" w:lineRule="exact"/>
        <w:ind w:leftChars="0"/>
        <w:jc w:val="left"/>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3.联合协议中约定，小型、微型企业和监狱企业的协议合同金额占到联合体协议合同总金额30%以上的，可给予联合体</w:t>
      </w:r>
      <w:r>
        <w:rPr>
          <w:rFonts w:hint="eastAsia" w:ascii="微软雅黑" w:hAnsi="微软雅黑" w:eastAsia="微软雅黑" w:cs="微软雅黑"/>
          <w:b w:val="0"/>
          <w:i w:val="0"/>
          <w:color w:val="auto"/>
          <w:spacing w:val="0"/>
          <w:w w:val="100"/>
          <w:sz w:val="24"/>
          <w:highlight w:val="none"/>
          <w:u w:val="single" w:color="000000"/>
        </w:rPr>
        <w:t xml:space="preserve"> 2%-3</w:t>
      </w:r>
      <w:r>
        <w:rPr>
          <w:rFonts w:hint="eastAsia" w:ascii="微软雅黑" w:hAnsi="微软雅黑" w:eastAsia="微软雅黑" w:cs="微软雅黑"/>
          <w:b w:val="0"/>
          <w:i w:val="0"/>
          <w:color w:val="auto"/>
          <w:spacing w:val="0"/>
          <w:w w:val="100"/>
          <w:sz w:val="24"/>
          <w:highlight w:val="none"/>
        </w:rPr>
        <w:t>%的价格扣除。</w:t>
      </w:r>
      <w:r>
        <w:rPr>
          <w:rFonts w:hint="eastAsia" w:ascii="微软雅黑" w:hAnsi="微软雅黑" w:eastAsia="微软雅黑" w:cs="微软雅黑"/>
          <w:b/>
          <w:bCs/>
          <w:i w:val="0"/>
          <w:color w:val="auto"/>
          <w:spacing w:val="0"/>
          <w:w w:val="100"/>
          <w:sz w:val="24"/>
          <w:highlight w:val="none"/>
        </w:rPr>
        <w:t>（本项目不适用）</w:t>
      </w:r>
    </w:p>
    <w:p>
      <w:pPr>
        <w:keepNext w:val="0"/>
        <w:keepLines w:val="0"/>
        <w:pageBreakBefore w:val="0"/>
        <w:widowControl/>
        <w:shd w:val="clear"/>
        <w:kinsoku/>
        <w:wordWrap/>
        <w:overflowPunct/>
        <w:topLinePunct w:val="0"/>
        <w:bidi w:val="0"/>
        <w:snapToGrid w:val="0"/>
        <w:spacing w:before="0" w:beforeAutospacing="0" w:after="0" w:afterAutospacing="0" w:line="400" w:lineRule="exact"/>
        <w:ind w:firstLine="480" w:firstLineChars="200"/>
        <w:jc w:val="left"/>
        <w:textAlignment w:val="baseline"/>
        <w:rPr>
          <w:rFonts w:hint="eastAsia" w:ascii="微软雅黑" w:hAnsi="微软雅黑" w:eastAsia="微软雅黑" w:cs="微软雅黑"/>
          <w:b w:val="0"/>
          <w:i w:val="0"/>
          <w:color w:val="auto"/>
          <w:spacing w:val="0"/>
          <w:w w:val="100"/>
          <w:sz w:val="24"/>
          <w:highlight w:val="none"/>
        </w:rPr>
      </w:pPr>
      <w:r>
        <w:rPr>
          <w:rFonts w:hint="eastAsia" w:ascii="微软雅黑" w:hAnsi="微软雅黑" w:eastAsia="微软雅黑" w:cs="微软雅黑"/>
          <w:b w:val="0"/>
          <w:i w:val="0"/>
          <w:color w:val="auto"/>
          <w:spacing w:val="0"/>
          <w:w w:val="100"/>
          <w:sz w:val="24"/>
          <w:highlight w:val="none"/>
        </w:rPr>
        <w:t>联合体各方均为小型、微型企业和监狱企业的，联合体视同为小型、微型企业和监狱企业。</w:t>
      </w:r>
    </w:p>
    <w:p>
      <w:pPr>
        <w:pStyle w:val="11"/>
        <w:keepNext w:val="0"/>
        <w:keepLines w:val="0"/>
        <w:pageBreakBefore w:val="0"/>
        <w:numPr>
          <w:ilvl w:val="0"/>
          <w:numId w:val="10"/>
        </w:numPr>
        <w:shd w:val="clear"/>
        <w:tabs>
          <w:tab w:val="clear" w:pos="312"/>
        </w:tabs>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bCs w:val="0"/>
          <w:i w:val="0"/>
          <w:color w:val="auto"/>
          <w:spacing w:val="0"/>
          <w:w w:val="100"/>
          <w:sz w:val="24"/>
          <w:szCs w:val="24"/>
          <w:highlight w:val="none"/>
          <w:u w:val="single" w:color="000000"/>
        </w:rPr>
      </w:pPr>
      <w:r>
        <w:rPr>
          <w:rFonts w:hint="eastAsia" w:ascii="微软雅黑" w:hAnsi="微软雅黑" w:eastAsia="微软雅黑" w:cs="微软雅黑"/>
          <w:b w:val="0"/>
          <w:i w:val="0"/>
          <w:color w:val="auto"/>
          <w:spacing w:val="0"/>
          <w:w w:val="100"/>
          <w:sz w:val="24"/>
          <w:highlight w:val="none"/>
        </w:rPr>
        <w:t>供应商为提供</w:t>
      </w:r>
      <w:r>
        <w:rPr>
          <w:rFonts w:hint="eastAsia" w:ascii="微软雅黑" w:hAnsi="微软雅黑" w:eastAsia="微软雅黑" w:cs="微软雅黑"/>
          <w:b w:val="0"/>
          <w:i w:val="0"/>
          <w:color w:val="auto"/>
          <w:spacing w:val="0"/>
          <w:w w:val="100"/>
          <w:sz w:val="24"/>
          <w:highlight w:val="none"/>
          <w:lang w:val="en-US" w:eastAsia="zh-CN"/>
        </w:rPr>
        <w:t>货物</w:t>
      </w:r>
      <w:r>
        <w:rPr>
          <w:rFonts w:hint="eastAsia" w:ascii="微软雅黑" w:hAnsi="微软雅黑" w:eastAsia="微软雅黑" w:cs="微软雅黑"/>
          <w:b w:val="0"/>
          <w:i w:val="0"/>
          <w:color w:val="auto"/>
          <w:spacing w:val="0"/>
          <w:w w:val="100"/>
          <w:sz w:val="24"/>
          <w:highlight w:val="none"/>
        </w:rPr>
        <w:t>在磋商中伴随磋商的产品如被列入财政部与国家主管部门颁发的节能产品目录或环境标志产品目录或无线局域网产品目录，应提供相关证明，在</w:t>
      </w:r>
      <w:r>
        <w:rPr>
          <w:rFonts w:hint="eastAsia" w:ascii="微软雅黑" w:hAnsi="微软雅黑" w:eastAsia="微软雅黑" w:cs="微软雅黑"/>
          <w:b w:val="0"/>
          <w:i w:val="0"/>
          <w:color w:val="auto"/>
          <w:spacing w:val="0"/>
          <w:w w:val="100"/>
          <w:sz w:val="24"/>
          <w:highlight w:val="none"/>
          <w:lang w:eastAsia="zh-CN"/>
        </w:rPr>
        <w:t>评审</w:t>
      </w:r>
      <w:r>
        <w:rPr>
          <w:rFonts w:hint="eastAsia" w:ascii="微软雅黑" w:hAnsi="微软雅黑" w:eastAsia="微软雅黑" w:cs="微软雅黑"/>
          <w:b w:val="0"/>
          <w:i w:val="0"/>
          <w:color w:val="auto"/>
          <w:spacing w:val="0"/>
          <w:w w:val="100"/>
          <w:sz w:val="24"/>
          <w:highlight w:val="none"/>
        </w:rPr>
        <w:t>时予以优先采购</w:t>
      </w:r>
      <w:r>
        <w:rPr>
          <w:rFonts w:hint="eastAsia" w:ascii="微软雅黑" w:hAnsi="微软雅黑" w:eastAsia="微软雅黑" w:cs="微软雅黑"/>
          <w:b w:val="0"/>
          <w:i w:val="0"/>
          <w:color w:val="auto"/>
          <w:spacing w:val="0"/>
          <w:w w:val="100"/>
          <w:sz w:val="24"/>
          <w:highlight w:val="none"/>
          <w:lang w:eastAsia="zh-CN"/>
        </w:rPr>
        <w:t>，</w:t>
      </w:r>
      <w:r>
        <w:rPr>
          <w:rFonts w:hint="eastAsia" w:ascii="微软雅黑" w:hAnsi="微软雅黑" w:eastAsia="微软雅黑" w:cs="微软雅黑"/>
          <w:b w:val="0"/>
          <w:i w:val="0"/>
          <w:color w:val="auto"/>
          <w:spacing w:val="0"/>
          <w:w w:val="100"/>
          <w:sz w:val="24"/>
          <w:szCs w:val="24"/>
          <w:highlight w:val="none"/>
        </w:rPr>
        <w:t>具体优惠措施为</w:t>
      </w:r>
      <w:r>
        <w:rPr>
          <w:rFonts w:hint="eastAsia" w:ascii="微软雅黑" w:hAnsi="微软雅黑" w:eastAsia="微软雅黑" w:cs="微软雅黑"/>
          <w:b w:val="0"/>
          <w:bCs w:val="0"/>
          <w:i w:val="0"/>
          <w:color w:val="auto"/>
          <w:spacing w:val="0"/>
          <w:w w:val="100"/>
          <w:sz w:val="24"/>
          <w:szCs w:val="24"/>
          <w:highlight w:val="none"/>
          <w:u w:val="single" w:color="000000"/>
        </w:rPr>
        <w:t>：</w:t>
      </w:r>
      <w:r>
        <w:rPr>
          <w:rFonts w:hint="eastAsia" w:ascii="微软雅黑" w:hAnsi="微软雅黑" w:eastAsia="微软雅黑" w:cs="微软雅黑"/>
          <w:b w:val="0"/>
          <w:bCs w:val="0"/>
          <w:i w:val="0"/>
          <w:color w:val="auto"/>
          <w:spacing w:val="0"/>
          <w:w w:val="100"/>
          <w:sz w:val="24"/>
          <w:szCs w:val="24"/>
          <w:highlight w:val="none"/>
          <w:u w:val="single" w:color="000000"/>
          <w:lang w:val="en-US" w:eastAsia="zh-CN"/>
        </w:rPr>
        <w:t>供应商</w:t>
      </w:r>
      <w:r>
        <w:rPr>
          <w:rFonts w:hint="eastAsia" w:ascii="微软雅黑" w:hAnsi="微软雅黑" w:eastAsia="微软雅黑" w:cs="微软雅黑"/>
          <w:b w:val="0"/>
          <w:bCs w:val="0"/>
          <w:i w:val="0"/>
          <w:color w:val="auto"/>
          <w:spacing w:val="0"/>
          <w:w w:val="100"/>
          <w:sz w:val="24"/>
          <w:szCs w:val="24"/>
          <w:highlight w:val="none"/>
          <w:u w:val="single" w:color="000000"/>
        </w:rPr>
        <w:t>所投产品应优先选择《关于印发节能产品政府采购品目清单的通知》（财库〔2019〕19号）、《关于印发环境标志产品政府采购品目清单的通知》（财库〔2019〕</w:t>
      </w:r>
      <w:r>
        <w:rPr>
          <w:rFonts w:hint="eastAsia" w:ascii="微软雅黑" w:hAnsi="微软雅黑" w:eastAsia="微软雅黑" w:cs="微软雅黑"/>
          <w:b w:val="0"/>
          <w:bCs w:val="0"/>
          <w:i w:val="0"/>
          <w:color w:val="auto"/>
          <w:spacing w:val="0"/>
          <w:w w:val="100"/>
          <w:sz w:val="24"/>
          <w:szCs w:val="24"/>
          <w:highlight w:val="none"/>
          <w:u w:val="single" w:color="000000"/>
          <w:lang w:val="en-US" w:eastAsia="zh-CN"/>
        </w:rPr>
        <w:t>18</w:t>
      </w:r>
      <w:r>
        <w:rPr>
          <w:rFonts w:hint="eastAsia" w:ascii="微软雅黑" w:hAnsi="微软雅黑" w:eastAsia="微软雅黑" w:cs="微软雅黑"/>
          <w:b w:val="0"/>
          <w:bCs w:val="0"/>
          <w:i w:val="0"/>
          <w:color w:val="auto"/>
          <w:spacing w:val="0"/>
          <w:w w:val="100"/>
          <w:sz w:val="24"/>
          <w:szCs w:val="24"/>
          <w:highlight w:val="none"/>
          <w:u w:val="single" w:color="000000"/>
        </w:rPr>
        <w:t>号）目录内的产品。</w:t>
      </w:r>
    </w:p>
    <w:p>
      <w:pPr>
        <w:pStyle w:val="11"/>
        <w:keepNext w:val="0"/>
        <w:keepLines w:val="0"/>
        <w:pageBreakBefore w:val="0"/>
        <w:tabs>
          <w:tab w:val="clear" w:pos="567"/>
        </w:tabs>
        <w:kinsoku/>
        <w:wordWrap/>
        <w:overflowPunct/>
        <w:topLinePunct w:val="0"/>
        <w:autoSpaceDE/>
        <w:autoSpaceDN/>
        <w:bidi w:val="0"/>
        <w:adjustRightInd/>
        <w:spacing w:before="0" w:beforeAutospacing="0" w:afterAutospacing="0" w:line="436" w:lineRule="exact"/>
        <w:rPr>
          <w:rFonts w:hint="eastAsia" w:ascii="微软雅黑" w:hAnsi="微软雅黑" w:eastAsia="微软雅黑" w:cs="微软雅黑"/>
          <w:color w:val="auto"/>
          <w:highlight w:val="none"/>
          <w:lang w:eastAsia="zh-CN"/>
        </w:rPr>
      </w:pPr>
      <w:r>
        <w:rPr>
          <w:rFonts w:hint="eastAsia" w:ascii="微软雅黑" w:hAnsi="微软雅黑" w:eastAsia="微软雅黑" w:cs="微软雅黑"/>
          <w:b/>
          <w:bCs/>
          <w:color w:val="auto"/>
          <w:highlight w:val="none"/>
        </w:rPr>
        <w:t>5.对创新产</w:t>
      </w:r>
      <w:r>
        <w:rPr>
          <w:rFonts w:hint="eastAsia" w:ascii="微软雅黑" w:hAnsi="微软雅黑" w:eastAsia="微软雅黑" w:cs="微软雅黑"/>
          <w:color w:val="auto"/>
          <w:highlight w:val="none"/>
        </w:rPr>
        <w:t>品或创新性企业的优惠措施为：</w:t>
      </w:r>
      <w:r>
        <w:rPr>
          <w:rFonts w:hint="eastAsia" w:ascii="微软雅黑" w:hAnsi="微软雅黑" w:eastAsia="微软雅黑" w:cs="微软雅黑"/>
          <w:color w:val="auto"/>
          <w:highlight w:val="none"/>
          <w:u w:val="single"/>
        </w:rPr>
        <w:t xml:space="preserve">     /      </w:t>
      </w:r>
    </w:p>
    <w:p>
      <w:pPr>
        <w:pStyle w:val="4"/>
        <w:keepNext w:val="0"/>
        <w:keepLines w:val="0"/>
        <w:pageBreakBefore w:val="0"/>
        <w:widowControl w:val="0"/>
        <w:shd w:val="clear"/>
        <w:kinsoku/>
        <w:wordWrap/>
        <w:overflowPunct/>
        <w:topLinePunct w:val="0"/>
        <w:bidi w:val="0"/>
        <w:snapToGrid w:val="0"/>
        <w:spacing w:before="0" w:beforeAutospacing="0" w:after="0" w:afterAutospacing="0" w:line="400" w:lineRule="exact"/>
        <w:ind w:firstLine="0"/>
        <w:jc w:val="left"/>
        <w:textAlignment w:val="baseline"/>
        <w:rPr>
          <w:rFonts w:hint="eastAsia" w:ascii="微软雅黑" w:hAnsi="微软雅黑" w:eastAsia="微软雅黑" w:cs="微软雅黑"/>
          <w:b/>
          <w:bCs/>
          <w:i w:val="0"/>
          <w:color w:val="auto"/>
          <w:spacing w:val="0"/>
          <w:w w:val="100"/>
          <w:kern w:val="2"/>
          <w:sz w:val="24"/>
          <w:szCs w:val="24"/>
          <w:highlight w:val="none"/>
          <w:lang w:val="en-US" w:eastAsia="zh-CN" w:bidi="ar-SA"/>
        </w:rPr>
      </w:pPr>
      <w:r>
        <w:rPr>
          <w:rFonts w:hint="eastAsia" w:ascii="微软雅黑" w:hAnsi="微软雅黑" w:eastAsia="微软雅黑" w:cs="微软雅黑"/>
          <w:b/>
          <w:bCs/>
          <w:i w:val="0"/>
          <w:color w:val="auto"/>
          <w:spacing w:val="0"/>
          <w:w w:val="100"/>
          <w:kern w:val="2"/>
          <w:sz w:val="24"/>
          <w:szCs w:val="24"/>
          <w:highlight w:val="none"/>
          <w:lang w:val="en-US" w:eastAsia="zh-CN" w:bidi="ar-SA"/>
        </w:rPr>
        <w:t>6.磋商：</w:t>
      </w:r>
    </w:p>
    <w:p>
      <w:pPr>
        <w:keepNext w:val="0"/>
        <w:keepLines w:val="0"/>
        <w:pageBreakBefore w:val="0"/>
        <w:widowControl/>
        <w:kinsoku/>
        <w:wordWrap/>
        <w:overflowPunct/>
        <w:topLinePunct w:val="0"/>
        <w:autoSpaceDE/>
        <w:autoSpaceDN/>
        <w:bidi w:val="0"/>
        <w:adjustRightInd/>
        <w:snapToGrid w:val="0"/>
        <w:spacing w:beforeAutospacing="0" w:afterAutospacing="0"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（1）供应商按照须知资料表中规定的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时间和地点，在规定时间内上传</w:t>
      </w:r>
      <w:r>
        <w:rPr>
          <w:rFonts w:hint="eastAsia" w:ascii="微软雅黑" w:hAnsi="微软雅黑" w:eastAsia="微软雅黑" w:cs="微软雅黑"/>
          <w:color w:val="auto"/>
          <w:sz w:val="24"/>
          <w:highlight w:val="none"/>
          <w:lang w:val="en-US" w:eastAsia="zh-CN"/>
        </w:rPr>
        <w:t>响应</w:t>
      </w:r>
      <w:r>
        <w:rPr>
          <w:rFonts w:hint="eastAsia" w:ascii="微软雅黑" w:hAnsi="微软雅黑" w:eastAsia="微软雅黑" w:cs="微软雅黑"/>
          <w:color w:val="auto"/>
          <w:sz w:val="24"/>
          <w:highlight w:val="none"/>
        </w:rPr>
        <w:t>文件。</w:t>
      </w:r>
    </w:p>
    <w:p>
      <w:pPr>
        <w:keepNext w:val="0"/>
        <w:keepLines w:val="0"/>
        <w:pageBreakBefore w:val="0"/>
        <w:widowControl/>
        <w:kinsoku/>
        <w:wordWrap/>
        <w:overflowPunct/>
        <w:topLinePunct w:val="0"/>
        <w:autoSpaceDE/>
        <w:autoSpaceDN/>
        <w:bidi w:val="0"/>
        <w:adjustRightInd/>
        <w:snapToGrid w:val="0"/>
        <w:spacing w:beforeAutospacing="0" w:afterAutospacing="0"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（2）在</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前，工作人员收取所有参会人员的手机，主持人宣读</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纪律。</w:t>
      </w:r>
    </w:p>
    <w:p>
      <w:pPr>
        <w:keepNext w:val="0"/>
        <w:keepLines w:val="0"/>
        <w:pageBreakBefore w:val="0"/>
        <w:widowControl/>
        <w:kinsoku/>
        <w:wordWrap/>
        <w:overflowPunct/>
        <w:topLinePunct w:val="0"/>
        <w:autoSpaceDE/>
        <w:autoSpaceDN/>
        <w:bidi w:val="0"/>
        <w:adjustRightInd/>
        <w:snapToGrid w:val="0"/>
        <w:spacing w:beforeAutospacing="0" w:afterAutospacing="0"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时，由代理机构对供应商的</w:t>
      </w:r>
      <w:r>
        <w:rPr>
          <w:rFonts w:hint="eastAsia" w:ascii="微软雅黑" w:hAnsi="微软雅黑" w:eastAsia="微软雅黑" w:cs="微软雅黑"/>
          <w:color w:val="auto"/>
          <w:sz w:val="24"/>
          <w:highlight w:val="none"/>
          <w:lang w:val="en-US" w:eastAsia="zh-CN"/>
        </w:rPr>
        <w:t>响应</w:t>
      </w:r>
      <w:r>
        <w:rPr>
          <w:rFonts w:hint="eastAsia" w:ascii="微软雅黑" w:hAnsi="微软雅黑" w:eastAsia="微软雅黑" w:cs="微软雅黑"/>
          <w:color w:val="auto"/>
          <w:sz w:val="24"/>
          <w:highlight w:val="none"/>
        </w:rPr>
        <w:t>文件进行解密，解密时间为30分钟。</w:t>
      </w:r>
    </w:p>
    <w:p>
      <w:pPr>
        <w:keepNext w:val="0"/>
        <w:keepLines w:val="0"/>
        <w:pageBreakBefore w:val="0"/>
        <w:widowControl/>
        <w:kinsoku/>
        <w:wordWrap/>
        <w:overflowPunct/>
        <w:topLinePunct w:val="0"/>
        <w:autoSpaceDE/>
        <w:autoSpaceDN/>
        <w:bidi w:val="0"/>
        <w:adjustRightInd/>
        <w:snapToGrid w:val="0"/>
        <w:spacing w:beforeAutospacing="0" w:afterAutospacing="0"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（4）由代理机构开启报价，所有</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签字确认。</w:t>
      </w:r>
    </w:p>
    <w:p>
      <w:pPr>
        <w:keepNext w:val="0"/>
        <w:keepLines w:val="0"/>
        <w:pageBreakBefore w:val="0"/>
        <w:widowControl/>
        <w:kinsoku/>
        <w:wordWrap/>
        <w:overflowPunct/>
        <w:topLinePunct w:val="0"/>
        <w:autoSpaceDE/>
        <w:autoSpaceDN/>
        <w:bidi w:val="0"/>
        <w:adjustRightInd/>
        <w:snapToGrid w:val="0"/>
        <w:spacing w:beforeAutospacing="0" w:afterAutospacing="0" w:line="436" w:lineRule="exact"/>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color w:val="auto"/>
          <w:sz w:val="24"/>
          <w:highlight w:val="none"/>
        </w:rPr>
        <w:t>（5）采购人或采购代理机构登录政采云平台对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的资格证明材料进行审查。</w:t>
      </w:r>
    </w:p>
    <w:p>
      <w:pPr>
        <w:shd w:val="clea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val="en-US" w:eastAsia="zh-CN"/>
        </w:rPr>
        <w:t>7.</w:t>
      </w:r>
      <w:r>
        <w:rPr>
          <w:rFonts w:hint="eastAsia" w:ascii="微软雅黑" w:hAnsi="微软雅黑" w:eastAsia="微软雅黑" w:cs="微软雅黑"/>
          <w:b/>
          <w:bCs/>
          <w:color w:val="auto"/>
          <w:sz w:val="24"/>
          <w:highlight w:val="none"/>
        </w:rPr>
        <w:t>评审：</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i w:val="0"/>
          <w:color w:val="auto"/>
          <w:spacing w:val="0"/>
          <w:w w:val="100"/>
          <w:sz w:val="24"/>
          <w:highlight w:val="none"/>
          <w:lang w:val="en-US" w:eastAsia="zh-CN"/>
        </w:rPr>
        <w:t>（1）在政采云平台上随机抽取3名磋商小组成员，负责评标工作。</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i w:val="0"/>
          <w:color w:val="auto"/>
          <w:spacing w:val="0"/>
          <w:w w:val="100"/>
          <w:sz w:val="24"/>
          <w:highlight w:val="none"/>
          <w:lang w:val="en-US" w:eastAsia="zh-CN"/>
        </w:rPr>
        <w:t>（2）磋商小组应当按照磋商文件中规定的评标方法和标准，对所有响应文件进行资格性审查，再对符合资格要求的供应商的响应文件进行符合性审查，以确定其是否满足磋商文件的实质性要求。</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i w:val="0"/>
          <w:color w:val="auto"/>
          <w:spacing w:val="0"/>
          <w:w w:val="100"/>
          <w:sz w:val="24"/>
          <w:highlight w:val="none"/>
          <w:lang w:val="en-US" w:eastAsia="zh-CN"/>
        </w:rPr>
        <w:t>（3）若对于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其授权的代表签字。供应商的澄清、说明或者补正不得超出响应文件的范围或者改变响应文件的实质性内容。</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i w:val="0"/>
          <w:color w:val="auto"/>
          <w:spacing w:val="0"/>
          <w:w w:val="100"/>
          <w:sz w:val="24"/>
          <w:highlight w:val="none"/>
          <w:lang w:val="en-US" w:eastAsia="zh-CN"/>
        </w:rPr>
        <w:t>（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i w:val="0"/>
          <w:color w:val="auto"/>
          <w:spacing w:val="0"/>
          <w:w w:val="100"/>
          <w:sz w:val="24"/>
          <w:highlight w:val="none"/>
          <w:lang w:val="en-US" w:eastAsia="zh-CN"/>
        </w:rPr>
        <w:t>（5）共有两次报价，二次报价为最终报价，磋商小组所有成员集中与单一供应商分别进行磋商，并给予所有参加磋商的供应商平等的磋商机会，磋商小组要求所有实质性响应的供应商在规定时间内提交最后报价。　</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i w:val="0"/>
          <w:color w:val="auto"/>
          <w:spacing w:val="0"/>
          <w:w w:val="100"/>
          <w:sz w:val="24"/>
          <w:highlight w:val="none"/>
          <w:lang w:val="en-US" w:eastAsia="zh-CN"/>
        </w:rPr>
        <w:t>（6）代理机构现场对供应商的二次报价进行统一唱标。</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i w:val="0"/>
          <w:color w:val="auto"/>
          <w:spacing w:val="0"/>
          <w:w w:val="100"/>
          <w:sz w:val="24"/>
          <w:highlight w:val="none"/>
          <w:lang w:val="en-US" w:eastAsia="zh-CN"/>
        </w:rPr>
        <w:t>（7）磋商小组应当按照磋商文件中规定的评标方法和标准，对符合性审查合格的响应文件进行商务和技术评估，综合比较与评价。综合评分法，是指响应文件满足磋商文件全部实质性要求，且按照评审因素的量化指标评审得分最高的供应商为成交候选人的评标方法。</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i w:val="0"/>
          <w:color w:val="auto"/>
          <w:spacing w:val="0"/>
          <w:w w:val="100"/>
          <w:sz w:val="24"/>
          <w:highlight w:val="none"/>
          <w:lang w:val="en-US" w:eastAsia="zh-CN"/>
        </w:rPr>
        <w:t>（8）采用综合评分法的，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i w:val="0"/>
          <w:color w:val="auto"/>
          <w:spacing w:val="0"/>
          <w:w w:val="100"/>
          <w:sz w:val="24"/>
          <w:highlight w:val="none"/>
          <w:lang w:val="en-US" w:eastAsia="zh-CN"/>
        </w:rPr>
        <w:t>（9）磋商小组成员对需要共同认定的事项存在争议的，应当按照少数服从多数的原则作出结论。持不同意见的磋商小组成员应当在评标报告上签署不同意见及理由，否则视为同意评标报告。</w:t>
      </w:r>
    </w:p>
    <w:p>
      <w:pPr>
        <w:pStyle w:val="11"/>
        <w:shd w:val="clear"/>
        <w:snapToGrid w:val="0"/>
        <w:spacing w:before="0" w:beforeAutospacing="0" w:afterAutospacing="0" w:line="400" w:lineRule="exact"/>
        <w:textAlignment w:val="baseline"/>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8</w:t>
      </w:r>
      <w:r>
        <w:rPr>
          <w:rFonts w:hint="eastAsia" w:ascii="微软雅黑" w:hAnsi="微软雅黑" w:eastAsia="微软雅黑" w:cs="微软雅黑"/>
          <w:b/>
          <w:bCs/>
          <w:color w:val="auto"/>
          <w:highlight w:val="none"/>
        </w:rPr>
        <w:t>.定标：</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i w:val="0"/>
          <w:color w:val="auto"/>
          <w:spacing w:val="0"/>
          <w:w w:val="100"/>
          <w:sz w:val="24"/>
          <w:highlight w:val="none"/>
          <w:lang w:val="en-US" w:eastAsia="zh-CN"/>
        </w:rPr>
        <w:t>（1）采购代理机构应当在评标结束后2个工作日内将评标报告送采购人。</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i w:val="0"/>
          <w:color w:val="auto"/>
          <w:spacing w:val="0"/>
          <w:w w:val="100"/>
          <w:sz w:val="24"/>
          <w:highlight w:val="none"/>
          <w:lang w:val="en-US" w:eastAsia="zh-CN"/>
        </w:rPr>
        <w:t>（2）采购人委托磋商小组直接确定成交人。磋商小组推荐成交候选供应商的数量为3家。采购人应当自收到评标报告之日起5个工作日内，在评标报告确定的成交候选人名单中按顺序确定成交人。成交候选人并列的，由采购人按照磋商文件规定的方式确定成交人。</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i w:val="0"/>
          <w:color w:val="auto"/>
          <w:spacing w:val="0"/>
          <w:w w:val="100"/>
          <w:sz w:val="24"/>
          <w:highlight w:val="none"/>
          <w:lang w:val="en-US" w:eastAsia="zh-CN"/>
        </w:rPr>
        <w:t xml:space="preserve">（3）成交候选人并列式时的处理方式：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i w:val="0"/>
          <w:color w:val="auto"/>
          <w:spacing w:val="0"/>
          <w:w w:val="100"/>
          <w:sz w:val="24"/>
          <w:highlight w:val="none"/>
          <w:lang w:val="en-US" w:eastAsia="zh-CN"/>
        </w:rPr>
        <w:t>（4）采购人在收到评标报告5个工作日内未按评标报告推荐的成交候选人顺序确定成交人，又不能说明合法理由的，视同按评标报告推荐的顺序确定排名第一的成交候选人为成交人。</w:t>
      </w:r>
    </w:p>
    <w:p>
      <w:pPr>
        <w:pStyle w:val="17"/>
        <w:keepNext w:val="0"/>
        <w:keepLines w:val="0"/>
        <w:pageBreakBefore w:val="0"/>
        <w:shd w:val="clear" w:color="auto" w:fill="auto"/>
        <w:kinsoku/>
        <w:wordWrap/>
        <w:overflowPunct/>
        <w:topLinePunct w:val="0"/>
        <w:autoSpaceDE/>
        <w:autoSpaceDN/>
        <w:bidi w:val="0"/>
        <w:adjustRightInd/>
        <w:snapToGrid w:val="0"/>
        <w:spacing w:beforeAutospacing="0" w:afterAutospacing="0" w:line="500" w:lineRule="exac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9.答疑澄清：</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i w:val="0"/>
          <w:color w:val="auto"/>
          <w:spacing w:val="0"/>
          <w:w w:val="100"/>
          <w:sz w:val="24"/>
          <w:highlight w:val="none"/>
          <w:lang w:val="en-US" w:eastAsia="zh-CN"/>
        </w:rPr>
        <w:t>（1）磋商小组对于响应文件中含义不明确、同类问题表述不一致或者有明显文字和计算错误的内容，要求供应商以书面形式现场作出必要的澄清、说明或者补正。</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i w:val="0"/>
          <w:color w:val="auto"/>
          <w:spacing w:val="0"/>
          <w:w w:val="100"/>
          <w:sz w:val="24"/>
          <w:highlight w:val="none"/>
          <w:lang w:val="en-US" w:eastAsia="zh-CN"/>
        </w:rPr>
        <w:t>（2）供应商的澄清、说明或者补正应当采用书面形式，并加盖公章，或者由法定代表人或其授权的代表签字。供应商的澄清、说明或者补正不得超出响应文件的范围或者改变响应文件的实质性内容。</w:t>
      </w:r>
    </w:p>
    <w:p>
      <w:pPr>
        <w:widowControl/>
        <w:shd w:val="clear"/>
        <w:snapToGrid w:val="0"/>
        <w:spacing w:beforeAutospacing="0" w:afterAutospacing="0" w:line="400"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lang w:val="en-US" w:eastAsia="zh-CN"/>
        </w:rPr>
        <w:t>10</w:t>
      </w:r>
      <w:r>
        <w:rPr>
          <w:rFonts w:hint="eastAsia" w:ascii="微软雅黑" w:hAnsi="微软雅黑" w:eastAsia="微软雅黑" w:cs="微软雅黑"/>
          <w:b/>
          <w:bCs/>
          <w:color w:val="auto"/>
          <w:sz w:val="24"/>
          <w:highlight w:val="none"/>
        </w:rPr>
        <w:t>.评审标准</w:t>
      </w:r>
      <w:r>
        <w:rPr>
          <w:rFonts w:hint="eastAsia" w:ascii="微软雅黑" w:hAnsi="微软雅黑" w:eastAsia="微软雅黑" w:cs="微软雅黑"/>
          <w:color w:val="auto"/>
          <w:sz w:val="24"/>
          <w:highlight w:val="none"/>
        </w:rPr>
        <w:t>：（具体详见综合评分表）</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bCs w:val="0"/>
          <w:i w:val="0"/>
          <w:color w:val="auto"/>
          <w:spacing w:val="0"/>
          <w:w w:val="100"/>
          <w:sz w:val="24"/>
          <w:highlight w:val="none"/>
        </w:rPr>
      </w:pPr>
      <w:r>
        <w:rPr>
          <w:rFonts w:hint="eastAsia" w:ascii="微软雅黑" w:hAnsi="微软雅黑" w:eastAsia="微软雅黑" w:cs="微软雅黑"/>
          <w:b w:val="0"/>
          <w:bCs w:val="0"/>
          <w:i w:val="0"/>
          <w:color w:val="auto"/>
          <w:spacing w:val="0"/>
          <w:w w:val="100"/>
          <w:sz w:val="24"/>
          <w:highlight w:val="none"/>
        </w:rPr>
        <w:t>（1）价格评分占</w:t>
      </w:r>
      <w:r>
        <w:rPr>
          <w:rFonts w:hint="eastAsia" w:ascii="微软雅黑" w:hAnsi="微软雅黑" w:eastAsia="微软雅黑" w:cs="微软雅黑"/>
          <w:b w:val="0"/>
          <w:bCs w:val="0"/>
          <w:i w:val="0"/>
          <w:color w:val="auto"/>
          <w:spacing w:val="0"/>
          <w:w w:val="100"/>
          <w:sz w:val="24"/>
          <w:highlight w:val="none"/>
          <w:lang w:val="en-US" w:eastAsia="zh-CN"/>
        </w:rPr>
        <w:t>25</w:t>
      </w:r>
      <w:r>
        <w:rPr>
          <w:rFonts w:hint="eastAsia" w:ascii="微软雅黑" w:hAnsi="微软雅黑" w:eastAsia="微软雅黑" w:cs="微软雅黑"/>
          <w:b w:val="0"/>
          <w:bCs w:val="0"/>
          <w:i w:val="0"/>
          <w:color w:val="auto"/>
          <w:spacing w:val="0"/>
          <w:w w:val="100"/>
          <w:sz w:val="24"/>
          <w:highlight w:val="none"/>
        </w:rPr>
        <w:t>%，完全满足磋商文件参数的报价中的最低价为评标基准价，按照下列公式计算每个</w:t>
      </w:r>
      <w:r>
        <w:rPr>
          <w:rFonts w:hint="eastAsia" w:ascii="微软雅黑" w:hAnsi="微软雅黑" w:eastAsia="微软雅黑" w:cs="微软雅黑"/>
          <w:b w:val="0"/>
          <w:bCs w:val="0"/>
          <w:i w:val="0"/>
          <w:color w:val="auto"/>
          <w:spacing w:val="0"/>
          <w:w w:val="100"/>
          <w:sz w:val="24"/>
          <w:highlight w:val="none"/>
          <w:lang w:eastAsia="zh-CN"/>
        </w:rPr>
        <w:t>供应商</w:t>
      </w:r>
      <w:r>
        <w:rPr>
          <w:rFonts w:hint="eastAsia" w:ascii="微软雅黑" w:hAnsi="微软雅黑" w:eastAsia="微软雅黑" w:cs="微软雅黑"/>
          <w:b w:val="0"/>
          <w:bCs w:val="0"/>
          <w:i w:val="0"/>
          <w:color w:val="auto"/>
          <w:spacing w:val="0"/>
          <w:w w:val="100"/>
          <w:sz w:val="24"/>
          <w:highlight w:val="none"/>
        </w:rPr>
        <w:t>的</w:t>
      </w:r>
      <w:r>
        <w:rPr>
          <w:rFonts w:hint="eastAsia" w:ascii="微软雅黑" w:hAnsi="微软雅黑" w:eastAsia="微软雅黑" w:cs="微软雅黑"/>
          <w:b w:val="0"/>
          <w:bCs w:val="0"/>
          <w:i w:val="0"/>
          <w:color w:val="auto"/>
          <w:spacing w:val="0"/>
          <w:w w:val="100"/>
          <w:sz w:val="24"/>
          <w:highlight w:val="none"/>
          <w:lang w:eastAsia="zh-CN"/>
        </w:rPr>
        <w:t>磋商</w:t>
      </w:r>
      <w:r>
        <w:rPr>
          <w:rFonts w:hint="eastAsia" w:ascii="微软雅黑" w:hAnsi="微软雅黑" w:eastAsia="微软雅黑" w:cs="微软雅黑"/>
          <w:b w:val="0"/>
          <w:bCs w:val="0"/>
          <w:i w:val="0"/>
          <w:color w:val="auto"/>
          <w:spacing w:val="0"/>
          <w:w w:val="100"/>
          <w:sz w:val="24"/>
          <w:highlight w:val="none"/>
        </w:rPr>
        <w:t>价格得分。</w:t>
      </w:r>
      <w:r>
        <w:rPr>
          <w:rFonts w:hint="eastAsia" w:ascii="微软雅黑" w:hAnsi="微软雅黑" w:eastAsia="微软雅黑" w:cs="微软雅黑"/>
          <w:b w:val="0"/>
          <w:bCs w:val="0"/>
          <w:i w:val="0"/>
          <w:color w:val="auto"/>
          <w:spacing w:val="0"/>
          <w:w w:val="100"/>
          <w:sz w:val="24"/>
          <w:highlight w:val="none"/>
          <w:lang w:eastAsia="zh-CN"/>
        </w:rPr>
        <w:t>磋商</w:t>
      </w:r>
      <w:r>
        <w:rPr>
          <w:rFonts w:hint="eastAsia" w:ascii="微软雅黑" w:hAnsi="微软雅黑" w:eastAsia="微软雅黑" w:cs="微软雅黑"/>
          <w:b w:val="0"/>
          <w:bCs w:val="0"/>
          <w:i w:val="0"/>
          <w:color w:val="auto"/>
          <w:spacing w:val="0"/>
          <w:w w:val="100"/>
          <w:sz w:val="24"/>
          <w:highlight w:val="none"/>
        </w:rPr>
        <w:t>报价得分＝（基准价/</w:t>
      </w:r>
      <w:r>
        <w:rPr>
          <w:rFonts w:hint="eastAsia" w:ascii="微软雅黑" w:hAnsi="微软雅黑" w:eastAsia="微软雅黑" w:cs="微软雅黑"/>
          <w:b w:val="0"/>
          <w:bCs w:val="0"/>
          <w:i w:val="0"/>
          <w:color w:val="auto"/>
          <w:spacing w:val="0"/>
          <w:w w:val="100"/>
          <w:sz w:val="24"/>
          <w:highlight w:val="none"/>
          <w:lang w:eastAsia="zh-CN"/>
        </w:rPr>
        <w:t>磋商</w:t>
      </w:r>
      <w:r>
        <w:rPr>
          <w:rFonts w:hint="eastAsia" w:ascii="微软雅黑" w:hAnsi="微软雅黑" w:eastAsia="微软雅黑" w:cs="微软雅黑"/>
          <w:b w:val="0"/>
          <w:bCs w:val="0"/>
          <w:i w:val="0"/>
          <w:color w:val="auto"/>
          <w:spacing w:val="0"/>
          <w:w w:val="100"/>
          <w:sz w:val="24"/>
          <w:highlight w:val="none"/>
        </w:rPr>
        <w:t>报价）×价格权重×100。</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bCs w:val="0"/>
          <w:i w:val="0"/>
          <w:color w:val="auto"/>
          <w:spacing w:val="0"/>
          <w:w w:val="100"/>
          <w:sz w:val="24"/>
          <w:highlight w:val="none"/>
        </w:rPr>
      </w:pPr>
      <w:r>
        <w:rPr>
          <w:rFonts w:hint="eastAsia" w:ascii="微软雅黑" w:hAnsi="微软雅黑" w:eastAsia="微软雅黑" w:cs="微软雅黑"/>
          <w:b w:val="0"/>
          <w:bCs w:val="0"/>
          <w:i w:val="0"/>
          <w:color w:val="auto"/>
          <w:spacing w:val="0"/>
          <w:w w:val="100"/>
          <w:sz w:val="24"/>
          <w:highlight w:val="none"/>
        </w:rPr>
        <w:t>（2）商务评分占</w:t>
      </w:r>
      <w:r>
        <w:rPr>
          <w:rFonts w:hint="eastAsia" w:ascii="微软雅黑" w:hAnsi="微软雅黑" w:eastAsia="微软雅黑" w:cs="微软雅黑"/>
          <w:b w:val="0"/>
          <w:bCs w:val="0"/>
          <w:i w:val="0"/>
          <w:color w:val="auto"/>
          <w:spacing w:val="0"/>
          <w:w w:val="100"/>
          <w:sz w:val="24"/>
          <w:highlight w:val="none"/>
          <w:lang w:val="en-US" w:eastAsia="zh-CN"/>
        </w:rPr>
        <w:t>12</w:t>
      </w:r>
      <w:r>
        <w:rPr>
          <w:rFonts w:hint="eastAsia" w:ascii="微软雅黑" w:hAnsi="微软雅黑" w:eastAsia="微软雅黑" w:cs="微软雅黑"/>
          <w:b w:val="0"/>
          <w:bCs w:val="0"/>
          <w:i w:val="0"/>
          <w:color w:val="auto"/>
          <w:spacing w:val="0"/>
          <w:w w:val="100"/>
          <w:sz w:val="24"/>
          <w:highlight w:val="none"/>
        </w:rPr>
        <w:t>%，包含</w:t>
      </w:r>
      <w:r>
        <w:rPr>
          <w:rFonts w:hint="eastAsia" w:ascii="微软雅黑" w:hAnsi="微软雅黑" w:eastAsia="微软雅黑" w:cs="微软雅黑"/>
          <w:b w:val="0"/>
          <w:bCs w:val="0"/>
          <w:i w:val="0"/>
          <w:color w:val="auto"/>
          <w:spacing w:val="0"/>
          <w:w w:val="100"/>
          <w:sz w:val="24"/>
          <w:highlight w:val="none"/>
          <w:lang w:val="en-US" w:eastAsia="zh-CN"/>
        </w:rPr>
        <w:t>业绩、标书制</w:t>
      </w:r>
      <w:r>
        <w:rPr>
          <w:rFonts w:hint="eastAsia" w:ascii="微软雅黑" w:hAnsi="微软雅黑" w:eastAsia="微软雅黑" w:cs="微软雅黑"/>
          <w:b w:val="0"/>
          <w:bCs w:val="0"/>
          <w:i w:val="0"/>
          <w:color w:val="auto"/>
          <w:spacing w:val="0"/>
          <w:w w:val="100"/>
          <w:sz w:val="24"/>
          <w:highlight w:val="none"/>
        </w:rPr>
        <w:t>作</w:t>
      </w:r>
      <w:r>
        <w:rPr>
          <w:rFonts w:hint="eastAsia" w:ascii="微软雅黑" w:hAnsi="微软雅黑" w:eastAsia="微软雅黑" w:cs="微软雅黑"/>
          <w:b w:val="0"/>
          <w:bCs w:val="0"/>
          <w:i w:val="0"/>
          <w:color w:val="auto"/>
          <w:spacing w:val="0"/>
          <w:w w:val="100"/>
          <w:sz w:val="24"/>
          <w:highlight w:val="none"/>
          <w:lang w:eastAsia="zh-CN"/>
        </w:rPr>
        <w:t>、</w:t>
      </w:r>
      <w:r>
        <w:rPr>
          <w:rFonts w:hint="eastAsia" w:ascii="微软雅黑" w:hAnsi="微软雅黑" w:eastAsia="微软雅黑" w:cs="微软雅黑"/>
          <w:b w:val="0"/>
          <w:bCs w:val="0"/>
          <w:i w:val="0"/>
          <w:color w:val="auto"/>
          <w:spacing w:val="0"/>
          <w:w w:val="100"/>
          <w:sz w:val="24"/>
          <w:highlight w:val="none"/>
          <w:lang w:val="en-US" w:eastAsia="zh-CN"/>
        </w:rPr>
        <w:t>检测报告</w:t>
      </w:r>
      <w:r>
        <w:rPr>
          <w:rFonts w:hint="eastAsia" w:ascii="微软雅黑" w:hAnsi="微软雅黑" w:eastAsia="微软雅黑" w:cs="微软雅黑"/>
          <w:b w:val="0"/>
          <w:bCs w:val="0"/>
          <w:i w:val="0"/>
          <w:color w:val="auto"/>
          <w:spacing w:val="0"/>
          <w:w w:val="100"/>
          <w:sz w:val="24"/>
          <w:highlight w:val="none"/>
        </w:rPr>
        <w:t>。</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bCs w:val="0"/>
          <w:i w:val="0"/>
          <w:color w:val="auto"/>
          <w:spacing w:val="0"/>
          <w:w w:val="100"/>
          <w:sz w:val="24"/>
          <w:highlight w:val="none"/>
        </w:rPr>
      </w:pPr>
      <w:r>
        <w:rPr>
          <w:rFonts w:hint="eastAsia" w:ascii="微软雅黑" w:hAnsi="微软雅黑" w:eastAsia="微软雅黑" w:cs="微软雅黑"/>
          <w:b w:val="0"/>
          <w:bCs w:val="0"/>
          <w:i w:val="0"/>
          <w:color w:val="auto"/>
          <w:spacing w:val="0"/>
          <w:w w:val="100"/>
          <w:sz w:val="24"/>
          <w:highlight w:val="none"/>
        </w:rPr>
        <w:t>（3）技术评分占</w:t>
      </w:r>
      <w:r>
        <w:rPr>
          <w:rFonts w:hint="eastAsia" w:ascii="微软雅黑" w:hAnsi="微软雅黑" w:eastAsia="微软雅黑" w:cs="微软雅黑"/>
          <w:b w:val="0"/>
          <w:bCs w:val="0"/>
          <w:i w:val="0"/>
          <w:color w:val="auto"/>
          <w:spacing w:val="0"/>
          <w:w w:val="100"/>
          <w:sz w:val="24"/>
          <w:highlight w:val="none"/>
          <w:lang w:val="en-US" w:eastAsia="zh-CN"/>
        </w:rPr>
        <w:t>68</w:t>
      </w:r>
      <w:r>
        <w:rPr>
          <w:rFonts w:hint="eastAsia" w:ascii="微软雅黑" w:hAnsi="微软雅黑" w:eastAsia="微软雅黑" w:cs="微软雅黑"/>
          <w:b w:val="0"/>
          <w:bCs w:val="0"/>
          <w:i w:val="0"/>
          <w:color w:val="auto"/>
          <w:spacing w:val="0"/>
          <w:w w:val="100"/>
          <w:sz w:val="24"/>
          <w:highlight w:val="none"/>
        </w:rPr>
        <w:t>%，包含综合能力</w:t>
      </w:r>
      <w:r>
        <w:rPr>
          <w:rFonts w:hint="eastAsia" w:ascii="微软雅黑" w:hAnsi="微软雅黑" w:eastAsia="微软雅黑" w:cs="微软雅黑"/>
          <w:b w:val="0"/>
          <w:bCs w:val="0"/>
          <w:i w:val="0"/>
          <w:color w:val="auto"/>
          <w:spacing w:val="0"/>
          <w:w w:val="100"/>
          <w:sz w:val="24"/>
          <w:highlight w:val="none"/>
          <w:lang w:eastAsia="zh-CN"/>
        </w:rPr>
        <w:t>、</w:t>
      </w:r>
      <w:r>
        <w:rPr>
          <w:rFonts w:hint="eastAsia" w:ascii="微软雅黑" w:hAnsi="微软雅黑" w:eastAsia="微软雅黑" w:cs="微软雅黑"/>
          <w:b w:val="0"/>
          <w:bCs w:val="0"/>
          <w:i w:val="0"/>
          <w:color w:val="auto"/>
          <w:spacing w:val="0"/>
          <w:w w:val="100"/>
          <w:sz w:val="24"/>
          <w:highlight w:val="none"/>
        </w:rPr>
        <w:t>服务团队</w:t>
      </w:r>
      <w:r>
        <w:rPr>
          <w:rFonts w:hint="eastAsia" w:ascii="微软雅黑" w:hAnsi="微软雅黑" w:eastAsia="微软雅黑" w:cs="微软雅黑"/>
          <w:b w:val="0"/>
          <w:bCs w:val="0"/>
          <w:i w:val="0"/>
          <w:color w:val="auto"/>
          <w:spacing w:val="0"/>
          <w:w w:val="100"/>
          <w:sz w:val="24"/>
          <w:highlight w:val="none"/>
          <w:lang w:eastAsia="zh-CN"/>
        </w:rPr>
        <w:t>、</w:t>
      </w:r>
      <w:r>
        <w:rPr>
          <w:rFonts w:hint="eastAsia" w:ascii="微软雅黑" w:hAnsi="微软雅黑" w:eastAsia="微软雅黑" w:cs="微软雅黑"/>
          <w:b w:val="0"/>
          <w:bCs w:val="0"/>
          <w:i w:val="0"/>
          <w:color w:val="auto"/>
          <w:spacing w:val="0"/>
          <w:w w:val="100"/>
          <w:sz w:val="24"/>
          <w:highlight w:val="none"/>
        </w:rPr>
        <w:t>服务方案</w:t>
      </w:r>
      <w:r>
        <w:rPr>
          <w:rFonts w:hint="eastAsia" w:ascii="微软雅黑" w:hAnsi="微软雅黑" w:eastAsia="微软雅黑" w:cs="微软雅黑"/>
          <w:b w:val="0"/>
          <w:bCs w:val="0"/>
          <w:i w:val="0"/>
          <w:color w:val="auto"/>
          <w:spacing w:val="0"/>
          <w:w w:val="100"/>
          <w:sz w:val="24"/>
          <w:highlight w:val="none"/>
          <w:lang w:eastAsia="zh-CN"/>
        </w:rPr>
        <w:t>、应急预案</w:t>
      </w:r>
      <w:r>
        <w:rPr>
          <w:rFonts w:hint="eastAsia" w:ascii="微软雅黑" w:hAnsi="微软雅黑" w:eastAsia="微软雅黑" w:cs="微软雅黑"/>
          <w:b w:val="0"/>
          <w:bCs w:val="0"/>
          <w:i w:val="0"/>
          <w:color w:val="auto"/>
          <w:spacing w:val="0"/>
          <w:w w:val="100"/>
          <w:sz w:val="24"/>
          <w:highlight w:val="none"/>
        </w:rPr>
        <w:t>售后服务。</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bCs w:val="0"/>
          <w:i w:val="0"/>
          <w:color w:val="auto"/>
          <w:spacing w:val="0"/>
          <w:w w:val="100"/>
          <w:sz w:val="24"/>
          <w:highlight w:val="none"/>
          <w:lang w:val="en-US" w:eastAsia="zh-CN"/>
        </w:rPr>
        <w:t>（4）</w:t>
      </w:r>
      <w:r>
        <w:rPr>
          <w:rFonts w:hint="eastAsia" w:ascii="微软雅黑" w:hAnsi="微软雅黑" w:eastAsia="微软雅黑" w:cs="微软雅黑"/>
          <w:b w:val="0"/>
          <w:bCs w:val="0"/>
          <w:i w:val="0"/>
          <w:color w:val="auto"/>
          <w:spacing w:val="0"/>
          <w:w w:val="100"/>
          <w:sz w:val="24"/>
          <w:highlight w:val="non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r>
        <w:rPr>
          <w:rFonts w:hint="eastAsia" w:ascii="微软雅黑" w:hAnsi="微软雅黑" w:eastAsia="微软雅黑" w:cs="微软雅黑"/>
          <w:b w:val="0"/>
          <w:bCs w:val="0"/>
          <w:i w:val="0"/>
          <w:color w:val="auto"/>
          <w:spacing w:val="0"/>
          <w:w w:val="100"/>
          <w:sz w:val="24"/>
          <w:highlight w:val="none"/>
          <w:lang w:eastAsia="zh-CN"/>
        </w:rPr>
        <w:t>。</w:t>
      </w:r>
      <w:r>
        <w:rPr>
          <w:rFonts w:hint="eastAsia" w:ascii="微软雅黑" w:hAnsi="微软雅黑" w:eastAsia="微软雅黑" w:cs="微软雅黑"/>
          <w:b w:val="0"/>
          <w:bCs w:val="0"/>
          <w:i w:val="0"/>
          <w:color w:val="auto"/>
          <w:spacing w:val="0"/>
          <w:w w:val="100"/>
          <w:sz w:val="24"/>
          <w:highlight w:val="none"/>
          <w:lang w:val="en-US" w:eastAsia="zh-CN"/>
        </w:rPr>
        <w:t>　</w:t>
      </w:r>
      <w:r>
        <w:rPr>
          <w:rFonts w:hint="eastAsia" w:ascii="微软雅黑" w:hAnsi="微软雅黑" w:eastAsia="微软雅黑" w:cs="微软雅黑"/>
          <w:b w:val="0"/>
          <w:i w:val="0"/>
          <w:color w:val="auto"/>
          <w:spacing w:val="0"/>
          <w:w w:val="100"/>
          <w:sz w:val="24"/>
          <w:highlight w:val="none"/>
          <w:lang w:val="en-US" w:eastAsia="zh-CN"/>
        </w:rPr>
        <w:t>　</w:t>
      </w:r>
    </w:p>
    <w:p>
      <w:pPr>
        <w:keepNext w:val="0"/>
        <w:keepLines w:val="0"/>
        <w:pageBreakBefore w:val="0"/>
        <w:shd w:val="clear"/>
        <w:kinsoku/>
        <w:wordWrap/>
        <w:overflowPunct/>
        <w:topLinePunct w:val="0"/>
        <w:bidi w:val="0"/>
        <w:snapToGrid w:val="0"/>
        <w:spacing w:before="0" w:beforeAutospacing="0" w:after="0" w:afterAutospacing="0" w:line="400" w:lineRule="exact"/>
        <w:ind w:hangingChars="375"/>
        <w:jc w:val="both"/>
        <w:textAlignment w:val="baseline"/>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i w:val="0"/>
          <w:color w:val="auto"/>
          <w:spacing w:val="0"/>
          <w:w w:val="100"/>
          <w:sz w:val="24"/>
          <w:highlight w:val="none"/>
          <w:lang w:val="en-US" w:eastAsia="zh-CN"/>
        </w:rPr>
        <w:t xml:space="preserve">（5）推荐成交候选供应商的数量：3。 </w:t>
      </w:r>
    </w:p>
    <w:p>
      <w:pPr>
        <w:pStyle w:val="2"/>
        <w:keepNext w:val="0"/>
        <w:keepLines w:val="0"/>
        <w:pageBreakBefore w:val="0"/>
        <w:shd w:val="clear"/>
        <w:kinsoku/>
        <w:wordWrap/>
        <w:overflowPunct/>
        <w:topLinePunct w:val="0"/>
        <w:bidi w:val="0"/>
        <w:spacing w:beforeAutospacing="0" w:afterAutospacing="0" w:line="400" w:lineRule="exact"/>
        <w:ind w:left="0" w:leftChars="0" w:firstLine="0" w:firstLineChars="0"/>
        <w:rPr>
          <w:rFonts w:hint="eastAsia" w:ascii="微软雅黑" w:hAnsi="微软雅黑" w:eastAsia="微软雅黑" w:cs="微软雅黑"/>
          <w:b w:val="0"/>
          <w:i w:val="0"/>
          <w:color w:val="auto"/>
          <w:spacing w:val="0"/>
          <w:w w:val="100"/>
          <w:sz w:val="24"/>
          <w:highlight w:val="none"/>
          <w:lang w:val="en-US" w:eastAsia="zh-CN"/>
        </w:rPr>
      </w:pPr>
      <w:r>
        <w:rPr>
          <w:rFonts w:hint="eastAsia" w:ascii="微软雅黑" w:hAnsi="微软雅黑" w:eastAsia="微软雅黑" w:cs="微软雅黑"/>
          <w:b w:val="0"/>
          <w:i w:val="0"/>
          <w:color w:val="auto"/>
          <w:spacing w:val="0"/>
          <w:w w:val="100"/>
          <w:sz w:val="24"/>
          <w:highlight w:val="none"/>
          <w:lang w:val="en-US" w:eastAsia="zh-CN"/>
        </w:rPr>
        <w:t xml:space="preserve">  </w:t>
      </w:r>
    </w:p>
    <w:p>
      <w:pPr>
        <w:shd w:val="clear"/>
        <w:spacing w:beforeAutospacing="0" w:afterAutospacing="0" w:line="300" w:lineRule="auto"/>
        <w:jc w:val="center"/>
        <w:outlineLvl w:val="1"/>
        <w:rPr>
          <w:rFonts w:hint="eastAsia" w:ascii="微软雅黑" w:hAnsi="微软雅黑" w:eastAsia="微软雅黑" w:cs="微软雅黑"/>
          <w:b/>
          <w:bCs/>
          <w:color w:val="auto"/>
          <w:sz w:val="24"/>
          <w:highlight w:val="none"/>
        </w:rPr>
        <w:sectPr>
          <w:pgSz w:w="11907" w:h="16840"/>
          <w:pgMar w:top="1474" w:right="1814" w:bottom="1474" w:left="1814" w:header="851" w:footer="851" w:gutter="0"/>
          <w:pgNumType w:fmt="decimal"/>
          <w:cols w:space="720" w:num="1"/>
          <w:docGrid w:linePitch="462" w:charSpace="0"/>
        </w:sectPr>
      </w:pPr>
    </w:p>
    <w:p>
      <w:pPr>
        <w:spacing w:beforeAutospacing="0" w:afterAutospacing="0" w:line="300" w:lineRule="auto"/>
        <w:jc w:val="center"/>
        <w:outlineLvl w:val="1"/>
        <w:rPr>
          <w:rFonts w:hint="eastAsia" w:ascii="微软雅黑" w:hAnsi="微软雅黑" w:eastAsia="微软雅黑" w:cs="微软雅黑"/>
          <w:b/>
          <w:bCs/>
          <w:color w:val="auto"/>
          <w:sz w:val="28"/>
          <w:szCs w:val="28"/>
          <w:highlight w:val="none"/>
        </w:rPr>
      </w:pPr>
      <w:bookmarkStart w:id="862" w:name="_Toc18687"/>
      <w:bookmarkEnd w:id="862"/>
      <w:bookmarkStart w:id="863" w:name="_Toc26572"/>
      <w:bookmarkEnd w:id="863"/>
      <w:bookmarkStart w:id="864" w:name="_Toc13647"/>
      <w:bookmarkEnd w:id="864"/>
      <w:bookmarkStart w:id="865" w:name="_Toc8137"/>
      <w:bookmarkEnd w:id="865"/>
      <w:bookmarkStart w:id="866" w:name="_Toc12438"/>
      <w:bookmarkEnd w:id="866"/>
      <w:bookmarkStart w:id="867" w:name="_Toc1126"/>
      <w:bookmarkEnd w:id="867"/>
      <w:bookmarkStart w:id="868" w:name="_Toc1545"/>
      <w:bookmarkEnd w:id="868"/>
      <w:bookmarkStart w:id="869" w:name="_Toc27829"/>
      <w:bookmarkEnd w:id="869"/>
      <w:bookmarkStart w:id="870" w:name="_Toc3470"/>
      <w:bookmarkEnd w:id="870"/>
      <w:bookmarkStart w:id="871" w:name="_Toc19540"/>
      <w:bookmarkEnd w:id="871"/>
      <w:bookmarkStart w:id="872" w:name="_Toc7781"/>
      <w:bookmarkEnd w:id="872"/>
      <w:bookmarkStart w:id="873" w:name="_Toc13711"/>
      <w:bookmarkEnd w:id="873"/>
      <w:bookmarkStart w:id="874" w:name="_Toc19633"/>
      <w:bookmarkEnd w:id="874"/>
      <w:bookmarkStart w:id="875" w:name="_Toc12716"/>
      <w:bookmarkEnd w:id="875"/>
      <w:bookmarkStart w:id="876" w:name="_Toc32167"/>
      <w:bookmarkEnd w:id="876"/>
      <w:bookmarkStart w:id="877" w:name="_Toc1053"/>
      <w:r>
        <w:rPr>
          <w:rFonts w:hint="eastAsia" w:ascii="微软雅黑" w:hAnsi="微软雅黑" w:eastAsia="微软雅黑" w:cs="微软雅黑"/>
          <w:b/>
          <w:bCs/>
          <w:color w:val="auto"/>
          <w:sz w:val="28"/>
          <w:szCs w:val="28"/>
          <w:highlight w:val="none"/>
        </w:rPr>
        <w:t>初步评审—资格性审查表</w:t>
      </w:r>
      <w:bookmarkEnd w:id="877"/>
    </w:p>
    <w:tbl>
      <w:tblPr>
        <w:tblStyle w:val="22"/>
        <w:tblpPr w:leftFromText="180" w:rightFromText="180" w:vertAnchor="text" w:horzAnchor="page" w:tblpXSpec="center" w:tblpY="234"/>
        <w:tblOverlap w:val="never"/>
        <w:tblW w:w="10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6136"/>
        <w:gridCol w:w="1125"/>
        <w:gridCol w:w="114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restart"/>
            <w:vAlign w:val="center"/>
          </w:tcPr>
          <w:p>
            <w:pPr>
              <w:spacing w:beforeAutospacing="0" w:afterAutospacing="0" w:line="400" w:lineRule="exact"/>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序号</w:t>
            </w:r>
          </w:p>
        </w:tc>
        <w:tc>
          <w:tcPr>
            <w:tcW w:w="6136" w:type="dxa"/>
            <w:vMerge w:val="restart"/>
            <w:vAlign w:val="center"/>
          </w:tcPr>
          <w:p>
            <w:pPr>
              <w:spacing w:beforeAutospacing="0" w:afterAutospacing="0" w:line="400" w:lineRule="exact"/>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评审内容</w:t>
            </w:r>
          </w:p>
        </w:tc>
        <w:tc>
          <w:tcPr>
            <w:tcW w:w="3355" w:type="dxa"/>
            <w:gridSpan w:val="3"/>
            <w:vAlign w:val="center"/>
          </w:tcPr>
          <w:p>
            <w:pPr>
              <w:spacing w:beforeAutospacing="0" w:afterAutospacing="0" w:line="400" w:lineRule="exact"/>
              <w:jc w:val="center"/>
              <w:rPr>
                <w:rFonts w:hint="eastAsia" w:ascii="微软雅黑" w:hAnsi="微软雅黑" w:eastAsia="微软雅黑" w:cs="微软雅黑"/>
                <w:b/>
                <w:bCs/>
                <w:color w:val="auto"/>
                <w:szCs w:val="21"/>
                <w:highlight w:val="none"/>
                <w:lang w:val="en-US" w:eastAsia="zh-CN"/>
              </w:rPr>
            </w:pPr>
            <w:r>
              <w:rPr>
                <w:rFonts w:hint="eastAsia" w:ascii="微软雅黑" w:hAnsi="微软雅黑" w:eastAsia="微软雅黑" w:cs="微软雅黑"/>
                <w:b/>
                <w:bCs/>
                <w:color w:val="auto"/>
                <w:szCs w:val="21"/>
                <w:highlight w:val="none"/>
              </w:rPr>
              <w:t>供应商</w:t>
            </w:r>
            <w:r>
              <w:rPr>
                <w:rFonts w:hint="eastAsia" w:ascii="微软雅黑" w:hAnsi="微软雅黑" w:eastAsia="微软雅黑" w:cs="微软雅黑"/>
                <w:b/>
                <w:bCs/>
                <w:color w:val="auto"/>
                <w:szCs w:val="21"/>
                <w:highlight w:val="no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69" w:type="dxa"/>
            <w:vMerge w:val="continue"/>
            <w:vAlign w:val="center"/>
          </w:tcPr>
          <w:p>
            <w:pPr>
              <w:spacing w:beforeAutospacing="0" w:afterAutospacing="0" w:line="400" w:lineRule="exact"/>
              <w:rPr>
                <w:rFonts w:hint="eastAsia" w:ascii="微软雅黑" w:hAnsi="微软雅黑" w:eastAsia="微软雅黑" w:cs="微软雅黑"/>
                <w:b/>
                <w:bCs/>
                <w:color w:val="auto"/>
                <w:szCs w:val="21"/>
                <w:highlight w:val="none"/>
              </w:rPr>
            </w:pPr>
          </w:p>
        </w:tc>
        <w:tc>
          <w:tcPr>
            <w:tcW w:w="6136" w:type="dxa"/>
            <w:vMerge w:val="continue"/>
            <w:vAlign w:val="center"/>
          </w:tcPr>
          <w:p>
            <w:pPr>
              <w:spacing w:beforeAutospacing="0" w:afterAutospacing="0" w:line="400" w:lineRule="exact"/>
              <w:rPr>
                <w:rFonts w:hint="eastAsia" w:ascii="微软雅黑" w:hAnsi="微软雅黑" w:eastAsia="微软雅黑" w:cs="微软雅黑"/>
                <w:b/>
                <w:bCs/>
                <w:color w:val="auto"/>
                <w:szCs w:val="21"/>
                <w:highlight w:val="none"/>
              </w:rPr>
            </w:pPr>
          </w:p>
        </w:tc>
        <w:tc>
          <w:tcPr>
            <w:tcW w:w="1125" w:type="dxa"/>
            <w:vAlign w:val="center"/>
          </w:tcPr>
          <w:p>
            <w:pPr>
              <w:spacing w:beforeAutospacing="0" w:afterAutospacing="0" w:line="400" w:lineRule="exact"/>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是否合格</w:t>
            </w:r>
          </w:p>
        </w:tc>
        <w:tc>
          <w:tcPr>
            <w:tcW w:w="1140" w:type="dxa"/>
            <w:vAlign w:val="center"/>
          </w:tcPr>
          <w:p>
            <w:pPr>
              <w:spacing w:beforeAutospacing="0" w:afterAutospacing="0" w:line="400" w:lineRule="exact"/>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是否合格</w:t>
            </w:r>
          </w:p>
        </w:tc>
        <w:tc>
          <w:tcPr>
            <w:tcW w:w="1090" w:type="dxa"/>
            <w:vAlign w:val="center"/>
          </w:tcPr>
          <w:p>
            <w:pPr>
              <w:spacing w:beforeAutospacing="0" w:afterAutospacing="0" w:line="400" w:lineRule="exact"/>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Align w:val="center"/>
          </w:tcPr>
          <w:p>
            <w:pPr>
              <w:spacing w:beforeAutospacing="0" w:afterAutospacing="0" w:line="380" w:lineRule="exac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p>
        </w:tc>
        <w:tc>
          <w:tcPr>
            <w:tcW w:w="6136" w:type="dxa"/>
            <w:vAlign w:val="center"/>
          </w:tcPr>
          <w:p>
            <w:pPr>
              <w:pStyle w:val="4"/>
              <w:keepNext w:val="0"/>
              <w:keepLines w:val="0"/>
              <w:pageBreakBefore w:val="0"/>
              <w:widowControl w:val="0"/>
              <w:kinsoku/>
              <w:wordWrap/>
              <w:overflowPunct/>
              <w:topLinePunct w:val="0"/>
              <w:bidi w:val="0"/>
              <w:snapToGrid/>
              <w:spacing w:beforeAutospacing="0" w:afterAutospacing="0" w:line="400" w:lineRule="exact"/>
              <w:ind w:firstLine="0" w:firstLineChars="0"/>
              <w:textAlignment w:val="auto"/>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具有有效的营业执照；</w:t>
            </w:r>
          </w:p>
        </w:tc>
        <w:tc>
          <w:tcPr>
            <w:tcW w:w="1125"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14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09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Align w:val="center"/>
          </w:tcPr>
          <w:p>
            <w:pPr>
              <w:spacing w:beforeAutospacing="0" w:afterAutospacing="0" w:line="380" w:lineRule="exact"/>
              <w:jc w:val="center"/>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2</w:t>
            </w:r>
          </w:p>
        </w:tc>
        <w:tc>
          <w:tcPr>
            <w:tcW w:w="6136" w:type="dxa"/>
            <w:vAlign w:val="center"/>
          </w:tcPr>
          <w:p>
            <w:pPr>
              <w:spacing w:beforeAutospacing="0" w:afterAutospacing="0" w:line="400" w:lineRule="exac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提供法定代表人身份证明及授权书、被授权人身份证；(法定代表人磋商需提供法定代表人身份证复印件)</w:t>
            </w:r>
          </w:p>
        </w:tc>
        <w:tc>
          <w:tcPr>
            <w:tcW w:w="1125"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14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09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69" w:type="dxa"/>
            <w:vAlign w:val="center"/>
          </w:tcPr>
          <w:p>
            <w:pPr>
              <w:spacing w:beforeAutospacing="0" w:afterAutospacing="0" w:line="380" w:lineRule="exact"/>
              <w:jc w:val="center"/>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3</w:t>
            </w:r>
          </w:p>
        </w:tc>
        <w:tc>
          <w:tcPr>
            <w:tcW w:w="6136" w:type="dxa"/>
            <w:vAlign w:val="center"/>
          </w:tcPr>
          <w:p>
            <w:pPr>
              <w:pStyle w:val="4"/>
              <w:keepNext w:val="0"/>
              <w:keepLines w:val="0"/>
              <w:pageBreakBefore w:val="0"/>
              <w:widowControl w:val="0"/>
              <w:kinsoku/>
              <w:wordWrap/>
              <w:overflowPunct/>
              <w:topLinePunct w:val="0"/>
              <w:bidi w:val="0"/>
              <w:snapToGrid/>
              <w:spacing w:beforeAutospacing="0" w:afterAutospacing="0" w:line="400" w:lineRule="exact"/>
              <w:ind w:firstLine="0" w:firstLineChars="0"/>
              <w:textAlignment w:val="auto"/>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近两年任意一年的财务审计报告，新成立的公司提供近三个月内任意一个月的银行资信证明；</w:t>
            </w:r>
          </w:p>
        </w:tc>
        <w:tc>
          <w:tcPr>
            <w:tcW w:w="1125"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14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09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69" w:type="dxa"/>
            <w:vAlign w:val="center"/>
          </w:tcPr>
          <w:p>
            <w:pPr>
              <w:spacing w:beforeAutospacing="0" w:afterAutospacing="0" w:line="380" w:lineRule="exact"/>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4</w:t>
            </w:r>
          </w:p>
        </w:tc>
        <w:tc>
          <w:tcPr>
            <w:tcW w:w="6136" w:type="dxa"/>
            <w:vAlign w:val="center"/>
          </w:tcPr>
          <w:p>
            <w:pPr>
              <w:pStyle w:val="4"/>
              <w:keepNext w:val="0"/>
              <w:keepLines w:val="0"/>
              <w:pageBreakBefore w:val="0"/>
              <w:widowControl w:val="0"/>
              <w:kinsoku/>
              <w:wordWrap/>
              <w:overflowPunct/>
              <w:topLinePunct w:val="0"/>
              <w:bidi w:val="0"/>
              <w:snapToGrid/>
              <w:spacing w:beforeAutospacing="0" w:afterAutospacing="0" w:line="400" w:lineRule="exact"/>
              <w:ind w:firstLine="0" w:firstLineChars="0"/>
              <w:textAlignment w:val="auto"/>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提供依法缴纳近6个月任意1个月社会保险的证明；</w:t>
            </w:r>
          </w:p>
        </w:tc>
        <w:tc>
          <w:tcPr>
            <w:tcW w:w="1125"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14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09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spacing w:beforeAutospacing="0" w:afterAutospacing="0" w:line="380" w:lineRule="exact"/>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5</w:t>
            </w:r>
          </w:p>
        </w:tc>
        <w:tc>
          <w:tcPr>
            <w:tcW w:w="6136" w:type="dxa"/>
            <w:vAlign w:val="center"/>
          </w:tcPr>
          <w:p>
            <w:pPr>
              <w:pStyle w:val="4"/>
              <w:keepNext w:val="0"/>
              <w:keepLines w:val="0"/>
              <w:pageBreakBefore w:val="0"/>
              <w:widowControl w:val="0"/>
              <w:kinsoku/>
              <w:wordWrap/>
              <w:overflowPunct/>
              <w:topLinePunct w:val="0"/>
              <w:bidi w:val="0"/>
              <w:snapToGrid/>
              <w:spacing w:beforeAutospacing="0" w:afterAutospacing="0" w:line="400" w:lineRule="exact"/>
              <w:ind w:firstLine="0" w:firstLineChars="0"/>
              <w:textAlignment w:val="auto"/>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提供依法缴纳近6个月任意1个月的税收证明；</w:t>
            </w:r>
          </w:p>
        </w:tc>
        <w:tc>
          <w:tcPr>
            <w:tcW w:w="1125"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14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09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9" w:type="dxa"/>
            <w:vAlign w:val="center"/>
          </w:tcPr>
          <w:p>
            <w:pPr>
              <w:spacing w:beforeAutospacing="0" w:afterAutospacing="0" w:line="380" w:lineRule="exact"/>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6</w:t>
            </w:r>
          </w:p>
        </w:tc>
        <w:tc>
          <w:tcPr>
            <w:tcW w:w="6136" w:type="dxa"/>
            <w:vAlign w:val="center"/>
          </w:tcPr>
          <w:p>
            <w:pPr>
              <w:pStyle w:val="4"/>
              <w:keepNext w:val="0"/>
              <w:keepLines w:val="0"/>
              <w:pageBreakBefore w:val="0"/>
              <w:widowControl w:val="0"/>
              <w:kinsoku/>
              <w:wordWrap/>
              <w:overflowPunct/>
              <w:topLinePunct w:val="0"/>
              <w:bidi w:val="0"/>
              <w:snapToGrid/>
              <w:spacing w:beforeAutospacing="0" w:afterAutospacing="0" w:line="400" w:lineRule="exact"/>
              <w:ind w:firstLine="0" w:firstLineChars="0"/>
              <w:textAlignment w:val="auto"/>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根据《财政部关于在政府采购活动中查询及使用信用记录有关问题的通知》（财库﹝2016﹞125号）的要求，凡拟参加本次采购项目的供应商，如在“信用中国”网站（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将拒绝其参加本次采购活动；（以采购代理或采购人查询为准）</w:t>
            </w:r>
          </w:p>
        </w:tc>
        <w:tc>
          <w:tcPr>
            <w:tcW w:w="1125"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14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09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69" w:type="dxa"/>
            <w:vAlign w:val="center"/>
          </w:tcPr>
          <w:p>
            <w:pPr>
              <w:spacing w:beforeAutospacing="0" w:afterAutospacing="0" w:line="380" w:lineRule="exact"/>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7</w:t>
            </w:r>
          </w:p>
        </w:tc>
        <w:tc>
          <w:tcPr>
            <w:tcW w:w="6136" w:type="dxa"/>
            <w:vAlign w:val="center"/>
          </w:tcPr>
          <w:p>
            <w:pPr>
              <w:spacing w:beforeAutospacing="0" w:afterAutospacing="0" w:line="400" w:lineRule="exac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参与政府采购活动3年内未被列入失信、重大税收违法案件、财政部门禁止参加政府采的承诺书；</w:t>
            </w:r>
          </w:p>
        </w:tc>
        <w:tc>
          <w:tcPr>
            <w:tcW w:w="1125"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14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09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69" w:type="dxa"/>
            <w:vAlign w:val="center"/>
          </w:tcPr>
          <w:p>
            <w:pPr>
              <w:spacing w:beforeAutospacing="0" w:afterAutospacing="0" w:line="380" w:lineRule="exact"/>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8</w:t>
            </w:r>
          </w:p>
        </w:tc>
        <w:tc>
          <w:tcPr>
            <w:tcW w:w="6136" w:type="dxa"/>
            <w:vAlign w:val="center"/>
          </w:tcPr>
          <w:p>
            <w:pPr>
              <w:spacing w:beforeAutospacing="0" w:afterAutospacing="0" w:line="400" w:lineRule="exac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提供针对本次项目《反商业贿赂承诺书》；</w:t>
            </w:r>
          </w:p>
        </w:tc>
        <w:tc>
          <w:tcPr>
            <w:tcW w:w="1125"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14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09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69" w:type="dxa"/>
            <w:vAlign w:val="center"/>
          </w:tcPr>
          <w:p>
            <w:pPr>
              <w:spacing w:beforeAutospacing="0" w:afterAutospacing="0" w:line="380" w:lineRule="exact"/>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9</w:t>
            </w:r>
          </w:p>
        </w:tc>
        <w:tc>
          <w:tcPr>
            <w:tcW w:w="6136" w:type="dxa"/>
            <w:vAlign w:val="center"/>
          </w:tcPr>
          <w:p>
            <w:pPr>
              <w:spacing w:beforeAutospacing="0" w:afterAutospacing="0" w:line="400" w:lineRule="exac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缴纳磋商保证金有效凭证。</w:t>
            </w:r>
          </w:p>
        </w:tc>
        <w:tc>
          <w:tcPr>
            <w:tcW w:w="1125"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14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09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9"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6136" w:type="dxa"/>
            <w:vAlign w:val="center"/>
          </w:tcPr>
          <w:p>
            <w:pPr>
              <w:spacing w:beforeAutospacing="0" w:afterAutospacing="0" w:line="40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结论</w:t>
            </w:r>
          </w:p>
        </w:tc>
        <w:tc>
          <w:tcPr>
            <w:tcW w:w="1125"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14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c>
          <w:tcPr>
            <w:tcW w:w="1090" w:type="dxa"/>
            <w:vAlign w:val="center"/>
          </w:tcPr>
          <w:p>
            <w:pPr>
              <w:spacing w:beforeAutospacing="0" w:afterAutospacing="0" w:line="400" w:lineRule="exact"/>
              <w:rPr>
                <w:rFonts w:hint="eastAsia" w:ascii="微软雅黑" w:hAnsi="微软雅黑" w:eastAsia="微软雅黑" w:cs="微软雅黑"/>
                <w:color w:val="auto"/>
                <w:szCs w:val="21"/>
                <w:highlight w:val="none"/>
              </w:rPr>
            </w:pPr>
          </w:p>
        </w:tc>
      </w:tr>
    </w:tbl>
    <w:p>
      <w:pPr>
        <w:pStyle w:val="4"/>
        <w:spacing w:beforeAutospacing="0" w:afterAutospacing="0" w:line="300" w:lineRule="auto"/>
        <w:ind w:firstLine="0"/>
        <w:jc w:val="both"/>
        <w:rPr>
          <w:rFonts w:hint="eastAsia" w:ascii="微软雅黑" w:hAnsi="微软雅黑" w:eastAsia="微软雅黑" w:cs="微软雅黑"/>
          <w:b/>
          <w:bCs/>
          <w:color w:val="auto"/>
          <w:sz w:val="21"/>
          <w:szCs w:val="21"/>
          <w:highlight w:val="none"/>
        </w:rPr>
      </w:pPr>
    </w:p>
    <w:p>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pPr>
        <w:pStyle w:val="4"/>
        <w:spacing w:beforeAutospacing="0" w:afterAutospacing="0" w:line="300" w:lineRule="auto"/>
        <w:ind w:firstLine="0"/>
        <w:jc w:val="center"/>
        <w:outlineLvl w:val="1"/>
        <w:rPr>
          <w:rFonts w:hint="eastAsia" w:ascii="微软雅黑" w:hAnsi="微软雅黑" w:eastAsia="微软雅黑" w:cs="微软雅黑"/>
          <w:b/>
          <w:bCs/>
          <w:color w:val="auto"/>
          <w:sz w:val="28"/>
          <w:szCs w:val="28"/>
          <w:highlight w:val="none"/>
        </w:rPr>
      </w:pPr>
      <w:bookmarkStart w:id="878" w:name="_Toc23770"/>
      <w:bookmarkEnd w:id="878"/>
      <w:bookmarkStart w:id="879" w:name="_Toc29061"/>
      <w:bookmarkEnd w:id="879"/>
      <w:bookmarkStart w:id="880" w:name="_Toc22718"/>
      <w:bookmarkEnd w:id="880"/>
      <w:bookmarkStart w:id="881" w:name="_Toc946"/>
      <w:bookmarkEnd w:id="881"/>
      <w:bookmarkStart w:id="882" w:name="_Toc2556"/>
      <w:bookmarkEnd w:id="882"/>
      <w:bookmarkStart w:id="883" w:name="_Toc28345"/>
      <w:bookmarkEnd w:id="883"/>
      <w:bookmarkStart w:id="884" w:name="_Toc19523"/>
      <w:bookmarkEnd w:id="884"/>
      <w:bookmarkStart w:id="885" w:name="_Toc12276"/>
      <w:bookmarkEnd w:id="885"/>
      <w:bookmarkStart w:id="886" w:name="_Toc11241"/>
      <w:bookmarkEnd w:id="886"/>
      <w:bookmarkStart w:id="887" w:name="_Toc7343"/>
      <w:bookmarkEnd w:id="887"/>
      <w:bookmarkStart w:id="888" w:name="_Toc12096"/>
      <w:bookmarkEnd w:id="888"/>
      <w:bookmarkStart w:id="889" w:name="_Toc8771"/>
      <w:bookmarkEnd w:id="889"/>
      <w:bookmarkStart w:id="890" w:name="_Toc20613"/>
      <w:bookmarkEnd w:id="890"/>
      <w:bookmarkStart w:id="891" w:name="_Toc8628"/>
      <w:bookmarkEnd w:id="891"/>
      <w:bookmarkStart w:id="892" w:name="_Toc70"/>
      <w:bookmarkEnd w:id="892"/>
      <w:bookmarkStart w:id="893" w:name="_Toc32138"/>
      <w:r>
        <w:rPr>
          <w:rFonts w:hint="eastAsia" w:ascii="微软雅黑" w:hAnsi="微软雅黑" w:eastAsia="微软雅黑" w:cs="微软雅黑"/>
          <w:b/>
          <w:bCs/>
          <w:color w:val="auto"/>
          <w:sz w:val="28"/>
          <w:szCs w:val="28"/>
          <w:highlight w:val="none"/>
        </w:rPr>
        <w:t>初步评审—符合性审查表</w:t>
      </w:r>
      <w:bookmarkEnd w:id="893"/>
    </w:p>
    <w:tbl>
      <w:tblPr>
        <w:tblStyle w:val="22"/>
        <w:tblpPr w:leftFromText="180" w:rightFromText="180" w:vertAnchor="text" w:horzAnchor="page" w:tblpXSpec="center" w:tblpY="262"/>
        <w:tblOverlap w:val="never"/>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021"/>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7751" w:type="dxa"/>
            <w:gridSpan w:val="2"/>
            <w:vAlign w:val="center"/>
          </w:tcPr>
          <w:p>
            <w:pPr>
              <w:spacing w:beforeAutospacing="0" w:afterAutospacing="0" w:line="300" w:lineRule="auto"/>
              <w:jc w:val="center"/>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评审内容</w:t>
            </w:r>
          </w:p>
        </w:tc>
        <w:tc>
          <w:tcPr>
            <w:tcW w:w="1668" w:type="dxa"/>
            <w:vAlign w:val="center"/>
          </w:tcPr>
          <w:p>
            <w:pPr>
              <w:spacing w:beforeAutospacing="0" w:afterAutospacing="0" w:line="300" w:lineRule="auto"/>
              <w:jc w:val="center"/>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b/>
                <w:color w:val="auto"/>
                <w:sz w:val="22"/>
                <w:szCs w:val="22"/>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0" w:type="dxa"/>
            <w:vAlign w:val="center"/>
          </w:tcPr>
          <w:p>
            <w:pPr>
              <w:spacing w:beforeAutospacing="0" w:afterAutospacing="0" w:line="30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序号</w:t>
            </w:r>
          </w:p>
        </w:tc>
        <w:tc>
          <w:tcPr>
            <w:tcW w:w="7021" w:type="dxa"/>
            <w:vAlign w:val="center"/>
          </w:tcPr>
          <w:p>
            <w:pPr>
              <w:spacing w:beforeAutospacing="0" w:afterAutospacing="0" w:line="300" w:lineRule="auto"/>
              <w:rPr>
                <w:rFonts w:hint="eastAsia" w:ascii="微软雅黑" w:hAnsi="微软雅黑" w:eastAsia="微软雅黑" w:cs="微软雅黑"/>
                <w:color w:val="auto"/>
                <w:spacing w:val="-2"/>
                <w:sz w:val="22"/>
                <w:szCs w:val="22"/>
                <w:highlight w:val="none"/>
              </w:rPr>
            </w:pPr>
          </w:p>
        </w:tc>
        <w:tc>
          <w:tcPr>
            <w:tcW w:w="1668" w:type="dxa"/>
            <w:vAlign w:val="center"/>
          </w:tcPr>
          <w:p>
            <w:pPr>
              <w:spacing w:beforeAutospacing="0" w:afterAutospacing="0" w:line="300" w:lineRule="auto"/>
              <w:jc w:val="center"/>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0" w:type="dxa"/>
            <w:vAlign w:val="center"/>
          </w:tcPr>
          <w:p>
            <w:pPr>
              <w:spacing w:beforeAutospacing="0" w:afterAutospacing="0"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p>
        </w:tc>
        <w:tc>
          <w:tcPr>
            <w:tcW w:w="7021" w:type="dxa"/>
            <w:vAlign w:val="bottom"/>
          </w:tcPr>
          <w:p>
            <w:pPr>
              <w:spacing w:beforeAutospacing="0" w:afterAutospacing="0" w:line="300" w:lineRule="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eastAsia="zh-CN"/>
              </w:rPr>
              <w:t>磋商小组</w:t>
            </w:r>
            <w:r>
              <w:rPr>
                <w:rFonts w:hint="eastAsia" w:ascii="微软雅黑" w:hAnsi="微软雅黑" w:eastAsia="微软雅黑" w:cs="微软雅黑"/>
                <w:color w:val="auto"/>
                <w:spacing w:val="-2"/>
                <w:sz w:val="22"/>
                <w:szCs w:val="22"/>
                <w:highlight w:val="none"/>
              </w:rPr>
              <w:t>认为供应商的报价无明显低于其他通过</w:t>
            </w:r>
            <w:r>
              <w:rPr>
                <w:rFonts w:hint="eastAsia" w:ascii="微软雅黑" w:hAnsi="微软雅黑" w:eastAsia="微软雅黑" w:cs="微软雅黑"/>
                <w:color w:val="auto"/>
                <w:spacing w:val="-2"/>
                <w:sz w:val="22"/>
                <w:szCs w:val="22"/>
                <w:highlight w:val="none"/>
                <w:lang w:val="en-US" w:eastAsia="zh-CN"/>
              </w:rPr>
              <w:t>符合</w:t>
            </w:r>
            <w:r>
              <w:rPr>
                <w:rFonts w:hint="eastAsia" w:ascii="微软雅黑" w:hAnsi="微软雅黑" w:eastAsia="微软雅黑" w:cs="微软雅黑"/>
                <w:color w:val="auto"/>
                <w:spacing w:val="-2"/>
                <w:sz w:val="22"/>
                <w:szCs w:val="22"/>
                <w:highlight w:val="none"/>
              </w:rPr>
              <w:t>性审查供应商的报价的，供应商的报价不存在异常一致并成规律性的，其报价合理；</w:t>
            </w:r>
          </w:p>
        </w:tc>
        <w:tc>
          <w:tcPr>
            <w:tcW w:w="1668" w:type="dxa"/>
            <w:vAlign w:val="center"/>
          </w:tcPr>
          <w:p>
            <w:pPr>
              <w:spacing w:beforeAutospacing="0" w:afterAutospacing="0"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Align w:val="center"/>
          </w:tcPr>
          <w:p>
            <w:pPr>
              <w:spacing w:beforeAutospacing="0" w:afterAutospacing="0" w:line="300" w:lineRule="auto"/>
              <w:jc w:val="center"/>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2</w:t>
            </w:r>
          </w:p>
        </w:tc>
        <w:tc>
          <w:tcPr>
            <w:tcW w:w="7021" w:type="dxa"/>
            <w:vAlign w:val="bottom"/>
          </w:tcPr>
          <w:p>
            <w:pPr>
              <w:spacing w:beforeAutospacing="0" w:afterAutospacing="0" w:line="300" w:lineRule="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rPr>
              <w:t>按照</w:t>
            </w:r>
            <w:r>
              <w:rPr>
                <w:rFonts w:hint="eastAsia" w:ascii="微软雅黑" w:hAnsi="微软雅黑" w:eastAsia="微软雅黑" w:cs="微软雅黑"/>
                <w:color w:val="auto"/>
                <w:spacing w:val="-2"/>
                <w:sz w:val="22"/>
                <w:szCs w:val="22"/>
                <w:highlight w:val="none"/>
                <w:lang w:eastAsia="zh-CN"/>
              </w:rPr>
              <w:t>采购</w:t>
            </w:r>
            <w:r>
              <w:rPr>
                <w:rFonts w:hint="eastAsia" w:ascii="微软雅黑" w:hAnsi="微软雅黑" w:eastAsia="微软雅黑" w:cs="微软雅黑"/>
                <w:color w:val="auto"/>
                <w:spacing w:val="-2"/>
                <w:sz w:val="22"/>
                <w:szCs w:val="22"/>
                <w:highlight w:val="none"/>
              </w:rPr>
              <w:t>文件的规定编制、标记及签章，法定代表人或其授权代表</w:t>
            </w:r>
            <w:r>
              <w:rPr>
                <w:rFonts w:hint="eastAsia" w:ascii="微软雅黑" w:hAnsi="微软雅黑" w:eastAsia="微软雅黑" w:cs="微软雅黑"/>
                <w:color w:val="auto"/>
                <w:spacing w:val="-2"/>
                <w:sz w:val="22"/>
                <w:szCs w:val="22"/>
                <w:highlight w:val="none"/>
                <w:lang w:val="en-US" w:eastAsia="zh-CN"/>
              </w:rPr>
              <w:t>签</w:t>
            </w:r>
            <w:r>
              <w:rPr>
                <w:rFonts w:hint="eastAsia" w:ascii="微软雅黑" w:hAnsi="微软雅黑" w:eastAsia="微软雅黑" w:cs="微软雅黑"/>
                <w:color w:val="auto"/>
                <w:spacing w:val="-2"/>
                <w:sz w:val="22"/>
                <w:szCs w:val="22"/>
                <w:highlight w:val="none"/>
              </w:rPr>
              <w:t>章；</w:t>
            </w:r>
          </w:p>
        </w:tc>
        <w:tc>
          <w:tcPr>
            <w:tcW w:w="1668" w:type="dxa"/>
            <w:vAlign w:val="center"/>
          </w:tcPr>
          <w:p>
            <w:pPr>
              <w:spacing w:beforeAutospacing="0" w:afterAutospacing="0"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30" w:type="dxa"/>
            <w:vAlign w:val="center"/>
          </w:tcPr>
          <w:p>
            <w:pPr>
              <w:spacing w:beforeAutospacing="0" w:afterAutospacing="0" w:line="300" w:lineRule="auto"/>
              <w:jc w:val="center"/>
              <w:rPr>
                <w:rFonts w:hint="eastAsia" w:ascii="微软雅黑" w:hAnsi="微软雅黑" w:eastAsia="微软雅黑" w:cs="微软雅黑"/>
                <w:color w:val="auto"/>
                <w:spacing w:val="-2"/>
                <w:sz w:val="22"/>
                <w:szCs w:val="22"/>
                <w:highlight w:val="none"/>
                <w:lang w:eastAsia="zh-CN"/>
              </w:rPr>
            </w:pPr>
            <w:r>
              <w:rPr>
                <w:rFonts w:hint="eastAsia" w:ascii="微软雅黑" w:hAnsi="微软雅黑" w:eastAsia="微软雅黑" w:cs="微软雅黑"/>
                <w:color w:val="auto"/>
                <w:spacing w:val="-2"/>
                <w:sz w:val="22"/>
                <w:szCs w:val="22"/>
                <w:highlight w:val="none"/>
                <w:lang w:val="en-US" w:eastAsia="zh-CN"/>
              </w:rPr>
              <w:t>3</w:t>
            </w:r>
          </w:p>
        </w:tc>
        <w:tc>
          <w:tcPr>
            <w:tcW w:w="7021" w:type="dxa"/>
            <w:vAlign w:val="bottom"/>
          </w:tcPr>
          <w:p>
            <w:pPr>
              <w:spacing w:beforeAutospacing="0" w:afterAutospacing="0" w:line="300" w:lineRule="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rPr>
              <w:t>所投产品的设备满足</w:t>
            </w:r>
            <w:r>
              <w:rPr>
                <w:rFonts w:hint="eastAsia" w:ascii="微软雅黑" w:hAnsi="微软雅黑" w:eastAsia="微软雅黑" w:cs="微软雅黑"/>
                <w:color w:val="auto"/>
                <w:spacing w:val="-2"/>
                <w:sz w:val="22"/>
                <w:szCs w:val="22"/>
                <w:highlight w:val="none"/>
                <w:lang w:eastAsia="zh-CN"/>
              </w:rPr>
              <w:t>采购</w:t>
            </w:r>
            <w:r>
              <w:rPr>
                <w:rFonts w:hint="eastAsia" w:ascii="微软雅黑" w:hAnsi="微软雅黑" w:eastAsia="微软雅黑" w:cs="微软雅黑"/>
                <w:color w:val="auto"/>
                <w:spacing w:val="-2"/>
                <w:sz w:val="22"/>
                <w:szCs w:val="22"/>
                <w:highlight w:val="none"/>
              </w:rPr>
              <w:t>文件要求；</w:t>
            </w:r>
          </w:p>
        </w:tc>
        <w:tc>
          <w:tcPr>
            <w:tcW w:w="1668" w:type="dxa"/>
            <w:vAlign w:val="center"/>
          </w:tcPr>
          <w:p>
            <w:pPr>
              <w:spacing w:beforeAutospacing="0" w:afterAutospacing="0"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Align w:val="center"/>
          </w:tcPr>
          <w:p>
            <w:pPr>
              <w:spacing w:beforeAutospacing="0" w:afterAutospacing="0" w:line="300" w:lineRule="auto"/>
              <w:jc w:val="center"/>
              <w:rPr>
                <w:rFonts w:hint="eastAsia" w:ascii="微软雅黑" w:hAnsi="微软雅黑" w:eastAsia="微软雅黑" w:cs="微软雅黑"/>
                <w:color w:val="auto"/>
                <w:spacing w:val="-2"/>
                <w:sz w:val="22"/>
                <w:szCs w:val="22"/>
                <w:highlight w:val="none"/>
                <w:lang w:eastAsia="zh-CN"/>
              </w:rPr>
            </w:pPr>
            <w:r>
              <w:rPr>
                <w:rFonts w:hint="eastAsia" w:ascii="微软雅黑" w:hAnsi="微软雅黑" w:eastAsia="微软雅黑" w:cs="微软雅黑"/>
                <w:color w:val="auto"/>
                <w:spacing w:val="-2"/>
                <w:sz w:val="22"/>
                <w:szCs w:val="22"/>
                <w:highlight w:val="none"/>
                <w:lang w:val="en-US" w:eastAsia="zh-CN"/>
              </w:rPr>
              <w:t>4</w:t>
            </w:r>
          </w:p>
        </w:tc>
        <w:tc>
          <w:tcPr>
            <w:tcW w:w="7021" w:type="dxa"/>
            <w:vAlign w:val="bottom"/>
          </w:tcPr>
          <w:p>
            <w:pPr>
              <w:spacing w:beforeAutospacing="0" w:afterAutospacing="0" w:line="300" w:lineRule="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rPr>
              <w:t>按</w:t>
            </w:r>
            <w:r>
              <w:rPr>
                <w:rFonts w:hint="eastAsia" w:ascii="微软雅黑" w:hAnsi="微软雅黑" w:eastAsia="微软雅黑" w:cs="微软雅黑"/>
                <w:color w:val="auto"/>
                <w:spacing w:val="-2"/>
                <w:sz w:val="22"/>
                <w:szCs w:val="22"/>
                <w:highlight w:val="none"/>
                <w:lang w:eastAsia="zh-CN"/>
              </w:rPr>
              <w:t>采购</w:t>
            </w:r>
            <w:r>
              <w:rPr>
                <w:rFonts w:hint="eastAsia" w:ascii="微软雅黑" w:hAnsi="微软雅黑" w:eastAsia="微软雅黑" w:cs="微软雅黑"/>
                <w:color w:val="auto"/>
                <w:spacing w:val="-2"/>
                <w:sz w:val="22"/>
                <w:szCs w:val="22"/>
                <w:highlight w:val="none"/>
              </w:rPr>
              <w:t>文件规定的格式填写，内容全</w:t>
            </w:r>
            <w:r>
              <w:rPr>
                <w:rFonts w:hint="eastAsia" w:ascii="微软雅黑" w:hAnsi="微软雅黑" w:eastAsia="微软雅黑" w:cs="微软雅黑"/>
                <w:color w:val="auto"/>
                <w:spacing w:val="-2"/>
                <w:sz w:val="22"/>
                <w:szCs w:val="22"/>
                <w:highlight w:val="none"/>
                <w:lang w:val="en-US" w:eastAsia="zh-CN"/>
              </w:rPr>
              <w:t>面</w:t>
            </w:r>
            <w:r>
              <w:rPr>
                <w:rFonts w:hint="eastAsia" w:ascii="微软雅黑" w:hAnsi="微软雅黑" w:eastAsia="微软雅黑" w:cs="微软雅黑"/>
                <w:color w:val="auto"/>
                <w:spacing w:val="-2"/>
                <w:sz w:val="22"/>
                <w:szCs w:val="22"/>
                <w:highlight w:val="none"/>
              </w:rPr>
              <w:t>；</w:t>
            </w:r>
          </w:p>
        </w:tc>
        <w:tc>
          <w:tcPr>
            <w:tcW w:w="1668" w:type="dxa"/>
            <w:vAlign w:val="center"/>
          </w:tcPr>
          <w:p>
            <w:pPr>
              <w:spacing w:beforeAutospacing="0" w:afterAutospacing="0"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Align w:val="center"/>
          </w:tcPr>
          <w:p>
            <w:pPr>
              <w:spacing w:beforeAutospacing="0" w:afterAutospacing="0" w:line="300" w:lineRule="auto"/>
              <w:jc w:val="center"/>
              <w:rPr>
                <w:rFonts w:hint="eastAsia" w:ascii="微软雅黑" w:hAnsi="微软雅黑" w:eastAsia="微软雅黑" w:cs="微软雅黑"/>
                <w:color w:val="auto"/>
                <w:spacing w:val="-2"/>
                <w:sz w:val="22"/>
                <w:szCs w:val="22"/>
                <w:highlight w:val="none"/>
                <w:lang w:eastAsia="zh-CN"/>
              </w:rPr>
            </w:pPr>
            <w:r>
              <w:rPr>
                <w:rFonts w:hint="eastAsia" w:ascii="微软雅黑" w:hAnsi="微软雅黑" w:eastAsia="微软雅黑" w:cs="微软雅黑"/>
                <w:color w:val="auto"/>
                <w:spacing w:val="-2"/>
                <w:sz w:val="22"/>
                <w:szCs w:val="22"/>
                <w:highlight w:val="none"/>
                <w:lang w:val="en-US" w:eastAsia="zh-CN"/>
              </w:rPr>
              <w:t>5</w:t>
            </w:r>
          </w:p>
        </w:tc>
        <w:tc>
          <w:tcPr>
            <w:tcW w:w="7021" w:type="dxa"/>
            <w:vAlign w:val="bottom"/>
          </w:tcPr>
          <w:p>
            <w:pPr>
              <w:spacing w:beforeAutospacing="0" w:afterAutospacing="0" w:line="300" w:lineRule="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rPr>
              <w:t>没有采购人不能接受的附加条件的；</w:t>
            </w:r>
          </w:p>
        </w:tc>
        <w:tc>
          <w:tcPr>
            <w:tcW w:w="1668" w:type="dxa"/>
            <w:vAlign w:val="center"/>
          </w:tcPr>
          <w:p>
            <w:pPr>
              <w:spacing w:beforeAutospacing="0" w:afterAutospacing="0"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0" w:type="dxa"/>
            <w:vAlign w:val="center"/>
          </w:tcPr>
          <w:p>
            <w:pPr>
              <w:spacing w:beforeAutospacing="0" w:afterAutospacing="0" w:line="300" w:lineRule="auto"/>
              <w:jc w:val="center"/>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6</w:t>
            </w:r>
          </w:p>
        </w:tc>
        <w:tc>
          <w:tcPr>
            <w:tcW w:w="7021" w:type="dxa"/>
            <w:vAlign w:val="bottom"/>
          </w:tcPr>
          <w:p>
            <w:pPr>
              <w:spacing w:beforeAutospacing="0" w:afterAutospacing="0" w:line="300" w:lineRule="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rPr>
              <w:t>不同供应商的</w:t>
            </w:r>
            <w:r>
              <w:rPr>
                <w:rFonts w:hint="eastAsia" w:ascii="微软雅黑" w:hAnsi="微软雅黑" w:eastAsia="微软雅黑" w:cs="微软雅黑"/>
                <w:color w:val="auto"/>
                <w:spacing w:val="-2"/>
                <w:sz w:val="22"/>
                <w:szCs w:val="22"/>
                <w:highlight w:val="none"/>
                <w:lang w:eastAsia="zh-CN"/>
              </w:rPr>
              <w:t>响应文件</w:t>
            </w:r>
            <w:r>
              <w:rPr>
                <w:rFonts w:hint="eastAsia" w:ascii="微软雅黑" w:hAnsi="微软雅黑" w:eastAsia="微软雅黑" w:cs="微软雅黑"/>
                <w:color w:val="auto"/>
                <w:spacing w:val="-2"/>
                <w:sz w:val="22"/>
                <w:szCs w:val="22"/>
                <w:highlight w:val="none"/>
                <w:lang w:val="en-US" w:eastAsia="zh-CN"/>
              </w:rPr>
              <w:t>内容</w:t>
            </w:r>
            <w:r>
              <w:rPr>
                <w:rFonts w:hint="eastAsia" w:ascii="微软雅黑" w:hAnsi="微软雅黑" w:eastAsia="微软雅黑" w:cs="微软雅黑"/>
                <w:color w:val="auto"/>
                <w:spacing w:val="-2"/>
                <w:sz w:val="22"/>
                <w:szCs w:val="22"/>
                <w:highlight w:val="none"/>
              </w:rPr>
              <w:t>没有错漏一致的情况；</w:t>
            </w:r>
          </w:p>
        </w:tc>
        <w:tc>
          <w:tcPr>
            <w:tcW w:w="1668" w:type="dxa"/>
            <w:vAlign w:val="center"/>
          </w:tcPr>
          <w:p>
            <w:pPr>
              <w:spacing w:beforeAutospacing="0" w:afterAutospacing="0"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0" w:type="dxa"/>
            <w:vAlign w:val="center"/>
          </w:tcPr>
          <w:p>
            <w:pPr>
              <w:spacing w:beforeAutospacing="0" w:afterAutospacing="0" w:line="300" w:lineRule="auto"/>
              <w:jc w:val="center"/>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lang w:val="en-US" w:eastAsia="zh-CN"/>
              </w:rPr>
              <w:t>7</w:t>
            </w:r>
          </w:p>
        </w:tc>
        <w:tc>
          <w:tcPr>
            <w:tcW w:w="7021" w:type="dxa"/>
            <w:vAlign w:val="bottom"/>
          </w:tcPr>
          <w:p>
            <w:pPr>
              <w:spacing w:beforeAutospacing="0" w:afterAutospacing="0" w:line="300" w:lineRule="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val="en-US" w:eastAsia="zh-CN"/>
              </w:rPr>
              <w:t>符合采购文件中规定的要求；</w:t>
            </w:r>
          </w:p>
        </w:tc>
        <w:tc>
          <w:tcPr>
            <w:tcW w:w="1668" w:type="dxa"/>
            <w:vAlign w:val="center"/>
          </w:tcPr>
          <w:p>
            <w:pPr>
              <w:spacing w:beforeAutospacing="0" w:afterAutospacing="0"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0" w:type="dxa"/>
            <w:vAlign w:val="center"/>
          </w:tcPr>
          <w:p>
            <w:pPr>
              <w:spacing w:beforeAutospacing="0" w:afterAutospacing="0" w:line="300" w:lineRule="auto"/>
              <w:jc w:val="center"/>
              <w:rPr>
                <w:rFonts w:hint="eastAsia" w:ascii="微软雅黑" w:hAnsi="微软雅黑" w:eastAsia="微软雅黑" w:cs="微软雅黑"/>
                <w:color w:val="auto"/>
                <w:spacing w:val="-2"/>
                <w:sz w:val="22"/>
                <w:szCs w:val="22"/>
                <w:highlight w:val="none"/>
                <w:lang w:eastAsia="zh-CN"/>
              </w:rPr>
            </w:pPr>
            <w:r>
              <w:rPr>
                <w:rFonts w:hint="eastAsia" w:ascii="微软雅黑" w:hAnsi="微软雅黑" w:eastAsia="微软雅黑" w:cs="微软雅黑"/>
                <w:color w:val="auto"/>
                <w:spacing w:val="-2"/>
                <w:sz w:val="22"/>
                <w:szCs w:val="22"/>
                <w:highlight w:val="none"/>
                <w:lang w:val="en-US" w:eastAsia="zh-CN"/>
              </w:rPr>
              <w:t>8</w:t>
            </w:r>
          </w:p>
        </w:tc>
        <w:tc>
          <w:tcPr>
            <w:tcW w:w="7021" w:type="dxa"/>
            <w:vAlign w:val="bottom"/>
          </w:tcPr>
          <w:p>
            <w:pPr>
              <w:spacing w:beforeAutospacing="0" w:afterAutospacing="0" w:line="300" w:lineRule="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rPr>
              <w:t>供应商附有详细地址、联系人、电话标明的</w:t>
            </w:r>
            <w:r>
              <w:rPr>
                <w:rFonts w:hint="eastAsia" w:ascii="微软雅黑" w:hAnsi="微软雅黑" w:eastAsia="微软雅黑" w:cs="微软雅黑"/>
                <w:color w:val="auto"/>
                <w:spacing w:val="-2"/>
                <w:sz w:val="22"/>
                <w:szCs w:val="22"/>
                <w:highlight w:val="none"/>
                <w:lang w:eastAsia="zh-CN"/>
              </w:rPr>
              <w:t>。</w:t>
            </w:r>
          </w:p>
        </w:tc>
        <w:tc>
          <w:tcPr>
            <w:tcW w:w="1668" w:type="dxa"/>
            <w:vAlign w:val="center"/>
          </w:tcPr>
          <w:p>
            <w:pPr>
              <w:spacing w:beforeAutospacing="0" w:afterAutospacing="0"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1" w:type="dxa"/>
            <w:gridSpan w:val="2"/>
            <w:vAlign w:val="center"/>
          </w:tcPr>
          <w:p>
            <w:pPr>
              <w:spacing w:beforeAutospacing="0" w:afterAutospacing="0" w:line="300" w:lineRule="auto"/>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结论：通过评审打“√”，未通过评审打“×”</w:t>
            </w:r>
          </w:p>
        </w:tc>
        <w:tc>
          <w:tcPr>
            <w:tcW w:w="1668" w:type="dxa"/>
            <w:vAlign w:val="center"/>
          </w:tcPr>
          <w:p>
            <w:pPr>
              <w:spacing w:beforeAutospacing="0" w:afterAutospacing="0" w:line="300" w:lineRule="auto"/>
              <w:ind w:firstLine="388" w:firstLineChars="180"/>
              <w:rPr>
                <w:rFonts w:hint="eastAsia" w:ascii="微软雅黑" w:hAnsi="微软雅黑" w:eastAsia="微软雅黑" w:cs="微软雅黑"/>
                <w:color w:val="auto"/>
                <w:spacing w:val="-2"/>
                <w:sz w:val="22"/>
                <w:szCs w:val="22"/>
                <w:highlight w:val="none"/>
              </w:rPr>
            </w:pPr>
          </w:p>
        </w:tc>
      </w:tr>
    </w:tbl>
    <w:p>
      <w:pPr>
        <w:spacing w:beforeAutospacing="0" w:afterAutospacing="0" w:line="300" w:lineRule="auto"/>
        <w:ind w:left="6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说明：</w:t>
      </w:r>
    </w:p>
    <w:p>
      <w:pPr>
        <w:spacing w:beforeAutospacing="0" w:afterAutospacing="0" w:line="300" w:lineRule="auto"/>
        <w:ind w:left="6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（1）上述各项中用“√”表示合格，“×”表示不合格；</w:t>
      </w:r>
    </w:p>
    <w:p>
      <w:pPr>
        <w:spacing w:beforeAutospacing="0" w:afterAutospacing="0" w:line="300" w:lineRule="auto"/>
        <w:ind w:left="689" w:leftChars="28" w:hanging="630" w:hangingChars="3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（2）上述各项中如有一项为“×”，则结论为“×”，表示该</w:t>
      </w:r>
      <w:r>
        <w:rPr>
          <w:rFonts w:hint="eastAsia" w:ascii="微软雅黑" w:hAnsi="微软雅黑" w:eastAsia="微软雅黑" w:cs="微软雅黑"/>
          <w:color w:val="auto"/>
          <w:szCs w:val="21"/>
          <w:highlight w:val="none"/>
          <w:lang w:eastAsia="zh-CN"/>
        </w:rPr>
        <w:t>响应文件</w:t>
      </w:r>
      <w:r>
        <w:rPr>
          <w:rFonts w:hint="eastAsia" w:ascii="微软雅黑" w:hAnsi="微软雅黑" w:eastAsia="微软雅黑" w:cs="微软雅黑"/>
          <w:color w:val="auto"/>
          <w:szCs w:val="21"/>
          <w:highlight w:val="none"/>
        </w:rPr>
        <w:t>中存在重大偏差，不能通过初步评审；评委对某一分项评审认为不合格时，必须要写明原因。</w:t>
      </w:r>
    </w:p>
    <w:p>
      <w:pPr>
        <w:pStyle w:val="4"/>
        <w:spacing w:beforeAutospacing="0" w:afterAutospacing="0" w:line="300" w:lineRule="auto"/>
        <w:ind w:firstLine="0"/>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lang w:eastAsia="zh-CN"/>
        </w:rPr>
        <w:t>响应文件</w:t>
      </w:r>
      <w:r>
        <w:rPr>
          <w:rFonts w:hint="eastAsia" w:ascii="微软雅黑" w:hAnsi="微软雅黑" w:eastAsia="微软雅黑" w:cs="微软雅黑"/>
          <w:color w:val="auto"/>
          <w:sz w:val="21"/>
          <w:szCs w:val="21"/>
          <w:highlight w:val="none"/>
        </w:rPr>
        <w:t>最终合格与否，以所有评委的评审意见中少数服从多数为原则定论。</w:t>
      </w:r>
    </w:p>
    <w:p>
      <w:pPr>
        <w:spacing w:beforeAutospacing="0" w:afterAutospacing="0" w:line="240" w:lineRule="atLeast"/>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未通过</w:t>
      </w:r>
      <w:r>
        <w:rPr>
          <w:rFonts w:hint="eastAsia" w:ascii="微软雅黑" w:hAnsi="微软雅黑" w:eastAsia="微软雅黑" w:cs="微软雅黑"/>
          <w:b/>
          <w:bCs/>
          <w:color w:val="auto"/>
          <w:sz w:val="21"/>
          <w:szCs w:val="21"/>
          <w:highlight w:val="none"/>
        </w:rPr>
        <w:t>符合性审查</w:t>
      </w:r>
      <w:r>
        <w:rPr>
          <w:rFonts w:hint="eastAsia" w:ascii="微软雅黑" w:hAnsi="微软雅黑" w:eastAsia="微软雅黑" w:cs="微软雅黑"/>
          <w:b/>
          <w:bCs/>
          <w:color w:val="auto"/>
          <w:szCs w:val="21"/>
          <w:highlight w:val="none"/>
        </w:rPr>
        <w:t>的</w:t>
      </w:r>
      <w:r>
        <w:rPr>
          <w:rFonts w:hint="eastAsia" w:ascii="微软雅黑" w:hAnsi="微软雅黑" w:eastAsia="微软雅黑" w:cs="微软雅黑"/>
          <w:b/>
          <w:bCs/>
          <w:color w:val="auto"/>
          <w:szCs w:val="21"/>
          <w:highlight w:val="none"/>
          <w:lang w:eastAsia="zh-CN"/>
        </w:rPr>
        <w:t>供应商</w:t>
      </w:r>
      <w:r>
        <w:rPr>
          <w:rFonts w:hint="eastAsia" w:ascii="微软雅黑" w:hAnsi="微软雅黑" w:eastAsia="微软雅黑" w:cs="微软雅黑"/>
          <w:b/>
          <w:bCs/>
          <w:color w:val="auto"/>
          <w:szCs w:val="21"/>
          <w:highlight w:val="none"/>
        </w:rPr>
        <w:t>不进入</w:t>
      </w:r>
      <w:r>
        <w:rPr>
          <w:rFonts w:hint="eastAsia" w:ascii="微软雅黑" w:hAnsi="微软雅黑" w:eastAsia="微软雅黑" w:cs="微软雅黑"/>
          <w:b/>
          <w:bCs/>
          <w:color w:val="auto"/>
          <w:szCs w:val="21"/>
          <w:highlight w:val="none"/>
          <w:lang w:eastAsia="zh-CN"/>
        </w:rPr>
        <w:t>评审</w:t>
      </w:r>
      <w:r>
        <w:rPr>
          <w:rFonts w:hint="eastAsia" w:ascii="微软雅黑" w:hAnsi="微软雅黑" w:eastAsia="微软雅黑" w:cs="微软雅黑"/>
          <w:b/>
          <w:bCs/>
          <w:color w:val="auto"/>
          <w:szCs w:val="21"/>
          <w:highlight w:val="none"/>
        </w:rPr>
        <w:t>；通过</w:t>
      </w:r>
      <w:r>
        <w:rPr>
          <w:rFonts w:hint="eastAsia" w:ascii="微软雅黑" w:hAnsi="微软雅黑" w:eastAsia="微软雅黑" w:cs="微软雅黑"/>
          <w:b/>
          <w:bCs/>
          <w:color w:val="auto"/>
          <w:sz w:val="21"/>
          <w:szCs w:val="21"/>
          <w:highlight w:val="none"/>
        </w:rPr>
        <w:t>符合性审查</w:t>
      </w:r>
      <w:r>
        <w:rPr>
          <w:rFonts w:hint="eastAsia" w:ascii="微软雅黑" w:hAnsi="微软雅黑" w:eastAsia="微软雅黑" w:cs="微软雅黑"/>
          <w:b/>
          <w:bCs/>
          <w:color w:val="auto"/>
          <w:szCs w:val="21"/>
          <w:highlight w:val="none"/>
        </w:rPr>
        <w:t>的</w:t>
      </w:r>
      <w:r>
        <w:rPr>
          <w:rFonts w:hint="eastAsia" w:ascii="微软雅黑" w:hAnsi="微软雅黑" w:eastAsia="微软雅黑" w:cs="微软雅黑"/>
          <w:b/>
          <w:bCs/>
          <w:color w:val="auto"/>
          <w:szCs w:val="21"/>
          <w:highlight w:val="none"/>
          <w:lang w:eastAsia="zh-CN"/>
        </w:rPr>
        <w:t>供应商</w:t>
      </w:r>
      <w:r>
        <w:rPr>
          <w:rFonts w:hint="eastAsia" w:ascii="微软雅黑" w:hAnsi="微软雅黑" w:eastAsia="微软雅黑" w:cs="微软雅黑"/>
          <w:b/>
          <w:bCs/>
          <w:color w:val="auto"/>
          <w:szCs w:val="21"/>
          <w:highlight w:val="none"/>
        </w:rPr>
        <w:t>不足</w:t>
      </w:r>
      <w:r>
        <w:rPr>
          <w:rFonts w:hint="eastAsia" w:ascii="微软雅黑" w:hAnsi="微软雅黑" w:eastAsia="微软雅黑" w:cs="微软雅黑"/>
          <w:b/>
          <w:bCs/>
          <w:color w:val="auto"/>
          <w:szCs w:val="21"/>
          <w:highlight w:val="none"/>
          <w:lang w:val="en-US" w:eastAsia="zh-CN"/>
        </w:rPr>
        <w:t>两</w:t>
      </w:r>
      <w:r>
        <w:rPr>
          <w:rFonts w:hint="eastAsia" w:ascii="微软雅黑" w:hAnsi="微软雅黑" w:eastAsia="微软雅黑" w:cs="微软雅黑"/>
          <w:b/>
          <w:bCs/>
          <w:color w:val="auto"/>
          <w:szCs w:val="21"/>
          <w:highlight w:val="none"/>
        </w:rPr>
        <w:t>家的，不得</w:t>
      </w:r>
      <w:r>
        <w:rPr>
          <w:rFonts w:hint="eastAsia" w:ascii="微软雅黑" w:hAnsi="微软雅黑" w:eastAsia="微软雅黑" w:cs="微软雅黑"/>
          <w:b/>
          <w:bCs/>
          <w:color w:val="auto"/>
          <w:szCs w:val="21"/>
          <w:highlight w:val="none"/>
          <w:lang w:eastAsia="zh-CN"/>
        </w:rPr>
        <w:t>评审</w:t>
      </w:r>
      <w:r>
        <w:rPr>
          <w:rFonts w:hint="eastAsia" w:ascii="微软雅黑" w:hAnsi="微软雅黑" w:eastAsia="微软雅黑" w:cs="微软雅黑"/>
          <w:b/>
          <w:bCs/>
          <w:color w:val="auto"/>
          <w:szCs w:val="21"/>
          <w:highlight w:val="none"/>
        </w:rPr>
        <w:t>。</w:t>
      </w:r>
    </w:p>
    <w:p>
      <w:pPr>
        <w:pStyle w:val="17"/>
        <w:rPr>
          <w:rFonts w:hint="eastAsia" w:ascii="微软雅黑" w:hAnsi="微软雅黑" w:eastAsia="微软雅黑" w:cs="微软雅黑"/>
          <w:b/>
          <w:bCs/>
          <w:color w:val="auto"/>
          <w:szCs w:val="21"/>
          <w:highlight w:val="none"/>
        </w:rPr>
      </w:pPr>
    </w:p>
    <w:p>
      <w:pPr>
        <w:pStyle w:val="17"/>
        <w:rPr>
          <w:rFonts w:hint="eastAsia" w:ascii="微软雅黑" w:hAnsi="微软雅黑" w:eastAsia="微软雅黑" w:cs="微软雅黑"/>
          <w:b/>
          <w:bCs/>
          <w:color w:val="auto"/>
          <w:szCs w:val="21"/>
          <w:highlight w:val="none"/>
        </w:rPr>
      </w:pPr>
    </w:p>
    <w:p>
      <w:pPr>
        <w:pStyle w:val="17"/>
        <w:rPr>
          <w:rFonts w:hint="eastAsia" w:ascii="微软雅黑" w:hAnsi="微软雅黑" w:eastAsia="微软雅黑" w:cs="微软雅黑"/>
          <w:b/>
          <w:bCs/>
          <w:color w:val="auto"/>
          <w:szCs w:val="21"/>
          <w:highlight w:val="none"/>
        </w:rPr>
      </w:pPr>
    </w:p>
    <w:p>
      <w:pPr>
        <w:pStyle w:val="17"/>
        <w:rPr>
          <w:rFonts w:hint="eastAsia" w:ascii="微软雅黑" w:hAnsi="微软雅黑" w:eastAsia="微软雅黑" w:cs="微软雅黑"/>
          <w:b/>
          <w:bCs/>
          <w:color w:val="auto"/>
          <w:szCs w:val="21"/>
          <w:highlight w:val="none"/>
        </w:rPr>
      </w:pPr>
    </w:p>
    <w:p>
      <w:pPr>
        <w:pStyle w:val="17"/>
        <w:rPr>
          <w:rFonts w:hint="eastAsia" w:ascii="微软雅黑" w:hAnsi="微软雅黑" w:eastAsia="微软雅黑" w:cs="微软雅黑"/>
          <w:b/>
          <w:bCs/>
          <w:color w:val="auto"/>
          <w:szCs w:val="21"/>
          <w:highlight w:val="none"/>
        </w:rPr>
      </w:pPr>
    </w:p>
    <w:p>
      <w:pPr>
        <w:widowControl/>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br w:type="page"/>
      </w:r>
    </w:p>
    <w:p>
      <w:pPr>
        <w:pStyle w:val="4"/>
        <w:ind w:firstLine="0"/>
        <w:jc w:val="center"/>
        <w:outlineLvl w:val="1"/>
        <w:rPr>
          <w:rFonts w:hint="eastAsia" w:ascii="微软雅黑" w:hAnsi="微软雅黑" w:eastAsia="微软雅黑" w:cs="微软雅黑"/>
          <w:b/>
          <w:color w:val="auto"/>
          <w:sz w:val="28"/>
          <w:szCs w:val="28"/>
          <w:highlight w:val="none"/>
        </w:rPr>
      </w:pPr>
      <w:bookmarkStart w:id="894" w:name="_Toc26924"/>
      <w:bookmarkEnd w:id="894"/>
      <w:bookmarkStart w:id="895" w:name="_Toc17586"/>
      <w:bookmarkEnd w:id="895"/>
      <w:bookmarkStart w:id="896" w:name="_Toc21392"/>
      <w:bookmarkEnd w:id="896"/>
      <w:bookmarkStart w:id="897" w:name="_Toc5375"/>
      <w:bookmarkEnd w:id="897"/>
      <w:bookmarkStart w:id="898" w:name="_Toc31042"/>
      <w:bookmarkEnd w:id="898"/>
      <w:bookmarkStart w:id="899" w:name="_Toc359"/>
      <w:bookmarkEnd w:id="899"/>
      <w:bookmarkStart w:id="900" w:name="_Toc3812"/>
      <w:bookmarkEnd w:id="900"/>
      <w:bookmarkStart w:id="901" w:name="_Toc4748"/>
      <w:bookmarkEnd w:id="901"/>
      <w:bookmarkStart w:id="902" w:name="_Toc19967"/>
      <w:bookmarkEnd w:id="902"/>
      <w:bookmarkStart w:id="903" w:name="_Toc21350"/>
      <w:bookmarkEnd w:id="903"/>
      <w:bookmarkStart w:id="904" w:name="_Toc29006"/>
      <w:bookmarkEnd w:id="904"/>
      <w:bookmarkStart w:id="905" w:name="_Toc11449"/>
      <w:bookmarkEnd w:id="905"/>
      <w:bookmarkStart w:id="906" w:name="_Toc31737"/>
      <w:bookmarkEnd w:id="906"/>
      <w:bookmarkStart w:id="907" w:name="_Toc20505"/>
      <w:bookmarkEnd w:id="907"/>
      <w:bookmarkStart w:id="908" w:name="_Toc4034"/>
      <w:bookmarkEnd w:id="908"/>
      <w:bookmarkStart w:id="909" w:name="_Toc29521"/>
      <w:r>
        <w:rPr>
          <w:rFonts w:hint="eastAsia" w:ascii="微软雅黑" w:hAnsi="微软雅黑" w:eastAsia="微软雅黑" w:cs="微软雅黑"/>
          <w:b/>
          <w:color w:val="auto"/>
          <w:sz w:val="28"/>
          <w:szCs w:val="28"/>
          <w:highlight w:val="none"/>
        </w:rPr>
        <w:t>综合评分表</w:t>
      </w:r>
      <w:bookmarkEnd w:id="909"/>
    </w:p>
    <w:tbl>
      <w:tblPr>
        <w:tblStyle w:val="22"/>
        <w:tblpPr w:leftFromText="180" w:rightFromText="180" w:vertAnchor="text" w:horzAnchor="page" w:tblpX="1004" w:tblpY="317"/>
        <w:tblOverlap w:val="never"/>
        <w:tblW w:w="60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946"/>
        <w:gridCol w:w="648"/>
        <w:gridCol w:w="7070"/>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348" w:type="pct"/>
            <w:vAlign w:val="center"/>
          </w:tcPr>
          <w:p>
            <w:pPr>
              <w:widowControl/>
              <w:jc w:val="center"/>
              <w:rPr>
                <w:rFonts w:ascii="微软雅黑" w:hAnsi="微软雅黑" w:eastAsia="微软雅黑" w:cs="微软雅黑"/>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序号</w:t>
            </w:r>
          </w:p>
        </w:tc>
        <w:tc>
          <w:tcPr>
            <w:tcW w:w="461" w:type="pct"/>
            <w:vAlign w:val="center"/>
          </w:tcPr>
          <w:p>
            <w:pPr>
              <w:widowControl/>
              <w:jc w:val="center"/>
              <w:rPr>
                <w:rFonts w:ascii="微软雅黑" w:hAnsi="微软雅黑" w:eastAsia="微软雅黑" w:cs="微软雅黑"/>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评分因素</w:t>
            </w:r>
          </w:p>
          <w:p>
            <w:pPr>
              <w:widowControl/>
              <w:jc w:val="center"/>
              <w:rPr>
                <w:rFonts w:ascii="微软雅黑" w:hAnsi="微软雅黑" w:eastAsia="微软雅黑" w:cs="微软雅黑"/>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及权重</w:t>
            </w:r>
          </w:p>
        </w:tc>
        <w:tc>
          <w:tcPr>
            <w:tcW w:w="316" w:type="pct"/>
            <w:vAlign w:val="center"/>
          </w:tcPr>
          <w:p>
            <w:pPr>
              <w:widowControl/>
              <w:jc w:val="center"/>
              <w:rPr>
                <w:rFonts w:ascii="微软雅黑" w:hAnsi="微软雅黑" w:eastAsia="微软雅黑" w:cs="微软雅黑"/>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分值</w:t>
            </w:r>
          </w:p>
        </w:tc>
        <w:tc>
          <w:tcPr>
            <w:tcW w:w="3445" w:type="pct"/>
            <w:vAlign w:val="center"/>
          </w:tcPr>
          <w:p>
            <w:pPr>
              <w:widowControl/>
              <w:jc w:val="center"/>
              <w:rPr>
                <w:rFonts w:ascii="微软雅黑" w:hAnsi="微软雅黑" w:eastAsia="微软雅黑" w:cs="微软雅黑"/>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评分标准</w:t>
            </w:r>
          </w:p>
          <w:p>
            <w:pPr>
              <w:widowControl/>
              <w:jc w:val="center"/>
              <w:rPr>
                <w:rFonts w:ascii="微软雅黑" w:hAnsi="微软雅黑" w:eastAsia="微软雅黑" w:cs="微软雅黑"/>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价   格：2</w:t>
            </w:r>
            <w:r>
              <w:rPr>
                <w:rFonts w:ascii="微软雅黑" w:hAnsi="微软雅黑" w:eastAsia="微软雅黑" w:cs="微软雅黑"/>
                <w:b/>
                <w:bCs/>
                <w:color w:val="auto"/>
                <w:kern w:val="0"/>
                <w:sz w:val="18"/>
                <w:szCs w:val="18"/>
                <w:highlight w:val="none"/>
              </w:rPr>
              <w:t>0</w:t>
            </w:r>
            <w:r>
              <w:rPr>
                <w:rFonts w:hint="eastAsia" w:ascii="微软雅黑" w:hAnsi="微软雅黑" w:eastAsia="微软雅黑" w:cs="微软雅黑"/>
                <w:b/>
                <w:bCs/>
                <w:color w:val="auto"/>
                <w:kern w:val="0"/>
                <w:sz w:val="18"/>
                <w:szCs w:val="18"/>
                <w:highlight w:val="none"/>
              </w:rPr>
              <w:t xml:space="preserve">分  商   务：12分   技   术：68分              </w:t>
            </w:r>
          </w:p>
        </w:tc>
        <w:tc>
          <w:tcPr>
            <w:tcW w:w="428" w:type="pct"/>
            <w:vAlign w:val="center"/>
          </w:tcPr>
          <w:p>
            <w:pPr>
              <w:pStyle w:val="38"/>
              <w:spacing w:before="0" w:after="0" w:line="300" w:lineRule="exact"/>
              <w:rPr>
                <w:rFonts w:ascii="微软雅黑" w:hAnsi="微软雅黑" w:eastAsia="微软雅黑" w:cs="微软雅黑"/>
                <w:b w:val="0"/>
                <w:bCs/>
                <w:color w:val="auto"/>
                <w:kern w:val="0"/>
                <w:sz w:val="18"/>
                <w:szCs w:val="18"/>
                <w:highlight w:val="none"/>
              </w:rPr>
            </w:pPr>
            <w:r>
              <w:rPr>
                <w:rFonts w:hint="eastAsia" w:ascii="微软雅黑" w:hAnsi="微软雅黑" w:eastAsia="微软雅黑" w:cs="微软雅黑"/>
                <w:bCs/>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348" w:type="pct"/>
            <w:vAlign w:val="center"/>
          </w:tcPr>
          <w:p>
            <w:pPr>
              <w:widowControl/>
              <w:jc w:val="center"/>
              <w:rPr>
                <w:rFonts w:hint="default"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1</w:t>
            </w:r>
          </w:p>
        </w:tc>
        <w:tc>
          <w:tcPr>
            <w:tcW w:w="461" w:type="pct"/>
            <w:vAlign w:val="center"/>
          </w:tcPr>
          <w:p>
            <w:pPr>
              <w:widowControl/>
              <w:jc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价格</w:t>
            </w:r>
            <w:r>
              <w:rPr>
                <w:rFonts w:hint="eastAsia" w:ascii="微软雅黑" w:hAnsi="微软雅黑" w:eastAsia="微软雅黑" w:cs="微软雅黑"/>
                <w:color w:val="auto"/>
                <w:kern w:val="0"/>
                <w:sz w:val="18"/>
                <w:szCs w:val="18"/>
                <w:highlight w:val="none"/>
                <w:lang w:val="en-US" w:eastAsia="zh-CN"/>
              </w:rPr>
              <w:t>部分</w:t>
            </w:r>
          </w:p>
        </w:tc>
        <w:tc>
          <w:tcPr>
            <w:tcW w:w="316" w:type="pct"/>
            <w:vAlign w:val="center"/>
          </w:tcPr>
          <w:p>
            <w:pPr>
              <w:widowControl/>
              <w:jc w:val="center"/>
              <w:rPr>
                <w:rFonts w:ascii="微软雅黑" w:hAnsi="微软雅黑" w:eastAsia="微软雅黑" w:cs="微软雅黑"/>
                <w:color w:val="auto"/>
                <w:kern w:val="0"/>
                <w:sz w:val="18"/>
                <w:szCs w:val="18"/>
                <w:highlight w:val="none"/>
              </w:rPr>
            </w:pPr>
            <w:r>
              <w:rPr>
                <w:rFonts w:ascii="微软雅黑" w:hAnsi="微软雅黑" w:eastAsia="微软雅黑" w:cs="微软雅黑"/>
                <w:color w:val="auto"/>
                <w:kern w:val="0"/>
                <w:sz w:val="18"/>
                <w:szCs w:val="18"/>
                <w:highlight w:val="none"/>
              </w:rPr>
              <w:t>20</w:t>
            </w:r>
          </w:p>
        </w:tc>
        <w:tc>
          <w:tcPr>
            <w:tcW w:w="3445" w:type="pct"/>
            <w:vAlign w:val="center"/>
          </w:tcPr>
          <w:p>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投标报价</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完全满足磋商文件参数的投标报价中的最低价为评标基准价，按照下列公式计算每个投标人的投标价格得分。投标报价得分＝（基准价/投标报价）×价格权重×100。（</w:t>
            </w:r>
            <w:r>
              <w:rPr>
                <w:rFonts w:hint="eastAsia" w:ascii="微软雅黑" w:hAnsi="微软雅黑" w:eastAsia="微软雅黑" w:cs="微软雅黑"/>
                <w:b/>
                <w:bCs/>
                <w:color w:val="auto"/>
                <w:kern w:val="0"/>
                <w:sz w:val="18"/>
                <w:szCs w:val="18"/>
                <w:highlight w:val="none"/>
              </w:rPr>
              <w:t>注：若报价单位为中小企业，其投标报价扣除</w:t>
            </w:r>
            <w:r>
              <w:rPr>
                <w:rFonts w:hint="eastAsia" w:ascii="微软雅黑" w:hAnsi="微软雅黑" w:eastAsia="微软雅黑" w:cs="微软雅黑"/>
                <w:b/>
                <w:bCs/>
                <w:color w:val="auto"/>
                <w:kern w:val="0"/>
                <w:sz w:val="18"/>
                <w:szCs w:val="18"/>
                <w:highlight w:val="none"/>
                <w:lang w:val="en-US" w:eastAsia="zh-CN"/>
              </w:rPr>
              <w:t>10</w:t>
            </w:r>
            <w:r>
              <w:rPr>
                <w:rFonts w:hint="eastAsia" w:ascii="微软雅黑" w:hAnsi="微软雅黑" w:eastAsia="微软雅黑" w:cs="微软雅黑"/>
                <w:b/>
                <w:bCs/>
                <w:color w:val="auto"/>
                <w:kern w:val="0"/>
                <w:sz w:val="18"/>
                <w:szCs w:val="18"/>
                <w:highlight w:val="none"/>
              </w:rPr>
              <w:t xml:space="preserve"> %后参与评审，提供相关证明资料，否则无效。</w:t>
            </w:r>
            <w:r>
              <w:rPr>
                <w:rFonts w:hint="eastAsia" w:ascii="微软雅黑" w:hAnsi="微软雅黑" w:eastAsia="微软雅黑" w:cs="微软雅黑"/>
                <w:color w:val="auto"/>
                <w:kern w:val="0"/>
                <w:sz w:val="18"/>
                <w:szCs w:val="18"/>
                <w:highlight w:val="none"/>
              </w:rPr>
              <w:t>）</w:t>
            </w:r>
            <w:r>
              <w:rPr>
                <w:rFonts w:hint="eastAsia" w:ascii="微软雅黑" w:hAnsi="微软雅黑" w:eastAsia="微软雅黑" w:cs="微软雅黑"/>
                <w:b/>
                <w:bCs/>
                <w:color w:val="auto"/>
                <w:kern w:val="0"/>
                <w:sz w:val="18"/>
                <w:szCs w:val="18"/>
                <w:highlight w:val="none"/>
              </w:rPr>
              <w:t>（注：投标报价为单价的合计金额）</w:t>
            </w:r>
          </w:p>
        </w:tc>
        <w:tc>
          <w:tcPr>
            <w:tcW w:w="428" w:type="pct"/>
            <w:vAlign w:val="center"/>
          </w:tcPr>
          <w:p>
            <w:pPr>
              <w:widowControl/>
              <w:jc w:val="center"/>
              <w:rPr>
                <w:rFonts w:hint="eastAsia"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348" w:type="pct"/>
            <w:vAlign w:val="center"/>
          </w:tcPr>
          <w:p>
            <w:pPr>
              <w:widowControl/>
              <w:jc w:val="center"/>
              <w:rPr>
                <w:rFonts w:hint="eastAsia"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2</w:t>
            </w:r>
          </w:p>
        </w:tc>
        <w:tc>
          <w:tcPr>
            <w:tcW w:w="461" w:type="pct"/>
            <w:vMerge w:val="restart"/>
            <w:vAlign w:val="center"/>
          </w:tcPr>
          <w:p>
            <w:pPr>
              <w:widowControl/>
              <w:jc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商务部分</w:t>
            </w:r>
          </w:p>
        </w:tc>
        <w:tc>
          <w:tcPr>
            <w:tcW w:w="316" w:type="pct"/>
            <w:vAlign w:val="center"/>
          </w:tcPr>
          <w:p>
            <w:pPr>
              <w:widowControl/>
              <w:jc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4</w:t>
            </w:r>
          </w:p>
        </w:tc>
        <w:tc>
          <w:tcPr>
            <w:tcW w:w="3445" w:type="pct"/>
            <w:vAlign w:val="center"/>
          </w:tcPr>
          <w:p>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业绩</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提供近三年内同类业绩证明材料中标</w:t>
            </w:r>
            <w:r>
              <w:rPr>
                <w:rFonts w:hint="eastAsia" w:ascii="微软雅黑" w:hAnsi="微软雅黑" w:eastAsia="微软雅黑" w:cs="微软雅黑"/>
                <w:color w:val="auto"/>
                <w:kern w:val="0"/>
                <w:sz w:val="18"/>
                <w:szCs w:val="18"/>
                <w:highlight w:val="none"/>
                <w:lang w:val="en-US" w:eastAsia="zh-CN"/>
              </w:rPr>
              <w:t>或成交</w:t>
            </w:r>
            <w:r>
              <w:rPr>
                <w:rFonts w:hint="eastAsia" w:ascii="微软雅黑" w:hAnsi="微软雅黑" w:eastAsia="微软雅黑" w:cs="微软雅黑"/>
                <w:color w:val="auto"/>
                <w:kern w:val="0"/>
                <w:sz w:val="18"/>
                <w:szCs w:val="18"/>
                <w:highlight w:val="none"/>
              </w:rPr>
              <w:t>通知书</w:t>
            </w:r>
            <w:r>
              <w:rPr>
                <w:rFonts w:hint="eastAsia" w:ascii="微软雅黑" w:hAnsi="微软雅黑" w:eastAsia="微软雅黑" w:cs="微软雅黑"/>
                <w:color w:val="auto"/>
                <w:kern w:val="0"/>
                <w:sz w:val="18"/>
                <w:szCs w:val="18"/>
                <w:highlight w:val="none"/>
                <w:lang w:val="en-US" w:eastAsia="zh-CN"/>
              </w:rPr>
              <w:t>和</w:t>
            </w:r>
            <w:r>
              <w:rPr>
                <w:rFonts w:hint="eastAsia" w:ascii="微软雅黑" w:hAnsi="微软雅黑" w:eastAsia="微软雅黑" w:cs="微软雅黑"/>
                <w:color w:val="auto"/>
                <w:kern w:val="0"/>
                <w:sz w:val="18"/>
                <w:szCs w:val="18"/>
                <w:highlight w:val="none"/>
              </w:rPr>
              <w:t>合同，每提供一个得1分，共4分。</w:t>
            </w:r>
          </w:p>
        </w:tc>
        <w:tc>
          <w:tcPr>
            <w:tcW w:w="428" w:type="pct"/>
            <w:vMerge w:val="restart"/>
            <w:vAlign w:val="center"/>
          </w:tcPr>
          <w:p>
            <w:pPr>
              <w:widowControl/>
              <w:jc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b/>
                <w:bCs/>
                <w:color w:val="auto"/>
                <w:sz w:val="18"/>
                <w:szCs w:val="18"/>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348" w:type="pct"/>
            <w:vAlign w:val="center"/>
          </w:tcPr>
          <w:p>
            <w:pPr>
              <w:widowControl/>
              <w:jc w:val="center"/>
              <w:rPr>
                <w:rFonts w:hint="eastAsia"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3</w:t>
            </w:r>
          </w:p>
        </w:tc>
        <w:tc>
          <w:tcPr>
            <w:tcW w:w="461" w:type="pct"/>
            <w:vMerge w:val="continue"/>
            <w:vAlign w:val="center"/>
          </w:tcPr>
          <w:p>
            <w:pPr>
              <w:widowControl/>
              <w:jc w:val="center"/>
              <w:rPr>
                <w:rFonts w:ascii="微软雅黑" w:hAnsi="微软雅黑" w:eastAsia="微软雅黑" w:cs="微软雅黑"/>
                <w:color w:val="auto"/>
                <w:kern w:val="0"/>
                <w:sz w:val="18"/>
                <w:szCs w:val="18"/>
                <w:highlight w:val="none"/>
              </w:rPr>
            </w:pPr>
          </w:p>
        </w:tc>
        <w:tc>
          <w:tcPr>
            <w:tcW w:w="316" w:type="pct"/>
            <w:vAlign w:val="center"/>
          </w:tcPr>
          <w:p>
            <w:pPr>
              <w:widowControl/>
              <w:jc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2</w:t>
            </w:r>
          </w:p>
        </w:tc>
        <w:tc>
          <w:tcPr>
            <w:tcW w:w="3445" w:type="pct"/>
            <w:vAlign w:val="center"/>
          </w:tcPr>
          <w:p>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标书制作</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投标文件目录与页码对应准确，评审内容便于查找，没有与评审内容无关的资料或文件得2分，否则得0分。</w:t>
            </w:r>
          </w:p>
        </w:tc>
        <w:tc>
          <w:tcPr>
            <w:tcW w:w="428" w:type="pct"/>
            <w:vMerge w:val="continue"/>
            <w:vAlign w:val="center"/>
          </w:tcPr>
          <w:p>
            <w:pPr>
              <w:widowControl/>
              <w:jc w:val="center"/>
              <w:rPr>
                <w:rFonts w:ascii="微软雅黑" w:hAnsi="微软雅黑" w:eastAsia="微软雅黑" w:cs="微软雅黑"/>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348" w:type="pct"/>
            <w:vAlign w:val="center"/>
          </w:tcPr>
          <w:p>
            <w:pPr>
              <w:widowControl/>
              <w:jc w:val="center"/>
              <w:rPr>
                <w:rFonts w:hint="eastAsia"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4</w:t>
            </w:r>
          </w:p>
        </w:tc>
        <w:tc>
          <w:tcPr>
            <w:tcW w:w="461" w:type="pct"/>
            <w:vMerge w:val="continue"/>
            <w:vAlign w:val="center"/>
          </w:tcPr>
          <w:p>
            <w:pPr>
              <w:widowControl/>
              <w:jc w:val="center"/>
              <w:rPr>
                <w:rFonts w:ascii="微软雅黑" w:hAnsi="微软雅黑" w:eastAsia="微软雅黑" w:cs="微软雅黑"/>
                <w:color w:val="auto"/>
                <w:kern w:val="0"/>
                <w:sz w:val="18"/>
                <w:szCs w:val="18"/>
                <w:highlight w:val="none"/>
              </w:rPr>
            </w:pPr>
          </w:p>
        </w:tc>
        <w:tc>
          <w:tcPr>
            <w:tcW w:w="316" w:type="pct"/>
            <w:vAlign w:val="center"/>
          </w:tcPr>
          <w:p>
            <w:pPr>
              <w:widowControl/>
              <w:jc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6</w:t>
            </w:r>
          </w:p>
        </w:tc>
        <w:tc>
          <w:tcPr>
            <w:tcW w:w="3445" w:type="pct"/>
            <w:vAlign w:val="center"/>
          </w:tcPr>
          <w:p>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检测报告</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提供所投产品第三方检测机构出具的全套检测报告或产品合格证，提供一个得0.5分，最高得6分。</w:t>
            </w:r>
          </w:p>
        </w:tc>
        <w:tc>
          <w:tcPr>
            <w:tcW w:w="428" w:type="pct"/>
            <w:vMerge w:val="continue"/>
            <w:vAlign w:val="center"/>
          </w:tcPr>
          <w:p>
            <w:pPr>
              <w:widowControl/>
              <w:jc w:val="center"/>
              <w:rPr>
                <w:rFonts w:ascii="微软雅黑" w:hAnsi="微软雅黑" w:eastAsia="微软雅黑" w:cs="微软雅黑"/>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trPr>
        <w:tc>
          <w:tcPr>
            <w:tcW w:w="348" w:type="pct"/>
            <w:vAlign w:val="center"/>
          </w:tcPr>
          <w:p>
            <w:pPr>
              <w:widowControl/>
              <w:jc w:val="center"/>
              <w:rPr>
                <w:rFonts w:hint="eastAsia"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5</w:t>
            </w:r>
          </w:p>
        </w:tc>
        <w:tc>
          <w:tcPr>
            <w:tcW w:w="461" w:type="pct"/>
            <w:vMerge w:val="restart"/>
            <w:vAlign w:val="center"/>
          </w:tcPr>
          <w:p>
            <w:pPr>
              <w:widowControl/>
              <w:jc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技术部分</w:t>
            </w:r>
          </w:p>
        </w:tc>
        <w:tc>
          <w:tcPr>
            <w:tcW w:w="316" w:type="pct"/>
            <w:vAlign w:val="center"/>
          </w:tcPr>
          <w:p>
            <w:pPr>
              <w:widowControl/>
              <w:jc w:val="center"/>
              <w:rPr>
                <w:rFonts w:ascii="宋体" w:hAnsi="宋体" w:eastAsia="宋体" w:cs="宋体"/>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rPr>
              <w:t>18</w:t>
            </w:r>
          </w:p>
        </w:tc>
        <w:tc>
          <w:tcPr>
            <w:tcW w:w="3445" w:type="pct"/>
            <w:vAlign w:val="center"/>
          </w:tcPr>
          <w:p>
            <w:pPr>
              <w:widowControl/>
              <w:jc w:val="left"/>
              <w:rPr>
                <w:rFonts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rPr>
              <w:t>服务团队</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供应商提供拟派驻医院服务团队人员名单及工作分工，每一名服务人员得6分，最多得18分。（须提供驻守人员名单及联系方式，2022年的社保，否则为无效资料）</w:t>
            </w:r>
          </w:p>
        </w:tc>
        <w:tc>
          <w:tcPr>
            <w:tcW w:w="428" w:type="pct"/>
            <w:vMerge w:val="restart"/>
            <w:vAlign w:val="center"/>
          </w:tcPr>
          <w:p>
            <w:pPr>
              <w:jc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b/>
                <w:bCs/>
                <w:color w:val="auto"/>
                <w:sz w:val="18"/>
                <w:szCs w:val="18"/>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348" w:type="pct"/>
            <w:vAlign w:val="center"/>
          </w:tcPr>
          <w:p>
            <w:pPr>
              <w:widowControl/>
              <w:jc w:val="center"/>
              <w:rPr>
                <w:rFonts w:hint="eastAsia"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6</w:t>
            </w:r>
          </w:p>
        </w:tc>
        <w:tc>
          <w:tcPr>
            <w:tcW w:w="461" w:type="pct"/>
            <w:vMerge w:val="continue"/>
            <w:vAlign w:val="center"/>
          </w:tcPr>
          <w:p>
            <w:pPr>
              <w:widowControl/>
              <w:jc w:val="center"/>
              <w:rPr>
                <w:rFonts w:ascii="微软雅黑" w:hAnsi="微软雅黑" w:eastAsia="微软雅黑" w:cs="微软雅黑"/>
                <w:color w:val="auto"/>
                <w:kern w:val="0"/>
                <w:sz w:val="18"/>
                <w:szCs w:val="18"/>
                <w:highlight w:val="none"/>
              </w:rPr>
            </w:pPr>
          </w:p>
        </w:tc>
        <w:tc>
          <w:tcPr>
            <w:tcW w:w="316" w:type="pct"/>
            <w:vAlign w:val="center"/>
          </w:tcPr>
          <w:p>
            <w:pPr>
              <w:widowControl/>
              <w:jc w:val="center"/>
              <w:rPr>
                <w:rFonts w:hint="eastAsia"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rPr>
              <w:t>2</w:t>
            </w:r>
            <w:r>
              <w:rPr>
                <w:rFonts w:hint="eastAsia" w:ascii="微软雅黑" w:hAnsi="微软雅黑" w:eastAsia="微软雅黑" w:cs="微软雅黑"/>
                <w:color w:val="auto"/>
                <w:kern w:val="0"/>
                <w:sz w:val="18"/>
                <w:szCs w:val="18"/>
                <w:highlight w:val="none"/>
                <w:lang w:val="en-US" w:eastAsia="zh-CN"/>
              </w:rPr>
              <w:t>3</w:t>
            </w:r>
          </w:p>
        </w:tc>
        <w:tc>
          <w:tcPr>
            <w:tcW w:w="3445" w:type="pct"/>
            <w:vAlign w:val="center"/>
          </w:tcPr>
          <w:p>
            <w:pPr>
              <w:widowControl/>
              <w:jc w:val="left"/>
              <w:rPr>
                <w:rFonts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rPr>
              <w:t>服务方案</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供应商根据本项目具体特点及实际需求提供服务方案：方案包含现有服务对象清单数量（投标人自行现场调研）、设备管理措施、耗材更换服务、常规维修服务、保养巡检服务、配送方案、服务方式、服务团队考核管理制度、统计报表，具体可行实施组织计划。方案完整、逻辑清晰，贴合采购需求，可行性高的得2</w:t>
            </w:r>
            <w:r>
              <w:rPr>
                <w:rFonts w:hint="eastAsia" w:ascii="微软雅黑" w:hAnsi="微软雅黑" w:eastAsia="微软雅黑" w:cs="微软雅黑"/>
                <w:color w:val="auto"/>
                <w:kern w:val="0"/>
                <w:sz w:val="18"/>
                <w:szCs w:val="18"/>
                <w:highlight w:val="none"/>
                <w:lang w:val="en-US" w:eastAsia="zh-CN"/>
              </w:rPr>
              <w:t>3</w:t>
            </w:r>
            <w:r>
              <w:rPr>
                <w:rFonts w:hint="eastAsia" w:ascii="微软雅黑" w:hAnsi="微软雅黑" w:eastAsia="微软雅黑" w:cs="微软雅黑"/>
                <w:color w:val="auto"/>
                <w:kern w:val="0"/>
                <w:sz w:val="18"/>
                <w:szCs w:val="18"/>
                <w:highlight w:val="none"/>
              </w:rPr>
              <w:t>分，方案较为合理且可行性高的得</w:t>
            </w:r>
            <w:r>
              <w:rPr>
                <w:rFonts w:hint="eastAsia" w:ascii="微软雅黑" w:hAnsi="微软雅黑" w:eastAsia="微软雅黑" w:cs="微软雅黑"/>
                <w:color w:val="auto"/>
                <w:kern w:val="0"/>
                <w:sz w:val="18"/>
                <w:szCs w:val="18"/>
                <w:highlight w:val="none"/>
                <w:lang w:val="en-US" w:eastAsia="zh-CN"/>
              </w:rPr>
              <w:t>20</w:t>
            </w:r>
            <w:r>
              <w:rPr>
                <w:rFonts w:hint="eastAsia" w:ascii="微软雅黑" w:hAnsi="微软雅黑" w:eastAsia="微软雅黑" w:cs="微软雅黑"/>
                <w:color w:val="auto"/>
                <w:kern w:val="0"/>
                <w:sz w:val="18"/>
                <w:szCs w:val="18"/>
                <w:highlight w:val="none"/>
              </w:rPr>
              <w:t>分，方案不太合理，可行性不高的得1</w:t>
            </w:r>
            <w:r>
              <w:rPr>
                <w:rFonts w:hint="eastAsia" w:ascii="微软雅黑" w:hAnsi="微软雅黑" w:eastAsia="微软雅黑" w:cs="微软雅黑"/>
                <w:color w:val="auto"/>
                <w:kern w:val="0"/>
                <w:sz w:val="18"/>
                <w:szCs w:val="18"/>
                <w:highlight w:val="none"/>
                <w:lang w:val="en-US" w:eastAsia="zh-CN"/>
              </w:rPr>
              <w:t>6</w:t>
            </w:r>
            <w:r>
              <w:rPr>
                <w:rFonts w:hint="eastAsia" w:ascii="微软雅黑" w:hAnsi="微软雅黑" w:eastAsia="微软雅黑" w:cs="微软雅黑"/>
                <w:color w:val="auto"/>
                <w:kern w:val="0"/>
                <w:sz w:val="18"/>
                <w:szCs w:val="18"/>
                <w:highlight w:val="none"/>
              </w:rPr>
              <w:t>分；方案结构混乱，不贴合本项目的采购需求得</w:t>
            </w:r>
            <w:r>
              <w:rPr>
                <w:rFonts w:hint="eastAsia" w:ascii="微软雅黑" w:hAnsi="微软雅黑" w:eastAsia="微软雅黑" w:cs="微软雅黑"/>
                <w:color w:val="auto"/>
                <w:kern w:val="0"/>
                <w:sz w:val="18"/>
                <w:szCs w:val="18"/>
                <w:highlight w:val="none"/>
                <w:lang w:val="en-US" w:eastAsia="zh-CN"/>
              </w:rPr>
              <w:t>8</w:t>
            </w:r>
            <w:r>
              <w:rPr>
                <w:rFonts w:hint="eastAsia" w:ascii="微软雅黑" w:hAnsi="微软雅黑" w:eastAsia="微软雅黑" w:cs="微软雅黑"/>
                <w:color w:val="auto"/>
                <w:kern w:val="0"/>
                <w:sz w:val="18"/>
                <w:szCs w:val="18"/>
                <w:highlight w:val="none"/>
              </w:rPr>
              <w:t>分；未提供不得分。</w:t>
            </w:r>
            <w:r>
              <w:rPr>
                <w:rFonts w:ascii="微软雅黑" w:hAnsi="微软雅黑" w:eastAsia="微软雅黑" w:cs="微软雅黑"/>
                <w:color w:val="auto"/>
                <w:kern w:val="0"/>
                <w:sz w:val="18"/>
                <w:szCs w:val="18"/>
                <w:highlight w:val="none"/>
              </w:rPr>
              <w:t xml:space="preserve"> </w:t>
            </w:r>
          </w:p>
        </w:tc>
        <w:tc>
          <w:tcPr>
            <w:tcW w:w="428" w:type="pct"/>
            <w:vMerge w:val="continue"/>
            <w:vAlign w:val="center"/>
          </w:tcPr>
          <w:p>
            <w:pPr>
              <w:jc w:val="center"/>
              <w:rPr>
                <w:rFonts w:ascii="微软雅黑" w:hAnsi="微软雅黑" w:eastAsia="微软雅黑" w:cs="微软雅黑"/>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trPr>
        <w:tc>
          <w:tcPr>
            <w:tcW w:w="348" w:type="pct"/>
            <w:vAlign w:val="center"/>
          </w:tcPr>
          <w:p>
            <w:pPr>
              <w:widowControl/>
              <w:jc w:val="center"/>
              <w:rPr>
                <w:rFonts w:hint="eastAsia"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7</w:t>
            </w:r>
          </w:p>
        </w:tc>
        <w:tc>
          <w:tcPr>
            <w:tcW w:w="461" w:type="pct"/>
            <w:vMerge w:val="continue"/>
            <w:vAlign w:val="center"/>
          </w:tcPr>
          <w:p>
            <w:pPr>
              <w:widowControl/>
              <w:jc w:val="center"/>
              <w:rPr>
                <w:rFonts w:ascii="微软雅黑" w:hAnsi="微软雅黑" w:eastAsia="微软雅黑" w:cs="微软雅黑"/>
                <w:color w:val="auto"/>
                <w:kern w:val="0"/>
                <w:sz w:val="18"/>
                <w:szCs w:val="18"/>
                <w:highlight w:val="none"/>
              </w:rPr>
            </w:pPr>
          </w:p>
        </w:tc>
        <w:tc>
          <w:tcPr>
            <w:tcW w:w="316" w:type="pct"/>
            <w:vAlign w:val="center"/>
          </w:tcPr>
          <w:p>
            <w:pPr>
              <w:widowControl/>
              <w:jc w:val="center"/>
              <w:rPr>
                <w:rFonts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rPr>
              <w:t>10</w:t>
            </w:r>
          </w:p>
        </w:tc>
        <w:tc>
          <w:tcPr>
            <w:tcW w:w="3445" w:type="pct"/>
            <w:vAlign w:val="center"/>
          </w:tcPr>
          <w:p>
            <w:pPr>
              <w:widowControl/>
              <w:jc w:val="left"/>
              <w:rPr>
                <w:rFonts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rPr>
              <w:t>应急预案</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供应商根据本项目具体特点及实际需求提供应急预案，方案包含现各种风险隐患防范管控措施、备品备件、特殊时期服务办法（如疫情防控）。方案完整、逻辑清晰，贴合采购需求，可行性高的得10分，方案较为合理且可行性高的得7分，方案不太合理，可行性不高的得5分；方案结构混乱，不贴合本项目的采购需求得2分；未提供不得分。</w:t>
            </w:r>
          </w:p>
        </w:tc>
        <w:tc>
          <w:tcPr>
            <w:tcW w:w="428" w:type="pct"/>
            <w:vMerge w:val="continue"/>
            <w:vAlign w:val="center"/>
          </w:tcPr>
          <w:p>
            <w:pPr>
              <w:jc w:val="center"/>
              <w:rPr>
                <w:rFonts w:ascii="微软雅黑" w:hAnsi="微软雅黑" w:eastAsia="微软雅黑" w:cs="微软雅黑"/>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348" w:type="pct"/>
            <w:vAlign w:val="center"/>
          </w:tcPr>
          <w:p>
            <w:pPr>
              <w:widowControl/>
              <w:jc w:val="center"/>
              <w:rPr>
                <w:rFonts w:hint="eastAsia"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8</w:t>
            </w:r>
          </w:p>
        </w:tc>
        <w:tc>
          <w:tcPr>
            <w:tcW w:w="461" w:type="pct"/>
            <w:vMerge w:val="continue"/>
            <w:vAlign w:val="center"/>
          </w:tcPr>
          <w:p>
            <w:pPr>
              <w:widowControl/>
              <w:jc w:val="center"/>
              <w:rPr>
                <w:rFonts w:ascii="微软雅黑" w:hAnsi="微软雅黑" w:eastAsia="微软雅黑" w:cs="微软雅黑"/>
                <w:color w:val="auto"/>
                <w:kern w:val="0"/>
                <w:sz w:val="18"/>
                <w:szCs w:val="18"/>
                <w:highlight w:val="none"/>
              </w:rPr>
            </w:pPr>
          </w:p>
        </w:tc>
        <w:tc>
          <w:tcPr>
            <w:tcW w:w="316" w:type="pct"/>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lang w:val="en-US" w:eastAsia="zh-CN"/>
              </w:rPr>
              <w:t>5</w:t>
            </w:r>
          </w:p>
        </w:tc>
        <w:tc>
          <w:tcPr>
            <w:tcW w:w="3445" w:type="pct"/>
            <w:vAlign w:val="center"/>
          </w:tcPr>
          <w:p>
            <w:pPr>
              <w:widowControl/>
              <w:jc w:val="left"/>
              <w:rPr>
                <w:rFonts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rPr>
              <w:t>质量保证及售后服务</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售后服务方案包含产品的维修方案（免费更换、维修服务等）、分配人员驻扎位置、建立备件库、建立耗材库房，更换耗材的必要性，</w:t>
            </w:r>
            <w:r>
              <w:rPr>
                <w:rFonts w:hint="eastAsia" w:ascii="微软雅黑" w:hAnsi="微软雅黑" w:eastAsia="微软雅黑" w:cs="微软雅黑"/>
                <w:color w:val="auto"/>
                <w:kern w:val="0"/>
                <w:sz w:val="18"/>
                <w:szCs w:val="18"/>
                <w:highlight w:val="none"/>
                <w:lang w:val="en-US" w:eastAsia="zh-CN"/>
              </w:rPr>
              <w:t>完全满足的得5分，</w:t>
            </w:r>
            <w:r>
              <w:rPr>
                <w:rFonts w:hint="eastAsia" w:ascii="微软雅黑" w:hAnsi="微软雅黑" w:eastAsia="微软雅黑" w:cs="微软雅黑"/>
                <w:color w:val="auto"/>
                <w:kern w:val="0"/>
                <w:sz w:val="18"/>
                <w:szCs w:val="18"/>
                <w:highlight w:val="none"/>
              </w:rPr>
              <w:t>方案描述不清楚或有缺失内容的每一项扣1分，扣完为止；未提供的不得分。</w:t>
            </w:r>
          </w:p>
        </w:tc>
        <w:tc>
          <w:tcPr>
            <w:tcW w:w="428" w:type="pct"/>
            <w:vMerge w:val="continue"/>
            <w:vAlign w:val="center"/>
          </w:tcPr>
          <w:p>
            <w:pPr>
              <w:widowControl/>
              <w:jc w:val="center"/>
              <w:rPr>
                <w:rFonts w:ascii="微软雅黑" w:hAnsi="微软雅黑" w:eastAsia="微软雅黑" w:cs="微软雅黑"/>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348" w:type="pct"/>
            <w:vAlign w:val="center"/>
          </w:tcPr>
          <w:p>
            <w:pPr>
              <w:widowControl/>
              <w:jc w:val="center"/>
              <w:rPr>
                <w:rFonts w:hint="eastAsia"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9</w:t>
            </w:r>
          </w:p>
        </w:tc>
        <w:tc>
          <w:tcPr>
            <w:tcW w:w="461" w:type="pct"/>
            <w:vMerge w:val="continue"/>
            <w:vAlign w:val="center"/>
          </w:tcPr>
          <w:p>
            <w:pPr>
              <w:widowControl/>
              <w:jc w:val="center"/>
              <w:rPr>
                <w:rFonts w:ascii="微软雅黑" w:hAnsi="微软雅黑" w:eastAsia="微软雅黑" w:cs="微软雅黑"/>
                <w:color w:val="auto"/>
                <w:kern w:val="0"/>
                <w:sz w:val="18"/>
                <w:szCs w:val="18"/>
                <w:highlight w:val="none"/>
              </w:rPr>
            </w:pPr>
          </w:p>
        </w:tc>
        <w:tc>
          <w:tcPr>
            <w:tcW w:w="316" w:type="pct"/>
            <w:vAlign w:val="center"/>
          </w:tcPr>
          <w:p>
            <w:pPr>
              <w:widowControl/>
              <w:jc w:val="center"/>
              <w:rPr>
                <w:rFonts w:hint="eastAsia"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lang w:val="en-US" w:eastAsia="zh-CN"/>
              </w:rPr>
              <w:t>3</w:t>
            </w:r>
          </w:p>
        </w:tc>
        <w:tc>
          <w:tcPr>
            <w:tcW w:w="3445" w:type="pct"/>
            <w:vAlign w:val="center"/>
          </w:tcPr>
          <w:p>
            <w:pPr>
              <w:widowControl/>
              <w:jc w:val="left"/>
              <w:rPr>
                <w:rFonts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rPr>
              <w:t>质量保证及售后服务</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提供针对本项目的耗材更换响应时间的承诺的得</w:t>
            </w:r>
            <w:r>
              <w:rPr>
                <w:rFonts w:hint="eastAsia" w:ascii="微软雅黑" w:hAnsi="微软雅黑" w:eastAsia="微软雅黑" w:cs="微软雅黑"/>
                <w:color w:val="auto"/>
                <w:kern w:val="0"/>
                <w:sz w:val="18"/>
                <w:szCs w:val="18"/>
                <w:highlight w:val="none"/>
                <w:lang w:val="en-US" w:eastAsia="zh-CN"/>
              </w:rPr>
              <w:t>3</w:t>
            </w:r>
            <w:r>
              <w:rPr>
                <w:rFonts w:hint="eastAsia" w:ascii="微软雅黑" w:hAnsi="微软雅黑" w:eastAsia="微软雅黑" w:cs="微软雅黑"/>
                <w:color w:val="auto"/>
                <w:kern w:val="0"/>
                <w:sz w:val="18"/>
                <w:szCs w:val="18"/>
                <w:highlight w:val="none"/>
              </w:rPr>
              <w:t>分，不提供得0分。</w:t>
            </w:r>
          </w:p>
        </w:tc>
        <w:tc>
          <w:tcPr>
            <w:tcW w:w="428" w:type="pct"/>
            <w:vMerge w:val="continue"/>
            <w:vAlign w:val="center"/>
          </w:tcPr>
          <w:p>
            <w:pPr>
              <w:widowControl/>
              <w:jc w:val="center"/>
              <w:rPr>
                <w:rFonts w:ascii="微软雅黑" w:hAnsi="微软雅黑" w:eastAsia="微软雅黑" w:cs="微软雅黑"/>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348" w:type="pct"/>
            <w:vAlign w:val="center"/>
          </w:tcPr>
          <w:p>
            <w:pPr>
              <w:widowControl/>
              <w:jc w:val="center"/>
              <w:rPr>
                <w:rFonts w:hint="default"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10</w:t>
            </w:r>
          </w:p>
        </w:tc>
        <w:tc>
          <w:tcPr>
            <w:tcW w:w="461" w:type="pct"/>
            <w:vMerge w:val="continue"/>
            <w:vAlign w:val="center"/>
          </w:tcPr>
          <w:p>
            <w:pPr>
              <w:widowControl/>
              <w:jc w:val="center"/>
              <w:rPr>
                <w:rFonts w:ascii="微软雅黑" w:hAnsi="微软雅黑" w:eastAsia="微软雅黑" w:cs="微软雅黑"/>
                <w:color w:val="auto"/>
                <w:kern w:val="0"/>
                <w:sz w:val="18"/>
                <w:szCs w:val="18"/>
                <w:highlight w:val="none"/>
              </w:rPr>
            </w:pPr>
          </w:p>
        </w:tc>
        <w:tc>
          <w:tcPr>
            <w:tcW w:w="316" w:type="pct"/>
            <w:vAlign w:val="center"/>
          </w:tcPr>
          <w:p>
            <w:pPr>
              <w:widowControl/>
              <w:jc w:val="center"/>
              <w:rPr>
                <w:rFonts w:hint="eastAsia"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lang w:val="en-US" w:eastAsia="zh-CN"/>
              </w:rPr>
              <w:t>3</w:t>
            </w:r>
          </w:p>
        </w:tc>
        <w:tc>
          <w:tcPr>
            <w:tcW w:w="3445" w:type="pct"/>
            <w:vAlign w:val="center"/>
          </w:tcPr>
          <w:p>
            <w:pPr>
              <w:spacing w:line="360" w:lineRule="exact"/>
              <w:rPr>
                <w:rFonts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rPr>
              <w:t>质量保证及售后服务</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提供承诺书的得</w:t>
            </w:r>
            <w:r>
              <w:rPr>
                <w:rFonts w:hint="eastAsia" w:ascii="微软雅黑" w:hAnsi="微软雅黑" w:eastAsia="微软雅黑" w:cs="微软雅黑"/>
                <w:color w:val="auto"/>
                <w:kern w:val="0"/>
                <w:sz w:val="18"/>
                <w:szCs w:val="18"/>
                <w:highlight w:val="none"/>
                <w:lang w:val="en-US" w:eastAsia="zh-CN"/>
              </w:rPr>
              <w:t>3</w:t>
            </w:r>
            <w:r>
              <w:rPr>
                <w:rFonts w:hint="eastAsia" w:ascii="微软雅黑" w:hAnsi="微软雅黑" w:eastAsia="微软雅黑" w:cs="微软雅黑"/>
                <w:color w:val="auto"/>
                <w:kern w:val="0"/>
                <w:sz w:val="18"/>
                <w:szCs w:val="18"/>
                <w:highlight w:val="none"/>
              </w:rPr>
              <w:t>分，承诺内容“若因耗材质量、服务水平原因导致的科室投诉，完全接受甲方扣款处罚或解除合同的要求。不提供得0分。</w:t>
            </w:r>
          </w:p>
        </w:tc>
        <w:tc>
          <w:tcPr>
            <w:tcW w:w="428" w:type="pct"/>
            <w:vMerge w:val="continue"/>
            <w:vAlign w:val="center"/>
          </w:tcPr>
          <w:p>
            <w:pPr>
              <w:widowControl/>
              <w:jc w:val="center"/>
              <w:rPr>
                <w:rFonts w:ascii="微软雅黑" w:hAnsi="微软雅黑" w:eastAsia="微软雅黑" w:cs="微软雅黑"/>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48" w:type="pct"/>
            <w:vAlign w:val="center"/>
          </w:tcPr>
          <w:p>
            <w:pPr>
              <w:widowControl/>
              <w:jc w:val="center"/>
              <w:rPr>
                <w:rFonts w:hint="default"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11</w:t>
            </w:r>
          </w:p>
        </w:tc>
        <w:tc>
          <w:tcPr>
            <w:tcW w:w="461" w:type="pct"/>
            <w:vMerge w:val="continue"/>
            <w:vAlign w:val="center"/>
          </w:tcPr>
          <w:p>
            <w:pPr>
              <w:widowControl/>
              <w:jc w:val="center"/>
              <w:rPr>
                <w:rFonts w:ascii="微软雅黑" w:hAnsi="微软雅黑" w:eastAsia="微软雅黑" w:cs="微软雅黑"/>
                <w:color w:val="auto"/>
                <w:kern w:val="0"/>
                <w:sz w:val="18"/>
                <w:szCs w:val="18"/>
                <w:highlight w:val="none"/>
              </w:rPr>
            </w:pPr>
          </w:p>
        </w:tc>
        <w:tc>
          <w:tcPr>
            <w:tcW w:w="316" w:type="pct"/>
            <w:vAlign w:val="center"/>
          </w:tcPr>
          <w:p>
            <w:pPr>
              <w:widowControl/>
              <w:jc w:val="center"/>
              <w:rPr>
                <w:rFonts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rPr>
              <w:t>3</w:t>
            </w:r>
          </w:p>
        </w:tc>
        <w:tc>
          <w:tcPr>
            <w:tcW w:w="3445" w:type="pct"/>
            <w:vAlign w:val="center"/>
          </w:tcPr>
          <w:p>
            <w:pPr>
              <w:widowControl/>
              <w:jc w:val="left"/>
              <w:rPr>
                <w:rFonts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rPr>
              <w:t>质量保证及售后服务</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根据供应商在备品备件分项报价表中所列明的零部件种类、数量进行评议打分。种类齐全、数量多的得</w:t>
            </w:r>
            <w:r>
              <w:rPr>
                <w:rFonts w:hint="eastAsia" w:ascii="微软雅黑" w:hAnsi="微软雅黑" w:eastAsia="微软雅黑" w:cs="微软雅黑"/>
                <w:color w:val="auto"/>
                <w:kern w:val="0"/>
                <w:sz w:val="18"/>
                <w:szCs w:val="18"/>
                <w:highlight w:val="none"/>
                <w:lang w:val="en-US" w:eastAsia="zh-CN"/>
              </w:rPr>
              <w:t>3</w:t>
            </w:r>
            <w:r>
              <w:rPr>
                <w:rFonts w:hint="eastAsia" w:ascii="微软雅黑" w:hAnsi="微软雅黑" w:eastAsia="微软雅黑" w:cs="微软雅黑"/>
                <w:color w:val="auto"/>
                <w:kern w:val="0"/>
                <w:sz w:val="18"/>
                <w:szCs w:val="18"/>
                <w:highlight w:val="none"/>
              </w:rPr>
              <w:t>分，种类较全、数量一般</w:t>
            </w:r>
            <w:r>
              <w:rPr>
                <w:rFonts w:hint="eastAsia" w:ascii="微软雅黑" w:hAnsi="微软雅黑" w:eastAsia="微软雅黑" w:cs="微软雅黑"/>
                <w:color w:val="auto"/>
                <w:kern w:val="0"/>
                <w:sz w:val="18"/>
                <w:szCs w:val="18"/>
                <w:highlight w:val="none"/>
                <w:lang w:val="en-US" w:eastAsia="zh-CN"/>
              </w:rPr>
              <w:t>的得2</w:t>
            </w:r>
            <w:r>
              <w:rPr>
                <w:rFonts w:hint="eastAsia" w:ascii="微软雅黑" w:hAnsi="微软雅黑" w:eastAsia="微软雅黑" w:cs="微软雅黑"/>
                <w:color w:val="auto"/>
                <w:kern w:val="0"/>
                <w:sz w:val="18"/>
                <w:szCs w:val="18"/>
                <w:highlight w:val="none"/>
              </w:rPr>
              <w:t>分，种类不齐全、数量不多的得0分。</w:t>
            </w:r>
          </w:p>
        </w:tc>
        <w:tc>
          <w:tcPr>
            <w:tcW w:w="428" w:type="pct"/>
            <w:vMerge w:val="continue"/>
            <w:vAlign w:val="center"/>
          </w:tcPr>
          <w:p>
            <w:pPr>
              <w:spacing w:line="360" w:lineRule="exact"/>
              <w:jc w:val="center"/>
              <w:rPr>
                <w:rFonts w:ascii="微软雅黑" w:hAnsi="微软雅黑" w:eastAsia="微软雅黑" w:cs="微软雅黑"/>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348" w:type="pct"/>
            <w:vAlign w:val="center"/>
          </w:tcPr>
          <w:p>
            <w:pPr>
              <w:widowControl/>
              <w:jc w:val="center"/>
              <w:rPr>
                <w:rFonts w:hint="default"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12</w:t>
            </w:r>
          </w:p>
        </w:tc>
        <w:tc>
          <w:tcPr>
            <w:tcW w:w="461" w:type="pct"/>
            <w:vMerge w:val="continue"/>
            <w:vAlign w:val="center"/>
          </w:tcPr>
          <w:p>
            <w:pPr>
              <w:widowControl/>
              <w:jc w:val="center"/>
              <w:rPr>
                <w:rFonts w:ascii="微软雅黑" w:hAnsi="微软雅黑" w:eastAsia="微软雅黑" w:cs="微软雅黑"/>
                <w:color w:val="auto"/>
                <w:kern w:val="0"/>
                <w:sz w:val="18"/>
                <w:szCs w:val="18"/>
                <w:highlight w:val="none"/>
              </w:rPr>
            </w:pPr>
          </w:p>
        </w:tc>
        <w:tc>
          <w:tcPr>
            <w:tcW w:w="316" w:type="pct"/>
            <w:vAlign w:val="center"/>
          </w:tcPr>
          <w:p>
            <w:pPr>
              <w:widowControl/>
              <w:jc w:val="center"/>
              <w:rPr>
                <w:rFonts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rPr>
              <w:t>3</w:t>
            </w:r>
          </w:p>
        </w:tc>
        <w:tc>
          <w:tcPr>
            <w:tcW w:w="3445" w:type="pct"/>
            <w:vAlign w:val="center"/>
          </w:tcPr>
          <w:p>
            <w:pPr>
              <w:widowControl/>
              <w:jc w:val="left"/>
              <w:rPr>
                <w:rFonts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rPr>
              <w:t>质量保证及售后服务</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提供售后服务点并附上地点、联系方式，在项目实施地的得3分，其他地方的得1分。（提供租赁合同或合作协议）</w:t>
            </w:r>
          </w:p>
        </w:tc>
        <w:tc>
          <w:tcPr>
            <w:tcW w:w="428" w:type="pct"/>
            <w:vMerge w:val="continue"/>
            <w:vAlign w:val="center"/>
          </w:tcPr>
          <w:p>
            <w:pPr>
              <w:widowControl/>
              <w:jc w:val="center"/>
              <w:rPr>
                <w:rFonts w:ascii="微软雅黑" w:hAnsi="微软雅黑" w:eastAsia="微软雅黑" w:cs="微软雅黑"/>
                <w:color w:val="auto"/>
                <w:kern w:val="0"/>
                <w:sz w:val="18"/>
                <w:szCs w:val="18"/>
                <w:highlight w:val="none"/>
              </w:rPr>
            </w:pPr>
          </w:p>
        </w:tc>
      </w:tr>
    </w:tbl>
    <w:p>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pPr>
        <w:rPr>
          <w:rFonts w:hint="eastAsia" w:ascii="微软雅黑" w:hAnsi="微软雅黑" w:eastAsia="微软雅黑" w:cs="微软雅黑"/>
          <w:color w:val="auto"/>
          <w:highlight w:val="none"/>
        </w:rPr>
      </w:pPr>
    </w:p>
    <w:p>
      <w:pPr>
        <w:pStyle w:val="2"/>
        <w:rPr>
          <w:rFonts w:hint="eastAsia" w:ascii="微软雅黑" w:hAnsi="微软雅黑" w:eastAsia="微软雅黑" w:cs="微软雅黑"/>
          <w:color w:val="auto"/>
          <w:highlight w:val="none"/>
        </w:rPr>
      </w:pPr>
    </w:p>
    <w:p>
      <w:pPr>
        <w:pStyle w:val="4"/>
        <w:rPr>
          <w:rFonts w:hint="eastAsia" w:ascii="微软雅黑" w:hAnsi="微软雅黑" w:eastAsia="微软雅黑" w:cs="微软雅黑"/>
          <w:b/>
          <w:color w:val="auto"/>
          <w:sz w:val="32"/>
          <w:highlight w:val="none"/>
        </w:rPr>
      </w:pPr>
    </w:p>
    <w:p>
      <w:pPr>
        <w:pStyle w:val="17"/>
        <w:rPr>
          <w:rFonts w:hint="eastAsia" w:ascii="微软雅黑" w:hAnsi="微软雅黑" w:eastAsia="微软雅黑" w:cs="微软雅黑"/>
          <w:color w:val="auto"/>
          <w:highlight w:val="none"/>
        </w:rPr>
      </w:pPr>
    </w:p>
    <w:p>
      <w:pPr>
        <w:pStyle w:val="17"/>
        <w:rPr>
          <w:rFonts w:hint="eastAsia" w:ascii="微软雅黑" w:hAnsi="微软雅黑" w:eastAsia="微软雅黑" w:cs="微软雅黑"/>
          <w:color w:val="auto"/>
          <w:highlight w:val="none"/>
        </w:rPr>
      </w:pPr>
    </w:p>
    <w:p>
      <w:pPr>
        <w:pStyle w:val="17"/>
        <w:rPr>
          <w:rFonts w:hint="eastAsia" w:ascii="微软雅黑" w:hAnsi="微软雅黑" w:eastAsia="微软雅黑" w:cs="微软雅黑"/>
          <w:color w:val="auto"/>
          <w:highlight w:val="none"/>
        </w:rPr>
      </w:pPr>
    </w:p>
    <w:p>
      <w:pPr>
        <w:pStyle w:val="17"/>
        <w:rPr>
          <w:rFonts w:hint="eastAsia" w:ascii="微软雅黑" w:hAnsi="微软雅黑" w:eastAsia="微软雅黑" w:cs="微软雅黑"/>
          <w:color w:val="auto"/>
          <w:highlight w:val="none"/>
        </w:rPr>
      </w:pPr>
    </w:p>
    <w:p>
      <w:pPr>
        <w:pStyle w:val="17"/>
        <w:rPr>
          <w:rFonts w:hint="eastAsia" w:ascii="微软雅黑" w:hAnsi="微软雅黑" w:eastAsia="微软雅黑" w:cs="微软雅黑"/>
          <w:color w:val="auto"/>
          <w:highlight w:val="none"/>
        </w:rPr>
      </w:pPr>
    </w:p>
    <w:p>
      <w:pPr>
        <w:pStyle w:val="17"/>
        <w:rPr>
          <w:rFonts w:hint="eastAsia" w:ascii="微软雅黑" w:hAnsi="微软雅黑" w:eastAsia="微软雅黑" w:cs="微软雅黑"/>
          <w:color w:val="auto"/>
          <w:highlight w:val="none"/>
        </w:rPr>
      </w:pPr>
    </w:p>
    <w:p>
      <w:pPr>
        <w:pStyle w:val="17"/>
        <w:rPr>
          <w:rFonts w:hint="eastAsia" w:ascii="微软雅黑" w:hAnsi="微软雅黑" w:eastAsia="微软雅黑" w:cs="微软雅黑"/>
          <w:color w:val="auto"/>
          <w:highlight w:val="none"/>
        </w:rPr>
      </w:pPr>
    </w:p>
    <w:p>
      <w:pPr>
        <w:spacing w:beforeAutospacing="0" w:afterAutospacing="0" w:line="240" w:lineRule="atLeast"/>
        <w:jc w:val="center"/>
        <w:rPr>
          <w:rFonts w:hint="eastAsia" w:ascii="微软雅黑" w:hAnsi="微软雅黑" w:eastAsia="微软雅黑" w:cs="微软雅黑"/>
          <w:b/>
          <w:color w:val="auto"/>
          <w:sz w:val="44"/>
          <w:szCs w:val="44"/>
          <w:highlight w:val="none"/>
        </w:rPr>
      </w:pPr>
    </w:p>
    <w:p>
      <w:pPr>
        <w:spacing w:beforeAutospacing="0" w:afterAutospacing="0" w:line="240" w:lineRule="atLeast"/>
        <w:jc w:val="center"/>
        <w:rPr>
          <w:rFonts w:hint="eastAsia" w:ascii="微软雅黑" w:hAnsi="微软雅黑" w:eastAsia="微软雅黑" w:cs="微软雅黑"/>
          <w:b/>
          <w:color w:val="auto"/>
          <w:sz w:val="44"/>
          <w:szCs w:val="44"/>
          <w:highlight w:val="none"/>
          <w:lang w:eastAsia="zh-CN"/>
        </w:rPr>
      </w:pPr>
      <w:r>
        <w:rPr>
          <w:rFonts w:hint="eastAsia" w:ascii="微软雅黑" w:hAnsi="微软雅黑" w:eastAsia="微软雅黑" w:cs="微软雅黑"/>
          <w:b/>
          <w:color w:val="auto"/>
          <w:sz w:val="44"/>
          <w:szCs w:val="44"/>
          <w:highlight w:val="none"/>
          <w:lang w:eastAsia="zh-CN"/>
        </w:rPr>
        <w:t>磋 商 文 件</w:t>
      </w:r>
    </w:p>
    <w:p>
      <w:pPr>
        <w:spacing w:beforeAutospacing="0" w:afterAutospacing="0" w:line="240" w:lineRule="atLeast"/>
        <w:jc w:val="center"/>
        <w:rPr>
          <w:rFonts w:hint="eastAsia" w:ascii="微软雅黑" w:hAnsi="微软雅黑" w:eastAsia="微软雅黑" w:cs="微软雅黑"/>
          <w:b/>
          <w:color w:val="auto"/>
          <w:sz w:val="40"/>
          <w:szCs w:val="40"/>
          <w:highlight w:val="none"/>
        </w:rPr>
      </w:pPr>
    </w:p>
    <w:p>
      <w:pPr>
        <w:spacing w:beforeAutospacing="0" w:afterAutospacing="0" w:line="240" w:lineRule="atLeast"/>
        <w:jc w:val="center"/>
        <w:rPr>
          <w:rFonts w:hint="eastAsia" w:ascii="微软雅黑" w:hAnsi="微软雅黑" w:eastAsia="微软雅黑" w:cs="微软雅黑"/>
          <w:b/>
          <w:color w:val="auto"/>
          <w:sz w:val="40"/>
          <w:szCs w:val="40"/>
          <w:highlight w:val="none"/>
          <w:lang w:val="en-US" w:eastAsia="zh-CN"/>
        </w:rPr>
      </w:pPr>
      <w:r>
        <w:rPr>
          <w:rFonts w:hint="eastAsia" w:ascii="微软雅黑" w:hAnsi="微软雅黑" w:eastAsia="微软雅黑" w:cs="微软雅黑"/>
          <w:b/>
          <w:color w:val="auto"/>
          <w:sz w:val="40"/>
          <w:szCs w:val="40"/>
          <w:highlight w:val="none"/>
        </w:rPr>
        <w:t>项目编号：</w:t>
      </w:r>
      <w:r>
        <w:rPr>
          <w:rFonts w:hint="eastAsia" w:ascii="微软雅黑" w:hAnsi="微软雅黑" w:eastAsia="微软雅黑" w:cs="微软雅黑"/>
          <w:b/>
          <w:color w:val="auto"/>
          <w:sz w:val="40"/>
          <w:szCs w:val="40"/>
          <w:highlight w:val="none"/>
          <w:lang w:eastAsia="zh-CN"/>
        </w:rPr>
        <w:t>23GJ-(CS)004</w:t>
      </w:r>
    </w:p>
    <w:p>
      <w:pPr>
        <w:pStyle w:val="4"/>
        <w:rPr>
          <w:rFonts w:hint="eastAsia" w:ascii="微软雅黑" w:hAnsi="微软雅黑" w:eastAsia="微软雅黑" w:cs="微软雅黑"/>
          <w:color w:val="auto"/>
          <w:highlight w:val="none"/>
        </w:rPr>
      </w:pPr>
    </w:p>
    <w:p>
      <w:pPr>
        <w:pStyle w:val="4"/>
        <w:rPr>
          <w:rFonts w:hint="eastAsia" w:ascii="微软雅黑" w:hAnsi="微软雅黑" w:eastAsia="微软雅黑" w:cs="微软雅黑"/>
          <w:color w:val="auto"/>
          <w:highlight w:val="none"/>
        </w:rPr>
      </w:pPr>
    </w:p>
    <w:p>
      <w:pPr>
        <w:spacing w:beforeAutospacing="0" w:afterAutospacing="0" w:line="240" w:lineRule="atLeast"/>
        <w:jc w:val="center"/>
        <w:outlineLvl w:val="9"/>
        <w:rPr>
          <w:rFonts w:hint="eastAsia" w:ascii="微软雅黑" w:hAnsi="微软雅黑" w:eastAsia="微软雅黑" w:cs="微软雅黑"/>
          <w:b/>
          <w:color w:val="auto"/>
          <w:sz w:val="40"/>
          <w:szCs w:val="40"/>
          <w:highlight w:val="none"/>
        </w:rPr>
      </w:pPr>
      <w:bookmarkStart w:id="910" w:name="_Toc30135"/>
      <w:bookmarkEnd w:id="910"/>
      <w:bookmarkStart w:id="911" w:name="_Toc29605"/>
      <w:bookmarkEnd w:id="911"/>
      <w:bookmarkStart w:id="912" w:name="_Toc4522"/>
      <w:bookmarkEnd w:id="912"/>
      <w:bookmarkStart w:id="913" w:name="_Toc17537"/>
      <w:bookmarkEnd w:id="913"/>
      <w:bookmarkStart w:id="914" w:name="_Toc24544"/>
      <w:bookmarkEnd w:id="914"/>
      <w:bookmarkStart w:id="915" w:name="_Toc8381"/>
      <w:bookmarkEnd w:id="915"/>
      <w:bookmarkStart w:id="916" w:name="_Toc25236"/>
      <w:bookmarkEnd w:id="916"/>
      <w:bookmarkStart w:id="917" w:name="_Toc7062"/>
      <w:bookmarkEnd w:id="917"/>
      <w:bookmarkStart w:id="918" w:name="_Toc16427"/>
      <w:bookmarkEnd w:id="918"/>
      <w:bookmarkStart w:id="919" w:name="_Toc20854"/>
      <w:bookmarkEnd w:id="919"/>
      <w:bookmarkStart w:id="920" w:name="_Toc11428"/>
      <w:bookmarkEnd w:id="920"/>
      <w:bookmarkStart w:id="921" w:name="_Toc10296"/>
      <w:bookmarkEnd w:id="921"/>
      <w:bookmarkStart w:id="922" w:name="_Toc8709"/>
      <w:bookmarkEnd w:id="922"/>
      <w:bookmarkStart w:id="923" w:name="_Toc997"/>
      <w:bookmarkEnd w:id="923"/>
      <w:bookmarkStart w:id="924" w:name="_Toc22799"/>
      <w:bookmarkEnd w:id="924"/>
      <w:bookmarkStart w:id="925" w:name="_Toc5580"/>
      <w:bookmarkEnd w:id="925"/>
      <w:bookmarkStart w:id="926" w:name="_Toc28750"/>
      <w:bookmarkEnd w:id="926"/>
      <w:bookmarkStart w:id="927" w:name="_Toc25543"/>
      <w:bookmarkEnd w:id="927"/>
      <w:r>
        <w:rPr>
          <w:rFonts w:hint="eastAsia" w:ascii="微软雅黑" w:hAnsi="微软雅黑" w:eastAsia="微软雅黑" w:cs="微软雅黑"/>
          <w:b/>
          <w:color w:val="auto"/>
          <w:sz w:val="40"/>
          <w:szCs w:val="40"/>
          <w:highlight w:val="none"/>
        </w:rPr>
        <w:t>第 三 册</w:t>
      </w:r>
    </w:p>
    <w:p>
      <w:pPr>
        <w:spacing w:beforeAutospacing="0" w:afterAutospacing="0" w:line="240" w:lineRule="atLeast"/>
        <w:jc w:val="center"/>
        <w:rPr>
          <w:rFonts w:hint="eastAsia" w:ascii="微软雅黑" w:hAnsi="微软雅黑" w:eastAsia="微软雅黑" w:cs="微软雅黑"/>
          <w:b/>
          <w:color w:val="auto"/>
          <w:sz w:val="32"/>
          <w:highlight w:val="none"/>
        </w:rPr>
      </w:pPr>
    </w:p>
    <w:p>
      <w:pPr>
        <w:spacing w:beforeAutospacing="0" w:afterAutospacing="0" w:line="240" w:lineRule="atLeast"/>
        <w:ind w:left="1080" w:leftChars="257" w:hanging="540"/>
        <w:jc w:val="center"/>
        <w:rPr>
          <w:rFonts w:hint="eastAsia" w:ascii="微软雅黑" w:hAnsi="微软雅黑" w:eastAsia="微软雅黑" w:cs="微软雅黑"/>
          <w:b/>
          <w:color w:val="auto"/>
          <w:sz w:val="52"/>
          <w:highlight w:val="none"/>
        </w:rPr>
      </w:pPr>
    </w:p>
    <w:p>
      <w:pPr>
        <w:spacing w:beforeAutospacing="0" w:afterAutospacing="0" w:line="240" w:lineRule="atLeast"/>
        <w:ind w:left="1080" w:leftChars="257" w:hanging="540"/>
        <w:jc w:val="center"/>
        <w:rPr>
          <w:rFonts w:hint="eastAsia" w:ascii="微软雅黑" w:hAnsi="微软雅黑" w:eastAsia="微软雅黑" w:cs="微软雅黑"/>
          <w:b/>
          <w:color w:val="auto"/>
          <w:sz w:val="52"/>
          <w:highlight w:val="none"/>
        </w:rPr>
      </w:pPr>
    </w:p>
    <w:p>
      <w:pPr>
        <w:spacing w:beforeAutospacing="0" w:afterAutospacing="0" w:line="240" w:lineRule="atLeast"/>
        <w:ind w:left="1080" w:leftChars="257" w:hanging="540"/>
        <w:jc w:val="center"/>
        <w:rPr>
          <w:rFonts w:hint="eastAsia" w:ascii="微软雅黑" w:hAnsi="微软雅黑" w:eastAsia="微软雅黑" w:cs="微软雅黑"/>
          <w:b/>
          <w:color w:val="auto"/>
          <w:sz w:val="52"/>
          <w:highlight w:val="none"/>
        </w:rPr>
      </w:pPr>
    </w:p>
    <w:p>
      <w:pPr>
        <w:pStyle w:val="4"/>
        <w:rPr>
          <w:rFonts w:hint="eastAsia" w:ascii="微软雅黑" w:hAnsi="微软雅黑" w:eastAsia="微软雅黑" w:cs="微软雅黑"/>
          <w:b/>
          <w:color w:val="auto"/>
          <w:sz w:val="52"/>
          <w:highlight w:val="none"/>
        </w:rPr>
      </w:pPr>
    </w:p>
    <w:p>
      <w:pPr>
        <w:spacing w:beforeAutospacing="0" w:afterAutospacing="0" w:line="240" w:lineRule="atLeast"/>
        <w:jc w:val="both"/>
        <w:rPr>
          <w:rFonts w:hint="eastAsia" w:ascii="微软雅黑" w:hAnsi="微软雅黑" w:eastAsia="微软雅黑" w:cs="微软雅黑"/>
          <w:b/>
          <w:color w:val="auto"/>
          <w:sz w:val="52"/>
          <w:highlight w:val="none"/>
        </w:rPr>
        <w:sectPr>
          <w:headerReference r:id="rId7" w:type="default"/>
          <w:pgSz w:w="11907" w:h="16840"/>
          <w:pgMar w:top="1474" w:right="1814" w:bottom="1474" w:left="1814" w:header="851" w:footer="851" w:gutter="0"/>
          <w:pgNumType w:fmt="decimal"/>
          <w:cols w:space="720" w:num="1"/>
          <w:docGrid w:linePitch="462" w:charSpace="0"/>
        </w:sectPr>
      </w:pPr>
    </w:p>
    <w:p>
      <w:pPr>
        <w:pStyle w:val="6"/>
        <w:rPr>
          <w:rFonts w:hint="eastAsia" w:ascii="微软雅黑" w:hAnsi="微软雅黑" w:eastAsia="微软雅黑" w:cs="微软雅黑"/>
          <w:color w:val="auto"/>
          <w:highlight w:val="none"/>
        </w:rPr>
      </w:pPr>
      <w:bookmarkStart w:id="928" w:name="_Toc6865"/>
      <w:bookmarkEnd w:id="928"/>
      <w:bookmarkStart w:id="929" w:name="_Hlt487972895"/>
      <w:bookmarkEnd w:id="929"/>
      <w:bookmarkStart w:id="930" w:name="_Toc4796"/>
      <w:bookmarkEnd w:id="930"/>
      <w:bookmarkStart w:id="931" w:name="_Toc32068"/>
      <w:bookmarkEnd w:id="931"/>
      <w:bookmarkStart w:id="932" w:name="_Toc515647833"/>
      <w:bookmarkEnd w:id="932"/>
      <w:bookmarkStart w:id="933" w:name="_Toc12089"/>
      <w:bookmarkEnd w:id="933"/>
      <w:bookmarkStart w:id="934" w:name="_Toc16598"/>
      <w:r>
        <w:rPr>
          <w:rFonts w:hint="eastAsia" w:ascii="微软雅黑" w:hAnsi="微软雅黑" w:eastAsia="微软雅黑" w:cs="微软雅黑"/>
          <w:color w:val="auto"/>
          <w:highlight w:val="none"/>
        </w:rPr>
        <w:t>第7章 政府采购合同</w:t>
      </w:r>
      <w:bookmarkEnd w:id="934"/>
    </w:p>
    <w:p>
      <w:pPr>
        <w:rPr>
          <w:rFonts w:hint="eastAsia" w:ascii="微软雅黑" w:hAnsi="微软雅黑" w:eastAsia="微软雅黑" w:cs="微软雅黑"/>
          <w:color w:val="auto"/>
          <w:highlight w:val="none"/>
        </w:rPr>
      </w:pPr>
    </w:p>
    <w:p>
      <w:pPr>
        <w:spacing w:line="40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合同编号：</w:t>
      </w:r>
      <w:r>
        <w:rPr>
          <w:rFonts w:hint="eastAsia" w:ascii="微软雅黑" w:hAnsi="微软雅黑" w:eastAsia="微软雅黑" w:cs="微软雅黑"/>
          <w:color w:val="auto"/>
          <w:sz w:val="24"/>
          <w:highlight w:val="none"/>
          <w:u w:val="single"/>
        </w:rPr>
        <w:t xml:space="preserve">           </w:t>
      </w:r>
    </w:p>
    <w:p>
      <w:pPr>
        <w:spacing w:line="400" w:lineRule="exact"/>
        <w:jc w:val="center"/>
        <w:rPr>
          <w:rFonts w:hint="eastAsia" w:ascii="微软雅黑" w:hAnsi="微软雅黑" w:eastAsia="微软雅黑" w:cs="微软雅黑"/>
          <w:b/>
          <w:color w:val="auto"/>
          <w:sz w:val="28"/>
          <w:szCs w:val="28"/>
          <w:highlight w:val="none"/>
        </w:rPr>
      </w:pPr>
    </w:p>
    <w:p>
      <w:pPr>
        <w:spacing w:line="400" w:lineRule="exact"/>
        <w:jc w:val="center"/>
        <w:rPr>
          <w:rFonts w:hint="eastAsia" w:ascii="微软雅黑" w:hAnsi="微软雅黑" w:eastAsia="微软雅黑" w:cs="微软雅黑"/>
          <w:b/>
          <w:color w:val="auto"/>
          <w:sz w:val="28"/>
          <w:szCs w:val="28"/>
          <w:highlight w:val="none"/>
        </w:rPr>
      </w:pPr>
    </w:p>
    <w:p>
      <w:pPr>
        <w:spacing w:line="500" w:lineRule="exact"/>
        <w:jc w:val="center"/>
        <w:rPr>
          <w:rFonts w:hint="eastAsia" w:ascii="微软雅黑" w:hAnsi="微软雅黑" w:eastAsia="微软雅黑" w:cs="微软雅黑"/>
          <w:b/>
          <w:color w:val="auto"/>
          <w:sz w:val="28"/>
          <w:szCs w:val="28"/>
          <w:highlight w:val="none"/>
        </w:rPr>
      </w:pPr>
    </w:p>
    <w:p>
      <w:pPr>
        <w:spacing w:line="500" w:lineRule="exact"/>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政府采购合同参考范本</w:t>
      </w:r>
    </w:p>
    <w:p>
      <w:pPr>
        <w:spacing w:line="500" w:lineRule="exact"/>
        <w:jc w:val="cente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（服务类）</w:t>
      </w:r>
    </w:p>
    <w:p>
      <w:pPr>
        <w:pStyle w:val="32"/>
        <w:spacing w:line="400" w:lineRule="exact"/>
        <w:ind w:firstLine="0"/>
        <w:rPr>
          <w:rFonts w:hint="eastAsia" w:ascii="微软雅黑" w:hAnsi="微软雅黑" w:eastAsia="微软雅黑" w:cs="微软雅黑"/>
          <w:color w:val="auto"/>
          <w:szCs w:val="24"/>
          <w:highlight w:val="none"/>
        </w:rPr>
      </w:pPr>
    </w:p>
    <w:p>
      <w:pPr>
        <w:pStyle w:val="32"/>
        <w:spacing w:line="400" w:lineRule="exact"/>
        <w:ind w:firstLine="0"/>
        <w:rPr>
          <w:rFonts w:hint="eastAsia" w:ascii="微软雅黑" w:hAnsi="微软雅黑" w:eastAsia="微软雅黑" w:cs="微软雅黑"/>
          <w:color w:val="auto"/>
          <w:szCs w:val="24"/>
          <w:highlight w:val="none"/>
        </w:rPr>
      </w:pPr>
    </w:p>
    <w:p>
      <w:pPr>
        <w:pStyle w:val="32"/>
        <w:spacing w:line="400" w:lineRule="exact"/>
        <w:ind w:firstLine="0"/>
        <w:rPr>
          <w:rFonts w:hint="eastAsia" w:ascii="微软雅黑" w:hAnsi="微软雅黑" w:eastAsia="微软雅黑" w:cs="微软雅黑"/>
          <w:color w:val="auto"/>
          <w:szCs w:val="24"/>
          <w:highlight w:val="none"/>
        </w:rPr>
      </w:pPr>
    </w:p>
    <w:p>
      <w:pPr>
        <w:pStyle w:val="32"/>
        <w:spacing w:line="400" w:lineRule="exact"/>
        <w:ind w:firstLine="0"/>
        <w:jc w:val="center"/>
        <w:rPr>
          <w:rFonts w:hint="eastAsia" w:ascii="微软雅黑" w:hAnsi="微软雅黑" w:eastAsia="微软雅黑" w:cs="微软雅黑"/>
          <w:b/>
          <w:color w:val="auto"/>
          <w:szCs w:val="24"/>
          <w:highlight w:val="none"/>
        </w:rPr>
      </w:pPr>
      <w:r>
        <w:rPr>
          <w:rFonts w:hint="eastAsia" w:ascii="微软雅黑" w:hAnsi="微软雅黑" w:eastAsia="微软雅黑" w:cs="微软雅黑"/>
          <w:b/>
          <w:color w:val="auto"/>
          <w:szCs w:val="24"/>
          <w:highlight w:val="none"/>
        </w:rPr>
        <w:t>第一部分 合同书</w:t>
      </w:r>
    </w:p>
    <w:p>
      <w:pPr>
        <w:pStyle w:val="32"/>
        <w:spacing w:line="400" w:lineRule="exact"/>
        <w:ind w:firstLine="0"/>
        <w:rPr>
          <w:rFonts w:hint="eastAsia" w:ascii="微软雅黑" w:hAnsi="微软雅黑" w:eastAsia="微软雅黑" w:cs="微软雅黑"/>
          <w:color w:val="auto"/>
          <w:szCs w:val="24"/>
          <w:highlight w:val="none"/>
        </w:rPr>
      </w:pPr>
    </w:p>
    <w:p>
      <w:pPr>
        <w:pStyle w:val="32"/>
        <w:spacing w:line="400" w:lineRule="exact"/>
        <w:ind w:firstLine="0"/>
        <w:rPr>
          <w:rFonts w:hint="eastAsia" w:ascii="微软雅黑" w:hAnsi="微软雅黑" w:eastAsia="微软雅黑" w:cs="微软雅黑"/>
          <w:color w:val="auto"/>
          <w:szCs w:val="24"/>
          <w:highlight w:val="none"/>
        </w:rPr>
      </w:pPr>
    </w:p>
    <w:p>
      <w:pPr>
        <w:spacing w:before="120" w:line="400" w:lineRule="exact"/>
        <w:rPr>
          <w:rFonts w:hint="eastAsia" w:ascii="微软雅黑" w:hAnsi="微软雅黑" w:eastAsia="微软雅黑" w:cs="微软雅黑"/>
          <w:color w:val="auto"/>
          <w:sz w:val="24"/>
          <w:highlight w:val="none"/>
        </w:rPr>
      </w:pPr>
    </w:p>
    <w:p>
      <w:pPr>
        <w:spacing w:before="120" w:line="400" w:lineRule="exact"/>
        <w:ind w:left="96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u w:val="single"/>
        </w:rPr>
        <w:t xml:space="preserve">                                   </w:t>
      </w:r>
    </w:p>
    <w:p>
      <w:pPr>
        <w:pStyle w:val="33"/>
        <w:spacing w:before="120" w:line="400" w:lineRule="exact"/>
        <w:rPr>
          <w:rFonts w:hint="eastAsia" w:ascii="微软雅黑" w:hAnsi="微软雅黑" w:eastAsia="微软雅黑" w:cs="微软雅黑"/>
          <w:color w:val="auto"/>
          <w:szCs w:val="24"/>
          <w:highlight w:val="none"/>
        </w:rPr>
      </w:pPr>
    </w:p>
    <w:p>
      <w:pPr>
        <w:spacing w:line="400" w:lineRule="exact"/>
        <w:rPr>
          <w:rFonts w:hint="eastAsia" w:ascii="微软雅黑" w:hAnsi="微软雅黑" w:eastAsia="微软雅黑" w:cs="微软雅黑"/>
          <w:color w:val="auto"/>
          <w:highlight w:val="none"/>
        </w:rPr>
      </w:pPr>
    </w:p>
    <w:p>
      <w:pPr>
        <w:spacing w:before="120" w:line="400" w:lineRule="exact"/>
        <w:ind w:left="96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甲方：</w:t>
      </w:r>
      <w:r>
        <w:rPr>
          <w:rFonts w:hint="eastAsia" w:ascii="微软雅黑" w:hAnsi="微软雅黑" w:eastAsia="微软雅黑" w:cs="微软雅黑"/>
          <w:color w:val="auto"/>
          <w:sz w:val="24"/>
          <w:highlight w:val="none"/>
          <w:u w:val="single"/>
        </w:rPr>
        <w:t xml:space="preserve">                                       </w:t>
      </w:r>
    </w:p>
    <w:p>
      <w:pPr>
        <w:spacing w:before="120" w:line="400" w:lineRule="exact"/>
        <w:rPr>
          <w:rFonts w:hint="eastAsia" w:ascii="微软雅黑" w:hAnsi="微软雅黑" w:eastAsia="微软雅黑" w:cs="微软雅黑"/>
          <w:color w:val="auto"/>
          <w:sz w:val="24"/>
          <w:highlight w:val="none"/>
        </w:rPr>
      </w:pPr>
    </w:p>
    <w:p>
      <w:pPr>
        <w:spacing w:before="120" w:line="400" w:lineRule="exact"/>
        <w:ind w:left="96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乙方：</w:t>
      </w:r>
      <w:r>
        <w:rPr>
          <w:rFonts w:hint="eastAsia" w:ascii="微软雅黑" w:hAnsi="微软雅黑" w:eastAsia="微软雅黑" w:cs="微软雅黑"/>
          <w:color w:val="auto"/>
          <w:sz w:val="24"/>
          <w:highlight w:val="none"/>
          <w:u w:val="single"/>
        </w:rPr>
        <w:t xml:space="preserve">                                       </w:t>
      </w:r>
    </w:p>
    <w:p>
      <w:pPr>
        <w:spacing w:before="120" w:line="400" w:lineRule="exact"/>
        <w:rPr>
          <w:rFonts w:hint="eastAsia" w:ascii="微软雅黑" w:hAnsi="微软雅黑" w:eastAsia="微软雅黑" w:cs="微软雅黑"/>
          <w:color w:val="auto"/>
          <w:sz w:val="24"/>
          <w:highlight w:val="none"/>
        </w:rPr>
      </w:pPr>
    </w:p>
    <w:p>
      <w:pPr>
        <w:spacing w:before="120" w:line="400" w:lineRule="exact"/>
        <w:ind w:firstLine="960" w:firstLineChars="40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签订地：</w:t>
      </w:r>
      <w:r>
        <w:rPr>
          <w:rFonts w:hint="eastAsia" w:ascii="微软雅黑" w:hAnsi="微软雅黑" w:eastAsia="微软雅黑" w:cs="微软雅黑"/>
          <w:color w:val="auto"/>
          <w:sz w:val="24"/>
          <w:highlight w:val="none"/>
          <w:u w:val="single"/>
        </w:rPr>
        <w:t xml:space="preserve">                                     </w:t>
      </w:r>
    </w:p>
    <w:p>
      <w:pPr>
        <w:spacing w:before="120" w:line="400" w:lineRule="exact"/>
        <w:rPr>
          <w:rFonts w:hint="eastAsia" w:ascii="微软雅黑" w:hAnsi="微软雅黑" w:eastAsia="微软雅黑" w:cs="微软雅黑"/>
          <w:color w:val="auto"/>
          <w:sz w:val="24"/>
          <w:highlight w:val="none"/>
        </w:rPr>
      </w:pPr>
    </w:p>
    <w:p>
      <w:pPr>
        <w:spacing w:before="120" w:line="400" w:lineRule="exact"/>
        <w:ind w:firstLine="960" w:firstLineChars="40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签订日期：</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日</w:t>
      </w:r>
    </w:p>
    <w:p>
      <w:pPr>
        <w:autoSpaceDE w:val="0"/>
        <w:autoSpaceDN w:val="0"/>
        <w:adjustRightInd w:val="0"/>
        <w:spacing w:line="400" w:lineRule="exact"/>
        <w:ind w:firstLine="640"/>
        <w:jc w:val="center"/>
        <w:rPr>
          <w:rFonts w:hint="eastAsia" w:ascii="微软雅黑" w:hAnsi="微软雅黑" w:eastAsia="微软雅黑" w:cs="微软雅黑"/>
          <w:color w:val="auto"/>
          <w:sz w:val="24"/>
          <w:highlight w:val="none"/>
        </w:rPr>
        <w:sectPr>
          <w:headerReference r:id="rId9" w:type="first"/>
          <w:footerReference r:id="rId12" w:type="first"/>
          <w:footerReference r:id="rId10" w:type="default"/>
          <w:headerReference r:id="rId8" w:type="even"/>
          <w:footerReference r:id="rId11" w:type="even"/>
          <w:pgSz w:w="11907" w:h="16840"/>
          <w:pgMar w:top="1474" w:right="1814" w:bottom="1474" w:left="1814" w:header="851" w:footer="851" w:gutter="0"/>
          <w:pgNumType w:fmt="decimal"/>
          <w:cols w:space="720" w:num="1"/>
          <w:docGrid w:linePitch="462" w:charSpace="0"/>
        </w:sectPr>
      </w:pP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lang w:val="zh-CN"/>
        </w:rPr>
        <w:t xml:space="preserve">        </w:t>
      </w:r>
      <w:r>
        <w:rPr>
          <w:rFonts w:hint="eastAsia" w:ascii="微软雅黑" w:hAnsi="微软雅黑" w:eastAsia="微软雅黑" w:cs="微软雅黑"/>
          <w:color w:val="auto"/>
          <w:sz w:val="24"/>
          <w:highlight w:val="none"/>
          <w:lang w:val="zh-CN"/>
        </w:rPr>
        <w:t>年</w:t>
      </w:r>
      <w:r>
        <w:rPr>
          <w:rFonts w:hint="eastAsia" w:ascii="微软雅黑" w:hAnsi="微软雅黑" w:eastAsia="微软雅黑" w:cs="微软雅黑"/>
          <w:color w:val="auto"/>
          <w:sz w:val="24"/>
          <w:highlight w:val="none"/>
          <w:u w:val="single"/>
          <w:lang w:val="zh-CN"/>
        </w:rPr>
        <w:t xml:space="preserve">    </w:t>
      </w:r>
      <w:r>
        <w:rPr>
          <w:rFonts w:hint="eastAsia" w:ascii="微软雅黑" w:hAnsi="微软雅黑" w:eastAsia="微软雅黑" w:cs="微软雅黑"/>
          <w:color w:val="auto"/>
          <w:sz w:val="24"/>
          <w:highlight w:val="none"/>
          <w:lang w:val="zh-CN"/>
        </w:rPr>
        <w:t>月</w:t>
      </w:r>
      <w:r>
        <w:rPr>
          <w:rFonts w:hint="eastAsia" w:ascii="微软雅黑" w:hAnsi="微软雅黑" w:eastAsia="微软雅黑" w:cs="微软雅黑"/>
          <w:color w:val="auto"/>
          <w:sz w:val="24"/>
          <w:highlight w:val="none"/>
          <w:u w:val="single"/>
          <w:lang w:val="zh-CN"/>
        </w:rPr>
        <w:t xml:space="preserve">    </w:t>
      </w:r>
      <w:r>
        <w:rPr>
          <w:rFonts w:hint="eastAsia" w:ascii="微软雅黑" w:hAnsi="微软雅黑" w:eastAsia="微软雅黑" w:cs="微软雅黑"/>
          <w:color w:val="auto"/>
          <w:sz w:val="24"/>
          <w:highlight w:val="none"/>
          <w:lang w:val="zh-CN"/>
        </w:rPr>
        <w:t>日</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 xml:space="preserve">   （采购人名称）   </w:t>
      </w:r>
      <w:r>
        <w:rPr>
          <w:rFonts w:hint="eastAsia" w:ascii="微软雅黑" w:hAnsi="微软雅黑" w:eastAsia="微软雅黑" w:cs="微软雅黑"/>
          <w:color w:val="auto"/>
          <w:sz w:val="24"/>
          <w:highlight w:val="none"/>
        </w:rPr>
        <w:t>以</w:t>
      </w:r>
      <w:r>
        <w:rPr>
          <w:rFonts w:hint="eastAsia" w:ascii="微软雅黑" w:hAnsi="微软雅黑" w:eastAsia="微软雅黑" w:cs="微软雅黑"/>
          <w:color w:val="auto"/>
          <w:sz w:val="24"/>
          <w:highlight w:val="none"/>
          <w:u w:val="single"/>
        </w:rPr>
        <w:t xml:space="preserve">   （政府采购方式）  </w:t>
      </w:r>
      <w:r>
        <w:rPr>
          <w:rFonts w:hint="eastAsia" w:ascii="微软雅黑" w:hAnsi="微软雅黑" w:eastAsia="微软雅黑" w:cs="微软雅黑"/>
          <w:color w:val="auto"/>
          <w:sz w:val="24"/>
          <w:highlight w:val="none"/>
        </w:rPr>
        <w:t>对</w:t>
      </w:r>
      <w:r>
        <w:rPr>
          <w:rFonts w:hint="eastAsia" w:ascii="微软雅黑" w:hAnsi="微软雅黑" w:eastAsia="微软雅黑" w:cs="微软雅黑"/>
          <w:color w:val="auto"/>
          <w:sz w:val="24"/>
          <w:highlight w:val="none"/>
          <w:u w:val="single"/>
        </w:rPr>
        <w:t xml:space="preserve">   （同前页项目名称）   </w:t>
      </w:r>
      <w:r>
        <w:rPr>
          <w:rFonts w:hint="eastAsia" w:ascii="微软雅黑" w:hAnsi="微软雅黑" w:eastAsia="微软雅黑" w:cs="微软雅黑"/>
          <w:color w:val="auto"/>
          <w:sz w:val="24"/>
          <w:highlight w:val="none"/>
        </w:rPr>
        <w:t>项目进行了采购。经</w:t>
      </w:r>
      <w:r>
        <w:rPr>
          <w:rFonts w:hint="eastAsia" w:ascii="微软雅黑" w:hAnsi="微软雅黑" w:eastAsia="微软雅黑" w:cs="微软雅黑"/>
          <w:color w:val="auto"/>
          <w:sz w:val="24"/>
          <w:highlight w:val="none"/>
          <w:u w:val="single"/>
        </w:rPr>
        <w:t xml:space="preserve">   （相关评定主体名称）   </w:t>
      </w:r>
      <w:r>
        <w:rPr>
          <w:rFonts w:hint="eastAsia" w:ascii="微软雅黑" w:hAnsi="微软雅黑" w:eastAsia="微软雅黑" w:cs="微软雅黑"/>
          <w:color w:val="auto"/>
          <w:sz w:val="24"/>
          <w:highlight w:val="none"/>
        </w:rPr>
        <w:t>评定，</w:t>
      </w:r>
      <w:r>
        <w:rPr>
          <w:rFonts w:hint="eastAsia" w:ascii="微软雅黑" w:hAnsi="微软雅黑" w:eastAsia="微软雅黑" w:cs="微软雅黑"/>
          <w:color w:val="auto"/>
          <w:sz w:val="24"/>
          <w:highlight w:val="none"/>
          <w:u w:val="single"/>
        </w:rPr>
        <w:t xml:space="preserve">   （成交供应商名称） </w:t>
      </w:r>
      <w:r>
        <w:rPr>
          <w:rFonts w:hint="eastAsia" w:ascii="微软雅黑" w:hAnsi="微软雅黑" w:eastAsia="微软雅黑" w:cs="微软雅黑"/>
          <w:color w:val="auto"/>
          <w:sz w:val="24"/>
          <w:highlight w:val="none"/>
        </w:rPr>
        <w:t>为该项目成交供应商。现于成交通知书发出之日起三十日内，按照采购文件确定的事项签订本合同。</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color w:val="auto"/>
          <w:sz w:val="24"/>
          <w:highlight w:val="none"/>
          <w:u w:val="single"/>
        </w:rPr>
        <w:t xml:space="preserve">   （采购人名称）   </w:t>
      </w:r>
      <w:r>
        <w:rPr>
          <w:rFonts w:hint="eastAsia" w:ascii="微软雅黑" w:hAnsi="微软雅黑" w:eastAsia="微软雅黑" w:cs="微软雅黑"/>
          <w:color w:val="auto"/>
          <w:sz w:val="24"/>
          <w:highlight w:val="none"/>
          <w:lang w:val="zh-CN"/>
        </w:rPr>
        <w:t>(以下简称：甲方)和</w:t>
      </w:r>
      <w:r>
        <w:rPr>
          <w:rFonts w:hint="eastAsia" w:ascii="微软雅黑" w:hAnsi="微软雅黑" w:eastAsia="微软雅黑" w:cs="微软雅黑"/>
          <w:color w:val="auto"/>
          <w:sz w:val="24"/>
          <w:highlight w:val="none"/>
          <w:u w:val="single"/>
        </w:rPr>
        <w:t xml:space="preserve">   （成交供应商名称）   </w:t>
      </w:r>
      <w:r>
        <w:rPr>
          <w:rFonts w:hint="eastAsia" w:ascii="微软雅黑" w:hAnsi="微软雅黑" w:eastAsia="微软雅黑" w:cs="微软雅黑"/>
          <w:color w:val="auto"/>
          <w:sz w:val="24"/>
          <w:highlight w:val="none"/>
          <w:lang w:val="zh-CN"/>
        </w:rPr>
        <w:t>(以下简称：乙方)协商一致，约定以下合同</w:t>
      </w:r>
      <w:r>
        <w:rPr>
          <w:rFonts w:hint="eastAsia" w:ascii="微软雅黑" w:hAnsi="微软雅黑" w:eastAsia="微软雅黑" w:cs="微软雅黑"/>
          <w:color w:val="auto"/>
          <w:sz w:val="24"/>
          <w:highlight w:val="none"/>
        </w:rPr>
        <w:t>条款，以兹共同遵守、全面履行。</w:t>
      </w:r>
    </w:p>
    <w:p>
      <w:pPr>
        <w:spacing w:line="400" w:lineRule="exact"/>
        <w:ind w:firstLine="480" w:firstLineChars="200"/>
        <w:outlineLvl w:val="0"/>
        <w:rPr>
          <w:rFonts w:hint="eastAsia" w:ascii="微软雅黑" w:hAnsi="微软雅黑" w:eastAsia="微软雅黑" w:cs="微软雅黑"/>
          <w:color w:val="auto"/>
          <w:sz w:val="24"/>
          <w:highlight w:val="none"/>
        </w:rPr>
      </w:pPr>
      <w:bookmarkStart w:id="935" w:name="_Toc19273"/>
      <w:bookmarkStart w:id="936" w:name="_Toc28855"/>
      <w:bookmarkStart w:id="937" w:name="_Toc22342"/>
      <w:bookmarkStart w:id="938" w:name="_Toc1256"/>
      <w:bookmarkStart w:id="939" w:name="_Toc23100"/>
      <w:bookmarkStart w:id="940" w:name="_Toc13594"/>
      <w:bookmarkStart w:id="941" w:name="_Toc20566"/>
      <w:bookmarkStart w:id="942" w:name="_Toc11864"/>
      <w:bookmarkStart w:id="943" w:name="_Toc20421"/>
      <w:bookmarkStart w:id="944" w:name="_Toc20041"/>
      <w:bookmarkStart w:id="945" w:name="_Toc30633"/>
      <w:bookmarkStart w:id="946" w:name="_Toc18383"/>
      <w:bookmarkStart w:id="947" w:name="_Toc3665"/>
      <w:bookmarkStart w:id="948" w:name="_Toc15367"/>
      <w:bookmarkStart w:id="949" w:name="_Toc8106"/>
      <w:bookmarkStart w:id="950" w:name="_Toc1880"/>
      <w:bookmarkStart w:id="951" w:name="_Toc5753"/>
      <w:bookmarkStart w:id="952" w:name="_Toc32571"/>
      <w:r>
        <w:rPr>
          <w:rFonts w:hint="eastAsia" w:ascii="微软雅黑" w:hAnsi="微软雅黑" w:eastAsia="微软雅黑" w:cs="微软雅黑"/>
          <w:b/>
          <w:color w:val="auto"/>
          <w:sz w:val="24"/>
          <w:highlight w:val="none"/>
        </w:rPr>
        <w:t>1.1 合同组成部分</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1.1.1 本合同及其补充合同、变更协议；</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1.1.2 成交通知书；</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1.1.3 磋商文件（含澄清或者说明文件）；</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1.1.4 磋商文件（含澄清或者修改文件）；</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1.1.5 其他相关采购文件。</w:t>
      </w:r>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953" w:name="_Toc6313"/>
      <w:bookmarkStart w:id="954" w:name="_Toc15104"/>
      <w:bookmarkStart w:id="955" w:name="_Toc6311"/>
      <w:bookmarkStart w:id="956" w:name="_Toc22185"/>
      <w:bookmarkStart w:id="957" w:name="_Toc1090"/>
      <w:bookmarkStart w:id="958" w:name="_Toc31498"/>
      <w:bookmarkStart w:id="959" w:name="_Toc6773"/>
      <w:bookmarkStart w:id="960" w:name="_Toc2918"/>
      <w:bookmarkStart w:id="961" w:name="_Toc23275"/>
      <w:bookmarkStart w:id="962" w:name="_Toc538"/>
      <w:bookmarkStart w:id="963" w:name="_Toc27911"/>
      <w:bookmarkStart w:id="964" w:name="_Toc24493"/>
      <w:bookmarkStart w:id="965" w:name="_Toc1944"/>
      <w:bookmarkStart w:id="966" w:name="_Toc12605"/>
      <w:bookmarkStart w:id="967" w:name="_Toc15369"/>
      <w:bookmarkStart w:id="968" w:name="_Toc18585"/>
      <w:bookmarkStart w:id="969" w:name="_Toc18571"/>
      <w:bookmarkStart w:id="970" w:name="_Toc28832"/>
      <w:bookmarkStart w:id="971" w:name="_Toc30602"/>
      <w:r>
        <w:rPr>
          <w:rFonts w:hint="eastAsia" w:ascii="微软雅黑" w:hAnsi="微软雅黑" w:eastAsia="微软雅黑" w:cs="微软雅黑"/>
          <w:b/>
          <w:color w:val="auto"/>
          <w:sz w:val="24"/>
          <w:highlight w:val="none"/>
        </w:rPr>
        <w:t>1.2 标的</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spacing w:line="400" w:lineRule="exact"/>
        <w:ind w:firstLine="480" w:firstLineChars="20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1.2.1 标的名称：</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pPr>
        <w:spacing w:line="400" w:lineRule="exact"/>
        <w:ind w:firstLine="480" w:firstLineChars="20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1.2.2 标的数量：</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1.2.3 标的质量：</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972" w:name="_Toc23906"/>
      <w:bookmarkStart w:id="973" w:name="_Toc23026"/>
      <w:bookmarkStart w:id="974" w:name="_Toc2888"/>
      <w:bookmarkStart w:id="975" w:name="_Toc17541"/>
      <w:bookmarkStart w:id="976" w:name="_Toc32314"/>
      <w:bookmarkStart w:id="977" w:name="_Toc4932"/>
      <w:bookmarkStart w:id="978" w:name="_Toc13918"/>
      <w:bookmarkStart w:id="979" w:name="_Toc13512"/>
      <w:bookmarkStart w:id="980" w:name="_Toc21124"/>
      <w:bookmarkStart w:id="981" w:name="_Toc4687"/>
      <w:bookmarkStart w:id="982" w:name="_Toc5635"/>
      <w:bookmarkStart w:id="983" w:name="_Toc17666"/>
      <w:bookmarkStart w:id="984" w:name="_Toc28143"/>
      <w:bookmarkStart w:id="985" w:name="_Toc1386"/>
      <w:bookmarkStart w:id="986" w:name="_Toc13554"/>
      <w:bookmarkStart w:id="987" w:name="_Toc27077"/>
      <w:bookmarkStart w:id="988" w:name="_Toc4929"/>
      <w:bookmarkStart w:id="989" w:name="_Toc30155"/>
      <w:bookmarkStart w:id="990" w:name="_Toc10671"/>
      <w:r>
        <w:rPr>
          <w:rFonts w:hint="eastAsia" w:ascii="微软雅黑" w:hAnsi="微软雅黑" w:eastAsia="微软雅黑" w:cs="微软雅黑"/>
          <w:b/>
          <w:color w:val="auto"/>
          <w:sz w:val="24"/>
          <w:highlight w:val="none"/>
        </w:rPr>
        <w:t>1.3 价款</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本合同总价为：￥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元（大写：</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元人民币）。</w:t>
      </w:r>
    </w:p>
    <w:p>
      <w:pPr>
        <w:spacing w:line="400" w:lineRule="exact"/>
        <w:ind w:firstLine="480" w:firstLineChars="20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分项价格：</w:t>
      </w:r>
    </w:p>
    <w:tbl>
      <w:tblPr>
        <w:tblStyle w:val="2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400" w:lineRule="exact"/>
              <w:jc w:val="center"/>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序号</w:t>
            </w:r>
          </w:p>
        </w:tc>
        <w:tc>
          <w:tcPr>
            <w:tcW w:w="3402" w:type="dxa"/>
            <w:vAlign w:val="center"/>
          </w:tcPr>
          <w:p>
            <w:pPr>
              <w:pStyle w:val="34"/>
              <w:spacing w:line="400" w:lineRule="exact"/>
              <w:ind w:firstLine="200"/>
              <w:jc w:val="center"/>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分项名称</w:t>
            </w:r>
          </w:p>
        </w:tc>
        <w:tc>
          <w:tcPr>
            <w:tcW w:w="2552" w:type="dxa"/>
            <w:vAlign w:val="center"/>
          </w:tcPr>
          <w:p>
            <w:pPr>
              <w:pStyle w:val="34"/>
              <w:spacing w:line="400" w:lineRule="exact"/>
              <w:jc w:val="center"/>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400" w:lineRule="exact"/>
              <w:ind w:firstLine="200"/>
              <w:jc w:val="center"/>
              <w:rPr>
                <w:rFonts w:hint="eastAsia" w:ascii="微软雅黑" w:hAnsi="微软雅黑" w:eastAsia="微软雅黑" w:cs="微软雅黑"/>
                <w:color w:val="auto"/>
                <w:kern w:val="2"/>
                <w:sz w:val="24"/>
                <w:szCs w:val="24"/>
                <w:highlight w:val="none"/>
              </w:rPr>
            </w:pPr>
          </w:p>
        </w:tc>
        <w:tc>
          <w:tcPr>
            <w:tcW w:w="3402" w:type="dxa"/>
            <w:vAlign w:val="center"/>
          </w:tcPr>
          <w:p>
            <w:pPr>
              <w:pStyle w:val="34"/>
              <w:spacing w:line="400" w:lineRule="exact"/>
              <w:ind w:firstLine="200"/>
              <w:jc w:val="center"/>
              <w:rPr>
                <w:rFonts w:hint="eastAsia" w:ascii="微软雅黑" w:hAnsi="微软雅黑" w:eastAsia="微软雅黑" w:cs="微软雅黑"/>
                <w:color w:val="auto"/>
                <w:kern w:val="2"/>
                <w:sz w:val="24"/>
                <w:szCs w:val="24"/>
                <w:highlight w:val="none"/>
              </w:rPr>
            </w:pPr>
          </w:p>
        </w:tc>
        <w:tc>
          <w:tcPr>
            <w:tcW w:w="2552" w:type="dxa"/>
            <w:vAlign w:val="center"/>
          </w:tcPr>
          <w:p>
            <w:pPr>
              <w:pStyle w:val="34"/>
              <w:spacing w:line="400" w:lineRule="exact"/>
              <w:ind w:firstLine="200"/>
              <w:jc w:val="center"/>
              <w:rPr>
                <w:rFonts w:hint="eastAsia"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400" w:lineRule="exact"/>
              <w:ind w:firstLine="200"/>
              <w:jc w:val="center"/>
              <w:rPr>
                <w:rFonts w:hint="eastAsia" w:ascii="微软雅黑" w:hAnsi="微软雅黑" w:eastAsia="微软雅黑" w:cs="微软雅黑"/>
                <w:color w:val="auto"/>
                <w:kern w:val="2"/>
                <w:sz w:val="24"/>
                <w:szCs w:val="24"/>
                <w:highlight w:val="none"/>
              </w:rPr>
            </w:pPr>
          </w:p>
        </w:tc>
        <w:tc>
          <w:tcPr>
            <w:tcW w:w="3402" w:type="dxa"/>
            <w:vAlign w:val="center"/>
          </w:tcPr>
          <w:p>
            <w:pPr>
              <w:pStyle w:val="34"/>
              <w:spacing w:line="400" w:lineRule="exact"/>
              <w:ind w:firstLine="200"/>
              <w:jc w:val="center"/>
              <w:rPr>
                <w:rFonts w:hint="eastAsia" w:ascii="微软雅黑" w:hAnsi="微软雅黑" w:eastAsia="微软雅黑" w:cs="微软雅黑"/>
                <w:color w:val="auto"/>
                <w:kern w:val="2"/>
                <w:sz w:val="24"/>
                <w:szCs w:val="24"/>
                <w:highlight w:val="none"/>
              </w:rPr>
            </w:pPr>
          </w:p>
        </w:tc>
        <w:tc>
          <w:tcPr>
            <w:tcW w:w="2552" w:type="dxa"/>
            <w:vAlign w:val="center"/>
          </w:tcPr>
          <w:p>
            <w:pPr>
              <w:pStyle w:val="34"/>
              <w:spacing w:line="400" w:lineRule="exact"/>
              <w:ind w:firstLine="200"/>
              <w:jc w:val="center"/>
              <w:rPr>
                <w:rFonts w:hint="eastAsia"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400" w:lineRule="exact"/>
              <w:ind w:firstLine="200"/>
              <w:jc w:val="center"/>
              <w:rPr>
                <w:rFonts w:hint="eastAsia" w:ascii="微软雅黑" w:hAnsi="微软雅黑" w:eastAsia="微软雅黑" w:cs="微软雅黑"/>
                <w:color w:val="auto"/>
                <w:kern w:val="2"/>
                <w:sz w:val="24"/>
                <w:szCs w:val="24"/>
                <w:highlight w:val="none"/>
              </w:rPr>
            </w:pPr>
          </w:p>
        </w:tc>
        <w:tc>
          <w:tcPr>
            <w:tcW w:w="3402" w:type="dxa"/>
            <w:vAlign w:val="center"/>
          </w:tcPr>
          <w:p>
            <w:pPr>
              <w:pStyle w:val="34"/>
              <w:spacing w:line="400" w:lineRule="exact"/>
              <w:ind w:firstLine="200"/>
              <w:jc w:val="center"/>
              <w:rPr>
                <w:rFonts w:hint="eastAsia" w:ascii="微软雅黑" w:hAnsi="微软雅黑" w:eastAsia="微软雅黑" w:cs="微软雅黑"/>
                <w:color w:val="auto"/>
                <w:kern w:val="2"/>
                <w:sz w:val="24"/>
                <w:szCs w:val="24"/>
                <w:highlight w:val="none"/>
              </w:rPr>
            </w:pPr>
          </w:p>
        </w:tc>
        <w:tc>
          <w:tcPr>
            <w:tcW w:w="2552" w:type="dxa"/>
            <w:vAlign w:val="center"/>
          </w:tcPr>
          <w:p>
            <w:pPr>
              <w:pStyle w:val="34"/>
              <w:spacing w:line="400" w:lineRule="exact"/>
              <w:ind w:firstLine="200"/>
              <w:jc w:val="center"/>
              <w:rPr>
                <w:rFonts w:hint="eastAsia"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400" w:lineRule="exact"/>
              <w:ind w:firstLine="200"/>
              <w:jc w:val="center"/>
              <w:rPr>
                <w:rFonts w:hint="eastAsia" w:ascii="微软雅黑" w:hAnsi="微软雅黑" w:eastAsia="微软雅黑" w:cs="微软雅黑"/>
                <w:color w:val="auto"/>
                <w:kern w:val="2"/>
                <w:sz w:val="24"/>
                <w:szCs w:val="24"/>
                <w:highlight w:val="none"/>
              </w:rPr>
            </w:pPr>
          </w:p>
        </w:tc>
        <w:tc>
          <w:tcPr>
            <w:tcW w:w="3402" w:type="dxa"/>
            <w:vAlign w:val="center"/>
          </w:tcPr>
          <w:p>
            <w:pPr>
              <w:pStyle w:val="34"/>
              <w:spacing w:line="400" w:lineRule="exact"/>
              <w:ind w:firstLine="200"/>
              <w:jc w:val="center"/>
              <w:rPr>
                <w:rFonts w:hint="eastAsia" w:ascii="微软雅黑" w:hAnsi="微软雅黑" w:eastAsia="微软雅黑" w:cs="微软雅黑"/>
                <w:color w:val="auto"/>
                <w:kern w:val="2"/>
                <w:sz w:val="24"/>
                <w:szCs w:val="24"/>
                <w:highlight w:val="none"/>
              </w:rPr>
            </w:pPr>
          </w:p>
        </w:tc>
        <w:tc>
          <w:tcPr>
            <w:tcW w:w="2552" w:type="dxa"/>
            <w:vAlign w:val="center"/>
          </w:tcPr>
          <w:p>
            <w:pPr>
              <w:pStyle w:val="34"/>
              <w:spacing w:line="400" w:lineRule="exact"/>
              <w:ind w:firstLine="200"/>
              <w:jc w:val="center"/>
              <w:rPr>
                <w:rFonts w:hint="eastAsia"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4"/>
              <w:spacing w:line="400" w:lineRule="exact"/>
              <w:ind w:firstLine="200"/>
              <w:jc w:val="center"/>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总价</w:t>
            </w:r>
          </w:p>
        </w:tc>
        <w:tc>
          <w:tcPr>
            <w:tcW w:w="2552" w:type="dxa"/>
            <w:vAlign w:val="center"/>
          </w:tcPr>
          <w:p>
            <w:pPr>
              <w:pStyle w:val="34"/>
              <w:spacing w:line="400" w:lineRule="exact"/>
              <w:ind w:firstLine="200"/>
              <w:jc w:val="center"/>
              <w:rPr>
                <w:rFonts w:hint="eastAsia" w:ascii="微软雅黑" w:hAnsi="微软雅黑" w:eastAsia="微软雅黑" w:cs="微软雅黑"/>
                <w:color w:val="auto"/>
                <w:kern w:val="2"/>
                <w:sz w:val="24"/>
                <w:szCs w:val="24"/>
                <w:highlight w:val="none"/>
              </w:rPr>
            </w:pPr>
          </w:p>
        </w:tc>
      </w:tr>
    </w:tbl>
    <w:p>
      <w:pPr>
        <w:spacing w:line="400" w:lineRule="exact"/>
        <w:ind w:firstLine="480" w:firstLineChars="200"/>
        <w:outlineLvl w:val="0"/>
        <w:rPr>
          <w:rFonts w:hint="eastAsia" w:ascii="微软雅黑" w:hAnsi="微软雅黑" w:eastAsia="微软雅黑" w:cs="微软雅黑"/>
          <w:b/>
          <w:color w:val="auto"/>
          <w:sz w:val="24"/>
          <w:highlight w:val="none"/>
        </w:rPr>
      </w:pPr>
      <w:bookmarkStart w:id="991" w:name="_Toc23173"/>
      <w:bookmarkStart w:id="992" w:name="_Toc13403"/>
      <w:bookmarkStart w:id="993" w:name="_Toc26916"/>
      <w:bookmarkStart w:id="994" w:name="_Toc21059"/>
      <w:bookmarkStart w:id="995" w:name="_Toc6998"/>
      <w:bookmarkStart w:id="996" w:name="_Toc32305"/>
      <w:bookmarkStart w:id="997" w:name="_Toc7832"/>
      <w:bookmarkStart w:id="998" w:name="_Toc29167"/>
      <w:bookmarkStart w:id="999" w:name="_Toc19221"/>
      <w:bookmarkStart w:id="1000" w:name="_Toc30506"/>
      <w:bookmarkStart w:id="1001" w:name="_Toc28219"/>
      <w:bookmarkStart w:id="1002" w:name="_Toc17855"/>
      <w:bookmarkStart w:id="1003" w:name="_Toc30158"/>
      <w:bookmarkStart w:id="1004" w:name="_Toc3654"/>
      <w:bookmarkStart w:id="1005" w:name="_Toc2559"/>
      <w:bookmarkStart w:id="1006" w:name="_Toc8041"/>
      <w:bookmarkStart w:id="1007" w:name="_Toc19143"/>
      <w:bookmarkStart w:id="1008" w:name="_Toc14993"/>
      <w:bookmarkStart w:id="1009" w:name="_Toc25910"/>
      <w:r>
        <w:rPr>
          <w:rFonts w:hint="eastAsia" w:ascii="微软雅黑" w:hAnsi="微软雅黑" w:eastAsia="微软雅黑" w:cs="微软雅黑"/>
          <w:b/>
          <w:color w:val="auto"/>
          <w:sz w:val="24"/>
          <w:highlight w:val="none"/>
        </w:rPr>
        <w:t>1.4 付款方式和发票开具方式</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1.4.1付款方式：</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 发票开具方式：</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010" w:name="_Toc32135"/>
      <w:bookmarkStart w:id="1011" w:name="_Toc23903"/>
      <w:bookmarkStart w:id="1012" w:name="_Toc11108"/>
      <w:bookmarkStart w:id="1013" w:name="_Toc9191"/>
      <w:bookmarkStart w:id="1014" w:name="_Toc19186"/>
      <w:bookmarkStart w:id="1015" w:name="_Toc8772"/>
      <w:bookmarkStart w:id="1016" w:name="_Toc3007"/>
      <w:bookmarkStart w:id="1017" w:name="_Toc3625"/>
      <w:bookmarkStart w:id="1018" w:name="_Toc31421"/>
      <w:bookmarkStart w:id="1019" w:name="_Toc12261"/>
      <w:bookmarkStart w:id="1020" w:name="_Toc21606"/>
      <w:bookmarkStart w:id="1021" w:name="_Toc4760"/>
      <w:bookmarkStart w:id="1022" w:name="_Toc24233"/>
      <w:bookmarkStart w:id="1023" w:name="_Toc17889"/>
      <w:bookmarkStart w:id="1024" w:name="_Toc28212"/>
      <w:bookmarkStart w:id="1025" w:name="_Toc4301"/>
      <w:bookmarkStart w:id="1026" w:name="_Toc1804"/>
      <w:bookmarkStart w:id="1027" w:name="_Toc6280"/>
      <w:bookmarkStart w:id="1028" w:name="_Toc3251"/>
      <w:r>
        <w:rPr>
          <w:rFonts w:hint="eastAsia" w:ascii="微软雅黑" w:hAnsi="微软雅黑" w:eastAsia="微软雅黑" w:cs="微软雅黑"/>
          <w:b/>
          <w:color w:val="auto"/>
          <w:sz w:val="24"/>
          <w:highlight w:val="none"/>
        </w:rPr>
        <w:t>1.5 履行期限、地点和方式</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pPr>
        <w:spacing w:line="400" w:lineRule="exact"/>
        <w:ind w:firstLine="480" w:firstLineChars="20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1.5.1 履行期限：</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1.5.2 履行地点：</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1.5.3 履行方式：</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pPr>
        <w:spacing w:line="400" w:lineRule="exact"/>
        <w:ind w:firstLine="480" w:firstLineChars="200"/>
        <w:outlineLvl w:val="0"/>
        <w:rPr>
          <w:rFonts w:hint="eastAsia" w:ascii="微软雅黑" w:hAnsi="微软雅黑" w:eastAsia="微软雅黑" w:cs="微软雅黑"/>
          <w:color w:val="auto"/>
          <w:sz w:val="24"/>
          <w:highlight w:val="none"/>
          <w:u w:val="single"/>
        </w:rPr>
      </w:pPr>
      <w:bookmarkStart w:id="1029" w:name="_Toc18326"/>
      <w:bookmarkStart w:id="1030" w:name="_Toc3079"/>
      <w:bookmarkStart w:id="1031" w:name="_Toc16708"/>
      <w:bookmarkStart w:id="1032" w:name="_Toc5745"/>
      <w:bookmarkStart w:id="1033" w:name="_Toc12514"/>
      <w:bookmarkStart w:id="1034" w:name="_Toc2375"/>
      <w:bookmarkStart w:id="1035" w:name="_Toc24662"/>
      <w:bookmarkStart w:id="1036" w:name="_Toc5418"/>
      <w:bookmarkStart w:id="1037" w:name="_Toc25461"/>
      <w:bookmarkStart w:id="1038" w:name="_Toc13897"/>
      <w:bookmarkStart w:id="1039" w:name="_Toc10490"/>
      <w:bookmarkStart w:id="1040" w:name="_Toc18474"/>
      <w:bookmarkStart w:id="1041" w:name="_Toc27990"/>
      <w:bookmarkStart w:id="1042" w:name="_Toc3290"/>
      <w:bookmarkStart w:id="1043" w:name="_Toc8586"/>
      <w:bookmarkStart w:id="1044" w:name="_Toc30025"/>
      <w:bookmarkStart w:id="1045" w:name="_Toc5863"/>
      <w:r>
        <w:rPr>
          <w:rFonts w:hint="eastAsia" w:ascii="微软雅黑" w:hAnsi="微软雅黑" w:eastAsia="微软雅黑" w:cs="微软雅黑"/>
          <w:b/>
          <w:color w:val="auto"/>
          <w:sz w:val="24"/>
          <w:highlight w:val="none"/>
        </w:rPr>
        <w:t>1.6 违约责任</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%计算，最高限额为本合同总价的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%；迟延履行的违约金计算数额达到前述最高限额之日起，甲方有权在要求乙方支付违约金的同时，书面通知乙方解除本合同；</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%计算，最高限额为本合同总价的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%；迟延付款的违约金计算数额达到前述最高限额之日起，乙方有权在要求甲方支付违约金的同时，书面通知甲方解除本合同；</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046" w:name="_Toc13634"/>
      <w:bookmarkStart w:id="1047" w:name="_Toc21818"/>
      <w:bookmarkStart w:id="1048" w:name="_Toc14940"/>
      <w:bookmarkStart w:id="1049" w:name="_Toc23069"/>
      <w:bookmarkStart w:id="1050" w:name="_Toc9497"/>
      <w:bookmarkStart w:id="1051" w:name="_Toc12954"/>
      <w:bookmarkStart w:id="1052" w:name="_Toc16127"/>
      <w:bookmarkStart w:id="1053" w:name="_Toc4563"/>
      <w:bookmarkStart w:id="1054" w:name="_Toc32454"/>
      <w:bookmarkStart w:id="1055" w:name="_Toc18683"/>
      <w:bookmarkStart w:id="1056" w:name="_Toc26807"/>
      <w:bookmarkStart w:id="1057" w:name="_Toc9782"/>
      <w:bookmarkStart w:id="1058" w:name="_Toc19829"/>
      <w:bookmarkStart w:id="1059" w:name="_Toc31557"/>
      <w:bookmarkStart w:id="1060" w:name="_Toc4448"/>
      <w:bookmarkStart w:id="1061" w:name="_Toc30329"/>
      <w:bookmarkStart w:id="1062" w:name="_Toc774"/>
      <w:bookmarkStart w:id="1063" w:name="_Toc13358"/>
      <w:bookmarkStart w:id="1064" w:name="_Toc3964"/>
      <w:r>
        <w:rPr>
          <w:rFonts w:hint="eastAsia" w:ascii="微软雅黑" w:hAnsi="微软雅黑" w:eastAsia="微软雅黑" w:cs="微软雅黑"/>
          <w:b/>
          <w:color w:val="auto"/>
          <w:sz w:val="24"/>
          <w:highlight w:val="none"/>
        </w:rPr>
        <w:t>1.7 合同争议的解决</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种方式解决：</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1.7.1 将争议提交</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仲裁委员会依申请仲裁时其现行有效的仲裁规则裁决；</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1.7.2 向</w:t>
      </w:r>
      <w:r>
        <w:rPr>
          <w:rFonts w:hint="eastAsia" w:ascii="微软雅黑" w:hAnsi="微软雅黑" w:eastAsia="微软雅黑" w:cs="微软雅黑"/>
          <w:color w:val="auto"/>
          <w:sz w:val="24"/>
          <w:highlight w:val="none"/>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 w:val="24"/>
          <w:highlight w:val="none"/>
        </w:rPr>
        <w:t>人民法院起诉。</w:t>
      </w:r>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065" w:name="_Toc17904"/>
      <w:bookmarkStart w:id="1066" w:name="_Toc1472"/>
      <w:bookmarkStart w:id="1067" w:name="_Toc6048"/>
      <w:bookmarkStart w:id="1068" w:name="_Toc12273"/>
      <w:bookmarkStart w:id="1069" w:name="_Toc16417"/>
      <w:bookmarkStart w:id="1070" w:name="_Toc6379"/>
      <w:bookmarkStart w:id="1071" w:name="_Toc13173"/>
      <w:bookmarkStart w:id="1072" w:name="_Toc32664"/>
      <w:bookmarkStart w:id="1073" w:name="_Toc26227"/>
      <w:bookmarkStart w:id="1074" w:name="_Toc18071"/>
      <w:bookmarkStart w:id="1075" w:name="_Toc6707"/>
      <w:bookmarkStart w:id="1076" w:name="_Toc10526"/>
      <w:bookmarkStart w:id="1077" w:name="_Toc23784"/>
      <w:bookmarkStart w:id="1078" w:name="_Toc13186"/>
      <w:bookmarkStart w:id="1079" w:name="_Toc15827"/>
      <w:bookmarkStart w:id="1080" w:name="_Toc17508"/>
      <w:bookmarkStart w:id="1081" w:name="_Toc14204"/>
      <w:bookmarkStart w:id="1082" w:name="_Toc1048"/>
      <w:r>
        <w:rPr>
          <w:rFonts w:hint="eastAsia" w:ascii="微软雅黑" w:hAnsi="微软雅黑" w:eastAsia="微软雅黑" w:cs="微软雅黑"/>
          <w:b/>
          <w:color w:val="auto"/>
          <w:sz w:val="24"/>
          <w:highlight w:val="none"/>
        </w:rPr>
        <w:t>1.8 合同生效</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spacing w:line="400" w:lineRule="exact"/>
        <w:ind w:firstLine="480" w:firstLineChars="200"/>
        <w:rPr>
          <w:rFonts w:hint="eastAsia" w:ascii="微软雅黑" w:hAnsi="微软雅黑" w:eastAsia="微软雅黑" w:cs="微软雅黑"/>
          <w:b/>
          <w:color w:val="auto"/>
          <w:sz w:val="24"/>
          <w:highlight w:val="none"/>
        </w:rPr>
      </w:pPr>
      <w:r>
        <w:rPr>
          <w:rFonts w:hint="eastAsia" w:ascii="微软雅黑" w:hAnsi="微软雅黑" w:eastAsia="微软雅黑" w:cs="微软雅黑"/>
          <w:color w:val="auto"/>
          <w:sz w:val="24"/>
          <w:highlight w:val="none"/>
        </w:rPr>
        <w:t>本合同自双方当事人盖章或者签字时生效。</w:t>
      </w:r>
    </w:p>
    <w:p>
      <w:pPr>
        <w:autoSpaceDE w:val="0"/>
        <w:autoSpaceDN w:val="0"/>
        <w:adjustRightInd w:val="0"/>
        <w:spacing w:line="400" w:lineRule="exact"/>
        <w:rPr>
          <w:rFonts w:hint="eastAsia" w:ascii="微软雅黑" w:hAnsi="微软雅黑" w:eastAsia="微软雅黑" w:cs="微软雅黑"/>
          <w:color w:val="auto"/>
          <w:sz w:val="24"/>
          <w:highlight w:val="none"/>
          <w:lang w:val="zh-CN"/>
        </w:rPr>
      </w:pPr>
    </w:p>
    <w:p>
      <w:pPr>
        <w:autoSpaceDE w:val="0"/>
        <w:autoSpaceDN w:val="0"/>
        <w:adjustRightInd w:val="0"/>
        <w:spacing w:line="400" w:lineRule="exact"/>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b/>
          <w:color w:val="auto"/>
          <w:sz w:val="24"/>
          <w:highlight w:val="none"/>
          <w:lang w:val="zh-CN"/>
        </w:rPr>
        <w:t>甲方</w:t>
      </w:r>
      <w:r>
        <w:rPr>
          <w:rFonts w:hint="eastAsia" w:ascii="微软雅黑" w:hAnsi="微软雅黑" w:eastAsia="微软雅黑" w:cs="微软雅黑"/>
          <w:color w:val="auto"/>
          <w:sz w:val="24"/>
          <w:highlight w:val="none"/>
          <w:lang w:val="zh-CN"/>
        </w:rPr>
        <w:t xml:space="preserve">：                             </w:t>
      </w:r>
      <w:r>
        <w:rPr>
          <w:rFonts w:hint="eastAsia" w:ascii="微软雅黑" w:hAnsi="微软雅黑" w:eastAsia="微软雅黑" w:cs="微软雅黑"/>
          <w:b/>
          <w:color w:val="auto"/>
          <w:sz w:val="24"/>
          <w:highlight w:val="none"/>
          <w:lang w:val="zh-CN"/>
        </w:rPr>
        <w:t xml:space="preserve">      乙方</w:t>
      </w:r>
      <w:r>
        <w:rPr>
          <w:rFonts w:hint="eastAsia" w:ascii="微软雅黑" w:hAnsi="微软雅黑" w:eastAsia="微软雅黑" w:cs="微软雅黑"/>
          <w:color w:val="auto"/>
          <w:sz w:val="24"/>
          <w:highlight w:val="none"/>
          <w:lang w:val="zh-CN"/>
        </w:rPr>
        <w:t>：</w:t>
      </w:r>
    </w:p>
    <w:p>
      <w:pPr>
        <w:autoSpaceDE w:val="0"/>
        <w:autoSpaceDN w:val="0"/>
        <w:adjustRightInd w:val="0"/>
        <w:spacing w:line="400" w:lineRule="exact"/>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统一社会信用代码：                        统一社会信用代码或身份证号码：</w:t>
      </w:r>
    </w:p>
    <w:p>
      <w:pPr>
        <w:autoSpaceDE w:val="0"/>
        <w:autoSpaceDN w:val="0"/>
        <w:adjustRightInd w:val="0"/>
        <w:spacing w:line="400" w:lineRule="exact"/>
        <w:rPr>
          <w:rFonts w:hint="eastAsia" w:ascii="微软雅黑" w:hAnsi="微软雅黑" w:eastAsia="微软雅黑" w:cs="微软雅黑"/>
          <w:color w:val="auto"/>
          <w:sz w:val="24"/>
          <w:highlight w:val="none"/>
          <w:lang w:val="zh-CN"/>
        </w:rPr>
      </w:pPr>
    </w:p>
    <w:p>
      <w:pPr>
        <w:autoSpaceDE w:val="0"/>
        <w:autoSpaceDN w:val="0"/>
        <w:adjustRightInd w:val="0"/>
        <w:spacing w:line="400" w:lineRule="exact"/>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住所：                                   住所：</w:t>
      </w:r>
    </w:p>
    <w:p>
      <w:pPr>
        <w:autoSpaceDE w:val="0"/>
        <w:autoSpaceDN w:val="0"/>
        <w:adjustRightInd w:val="0"/>
        <w:spacing w:line="400" w:lineRule="exact"/>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法定代表人或                             法定代表人</w:t>
      </w:r>
    </w:p>
    <w:p>
      <w:pPr>
        <w:autoSpaceDE w:val="0"/>
        <w:autoSpaceDN w:val="0"/>
        <w:adjustRightInd w:val="0"/>
        <w:spacing w:line="400" w:lineRule="exact"/>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 xml:space="preserve">授权代表（签字）：                        或授权代表（签字）: </w:t>
      </w:r>
    </w:p>
    <w:p>
      <w:pPr>
        <w:autoSpaceDE w:val="0"/>
        <w:autoSpaceDN w:val="0"/>
        <w:adjustRightInd w:val="0"/>
        <w:spacing w:line="400" w:lineRule="exact"/>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联系人：                                 联系人：</w:t>
      </w:r>
    </w:p>
    <w:p>
      <w:pPr>
        <w:autoSpaceDE w:val="0"/>
        <w:autoSpaceDN w:val="0"/>
        <w:adjustRightInd w:val="0"/>
        <w:spacing w:line="400" w:lineRule="exact"/>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约定送达地址：                           约定送达地址：</w:t>
      </w:r>
    </w:p>
    <w:p>
      <w:pPr>
        <w:autoSpaceDE w:val="0"/>
        <w:autoSpaceDN w:val="0"/>
        <w:adjustRightInd w:val="0"/>
        <w:spacing w:line="400" w:lineRule="exact"/>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邮政编码：                               邮政编码：</w:t>
      </w:r>
    </w:p>
    <w:p>
      <w:pPr>
        <w:autoSpaceDE w:val="0"/>
        <w:autoSpaceDN w:val="0"/>
        <w:adjustRightInd w:val="0"/>
        <w:spacing w:line="400" w:lineRule="exact"/>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 xml:space="preserve">电话:                                    电话: </w:t>
      </w:r>
    </w:p>
    <w:p>
      <w:pPr>
        <w:autoSpaceDE w:val="0"/>
        <w:autoSpaceDN w:val="0"/>
        <w:adjustRightInd w:val="0"/>
        <w:spacing w:line="400" w:lineRule="exact"/>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传真:                                    传真:</w:t>
      </w:r>
    </w:p>
    <w:p>
      <w:pPr>
        <w:autoSpaceDE w:val="0"/>
        <w:autoSpaceDN w:val="0"/>
        <w:adjustRightInd w:val="0"/>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zh-CN"/>
        </w:rPr>
        <w:t>电子邮箱：                               电子邮箱：</w:t>
      </w:r>
    </w:p>
    <w:p>
      <w:pPr>
        <w:autoSpaceDE w:val="0"/>
        <w:autoSpaceDN w:val="0"/>
        <w:adjustRightInd w:val="0"/>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开户银行：                               开户银行： </w:t>
      </w:r>
    </w:p>
    <w:p>
      <w:pPr>
        <w:autoSpaceDE w:val="0"/>
        <w:autoSpaceDN w:val="0"/>
        <w:adjustRightInd w:val="0"/>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开户名称：                               开户名称： </w:t>
      </w:r>
    </w:p>
    <w:p>
      <w:pPr>
        <w:autoSpaceDE w:val="0"/>
        <w:autoSpaceDN w:val="0"/>
        <w:adjustRightInd w:val="0"/>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开户账号：</w:t>
      </w:r>
      <w:r>
        <w:rPr>
          <w:rFonts w:hint="eastAsia" w:ascii="微软雅黑" w:hAnsi="微软雅黑" w:eastAsia="微软雅黑" w:cs="微软雅黑"/>
          <w:color w:val="auto"/>
          <w:sz w:val="24"/>
          <w:highlight w:val="none"/>
          <w:lang w:val="zh-CN"/>
        </w:rPr>
        <w:t xml:space="preserve">                               </w:t>
      </w:r>
      <w:r>
        <w:rPr>
          <w:rFonts w:hint="eastAsia" w:ascii="微软雅黑" w:hAnsi="微软雅黑" w:eastAsia="微软雅黑" w:cs="微软雅黑"/>
          <w:color w:val="auto"/>
          <w:sz w:val="24"/>
          <w:highlight w:val="none"/>
        </w:rPr>
        <w:t>开户账号：</w:t>
      </w:r>
    </w:p>
    <w:p>
      <w:pPr>
        <w:widowControl/>
        <w:spacing w:line="400" w:lineRule="exact"/>
        <w:jc w:val="left"/>
        <w:rPr>
          <w:rFonts w:hint="eastAsia" w:ascii="微软雅黑" w:hAnsi="微软雅黑" w:eastAsia="微软雅黑" w:cs="微软雅黑"/>
          <w:b/>
          <w:color w:val="auto"/>
          <w:highlight w:val="none"/>
        </w:rPr>
      </w:pPr>
      <w:bookmarkStart w:id="1083" w:name="_Toc331685783"/>
    </w:p>
    <w:p>
      <w:pPr>
        <w:widowControl/>
        <w:spacing w:line="400" w:lineRule="exact"/>
        <w:jc w:val="left"/>
        <w:rPr>
          <w:rFonts w:hint="eastAsia" w:ascii="微软雅黑" w:hAnsi="微软雅黑" w:eastAsia="微软雅黑" w:cs="微软雅黑"/>
          <w:b/>
          <w:color w:val="auto"/>
          <w:highlight w:val="none"/>
        </w:rPr>
      </w:pPr>
    </w:p>
    <w:p>
      <w:pPr>
        <w:widowControl/>
        <w:spacing w:line="400" w:lineRule="exact"/>
        <w:jc w:val="left"/>
        <w:rPr>
          <w:rFonts w:hint="eastAsia" w:ascii="微软雅黑" w:hAnsi="微软雅黑" w:eastAsia="微软雅黑" w:cs="微软雅黑"/>
          <w:b/>
          <w:color w:val="auto"/>
          <w:kern w:val="0"/>
          <w:sz w:val="24"/>
          <w:highlight w:val="none"/>
        </w:rPr>
      </w:pPr>
    </w:p>
    <w:p>
      <w:pPr>
        <w:widowControl/>
        <w:spacing w:line="400" w:lineRule="exact"/>
        <w:jc w:val="left"/>
        <w:rPr>
          <w:rFonts w:hint="eastAsia" w:ascii="微软雅黑" w:hAnsi="微软雅黑" w:eastAsia="微软雅黑" w:cs="微软雅黑"/>
          <w:b/>
          <w:color w:val="auto"/>
          <w:kern w:val="0"/>
          <w:sz w:val="24"/>
          <w:highlight w:val="none"/>
        </w:rPr>
      </w:pPr>
    </w:p>
    <w:p>
      <w:pPr>
        <w:pStyle w:val="32"/>
        <w:spacing w:line="400" w:lineRule="exact"/>
        <w:ind w:firstLine="0"/>
        <w:jc w:val="both"/>
        <w:rPr>
          <w:rFonts w:hint="eastAsia" w:ascii="微软雅黑" w:hAnsi="微软雅黑" w:eastAsia="微软雅黑" w:cs="微软雅黑"/>
          <w:b/>
          <w:color w:val="auto"/>
          <w:szCs w:val="24"/>
          <w:highlight w:val="none"/>
        </w:rPr>
      </w:pPr>
    </w:p>
    <w:p>
      <w:pPr>
        <w:pStyle w:val="32"/>
        <w:spacing w:line="400" w:lineRule="exact"/>
        <w:ind w:firstLine="0"/>
        <w:jc w:val="center"/>
        <w:rPr>
          <w:rFonts w:hint="eastAsia" w:ascii="微软雅黑" w:hAnsi="微软雅黑" w:eastAsia="微软雅黑" w:cs="微软雅黑"/>
          <w:b/>
          <w:color w:val="auto"/>
          <w:szCs w:val="24"/>
          <w:highlight w:val="none"/>
        </w:rPr>
      </w:pPr>
      <w:r>
        <w:rPr>
          <w:rFonts w:hint="eastAsia" w:ascii="微软雅黑" w:hAnsi="微软雅黑" w:eastAsia="微软雅黑" w:cs="微软雅黑"/>
          <w:b/>
          <w:color w:val="auto"/>
          <w:szCs w:val="24"/>
          <w:highlight w:val="none"/>
        </w:rPr>
        <w:t>第二部分 合同一般条款</w:t>
      </w:r>
      <w:bookmarkEnd w:id="1083"/>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084" w:name="_Toc21058"/>
      <w:bookmarkStart w:id="1085" w:name="_Toc9585"/>
      <w:bookmarkStart w:id="1086" w:name="_Toc5228"/>
      <w:bookmarkStart w:id="1087" w:name="_Toc259093669"/>
      <w:bookmarkStart w:id="1088" w:name="_Toc31297"/>
      <w:bookmarkStart w:id="1089" w:name="_Toc28701"/>
      <w:bookmarkStart w:id="1090" w:name="_Ref467379094"/>
      <w:bookmarkStart w:id="1091" w:name="_Toc16934"/>
      <w:bookmarkStart w:id="1092" w:name="_Toc14021"/>
      <w:bookmarkStart w:id="1093" w:name="_Ref467378404"/>
      <w:bookmarkStart w:id="1094" w:name="_Ref467379109"/>
      <w:bookmarkStart w:id="1095" w:name="_Toc25610"/>
      <w:bookmarkStart w:id="1096" w:name="_Toc19680"/>
      <w:bookmarkStart w:id="1097" w:name="_Toc25079"/>
      <w:bookmarkStart w:id="1098" w:name="_Toc10827"/>
      <w:bookmarkStart w:id="1099" w:name="_Toc28840"/>
      <w:bookmarkStart w:id="1100" w:name="_Toc17704"/>
      <w:bookmarkStart w:id="1101" w:name="_Toc487900349"/>
      <w:bookmarkStart w:id="1102" w:name="_Ref467379195"/>
      <w:bookmarkStart w:id="1103" w:name="_Ref467378463"/>
      <w:bookmarkStart w:id="1104" w:name="_Toc3094"/>
      <w:bookmarkStart w:id="1105" w:name="_Toc29074"/>
      <w:bookmarkStart w:id="1106" w:name="_Ref467379225"/>
      <w:bookmarkStart w:id="1107" w:name="_Toc29024"/>
      <w:bookmarkStart w:id="1108" w:name="_Toc26527"/>
      <w:bookmarkStart w:id="1109" w:name="_Ref467378499"/>
      <w:bookmarkStart w:id="1110" w:name="_Ref467379214"/>
      <w:bookmarkStart w:id="1111" w:name="_Ref467379101"/>
      <w:bookmarkStart w:id="1112" w:name="_Toc13941"/>
      <w:bookmarkStart w:id="1113" w:name="_Ref467379205"/>
      <w:bookmarkStart w:id="1114" w:name="_Toc279701240"/>
      <w:bookmarkStart w:id="1115" w:name="_Toc5117"/>
      <w:r>
        <w:rPr>
          <w:rFonts w:hint="eastAsia" w:ascii="微软雅黑" w:hAnsi="微软雅黑" w:eastAsia="微软雅黑" w:cs="微软雅黑"/>
          <w:b/>
          <w:color w:val="auto"/>
          <w:sz w:val="24"/>
          <w:highlight w:val="none"/>
        </w:rPr>
        <w:t>2.1 定义</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本合同中的下列词语应按以下内容进行解释：</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 “合同”系指采购人和成交供应商签订的载明双方当事人所达成的协议，并包括所有的附件、附录和构成合同的其他文件。</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2.1.2 “合同价”系指根据合同约定，成交供应商在完全履行合同义务后，采购人应支付给成交供应商的价格。</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2.1.3 “服务”系指成交供应商根据合同约定应向采购人履行的除货物和工程以外的其他政府采购对象，包括采购人自身需要的服务和向社会公众提供的公共服务。</w:t>
      </w:r>
    </w:p>
    <w:p>
      <w:pPr>
        <w:spacing w:line="400" w:lineRule="exact"/>
        <w:ind w:firstLine="480" w:firstLineChars="200"/>
        <w:rPr>
          <w:rFonts w:hint="eastAsia" w:ascii="微软雅黑" w:hAnsi="微软雅黑" w:eastAsia="微软雅黑" w:cs="微软雅黑"/>
          <w:color w:val="auto"/>
          <w:sz w:val="24"/>
          <w:highlight w:val="none"/>
        </w:rPr>
      </w:pPr>
      <w:bookmarkStart w:id="1116" w:name="_Ref467378840"/>
      <w:r>
        <w:rPr>
          <w:rFonts w:hint="eastAsia" w:ascii="微软雅黑" w:hAnsi="微软雅黑" w:eastAsia="微软雅黑" w:cs="微软雅黑"/>
          <w:color w:val="auto"/>
          <w:sz w:val="24"/>
          <w:highlight w:val="none"/>
        </w:rPr>
        <w:t>2.1.4 “甲方”系指与成交供应商签署合同的采购人</w:t>
      </w:r>
      <w:bookmarkEnd w:id="1116"/>
      <w:r>
        <w:rPr>
          <w:rFonts w:hint="eastAsia" w:ascii="微软雅黑" w:hAnsi="微软雅黑" w:eastAsia="微软雅黑" w:cs="微软雅黑"/>
          <w:color w:val="auto"/>
          <w:sz w:val="24"/>
          <w:highlight w:val="none"/>
        </w:rPr>
        <w:t>；采购人委托采购代理机构代表其与乙方签订合同的，采购人的授权委托书作为合同附件。</w:t>
      </w:r>
    </w:p>
    <w:p>
      <w:pPr>
        <w:spacing w:line="400" w:lineRule="exact"/>
        <w:ind w:firstLine="480" w:firstLineChars="200"/>
        <w:rPr>
          <w:rFonts w:hint="eastAsia" w:ascii="微软雅黑" w:hAnsi="微软雅黑" w:eastAsia="微软雅黑" w:cs="微软雅黑"/>
          <w:color w:val="auto"/>
          <w:sz w:val="24"/>
          <w:highlight w:val="none"/>
        </w:rPr>
      </w:pPr>
      <w:bookmarkStart w:id="1117" w:name="_Ref467379400"/>
      <w:r>
        <w:rPr>
          <w:rFonts w:hint="eastAsia" w:ascii="微软雅黑" w:hAnsi="微软雅黑" w:eastAsia="微软雅黑" w:cs="微软雅黑"/>
          <w:color w:val="auto"/>
          <w:sz w:val="24"/>
          <w:highlight w:val="none"/>
        </w:rPr>
        <w:t>2.1.5 “乙方”系指根据合同约定提供服务的成交供应商</w:t>
      </w:r>
      <w:bookmarkEnd w:id="1117"/>
      <w:r>
        <w:rPr>
          <w:rFonts w:hint="eastAsia" w:ascii="微软雅黑" w:hAnsi="微软雅黑" w:eastAsia="微软雅黑" w:cs="微软雅黑"/>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80" w:firstLineChars="200"/>
        <w:rPr>
          <w:rFonts w:hint="eastAsia" w:ascii="微软雅黑" w:hAnsi="微软雅黑" w:eastAsia="微软雅黑" w:cs="微软雅黑"/>
          <w:color w:val="auto"/>
          <w:sz w:val="24"/>
          <w:highlight w:val="none"/>
        </w:rPr>
      </w:pPr>
      <w:bookmarkStart w:id="1118" w:name="_Ref467379436"/>
      <w:r>
        <w:rPr>
          <w:rFonts w:hint="eastAsia" w:ascii="微软雅黑" w:hAnsi="微软雅黑" w:eastAsia="微软雅黑" w:cs="微软雅黑"/>
          <w:color w:val="auto"/>
          <w:sz w:val="24"/>
          <w:highlight w:val="none"/>
        </w:rPr>
        <w:t>2.1.6 “现场”系指合同约定提供服务的地点。</w:t>
      </w:r>
      <w:bookmarkEnd w:id="1118"/>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119" w:name="_Toc25980"/>
      <w:bookmarkStart w:id="1120" w:name="_Toc6001"/>
      <w:bookmarkStart w:id="1121" w:name="_Toc24501"/>
      <w:bookmarkStart w:id="1122" w:name="_Toc15686"/>
      <w:bookmarkStart w:id="1123" w:name="_Toc13884"/>
      <w:bookmarkStart w:id="1124" w:name="_Toc7411"/>
      <w:bookmarkStart w:id="1125" w:name="_Toc21068"/>
      <w:bookmarkStart w:id="1126" w:name="_Toc16752"/>
      <w:bookmarkStart w:id="1127" w:name="_Toc13639"/>
      <w:bookmarkStart w:id="1128" w:name="_Toc8861"/>
      <w:bookmarkStart w:id="1129" w:name="_Toc19539"/>
      <w:bookmarkStart w:id="1130" w:name="_Toc279701241"/>
      <w:bookmarkStart w:id="1131" w:name="_Toc30239"/>
      <w:bookmarkStart w:id="1132" w:name="_Toc259093670"/>
      <w:bookmarkStart w:id="1133" w:name="_Toc487900350"/>
      <w:bookmarkStart w:id="1134" w:name="_Toc23289"/>
      <w:bookmarkStart w:id="1135" w:name="_Toc3769"/>
      <w:bookmarkStart w:id="1136" w:name="_Toc22639"/>
      <w:bookmarkStart w:id="1137" w:name="_Toc22493"/>
      <w:bookmarkStart w:id="1138" w:name="_Toc31402"/>
      <w:bookmarkStart w:id="1139" w:name="_Toc28811"/>
      <w:bookmarkStart w:id="1140" w:name="_Toc10249"/>
      <w:r>
        <w:rPr>
          <w:rFonts w:hint="eastAsia" w:ascii="微软雅黑" w:hAnsi="微软雅黑" w:eastAsia="微软雅黑" w:cs="微软雅黑"/>
          <w:b/>
          <w:color w:val="auto"/>
          <w:sz w:val="24"/>
          <w:highlight w:val="none"/>
        </w:rPr>
        <w:t>2.2 技术规范</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141" w:name="_Toc9578"/>
      <w:bookmarkStart w:id="1142" w:name="_Toc28964"/>
      <w:bookmarkStart w:id="1143" w:name="_Toc1059"/>
      <w:bookmarkStart w:id="1144" w:name="_Toc12412"/>
      <w:bookmarkStart w:id="1145" w:name="_Toc279701242"/>
      <w:bookmarkStart w:id="1146" w:name="_Toc12727"/>
      <w:bookmarkStart w:id="1147" w:name="_Toc32402"/>
      <w:bookmarkStart w:id="1148" w:name="_Toc9033"/>
      <w:bookmarkStart w:id="1149" w:name="_Toc27945"/>
      <w:bookmarkStart w:id="1150" w:name="_Toc13673"/>
      <w:bookmarkStart w:id="1151" w:name="_Toc24660"/>
      <w:bookmarkStart w:id="1152" w:name="_Toc9161"/>
      <w:bookmarkStart w:id="1153" w:name="_Toc259093671"/>
      <w:bookmarkStart w:id="1154" w:name="_Toc487900351"/>
      <w:bookmarkStart w:id="1155" w:name="_Toc20195"/>
      <w:bookmarkStart w:id="1156" w:name="_Toc22416"/>
      <w:bookmarkStart w:id="1157" w:name="_Toc30138"/>
      <w:bookmarkStart w:id="1158" w:name="_Toc22279"/>
      <w:bookmarkStart w:id="1159" w:name="_Toc7280"/>
      <w:bookmarkStart w:id="1160" w:name="_Toc12881"/>
      <w:bookmarkStart w:id="1161" w:name="_Toc8378"/>
      <w:r>
        <w:rPr>
          <w:rFonts w:hint="eastAsia" w:ascii="微软雅黑" w:hAnsi="微软雅黑" w:eastAsia="微软雅黑" w:cs="微软雅黑"/>
          <w:b/>
          <w:color w:val="auto"/>
          <w:sz w:val="24"/>
          <w:highlight w:val="none"/>
        </w:rPr>
        <w:t>2.3 知识产权</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2.3.2 合同涉及技术成果的归属和收益的分成办法的，详见</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w:t>
      </w:r>
    </w:p>
    <w:p>
      <w:pPr>
        <w:spacing w:line="400" w:lineRule="exact"/>
        <w:ind w:firstLine="480" w:firstLineChars="200"/>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2.4 履约检查和问题反馈</w:t>
      </w:r>
    </w:p>
    <w:p>
      <w:pPr>
        <w:spacing w:line="400" w:lineRule="exact"/>
        <w:ind w:firstLine="480" w:firstLineChars="200"/>
        <w:rPr>
          <w:rFonts w:hint="eastAsia" w:ascii="微软雅黑" w:hAnsi="微软雅黑" w:eastAsia="微软雅黑" w:cs="微软雅黑"/>
          <w:color w:val="auto"/>
          <w:sz w:val="24"/>
          <w:highlight w:val="none"/>
        </w:rPr>
      </w:pPr>
      <w:bookmarkStart w:id="1162" w:name="_Ref467379657"/>
      <w:r>
        <w:rPr>
          <w:rFonts w:hint="eastAsia" w:ascii="微软雅黑" w:hAnsi="微软雅黑" w:eastAsia="微软雅黑" w:cs="微软雅黑"/>
          <w:color w:val="auto"/>
          <w:sz w:val="24"/>
          <w:highlight w:val="none"/>
        </w:rPr>
        <w:t>2.4.1</w:t>
      </w:r>
      <w:bookmarkEnd w:id="1162"/>
      <w:bookmarkStart w:id="1163" w:name="_Toc186431854"/>
      <w:bookmarkStart w:id="1164" w:name="_Ref467379807"/>
      <w:bookmarkStart w:id="1165" w:name="_Toc487900357"/>
      <w:bookmarkStart w:id="1166" w:name="_Ref467379793"/>
      <w:bookmarkStart w:id="1167" w:name="_Toc259093676"/>
      <w:bookmarkStart w:id="1168" w:name="_Toc279701247"/>
      <w:r>
        <w:rPr>
          <w:rFonts w:hint="eastAsia" w:ascii="微软雅黑" w:hAnsi="微软雅黑" w:eastAsia="微软雅黑" w:cs="微软雅黑"/>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2.4.2 合同履行期间，甲方有权将履行过程中出现的问题反馈给乙方，双方当事人应以书面形式约定需要完善和改进的内容</w:t>
      </w:r>
      <w:bookmarkEnd w:id="1163"/>
      <w:bookmarkStart w:id="1169" w:name="_Toc186431855"/>
      <w:r>
        <w:rPr>
          <w:rFonts w:hint="eastAsia" w:ascii="微软雅黑" w:hAnsi="微软雅黑" w:eastAsia="微软雅黑" w:cs="微软雅黑"/>
          <w:color w:val="auto"/>
          <w:sz w:val="24"/>
          <w:highlight w:val="none"/>
        </w:rPr>
        <w:t>。</w:t>
      </w:r>
    </w:p>
    <w:bookmarkEnd w:id="1169"/>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170" w:name="_Toc28361"/>
      <w:bookmarkStart w:id="1171" w:name="_Toc18680"/>
      <w:bookmarkStart w:id="1172" w:name="_Toc24593"/>
      <w:bookmarkStart w:id="1173" w:name="_Toc12450"/>
      <w:bookmarkStart w:id="1174" w:name="_Toc6504"/>
      <w:bookmarkStart w:id="1175" w:name="_Toc31494"/>
      <w:bookmarkStart w:id="1176" w:name="_Toc4237"/>
      <w:bookmarkStart w:id="1177" w:name="_Toc15447"/>
      <w:bookmarkStart w:id="1178" w:name="_Toc32043"/>
      <w:bookmarkStart w:id="1179" w:name="_Toc26555"/>
      <w:bookmarkStart w:id="1180" w:name="_Toc3777"/>
      <w:bookmarkStart w:id="1181" w:name="_Toc31233"/>
      <w:bookmarkStart w:id="1182" w:name="_Toc8411"/>
      <w:bookmarkStart w:id="1183" w:name="_Toc21474"/>
      <w:bookmarkStart w:id="1184" w:name="_Toc22011"/>
      <w:bookmarkStart w:id="1185" w:name="_Toc15567"/>
      <w:bookmarkStart w:id="1186" w:name="_Toc32670"/>
      <w:bookmarkStart w:id="1187" w:name="_Toc16045"/>
      <w:r>
        <w:rPr>
          <w:rFonts w:hint="eastAsia" w:ascii="微软雅黑" w:hAnsi="微软雅黑" w:eastAsia="微软雅黑" w:cs="微软雅黑"/>
          <w:b/>
          <w:color w:val="auto"/>
          <w:sz w:val="24"/>
          <w:highlight w:val="none"/>
        </w:rPr>
        <w:t>2.5 结算方式和付款条件</w:t>
      </w:r>
      <w:bookmarkEnd w:id="1164"/>
      <w:bookmarkEnd w:id="1165"/>
      <w:bookmarkEnd w:id="1166"/>
      <w:bookmarkEnd w:id="1167"/>
      <w:bookmarkEnd w:id="1168"/>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详见</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w:t>
      </w:r>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188" w:name="_Ref467379863"/>
      <w:bookmarkStart w:id="1189" w:name="_Toc259093677"/>
      <w:bookmarkStart w:id="1190" w:name="_Ref467379923"/>
      <w:bookmarkStart w:id="1191" w:name="_Toc487900358"/>
      <w:bookmarkStart w:id="1192" w:name="_Ref467379852"/>
      <w:bookmarkStart w:id="1193" w:name="_Toc279701248"/>
      <w:bookmarkStart w:id="1194" w:name="_Toc30507"/>
      <w:bookmarkStart w:id="1195" w:name="_Toc23530"/>
      <w:bookmarkStart w:id="1196" w:name="_Toc18990"/>
      <w:bookmarkStart w:id="1197" w:name="_Toc13467"/>
      <w:bookmarkStart w:id="1198" w:name="_Toc19435"/>
      <w:bookmarkStart w:id="1199" w:name="_Toc18186"/>
      <w:bookmarkStart w:id="1200" w:name="_Toc23122"/>
      <w:bookmarkStart w:id="1201" w:name="_Toc31145"/>
      <w:bookmarkStart w:id="1202" w:name="_Toc25982"/>
      <w:bookmarkStart w:id="1203" w:name="_Toc5428"/>
      <w:bookmarkStart w:id="1204" w:name="_Toc29402"/>
      <w:bookmarkStart w:id="1205" w:name="_Toc12925"/>
      <w:bookmarkStart w:id="1206" w:name="_Toc3982"/>
      <w:bookmarkStart w:id="1207" w:name="_Toc16163"/>
      <w:bookmarkStart w:id="1208" w:name="_Toc5430"/>
      <w:bookmarkStart w:id="1209" w:name="_Toc20627"/>
      <w:bookmarkStart w:id="1210" w:name="_Toc29060"/>
      <w:bookmarkStart w:id="1211" w:name="_Toc13154"/>
      <w:bookmarkStart w:id="1212" w:name="_Toc9514"/>
      <w:r>
        <w:rPr>
          <w:rFonts w:hint="eastAsia" w:ascii="微软雅黑" w:hAnsi="微软雅黑" w:eastAsia="微软雅黑" w:cs="微软雅黑"/>
          <w:b/>
          <w:color w:val="auto"/>
          <w:sz w:val="24"/>
          <w:highlight w:val="none"/>
        </w:rPr>
        <w:t>2.6 技术资料</w:t>
      </w:r>
      <w:bookmarkEnd w:id="1188"/>
      <w:bookmarkEnd w:id="1189"/>
      <w:bookmarkEnd w:id="1190"/>
      <w:bookmarkEnd w:id="1191"/>
      <w:bookmarkEnd w:id="1192"/>
      <w:bookmarkEnd w:id="1193"/>
      <w:r>
        <w:rPr>
          <w:rFonts w:hint="eastAsia" w:ascii="微软雅黑" w:hAnsi="微软雅黑" w:eastAsia="微软雅黑" w:cs="微软雅黑"/>
          <w:b/>
          <w:color w:val="auto"/>
          <w:sz w:val="24"/>
          <w:highlight w:val="none"/>
        </w:rPr>
        <w:t>和保密义务</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2.6.1 乙方有权依据合同约定和项目需要，向甲方了解有关情况，调阅有关资料等，甲方应予积极配合；</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2.6.2 乙方有义务妥善保管和保护由甲方提供的前款信息和资料等；</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213" w:name="_Toc30162"/>
      <w:bookmarkStart w:id="1214" w:name="_Toc22614"/>
      <w:bookmarkStart w:id="1215" w:name="_Toc29615"/>
      <w:bookmarkStart w:id="1216" w:name="_Toc19069"/>
      <w:bookmarkStart w:id="1217" w:name="_Toc24552"/>
      <w:bookmarkStart w:id="1218" w:name="_Toc18372"/>
      <w:bookmarkStart w:id="1219" w:name="_Toc339"/>
      <w:bookmarkStart w:id="1220" w:name="_Toc2664"/>
      <w:bookmarkStart w:id="1221" w:name="_Toc1976"/>
      <w:bookmarkStart w:id="1222" w:name="_Toc15010"/>
      <w:bookmarkStart w:id="1223" w:name="_Toc1948"/>
      <w:bookmarkStart w:id="1224" w:name="_Toc13112"/>
      <w:bookmarkStart w:id="1225" w:name="_Toc1851"/>
      <w:bookmarkStart w:id="1226" w:name="_Toc20114"/>
      <w:bookmarkStart w:id="1227" w:name="_Toc24694"/>
      <w:bookmarkStart w:id="1228" w:name="_Toc279701252"/>
      <w:bookmarkStart w:id="1229" w:name="_Toc487900362"/>
      <w:bookmarkStart w:id="1230" w:name="_Toc259093681"/>
      <w:r>
        <w:rPr>
          <w:rFonts w:hint="eastAsia" w:ascii="微软雅黑" w:hAnsi="微软雅黑" w:eastAsia="微软雅黑" w:cs="微软雅黑"/>
          <w:b/>
          <w:color w:val="auto"/>
          <w:sz w:val="24"/>
          <w:highlight w:val="none"/>
        </w:rPr>
        <w:t>2.7 质量保证</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2.7.1 乙方应建立和完善履行合同的内部质量保证体系，并提供相关内部规章制度给甲方，以便甲方进行监督检查；</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2.7.2 乙方应保证履行合同的人员数量和素质、软件和硬件设备的配置、场地、环境和设施等满足全面履行合同的要求，并应接受甲方的监督检查。</w:t>
      </w:r>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231" w:name="_Toc10485"/>
      <w:bookmarkStart w:id="1232" w:name="_Toc11272"/>
      <w:bookmarkStart w:id="1233" w:name="_Toc30141"/>
      <w:bookmarkStart w:id="1234" w:name="_Toc11034"/>
      <w:bookmarkStart w:id="1235" w:name="_Toc10063"/>
      <w:bookmarkStart w:id="1236" w:name="_Toc1263"/>
      <w:bookmarkStart w:id="1237" w:name="_Toc22267"/>
      <w:bookmarkStart w:id="1238" w:name="_Toc30545"/>
      <w:bookmarkStart w:id="1239" w:name="_Toc22198"/>
      <w:bookmarkStart w:id="1240" w:name="_Toc32424"/>
      <w:bookmarkStart w:id="1241" w:name="_Toc28170"/>
      <w:bookmarkStart w:id="1242" w:name="_Toc8481"/>
      <w:bookmarkStart w:id="1243" w:name="_Toc30394"/>
      <w:bookmarkStart w:id="1244" w:name="_Toc7710"/>
      <w:bookmarkStart w:id="1245" w:name="_Toc15967"/>
      <w:r>
        <w:rPr>
          <w:rFonts w:hint="eastAsia" w:ascii="微软雅黑" w:hAnsi="微软雅黑" w:eastAsia="微软雅黑" w:cs="微软雅黑"/>
          <w:b/>
          <w:color w:val="auto"/>
          <w:sz w:val="24"/>
          <w:highlight w:val="none"/>
        </w:rPr>
        <w:t>2.8 延迟</w:t>
      </w:r>
      <w:bookmarkEnd w:id="1228"/>
      <w:bookmarkEnd w:id="1229"/>
      <w:bookmarkEnd w:id="1230"/>
      <w:r>
        <w:rPr>
          <w:rFonts w:hint="eastAsia" w:ascii="微软雅黑" w:hAnsi="微软雅黑" w:eastAsia="微软雅黑" w:cs="微软雅黑"/>
          <w:b/>
          <w:color w:val="auto"/>
          <w:sz w:val="24"/>
          <w:highlight w:val="none"/>
        </w:rPr>
        <w:t>履行</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246" w:name="_Toc19341"/>
      <w:bookmarkStart w:id="1247" w:name="_Toc25613"/>
      <w:bookmarkStart w:id="1248" w:name="_Toc28758"/>
      <w:bookmarkStart w:id="1249" w:name="_Toc13769"/>
      <w:bookmarkStart w:id="1250" w:name="_Toc3758"/>
      <w:bookmarkStart w:id="1251" w:name="_Toc10750"/>
      <w:bookmarkStart w:id="1252" w:name="_Toc20254"/>
      <w:bookmarkStart w:id="1253" w:name="_Toc12190"/>
      <w:bookmarkStart w:id="1254" w:name="_Toc12112"/>
      <w:bookmarkStart w:id="1255" w:name="_Toc10611"/>
      <w:bookmarkStart w:id="1256" w:name="_Toc27101"/>
      <w:bookmarkStart w:id="1257" w:name="_Toc14652"/>
      <w:bookmarkStart w:id="1258" w:name="_Toc2244"/>
      <w:bookmarkStart w:id="1259" w:name="_Toc3810"/>
      <w:bookmarkStart w:id="1260" w:name="_Toc2469"/>
      <w:bookmarkStart w:id="1261" w:name="_Ref467378121"/>
      <w:bookmarkStart w:id="1262" w:name="_Toc259093683"/>
      <w:bookmarkStart w:id="1263" w:name="_Toc487900364"/>
      <w:bookmarkStart w:id="1264" w:name="_Toc279701254"/>
      <w:r>
        <w:rPr>
          <w:rFonts w:hint="eastAsia" w:ascii="微软雅黑" w:hAnsi="微软雅黑" w:eastAsia="微软雅黑" w:cs="微软雅黑"/>
          <w:b/>
          <w:color w:val="auto"/>
          <w:sz w:val="24"/>
          <w:highlight w:val="none"/>
        </w:rPr>
        <w:t>2.9 合同变更</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1265" w:name="_Toc487900369"/>
      <w:bookmarkStart w:id="1266" w:name="_Toc279701259"/>
      <w:bookmarkStart w:id="1267" w:name="_Toc259093688"/>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268" w:name="_Toc10186"/>
      <w:bookmarkStart w:id="1269" w:name="_Toc21830"/>
      <w:bookmarkStart w:id="1270" w:name="_Toc8222"/>
      <w:bookmarkStart w:id="1271" w:name="_Toc17116"/>
      <w:bookmarkStart w:id="1272" w:name="_Toc18298"/>
      <w:bookmarkStart w:id="1273" w:name="_Toc22130"/>
      <w:bookmarkStart w:id="1274" w:name="_Toc6143"/>
      <w:bookmarkStart w:id="1275" w:name="_Toc27242"/>
      <w:bookmarkStart w:id="1276" w:name="_Toc30446"/>
      <w:bookmarkStart w:id="1277" w:name="_Toc26689"/>
      <w:bookmarkStart w:id="1278" w:name="_Toc23368"/>
      <w:bookmarkStart w:id="1279" w:name="_Toc24271"/>
      <w:bookmarkStart w:id="1280" w:name="_Toc28640"/>
      <w:bookmarkStart w:id="1281" w:name="_Toc15457"/>
      <w:bookmarkStart w:id="1282" w:name="_Toc10663"/>
      <w:bookmarkStart w:id="1283" w:name="_Toc14972"/>
      <w:bookmarkStart w:id="1284" w:name="_Toc6424"/>
      <w:bookmarkStart w:id="1285" w:name="_Toc4195"/>
      <w:bookmarkStart w:id="1286" w:name="_Toc42"/>
      <w:r>
        <w:rPr>
          <w:rFonts w:hint="eastAsia" w:ascii="微软雅黑" w:hAnsi="微软雅黑" w:eastAsia="微软雅黑" w:cs="微软雅黑"/>
          <w:b/>
          <w:color w:val="auto"/>
          <w:sz w:val="24"/>
          <w:highlight w:val="none"/>
        </w:rPr>
        <w:t>2.10 合同转让</w:t>
      </w:r>
      <w:bookmarkEnd w:id="1265"/>
      <w:bookmarkEnd w:id="1266"/>
      <w:bookmarkEnd w:id="1267"/>
      <w:r>
        <w:rPr>
          <w:rFonts w:hint="eastAsia" w:ascii="微软雅黑" w:hAnsi="微软雅黑" w:eastAsia="微软雅黑" w:cs="微软雅黑"/>
          <w:b/>
          <w:color w:val="auto"/>
          <w:sz w:val="24"/>
          <w:highlight w:val="none"/>
        </w:rPr>
        <w:t>和分包</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287" w:name="_Toc31065"/>
      <w:bookmarkStart w:id="1288" w:name="_Toc8431"/>
      <w:bookmarkStart w:id="1289" w:name="_Toc26602"/>
      <w:bookmarkStart w:id="1290" w:name="_Toc4720"/>
      <w:bookmarkStart w:id="1291" w:name="_Toc30847"/>
      <w:bookmarkStart w:id="1292" w:name="_Toc15171"/>
      <w:bookmarkStart w:id="1293" w:name="_Toc32494"/>
      <w:bookmarkStart w:id="1294" w:name="_Toc10203"/>
      <w:bookmarkStart w:id="1295" w:name="_Toc14717"/>
      <w:bookmarkStart w:id="1296" w:name="_Toc26633"/>
      <w:bookmarkStart w:id="1297" w:name="_Toc24708"/>
      <w:bookmarkStart w:id="1298" w:name="_Toc19440"/>
      <w:bookmarkStart w:id="1299" w:name="_Toc9705"/>
      <w:bookmarkStart w:id="1300" w:name="_Toc14371"/>
      <w:bookmarkStart w:id="1301" w:name="_Toc23855"/>
      <w:bookmarkStart w:id="1302" w:name="_Toc4684"/>
      <w:bookmarkStart w:id="1303" w:name="_Toc32622"/>
      <w:bookmarkStart w:id="1304" w:name="_Toc25571"/>
      <w:bookmarkStart w:id="1305" w:name="_Toc9462"/>
      <w:r>
        <w:rPr>
          <w:rFonts w:hint="eastAsia" w:ascii="微软雅黑" w:hAnsi="微软雅黑" w:eastAsia="微软雅黑" w:cs="微软雅黑"/>
          <w:b/>
          <w:color w:val="auto"/>
          <w:sz w:val="24"/>
          <w:highlight w:val="none"/>
        </w:rPr>
        <w:t>2.11 不可抗力</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2.11.1如果任何一方遭遇法律规定的不可抗力，致使合同履行受阻时，履行合同的期限应予延长，延长的期限应相当于不可抗力所影响的时间；</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2.11.2 因不可抗力致使不能实现合同目的的，当事人可以解除合同；</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2.11.3 因不可抗力致使合同有变更必要的，双方当事人应在</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约定时间内以书面形式变更合同；</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2.11.4受不可抗力影响的一方在不可抗力发生后，应在</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约定时间内以书面形式通知对方当事人，并在</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约定时间内，将有关部门出具的证明文件送达对方当事人。</w:t>
      </w:r>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306" w:name="_Toc17127"/>
      <w:bookmarkStart w:id="1307" w:name="_Toc25783"/>
      <w:bookmarkStart w:id="1308" w:name="_Toc1959"/>
      <w:bookmarkStart w:id="1309" w:name="_Toc6465"/>
      <w:bookmarkStart w:id="1310" w:name="_Toc19153"/>
      <w:bookmarkStart w:id="1311" w:name="_Toc7981"/>
      <w:bookmarkStart w:id="1312" w:name="_Toc3638"/>
      <w:bookmarkStart w:id="1313" w:name="_Toc24465"/>
      <w:bookmarkStart w:id="1314" w:name="_Toc14370"/>
      <w:bookmarkStart w:id="1315" w:name="_Toc30880"/>
      <w:bookmarkStart w:id="1316" w:name="_Toc12690"/>
      <w:bookmarkStart w:id="1317" w:name="_Toc6743"/>
      <w:bookmarkStart w:id="1318" w:name="_Toc14115"/>
      <w:bookmarkStart w:id="1319" w:name="_Toc219"/>
      <w:bookmarkStart w:id="1320" w:name="_Toc3156"/>
      <w:bookmarkStart w:id="1321" w:name="_Toc23854"/>
      <w:bookmarkStart w:id="1322" w:name="_Toc32181"/>
      <w:bookmarkStart w:id="1323" w:name="_Toc23373"/>
      <w:bookmarkStart w:id="1324" w:name="_Toc279701255"/>
      <w:bookmarkStart w:id="1325" w:name="_Toc259093684"/>
      <w:bookmarkStart w:id="1326" w:name="_Toc11275"/>
      <w:bookmarkStart w:id="1327" w:name="_Toc487900365"/>
      <w:r>
        <w:rPr>
          <w:rFonts w:hint="eastAsia" w:ascii="微软雅黑" w:hAnsi="微软雅黑" w:eastAsia="微软雅黑" w:cs="微软雅黑"/>
          <w:b/>
          <w:color w:val="auto"/>
          <w:sz w:val="24"/>
          <w:highlight w:val="none"/>
        </w:rPr>
        <w:t>2.12 税费</w:t>
      </w:r>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与合同有关的一切税费，均按照中华人民共和国法律的相关规定缴纳。</w:t>
      </w:r>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328" w:name="_Toc5156"/>
      <w:bookmarkStart w:id="1329" w:name="_Toc426"/>
      <w:bookmarkStart w:id="1330" w:name="_Toc279701258"/>
      <w:bookmarkStart w:id="1331" w:name="_Toc7315"/>
      <w:bookmarkStart w:id="1332" w:name="_Toc14814"/>
      <w:bookmarkStart w:id="1333" w:name="_Toc22150"/>
      <w:bookmarkStart w:id="1334" w:name="_Toc30105"/>
      <w:bookmarkStart w:id="1335" w:name="_Toc14494"/>
      <w:bookmarkStart w:id="1336" w:name="_Toc27492"/>
      <w:bookmarkStart w:id="1337" w:name="_Toc25525"/>
      <w:bookmarkStart w:id="1338" w:name="_Toc10398"/>
      <w:bookmarkStart w:id="1339" w:name="_Toc31237"/>
      <w:bookmarkStart w:id="1340" w:name="_Toc15966"/>
      <w:bookmarkStart w:id="1341" w:name="_Toc15188"/>
      <w:bookmarkStart w:id="1342" w:name="_Toc3759"/>
      <w:bookmarkStart w:id="1343" w:name="_Toc19880"/>
      <w:bookmarkStart w:id="1344" w:name="_Toc24809"/>
      <w:bookmarkStart w:id="1345" w:name="_Toc259093687"/>
      <w:bookmarkStart w:id="1346" w:name="_Toc4896"/>
      <w:bookmarkStart w:id="1347" w:name="_Toc12415"/>
      <w:bookmarkStart w:id="1348" w:name="_Toc487900368"/>
      <w:bookmarkStart w:id="1349" w:name="_Toc26883"/>
      <w:r>
        <w:rPr>
          <w:rFonts w:hint="eastAsia" w:ascii="微软雅黑" w:hAnsi="微软雅黑" w:eastAsia="微软雅黑" w:cs="微软雅黑"/>
          <w:b/>
          <w:color w:val="auto"/>
          <w:sz w:val="24"/>
          <w:highlight w:val="none"/>
        </w:rPr>
        <w:t>2.13 乙方破产</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350" w:name="_Toc31298"/>
      <w:bookmarkStart w:id="1351" w:name="_Toc15650"/>
      <w:bookmarkStart w:id="1352" w:name="_Toc26320"/>
      <w:bookmarkStart w:id="1353" w:name="_Toc8066"/>
      <w:bookmarkStart w:id="1354" w:name="_Toc23323"/>
      <w:bookmarkStart w:id="1355" w:name="_Toc25092"/>
      <w:bookmarkStart w:id="1356" w:name="_Toc6032"/>
      <w:bookmarkStart w:id="1357" w:name="_Toc4472"/>
      <w:bookmarkStart w:id="1358" w:name="_Toc4845"/>
      <w:bookmarkStart w:id="1359" w:name="_Toc10056"/>
      <w:bookmarkStart w:id="1360" w:name="_Toc2016"/>
      <w:bookmarkStart w:id="1361" w:name="_Toc18650"/>
      <w:bookmarkStart w:id="1362" w:name="_Toc1675"/>
      <w:bookmarkStart w:id="1363" w:name="_Toc8069"/>
      <w:bookmarkStart w:id="1364" w:name="_Toc1123"/>
      <w:bookmarkStart w:id="1365" w:name="_Toc13023"/>
      <w:bookmarkStart w:id="1366" w:name="_Toc27757"/>
      <w:r>
        <w:rPr>
          <w:rFonts w:hint="eastAsia" w:ascii="微软雅黑" w:hAnsi="微软雅黑" w:eastAsia="微软雅黑" w:cs="微软雅黑"/>
          <w:b/>
          <w:color w:val="auto"/>
          <w:sz w:val="24"/>
          <w:highlight w:val="none"/>
        </w:rPr>
        <w:t>2.14 合同中止、终止</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2.14.1 双方当事人不得擅自中止或者终止合同；</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367" w:name="_Toc25753"/>
      <w:bookmarkStart w:id="1368" w:name="_Toc17363"/>
      <w:bookmarkStart w:id="1369" w:name="_Toc25815"/>
      <w:bookmarkStart w:id="1370" w:name="_Toc12981"/>
      <w:bookmarkStart w:id="1371" w:name="_Toc5120"/>
      <w:bookmarkStart w:id="1372" w:name="_Toc145"/>
      <w:bookmarkStart w:id="1373" w:name="_Toc22355"/>
      <w:bookmarkStart w:id="1374" w:name="_Toc1969"/>
      <w:bookmarkStart w:id="1375" w:name="_Toc295"/>
      <w:bookmarkStart w:id="1376" w:name="_Toc30002"/>
      <w:bookmarkStart w:id="1377" w:name="_Toc16250"/>
      <w:bookmarkStart w:id="1378" w:name="_Toc12473"/>
      <w:bookmarkStart w:id="1379" w:name="_Toc7090"/>
      <w:bookmarkStart w:id="1380" w:name="_Toc14653"/>
      <w:bookmarkStart w:id="1381" w:name="_Toc22475"/>
      <w:bookmarkStart w:id="1382" w:name="_Toc31348"/>
      <w:r>
        <w:rPr>
          <w:rFonts w:hint="eastAsia" w:ascii="微软雅黑" w:hAnsi="微软雅黑" w:eastAsia="微软雅黑" w:cs="微软雅黑"/>
          <w:b/>
          <w:color w:val="auto"/>
          <w:sz w:val="24"/>
          <w:highlight w:val="none"/>
        </w:rPr>
        <w:t>2.15 检验和验收</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pPr>
        <w:tabs>
          <w:tab w:val="left" w:pos="360"/>
          <w:tab w:val="left" w:pos="540"/>
          <w:tab w:val="left" w:pos="1080"/>
        </w:tabs>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2.15.1 乙方按照</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的约定，定期提交服务报告，甲方按照</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的约定进行定期验收；</w:t>
      </w:r>
    </w:p>
    <w:p>
      <w:pPr>
        <w:tabs>
          <w:tab w:val="left" w:pos="360"/>
          <w:tab w:val="left" w:pos="540"/>
          <w:tab w:val="left" w:pos="1080"/>
        </w:tabs>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2.15.3 检验和验收标准、程序等具体内容以及前述验收书的效力详见</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i/>
          <w:color w:val="auto"/>
          <w:sz w:val="24"/>
          <w:highlight w:val="none"/>
        </w:rPr>
        <w:t>。</w:t>
      </w:r>
    </w:p>
    <w:bookmarkEnd w:id="1261"/>
    <w:bookmarkEnd w:id="1262"/>
    <w:bookmarkEnd w:id="1263"/>
    <w:bookmarkEnd w:id="1264"/>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383" w:name="_Toc279701261"/>
      <w:bookmarkStart w:id="1384" w:name="_Toc487900371"/>
      <w:bookmarkStart w:id="1385" w:name="_Toc259093690"/>
      <w:bookmarkStart w:id="1386" w:name="_Toc26095"/>
      <w:bookmarkStart w:id="1387" w:name="_Toc10819"/>
      <w:bookmarkStart w:id="1388" w:name="_Toc31892"/>
      <w:bookmarkStart w:id="1389" w:name="_Toc12666"/>
      <w:bookmarkStart w:id="1390" w:name="_Toc1691"/>
      <w:bookmarkStart w:id="1391" w:name="_Toc12970"/>
      <w:bookmarkStart w:id="1392" w:name="_Toc13486"/>
      <w:bookmarkStart w:id="1393" w:name="_Toc22987"/>
      <w:bookmarkStart w:id="1394" w:name="_Toc13544"/>
      <w:bookmarkStart w:id="1395" w:name="_Toc2308"/>
      <w:bookmarkStart w:id="1396" w:name="_Toc25198"/>
      <w:bookmarkStart w:id="1397" w:name="_Toc9808"/>
      <w:bookmarkStart w:id="1398" w:name="_Toc31656"/>
      <w:bookmarkStart w:id="1399" w:name="_Toc13224"/>
      <w:bookmarkStart w:id="1400" w:name="_Toc23672"/>
      <w:bookmarkStart w:id="1401" w:name="_Toc3309"/>
      <w:bookmarkStart w:id="1402" w:name="_Toc10525"/>
      <w:bookmarkStart w:id="1403" w:name="_Toc29667"/>
      <w:bookmarkStart w:id="1404" w:name="_Toc6307"/>
      <w:r>
        <w:rPr>
          <w:rFonts w:hint="eastAsia" w:ascii="微软雅黑" w:hAnsi="微软雅黑" w:eastAsia="微软雅黑" w:cs="微软雅黑"/>
          <w:b/>
          <w:color w:val="auto"/>
          <w:sz w:val="24"/>
          <w:highlight w:val="none"/>
        </w:rPr>
        <w:t>2.16 通知</w:t>
      </w:r>
      <w:bookmarkEnd w:id="1383"/>
      <w:bookmarkEnd w:id="1384"/>
      <w:bookmarkEnd w:id="1385"/>
      <w:r>
        <w:rPr>
          <w:rFonts w:hint="eastAsia" w:ascii="微软雅黑" w:hAnsi="微软雅黑" w:eastAsia="微软雅黑" w:cs="微软雅黑"/>
          <w:b/>
          <w:color w:val="auto"/>
          <w:sz w:val="24"/>
          <w:highlight w:val="none"/>
        </w:rPr>
        <w:t>和送达</w:t>
      </w:r>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pPr>
        <w:spacing w:line="400" w:lineRule="exact"/>
        <w:ind w:firstLine="480" w:firstLineChars="200"/>
        <w:rPr>
          <w:rFonts w:hint="eastAsia" w:ascii="微软雅黑" w:hAnsi="微软雅黑" w:eastAsia="微软雅黑" w:cs="微软雅黑"/>
          <w:color w:val="auto"/>
          <w:sz w:val="24"/>
          <w:highlight w:val="none"/>
        </w:rPr>
      </w:pPr>
      <w:bookmarkStart w:id="1405" w:name="_Toc7073"/>
      <w:bookmarkStart w:id="1406" w:name="_Toc487900372"/>
      <w:bookmarkStart w:id="1407" w:name="_Toc259093691"/>
      <w:bookmarkStart w:id="1408" w:name="_Toc279701262"/>
      <w:r>
        <w:rPr>
          <w:rFonts w:hint="eastAsia" w:ascii="微软雅黑" w:hAnsi="微软雅黑" w:eastAsia="微软雅黑" w:cs="微软雅黑"/>
          <w:color w:val="auto"/>
          <w:sz w:val="24"/>
          <w:highlight w:val="none"/>
        </w:rPr>
        <w:t>2.16.1 任何一方因履行合同而以合同第一部分尾部所列明的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发出的所有通知、文件、材料，均视为已向对方当事人送达；任何一方变更上述送达方式或者地址的，应于</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个工作日内书面通知对方当事人，在对方当事人收到有关变更通知之前，变更前的约定送达方式或者地址仍视为有效。</w:t>
      </w:r>
      <w:bookmarkEnd w:id="1405"/>
    </w:p>
    <w:p>
      <w:pPr>
        <w:spacing w:line="400" w:lineRule="exact"/>
        <w:ind w:firstLine="480" w:firstLineChars="200"/>
        <w:rPr>
          <w:rFonts w:hint="eastAsia" w:ascii="微软雅黑" w:hAnsi="微软雅黑" w:eastAsia="微软雅黑" w:cs="微软雅黑"/>
          <w:color w:val="auto"/>
          <w:sz w:val="24"/>
          <w:highlight w:val="none"/>
        </w:rPr>
      </w:pPr>
      <w:bookmarkStart w:id="1409" w:name="_Toc27674"/>
      <w:bookmarkStart w:id="1410" w:name="_Toc18401"/>
      <w:r>
        <w:rPr>
          <w:rFonts w:hint="eastAsia" w:ascii="微软雅黑" w:hAnsi="微软雅黑" w:eastAsia="微软雅黑" w:cs="微软雅黑"/>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09"/>
      <w:bookmarkEnd w:id="1410"/>
    </w:p>
    <w:bookmarkEnd w:id="1406"/>
    <w:bookmarkEnd w:id="1407"/>
    <w:bookmarkEnd w:id="1408"/>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411" w:name="_Toc4407"/>
      <w:bookmarkStart w:id="1412" w:name="_Toc279701263"/>
      <w:bookmarkStart w:id="1413" w:name="_Toc20808"/>
      <w:bookmarkStart w:id="1414" w:name="_Toc18929"/>
      <w:bookmarkStart w:id="1415" w:name="_Toc5063"/>
      <w:bookmarkStart w:id="1416" w:name="_Toc259093692"/>
      <w:bookmarkStart w:id="1417" w:name="_Toc556"/>
      <w:bookmarkStart w:id="1418" w:name="_Toc16009"/>
      <w:bookmarkStart w:id="1419" w:name="_Toc12254"/>
      <w:bookmarkStart w:id="1420" w:name="_Toc1846"/>
      <w:bookmarkStart w:id="1421" w:name="_Toc29232"/>
      <w:bookmarkStart w:id="1422" w:name="_Toc18906"/>
      <w:bookmarkStart w:id="1423" w:name="_Toc19439"/>
      <w:bookmarkStart w:id="1424" w:name="_Toc31615"/>
      <w:bookmarkStart w:id="1425" w:name="_Toc27644"/>
      <w:bookmarkStart w:id="1426" w:name="_Toc18708"/>
      <w:bookmarkStart w:id="1427" w:name="_Toc487900373"/>
      <w:bookmarkStart w:id="1428" w:name="_Toc12839"/>
      <w:bookmarkStart w:id="1429" w:name="_Toc10103"/>
      <w:bookmarkStart w:id="1430" w:name="_Toc13433"/>
      <w:bookmarkStart w:id="1431" w:name="_Toc28590"/>
      <w:r>
        <w:rPr>
          <w:rFonts w:hint="eastAsia" w:ascii="微软雅黑" w:hAnsi="微软雅黑" w:eastAsia="微软雅黑" w:cs="微软雅黑"/>
          <w:b/>
          <w:color w:val="auto"/>
          <w:sz w:val="24"/>
          <w:highlight w:val="none"/>
        </w:rPr>
        <w:t>2.17 合同使用的文字和适用的法律</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2.17.1 合同使用汉语书就、变更和解释；</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2.17.2 合同适用中华人民共和国法律。</w:t>
      </w:r>
    </w:p>
    <w:p>
      <w:pPr>
        <w:spacing w:line="400" w:lineRule="exact"/>
        <w:ind w:firstLine="480" w:firstLineChars="200"/>
        <w:outlineLvl w:val="0"/>
        <w:rPr>
          <w:rFonts w:hint="eastAsia" w:ascii="微软雅黑" w:hAnsi="微软雅黑" w:eastAsia="微软雅黑" w:cs="微软雅黑"/>
          <w:b/>
          <w:color w:val="auto"/>
          <w:sz w:val="24"/>
          <w:highlight w:val="none"/>
        </w:rPr>
      </w:pPr>
      <w:bookmarkStart w:id="1432" w:name="_Toc5719"/>
      <w:bookmarkStart w:id="1433" w:name="_Toc18902"/>
      <w:bookmarkStart w:id="1434" w:name="_Toc27403"/>
      <w:bookmarkStart w:id="1435" w:name="_Toc15033"/>
      <w:bookmarkStart w:id="1436" w:name="_Toc32512"/>
      <w:bookmarkStart w:id="1437" w:name="_Toc26691"/>
      <w:bookmarkStart w:id="1438" w:name="_Toc27761"/>
      <w:bookmarkStart w:id="1439" w:name="_Toc1492"/>
      <w:bookmarkStart w:id="1440" w:name="_Toc20559"/>
      <w:bookmarkStart w:id="1441" w:name="_Toc7323"/>
      <w:bookmarkStart w:id="1442" w:name="_Toc32540"/>
      <w:bookmarkStart w:id="1443" w:name="_Toc21165"/>
      <w:bookmarkStart w:id="1444" w:name="_Toc27127"/>
      <w:bookmarkStart w:id="1445" w:name="_Toc279701264"/>
      <w:bookmarkStart w:id="1446" w:name="_Toc30096"/>
      <w:bookmarkStart w:id="1447" w:name="_Toc31884"/>
      <w:bookmarkStart w:id="1448" w:name="_Toc259093693"/>
      <w:bookmarkStart w:id="1449" w:name="_Toc30312"/>
      <w:bookmarkStart w:id="1450" w:name="_Toc20271"/>
      <w:bookmarkStart w:id="1451" w:name="_Toc1356"/>
      <w:bookmarkStart w:id="1452" w:name="_Toc487900374"/>
      <w:r>
        <w:rPr>
          <w:rFonts w:hint="eastAsia" w:ascii="微软雅黑" w:hAnsi="微软雅黑" w:eastAsia="微软雅黑" w:cs="微软雅黑"/>
          <w:b/>
          <w:color w:val="auto"/>
          <w:sz w:val="24"/>
          <w:highlight w:val="none"/>
        </w:rPr>
        <w:t>2.18 履约保证金</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2.18.1 采购文件要求乙方提交履约保证金的，乙方应按</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约定的方式，以支票、汇票、本票或者金融机构、担保机构出具的保函等非现金形式，提交不超过合同价10%的履约保证金；</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2.18.2 履约保证金在</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约定期间内不予退还或者应完全有效，前述约定期间届满之日起</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个工作日内，甲方应将履约保证金退还乙方；</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452"/>
    <w:p>
      <w:pPr>
        <w:spacing w:line="400" w:lineRule="exact"/>
        <w:ind w:firstLine="480" w:firstLineChars="200"/>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2.19 合同份数</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合同份数按</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规定，每份均具有同等法律效力。</w:t>
      </w:r>
      <w:bookmarkStart w:id="1453" w:name="_Toc331685784"/>
    </w:p>
    <w:p>
      <w:pPr>
        <w:spacing w:line="400" w:lineRule="exact"/>
        <w:ind w:firstLine="420" w:firstLineChars="200"/>
        <w:rPr>
          <w:rFonts w:hint="eastAsia" w:ascii="微软雅黑" w:hAnsi="微软雅黑" w:eastAsia="微软雅黑" w:cs="微软雅黑"/>
          <w:b/>
          <w:color w:val="auto"/>
          <w:highlight w:val="none"/>
        </w:rPr>
      </w:pPr>
      <w:r>
        <w:rPr>
          <w:rFonts w:hint="eastAsia" w:ascii="微软雅黑" w:hAnsi="微软雅黑" w:eastAsia="微软雅黑" w:cs="微软雅黑"/>
          <w:b/>
          <w:color w:val="auto"/>
          <w:highlight w:val="none"/>
        </w:rPr>
        <w:t>第三部分  合同专用条款</w:t>
      </w:r>
      <w:bookmarkEnd w:id="1453"/>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400" w:lineRule="exact"/>
              <w:jc w:val="cente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条款号</w:t>
            </w:r>
          </w:p>
        </w:tc>
        <w:tc>
          <w:tcPr>
            <w:tcW w:w="7633" w:type="dxa"/>
            <w:vAlign w:val="center"/>
          </w:tcPr>
          <w:p>
            <w:pPr>
              <w:spacing w:line="400" w:lineRule="exact"/>
              <w:jc w:val="cente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400" w:lineRule="exact"/>
              <w:rPr>
                <w:rFonts w:hint="eastAsia" w:ascii="微软雅黑" w:hAnsi="微软雅黑" w:eastAsia="微软雅黑" w:cs="微软雅黑"/>
                <w:color w:val="auto"/>
                <w:sz w:val="24"/>
                <w:highlight w:val="none"/>
              </w:rPr>
            </w:pPr>
          </w:p>
        </w:tc>
        <w:tc>
          <w:tcPr>
            <w:tcW w:w="7633" w:type="dxa"/>
            <w:vAlign w:val="center"/>
          </w:tcPr>
          <w:p>
            <w:pPr>
              <w:spacing w:line="400" w:lineRule="exact"/>
              <w:rPr>
                <w:rFonts w:hint="eastAsia"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微软雅黑" w:hAnsi="微软雅黑" w:eastAsia="微软雅黑" w:cs="微软雅黑"/>
                <w:color w:val="auto"/>
                <w:sz w:val="24"/>
                <w:highlight w:val="none"/>
              </w:rPr>
            </w:pPr>
          </w:p>
        </w:tc>
        <w:tc>
          <w:tcPr>
            <w:tcW w:w="7633" w:type="dxa"/>
            <w:vAlign w:val="center"/>
          </w:tcPr>
          <w:p>
            <w:pPr>
              <w:spacing w:line="400" w:lineRule="exact"/>
              <w:rPr>
                <w:rFonts w:hint="eastAsia"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微软雅黑" w:hAnsi="微软雅黑" w:eastAsia="微软雅黑" w:cs="微软雅黑"/>
                <w:color w:val="auto"/>
                <w:sz w:val="24"/>
                <w:highlight w:val="none"/>
              </w:rPr>
            </w:pPr>
          </w:p>
        </w:tc>
        <w:tc>
          <w:tcPr>
            <w:tcW w:w="7633" w:type="dxa"/>
            <w:vAlign w:val="center"/>
          </w:tcPr>
          <w:p>
            <w:pPr>
              <w:spacing w:line="400" w:lineRule="exact"/>
              <w:rPr>
                <w:rFonts w:hint="eastAsia"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微软雅黑" w:hAnsi="微软雅黑" w:eastAsia="微软雅黑" w:cs="微软雅黑"/>
                <w:color w:val="auto"/>
                <w:sz w:val="24"/>
                <w:highlight w:val="none"/>
              </w:rPr>
            </w:pPr>
          </w:p>
        </w:tc>
        <w:tc>
          <w:tcPr>
            <w:tcW w:w="7633" w:type="dxa"/>
            <w:vAlign w:val="center"/>
          </w:tcPr>
          <w:p>
            <w:pPr>
              <w:spacing w:line="400" w:lineRule="exact"/>
              <w:rPr>
                <w:rFonts w:hint="eastAsia"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微软雅黑" w:hAnsi="微软雅黑" w:eastAsia="微软雅黑" w:cs="微软雅黑"/>
                <w:color w:val="auto"/>
                <w:sz w:val="24"/>
                <w:highlight w:val="none"/>
              </w:rPr>
            </w:pPr>
          </w:p>
        </w:tc>
        <w:tc>
          <w:tcPr>
            <w:tcW w:w="7633" w:type="dxa"/>
            <w:vAlign w:val="center"/>
          </w:tcPr>
          <w:p>
            <w:pPr>
              <w:spacing w:line="400" w:lineRule="exact"/>
              <w:rPr>
                <w:rFonts w:hint="eastAsia" w:ascii="微软雅黑" w:hAnsi="微软雅黑" w:eastAsia="微软雅黑" w:cs="微软雅黑"/>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微软雅黑" w:hAnsi="微软雅黑" w:eastAsia="微软雅黑" w:cs="微软雅黑"/>
                <w:color w:val="auto"/>
                <w:sz w:val="24"/>
                <w:highlight w:val="none"/>
              </w:rPr>
            </w:pPr>
          </w:p>
        </w:tc>
        <w:tc>
          <w:tcPr>
            <w:tcW w:w="7633" w:type="dxa"/>
            <w:vAlign w:val="center"/>
          </w:tcPr>
          <w:p>
            <w:pPr>
              <w:spacing w:line="400" w:lineRule="exact"/>
              <w:rPr>
                <w:rFonts w:hint="eastAsia"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微软雅黑" w:hAnsi="微软雅黑" w:eastAsia="微软雅黑" w:cs="微软雅黑"/>
                <w:color w:val="auto"/>
                <w:sz w:val="24"/>
                <w:highlight w:val="none"/>
              </w:rPr>
            </w:pPr>
          </w:p>
        </w:tc>
        <w:tc>
          <w:tcPr>
            <w:tcW w:w="7633" w:type="dxa"/>
            <w:vAlign w:val="center"/>
          </w:tcPr>
          <w:p>
            <w:pPr>
              <w:spacing w:line="400" w:lineRule="exact"/>
              <w:rPr>
                <w:rFonts w:hint="eastAsia" w:ascii="微软雅黑" w:hAnsi="微软雅黑" w:eastAsia="微软雅黑" w:cs="微软雅黑"/>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微软雅黑" w:hAnsi="微软雅黑" w:eastAsia="微软雅黑" w:cs="微软雅黑"/>
                <w:color w:val="auto"/>
                <w:sz w:val="24"/>
                <w:highlight w:val="none"/>
              </w:rPr>
            </w:pPr>
          </w:p>
        </w:tc>
        <w:tc>
          <w:tcPr>
            <w:tcW w:w="7633" w:type="dxa"/>
            <w:vAlign w:val="center"/>
          </w:tcPr>
          <w:p>
            <w:pPr>
              <w:spacing w:line="400" w:lineRule="exact"/>
              <w:rPr>
                <w:rFonts w:hint="eastAsia"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微软雅黑" w:hAnsi="微软雅黑" w:eastAsia="微软雅黑" w:cs="微软雅黑"/>
                <w:color w:val="auto"/>
                <w:sz w:val="24"/>
                <w:highlight w:val="none"/>
              </w:rPr>
            </w:pPr>
          </w:p>
        </w:tc>
        <w:tc>
          <w:tcPr>
            <w:tcW w:w="7633" w:type="dxa"/>
            <w:vAlign w:val="center"/>
          </w:tcPr>
          <w:p>
            <w:pPr>
              <w:spacing w:line="400" w:lineRule="exact"/>
              <w:rPr>
                <w:rFonts w:hint="eastAsia"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微软雅黑" w:hAnsi="微软雅黑" w:eastAsia="微软雅黑" w:cs="微软雅黑"/>
                <w:color w:val="auto"/>
                <w:sz w:val="24"/>
                <w:highlight w:val="none"/>
              </w:rPr>
            </w:pPr>
          </w:p>
        </w:tc>
        <w:tc>
          <w:tcPr>
            <w:tcW w:w="7633" w:type="dxa"/>
            <w:vAlign w:val="center"/>
          </w:tcPr>
          <w:p>
            <w:pPr>
              <w:spacing w:line="400" w:lineRule="exact"/>
              <w:rPr>
                <w:rFonts w:hint="eastAsia"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微软雅黑" w:hAnsi="微软雅黑" w:eastAsia="微软雅黑" w:cs="微软雅黑"/>
                <w:color w:val="auto"/>
                <w:sz w:val="24"/>
                <w:highlight w:val="none"/>
              </w:rPr>
            </w:pPr>
          </w:p>
        </w:tc>
        <w:tc>
          <w:tcPr>
            <w:tcW w:w="7633" w:type="dxa"/>
            <w:vAlign w:val="center"/>
          </w:tcPr>
          <w:p>
            <w:pPr>
              <w:spacing w:line="400" w:lineRule="exact"/>
              <w:rPr>
                <w:rFonts w:hint="eastAsia"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微软雅黑" w:hAnsi="微软雅黑" w:eastAsia="微软雅黑" w:cs="微软雅黑"/>
                <w:color w:val="auto"/>
                <w:sz w:val="24"/>
                <w:highlight w:val="none"/>
              </w:rPr>
            </w:pPr>
          </w:p>
        </w:tc>
        <w:tc>
          <w:tcPr>
            <w:tcW w:w="7633" w:type="dxa"/>
            <w:vAlign w:val="center"/>
          </w:tcPr>
          <w:p>
            <w:pPr>
              <w:spacing w:line="400" w:lineRule="exact"/>
              <w:rPr>
                <w:rFonts w:hint="eastAsia" w:ascii="微软雅黑" w:hAnsi="微软雅黑" w:eastAsia="微软雅黑" w:cs="微软雅黑"/>
                <w:color w:val="auto"/>
                <w:sz w:val="24"/>
                <w:highlight w:val="none"/>
              </w:rPr>
            </w:pPr>
          </w:p>
        </w:tc>
      </w:tr>
    </w:tbl>
    <w:p>
      <w:pPr>
        <w:outlineLvl w:val="9"/>
        <w:rPr>
          <w:rFonts w:hint="eastAsia" w:ascii="微软雅黑" w:hAnsi="微软雅黑" w:eastAsia="微软雅黑" w:cs="微软雅黑"/>
          <w:color w:val="auto"/>
          <w:highlight w:val="none"/>
        </w:rPr>
      </w:pPr>
    </w:p>
    <w:p>
      <w:pPr>
        <w:outlineLvl w:val="9"/>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highlight w:val="none"/>
        </w:rPr>
      </w:pPr>
    </w:p>
    <w:p>
      <w:pPr>
        <w:outlineLvl w:val="9"/>
        <w:rPr>
          <w:rFonts w:hint="eastAsia" w:ascii="微软雅黑" w:hAnsi="微软雅黑" w:eastAsia="微软雅黑" w:cs="微软雅黑"/>
          <w:color w:val="auto"/>
          <w:highlight w:val="none"/>
        </w:rPr>
      </w:pPr>
    </w:p>
    <w:sectPr>
      <w:headerReference r:id="rId13" w:type="default"/>
      <w:footerReference r:id="rId14" w:type="default"/>
      <w:pgSz w:w="11905" w:h="16838"/>
      <w:pgMar w:top="1440" w:right="1797" w:bottom="1440" w:left="1797" w:header="851" w:footer="992" w:gutter="0"/>
      <w:pgNumType w:fmt="decimal"/>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center"/>
    </w:pPr>
    <w:r>
      <w:rPr>
        <w:rFonts w:hint="eastAsia"/>
        <w:color w:val="FF0000"/>
      </w:rPr>
      <w:t>Add：喀什经济开发区深喀大道陕西大厦12楼1208室        Tel：18209987338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FF0000"/>
      </w:rPr>
      <w:t>Add：喀什经济开发区深喀大道陕西大厦12楼1208室        Tel：18209987338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color w:val="FF0000"/>
      </w:rPr>
      <w:t>Add：喀什经济开发区深喀大道陕西大厦12楼1208室        Tel：18209987338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59</w:t>
                    </w:r>
                    <w:r>
                      <w:fldChar w:fldCharType="end"/>
                    </w:r>
                  </w:p>
                </w:txbxContent>
              </v:textbox>
            </v:shape>
          </w:pict>
        </mc:Fallback>
      </mc:AlternateContent>
    </w:r>
  </w:p>
  <w:p>
    <w:pPr>
      <w:pStyle w:val="1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center"/>
    </w:pP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60</w:t>
                    </w:r>
                    <w:r>
                      <w:fldChar w:fldCharType="end"/>
                    </w:r>
                  </w:p>
                </w:txbxContent>
              </v:textbox>
            </v:shape>
          </w:pict>
        </mc:Fallback>
      </mc:AlternateContent>
    </w:r>
    <w:r>
      <w:rPr>
        <w:rFonts w:hint="eastAsia"/>
        <w:color w:val="FF0000"/>
      </w:rPr>
      <w:t>Add：喀什经济开发区深喀大道陕西大厦12楼1208室        Tel：18209987338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double" w:color="auto" w:sz="8" w:space="0"/>
      </w:pBdr>
      <w:jc w:val="left"/>
    </w:pPr>
    <w:r>
      <w:drawing>
        <wp:anchor distT="0" distB="0" distL="0" distR="0" simplePos="0" relativeHeight="251665408" behindDoc="1" locked="0" layoutInCell="1" allowOverlap="1">
          <wp:simplePos x="0" y="0"/>
          <wp:positionH relativeFrom="margin">
            <wp:align>center</wp:align>
          </wp:positionH>
          <wp:positionV relativeFrom="margin">
            <wp:align>center</wp:align>
          </wp:positionV>
          <wp:extent cx="5274310" cy="847090"/>
          <wp:effectExtent l="1740535" t="0" r="1755775" b="0"/>
          <wp:wrapNone/>
          <wp:docPr id="4099" name="WordPictureWatermark44743" descr="图片1"/>
          <wp:cNvGraphicFramePr/>
          <a:graphic xmlns:a="http://schemas.openxmlformats.org/drawingml/2006/main">
            <a:graphicData uri="http://schemas.openxmlformats.org/drawingml/2006/picture">
              <pic:pic xmlns:pic="http://schemas.openxmlformats.org/drawingml/2006/picture">
                <pic:nvPicPr>
                  <pic:cNvPr id="4099" name="WordPictureWatermark44743" descr="图片1"/>
                  <pic:cNvPicPr/>
                </pic:nvPicPr>
                <pic:blipFill>
                  <a:blip r:embed="rId1" cstate="print">
                    <a:lum bright="68000" contrast="-70000"/>
                  </a:blip>
                  <a:srcRect/>
                  <a:stretch>
                    <a:fillRect/>
                  </a:stretch>
                </pic:blipFill>
                <pic:spPr>
                  <a:xfrm rot="-2700000">
                    <a:off x="0" y="0"/>
                    <a:ext cx="5274310" cy="847090"/>
                  </a:xfrm>
                  <a:prstGeom prst="rect">
                    <a:avLst/>
                  </a:prstGeom>
                  <a:ln>
                    <a:noFill/>
                  </a:ln>
                </pic:spPr>
              </pic:pic>
            </a:graphicData>
          </a:graphic>
        </wp:anchor>
      </w:drawing>
    </w:r>
    <w:r>
      <w:rPr>
        <w:rFonts w:hint="eastAsia"/>
      </w:rPr>
      <w:drawing>
        <wp:inline distT="0" distB="0" distL="0" distR="0">
          <wp:extent cx="2992755" cy="428625"/>
          <wp:effectExtent l="0" t="0" r="9525" b="13335"/>
          <wp:docPr id="4100" name="图片 2" descr="7fb26b890cf49d76afa2453ec3c9120"/>
          <wp:cNvGraphicFramePr/>
          <a:graphic xmlns:a="http://schemas.openxmlformats.org/drawingml/2006/main">
            <a:graphicData uri="http://schemas.openxmlformats.org/drawingml/2006/picture">
              <pic:pic xmlns:pic="http://schemas.openxmlformats.org/drawingml/2006/picture">
                <pic:nvPicPr>
                  <pic:cNvPr id="4100" name="图片 2" descr="7fb26b890cf49d76afa2453ec3c9120"/>
                  <pic:cNvPicPr/>
                </pic:nvPicPr>
                <pic:blipFill>
                  <a:blip r:embed="rId1" cstate="print"/>
                  <a:srcRect/>
                  <a:stretch>
                    <a:fillRect/>
                  </a:stretch>
                </pic:blipFill>
                <pic:spPr>
                  <a:xfrm>
                    <a:off x="0" y="0"/>
                    <a:ext cx="2992755" cy="429259"/>
                  </a:xfrm>
                  <a:prstGeom prst="rect">
                    <a:avLst/>
                  </a:prstGeom>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double" w:color="auto" w:sz="8" w:space="0"/>
      </w:pBdr>
      <w:jc w:val="left"/>
    </w:pPr>
    <w:r>
      <w:drawing>
        <wp:anchor distT="0" distB="0" distL="0" distR="0" simplePos="0" relativeHeight="251666432" behindDoc="1" locked="0" layoutInCell="1" allowOverlap="1">
          <wp:simplePos x="0" y="0"/>
          <wp:positionH relativeFrom="margin">
            <wp:align>center</wp:align>
          </wp:positionH>
          <wp:positionV relativeFrom="margin">
            <wp:align>center</wp:align>
          </wp:positionV>
          <wp:extent cx="5274310" cy="847090"/>
          <wp:effectExtent l="1740535" t="0" r="1755775" b="0"/>
          <wp:wrapNone/>
          <wp:docPr id="6" name="WordPictureWatermark44743" descr="图片1"/>
          <wp:cNvGraphicFramePr/>
          <a:graphic xmlns:a="http://schemas.openxmlformats.org/drawingml/2006/main">
            <a:graphicData uri="http://schemas.openxmlformats.org/drawingml/2006/picture">
              <pic:pic xmlns:pic="http://schemas.openxmlformats.org/drawingml/2006/picture">
                <pic:nvPicPr>
                  <pic:cNvPr id="6" name="WordPictureWatermark44743" descr="图片1"/>
                  <pic:cNvPicPr/>
                </pic:nvPicPr>
                <pic:blipFill>
                  <a:blip r:embed="rId1" cstate="print">
                    <a:lum bright="68000" contrast="-70000"/>
                  </a:blip>
                  <a:srcRect/>
                  <a:stretch>
                    <a:fillRect/>
                  </a:stretch>
                </pic:blipFill>
                <pic:spPr>
                  <a:xfrm rot="-2700000">
                    <a:off x="0" y="0"/>
                    <a:ext cx="5274310" cy="847090"/>
                  </a:xfrm>
                  <a:prstGeom prst="rect">
                    <a:avLst/>
                  </a:prstGeom>
                  <a:ln>
                    <a:noFill/>
                  </a:ln>
                </pic:spPr>
              </pic:pic>
            </a:graphicData>
          </a:graphic>
        </wp:anchor>
      </w:drawing>
    </w:r>
    <w:r>
      <w:rPr>
        <w:rFonts w:hint="eastAsia"/>
      </w:rPr>
      <w:drawing>
        <wp:inline distT="0" distB="0" distL="0" distR="0">
          <wp:extent cx="2992755" cy="428625"/>
          <wp:effectExtent l="0" t="0" r="9525" b="13335"/>
          <wp:docPr id="8" name="图片 2" descr="7fb26b890cf49d76afa2453ec3c9120"/>
          <wp:cNvGraphicFramePr/>
          <a:graphic xmlns:a="http://schemas.openxmlformats.org/drawingml/2006/main">
            <a:graphicData uri="http://schemas.openxmlformats.org/drawingml/2006/picture">
              <pic:pic xmlns:pic="http://schemas.openxmlformats.org/drawingml/2006/picture">
                <pic:nvPicPr>
                  <pic:cNvPr id="8" name="图片 2" descr="7fb26b890cf49d76afa2453ec3c9120"/>
                  <pic:cNvPicPr/>
                </pic:nvPicPr>
                <pic:blipFill>
                  <a:blip r:embed="rId1" cstate="print"/>
                  <a:srcRect/>
                  <a:stretch>
                    <a:fillRect/>
                  </a:stretch>
                </pic:blipFill>
                <pic:spPr>
                  <a:xfrm>
                    <a:off x="0" y="0"/>
                    <a:ext cx="2992755" cy="429259"/>
                  </a:xfrm>
                  <a:prstGeom prst="rect">
                    <a:avLst/>
                  </a:prstGeom>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double" w:color="auto" w:sz="8" w:space="0"/>
      </w:pBdr>
      <w:jc w:val="left"/>
    </w:pPr>
    <w:r>
      <w:drawing>
        <wp:anchor distT="0" distB="0" distL="0" distR="0" simplePos="0" relativeHeight="251667456" behindDoc="1" locked="0" layoutInCell="1" allowOverlap="1">
          <wp:simplePos x="0" y="0"/>
          <wp:positionH relativeFrom="margin">
            <wp:align>center</wp:align>
          </wp:positionH>
          <wp:positionV relativeFrom="margin">
            <wp:align>center</wp:align>
          </wp:positionV>
          <wp:extent cx="5274310" cy="847090"/>
          <wp:effectExtent l="1740535" t="0" r="1755775" b="0"/>
          <wp:wrapNone/>
          <wp:docPr id="10" name="WordPictureWatermark44743" descr="图片1"/>
          <wp:cNvGraphicFramePr/>
          <a:graphic xmlns:a="http://schemas.openxmlformats.org/drawingml/2006/main">
            <a:graphicData uri="http://schemas.openxmlformats.org/drawingml/2006/picture">
              <pic:pic xmlns:pic="http://schemas.openxmlformats.org/drawingml/2006/picture">
                <pic:nvPicPr>
                  <pic:cNvPr id="10" name="WordPictureWatermark44743" descr="图片1"/>
                  <pic:cNvPicPr/>
                </pic:nvPicPr>
                <pic:blipFill>
                  <a:blip r:embed="rId1" cstate="print">
                    <a:lum bright="68000" contrast="-70000"/>
                  </a:blip>
                  <a:srcRect/>
                  <a:stretch>
                    <a:fillRect/>
                  </a:stretch>
                </pic:blipFill>
                <pic:spPr>
                  <a:xfrm rot="-2700000">
                    <a:off x="0" y="0"/>
                    <a:ext cx="5274310" cy="847090"/>
                  </a:xfrm>
                  <a:prstGeom prst="rect">
                    <a:avLst/>
                  </a:prstGeom>
                  <a:ln>
                    <a:noFill/>
                  </a:ln>
                </pic:spPr>
              </pic:pic>
            </a:graphicData>
          </a:graphic>
        </wp:anchor>
      </w:drawing>
    </w:r>
    <w:r>
      <w:rPr>
        <w:rFonts w:hint="eastAsia"/>
      </w:rPr>
      <w:drawing>
        <wp:inline distT="0" distB="0" distL="0" distR="0">
          <wp:extent cx="2992755" cy="428625"/>
          <wp:effectExtent l="0" t="0" r="9525" b="13335"/>
          <wp:docPr id="12" name="图片 2" descr="7fb26b890cf49d76afa2453ec3c9120"/>
          <wp:cNvGraphicFramePr/>
          <a:graphic xmlns:a="http://schemas.openxmlformats.org/drawingml/2006/main">
            <a:graphicData uri="http://schemas.openxmlformats.org/drawingml/2006/picture">
              <pic:pic xmlns:pic="http://schemas.openxmlformats.org/drawingml/2006/picture">
                <pic:nvPicPr>
                  <pic:cNvPr id="12" name="图片 2" descr="7fb26b890cf49d76afa2453ec3c9120"/>
                  <pic:cNvPicPr/>
                </pic:nvPicPr>
                <pic:blipFill>
                  <a:blip r:embed="rId1" cstate="print"/>
                  <a:srcRect/>
                  <a:stretch>
                    <a:fillRect/>
                  </a:stretch>
                </pic:blipFill>
                <pic:spPr>
                  <a:xfrm>
                    <a:off x="0" y="0"/>
                    <a:ext cx="2992755" cy="429259"/>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EE290"/>
    <w:multiLevelType w:val="singleLevel"/>
    <w:tmpl w:val="CC4EE290"/>
    <w:lvl w:ilvl="0" w:tentative="0">
      <w:start w:val="4"/>
      <w:numFmt w:val="decimal"/>
      <w:lvlText w:val="%1."/>
      <w:lvlJc w:val="left"/>
      <w:pPr>
        <w:tabs>
          <w:tab w:val="left" w:pos="312"/>
        </w:tabs>
      </w:pPr>
    </w:lvl>
  </w:abstractNum>
  <w:abstractNum w:abstractNumId="1">
    <w:nsid w:val="FB5F0DDC"/>
    <w:multiLevelType w:val="singleLevel"/>
    <w:tmpl w:val="FB5F0DDC"/>
    <w:lvl w:ilvl="0" w:tentative="0">
      <w:start w:val="4"/>
      <w:numFmt w:val="chineseCounting"/>
      <w:suff w:val="nothing"/>
      <w:lvlText w:val="%1、"/>
      <w:lvlJc w:val="left"/>
      <w:rPr>
        <w:rFonts w:hint="eastAsia"/>
      </w:rPr>
    </w:lvl>
  </w:abstractNum>
  <w:abstractNum w:abstractNumId="2">
    <w:nsid w:val="FD565584"/>
    <w:multiLevelType w:val="singleLevel"/>
    <w:tmpl w:val="FD565584"/>
    <w:lvl w:ilvl="0" w:tentative="0">
      <w:start w:val="1"/>
      <w:numFmt w:val="decimal"/>
      <w:suff w:val="nothing"/>
      <w:lvlText w:val="%1、"/>
      <w:lvlJc w:val="left"/>
    </w:lvl>
  </w:abstractNum>
  <w:abstractNum w:abstractNumId="3">
    <w:nsid w:val="00000001"/>
    <w:multiLevelType w:val="multilevel"/>
    <w:tmpl w:val="00000001"/>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00000002"/>
    <w:multiLevelType w:val="multilevel"/>
    <w:tmpl w:val="00000002"/>
    <w:lvl w:ilvl="0" w:tentative="0">
      <w:start w:val="1"/>
      <w:numFmt w:val="decimal"/>
      <w:lvlText w:val="（%1）"/>
      <w:lvlJc w:val="left"/>
      <w:pPr>
        <w:tabs>
          <w:tab w:val="left" w:pos="1571"/>
        </w:tabs>
        <w:ind w:left="2591" w:hanging="720"/>
      </w:pPr>
      <w:rPr>
        <w:rFonts w:ascii="仿宋_GB2312" w:hAnsi="宋体" w:eastAsia="仿宋_GB2312" w:cs="Times New Roman"/>
      </w:rPr>
    </w:lvl>
    <w:lvl w:ilvl="1" w:tentative="0">
      <w:start w:val="1"/>
      <w:numFmt w:val="lowerLetter"/>
      <w:lvlText w:val="%2)"/>
      <w:lvlJc w:val="left"/>
      <w:pPr>
        <w:tabs>
          <w:tab w:val="left" w:pos="1739"/>
        </w:tabs>
        <w:ind w:left="2759" w:hanging="420"/>
      </w:pPr>
    </w:lvl>
    <w:lvl w:ilvl="2" w:tentative="0">
      <w:start w:val="1"/>
      <w:numFmt w:val="lowerRoman"/>
      <w:lvlText w:val="%3."/>
      <w:lvlJc w:val="right"/>
      <w:pPr>
        <w:tabs>
          <w:tab w:val="left" w:pos="2159"/>
        </w:tabs>
        <w:ind w:left="3179" w:hanging="420"/>
      </w:pPr>
    </w:lvl>
    <w:lvl w:ilvl="3" w:tentative="0">
      <w:start w:val="1"/>
      <w:numFmt w:val="decimal"/>
      <w:lvlText w:val="%4."/>
      <w:lvlJc w:val="left"/>
      <w:pPr>
        <w:tabs>
          <w:tab w:val="left" w:pos="2579"/>
        </w:tabs>
        <w:ind w:left="3599" w:hanging="420"/>
      </w:pPr>
    </w:lvl>
    <w:lvl w:ilvl="4" w:tentative="0">
      <w:start w:val="1"/>
      <w:numFmt w:val="lowerLetter"/>
      <w:lvlText w:val="%5)"/>
      <w:lvlJc w:val="left"/>
      <w:pPr>
        <w:tabs>
          <w:tab w:val="left" w:pos="2999"/>
        </w:tabs>
        <w:ind w:left="4019" w:hanging="420"/>
      </w:pPr>
    </w:lvl>
    <w:lvl w:ilvl="5" w:tentative="0">
      <w:start w:val="1"/>
      <w:numFmt w:val="lowerRoman"/>
      <w:lvlText w:val="%6."/>
      <w:lvlJc w:val="right"/>
      <w:pPr>
        <w:tabs>
          <w:tab w:val="left" w:pos="3419"/>
        </w:tabs>
        <w:ind w:left="4439" w:hanging="420"/>
      </w:pPr>
    </w:lvl>
    <w:lvl w:ilvl="6" w:tentative="0">
      <w:start w:val="1"/>
      <w:numFmt w:val="decimal"/>
      <w:lvlText w:val="%7."/>
      <w:lvlJc w:val="left"/>
      <w:pPr>
        <w:tabs>
          <w:tab w:val="left" w:pos="3839"/>
        </w:tabs>
        <w:ind w:left="4859" w:hanging="420"/>
      </w:pPr>
    </w:lvl>
    <w:lvl w:ilvl="7" w:tentative="0">
      <w:start w:val="1"/>
      <w:numFmt w:val="lowerLetter"/>
      <w:lvlText w:val="%8)"/>
      <w:lvlJc w:val="left"/>
      <w:pPr>
        <w:tabs>
          <w:tab w:val="left" w:pos="4259"/>
        </w:tabs>
        <w:ind w:left="5279" w:hanging="420"/>
      </w:pPr>
    </w:lvl>
    <w:lvl w:ilvl="8" w:tentative="0">
      <w:start w:val="1"/>
      <w:numFmt w:val="lowerRoman"/>
      <w:lvlText w:val="%9."/>
      <w:lvlJc w:val="right"/>
      <w:pPr>
        <w:tabs>
          <w:tab w:val="left" w:pos="4679"/>
        </w:tabs>
        <w:ind w:left="5699" w:hanging="420"/>
      </w:pPr>
    </w:lvl>
  </w:abstractNum>
  <w:abstractNum w:abstractNumId="5">
    <w:nsid w:val="00000003"/>
    <w:multiLevelType w:val="multilevel"/>
    <w:tmpl w:val="00000003"/>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1798"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36E1116A"/>
    <w:multiLevelType w:val="multilevel"/>
    <w:tmpl w:val="36E1116A"/>
    <w:lvl w:ilvl="0" w:tentative="0">
      <w:start w:val="1"/>
      <w:numFmt w:val="decimal"/>
      <w:pStyle w:val="44"/>
      <w:lvlText w:val="%1"/>
      <w:lvlJc w:val="left"/>
      <w:pPr>
        <w:widowControl/>
        <w:ind w:left="432" w:hanging="432"/>
        <w:textAlignment w:val="baseline"/>
      </w:pPr>
    </w:lvl>
    <w:lvl w:ilvl="1" w:tentative="0">
      <w:start w:val="1"/>
      <w:numFmt w:val="decimal"/>
      <w:pStyle w:val="46"/>
      <w:lvlText w:val="%1.%2"/>
      <w:lvlJc w:val="left"/>
      <w:pPr>
        <w:widowControl/>
        <w:ind w:left="1710" w:hanging="576"/>
        <w:textAlignment w:val="baseline"/>
      </w:pPr>
    </w:lvl>
    <w:lvl w:ilvl="2" w:tentative="0">
      <w:start w:val="1"/>
      <w:numFmt w:val="decimal"/>
      <w:lvlText w:val="%1.%2.%3"/>
      <w:lvlJc w:val="left"/>
      <w:pPr>
        <w:widowControl/>
        <w:ind w:left="720" w:hanging="720"/>
        <w:textAlignment w:val="baseline"/>
      </w:pPr>
    </w:lvl>
    <w:lvl w:ilvl="3" w:tentative="0">
      <w:start w:val="1"/>
      <w:numFmt w:val="decimal"/>
      <w:lvlText w:val="%1.%2.%3.%4"/>
      <w:lvlJc w:val="left"/>
      <w:pPr>
        <w:widowControl/>
        <w:ind w:left="864" w:hanging="864"/>
        <w:textAlignment w:val="baseline"/>
      </w:pPr>
    </w:lvl>
    <w:lvl w:ilvl="4" w:tentative="0">
      <w:start w:val="1"/>
      <w:numFmt w:val="decimal"/>
      <w:lvlText w:val="%1.%2.%3.%4.%5"/>
      <w:lvlJc w:val="left"/>
      <w:pPr>
        <w:widowControl/>
        <w:ind w:left="1008" w:hanging="1008"/>
        <w:textAlignment w:val="baseline"/>
      </w:pPr>
    </w:lvl>
    <w:lvl w:ilvl="5" w:tentative="0">
      <w:start w:val="1"/>
      <w:numFmt w:val="decimal"/>
      <w:lvlText w:val="%1.%2.%3.%4.%5.%6"/>
      <w:lvlJc w:val="left"/>
      <w:pPr>
        <w:widowControl/>
        <w:ind w:left="1152" w:hanging="1152"/>
        <w:textAlignment w:val="baseline"/>
      </w:pPr>
    </w:lvl>
    <w:lvl w:ilvl="6" w:tentative="0">
      <w:start w:val="1"/>
      <w:numFmt w:val="decimal"/>
      <w:lvlText w:val="%1.%2.%3.%4.%5.%6.%7"/>
      <w:lvlJc w:val="left"/>
      <w:pPr>
        <w:widowControl/>
        <w:ind w:left="1296" w:hanging="1296"/>
        <w:textAlignment w:val="baseline"/>
      </w:pPr>
    </w:lvl>
    <w:lvl w:ilvl="7" w:tentative="0">
      <w:start w:val="1"/>
      <w:numFmt w:val="decimal"/>
      <w:lvlText w:val="%1.%2.%3.%4.%5.%6.%7.%8"/>
      <w:lvlJc w:val="left"/>
      <w:pPr>
        <w:widowControl/>
        <w:ind w:left="1440" w:hanging="1440"/>
        <w:textAlignment w:val="baseline"/>
      </w:pPr>
    </w:lvl>
    <w:lvl w:ilvl="8" w:tentative="0">
      <w:start w:val="1"/>
      <w:numFmt w:val="decimal"/>
      <w:lvlText w:val="%1.%2.%3.%4.%5.%6.%7.%8.%9"/>
      <w:lvlJc w:val="left"/>
      <w:pPr>
        <w:widowControl/>
        <w:ind w:left="1584" w:hanging="1584"/>
        <w:textAlignment w:val="baseline"/>
      </w:pPr>
    </w:lvl>
  </w:abstractNum>
  <w:abstractNum w:abstractNumId="7">
    <w:nsid w:val="5B4DC6C2"/>
    <w:multiLevelType w:val="singleLevel"/>
    <w:tmpl w:val="5B4DC6C2"/>
    <w:lvl w:ilvl="0" w:tentative="0">
      <w:start w:val="1"/>
      <w:numFmt w:val="decimal"/>
      <w:lvlText w:val="%1."/>
      <w:lvlJc w:val="left"/>
      <w:pPr>
        <w:tabs>
          <w:tab w:val="left" w:pos="312"/>
        </w:tabs>
      </w:pPr>
    </w:lvl>
  </w:abstractNum>
  <w:abstractNum w:abstractNumId="8">
    <w:nsid w:val="6005F10E"/>
    <w:multiLevelType w:val="singleLevel"/>
    <w:tmpl w:val="6005F10E"/>
    <w:lvl w:ilvl="0" w:tentative="0">
      <w:start w:val="15"/>
      <w:numFmt w:val="decimal"/>
      <w:suff w:val="space"/>
      <w:lvlText w:val="%1."/>
      <w:lvlJc w:val="left"/>
    </w:lvl>
  </w:abstractNum>
  <w:abstractNum w:abstractNumId="9">
    <w:nsid w:val="6D437D30"/>
    <w:multiLevelType w:val="singleLevel"/>
    <w:tmpl w:val="6D437D30"/>
    <w:lvl w:ilvl="0" w:tentative="0">
      <w:start w:val="7"/>
      <w:numFmt w:val="chineseCounting"/>
      <w:suff w:val="nothing"/>
      <w:lvlText w:val="%1、"/>
      <w:lvlJc w:val="left"/>
      <w:rPr>
        <w:rFonts w:hint="eastAsia"/>
      </w:rPr>
    </w:lvl>
  </w:abstractNum>
  <w:num w:numId="1">
    <w:abstractNumId w:val="6"/>
  </w:num>
  <w:num w:numId="2">
    <w:abstractNumId w:val="5"/>
  </w:num>
  <w:num w:numId="3">
    <w:abstractNumId w:val="8"/>
  </w:num>
  <w:num w:numId="4">
    <w:abstractNumId w:val="3"/>
  </w:num>
  <w:num w:numId="5">
    <w:abstractNumId w:val="4"/>
  </w:num>
  <w:num w:numId="6">
    <w:abstractNumId w:val="7"/>
  </w:num>
  <w:num w:numId="7">
    <w:abstractNumId w:val="9"/>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M2Q5NWZjZDNhOWMzYzVlODM5NTVhMWNlYzJjM2QifQ=="/>
  </w:docVars>
  <w:rsids>
    <w:rsidRoot w:val="4E9B67BC"/>
    <w:rsid w:val="00076B15"/>
    <w:rsid w:val="00125DB3"/>
    <w:rsid w:val="00202BA0"/>
    <w:rsid w:val="002726EE"/>
    <w:rsid w:val="00340A80"/>
    <w:rsid w:val="003A7815"/>
    <w:rsid w:val="004C3054"/>
    <w:rsid w:val="00501EE6"/>
    <w:rsid w:val="00510400"/>
    <w:rsid w:val="00610CAD"/>
    <w:rsid w:val="006B4D0F"/>
    <w:rsid w:val="006B4F71"/>
    <w:rsid w:val="00763B64"/>
    <w:rsid w:val="007C4834"/>
    <w:rsid w:val="00853197"/>
    <w:rsid w:val="00C11035"/>
    <w:rsid w:val="00C80F19"/>
    <w:rsid w:val="00D65B2D"/>
    <w:rsid w:val="00DD4EA4"/>
    <w:rsid w:val="00F55B83"/>
    <w:rsid w:val="017604FA"/>
    <w:rsid w:val="018F17E7"/>
    <w:rsid w:val="019E64FB"/>
    <w:rsid w:val="01A53393"/>
    <w:rsid w:val="01AB7941"/>
    <w:rsid w:val="01B14D78"/>
    <w:rsid w:val="01BF6EF9"/>
    <w:rsid w:val="01C94168"/>
    <w:rsid w:val="01EE19B6"/>
    <w:rsid w:val="020016E9"/>
    <w:rsid w:val="029A1DE3"/>
    <w:rsid w:val="02BB465C"/>
    <w:rsid w:val="02C205D8"/>
    <w:rsid w:val="02C74346"/>
    <w:rsid w:val="02D52FF9"/>
    <w:rsid w:val="02E132C9"/>
    <w:rsid w:val="02F96F18"/>
    <w:rsid w:val="031414D5"/>
    <w:rsid w:val="032D143B"/>
    <w:rsid w:val="03334901"/>
    <w:rsid w:val="036C34DA"/>
    <w:rsid w:val="037B5F6A"/>
    <w:rsid w:val="03822CFE"/>
    <w:rsid w:val="039C163C"/>
    <w:rsid w:val="03CB7A9E"/>
    <w:rsid w:val="040556DD"/>
    <w:rsid w:val="040D2765"/>
    <w:rsid w:val="045649DA"/>
    <w:rsid w:val="045D1075"/>
    <w:rsid w:val="04702B56"/>
    <w:rsid w:val="048402BB"/>
    <w:rsid w:val="04A07FF8"/>
    <w:rsid w:val="04B172D6"/>
    <w:rsid w:val="04CB4D1F"/>
    <w:rsid w:val="04F06D02"/>
    <w:rsid w:val="054F6C10"/>
    <w:rsid w:val="056C042B"/>
    <w:rsid w:val="05D91524"/>
    <w:rsid w:val="05FA70D2"/>
    <w:rsid w:val="05FF513E"/>
    <w:rsid w:val="062F4971"/>
    <w:rsid w:val="064D5B1C"/>
    <w:rsid w:val="06550CE5"/>
    <w:rsid w:val="06725776"/>
    <w:rsid w:val="067370FD"/>
    <w:rsid w:val="069D4B6B"/>
    <w:rsid w:val="06CE51BA"/>
    <w:rsid w:val="06DE343A"/>
    <w:rsid w:val="06E40ABE"/>
    <w:rsid w:val="071E532B"/>
    <w:rsid w:val="07211EDF"/>
    <w:rsid w:val="0721282E"/>
    <w:rsid w:val="073736D8"/>
    <w:rsid w:val="07496D8C"/>
    <w:rsid w:val="07801315"/>
    <w:rsid w:val="07B463DA"/>
    <w:rsid w:val="07DE755A"/>
    <w:rsid w:val="07E07666"/>
    <w:rsid w:val="07F910B5"/>
    <w:rsid w:val="081957CD"/>
    <w:rsid w:val="08267B7E"/>
    <w:rsid w:val="08580825"/>
    <w:rsid w:val="08591AD2"/>
    <w:rsid w:val="08A00680"/>
    <w:rsid w:val="08B1155B"/>
    <w:rsid w:val="08D5177C"/>
    <w:rsid w:val="08E104C7"/>
    <w:rsid w:val="0924515A"/>
    <w:rsid w:val="0927393C"/>
    <w:rsid w:val="09513AEA"/>
    <w:rsid w:val="09885D9B"/>
    <w:rsid w:val="099E3EED"/>
    <w:rsid w:val="09B70E66"/>
    <w:rsid w:val="09B90AFC"/>
    <w:rsid w:val="09E44647"/>
    <w:rsid w:val="0A037FB9"/>
    <w:rsid w:val="0A374488"/>
    <w:rsid w:val="0AAC240E"/>
    <w:rsid w:val="0AB55DA2"/>
    <w:rsid w:val="0AD26657"/>
    <w:rsid w:val="0AE045B7"/>
    <w:rsid w:val="0B04049C"/>
    <w:rsid w:val="0B0410FE"/>
    <w:rsid w:val="0B0D365A"/>
    <w:rsid w:val="0B2428ED"/>
    <w:rsid w:val="0B305EC4"/>
    <w:rsid w:val="0B4E1717"/>
    <w:rsid w:val="0B94532D"/>
    <w:rsid w:val="0BE9677F"/>
    <w:rsid w:val="0C0F0EA7"/>
    <w:rsid w:val="0C3152C1"/>
    <w:rsid w:val="0C493BA6"/>
    <w:rsid w:val="0C4F01D1"/>
    <w:rsid w:val="0C7A3B49"/>
    <w:rsid w:val="0CAC7FA3"/>
    <w:rsid w:val="0CC33E28"/>
    <w:rsid w:val="0CC57122"/>
    <w:rsid w:val="0D3A658D"/>
    <w:rsid w:val="0D54223D"/>
    <w:rsid w:val="0D642C52"/>
    <w:rsid w:val="0D702609"/>
    <w:rsid w:val="0D705975"/>
    <w:rsid w:val="0D82059D"/>
    <w:rsid w:val="0D8860AE"/>
    <w:rsid w:val="0DA87B2D"/>
    <w:rsid w:val="0DB33E73"/>
    <w:rsid w:val="0DBD57D4"/>
    <w:rsid w:val="0DC15569"/>
    <w:rsid w:val="0DDF0F54"/>
    <w:rsid w:val="0DF8713D"/>
    <w:rsid w:val="0E011897"/>
    <w:rsid w:val="0E267FA8"/>
    <w:rsid w:val="0E2B3460"/>
    <w:rsid w:val="0E320976"/>
    <w:rsid w:val="0E3A5F83"/>
    <w:rsid w:val="0E6047D4"/>
    <w:rsid w:val="0EBC26DF"/>
    <w:rsid w:val="0ECE01CA"/>
    <w:rsid w:val="0EF56A7A"/>
    <w:rsid w:val="0F20705B"/>
    <w:rsid w:val="0F367867"/>
    <w:rsid w:val="0F8424C5"/>
    <w:rsid w:val="0F887B3F"/>
    <w:rsid w:val="0F900551"/>
    <w:rsid w:val="0FA0434C"/>
    <w:rsid w:val="0FA07A02"/>
    <w:rsid w:val="0FC22610"/>
    <w:rsid w:val="0FCA771C"/>
    <w:rsid w:val="0FDC4EB3"/>
    <w:rsid w:val="0FF97C3C"/>
    <w:rsid w:val="10310440"/>
    <w:rsid w:val="10437371"/>
    <w:rsid w:val="10437714"/>
    <w:rsid w:val="106043C7"/>
    <w:rsid w:val="106519DD"/>
    <w:rsid w:val="106A0DA2"/>
    <w:rsid w:val="106A366C"/>
    <w:rsid w:val="10742BBD"/>
    <w:rsid w:val="108F0F3F"/>
    <w:rsid w:val="10D17AEF"/>
    <w:rsid w:val="10E77350"/>
    <w:rsid w:val="10EC17B7"/>
    <w:rsid w:val="111357E9"/>
    <w:rsid w:val="11261718"/>
    <w:rsid w:val="11533EC5"/>
    <w:rsid w:val="115B6A10"/>
    <w:rsid w:val="116412EF"/>
    <w:rsid w:val="11730B34"/>
    <w:rsid w:val="11BB462E"/>
    <w:rsid w:val="11BB6A83"/>
    <w:rsid w:val="11DE16C3"/>
    <w:rsid w:val="11E73E84"/>
    <w:rsid w:val="11FE37AE"/>
    <w:rsid w:val="12080872"/>
    <w:rsid w:val="125735A8"/>
    <w:rsid w:val="127C300E"/>
    <w:rsid w:val="128375CC"/>
    <w:rsid w:val="12903B44"/>
    <w:rsid w:val="12D165F3"/>
    <w:rsid w:val="12DE26FE"/>
    <w:rsid w:val="13496D93"/>
    <w:rsid w:val="13525B1D"/>
    <w:rsid w:val="136E34DC"/>
    <w:rsid w:val="137E6912"/>
    <w:rsid w:val="138D0E77"/>
    <w:rsid w:val="13C71C86"/>
    <w:rsid w:val="13FD3CDB"/>
    <w:rsid w:val="140E6D1D"/>
    <w:rsid w:val="141D25CF"/>
    <w:rsid w:val="14411E19"/>
    <w:rsid w:val="14587163"/>
    <w:rsid w:val="14651540"/>
    <w:rsid w:val="147F2942"/>
    <w:rsid w:val="14D42F61"/>
    <w:rsid w:val="14E37374"/>
    <w:rsid w:val="1541576C"/>
    <w:rsid w:val="15811E5B"/>
    <w:rsid w:val="15A25376"/>
    <w:rsid w:val="15B4486D"/>
    <w:rsid w:val="15C3785F"/>
    <w:rsid w:val="162C32E2"/>
    <w:rsid w:val="16556050"/>
    <w:rsid w:val="16592972"/>
    <w:rsid w:val="16922E00"/>
    <w:rsid w:val="16B919FC"/>
    <w:rsid w:val="16C17241"/>
    <w:rsid w:val="16C4115D"/>
    <w:rsid w:val="16CE74DF"/>
    <w:rsid w:val="172766BA"/>
    <w:rsid w:val="173340D0"/>
    <w:rsid w:val="17B1375A"/>
    <w:rsid w:val="184F70CC"/>
    <w:rsid w:val="189305FF"/>
    <w:rsid w:val="18C47C3E"/>
    <w:rsid w:val="1945415A"/>
    <w:rsid w:val="194C74C1"/>
    <w:rsid w:val="19510A53"/>
    <w:rsid w:val="1952400A"/>
    <w:rsid w:val="19836FA6"/>
    <w:rsid w:val="19B07173"/>
    <w:rsid w:val="19BE215E"/>
    <w:rsid w:val="19EC175E"/>
    <w:rsid w:val="1A084A4F"/>
    <w:rsid w:val="1A170EA3"/>
    <w:rsid w:val="1A4E33FF"/>
    <w:rsid w:val="1A616198"/>
    <w:rsid w:val="1A675266"/>
    <w:rsid w:val="1A877678"/>
    <w:rsid w:val="1B03683B"/>
    <w:rsid w:val="1B395F40"/>
    <w:rsid w:val="1B5E1503"/>
    <w:rsid w:val="1B68701E"/>
    <w:rsid w:val="1B6B12FD"/>
    <w:rsid w:val="1B6B269C"/>
    <w:rsid w:val="1BD364C3"/>
    <w:rsid w:val="1C01417E"/>
    <w:rsid w:val="1C0E338C"/>
    <w:rsid w:val="1C23374F"/>
    <w:rsid w:val="1C345C07"/>
    <w:rsid w:val="1C813293"/>
    <w:rsid w:val="1CA83281"/>
    <w:rsid w:val="1CD35F20"/>
    <w:rsid w:val="1CEB6DC6"/>
    <w:rsid w:val="1CFA525B"/>
    <w:rsid w:val="1D047715"/>
    <w:rsid w:val="1DA07640"/>
    <w:rsid w:val="1E116D00"/>
    <w:rsid w:val="1E132F5C"/>
    <w:rsid w:val="1E52526A"/>
    <w:rsid w:val="1E5A77C8"/>
    <w:rsid w:val="1E84244A"/>
    <w:rsid w:val="1E931972"/>
    <w:rsid w:val="1EC9373C"/>
    <w:rsid w:val="1F346096"/>
    <w:rsid w:val="1F7B4EE6"/>
    <w:rsid w:val="1F88755A"/>
    <w:rsid w:val="1F944AF4"/>
    <w:rsid w:val="1F9C7317"/>
    <w:rsid w:val="1FA47FC0"/>
    <w:rsid w:val="1FF30812"/>
    <w:rsid w:val="1FF43F7F"/>
    <w:rsid w:val="1FF62A5A"/>
    <w:rsid w:val="201B4C40"/>
    <w:rsid w:val="201C198C"/>
    <w:rsid w:val="20234AC9"/>
    <w:rsid w:val="202569A9"/>
    <w:rsid w:val="20547378"/>
    <w:rsid w:val="20AE4CDA"/>
    <w:rsid w:val="20E91BE2"/>
    <w:rsid w:val="20F205CC"/>
    <w:rsid w:val="20FD356C"/>
    <w:rsid w:val="212862A1"/>
    <w:rsid w:val="214571DB"/>
    <w:rsid w:val="216E282D"/>
    <w:rsid w:val="217C77B1"/>
    <w:rsid w:val="218C132D"/>
    <w:rsid w:val="21937664"/>
    <w:rsid w:val="219439F4"/>
    <w:rsid w:val="21CD2F3E"/>
    <w:rsid w:val="21CD510A"/>
    <w:rsid w:val="21D20555"/>
    <w:rsid w:val="21E729B4"/>
    <w:rsid w:val="220A23E4"/>
    <w:rsid w:val="22416C93"/>
    <w:rsid w:val="225A5A56"/>
    <w:rsid w:val="225E44DE"/>
    <w:rsid w:val="22721109"/>
    <w:rsid w:val="229059AC"/>
    <w:rsid w:val="22A743E5"/>
    <w:rsid w:val="2309269C"/>
    <w:rsid w:val="2309444A"/>
    <w:rsid w:val="23184AF7"/>
    <w:rsid w:val="23241284"/>
    <w:rsid w:val="238D5F1B"/>
    <w:rsid w:val="239046FC"/>
    <w:rsid w:val="23933D5B"/>
    <w:rsid w:val="239776CF"/>
    <w:rsid w:val="23B40D7E"/>
    <w:rsid w:val="23EA146F"/>
    <w:rsid w:val="240C6D4F"/>
    <w:rsid w:val="241C3A86"/>
    <w:rsid w:val="246102B6"/>
    <w:rsid w:val="247B1749"/>
    <w:rsid w:val="249141CD"/>
    <w:rsid w:val="249413D2"/>
    <w:rsid w:val="24D4440C"/>
    <w:rsid w:val="253A6F43"/>
    <w:rsid w:val="25543DB1"/>
    <w:rsid w:val="255C7774"/>
    <w:rsid w:val="25656B86"/>
    <w:rsid w:val="25C31EE3"/>
    <w:rsid w:val="25F34F3E"/>
    <w:rsid w:val="260D5FFF"/>
    <w:rsid w:val="26372CEA"/>
    <w:rsid w:val="26773820"/>
    <w:rsid w:val="26A1499A"/>
    <w:rsid w:val="26C27944"/>
    <w:rsid w:val="26D00778"/>
    <w:rsid w:val="26D034EA"/>
    <w:rsid w:val="26D237B8"/>
    <w:rsid w:val="27076EF2"/>
    <w:rsid w:val="277D0157"/>
    <w:rsid w:val="278C3BAB"/>
    <w:rsid w:val="27B40458"/>
    <w:rsid w:val="27CF71E8"/>
    <w:rsid w:val="288A0F5F"/>
    <w:rsid w:val="28CA07A5"/>
    <w:rsid w:val="29015BC3"/>
    <w:rsid w:val="29166294"/>
    <w:rsid w:val="292F7C85"/>
    <w:rsid w:val="2940049A"/>
    <w:rsid w:val="29746395"/>
    <w:rsid w:val="297E2AE9"/>
    <w:rsid w:val="29960197"/>
    <w:rsid w:val="299A404E"/>
    <w:rsid w:val="29C76E0D"/>
    <w:rsid w:val="29EC794F"/>
    <w:rsid w:val="2A0D3DFC"/>
    <w:rsid w:val="2A2878AC"/>
    <w:rsid w:val="2A5333AB"/>
    <w:rsid w:val="2A6149C8"/>
    <w:rsid w:val="2A9F7442"/>
    <w:rsid w:val="2AB133DB"/>
    <w:rsid w:val="2AC471B5"/>
    <w:rsid w:val="2ADD75D8"/>
    <w:rsid w:val="2ADF1AC3"/>
    <w:rsid w:val="2B5A5044"/>
    <w:rsid w:val="2B5D4F0A"/>
    <w:rsid w:val="2C5B7F75"/>
    <w:rsid w:val="2C660F58"/>
    <w:rsid w:val="2C6F4AD6"/>
    <w:rsid w:val="2C7D1A05"/>
    <w:rsid w:val="2C7D49E2"/>
    <w:rsid w:val="2C9D0B2A"/>
    <w:rsid w:val="2CA90A4C"/>
    <w:rsid w:val="2CAE0793"/>
    <w:rsid w:val="2CCA7E9F"/>
    <w:rsid w:val="2CCB0888"/>
    <w:rsid w:val="2CD35AD8"/>
    <w:rsid w:val="2CE865EB"/>
    <w:rsid w:val="2DD90EBD"/>
    <w:rsid w:val="2E213A49"/>
    <w:rsid w:val="2E4A5917"/>
    <w:rsid w:val="2E4B2AB6"/>
    <w:rsid w:val="2E730855"/>
    <w:rsid w:val="2E870919"/>
    <w:rsid w:val="2E88384B"/>
    <w:rsid w:val="2E8B0406"/>
    <w:rsid w:val="2EFC4B42"/>
    <w:rsid w:val="2F0302EC"/>
    <w:rsid w:val="2F6C023B"/>
    <w:rsid w:val="2F6E083E"/>
    <w:rsid w:val="2F9E1A6C"/>
    <w:rsid w:val="2FB05E47"/>
    <w:rsid w:val="2FB21D8F"/>
    <w:rsid w:val="2FE34801"/>
    <w:rsid w:val="2FF1050E"/>
    <w:rsid w:val="302312BF"/>
    <w:rsid w:val="30354AD0"/>
    <w:rsid w:val="30490022"/>
    <w:rsid w:val="306A7DB6"/>
    <w:rsid w:val="307A6ED8"/>
    <w:rsid w:val="30843145"/>
    <w:rsid w:val="308C1E8F"/>
    <w:rsid w:val="30961F94"/>
    <w:rsid w:val="30B654E5"/>
    <w:rsid w:val="30E3277E"/>
    <w:rsid w:val="30F3628A"/>
    <w:rsid w:val="311F44DC"/>
    <w:rsid w:val="31705223"/>
    <w:rsid w:val="31A737AC"/>
    <w:rsid w:val="31B05B0C"/>
    <w:rsid w:val="31C003CA"/>
    <w:rsid w:val="31D87CF4"/>
    <w:rsid w:val="31DB1086"/>
    <w:rsid w:val="31E5172B"/>
    <w:rsid w:val="31EB6C4B"/>
    <w:rsid w:val="31F63CCE"/>
    <w:rsid w:val="31FD2462"/>
    <w:rsid w:val="32141C05"/>
    <w:rsid w:val="32202632"/>
    <w:rsid w:val="322A1CDE"/>
    <w:rsid w:val="32333393"/>
    <w:rsid w:val="32346191"/>
    <w:rsid w:val="32456A35"/>
    <w:rsid w:val="32511749"/>
    <w:rsid w:val="328D515C"/>
    <w:rsid w:val="32B55B54"/>
    <w:rsid w:val="32DC2DD8"/>
    <w:rsid w:val="32E97DF4"/>
    <w:rsid w:val="32F20F99"/>
    <w:rsid w:val="32F27783"/>
    <w:rsid w:val="32F30491"/>
    <w:rsid w:val="33010656"/>
    <w:rsid w:val="33271070"/>
    <w:rsid w:val="332F3F54"/>
    <w:rsid w:val="33376964"/>
    <w:rsid w:val="333B7242"/>
    <w:rsid w:val="334119DE"/>
    <w:rsid w:val="334943EF"/>
    <w:rsid w:val="336F7772"/>
    <w:rsid w:val="337C47C4"/>
    <w:rsid w:val="33C00B55"/>
    <w:rsid w:val="33C543BD"/>
    <w:rsid w:val="33D208B5"/>
    <w:rsid w:val="33D36AC6"/>
    <w:rsid w:val="340E037E"/>
    <w:rsid w:val="34525525"/>
    <w:rsid w:val="34563E84"/>
    <w:rsid w:val="34593939"/>
    <w:rsid w:val="345E53D1"/>
    <w:rsid w:val="348F22D5"/>
    <w:rsid w:val="35171FDA"/>
    <w:rsid w:val="35172534"/>
    <w:rsid w:val="3521444F"/>
    <w:rsid w:val="35BC6F9E"/>
    <w:rsid w:val="35CA3350"/>
    <w:rsid w:val="35CE486B"/>
    <w:rsid w:val="35FE3BB6"/>
    <w:rsid w:val="35FF1E65"/>
    <w:rsid w:val="360D00F6"/>
    <w:rsid w:val="368E0053"/>
    <w:rsid w:val="36AA5C59"/>
    <w:rsid w:val="36B53385"/>
    <w:rsid w:val="36BD75CE"/>
    <w:rsid w:val="36D51EC2"/>
    <w:rsid w:val="36DA55A8"/>
    <w:rsid w:val="36F823B4"/>
    <w:rsid w:val="371A451C"/>
    <w:rsid w:val="374B4187"/>
    <w:rsid w:val="378A207C"/>
    <w:rsid w:val="378B147A"/>
    <w:rsid w:val="37C37463"/>
    <w:rsid w:val="37D66CAB"/>
    <w:rsid w:val="37EE5B1B"/>
    <w:rsid w:val="3800568F"/>
    <w:rsid w:val="38317DAB"/>
    <w:rsid w:val="38432180"/>
    <w:rsid w:val="384A49E5"/>
    <w:rsid w:val="388C7258"/>
    <w:rsid w:val="38D80852"/>
    <w:rsid w:val="391E6C20"/>
    <w:rsid w:val="394F316D"/>
    <w:rsid w:val="395E00D8"/>
    <w:rsid w:val="39A9208B"/>
    <w:rsid w:val="39C04884"/>
    <w:rsid w:val="3A001741"/>
    <w:rsid w:val="3A002717"/>
    <w:rsid w:val="3A026740"/>
    <w:rsid w:val="3A18017C"/>
    <w:rsid w:val="3A275949"/>
    <w:rsid w:val="3A5F40D4"/>
    <w:rsid w:val="3A7973FC"/>
    <w:rsid w:val="3A9C62F1"/>
    <w:rsid w:val="3AA00D92"/>
    <w:rsid w:val="3AB473B4"/>
    <w:rsid w:val="3AFB18FD"/>
    <w:rsid w:val="3B246374"/>
    <w:rsid w:val="3B3B1F84"/>
    <w:rsid w:val="3B5444BC"/>
    <w:rsid w:val="3B551DDF"/>
    <w:rsid w:val="3B995CAC"/>
    <w:rsid w:val="3BC81962"/>
    <w:rsid w:val="3BCF7530"/>
    <w:rsid w:val="3BD02B1C"/>
    <w:rsid w:val="3BFC254A"/>
    <w:rsid w:val="3C0B2F5E"/>
    <w:rsid w:val="3C2B4038"/>
    <w:rsid w:val="3C3230C8"/>
    <w:rsid w:val="3C5B3EEB"/>
    <w:rsid w:val="3C5C6808"/>
    <w:rsid w:val="3C680446"/>
    <w:rsid w:val="3CAC7CF3"/>
    <w:rsid w:val="3CBB144D"/>
    <w:rsid w:val="3CDC404C"/>
    <w:rsid w:val="3D150D62"/>
    <w:rsid w:val="3D446734"/>
    <w:rsid w:val="3D6A74A7"/>
    <w:rsid w:val="3DA176FD"/>
    <w:rsid w:val="3DEC2546"/>
    <w:rsid w:val="3DEC3C01"/>
    <w:rsid w:val="3DF77869"/>
    <w:rsid w:val="3DF8713D"/>
    <w:rsid w:val="3E0D2A11"/>
    <w:rsid w:val="3E477131"/>
    <w:rsid w:val="3E782BEC"/>
    <w:rsid w:val="3E78493B"/>
    <w:rsid w:val="3E8272C7"/>
    <w:rsid w:val="3E887A2E"/>
    <w:rsid w:val="3E9C5D1B"/>
    <w:rsid w:val="3EC534AE"/>
    <w:rsid w:val="3F2C0A1A"/>
    <w:rsid w:val="3F9E7CED"/>
    <w:rsid w:val="3FC34E91"/>
    <w:rsid w:val="3FCE63A8"/>
    <w:rsid w:val="40425CC8"/>
    <w:rsid w:val="40546965"/>
    <w:rsid w:val="40583EC3"/>
    <w:rsid w:val="40CE4847"/>
    <w:rsid w:val="414053B1"/>
    <w:rsid w:val="41A30B63"/>
    <w:rsid w:val="41AA69A0"/>
    <w:rsid w:val="41F67E38"/>
    <w:rsid w:val="42057C91"/>
    <w:rsid w:val="420A6C8A"/>
    <w:rsid w:val="420C28DA"/>
    <w:rsid w:val="42135944"/>
    <w:rsid w:val="422E7A08"/>
    <w:rsid w:val="423C432C"/>
    <w:rsid w:val="425B0CF1"/>
    <w:rsid w:val="42A97C45"/>
    <w:rsid w:val="42D52715"/>
    <w:rsid w:val="42E17AB5"/>
    <w:rsid w:val="42ED7226"/>
    <w:rsid w:val="430E6249"/>
    <w:rsid w:val="43117016"/>
    <w:rsid w:val="43307A9B"/>
    <w:rsid w:val="43553283"/>
    <w:rsid w:val="43760CA2"/>
    <w:rsid w:val="44081505"/>
    <w:rsid w:val="441920D4"/>
    <w:rsid w:val="443C2FF5"/>
    <w:rsid w:val="4460072E"/>
    <w:rsid w:val="44703ED1"/>
    <w:rsid w:val="44A5739E"/>
    <w:rsid w:val="44BE2E8F"/>
    <w:rsid w:val="44C65159"/>
    <w:rsid w:val="450A1050"/>
    <w:rsid w:val="45557DF1"/>
    <w:rsid w:val="45575091"/>
    <w:rsid w:val="458B0897"/>
    <w:rsid w:val="45CF2E79"/>
    <w:rsid w:val="45E61751"/>
    <w:rsid w:val="45E65C7A"/>
    <w:rsid w:val="45EA58D8"/>
    <w:rsid w:val="462413C5"/>
    <w:rsid w:val="469419FB"/>
    <w:rsid w:val="46A46B0C"/>
    <w:rsid w:val="46B832C1"/>
    <w:rsid w:val="474A0FBF"/>
    <w:rsid w:val="475C4043"/>
    <w:rsid w:val="476C3D13"/>
    <w:rsid w:val="476D15CB"/>
    <w:rsid w:val="482057DA"/>
    <w:rsid w:val="48396CD0"/>
    <w:rsid w:val="484648F7"/>
    <w:rsid w:val="48892425"/>
    <w:rsid w:val="48BD16AF"/>
    <w:rsid w:val="48DA50B4"/>
    <w:rsid w:val="48DA773A"/>
    <w:rsid w:val="48FC4E6D"/>
    <w:rsid w:val="492C65D4"/>
    <w:rsid w:val="493C4382"/>
    <w:rsid w:val="49681DDE"/>
    <w:rsid w:val="49804BB7"/>
    <w:rsid w:val="49A77ED4"/>
    <w:rsid w:val="49E50EBD"/>
    <w:rsid w:val="49FD7ED0"/>
    <w:rsid w:val="4A2507D0"/>
    <w:rsid w:val="4AA913F2"/>
    <w:rsid w:val="4AAB0447"/>
    <w:rsid w:val="4AAF3CE0"/>
    <w:rsid w:val="4AB36943"/>
    <w:rsid w:val="4ADB406F"/>
    <w:rsid w:val="4B2302FD"/>
    <w:rsid w:val="4B2C18FC"/>
    <w:rsid w:val="4B4D7AEB"/>
    <w:rsid w:val="4BD9672F"/>
    <w:rsid w:val="4C0513A3"/>
    <w:rsid w:val="4C2630C7"/>
    <w:rsid w:val="4C4F003A"/>
    <w:rsid w:val="4C6B0617"/>
    <w:rsid w:val="4C727933"/>
    <w:rsid w:val="4C981319"/>
    <w:rsid w:val="4C9818B5"/>
    <w:rsid w:val="4CB05284"/>
    <w:rsid w:val="4CB67988"/>
    <w:rsid w:val="4CBE371D"/>
    <w:rsid w:val="4CCA44B2"/>
    <w:rsid w:val="4CD04A15"/>
    <w:rsid w:val="4CE908CB"/>
    <w:rsid w:val="4CF84A64"/>
    <w:rsid w:val="4D043409"/>
    <w:rsid w:val="4D0A3E08"/>
    <w:rsid w:val="4D0D7D70"/>
    <w:rsid w:val="4D161DBB"/>
    <w:rsid w:val="4D61115C"/>
    <w:rsid w:val="4D6A2DDD"/>
    <w:rsid w:val="4D88319C"/>
    <w:rsid w:val="4D8C3B2A"/>
    <w:rsid w:val="4DA70238"/>
    <w:rsid w:val="4DD02F4B"/>
    <w:rsid w:val="4DF55840"/>
    <w:rsid w:val="4DFE0029"/>
    <w:rsid w:val="4E0F29BA"/>
    <w:rsid w:val="4E2D1F6C"/>
    <w:rsid w:val="4E372E8A"/>
    <w:rsid w:val="4E846870"/>
    <w:rsid w:val="4E9B67BC"/>
    <w:rsid w:val="4EB224F0"/>
    <w:rsid w:val="4EE239D8"/>
    <w:rsid w:val="4F042515"/>
    <w:rsid w:val="4F3D0B7B"/>
    <w:rsid w:val="4F532425"/>
    <w:rsid w:val="4F6C798B"/>
    <w:rsid w:val="4FB4321E"/>
    <w:rsid w:val="4FBD29A4"/>
    <w:rsid w:val="4FF625BD"/>
    <w:rsid w:val="50034FBA"/>
    <w:rsid w:val="50067A26"/>
    <w:rsid w:val="50B044CF"/>
    <w:rsid w:val="50EA6846"/>
    <w:rsid w:val="50F47A0B"/>
    <w:rsid w:val="513368EC"/>
    <w:rsid w:val="51477D68"/>
    <w:rsid w:val="51551D75"/>
    <w:rsid w:val="518656A6"/>
    <w:rsid w:val="51955765"/>
    <w:rsid w:val="51C105F9"/>
    <w:rsid w:val="51C94C21"/>
    <w:rsid w:val="52075749"/>
    <w:rsid w:val="524C24BC"/>
    <w:rsid w:val="526A759C"/>
    <w:rsid w:val="527E38B1"/>
    <w:rsid w:val="528E6D27"/>
    <w:rsid w:val="52952D55"/>
    <w:rsid w:val="529D5C8E"/>
    <w:rsid w:val="52B22DE6"/>
    <w:rsid w:val="52C35822"/>
    <w:rsid w:val="530C1B08"/>
    <w:rsid w:val="5320688E"/>
    <w:rsid w:val="537233AA"/>
    <w:rsid w:val="537335D2"/>
    <w:rsid w:val="53A41EEB"/>
    <w:rsid w:val="53AA427E"/>
    <w:rsid w:val="54007CFB"/>
    <w:rsid w:val="54065CB8"/>
    <w:rsid w:val="542720D3"/>
    <w:rsid w:val="54613836"/>
    <w:rsid w:val="546B0211"/>
    <w:rsid w:val="546E1CC1"/>
    <w:rsid w:val="548B08B3"/>
    <w:rsid w:val="54F950B9"/>
    <w:rsid w:val="550765AD"/>
    <w:rsid w:val="55306D65"/>
    <w:rsid w:val="553538A2"/>
    <w:rsid w:val="555C38D4"/>
    <w:rsid w:val="55805F3E"/>
    <w:rsid w:val="55853555"/>
    <w:rsid w:val="55874323"/>
    <w:rsid w:val="55905070"/>
    <w:rsid w:val="55A44EAB"/>
    <w:rsid w:val="55C20305"/>
    <w:rsid w:val="55CA182B"/>
    <w:rsid w:val="55E81A73"/>
    <w:rsid w:val="56180EB4"/>
    <w:rsid w:val="56446F6C"/>
    <w:rsid w:val="56466CFB"/>
    <w:rsid w:val="565D55F9"/>
    <w:rsid w:val="566128EF"/>
    <w:rsid w:val="5668109E"/>
    <w:rsid w:val="567F0E22"/>
    <w:rsid w:val="568430D7"/>
    <w:rsid w:val="56E44D6B"/>
    <w:rsid w:val="573D4A5D"/>
    <w:rsid w:val="57563EB4"/>
    <w:rsid w:val="579664CC"/>
    <w:rsid w:val="57AB0DA5"/>
    <w:rsid w:val="57DD4F82"/>
    <w:rsid w:val="57EB29F2"/>
    <w:rsid w:val="57F64A30"/>
    <w:rsid w:val="57F70204"/>
    <w:rsid w:val="583008DF"/>
    <w:rsid w:val="58326493"/>
    <w:rsid w:val="587B2BC7"/>
    <w:rsid w:val="58911275"/>
    <w:rsid w:val="58B3282B"/>
    <w:rsid w:val="59133F81"/>
    <w:rsid w:val="594828CF"/>
    <w:rsid w:val="5975743C"/>
    <w:rsid w:val="59A02B41"/>
    <w:rsid w:val="59EF3692"/>
    <w:rsid w:val="5A8A7C62"/>
    <w:rsid w:val="5A991F91"/>
    <w:rsid w:val="5AAB0B54"/>
    <w:rsid w:val="5AC96837"/>
    <w:rsid w:val="5AF05E01"/>
    <w:rsid w:val="5B1939D9"/>
    <w:rsid w:val="5B244EB1"/>
    <w:rsid w:val="5B600C6F"/>
    <w:rsid w:val="5B7A5691"/>
    <w:rsid w:val="5B863B83"/>
    <w:rsid w:val="5B9A4E6A"/>
    <w:rsid w:val="5BDA6742"/>
    <w:rsid w:val="5C0B5E1C"/>
    <w:rsid w:val="5C5771DC"/>
    <w:rsid w:val="5C7C6623"/>
    <w:rsid w:val="5CB62246"/>
    <w:rsid w:val="5CF21854"/>
    <w:rsid w:val="5D0330B8"/>
    <w:rsid w:val="5D1217CA"/>
    <w:rsid w:val="5D3D7004"/>
    <w:rsid w:val="5D8F1ECE"/>
    <w:rsid w:val="5D8F31C2"/>
    <w:rsid w:val="5DCE15B8"/>
    <w:rsid w:val="5DD05414"/>
    <w:rsid w:val="5DE40203"/>
    <w:rsid w:val="5E0B7922"/>
    <w:rsid w:val="5E1324F6"/>
    <w:rsid w:val="5E7128C8"/>
    <w:rsid w:val="5E766130"/>
    <w:rsid w:val="5E856502"/>
    <w:rsid w:val="5E8D3FB3"/>
    <w:rsid w:val="5EBC649C"/>
    <w:rsid w:val="5EC93B52"/>
    <w:rsid w:val="5EE412EC"/>
    <w:rsid w:val="5EE4550A"/>
    <w:rsid w:val="5EF24A69"/>
    <w:rsid w:val="5F36141C"/>
    <w:rsid w:val="5F577D10"/>
    <w:rsid w:val="5F6340B0"/>
    <w:rsid w:val="5F8054A9"/>
    <w:rsid w:val="5F963B95"/>
    <w:rsid w:val="5FE20D54"/>
    <w:rsid w:val="5FFB5969"/>
    <w:rsid w:val="6020520C"/>
    <w:rsid w:val="60453A0D"/>
    <w:rsid w:val="606C1599"/>
    <w:rsid w:val="608A299F"/>
    <w:rsid w:val="60A0523E"/>
    <w:rsid w:val="60B57D15"/>
    <w:rsid w:val="60E43825"/>
    <w:rsid w:val="60EE6C94"/>
    <w:rsid w:val="61073D37"/>
    <w:rsid w:val="6109503A"/>
    <w:rsid w:val="610C0686"/>
    <w:rsid w:val="6153376C"/>
    <w:rsid w:val="617E77D6"/>
    <w:rsid w:val="61AA0BE8"/>
    <w:rsid w:val="625E6CB7"/>
    <w:rsid w:val="628726BA"/>
    <w:rsid w:val="628F33F4"/>
    <w:rsid w:val="62A2324F"/>
    <w:rsid w:val="62B706C7"/>
    <w:rsid w:val="63012912"/>
    <w:rsid w:val="63316ACA"/>
    <w:rsid w:val="634E1FB8"/>
    <w:rsid w:val="636B6C93"/>
    <w:rsid w:val="637B4714"/>
    <w:rsid w:val="638C34F2"/>
    <w:rsid w:val="63B81330"/>
    <w:rsid w:val="640912D0"/>
    <w:rsid w:val="646D0802"/>
    <w:rsid w:val="64D12312"/>
    <w:rsid w:val="64EF4547"/>
    <w:rsid w:val="64F53A18"/>
    <w:rsid w:val="65036F8F"/>
    <w:rsid w:val="65180AF8"/>
    <w:rsid w:val="65343DE0"/>
    <w:rsid w:val="6569254B"/>
    <w:rsid w:val="65E11EF7"/>
    <w:rsid w:val="66103D73"/>
    <w:rsid w:val="6635242D"/>
    <w:rsid w:val="663C11D8"/>
    <w:rsid w:val="663C1604"/>
    <w:rsid w:val="668062FC"/>
    <w:rsid w:val="66821CF9"/>
    <w:rsid w:val="66AA5B84"/>
    <w:rsid w:val="66BC4927"/>
    <w:rsid w:val="66C80737"/>
    <w:rsid w:val="66DF7335"/>
    <w:rsid w:val="66FA215B"/>
    <w:rsid w:val="67132B98"/>
    <w:rsid w:val="671A2F6C"/>
    <w:rsid w:val="6798320E"/>
    <w:rsid w:val="67A1534C"/>
    <w:rsid w:val="67B17D2B"/>
    <w:rsid w:val="67CC136F"/>
    <w:rsid w:val="67CD7156"/>
    <w:rsid w:val="67F87BB6"/>
    <w:rsid w:val="680B58AB"/>
    <w:rsid w:val="680D4692"/>
    <w:rsid w:val="685459C4"/>
    <w:rsid w:val="68793FCA"/>
    <w:rsid w:val="68AE0222"/>
    <w:rsid w:val="68D34E91"/>
    <w:rsid w:val="68D75A1D"/>
    <w:rsid w:val="68DB7F4E"/>
    <w:rsid w:val="68E50078"/>
    <w:rsid w:val="690B6C28"/>
    <w:rsid w:val="693615C1"/>
    <w:rsid w:val="69726A55"/>
    <w:rsid w:val="697F530A"/>
    <w:rsid w:val="699B063E"/>
    <w:rsid w:val="69B22968"/>
    <w:rsid w:val="69B55FD4"/>
    <w:rsid w:val="6A0942FC"/>
    <w:rsid w:val="6A0C66BF"/>
    <w:rsid w:val="6A184F47"/>
    <w:rsid w:val="6A2E2725"/>
    <w:rsid w:val="6A3E1DE9"/>
    <w:rsid w:val="6A42336B"/>
    <w:rsid w:val="6A786D8C"/>
    <w:rsid w:val="6ACD4BA6"/>
    <w:rsid w:val="6ADC25E1"/>
    <w:rsid w:val="6AEB3A02"/>
    <w:rsid w:val="6AEC13C1"/>
    <w:rsid w:val="6AEC76D4"/>
    <w:rsid w:val="6AF6662F"/>
    <w:rsid w:val="6B574BF4"/>
    <w:rsid w:val="6B5F5FD1"/>
    <w:rsid w:val="6B601D3B"/>
    <w:rsid w:val="6B6327F6"/>
    <w:rsid w:val="6B65142C"/>
    <w:rsid w:val="6BA37E39"/>
    <w:rsid w:val="6BB16C12"/>
    <w:rsid w:val="6BCD2AFF"/>
    <w:rsid w:val="6BD116D9"/>
    <w:rsid w:val="6BE91CF0"/>
    <w:rsid w:val="6C240F7A"/>
    <w:rsid w:val="6C4E1FA3"/>
    <w:rsid w:val="6C783074"/>
    <w:rsid w:val="6C8B2DA7"/>
    <w:rsid w:val="6CA675F8"/>
    <w:rsid w:val="6CB565B3"/>
    <w:rsid w:val="6CB70040"/>
    <w:rsid w:val="6CC67CC3"/>
    <w:rsid w:val="6CCA77E4"/>
    <w:rsid w:val="6CE24195"/>
    <w:rsid w:val="6CE842B7"/>
    <w:rsid w:val="6D00196C"/>
    <w:rsid w:val="6D0D7C60"/>
    <w:rsid w:val="6D184DC4"/>
    <w:rsid w:val="6D3D02C0"/>
    <w:rsid w:val="6DBC51E2"/>
    <w:rsid w:val="6DCF3167"/>
    <w:rsid w:val="6E364F94"/>
    <w:rsid w:val="6E7778FB"/>
    <w:rsid w:val="6E8B387C"/>
    <w:rsid w:val="6EE40EB5"/>
    <w:rsid w:val="6F164DD9"/>
    <w:rsid w:val="6F18352C"/>
    <w:rsid w:val="6F2F210F"/>
    <w:rsid w:val="6F5E4972"/>
    <w:rsid w:val="6FA843BB"/>
    <w:rsid w:val="6FC767C3"/>
    <w:rsid w:val="7012670B"/>
    <w:rsid w:val="701267C9"/>
    <w:rsid w:val="70756D77"/>
    <w:rsid w:val="7080520C"/>
    <w:rsid w:val="70C732DA"/>
    <w:rsid w:val="70DD7A9D"/>
    <w:rsid w:val="7101329C"/>
    <w:rsid w:val="711456B4"/>
    <w:rsid w:val="711C4FBD"/>
    <w:rsid w:val="71381023"/>
    <w:rsid w:val="71593474"/>
    <w:rsid w:val="718801FD"/>
    <w:rsid w:val="71CF18CE"/>
    <w:rsid w:val="720262D4"/>
    <w:rsid w:val="726C71D7"/>
    <w:rsid w:val="727953E3"/>
    <w:rsid w:val="72D948CC"/>
    <w:rsid w:val="73104D96"/>
    <w:rsid w:val="73387EC0"/>
    <w:rsid w:val="73393E4E"/>
    <w:rsid w:val="735A34D3"/>
    <w:rsid w:val="73601522"/>
    <w:rsid w:val="737F2F3A"/>
    <w:rsid w:val="73854EF4"/>
    <w:rsid w:val="738F7621"/>
    <w:rsid w:val="73EA666A"/>
    <w:rsid w:val="73FD53D5"/>
    <w:rsid w:val="740D50D2"/>
    <w:rsid w:val="742D2854"/>
    <w:rsid w:val="746C3BA2"/>
    <w:rsid w:val="7479348D"/>
    <w:rsid w:val="7483764E"/>
    <w:rsid w:val="74842EFD"/>
    <w:rsid w:val="74B142F1"/>
    <w:rsid w:val="74B86703"/>
    <w:rsid w:val="74EA2BF3"/>
    <w:rsid w:val="74EA5A04"/>
    <w:rsid w:val="75020BE3"/>
    <w:rsid w:val="75037F41"/>
    <w:rsid w:val="750740F3"/>
    <w:rsid w:val="754C14DB"/>
    <w:rsid w:val="7567769F"/>
    <w:rsid w:val="756D6306"/>
    <w:rsid w:val="758051DE"/>
    <w:rsid w:val="758B30EE"/>
    <w:rsid w:val="758D1184"/>
    <w:rsid w:val="75BD30D1"/>
    <w:rsid w:val="75C8506C"/>
    <w:rsid w:val="75EF6B1F"/>
    <w:rsid w:val="75F406CA"/>
    <w:rsid w:val="76273FDD"/>
    <w:rsid w:val="7633519A"/>
    <w:rsid w:val="763B55AB"/>
    <w:rsid w:val="764E2556"/>
    <w:rsid w:val="76960CC6"/>
    <w:rsid w:val="769A48E2"/>
    <w:rsid w:val="76AF148C"/>
    <w:rsid w:val="76DB492B"/>
    <w:rsid w:val="76DF2562"/>
    <w:rsid w:val="76E24079"/>
    <w:rsid w:val="76F459ED"/>
    <w:rsid w:val="771403A2"/>
    <w:rsid w:val="77277B70"/>
    <w:rsid w:val="772C1565"/>
    <w:rsid w:val="7748215F"/>
    <w:rsid w:val="774A3638"/>
    <w:rsid w:val="77693BAF"/>
    <w:rsid w:val="776B20CD"/>
    <w:rsid w:val="7790430F"/>
    <w:rsid w:val="77E66B14"/>
    <w:rsid w:val="78215C39"/>
    <w:rsid w:val="782A0928"/>
    <w:rsid w:val="784D0730"/>
    <w:rsid w:val="7865472F"/>
    <w:rsid w:val="78CF04BF"/>
    <w:rsid w:val="78E57CE3"/>
    <w:rsid w:val="79165DCC"/>
    <w:rsid w:val="792B1718"/>
    <w:rsid w:val="798300E6"/>
    <w:rsid w:val="798B2638"/>
    <w:rsid w:val="799E2066"/>
    <w:rsid w:val="79A36298"/>
    <w:rsid w:val="79CC129B"/>
    <w:rsid w:val="79D815F5"/>
    <w:rsid w:val="7A266805"/>
    <w:rsid w:val="7A302531"/>
    <w:rsid w:val="7A3902E6"/>
    <w:rsid w:val="7A461F6A"/>
    <w:rsid w:val="7A756E44"/>
    <w:rsid w:val="7A9529FB"/>
    <w:rsid w:val="7AA6067E"/>
    <w:rsid w:val="7AAD55AE"/>
    <w:rsid w:val="7AB63E59"/>
    <w:rsid w:val="7ABB1638"/>
    <w:rsid w:val="7AEB4950"/>
    <w:rsid w:val="7B017D5F"/>
    <w:rsid w:val="7B3559DB"/>
    <w:rsid w:val="7B645383"/>
    <w:rsid w:val="7B6A7B36"/>
    <w:rsid w:val="7B82584B"/>
    <w:rsid w:val="7B8E4662"/>
    <w:rsid w:val="7BAE260E"/>
    <w:rsid w:val="7BE65803"/>
    <w:rsid w:val="7BFA5853"/>
    <w:rsid w:val="7C2428D0"/>
    <w:rsid w:val="7C653EF3"/>
    <w:rsid w:val="7C6B7F1F"/>
    <w:rsid w:val="7C8D1E2F"/>
    <w:rsid w:val="7C993B8A"/>
    <w:rsid w:val="7CC142B7"/>
    <w:rsid w:val="7CCE22DA"/>
    <w:rsid w:val="7CE502B1"/>
    <w:rsid w:val="7CE75DB4"/>
    <w:rsid w:val="7D1275F9"/>
    <w:rsid w:val="7D1B5538"/>
    <w:rsid w:val="7D7816F0"/>
    <w:rsid w:val="7D814B58"/>
    <w:rsid w:val="7DE47D98"/>
    <w:rsid w:val="7DF30B59"/>
    <w:rsid w:val="7E3312FB"/>
    <w:rsid w:val="7E3A2689"/>
    <w:rsid w:val="7E7D02A1"/>
    <w:rsid w:val="7EBB34BE"/>
    <w:rsid w:val="7EBD4CBE"/>
    <w:rsid w:val="7ECF746B"/>
    <w:rsid w:val="7ED06A9B"/>
    <w:rsid w:val="7F2D1C7C"/>
    <w:rsid w:val="7F3564AC"/>
    <w:rsid w:val="7F376FF3"/>
    <w:rsid w:val="7F3B065C"/>
    <w:rsid w:val="7F403EC5"/>
    <w:rsid w:val="7F6E24A2"/>
    <w:rsid w:val="7FB046FA"/>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1"/>
    <w:qFormat/>
    <w:uiPriority w:val="0"/>
    <w:pPr>
      <w:keepNext/>
      <w:keepLines/>
      <w:autoSpaceDE w:val="0"/>
      <w:autoSpaceDN w:val="0"/>
      <w:adjustRightInd w:val="0"/>
      <w:spacing w:before="240" w:beforeAutospacing="0" w:after="120" w:afterAutospacing="0" w:line="300" w:lineRule="auto"/>
      <w:jc w:val="center"/>
      <w:outlineLvl w:val="0"/>
    </w:pPr>
    <w:rPr>
      <w:rFonts w:ascii="宋体"/>
      <w:b/>
      <w:kern w:val="44"/>
      <w:sz w:val="32"/>
      <w:szCs w:val="20"/>
    </w:rPr>
  </w:style>
  <w:style w:type="paragraph" w:styleId="7">
    <w:name w:val="heading 2"/>
    <w:basedOn w:val="1"/>
    <w:next w:val="1"/>
    <w:qFormat/>
    <w:uiPriority w:val="0"/>
    <w:pPr>
      <w:keepNext/>
      <w:keepLines/>
      <w:autoSpaceDE w:val="0"/>
      <w:autoSpaceDN w:val="0"/>
      <w:adjustRightInd w:val="0"/>
      <w:spacing w:before="120" w:beforeAutospacing="0" w:afterAutospacing="0" w:line="300" w:lineRule="auto"/>
      <w:jc w:val="center"/>
      <w:outlineLvl w:val="1"/>
    </w:pPr>
    <w:rPr>
      <w:rFonts w:ascii="Arial" w:hAnsi="Arial" w:eastAsia="黑体"/>
      <w:kern w:val="0"/>
      <w:sz w:val="30"/>
      <w:szCs w:val="20"/>
    </w:rPr>
  </w:style>
  <w:style w:type="paragraph" w:styleId="8">
    <w:name w:val="heading 3"/>
    <w:basedOn w:val="1"/>
    <w:next w:val="1"/>
    <w:qFormat/>
    <w:uiPriority w:val="0"/>
    <w:pPr>
      <w:spacing w:before="360" w:beforeAutospacing="0" w:after="120" w:afterAutospacing="0"/>
      <w:jc w:val="left"/>
      <w:outlineLvl w:val="2"/>
    </w:pPr>
    <w:rPr>
      <w:rFonts w:ascii="宋体" w:hAnsi="Times New Roman" w:eastAsia="宋体"/>
      <w:b/>
      <w:sz w:val="24"/>
      <w:u w:val="single"/>
    </w:rPr>
  </w:style>
  <w:style w:type="paragraph" w:styleId="9">
    <w:name w:val="heading 4"/>
    <w:basedOn w:val="1"/>
    <w:next w:val="1"/>
    <w:qFormat/>
    <w:uiPriority w:val="0"/>
    <w:pPr>
      <w:keepNext/>
      <w:keepLines/>
      <w:spacing w:before="280" w:beforeAutospacing="0" w:after="290" w:afterAutospacing="0" w:line="374" w:lineRule="auto"/>
      <w:ind w:left="1296" w:hanging="1296"/>
      <w:jc w:val="left"/>
      <w:outlineLvl w:val="3"/>
    </w:pPr>
    <w:rPr>
      <w:rFonts w:ascii="Cambria" w:hAnsi="Cambria" w:eastAsia="黑体"/>
      <w:bCs/>
      <w:kern w:val="0"/>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imes New Roman" w:hAnsi="Times New Roman" w:eastAsia="宋体" w:cs="Times New Roman"/>
      <w:szCs w:val="24"/>
    </w:rPr>
  </w:style>
  <w:style w:type="paragraph" w:styleId="3">
    <w:name w:val="Body Text Indent"/>
    <w:basedOn w:val="1"/>
    <w:next w:val="2"/>
    <w:qFormat/>
    <w:uiPriority w:val="0"/>
    <w:pPr>
      <w:spacing w:beforeAutospacing="0" w:afterAutospacing="0" w:line="360" w:lineRule="auto"/>
      <w:ind w:firstLine="570"/>
    </w:pPr>
    <w:rPr>
      <w:sz w:val="24"/>
    </w:rPr>
  </w:style>
  <w:style w:type="paragraph" w:styleId="4">
    <w:name w:val="Normal Indent"/>
    <w:basedOn w:val="1"/>
    <w:next w:val="5"/>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spacing w:before="120" w:beforeAutospacing="0" w:afterAutospacing="0"/>
    </w:pPr>
    <w:rPr>
      <w:rFonts w:ascii="Cambria" w:hAnsi="Cambria"/>
      <w:sz w:val="24"/>
      <w:szCs w:val="24"/>
    </w:rPr>
  </w:style>
  <w:style w:type="paragraph" w:styleId="10">
    <w:name w:val="table of authorities"/>
    <w:basedOn w:val="1"/>
    <w:next w:val="1"/>
    <w:qFormat/>
    <w:uiPriority w:val="0"/>
    <w:pPr>
      <w:ind w:left="420" w:leftChars="200"/>
    </w:pPr>
  </w:style>
  <w:style w:type="paragraph" w:styleId="11">
    <w:name w:val="Body Text"/>
    <w:basedOn w:val="1"/>
    <w:qFormat/>
    <w:uiPriority w:val="0"/>
    <w:pPr>
      <w:tabs>
        <w:tab w:val="left" w:pos="567"/>
      </w:tabs>
      <w:spacing w:before="120" w:beforeAutospacing="0" w:afterAutospacing="0" w:line="22" w:lineRule="atLeast"/>
    </w:pPr>
    <w:rPr>
      <w:rFonts w:ascii="宋体" w:hAnsi="宋体"/>
      <w:sz w:val="24"/>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rPr>
      <w:color w:val="000000"/>
      <w:kern w:val="0"/>
      <w:sz w:val="30"/>
    </w:rPr>
  </w:style>
  <w:style w:type="paragraph" w:styleId="14">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footnote text"/>
    <w:basedOn w:val="1"/>
    <w:qFormat/>
    <w:uiPriority w:val="0"/>
    <w:pPr>
      <w:snapToGrid w:val="0"/>
      <w:jc w:val="left"/>
    </w:pPr>
    <w:rPr>
      <w:rFonts w:ascii="Times New Roman" w:hAnsi="Times New Roman" w:eastAsia="宋体" w:cs="Times New Roman"/>
      <w:sz w:val="18"/>
    </w:rPr>
  </w:style>
  <w:style w:type="paragraph" w:styleId="18">
    <w:name w:val="index 7"/>
    <w:basedOn w:val="1"/>
    <w:next w:val="1"/>
    <w:qFormat/>
    <w:uiPriority w:val="0"/>
    <w:pPr>
      <w:ind w:left="2520"/>
    </w:pPr>
  </w:style>
  <w:style w:type="paragraph" w:styleId="19">
    <w:name w:val="toc 2"/>
    <w:basedOn w:val="1"/>
    <w:next w:val="1"/>
    <w:qFormat/>
    <w:uiPriority w:val="0"/>
    <w:pPr>
      <w:ind w:left="420" w:leftChars="200"/>
    </w:pPr>
  </w:style>
  <w:style w:type="paragraph" w:styleId="20">
    <w:name w:val="Normal (Web)"/>
    <w:basedOn w:val="1"/>
    <w:qFormat/>
    <w:uiPriority w:val="0"/>
    <w:pPr>
      <w:spacing w:before="100" w:beforeAutospacing="1" w:after="100" w:afterAutospacing="1"/>
      <w:jc w:val="left"/>
    </w:pPr>
    <w:rPr>
      <w:rFonts w:ascii="Calibri" w:hAnsi="Calibri"/>
      <w:kern w:val="0"/>
      <w:sz w:val="24"/>
    </w:rPr>
  </w:style>
  <w:style w:type="paragraph" w:styleId="21">
    <w:name w:val="Title"/>
    <w:basedOn w:val="1"/>
    <w:qFormat/>
    <w:uiPriority w:val="10"/>
    <w:pPr>
      <w:jc w:val="center"/>
      <w:outlineLvl w:val="0"/>
    </w:pPr>
    <w:rPr>
      <w:rFonts w:ascii="Cambria" w:hAnsi="Cambria"/>
      <w:b/>
      <w:bCs/>
      <w:kern w:val="28"/>
      <w:szCs w:val="32"/>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7"/>
    <w:qFormat/>
    <w:uiPriority w:val="0"/>
    <w:rPr>
      <w:rFonts w:ascii="Times New Roman" w:hAnsi="Times New Roman" w:eastAsia="宋体" w:cs="Times New Roman"/>
    </w:rPr>
  </w:style>
  <w:style w:type="character" w:customStyle="1" w:styleId="27">
    <w:name w:val="默认段落字体1"/>
    <w:qFormat/>
    <w:uiPriority w:val="0"/>
  </w:style>
  <w:style w:type="character" w:styleId="28">
    <w:name w:val="Hyperlink"/>
    <w:basedOn w:val="24"/>
    <w:qFormat/>
    <w:uiPriority w:val="0"/>
    <w:rPr>
      <w:color w:val="0000FF"/>
      <w:u w:val="single"/>
    </w:rPr>
  </w:style>
  <w:style w:type="character" w:styleId="29">
    <w:name w:val="HTML Sample"/>
    <w:basedOn w:val="24"/>
    <w:qFormat/>
    <w:uiPriority w:val="0"/>
    <w:rPr>
      <w:rFonts w:ascii="Courier New" w:hAnsi="Courier New"/>
    </w:rPr>
  </w:style>
  <w:style w:type="paragraph" w:customStyle="1" w:styleId="3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31">
    <w:name w:val="标题 1 字符"/>
    <w:link w:val="6"/>
    <w:qFormat/>
    <w:uiPriority w:val="0"/>
    <w:rPr>
      <w:rFonts w:ascii="宋体" w:hAnsi="Times New Roman" w:eastAsia="宋体" w:cs="Times New Roman"/>
      <w:b/>
      <w:kern w:val="44"/>
      <w:sz w:val="32"/>
      <w:szCs w:val="20"/>
    </w:rPr>
  </w:style>
  <w:style w:type="paragraph" w:customStyle="1" w:styleId="32">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3">
    <w:name w:val="索引 11"/>
    <w:basedOn w:val="1"/>
    <w:next w:val="1"/>
    <w:qFormat/>
    <w:uiPriority w:val="0"/>
    <w:pPr>
      <w:spacing w:beforeAutospacing="0" w:afterAutospacing="0" w:line="360" w:lineRule="auto"/>
    </w:pPr>
    <w:rPr>
      <w:rFonts w:ascii="仿宋_GB2312" w:eastAsia="仿宋_GB2312"/>
      <w:sz w:val="24"/>
      <w:szCs w:val="20"/>
    </w:rPr>
  </w:style>
  <w:style w:type="paragraph" w:customStyle="1" w:styleId="34">
    <w:name w:val="纯文本1"/>
    <w:basedOn w:val="1"/>
    <w:qFormat/>
    <w:uiPriority w:val="0"/>
    <w:rPr>
      <w:rFonts w:ascii="宋体" w:hAnsi="Courier New"/>
      <w:kern w:val="0"/>
      <w:sz w:val="20"/>
      <w:szCs w:val="20"/>
    </w:rPr>
  </w:style>
  <w:style w:type="character" w:customStyle="1" w:styleId="35">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6">
    <w:name w:val="UserStyle_44"/>
    <w:basedOn w:val="1"/>
    <w:qFormat/>
    <w:uiPriority w:val="0"/>
    <w:pPr>
      <w:spacing w:before="120" w:beforeAutospacing="0" w:after="120" w:afterAutospacing="0" w:line="360" w:lineRule="auto"/>
      <w:jc w:val="center"/>
    </w:pPr>
    <w:rPr>
      <w:rFonts w:eastAsia="仿宋_GB2312"/>
      <w:b/>
      <w:sz w:val="24"/>
    </w:rPr>
  </w:style>
  <w:style w:type="paragraph" w:customStyle="1" w:styleId="37">
    <w:name w:val="NormalIndent"/>
    <w:basedOn w:val="1"/>
    <w:qFormat/>
    <w:uiPriority w:val="0"/>
    <w:pPr>
      <w:ind w:firstLine="420"/>
      <w:jc w:val="left"/>
    </w:pPr>
    <w:rPr>
      <w:rFonts w:ascii="宋体"/>
      <w:kern w:val="0"/>
      <w:sz w:val="24"/>
      <w:szCs w:val="20"/>
    </w:rPr>
  </w:style>
  <w:style w:type="paragraph" w:customStyle="1" w:styleId="38">
    <w:name w:val="图例"/>
    <w:basedOn w:val="1"/>
    <w:qFormat/>
    <w:uiPriority w:val="0"/>
    <w:pPr>
      <w:spacing w:before="120" w:beforeLines="0" w:beforeAutospacing="0" w:after="120" w:afterLines="0" w:afterAutospacing="0" w:line="360" w:lineRule="auto"/>
      <w:jc w:val="center"/>
    </w:pPr>
    <w:rPr>
      <w:rFonts w:eastAsia="仿宋_GB2312"/>
      <w:b/>
      <w:sz w:val="24"/>
    </w:rPr>
  </w:style>
  <w:style w:type="character" w:customStyle="1" w:styleId="39">
    <w:name w:val="font11"/>
    <w:basedOn w:val="24"/>
    <w:qFormat/>
    <w:uiPriority w:val="0"/>
    <w:rPr>
      <w:rFonts w:hint="eastAsia" w:ascii="宋体" w:hAnsi="宋体" w:eastAsia="宋体" w:cs="宋体"/>
      <w:color w:val="FF0000"/>
      <w:sz w:val="16"/>
      <w:szCs w:val="16"/>
      <w:u w:val="none"/>
    </w:rPr>
  </w:style>
  <w:style w:type="character" w:customStyle="1" w:styleId="40">
    <w:name w:val="font21"/>
    <w:basedOn w:val="24"/>
    <w:qFormat/>
    <w:uiPriority w:val="0"/>
    <w:rPr>
      <w:rFonts w:hint="eastAsia" w:ascii="宋体" w:hAnsi="宋体" w:eastAsia="宋体" w:cs="宋体"/>
      <w:color w:val="000000"/>
      <w:sz w:val="16"/>
      <w:szCs w:val="16"/>
      <w:u w:val="none"/>
    </w:rPr>
  </w:style>
  <w:style w:type="character" w:customStyle="1" w:styleId="41">
    <w:name w:val="style23"/>
    <w:basedOn w:val="24"/>
    <w:qFormat/>
    <w:uiPriority w:val="0"/>
  </w:style>
  <w:style w:type="paragraph" w:customStyle="1" w:styleId="42">
    <w:name w:val="表格文字"/>
    <w:basedOn w:val="1"/>
    <w:qFormat/>
    <w:uiPriority w:val="0"/>
    <w:pPr>
      <w:spacing w:before="25" w:beforeAutospacing="0" w:after="25" w:afterAutospacing="0"/>
      <w:jc w:val="left"/>
    </w:pPr>
    <w:rPr>
      <w:bCs/>
      <w:spacing w:val="10"/>
      <w:kern w:val="0"/>
      <w:sz w:val="24"/>
    </w:rPr>
  </w:style>
  <w:style w:type="paragraph" w:styleId="43">
    <w:name w:val="List Paragraph"/>
    <w:basedOn w:val="1"/>
    <w:qFormat/>
    <w:uiPriority w:val="34"/>
    <w:pPr>
      <w:ind w:firstLine="420" w:firstLineChars="200"/>
    </w:pPr>
  </w:style>
  <w:style w:type="paragraph" w:customStyle="1" w:styleId="44">
    <w:name w:val="Heading1"/>
    <w:basedOn w:val="1"/>
    <w:qFormat/>
    <w:uiPriority w:val="0"/>
    <w:pPr>
      <w:keepNext/>
      <w:numPr>
        <w:ilvl w:val="0"/>
        <w:numId w:val="1"/>
      </w:numPr>
      <w:spacing w:before="240" w:beforeAutospacing="0" w:after="60" w:afterAutospacing="0"/>
      <w:ind w:left="100" w:firstLine="0"/>
      <w:contextualSpacing/>
      <w:jc w:val="left"/>
    </w:pPr>
    <w:rPr>
      <w:rFonts w:ascii="Cambria" w:hAnsi="Cambria" w:eastAsia="宋体" w:cs="Times New Roman"/>
      <w:bCs/>
      <w:iCs/>
      <w:kern w:val="32"/>
      <w:sz w:val="24"/>
      <w:szCs w:val="32"/>
      <w:lang w:eastAsia="en-US"/>
    </w:rPr>
  </w:style>
  <w:style w:type="paragraph" w:customStyle="1" w:styleId="45">
    <w:name w:val="UserStyle_15"/>
    <w:basedOn w:val="46"/>
    <w:qFormat/>
    <w:uiPriority w:val="0"/>
    <w:pPr>
      <w:spacing w:before="100" w:beforeAutospacing="1" w:after="100" w:afterAutospacing="1"/>
      <w:ind w:right="100" w:rightChars="100"/>
    </w:pPr>
    <w:rPr>
      <w:sz w:val="21"/>
    </w:rPr>
  </w:style>
  <w:style w:type="paragraph" w:customStyle="1" w:styleId="46">
    <w:name w:val="Heading2"/>
    <w:basedOn w:val="1"/>
    <w:qFormat/>
    <w:uiPriority w:val="0"/>
    <w:pPr>
      <w:keepNext/>
      <w:numPr>
        <w:ilvl w:val="1"/>
        <w:numId w:val="1"/>
      </w:numPr>
      <w:spacing w:before="240" w:beforeAutospacing="0" w:after="60" w:afterAutospacing="0"/>
      <w:jc w:val="left"/>
    </w:pPr>
    <w:rPr>
      <w:rFonts w:ascii="Cambria" w:hAnsi="Cambria" w:eastAsia="宋体" w:cs="Times New Roman"/>
      <w:b/>
      <w:bCs/>
      <w:i/>
      <w:iCs/>
      <w:kern w:val="0"/>
      <w:sz w:val="28"/>
      <w:szCs w:val="28"/>
      <w:lang w:eastAsia="en-US"/>
    </w:rPr>
  </w:style>
  <w:style w:type="paragraph" w:customStyle="1" w:styleId="47">
    <w:name w:val="列出段落1"/>
    <w:basedOn w:val="1"/>
    <w:qFormat/>
    <w:uiPriority w:val="34"/>
    <w:pPr>
      <w:ind w:firstLine="420" w:firstLineChars="200"/>
    </w:pPr>
  </w:style>
  <w:style w:type="paragraph" w:customStyle="1" w:styleId="48">
    <w:name w:val="章标题"/>
    <w:qFormat/>
    <w:uiPriority w:val="0"/>
    <w:pPr>
      <w:spacing w:before="156" w:beforeLines="50" w:beforeAutospacing="0" w:after="156" w:afterLines="50" w:afterAutospacing="0"/>
      <w:jc w:val="both"/>
      <w:outlineLvl w:val="1"/>
    </w:pPr>
    <w:rPr>
      <w:rFonts w:ascii="黑体" w:hAnsi="Times New Roman" w:eastAsia="黑体" w:cs="Times New Roman"/>
      <w:sz w:val="21"/>
      <w:lang w:val="en-US" w:eastAsia="zh-CN" w:bidi="ar-SA"/>
    </w:rPr>
  </w:style>
  <w:style w:type="character" w:customStyle="1" w:styleId="49">
    <w:name w:val="font31"/>
    <w:basedOn w:val="24"/>
    <w:qFormat/>
    <w:uiPriority w:val="0"/>
    <w:rPr>
      <w:rFonts w:hint="eastAsia" w:ascii="宋体" w:hAnsi="宋体" w:eastAsia="宋体" w:cs="宋体"/>
      <w:color w:val="000000"/>
      <w:sz w:val="24"/>
      <w:szCs w:val="24"/>
      <w:u w:val="none"/>
    </w:rPr>
  </w:style>
  <w:style w:type="paragraph" w:customStyle="1" w:styleId="50">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51">
    <w:name w:val="p0"/>
    <w:basedOn w:val="1"/>
    <w:qFormat/>
    <w:uiPriority w:val="0"/>
    <w:pPr>
      <w:widowControl/>
    </w:pPr>
    <w:rPr>
      <w:kern w:val="0"/>
      <w:szCs w:val="21"/>
    </w:rPr>
  </w:style>
  <w:style w:type="paragraph" w:customStyle="1" w:styleId="52">
    <w:name w:val="Normal"/>
    <w:qFormat/>
    <w:uiPriority w:val="0"/>
    <w:rPr>
      <w:rFonts w:ascii="Times New Roman" w:hAnsi="Times New Roman" w:eastAsia="Times New Roman" w:cs="Times New Roman"/>
      <w:sz w:val="24"/>
      <w:szCs w:val="24"/>
      <w:lang w:bidi="ar-SA"/>
    </w:rPr>
  </w:style>
  <w:style w:type="paragraph" w:customStyle="1" w:styleId="53">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54">
    <w:name w:val="Heading3"/>
    <w:basedOn w:val="1"/>
    <w:qFormat/>
    <w:uiPriority w:val="0"/>
    <w:pPr>
      <w:keepNext/>
      <w:keepLines/>
      <w:widowControl/>
      <w:spacing w:before="260" w:beforeAutospacing="0" w:after="260" w:afterAutospacing="0" w:line="416" w:lineRule="auto"/>
      <w:textAlignment w:val="baseline"/>
    </w:pPr>
    <w:rPr>
      <w:sz w:val="32"/>
      <w:szCs w:val="32"/>
    </w:rPr>
  </w:style>
  <w:style w:type="paragraph" w:customStyle="1" w:styleId="55">
    <w:name w:val="样式 样式 样式 左侧:  2 字符1 + 首行缩进:  2 字符1 + 首行缩进:  2 字符"/>
    <w:basedOn w:val="1"/>
    <w:qFormat/>
    <w:uiPriority w:val="0"/>
    <w:pPr>
      <w:widowControl/>
      <w:adjustRightInd w:val="0"/>
      <w:spacing w:before="60" w:beforeAutospacing="0" w:after="120" w:afterAutospacing="0" w:line="440" w:lineRule="atLeast"/>
      <w:ind w:firstLine="480"/>
      <w:textAlignment w:val="baseline"/>
    </w:pPr>
    <w:rPr>
      <w:rFonts w:ascii="Times New Roman" w:hAnsi="Times New Roman"/>
      <w:sz w:val="24"/>
    </w:rPr>
  </w:style>
  <w:style w:type="character" w:customStyle="1" w:styleId="56">
    <w:name w:val="content1"/>
    <w:qFormat/>
    <w:uiPriority w:val="99"/>
    <w:rPr>
      <w:rFonts w:ascii="Tahoma" w:hAnsi="Tahoma" w:cs="Tahoma"/>
      <w:sz w:val="21"/>
      <w:szCs w:val="21"/>
    </w:rPr>
  </w:style>
  <w:style w:type="paragraph" w:customStyle="1" w:styleId="57">
    <w:name w:val="pa-0"/>
    <w:basedOn w:val="1"/>
    <w:qFormat/>
    <w:uiPriority w:val="0"/>
    <w:pPr>
      <w:widowControl/>
      <w:spacing w:before="150" w:after="150"/>
      <w:jc w:val="left"/>
    </w:pPr>
    <w:rPr>
      <w:rFonts w:ascii="宋体" w:hAnsi="宋体" w:cs="宋体"/>
      <w:kern w:val="0"/>
      <w:sz w:val="24"/>
      <w:szCs w:val="20"/>
    </w:rPr>
  </w:style>
  <w:style w:type="character" w:customStyle="1" w:styleId="58">
    <w:name w:val="ca-0"/>
    <w:basedOn w:val="24"/>
    <w:qFormat/>
    <w:uiPriority w:val="0"/>
  </w:style>
  <w:style w:type="character" w:customStyle="1" w:styleId="59">
    <w:name w:val="concon"/>
    <w:qFormat/>
    <w:uiPriority w:val="0"/>
  </w:style>
  <w:style w:type="paragraph" w:customStyle="1" w:styleId="60">
    <w:name w:val="列出段落5"/>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38314</Words>
  <Characters>42595</Characters>
  <Lines>303</Lines>
  <Paragraphs>85</Paragraphs>
  <TotalTime>79</TotalTime>
  <ScaleCrop>false</ScaleCrop>
  <LinksUpToDate>false</LinksUpToDate>
  <CharactersWithSpaces>47472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2020-04-03T05:40:00Z</dcterms:created>
  <dc:creator>Administrator</dc:creator>
  <cp:lastModifiedBy>回回去去789@</cp:lastModifiedBy>
  <cp:lastPrinted>2023-03-27T06:02:00Z</cp:lastPrinted>
  <dcterms:modified xsi:type="dcterms:W3CDTF">2023-03-27T11:08:34Z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09C67707872744B4BADF9114D58BA793</vt:lpwstr>
  </property>
</Properties>
</file>