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sz w:val="44"/>
          <w:szCs w:val="44"/>
          <w:lang w:val="en-US" w:eastAsia="zh-CN"/>
        </w:rPr>
      </w:pPr>
    </w:p>
    <w:p>
      <w:pPr>
        <w:jc w:val="center"/>
        <w:rPr>
          <w:rFonts w:hint="eastAsia" w:ascii="黑体" w:hAnsi="宋体" w:eastAsia="黑体"/>
          <w:sz w:val="44"/>
          <w:szCs w:val="44"/>
          <w:lang w:val="en-US" w:eastAsia="zh-CN"/>
        </w:rPr>
      </w:pPr>
    </w:p>
    <w:p>
      <w:pPr>
        <w:jc w:val="center"/>
        <w:rPr>
          <w:rFonts w:hint="eastAsia" w:ascii="黑体" w:hAnsi="宋体" w:eastAsia="黑体"/>
          <w:sz w:val="44"/>
          <w:szCs w:val="44"/>
          <w:lang w:val="en-US" w:eastAsia="zh-CN"/>
        </w:rPr>
      </w:pPr>
    </w:p>
    <w:p>
      <w:pPr>
        <w:jc w:val="center"/>
        <w:rPr>
          <w:rFonts w:hint="eastAsia" w:ascii="黑体" w:hAnsi="宋体" w:eastAsia="黑体"/>
          <w:sz w:val="32"/>
          <w:szCs w:val="32"/>
        </w:rPr>
      </w:pPr>
      <w:r>
        <w:rPr>
          <w:rFonts w:hint="eastAsia" w:ascii="黑体" w:hAnsi="宋体" w:eastAsia="黑体"/>
          <w:sz w:val="44"/>
          <w:szCs w:val="44"/>
          <w:lang w:val="en-US" w:eastAsia="zh-CN"/>
        </w:rPr>
        <w:t>阿瓦提县2023年乡村振兴项目第二标段塔木托格拉克镇拉帕村人居环境整治项目</w:t>
      </w:r>
    </w:p>
    <w:p>
      <w:pPr>
        <w:jc w:val="center"/>
        <w:rPr>
          <w:rFonts w:ascii="黑体" w:hAnsi="宋体" w:eastAsia="黑体"/>
          <w:bCs/>
          <w:sz w:val="24"/>
          <w:szCs w:val="24"/>
        </w:rPr>
      </w:pPr>
    </w:p>
    <w:p>
      <w:pPr>
        <w:jc w:val="center"/>
        <w:rPr>
          <w:rFonts w:ascii="黑体" w:hAnsi="宋体" w:eastAsia="黑体"/>
          <w:bCs/>
          <w:sz w:val="24"/>
          <w:szCs w:val="24"/>
        </w:rPr>
      </w:pPr>
    </w:p>
    <w:p>
      <w:pPr>
        <w:tabs>
          <w:tab w:val="left" w:pos="8040"/>
        </w:tabs>
        <w:jc w:val="left"/>
        <w:rPr>
          <w:rFonts w:ascii="黑体" w:hAnsi="宋体" w:eastAsia="黑体"/>
          <w:bCs/>
          <w:sz w:val="24"/>
          <w:szCs w:val="24"/>
        </w:rPr>
      </w:pPr>
      <w:r>
        <w:rPr>
          <w:rFonts w:ascii="黑体" w:hAnsi="宋体" w:eastAsia="黑体"/>
          <w:bCs/>
          <w:sz w:val="24"/>
          <w:szCs w:val="24"/>
        </w:rPr>
        <w:tab/>
      </w:r>
    </w:p>
    <w:p>
      <w:pPr>
        <w:jc w:val="both"/>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outlineLvl w:val="0"/>
        <w:rPr>
          <w:rFonts w:ascii="黑体" w:hAnsi="宋体" w:eastAsia="黑体"/>
          <w:sz w:val="80"/>
          <w:szCs w:val="80"/>
        </w:rPr>
      </w:pPr>
      <w:bookmarkStart w:id="0" w:name="_Toc31878"/>
      <w:bookmarkStart w:id="1" w:name="_Toc15592"/>
      <w:bookmarkStart w:id="2" w:name="_Toc3515"/>
      <w:bookmarkStart w:id="3" w:name="_Toc712"/>
      <w:r>
        <w:rPr>
          <w:rFonts w:hint="eastAsia" w:ascii="黑体" w:hAnsi="宋体" w:eastAsia="黑体"/>
          <w:sz w:val="80"/>
          <w:szCs w:val="80"/>
        </w:rPr>
        <w:t>招标文件</w:t>
      </w:r>
      <w:bookmarkEnd w:id="0"/>
      <w:bookmarkEnd w:id="1"/>
      <w:bookmarkEnd w:id="2"/>
      <w:bookmarkEnd w:id="3"/>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rPr>
          <w:rFonts w:ascii="黑体" w:hAnsi="宋体" w:eastAsia="黑体"/>
          <w:bCs/>
          <w:sz w:val="24"/>
          <w:szCs w:val="24"/>
        </w:rPr>
      </w:pPr>
    </w:p>
    <w:p>
      <w:pP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spacing w:line="360" w:lineRule="auto"/>
        <w:ind w:firstLine="560" w:firstLineChars="200"/>
        <w:rPr>
          <w:rFonts w:hint="default" w:ascii="黑体" w:hAnsi="宋体" w:eastAsia="黑体"/>
          <w:sz w:val="28"/>
          <w:szCs w:val="28"/>
          <w:lang w:val="en-US"/>
        </w:rPr>
      </w:pPr>
      <w:r>
        <w:rPr>
          <w:rFonts w:hint="eastAsia" w:ascii="黑体" w:hAnsi="宋体" w:eastAsia="黑体"/>
          <w:sz w:val="28"/>
          <w:szCs w:val="28"/>
        </w:rPr>
        <w:t>项目编号：</w:t>
      </w:r>
      <w:r>
        <w:rPr>
          <w:rFonts w:hint="eastAsia" w:ascii="黑体" w:hAnsi="宋体" w:eastAsia="黑体"/>
          <w:sz w:val="28"/>
          <w:szCs w:val="28"/>
          <w:lang w:val="en-US" w:eastAsia="zh-CN"/>
        </w:rPr>
        <w:t>XJHC-2023-012</w:t>
      </w:r>
    </w:p>
    <w:p>
      <w:pPr>
        <w:ind w:firstLine="560" w:firstLineChars="200"/>
        <w:jc w:val="left"/>
        <w:rPr>
          <w:rFonts w:hint="eastAsia" w:ascii="黑体" w:hAnsi="宋体" w:eastAsia="黑体"/>
          <w:sz w:val="28"/>
          <w:szCs w:val="28"/>
          <w:lang w:val="en-US" w:eastAsia="zh-CN"/>
        </w:rPr>
      </w:pPr>
      <w:r>
        <w:rPr>
          <w:rFonts w:hint="eastAsia" w:ascii="黑体" w:hAnsi="宋体" w:eastAsia="黑体"/>
          <w:sz w:val="28"/>
          <w:szCs w:val="28"/>
        </w:rPr>
        <w:t>采 购 人：</w:t>
      </w:r>
      <w:r>
        <w:rPr>
          <w:rFonts w:hint="eastAsia" w:ascii="黑体" w:hAnsi="宋体" w:eastAsia="黑体"/>
          <w:sz w:val="28"/>
          <w:szCs w:val="28"/>
          <w:lang w:eastAsia="zh-CN"/>
        </w:rPr>
        <w:t>阿瓦提县农业农村局</w:t>
      </w:r>
    </w:p>
    <w:p>
      <w:pPr>
        <w:ind w:firstLine="560" w:firstLineChars="200"/>
        <w:jc w:val="left"/>
        <w:rPr>
          <w:rFonts w:hint="eastAsia" w:ascii="黑体" w:hAnsi="黑体" w:eastAsia="黑体" w:cs="黑体"/>
          <w:sz w:val="28"/>
          <w:szCs w:val="28"/>
          <w:lang w:eastAsia="zh-CN"/>
        </w:rPr>
      </w:pPr>
      <w:r>
        <w:rPr>
          <w:rFonts w:hint="eastAsia" w:ascii="黑体" w:hAnsi="宋体" w:eastAsia="黑体"/>
          <w:sz w:val="28"/>
          <w:szCs w:val="28"/>
        </w:rPr>
        <w:t>代理机构：</w:t>
      </w:r>
      <w:r>
        <w:rPr>
          <w:rFonts w:hint="eastAsia" w:ascii="黑体" w:hAnsi="宋体" w:eastAsia="黑体"/>
          <w:sz w:val="28"/>
          <w:szCs w:val="28"/>
          <w:lang w:eastAsia="zh-CN"/>
        </w:rPr>
        <w:t>新疆豪诚项目管理咨询有限公司</w:t>
      </w:r>
    </w:p>
    <w:p>
      <w:pPr>
        <w:jc w:val="center"/>
        <w:sectPr>
          <w:pgSz w:w="11906" w:h="16838"/>
          <w:pgMar w:top="1440" w:right="1440" w:bottom="1440" w:left="1440" w:header="851" w:footer="992" w:gutter="0"/>
          <w:cols w:space="0" w:num="1"/>
          <w:docGrid w:type="lines" w:linePitch="317" w:charSpace="0"/>
        </w:sectPr>
      </w:pPr>
      <w:r>
        <w:rPr>
          <w:rFonts w:hint="eastAsia" w:ascii="黑体" w:hAnsi="黑体" w:eastAsia="黑体" w:cs="黑体"/>
          <w:sz w:val="28"/>
          <w:szCs w:val="28"/>
        </w:rPr>
        <w:t>二0二</w:t>
      </w:r>
      <w:r>
        <w:rPr>
          <w:rFonts w:hint="eastAsia" w:ascii="黑体" w:hAnsi="黑体" w:eastAsia="黑体" w:cs="黑体"/>
          <w:sz w:val="28"/>
          <w:szCs w:val="28"/>
          <w:lang w:val="en-US" w:eastAsia="zh-CN"/>
        </w:rPr>
        <w:t>三</w:t>
      </w:r>
      <w:r>
        <w:rPr>
          <w:rFonts w:hint="eastAsia" w:ascii="黑体" w:hAnsi="黑体" w:eastAsia="黑体" w:cs="黑体"/>
          <w:sz w:val="28"/>
          <w:szCs w:val="28"/>
        </w:rPr>
        <w:t>年</w:t>
      </w:r>
      <w:r>
        <w:rPr>
          <w:rFonts w:hint="eastAsia" w:ascii="黑体" w:hAnsi="黑体" w:eastAsia="黑体" w:cs="黑体"/>
          <w:sz w:val="28"/>
          <w:szCs w:val="28"/>
          <w:lang w:eastAsia="zh-CN"/>
        </w:rPr>
        <w:t>三</w:t>
      </w:r>
      <w:r>
        <w:rPr>
          <w:rFonts w:hint="eastAsia" w:ascii="黑体" w:hAnsi="黑体" w:eastAsia="黑体" w:cs="黑体"/>
          <w:sz w:val="28"/>
          <w:szCs w:val="28"/>
        </w:rPr>
        <w:t>月</w:t>
      </w:r>
    </w:p>
    <w:p>
      <w:pPr>
        <w:spacing w:beforeLines="100"/>
        <w:jc w:val="center"/>
        <w:outlineLvl w:val="0"/>
        <w:rPr>
          <w:sz w:val="24"/>
          <w:szCs w:val="28"/>
        </w:rPr>
      </w:pPr>
      <w:bookmarkStart w:id="4" w:name="_Toc26978"/>
      <w:bookmarkStart w:id="5" w:name="_Toc16780"/>
      <w:bookmarkStart w:id="6" w:name="_Toc16835"/>
      <w:bookmarkStart w:id="7" w:name="_Toc12764"/>
      <w:r>
        <w:rPr>
          <w:rFonts w:hint="eastAsia" w:ascii="黑体" w:hAnsi="黑体" w:eastAsia="黑体" w:cs="黑体"/>
          <w:sz w:val="40"/>
          <w:szCs w:val="40"/>
        </w:rPr>
        <w:t>招标文件</w:t>
      </w:r>
      <w:bookmarkEnd w:id="4"/>
      <w:bookmarkEnd w:id="5"/>
      <w:bookmarkEnd w:id="6"/>
      <w:bookmarkEnd w:id="7"/>
    </w:p>
    <w:p/>
    <w:p/>
    <w:p/>
    <w:p>
      <w:pPr>
        <w:spacing w:line="480" w:lineRule="auto"/>
        <w:rPr>
          <w:rFonts w:hint="eastAsia" w:ascii="宋体" w:hAnsi="宋体" w:eastAsia="宋体" w:cs="宋体"/>
          <w:sz w:val="30"/>
          <w:szCs w:val="30"/>
          <w:lang w:val="en-US" w:eastAsia="zh-CN"/>
        </w:rPr>
      </w:pPr>
      <w:r>
        <w:rPr>
          <w:rFonts w:hint="eastAsia" w:ascii="宋体" w:hAnsi="宋体" w:eastAsia="宋体" w:cs="宋体"/>
          <w:sz w:val="30"/>
          <w:szCs w:val="30"/>
        </w:rPr>
        <w:t>项 目 名 称：</w:t>
      </w:r>
      <w:r>
        <w:rPr>
          <w:rFonts w:hint="eastAsia" w:ascii="宋体" w:hAnsi="宋体" w:cs="宋体"/>
          <w:sz w:val="30"/>
          <w:szCs w:val="30"/>
          <w:lang w:val="en-US" w:eastAsia="zh-CN"/>
        </w:rPr>
        <w:t>阿瓦提县2023年乡村振兴项目第二标段塔木托格拉克镇拉帕村人居环境整治项目</w:t>
      </w:r>
    </w:p>
    <w:p>
      <w:pPr>
        <w:spacing w:line="480" w:lineRule="auto"/>
        <w:rPr>
          <w:rFonts w:hint="eastAsia" w:ascii="宋体" w:hAnsi="宋体" w:eastAsia="宋体" w:cs="宋体"/>
          <w:sz w:val="30"/>
          <w:szCs w:val="30"/>
          <w:lang w:eastAsia="zh-CN"/>
        </w:rPr>
      </w:pPr>
      <w:r>
        <w:rPr>
          <w:rFonts w:hint="eastAsia" w:ascii="宋体" w:hAnsi="宋体" w:eastAsia="宋体" w:cs="宋体"/>
          <w:sz w:val="30"/>
          <w:szCs w:val="30"/>
        </w:rPr>
        <w:t>采 购  人（公章）：</w:t>
      </w:r>
      <w:r>
        <w:rPr>
          <w:rFonts w:hint="eastAsia" w:ascii="宋体" w:hAnsi="宋体" w:cs="宋体"/>
          <w:sz w:val="30"/>
          <w:szCs w:val="30"/>
          <w:lang w:eastAsia="zh-CN"/>
        </w:rPr>
        <w:t>阿瓦提县农业农村局</w:t>
      </w:r>
    </w:p>
    <w:p>
      <w:pPr>
        <w:spacing w:line="480" w:lineRule="auto"/>
        <w:rPr>
          <w:rFonts w:hint="eastAsia" w:ascii="宋体" w:hAnsi="宋体" w:eastAsia="宋体" w:cs="宋体"/>
          <w:sz w:val="30"/>
          <w:szCs w:val="30"/>
        </w:rPr>
      </w:pPr>
      <w:r>
        <w:rPr>
          <w:rFonts w:hint="eastAsia" w:ascii="宋体" w:hAnsi="宋体" w:eastAsia="宋体" w:cs="宋体"/>
          <w:sz w:val="30"/>
          <w:szCs w:val="30"/>
        </w:rPr>
        <w:t xml:space="preserve">法定代表人（签字或盖章）： </w:t>
      </w:r>
    </w:p>
    <w:p>
      <w:pPr>
        <w:spacing w:line="480" w:lineRule="auto"/>
        <w:rPr>
          <w:rFonts w:hint="eastAsia" w:ascii="宋体" w:hAnsi="宋体" w:eastAsia="宋体" w:cs="宋体"/>
          <w:sz w:val="30"/>
          <w:szCs w:val="30"/>
          <w:lang w:eastAsia="zh-CN"/>
        </w:rPr>
      </w:pPr>
      <w:r>
        <w:rPr>
          <w:rFonts w:hint="eastAsia" w:ascii="宋体" w:hAnsi="宋体" w:eastAsia="宋体" w:cs="宋体"/>
          <w:sz w:val="30"/>
          <w:szCs w:val="30"/>
          <w:lang w:eastAsia="zh-CN"/>
        </w:rPr>
        <w:t>联</w:t>
      </w:r>
      <w:r>
        <w:rPr>
          <w:rFonts w:hint="eastAsia" w:ascii="宋体" w:hAnsi="宋体" w:eastAsia="宋体" w:cs="宋体"/>
          <w:sz w:val="30"/>
          <w:szCs w:val="30"/>
          <w:lang w:val="en-US" w:eastAsia="zh-CN"/>
        </w:rPr>
        <w:t xml:space="preserve"> </w:t>
      </w:r>
      <w:r>
        <w:rPr>
          <w:rFonts w:hint="eastAsia" w:ascii="宋体" w:hAnsi="宋体" w:cs="宋体"/>
          <w:sz w:val="30"/>
          <w:szCs w:val="30"/>
          <w:lang w:val="en-US" w:eastAsia="zh-CN"/>
        </w:rPr>
        <w:t xml:space="preserve"> </w:t>
      </w:r>
      <w:r>
        <w:rPr>
          <w:rFonts w:hint="eastAsia" w:ascii="宋体" w:hAnsi="宋体" w:eastAsia="宋体" w:cs="宋体"/>
          <w:sz w:val="30"/>
          <w:szCs w:val="30"/>
          <w:lang w:eastAsia="zh-CN"/>
        </w:rPr>
        <w:t>系</w:t>
      </w:r>
      <w:r>
        <w:rPr>
          <w:rFonts w:hint="eastAsia" w:ascii="宋体" w:hAnsi="宋体" w:eastAsia="宋体" w:cs="宋体"/>
          <w:sz w:val="30"/>
          <w:szCs w:val="30"/>
          <w:lang w:val="en-US" w:eastAsia="zh-CN"/>
        </w:rPr>
        <w:t xml:space="preserve"> </w:t>
      </w:r>
      <w:r>
        <w:rPr>
          <w:rFonts w:hint="eastAsia" w:ascii="宋体" w:hAnsi="宋体" w:cs="宋体"/>
          <w:sz w:val="30"/>
          <w:szCs w:val="30"/>
          <w:lang w:val="en-US" w:eastAsia="zh-CN"/>
        </w:rPr>
        <w:t xml:space="preserve"> </w:t>
      </w:r>
      <w:r>
        <w:rPr>
          <w:rFonts w:hint="eastAsia" w:ascii="宋体" w:hAnsi="宋体" w:eastAsia="宋体" w:cs="宋体"/>
          <w:sz w:val="30"/>
          <w:szCs w:val="30"/>
          <w:lang w:eastAsia="zh-CN"/>
        </w:rPr>
        <w:t>人：</w:t>
      </w:r>
      <w:r>
        <w:rPr>
          <w:rFonts w:hint="eastAsia" w:ascii="宋体" w:hAnsi="宋体" w:cs="宋体"/>
          <w:sz w:val="30"/>
          <w:szCs w:val="30"/>
          <w:lang w:eastAsia="zh-CN"/>
        </w:rPr>
        <w:t>王吉祥</w:t>
      </w:r>
    </w:p>
    <w:p>
      <w:pPr>
        <w:spacing w:line="480" w:lineRule="auto"/>
        <w:rPr>
          <w:rFonts w:hint="default" w:ascii="宋体" w:hAnsi="宋体" w:eastAsia="宋体" w:cs="宋体"/>
          <w:sz w:val="30"/>
          <w:szCs w:val="30"/>
          <w:lang w:val="en-US" w:eastAsia="zh-CN"/>
        </w:rPr>
      </w:pPr>
      <w:r>
        <w:rPr>
          <w:rFonts w:hint="eastAsia" w:ascii="宋体" w:hAnsi="宋体" w:eastAsia="宋体" w:cs="宋体"/>
          <w:sz w:val="30"/>
          <w:szCs w:val="30"/>
        </w:rPr>
        <w:t>电      话：</w:t>
      </w:r>
      <w:r>
        <w:rPr>
          <w:rFonts w:hint="eastAsia" w:ascii="宋体" w:hAnsi="宋体" w:cs="宋体"/>
          <w:sz w:val="30"/>
          <w:szCs w:val="30"/>
          <w:lang w:val="en-US" w:eastAsia="zh-CN"/>
        </w:rPr>
        <w:t>15899332201</w:t>
      </w:r>
    </w:p>
    <w:p>
      <w:pPr>
        <w:spacing w:line="480" w:lineRule="auto"/>
        <w:rPr>
          <w:rFonts w:hint="eastAsia" w:ascii="宋体" w:hAnsi="宋体" w:eastAsia="宋体" w:cs="宋体"/>
          <w:sz w:val="30"/>
          <w:szCs w:val="30"/>
        </w:rPr>
      </w:pPr>
      <w:r>
        <w:rPr>
          <w:rFonts w:hint="eastAsia" w:ascii="宋体" w:hAnsi="宋体" w:eastAsia="宋体" w:cs="宋体"/>
          <w:sz w:val="30"/>
          <w:szCs w:val="30"/>
        </w:rPr>
        <w:t>联</w:t>
      </w:r>
      <w:r>
        <w:rPr>
          <w:rFonts w:hint="eastAsia" w:ascii="宋体" w:hAnsi="宋体" w:cs="宋体"/>
          <w:sz w:val="30"/>
          <w:szCs w:val="30"/>
          <w:lang w:val="en-US" w:eastAsia="zh-CN"/>
        </w:rPr>
        <w:t xml:space="preserve"> </w:t>
      </w:r>
      <w:r>
        <w:rPr>
          <w:rFonts w:hint="eastAsia" w:ascii="宋体" w:hAnsi="宋体" w:eastAsia="宋体" w:cs="宋体"/>
          <w:sz w:val="30"/>
          <w:szCs w:val="30"/>
        </w:rPr>
        <w:t>系</w:t>
      </w:r>
      <w:r>
        <w:rPr>
          <w:rFonts w:hint="eastAsia" w:ascii="宋体" w:hAnsi="宋体" w:cs="宋体"/>
          <w:sz w:val="30"/>
          <w:szCs w:val="30"/>
          <w:lang w:val="en-US" w:eastAsia="zh-CN"/>
        </w:rPr>
        <w:t xml:space="preserve"> </w:t>
      </w:r>
      <w:r>
        <w:rPr>
          <w:rFonts w:hint="eastAsia" w:ascii="宋体" w:hAnsi="宋体" w:eastAsia="宋体" w:cs="宋体"/>
          <w:sz w:val="30"/>
          <w:szCs w:val="30"/>
        </w:rPr>
        <w:t>地</w:t>
      </w:r>
      <w:r>
        <w:rPr>
          <w:rFonts w:hint="eastAsia" w:ascii="宋体" w:hAnsi="宋体" w:cs="宋体"/>
          <w:sz w:val="30"/>
          <w:szCs w:val="30"/>
          <w:lang w:val="en-US" w:eastAsia="zh-CN"/>
        </w:rPr>
        <w:t xml:space="preserve"> </w:t>
      </w:r>
      <w:r>
        <w:rPr>
          <w:rFonts w:hint="eastAsia" w:ascii="宋体" w:hAnsi="宋体" w:eastAsia="宋体" w:cs="宋体"/>
          <w:sz w:val="30"/>
          <w:szCs w:val="30"/>
        </w:rPr>
        <w:t>址：</w:t>
      </w:r>
      <w:r>
        <w:rPr>
          <w:rFonts w:hint="eastAsia" w:ascii="宋体" w:hAnsi="宋体" w:eastAsia="宋体" w:cs="宋体"/>
          <w:sz w:val="30"/>
          <w:szCs w:val="30"/>
          <w:lang w:val="en-US" w:eastAsia="zh-CN"/>
        </w:rPr>
        <w:t>阿瓦提县</w:t>
      </w:r>
    </w:p>
    <w:p>
      <w:pPr>
        <w:pStyle w:val="30"/>
        <w:rPr>
          <w:rFonts w:hint="eastAsia" w:ascii="宋体" w:hAnsi="宋体" w:eastAsia="宋体" w:cs="宋体"/>
          <w:sz w:val="30"/>
          <w:szCs w:val="30"/>
        </w:rPr>
      </w:pPr>
    </w:p>
    <w:p>
      <w:pPr>
        <w:pStyle w:val="30"/>
        <w:rPr>
          <w:rFonts w:hint="eastAsia" w:ascii="宋体" w:hAnsi="宋体" w:eastAsia="宋体" w:cs="宋体"/>
          <w:sz w:val="30"/>
          <w:szCs w:val="30"/>
        </w:rPr>
      </w:pPr>
    </w:p>
    <w:p>
      <w:pPr>
        <w:pStyle w:val="30"/>
        <w:rPr>
          <w:rFonts w:hint="eastAsia" w:ascii="宋体" w:hAnsi="宋体" w:eastAsia="宋体" w:cs="宋体"/>
          <w:sz w:val="30"/>
          <w:szCs w:val="30"/>
        </w:rPr>
      </w:pPr>
    </w:p>
    <w:p>
      <w:pPr>
        <w:pStyle w:val="30"/>
        <w:rPr>
          <w:rFonts w:hint="eastAsia" w:ascii="宋体" w:hAnsi="宋体" w:eastAsia="宋体" w:cs="宋体"/>
          <w:sz w:val="30"/>
          <w:szCs w:val="30"/>
        </w:rPr>
      </w:pPr>
    </w:p>
    <w:p>
      <w:pPr>
        <w:pStyle w:val="30"/>
        <w:rPr>
          <w:rFonts w:hint="eastAsia" w:ascii="宋体" w:hAnsi="宋体" w:eastAsia="宋体" w:cs="宋体"/>
          <w:sz w:val="30"/>
          <w:szCs w:val="30"/>
        </w:rPr>
      </w:pPr>
    </w:p>
    <w:p>
      <w:pPr>
        <w:spacing w:line="480" w:lineRule="auto"/>
        <w:rPr>
          <w:rFonts w:hint="eastAsia" w:ascii="宋体" w:hAnsi="宋体" w:eastAsia="宋体" w:cs="宋体"/>
          <w:sz w:val="30"/>
          <w:szCs w:val="30"/>
          <w:lang w:eastAsia="zh-CN"/>
        </w:rPr>
      </w:pPr>
      <w:r>
        <w:rPr>
          <w:rFonts w:hint="eastAsia" w:ascii="宋体" w:hAnsi="宋体" w:eastAsia="宋体" w:cs="宋体"/>
          <w:sz w:val="30"/>
          <w:szCs w:val="30"/>
        </w:rPr>
        <w:t>采购代理机构（公章）：</w:t>
      </w:r>
      <w:r>
        <w:rPr>
          <w:rFonts w:hint="eastAsia" w:ascii="宋体" w:hAnsi="宋体" w:cs="宋体"/>
          <w:sz w:val="30"/>
          <w:szCs w:val="30"/>
          <w:lang w:eastAsia="zh-CN"/>
        </w:rPr>
        <w:t>新疆豪诚项目管理咨询有限公司</w:t>
      </w:r>
    </w:p>
    <w:p>
      <w:pPr>
        <w:spacing w:line="480" w:lineRule="auto"/>
        <w:rPr>
          <w:rFonts w:hint="eastAsia" w:ascii="宋体" w:hAnsi="宋体" w:eastAsia="宋体" w:cs="宋体"/>
          <w:sz w:val="30"/>
          <w:szCs w:val="30"/>
        </w:rPr>
      </w:pPr>
      <w:r>
        <w:rPr>
          <w:rFonts w:hint="eastAsia" w:ascii="宋体" w:hAnsi="宋体" w:eastAsia="宋体" w:cs="宋体"/>
          <w:sz w:val="30"/>
          <w:szCs w:val="30"/>
        </w:rPr>
        <w:t>法定代表人（签字或盖章）：</w:t>
      </w:r>
    </w:p>
    <w:p>
      <w:pPr>
        <w:spacing w:line="480" w:lineRule="auto"/>
        <w:rPr>
          <w:rFonts w:hint="eastAsia" w:ascii="宋体" w:hAnsi="宋体" w:eastAsia="宋体" w:cs="宋体"/>
          <w:sz w:val="30"/>
          <w:szCs w:val="30"/>
          <w:lang w:val="en-US" w:eastAsia="zh-CN"/>
        </w:rPr>
      </w:pPr>
      <w:r>
        <w:rPr>
          <w:rFonts w:hint="eastAsia" w:ascii="宋体" w:hAnsi="宋体" w:eastAsia="宋体" w:cs="宋体"/>
          <w:sz w:val="30"/>
          <w:szCs w:val="30"/>
        </w:rPr>
        <w:t>联  系  人：</w:t>
      </w:r>
      <w:r>
        <w:rPr>
          <w:rFonts w:hint="eastAsia" w:ascii="宋体" w:hAnsi="宋体" w:cs="宋体"/>
          <w:sz w:val="30"/>
          <w:szCs w:val="30"/>
          <w:lang w:val="en-US" w:eastAsia="zh-CN"/>
        </w:rPr>
        <w:t>青浩浩</w:t>
      </w:r>
    </w:p>
    <w:p>
      <w:pPr>
        <w:spacing w:line="480" w:lineRule="auto"/>
        <w:rPr>
          <w:rFonts w:hint="eastAsia" w:ascii="宋体" w:hAnsi="宋体" w:eastAsia="宋体" w:cs="宋体"/>
          <w:sz w:val="30"/>
          <w:szCs w:val="30"/>
          <w:lang w:val="en-US" w:eastAsia="zh-CN"/>
        </w:rPr>
      </w:pPr>
      <w:r>
        <w:rPr>
          <w:rFonts w:hint="eastAsia" w:ascii="宋体" w:hAnsi="宋体" w:eastAsia="宋体" w:cs="宋体"/>
          <w:sz w:val="30"/>
          <w:szCs w:val="30"/>
        </w:rPr>
        <w:t>电      话：</w:t>
      </w:r>
      <w:r>
        <w:rPr>
          <w:rFonts w:hint="eastAsia" w:ascii="宋体" w:hAnsi="宋体" w:cs="宋体"/>
          <w:sz w:val="30"/>
          <w:szCs w:val="30"/>
          <w:lang w:val="en-US" w:eastAsia="zh-CN"/>
        </w:rPr>
        <w:t>15209975163</w:t>
      </w:r>
    </w:p>
    <w:p>
      <w:pPr>
        <w:spacing w:line="480" w:lineRule="auto"/>
        <w:rPr>
          <w:rFonts w:hint="eastAsia" w:ascii="宋体" w:hAnsi="宋体" w:eastAsia="宋体" w:cs="宋体"/>
          <w:sz w:val="30"/>
          <w:szCs w:val="30"/>
          <w:lang w:eastAsia="zh-CN"/>
        </w:rPr>
      </w:pPr>
      <w:r>
        <w:rPr>
          <w:rFonts w:hint="eastAsia" w:ascii="宋体" w:hAnsi="宋体" w:eastAsia="宋体" w:cs="宋体"/>
          <w:sz w:val="30"/>
          <w:szCs w:val="30"/>
        </w:rPr>
        <w:t>联</w:t>
      </w:r>
      <w:r>
        <w:rPr>
          <w:rFonts w:hint="eastAsia" w:ascii="宋体" w:hAnsi="宋体" w:cs="宋体"/>
          <w:sz w:val="30"/>
          <w:szCs w:val="30"/>
          <w:lang w:val="en-US" w:eastAsia="zh-CN"/>
        </w:rPr>
        <w:t xml:space="preserve"> </w:t>
      </w:r>
      <w:r>
        <w:rPr>
          <w:rFonts w:hint="eastAsia" w:ascii="宋体" w:hAnsi="宋体" w:eastAsia="宋体" w:cs="宋体"/>
          <w:sz w:val="30"/>
          <w:szCs w:val="30"/>
        </w:rPr>
        <w:t>系</w:t>
      </w:r>
      <w:r>
        <w:rPr>
          <w:rFonts w:hint="eastAsia" w:ascii="宋体" w:hAnsi="宋体" w:cs="宋体"/>
          <w:sz w:val="30"/>
          <w:szCs w:val="30"/>
          <w:lang w:val="en-US" w:eastAsia="zh-CN"/>
        </w:rPr>
        <w:t xml:space="preserve"> </w:t>
      </w:r>
      <w:r>
        <w:rPr>
          <w:rFonts w:hint="eastAsia" w:ascii="宋体" w:hAnsi="宋体" w:eastAsia="宋体" w:cs="宋体"/>
          <w:sz w:val="30"/>
          <w:szCs w:val="30"/>
        </w:rPr>
        <w:t>地</w:t>
      </w:r>
      <w:r>
        <w:rPr>
          <w:rFonts w:hint="eastAsia" w:ascii="宋体" w:hAnsi="宋体" w:cs="宋体"/>
          <w:sz w:val="30"/>
          <w:szCs w:val="30"/>
          <w:lang w:val="en-US" w:eastAsia="zh-CN"/>
        </w:rPr>
        <w:t xml:space="preserve"> </w:t>
      </w:r>
      <w:r>
        <w:rPr>
          <w:rFonts w:hint="eastAsia" w:ascii="宋体" w:hAnsi="宋体" w:eastAsia="宋体" w:cs="宋体"/>
          <w:sz w:val="30"/>
          <w:szCs w:val="30"/>
        </w:rPr>
        <w:t>址：</w:t>
      </w:r>
      <w:r>
        <w:rPr>
          <w:rFonts w:hint="eastAsia" w:ascii="宋体" w:hAnsi="宋体" w:cs="宋体"/>
          <w:sz w:val="30"/>
          <w:szCs w:val="30"/>
          <w:lang w:eastAsia="zh-CN"/>
        </w:rPr>
        <w:t>阿克苏市栏杆路原地区农业局家属院2号楼1单元501室</w:t>
      </w:r>
    </w:p>
    <w:p>
      <w:pPr>
        <w:spacing w:line="360" w:lineRule="auto"/>
        <w:rPr>
          <w:rFonts w:ascii="仿宋" w:hAnsi="仿宋" w:eastAsia="仿宋" w:cs="仿宋"/>
          <w:sz w:val="24"/>
        </w:rPr>
      </w:pPr>
    </w:p>
    <w:p>
      <w:pPr>
        <w:pStyle w:val="21"/>
        <w:jc w:val="center"/>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2023年03月</w:t>
      </w:r>
    </w:p>
    <w:p>
      <w:pPr>
        <w:spacing w:line="360" w:lineRule="auto"/>
        <w:rPr>
          <w:rFonts w:ascii="仿宋" w:hAnsi="仿宋" w:eastAsia="仿宋" w:cs="仿宋"/>
          <w:sz w:val="24"/>
        </w:rPr>
      </w:pPr>
    </w:p>
    <w:p>
      <w:pPr>
        <w:jc w:val="both"/>
        <w:outlineLvl w:val="0"/>
        <w:rPr>
          <w:rFonts w:ascii="黑体" w:hAnsi="黑体" w:eastAsia="黑体"/>
          <w:sz w:val="32"/>
          <w:szCs w:val="32"/>
        </w:rPr>
        <w:sectPr>
          <w:footerReference r:id="rId3" w:type="default"/>
          <w:pgSz w:w="11906" w:h="16838"/>
          <w:pgMar w:top="1440" w:right="1800" w:bottom="1440" w:left="1800" w:header="851" w:footer="992" w:gutter="0"/>
          <w:pgNumType w:fmt="decimal" w:start="1"/>
          <w:cols w:space="720" w:num="1"/>
          <w:docGrid w:type="lines" w:linePitch="312" w:charSpace="0"/>
        </w:sectPr>
      </w:pPr>
    </w:p>
    <w:p>
      <w:pPr>
        <w:jc w:val="center"/>
        <w:outlineLvl w:val="0"/>
        <w:rPr>
          <w:rFonts w:ascii="黑体" w:hAnsi="黑体" w:eastAsia="黑体"/>
          <w:sz w:val="36"/>
          <w:szCs w:val="36"/>
        </w:rPr>
      </w:pPr>
      <w:bookmarkStart w:id="8" w:name="_Toc12534"/>
      <w:bookmarkStart w:id="9" w:name="_Toc2476"/>
      <w:bookmarkStart w:id="10" w:name="_Toc2425"/>
      <w:bookmarkStart w:id="11" w:name="_Toc21397"/>
      <w:r>
        <w:rPr>
          <w:rFonts w:ascii="黑体" w:hAnsi="黑体" w:eastAsia="黑体"/>
          <w:sz w:val="40"/>
          <w:szCs w:val="40"/>
        </w:rPr>
        <w:t>目</w:t>
      </w:r>
      <w:r>
        <w:rPr>
          <w:rFonts w:hint="eastAsia" w:ascii="黑体" w:hAnsi="黑体" w:eastAsia="黑体"/>
          <w:sz w:val="40"/>
          <w:szCs w:val="40"/>
        </w:rPr>
        <w:t xml:space="preserve">  </w:t>
      </w:r>
      <w:r>
        <w:rPr>
          <w:rFonts w:ascii="黑体" w:hAnsi="黑体" w:eastAsia="黑体"/>
          <w:sz w:val="40"/>
          <w:szCs w:val="40"/>
        </w:rPr>
        <w:t>录</w:t>
      </w:r>
      <w:bookmarkEnd w:id="8"/>
      <w:bookmarkEnd w:id="9"/>
      <w:bookmarkEnd w:id="10"/>
      <w:bookmarkEnd w:id="11"/>
    </w:p>
    <w:p>
      <w:pPr>
        <w:pStyle w:val="24"/>
        <w:tabs>
          <w:tab w:val="right" w:leader="dot" w:pos="8306"/>
        </w:tabs>
      </w:pPr>
      <w:r>
        <w:rPr>
          <w:rFonts w:ascii="黑体" w:hAnsi="黑体" w:eastAsia="黑体"/>
          <w:sz w:val="24"/>
          <w:szCs w:val="24"/>
        </w:rPr>
        <w:fldChar w:fldCharType="begin"/>
      </w:r>
      <w:r>
        <w:rPr>
          <w:rFonts w:ascii="黑体" w:hAnsi="黑体" w:eastAsia="黑体"/>
          <w:sz w:val="24"/>
          <w:szCs w:val="24"/>
        </w:rPr>
        <w:instrText xml:space="preserve">TOC \o "1-3" \h \u </w:instrText>
      </w:r>
      <w:r>
        <w:rPr>
          <w:rFonts w:ascii="黑体" w:hAnsi="黑体" w:eastAsia="黑体"/>
          <w:sz w:val="24"/>
          <w:szCs w:val="24"/>
        </w:rPr>
        <w:fldChar w:fldCharType="separate"/>
      </w:r>
      <w:r>
        <w:rPr>
          <w:rFonts w:ascii="黑体" w:hAnsi="黑体" w:eastAsia="黑体"/>
          <w:szCs w:val="24"/>
        </w:rPr>
        <w:fldChar w:fldCharType="begin"/>
      </w:r>
      <w:r>
        <w:rPr>
          <w:rFonts w:ascii="黑体" w:hAnsi="黑体" w:eastAsia="黑体"/>
          <w:szCs w:val="24"/>
        </w:rPr>
        <w:instrText xml:space="preserve"> HYPERLINK \l _Toc712 </w:instrText>
      </w:r>
      <w:r>
        <w:rPr>
          <w:rFonts w:ascii="黑体" w:hAnsi="黑体" w:eastAsia="黑体"/>
          <w:szCs w:val="24"/>
        </w:rPr>
        <w:fldChar w:fldCharType="separate"/>
      </w:r>
      <w:r>
        <w:rPr>
          <w:rFonts w:hint="eastAsia" w:ascii="黑体" w:hAnsi="宋体" w:eastAsia="黑体"/>
          <w:szCs w:val="80"/>
        </w:rPr>
        <w:t>招标文件</w:t>
      </w:r>
      <w:r>
        <w:tab/>
      </w:r>
      <w:r>
        <w:fldChar w:fldCharType="begin"/>
      </w:r>
      <w:r>
        <w:instrText xml:space="preserve"> PAGEREF _Toc712 \h </w:instrText>
      </w:r>
      <w:r>
        <w:fldChar w:fldCharType="separate"/>
      </w:r>
      <w:r>
        <w:t>1</w:t>
      </w:r>
      <w:r>
        <w:fldChar w:fldCharType="end"/>
      </w:r>
      <w:r>
        <w:rPr>
          <w:rFonts w:ascii="黑体" w:hAnsi="黑体" w:eastAsia="黑体"/>
          <w:szCs w:val="24"/>
        </w:rPr>
        <w:fldChar w:fldCharType="end"/>
      </w:r>
    </w:p>
    <w:p>
      <w:pPr>
        <w:pStyle w:val="24"/>
        <w:tabs>
          <w:tab w:val="right" w:leader="dot" w:pos="8306"/>
        </w:tabs>
      </w:pPr>
      <w:r>
        <w:rPr>
          <w:rFonts w:ascii="黑体" w:hAnsi="黑体" w:eastAsia="黑体"/>
          <w:szCs w:val="24"/>
        </w:rPr>
        <w:fldChar w:fldCharType="begin"/>
      </w:r>
      <w:r>
        <w:rPr>
          <w:rFonts w:ascii="黑体" w:hAnsi="黑体" w:eastAsia="黑体"/>
          <w:szCs w:val="24"/>
        </w:rPr>
        <w:instrText xml:space="preserve"> HYPERLINK \l _Toc16780 </w:instrText>
      </w:r>
      <w:r>
        <w:rPr>
          <w:rFonts w:ascii="黑体" w:hAnsi="黑体" w:eastAsia="黑体"/>
          <w:szCs w:val="24"/>
        </w:rPr>
        <w:fldChar w:fldCharType="separate"/>
      </w:r>
      <w:r>
        <w:rPr>
          <w:rFonts w:hint="eastAsia" w:ascii="黑体" w:hAnsi="黑体" w:eastAsia="黑体" w:cs="黑体"/>
          <w:szCs w:val="40"/>
        </w:rPr>
        <w:t>采购招标文件</w:t>
      </w:r>
      <w:r>
        <w:tab/>
      </w:r>
      <w:r>
        <w:fldChar w:fldCharType="begin"/>
      </w:r>
      <w:r>
        <w:instrText xml:space="preserve"> PAGEREF _Toc16780 \h </w:instrText>
      </w:r>
      <w:r>
        <w:fldChar w:fldCharType="separate"/>
      </w:r>
      <w:r>
        <w:t>1</w:t>
      </w:r>
      <w:r>
        <w:fldChar w:fldCharType="end"/>
      </w:r>
      <w:r>
        <w:rPr>
          <w:rFonts w:ascii="黑体" w:hAnsi="黑体" w:eastAsia="黑体"/>
          <w:szCs w:val="24"/>
        </w:rPr>
        <w:fldChar w:fldCharType="end"/>
      </w:r>
    </w:p>
    <w:p>
      <w:pPr>
        <w:pStyle w:val="24"/>
        <w:tabs>
          <w:tab w:val="right" w:leader="dot" w:pos="8306"/>
        </w:tabs>
      </w:pPr>
      <w:r>
        <w:rPr>
          <w:rFonts w:ascii="黑体" w:hAnsi="黑体" w:eastAsia="黑体"/>
          <w:szCs w:val="24"/>
        </w:rPr>
        <w:fldChar w:fldCharType="begin"/>
      </w:r>
      <w:r>
        <w:rPr>
          <w:rFonts w:ascii="黑体" w:hAnsi="黑体" w:eastAsia="黑体"/>
          <w:szCs w:val="24"/>
        </w:rPr>
        <w:instrText xml:space="preserve"> HYPERLINK \l _Toc12534 </w:instrText>
      </w:r>
      <w:r>
        <w:rPr>
          <w:rFonts w:ascii="黑体" w:hAnsi="黑体" w:eastAsia="黑体"/>
          <w:szCs w:val="24"/>
        </w:rPr>
        <w:fldChar w:fldCharType="separate"/>
      </w:r>
      <w:r>
        <w:rPr>
          <w:rFonts w:ascii="黑体" w:hAnsi="黑体" w:eastAsia="黑体"/>
          <w:szCs w:val="40"/>
        </w:rPr>
        <w:t>目</w:t>
      </w:r>
      <w:r>
        <w:rPr>
          <w:rFonts w:hint="eastAsia" w:ascii="黑体" w:hAnsi="黑体" w:eastAsia="黑体"/>
          <w:szCs w:val="40"/>
        </w:rPr>
        <w:t xml:space="preserve">  </w:t>
      </w:r>
      <w:r>
        <w:rPr>
          <w:rFonts w:ascii="黑体" w:hAnsi="黑体" w:eastAsia="黑体"/>
          <w:szCs w:val="40"/>
        </w:rPr>
        <w:t>录</w:t>
      </w:r>
      <w:r>
        <w:tab/>
      </w:r>
      <w:r>
        <w:fldChar w:fldCharType="begin"/>
      </w:r>
      <w:r>
        <w:instrText xml:space="preserve"> PAGEREF _Toc12534 \h </w:instrText>
      </w:r>
      <w:r>
        <w:fldChar w:fldCharType="separate"/>
      </w:r>
      <w:r>
        <w:t>1</w:t>
      </w:r>
      <w:r>
        <w:fldChar w:fldCharType="end"/>
      </w:r>
      <w:r>
        <w:rPr>
          <w:rFonts w:ascii="黑体" w:hAnsi="黑体" w:eastAsia="黑体"/>
          <w:szCs w:val="24"/>
        </w:rPr>
        <w:fldChar w:fldCharType="end"/>
      </w:r>
    </w:p>
    <w:p>
      <w:pPr>
        <w:pStyle w:val="28"/>
        <w:tabs>
          <w:tab w:val="right" w:leader="dot" w:pos="8306"/>
        </w:tabs>
      </w:pPr>
      <w:r>
        <w:rPr>
          <w:rFonts w:ascii="黑体" w:hAnsi="黑体" w:eastAsia="黑体"/>
          <w:szCs w:val="24"/>
        </w:rPr>
        <w:fldChar w:fldCharType="begin"/>
      </w:r>
      <w:r>
        <w:rPr>
          <w:rFonts w:ascii="黑体" w:hAnsi="黑体" w:eastAsia="黑体"/>
          <w:szCs w:val="24"/>
        </w:rPr>
        <w:instrText xml:space="preserve"> HYPERLINK \l _Toc30922 </w:instrText>
      </w:r>
      <w:r>
        <w:rPr>
          <w:rFonts w:ascii="黑体" w:hAnsi="黑体" w:eastAsia="黑体"/>
          <w:szCs w:val="24"/>
        </w:rPr>
        <w:fldChar w:fldCharType="separate"/>
      </w:r>
      <w:r>
        <w:rPr>
          <w:rFonts w:hint="eastAsia" w:ascii="黑体" w:hAnsi="黑体" w:eastAsia="黑体"/>
          <w:szCs w:val="32"/>
          <w:lang w:val="en-US" w:eastAsia="zh-CN"/>
        </w:rPr>
        <w:t>第一章</w:t>
      </w:r>
      <w:r>
        <w:rPr>
          <w:rFonts w:hint="eastAsia" w:ascii="黑体" w:hAnsi="黑体" w:eastAsia="黑体"/>
          <w:szCs w:val="32"/>
        </w:rPr>
        <w:t>招标公告</w:t>
      </w:r>
      <w:r>
        <w:tab/>
      </w:r>
      <w:r>
        <w:fldChar w:fldCharType="begin"/>
      </w:r>
      <w:r>
        <w:instrText xml:space="preserve"> PAGEREF _Toc30922 \h </w:instrText>
      </w:r>
      <w:r>
        <w:fldChar w:fldCharType="separate"/>
      </w:r>
      <w:r>
        <w:t>3</w:t>
      </w:r>
      <w:r>
        <w:fldChar w:fldCharType="end"/>
      </w:r>
      <w:r>
        <w:rPr>
          <w:rFonts w:ascii="黑体" w:hAnsi="黑体" w:eastAsia="黑体"/>
          <w:szCs w:val="24"/>
        </w:rPr>
        <w:fldChar w:fldCharType="end"/>
      </w:r>
    </w:p>
    <w:p>
      <w:pPr>
        <w:pStyle w:val="28"/>
        <w:tabs>
          <w:tab w:val="right" w:leader="dot" w:pos="8306"/>
        </w:tabs>
      </w:pPr>
      <w:r>
        <w:rPr>
          <w:rFonts w:ascii="黑体" w:hAnsi="黑体" w:eastAsia="黑体"/>
          <w:szCs w:val="24"/>
        </w:rPr>
        <w:fldChar w:fldCharType="begin"/>
      </w:r>
      <w:r>
        <w:rPr>
          <w:rFonts w:ascii="黑体" w:hAnsi="黑体" w:eastAsia="黑体"/>
          <w:szCs w:val="24"/>
        </w:rPr>
        <w:instrText xml:space="preserve"> HYPERLINK \l _Toc21384 </w:instrText>
      </w:r>
      <w:r>
        <w:rPr>
          <w:rFonts w:ascii="黑体" w:hAnsi="黑体" w:eastAsia="黑体"/>
          <w:szCs w:val="24"/>
        </w:rPr>
        <w:fldChar w:fldCharType="separate"/>
      </w:r>
      <w:r>
        <w:rPr>
          <w:rFonts w:hint="eastAsia" w:ascii="黑体" w:hAnsi="黑体" w:eastAsia="黑体"/>
          <w:szCs w:val="32"/>
        </w:rPr>
        <w:t>第一章 投标人须知</w:t>
      </w:r>
      <w:r>
        <w:tab/>
      </w:r>
      <w:r>
        <w:fldChar w:fldCharType="begin"/>
      </w:r>
      <w:r>
        <w:instrText xml:space="preserve"> PAGEREF _Toc21384 \h </w:instrText>
      </w:r>
      <w:r>
        <w:fldChar w:fldCharType="separate"/>
      </w:r>
      <w:r>
        <w:t>4</w:t>
      </w:r>
      <w:r>
        <w:fldChar w:fldCharType="end"/>
      </w:r>
      <w:r>
        <w:rPr>
          <w:rFonts w:ascii="黑体" w:hAnsi="黑体" w:eastAsia="黑体"/>
          <w:szCs w:val="24"/>
        </w:rPr>
        <w:fldChar w:fldCharType="end"/>
      </w:r>
    </w:p>
    <w:p>
      <w:pPr>
        <w:pStyle w:val="28"/>
        <w:tabs>
          <w:tab w:val="right" w:leader="dot" w:pos="8306"/>
        </w:tabs>
      </w:pPr>
      <w:r>
        <w:rPr>
          <w:rFonts w:ascii="黑体" w:hAnsi="黑体" w:eastAsia="黑体"/>
          <w:szCs w:val="24"/>
        </w:rPr>
        <w:fldChar w:fldCharType="begin"/>
      </w:r>
      <w:r>
        <w:rPr>
          <w:rFonts w:ascii="黑体" w:hAnsi="黑体" w:eastAsia="黑体"/>
          <w:szCs w:val="24"/>
        </w:rPr>
        <w:instrText xml:space="preserve"> HYPERLINK \l _Toc3922 </w:instrText>
      </w:r>
      <w:r>
        <w:rPr>
          <w:rFonts w:ascii="黑体" w:hAnsi="黑体" w:eastAsia="黑体"/>
          <w:szCs w:val="24"/>
        </w:rPr>
        <w:fldChar w:fldCharType="separate"/>
      </w:r>
      <w:r>
        <w:rPr>
          <w:rFonts w:hint="eastAsia" w:ascii="黑体" w:hAnsi="黑体" w:eastAsia="黑体" w:cs="Times New Roman"/>
          <w:szCs w:val="28"/>
        </w:rPr>
        <w:t>投标人须知前附表</w:t>
      </w:r>
      <w:r>
        <w:tab/>
      </w:r>
      <w:r>
        <w:fldChar w:fldCharType="begin"/>
      </w:r>
      <w:r>
        <w:instrText xml:space="preserve"> PAGEREF _Toc3922 \h </w:instrText>
      </w:r>
      <w:r>
        <w:fldChar w:fldCharType="separate"/>
      </w:r>
      <w:r>
        <w:t>4</w:t>
      </w:r>
      <w:r>
        <w:fldChar w:fldCharType="end"/>
      </w:r>
      <w:r>
        <w:rPr>
          <w:rFonts w:ascii="黑体" w:hAnsi="黑体" w:eastAsia="黑体"/>
          <w:szCs w:val="24"/>
        </w:rPr>
        <w:fldChar w:fldCharType="end"/>
      </w:r>
    </w:p>
    <w:p>
      <w:pPr>
        <w:pStyle w:val="28"/>
        <w:tabs>
          <w:tab w:val="right" w:leader="dot" w:pos="8306"/>
        </w:tabs>
      </w:pPr>
      <w:r>
        <w:rPr>
          <w:rFonts w:ascii="黑体" w:hAnsi="黑体" w:eastAsia="黑体"/>
          <w:szCs w:val="24"/>
        </w:rPr>
        <w:fldChar w:fldCharType="begin"/>
      </w:r>
      <w:r>
        <w:rPr>
          <w:rFonts w:ascii="黑体" w:hAnsi="黑体" w:eastAsia="黑体"/>
          <w:szCs w:val="24"/>
        </w:rPr>
        <w:instrText xml:space="preserve"> HYPERLINK \l _Toc4052 </w:instrText>
      </w:r>
      <w:r>
        <w:rPr>
          <w:rFonts w:ascii="黑体" w:hAnsi="黑体" w:eastAsia="黑体"/>
          <w:szCs w:val="24"/>
        </w:rPr>
        <w:fldChar w:fldCharType="separate"/>
      </w:r>
      <w:r>
        <w:rPr>
          <w:rFonts w:hint="eastAsia" w:ascii="黑体" w:hAnsi="黑体" w:eastAsia="黑体"/>
          <w:szCs w:val="28"/>
        </w:rPr>
        <w:t>投标人须知</w:t>
      </w:r>
      <w:r>
        <w:rPr>
          <w:rFonts w:hint="eastAsia" w:ascii="黑体" w:hAnsi="黑体" w:eastAsia="黑体"/>
          <w:szCs w:val="28"/>
          <w:lang w:val="en-US" w:eastAsia="zh-CN"/>
        </w:rPr>
        <w:t>正文</w:t>
      </w:r>
      <w:r>
        <w:tab/>
      </w:r>
      <w:r>
        <w:fldChar w:fldCharType="begin"/>
      </w:r>
      <w:r>
        <w:instrText xml:space="preserve"> PAGEREF _Toc4052 \h </w:instrText>
      </w:r>
      <w:r>
        <w:fldChar w:fldCharType="separate"/>
      </w:r>
      <w:r>
        <w:t>11</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_Toc27357 </w:instrText>
      </w:r>
      <w:r>
        <w:rPr>
          <w:rFonts w:ascii="黑体" w:hAnsi="黑体" w:eastAsia="黑体"/>
          <w:szCs w:val="24"/>
        </w:rPr>
        <w:fldChar w:fldCharType="separate"/>
      </w:r>
      <w:r>
        <w:rPr>
          <w:rFonts w:ascii="楷体" w:hAnsi="楷体" w:eastAsia="楷体"/>
          <w:szCs w:val="28"/>
        </w:rPr>
        <w:t>1</w:t>
      </w:r>
      <w:r>
        <w:rPr>
          <w:rFonts w:hint="eastAsia" w:ascii="楷体" w:hAnsi="楷体" w:eastAsia="楷体"/>
          <w:szCs w:val="28"/>
        </w:rPr>
        <w:t>.招标依据以及原则</w:t>
      </w:r>
      <w:r>
        <w:tab/>
      </w:r>
      <w:r>
        <w:fldChar w:fldCharType="begin"/>
      </w:r>
      <w:r>
        <w:instrText xml:space="preserve"> PAGEREF _Toc27357 \h </w:instrText>
      </w:r>
      <w:r>
        <w:fldChar w:fldCharType="separate"/>
      </w:r>
      <w:r>
        <w:t>11</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_Toc7046 </w:instrText>
      </w:r>
      <w:r>
        <w:rPr>
          <w:rFonts w:ascii="黑体" w:hAnsi="黑体" w:eastAsia="黑体"/>
          <w:szCs w:val="24"/>
        </w:rPr>
        <w:fldChar w:fldCharType="separate"/>
      </w:r>
      <w:r>
        <w:rPr>
          <w:rFonts w:ascii="楷体" w:hAnsi="楷体" w:eastAsia="楷体"/>
          <w:szCs w:val="28"/>
        </w:rPr>
        <w:t>2</w:t>
      </w:r>
      <w:r>
        <w:rPr>
          <w:rFonts w:hint="eastAsia" w:ascii="楷体" w:hAnsi="楷体" w:eastAsia="楷体"/>
          <w:szCs w:val="28"/>
        </w:rPr>
        <w:t>.合格的投标人</w:t>
      </w:r>
      <w:r>
        <w:tab/>
      </w:r>
      <w:r>
        <w:fldChar w:fldCharType="begin"/>
      </w:r>
      <w:r>
        <w:instrText xml:space="preserve"> PAGEREF _Toc7046 \h </w:instrText>
      </w:r>
      <w:r>
        <w:fldChar w:fldCharType="separate"/>
      </w:r>
      <w:r>
        <w:t>11</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_Toc32241 </w:instrText>
      </w:r>
      <w:r>
        <w:rPr>
          <w:rFonts w:ascii="黑体" w:hAnsi="黑体" w:eastAsia="黑体"/>
          <w:szCs w:val="24"/>
        </w:rPr>
        <w:fldChar w:fldCharType="separate"/>
      </w:r>
      <w:r>
        <w:rPr>
          <w:rFonts w:ascii="楷体" w:hAnsi="楷体" w:eastAsia="楷体"/>
          <w:szCs w:val="28"/>
        </w:rPr>
        <w:t>3</w:t>
      </w:r>
      <w:r>
        <w:rPr>
          <w:rFonts w:hint="eastAsia" w:ascii="楷体" w:hAnsi="楷体" w:eastAsia="楷体"/>
          <w:szCs w:val="28"/>
        </w:rPr>
        <w:t>.保密</w:t>
      </w:r>
      <w:r>
        <w:tab/>
      </w:r>
      <w:r>
        <w:fldChar w:fldCharType="begin"/>
      </w:r>
      <w:r>
        <w:instrText xml:space="preserve"> PAGEREF _Toc32241 \h </w:instrText>
      </w:r>
      <w:r>
        <w:fldChar w:fldCharType="separate"/>
      </w:r>
      <w:r>
        <w:t>12</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_Toc3176 </w:instrText>
      </w:r>
      <w:r>
        <w:rPr>
          <w:rFonts w:ascii="黑体" w:hAnsi="黑体" w:eastAsia="黑体"/>
          <w:szCs w:val="24"/>
        </w:rPr>
        <w:fldChar w:fldCharType="separate"/>
      </w:r>
      <w:r>
        <w:rPr>
          <w:rFonts w:ascii="楷体" w:hAnsi="楷体" w:eastAsia="楷体"/>
          <w:szCs w:val="28"/>
        </w:rPr>
        <w:t>4.</w:t>
      </w:r>
      <w:r>
        <w:rPr>
          <w:rFonts w:hint="eastAsia" w:ascii="楷体" w:hAnsi="楷体" w:eastAsia="楷体"/>
          <w:szCs w:val="28"/>
        </w:rPr>
        <w:t>语言文字、计量单位、时间单位、投标有效期以及投标费用</w:t>
      </w:r>
      <w:r>
        <w:tab/>
      </w:r>
      <w:r>
        <w:fldChar w:fldCharType="begin"/>
      </w:r>
      <w:r>
        <w:instrText xml:space="preserve"> PAGEREF _Toc3176 \h </w:instrText>
      </w:r>
      <w:r>
        <w:fldChar w:fldCharType="separate"/>
      </w:r>
      <w:r>
        <w:t>12</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_Toc18188 </w:instrText>
      </w:r>
      <w:r>
        <w:rPr>
          <w:rFonts w:ascii="黑体" w:hAnsi="黑体" w:eastAsia="黑体"/>
          <w:szCs w:val="24"/>
        </w:rPr>
        <w:fldChar w:fldCharType="separate"/>
      </w:r>
      <w:r>
        <w:rPr>
          <w:rFonts w:ascii="楷体" w:hAnsi="楷体" w:eastAsia="楷体"/>
          <w:szCs w:val="28"/>
        </w:rPr>
        <w:t>5.</w:t>
      </w:r>
      <w:r>
        <w:rPr>
          <w:rFonts w:hint="eastAsia" w:ascii="楷体" w:hAnsi="楷体" w:eastAsia="楷体"/>
          <w:szCs w:val="28"/>
        </w:rPr>
        <w:t>踏勘现场</w:t>
      </w:r>
      <w:r>
        <w:tab/>
      </w:r>
      <w:r>
        <w:fldChar w:fldCharType="begin"/>
      </w:r>
      <w:r>
        <w:instrText xml:space="preserve"> PAGEREF _Toc18188 \h </w:instrText>
      </w:r>
      <w:r>
        <w:fldChar w:fldCharType="separate"/>
      </w:r>
      <w:r>
        <w:t>12</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_Toc3961 </w:instrText>
      </w:r>
      <w:r>
        <w:rPr>
          <w:rFonts w:ascii="黑体" w:hAnsi="黑体" w:eastAsia="黑体"/>
          <w:szCs w:val="24"/>
        </w:rPr>
        <w:fldChar w:fldCharType="separate"/>
      </w:r>
      <w:r>
        <w:rPr>
          <w:rFonts w:ascii="楷体" w:hAnsi="楷体" w:eastAsia="楷体"/>
          <w:szCs w:val="28"/>
        </w:rPr>
        <w:t>6</w:t>
      </w:r>
      <w:r>
        <w:rPr>
          <w:rFonts w:hint="eastAsia" w:ascii="楷体" w:hAnsi="楷体" w:eastAsia="楷体"/>
          <w:szCs w:val="28"/>
        </w:rPr>
        <w:t>.询问</w:t>
      </w:r>
      <w:r>
        <w:tab/>
      </w:r>
      <w:r>
        <w:fldChar w:fldCharType="begin"/>
      </w:r>
      <w:r>
        <w:instrText xml:space="preserve"> PAGEREF _Toc3961 \h </w:instrText>
      </w:r>
      <w:r>
        <w:fldChar w:fldCharType="separate"/>
      </w:r>
      <w:r>
        <w:t>13</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_Toc3543 </w:instrText>
      </w:r>
      <w:r>
        <w:rPr>
          <w:rFonts w:ascii="黑体" w:hAnsi="黑体" w:eastAsia="黑体"/>
          <w:szCs w:val="24"/>
        </w:rPr>
        <w:fldChar w:fldCharType="separate"/>
      </w:r>
      <w:r>
        <w:rPr>
          <w:rFonts w:ascii="楷体" w:hAnsi="楷体" w:eastAsia="楷体"/>
          <w:szCs w:val="28"/>
        </w:rPr>
        <w:t>7.</w:t>
      </w:r>
      <w:r>
        <w:rPr>
          <w:rFonts w:hint="eastAsia" w:ascii="楷体" w:hAnsi="楷体" w:eastAsia="楷体"/>
          <w:szCs w:val="28"/>
        </w:rPr>
        <w:t>偏离</w:t>
      </w:r>
      <w:r>
        <w:tab/>
      </w:r>
      <w:r>
        <w:fldChar w:fldCharType="begin"/>
      </w:r>
      <w:r>
        <w:instrText xml:space="preserve"> PAGEREF _Toc3543 \h </w:instrText>
      </w:r>
      <w:r>
        <w:fldChar w:fldCharType="separate"/>
      </w:r>
      <w:r>
        <w:t>13</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_Toc2491 </w:instrText>
      </w:r>
      <w:r>
        <w:rPr>
          <w:rFonts w:ascii="黑体" w:hAnsi="黑体" w:eastAsia="黑体"/>
          <w:szCs w:val="24"/>
        </w:rPr>
        <w:fldChar w:fldCharType="separate"/>
      </w:r>
      <w:r>
        <w:rPr>
          <w:rFonts w:ascii="楷体" w:hAnsi="楷体" w:eastAsia="楷体"/>
          <w:szCs w:val="28"/>
        </w:rPr>
        <w:t>8</w:t>
      </w:r>
      <w:r>
        <w:rPr>
          <w:rFonts w:hint="eastAsia" w:ascii="楷体" w:hAnsi="楷体" w:eastAsia="楷体"/>
          <w:szCs w:val="28"/>
        </w:rPr>
        <w:t>.履约担保</w:t>
      </w:r>
      <w:r>
        <w:tab/>
      </w:r>
      <w:r>
        <w:fldChar w:fldCharType="begin"/>
      </w:r>
      <w:r>
        <w:instrText xml:space="preserve"> PAGEREF _Toc2491 \h </w:instrText>
      </w:r>
      <w:r>
        <w:fldChar w:fldCharType="separate"/>
      </w:r>
      <w:r>
        <w:t>13</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_Toc30538 </w:instrText>
      </w:r>
      <w:r>
        <w:rPr>
          <w:rFonts w:ascii="黑体" w:hAnsi="黑体" w:eastAsia="黑体"/>
          <w:szCs w:val="24"/>
        </w:rPr>
        <w:fldChar w:fldCharType="separate"/>
      </w:r>
      <w:r>
        <w:rPr>
          <w:rFonts w:ascii="楷体" w:hAnsi="楷体" w:eastAsia="楷体"/>
          <w:szCs w:val="28"/>
        </w:rPr>
        <w:t>9</w:t>
      </w:r>
      <w:r>
        <w:rPr>
          <w:rFonts w:hint="eastAsia" w:ascii="楷体" w:hAnsi="楷体" w:eastAsia="楷体"/>
          <w:szCs w:val="28"/>
        </w:rPr>
        <w:t>.采购代理服务费</w:t>
      </w:r>
      <w:r>
        <w:tab/>
      </w:r>
      <w:r>
        <w:fldChar w:fldCharType="begin"/>
      </w:r>
      <w:r>
        <w:instrText xml:space="preserve"> PAGEREF _Toc30538 \h </w:instrText>
      </w:r>
      <w:r>
        <w:fldChar w:fldCharType="separate"/>
      </w:r>
      <w:r>
        <w:t>13</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_Toc30807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0.</w:t>
      </w:r>
      <w:r>
        <w:rPr>
          <w:rFonts w:hint="eastAsia" w:ascii="楷体" w:hAnsi="楷体" w:eastAsia="楷体"/>
          <w:szCs w:val="28"/>
        </w:rPr>
        <w:t>招标文件</w:t>
      </w:r>
      <w:r>
        <w:tab/>
      </w:r>
      <w:r>
        <w:fldChar w:fldCharType="begin"/>
      </w:r>
      <w:r>
        <w:instrText xml:space="preserve"> PAGEREF _Toc30807 \h </w:instrText>
      </w:r>
      <w:r>
        <w:fldChar w:fldCharType="separate"/>
      </w:r>
      <w:r>
        <w:t>13</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_Toc4017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1</w:t>
      </w:r>
      <w:r>
        <w:rPr>
          <w:rFonts w:hint="eastAsia" w:ascii="楷体" w:hAnsi="楷体" w:eastAsia="楷体"/>
          <w:szCs w:val="28"/>
        </w:rPr>
        <w:t>.投标文件的组成</w:t>
      </w:r>
      <w:r>
        <w:tab/>
      </w:r>
      <w:r>
        <w:fldChar w:fldCharType="begin"/>
      </w:r>
      <w:r>
        <w:instrText xml:space="preserve"> PAGEREF _Toc4017 \h </w:instrText>
      </w:r>
      <w:r>
        <w:fldChar w:fldCharType="separate"/>
      </w:r>
      <w:r>
        <w:t>14</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_Toc21264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2</w:t>
      </w:r>
      <w:r>
        <w:rPr>
          <w:rFonts w:hint="eastAsia" w:ascii="楷体" w:hAnsi="楷体" w:eastAsia="楷体"/>
          <w:szCs w:val="28"/>
        </w:rPr>
        <w:t>.投标报价</w:t>
      </w:r>
      <w:r>
        <w:tab/>
      </w:r>
      <w:r>
        <w:fldChar w:fldCharType="begin"/>
      </w:r>
      <w:r>
        <w:instrText xml:space="preserve"> PAGEREF _Toc21264 \h </w:instrText>
      </w:r>
      <w:r>
        <w:fldChar w:fldCharType="separate"/>
      </w:r>
      <w:r>
        <w:t>15</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_Toc8672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3.</w:t>
      </w:r>
      <w:r>
        <w:rPr>
          <w:rFonts w:hint="eastAsia" w:ascii="楷体" w:hAnsi="楷体" w:eastAsia="楷体"/>
          <w:szCs w:val="28"/>
        </w:rPr>
        <w:t>投标文件格式以及编制要求</w:t>
      </w:r>
      <w:r>
        <w:tab/>
      </w:r>
      <w:r>
        <w:fldChar w:fldCharType="begin"/>
      </w:r>
      <w:r>
        <w:instrText xml:space="preserve"> PAGEREF _Toc8672 \h </w:instrText>
      </w:r>
      <w:r>
        <w:fldChar w:fldCharType="separate"/>
      </w:r>
      <w:r>
        <w:t>16</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_Toc2841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4.</w:t>
      </w:r>
      <w:r>
        <w:rPr>
          <w:rFonts w:hint="eastAsia" w:ascii="楷体" w:hAnsi="楷体" w:eastAsia="楷体"/>
          <w:szCs w:val="28"/>
        </w:rPr>
        <w:t>投标文件的密封和标记</w:t>
      </w:r>
      <w:r>
        <w:tab/>
      </w:r>
      <w:r>
        <w:fldChar w:fldCharType="begin"/>
      </w:r>
      <w:r>
        <w:instrText xml:space="preserve"> PAGEREF _Toc2841 \h </w:instrText>
      </w:r>
      <w:r>
        <w:fldChar w:fldCharType="separate"/>
      </w:r>
      <w:r>
        <w:t>16</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_Toc11557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5.</w:t>
      </w:r>
      <w:r>
        <w:rPr>
          <w:rFonts w:hint="eastAsia" w:ascii="楷体" w:hAnsi="楷体" w:eastAsia="楷体"/>
          <w:szCs w:val="28"/>
        </w:rPr>
        <w:t>投标文件的递交</w:t>
      </w:r>
      <w:r>
        <w:tab/>
      </w:r>
      <w:r>
        <w:fldChar w:fldCharType="begin"/>
      </w:r>
      <w:r>
        <w:instrText xml:space="preserve"> PAGEREF _Toc11557 \h </w:instrText>
      </w:r>
      <w:r>
        <w:fldChar w:fldCharType="separate"/>
      </w:r>
      <w:r>
        <w:t>16</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_Toc20935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6</w:t>
      </w:r>
      <w:r>
        <w:rPr>
          <w:rFonts w:hint="eastAsia" w:ascii="楷体" w:hAnsi="楷体" w:eastAsia="楷体"/>
          <w:szCs w:val="28"/>
        </w:rPr>
        <w:t>.投标文件的修改与撤回</w:t>
      </w:r>
      <w:r>
        <w:tab/>
      </w:r>
      <w:r>
        <w:fldChar w:fldCharType="begin"/>
      </w:r>
      <w:r>
        <w:instrText xml:space="preserve"> PAGEREF _Toc20935 \h </w:instrText>
      </w:r>
      <w:r>
        <w:fldChar w:fldCharType="separate"/>
      </w:r>
      <w:r>
        <w:t>16</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_Toc6076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7.</w:t>
      </w:r>
      <w:r>
        <w:rPr>
          <w:rFonts w:hint="eastAsia" w:ascii="楷体" w:hAnsi="楷体" w:eastAsia="楷体"/>
          <w:szCs w:val="28"/>
        </w:rPr>
        <w:t>投标保证金</w:t>
      </w:r>
      <w:r>
        <w:tab/>
      </w:r>
      <w:r>
        <w:fldChar w:fldCharType="begin"/>
      </w:r>
      <w:r>
        <w:instrText xml:space="preserve"> PAGEREF _Toc6076 \h </w:instrText>
      </w:r>
      <w:r>
        <w:fldChar w:fldCharType="separate"/>
      </w:r>
      <w:r>
        <w:t>17</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_Toc28094 </w:instrText>
      </w:r>
      <w:r>
        <w:rPr>
          <w:rFonts w:ascii="黑体" w:hAnsi="黑体" w:eastAsia="黑体"/>
          <w:szCs w:val="24"/>
        </w:rPr>
        <w:fldChar w:fldCharType="separate"/>
      </w:r>
      <w:r>
        <w:rPr>
          <w:rFonts w:hint="eastAsia" w:ascii="楷体" w:hAnsi="楷体" w:eastAsia="楷体"/>
          <w:szCs w:val="28"/>
        </w:rPr>
        <w:t>18.开标、评标、定标</w:t>
      </w:r>
      <w:r>
        <w:tab/>
      </w:r>
      <w:r>
        <w:fldChar w:fldCharType="begin"/>
      </w:r>
      <w:r>
        <w:instrText xml:space="preserve"> PAGEREF _Toc28094 \h </w:instrText>
      </w:r>
      <w:r>
        <w:fldChar w:fldCharType="separate"/>
      </w:r>
      <w:r>
        <w:t>17</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_Toc27076 </w:instrText>
      </w:r>
      <w:r>
        <w:rPr>
          <w:rFonts w:ascii="黑体" w:hAnsi="黑体" w:eastAsia="黑体"/>
          <w:szCs w:val="24"/>
        </w:rPr>
        <w:fldChar w:fldCharType="separate"/>
      </w:r>
      <w:r>
        <w:rPr>
          <w:rFonts w:hint="eastAsia" w:ascii="楷体" w:hAnsi="楷体" w:eastAsia="楷体"/>
          <w:szCs w:val="28"/>
        </w:rPr>
        <w:t>19.纪律要求</w:t>
      </w:r>
      <w:r>
        <w:tab/>
      </w:r>
      <w:r>
        <w:fldChar w:fldCharType="begin"/>
      </w:r>
      <w:r>
        <w:instrText xml:space="preserve"> PAGEREF _Toc27076 \h </w:instrText>
      </w:r>
      <w:r>
        <w:fldChar w:fldCharType="separate"/>
      </w:r>
      <w:r>
        <w:t>27</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_Toc23169 </w:instrText>
      </w:r>
      <w:r>
        <w:rPr>
          <w:rFonts w:ascii="黑体" w:hAnsi="黑体" w:eastAsia="黑体"/>
          <w:szCs w:val="24"/>
        </w:rPr>
        <w:fldChar w:fldCharType="separate"/>
      </w:r>
      <w:r>
        <w:rPr>
          <w:rFonts w:hint="eastAsia" w:ascii="楷体" w:hAnsi="楷体" w:eastAsia="楷体"/>
          <w:szCs w:val="28"/>
        </w:rPr>
        <w:t>20.质疑</w:t>
      </w:r>
      <w:r>
        <w:tab/>
      </w:r>
      <w:r>
        <w:fldChar w:fldCharType="begin"/>
      </w:r>
      <w:r>
        <w:instrText xml:space="preserve"> PAGEREF _Toc23169 \h </w:instrText>
      </w:r>
      <w:r>
        <w:fldChar w:fldCharType="separate"/>
      </w:r>
      <w:r>
        <w:t>28</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_Toc32012 </w:instrText>
      </w:r>
      <w:r>
        <w:rPr>
          <w:rFonts w:ascii="黑体" w:hAnsi="黑体" w:eastAsia="黑体"/>
          <w:szCs w:val="24"/>
        </w:rPr>
        <w:fldChar w:fldCharType="separate"/>
      </w:r>
      <w:r>
        <w:rPr>
          <w:rFonts w:hint="eastAsia" w:ascii="楷体" w:hAnsi="楷体" w:eastAsia="楷体"/>
          <w:szCs w:val="28"/>
        </w:rPr>
        <w:t>21.投诉</w:t>
      </w:r>
      <w:r>
        <w:tab/>
      </w:r>
      <w:r>
        <w:fldChar w:fldCharType="begin"/>
      </w:r>
      <w:r>
        <w:instrText xml:space="preserve"> PAGEREF _Toc32012 \h </w:instrText>
      </w:r>
      <w:r>
        <w:fldChar w:fldCharType="separate"/>
      </w:r>
      <w:r>
        <w:t>29</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_Toc3474 </w:instrText>
      </w:r>
      <w:r>
        <w:rPr>
          <w:rFonts w:ascii="黑体" w:hAnsi="黑体" w:eastAsia="黑体"/>
          <w:szCs w:val="24"/>
        </w:rPr>
        <w:fldChar w:fldCharType="separate"/>
      </w:r>
      <w:r>
        <w:rPr>
          <w:rFonts w:ascii="楷体" w:hAnsi="楷体" w:eastAsia="楷体"/>
          <w:szCs w:val="28"/>
        </w:rPr>
        <w:t>2</w:t>
      </w:r>
      <w:r>
        <w:rPr>
          <w:rFonts w:hint="eastAsia" w:ascii="楷体" w:hAnsi="楷体" w:eastAsia="楷体"/>
          <w:szCs w:val="28"/>
        </w:rPr>
        <w:t>2.其他需补充的内容</w:t>
      </w:r>
      <w:r>
        <w:tab/>
      </w:r>
      <w:r>
        <w:fldChar w:fldCharType="begin"/>
      </w:r>
      <w:r>
        <w:instrText xml:space="preserve"> PAGEREF _Toc3474 \h </w:instrText>
      </w:r>
      <w:r>
        <w:fldChar w:fldCharType="separate"/>
      </w:r>
      <w:r>
        <w:t>30</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_Toc12346 </w:instrText>
      </w:r>
      <w:r>
        <w:rPr>
          <w:rFonts w:ascii="黑体" w:hAnsi="黑体" w:eastAsia="黑体"/>
          <w:szCs w:val="24"/>
        </w:rPr>
        <w:fldChar w:fldCharType="separate"/>
      </w:r>
      <w:r>
        <w:rPr>
          <w:rFonts w:hint="eastAsia" w:ascii="楷体" w:hAnsi="楷体" w:eastAsia="楷体"/>
          <w:szCs w:val="28"/>
          <w:lang w:val="en-US" w:eastAsia="zh-CN"/>
        </w:rPr>
        <w:t>22.1</w:t>
      </w:r>
      <w:r>
        <w:rPr>
          <w:rFonts w:hint="eastAsia" w:ascii="楷体" w:hAnsi="楷体" w:eastAsia="楷体"/>
          <w:szCs w:val="28"/>
        </w:rPr>
        <w:t>投标人的商务文件</w:t>
      </w:r>
      <w:r>
        <w:tab/>
      </w:r>
      <w:r>
        <w:fldChar w:fldCharType="begin"/>
      </w:r>
      <w:r>
        <w:instrText xml:space="preserve"> PAGEREF _Toc12346 \h </w:instrText>
      </w:r>
      <w:r>
        <w:fldChar w:fldCharType="separate"/>
      </w:r>
      <w:r>
        <w:t>30</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_Toc21893 </w:instrText>
      </w:r>
      <w:r>
        <w:rPr>
          <w:rFonts w:ascii="黑体" w:hAnsi="黑体" w:eastAsia="黑体"/>
          <w:szCs w:val="24"/>
        </w:rPr>
        <w:fldChar w:fldCharType="separate"/>
      </w:r>
      <w:r>
        <w:rPr>
          <w:rFonts w:hint="eastAsia" w:ascii="楷体" w:hAnsi="楷体" w:eastAsia="楷体"/>
          <w:szCs w:val="28"/>
          <w:lang w:val="en-US" w:eastAsia="zh-CN"/>
        </w:rPr>
        <w:t>22.2投标人的技术文件</w:t>
      </w:r>
      <w:r>
        <w:tab/>
      </w:r>
      <w:r>
        <w:fldChar w:fldCharType="begin"/>
      </w:r>
      <w:r>
        <w:instrText xml:space="preserve"> PAGEREF _Toc21893 \h </w:instrText>
      </w:r>
      <w:r>
        <w:fldChar w:fldCharType="separate"/>
      </w:r>
      <w:r>
        <w:t>30</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_Toc24588 </w:instrText>
      </w:r>
      <w:r>
        <w:rPr>
          <w:rFonts w:ascii="黑体" w:hAnsi="黑体" w:eastAsia="黑体"/>
          <w:szCs w:val="24"/>
        </w:rPr>
        <w:fldChar w:fldCharType="separate"/>
      </w:r>
      <w:r>
        <w:rPr>
          <w:rFonts w:hint="eastAsia" w:ascii="楷体" w:hAnsi="楷体" w:eastAsia="楷体"/>
          <w:szCs w:val="28"/>
          <w:lang w:eastAsia="zh-CN"/>
        </w:rPr>
        <w:t>（</w:t>
      </w:r>
      <w:r>
        <w:rPr>
          <w:rFonts w:hint="eastAsia" w:ascii="楷体" w:hAnsi="楷体" w:eastAsia="楷体"/>
          <w:szCs w:val="28"/>
          <w:lang w:val="en-US" w:eastAsia="zh-CN"/>
        </w:rPr>
        <w:t>清单另卷</w:t>
      </w:r>
      <w:r>
        <w:rPr>
          <w:rFonts w:hint="eastAsia" w:ascii="楷体" w:hAnsi="楷体" w:eastAsia="楷体"/>
          <w:szCs w:val="28"/>
          <w:lang w:eastAsia="zh-CN"/>
        </w:rPr>
        <w:t>）</w:t>
      </w:r>
      <w:r>
        <w:tab/>
      </w:r>
      <w:r>
        <w:fldChar w:fldCharType="begin"/>
      </w:r>
      <w:r>
        <w:instrText xml:space="preserve"> PAGEREF _Toc24588 \h </w:instrText>
      </w:r>
      <w:r>
        <w:fldChar w:fldCharType="separate"/>
      </w:r>
      <w:r>
        <w:t>31</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_Toc10928 </w:instrText>
      </w:r>
      <w:r>
        <w:rPr>
          <w:rFonts w:ascii="黑体" w:hAnsi="黑体" w:eastAsia="黑体"/>
          <w:szCs w:val="24"/>
        </w:rPr>
        <w:fldChar w:fldCharType="separate"/>
      </w:r>
      <w:r>
        <w:rPr>
          <w:rFonts w:hint="eastAsia" w:ascii="仿宋" w:hAnsi="仿宋" w:eastAsia="仿宋" w:cs="仿宋"/>
          <w:szCs w:val="24"/>
          <w:highlight w:val="none"/>
        </w:rPr>
        <w:t>1.相关要求</w:t>
      </w:r>
      <w:r>
        <w:tab/>
      </w:r>
      <w:r>
        <w:fldChar w:fldCharType="begin"/>
      </w:r>
      <w:r>
        <w:instrText xml:space="preserve"> PAGEREF _Toc10928 \h </w:instrText>
      </w:r>
      <w:r>
        <w:fldChar w:fldCharType="separate"/>
      </w:r>
      <w:r>
        <w:t>32</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_Toc16328 </w:instrText>
      </w:r>
      <w:r>
        <w:rPr>
          <w:rFonts w:ascii="黑体" w:hAnsi="黑体" w:eastAsia="黑体"/>
          <w:szCs w:val="24"/>
        </w:rPr>
        <w:fldChar w:fldCharType="separate"/>
      </w:r>
      <w:r>
        <w:rPr>
          <w:rFonts w:hint="eastAsia" w:ascii="仿宋" w:hAnsi="仿宋" w:eastAsia="仿宋" w:cs="仿宋"/>
          <w:szCs w:val="21"/>
          <w:highlight w:val="none"/>
        </w:rPr>
        <w:t>2.评标附表</w:t>
      </w:r>
      <w:r>
        <w:tab/>
      </w:r>
      <w:r>
        <w:fldChar w:fldCharType="begin"/>
      </w:r>
      <w:r>
        <w:instrText xml:space="preserve"> PAGEREF _Toc16328 \h </w:instrText>
      </w:r>
      <w:r>
        <w:fldChar w:fldCharType="separate"/>
      </w:r>
      <w:r>
        <w:t>32</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_Toc18019 </w:instrText>
      </w:r>
      <w:r>
        <w:rPr>
          <w:rFonts w:ascii="黑体" w:hAnsi="黑体" w:eastAsia="黑体"/>
          <w:szCs w:val="24"/>
        </w:rPr>
        <w:fldChar w:fldCharType="separate"/>
      </w:r>
      <w:r>
        <w:rPr>
          <w:rFonts w:hint="eastAsia" w:ascii="仿宋" w:hAnsi="仿宋" w:eastAsia="仿宋" w:cs="仿宋"/>
          <w:bCs w:val="0"/>
          <w:szCs w:val="24"/>
          <w:highlight w:val="none"/>
        </w:rPr>
        <w:t>4.评标方法</w:t>
      </w:r>
      <w:r>
        <w:tab/>
      </w:r>
      <w:r>
        <w:fldChar w:fldCharType="begin"/>
      </w:r>
      <w:r>
        <w:instrText xml:space="preserve"> PAGEREF _Toc18019 \h </w:instrText>
      </w:r>
      <w:r>
        <w:fldChar w:fldCharType="separate"/>
      </w:r>
      <w:r>
        <w:t>35</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_Toc12828 </w:instrText>
      </w:r>
      <w:r>
        <w:rPr>
          <w:rFonts w:ascii="黑体" w:hAnsi="黑体" w:eastAsia="黑体"/>
          <w:szCs w:val="24"/>
        </w:rPr>
        <w:fldChar w:fldCharType="separate"/>
      </w:r>
      <w:r>
        <w:rPr>
          <w:rFonts w:hint="eastAsia" w:ascii="仿宋" w:hAnsi="仿宋" w:eastAsia="仿宋" w:cs="仿宋"/>
          <w:bCs w:val="0"/>
          <w:szCs w:val="24"/>
          <w:highlight w:val="none"/>
        </w:rPr>
        <w:t>5.评审标准</w:t>
      </w:r>
      <w:r>
        <w:tab/>
      </w:r>
      <w:r>
        <w:fldChar w:fldCharType="begin"/>
      </w:r>
      <w:r>
        <w:instrText xml:space="preserve"> PAGEREF _Toc12828 \h </w:instrText>
      </w:r>
      <w:r>
        <w:fldChar w:fldCharType="separate"/>
      </w:r>
      <w:r>
        <w:t>35</w:t>
      </w:r>
      <w:r>
        <w:fldChar w:fldCharType="end"/>
      </w:r>
      <w:r>
        <w:rPr>
          <w:rFonts w:ascii="黑体" w:hAnsi="黑体" w:eastAsia="黑体"/>
          <w:szCs w:val="24"/>
        </w:rPr>
        <w:fldChar w:fldCharType="end"/>
      </w:r>
    </w:p>
    <w:p>
      <w:pPr>
        <w:pStyle w:val="19"/>
        <w:tabs>
          <w:tab w:val="right" w:leader="dot" w:pos="8306"/>
        </w:tabs>
      </w:pPr>
      <w:r>
        <w:rPr>
          <w:rFonts w:ascii="黑体" w:hAnsi="黑体" w:eastAsia="黑体"/>
          <w:szCs w:val="24"/>
        </w:rPr>
        <w:fldChar w:fldCharType="begin"/>
      </w:r>
      <w:r>
        <w:rPr>
          <w:rFonts w:ascii="黑体" w:hAnsi="黑体" w:eastAsia="黑体"/>
          <w:szCs w:val="24"/>
        </w:rPr>
        <w:instrText xml:space="preserve"> HYPERLINK \l _Toc15558 </w:instrText>
      </w:r>
      <w:r>
        <w:rPr>
          <w:rFonts w:ascii="黑体" w:hAnsi="黑体" w:eastAsia="黑体"/>
          <w:szCs w:val="24"/>
        </w:rPr>
        <w:fldChar w:fldCharType="separate"/>
      </w:r>
      <w:r>
        <w:rPr>
          <w:rFonts w:hint="eastAsia" w:ascii="仿宋" w:hAnsi="仿宋" w:eastAsia="仿宋" w:cs="仿宋"/>
          <w:szCs w:val="24"/>
          <w:highlight w:val="none"/>
        </w:rPr>
        <w:t>6.评标程序</w:t>
      </w:r>
      <w:r>
        <w:tab/>
      </w:r>
      <w:r>
        <w:fldChar w:fldCharType="begin"/>
      </w:r>
      <w:r>
        <w:instrText xml:space="preserve"> PAGEREF _Toc15558 \h </w:instrText>
      </w:r>
      <w:r>
        <w:fldChar w:fldCharType="separate"/>
      </w:r>
      <w:r>
        <w:t>36</w:t>
      </w:r>
      <w:r>
        <w:fldChar w:fldCharType="end"/>
      </w:r>
      <w:r>
        <w:rPr>
          <w:rFonts w:ascii="黑体" w:hAnsi="黑体" w:eastAsia="黑体"/>
          <w:szCs w:val="24"/>
        </w:rPr>
        <w:fldChar w:fldCharType="end"/>
      </w:r>
    </w:p>
    <w:p>
      <w:pPr>
        <w:pStyle w:val="28"/>
        <w:tabs>
          <w:tab w:val="right" w:leader="dot" w:pos="8306"/>
        </w:tabs>
      </w:pPr>
      <w:r>
        <w:rPr>
          <w:rFonts w:ascii="黑体" w:hAnsi="黑体" w:eastAsia="黑体"/>
          <w:szCs w:val="24"/>
        </w:rPr>
        <w:fldChar w:fldCharType="begin"/>
      </w:r>
      <w:r>
        <w:rPr>
          <w:rFonts w:ascii="黑体" w:hAnsi="黑体" w:eastAsia="黑体"/>
          <w:szCs w:val="24"/>
        </w:rPr>
        <w:instrText xml:space="preserve"> HYPERLINK \l _Toc3573 </w:instrText>
      </w:r>
      <w:r>
        <w:rPr>
          <w:rFonts w:ascii="黑体" w:hAnsi="黑体" w:eastAsia="黑体"/>
          <w:szCs w:val="24"/>
        </w:rPr>
        <w:fldChar w:fldCharType="separate"/>
      </w:r>
      <w:r>
        <w:rPr>
          <w:rFonts w:ascii="黑体" w:hAnsi="黑体" w:eastAsia="黑体"/>
          <w:szCs w:val="32"/>
        </w:rPr>
        <w:t>第</w:t>
      </w:r>
      <w:r>
        <w:rPr>
          <w:rFonts w:hint="eastAsia" w:ascii="黑体" w:hAnsi="黑体" w:eastAsia="黑体"/>
          <w:szCs w:val="32"/>
        </w:rPr>
        <w:t>五</w:t>
      </w:r>
      <w:r>
        <w:rPr>
          <w:rFonts w:ascii="黑体" w:hAnsi="黑体" w:eastAsia="黑体"/>
          <w:szCs w:val="32"/>
        </w:rPr>
        <w:t>章</w:t>
      </w:r>
      <w:r>
        <w:rPr>
          <w:rFonts w:hint="eastAsia" w:ascii="黑体" w:hAnsi="黑体" w:eastAsia="黑体"/>
          <w:szCs w:val="32"/>
        </w:rPr>
        <w:t xml:space="preserve">  签订合同、合同主要条款</w:t>
      </w:r>
      <w:r>
        <w:tab/>
      </w:r>
      <w:r>
        <w:fldChar w:fldCharType="begin"/>
      </w:r>
      <w:r>
        <w:instrText xml:space="preserve"> PAGEREF _Toc3573 \h </w:instrText>
      </w:r>
      <w:r>
        <w:fldChar w:fldCharType="separate"/>
      </w:r>
      <w:r>
        <w:t>37</w:t>
      </w:r>
      <w:r>
        <w:fldChar w:fldCharType="end"/>
      </w:r>
      <w:r>
        <w:rPr>
          <w:rFonts w:ascii="黑体" w:hAnsi="黑体" w:eastAsia="黑体"/>
          <w:szCs w:val="24"/>
        </w:rPr>
        <w:fldChar w:fldCharType="end"/>
      </w:r>
    </w:p>
    <w:p>
      <w:pPr>
        <w:pStyle w:val="28"/>
        <w:tabs>
          <w:tab w:val="right" w:leader="dot" w:pos="8306"/>
        </w:tabs>
      </w:pPr>
      <w:r>
        <w:rPr>
          <w:rFonts w:ascii="黑体" w:hAnsi="黑体" w:eastAsia="黑体"/>
          <w:szCs w:val="24"/>
        </w:rPr>
        <w:fldChar w:fldCharType="begin"/>
      </w:r>
      <w:r>
        <w:rPr>
          <w:rFonts w:ascii="黑体" w:hAnsi="黑体" w:eastAsia="黑体"/>
          <w:szCs w:val="24"/>
        </w:rPr>
        <w:instrText xml:space="preserve"> HYPERLINK \l _Toc30423 </w:instrText>
      </w:r>
      <w:r>
        <w:rPr>
          <w:rFonts w:ascii="黑体" w:hAnsi="黑体" w:eastAsia="黑体"/>
          <w:szCs w:val="24"/>
        </w:rPr>
        <w:fldChar w:fldCharType="separate"/>
      </w:r>
      <w:r>
        <w:rPr>
          <w:rFonts w:ascii="黑体" w:hAnsi="黑体" w:eastAsia="黑体"/>
          <w:szCs w:val="32"/>
        </w:rPr>
        <w:t>第</w:t>
      </w:r>
      <w:r>
        <w:rPr>
          <w:rFonts w:hint="eastAsia" w:ascii="黑体" w:hAnsi="黑体" w:eastAsia="黑体"/>
          <w:szCs w:val="32"/>
        </w:rPr>
        <w:t>六</w:t>
      </w:r>
      <w:r>
        <w:rPr>
          <w:rFonts w:ascii="黑体" w:hAnsi="黑体" w:eastAsia="黑体"/>
          <w:szCs w:val="32"/>
        </w:rPr>
        <w:t>章</w:t>
      </w:r>
      <w:r>
        <w:rPr>
          <w:rFonts w:hint="eastAsia" w:ascii="黑体" w:hAnsi="黑体" w:eastAsia="黑体"/>
          <w:szCs w:val="32"/>
        </w:rPr>
        <w:t xml:space="preserve">  投标文件格式</w:t>
      </w:r>
      <w:r>
        <w:tab/>
      </w:r>
      <w:r>
        <w:fldChar w:fldCharType="begin"/>
      </w:r>
      <w:r>
        <w:instrText xml:space="preserve"> PAGEREF _Toc30423 \h </w:instrText>
      </w:r>
      <w:r>
        <w:fldChar w:fldCharType="separate"/>
      </w:r>
      <w:r>
        <w:t>48</w:t>
      </w:r>
      <w:r>
        <w:fldChar w:fldCharType="end"/>
      </w:r>
      <w:r>
        <w:rPr>
          <w:rFonts w:ascii="黑体" w:hAnsi="黑体" w:eastAsia="黑体"/>
          <w:szCs w:val="24"/>
        </w:rPr>
        <w:fldChar w:fldCharType="end"/>
      </w:r>
    </w:p>
    <w:p>
      <w:pPr>
        <w:pStyle w:val="28"/>
        <w:tabs>
          <w:tab w:val="right" w:leader="dot" w:pos="8306"/>
        </w:tabs>
        <w:rPr>
          <w:rFonts w:hint="eastAsia" w:ascii="仿宋" w:hAnsi="仿宋" w:eastAsia="仿宋" w:cs="仿宋"/>
        </w:rPr>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_Toc22294 </w:instrText>
      </w:r>
      <w:r>
        <w:rPr>
          <w:rFonts w:hint="eastAsia" w:ascii="仿宋" w:hAnsi="仿宋" w:eastAsia="仿宋" w:cs="仿宋"/>
          <w:szCs w:val="24"/>
        </w:rPr>
        <w:fldChar w:fldCharType="separate"/>
      </w:r>
      <w:r>
        <w:rPr>
          <w:rFonts w:hint="eastAsia" w:ascii="仿宋" w:hAnsi="仿宋" w:eastAsia="仿宋" w:cs="仿宋"/>
        </w:rPr>
        <w:t>一、</w:t>
      </w:r>
      <w:r>
        <w:rPr>
          <w:rFonts w:hint="eastAsia" w:ascii="仿宋" w:hAnsi="仿宋" w:eastAsia="仿宋" w:cs="仿宋"/>
          <w:lang w:eastAsia="zh-CN"/>
        </w:rPr>
        <w:t>投标</w:t>
      </w:r>
      <w:r>
        <w:rPr>
          <w:rFonts w:hint="eastAsia" w:ascii="仿宋" w:hAnsi="仿宋" w:eastAsia="仿宋" w:cs="仿宋"/>
        </w:rPr>
        <w:t>文件封面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_Toc22294 \h </w:instrText>
      </w:r>
      <w:r>
        <w:rPr>
          <w:rFonts w:hint="eastAsia" w:ascii="仿宋" w:hAnsi="仿宋" w:eastAsia="仿宋" w:cs="仿宋"/>
        </w:rPr>
        <w:fldChar w:fldCharType="separate"/>
      </w:r>
      <w:r>
        <w:rPr>
          <w:rFonts w:hint="eastAsia" w:ascii="仿宋" w:hAnsi="仿宋" w:eastAsia="仿宋" w:cs="仿宋"/>
        </w:rPr>
        <w:t>49</w:t>
      </w:r>
      <w:r>
        <w:rPr>
          <w:rFonts w:hint="eastAsia" w:ascii="仿宋" w:hAnsi="仿宋" w:eastAsia="仿宋" w:cs="仿宋"/>
        </w:rPr>
        <w:fldChar w:fldCharType="end"/>
      </w:r>
      <w:r>
        <w:rPr>
          <w:rFonts w:hint="eastAsia" w:ascii="仿宋" w:hAnsi="仿宋" w:eastAsia="仿宋" w:cs="仿宋"/>
          <w:szCs w:val="24"/>
        </w:rPr>
        <w:fldChar w:fldCharType="end"/>
      </w:r>
    </w:p>
    <w:p>
      <w:pPr>
        <w:pStyle w:val="28"/>
        <w:tabs>
          <w:tab w:val="right" w:leader="dot" w:pos="8306"/>
        </w:tabs>
        <w:rPr>
          <w:rFonts w:hint="eastAsia" w:ascii="仿宋" w:hAnsi="仿宋" w:eastAsia="仿宋" w:cs="仿宋"/>
        </w:rPr>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_Toc5400 </w:instrText>
      </w:r>
      <w:r>
        <w:rPr>
          <w:rFonts w:hint="eastAsia" w:ascii="仿宋" w:hAnsi="仿宋" w:eastAsia="仿宋" w:cs="仿宋"/>
          <w:szCs w:val="24"/>
        </w:rPr>
        <w:fldChar w:fldCharType="separate"/>
      </w:r>
      <w:r>
        <w:rPr>
          <w:rFonts w:hint="eastAsia" w:ascii="仿宋" w:hAnsi="仿宋" w:eastAsia="仿宋" w:cs="仿宋"/>
          <w:szCs w:val="28"/>
          <w:lang w:val="en-US" w:eastAsia="zh-CN"/>
        </w:rPr>
        <w:t>二</w:t>
      </w:r>
      <w:r>
        <w:rPr>
          <w:rFonts w:hint="eastAsia" w:ascii="仿宋" w:hAnsi="仿宋" w:eastAsia="仿宋" w:cs="仿宋"/>
          <w:bCs/>
          <w:szCs w:val="28"/>
        </w:rPr>
        <w:t>、资格证明文件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_Toc5400 \h </w:instrText>
      </w:r>
      <w:r>
        <w:rPr>
          <w:rFonts w:hint="eastAsia" w:ascii="仿宋" w:hAnsi="仿宋" w:eastAsia="仿宋" w:cs="仿宋"/>
        </w:rPr>
        <w:fldChar w:fldCharType="separate"/>
      </w:r>
      <w:r>
        <w:rPr>
          <w:rFonts w:hint="eastAsia" w:ascii="仿宋" w:hAnsi="仿宋" w:eastAsia="仿宋" w:cs="仿宋"/>
        </w:rPr>
        <w:t>51</w:t>
      </w:r>
      <w:r>
        <w:rPr>
          <w:rFonts w:hint="eastAsia" w:ascii="仿宋" w:hAnsi="仿宋" w:eastAsia="仿宋" w:cs="仿宋"/>
        </w:rPr>
        <w:fldChar w:fldCharType="end"/>
      </w:r>
      <w:r>
        <w:rPr>
          <w:rFonts w:hint="eastAsia" w:ascii="仿宋" w:hAnsi="仿宋" w:eastAsia="仿宋" w:cs="仿宋"/>
          <w:szCs w:val="24"/>
        </w:rPr>
        <w:fldChar w:fldCharType="end"/>
      </w:r>
    </w:p>
    <w:p>
      <w:pPr>
        <w:pStyle w:val="19"/>
        <w:tabs>
          <w:tab w:val="right" w:leader="dot" w:pos="8306"/>
        </w:tabs>
        <w:rPr>
          <w:rFonts w:hint="eastAsia" w:ascii="仿宋" w:hAnsi="仿宋" w:eastAsia="仿宋" w:cs="仿宋"/>
        </w:rPr>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_Toc28800 </w:instrText>
      </w:r>
      <w:r>
        <w:rPr>
          <w:rFonts w:hint="eastAsia" w:ascii="仿宋" w:hAnsi="仿宋" w:eastAsia="仿宋" w:cs="仿宋"/>
          <w:szCs w:val="24"/>
        </w:rPr>
        <w:fldChar w:fldCharType="separate"/>
      </w:r>
      <w:r>
        <w:rPr>
          <w:rFonts w:hint="eastAsia" w:ascii="仿宋" w:hAnsi="仿宋" w:eastAsia="仿宋" w:cs="仿宋"/>
          <w:szCs w:val="28"/>
        </w:rPr>
        <w:t>(一) 投标人基本情况表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_Toc28800 \h </w:instrText>
      </w:r>
      <w:r>
        <w:rPr>
          <w:rFonts w:hint="eastAsia" w:ascii="仿宋" w:hAnsi="仿宋" w:eastAsia="仿宋" w:cs="仿宋"/>
        </w:rPr>
        <w:fldChar w:fldCharType="separate"/>
      </w:r>
      <w:r>
        <w:rPr>
          <w:rFonts w:hint="eastAsia" w:ascii="仿宋" w:hAnsi="仿宋" w:eastAsia="仿宋" w:cs="仿宋"/>
        </w:rPr>
        <w:t>51</w:t>
      </w:r>
      <w:r>
        <w:rPr>
          <w:rFonts w:hint="eastAsia" w:ascii="仿宋" w:hAnsi="仿宋" w:eastAsia="仿宋" w:cs="仿宋"/>
        </w:rPr>
        <w:fldChar w:fldCharType="end"/>
      </w:r>
      <w:r>
        <w:rPr>
          <w:rFonts w:hint="eastAsia" w:ascii="仿宋" w:hAnsi="仿宋" w:eastAsia="仿宋" w:cs="仿宋"/>
          <w:szCs w:val="24"/>
        </w:rPr>
        <w:fldChar w:fldCharType="end"/>
      </w:r>
    </w:p>
    <w:p>
      <w:pPr>
        <w:pStyle w:val="19"/>
        <w:tabs>
          <w:tab w:val="right" w:leader="dot" w:pos="8306"/>
        </w:tabs>
        <w:rPr>
          <w:rFonts w:hint="eastAsia" w:ascii="仿宋" w:hAnsi="仿宋" w:eastAsia="仿宋" w:cs="仿宋"/>
        </w:rPr>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_Toc18671 </w:instrText>
      </w:r>
      <w:r>
        <w:rPr>
          <w:rFonts w:hint="eastAsia" w:ascii="仿宋" w:hAnsi="仿宋" w:eastAsia="仿宋" w:cs="仿宋"/>
          <w:szCs w:val="24"/>
        </w:rPr>
        <w:fldChar w:fldCharType="separate"/>
      </w:r>
      <w:r>
        <w:rPr>
          <w:rFonts w:hint="eastAsia" w:ascii="仿宋" w:hAnsi="仿宋" w:eastAsia="仿宋" w:cs="仿宋"/>
          <w:bCs/>
          <w:szCs w:val="28"/>
        </w:rPr>
        <w:t>（二）法定代表人身份证明或附有法定代表人身份证明的授权书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_Toc18671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szCs w:val="24"/>
        </w:rPr>
        <w:fldChar w:fldCharType="end"/>
      </w:r>
    </w:p>
    <w:p>
      <w:pPr>
        <w:pStyle w:val="19"/>
        <w:tabs>
          <w:tab w:val="right" w:leader="dot" w:pos="8306"/>
        </w:tabs>
        <w:rPr>
          <w:rFonts w:hint="eastAsia" w:ascii="仿宋" w:hAnsi="仿宋" w:eastAsia="仿宋" w:cs="仿宋"/>
        </w:rPr>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_Toc16094 </w:instrText>
      </w:r>
      <w:r>
        <w:rPr>
          <w:rFonts w:hint="eastAsia" w:ascii="仿宋" w:hAnsi="仿宋" w:eastAsia="仿宋" w:cs="仿宋"/>
          <w:szCs w:val="24"/>
        </w:rPr>
        <w:fldChar w:fldCharType="separate"/>
      </w:r>
      <w:r>
        <w:rPr>
          <w:rFonts w:hint="eastAsia" w:ascii="仿宋" w:hAnsi="仿宋" w:eastAsia="仿宋" w:cs="仿宋"/>
          <w:szCs w:val="28"/>
        </w:rPr>
        <w:t>（三） 近三年无重大违法记录信息证明文件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_Toc16094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szCs w:val="24"/>
        </w:rPr>
        <w:fldChar w:fldCharType="end"/>
      </w:r>
    </w:p>
    <w:p>
      <w:pPr>
        <w:pStyle w:val="19"/>
        <w:tabs>
          <w:tab w:val="right" w:leader="dot" w:pos="8306"/>
        </w:tabs>
        <w:rPr>
          <w:rFonts w:hint="eastAsia" w:ascii="仿宋" w:hAnsi="仿宋" w:eastAsia="仿宋" w:cs="仿宋"/>
        </w:rPr>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_Toc25032 </w:instrText>
      </w:r>
      <w:r>
        <w:rPr>
          <w:rFonts w:hint="eastAsia" w:ascii="仿宋" w:hAnsi="仿宋" w:eastAsia="仿宋" w:cs="仿宋"/>
          <w:szCs w:val="24"/>
        </w:rPr>
        <w:fldChar w:fldCharType="separate"/>
      </w:r>
      <w:r>
        <w:rPr>
          <w:rFonts w:hint="eastAsia" w:ascii="仿宋" w:hAnsi="仿宋" w:eastAsia="仿宋" w:cs="仿宋"/>
          <w:szCs w:val="28"/>
        </w:rPr>
        <w:t>（</w:t>
      </w:r>
      <w:r>
        <w:rPr>
          <w:rFonts w:hint="eastAsia" w:ascii="仿宋" w:hAnsi="仿宋" w:eastAsia="仿宋" w:cs="仿宋"/>
          <w:szCs w:val="28"/>
          <w:lang w:eastAsia="zh-CN"/>
        </w:rPr>
        <w:t>五</w:t>
      </w:r>
      <w:r>
        <w:rPr>
          <w:rFonts w:hint="eastAsia" w:ascii="仿宋" w:hAnsi="仿宋" w:eastAsia="仿宋" w:cs="仿宋"/>
          <w:szCs w:val="28"/>
        </w:rPr>
        <w:t>）其他资格证明文件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_Toc25032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szCs w:val="24"/>
        </w:rPr>
        <w:fldChar w:fldCharType="end"/>
      </w:r>
    </w:p>
    <w:p>
      <w:pPr>
        <w:pStyle w:val="19"/>
        <w:tabs>
          <w:tab w:val="right" w:leader="dot" w:pos="8306"/>
        </w:tabs>
        <w:rPr>
          <w:rFonts w:hint="eastAsia" w:ascii="仿宋" w:hAnsi="仿宋" w:eastAsia="仿宋" w:cs="仿宋"/>
        </w:rPr>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_Toc9112 </w:instrText>
      </w:r>
      <w:r>
        <w:rPr>
          <w:rFonts w:hint="eastAsia" w:ascii="仿宋" w:hAnsi="仿宋" w:eastAsia="仿宋" w:cs="仿宋"/>
          <w:szCs w:val="24"/>
        </w:rPr>
        <w:fldChar w:fldCharType="separate"/>
      </w:r>
      <w:r>
        <w:rPr>
          <w:rFonts w:hint="eastAsia" w:ascii="仿宋" w:hAnsi="仿宋" w:eastAsia="仿宋" w:cs="仿宋"/>
          <w:szCs w:val="28"/>
        </w:rPr>
        <w:t>（二）申请附录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_Toc9112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szCs w:val="24"/>
        </w:rPr>
        <w:fldChar w:fldCharType="end"/>
      </w:r>
    </w:p>
    <w:p>
      <w:pPr>
        <w:pStyle w:val="19"/>
        <w:tabs>
          <w:tab w:val="right" w:leader="dot" w:pos="8306"/>
        </w:tabs>
        <w:rPr>
          <w:rFonts w:hint="eastAsia" w:ascii="仿宋" w:hAnsi="仿宋" w:eastAsia="仿宋" w:cs="仿宋"/>
        </w:rPr>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_Toc29808 </w:instrText>
      </w:r>
      <w:r>
        <w:rPr>
          <w:rFonts w:hint="eastAsia" w:ascii="仿宋" w:hAnsi="仿宋" w:eastAsia="仿宋" w:cs="仿宋"/>
          <w:szCs w:val="24"/>
        </w:rPr>
        <w:fldChar w:fldCharType="separate"/>
      </w:r>
      <w:r>
        <w:rPr>
          <w:rFonts w:hint="eastAsia" w:ascii="仿宋" w:hAnsi="仿宋" w:eastAsia="仿宋" w:cs="仿宋"/>
          <w:szCs w:val="28"/>
        </w:rPr>
        <w:t>（三） 已标价的工程量清单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_Toc29808 \h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szCs w:val="24"/>
        </w:rPr>
        <w:fldChar w:fldCharType="end"/>
      </w:r>
    </w:p>
    <w:p>
      <w:pPr>
        <w:pStyle w:val="28"/>
        <w:tabs>
          <w:tab w:val="right" w:leader="dot" w:pos="8306"/>
        </w:tabs>
        <w:rPr>
          <w:rFonts w:hint="eastAsia" w:ascii="仿宋" w:hAnsi="仿宋" w:eastAsia="仿宋" w:cs="仿宋"/>
        </w:rPr>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_Toc15675 </w:instrText>
      </w:r>
      <w:r>
        <w:rPr>
          <w:rFonts w:hint="eastAsia" w:ascii="仿宋" w:hAnsi="仿宋" w:eastAsia="仿宋" w:cs="仿宋"/>
          <w:szCs w:val="24"/>
        </w:rPr>
        <w:fldChar w:fldCharType="separate"/>
      </w:r>
      <w:r>
        <w:rPr>
          <w:rFonts w:hint="eastAsia" w:ascii="仿宋" w:hAnsi="仿宋" w:eastAsia="仿宋" w:cs="仿宋"/>
          <w:bCs/>
          <w:szCs w:val="28"/>
          <w:lang w:val="en-US" w:eastAsia="zh-CN"/>
        </w:rPr>
        <w:t>四、技术文件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_Toc15675 \h </w:instrText>
      </w:r>
      <w:r>
        <w:rPr>
          <w:rFonts w:hint="eastAsia" w:ascii="仿宋" w:hAnsi="仿宋" w:eastAsia="仿宋" w:cs="仿宋"/>
        </w:rPr>
        <w:fldChar w:fldCharType="separate"/>
      </w:r>
      <w:r>
        <w:rPr>
          <w:rFonts w:hint="eastAsia" w:ascii="仿宋" w:hAnsi="仿宋" w:eastAsia="仿宋" w:cs="仿宋"/>
        </w:rPr>
        <w:t>59</w:t>
      </w:r>
      <w:r>
        <w:rPr>
          <w:rFonts w:hint="eastAsia" w:ascii="仿宋" w:hAnsi="仿宋" w:eastAsia="仿宋" w:cs="仿宋"/>
        </w:rPr>
        <w:fldChar w:fldCharType="end"/>
      </w:r>
      <w:r>
        <w:rPr>
          <w:rFonts w:hint="eastAsia" w:ascii="仿宋" w:hAnsi="仿宋" w:eastAsia="仿宋" w:cs="仿宋"/>
          <w:szCs w:val="24"/>
        </w:rPr>
        <w:fldChar w:fldCharType="end"/>
      </w:r>
    </w:p>
    <w:p>
      <w:pPr>
        <w:pStyle w:val="19"/>
        <w:tabs>
          <w:tab w:val="right" w:leader="dot" w:pos="8306"/>
        </w:tabs>
        <w:rPr>
          <w:rFonts w:hint="eastAsia" w:ascii="仿宋" w:hAnsi="仿宋" w:eastAsia="仿宋" w:cs="仿宋"/>
        </w:rPr>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_Toc30292 </w:instrText>
      </w:r>
      <w:r>
        <w:rPr>
          <w:rFonts w:hint="eastAsia" w:ascii="仿宋" w:hAnsi="仿宋" w:eastAsia="仿宋" w:cs="仿宋"/>
          <w:szCs w:val="24"/>
        </w:rPr>
        <w:fldChar w:fldCharType="separate"/>
      </w:r>
      <w:r>
        <w:rPr>
          <w:rFonts w:hint="eastAsia" w:ascii="仿宋" w:hAnsi="仿宋" w:eastAsia="仿宋" w:cs="仿宋"/>
          <w:szCs w:val="28"/>
        </w:rPr>
        <w:t>（一）项目管理机构组成表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_Toc30292 \h </w:instrText>
      </w:r>
      <w:r>
        <w:rPr>
          <w:rFonts w:hint="eastAsia" w:ascii="仿宋" w:hAnsi="仿宋" w:eastAsia="仿宋" w:cs="仿宋"/>
        </w:rPr>
        <w:fldChar w:fldCharType="separate"/>
      </w:r>
      <w:r>
        <w:rPr>
          <w:rFonts w:hint="eastAsia" w:ascii="仿宋" w:hAnsi="仿宋" w:eastAsia="仿宋" w:cs="仿宋"/>
        </w:rPr>
        <w:t>60</w:t>
      </w:r>
      <w:r>
        <w:rPr>
          <w:rFonts w:hint="eastAsia" w:ascii="仿宋" w:hAnsi="仿宋" w:eastAsia="仿宋" w:cs="仿宋"/>
        </w:rPr>
        <w:fldChar w:fldCharType="end"/>
      </w:r>
      <w:r>
        <w:rPr>
          <w:rFonts w:hint="eastAsia" w:ascii="仿宋" w:hAnsi="仿宋" w:eastAsia="仿宋" w:cs="仿宋"/>
          <w:szCs w:val="24"/>
        </w:rPr>
        <w:fldChar w:fldCharType="end"/>
      </w:r>
    </w:p>
    <w:p>
      <w:pPr>
        <w:pStyle w:val="19"/>
        <w:tabs>
          <w:tab w:val="right" w:leader="dot" w:pos="8306"/>
        </w:tabs>
        <w:rPr>
          <w:rFonts w:hint="eastAsia" w:ascii="仿宋" w:hAnsi="仿宋" w:eastAsia="仿宋" w:cs="仿宋"/>
        </w:rPr>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_Toc79 </w:instrText>
      </w:r>
      <w:r>
        <w:rPr>
          <w:rFonts w:hint="eastAsia" w:ascii="仿宋" w:hAnsi="仿宋" w:eastAsia="仿宋" w:cs="仿宋"/>
          <w:szCs w:val="24"/>
        </w:rPr>
        <w:fldChar w:fldCharType="separate"/>
      </w:r>
      <w:r>
        <w:rPr>
          <w:rFonts w:hint="eastAsia" w:ascii="仿宋" w:hAnsi="仿宋" w:eastAsia="仿宋" w:cs="仿宋"/>
          <w:szCs w:val="28"/>
        </w:rPr>
        <w:t>（二）项目经理简历表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_Toc79 \h </w:instrText>
      </w:r>
      <w:r>
        <w:rPr>
          <w:rFonts w:hint="eastAsia" w:ascii="仿宋" w:hAnsi="仿宋" w:eastAsia="仿宋" w:cs="仿宋"/>
        </w:rPr>
        <w:fldChar w:fldCharType="separate"/>
      </w:r>
      <w:r>
        <w:rPr>
          <w:rFonts w:hint="eastAsia" w:ascii="仿宋" w:hAnsi="仿宋" w:eastAsia="仿宋" w:cs="仿宋"/>
        </w:rPr>
        <w:t>61</w:t>
      </w:r>
      <w:r>
        <w:rPr>
          <w:rFonts w:hint="eastAsia" w:ascii="仿宋" w:hAnsi="仿宋" w:eastAsia="仿宋" w:cs="仿宋"/>
        </w:rPr>
        <w:fldChar w:fldCharType="end"/>
      </w:r>
      <w:r>
        <w:rPr>
          <w:rFonts w:hint="eastAsia" w:ascii="仿宋" w:hAnsi="仿宋" w:eastAsia="仿宋" w:cs="仿宋"/>
          <w:szCs w:val="24"/>
        </w:rPr>
        <w:fldChar w:fldCharType="end"/>
      </w:r>
    </w:p>
    <w:p>
      <w:pPr>
        <w:pStyle w:val="28"/>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_Toc13175 </w:instrText>
      </w:r>
      <w:r>
        <w:rPr>
          <w:rFonts w:hint="eastAsia" w:ascii="仿宋" w:hAnsi="仿宋" w:eastAsia="仿宋" w:cs="仿宋"/>
          <w:szCs w:val="24"/>
        </w:rPr>
        <w:fldChar w:fldCharType="separate"/>
      </w:r>
      <w:r>
        <w:rPr>
          <w:rFonts w:hint="eastAsia" w:ascii="仿宋" w:hAnsi="仿宋" w:eastAsia="仿宋" w:cs="仿宋"/>
          <w:bCs/>
          <w:kern w:val="1"/>
          <w:szCs w:val="32"/>
          <w:lang w:val="en-US" w:eastAsia="zh-CN" w:bidi="ar-SA"/>
        </w:rPr>
        <w:t>投标人认为的其他资料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_Toc13175 \h </w:instrText>
      </w:r>
      <w:r>
        <w:rPr>
          <w:rFonts w:hint="eastAsia" w:ascii="仿宋" w:hAnsi="仿宋" w:eastAsia="仿宋" w:cs="仿宋"/>
        </w:rPr>
        <w:fldChar w:fldCharType="separate"/>
      </w:r>
      <w:r>
        <w:rPr>
          <w:rFonts w:hint="eastAsia" w:ascii="仿宋" w:hAnsi="仿宋" w:eastAsia="仿宋" w:cs="仿宋"/>
        </w:rPr>
        <w:t>63</w:t>
      </w:r>
      <w:r>
        <w:rPr>
          <w:rFonts w:hint="eastAsia" w:ascii="仿宋" w:hAnsi="仿宋" w:eastAsia="仿宋" w:cs="仿宋"/>
        </w:rPr>
        <w:fldChar w:fldCharType="end"/>
      </w:r>
      <w:r>
        <w:rPr>
          <w:rFonts w:hint="eastAsia" w:ascii="仿宋" w:hAnsi="仿宋" w:eastAsia="仿宋" w:cs="仿宋"/>
          <w:szCs w:val="24"/>
        </w:rPr>
        <w:fldChar w:fldCharType="end"/>
      </w:r>
    </w:p>
    <w:p>
      <w:pPr>
        <w:spacing w:line="360" w:lineRule="auto"/>
        <w:jc w:val="center"/>
        <w:outlineLvl w:val="9"/>
        <w:rPr>
          <w:rFonts w:ascii="黑体" w:hAnsi="黑体" w:eastAsia="黑体"/>
          <w:szCs w:val="24"/>
        </w:rPr>
      </w:pPr>
      <w:r>
        <w:rPr>
          <w:rFonts w:ascii="黑体" w:hAnsi="黑体" w:eastAsia="黑体"/>
          <w:szCs w:val="24"/>
        </w:rPr>
        <w:fldChar w:fldCharType="end"/>
      </w:r>
    </w:p>
    <w:p>
      <w:pPr>
        <w:pStyle w:val="21"/>
        <w:ind w:left="0" w:leftChars="0" w:firstLine="0" w:firstLineChars="0"/>
        <w:rPr>
          <w:rFonts w:hint="eastAsia"/>
        </w:rPr>
        <w:sectPr>
          <w:footerReference r:id="rId4" w:type="default"/>
          <w:pgSz w:w="11906" w:h="16838"/>
          <w:pgMar w:top="1440" w:right="1800" w:bottom="1440" w:left="1800" w:header="851" w:footer="992" w:gutter="0"/>
          <w:pgNumType w:fmt="decimal" w:start="1"/>
          <w:cols w:space="720" w:num="1"/>
          <w:docGrid w:type="lines" w:linePitch="312" w:charSpace="0"/>
        </w:sectPr>
      </w:pPr>
    </w:p>
    <w:p>
      <w:pPr>
        <w:numPr>
          <w:ilvl w:val="0"/>
          <w:numId w:val="0"/>
        </w:numPr>
        <w:spacing w:line="360" w:lineRule="auto"/>
        <w:jc w:val="center"/>
        <w:outlineLvl w:val="1"/>
        <w:rPr>
          <w:rFonts w:hint="eastAsia" w:ascii="黑体" w:hAnsi="黑体" w:eastAsia="黑体"/>
          <w:sz w:val="32"/>
          <w:szCs w:val="32"/>
        </w:rPr>
      </w:pPr>
      <w:bookmarkStart w:id="12" w:name="_Toc30922"/>
      <w:r>
        <w:rPr>
          <w:rFonts w:hint="eastAsia" w:ascii="黑体" w:hAnsi="黑体" w:eastAsia="黑体"/>
          <w:sz w:val="32"/>
          <w:szCs w:val="32"/>
          <w:lang w:val="en-US" w:eastAsia="zh-CN"/>
        </w:rPr>
        <w:t>第一章</w:t>
      </w:r>
      <w:r>
        <w:rPr>
          <w:rFonts w:hint="eastAsia" w:ascii="黑体" w:hAnsi="黑体" w:eastAsia="黑体"/>
          <w:sz w:val="32"/>
          <w:szCs w:val="32"/>
        </w:rPr>
        <w:t>招标公告</w:t>
      </w:r>
      <w:bookmarkEnd w:id="12"/>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333333"/>
          <w:spacing w:val="0"/>
          <w:sz w:val="32"/>
          <w:szCs w:val="32"/>
        </w:rPr>
      </w:pPr>
      <w:bookmarkStart w:id="13" w:name="_Toc494455908"/>
      <w:r>
        <w:rPr>
          <w:rFonts w:hint="eastAsia" w:ascii="微软雅黑" w:hAnsi="微软雅黑" w:eastAsia="微软雅黑" w:cs="微软雅黑"/>
          <w:b/>
          <w:bCs/>
          <w:i w:val="0"/>
          <w:iCs w:val="0"/>
          <w:caps w:val="0"/>
          <w:color w:val="333333"/>
          <w:spacing w:val="0"/>
          <w:kern w:val="0"/>
          <w:sz w:val="32"/>
          <w:szCs w:val="32"/>
          <w:lang w:val="en-US" w:eastAsia="zh-CN" w:bidi="ar"/>
        </w:rPr>
        <w:t>阿瓦提县2023年乡村振兴项目第二标段塔木托格拉克镇拉帕村人居环境整治项目的公开招标公告</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仿宋" w:hAnsi="仿宋" w:eastAsia="仿宋" w:cs="仿宋"/>
          <w:i w:val="0"/>
          <w:iCs w:val="0"/>
          <w:caps w:val="0"/>
          <w:spacing w:val="0"/>
          <w:sz w:val="21"/>
          <w:szCs w:val="21"/>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4"/>
        </w:rPr>
      </w:pPr>
      <w:r>
        <w:rPr>
          <w:rFonts w:ascii="仿宋" w:hAnsi="仿宋" w:eastAsia="仿宋" w:cs="仿宋"/>
          <w:i w:val="0"/>
          <w:iCs w:val="0"/>
          <w:caps w:val="0"/>
          <w:spacing w:val="0"/>
          <w:sz w:val="22"/>
          <w:szCs w:val="22"/>
        </w:rPr>
        <w:t>项目概况</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firstLineChars="200"/>
        <w:rPr>
          <w:sz w:val="28"/>
          <w:szCs w:val="24"/>
        </w:rPr>
      </w:pPr>
      <w:r>
        <w:rPr>
          <w:rFonts w:hint="eastAsia" w:ascii="仿宋" w:hAnsi="仿宋" w:eastAsia="仿宋" w:cs="仿宋"/>
          <w:i w:val="0"/>
          <w:iCs w:val="0"/>
          <w:caps w:val="0"/>
          <w:spacing w:val="0"/>
          <w:sz w:val="22"/>
          <w:szCs w:val="22"/>
          <w:lang w:eastAsia="zh-CN"/>
        </w:rPr>
        <w:t>阿瓦提县2023年乡村振兴项目第二标段塔木托格拉克镇拉帕村人居环境整治项目</w:t>
      </w:r>
      <w:r>
        <w:rPr>
          <w:rFonts w:hint="eastAsia" w:ascii="仿宋" w:hAnsi="仿宋" w:eastAsia="仿宋" w:cs="仿宋"/>
          <w:i w:val="0"/>
          <w:iCs w:val="0"/>
          <w:caps w:val="0"/>
          <w:spacing w:val="0"/>
          <w:sz w:val="22"/>
          <w:szCs w:val="22"/>
        </w:rPr>
        <w:t>招标项目的潜在投标人应在政采云平台线上获取招标文件，并于2023年0</w:t>
      </w:r>
      <w:r>
        <w:rPr>
          <w:rFonts w:hint="eastAsia" w:ascii="仿宋" w:hAnsi="仿宋" w:eastAsia="仿宋" w:cs="仿宋"/>
          <w:i w:val="0"/>
          <w:iCs w:val="0"/>
          <w:caps w:val="0"/>
          <w:spacing w:val="0"/>
          <w:sz w:val="22"/>
          <w:szCs w:val="22"/>
          <w:lang w:val="en-US" w:eastAsia="zh-CN"/>
        </w:rPr>
        <w:t>4</w:t>
      </w:r>
      <w:r>
        <w:rPr>
          <w:rFonts w:hint="eastAsia" w:ascii="仿宋" w:hAnsi="仿宋" w:eastAsia="仿宋" w:cs="仿宋"/>
          <w:i w:val="0"/>
          <w:iCs w:val="0"/>
          <w:caps w:val="0"/>
          <w:spacing w:val="0"/>
          <w:sz w:val="22"/>
          <w:szCs w:val="22"/>
        </w:rPr>
        <w:t>月</w:t>
      </w:r>
      <w:r>
        <w:rPr>
          <w:rFonts w:hint="eastAsia" w:ascii="仿宋" w:hAnsi="仿宋" w:eastAsia="仿宋" w:cs="仿宋"/>
          <w:i w:val="0"/>
          <w:iCs w:val="0"/>
          <w:caps w:val="0"/>
          <w:spacing w:val="0"/>
          <w:sz w:val="22"/>
          <w:szCs w:val="22"/>
          <w:lang w:val="en-US" w:eastAsia="zh-CN"/>
        </w:rPr>
        <w:t>13</w:t>
      </w:r>
      <w:r>
        <w:rPr>
          <w:rFonts w:hint="eastAsia" w:ascii="仿宋" w:hAnsi="仿宋" w:eastAsia="仿宋" w:cs="仿宋"/>
          <w:i w:val="0"/>
          <w:iCs w:val="0"/>
          <w:caps w:val="0"/>
          <w:spacing w:val="0"/>
          <w:sz w:val="22"/>
          <w:szCs w:val="22"/>
        </w:rPr>
        <w:t>日 11:00（北京时间）前递交投标文件。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240" w:lineRule="atLeast"/>
        <w:ind w:left="0" w:right="0"/>
        <w:jc w:val="both"/>
        <w:rPr>
          <w:rFonts w:ascii="黑体" w:hAnsi="宋体" w:eastAsia="黑体" w:cs="黑体"/>
          <w:sz w:val="22"/>
          <w:szCs w:val="22"/>
        </w:rPr>
      </w:pPr>
      <w:r>
        <w:rPr>
          <w:rStyle w:val="34"/>
          <w:rFonts w:ascii="黑体" w:hAnsi="宋体" w:eastAsia="黑体" w:cs="黑体"/>
          <w:b/>
          <w:bCs/>
          <w:i w:val="0"/>
          <w:iCs w:val="0"/>
          <w:caps w:val="0"/>
          <w:spacing w:val="0"/>
          <w:sz w:val="22"/>
          <w:szCs w:val="22"/>
        </w:rPr>
        <w:t>一、项目基本情况</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default" w:eastAsia="仿宋"/>
          <w:sz w:val="28"/>
          <w:szCs w:val="24"/>
          <w:lang w:val="en-US" w:eastAsia="zh-CN"/>
        </w:rPr>
      </w:pPr>
      <w:r>
        <w:rPr>
          <w:rFonts w:hint="eastAsia" w:ascii="仿宋" w:hAnsi="仿宋" w:eastAsia="仿宋" w:cs="仿宋"/>
          <w:i w:val="0"/>
          <w:iCs w:val="0"/>
          <w:caps w:val="0"/>
          <w:spacing w:val="0"/>
          <w:sz w:val="22"/>
          <w:szCs w:val="22"/>
        </w:rPr>
        <w:t>项目编号：XJHC-2023-0</w:t>
      </w:r>
      <w:r>
        <w:rPr>
          <w:rFonts w:hint="eastAsia" w:ascii="仿宋" w:hAnsi="仿宋" w:eastAsia="仿宋" w:cs="仿宋"/>
          <w:i w:val="0"/>
          <w:iCs w:val="0"/>
          <w:caps w:val="0"/>
          <w:spacing w:val="0"/>
          <w:sz w:val="22"/>
          <w:szCs w:val="22"/>
          <w:lang w:val="en-US" w:eastAsia="zh-CN"/>
        </w:rPr>
        <w:t>12</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eastAsia="仿宋"/>
          <w:sz w:val="28"/>
          <w:szCs w:val="24"/>
          <w:lang w:eastAsia="zh-CN"/>
        </w:rPr>
      </w:pPr>
      <w:r>
        <w:rPr>
          <w:rFonts w:hint="eastAsia" w:ascii="仿宋" w:hAnsi="仿宋" w:eastAsia="仿宋" w:cs="仿宋"/>
          <w:i w:val="0"/>
          <w:iCs w:val="0"/>
          <w:caps w:val="0"/>
          <w:spacing w:val="0"/>
          <w:sz w:val="22"/>
          <w:szCs w:val="22"/>
        </w:rPr>
        <w:t>项目名称：</w:t>
      </w:r>
      <w:r>
        <w:rPr>
          <w:rFonts w:hint="eastAsia" w:ascii="仿宋" w:hAnsi="仿宋" w:eastAsia="仿宋" w:cs="仿宋"/>
          <w:i w:val="0"/>
          <w:iCs w:val="0"/>
          <w:caps w:val="0"/>
          <w:spacing w:val="0"/>
          <w:sz w:val="22"/>
          <w:szCs w:val="22"/>
          <w:lang w:eastAsia="zh-CN"/>
        </w:rPr>
        <w:t>阿瓦提县2023年乡村振兴项目第二标段塔木托格拉克镇拉帕村人居环境整治项目</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8"/>
          <w:szCs w:val="24"/>
        </w:rPr>
      </w:pPr>
      <w:r>
        <w:rPr>
          <w:rFonts w:hint="eastAsia" w:ascii="仿宋" w:hAnsi="仿宋" w:eastAsia="仿宋" w:cs="仿宋"/>
          <w:i w:val="0"/>
          <w:iCs w:val="0"/>
          <w:caps w:val="0"/>
          <w:spacing w:val="0"/>
          <w:sz w:val="22"/>
          <w:szCs w:val="22"/>
        </w:rPr>
        <w:t>采购方式：公开招标</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default" w:eastAsia="仿宋"/>
          <w:sz w:val="28"/>
          <w:szCs w:val="24"/>
          <w:lang w:val="en-US" w:eastAsia="zh-CN"/>
        </w:rPr>
      </w:pPr>
      <w:r>
        <w:rPr>
          <w:rFonts w:hint="eastAsia" w:ascii="仿宋" w:hAnsi="仿宋" w:eastAsia="仿宋" w:cs="仿宋"/>
          <w:i w:val="0"/>
          <w:iCs w:val="0"/>
          <w:caps w:val="0"/>
          <w:spacing w:val="0"/>
          <w:sz w:val="22"/>
          <w:szCs w:val="22"/>
        </w:rPr>
        <w:t>预算金额（元）：</w:t>
      </w:r>
      <w:r>
        <w:rPr>
          <w:rFonts w:hint="eastAsia" w:ascii="仿宋" w:hAnsi="仿宋" w:eastAsia="仿宋" w:cs="仿宋"/>
          <w:i w:val="0"/>
          <w:iCs w:val="0"/>
          <w:caps w:val="0"/>
          <w:spacing w:val="0"/>
          <w:sz w:val="22"/>
          <w:szCs w:val="22"/>
          <w:lang w:val="en-US" w:eastAsia="zh-CN"/>
        </w:rPr>
        <w:t>1896600.00</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default" w:eastAsia="仿宋"/>
          <w:sz w:val="28"/>
          <w:szCs w:val="24"/>
          <w:lang w:val="en-US" w:eastAsia="zh-CN"/>
        </w:rPr>
      </w:pPr>
      <w:r>
        <w:rPr>
          <w:rFonts w:hint="eastAsia" w:ascii="仿宋" w:hAnsi="仿宋" w:eastAsia="仿宋" w:cs="仿宋"/>
          <w:i w:val="0"/>
          <w:iCs w:val="0"/>
          <w:caps w:val="0"/>
          <w:spacing w:val="0"/>
          <w:sz w:val="22"/>
          <w:szCs w:val="22"/>
        </w:rPr>
        <w:t>最高限价（元）：</w:t>
      </w:r>
      <w:r>
        <w:rPr>
          <w:rFonts w:hint="eastAsia" w:ascii="仿宋" w:hAnsi="仿宋" w:eastAsia="仿宋" w:cs="仿宋"/>
          <w:i w:val="0"/>
          <w:iCs w:val="0"/>
          <w:caps w:val="0"/>
          <w:spacing w:val="0"/>
          <w:sz w:val="22"/>
          <w:szCs w:val="22"/>
          <w:lang w:val="en-US" w:eastAsia="zh-CN"/>
        </w:rPr>
        <w:t>1896569.94</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采购需求：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标项名称:</w:t>
      </w:r>
      <w:r>
        <w:rPr>
          <w:rFonts w:hint="eastAsia" w:ascii="仿宋" w:hAnsi="仿宋" w:eastAsia="仿宋" w:cs="仿宋"/>
          <w:i w:val="0"/>
          <w:iCs w:val="0"/>
          <w:caps w:val="0"/>
          <w:spacing w:val="0"/>
          <w:sz w:val="22"/>
          <w:szCs w:val="22"/>
          <w:lang w:eastAsia="zh-CN"/>
        </w:rPr>
        <w:t>阿瓦提县2023年乡村振兴项目第二标段塔木托格拉克镇拉帕村人居环境整治项目</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数量:1</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lang w:val="en-US" w:eastAsia="zh-CN"/>
        </w:rPr>
      </w:pPr>
      <w:r>
        <w:rPr>
          <w:rFonts w:hint="eastAsia" w:ascii="仿宋" w:hAnsi="仿宋" w:eastAsia="仿宋" w:cs="仿宋"/>
          <w:i w:val="0"/>
          <w:iCs w:val="0"/>
          <w:caps w:val="0"/>
          <w:spacing w:val="0"/>
          <w:sz w:val="22"/>
          <w:szCs w:val="22"/>
        </w:rPr>
        <w:t>预算金额（元）:</w:t>
      </w:r>
      <w:r>
        <w:rPr>
          <w:rFonts w:hint="eastAsia" w:ascii="仿宋" w:hAnsi="仿宋" w:eastAsia="仿宋" w:cs="仿宋"/>
          <w:i w:val="0"/>
          <w:iCs w:val="0"/>
          <w:caps w:val="0"/>
          <w:spacing w:val="0"/>
          <w:sz w:val="22"/>
          <w:szCs w:val="22"/>
          <w:lang w:val="en-US" w:eastAsia="zh-CN"/>
        </w:rPr>
        <w:t>1896600.00</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简要规格描述或项目基本概况介绍、用途：</w:t>
      </w:r>
      <w:r>
        <w:rPr>
          <w:rFonts w:hint="eastAsia" w:ascii="仿宋" w:hAnsi="仿宋" w:eastAsia="仿宋" w:cs="仿宋"/>
          <w:i w:val="0"/>
          <w:iCs w:val="0"/>
          <w:caps w:val="0"/>
          <w:spacing w:val="0"/>
          <w:sz w:val="22"/>
          <w:szCs w:val="22"/>
          <w:lang w:eastAsia="zh-CN"/>
        </w:rPr>
        <w:t>人居环境整治</w:t>
      </w:r>
      <w:r>
        <w:rPr>
          <w:rFonts w:hint="eastAsia" w:ascii="仿宋" w:hAnsi="仿宋" w:eastAsia="仿宋" w:cs="仿宋"/>
          <w:i w:val="0"/>
          <w:iCs w:val="0"/>
          <w:caps w:val="0"/>
          <w:spacing w:val="0"/>
          <w:sz w:val="22"/>
          <w:szCs w:val="22"/>
        </w:rPr>
        <w:t>（详见工程量清单）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rPr>
      </w:pPr>
      <w:r>
        <w:rPr>
          <w:rFonts w:hint="eastAsia" w:ascii="仿宋" w:hAnsi="仿宋" w:eastAsia="仿宋" w:cs="仿宋"/>
          <w:i w:val="0"/>
          <w:iCs w:val="0"/>
          <w:caps w:val="0"/>
          <w:spacing w:val="0"/>
          <w:sz w:val="22"/>
          <w:szCs w:val="22"/>
        </w:rPr>
        <w:t>备注：</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rPr>
      </w:pPr>
      <w:r>
        <w:rPr>
          <w:rFonts w:hint="eastAsia" w:ascii="仿宋" w:hAnsi="仿宋" w:eastAsia="仿宋" w:cs="仿宋"/>
          <w:i w:val="0"/>
          <w:iCs w:val="0"/>
          <w:caps w:val="0"/>
          <w:spacing w:val="0"/>
          <w:sz w:val="22"/>
          <w:szCs w:val="22"/>
        </w:rPr>
        <w:t>合同履约期限：标项 1，</w:t>
      </w:r>
      <w:r>
        <w:rPr>
          <w:rFonts w:hint="eastAsia" w:ascii="仿宋" w:hAnsi="仿宋" w:eastAsia="仿宋" w:cs="仿宋"/>
          <w:i w:val="0"/>
          <w:iCs w:val="0"/>
          <w:caps w:val="0"/>
          <w:spacing w:val="0"/>
          <w:sz w:val="22"/>
          <w:szCs w:val="22"/>
          <w:highlight w:val="yellow"/>
        </w:rPr>
        <w:t>签订合同后至2023年</w:t>
      </w:r>
      <w:r>
        <w:rPr>
          <w:rFonts w:hint="eastAsia" w:ascii="仿宋" w:hAnsi="仿宋" w:eastAsia="仿宋" w:cs="仿宋"/>
          <w:i w:val="0"/>
          <w:iCs w:val="0"/>
          <w:caps w:val="0"/>
          <w:spacing w:val="0"/>
          <w:sz w:val="22"/>
          <w:szCs w:val="22"/>
          <w:highlight w:val="yellow"/>
          <w:lang w:val="en-US" w:eastAsia="zh-CN"/>
        </w:rPr>
        <w:t>7</w:t>
      </w:r>
      <w:r>
        <w:rPr>
          <w:rFonts w:hint="eastAsia" w:ascii="仿宋" w:hAnsi="仿宋" w:eastAsia="仿宋" w:cs="仿宋"/>
          <w:i w:val="0"/>
          <w:iCs w:val="0"/>
          <w:caps w:val="0"/>
          <w:spacing w:val="0"/>
          <w:sz w:val="22"/>
          <w:szCs w:val="22"/>
          <w:highlight w:val="yellow"/>
        </w:rPr>
        <w:t>月</w:t>
      </w:r>
      <w:r>
        <w:rPr>
          <w:rFonts w:hint="eastAsia" w:ascii="仿宋" w:hAnsi="仿宋" w:eastAsia="仿宋" w:cs="仿宋"/>
          <w:i w:val="0"/>
          <w:iCs w:val="0"/>
          <w:caps w:val="0"/>
          <w:spacing w:val="0"/>
          <w:sz w:val="22"/>
          <w:szCs w:val="22"/>
          <w:highlight w:val="yellow"/>
          <w:lang w:val="en-US" w:eastAsia="zh-CN"/>
        </w:rPr>
        <w:t>20</w:t>
      </w:r>
      <w:r>
        <w:rPr>
          <w:rFonts w:hint="eastAsia" w:ascii="仿宋" w:hAnsi="仿宋" w:eastAsia="仿宋" w:cs="仿宋"/>
          <w:i w:val="0"/>
          <w:iCs w:val="0"/>
          <w:caps w:val="0"/>
          <w:spacing w:val="0"/>
          <w:sz w:val="22"/>
          <w:szCs w:val="22"/>
          <w:highlight w:val="yellow"/>
        </w:rPr>
        <w:t>日前完工</w:t>
      </w:r>
      <w:r>
        <w:rPr>
          <w:rFonts w:hint="eastAsia" w:ascii="仿宋" w:hAnsi="仿宋" w:eastAsia="仿宋" w:cs="仿宋"/>
          <w:i w:val="0"/>
          <w:iCs w:val="0"/>
          <w:caps w:val="0"/>
          <w:spacing w:val="0"/>
          <w:sz w:val="22"/>
          <w:szCs w:val="22"/>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8"/>
          <w:szCs w:val="24"/>
        </w:rPr>
      </w:pPr>
      <w:r>
        <w:rPr>
          <w:rFonts w:hint="eastAsia" w:ascii="仿宋" w:hAnsi="仿宋" w:eastAsia="仿宋" w:cs="仿宋"/>
          <w:i w:val="0"/>
          <w:iCs w:val="0"/>
          <w:caps w:val="0"/>
          <w:spacing w:val="0"/>
          <w:sz w:val="22"/>
          <w:szCs w:val="22"/>
        </w:rPr>
        <w:t>本项目（否）接受联合体投标。</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8"/>
          <w:szCs w:val="24"/>
        </w:rPr>
      </w:pPr>
      <w:r>
        <w:rPr>
          <w:rStyle w:val="34"/>
          <w:rFonts w:ascii="黑体" w:hAnsi="宋体" w:eastAsia="黑体" w:cs="黑体"/>
          <w:b/>
          <w:bCs/>
          <w:i w:val="0"/>
          <w:iCs w:val="0"/>
          <w:caps w:val="0"/>
          <w:spacing w:val="0"/>
          <w:sz w:val="22"/>
          <w:szCs w:val="22"/>
        </w:rPr>
        <w:t>二、申请人的资格要求：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8"/>
          <w:szCs w:val="24"/>
        </w:rPr>
      </w:pPr>
      <w:r>
        <w:rPr>
          <w:rFonts w:hint="eastAsia" w:ascii="仿宋" w:hAnsi="仿宋" w:eastAsia="仿宋" w:cs="仿宋"/>
          <w:i w:val="0"/>
          <w:iCs w:val="0"/>
          <w:caps w:val="0"/>
          <w:spacing w:val="0"/>
          <w:sz w:val="22"/>
          <w:szCs w:val="22"/>
        </w:rPr>
        <w:t>1.满足《中华人民共和国政府采购法》第二十二条规定；</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2.落实政府采购政策需满足的资格要求：标项1：（1）财政部、工业和信息化部关于印发《政府采购促进中小企业发展管理办法》的通知（财库〔2020〕46号）；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（2）（财库〔2014〕68号）；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（3）《国务院办公厅关于建立政府强制采购节能产品制度的通知》（国办发〔2007〕51号）；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（4）《财政部民政部中国残疾人联合会关于促进残疾人就业政府采购政策的通知》财库〔2017〕141号。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8"/>
          <w:szCs w:val="24"/>
        </w:rPr>
      </w:pPr>
      <w:r>
        <w:rPr>
          <w:rFonts w:hint="eastAsia" w:ascii="仿宋" w:hAnsi="仿宋" w:eastAsia="仿宋" w:cs="仿宋"/>
          <w:i w:val="0"/>
          <w:iCs w:val="0"/>
          <w:caps w:val="0"/>
          <w:spacing w:val="0"/>
          <w:sz w:val="22"/>
          <w:szCs w:val="22"/>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3.本项目的特定资格要求：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【标项1】</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highlight w:val="none"/>
          <w:lang w:eastAsia="zh-CN"/>
        </w:rPr>
      </w:pPr>
      <w:r>
        <w:rPr>
          <w:rFonts w:hint="eastAsia" w:ascii="仿宋" w:hAnsi="仿宋" w:eastAsia="仿宋" w:cs="仿宋"/>
          <w:i w:val="0"/>
          <w:iCs w:val="0"/>
          <w:caps w:val="0"/>
          <w:spacing w:val="0"/>
          <w:sz w:val="22"/>
          <w:szCs w:val="22"/>
          <w:highlight w:val="none"/>
        </w:rPr>
        <w:t>（1）具备有效的营业执照；</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highlight w:val="none"/>
          <w:lang w:val="en-US" w:eastAsia="zh-CN"/>
        </w:rPr>
      </w:pPr>
      <w:r>
        <w:rPr>
          <w:rFonts w:hint="eastAsia" w:ascii="仿宋" w:hAnsi="仿宋" w:eastAsia="仿宋" w:cs="仿宋"/>
          <w:i w:val="0"/>
          <w:iCs w:val="0"/>
          <w:caps w:val="0"/>
          <w:spacing w:val="0"/>
          <w:sz w:val="22"/>
          <w:szCs w:val="22"/>
          <w:highlight w:val="none"/>
        </w:rPr>
        <w:t>（2）具备[施工总承包·建筑工程·建筑工程三级](含)以上并且[施工专业承包·钢结构工程·钢结构工程三级](含)以上资质；有效的安全生产许可证；外省投标企业须提供《新疆维吾尔自治区区外建设工程企业信息登记册》或新疆工程建设云下载审核通过的信息报送册；项目负责人需满足【建筑工程专业注册建造师二级】（含）以上注册建造师执业资格;</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w:t>
      </w:r>
      <w:r>
        <w:rPr>
          <w:rFonts w:hint="eastAsia" w:ascii="仿宋" w:hAnsi="仿宋" w:eastAsia="仿宋" w:cs="仿宋"/>
          <w:i w:val="0"/>
          <w:iCs w:val="0"/>
          <w:caps w:val="0"/>
          <w:spacing w:val="0"/>
          <w:sz w:val="22"/>
          <w:szCs w:val="22"/>
          <w:lang w:val="en-US" w:eastAsia="zh-CN"/>
        </w:rPr>
        <w:t>3</w:t>
      </w:r>
      <w:r>
        <w:rPr>
          <w:rFonts w:hint="eastAsia" w:ascii="仿宋" w:hAnsi="仿宋" w:eastAsia="仿宋" w:cs="仿宋"/>
          <w:i w:val="0"/>
          <w:iCs w:val="0"/>
          <w:caps w:val="0"/>
          <w:spacing w:val="0"/>
          <w:sz w:val="22"/>
          <w:szCs w:val="22"/>
        </w:rPr>
        <w:t>)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供应商网上自行打印后加盖供应商公章﹚；</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8"/>
          <w:szCs w:val="24"/>
        </w:rPr>
      </w:pPr>
      <w:r>
        <w:rPr>
          <w:rFonts w:hint="eastAsia" w:ascii="仿宋" w:hAnsi="仿宋" w:eastAsia="仿宋" w:cs="仿宋"/>
          <w:i w:val="0"/>
          <w:iCs w:val="0"/>
          <w:caps w:val="0"/>
          <w:spacing w:val="0"/>
          <w:sz w:val="22"/>
          <w:szCs w:val="22"/>
        </w:rPr>
        <w:t>（</w:t>
      </w:r>
      <w:r>
        <w:rPr>
          <w:rFonts w:hint="eastAsia" w:ascii="仿宋" w:hAnsi="仿宋" w:eastAsia="仿宋" w:cs="仿宋"/>
          <w:i w:val="0"/>
          <w:iCs w:val="0"/>
          <w:caps w:val="0"/>
          <w:spacing w:val="0"/>
          <w:sz w:val="22"/>
          <w:szCs w:val="22"/>
          <w:lang w:val="en-US" w:eastAsia="zh-CN"/>
        </w:rPr>
        <w:t>4</w:t>
      </w:r>
      <w:r>
        <w:rPr>
          <w:rFonts w:hint="eastAsia" w:ascii="仿宋" w:hAnsi="仿宋" w:eastAsia="仿宋" w:cs="仿宋"/>
          <w:i w:val="0"/>
          <w:iCs w:val="0"/>
          <w:caps w:val="0"/>
          <w:spacing w:val="0"/>
          <w:sz w:val="22"/>
          <w:szCs w:val="22"/>
        </w:rPr>
        <w:t>）与采购人存在利害关系可能影响公正性的单位，不得参加</w:t>
      </w:r>
      <w:r>
        <w:rPr>
          <w:rFonts w:hint="eastAsia" w:ascii="仿宋" w:hAnsi="仿宋" w:eastAsia="仿宋" w:cs="仿宋"/>
          <w:i w:val="0"/>
          <w:iCs w:val="0"/>
          <w:caps w:val="0"/>
          <w:spacing w:val="0"/>
          <w:sz w:val="22"/>
          <w:szCs w:val="22"/>
          <w:lang w:eastAsia="zh-CN"/>
        </w:rPr>
        <w:t>投标</w:t>
      </w:r>
      <w:r>
        <w:rPr>
          <w:rFonts w:hint="eastAsia" w:ascii="仿宋" w:hAnsi="仿宋" w:eastAsia="仿宋" w:cs="仿宋"/>
          <w:i w:val="0"/>
          <w:iCs w:val="0"/>
          <w:caps w:val="0"/>
          <w:spacing w:val="0"/>
          <w:sz w:val="22"/>
          <w:szCs w:val="22"/>
        </w:rPr>
        <w:t>。单位负责人为同一人或存在控股、管理关系的不同单位，不得参加同一标段</w:t>
      </w:r>
      <w:r>
        <w:rPr>
          <w:rFonts w:hint="eastAsia" w:ascii="仿宋" w:hAnsi="仿宋" w:eastAsia="仿宋" w:cs="仿宋"/>
          <w:i w:val="0"/>
          <w:iCs w:val="0"/>
          <w:caps w:val="0"/>
          <w:spacing w:val="0"/>
          <w:sz w:val="22"/>
          <w:szCs w:val="22"/>
          <w:lang w:eastAsia="zh-CN"/>
        </w:rPr>
        <w:t>投标</w:t>
      </w:r>
      <w:r>
        <w:rPr>
          <w:rFonts w:hint="eastAsia" w:ascii="仿宋" w:hAnsi="仿宋" w:eastAsia="仿宋" w:cs="仿宋"/>
          <w:i w:val="0"/>
          <w:iCs w:val="0"/>
          <w:caps w:val="0"/>
          <w:spacing w:val="0"/>
          <w:sz w:val="22"/>
          <w:szCs w:val="22"/>
        </w:rPr>
        <w:t>，否则，相关</w:t>
      </w:r>
      <w:r>
        <w:rPr>
          <w:rFonts w:hint="eastAsia" w:ascii="仿宋" w:hAnsi="仿宋" w:eastAsia="仿宋" w:cs="仿宋"/>
          <w:i w:val="0"/>
          <w:iCs w:val="0"/>
          <w:caps w:val="0"/>
          <w:spacing w:val="0"/>
          <w:sz w:val="22"/>
          <w:szCs w:val="22"/>
          <w:lang w:eastAsia="zh-CN"/>
        </w:rPr>
        <w:t>投标</w:t>
      </w:r>
      <w:r>
        <w:rPr>
          <w:rFonts w:hint="eastAsia" w:ascii="仿宋" w:hAnsi="仿宋" w:eastAsia="仿宋" w:cs="仿宋"/>
          <w:i w:val="0"/>
          <w:iCs w:val="0"/>
          <w:caps w:val="0"/>
          <w:spacing w:val="0"/>
          <w:sz w:val="22"/>
          <w:szCs w:val="22"/>
        </w:rPr>
        <w:t>均无效。</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240" w:lineRule="atLeast"/>
        <w:ind w:left="0" w:right="0"/>
        <w:jc w:val="both"/>
        <w:rPr>
          <w:rFonts w:ascii="黑体" w:hAnsi="宋体" w:eastAsia="黑体" w:cs="黑体"/>
          <w:sz w:val="22"/>
          <w:szCs w:val="22"/>
        </w:rPr>
      </w:pPr>
      <w:r>
        <w:rPr>
          <w:rStyle w:val="34"/>
          <w:rFonts w:ascii="黑体" w:hAnsi="宋体" w:eastAsia="黑体" w:cs="黑体"/>
          <w:b/>
          <w:bCs/>
          <w:i w:val="0"/>
          <w:iCs w:val="0"/>
          <w:caps w:val="0"/>
          <w:spacing w:val="0"/>
          <w:sz w:val="22"/>
          <w:szCs w:val="22"/>
        </w:rPr>
        <w:t>三、获取招标文件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8"/>
          <w:szCs w:val="24"/>
        </w:rPr>
      </w:pPr>
      <w:r>
        <w:rPr>
          <w:rFonts w:hint="eastAsia" w:ascii="仿宋" w:hAnsi="仿宋" w:eastAsia="仿宋" w:cs="仿宋"/>
          <w:i w:val="0"/>
          <w:iCs w:val="0"/>
          <w:caps w:val="0"/>
          <w:spacing w:val="0"/>
          <w:sz w:val="22"/>
          <w:szCs w:val="22"/>
        </w:rPr>
        <w:t>时间：2023年0</w:t>
      </w:r>
      <w:r>
        <w:rPr>
          <w:rFonts w:hint="eastAsia" w:ascii="仿宋" w:hAnsi="仿宋" w:eastAsia="仿宋" w:cs="仿宋"/>
          <w:i w:val="0"/>
          <w:iCs w:val="0"/>
          <w:caps w:val="0"/>
          <w:spacing w:val="0"/>
          <w:sz w:val="22"/>
          <w:szCs w:val="22"/>
          <w:lang w:val="en-US" w:eastAsia="zh-CN"/>
        </w:rPr>
        <w:t>3</w:t>
      </w:r>
      <w:r>
        <w:rPr>
          <w:rFonts w:hint="eastAsia" w:ascii="仿宋" w:hAnsi="仿宋" w:eastAsia="仿宋" w:cs="仿宋"/>
          <w:i w:val="0"/>
          <w:iCs w:val="0"/>
          <w:caps w:val="0"/>
          <w:spacing w:val="0"/>
          <w:sz w:val="22"/>
          <w:szCs w:val="22"/>
        </w:rPr>
        <w:t>月</w:t>
      </w:r>
      <w:r>
        <w:rPr>
          <w:rFonts w:hint="eastAsia" w:ascii="仿宋" w:hAnsi="仿宋" w:eastAsia="仿宋" w:cs="仿宋"/>
          <w:i w:val="0"/>
          <w:iCs w:val="0"/>
          <w:caps w:val="0"/>
          <w:spacing w:val="0"/>
          <w:sz w:val="22"/>
          <w:szCs w:val="22"/>
          <w:lang w:val="en-US" w:eastAsia="zh-CN"/>
        </w:rPr>
        <w:t>24</w:t>
      </w:r>
      <w:r>
        <w:rPr>
          <w:rFonts w:hint="eastAsia" w:ascii="仿宋" w:hAnsi="仿宋" w:eastAsia="仿宋" w:cs="仿宋"/>
          <w:i w:val="0"/>
          <w:iCs w:val="0"/>
          <w:caps w:val="0"/>
          <w:spacing w:val="0"/>
          <w:sz w:val="22"/>
          <w:szCs w:val="22"/>
        </w:rPr>
        <w:t>日至2023年03月</w:t>
      </w:r>
      <w:r>
        <w:rPr>
          <w:rFonts w:hint="eastAsia" w:ascii="仿宋" w:hAnsi="仿宋" w:eastAsia="仿宋" w:cs="仿宋"/>
          <w:i w:val="0"/>
          <w:iCs w:val="0"/>
          <w:caps w:val="0"/>
          <w:spacing w:val="0"/>
          <w:sz w:val="22"/>
          <w:szCs w:val="22"/>
          <w:lang w:val="en-US" w:eastAsia="zh-CN"/>
        </w:rPr>
        <w:t>31</w:t>
      </w:r>
      <w:r>
        <w:rPr>
          <w:rFonts w:hint="eastAsia" w:ascii="仿宋" w:hAnsi="仿宋" w:eastAsia="仿宋" w:cs="仿宋"/>
          <w:i w:val="0"/>
          <w:iCs w:val="0"/>
          <w:caps w:val="0"/>
          <w:spacing w:val="0"/>
          <w:sz w:val="22"/>
          <w:szCs w:val="22"/>
        </w:rPr>
        <w:t>日，每天上午10:00至14:00，下午15:30至19:30（北京时间，法定节假日除外）</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8"/>
          <w:szCs w:val="24"/>
        </w:rPr>
      </w:pPr>
      <w:r>
        <w:rPr>
          <w:rFonts w:hint="eastAsia" w:ascii="仿宋" w:hAnsi="仿宋" w:eastAsia="仿宋" w:cs="仿宋"/>
          <w:i w:val="0"/>
          <w:iCs w:val="0"/>
          <w:caps w:val="0"/>
          <w:spacing w:val="0"/>
          <w:sz w:val="22"/>
          <w:szCs w:val="22"/>
        </w:rPr>
        <w:t>地点：政采云平台线上</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8"/>
          <w:szCs w:val="24"/>
        </w:rPr>
      </w:pPr>
      <w:r>
        <w:rPr>
          <w:rFonts w:hint="eastAsia" w:ascii="仿宋" w:hAnsi="仿宋" w:eastAsia="仿宋" w:cs="仿宋"/>
          <w:i w:val="0"/>
          <w:iCs w:val="0"/>
          <w:caps w:val="0"/>
          <w:spacing w:val="0"/>
          <w:sz w:val="22"/>
          <w:szCs w:val="22"/>
        </w:rPr>
        <w:t>方式：供应商登录政采云平台https://www.zcygov.cn/在线申请获取采购文件（进入“项目采购”应用，在获取采购文件菜单中选择项目，申请获取采购文件）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8"/>
          <w:szCs w:val="24"/>
        </w:rPr>
      </w:pPr>
      <w:r>
        <w:rPr>
          <w:rFonts w:hint="eastAsia" w:ascii="仿宋" w:hAnsi="仿宋" w:eastAsia="仿宋" w:cs="仿宋"/>
          <w:i w:val="0"/>
          <w:iCs w:val="0"/>
          <w:caps w:val="0"/>
          <w:spacing w:val="0"/>
          <w:sz w:val="22"/>
          <w:szCs w:val="22"/>
        </w:rPr>
        <w:t>售价（元）：0</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240" w:lineRule="atLeast"/>
        <w:ind w:left="0" w:right="0"/>
        <w:jc w:val="both"/>
        <w:rPr>
          <w:rFonts w:ascii="黑体" w:hAnsi="宋体" w:eastAsia="黑体" w:cs="黑体"/>
          <w:sz w:val="22"/>
          <w:szCs w:val="22"/>
        </w:rPr>
      </w:pPr>
      <w:r>
        <w:rPr>
          <w:rStyle w:val="34"/>
          <w:rFonts w:ascii="黑体" w:hAnsi="宋体" w:eastAsia="黑体" w:cs="黑体"/>
          <w:b/>
          <w:bCs/>
          <w:i w:val="0"/>
          <w:iCs w:val="0"/>
          <w:caps w:val="0"/>
          <w:spacing w:val="0"/>
          <w:sz w:val="22"/>
          <w:szCs w:val="22"/>
        </w:rPr>
        <w:t>四、提交投标文件截止时间、开标时间和地点</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8"/>
          <w:szCs w:val="24"/>
        </w:rPr>
      </w:pPr>
      <w:r>
        <w:rPr>
          <w:rFonts w:hint="eastAsia" w:ascii="仿宋" w:hAnsi="仿宋" w:eastAsia="仿宋" w:cs="仿宋"/>
          <w:i w:val="0"/>
          <w:iCs w:val="0"/>
          <w:caps w:val="0"/>
          <w:spacing w:val="0"/>
          <w:sz w:val="22"/>
          <w:szCs w:val="22"/>
        </w:rPr>
        <w:t>提交投标文件截止时间：2023年0</w:t>
      </w:r>
      <w:r>
        <w:rPr>
          <w:rFonts w:hint="eastAsia" w:ascii="仿宋" w:hAnsi="仿宋" w:eastAsia="仿宋" w:cs="仿宋"/>
          <w:i w:val="0"/>
          <w:iCs w:val="0"/>
          <w:caps w:val="0"/>
          <w:spacing w:val="0"/>
          <w:sz w:val="22"/>
          <w:szCs w:val="22"/>
          <w:lang w:val="en-US" w:eastAsia="zh-CN"/>
        </w:rPr>
        <w:t>4</w:t>
      </w:r>
      <w:r>
        <w:rPr>
          <w:rFonts w:hint="eastAsia" w:ascii="仿宋" w:hAnsi="仿宋" w:eastAsia="仿宋" w:cs="仿宋"/>
          <w:i w:val="0"/>
          <w:iCs w:val="0"/>
          <w:caps w:val="0"/>
          <w:spacing w:val="0"/>
          <w:sz w:val="22"/>
          <w:szCs w:val="22"/>
        </w:rPr>
        <w:t>月</w:t>
      </w:r>
      <w:r>
        <w:rPr>
          <w:rFonts w:hint="eastAsia" w:ascii="仿宋" w:hAnsi="仿宋" w:eastAsia="仿宋" w:cs="仿宋"/>
          <w:i w:val="0"/>
          <w:iCs w:val="0"/>
          <w:caps w:val="0"/>
          <w:spacing w:val="0"/>
          <w:sz w:val="22"/>
          <w:szCs w:val="22"/>
          <w:lang w:val="en-US" w:eastAsia="zh-CN"/>
        </w:rPr>
        <w:t>13</w:t>
      </w:r>
      <w:r>
        <w:rPr>
          <w:rFonts w:hint="eastAsia" w:ascii="仿宋" w:hAnsi="仿宋" w:eastAsia="仿宋" w:cs="仿宋"/>
          <w:i w:val="0"/>
          <w:iCs w:val="0"/>
          <w:caps w:val="0"/>
          <w:spacing w:val="0"/>
          <w:sz w:val="22"/>
          <w:szCs w:val="22"/>
        </w:rPr>
        <w:t>日 11:00（北京时间）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8"/>
          <w:szCs w:val="24"/>
        </w:rPr>
      </w:pPr>
      <w:r>
        <w:rPr>
          <w:rFonts w:hint="eastAsia" w:ascii="仿宋" w:hAnsi="仿宋" w:eastAsia="仿宋" w:cs="仿宋"/>
          <w:i w:val="0"/>
          <w:iCs w:val="0"/>
          <w:caps w:val="0"/>
          <w:spacing w:val="0"/>
          <w:sz w:val="22"/>
          <w:szCs w:val="22"/>
        </w:rPr>
        <w:t>投标地点：政采云一站式政府采购云平台</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8"/>
          <w:szCs w:val="24"/>
        </w:rPr>
      </w:pPr>
      <w:r>
        <w:rPr>
          <w:rFonts w:hint="eastAsia" w:ascii="仿宋" w:hAnsi="仿宋" w:eastAsia="仿宋" w:cs="仿宋"/>
          <w:i w:val="0"/>
          <w:iCs w:val="0"/>
          <w:caps w:val="0"/>
          <w:spacing w:val="0"/>
          <w:sz w:val="22"/>
          <w:szCs w:val="22"/>
        </w:rPr>
        <w:t>开标时间：2023年</w:t>
      </w:r>
      <w:r>
        <w:rPr>
          <w:rFonts w:hint="eastAsia" w:ascii="仿宋" w:hAnsi="仿宋" w:eastAsia="仿宋" w:cs="仿宋"/>
          <w:i w:val="0"/>
          <w:iCs w:val="0"/>
          <w:caps w:val="0"/>
          <w:spacing w:val="0"/>
          <w:sz w:val="22"/>
          <w:szCs w:val="22"/>
          <w:lang w:val="en-US" w:eastAsia="zh-CN"/>
        </w:rPr>
        <w:t>04</w:t>
      </w:r>
      <w:r>
        <w:rPr>
          <w:rFonts w:hint="eastAsia" w:ascii="仿宋" w:hAnsi="仿宋" w:eastAsia="仿宋" w:cs="仿宋"/>
          <w:i w:val="0"/>
          <w:iCs w:val="0"/>
          <w:caps w:val="0"/>
          <w:spacing w:val="0"/>
          <w:sz w:val="22"/>
          <w:szCs w:val="22"/>
        </w:rPr>
        <w:t>月</w:t>
      </w:r>
      <w:r>
        <w:rPr>
          <w:rFonts w:hint="eastAsia" w:ascii="仿宋" w:hAnsi="仿宋" w:eastAsia="仿宋" w:cs="仿宋"/>
          <w:i w:val="0"/>
          <w:iCs w:val="0"/>
          <w:caps w:val="0"/>
          <w:spacing w:val="0"/>
          <w:sz w:val="22"/>
          <w:szCs w:val="22"/>
          <w:lang w:val="en-US" w:eastAsia="zh-CN"/>
        </w:rPr>
        <w:t>13</w:t>
      </w:r>
      <w:r>
        <w:rPr>
          <w:rFonts w:hint="eastAsia" w:ascii="仿宋" w:hAnsi="仿宋" w:eastAsia="仿宋" w:cs="仿宋"/>
          <w:i w:val="0"/>
          <w:iCs w:val="0"/>
          <w:caps w:val="0"/>
          <w:spacing w:val="0"/>
          <w:sz w:val="22"/>
          <w:szCs w:val="22"/>
        </w:rPr>
        <w:t>日 11:00（北京时间）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8"/>
          <w:szCs w:val="24"/>
        </w:rPr>
      </w:pPr>
      <w:r>
        <w:rPr>
          <w:rFonts w:hint="eastAsia" w:ascii="仿宋" w:hAnsi="仿宋" w:eastAsia="仿宋" w:cs="仿宋"/>
          <w:i w:val="0"/>
          <w:iCs w:val="0"/>
          <w:caps w:val="0"/>
          <w:spacing w:val="0"/>
          <w:sz w:val="22"/>
          <w:szCs w:val="22"/>
        </w:rPr>
        <w:t>开标地点：政采云一站式政府采购云平台</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240" w:lineRule="atLeast"/>
        <w:ind w:left="0" w:right="0"/>
        <w:jc w:val="both"/>
        <w:rPr>
          <w:rFonts w:ascii="黑体" w:hAnsi="宋体" w:eastAsia="黑体" w:cs="黑体"/>
          <w:sz w:val="28"/>
          <w:szCs w:val="28"/>
        </w:rPr>
      </w:pPr>
      <w:r>
        <w:rPr>
          <w:rStyle w:val="34"/>
          <w:rFonts w:ascii="黑体" w:hAnsi="宋体" w:eastAsia="黑体" w:cs="黑体"/>
          <w:b/>
          <w:bCs/>
          <w:i w:val="0"/>
          <w:iCs w:val="0"/>
          <w:caps w:val="0"/>
          <w:spacing w:val="0"/>
          <w:sz w:val="22"/>
          <w:szCs w:val="22"/>
        </w:rPr>
        <w:t>五、公告期限</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8"/>
          <w:szCs w:val="24"/>
        </w:rPr>
      </w:pPr>
      <w:r>
        <w:rPr>
          <w:rFonts w:hint="eastAsia" w:ascii="仿宋" w:hAnsi="仿宋" w:eastAsia="仿宋" w:cs="仿宋"/>
          <w:i w:val="0"/>
          <w:iCs w:val="0"/>
          <w:caps w:val="0"/>
          <w:spacing w:val="0"/>
          <w:sz w:val="22"/>
          <w:szCs w:val="22"/>
        </w:rPr>
        <w:t>自本公告发布之日起5个工作日。</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240" w:lineRule="atLeast"/>
        <w:ind w:left="0" w:right="0"/>
        <w:jc w:val="both"/>
        <w:rPr>
          <w:rFonts w:ascii="黑体" w:hAnsi="宋体" w:eastAsia="黑体" w:cs="黑体"/>
          <w:sz w:val="22"/>
          <w:szCs w:val="22"/>
        </w:rPr>
      </w:pPr>
      <w:r>
        <w:rPr>
          <w:rStyle w:val="34"/>
          <w:rFonts w:ascii="黑体" w:hAnsi="宋体" w:eastAsia="黑体" w:cs="黑体"/>
          <w:b/>
          <w:bCs/>
          <w:i w:val="0"/>
          <w:iCs w:val="0"/>
          <w:caps w:val="0"/>
          <w:spacing w:val="0"/>
          <w:sz w:val="22"/>
          <w:szCs w:val="22"/>
        </w:rPr>
        <w:t>六、其他补充事宜</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 1、本项目实行电子招投标，供应商须登录政采云平台申请获取采购文件，并需要使用CA锁，登录政采云电子投标客户端制作投标文件，若供应商参与投标,自行承担与投标有关的一切费用。</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4.供应商在开标时须携带制作加密电子投标文件所使用的CA锁，电脑须提前配置好浏览器（建议使用360浏览器或谷歌浏览器），以便开标时在线解密。</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rFonts w:hint="eastAsia" w:ascii="仿宋" w:hAnsi="仿宋" w:eastAsia="仿宋" w:cs="仿宋"/>
          <w:i w:val="0"/>
          <w:iCs w:val="0"/>
          <w:caps w:val="0"/>
          <w:spacing w:val="0"/>
          <w:sz w:val="22"/>
          <w:szCs w:val="22"/>
          <w:lang w:eastAsia="zh-CN"/>
        </w:rPr>
      </w:pPr>
      <w:r>
        <w:rPr>
          <w:rFonts w:hint="eastAsia" w:ascii="仿宋" w:hAnsi="仿宋" w:eastAsia="仿宋" w:cs="仿宋"/>
          <w:i w:val="0"/>
          <w:iCs w:val="0"/>
          <w:caps w:val="0"/>
          <w:spacing w:val="0"/>
          <w:sz w:val="22"/>
          <w:szCs w:val="22"/>
        </w:rPr>
        <w:t>5.投标供应商应当在投标截止时间前，将生成的“电子加密投标文件”上传递交至“政府采购云平台”，投标截止时间以后上传递交的投标文件将被“政府采购云平台”拒收。</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sz w:val="28"/>
          <w:szCs w:val="24"/>
        </w:rPr>
      </w:pPr>
      <w:r>
        <w:rPr>
          <w:rFonts w:hint="eastAsia" w:ascii="仿宋" w:hAnsi="仿宋" w:eastAsia="仿宋" w:cs="仿宋"/>
          <w:i w:val="0"/>
          <w:iCs w:val="0"/>
          <w:caps w:val="0"/>
          <w:spacing w:val="0"/>
          <w:sz w:val="22"/>
          <w:szCs w:val="22"/>
        </w:rPr>
        <w:t>6.请投标单位随时关注本项目的澄清、答疑、变更事项。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i w:val="0"/>
          <w:iCs w:val="0"/>
          <w:caps w:val="0"/>
          <w:spacing w:val="0"/>
          <w:sz w:val="18"/>
          <w:szCs w:val="18"/>
          <w:lang w:eastAsia="zh-CN"/>
        </w:rPr>
      </w:pPr>
      <w:r>
        <w:rPr>
          <w:rFonts w:hint="eastAsia" w:ascii="微软雅黑" w:hAnsi="微软雅黑" w:eastAsia="微软雅黑" w:cs="微软雅黑"/>
          <w:i w:val="0"/>
          <w:iCs w:val="0"/>
          <w:caps w:val="0"/>
          <w:spacing w:val="0"/>
          <w:sz w:val="18"/>
          <w:szCs w:val="18"/>
        </w:rPr>
        <w:t>特别提示：</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i w:val="0"/>
          <w:iCs w:val="0"/>
          <w:caps w:val="0"/>
          <w:spacing w:val="0"/>
          <w:sz w:val="18"/>
          <w:szCs w:val="18"/>
          <w:lang w:eastAsia="zh-CN"/>
        </w:rPr>
      </w:pPr>
      <w:r>
        <w:rPr>
          <w:rFonts w:hint="eastAsia" w:ascii="微软雅黑" w:hAnsi="微软雅黑" w:eastAsia="微软雅黑" w:cs="微软雅黑"/>
          <w:i w:val="0"/>
          <w:iCs w:val="0"/>
          <w:caps w:val="0"/>
          <w:spacing w:val="0"/>
          <w:sz w:val="18"/>
          <w:szCs w:val="18"/>
        </w:rPr>
        <w:t>1、超过200万元的货物和服务采购项目、超过400万元的工程采购项目中适宜由中小企业提供的，预留该部分采购项目预算总额的30%以上专门面向中小企业采购，其中预留给小微企业的比例不低于60%。</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i w:val="0"/>
          <w:iCs w:val="0"/>
          <w:caps w:val="0"/>
          <w:spacing w:val="0"/>
          <w:sz w:val="18"/>
          <w:szCs w:val="18"/>
          <w:lang w:eastAsia="zh-CN"/>
        </w:rPr>
      </w:pPr>
      <w:r>
        <w:rPr>
          <w:rFonts w:hint="eastAsia" w:ascii="微软雅黑" w:hAnsi="微软雅黑" w:eastAsia="微软雅黑" w:cs="微软雅黑"/>
          <w:i w:val="0"/>
          <w:iCs w:val="0"/>
          <w:caps w:val="0"/>
          <w:spacing w:val="0"/>
          <w:sz w:val="18"/>
          <w:szCs w:val="18"/>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4"/>
        </w:rPr>
      </w:pPr>
      <w:r>
        <w:rPr>
          <w:rFonts w:hint="eastAsia" w:ascii="微软雅黑" w:hAnsi="微软雅黑" w:eastAsia="微软雅黑" w:cs="微软雅黑"/>
          <w:i w:val="0"/>
          <w:iCs w:val="0"/>
          <w:caps w:val="0"/>
          <w:spacing w:val="0"/>
          <w:sz w:val="18"/>
          <w:szCs w:val="18"/>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84" w:lineRule="atLeast"/>
        <w:ind w:left="0" w:right="0"/>
        <w:jc w:val="both"/>
        <w:rPr>
          <w:rFonts w:ascii="黑体" w:hAnsi="宋体" w:eastAsia="黑体" w:cs="黑体"/>
          <w:sz w:val="28"/>
          <w:szCs w:val="28"/>
        </w:rPr>
      </w:pPr>
      <w:r>
        <w:rPr>
          <w:rStyle w:val="34"/>
          <w:rFonts w:ascii="黑体" w:hAnsi="宋体" w:eastAsia="黑体" w:cs="黑体"/>
          <w:b/>
          <w:bCs/>
          <w:i w:val="0"/>
          <w:iCs w:val="0"/>
          <w:caps w:val="0"/>
          <w:spacing w:val="0"/>
          <w:sz w:val="22"/>
          <w:szCs w:val="22"/>
        </w:rPr>
        <w:t>七、对本次采购提出询问，请按以下方式联系</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2"/>
          <w:szCs w:val="22"/>
        </w:rPr>
      </w:pPr>
      <w:r>
        <w:rPr>
          <w:rFonts w:hint="eastAsia" w:ascii="仿宋" w:hAnsi="仿宋" w:eastAsia="仿宋" w:cs="仿宋"/>
          <w:i w:val="0"/>
          <w:iCs w:val="0"/>
          <w:caps w:val="0"/>
          <w:spacing w:val="0"/>
          <w:sz w:val="22"/>
          <w:szCs w:val="22"/>
        </w:rPr>
        <w:t>1.采购人信息</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2"/>
          <w:szCs w:val="22"/>
          <w:lang w:val="en-US" w:eastAsia="zh-CN"/>
        </w:rPr>
      </w:pPr>
      <w:r>
        <w:rPr>
          <w:rFonts w:hint="eastAsia" w:ascii="仿宋" w:hAnsi="仿宋" w:eastAsia="仿宋" w:cs="仿宋"/>
          <w:i w:val="0"/>
          <w:iCs w:val="0"/>
          <w:caps w:val="0"/>
          <w:spacing w:val="0"/>
          <w:sz w:val="22"/>
          <w:szCs w:val="22"/>
        </w:rPr>
        <w:t>名 称：阿瓦提县</w:t>
      </w:r>
      <w:r>
        <w:rPr>
          <w:rFonts w:hint="eastAsia" w:ascii="仿宋" w:hAnsi="仿宋" w:eastAsia="仿宋" w:cs="仿宋"/>
          <w:i w:val="0"/>
          <w:iCs w:val="0"/>
          <w:caps w:val="0"/>
          <w:spacing w:val="0"/>
          <w:sz w:val="22"/>
          <w:szCs w:val="22"/>
          <w:lang w:eastAsia="zh-CN"/>
        </w:rPr>
        <w:t>农业农村局</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2"/>
          <w:szCs w:val="22"/>
        </w:rPr>
      </w:pPr>
      <w:r>
        <w:rPr>
          <w:rFonts w:hint="eastAsia" w:ascii="仿宋" w:hAnsi="仿宋" w:eastAsia="仿宋" w:cs="仿宋"/>
          <w:i w:val="0"/>
          <w:iCs w:val="0"/>
          <w:caps w:val="0"/>
          <w:spacing w:val="0"/>
          <w:sz w:val="22"/>
          <w:szCs w:val="22"/>
        </w:rPr>
        <w:t>地 址：阿瓦提县</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 w:hAnsi="仿宋" w:eastAsia="仿宋" w:cs="仿宋"/>
          <w:i w:val="0"/>
          <w:iCs w:val="0"/>
          <w:caps w:val="0"/>
          <w:spacing w:val="0"/>
          <w:sz w:val="22"/>
          <w:szCs w:val="22"/>
          <w:lang w:val="en-US" w:eastAsia="zh-CN"/>
        </w:rPr>
      </w:pPr>
      <w:r>
        <w:rPr>
          <w:rFonts w:hint="eastAsia" w:ascii="仿宋" w:hAnsi="仿宋" w:eastAsia="仿宋" w:cs="仿宋"/>
          <w:i w:val="0"/>
          <w:iCs w:val="0"/>
          <w:caps w:val="0"/>
          <w:spacing w:val="0"/>
          <w:sz w:val="22"/>
          <w:szCs w:val="22"/>
        </w:rPr>
        <w:t>联系方式：</w:t>
      </w:r>
      <w:r>
        <w:rPr>
          <w:rFonts w:hint="eastAsia" w:ascii="仿宋" w:hAnsi="仿宋" w:eastAsia="仿宋" w:cs="仿宋"/>
          <w:i w:val="0"/>
          <w:iCs w:val="0"/>
          <w:caps w:val="0"/>
          <w:spacing w:val="0"/>
          <w:sz w:val="22"/>
          <w:szCs w:val="22"/>
          <w:lang w:val="en-US" w:eastAsia="zh-CN"/>
        </w:rPr>
        <w:t>15899332201</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2"/>
          <w:szCs w:val="22"/>
        </w:rPr>
      </w:pPr>
      <w:r>
        <w:rPr>
          <w:rFonts w:hint="eastAsia" w:ascii="仿宋" w:hAnsi="仿宋" w:eastAsia="仿宋" w:cs="仿宋"/>
          <w:i w:val="0"/>
          <w:iCs w:val="0"/>
          <w:caps w:val="0"/>
          <w:spacing w:val="0"/>
          <w:sz w:val="22"/>
          <w:szCs w:val="22"/>
        </w:rPr>
        <w:t>2.采购代理机构信息</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2"/>
          <w:szCs w:val="22"/>
        </w:rPr>
      </w:pPr>
      <w:r>
        <w:rPr>
          <w:rFonts w:hint="eastAsia" w:ascii="仿宋" w:hAnsi="仿宋" w:eastAsia="仿宋" w:cs="仿宋"/>
          <w:i w:val="0"/>
          <w:iCs w:val="0"/>
          <w:caps w:val="0"/>
          <w:spacing w:val="0"/>
          <w:sz w:val="22"/>
          <w:szCs w:val="22"/>
        </w:rPr>
        <w:t>名 称：新疆豪诚项目管理咨询有限公司</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2"/>
          <w:szCs w:val="22"/>
        </w:rPr>
      </w:pPr>
      <w:r>
        <w:rPr>
          <w:rFonts w:hint="eastAsia" w:ascii="仿宋" w:hAnsi="仿宋" w:eastAsia="仿宋" w:cs="仿宋"/>
          <w:i w:val="0"/>
          <w:iCs w:val="0"/>
          <w:caps w:val="0"/>
          <w:spacing w:val="0"/>
          <w:sz w:val="22"/>
          <w:szCs w:val="22"/>
        </w:rPr>
        <w:t>地 址：阿克苏市栏杆路原地区农业局家属院2号楼1单元501室</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2"/>
          <w:szCs w:val="22"/>
        </w:rPr>
      </w:pPr>
      <w:r>
        <w:rPr>
          <w:rFonts w:hint="eastAsia" w:ascii="仿宋" w:hAnsi="仿宋" w:eastAsia="仿宋" w:cs="仿宋"/>
          <w:i w:val="0"/>
          <w:iCs w:val="0"/>
          <w:caps w:val="0"/>
          <w:spacing w:val="0"/>
          <w:sz w:val="22"/>
          <w:szCs w:val="22"/>
        </w:rPr>
        <w:t>联系方式：15209975163</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2"/>
          <w:szCs w:val="22"/>
        </w:rPr>
      </w:pPr>
      <w:r>
        <w:rPr>
          <w:rFonts w:hint="eastAsia" w:ascii="仿宋" w:hAnsi="仿宋" w:eastAsia="仿宋" w:cs="仿宋"/>
          <w:i w:val="0"/>
          <w:iCs w:val="0"/>
          <w:caps w:val="0"/>
          <w:spacing w:val="0"/>
          <w:sz w:val="22"/>
          <w:szCs w:val="22"/>
        </w:rPr>
        <w:t>3.项目联系方式</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2"/>
          <w:szCs w:val="22"/>
        </w:rPr>
      </w:pPr>
      <w:r>
        <w:rPr>
          <w:rFonts w:hint="eastAsia" w:ascii="仿宋" w:hAnsi="仿宋" w:eastAsia="仿宋" w:cs="仿宋"/>
          <w:i w:val="0"/>
          <w:iCs w:val="0"/>
          <w:caps w:val="0"/>
          <w:spacing w:val="0"/>
          <w:sz w:val="22"/>
          <w:szCs w:val="22"/>
        </w:rPr>
        <w:t>项目联系人：青浩浩</w:t>
      </w:r>
    </w:p>
    <w:p>
      <w:pPr>
        <w:pStyle w:val="38"/>
        <w:rPr>
          <w:rFonts w:hint="eastAsia"/>
          <w:color w:val="auto"/>
          <w:sz w:val="22"/>
          <w:szCs w:val="22"/>
          <w:lang w:val="en-US" w:eastAsia="zh-CN"/>
        </w:rPr>
      </w:pPr>
      <w:r>
        <w:rPr>
          <w:rFonts w:hint="eastAsia" w:ascii="仿宋" w:hAnsi="仿宋" w:eastAsia="仿宋" w:cs="仿宋"/>
          <w:i w:val="0"/>
          <w:iCs w:val="0"/>
          <w:caps w:val="0"/>
          <w:spacing w:val="0"/>
          <w:sz w:val="22"/>
          <w:szCs w:val="22"/>
        </w:rPr>
        <w:t>电 话：15209975163</w:t>
      </w:r>
    </w:p>
    <w:p>
      <w:pPr>
        <w:pStyle w:val="38"/>
        <w:rPr>
          <w:rFonts w:hint="eastAsia"/>
          <w:color w:val="auto"/>
          <w:sz w:val="28"/>
          <w:szCs w:val="28"/>
          <w:lang w:val="en-US" w:eastAsia="zh-CN"/>
        </w:rPr>
      </w:pPr>
    </w:p>
    <w:p>
      <w:pPr>
        <w:pStyle w:val="38"/>
        <w:rPr>
          <w:rFonts w:hint="eastAsia"/>
          <w:color w:val="auto"/>
          <w:sz w:val="28"/>
          <w:szCs w:val="28"/>
          <w:lang w:val="en-US" w:eastAsia="zh-CN"/>
        </w:rPr>
      </w:pPr>
    </w:p>
    <w:p>
      <w:pPr>
        <w:pStyle w:val="38"/>
        <w:rPr>
          <w:rFonts w:hint="eastAsia"/>
          <w:color w:val="auto"/>
          <w:sz w:val="28"/>
          <w:szCs w:val="28"/>
          <w:lang w:val="en-US" w:eastAsia="zh-CN"/>
        </w:rPr>
      </w:pPr>
    </w:p>
    <w:p>
      <w:pPr>
        <w:pStyle w:val="38"/>
        <w:rPr>
          <w:rFonts w:hint="eastAsia"/>
          <w:color w:val="auto"/>
          <w:sz w:val="28"/>
          <w:szCs w:val="28"/>
          <w:lang w:val="en-US" w:eastAsia="zh-CN"/>
        </w:rPr>
      </w:pPr>
    </w:p>
    <w:p>
      <w:pPr>
        <w:pStyle w:val="38"/>
        <w:rPr>
          <w:rFonts w:hint="eastAsia"/>
          <w:color w:val="auto"/>
          <w:sz w:val="28"/>
          <w:szCs w:val="28"/>
          <w:lang w:val="en-US" w:eastAsia="zh-CN"/>
        </w:rPr>
      </w:pPr>
    </w:p>
    <w:p>
      <w:pPr>
        <w:pStyle w:val="38"/>
        <w:rPr>
          <w:rFonts w:hint="eastAsia"/>
          <w:color w:val="auto"/>
          <w:sz w:val="28"/>
          <w:szCs w:val="28"/>
          <w:lang w:val="en-US" w:eastAsia="zh-CN"/>
        </w:rPr>
      </w:pPr>
    </w:p>
    <w:p>
      <w:pPr>
        <w:pStyle w:val="38"/>
        <w:rPr>
          <w:rFonts w:hint="eastAsia"/>
          <w:color w:val="auto"/>
          <w:sz w:val="28"/>
          <w:szCs w:val="28"/>
          <w:lang w:val="en-US" w:eastAsia="zh-CN"/>
        </w:rPr>
      </w:pPr>
    </w:p>
    <w:p>
      <w:pPr>
        <w:pStyle w:val="38"/>
        <w:rPr>
          <w:rFonts w:hint="default"/>
          <w:color w:val="auto"/>
          <w:sz w:val="28"/>
          <w:szCs w:val="28"/>
          <w:lang w:val="en-US" w:eastAsia="zh-CN"/>
        </w:rPr>
      </w:pPr>
    </w:p>
    <w:p>
      <w:pPr>
        <w:pStyle w:val="17"/>
        <w:keepNext w:val="0"/>
        <w:keepLines w:val="0"/>
        <w:widowControl/>
        <w:suppressLineNumbers w:val="0"/>
        <w:spacing w:before="38" w:beforeAutospacing="0" w:after="38" w:afterAutospacing="0"/>
        <w:ind w:left="0" w:right="0"/>
        <w:rPr>
          <w:sz w:val="24"/>
          <w:szCs w:val="24"/>
        </w:rPr>
      </w:pPr>
      <w:bookmarkStart w:id="231" w:name="_GoBack"/>
      <w:bookmarkEnd w:id="231"/>
    </w:p>
    <w:p>
      <w:pPr>
        <w:numPr>
          <w:ilvl w:val="0"/>
          <w:numId w:val="4"/>
        </w:numPr>
        <w:spacing w:afterLines="100" w:line="400" w:lineRule="exact"/>
        <w:ind w:left="0" w:leftChars="0" w:firstLine="0" w:firstLineChars="0"/>
        <w:jc w:val="center"/>
        <w:outlineLvl w:val="1"/>
        <w:rPr>
          <w:rFonts w:hint="eastAsia" w:ascii="黑体" w:hAnsi="黑体" w:eastAsia="黑体"/>
          <w:sz w:val="32"/>
          <w:szCs w:val="32"/>
        </w:rPr>
      </w:pPr>
      <w:r>
        <w:rPr>
          <w:rFonts w:hint="eastAsia" w:ascii="黑体" w:hAnsi="黑体" w:eastAsia="黑体"/>
          <w:sz w:val="32"/>
          <w:szCs w:val="32"/>
        </w:rPr>
        <w:t xml:space="preserve"> </w:t>
      </w:r>
      <w:bookmarkStart w:id="14" w:name="_Toc21384"/>
      <w:r>
        <w:rPr>
          <w:rFonts w:hint="eastAsia" w:ascii="黑体" w:hAnsi="黑体" w:eastAsia="黑体"/>
          <w:sz w:val="32"/>
          <w:szCs w:val="32"/>
        </w:rPr>
        <w:t>投标人须知</w:t>
      </w:r>
      <w:bookmarkEnd w:id="14"/>
      <w:bookmarkStart w:id="15" w:name="_Toc7536"/>
    </w:p>
    <w:p>
      <w:pPr>
        <w:numPr>
          <w:ilvl w:val="0"/>
          <w:numId w:val="0"/>
        </w:numPr>
        <w:spacing w:afterLines="100" w:line="400" w:lineRule="exact"/>
        <w:ind w:leftChars="0"/>
        <w:jc w:val="both"/>
        <w:outlineLvl w:val="1"/>
        <w:rPr>
          <w:rFonts w:hint="eastAsia" w:ascii="黑体" w:hAnsi="黑体" w:eastAsia="黑体" w:cs="Times New Roman"/>
          <w:color w:val="auto"/>
          <w:sz w:val="28"/>
          <w:szCs w:val="28"/>
        </w:rPr>
      </w:pPr>
      <w:bookmarkStart w:id="16" w:name="_Toc3922"/>
      <w:r>
        <w:rPr>
          <w:rFonts w:hint="eastAsia" w:ascii="黑体" w:hAnsi="黑体" w:eastAsia="黑体" w:cs="Times New Roman"/>
          <w:color w:val="auto"/>
          <w:sz w:val="28"/>
          <w:szCs w:val="28"/>
        </w:rPr>
        <w:t>投标人须知前附表</w:t>
      </w:r>
      <w:bookmarkEnd w:id="13"/>
      <w:bookmarkEnd w:id="15"/>
      <w:bookmarkEnd w:id="16"/>
    </w:p>
    <w:tbl>
      <w:tblPr>
        <w:tblStyle w:val="31"/>
        <w:tblW w:w="9571" w:type="dxa"/>
        <w:jc w:val="center"/>
        <w:tblLayout w:type="fixed"/>
        <w:tblCellMar>
          <w:top w:w="0" w:type="dxa"/>
          <w:left w:w="108" w:type="dxa"/>
          <w:bottom w:w="0" w:type="dxa"/>
          <w:right w:w="108" w:type="dxa"/>
        </w:tblCellMar>
      </w:tblPr>
      <w:tblGrid>
        <w:gridCol w:w="767"/>
        <w:gridCol w:w="2659"/>
        <w:gridCol w:w="6145"/>
      </w:tblGrid>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lang w:val="zh-CN"/>
              </w:rPr>
            </w:pPr>
            <w:r>
              <w:rPr>
                <w:rFonts w:hint="eastAsia" w:ascii="仿宋" w:hAnsi="仿宋" w:eastAsia="仿宋" w:cs="仿宋"/>
                <w:sz w:val="24"/>
                <w:szCs w:val="24"/>
                <w:lang w:val="zh-CN"/>
              </w:rPr>
              <w:t>序号</w:t>
            </w: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lang w:val="zh-CN"/>
              </w:rPr>
            </w:pPr>
            <w:r>
              <w:rPr>
                <w:rFonts w:hint="eastAsia" w:ascii="仿宋" w:hAnsi="仿宋" w:eastAsia="仿宋" w:cs="仿宋"/>
                <w:sz w:val="24"/>
                <w:szCs w:val="24"/>
                <w:lang w:val="zh-CN"/>
              </w:rPr>
              <w:t>条款名称</w:t>
            </w:r>
          </w:p>
        </w:tc>
        <w:tc>
          <w:tcPr>
            <w:tcW w:w="6145"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lang w:val="zh-CN"/>
              </w:rPr>
            </w:pPr>
            <w:r>
              <w:rPr>
                <w:rFonts w:hint="eastAsia" w:ascii="仿宋" w:hAnsi="仿宋" w:eastAsia="仿宋" w:cs="仿宋"/>
                <w:sz w:val="24"/>
                <w:szCs w:val="24"/>
                <w:lang w:val="zh-CN"/>
              </w:rPr>
              <w:t>编列内容</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lang w:val="zh-CN"/>
              </w:rPr>
              <w:t>采购人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zh-CN"/>
              </w:rPr>
            </w:pPr>
            <w:r>
              <w:rPr>
                <w:rFonts w:hint="eastAsia" w:ascii="仿宋" w:hAnsi="仿宋" w:eastAsia="仿宋"/>
                <w:sz w:val="24"/>
                <w:szCs w:val="24"/>
                <w:lang w:val="zh-CN"/>
              </w:rPr>
              <w:t>名称：</w:t>
            </w:r>
            <w:r>
              <w:rPr>
                <w:rFonts w:hint="eastAsia" w:ascii="仿宋" w:hAnsi="仿宋" w:eastAsia="仿宋"/>
                <w:sz w:val="24"/>
                <w:szCs w:val="24"/>
                <w:lang w:val="zh-CN" w:eastAsia="zh-CN"/>
              </w:rPr>
              <w:t>阿瓦提县农业农村局</w:t>
            </w:r>
          </w:p>
          <w:p>
            <w:pPr>
              <w:spacing w:line="400" w:lineRule="exact"/>
              <w:rPr>
                <w:rFonts w:hint="eastAsia" w:ascii="仿宋" w:hAnsi="仿宋" w:eastAsia="仿宋"/>
                <w:sz w:val="24"/>
                <w:szCs w:val="24"/>
                <w:lang w:val="zh-CN" w:eastAsia="zh-CN"/>
              </w:rPr>
            </w:pPr>
            <w:r>
              <w:rPr>
                <w:rFonts w:hint="eastAsia" w:ascii="仿宋" w:hAnsi="仿宋" w:eastAsia="仿宋"/>
                <w:sz w:val="24"/>
                <w:szCs w:val="24"/>
                <w:lang w:val="zh-CN"/>
              </w:rPr>
              <w:t>地址：</w:t>
            </w:r>
            <w:r>
              <w:rPr>
                <w:rFonts w:hint="eastAsia" w:ascii="仿宋" w:hAnsi="仿宋" w:eastAsia="仿宋"/>
                <w:sz w:val="24"/>
                <w:szCs w:val="24"/>
                <w:lang w:val="zh-CN" w:eastAsia="zh-CN"/>
              </w:rPr>
              <w:t>阿瓦提县</w:t>
            </w:r>
          </w:p>
          <w:p>
            <w:pPr>
              <w:spacing w:line="400" w:lineRule="exact"/>
              <w:rPr>
                <w:rFonts w:hint="eastAsia" w:ascii="仿宋" w:hAnsi="仿宋" w:eastAsia="仿宋"/>
                <w:sz w:val="24"/>
                <w:szCs w:val="24"/>
                <w:lang w:val="zh-CN"/>
              </w:rPr>
            </w:pPr>
            <w:r>
              <w:rPr>
                <w:rFonts w:hint="eastAsia" w:ascii="仿宋" w:hAnsi="仿宋" w:eastAsia="仿宋"/>
                <w:sz w:val="24"/>
                <w:szCs w:val="24"/>
                <w:lang w:val="zh-CN"/>
              </w:rPr>
              <w:t>联系人：</w:t>
            </w:r>
            <w:r>
              <w:rPr>
                <w:rFonts w:hint="eastAsia" w:ascii="仿宋" w:hAnsi="仿宋" w:eastAsia="仿宋"/>
                <w:sz w:val="24"/>
                <w:szCs w:val="24"/>
                <w:lang w:val="zh-CN" w:eastAsia="zh-CN"/>
              </w:rPr>
              <w:t>王吉祥</w:t>
            </w:r>
          </w:p>
          <w:p>
            <w:pPr>
              <w:spacing w:line="400" w:lineRule="exact"/>
              <w:rPr>
                <w:rFonts w:hint="default" w:ascii="仿宋" w:hAnsi="仿宋" w:eastAsia="仿宋"/>
                <w:sz w:val="24"/>
                <w:szCs w:val="24"/>
                <w:lang w:val="en-US" w:eastAsia="zh-CN"/>
              </w:rPr>
            </w:pPr>
            <w:r>
              <w:rPr>
                <w:rFonts w:hint="eastAsia" w:ascii="仿宋" w:hAnsi="仿宋" w:eastAsia="仿宋"/>
                <w:sz w:val="24"/>
                <w:szCs w:val="24"/>
                <w:lang w:val="zh-CN"/>
              </w:rPr>
              <w:t>电</w:t>
            </w:r>
            <w:r>
              <w:rPr>
                <w:rFonts w:hint="eastAsia" w:ascii="仿宋" w:hAnsi="仿宋" w:eastAsia="仿宋"/>
                <w:sz w:val="24"/>
                <w:szCs w:val="24"/>
                <w:lang w:val="en-US" w:eastAsia="zh-CN"/>
              </w:rPr>
              <w:t xml:space="preserve">  </w:t>
            </w:r>
            <w:r>
              <w:rPr>
                <w:rFonts w:hint="eastAsia" w:ascii="仿宋" w:hAnsi="仿宋" w:eastAsia="仿宋"/>
                <w:sz w:val="24"/>
                <w:szCs w:val="24"/>
                <w:lang w:val="zh-CN"/>
              </w:rPr>
              <w:t>话：</w:t>
            </w:r>
            <w:r>
              <w:rPr>
                <w:rFonts w:hint="eastAsia" w:ascii="仿宋" w:hAnsi="仿宋" w:eastAsia="仿宋"/>
                <w:sz w:val="24"/>
                <w:szCs w:val="24"/>
                <w:lang w:val="en-US" w:eastAsia="zh-CN"/>
              </w:rPr>
              <w:t>15899332201</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采购代理机构</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zh-CN"/>
              </w:rPr>
            </w:pPr>
            <w:r>
              <w:rPr>
                <w:rFonts w:hint="eastAsia" w:ascii="仿宋" w:hAnsi="仿宋" w:eastAsia="仿宋"/>
                <w:sz w:val="24"/>
                <w:szCs w:val="24"/>
                <w:lang w:val="zh-CN"/>
              </w:rPr>
              <w:t>名称：新疆豪诚项目管理咨询有限公司</w:t>
            </w:r>
          </w:p>
          <w:p>
            <w:pPr>
              <w:spacing w:line="400" w:lineRule="exact"/>
              <w:rPr>
                <w:rFonts w:hint="eastAsia" w:ascii="仿宋" w:hAnsi="仿宋" w:eastAsia="仿宋"/>
                <w:sz w:val="24"/>
                <w:szCs w:val="24"/>
                <w:lang w:val="zh-CN"/>
              </w:rPr>
            </w:pPr>
            <w:r>
              <w:rPr>
                <w:rFonts w:hint="eastAsia" w:ascii="仿宋" w:hAnsi="仿宋" w:eastAsia="仿宋"/>
                <w:sz w:val="24"/>
                <w:szCs w:val="24"/>
                <w:lang w:val="zh-CN"/>
              </w:rPr>
              <w:t>地址：阿克苏市栏杆路原地区农业局家属院2号楼1单元501室</w:t>
            </w:r>
          </w:p>
          <w:p>
            <w:pPr>
              <w:spacing w:line="400" w:lineRule="exact"/>
              <w:rPr>
                <w:rFonts w:hint="eastAsia" w:ascii="仿宋" w:hAnsi="仿宋" w:eastAsia="仿宋"/>
                <w:sz w:val="24"/>
                <w:szCs w:val="24"/>
                <w:lang w:val="zh-CN"/>
              </w:rPr>
            </w:pPr>
            <w:r>
              <w:rPr>
                <w:rFonts w:hint="eastAsia" w:ascii="仿宋" w:hAnsi="仿宋" w:eastAsia="仿宋"/>
                <w:sz w:val="24"/>
                <w:szCs w:val="24"/>
                <w:lang w:val="zh-CN"/>
              </w:rPr>
              <w:t>联系人：</w:t>
            </w:r>
            <w:r>
              <w:rPr>
                <w:rFonts w:hint="eastAsia" w:ascii="仿宋" w:hAnsi="仿宋" w:eastAsia="仿宋"/>
                <w:sz w:val="24"/>
                <w:szCs w:val="24"/>
                <w:lang w:val="en-US" w:eastAsia="zh-CN"/>
              </w:rPr>
              <w:t>青浩浩</w:t>
            </w:r>
            <w:r>
              <w:rPr>
                <w:rFonts w:hint="eastAsia" w:ascii="仿宋" w:hAnsi="仿宋" w:eastAsia="仿宋"/>
                <w:sz w:val="24"/>
                <w:szCs w:val="24"/>
                <w:lang w:val="zh-CN"/>
              </w:rPr>
              <w:t xml:space="preserve">  </w:t>
            </w:r>
          </w:p>
          <w:p>
            <w:pPr>
              <w:spacing w:line="400" w:lineRule="exact"/>
              <w:rPr>
                <w:rFonts w:hint="default" w:ascii="仿宋" w:hAnsi="仿宋" w:eastAsia="仿宋"/>
                <w:sz w:val="24"/>
                <w:szCs w:val="24"/>
                <w:lang w:val="en-US" w:eastAsia="zh-CN"/>
              </w:rPr>
            </w:pPr>
            <w:r>
              <w:rPr>
                <w:rFonts w:hint="eastAsia" w:ascii="仿宋" w:hAnsi="仿宋" w:eastAsia="仿宋"/>
                <w:sz w:val="24"/>
                <w:szCs w:val="24"/>
                <w:lang w:val="zh-CN"/>
              </w:rPr>
              <w:t>电</w:t>
            </w:r>
            <w:r>
              <w:rPr>
                <w:rFonts w:hint="eastAsia" w:ascii="仿宋" w:hAnsi="仿宋" w:eastAsia="仿宋"/>
                <w:sz w:val="24"/>
                <w:szCs w:val="24"/>
                <w:lang w:val="en-US" w:eastAsia="zh-CN"/>
              </w:rPr>
              <w:t xml:space="preserve">  </w:t>
            </w:r>
            <w:r>
              <w:rPr>
                <w:rFonts w:hint="eastAsia" w:ascii="仿宋" w:hAnsi="仿宋" w:eastAsia="仿宋"/>
                <w:sz w:val="24"/>
                <w:szCs w:val="24"/>
                <w:lang w:val="zh-CN"/>
              </w:rPr>
              <w:t>话：</w:t>
            </w:r>
            <w:r>
              <w:rPr>
                <w:rFonts w:hint="eastAsia" w:ascii="仿宋" w:hAnsi="仿宋" w:eastAsia="仿宋"/>
                <w:sz w:val="24"/>
                <w:szCs w:val="24"/>
                <w:lang w:val="en-US" w:eastAsia="zh-CN"/>
              </w:rPr>
              <w:t>15209975163</w:t>
            </w:r>
            <w:r>
              <w:rPr>
                <w:rFonts w:hint="eastAsia" w:ascii="仿宋" w:hAnsi="仿宋" w:eastAsia="仿宋"/>
                <w:sz w:val="24"/>
                <w:szCs w:val="24"/>
                <w:lang w:val="zh-CN"/>
              </w:rPr>
              <w:t> </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ascii="仿宋" w:hAnsi="仿宋" w:eastAsia="仿宋"/>
                <w:sz w:val="24"/>
                <w:szCs w:val="24"/>
              </w:rPr>
              <w:t>项目名称</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en-US" w:eastAsia="zh-CN"/>
              </w:rPr>
            </w:pPr>
            <w:r>
              <w:rPr>
                <w:rFonts w:hint="eastAsia" w:ascii="仿宋" w:hAnsi="仿宋" w:eastAsia="仿宋" w:cs="仿宋"/>
                <w:i w:val="0"/>
                <w:iCs w:val="0"/>
                <w:caps w:val="0"/>
                <w:color w:val="000000"/>
                <w:spacing w:val="0"/>
                <w:sz w:val="24"/>
                <w:szCs w:val="24"/>
                <w:lang w:val="en-US" w:eastAsia="zh-CN"/>
              </w:rPr>
              <w:t>阿瓦提县2023年乡村振兴项目第二标段塔木托格拉克镇拉帕村人居环境整治项目；</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项目编号</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sz w:val="24"/>
                <w:szCs w:val="24"/>
                <w:lang w:val="en-US" w:eastAsia="zh-CN"/>
              </w:rPr>
            </w:pPr>
            <w:r>
              <w:rPr>
                <w:rFonts w:hint="eastAsia" w:ascii="仿宋" w:hAnsi="仿宋" w:eastAsia="仿宋" w:cs="仿宋"/>
                <w:i w:val="0"/>
                <w:iCs w:val="0"/>
                <w:caps w:val="0"/>
                <w:color w:val="000000"/>
                <w:spacing w:val="0"/>
                <w:sz w:val="24"/>
                <w:szCs w:val="24"/>
                <w:lang w:val="en-US" w:eastAsia="zh-CN"/>
              </w:rPr>
              <w:t>XJHC-2023-012</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rPr>
              <w:t>资金来源</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援疆资金；</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采购内容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highlight w:val="none"/>
                <w:lang w:eastAsia="zh-CN"/>
              </w:rPr>
            </w:pPr>
            <w:r>
              <w:rPr>
                <w:rFonts w:hint="eastAsia" w:ascii="仿宋" w:hAnsi="仿宋" w:eastAsia="仿宋" w:cs="仿宋"/>
                <w:i w:val="0"/>
                <w:iCs w:val="0"/>
                <w:caps w:val="0"/>
                <w:color w:val="000000"/>
                <w:spacing w:val="0"/>
                <w:sz w:val="24"/>
                <w:szCs w:val="24"/>
                <w:lang w:val="en-US" w:eastAsia="zh-CN"/>
              </w:rPr>
              <w:t>人居环境整治</w:t>
            </w:r>
            <w:r>
              <w:rPr>
                <w:rFonts w:hint="eastAsia" w:ascii="仿宋" w:hAnsi="仿宋" w:eastAsia="仿宋"/>
                <w:sz w:val="24"/>
                <w:szCs w:val="24"/>
                <w:highlight w:val="none"/>
                <w:lang w:val="en-US" w:eastAsia="zh-CN"/>
              </w:rPr>
              <w:t>（详见工程量清单）；</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cs="Times New Roman"/>
                <w:sz w:val="24"/>
                <w:szCs w:val="24"/>
                <w:lang w:val="en-US" w:eastAsia="zh-CN"/>
              </w:rPr>
              <w:t>★</w:t>
            </w:r>
            <w:r>
              <w:rPr>
                <w:rFonts w:hint="eastAsia" w:ascii="仿宋" w:hAnsi="仿宋" w:eastAsia="仿宋"/>
                <w:sz w:val="24"/>
                <w:szCs w:val="24"/>
              </w:rPr>
              <w:t>最高限价</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1896569.94</w:t>
            </w:r>
            <w:r>
              <w:rPr>
                <w:rFonts w:hint="eastAsia" w:ascii="仿宋" w:hAnsi="仿宋" w:eastAsia="仿宋"/>
                <w:sz w:val="24"/>
                <w:szCs w:val="24"/>
              </w:rPr>
              <w:t>元</w:t>
            </w:r>
            <w:r>
              <w:rPr>
                <w:rFonts w:hint="eastAsia" w:ascii="仿宋" w:hAnsi="仿宋" w:eastAsia="仿宋"/>
                <w:sz w:val="24"/>
                <w:szCs w:val="24"/>
                <w:lang w:eastAsia="zh-CN"/>
              </w:rPr>
              <w:t>（</w:t>
            </w:r>
            <w:r>
              <w:rPr>
                <w:rFonts w:hint="eastAsia" w:ascii="仿宋" w:hAnsi="仿宋" w:eastAsia="仿宋"/>
                <w:sz w:val="24"/>
                <w:szCs w:val="24"/>
                <w:lang w:val="en-US" w:eastAsia="zh-CN"/>
              </w:rPr>
              <w:t>大写：壹佰捌拾玖万陆仟伍佰陆拾玖元玖角肆分</w:t>
            </w:r>
            <w:r>
              <w:rPr>
                <w:rFonts w:hint="eastAsia" w:ascii="仿宋" w:hAnsi="仿宋" w:eastAsia="仿宋"/>
                <w:sz w:val="24"/>
                <w:szCs w:val="24"/>
                <w:lang w:eastAsia="zh-CN"/>
              </w:rPr>
              <w:t>）；</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lang w:val="en-US" w:eastAsia="zh-CN"/>
              </w:rPr>
              <w:t>工</w:t>
            </w:r>
            <w:r>
              <w:rPr>
                <w:rFonts w:hint="eastAsia" w:ascii="仿宋" w:hAnsi="仿宋" w:eastAsia="仿宋"/>
                <w:sz w:val="24"/>
                <w:szCs w:val="24"/>
              </w:rPr>
              <w:t>期</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lang w:val="en-US" w:eastAsia="zh-CN"/>
              </w:rPr>
            </w:pPr>
            <w:r>
              <w:rPr>
                <w:rFonts w:hint="eastAsia" w:ascii="仿宋" w:hAnsi="仿宋" w:eastAsia="仿宋" w:cs="仿宋"/>
                <w:color w:val="auto"/>
                <w:sz w:val="24"/>
                <w:highlight w:val="none"/>
                <w:lang w:val="en-US" w:eastAsia="zh-CN"/>
              </w:rPr>
              <w:t>签订合同后至2023年7月20日前完工。 </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地点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lang w:val="en-US" w:eastAsia="zh-CN"/>
              </w:rPr>
            </w:pPr>
            <w:r>
              <w:rPr>
                <w:rFonts w:hint="eastAsia" w:ascii="仿宋" w:hAnsi="仿宋" w:eastAsia="仿宋" w:cs="仿宋"/>
                <w:sz w:val="24"/>
                <w:lang w:val="en-US" w:eastAsia="zh-CN"/>
              </w:rPr>
              <w:t>采购人指定地点；</w:t>
            </w:r>
          </w:p>
        </w:tc>
      </w:tr>
      <w:tr>
        <w:tblPrEx>
          <w:tblCellMar>
            <w:top w:w="0" w:type="dxa"/>
            <w:left w:w="108" w:type="dxa"/>
            <w:bottom w:w="0" w:type="dxa"/>
            <w:right w:w="108" w:type="dxa"/>
          </w:tblCellMar>
        </w:tblPrEx>
        <w:trPr>
          <w:trHeight w:val="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是否接受联合体投标</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zh-CN"/>
              </w:rPr>
              <w:t>☑</w:t>
            </w:r>
            <w:r>
              <w:rPr>
                <w:rFonts w:hint="eastAsia" w:ascii="仿宋" w:hAnsi="仿宋" w:eastAsia="仿宋"/>
                <w:sz w:val="24"/>
                <w:szCs w:val="24"/>
              </w:rPr>
              <w:t>不接受</w:t>
            </w:r>
            <w:r>
              <w:rPr>
                <w:rFonts w:hint="eastAsia" w:ascii="仿宋" w:hAnsi="仿宋" w:eastAsia="仿宋"/>
                <w:sz w:val="24"/>
                <w:szCs w:val="24"/>
                <w:lang w:eastAsia="zh-CN"/>
              </w:rPr>
              <w:t>；</w:t>
            </w:r>
          </w:p>
          <w:p>
            <w:pPr>
              <w:spacing w:line="400" w:lineRule="exact"/>
              <w:rPr>
                <w:rFonts w:hint="eastAsia" w:ascii="仿宋" w:hAnsi="仿宋" w:eastAsia="仿宋"/>
                <w:sz w:val="24"/>
                <w:szCs w:val="24"/>
                <w:lang w:eastAsia="zh-CN"/>
              </w:rPr>
            </w:pPr>
            <w:r>
              <w:rPr>
                <w:rFonts w:hint="eastAsia" w:ascii="仿宋" w:hAnsi="仿宋" w:eastAsia="仿宋"/>
                <w:sz w:val="24"/>
                <w:szCs w:val="24"/>
              </w:rPr>
              <w:t>□接受，应满足下列要求：</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lang w:val="zh-CN"/>
              </w:rPr>
              <w:t>投标有效期</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zh-CN" w:eastAsia="zh-CN"/>
              </w:rPr>
            </w:pPr>
            <w:r>
              <w:rPr>
                <w:rFonts w:hint="eastAsia" w:ascii="仿宋" w:hAnsi="仿宋" w:eastAsia="仿宋"/>
                <w:sz w:val="24"/>
                <w:szCs w:val="24"/>
              </w:rPr>
              <w:t>自投标截止之日起</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60</w:t>
            </w:r>
            <w:r>
              <w:rPr>
                <w:rFonts w:ascii="仿宋" w:hAnsi="仿宋" w:eastAsia="仿宋"/>
                <w:sz w:val="24"/>
                <w:szCs w:val="24"/>
                <w:u w:val="single"/>
              </w:rPr>
              <w:t xml:space="preserve"> </w:t>
            </w:r>
            <w:r>
              <w:rPr>
                <w:rFonts w:hint="eastAsia" w:ascii="仿宋" w:hAnsi="仿宋" w:eastAsia="仿宋"/>
                <w:sz w:val="24"/>
                <w:szCs w:val="24"/>
                <w:u w:val="single"/>
              </w:rPr>
              <w:t>天</w:t>
            </w:r>
            <w:r>
              <w:rPr>
                <w:rFonts w:hint="eastAsia" w:ascii="仿宋" w:hAnsi="仿宋" w:eastAsia="仿宋"/>
                <w:sz w:val="24"/>
                <w:szCs w:val="24"/>
              </w:rPr>
              <w:t>。</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踏勘现场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☑不组织，自行踏勘；</w:t>
            </w:r>
          </w:p>
          <w:p>
            <w:pPr>
              <w:spacing w:line="400" w:lineRule="exact"/>
              <w:rPr>
                <w:rFonts w:ascii="仿宋" w:hAnsi="仿宋" w:eastAsia="仿宋"/>
                <w:sz w:val="24"/>
                <w:szCs w:val="24"/>
                <w:lang w:val="zh-CN"/>
              </w:rPr>
            </w:pPr>
            <w:r>
              <w:rPr>
                <w:rFonts w:hint="eastAsia" w:ascii="仿宋" w:hAnsi="仿宋" w:eastAsia="仿宋" w:cs="仿宋"/>
                <w:sz w:val="24"/>
                <w:szCs w:val="24"/>
                <w:lang w:val="zh-CN"/>
              </w:rPr>
              <w:t>□ 组织，踏勘时间：</w:t>
            </w:r>
            <w:r>
              <w:rPr>
                <w:rFonts w:hint="eastAsia" w:ascii="仿宋" w:hAnsi="仿宋" w:eastAsia="仿宋" w:cs="仿宋"/>
                <w:sz w:val="24"/>
                <w:szCs w:val="24"/>
                <w:u w:val="single"/>
                <w:lang w:val="zh-CN"/>
              </w:rPr>
              <w:t xml:space="preserve">               ；</w:t>
            </w:r>
          </w:p>
          <w:p>
            <w:pPr>
              <w:tabs>
                <w:tab w:val="left" w:pos="7665"/>
              </w:tabs>
              <w:spacing w:line="400" w:lineRule="exact"/>
              <w:ind w:firstLine="1080" w:firstLineChars="450"/>
              <w:rPr>
                <w:rFonts w:ascii="仿宋" w:hAnsi="仿宋" w:eastAsia="仿宋" w:cs="仿宋"/>
                <w:sz w:val="24"/>
                <w:szCs w:val="24"/>
                <w:lang w:val="zh-CN"/>
              </w:rPr>
            </w:pPr>
            <w:r>
              <w:rPr>
                <w:rFonts w:hint="eastAsia" w:ascii="仿宋" w:hAnsi="仿宋" w:eastAsia="仿宋" w:cs="仿宋"/>
                <w:sz w:val="24"/>
                <w:szCs w:val="24"/>
                <w:lang w:val="zh-CN"/>
              </w:rPr>
              <w:t>踏勘地点：</w:t>
            </w:r>
            <w:r>
              <w:rPr>
                <w:rFonts w:hint="eastAsia" w:ascii="仿宋" w:hAnsi="仿宋" w:eastAsia="仿宋" w:cs="仿宋"/>
                <w:sz w:val="24"/>
                <w:szCs w:val="24"/>
                <w:u w:val="single"/>
                <w:lang w:val="zh-CN"/>
              </w:rPr>
              <w:t xml:space="preserve">               ；</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履约保证金</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olor w:val="auto"/>
                <w:sz w:val="24"/>
                <w:szCs w:val="24"/>
                <w:lang w:eastAsia="zh-CN"/>
              </w:rPr>
            </w:pPr>
            <w:r>
              <w:rPr>
                <w:rFonts w:hint="eastAsia" w:ascii="仿宋" w:hAnsi="仿宋" w:eastAsia="仿宋" w:cs="仿宋"/>
                <w:sz w:val="24"/>
                <w:szCs w:val="24"/>
                <w:lang w:val="zh-CN"/>
              </w:rPr>
              <w:t>□</w:t>
            </w:r>
            <w:r>
              <w:rPr>
                <w:rFonts w:hint="eastAsia" w:ascii="仿宋" w:hAnsi="仿宋" w:eastAsia="仿宋"/>
                <w:color w:val="auto"/>
                <w:sz w:val="24"/>
                <w:szCs w:val="24"/>
              </w:rPr>
              <w:t>不需要</w:t>
            </w:r>
            <w:r>
              <w:rPr>
                <w:rFonts w:hint="eastAsia" w:ascii="仿宋" w:hAnsi="仿宋" w:eastAsia="仿宋"/>
                <w:color w:val="auto"/>
                <w:sz w:val="24"/>
                <w:szCs w:val="24"/>
                <w:lang w:eastAsia="zh-CN"/>
              </w:rPr>
              <w:t>；</w:t>
            </w:r>
          </w:p>
          <w:p>
            <w:pPr>
              <w:spacing w:line="400" w:lineRule="exact"/>
              <w:rPr>
                <w:rFonts w:hint="eastAsia" w:ascii="仿宋" w:hAnsi="仿宋" w:eastAsia="仿宋"/>
                <w:sz w:val="24"/>
                <w:szCs w:val="24"/>
                <w:lang w:eastAsia="zh-CN"/>
              </w:rPr>
            </w:pPr>
            <w:r>
              <w:rPr>
                <w:rFonts w:hint="eastAsia" w:ascii="仿宋" w:hAnsi="仿宋" w:eastAsia="仿宋" w:cs="仿宋"/>
                <w:sz w:val="24"/>
                <w:szCs w:val="24"/>
                <w:lang w:val="zh-CN"/>
              </w:rPr>
              <w:sym w:font="Wingdings 2" w:char="0052"/>
            </w:r>
            <w:r>
              <w:rPr>
                <w:rFonts w:hint="eastAsia" w:ascii="仿宋" w:hAnsi="仿宋" w:eastAsia="仿宋"/>
                <w:color w:val="auto"/>
                <w:sz w:val="24"/>
                <w:szCs w:val="24"/>
              </w:rPr>
              <w:t xml:space="preserve"> 需要，履约保证金的金额：中标合同金额的</w:t>
            </w:r>
            <w:r>
              <w:rPr>
                <w:rFonts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10</w:t>
            </w:r>
            <w:r>
              <w:rPr>
                <w:rFonts w:hint="eastAsia" w:ascii="仿宋" w:hAnsi="仿宋" w:eastAsia="仿宋"/>
                <w:color w:val="auto"/>
                <w:sz w:val="24"/>
                <w:szCs w:val="24"/>
              </w:rPr>
              <w:t>%（履约保证金须以支票、汇票、本票或者金融机构、担保机构出具的保函等非现金形式提交）</w:t>
            </w:r>
            <w:r>
              <w:rPr>
                <w:rFonts w:hint="eastAsia" w:ascii="仿宋" w:hAnsi="仿宋" w:eastAsia="仿宋"/>
                <w:color w:val="auto"/>
                <w:sz w:val="24"/>
                <w:szCs w:val="24"/>
                <w:lang w:eastAsia="zh-CN"/>
              </w:rPr>
              <w:t>；</w:t>
            </w:r>
          </w:p>
        </w:tc>
      </w:tr>
      <w:tr>
        <w:tblPrEx>
          <w:tblCellMar>
            <w:top w:w="0" w:type="dxa"/>
            <w:left w:w="108" w:type="dxa"/>
            <w:bottom w:w="0" w:type="dxa"/>
            <w:right w:w="108" w:type="dxa"/>
          </w:tblCellMar>
        </w:tblPrEx>
        <w:trPr>
          <w:trHeight w:val="10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lang w:val="zh-CN"/>
              </w:rPr>
              <w:t>采购代理服务费支付</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w:t>
            </w:r>
            <w:r>
              <w:rPr>
                <w:rFonts w:hint="eastAsia" w:ascii="仿宋" w:hAnsi="仿宋" w:eastAsia="仿宋"/>
                <w:sz w:val="24"/>
                <w:szCs w:val="24"/>
                <w:lang w:val="zh-CN"/>
              </w:rPr>
              <w:t>由采购人支付；</w:t>
            </w:r>
          </w:p>
          <w:p>
            <w:pPr>
              <w:spacing w:line="400" w:lineRule="exact"/>
              <w:rPr>
                <w:rFonts w:ascii="仿宋" w:hAnsi="仿宋" w:eastAsia="仿宋"/>
                <w:sz w:val="24"/>
                <w:szCs w:val="24"/>
                <w:u w:val="single"/>
                <w:lang w:val="zh-CN"/>
              </w:rPr>
            </w:pPr>
            <w:r>
              <w:rPr>
                <w:rFonts w:hint="eastAsia" w:ascii="仿宋" w:hAnsi="仿宋" w:eastAsia="仿宋" w:cs="仿宋"/>
                <w:sz w:val="24"/>
                <w:szCs w:val="24"/>
                <w:lang w:val="zh-CN"/>
              </w:rPr>
              <w:t>☑</w:t>
            </w:r>
            <w:r>
              <w:rPr>
                <w:rFonts w:hint="eastAsia" w:ascii="仿宋" w:hAnsi="仿宋" w:eastAsia="仿宋"/>
                <w:sz w:val="24"/>
                <w:szCs w:val="24"/>
                <w:lang w:val="zh-CN"/>
              </w:rPr>
              <w:t>由中标人支付；</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sz w:val="24"/>
                <w:szCs w:val="24"/>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构成招标文件的其他材料</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eastAsia="zh-CN"/>
              </w:rPr>
            </w:pPr>
            <w:r>
              <w:rPr>
                <w:rFonts w:hint="eastAsia" w:ascii="仿宋" w:hAnsi="仿宋" w:eastAsia="仿宋"/>
                <w:sz w:val="24"/>
                <w:szCs w:val="24"/>
              </w:rPr>
              <w:t>补充文件</w:t>
            </w:r>
            <w:r>
              <w:rPr>
                <w:rFonts w:hint="eastAsia" w:ascii="仿宋" w:hAnsi="仿宋" w:eastAsia="仿宋"/>
                <w:sz w:val="24"/>
                <w:szCs w:val="24"/>
                <w:lang w:eastAsia="zh-CN"/>
              </w:rPr>
              <w:t>；</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ascii="仿宋" w:hAnsi="仿宋" w:eastAsia="仿宋"/>
                <w:sz w:val="24"/>
                <w:szCs w:val="24"/>
              </w:rPr>
              <w:t>投标人确认收到招标文件澄清或修改的时间</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u w:val="single"/>
                <w:lang w:val="zh-CN"/>
              </w:rPr>
            </w:pPr>
            <w:r>
              <w:rPr>
                <w:rFonts w:hint="eastAsia" w:ascii="仿宋" w:hAnsi="仿宋" w:eastAsia="仿宋" w:cs="仿宋"/>
                <w:sz w:val="24"/>
                <w:szCs w:val="24"/>
                <w:lang w:val="zh-CN"/>
              </w:rPr>
              <w:t>从补充文件发布时间开始</w:t>
            </w:r>
            <w:r>
              <w:rPr>
                <w:rFonts w:ascii="仿宋" w:hAnsi="仿宋" w:eastAsia="仿宋" w:cs="仿宋"/>
                <w:sz w:val="24"/>
                <w:szCs w:val="24"/>
                <w:lang w:val="zh-CN"/>
              </w:rPr>
              <w:t>48</w:t>
            </w:r>
            <w:r>
              <w:rPr>
                <w:rFonts w:hint="eastAsia" w:ascii="仿宋" w:hAnsi="仿宋" w:eastAsia="仿宋" w:cs="仿宋"/>
                <w:sz w:val="24"/>
                <w:szCs w:val="24"/>
                <w:lang w:val="zh-CN"/>
              </w:rPr>
              <w:t>小时内；</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Times New Roman"/>
                <w:sz w:val="24"/>
                <w:szCs w:val="24"/>
                <w:lang w:val="en-US" w:eastAsia="zh-CN"/>
              </w:rPr>
              <w:t>★</w:t>
            </w:r>
            <w:r>
              <w:rPr>
                <w:rFonts w:hint="eastAsia" w:ascii="仿宋" w:hAnsi="仿宋" w:eastAsia="仿宋" w:cs="仿宋"/>
                <w:sz w:val="24"/>
                <w:szCs w:val="24"/>
                <w:lang w:val="zh-CN"/>
              </w:rPr>
              <w:t>投标人资格条件</w:t>
            </w:r>
          </w:p>
        </w:tc>
        <w:tc>
          <w:tcPr>
            <w:tcW w:w="6145"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1.满足《中华人民共和国政府采购法》第二十二条规定；</w:t>
            </w:r>
          </w:p>
          <w:p>
            <w:pPr>
              <w:pStyle w:val="17"/>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2.落实政府采购政策需满足的资格要求：标项1</w:t>
            </w:r>
            <w:r>
              <w:rPr>
                <w:rFonts w:hint="eastAsia" w:ascii="仿宋" w:hAnsi="仿宋" w:eastAsia="仿宋" w:cs="仿宋"/>
                <w:i w:val="0"/>
                <w:iCs w:val="0"/>
                <w:caps w:val="0"/>
                <w:color w:val="000000"/>
                <w:spacing w:val="0"/>
                <w:sz w:val="24"/>
                <w:szCs w:val="24"/>
                <w:lang w:val="en-US" w:eastAsia="zh-CN"/>
              </w:rPr>
              <w:t>：</w:t>
            </w:r>
          </w:p>
          <w:p>
            <w:pPr>
              <w:pStyle w:val="17"/>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（1）财政部、工业和信息化部关于印发《政府采购促进中小企业发展管理办法》的通知（财库〔2020〕46号）；</w:t>
            </w:r>
          </w:p>
          <w:p>
            <w:pPr>
              <w:pStyle w:val="17"/>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（2）（财库〔2014〕68号）；</w:t>
            </w:r>
          </w:p>
          <w:p>
            <w:pPr>
              <w:pStyle w:val="17"/>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（3）《国务院办公厅关于建立政府强制采购节能产品制度的通知》（国办发〔2007〕51号）；</w:t>
            </w:r>
          </w:p>
          <w:p>
            <w:pPr>
              <w:pStyle w:val="17"/>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（4）《财政部民政部中国残疾人联合会关于促进残疾人就业政府采购政策的通知》财库〔2017〕141号。</w:t>
            </w:r>
          </w:p>
          <w:p>
            <w:pPr>
              <w:pStyle w:val="17"/>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7"/>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3.本项目的特定资格要求：</w:t>
            </w:r>
          </w:p>
          <w:p>
            <w:pPr>
              <w:pStyle w:val="17"/>
              <w:keepNext w:val="0"/>
              <w:keepLines w:val="0"/>
              <w:widowControl/>
              <w:suppressLineNumbers w:val="0"/>
              <w:spacing w:before="38" w:beforeAutospacing="0" w:after="38" w:afterAutospacing="0"/>
              <w:ind w:left="0" w:right="0" w:firstLine="420"/>
              <w:jc w:val="left"/>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（1）具备有效的营业执照；</w:t>
            </w:r>
          </w:p>
          <w:p>
            <w:pPr>
              <w:pStyle w:val="17"/>
              <w:keepNext w:val="0"/>
              <w:keepLines w:val="0"/>
              <w:widowControl/>
              <w:suppressLineNumbers w:val="0"/>
              <w:spacing w:before="38" w:beforeAutospacing="0" w:after="38" w:afterAutospacing="0"/>
              <w:ind w:left="0" w:right="0" w:firstLine="420"/>
              <w:jc w:val="left"/>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2</w:t>
            </w:r>
            <w:r>
              <w:rPr>
                <w:rFonts w:hint="eastAsia" w:ascii="仿宋" w:hAnsi="仿宋" w:eastAsia="仿宋" w:cs="仿宋"/>
                <w:i w:val="0"/>
                <w:iCs w:val="0"/>
                <w:caps w:val="0"/>
                <w:color w:val="000000"/>
                <w:spacing w:val="0"/>
                <w:sz w:val="24"/>
                <w:szCs w:val="24"/>
                <w:lang w:eastAsia="zh-CN"/>
              </w:rPr>
              <w:t>）具备[施工总承包·建筑工程·建筑工程三级](含)以上并且[施工专业承包·钢结构工程·钢结构工程三级](含)以上资质；有效的安全生产许可证；外省投标企业须提供《新疆维吾尔自治区区外建设工程企业信息登记册》或新疆工程建设云下载审核通过的信息报送册；项目负责人需满足【建筑工程专业注册建造师二级】（含）以上注册建造师执业资格;</w:t>
            </w:r>
          </w:p>
          <w:p>
            <w:pPr>
              <w:pStyle w:val="17"/>
              <w:keepNext w:val="0"/>
              <w:keepLines w:val="0"/>
              <w:widowControl/>
              <w:suppressLineNumbers w:val="0"/>
              <w:spacing w:before="38" w:beforeAutospacing="0" w:after="38" w:afterAutospacing="0"/>
              <w:ind w:left="0" w:right="0" w:firstLine="420"/>
              <w:jc w:val="left"/>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lang w:eastAsia="zh-CN"/>
              </w:rPr>
              <w:t>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供应商网上自行打印后加盖供应商公章﹚；</w:t>
            </w:r>
          </w:p>
          <w:p>
            <w:pPr>
              <w:pStyle w:val="17"/>
              <w:keepNext w:val="0"/>
              <w:keepLines w:val="0"/>
              <w:widowControl/>
              <w:suppressLineNumbers w:val="0"/>
              <w:spacing w:before="38" w:beforeAutospacing="0" w:after="38" w:afterAutospacing="0"/>
              <w:ind w:left="0" w:right="0" w:firstLine="420"/>
              <w:jc w:val="left"/>
              <w:rPr>
                <w:rFonts w:ascii="仿宋" w:hAnsi="仿宋" w:eastAsia="仿宋" w:cs="仿宋"/>
                <w:sz w:val="24"/>
                <w:szCs w:val="24"/>
              </w:rPr>
            </w:pP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4</w:t>
            </w:r>
            <w:r>
              <w:rPr>
                <w:rFonts w:hint="eastAsia" w:ascii="仿宋" w:hAnsi="仿宋" w:eastAsia="仿宋" w:cs="仿宋"/>
                <w:i w:val="0"/>
                <w:iCs w:val="0"/>
                <w:caps w:val="0"/>
                <w:color w:val="000000"/>
                <w:spacing w:val="0"/>
                <w:sz w:val="24"/>
                <w:szCs w:val="24"/>
                <w:lang w:eastAsia="zh-CN"/>
              </w:rPr>
              <w:t>）与采购人存在利害关系可能影响公正性的单位，不得参加</w:t>
            </w:r>
            <w:r>
              <w:rPr>
                <w:rFonts w:hint="eastAsia" w:ascii="仿宋" w:hAnsi="仿宋" w:eastAsia="仿宋" w:cs="仿宋"/>
                <w:i w:val="0"/>
                <w:iCs w:val="0"/>
                <w:caps w:val="0"/>
                <w:color w:val="000000"/>
                <w:spacing w:val="0"/>
                <w:sz w:val="24"/>
                <w:szCs w:val="24"/>
                <w:lang w:val="en-US" w:eastAsia="zh-CN"/>
              </w:rPr>
              <w:t>投标</w:t>
            </w:r>
            <w:r>
              <w:rPr>
                <w:rFonts w:hint="eastAsia" w:ascii="仿宋" w:hAnsi="仿宋" w:eastAsia="仿宋" w:cs="仿宋"/>
                <w:i w:val="0"/>
                <w:iCs w:val="0"/>
                <w:caps w:val="0"/>
                <w:color w:val="000000"/>
                <w:spacing w:val="0"/>
                <w:sz w:val="24"/>
                <w:szCs w:val="24"/>
                <w:lang w:eastAsia="zh-CN"/>
              </w:rPr>
              <w:t>。单位负责人为同一人或存在控股、管理关系的不同单位，不得参加同一标段</w:t>
            </w:r>
            <w:r>
              <w:rPr>
                <w:rFonts w:hint="eastAsia" w:ascii="仿宋" w:hAnsi="仿宋" w:eastAsia="仿宋" w:cs="仿宋"/>
                <w:i w:val="0"/>
                <w:iCs w:val="0"/>
                <w:caps w:val="0"/>
                <w:color w:val="000000"/>
                <w:spacing w:val="0"/>
                <w:sz w:val="24"/>
                <w:szCs w:val="24"/>
                <w:lang w:val="en-US" w:eastAsia="zh-CN"/>
              </w:rPr>
              <w:t>投标</w:t>
            </w:r>
            <w:r>
              <w:rPr>
                <w:rFonts w:hint="eastAsia" w:ascii="仿宋" w:hAnsi="仿宋" w:eastAsia="仿宋" w:cs="仿宋"/>
                <w:i w:val="0"/>
                <w:iCs w:val="0"/>
                <w:caps w:val="0"/>
                <w:color w:val="000000"/>
                <w:spacing w:val="0"/>
                <w:sz w:val="24"/>
                <w:szCs w:val="24"/>
                <w:lang w:eastAsia="zh-CN"/>
              </w:rPr>
              <w:t>，否则，相关</w:t>
            </w:r>
            <w:r>
              <w:rPr>
                <w:rFonts w:hint="eastAsia" w:ascii="仿宋" w:hAnsi="仿宋" w:eastAsia="仿宋" w:cs="仿宋"/>
                <w:i w:val="0"/>
                <w:iCs w:val="0"/>
                <w:caps w:val="0"/>
                <w:color w:val="000000"/>
                <w:spacing w:val="0"/>
                <w:sz w:val="24"/>
                <w:szCs w:val="24"/>
                <w:lang w:val="en-US" w:eastAsia="zh-CN"/>
              </w:rPr>
              <w:t>投标</w:t>
            </w:r>
            <w:r>
              <w:rPr>
                <w:rFonts w:hint="eastAsia" w:ascii="仿宋" w:hAnsi="仿宋" w:eastAsia="仿宋" w:cs="仿宋"/>
                <w:i w:val="0"/>
                <w:iCs w:val="0"/>
                <w:caps w:val="0"/>
                <w:color w:val="000000"/>
                <w:spacing w:val="0"/>
                <w:sz w:val="24"/>
                <w:szCs w:val="24"/>
                <w:lang w:eastAsia="zh-CN"/>
              </w:rPr>
              <w:t>均无效。</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eastAsia="zh-CN"/>
              </w:rPr>
              <w:t>中小企业扶持政策</w:t>
            </w:r>
          </w:p>
        </w:tc>
        <w:tc>
          <w:tcPr>
            <w:tcW w:w="6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关于中小企业、残疾人福利性单位、监狱企业扶持政策落实的规定：</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按照《新疆维吾尔自治区政府采购促进中小企业发展管理实施办法》（新财规〔2021〕6号）；</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1、中小企业报价的价格扣除</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（1）对中小企业报价的价格给予10%的扣除，用扣除后的价格参与评审。</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（2）供应商需按照采购文件的要求提供《中小企业声明函》，详见第六章“招标文件格式”附件八。</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（3）企业标准请参照《关于印发中小企业划型标准规定的通知》（工信部联企业[2011]300号）文件规定自行填写。</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2、残疾人福利性单位报价的价格扣除</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（1）对残疾人福利性单位视同小型、微型企业，给予10%的价格扣除，用扣除后的价格参与评审。</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（2）残疾人福利性单位需按照采购文件的要求提供《残疾人福利性单位声明函》。</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（3）残疾人福利性单位标准请参照《关于促进残疾人就业政府采购政策的通知》（财库〔2017〕141号）。</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3、监狱和戒毒企业报价的价格扣除</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（1）对监狱和戒毒企业（简称监狱企业）视同小型、微型企业，给予10%的价格扣除，用扣除后的价格参与评审。</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（3）监狱企业标准请参照《关于政府采购支持监狱企业发展有关问题的通知》（财库[2014]68号）。</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4、残疾人福利单位、监狱企业属于小型、微型企业的，不重复享受政策。</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40%以上的，给予联合体4%的价格扣除，用扣除后的价格参与评审。（注意：组成联合体的中小企业与联合体内其他企业之间不得存在直接控股、管理关系）</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en-US" w:eastAsia="zh-CN"/>
              </w:rPr>
              <w:t>6、联合体各方均为小型、微型企业（残疾人福利单位、监狱企业）的，联合体享受10%价格扣除，用扣除后的价格参与评审。</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是否允许递交备选投标方案</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☑不允许</w:t>
            </w:r>
          </w:p>
          <w:p>
            <w:pPr>
              <w:spacing w:line="400" w:lineRule="exact"/>
              <w:ind w:left="360" w:hanging="360" w:hangingChars="150"/>
              <w:rPr>
                <w:rFonts w:ascii="仿宋" w:hAnsi="仿宋" w:eastAsia="仿宋"/>
                <w:sz w:val="24"/>
                <w:szCs w:val="24"/>
                <w:u w:val="single"/>
                <w:lang w:val="zh-CN"/>
              </w:rPr>
            </w:pPr>
            <w:r>
              <w:rPr>
                <w:rFonts w:hint="eastAsia" w:ascii="仿宋" w:hAnsi="仿宋" w:eastAsia="仿宋" w:cs="仿宋"/>
                <w:sz w:val="24"/>
                <w:szCs w:val="24"/>
                <w:lang w:val="zh-CN"/>
              </w:rPr>
              <w:t>□允许。要求：只有中标人所递交的备选投标方案方可予以考虑。评标委员会认为中标人的备选投标方案优于其按照招标文件要求的投标方案，采购人可以接受该备选投标方案。</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投标报价的范围</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含税全包价，包括产品保险、运输、装卸、安装、调试、培训、验收等一切费用。</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sz w:val="24"/>
                <w:szCs w:val="24"/>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投标报价的次数</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本次投标报价为一次不得更改报价，投标人只有一次报价的机会。投标报价（即开标报价）不得有选择性报价和附有条件的报价，且不得高于预算金额（备注：设定最高限价的，本项内容改为最高限价）。</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样品</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left="360" w:hanging="360"/>
              <w:rPr>
                <w:rFonts w:ascii="仿宋" w:hAnsi="仿宋" w:eastAsia="仿宋"/>
                <w:sz w:val="24"/>
                <w:szCs w:val="24"/>
                <w:lang w:val="zh-CN"/>
              </w:rPr>
            </w:pPr>
            <w:r>
              <w:rPr>
                <w:rFonts w:hint="eastAsia" w:ascii="仿宋" w:hAnsi="仿宋" w:eastAsia="仿宋" w:cs="仿宋"/>
                <w:sz w:val="24"/>
                <w:szCs w:val="24"/>
                <w:lang w:val="zh-CN"/>
              </w:rPr>
              <w:t>☑不需要；</w:t>
            </w:r>
          </w:p>
          <w:p>
            <w:pPr>
              <w:spacing w:line="400" w:lineRule="exact"/>
              <w:ind w:left="360" w:hanging="360"/>
              <w:rPr>
                <w:rFonts w:ascii="仿宋" w:hAnsi="仿宋" w:eastAsia="仿宋" w:cs="仿宋"/>
                <w:sz w:val="24"/>
                <w:szCs w:val="24"/>
              </w:rPr>
            </w:pPr>
            <w:r>
              <w:rPr>
                <w:rFonts w:hint="eastAsia" w:ascii="仿宋" w:hAnsi="仿宋" w:eastAsia="仿宋" w:cs="仿宋"/>
                <w:sz w:val="24"/>
                <w:szCs w:val="24"/>
                <w:lang w:val="zh-CN"/>
              </w:rPr>
              <w:t>□需</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要；</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szCs w:val="24"/>
                <w:lang w:val="zh-CN"/>
              </w:rPr>
            </w:pPr>
            <w:r>
              <w:rPr>
                <w:rFonts w:hint="eastAsia" w:ascii="仿宋" w:hAnsi="仿宋" w:eastAsia="仿宋" w:cs="Times New Roman"/>
                <w:sz w:val="24"/>
                <w:szCs w:val="24"/>
                <w:lang w:val="en-US" w:eastAsia="zh-CN"/>
              </w:rPr>
              <w:t>★</w:t>
            </w:r>
            <w:r>
              <w:rPr>
                <w:rFonts w:hint="eastAsia" w:ascii="仿宋" w:hAnsi="仿宋" w:eastAsia="仿宋" w:cs="仿宋"/>
                <w:sz w:val="24"/>
                <w:szCs w:val="24"/>
                <w:lang w:val="zh-CN"/>
              </w:rPr>
              <w:t>投标保证金的交纳</w:t>
            </w:r>
            <w:r>
              <w:rPr>
                <w:rFonts w:hint="eastAsia" w:ascii="仿宋" w:hAnsi="仿宋" w:eastAsia="仿宋" w:cs="仿宋"/>
                <w:b/>
                <w:bCs/>
                <w:sz w:val="24"/>
                <w:szCs w:val="24"/>
                <w:lang w:val="zh-CN"/>
              </w:rPr>
              <w:t>（本项目不缴纳）</w:t>
            </w:r>
          </w:p>
        </w:tc>
        <w:tc>
          <w:tcPr>
            <w:tcW w:w="6145"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金额：</w:t>
            </w:r>
            <w:r>
              <w:rPr>
                <w:rFonts w:hint="eastAsia" w:ascii="仿宋" w:hAnsi="仿宋" w:eastAsia="仿宋" w:cs="仿宋"/>
                <w:sz w:val="24"/>
                <w:szCs w:val="24"/>
                <w:lang w:val="en-US" w:eastAsia="zh-CN"/>
              </w:rPr>
              <w:t>/</w:t>
            </w:r>
          </w:p>
          <w:p>
            <w:pPr>
              <w:numPr>
                <w:ilvl w:val="0"/>
                <w:numId w:val="6"/>
              </w:num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2时间：</w:t>
            </w:r>
            <w:r>
              <w:rPr>
                <w:rFonts w:hint="eastAsia" w:ascii="仿宋" w:hAnsi="仿宋" w:eastAsia="仿宋" w:cs="仿宋"/>
                <w:sz w:val="24"/>
                <w:szCs w:val="24"/>
                <w:lang w:val="en-US" w:eastAsia="zh-CN"/>
              </w:rPr>
              <w:t>/</w:t>
            </w:r>
            <w:r>
              <w:rPr>
                <w:rFonts w:hint="eastAsia" w:ascii="仿宋" w:hAnsi="仿宋" w:eastAsia="仿宋" w:cs="仿宋"/>
                <w:sz w:val="24"/>
                <w:szCs w:val="24"/>
              </w:rPr>
              <w:t>年</w:t>
            </w:r>
            <w:r>
              <w:rPr>
                <w:rFonts w:hint="eastAsia" w:ascii="仿宋" w:hAnsi="仿宋" w:eastAsia="仿宋" w:cs="仿宋"/>
                <w:sz w:val="24"/>
                <w:szCs w:val="24"/>
                <w:lang w:val="en-US" w:eastAsia="zh-CN"/>
              </w:rPr>
              <w:t>/</w:t>
            </w:r>
            <w:r>
              <w:rPr>
                <w:rFonts w:hint="eastAsia" w:ascii="仿宋" w:hAnsi="仿宋" w:eastAsia="仿宋" w:cs="仿宋"/>
                <w:sz w:val="24"/>
                <w:szCs w:val="24"/>
              </w:rPr>
              <w:t>月</w:t>
            </w:r>
            <w:r>
              <w:rPr>
                <w:rFonts w:hint="eastAsia" w:ascii="仿宋" w:hAnsi="仿宋" w:eastAsia="仿宋" w:cs="仿宋"/>
                <w:sz w:val="24"/>
                <w:szCs w:val="24"/>
                <w:lang w:val="en-US" w:eastAsia="zh-CN"/>
              </w:rPr>
              <w:t>/</w:t>
            </w:r>
            <w:r>
              <w:rPr>
                <w:rFonts w:hint="eastAsia" w:ascii="仿宋" w:hAnsi="仿宋" w:eastAsia="仿宋" w:cs="仿宋"/>
                <w:sz w:val="24"/>
                <w:szCs w:val="24"/>
              </w:rPr>
              <w:t>日</w:t>
            </w:r>
            <w:r>
              <w:rPr>
                <w:rFonts w:hint="eastAsia" w:ascii="仿宋" w:hAnsi="仿宋" w:eastAsia="仿宋" w:cs="仿宋"/>
                <w:sz w:val="24"/>
                <w:szCs w:val="24"/>
                <w:lang w:val="en-US" w:eastAsia="zh-CN"/>
              </w:rPr>
              <w:t>/</w:t>
            </w:r>
            <w:r>
              <w:rPr>
                <w:rFonts w:hint="eastAsia" w:ascii="仿宋" w:hAnsi="仿宋" w:eastAsia="仿宋" w:cs="仿宋"/>
                <w:sz w:val="24"/>
                <w:szCs w:val="24"/>
              </w:rPr>
              <w:t>点00分前（以投标保证金到账时间为准）交纳，交纳账户信息如下：</w:t>
            </w:r>
          </w:p>
          <w:p>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开户名称：</w:t>
            </w:r>
            <w:r>
              <w:rPr>
                <w:rFonts w:hint="eastAsia" w:ascii="仿宋" w:hAnsi="仿宋" w:eastAsia="仿宋" w:cs="仿宋"/>
                <w:sz w:val="24"/>
                <w:szCs w:val="24"/>
                <w:lang w:val="en-US" w:eastAsia="zh-CN"/>
              </w:rPr>
              <w:t>/</w:t>
            </w:r>
          </w:p>
          <w:p>
            <w:pPr>
              <w:spacing w:line="40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开户银行：</w:t>
            </w:r>
            <w:r>
              <w:rPr>
                <w:rFonts w:hint="eastAsia" w:ascii="仿宋" w:hAnsi="仿宋" w:eastAsia="仿宋" w:cs="仿宋"/>
                <w:sz w:val="24"/>
                <w:szCs w:val="24"/>
                <w:lang w:val="en-US" w:eastAsia="zh-CN"/>
              </w:rPr>
              <w:t>/</w:t>
            </w:r>
          </w:p>
          <w:p>
            <w:pPr>
              <w:spacing w:line="400" w:lineRule="exact"/>
              <w:ind w:left="479" w:leftChars="228"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账号：/（投标保证金账号）</w:t>
            </w:r>
            <w:r>
              <w:rPr>
                <w:rFonts w:hint="eastAsia" w:ascii="仿宋" w:hAnsi="仿宋" w:eastAsia="仿宋" w:cs="仿宋"/>
                <w:sz w:val="24"/>
                <w:szCs w:val="24"/>
              </w:rPr>
              <w:t>3.投标保证金的交纳单位必须与投标人名称一致；</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4.投标保证金应当以支票、汇票、本票或者金融机构、担保机构出具的保函等</w:t>
            </w:r>
            <w:r>
              <w:rPr>
                <w:rFonts w:hint="eastAsia" w:ascii="仿宋" w:hAnsi="仿宋" w:eastAsia="仿宋" w:cs="仿宋"/>
                <w:b w:val="0"/>
                <w:bCs w:val="0"/>
                <w:sz w:val="24"/>
                <w:szCs w:val="24"/>
              </w:rPr>
              <w:t>非现金形式</w:t>
            </w:r>
            <w:r>
              <w:rPr>
                <w:rFonts w:hint="eastAsia" w:ascii="仿宋" w:hAnsi="仿宋" w:eastAsia="仿宋" w:cs="仿宋"/>
                <w:sz w:val="24"/>
                <w:szCs w:val="24"/>
              </w:rPr>
              <w:t>提交</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除此以外以电汇、转账等方式提交投标保证金的，作无效投标处理；</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.投标人在缴纳投标保证金时需备注投标项目名称及项目编号。</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投标文件编制装订</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 xml:space="preserve">投标文件正本壹份，副本 </w:t>
            </w:r>
            <w:r>
              <w:rPr>
                <w:rFonts w:hint="eastAsia" w:ascii="仿宋" w:hAnsi="仿宋" w:eastAsia="仿宋" w:cs="仿宋"/>
                <w:sz w:val="24"/>
                <w:szCs w:val="24"/>
                <w:lang w:val="en-US" w:eastAsia="zh-CN"/>
              </w:rPr>
              <w:t>叁</w:t>
            </w:r>
            <w:r>
              <w:rPr>
                <w:rFonts w:hint="default" w:ascii="仿宋" w:hAnsi="仿宋" w:eastAsia="仿宋" w:cs="仿宋"/>
                <w:sz w:val="24"/>
                <w:szCs w:val="24"/>
                <w:lang w:val="en-US" w:eastAsia="zh-CN"/>
              </w:rPr>
              <w:t xml:space="preserve"> 份，电子版1份</w:t>
            </w:r>
            <w:r>
              <w:rPr>
                <w:rFonts w:hint="eastAsia" w:ascii="仿宋" w:hAnsi="仿宋" w:eastAsia="仿宋" w:cs="仿宋"/>
                <w:sz w:val="24"/>
                <w:szCs w:val="24"/>
                <w:lang w:val="en-US" w:eastAsia="zh-CN"/>
              </w:rPr>
              <w:t>（光盘或U盘）</w:t>
            </w:r>
            <w:r>
              <w:rPr>
                <w:rFonts w:hint="default" w:ascii="仿宋" w:hAnsi="仿宋" w:eastAsia="仿宋" w:cs="仿宋"/>
                <w:sz w:val="24"/>
                <w:szCs w:val="24"/>
                <w:lang w:val="en-US" w:eastAsia="zh-CN"/>
              </w:rPr>
              <w:t>。正本和副本的封面上应当清楚地标记“正本”或者“副本”字样；正本和副本不一致时，以正本为准。电子版为签字盖章后的正本扫描件，格式为PDF。</w:t>
            </w:r>
          </w:p>
          <w:p>
            <w:pPr>
              <w:spacing w:line="400" w:lineRule="exact"/>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spacing w:line="400" w:lineRule="exact"/>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3、供应商可前往新疆政府采购网（http://www.ccgp-xinjiang.gov.cn/）下载专区，下载政府采购云平台电子投标客户端，安装完成后，可通过账号密码或CA登录客户端进行</w:t>
            </w:r>
            <w:r>
              <w:rPr>
                <w:rFonts w:hint="eastAsia" w:ascii="仿宋" w:hAnsi="仿宋" w:eastAsia="仿宋" w:cs="仿宋"/>
                <w:sz w:val="24"/>
                <w:szCs w:val="24"/>
                <w:lang w:val="en-US" w:eastAsia="zh-CN"/>
              </w:rPr>
              <w:t>投标</w:t>
            </w:r>
            <w:r>
              <w:rPr>
                <w:rFonts w:hint="default" w:ascii="仿宋" w:hAnsi="仿宋" w:eastAsia="仿宋" w:cs="仿宋"/>
                <w:sz w:val="24"/>
                <w:szCs w:val="24"/>
                <w:lang w:val="en-US" w:eastAsia="zh-CN"/>
              </w:rPr>
              <w:t>文件制作。在使用政府采购云平台电子投标客户端时，建议使用WIN7及以上操作系统。如有问题可拨打政府采购云平台客户服务热线400-881-7190进行咨询。</w:t>
            </w:r>
          </w:p>
          <w:p>
            <w:pPr>
              <w:spacing w:line="400" w:lineRule="exact"/>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4、供应商在开标时须携带制作加密电子</w:t>
            </w:r>
            <w:r>
              <w:rPr>
                <w:rFonts w:hint="eastAsia" w:ascii="仿宋" w:hAnsi="仿宋" w:eastAsia="仿宋" w:cs="仿宋"/>
                <w:sz w:val="24"/>
                <w:szCs w:val="24"/>
                <w:lang w:val="en-US" w:eastAsia="zh-CN"/>
              </w:rPr>
              <w:t>投标</w:t>
            </w:r>
            <w:r>
              <w:rPr>
                <w:rFonts w:hint="default" w:ascii="仿宋" w:hAnsi="仿宋" w:eastAsia="仿宋" w:cs="仿宋"/>
                <w:sz w:val="24"/>
                <w:szCs w:val="24"/>
                <w:lang w:val="en-US" w:eastAsia="zh-CN"/>
              </w:rPr>
              <w:t>文件所使用的CA锁，电脑须提前配置好浏览器（建议使用360浏览器或谷歌浏览器），以便开标时在线解密。</w:t>
            </w:r>
          </w:p>
          <w:p>
            <w:pPr>
              <w:spacing w:line="400" w:lineRule="exact"/>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5、投标供应商应当在投标截止时间前，将生成的“JMBS格式电子加密</w:t>
            </w:r>
            <w:r>
              <w:rPr>
                <w:rFonts w:hint="eastAsia" w:ascii="仿宋" w:hAnsi="仿宋" w:eastAsia="仿宋" w:cs="仿宋"/>
                <w:sz w:val="24"/>
                <w:szCs w:val="24"/>
                <w:lang w:val="en-US" w:eastAsia="zh-CN"/>
              </w:rPr>
              <w:t>投标</w:t>
            </w:r>
            <w:r>
              <w:rPr>
                <w:rFonts w:hint="default" w:ascii="仿宋" w:hAnsi="仿宋" w:eastAsia="仿宋" w:cs="仿宋"/>
                <w:sz w:val="24"/>
                <w:szCs w:val="24"/>
                <w:lang w:val="en-US" w:eastAsia="zh-CN"/>
              </w:rPr>
              <w:t>文件”上传递交至“政府采购云平台”，投标截止时间以后上传递交的</w:t>
            </w:r>
            <w:r>
              <w:rPr>
                <w:rFonts w:hint="eastAsia" w:ascii="仿宋" w:hAnsi="仿宋" w:eastAsia="仿宋" w:cs="仿宋"/>
                <w:sz w:val="24"/>
                <w:szCs w:val="24"/>
                <w:lang w:val="en-US" w:eastAsia="zh-CN"/>
              </w:rPr>
              <w:t>投标</w:t>
            </w:r>
            <w:r>
              <w:rPr>
                <w:rFonts w:hint="default" w:ascii="仿宋" w:hAnsi="仿宋" w:eastAsia="仿宋" w:cs="仿宋"/>
                <w:sz w:val="24"/>
                <w:szCs w:val="24"/>
                <w:lang w:val="en-US" w:eastAsia="zh-CN"/>
              </w:rPr>
              <w:t>文件将被“政府采购云平台”拒收。</w:t>
            </w:r>
          </w:p>
          <w:p>
            <w:pPr>
              <w:spacing w:line="400" w:lineRule="exact"/>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6、供应商如在“信用中国”网站、中国政府采购网被列入严重违法失信行为记录名单的（尚在处罚期内的），将拒绝其参加本次政府采购活动﹙投标</w:t>
            </w:r>
            <w:r>
              <w:rPr>
                <w:rFonts w:hint="eastAsia" w:ascii="仿宋" w:hAnsi="仿宋" w:eastAsia="仿宋" w:cs="仿宋"/>
                <w:sz w:val="24"/>
                <w:szCs w:val="24"/>
                <w:lang w:val="en-US" w:eastAsia="zh-CN"/>
              </w:rPr>
              <w:t>截止时间前</w:t>
            </w:r>
            <w:r>
              <w:rPr>
                <w:rFonts w:hint="default" w:ascii="仿宋" w:hAnsi="仿宋" w:eastAsia="仿宋" w:cs="仿宋"/>
                <w:sz w:val="24"/>
                <w:szCs w:val="24"/>
                <w:lang w:val="en-US" w:eastAsia="zh-CN"/>
              </w:rPr>
              <w:t>网上自行打印后加盖投标单位公章﹚</w:t>
            </w:r>
            <w:r>
              <w:rPr>
                <w:rFonts w:hint="eastAsia" w:ascii="仿宋" w:hAnsi="仿宋" w:eastAsia="仿宋" w:cs="仿宋"/>
                <w:sz w:val="24"/>
                <w:szCs w:val="24"/>
                <w:lang w:val="en-US" w:eastAsia="zh-CN"/>
              </w:rPr>
              <w:t>。</w:t>
            </w:r>
          </w:p>
          <w:p>
            <w:pPr>
              <w:spacing w:line="400" w:lineRule="exact"/>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7、相互关联存在实际控制、管理关系的两个企业，不得参加同一项目的投标。</w:t>
            </w:r>
          </w:p>
          <w:p>
            <w:pPr>
              <w:spacing w:line="400" w:lineRule="exact"/>
              <w:ind w:firstLine="480" w:firstLineChars="200"/>
              <w:rPr>
                <w:rFonts w:ascii="仿宋" w:hAnsi="仿宋" w:eastAsia="仿宋" w:cs="仿宋"/>
                <w:sz w:val="24"/>
                <w:szCs w:val="24"/>
                <w:lang w:val="zh-CN"/>
              </w:rPr>
            </w:pPr>
            <w:r>
              <w:rPr>
                <w:rFonts w:hint="default" w:ascii="仿宋" w:hAnsi="仿宋" w:eastAsia="仿宋" w:cs="仿宋"/>
                <w:sz w:val="24"/>
                <w:szCs w:val="24"/>
                <w:lang w:val="en-US" w:eastAsia="zh-CN"/>
              </w:rPr>
              <w:t>8、评标结束后，各投标单位须在一周内按招标文件要求将纸质版投标文件递交至招标代理处（所产生的的费用投标单位自理）。纸质版投标文件可通过加密电子版投标文件打印生成，应当与电子版投标文件一致。</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投标文件签署和盖章</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1.招标文件要求投标人法定代表人或者被授权代表签字处，均须本人用黑色签字笔签署（包括姓和名），不得由他人代签，并</w:t>
            </w:r>
            <w:r>
              <w:rPr>
                <w:rFonts w:hint="eastAsia" w:ascii="仿宋" w:hAnsi="仿宋" w:eastAsia="仿宋" w:cs="仿宋"/>
                <w:sz w:val="24"/>
                <w:szCs w:val="24"/>
                <w:lang w:val="en-US" w:eastAsia="zh-CN"/>
              </w:rPr>
              <w:t>逐页</w:t>
            </w:r>
            <w:r>
              <w:rPr>
                <w:rFonts w:hint="eastAsia" w:ascii="仿宋" w:hAnsi="仿宋" w:eastAsia="仿宋" w:cs="仿宋"/>
                <w:sz w:val="24"/>
                <w:szCs w:val="24"/>
                <w:lang w:val="zh-CN"/>
              </w:rPr>
              <w:t>加盖单位公章。</w:t>
            </w:r>
          </w:p>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2.被授权代表人签字的，投标文件应附法人授权委托书。</w:t>
            </w:r>
          </w:p>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3.“投标函”、“法人授权委托书”和“诚信承诺书”必须由法定代表人签署。</w:t>
            </w:r>
          </w:p>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4.投标人在投标文件以及相关书面文件中的单位盖章（包括印章、公章等）均指与投标人名称全称相一致的标准公章，不得使用其他形式（如带有“专用章”、“合同章”、“财务章”、“业务章”等）的印章。</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递交投标文件截止时间及地点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highlight w:val="none"/>
                <w:lang w:val="zh-CN"/>
              </w:rPr>
            </w:pPr>
            <w:r>
              <w:rPr>
                <w:rFonts w:hint="eastAsia" w:ascii="仿宋" w:hAnsi="仿宋" w:eastAsia="仿宋"/>
                <w:sz w:val="24"/>
                <w:szCs w:val="24"/>
                <w:highlight w:val="none"/>
                <w:lang w:val="zh-CN"/>
              </w:rPr>
              <w:t>时间：</w:t>
            </w:r>
            <w:r>
              <w:rPr>
                <w:rFonts w:hint="eastAsia" w:ascii="仿宋" w:hAnsi="仿宋" w:eastAsia="仿宋" w:cs="仿宋"/>
                <w:b/>
                <w:bCs/>
                <w:sz w:val="24"/>
                <w:szCs w:val="24"/>
                <w:highlight w:val="none"/>
                <w:u w:val="single"/>
                <w:lang w:val="zh-CN"/>
              </w:rPr>
              <w:t>202</w:t>
            </w:r>
            <w:r>
              <w:rPr>
                <w:rFonts w:hint="eastAsia" w:ascii="仿宋" w:hAnsi="仿宋" w:eastAsia="仿宋" w:cs="仿宋"/>
                <w:b/>
                <w:bCs/>
                <w:sz w:val="24"/>
                <w:szCs w:val="24"/>
                <w:highlight w:val="none"/>
                <w:u w:val="single"/>
                <w:lang w:val="en-US" w:eastAsia="zh-CN"/>
              </w:rPr>
              <w:t>3</w:t>
            </w:r>
            <w:r>
              <w:rPr>
                <w:rFonts w:hint="eastAsia" w:ascii="仿宋" w:hAnsi="仿宋" w:eastAsia="仿宋" w:cs="仿宋"/>
                <w:b/>
                <w:bCs/>
                <w:sz w:val="24"/>
                <w:szCs w:val="24"/>
                <w:highlight w:val="none"/>
                <w:u w:val="single"/>
                <w:lang w:val="zh-CN"/>
              </w:rPr>
              <w:t>年0</w:t>
            </w:r>
            <w:r>
              <w:rPr>
                <w:rFonts w:hint="eastAsia" w:ascii="仿宋" w:hAnsi="仿宋" w:eastAsia="仿宋" w:cs="仿宋"/>
                <w:b/>
                <w:bCs/>
                <w:sz w:val="24"/>
                <w:szCs w:val="24"/>
                <w:highlight w:val="none"/>
                <w:u w:val="single"/>
                <w:lang w:val="en-US" w:eastAsia="zh-CN"/>
              </w:rPr>
              <w:t>4</w:t>
            </w:r>
            <w:r>
              <w:rPr>
                <w:rFonts w:hint="eastAsia" w:ascii="仿宋" w:hAnsi="仿宋" w:eastAsia="仿宋" w:cs="仿宋"/>
                <w:b/>
                <w:bCs/>
                <w:sz w:val="24"/>
                <w:szCs w:val="24"/>
                <w:highlight w:val="none"/>
                <w:u w:val="single"/>
                <w:lang w:val="zh-CN"/>
              </w:rPr>
              <w:t>月</w:t>
            </w:r>
            <w:r>
              <w:rPr>
                <w:rFonts w:hint="eastAsia" w:ascii="仿宋" w:hAnsi="仿宋" w:eastAsia="仿宋" w:cs="仿宋"/>
                <w:b/>
                <w:bCs/>
                <w:sz w:val="24"/>
                <w:szCs w:val="24"/>
                <w:highlight w:val="none"/>
                <w:u w:val="single"/>
                <w:lang w:val="en-US" w:eastAsia="zh-CN"/>
              </w:rPr>
              <w:t>13</w:t>
            </w:r>
            <w:r>
              <w:rPr>
                <w:rFonts w:hint="eastAsia" w:ascii="仿宋" w:hAnsi="仿宋" w:eastAsia="仿宋" w:cs="仿宋"/>
                <w:b/>
                <w:bCs/>
                <w:sz w:val="24"/>
                <w:szCs w:val="24"/>
                <w:highlight w:val="none"/>
                <w:u w:val="single"/>
                <w:lang w:val="zh-CN"/>
              </w:rPr>
              <w:t>日 11:00</w:t>
            </w:r>
          </w:p>
          <w:p>
            <w:pPr>
              <w:spacing w:line="400" w:lineRule="exact"/>
              <w:ind w:left="360" w:hanging="360"/>
              <w:rPr>
                <w:rFonts w:ascii="仿宋" w:hAnsi="仿宋" w:eastAsia="仿宋"/>
                <w:b/>
                <w:color w:val="auto"/>
                <w:sz w:val="24"/>
                <w:highlight w:val="none"/>
                <w:lang w:val="zh-CN"/>
              </w:rPr>
            </w:pPr>
            <w:r>
              <w:rPr>
                <w:rFonts w:hint="eastAsia" w:ascii="仿宋" w:hAnsi="仿宋" w:eastAsia="仿宋"/>
                <w:sz w:val="24"/>
                <w:szCs w:val="24"/>
                <w:highlight w:val="none"/>
                <w:lang w:val="zh-CN"/>
              </w:rPr>
              <w:t>地点：政采云一站式政府采购云平台</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开标时间及地点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时间：</w:t>
            </w:r>
            <w:r>
              <w:rPr>
                <w:rFonts w:hint="eastAsia" w:ascii="仿宋" w:hAnsi="仿宋" w:eastAsia="仿宋" w:cs="仿宋"/>
                <w:b/>
                <w:bCs/>
                <w:sz w:val="24"/>
                <w:szCs w:val="24"/>
                <w:highlight w:val="none"/>
                <w:u w:val="single"/>
                <w:lang w:val="zh-CN"/>
              </w:rPr>
              <w:t>202</w:t>
            </w:r>
            <w:r>
              <w:rPr>
                <w:rFonts w:hint="eastAsia" w:ascii="仿宋" w:hAnsi="仿宋" w:eastAsia="仿宋" w:cs="仿宋"/>
                <w:b/>
                <w:bCs/>
                <w:sz w:val="24"/>
                <w:szCs w:val="24"/>
                <w:highlight w:val="none"/>
                <w:u w:val="single"/>
                <w:lang w:val="en-US" w:eastAsia="zh-CN"/>
              </w:rPr>
              <w:t>3</w:t>
            </w:r>
            <w:r>
              <w:rPr>
                <w:rFonts w:hint="eastAsia" w:ascii="仿宋" w:hAnsi="仿宋" w:eastAsia="仿宋" w:cs="仿宋"/>
                <w:b/>
                <w:bCs/>
                <w:sz w:val="24"/>
                <w:szCs w:val="24"/>
                <w:highlight w:val="none"/>
                <w:u w:val="single"/>
                <w:lang w:val="zh-CN"/>
              </w:rPr>
              <w:t>年0</w:t>
            </w:r>
            <w:r>
              <w:rPr>
                <w:rFonts w:hint="eastAsia" w:ascii="仿宋" w:hAnsi="仿宋" w:eastAsia="仿宋" w:cs="仿宋"/>
                <w:b/>
                <w:bCs/>
                <w:sz w:val="24"/>
                <w:szCs w:val="24"/>
                <w:highlight w:val="none"/>
                <w:u w:val="single"/>
                <w:lang w:val="en-US" w:eastAsia="zh-CN"/>
              </w:rPr>
              <w:t>4</w:t>
            </w:r>
            <w:r>
              <w:rPr>
                <w:rFonts w:hint="eastAsia" w:ascii="仿宋" w:hAnsi="仿宋" w:eastAsia="仿宋" w:cs="仿宋"/>
                <w:b/>
                <w:bCs/>
                <w:sz w:val="24"/>
                <w:szCs w:val="24"/>
                <w:highlight w:val="none"/>
                <w:u w:val="single"/>
                <w:lang w:val="zh-CN"/>
              </w:rPr>
              <w:t>月</w:t>
            </w:r>
            <w:r>
              <w:rPr>
                <w:rFonts w:hint="eastAsia" w:ascii="仿宋" w:hAnsi="仿宋" w:eastAsia="仿宋" w:cs="仿宋"/>
                <w:b/>
                <w:bCs/>
                <w:sz w:val="24"/>
                <w:szCs w:val="24"/>
                <w:highlight w:val="none"/>
                <w:u w:val="single"/>
                <w:lang w:val="en-US" w:eastAsia="zh-CN"/>
              </w:rPr>
              <w:t>13</w:t>
            </w:r>
            <w:r>
              <w:rPr>
                <w:rFonts w:hint="eastAsia" w:ascii="仿宋" w:hAnsi="仿宋" w:eastAsia="仿宋" w:cs="仿宋"/>
                <w:b/>
                <w:bCs/>
                <w:sz w:val="24"/>
                <w:szCs w:val="24"/>
                <w:highlight w:val="none"/>
                <w:u w:val="single"/>
                <w:lang w:val="zh-CN"/>
              </w:rPr>
              <w:t>日 11:00</w:t>
            </w:r>
          </w:p>
          <w:p>
            <w:pPr>
              <w:spacing w:line="38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地点：政采云一站式政府采购云平台</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en-US" w:eastAsia="zh-CN"/>
              </w:rPr>
              <w:t>投</w:t>
            </w:r>
            <w:r>
              <w:rPr>
                <w:rFonts w:hint="eastAsia" w:ascii="仿宋" w:hAnsi="仿宋" w:eastAsia="仿宋" w:cs="仿宋"/>
                <w:color w:val="auto"/>
                <w:sz w:val="24"/>
                <w:szCs w:val="24"/>
                <w:lang w:val="zh-CN" w:eastAsia="zh-CN"/>
              </w:rPr>
              <w:t>标文件解密时间</w:t>
            </w:r>
          </w:p>
        </w:tc>
        <w:tc>
          <w:tcPr>
            <w:tcW w:w="6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供应商应当在投标文件提交截止时间前，将生成的“电子加密投标文件”上传递交至“政府采购云平台”。投标文件提交截止时间以后上传提交的投标文件将被“政府采购云平台”拒收。</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en-US" w:eastAsia="zh-CN"/>
              </w:rPr>
              <w:t>投标文件开启时间后30分钟内供应商可以登录“政采云”平台，用“项目采购-开标评标”功能进行解密投标文件。若供应商在规定时间内未按时解密的，视为投标文件撤回。</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评标委员会</w:t>
            </w:r>
          </w:p>
        </w:tc>
        <w:tc>
          <w:tcPr>
            <w:tcW w:w="6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rPr>
                <w:rFonts w:ascii="仿宋" w:hAnsi="仿宋" w:eastAsia="仿宋" w:cs="仿宋"/>
                <w:color w:val="auto"/>
                <w:sz w:val="24"/>
                <w:szCs w:val="24"/>
                <w:lang w:val="zh-CN"/>
              </w:rPr>
            </w:pPr>
            <w:r>
              <w:rPr>
                <w:rFonts w:hint="eastAsia" w:ascii="仿宋" w:hAnsi="仿宋" w:eastAsia="仿宋" w:cs="仿宋"/>
                <w:color w:val="auto"/>
                <w:sz w:val="24"/>
                <w:szCs w:val="24"/>
                <w:lang w:val="zh-CN"/>
              </w:rPr>
              <w:t>评标委员会共</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lang w:val="zh-CN"/>
              </w:rPr>
              <w:t>人，</w:t>
            </w:r>
          </w:p>
          <w:p>
            <w:pPr>
              <w:autoSpaceDE w:val="0"/>
              <w:autoSpaceDN w:val="0"/>
              <w:adjustRightInd w:val="0"/>
              <w:spacing w:line="38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评标委员会由采购人代表和评审专家组成</w:t>
            </w:r>
            <w:r>
              <w:rPr>
                <w:rFonts w:hint="eastAsia" w:ascii="仿宋" w:hAnsi="仿宋" w:eastAsia="仿宋" w:cs="仿宋"/>
                <w:color w:val="auto"/>
                <w:sz w:val="24"/>
                <w:szCs w:val="24"/>
                <w:lang w:val="en-US" w:eastAsia="zh-CN"/>
              </w:rPr>
              <w:t>时</w:t>
            </w:r>
            <w:r>
              <w:rPr>
                <w:rFonts w:hint="eastAsia" w:ascii="仿宋" w:hAnsi="仿宋" w:eastAsia="仿宋" w:cs="仿宋"/>
                <w:color w:val="auto"/>
                <w:sz w:val="24"/>
                <w:szCs w:val="24"/>
                <w:lang w:val="zh-CN"/>
              </w:rPr>
              <w:t>其中评审专家不少于成员总数的三分之二。</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评标办法</w:t>
            </w:r>
          </w:p>
        </w:tc>
        <w:tc>
          <w:tcPr>
            <w:tcW w:w="6145" w:type="dxa"/>
            <w:tcBorders>
              <w:top w:val="single" w:color="auto" w:sz="4" w:space="0"/>
              <w:left w:val="single" w:color="auto" w:sz="4" w:space="0"/>
              <w:right w:val="single" w:color="auto" w:sz="4" w:space="0"/>
            </w:tcBorders>
            <w:vAlign w:val="center"/>
          </w:tcPr>
          <w:p>
            <w:pPr>
              <w:spacing w:line="380" w:lineRule="exact"/>
              <w:rPr>
                <w:rFonts w:hint="eastAsia" w:ascii="仿宋" w:hAnsi="仿宋" w:eastAsia="仿宋" w:cs="仿宋"/>
                <w:sz w:val="24"/>
                <w:szCs w:val="24"/>
                <w:lang w:val="zh-CN"/>
              </w:rPr>
            </w:pPr>
            <w:r>
              <w:rPr>
                <w:rFonts w:hint="eastAsia" w:ascii="仿宋" w:hAnsi="仿宋" w:eastAsia="仿宋" w:cs="仿宋"/>
                <w:sz w:val="24"/>
                <w:szCs w:val="24"/>
                <w:lang w:val="zh-CN"/>
              </w:rPr>
              <w:t>☑综合评分法</w:t>
            </w:r>
          </w:p>
          <w:p>
            <w:pPr>
              <w:spacing w:line="380" w:lineRule="exact"/>
              <w:rPr>
                <w:rFonts w:ascii="仿宋" w:hAnsi="仿宋" w:eastAsia="仿宋" w:cs="仿宋"/>
                <w:sz w:val="24"/>
                <w:szCs w:val="24"/>
                <w:lang w:val="zh-CN"/>
              </w:rPr>
            </w:pPr>
            <w:r>
              <w:rPr>
                <w:rFonts w:hint="eastAsia" w:ascii="仿宋" w:hAnsi="仿宋" w:eastAsia="仿宋" w:cs="仿宋"/>
                <w:sz w:val="24"/>
                <w:szCs w:val="24"/>
                <w:lang w:val="zh-CN"/>
              </w:rPr>
              <w:t>□最低评标价法</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rPr>
              <w:t>是否授权评标委员会确定中标人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ind w:left="360" w:hanging="360" w:hangingChars="150"/>
              <w:rPr>
                <w:rFonts w:ascii="仿宋" w:hAnsi="仿宋" w:eastAsia="仿宋"/>
                <w:color w:val="auto"/>
                <w:sz w:val="24"/>
                <w:szCs w:val="24"/>
              </w:rPr>
            </w:pPr>
            <w:r>
              <w:rPr>
                <w:rFonts w:hint="eastAsia" w:ascii="仿宋" w:hAnsi="仿宋" w:eastAsia="仿宋"/>
                <w:color w:val="auto"/>
                <w:sz w:val="24"/>
                <w:szCs w:val="24"/>
              </w:rPr>
              <w:t>□是，</w:t>
            </w:r>
            <w:r>
              <w:rPr>
                <w:rFonts w:hint="eastAsia" w:ascii="仿宋" w:hAnsi="仿宋" w:eastAsia="仿宋" w:cs="仿宋"/>
                <w:color w:val="auto"/>
                <w:sz w:val="24"/>
                <w:szCs w:val="24"/>
                <w:lang w:val="zh-CN"/>
              </w:rPr>
              <w:t>每包确定一个中标人。</w:t>
            </w:r>
          </w:p>
          <w:p>
            <w:pPr>
              <w:spacing w:line="380" w:lineRule="exact"/>
              <w:rPr>
                <w:rFonts w:ascii="仿宋" w:hAnsi="仿宋" w:eastAsia="仿宋" w:cs="仿宋"/>
                <w:sz w:val="24"/>
                <w:szCs w:val="24"/>
              </w:rPr>
            </w:pPr>
            <w:r>
              <w:rPr>
                <w:rFonts w:hint="eastAsia" w:ascii="仿宋" w:hAnsi="仿宋" w:eastAsia="仿宋" w:cs="仿宋"/>
                <w:sz w:val="24"/>
                <w:szCs w:val="24"/>
                <w:lang w:val="zh-CN"/>
              </w:rPr>
              <w:t>☑</w:t>
            </w:r>
            <w:r>
              <w:rPr>
                <w:rFonts w:hint="eastAsia" w:ascii="仿宋" w:hAnsi="仿宋" w:eastAsia="仿宋"/>
                <w:color w:val="auto"/>
                <w:sz w:val="24"/>
                <w:szCs w:val="24"/>
              </w:rPr>
              <w:t>否，确定的中标候选人数：</w:t>
            </w:r>
            <w:r>
              <w:rPr>
                <w:rFonts w:hint="eastAsia" w:ascii="仿宋" w:hAnsi="仿宋" w:eastAsia="仿宋"/>
                <w:color w:val="auto"/>
                <w:sz w:val="24"/>
                <w:szCs w:val="24"/>
                <w:u w:val="single"/>
              </w:rPr>
              <w:t xml:space="preserve"> 3 </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是否退还投标文件</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szCs w:val="24"/>
              </w:rPr>
            </w:pPr>
            <w:r>
              <w:rPr>
                <w:rFonts w:hint="eastAsia" w:ascii="仿宋" w:hAnsi="仿宋" w:eastAsia="仿宋"/>
                <w:sz w:val="24"/>
                <w:szCs w:val="24"/>
              </w:rPr>
              <w:t>除投标人需收回的资格、资信等证明文件中的证明材料原件（如营业执照、合同、相关资质证书等）外，其他文件概不退还。</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both"/>
              <w:rPr>
                <w:rFonts w:ascii="仿宋" w:hAnsi="仿宋" w:eastAsia="仿宋" w:cs="仿宋"/>
                <w:sz w:val="24"/>
                <w:szCs w:val="24"/>
                <w:lang w:val="zh-CN"/>
              </w:rPr>
            </w:pPr>
          </w:p>
        </w:tc>
        <w:tc>
          <w:tcPr>
            <w:tcW w:w="880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sz w:val="24"/>
                <w:szCs w:val="24"/>
                <w:lang w:val="zh-CN"/>
              </w:rPr>
            </w:pPr>
            <w:r>
              <w:rPr>
                <w:rFonts w:hint="eastAsia" w:ascii="仿宋" w:hAnsi="仿宋" w:eastAsia="仿宋" w:cs="仿宋"/>
                <w:sz w:val="24"/>
                <w:szCs w:val="24"/>
                <w:lang w:val="zh-CN"/>
              </w:rPr>
              <w:t>其他需补充的内容</w:t>
            </w:r>
          </w:p>
        </w:tc>
      </w:tr>
      <w:tr>
        <w:tblPrEx>
          <w:tblCellMar>
            <w:top w:w="0" w:type="dxa"/>
            <w:left w:w="108" w:type="dxa"/>
            <w:bottom w:w="0" w:type="dxa"/>
            <w:right w:w="108" w:type="dxa"/>
          </w:tblCellMar>
        </w:tblPrEx>
        <w:trPr>
          <w:trHeight w:val="908"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投标人在开标时需携带的验资文件</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default" w:ascii="仿宋" w:hAnsi="仿宋" w:eastAsia="仿宋"/>
                <w:sz w:val="24"/>
                <w:szCs w:val="24"/>
                <w:lang w:val="en-US" w:eastAsia="zh-CN"/>
              </w:rPr>
            </w:pPr>
            <w:r>
              <w:rPr>
                <w:rFonts w:hint="eastAsia" w:ascii="仿宋" w:hAnsi="仿宋" w:eastAsia="仿宋"/>
                <w:sz w:val="24"/>
                <w:szCs w:val="24"/>
              </w:rPr>
              <w:t>本项目实行电子招投标，</w:t>
            </w:r>
            <w:r>
              <w:rPr>
                <w:rFonts w:hint="eastAsia" w:ascii="仿宋" w:hAnsi="仿宋" w:eastAsia="仿宋"/>
                <w:sz w:val="24"/>
                <w:szCs w:val="24"/>
                <w:lang w:val="en-US" w:eastAsia="zh-CN"/>
              </w:rPr>
              <w:t>无需人员到场开标。</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资金支付</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采购资金支付方式、支付时间由采购人与中标供应商按照相关法律法规及本项目具体要求在合同中约定。</w:t>
            </w:r>
          </w:p>
        </w:tc>
      </w:tr>
      <w:tr>
        <w:tblPrEx>
          <w:tblCellMar>
            <w:top w:w="0" w:type="dxa"/>
            <w:left w:w="108" w:type="dxa"/>
            <w:bottom w:w="0" w:type="dxa"/>
            <w:right w:w="108" w:type="dxa"/>
          </w:tblCellMar>
        </w:tblPrEx>
        <w:trPr>
          <w:jc w:val="center"/>
        </w:trPr>
        <w:tc>
          <w:tcPr>
            <w:tcW w:w="76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265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定义</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szCs w:val="24"/>
              </w:rPr>
            </w:pPr>
            <w:r>
              <w:rPr>
                <w:rFonts w:hint="eastAsia" w:ascii="仿宋" w:hAnsi="仿宋" w:eastAsia="仿宋" w:cs="仿宋"/>
                <w:sz w:val="24"/>
                <w:szCs w:val="24"/>
                <w:lang w:val="zh-CN"/>
              </w:rPr>
              <w:t>原件：</w:t>
            </w:r>
            <w:r>
              <w:rPr>
                <w:rFonts w:hint="eastAsia" w:ascii="仿宋" w:hAnsi="仿宋" w:eastAsia="仿宋"/>
                <w:sz w:val="24"/>
                <w:szCs w:val="24"/>
              </w:rPr>
              <w:t>最初产生的区别于复制件的原始文件或文件的原本或公证处出具的文件复制件公证书。</w:t>
            </w:r>
          </w:p>
        </w:tc>
      </w:tr>
      <w:tr>
        <w:tblPrEx>
          <w:tblCellMar>
            <w:top w:w="0" w:type="dxa"/>
            <w:left w:w="108" w:type="dxa"/>
            <w:bottom w:w="0" w:type="dxa"/>
            <w:right w:w="108"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lang w:val="zh-CN"/>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sz w:val="24"/>
                <w:szCs w:val="24"/>
                <w:lang w:val="zh-CN"/>
              </w:rPr>
            </w:pPr>
            <w:r>
              <w:rPr>
                <w:rFonts w:ascii="仿宋" w:hAnsi="仿宋" w:eastAsia="仿宋"/>
                <w:sz w:val="24"/>
                <w:szCs w:val="24"/>
              </w:rPr>
              <w:t>书面形式：</w:t>
            </w:r>
            <w:r>
              <w:rPr>
                <w:rFonts w:hint="eastAsia" w:ascii="仿宋" w:hAnsi="仿宋" w:eastAsia="仿宋"/>
                <w:sz w:val="24"/>
                <w:szCs w:val="24"/>
              </w:rPr>
              <w:t>包括文字的打印或复印件、传真、信函、电传、电报、</w:t>
            </w:r>
            <w:r>
              <w:rPr>
                <w:rFonts w:ascii="仿宋" w:hAnsi="仿宋" w:eastAsia="仿宋" w:cs="Arial"/>
                <w:sz w:val="24"/>
                <w:szCs w:val="24"/>
                <w:shd w:val="clear" w:color="auto" w:fill="FFFFFF"/>
              </w:rPr>
              <w:t>电子邮件</w:t>
            </w:r>
            <w:r>
              <w:rPr>
                <w:rFonts w:hint="eastAsia" w:ascii="仿宋" w:hAnsi="仿宋" w:eastAsia="仿宋" w:cs="Arial"/>
                <w:sz w:val="24"/>
                <w:szCs w:val="24"/>
                <w:shd w:val="clear" w:color="auto" w:fill="FFFFFF"/>
              </w:rPr>
              <w:t>、</w:t>
            </w:r>
            <w:r>
              <w:rPr>
                <w:rFonts w:hint="eastAsia" w:ascii="仿宋" w:hAnsi="仿宋" w:eastAsia="仿宋"/>
                <w:sz w:val="24"/>
                <w:szCs w:val="24"/>
              </w:rPr>
              <w:t>相关媒介发布的公告</w:t>
            </w:r>
            <w:r>
              <w:rPr>
                <w:rFonts w:ascii="仿宋" w:hAnsi="仿宋" w:eastAsia="仿宋" w:cs="Arial"/>
                <w:sz w:val="24"/>
                <w:szCs w:val="24"/>
                <w:shd w:val="clear" w:color="auto" w:fill="FFFFFF"/>
              </w:rPr>
              <w:t>等可以有形地表现所载内容的形式。</w:t>
            </w:r>
          </w:p>
        </w:tc>
      </w:tr>
      <w:tr>
        <w:tblPrEx>
          <w:tblCellMar>
            <w:top w:w="0" w:type="dxa"/>
            <w:left w:w="108" w:type="dxa"/>
            <w:bottom w:w="0" w:type="dxa"/>
            <w:right w:w="108" w:type="dxa"/>
          </w:tblCellMar>
        </w:tblPrEx>
        <w:trPr>
          <w:trHeight w:val="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sz w:val="24"/>
                <w:szCs w:val="24"/>
              </w:rPr>
              <w:t>分包和非主体、非关键性工作</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ind w:left="360" w:hanging="360" w:hangingChars="150"/>
              <w:rPr>
                <w:rFonts w:ascii="仿宋" w:hAnsi="仿宋" w:eastAsia="仿宋"/>
                <w:sz w:val="24"/>
                <w:szCs w:val="24"/>
              </w:rPr>
            </w:pPr>
            <w:r>
              <w:rPr>
                <w:rFonts w:hint="eastAsia" w:ascii="仿宋" w:hAnsi="仿宋" w:eastAsia="仿宋" w:cs="仿宋"/>
                <w:sz w:val="24"/>
                <w:szCs w:val="24"/>
                <w:lang w:val="zh-CN"/>
              </w:rPr>
              <w:t>☑</w:t>
            </w:r>
            <w:r>
              <w:rPr>
                <w:rFonts w:hint="eastAsia" w:ascii="仿宋" w:hAnsi="仿宋" w:eastAsia="仿宋"/>
                <w:sz w:val="24"/>
                <w:szCs w:val="24"/>
              </w:rPr>
              <w:t>不允许</w:t>
            </w:r>
          </w:p>
          <w:p>
            <w:pPr>
              <w:spacing w:line="380" w:lineRule="exact"/>
              <w:rPr>
                <w:rFonts w:ascii="仿宋" w:hAnsi="仿宋" w:eastAsia="仿宋" w:cs="仿宋"/>
                <w:sz w:val="24"/>
                <w:szCs w:val="24"/>
              </w:rPr>
            </w:pPr>
            <w:r>
              <w:rPr>
                <w:rFonts w:hint="eastAsia" w:ascii="仿宋" w:hAnsi="仿宋" w:eastAsia="仿宋"/>
                <w:sz w:val="24"/>
                <w:szCs w:val="24"/>
              </w:rPr>
              <w:t>□允许</w:t>
            </w:r>
            <w:r>
              <w:rPr>
                <w:rFonts w:hint="eastAsia" w:ascii="仿宋" w:hAnsi="仿宋" w:eastAsia="仿宋" w:cs="仿宋"/>
                <w:sz w:val="24"/>
                <w:szCs w:val="24"/>
                <w:lang w:val="zh-CN"/>
              </w:rPr>
              <w:t>，</w:t>
            </w:r>
            <w:r>
              <w:rPr>
                <w:rFonts w:ascii="仿宋" w:hAnsi="仿宋" w:eastAsia="仿宋" w:cs="仿宋"/>
                <w:sz w:val="24"/>
                <w:szCs w:val="24"/>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r>
              <w:rPr>
                <w:rFonts w:hint="eastAsia" w:ascii="仿宋" w:hAnsi="仿宋" w:eastAsia="仿宋" w:cs="仿宋"/>
                <w:sz w:val="24"/>
                <w:szCs w:val="24"/>
                <w:lang w:val="zh-CN"/>
              </w:rPr>
              <w:t>。</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监督</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本次招标投标活动以及相关当事人应当接受相关部门依法实施的监督。</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36</w:t>
            </w: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szCs w:val="24"/>
                <w:lang w:val="en-US"/>
              </w:rPr>
            </w:pPr>
            <w:r>
              <w:rPr>
                <w:rFonts w:hint="eastAsia" w:ascii="仿宋" w:hAnsi="仿宋" w:eastAsia="仿宋" w:cs="仿宋"/>
                <w:sz w:val="24"/>
                <w:szCs w:val="24"/>
                <w:lang w:val="en-US" w:eastAsia="zh-CN"/>
              </w:rPr>
              <w:t>场地费及公证费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szCs w:val="24"/>
                <w:lang w:val="en-US"/>
              </w:rPr>
            </w:pPr>
            <w:r>
              <w:rPr>
                <w:rFonts w:ascii="仿宋" w:hAnsi="仿宋" w:eastAsia="仿宋" w:cs="仿宋"/>
                <w:sz w:val="24"/>
                <w:szCs w:val="24"/>
                <w:lang w:val="zh-CN"/>
              </w:rPr>
              <w:t>投标人</w:t>
            </w:r>
            <w:r>
              <w:rPr>
                <w:rFonts w:hint="default" w:ascii="仿宋" w:hAnsi="仿宋" w:eastAsia="仿宋" w:cs="仿宋"/>
                <w:sz w:val="24"/>
                <w:szCs w:val="24"/>
                <w:lang w:val="en-US"/>
              </w:rPr>
              <w:t>应承担其编制投标文件与递交投标文件所涉及的一切费用（进场费、公证费等）。不管投标结果如何，</w:t>
            </w:r>
            <w:r>
              <w:rPr>
                <w:rFonts w:hint="default" w:ascii="仿宋" w:hAnsi="仿宋" w:eastAsia="仿宋" w:cs="仿宋"/>
                <w:sz w:val="24"/>
                <w:szCs w:val="24"/>
                <w:lang w:val="en-US" w:eastAsia="zh-CN"/>
              </w:rPr>
              <w:t>采购</w:t>
            </w:r>
            <w:r>
              <w:rPr>
                <w:rFonts w:hint="default" w:ascii="仿宋" w:hAnsi="仿宋" w:eastAsia="仿宋" w:cs="仿宋"/>
                <w:sz w:val="24"/>
                <w:szCs w:val="24"/>
                <w:lang w:val="en-US"/>
              </w:rPr>
              <w:t>人</w:t>
            </w:r>
            <w:r>
              <w:rPr>
                <w:rFonts w:hint="default" w:ascii="仿宋" w:hAnsi="仿宋" w:eastAsia="仿宋" w:cs="仿宋"/>
                <w:sz w:val="24"/>
                <w:szCs w:val="24"/>
                <w:lang w:val="en-US" w:eastAsia="zh-CN"/>
              </w:rPr>
              <w:t>及采购代理机构</w:t>
            </w:r>
            <w:r>
              <w:rPr>
                <w:rFonts w:hint="default" w:ascii="仿宋" w:hAnsi="仿宋" w:eastAsia="仿宋" w:cs="仿宋"/>
                <w:sz w:val="24"/>
                <w:szCs w:val="24"/>
                <w:lang w:val="en-US"/>
              </w:rPr>
              <w:t>对上述费用不负任何责任。</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其他要求</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采购电子评标结束后，投标人在五个工作日内，向招标代理交纸质版投标文件一正三副（电子投标文件光盘或U盘三份）</w:t>
            </w:r>
          </w:p>
        </w:tc>
      </w:tr>
    </w:tbl>
    <w:p>
      <w:pPr>
        <w:spacing w:afterLines="50" w:line="440" w:lineRule="exact"/>
        <w:jc w:val="center"/>
        <w:rPr>
          <w:rFonts w:ascii="黑体" w:hAnsi="黑体" w:eastAsia="黑体"/>
          <w:sz w:val="28"/>
          <w:szCs w:val="28"/>
        </w:rPr>
      </w:pPr>
      <w:r>
        <w:rPr>
          <w:rFonts w:hint="eastAsia" w:ascii="黑体" w:hAnsi="黑体" w:eastAsia="黑体"/>
          <w:sz w:val="28"/>
          <w:szCs w:val="28"/>
        </w:rPr>
        <w:br w:type="page"/>
      </w:r>
    </w:p>
    <w:p>
      <w:pPr>
        <w:spacing w:afterLines="50" w:line="440" w:lineRule="exact"/>
        <w:jc w:val="center"/>
        <w:outlineLvl w:val="1"/>
        <w:rPr>
          <w:rFonts w:hint="eastAsia" w:ascii="黑体" w:hAnsi="黑体" w:eastAsia="黑体"/>
          <w:sz w:val="28"/>
          <w:szCs w:val="28"/>
          <w:lang w:val="en-US" w:eastAsia="zh-CN"/>
        </w:rPr>
      </w:pPr>
      <w:bookmarkStart w:id="17" w:name="_Toc4052"/>
      <w:bookmarkStart w:id="18" w:name="_Toc14086"/>
      <w:r>
        <w:rPr>
          <w:rFonts w:hint="eastAsia" w:ascii="黑体" w:hAnsi="黑体" w:eastAsia="黑体"/>
          <w:sz w:val="28"/>
          <w:szCs w:val="28"/>
        </w:rPr>
        <w:t>投标人须知</w:t>
      </w:r>
      <w:r>
        <w:rPr>
          <w:rFonts w:hint="eastAsia" w:ascii="黑体" w:hAnsi="黑体" w:eastAsia="黑体"/>
          <w:sz w:val="28"/>
          <w:szCs w:val="28"/>
          <w:lang w:val="en-US" w:eastAsia="zh-CN"/>
        </w:rPr>
        <w:t>正文</w:t>
      </w:r>
      <w:bookmarkEnd w:id="17"/>
      <w:bookmarkEnd w:id="18"/>
    </w:p>
    <w:p>
      <w:pPr>
        <w:spacing w:line="440" w:lineRule="exact"/>
        <w:ind w:firstLine="560" w:firstLineChars="200"/>
        <w:outlineLvl w:val="2"/>
        <w:rPr>
          <w:rFonts w:ascii="楷体" w:hAnsi="楷体" w:eastAsia="楷体"/>
          <w:sz w:val="28"/>
          <w:szCs w:val="28"/>
        </w:rPr>
      </w:pPr>
      <w:bookmarkStart w:id="19" w:name="_Toc30488"/>
      <w:bookmarkStart w:id="20" w:name="_Toc494455650"/>
      <w:bookmarkStart w:id="21" w:name="_Toc30860"/>
      <w:bookmarkStart w:id="22" w:name="_Toc27357"/>
      <w:r>
        <w:rPr>
          <w:rFonts w:ascii="楷体" w:hAnsi="楷体" w:eastAsia="楷体"/>
          <w:sz w:val="28"/>
          <w:szCs w:val="28"/>
        </w:rPr>
        <w:t>1</w:t>
      </w:r>
      <w:r>
        <w:rPr>
          <w:rFonts w:hint="eastAsia" w:ascii="楷体" w:hAnsi="楷体" w:eastAsia="楷体"/>
          <w:sz w:val="28"/>
          <w:szCs w:val="28"/>
        </w:rPr>
        <w:t>.招标依据以及原则</w:t>
      </w:r>
      <w:bookmarkEnd w:id="19"/>
      <w:bookmarkEnd w:id="20"/>
      <w:bookmarkEnd w:id="21"/>
      <w:bookmarkEnd w:id="22"/>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《中华人民共和国政府采购法》；</w:t>
      </w:r>
    </w:p>
    <w:p>
      <w:pPr>
        <w:spacing w:line="44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《中华人民共和国合同法》；</w:t>
      </w:r>
    </w:p>
    <w:p>
      <w:pPr>
        <w:spacing w:line="44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《中华人民共和国政府采购法实施条例》；</w:t>
      </w:r>
    </w:p>
    <w:p>
      <w:pPr>
        <w:spacing w:line="440" w:lineRule="exact"/>
        <w:ind w:firstLine="480" w:firstLineChars="200"/>
        <w:rPr>
          <w:rFonts w:ascii="仿宋" w:hAnsi="仿宋" w:eastAsia="仿宋"/>
          <w:sz w:val="24"/>
          <w:szCs w:val="24"/>
        </w:rPr>
      </w:pPr>
      <w:r>
        <w:rPr>
          <w:rFonts w:ascii="仿宋" w:hAnsi="仿宋" w:eastAsia="仿宋"/>
          <w:sz w:val="24"/>
          <w:szCs w:val="24"/>
        </w:rPr>
        <w:t>1.4</w:t>
      </w:r>
      <w:r>
        <w:rPr>
          <w:rFonts w:hint="eastAsia" w:ascii="仿宋" w:hAnsi="仿宋" w:eastAsia="仿宋"/>
          <w:sz w:val="24"/>
          <w:szCs w:val="24"/>
        </w:rPr>
        <w:t>《政府采购货物和服务招标投标管理办法》；</w:t>
      </w:r>
    </w:p>
    <w:p>
      <w:pPr>
        <w:spacing w:line="440" w:lineRule="exact"/>
        <w:ind w:firstLine="480" w:firstLineChars="200"/>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《政府采购供应商投诉处理办法》；</w:t>
      </w:r>
    </w:p>
    <w:p>
      <w:pPr>
        <w:spacing w:line="44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6其他有关法律、行政法规以及省市规范性文件规定。</w:t>
      </w:r>
    </w:p>
    <w:p>
      <w:pPr>
        <w:spacing w:line="440" w:lineRule="exact"/>
        <w:ind w:firstLine="560" w:firstLineChars="200"/>
        <w:outlineLvl w:val="2"/>
        <w:rPr>
          <w:rFonts w:ascii="楷体" w:hAnsi="楷体" w:eastAsia="楷体"/>
          <w:sz w:val="28"/>
          <w:szCs w:val="28"/>
        </w:rPr>
      </w:pPr>
      <w:bookmarkStart w:id="23" w:name="_Toc19991"/>
      <w:bookmarkStart w:id="24" w:name="_Toc8140"/>
      <w:bookmarkStart w:id="25" w:name="_Toc7046"/>
      <w:bookmarkStart w:id="26" w:name="_Toc494455651"/>
      <w:r>
        <w:rPr>
          <w:rFonts w:ascii="楷体" w:hAnsi="楷体" w:eastAsia="楷体"/>
          <w:sz w:val="28"/>
          <w:szCs w:val="28"/>
        </w:rPr>
        <w:t>2</w:t>
      </w:r>
      <w:r>
        <w:rPr>
          <w:rFonts w:hint="eastAsia" w:ascii="楷体" w:hAnsi="楷体" w:eastAsia="楷体"/>
          <w:sz w:val="28"/>
          <w:szCs w:val="28"/>
        </w:rPr>
        <w:t>.合格的投标人</w:t>
      </w:r>
      <w:bookmarkEnd w:id="23"/>
      <w:bookmarkEnd w:id="24"/>
      <w:bookmarkEnd w:id="25"/>
      <w:bookmarkEnd w:id="26"/>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符合《中华人民共和国政府采购法》第二十二条规定的条件；</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符合本招标文件规定的资格要求，且按照要求提供相关证明材料；</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.3单位负责人为同一个人的两个以及两个以上法人，母公司、全资子公司以及其控股公司或者存在管理关系的不同单位，都不得在同一包或者未划分包的同一招标项目同时投标；</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4投标人须知前附表规定接受联合体投标的，应符合以下规定：</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.1</w:t>
      </w:r>
      <w:r>
        <w:rPr>
          <w:rFonts w:hint="eastAsia" w:ascii="仿宋" w:hAnsi="仿宋" w:eastAsia="仿宋"/>
          <w:sz w:val="24"/>
          <w:szCs w:val="24"/>
        </w:rPr>
        <w:t>联合体各方应按照招标文件提供的格式签订联合体协议书，明确联合体牵头人和各方权利义务；</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联合体各方均应当符合《政府采购法》第二十二条第一款规定的条件；</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.3</w:t>
      </w:r>
      <w:r>
        <w:rPr>
          <w:rFonts w:hint="eastAsia" w:ascii="仿宋" w:hAnsi="仿宋" w:eastAsia="仿宋"/>
          <w:sz w:val="24"/>
          <w:szCs w:val="24"/>
        </w:rPr>
        <w:t>联合体中有同类资质的投标人按照联合体分工承担相同工作的，应当按照资质等级较低的投标人确定资质等级。</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.4</w:t>
      </w:r>
      <w:r>
        <w:rPr>
          <w:rFonts w:hint="eastAsia" w:ascii="仿宋" w:hAnsi="仿宋" w:eastAsia="仿宋"/>
          <w:sz w:val="24"/>
          <w:szCs w:val="24"/>
        </w:rPr>
        <w:t>以联合体形式参加政府采购活动的，联合体各方不得再单独参加或者与其他投标人另外组成联合体参加同一合同项下的政府采购活动。</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.5</w:t>
      </w:r>
      <w:r>
        <w:rPr>
          <w:rFonts w:hint="eastAsia" w:ascii="仿宋" w:hAnsi="仿宋" w:eastAsia="仿宋"/>
          <w:sz w:val="24"/>
          <w:szCs w:val="24"/>
        </w:rPr>
        <w:t>联合体各方应当共同与采购人签订采购合同，就合同约定的事项对采购人承担连带责任；</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.6</w:t>
      </w:r>
      <w:r>
        <w:rPr>
          <w:rFonts w:hint="eastAsia" w:ascii="仿宋" w:hAnsi="仿宋" w:eastAsia="仿宋"/>
          <w:sz w:val="24"/>
          <w:szCs w:val="24"/>
        </w:rPr>
        <w:t>鼓励大中型企业和其他自然人、法人或者其他组织与小型、微型企业组成联合体投标，但联合体各方均应符合上述规定。</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5除采购人拟采购进口产品通过财政部门审核外，投标人不得提供直接进口或者委托进口产品（包括已进入中国境内的进口产品）。</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6为本项目提供整体设计、规范编制或者项目管理、监理、检测等服务的投标人，不得再参加本项目的招标活动。</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7</w:t>
      </w:r>
      <w:r>
        <w:rPr>
          <w:rFonts w:ascii="仿宋" w:hAnsi="仿宋" w:eastAsia="仿宋"/>
          <w:sz w:val="24"/>
          <w:szCs w:val="24"/>
        </w:rPr>
        <w:t>采购代理机构及其分支机构不得在所代理的采购项目中投标或者代理投标，不得为所代理的采购项目的投标人参加本项目提供投标咨询。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2.8投标人提供的证明材料内容必须真实可靠。</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符合上述条件的投标人即为合格投标人，具有参与公开招标的资格。</w:t>
      </w:r>
    </w:p>
    <w:p>
      <w:pPr>
        <w:spacing w:line="440" w:lineRule="exact"/>
        <w:ind w:firstLine="560" w:firstLineChars="200"/>
        <w:outlineLvl w:val="2"/>
        <w:rPr>
          <w:rFonts w:ascii="楷体" w:hAnsi="楷体" w:eastAsia="楷体"/>
          <w:sz w:val="28"/>
          <w:szCs w:val="28"/>
        </w:rPr>
      </w:pPr>
      <w:bookmarkStart w:id="27" w:name="_Toc2666"/>
      <w:bookmarkStart w:id="28" w:name="_Toc32241"/>
      <w:bookmarkStart w:id="29" w:name="_Toc494455652"/>
      <w:bookmarkStart w:id="30" w:name="_Toc28661"/>
      <w:r>
        <w:rPr>
          <w:rFonts w:ascii="楷体" w:hAnsi="楷体" w:eastAsia="楷体"/>
          <w:sz w:val="28"/>
          <w:szCs w:val="28"/>
        </w:rPr>
        <w:t>3</w:t>
      </w:r>
      <w:r>
        <w:rPr>
          <w:rFonts w:hint="eastAsia" w:ascii="楷体" w:hAnsi="楷体" w:eastAsia="楷体"/>
          <w:sz w:val="28"/>
          <w:szCs w:val="28"/>
        </w:rPr>
        <w:t>.保密</w:t>
      </w:r>
      <w:bookmarkEnd w:id="27"/>
      <w:bookmarkEnd w:id="28"/>
      <w:bookmarkEnd w:id="29"/>
      <w:bookmarkEnd w:id="30"/>
    </w:p>
    <w:p>
      <w:pPr>
        <w:spacing w:line="440" w:lineRule="exact"/>
        <w:ind w:firstLine="480" w:firstLineChars="200"/>
        <w:rPr>
          <w:rFonts w:ascii="仿宋" w:hAnsi="仿宋" w:eastAsia="仿宋"/>
          <w:sz w:val="24"/>
          <w:szCs w:val="24"/>
        </w:rPr>
      </w:pPr>
      <w:r>
        <w:rPr>
          <w:rFonts w:hint="eastAsia" w:ascii="仿宋" w:hAnsi="仿宋" w:eastAsia="仿宋"/>
          <w:sz w:val="24"/>
          <w:szCs w:val="24"/>
        </w:rPr>
        <w:t>参与招标投标活动的当事人应对招标文件和投标文件中的商业和技术等秘密保密，违者应对由此造成的后果承担法律责任。</w:t>
      </w:r>
    </w:p>
    <w:p>
      <w:pPr>
        <w:spacing w:line="440" w:lineRule="exact"/>
        <w:ind w:firstLine="560" w:firstLineChars="200"/>
        <w:outlineLvl w:val="2"/>
        <w:rPr>
          <w:rFonts w:ascii="楷体" w:hAnsi="楷体" w:eastAsia="楷体"/>
          <w:sz w:val="28"/>
          <w:szCs w:val="28"/>
        </w:rPr>
      </w:pPr>
      <w:bookmarkStart w:id="31" w:name="_Toc3176"/>
      <w:bookmarkStart w:id="32" w:name="_Toc25963"/>
      <w:bookmarkStart w:id="33" w:name="_Toc15532"/>
      <w:bookmarkStart w:id="34" w:name="_Toc494455653"/>
      <w:r>
        <w:rPr>
          <w:rFonts w:ascii="楷体" w:hAnsi="楷体" w:eastAsia="楷体"/>
          <w:sz w:val="28"/>
          <w:szCs w:val="28"/>
        </w:rPr>
        <w:t>4.</w:t>
      </w:r>
      <w:r>
        <w:rPr>
          <w:rFonts w:hint="eastAsia" w:ascii="楷体" w:hAnsi="楷体" w:eastAsia="楷体"/>
          <w:sz w:val="28"/>
          <w:szCs w:val="28"/>
        </w:rPr>
        <w:t>语言文字、计量单位、时间单位、投标有效期以及投标费用</w:t>
      </w:r>
      <w:bookmarkEnd w:id="31"/>
      <w:bookmarkEnd w:id="32"/>
      <w:bookmarkEnd w:id="33"/>
      <w:bookmarkEnd w:id="34"/>
    </w:p>
    <w:p>
      <w:pPr>
        <w:spacing w:line="440" w:lineRule="exact"/>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1语言文字</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pPr>
        <w:spacing w:line="440" w:lineRule="exact"/>
        <w:ind w:firstLine="480" w:firstLineChars="200"/>
        <w:rPr>
          <w:rFonts w:ascii="仿宋" w:hAnsi="仿宋" w:eastAsia="仿宋"/>
          <w:sz w:val="24"/>
          <w:szCs w:val="24"/>
        </w:rPr>
      </w:pPr>
      <w:r>
        <w:rPr>
          <w:rFonts w:ascii="仿宋" w:hAnsi="仿宋" w:eastAsia="仿宋"/>
          <w:sz w:val="24"/>
          <w:szCs w:val="24"/>
        </w:rPr>
        <w:t>4.2</w:t>
      </w:r>
      <w:r>
        <w:rPr>
          <w:rFonts w:hint="eastAsia" w:ascii="仿宋" w:hAnsi="仿宋" w:eastAsia="仿宋"/>
          <w:sz w:val="24"/>
          <w:szCs w:val="24"/>
        </w:rPr>
        <w:t>计量单位</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除招标文件另有规定外，计量均应采用中华人民共和国法定计量单位；所有报价一律使用人民币，货币单位为“元”。</w:t>
      </w:r>
    </w:p>
    <w:p>
      <w:pPr>
        <w:spacing w:line="440" w:lineRule="exact"/>
        <w:ind w:firstLine="480" w:firstLineChars="200"/>
        <w:rPr>
          <w:rFonts w:ascii="仿宋" w:hAnsi="仿宋" w:eastAsia="仿宋"/>
          <w:sz w:val="24"/>
          <w:szCs w:val="24"/>
        </w:rPr>
      </w:pPr>
      <w:r>
        <w:rPr>
          <w:rFonts w:ascii="仿宋" w:hAnsi="仿宋" w:eastAsia="仿宋"/>
          <w:sz w:val="24"/>
          <w:szCs w:val="24"/>
        </w:rPr>
        <w:t>4.3</w:t>
      </w:r>
      <w:r>
        <w:rPr>
          <w:rFonts w:hint="eastAsia" w:ascii="仿宋" w:hAnsi="仿宋" w:eastAsia="仿宋"/>
          <w:sz w:val="24"/>
          <w:szCs w:val="24"/>
        </w:rPr>
        <w:t>时间单位</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除招标文件中另有规定外，招标文件所使用的时间单位“天”、“日”均指日历天，时、分均为北京时间。</w:t>
      </w:r>
    </w:p>
    <w:p>
      <w:pPr>
        <w:spacing w:line="440" w:lineRule="exact"/>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4投标有效期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4.4.1</w:t>
      </w:r>
      <w:r>
        <w:rPr>
          <w:rFonts w:hint="eastAsia" w:ascii="仿宋" w:hAnsi="仿宋" w:eastAsia="仿宋"/>
          <w:sz w:val="24"/>
          <w:szCs w:val="24"/>
        </w:rPr>
        <w:t>在投标人须知前附表规定的投标有效期内，投标文件以及其补充、承诺等部分均保持有效。</w:t>
      </w:r>
    </w:p>
    <w:p>
      <w:pPr>
        <w:spacing w:line="440" w:lineRule="exact"/>
        <w:ind w:firstLine="480" w:firstLineChars="200"/>
        <w:rPr>
          <w:rFonts w:ascii="仿宋" w:hAnsi="仿宋" w:eastAsia="仿宋"/>
          <w:sz w:val="24"/>
          <w:szCs w:val="24"/>
        </w:rPr>
      </w:pPr>
      <w:r>
        <w:rPr>
          <w:rFonts w:ascii="仿宋" w:hAnsi="仿宋" w:eastAsia="仿宋"/>
          <w:sz w:val="24"/>
          <w:szCs w:val="24"/>
        </w:rPr>
        <w:t>4.4.2</w:t>
      </w:r>
      <w:r>
        <w:rPr>
          <w:rFonts w:hint="eastAsia" w:ascii="仿宋" w:hAnsi="仿宋" w:eastAsia="仿宋"/>
          <w:sz w:val="24"/>
          <w:szCs w:val="24"/>
        </w:rPr>
        <w:t>在招标文件规定的投标文件有效期满之前，如果出现特殊情况，采购人或者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4.4.3</w:t>
      </w:r>
      <w:r>
        <w:rPr>
          <w:rFonts w:ascii="仿宋" w:hAnsi="仿宋" w:eastAsia="仿宋"/>
          <w:sz w:val="24"/>
          <w:szCs w:val="24"/>
        </w:rPr>
        <w:t>投标有效期内投标人撤销投标文件的，</w:t>
      </w:r>
      <w:r>
        <w:rPr>
          <w:rFonts w:hint="eastAsia" w:ascii="仿宋" w:hAnsi="仿宋" w:eastAsia="仿宋"/>
          <w:sz w:val="24"/>
          <w:szCs w:val="24"/>
        </w:rPr>
        <w:t>采购人</w:t>
      </w:r>
      <w:r>
        <w:rPr>
          <w:rFonts w:ascii="仿宋" w:hAnsi="仿宋" w:eastAsia="仿宋"/>
          <w:sz w:val="24"/>
          <w:szCs w:val="24"/>
        </w:rPr>
        <w:t>或者采购代理机构可以不退还投标保证金。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4.5投标费用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投标人应自行承担其准备和参加投标活动发生的所有费用。</w:t>
      </w:r>
    </w:p>
    <w:p>
      <w:pPr>
        <w:spacing w:line="440" w:lineRule="exact"/>
        <w:ind w:firstLine="560" w:firstLineChars="200"/>
        <w:outlineLvl w:val="2"/>
        <w:rPr>
          <w:rFonts w:ascii="楷体" w:hAnsi="楷体" w:eastAsia="楷体"/>
          <w:sz w:val="28"/>
          <w:szCs w:val="28"/>
        </w:rPr>
      </w:pPr>
      <w:bookmarkStart w:id="35" w:name="_Toc27687"/>
      <w:bookmarkStart w:id="36" w:name="_Toc494455654"/>
      <w:bookmarkStart w:id="37" w:name="_Toc18188"/>
      <w:bookmarkStart w:id="38" w:name="_Toc11935"/>
      <w:r>
        <w:rPr>
          <w:rFonts w:ascii="楷体" w:hAnsi="楷体" w:eastAsia="楷体"/>
          <w:sz w:val="28"/>
          <w:szCs w:val="28"/>
        </w:rPr>
        <w:t>5.</w:t>
      </w:r>
      <w:r>
        <w:rPr>
          <w:rFonts w:hint="eastAsia" w:ascii="楷体" w:hAnsi="楷体" w:eastAsia="楷体"/>
          <w:sz w:val="28"/>
          <w:szCs w:val="28"/>
        </w:rPr>
        <w:t>踏勘现场</w:t>
      </w:r>
      <w:bookmarkEnd w:id="35"/>
      <w:bookmarkEnd w:id="36"/>
      <w:bookmarkEnd w:id="37"/>
      <w:bookmarkEnd w:id="38"/>
    </w:p>
    <w:p>
      <w:pPr>
        <w:spacing w:line="440" w:lineRule="exact"/>
        <w:ind w:firstLine="480" w:firstLineChars="200"/>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投标人须知前附表规定组织踏勘现场的，采购人必须按照规定时间、地点组织投标人踏勘项目现场，以便投标人获取有关编制投标文件和签署合同所涉及现场的资料。投标人承担踏勘现场所发生的自身费用。</w:t>
      </w:r>
    </w:p>
    <w:p>
      <w:pPr>
        <w:spacing w:line="440" w:lineRule="exact"/>
        <w:ind w:firstLine="480" w:firstLineChars="200"/>
        <w:rPr>
          <w:rFonts w:ascii="仿宋" w:hAnsi="仿宋" w:eastAsia="仿宋"/>
          <w:sz w:val="24"/>
          <w:szCs w:val="24"/>
        </w:rPr>
      </w:pPr>
      <w:r>
        <w:rPr>
          <w:rFonts w:ascii="仿宋" w:hAnsi="仿宋" w:eastAsia="仿宋"/>
          <w:sz w:val="24"/>
          <w:szCs w:val="24"/>
        </w:rPr>
        <w:t>5.2</w:t>
      </w:r>
      <w:r>
        <w:rPr>
          <w:rFonts w:hint="eastAsia" w:ascii="仿宋" w:hAnsi="仿宋" w:eastAsia="仿宋"/>
          <w:sz w:val="24"/>
          <w:szCs w:val="24"/>
        </w:rPr>
        <w:t>采购人向投标人提供的有关现场的资料和数据，是采购人现有的能使投标人利用的资料，采购人对投标人由此而做出的推论、理解和结论不负责任。</w:t>
      </w:r>
    </w:p>
    <w:p>
      <w:pPr>
        <w:spacing w:line="440" w:lineRule="exact"/>
        <w:ind w:firstLine="480" w:firstLineChars="200"/>
        <w:rPr>
          <w:rFonts w:ascii="仿宋" w:hAnsi="仿宋" w:eastAsia="仿宋"/>
          <w:sz w:val="24"/>
          <w:szCs w:val="24"/>
        </w:rPr>
      </w:pPr>
      <w:r>
        <w:rPr>
          <w:rFonts w:ascii="仿宋" w:hAnsi="仿宋" w:eastAsia="仿宋"/>
          <w:sz w:val="24"/>
          <w:szCs w:val="24"/>
        </w:rPr>
        <w:t>5.3</w:t>
      </w:r>
      <w:r>
        <w:rPr>
          <w:rFonts w:hint="eastAsia" w:ascii="仿宋" w:hAnsi="仿宋" w:eastAsia="仿宋"/>
          <w:sz w:val="24"/>
          <w:szCs w:val="24"/>
        </w:rPr>
        <w:t>投标人经过采购人允许，可以进入项目现场踏勘，但不得因此使采购人承担有关责任和蒙受损失。除采购人原因外，投标人应对踏勘现场而造成的死亡、人身伤害、财产损失、损害以及其它任何损失、损害和引起的费用和开支承担责任。</w:t>
      </w:r>
    </w:p>
    <w:p>
      <w:pPr>
        <w:spacing w:line="440" w:lineRule="exact"/>
        <w:ind w:firstLine="560" w:firstLineChars="200"/>
        <w:outlineLvl w:val="2"/>
        <w:rPr>
          <w:rFonts w:ascii="楷体" w:hAnsi="楷体" w:eastAsia="楷体"/>
          <w:sz w:val="28"/>
          <w:szCs w:val="28"/>
        </w:rPr>
      </w:pPr>
      <w:bookmarkStart w:id="39" w:name="_Toc17226"/>
      <w:bookmarkStart w:id="40" w:name="_Toc494455655"/>
      <w:bookmarkStart w:id="41" w:name="_Toc3961"/>
      <w:bookmarkStart w:id="42" w:name="_Toc6095"/>
      <w:r>
        <w:rPr>
          <w:rFonts w:ascii="楷体" w:hAnsi="楷体" w:eastAsia="楷体"/>
          <w:sz w:val="28"/>
          <w:szCs w:val="28"/>
        </w:rPr>
        <w:t>6</w:t>
      </w:r>
      <w:r>
        <w:rPr>
          <w:rFonts w:hint="eastAsia" w:ascii="楷体" w:hAnsi="楷体" w:eastAsia="楷体"/>
          <w:sz w:val="28"/>
          <w:szCs w:val="28"/>
        </w:rPr>
        <w:t>.询问</w:t>
      </w:r>
      <w:bookmarkEnd w:id="39"/>
      <w:bookmarkEnd w:id="40"/>
      <w:bookmarkEnd w:id="41"/>
      <w:bookmarkEnd w:id="42"/>
    </w:p>
    <w:p>
      <w:pPr>
        <w:spacing w:line="440" w:lineRule="exact"/>
        <w:ind w:firstLine="480" w:firstLineChars="200"/>
        <w:rPr>
          <w:rFonts w:ascii="仿宋" w:hAnsi="仿宋" w:eastAsia="仿宋"/>
          <w:sz w:val="24"/>
          <w:szCs w:val="24"/>
        </w:rPr>
      </w:pPr>
      <w:r>
        <w:rPr>
          <w:rFonts w:ascii="仿宋" w:hAnsi="仿宋" w:eastAsia="仿宋"/>
          <w:sz w:val="24"/>
          <w:szCs w:val="24"/>
        </w:rPr>
        <w:t>6.1</w:t>
      </w:r>
      <w:r>
        <w:rPr>
          <w:rFonts w:hint="eastAsia" w:ascii="仿宋" w:hAnsi="仿宋" w:eastAsia="仿宋"/>
          <w:sz w:val="24"/>
          <w:szCs w:val="24"/>
        </w:rPr>
        <w:t>投标人对招标投标活动事项有疑问的，可以向采购代理机构提出询问；采购代理机构应当及时作出答复，但答复的内容不得涉及商业秘密。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2询问及答复既可以采取书面形式，也可以采取电话、面谈等口头方式。</w:t>
      </w:r>
    </w:p>
    <w:p>
      <w:pPr>
        <w:spacing w:line="440" w:lineRule="exact"/>
        <w:ind w:firstLine="560" w:firstLineChars="200"/>
        <w:outlineLvl w:val="2"/>
        <w:rPr>
          <w:rFonts w:ascii="楷体" w:hAnsi="楷体" w:eastAsia="楷体"/>
          <w:sz w:val="28"/>
          <w:szCs w:val="28"/>
        </w:rPr>
      </w:pPr>
      <w:bookmarkStart w:id="43" w:name="_Toc13742"/>
      <w:bookmarkStart w:id="44" w:name="_Toc30639"/>
      <w:bookmarkStart w:id="45" w:name="_Toc3543"/>
      <w:bookmarkStart w:id="46" w:name="_Toc494455656"/>
      <w:r>
        <w:rPr>
          <w:rFonts w:ascii="楷体" w:hAnsi="楷体" w:eastAsia="楷体"/>
          <w:sz w:val="28"/>
          <w:szCs w:val="28"/>
        </w:rPr>
        <w:t>7.</w:t>
      </w:r>
      <w:r>
        <w:rPr>
          <w:rFonts w:hint="eastAsia" w:ascii="楷体" w:hAnsi="楷体" w:eastAsia="楷体"/>
          <w:sz w:val="28"/>
          <w:szCs w:val="28"/>
        </w:rPr>
        <w:t>偏离</w:t>
      </w:r>
      <w:bookmarkEnd w:id="43"/>
      <w:bookmarkEnd w:id="44"/>
      <w:bookmarkEnd w:id="45"/>
      <w:bookmarkEnd w:id="46"/>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采购人允许投标文件偏离招标文件某些非实质性要求的，偏离应当符合招标文件规定的偏离范围和幅度。</w:t>
      </w:r>
    </w:p>
    <w:p>
      <w:pPr>
        <w:spacing w:line="440" w:lineRule="exact"/>
        <w:ind w:firstLine="560" w:firstLineChars="200"/>
        <w:outlineLvl w:val="2"/>
        <w:rPr>
          <w:rFonts w:ascii="楷体" w:hAnsi="楷体" w:eastAsia="楷体"/>
          <w:sz w:val="28"/>
          <w:szCs w:val="28"/>
        </w:rPr>
      </w:pPr>
      <w:bookmarkStart w:id="47" w:name="_Toc11651"/>
      <w:bookmarkStart w:id="48" w:name="_Toc2491"/>
      <w:bookmarkStart w:id="49" w:name="_Toc494455657"/>
      <w:bookmarkStart w:id="50" w:name="_Toc6203"/>
      <w:r>
        <w:rPr>
          <w:rFonts w:ascii="楷体" w:hAnsi="楷体" w:eastAsia="楷体"/>
          <w:sz w:val="28"/>
          <w:szCs w:val="28"/>
        </w:rPr>
        <w:t>8</w:t>
      </w:r>
      <w:r>
        <w:rPr>
          <w:rFonts w:hint="eastAsia" w:ascii="楷体" w:hAnsi="楷体" w:eastAsia="楷体"/>
          <w:sz w:val="28"/>
          <w:szCs w:val="28"/>
        </w:rPr>
        <w:t>.履约担保</w:t>
      </w:r>
      <w:bookmarkEnd w:id="47"/>
      <w:bookmarkEnd w:id="48"/>
      <w:bookmarkEnd w:id="49"/>
      <w:bookmarkEnd w:id="50"/>
    </w:p>
    <w:p>
      <w:pPr>
        <w:spacing w:line="440" w:lineRule="exact"/>
        <w:ind w:firstLine="480" w:firstLineChars="200"/>
        <w:rPr>
          <w:rFonts w:ascii="仿宋" w:hAnsi="仿宋" w:eastAsia="仿宋"/>
          <w:sz w:val="24"/>
          <w:szCs w:val="24"/>
        </w:rPr>
      </w:pPr>
      <w:r>
        <w:rPr>
          <w:rFonts w:ascii="仿宋" w:hAnsi="仿宋" w:eastAsia="仿宋"/>
          <w:sz w:val="24"/>
          <w:szCs w:val="24"/>
        </w:rPr>
        <w:t>8.1</w:t>
      </w:r>
      <w:r>
        <w:rPr>
          <w:rFonts w:hint="eastAsia" w:ascii="仿宋" w:hAnsi="仿宋" w:eastAsia="仿宋"/>
          <w:sz w:val="24"/>
          <w:szCs w:val="24"/>
        </w:rPr>
        <w:t>在签订合同前，中标人应按照有关规定或者事先经过采购人书面认可的履约担保要求向采购人提交履约担保。除另有规定外，履约担保金额不超过中标合同金额的</w:t>
      </w:r>
      <w:r>
        <w:rPr>
          <w:rFonts w:ascii="仿宋" w:hAnsi="仿宋" w:eastAsia="仿宋"/>
          <w:sz w:val="24"/>
          <w:szCs w:val="24"/>
        </w:rPr>
        <w:t>10%</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ascii="仿宋" w:hAnsi="仿宋" w:eastAsia="仿宋"/>
          <w:sz w:val="24"/>
          <w:szCs w:val="24"/>
        </w:rPr>
        <w:t>8.2</w:t>
      </w:r>
      <w:r>
        <w:rPr>
          <w:rFonts w:hint="eastAsia" w:ascii="仿宋" w:hAnsi="仿宋" w:eastAsia="仿宋"/>
          <w:sz w:val="24"/>
          <w:szCs w:val="24"/>
        </w:rPr>
        <w:t>中标人未按照要求提交履约担保的，视为放弃中标，其投标保证金不予退还，给采购人造成的损失超过投标保证金的，中标人应当对超过部分予以赔偿。</w:t>
      </w:r>
    </w:p>
    <w:p>
      <w:pPr>
        <w:spacing w:line="440" w:lineRule="exact"/>
        <w:ind w:firstLine="560" w:firstLineChars="200"/>
        <w:outlineLvl w:val="2"/>
        <w:rPr>
          <w:rFonts w:ascii="楷体" w:hAnsi="楷体" w:eastAsia="楷体"/>
          <w:sz w:val="28"/>
          <w:szCs w:val="28"/>
        </w:rPr>
      </w:pPr>
      <w:bookmarkStart w:id="51" w:name="_Toc30538"/>
      <w:bookmarkStart w:id="52" w:name="_Toc8201"/>
      <w:bookmarkStart w:id="53" w:name="_Toc21616"/>
      <w:bookmarkStart w:id="54" w:name="_Toc494455658"/>
      <w:r>
        <w:rPr>
          <w:rFonts w:ascii="楷体" w:hAnsi="楷体" w:eastAsia="楷体"/>
          <w:sz w:val="28"/>
          <w:szCs w:val="28"/>
        </w:rPr>
        <w:t>9</w:t>
      </w:r>
      <w:r>
        <w:rPr>
          <w:rFonts w:hint="eastAsia" w:ascii="楷体" w:hAnsi="楷体" w:eastAsia="楷体"/>
          <w:sz w:val="28"/>
          <w:szCs w:val="28"/>
        </w:rPr>
        <w:t>.采购代理服务费</w:t>
      </w:r>
      <w:bookmarkEnd w:id="51"/>
      <w:bookmarkEnd w:id="52"/>
      <w:bookmarkEnd w:id="53"/>
      <w:bookmarkEnd w:id="54"/>
    </w:p>
    <w:p>
      <w:pPr>
        <w:spacing w:line="440" w:lineRule="exact"/>
        <w:ind w:firstLine="480" w:firstLineChars="200"/>
        <w:rPr>
          <w:rFonts w:hint="eastAsia" w:ascii="仿宋" w:hAnsi="仿宋" w:eastAsia="仿宋" w:cs="Times New Roman"/>
          <w:sz w:val="24"/>
          <w:szCs w:val="24"/>
          <w:lang w:val="en-US" w:eastAsia="zh-CN"/>
        </w:rPr>
      </w:pPr>
      <w:bookmarkStart w:id="55" w:name="_Toc537"/>
      <w:bookmarkStart w:id="56" w:name="_Toc494455659"/>
      <w:r>
        <w:rPr>
          <w:rFonts w:hint="eastAsia" w:ascii="仿宋" w:hAnsi="仿宋" w:eastAsia="仿宋" w:cs="Times New Roman"/>
          <w:sz w:val="24"/>
          <w:szCs w:val="24"/>
        </w:rPr>
        <w:t>中标供应商应在领取成交通知书前，一次性向采购代理机构支付招标代理服务费</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 xml:space="preserve">         </w:t>
      </w:r>
    </w:p>
    <w:p>
      <w:pPr>
        <w:spacing w:line="440" w:lineRule="exact"/>
        <w:ind w:firstLine="560" w:firstLineChars="200"/>
        <w:outlineLvl w:val="2"/>
        <w:rPr>
          <w:rFonts w:ascii="楷体" w:hAnsi="楷体" w:eastAsia="楷体"/>
          <w:sz w:val="28"/>
          <w:szCs w:val="28"/>
        </w:rPr>
      </w:pPr>
      <w:bookmarkStart w:id="57" w:name="_Toc30807"/>
      <w:bookmarkStart w:id="58" w:name="_Toc3691"/>
      <w:r>
        <w:rPr>
          <w:rFonts w:hint="eastAsia" w:ascii="楷体" w:hAnsi="楷体" w:eastAsia="楷体"/>
          <w:sz w:val="28"/>
          <w:szCs w:val="28"/>
        </w:rPr>
        <w:t>1</w:t>
      </w:r>
      <w:r>
        <w:rPr>
          <w:rFonts w:ascii="楷体" w:hAnsi="楷体" w:eastAsia="楷体"/>
          <w:sz w:val="28"/>
          <w:szCs w:val="28"/>
        </w:rPr>
        <w:t>0.</w:t>
      </w:r>
      <w:r>
        <w:rPr>
          <w:rFonts w:hint="eastAsia" w:ascii="楷体" w:hAnsi="楷体" w:eastAsia="楷体"/>
          <w:sz w:val="28"/>
          <w:szCs w:val="28"/>
        </w:rPr>
        <w:t>招标文件</w:t>
      </w:r>
      <w:bookmarkEnd w:id="55"/>
      <w:bookmarkEnd w:id="56"/>
      <w:bookmarkEnd w:id="57"/>
      <w:bookmarkEnd w:id="58"/>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.1</w:t>
      </w:r>
      <w:r>
        <w:rPr>
          <w:rFonts w:ascii="仿宋" w:hAnsi="仿宋" w:eastAsia="仿宋"/>
          <w:sz w:val="24"/>
          <w:szCs w:val="24"/>
        </w:rPr>
        <w:t>招标文件的组成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1.1</w:t>
      </w:r>
      <w:r>
        <w:rPr>
          <w:rFonts w:hint="eastAsia" w:ascii="仿宋" w:hAnsi="仿宋" w:eastAsia="仿宋"/>
          <w:sz w:val="24"/>
          <w:szCs w:val="24"/>
        </w:rPr>
        <w:t>招标文件是用以阐明所需</w:t>
      </w:r>
      <w:r>
        <w:rPr>
          <w:rFonts w:hint="eastAsia" w:ascii="仿宋" w:hAnsi="仿宋" w:eastAsia="仿宋"/>
          <w:sz w:val="24"/>
          <w:szCs w:val="24"/>
          <w:lang w:eastAsia="zh-CN"/>
        </w:rPr>
        <w:t>工程、</w:t>
      </w:r>
      <w:r>
        <w:rPr>
          <w:rFonts w:hint="eastAsia" w:ascii="仿宋" w:hAnsi="仿宋" w:eastAsia="仿宋"/>
          <w:sz w:val="24"/>
          <w:szCs w:val="24"/>
        </w:rPr>
        <w:t>货物以及服务、招标程序和合同格式的规范性文件。招标文件主要由以下部分组成：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第一章  招标公告；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第二章  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第三章  采购需求；</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第四章  评标办法；</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第五章  签订合同、合同主要条款；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第六章  投标文件格式；</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1.2</w:t>
      </w:r>
      <w:r>
        <w:rPr>
          <w:rFonts w:hint="eastAsia" w:ascii="仿宋" w:hAnsi="仿宋" w:eastAsia="仿宋"/>
          <w:sz w:val="24"/>
          <w:szCs w:val="24"/>
        </w:rPr>
        <w:t>根据本章第1</w:t>
      </w:r>
      <w:r>
        <w:rPr>
          <w:rFonts w:ascii="仿宋" w:hAnsi="仿宋" w:eastAsia="仿宋"/>
          <w:sz w:val="24"/>
          <w:szCs w:val="24"/>
        </w:rPr>
        <w:t>0</w:t>
      </w:r>
      <w:r>
        <w:rPr>
          <w:rFonts w:hint="eastAsia" w:ascii="仿宋" w:hAnsi="仿宋" w:eastAsia="仿宋"/>
          <w:sz w:val="24"/>
          <w:szCs w:val="24"/>
        </w:rPr>
        <w:t>.2款对采购文件所作的澄清和修改，构成采购文件的组成部分。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1.3</w:t>
      </w:r>
      <w:r>
        <w:rPr>
          <w:rFonts w:hint="eastAsia" w:ascii="仿宋" w:hAnsi="仿宋" w:eastAsia="仿宋"/>
          <w:sz w:val="24"/>
          <w:szCs w:val="24"/>
        </w:rPr>
        <w:t>除非有特殊要求，招标文件不单独提供项目所在地的自然环境、气候条件、公用设施等情况，投标人被视为熟悉上述与履行合同有关的一切情况。</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招标文件的澄清和修改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0.2</w:t>
      </w:r>
      <w:r>
        <w:rPr>
          <w:rFonts w:hint="eastAsia" w:ascii="仿宋" w:hAnsi="仿宋" w:eastAsia="仿宋"/>
          <w:sz w:val="24"/>
          <w:szCs w:val="24"/>
        </w:rPr>
        <w:t>.1采购人对已发出的招标文件进行必要澄清或者修改的，应当在规定的投标截止时间1</w:t>
      </w:r>
      <w:r>
        <w:rPr>
          <w:rFonts w:ascii="仿宋" w:hAnsi="仿宋" w:eastAsia="仿宋"/>
          <w:sz w:val="24"/>
          <w:szCs w:val="24"/>
        </w:rPr>
        <w:t>5</w:t>
      </w:r>
      <w:r>
        <w:rPr>
          <w:rFonts w:hint="eastAsia" w:ascii="仿宋" w:hAnsi="仿宋" w:eastAsia="仿宋"/>
          <w:sz w:val="24"/>
          <w:szCs w:val="24"/>
        </w:rPr>
        <w:t>日前，向各投标人发出补充文件，以书面形式通知所有招标文件收受人，但不指明澄清问题的来源。如果澄清或者修改招标文件的时间距投标截止时间不足1</w:t>
      </w:r>
      <w:r>
        <w:rPr>
          <w:rFonts w:ascii="仿宋" w:hAnsi="仿宋" w:eastAsia="仿宋"/>
          <w:sz w:val="24"/>
          <w:szCs w:val="24"/>
        </w:rPr>
        <w:t>5</w:t>
      </w:r>
      <w:r>
        <w:rPr>
          <w:rFonts w:hint="eastAsia" w:ascii="仿宋" w:hAnsi="仿宋" w:eastAsia="仿宋"/>
          <w:sz w:val="24"/>
          <w:szCs w:val="24"/>
        </w:rPr>
        <w:t>日，采购人应延长投标截止时间，具体时间将在补充文件中予以明确。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10.2.2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w:t>
      </w:r>
      <w:r>
        <w:rPr>
          <w:rFonts w:ascii="仿宋" w:hAnsi="仿宋" w:eastAsia="仿宋"/>
          <w:sz w:val="24"/>
          <w:szCs w:val="24"/>
        </w:rPr>
        <w:t>的电子信箱</w:t>
      </w:r>
      <w:r>
        <w:rPr>
          <w:rFonts w:hint="eastAsia" w:ascii="仿宋" w:hAnsi="仿宋" w:eastAsia="仿宋"/>
          <w:sz w:val="24"/>
          <w:szCs w:val="24"/>
        </w:rPr>
        <w:t>，否则，由此引起的损失由投标人自负。同时，投标人有义务对招标文件的准确性进行复核，如发现有任何错误（打印的错误、逻辑的错误）或者前后矛盾的，应在规定提交答疑的时间内提交给采购人或采购代理机构，否则，投标人应无条件接受招标文件所有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0.2</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招标文件的澄清或者修改文件，应作为招标文件组成部分并具有法律效力，任何口头答复、通知无效。招标文件的澄清或者修改在同一内容的表述上不一致时，以最后发出的公告为准。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.4投标人认为招标文件存在歧视性条款或者不合理要求等需要澄清的，应在规定时间内一次性全部提出。在规定时间未一次性提出或者对已澄清的条款再提异议者，即视为同意和接受相关条款。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.5从补充文件发出时间开始，投标人应在</w:t>
      </w:r>
      <w:r>
        <w:rPr>
          <w:rFonts w:ascii="仿宋" w:hAnsi="仿宋" w:eastAsia="仿宋"/>
          <w:sz w:val="24"/>
          <w:szCs w:val="24"/>
        </w:rPr>
        <w:t>投标人须知前附表规定的时间</w:t>
      </w:r>
      <w:r>
        <w:rPr>
          <w:rFonts w:hint="eastAsia" w:ascii="仿宋" w:hAnsi="仿宋" w:eastAsia="仿宋"/>
          <w:sz w:val="24"/>
          <w:szCs w:val="24"/>
        </w:rPr>
        <w:t>内回复确认函，加盖投标人单位公章以及确认日期，采用信函、传真或者直接送达的形式通知采购代理机构。否则，即视为同意和接受该公告内容。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延长投标截止时间和开标时间</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采购人可以视采购具体情况，延长投标截止时间和开标时间，但至少应当在招标文件要求提交投标文件的截止时间3日前，以书面形式通知所有招标文件收受人。</w:t>
      </w:r>
    </w:p>
    <w:p>
      <w:pPr>
        <w:spacing w:line="440" w:lineRule="exact"/>
        <w:ind w:firstLine="560" w:firstLineChars="200"/>
        <w:outlineLvl w:val="2"/>
        <w:rPr>
          <w:rFonts w:ascii="楷体" w:hAnsi="楷体" w:eastAsia="楷体"/>
          <w:sz w:val="28"/>
          <w:szCs w:val="28"/>
        </w:rPr>
      </w:pPr>
      <w:bookmarkStart w:id="59" w:name="_Toc494455660"/>
      <w:bookmarkStart w:id="60" w:name="_Toc13654"/>
      <w:bookmarkStart w:id="61" w:name="_Toc24258"/>
      <w:bookmarkStart w:id="62" w:name="_Toc4017"/>
      <w:r>
        <w:rPr>
          <w:rFonts w:hint="eastAsia" w:ascii="楷体" w:hAnsi="楷体" w:eastAsia="楷体"/>
          <w:sz w:val="28"/>
          <w:szCs w:val="28"/>
        </w:rPr>
        <w:t>1</w:t>
      </w:r>
      <w:r>
        <w:rPr>
          <w:rFonts w:ascii="楷体" w:hAnsi="楷体" w:eastAsia="楷体"/>
          <w:sz w:val="28"/>
          <w:szCs w:val="28"/>
        </w:rPr>
        <w:t>1</w:t>
      </w:r>
      <w:r>
        <w:rPr>
          <w:rFonts w:hint="eastAsia" w:ascii="楷体" w:hAnsi="楷体" w:eastAsia="楷体"/>
          <w:sz w:val="28"/>
          <w:szCs w:val="28"/>
        </w:rPr>
        <w:t>.投标文件的组成</w:t>
      </w:r>
      <w:bookmarkEnd w:id="59"/>
      <w:bookmarkEnd w:id="60"/>
      <w:bookmarkEnd w:id="61"/>
      <w:bookmarkEnd w:id="62"/>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投标人应按照招标文件的要求以及格式编制投标文件，并保证其真实性、准确性以及完整性，并按照招标文件要求提交全部资料并做出实质性响应。</w:t>
      </w:r>
    </w:p>
    <w:p>
      <w:pPr>
        <w:spacing w:line="440" w:lineRule="exact"/>
        <w:ind w:firstLine="480" w:firstLineChars="200"/>
        <w:rPr>
          <w:rFonts w:ascii="仿宋" w:hAnsi="仿宋" w:eastAsia="仿宋"/>
          <w:sz w:val="24"/>
          <w:szCs w:val="24"/>
        </w:rPr>
      </w:pPr>
      <w:r>
        <w:rPr>
          <w:rFonts w:ascii="仿宋" w:hAnsi="仿宋" w:eastAsia="仿宋"/>
          <w:sz w:val="24"/>
          <w:szCs w:val="24"/>
        </w:rPr>
        <w:t>11.2</w:t>
      </w:r>
      <w:r>
        <w:rPr>
          <w:rFonts w:hint="eastAsia" w:ascii="仿宋" w:hAnsi="仿宋" w:eastAsia="仿宋"/>
          <w:sz w:val="24"/>
          <w:szCs w:val="24"/>
        </w:rPr>
        <w:t>投标文件由商务文件、技术文件以及电子版投标文件组成：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11.3商务文件：详见“第六章 投标文件格式 商务文件”</w:t>
      </w:r>
    </w:p>
    <w:p>
      <w:pPr>
        <w:spacing w:line="440" w:lineRule="exact"/>
        <w:ind w:firstLine="480" w:firstLineChars="200"/>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技术文件：详见“第六章 投标文件格式 技术文件”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1.5</w:t>
      </w:r>
      <w:r>
        <w:rPr>
          <w:rFonts w:hint="eastAsia" w:ascii="仿宋" w:hAnsi="仿宋" w:eastAsia="仿宋"/>
          <w:sz w:val="24"/>
          <w:szCs w:val="24"/>
        </w:rPr>
        <w:t>电子版投标文件内容为技术文件、商务文件要求的内容。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6电子版投标文件作为投标文件的一部分，均不退回。</w:t>
      </w:r>
    </w:p>
    <w:p>
      <w:pPr>
        <w:spacing w:line="440" w:lineRule="exact"/>
        <w:ind w:firstLine="560" w:firstLineChars="200"/>
        <w:outlineLvl w:val="2"/>
        <w:rPr>
          <w:rFonts w:ascii="楷体" w:hAnsi="楷体" w:eastAsia="楷体"/>
          <w:sz w:val="28"/>
          <w:szCs w:val="28"/>
        </w:rPr>
      </w:pPr>
      <w:bookmarkStart w:id="63" w:name="_Toc28937"/>
      <w:bookmarkStart w:id="64" w:name="_Toc8207"/>
      <w:bookmarkStart w:id="65" w:name="_Toc494455661"/>
      <w:bookmarkStart w:id="66" w:name="_Toc21264"/>
      <w:r>
        <w:rPr>
          <w:rFonts w:hint="eastAsia" w:ascii="楷体" w:hAnsi="楷体" w:eastAsia="楷体"/>
          <w:sz w:val="28"/>
          <w:szCs w:val="28"/>
        </w:rPr>
        <w:t>1</w:t>
      </w:r>
      <w:r>
        <w:rPr>
          <w:rFonts w:ascii="楷体" w:hAnsi="楷体" w:eastAsia="楷体"/>
          <w:sz w:val="28"/>
          <w:szCs w:val="28"/>
        </w:rPr>
        <w:t>2</w:t>
      </w:r>
      <w:r>
        <w:rPr>
          <w:rFonts w:hint="eastAsia" w:ascii="楷体" w:hAnsi="楷体" w:eastAsia="楷体"/>
          <w:sz w:val="28"/>
          <w:szCs w:val="28"/>
        </w:rPr>
        <w:t>.投标报价</w:t>
      </w:r>
      <w:bookmarkEnd w:id="63"/>
      <w:bookmarkEnd w:id="64"/>
      <w:bookmarkEnd w:id="65"/>
      <w:bookmarkEnd w:id="66"/>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2.1</w:t>
      </w:r>
      <w:r>
        <w:rPr>
          <w:rFonts w:hint="eastAsia" w:ascii="仿宋" w:hAnsi="仿宋" w:eastAsia="仿宋"/>
          <w:sz w:val="24"/>
          <w:szCs w:val="24"/>
        </w:rPr>
        <w:t>投标报价的范围：见投标人须知前附表。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2.2</w:t>
      </w:r>
      <w:r>
        <w:rPr>
          <w:rFonts w:hint="eastAsia" w:ascii="仿宋" w:hAnsi="仿宋" w:eastAsia="仿宋"/>
          <w:sz w:val="24"/>
          <w:szCs w:val="24"/>
        </w:rPr>
        <w:t>投标人应对所投</w:t>
      </w:r>
      <w:r>
        <w:rPr>
          <w:rFonts w:hint="eastAsia" w:ascii="仿宋" w:hAnsi="仿宋" w:eastAsia="仿宋"/>
          <w:sz w:val="24"/>
          <w:szCs w:val="24"/>
          <w:lang w:val="en-US" w:eastAsia="zh-CN"/>
        </w:rPr>
        <w:t>项目</w:t>
      </w:r>
      <w:r>
        <w:rPr>
          <w:rFonts w:hint="eastAsia" w:ascii="仿宋" w:hAnsi="仿宋" w:eastAsia="仿宋"/>
          <w:sz w:val="24"/>
          <w:szCs w:val="24"/>
        </w:rPr>
        <w:t>的进行报价，对</w:t>
      </w:r>
      <w:r>
        <w:rPr>
          <w:rFonts w:hint="eastAsia" w:ascii="仿宋" w:hAnsi="仿宋" w:eastAsia="仿宋"/>
          <w:sz w:val="24"/>
          <w:szCs w:val="24"/>
          <w:lang w:val="en-US" w:eastAsia="zh-CN"/>
        </w:rPr>
        <w:t>所有包含的所有内容</w:t>
      </w:r>
      <w:r>
        <w:rPr>
          <w:rFonts w:hint="eastAsia" w:ascii="仿宋" w:hAnsi="仿宋" w:eastAsia="仿宋"/>
          <w:sz w:val="24"/>
          <w:szCs w:val="24"/>
        </w:rPr>
        <w:t>的报价必须全部报齐。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2.3投标报价的次数：见投标人须知前附表。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2.4</w:t>
      </w:r>
      <w:r>
        <w:rPr>
          <w:rFonts w:hint="eastAsia" w:ascii="仿宋" w:hAnsi="仿宋" w:eastAsia="仿宋"/>
          <w:sz w:val="24"/>
          <w:szCs w:val="24"/>
        </w:rPr>
        <w:t>投标人不得以任何方式或者方法提供投标以外的任何附赠条款。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2.5</w:t>
      </w:r>
      <w:r>
        <w:rPr>
          <w:rFonts w:hint="eastAsia" w:ascii="仿宋" w:hAnsi="仿宋" w:eastAsia="仿宋"/>
          <w:sz w:val="24"/>
          <w:szCs w:val="24"/>
        </w:rPr>
        <w:t>投标人应按照招标文件中要求的内容填写报价，并由法定代表人或者被授权代表签署。</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2.6</w:t>
      </w:r>
      <w:r>
        <w:rPr>
          <w:rFonts w:hint="eastAsia" w:ascii="仿宋" w:hAnsi="仿宋" w:eastAsia="仿宋"/>
          <w:sz w:val="24"/>
          <w:szCs w:val="24"/>
        </w:rPr>
        <w:t>投标人须按照附件格式表中的各单项明细逐项填写，以方便评标委员会对各投标文件进行比较。</w:t>
      </w:r>
    </w:p>
    <w:p>
      <w:pPr>
        <w:pStyle w:val="11"/>
        <w:rPr>
          <w:rFonts w:hint="default" w:eastAsia="仿宋"/>
          <w:lang w:val="en-US" w:eastAsia="zh-CN"/>
        </w:rPr>
      </w:pPr>
      <w:r>
        <w:rPr>
          <w:rFonts w:hint="eastAsia" w:ascii="仿宋" w:hAnsi="仿宋" w:eastAsia="仿宋"/>
          <w:sz w:val="24"/>
          <w:szCs w:val="24"/>
          <w:lang w:val="en-US" w:eastAsia="zh-CN"/>
        </w:rPr>
        <w:t>12.7本项目只允许有一个报价，且投标人的投标报价应保持一致。</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lang w:val="en-US" w:eastAsia="zh-CN"/>
        </w:rPr>
        <w:t>8</w:t>
      </w:r>
      <w:r>
        <w:rPr>
          <w:rFonts w:hint="eastAsia" w:ascii="仿宋" w:hAnsi="仿宋" w:eastAsia="仿宋"/>
          <w:sz w:val="24"/>
          <w:szCs w:val="24"/>
        </w:rPr>
        <w:t>投标文件报价出现前后不一致的，除招标文件另有规定外，按照下列规定修正：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（一）投标文件中开标一览表（报价表）内容与投标文件中相应内容不一致的，以开标一览表（报价表）为准；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（二）大写金额和小写金额不一致的，以大写金额为准；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（三）单价金额小数点或者百分比有明显错位的，以开标一览表的总价为准，并修改单价；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（四）总价金额与按单价汇总金额不一致的，以单价金额计算结果为准。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lang w:val="en-US" w:eastAsia="zh-CN"/>
        </w:rPr>
        <w:t>9</w:t>
      </w:r>
      <w:r>
        <w:rPr>
          <w:rFonts w:hint="eastAsia" w:ascii="仿宋" w:hAnsi="仿宋" w:eastAsia="仿宋"/>
          <w:sz w:val="24"/>
          <w:szCs w:val="24"/>
        </w:rPr>
        <w:t>唱标时，采购代理机构只对按照招标文件要求编制的投标报价进行唱标。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lang w:val="en-US" w:eastAsia="zh-CN"/>
        </w:rPr>
        <w:t>10</w:t>
      </w:r>
      <w:r>
        <w:rPr>
          <w:rFonts w:hint="eastAsia" w:ascii="仿宋" w:hAnsi="仿宋" w:eastAsia="仿宋"/>
          <w:sz w:val="24"/>
          <w:szCs w:val="24"/>
        </w:rPr>
        <w:t>投标人的中标价格在合同执行中是固定不变的，不得以任何理由予以变更，不得出现任何包含价格调整的要求。</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2.1</w:t>
      </w:r>
      <w:r>
        <w:rPr>
          <w:rFonts w:hint="eastAsia" w:ascii="仿宋" w:hAnsi="仿宋" w:eastAsia="仿宋"/>
          <w:sz w:val="24"/>
          <w:szCs w:val="24"/>
          <w:lang w:val="en-US" w:eastAsia="zh-CN"/>
        </w:rPr>
        <w:t>1</w:t>
      </w:r>
      <w:r>
        <w:rPr>
          <w:rFonts w:hint="eastAsia" w:ascii="仿宋" w:hAnsi="仿宋" w:eastAsia="仿宋"/>
          <w:sz w:val="24"/>
          <w:szCs w:val="24"/>
        </w:rPr>
        <w:t>采购人不接受未经中国海关报验放进入中国境内且产自关境外的报价。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.1</w:t>
      </w:r>
      <w:r>
        <w:rPr>
          <w:rFonts w:hint="eastAsia" w:ascii="仿宋" w:hAnsi="仿宋" w:eastAsia="仿宋"/>
          <w:sz w:val="24"/>
          <w:szCs w:val="24"/>
          <w:lang w:val="en-US" w:eastAsia="zh-CN"/>
        </w:rPr>
        <w:t>2</w:t>
      </w:r>
      <w:r>
        <w:rPr>
          <w:rFonts w:hint="eastAsia" w:ascii="仿宋" w:hAnsi="仿宋" w:eastAsia="仿宋"/>
          <w:sz w:val="24"/>
          <w:szCs w:val="24"/>
          <w:lang w:val="en-GB"/>
        </w:rPr>
        <w:t>投标人须知前附表未规定可以采购进口产品的，不允许进口产品参加投标。</w:t>
      </w:r>
    </w:p>
    <w:p>
      <w:pPr>
        <w:spacing w:line="440" w:lineRule="exact"/>
        <w:ind w:firstLine="560" w:firstLineChars="200"/>
        <w:outlineLvl w:val="2"/>
        <w:rPr>
          <w:rFonts w:ascii="楷体" w:hAnsi="楷体" w:eastAsia="楷体"/>
          <w:sz w:val="28"/>
          <w:szCs w:val="28"/>
        </w:rPr>
      </w:pPr>
      <w:bookmarkStart w:id="67" w:name="_Toc8672"/>
      <w:bookmarkStart w:id="68" w:name="_Toc494455662"/>
      <w:bookmarkStart w:id="69" w:name="_Toc30173"/>
      <w:bookmarkStart w:id="70" w:name="_Toc24675"/>
      <w:r>
        <w:rPr>
          <w:rFonts w:hint="eastAsia" w:ascii="楷体" w:hAnsi="楷体" w:eastAsia="楷体"/>
          <w:sz w:val="28"/>
          <w:szCs w:val="28"/>
        </w:rPr>
        <w:t>1</w:t>
      </w:r>
      <w:r>
        <w:rPr>
          <w:rFonts w:ascii="楷体" w:hAnsi="楷体" w:eastAsia="楷体"/>
          <w:sz w:val="28"/>
          <w:szCs w:val="28"/>
        </w:rPr>
        <w:t>3.</w:t>
      </w:r>
      <w:r>
        <w:rPr>
          <w:rFonts w:hint="eastAsia" w:ascii="楷体" w:hAnsi="楷体" w:eastAsia="楷体"/>
          <w:sz w:val="28"/>
          <w:szCs w:val="28"/>
        </w:rPr>
        <w:t>投标文件格式以及编制要求</w:t>
      </w:r>
      <w:bookmarkEnd w:id="67"/>
      <w:bookmarkEnd w:id="68"/>
      <w:bookmarkEnd w:id="69"/>
      <w:bookmarkEnd w:id="70"/>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投标文件应按所投包分别进行编制。</w:t>
      </w:r>
    </w:p>
    <w:p>
      <w:pPr>
        <w:spacing w:line="440" w:lineRule="exact"/>
        <w:ind w:firstLine="480" w:firstLineChars="200"/>
        <w:rPr>
          <w:rFonts w:ascii="仿宋" w:hAnsi="仿宋" w:eastAsia="仿宋"/>
          <w:sz w:val="24"/>
          <w:szCs w:val="24"/>
        </w:rPr>
      </w:pPr>
      <w:r>
        <w:rPr>
          <w:rFonts w:ascii="仿宋" w:hAnsi="仿宋" w:eastAsia="仿宋"/>
          <w:sz w:val="24"/>
          <w:szCs w:val="24"/>
        </w:rPr>
        <w:t>13.2</w:t>
      </w:r>
      <w:r>
        <w:rPr>
          <w:rFonts w:hint="eastAsia" w:ascii="仿宋" w:hAnsi="仿宋" w:eastAsia="仿宋"/>
          <w:sz w:val="24"/>
          <w:szCs w:val="24"/>
        </w:rPr>
        <w:t>投标文件编制装订：见投标人须知前附表。</w:t>
      </w:r>
    </w:p>
    <w:p>
      <w:pPr>
        <w:spacing w:line="440" w:lineRule="exact"/>
        <w:ind w:firstLine="480" w:firstLineChars="200"/>
        <w:rPr>
          <w:rFonts w:ascii="仿宋" w:hAnsi="仿宋" w:eastAsia="仿宋"/>
          <w:sz w:val="24"/>
          <w:szCs w:val="24"/>
        </w:rPr>
      </w:pPr>
      <w:r>
        <w:rPr>
          <w:rFonts w:ascii="仿宋" w:hAnsi="仿宋" w:eastAsia="仿宋"/>
          <w:sz w:val="24"/>
          <w:szCs w:val="24"/>
        </w:rPr>
        <w:t>13.3投标文件签署和盖章：</w:t>
      </w:r>
      <w:r>
        <w:rPr>
          <w:rFonts w:hint="eastAsia" w:ascii="仿宋" w:hAnsi="仿宋" w:eastAsia="仿宋"/>
          <w:sz w:val="24"/>
          <w:szCs w:val="24"/>
        </w:rPr>
        <w:t>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3.4</w:t>
      </w:r>
      <w:r>
        <w:rPr>
          <w:rFonts w:hint="eastAsia" w:ascii="仿宋" w:hAnsi="仿宋" w:eastAsia="仿宋"/>
          <w:sz w:val="24"/>
          <w:szCs w:val="24"/>
        </w:rPr>
        <w:t>投标人可对供货现场以及其范围环境进行考察，以获取有关编制投标文件和签署实施合同所需的各项资料，投标人应承担现场考察的费用、责任和风险。</w:t>
      </w:r>
    </w:p>
    <w:p>
      <w:pPr>
        <w:spacing w:line="440" w:lineRule="exact"/>
        <w:ind w:firstLine="480" w:firstLineChars="200"/>
        <w:rPr>
          <w:rFonts w:ascii="仿宋" w:hAnsi="仿宋" w:eastAsia="仿宋"/>
          <w:sz w:val="24"/>
          <w:szCs w:val="24"/>
        </w:rPr>
      </w:pPr>
      <w:r>
        <w:rPr>
          <w:rFonts w:ascii="仿宋" w:hAnsi="仿宋" w:eastAsia="仿宋"/>
          <w:sz w:val="24"/>
          <w:szCs w:val="24"/>
        </w:rPr>
        <w:t>13.5</w:t>
      </w:r>
      <w:r>
        <w:rPr>
          <w:rFonts w:hint="eastAsia" w:ascii="仿宋" w:hAnsi="仿宋" w:eastAsia="仿宋"/>
          <w:sz w:val="24"/>
          <w:szCs w:val="24"/>
        </w:rPr>
        <w:t>投标人编制投标文件时，应当如实在技术响应表和资信以及商务响应表中填写响应情况。</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3.6</w:t>
      </w:r>
      <w:r>
        <w:rPr>
          <w:rFonts w:hint="eastAsia" w:ascii="仿宋" w:hAnsi="仿宋" w:eastAsia="仿宋"/>
          <w:sz w:val="24"/>
          <w:szCs w:val="24"/>
        </w:rPr>
        <w:t>投标文件份数及要求：见投标人须知前附表。</w:t>
      </w:r>
    </w:p>
    <w:p>
      <w:pPr>
        <w:spacing w:line="440" w:lineRule="exact"/>
        <w:ind w:firstLine="560" w:firstLineChars="200"/>
        <w:outlineLvl w:val="2"/>
        <w:rPr>
          <w:rFonts w:ascii="楷体" w:hAnsi="楷体" w:eastAsia="楷体"/>
          <w:sz w:val="28"/>
          <w:szCs w:val="28"/>
        </w:rPr>
      </w:pPr>
      <w:bookmarkStart w:id="71" w:name="_Toc494455663"/>
      <w:bookmarkStart w:id="72" w:name="_Toc22295"/>
      <w:bookmarkStart w:id="73" w:name="_Toc283"/>
      <w:bookmarkStart w:id="74" w:name="_Toc2841"/>
      <w:r>
        <w:rPr>
          <w:rFonts w:hint="eastAsia" w:ascii="楷体" w:hAnsi="楷体" w:eastAsia="楷体"/>
          <w:sz w:val="28"/>
          <w:szCs w:val="28"/>
        </w:rPr>
        <w:t>1</w:t>
      </w:r>
      <w:r>
        <w:rPr>
          <w:rFonts w:ascii="楷体" w:hAnsi="楷体" w:eastAsia="楷体"/>
          <w:sz w:val="28"/>
          <w:szCs w:val="28"/>
        </w:rPr>
        <w:t>4.</w:t>
      </w:r>
      <w:r>
        <w:rPr>
          <w:rFonts w:hint="eastAsia" w:ascii="楷体" w:hAnsi="楷体" w:eastAsia="楷体"/>
          <w:sz w:val="28"/>
          <w:szCs w:val="28"/>
        </w:rPr>
        <w:t>投标文件的密封和标记</w:t>
      </w:r>
      <w:bookmarkEnd w:id="71"/>
      <w:bookmarkEnd w:id="72"/>
      <w:bookmarkEnd w:id="73"/>
      <w:bookmarkEnd w:id="74"/>
    </w:p>
    <w:p>
      <w:pPr>
        <w:spacing w:line="440" w:lineRule="exact"/>
        <w:ind w:firstLine="480" w:firstLineChars="200"/>
        <w:rPr>
          <w:rFonts w:ascii="仿宋" w:hAnsi="仿宋" w:eastAsia="仿宋"/>
          <w:sz w:val="24"/>
          <w:szCs w:val="24"/>
        </w:rPr>
      </w:pPr>
      <w:r>
        <w:rPr>
          <w:rFonts w:hint="eastAsia" w:ascii="仿宋" w:hAnsi="仿宋" w:eastAsia="仿宋"/>
          <w:sz w:val="24"/>
          <w:szCs w:val="24"/>
        </w:rPr>
        <w:t>见投标人须知前附表。</w:t>
      </w:r>
    </w:p>
    <w:p>
      <w:pPr>
        <w:spacing w:line="440" w:lineRule="exact"/>
        <w:ind w:firstLine="560" w:firstLineChars="200"/>
        <w:outlineLvl w:val="2"/>
        <w:rPr>
          <w:rFonts w:ascii="楷体" w:hAnsi="楷体" w:eastAsia="楷体"/>
          <w:sz w:val="28"/>
          <w:szCs w:val="28"/>
        </w:rPr>
      </w:pPr>
      <w:bookmarkStart w:id="75" w:name="_Toc494455664"/>
      <w:bookmarkStart w:id="76" w:name="_Toc15416"/>
      <w:bookmarkStart w:id="77" w:name="_Toc4171"/>
      <w:bookmarkStart w:id="78" w:name="_Toc11557"/>
      <w:r>
        <w:rPr>
          <w:rFonts w:hint="eastAsia" w:ascii="楷体" w:hAnsi="楷体" w:eastAsia="楷体"/>
          <w:sz w:val="28"/>
          <w:szCs w:val="28"/>
        </w:rPr>
        <w:t>1</w:t>
      </w:r>
      <w:r>
        <w:rPr>
          <w:rFonts w:ascii="楷体" w:hAnsi="楷体" w:eastAsia="楷体"/>
          <w:sz w:val="28"/>
          <w:szCs w:val="28"/>
        </w:rPr>
        <w:t>5.</w:t>
      </w:r>
      <w:r>
        <w:rPr>
          <w:rFonts w:hint="eastAsia" w:ascii="楷体" w:hAnsi="楷体" w:eastAsia="楷体"/>
          <w:sz w:val="28"/>
          <w:szCs w:val="28"/>
        </w:rPr>
        <w:t>投标文件的递交</w:t>
      </w:r>
      <w:bookmarkEnd w:id="75"/>
      <w:bookmarkEnd w:id="76"/>
      <w:bookmarkEnd w:id="77"/>
      <w:bookmarkEnd w:id="78"/>
    </w:p>
    <w:p>
      <w:pPr>
        <w:spacing w:line="440" w:lineRule="exact"/>
        <w:ind w:firstLine="480" w:firstLineChars="200"/>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.1投标人应在投标截止时间前递交投标文件。</w:t>
      </w:r>
    </w:p>
    <w:p>
      <w:pPr>
        <w:spacing w:line="440" w:lineRule="exact"/>
        <w:ind w:firstLine="480" w:firstLineChars="200"/>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2投标人递交投标文件的时间、地点和要求：见投标人须知前附表。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投标人有下列情况之一，采购人或者采购代理机构应当拒绝接收投标人的投标文件：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3.1</w:t>
      </w:r>
      <w:r>
        <w:rPr>
          <w:rFonts w:hint="eastAsia" w:ascii="仿宋" w:hAnsi="仿宋" w:eastAsia="仿宋"/>
          <w:sz w:val="24"/>
          <w:szCs w:val="24"/>
        </w:rPr>
        <w:t>逾期送达的或者未送达指定地点的；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3.2</w:t>
      </w:r>
      <w:r>
        <w:rPr>
          <w:rFonts w:hint="eastAsia" w:ascii="仿宋" w:hAnsi="仿宋" w:eastAsia="仿宋"/>
          <w:sz w:val="24"/>
          <w:szCs w:val="24"/>
        </w:rPr>
        <w:t>投标文件未按招标文件要求密封的。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5.4</w:t>
      </w:r>
      <w:r>
        <w:rPr>
          <w:rFonts w:hint="eastAsia" w:ascii="仿宋" w:hAnsi="仿宋" w:eastAsia="仿宋"/>
          <w:sz w:val="24"/>
          <w:szCs w:val="24"/>
        </w:rPr>
        <w:t>除投标人须知前附表另有规定外，不论招标过程和结果如何，投标人的投标文件均不退还。</w:t>
      </w:r>
    </w:p>
    <w:p>
      <w:pPr>
        <w:spacing w:line="440" w:lineRule="exact"/>
        <w:ind w:firstLine="560" w:firstLineChars="200"/>
        <w:outlineLvl w:val="2"/>
        <w:rPr>
          <w:rFonts w:ascii="楷体" w:hAnsi="楷体" w:eastAsia="楷体"/>
          <w:sz w:val="28"/>
          <w:szCs w:val="28"/>
        </w:rPr>
      </w:pPr>
      <w:bookmarkStart w:id="79" w:name="_Toc2916"/>
      <w:bookmarkStart w:id="80" w:name="_Toc20935"/>
      <w:bookmarkStart w:id="81" w:name="_Toc494455665"/>
      <w:bookmarkStart w:id="82" w:name="_Toc10901"/>
      <w:r>
        <w:rPr>
          <w:rFonts w:hint="eastAsia" w:ascii="楷体" w:hAnsi="楷体" w:eastAsia="楷体"/>
          <w:sz w:val="28"/>
          <w:szCs w:val="28"/>
        </w:rPr>
        <w:t>1</w:t>
      </w:r>
      <w:r>
        <w:rPr>
          <w:rFonts w:ascii="楷体" w:hAnsi="楷体" w:eastAsia="楷体"/>
          <w:sz w:val="28"/>
          <w:szCs w:val="28"/>
        </w:rPr>
        <w:t>6</w:t>
      </w:r>
      <w:r>
        <w:rPr>
          <w:rFonts w:hint="eastAsia" w:ascii="楷体" w:hAnsi="楷体" w:eastAsia="楷体"/>
          <w:sz w:val="28"/>
          <w:szCs w:val="28"/>
        </w:rPr>
        <w:t>.投标文件的修改与撤回</w:t>
      </w:r>
      <w:bookmarkEnd w:id="79"/>
      <w:bookmarkEnd w:id="80"/>
      <w:bookmarkEnd w:id="81"/>
      <w:bookmarkEnd w:id="82"/>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6.1</w:t>
      </w:r>
      <w:r>
        <w:rPr>
          <w:rFonts w:hint="eastAsia" w:ascii="仿宋" w:hAnsi="仿宋" w:eastAsia="仿宋"/>
          <w:sz w:val="24"/>
          <w:szCs w:val="24"/>
        </w:rPr>
        <w:t>投标人在招标文件要求提交投标文件截止时间前，可以补充、修改或者撤回已提交的投标文件，并书面形式通知采购人或者采购代理机构。补充、修改的内容为投标文件的组成部分。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投标人对投标文件的补充、修改，应按照本招标文件有关规定进行编制、密封、标记、盖章和递交，并在投标文件密封袋上，清楚标明“修改投标文件”或者“撤回投标”字样。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6.3</w:t>
      </w:r>
      <w:r>
        <w:rPr>
          <w:rFonts w:hint="eastAsia" w:ascii="仿宋" w:hAnsi="仿宋" w:eastAsia="仿宋"/>
          <w:sz w:val="24"/>
          <w:szCs w:val="24"/>
        </w:rPr>
        <w:t>在提交投标文件截止时间后到招标文件规定的投标有效期终止之前，投标人不得补充、修改或者撤回其投标文件。投标人撤回全部或者部分投标文件的，其投标保证金将被没收。</w:t>
      </w:r>
    </w:p>
    <w:p>
      <w:pPr>
        <w:spacing w:line="440" w:lineRule="exact"/>
        <w:ind w:firstLine="560" w:firstLineChars="200"/>
        <w:outlineLvl w:val="2"/>
        <w:rPr>
          <w:rFonts w:ascii="楷体" w:hAnsi="楷体" w:eastAsia="楷体"/>
          <w:sz w:val="28"/>
          <w:szCs w:val="28"/>
        </w:rPr>
      </w:pPr>
      <w:bookmarkStart w:id="83" w:name="_Toc7601"/>
      <w:bookmarkStart w:id="84" w:name="_Toc6076"/>
      <w:bookmarkStart w:id="85" w:name="_Toc27148"/>
      <w:bookmarkStart w:id="86" w:name="_Toc494455666"/>
      <w:r>
        <w:rPr>
          <w:rFonts w:hint="eastAsia" w:ascii="楷体" w:hAnsi="楷体" w:eastAsia="楷体"/>
          <w:sz w:val="28"/>
          <w:szCs w:val="28"/>
        </w:rPr>
        <w:t>1</w:t>
      </w:r>
      <w:r>
        <w:rPr>
          <w:rFonts w:ascii="楷体" w:hAnsi="楷体" w:eastAsia="楷体"/>
          <w:sz w:val="28"/>
          <w:szCs w:val="28"/>
        </w:rPr>
        <w:t>7.</w:t>
      </w:r>
      <w:r>
        <w:rPr>
          <w:rFonts w:hint="eastAsia" w:ascii="楷体" w:hAnsi="楷体" w:eastAsia="楷体"/>
          <w:sz w:val="28"/>
          <w:szCs w:val="28"/>
        </w:rPr>
        <w:t>投标保证金</w:t>
      </w:r>
      <w:bookmarkEnd w:id="83"/>
      <w:bookmarkEnd w:id="84"/>
      <w:bookmarkEnd w:id="85"/>
      <w:bookmarkEnd w:id="86"/>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7.1投标保证金</w:t>
      </w:r>
      <w:r>
        <w:rPr>
          <w:rFonts w:hint="eastAsia" w:ascii="仿宋" w:hAnsi="仿宋" w:eastAsia="仿宋"/>
          <w:sz w:val="24"/>
          <w:szCs w:val="24"/>
        </w:rPr>
        <w:t>的交纳</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7.1.1投标保证金</w:t>
      </w:r>
      <w:r>
        <w:rPr>
          <w:rFonts w:hint="eastAsia" w:ascii="仿宋" w:hAnsi="仿宋" w:eastAsia="仿宋"/>
          <w:sz w:val="24"/>
          <w:szCs w:val="24"/>
        </w:rPr>
        <w:t>的交纳金额和形式：见投标人须知前附表。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7.1.2</w:t>
      </w:r>
      <w:r>
        <w:rPr>
          <w:rFonts w:hint="eastAsia" w:ascii="仿宋" w:hAnsi="仿宋" w:eastAsia="仿宋"/>
          <w:sz w:val="24"/>
          <w:szCs w:val="24"/>
        </w:rPr>
        <w:t>投标保证金以到账时间为准。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7.1.3</w:t>
      </w:r>
      <w:r>
        <w:rPr>
          <w:rFonts w:hint="eastAsia" w:ascii="仿宋" w:hAnsi="仿宋" w:eastAsia="仿宋"/>
          <w:sz w:val="24"/>
          <w:szCs w:val="24"/>
        </w:rPr>
        <w:t>投标人为联合体的，联合体牵头人交纳的保证金对联合体各方均具有约束力。</w:t>
      </w:r>
    </w:p>
    <w:p>
      <w:pPr>
        <w:spacing w:line="440" w:lineRule="exact"/>
        <w:ind w:firstLine="480" w:firstLineChars="200"/>
        <w:rPr>
          <w:rFonts w:ascii="仿宋" w:hAnsi="仿宋" w:eastAsia="仿宋"/>
          <w:sz w:val="24"/>
          <w:szCs w:val="24"/>
        </w:rPr>
      </w:pPr>
      <w:r>
        <w:rPr>
          <w:rFonts w:ascii="仿宋" w:hAnsi="仿宋" w:eastAsia="仿宋"/>
          <w:sz w:val="24"/>
          <w:szCs w:val="24"/>
        </w:rPr>
        <w:t>17.</w:t>
      </w:r>
      <w:r>
        <w:rPr>
          <w:rFonts w:hint="eastAsia" w:ascii="仿宋" w:hAnsi="仿宋" w:eastAsia="仿宋"/>
          <w:sz w:val="24"/>
          <w:szCs w:val="24"/>
        </w:rPr>
        <w:t>2投标保证金的退还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2</w:t>
      </w:r>
      <w:r>
        <w:rPr>
          <w:rFonts w:ascii="仿宋" w:hAnsi="仿宋" w:eastAsia="仿宋"/>
          <w:sz w:val="24"/>
          <w:szCs w:val="24"/>
        </w:rPr>
        <w:t>.1</w:t>
      </w:r>
      <w:r>
        <w:rPr>
          <w:rFonts w:hint="eastAsia" w:ascii="仿宋" w:hAnsi="仿宋" w:eastAsia="仿宋"/>
          <w:sz w:val="24"/>
          <w:szCs w:val="24"/>
        </w:rPr>
        <w:t>投标人在招标文件要求提交投标文件截止时间前撤回已提交的投标文件的，采购人或者采购代理机构自收到投标人书面撤回通知之日起</w:t>
      </w:r>
      <w:r>
        <w:rPr>
          <w:rFonts w:ascii="仿宋" w:hAnsi="仿宋" w:eastAsia="仿宋"/>
          <w:sz w:val="24"/>
          <w:szCs w:val="24"/>
        </w:rPr>
        <w:t>5</w:t>
      </w:r>
      <w:r>
        <w:rPr>
          <w:rFonts w:hint="eastAsia" w:ascii="仿宋" w:hAnsi="仿宋" w:eastAsia="仿宋"/>
          <w:sz w:val="24"/>
          <w:szCs w:val="24"/>
        </w:rPr>
        <w:t>个工作日内，退还已收取的投标保证金，</w:t>
      </w:r>
      <w:r>
        <w:rPr>
          <w:rFonts w:ascii="仿宋" w:hAnsi="仿宋" w:eastAsia="仿宋"/>
          <w:sz w:val="24"/>
          <w:szCs w:val="24"/>
        </w:rPr>
        <w:t>但因投标人自身原因导致无法及时退还的除外</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2</w:t>
      </w:r>
      <w:r>
        <w:rPr>
          <w:rFonts w:ascii="仿宋" w:hAnsi="仿宋" w:eastAsia="仿宋"/>
          <w:sz w:val="24"/>
          <w:szCs w:val="24"/>
        </w:rPr>
        <w:t>.2</w:t>
      </w:r>
      <w:r>
        <w:rPr>
          <w:rFonts w:hint="eastAsia" w:ascii="仿宋" w:hAnsi="仿宋" w:eastAsia="仿宋"/>
          <w:sz w:val="24"/>
          <w:szCs w:val="24"/>
        </w:rPr>
        <w:t>采购代理机构</w:t>
      </w:r>
      <w:r>
        <w:rPr>
          <w:rFonts w:ascii="仿宋" w:hAnsi="仿宋" w:eastAsia="仿宋"/>
          <w:sz w:val="24"/>
          <w:szCs w:val="24"/>
        </w:rPr>
        <w:t>应当自中标通知书发出之日起</w:t>
      </w:r>
      <w:r>
        <w:rPr>
          <w:rFonts w:hint="eastAsia" w:ascii="仿宋" w:hAnsi="仿宋" w:eastAsia="仿宋"/>
          <w:sz w:val="24"/>
          <w:szCs w:val="24"/>
        </w:rPr>
        <w:t>2</w:t>
      </w:r>
      <w:r>
        <w:rPr>
          <w:rFonts w:ascii="仿宋" w:hAnsi="仿宋" w:eastAsia="仿宋"/>
          <w:sz w:val="24"/>
          <w:szCs w:val="24"/>
        </w:rPr>
        <w:t>个工作日内退还未中标人的投标保证金，自采购合同签订之日起5个工作日内退还中标人的投标保证金</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3投标保证金的不予退还</w:t>
      </w:r>
    </w:p>
    <w:p>
      <w:pPr>
        <w:spacing w:line="440" w:lineRule="exact"/>
        <w:ind w:firstLine="480" w:firstLineChars="200"/>
        <w:rPr>
          <w:rFonts w:ascii="仿宋" w:hAnsi="仿宋" w:eastAsia="仿宋"/>
          <w:sz w:val="24"/>
          <w:szCs w:val="24"/>
        </w:rPr>
      </w:pPr>
      <w:r>
        <w:rPr>
          <w:rFonts w:ascii="仿宋" w:hAnsi="仿宋" w:eastAsia="仿宋"/>
          <w:sz w:val="24"/>
          <w:szCs w:val="24"/>
        </w:rPr>
        <w:t>17.3.1投标人</w:t>
      </w:r>
      <w:r>
        <w:rPr>
          <w:rFonts w:hint="eastAsia" w:ascii="仿宋" w:hAnsi="仿宋" w:eastAsia="仿宋"/>
          <w:sz w:val="24"/>
          <w:szCs w:val="24"/>
        </w:rPr>
        <w:t>有下列情形之一的，投标保证金将不予退还：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（1）提供的有关资料不真实或者提供虚假材料的；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）投标有效期内投标人撤销投标文件的；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）损害采购人或者采购代理机构合法权益的；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）投标人向采购代理机构、采购人、专家提供不正当利益的；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）经评标委员会认定有故意哄抬报价、串标或者其它违法行为的</w:t>
      </w:r>
      <w:r>
        <w:rPr>
          <w:rFonts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）中标人未按照招标文件规定签订合同或者未按照招标文件规定提供履约保证金的；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）法律、行政法规以及有关规定的其它情形。</w:t>
      </w:r>
    </w:p>
    <w:p>
      <w:pPr>
        <w:spacing w:line="440" w:lineRule="exact"/>
        <w:ind w:firstLine="480" w:firstLineChars="200"/>
        <w:rPr>
          <w:rFonts w:ascii="仿宋" w:hAnsi="仿宋" w:eastAsia="仿宋"/>
          <w:sz w:val="24"/>
          <w:szCs w:val="24"/>
        </w:rPr>
      </w:pPr>
      <w:r>
        <w:rPr>
          <w:rFonts w:ascii="仿宋" w:hAnsi="仿宋" w:eastAsia="仿宋"/>
          <w:sz w:val="24"/>
          <w:szCs w:val="24"/>
        </w:rPr>
        <w:t>17.3.2</w:t>
      </w:r>
      <w:r>
        <w:rPr>
          <w:rFonts w:hint="eastAsia" w:ascii="仿宋" w:hAnsi="仿宋" w:eastAsia="仿宋"/>
          <w:sz w:val="24"/>
          <w:szCs w:val="24"/>
        </w:rPr>
        <w:t>不予退还的投标保证金应在规定时间内上缴国库。</w:t>
      </w:r>
    </w:p>
    <w:p>
      <w:pPr>
        <w:spacing w:line="440" w:lineRule="exact"/>
        <w:ind w:firstLine="560" w:firstLineChars="200"/>
        <w:outlineLvl w:val="2"/>
        <w:rPr>
          <w:rFonts w:ascii="楷体" w:hAnsi="楷体" w:eastAsia="楷体"/>
          <w:color w:val="auto"/>
          <w:sz w:val="28"/>
          <w:szCs w:val="28"/>
        </w:rPr>
      </w:pPr>
      <w:bookmarkStart w:id="87" w:name="_Toc16491"/>
      <w:bookmarkStart w:id="88" w:name="_Toc28094"/>
      <w:bookmarkStart w:id="89" w:name="_Toc494455670"/>
      <w:bookmarkStart w:id="90" w:name="_Toc884"/>
      <w:bookmarkStart w:id="91" w:name="_Toc494455667"/>
      <w:r>
        <w:rPr>
          <w:rFonts w:hint="eastAsia" w:ascii="楷体" w:hAnsi="楷体" w:eastAsia="楷体"/>
          <w:color w:val="auto"/>
          <w:sz w:val="28"/>
          <w:szCs w:val="28"/>
        </w:rPr>
        <w:t>18.开标、评标、定标</w:t>
      </w:r>
      <w:bookmarkEnd w:id="87"/>
      <w:bookmarkEnd w:id="88"/>
      <w:bookmarkEnd w:id="89"/>
      <w:bookmarkEnd w:id="90"/>
    </w:p>
    <w:p>
      <w:pPr>
        <w:spacing w:line="440" w:lineRule="exact"/>
        <w:ind w:firstLine="480" w:firstLineChars="200"/>
        <w:rPr>
          <w:rFonts w:ascii="仿宋" w:hAnsi="仿宋" w:eastAsia="仿宋"/>
          <w:color w:val="auto"/>
          <w:sz w:val="24"/>
          <w:szCs w:val="24"/>
        </w:rPr>
      </w:pPr>
      <w:bookmarkStart w:id="92" w:name="_Toc494455671"/>
      <w:r>
        <w:rPr>
          <w:rFonts w:hint="eastAsia" w:ascii="仿宋" w:hAnsi="仿宋" w:eastAsia="仿宋"/>
          <w:color w:val="auto"/>
          <w:sz w:val="24"/>
          <w:szCs w:val="24"/>
        </w:rPr>
        <w:t>18.1开标程序</w:t>
      </w:r>
      <w:bookmarkEnd w:id="92"/>
    </w:p>
    <w:p>
      <w:pPr>
        <w:spacing w:line="44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18</w:t>
      </w:r>
      <w:r>
        <w:rPr>
          <w:rFonts w:ascii="仿宋" w:hAnsi="仿宋" w:eastAsia="仿宋"/>
          <w:color w:val="auto"/>
          <w:sz w:val="24"/>
          <w:szCs w:val="24"/>
        </w:rPr>
        <w:t>.1</w:t>
      </w:r>
      <w:r>
        <w:rPr>
          <w:rFonts w:hint="eastAsia" w:ascii="仿宋" w:hAnsi="仿宋" w:eastAsia="仿宋"/>
          <w:color w:val="auto"/>
          <w:sz w:val="24"/>
          <w:szCs w:val="24"/>
        </w:rPr>
        <w:t>.1宣布开标纪律；</w:t>
      </w:r>
    </w:p>
    <w:p>
      <w:pPr>
        <w:spacing w:line="44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18.1</w:t>
      </w:r>
      <w:r>
        <w:rPr>
          <w:rFonts w:ascii="仿宋" w:hAnsi="仿宋" w:eastAsia="仿宋"/>
          <w:color w:val="auto"/>
          <w:sz w:val="24"/>
          <w:szCs w:val="24"/>
        </w:rPr>
        <w:t>.2</w:t>
      </w:r>
      <w:r>
        <w:rPr>
          <w:rFonts w:hint="eastAsia" w:ascii="仿宋" w:hAnsi="仿宋" w:eastAsia="仿宋"/>
          <w:color w:val="auto"/>
          <w:sz w:val="24"/>
          <w:szCs w:val="24"/>
        </w:rPr>
        <w:t>宣布主持人、唱标人、记录人等有关人员姓名；</w:t>
      </w:r>
    </w:p>
    <w:p>
      <w:pPr>
        <w:spacing w:line="44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18.1</w:t>
      </w:r>
      <w:r>
        <w:rPr>
          <w:rFonts w:ascii="仿宋" w:hAnsi="仿宋" w:eastAsia="仿宋"/>
          <w:color w:val="auto"/>
          <w:sz w:val="24"/>
          <w:szCs w:val="24"/>
        </w:rPr>
        <w:t>.3</w:t>
      </w:r>
      <w:r>
        <w:rPr>
          <w:rFonts w:hint="eastAsia" w:ascii="仿宋" w:hAnsi="仿宋" w:eastAsia="仿宋"/>
          <w:color w:val="auto"/>
          <w:sz w:val="24"/>
          <w:szCs w:val="24"/>
        </w:rPr>
        <w:t>公布在投标截止时间前递交投标文件的投标人名称；</w:t>
      </w:r>
    </w:p>
    <w:p>
      <w:pPr>
        <w:spacing w:line="360" w:lineRule="auto"/>
        <w:ind w:firstLine="480" w:firstLineChars="200"/>
        <w:rPr>
          <w:color w:val="auto"/>
        </w:rPr>
      </w:pPr>
      <w:r>
        <w:rPr>
          <w:rFonts w:hint="eastAsia" w:ascii="仿宋" w:hAnsi="仿宋" w:eastAsia="仿宋"/>
          <w:color w:val="auto"/>
          <w:sz w:val="24"/>
          <w:szCs w:val="24"/>
        </w:rPr>
        <w:t>18.1</w:t>
      </w:r>
      <w:r>
        <w:rPr>
          <w:rFonts w:ascii="仿宋" w:hAnsi="仿宋" w:eastAsia="仿宋"/>
          <w:color w:val="auto"/>
          <w:sz w:val="24"/>
          <w:szCs w:val="24"/>
        </w:rPr>
        <w:t>.</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公证人员、采购人及监督</w:t>
      </w:r>
      <w:r>
        <w:rPr>
          <w:rFonts w:hint="eastAsia" w:ascii="仿宋" w:hAnsi="仿宋" w:eastAsia="仿宋"/>
          <w:color w:val="auto"/>
          <w:sz w:val="24"/>
          <w:szCs w:val="24"/>
          <w:lang w:eastAsia="zh-CN"/>
        </w:rPr>
        <w:t>人</w:t>
      </w:r>
      <w:r>
        <w:rPr>
          <w:rFonts w:hint="eastAsia" w:ascii="仿宋" w:hAnsi="仿宋" w:eastAsia="仿宋"/>
          <w:color w:val="auto"/>
          <w:sz w:val="24"/>
          <w:szCs w:val="24"/>
        </w:rPr>
        <w:t>对各投标单位</w:t>
      </w:r>
      <w:r>
        <w:rPr>
          <w:rFonts w:hint="eastAsia" w:ascii="仿宋" w:hAnsi="仿宋" w:eastAsia="仿宋"/>
          <w:color w:val="auto"/>
          <w:sz w:val="24"/>
          <w:szCs w:val="24"/>
          <w:lang w:val="en-US" w:eastAsia="zh-CN"/>
        </w:rPr>
        <w:t>在政采云平台解密投标文件（30分钟），对投标文件进行唱标，电子开标系统开标后需供应商在线确认报价时，各供应商应在规定的时间内确认报价，若超出时间未进行确认报价的供应商，系统将自动默认该供应商已经确认报价。</w:t>
      </w:r>
    </w:p>
    <w:p>
      <w:pPr>
        <w:spacing w:line="44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18.1</w:t>
      </w:r>
      <w:r>
        <w:rPr>
          <w:rFonts w:ascii="仿宋" w:hAnsi="仿宋" w:eastAsia="仿宋"/>
          <w:color w:val="auto"/>
          <w:sz w:val="24"/>
          <w:szCs w:val="24"/>
        </w:rPr>
        <w:t>.</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开标结束。</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采购过程中出现以下情形，导致电子交易平台无法正常运行，或者无法保证电子交易的公平、公正和安全时，可中止电子交易活动：</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（一）电子交易平台发生故障而无法登录访问的；</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（二）电子交易平台应用或数据库出现错误，不能进行正常操作的；</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（三）电子交易平台发现严重安全漏洞，有潜在泄密危险的；</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（四）病毒发作导致不能进行正常操作的；</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（五）其他无法保证电子交易的公平、公正和安全的情况。</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出现前款规定情形，不影响采购公平、公正性的，采购代理机构可以待上述情形消除后继续组织电子交易活动；影响或可能影响采购公平、公正性的，重新组织采购。</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采购代理机构或</w:t>
      </w:r>
      <w:r>
        <w:rPr>
          <w:rFonts w:hint="eastAsia" w:ascii="仿宋" w:hAnsi="仿宋" w:eastAsia="仿宋"/>
          <w:sz w:val="24"/>
          <w:szCs w:val="24"/>
          <w:lang w:val="en-US" w:eastAsia="zh-CN"/>
        </w:rPr>
        <w:t>评审</w:t>
      </w:r>
      <w:r>
        <w:rPr>
          <w:rFonts w:hint="eastAsia" w:ascii="仿宋" w:hAnsi="仿宋" w:eastAsia="仿宋"/>
          <w:sz w:val="24"/>
          <w:szCs w:val="24"/>
          <w:lang w:eastAsia="zh-CN"/>
        </w:rPr>
        <w:t>小组因不可抗力（不可抗力包括但不限于自然灾害、断电、传播疫病等）原因造成电子交易活动无法正常运行的，将采取以下措施：</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⑴短时间内能消除不可抗力因素的，采购代理机构或</w:t>
      </w:r>
      <w:r>
        <w:rPr>
          <w:rFonts w:hint="eastAsia" w:ascii="仿宋" w:hAnsi="仿宋" w:eastAsia="仿宋"/>
          <w:sz w:val="24"/>
          <w:szCs w:val="24"/>
          <w:lang w:val="en-US" w:eastAsia="zh-CN"/>
        </w:rPr>
        <w:t>评委</w:t>
      </w:r>
      <w:r>
        <w:rPr>
          <w:rFonts w:hint="eastAsia" w:ascii="仿宋" w:hAnsi="仿宋" w:eastAsia="仿宋"/>
          <w:sz w:val="24"/>
          <w:szCs w:val="24"/>
          <w:lang w:eastAsia="zh-CN"/>
        </w:rPr>
        <w:t>小组在消除不可抗力因素后继续组织电子交易活动。</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⑵长时间内无法消除不可抗力因素的，采购代理机构或</w:t>
      </w:r>
      <w:r>
        <w:rPr>
          <w:rFonts w:hint="eastAsia" w:ascii="仿宋" w:hAnsi="仿宋" w:eastAsia="仿宋"/>
          <w:sz w:val="24"/>
          <w:szCs w:val="24"/>
          <w:lang w:val="en-US" w:eastAsia="zh-CN"/>
        </w:rPr>
        <w:t>评审</w:t>
      </w:r>
      <w:r>
        <w:rPr>
          <w:rFonts w:hint="eastAsia" w:ascii="仿宋" w:hAnsi="仿宋" w:eastAsia="仿宋"/>
          <w:sz w:val="24"/>
          <w:szCs w:val="24"/>
          <w:lang w:eastAsia="zh-CN"/>
        </w:rPr>
        <w:t>小组将中止电子交易活动。中止电子交易活动的，采购人应当重新组织政府采购活动。</w:t>
      </w:r>
    </w:p>
    <w:p>
      <w:pPr>
        <w:spacing w:line="440" w:lineRule="exact"/>
        <w:ind w:firstLine="480" w:firstLineChars="200"/>
        <w:rPr>
          <w:rFonts w:ascii="仿宋" w:hAnsi="仿宋" w:eastAsia="仿宋"/>
          <w:sz w:val="24"/>
          <w:szCs w:val="24"/>
        </w:rPr>
      </w:pPr>
      <w:bookmarkStart w:id="93" w:name="_Toc494455673"/>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评标委员会</w:t>
      </w:r>
      <w:bookmarkEnd w:id="93"/>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.1</w:t>
      </w:r>
      <w:r>
        <w:rPr>
          <w:rFonts w:hint="eastAsia" w:ascii="仿宋" w:hAnsi="仿宋" w:eastAsia="仿宋"/>
          <w:sz w:val="24"/>
          <w:szCs w:val="24"/>
        </w:rPr>
        <w:t>评标委员会的组成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采购人按照《中华人民共和国政府采购法》以及有关规定组建评标委员会。评标由依法组建的评标委员会负责。</w:t>
      </w:r>
      <w:r>
        <w:rPr>
          <w:rFonts w:hint="eastAsia" w:ascii="仿宋" w:hAnsi="仿宋" w:eastAsia="仿宋"/>
          <w:sz w:val="24"/>
          <w:szCs w:val="24"/>
          <w:lang w:val="en-US" w:eastAsia="zh-CN"/>
        </w:rPr>
        <w:t>本项目</w:t>
      </w:r>
      <w:r>
        <w:rPr>
          <w:rFonts w:hint="eastAsia" w:ascii="仿宋" w:hAnsi="仿宋" w:eastAsia="仿宋"/>
          <w:sz w:val="24"/>
          <w:szCs w:val="24"/>
        </w:rPr>
        <w:t>评标委员会由采购人代表和评标专家组成，成员人数为</w:t>
      </w:r>
      <w:r>
        <w:rPr>
          <w:rFonts w:hint="eastAsia" w:ascii="仿宋" w:hAnsi="仿宋" w:eastAsia="仿宋"/>
          <w:sz w:val="24"/>
          <w:szCs w:val="24"/>
          <w:lang w:val="en-US" w:eastAsia="zh-CN"/>
        </w:rPr>
        <w:t>5</w:t>
      </w:r>
      <w:r>
        <w:rPr>
          <w:rFonts w:hint="eastAsia" w:ascii="仿宋" w:hAnsi="仿宋" w:eastAsia="仿宋"/>
          <w:sz w:val="24"/>
          <w:szCs w:val="24"/>
        </w:rPr>
        <w:t>人，技术、经济等方面的评审专家不得少于成员总数的三分之二。</w:t>
      </w:r>
      <w:r>
        <w:rPr>
          <w:rFonts w:ascii="仿宋" w:hAnsi="仿宋" w:eastAsia="仿宋"/>
          <w:sz w:val="24"/>
          <w:szCs w:val="24"/>
        </w:rPr>
        <w:t>评审专家对本单位的采购项目只能作为</w:t>
      </w:r>
      <w:r>
        <w:rPr>
          <w:rFonts w:hint="eastAsia" w:ascii="仿宋" w:hAnsi="仿宋" w:eastAsia="仿宋"/>
          <w:sz w:val="24"/>
          <w:szCs w:val="24"/>
        </w:rPr>
        <w:t>采购人</w:t>
      </w:r>
      <w:r>
        <w:rPr>
          <w:rFonts w:ascii="仿宋" w:hAnsi="仿宋" w:eastAsia="仿宋"/>
          <w:sz w:val="24"/>
          <w:szCs w:val="24"/>
        </w:rPr>
        <w:t>代表参与评标，</w:t>
      </w:r>
      <w:r>
        <w:rPr>
          <w:rFonts w:hint="eastAsia" w:ascii="仿宋" w:hAnsi="仿宋" w:eastAsia="仿宋"/>
          <w:sz w:val="24"/>
          <w:szCs w:val="24"/>
        </w:rPr>
        <w:t>采购人</w:t>
      </w:r>
      <w:r>
        <w:rPr>
          <w:rFonts w:ascii="仿宋" w:hAnsi="仿宋" w:eastAsia="仿宋"/>
          <w:sz w:val="24"/>
          <w:szCs w:val="24"/>
        </w:rPr>
        <w:t>可以自行选定相应专业领域评审专家</w:t>
      </w:r>
      <w:r>
        <w:rPr>
          <w:rFonts w:hint="eastAsia" w:ascii="仿宋" w:hAnsi="仿宋" w:eastAsia="仿宋"/>
          <w:sz w:val="24"/>
          <w:szCs w:val="24"/>
        </w:rPr>
        <w:t>的</w:t>
      </w:r>
      <w:r>
        <w:rPr>
          <w:rFonts w:ascii="仿宋" w:hAnsi="仿宋" w:eastAsia="仿宋"/>
          <w:sz w:val="24"/>
          <w:szCs w:val="24"/>
        </w:rPr>
        <w:t>规定情形除外。采购代理机构工作人员不得参加由本机构代理的政府采购项目的评标。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.2</w:t>
      </w:r>
      <w:r>
        <w:rPr>
          <w:rFonts w:hint="eastAsia" w:ascii="仿宋" w:hAnsi="仿宋" w:eastAsia="仿宋"/>
          <w:sz w:val="24"/>
          <w:szCs w:val="24"/>
        </w:rPr>
        <w:t>评审专家的抽取</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.2.1</w:t>
      </w:r>
      <w:r>
        <w:rPr>
          <w:rFonts w:hint="eastAsia" w:ascii="仿宋" w:hAnsi="仿宋" w:eastAsia="仿宋"/>
          <w:sz w:val="24"/>
          <w:szCs w:val="24"/>
        </w:rPr>
        <w:t>采用随机抽取方式从地区以上财政部门设立的政府采购评审专家库中抽取评审专家。任何单位和个人都不得指定评审专家或干预评审专家的抽取工作。</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.2.2</w:t>
      </w:r>
      <w:r>
        <w:rPr>
          <w:rFonts w:hint="eastAsia" w:ascii="仿宋" w:hAnsi="仿宋" w:eastAsia="仿宋"/>
          <w:sz w:val="24"/>
          <w:szCs w:val="24"/>
        </w:rPr>
        <w:t>参加评审专家抽取的有关人员对被抽取的专家的姓名、单位和联系方式等内容负有保密的义务。评标委员会成员的名单在中标结果确定前必须严格保密。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.3</w:t>
      </w:r>
      <w:r>
        <w:rPr>
          <w:rFonts w:hint="eastAsia" w:ascii="仿宋" w:hAnsi="仿宋" w:eastAsia="仿宋"/>
          <w:sz w:val="24"/>
          <w:szCs w:val="24"/>
        </w:rPr>
        <w:t>评标委员会成员不得参加与自己有利害关系的评审活动，与自己有利害关系的应当回避，已经进入的必须更换。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.4</w:t>
      </w:r>
      <w:r>
        <w:rPr>
          <w:rFonts w:hint="eastAsia" w:ascii="仿宋" w:hAnsi="仿宋" w:eastAsia="仿宋"/>
          <w:sz w:val="24"/>
          <w:szCs w:val="24"/>
        </w:rPr>
        <w:t>评标委员会负责对各投标文件进行评审、比较、评定，并按本招标文件的规定确定中标候选人名单，以及根据采购人委托直接确定中标人。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.5</w:t>
      </w:r>
      <w:r>
        <w:rPr>
          <w:rFonts w:hint="eastAsia" w:ascii="仿宋" w:hAnsi="仿宋" w:eastAsia="仿宋"/>
          <w:sz w:val="24"/>
          <w:szCs w:val="24"/>
        </w:rPr>
        <w:t>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.6</w:t>
      </w:r>
      <w:r>
        <w:rPr>
          <w:rFonts w:hint="eastAsia" w:ascii="仿宋" w:hAnsi="仿宋" w:eastAsia="仿宋"/>
          <w:sz w:val="24"/>
          <w:szCs w:val="24"/>
        </w:rPr>
        <w:t>评标委员会的职责：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.6.1</w:t>
      </w:r>
      <w:r>
        <w:rPr>
          <w:rFonts w:ascii="仿宋" w:hAnsi="仿宋" w:eastAsia="仿宋"/>
          <w:sz w:val="24"/>
          <w:szCs w:val="24"/>
        </w:rPr>
        <w:t>审查、评价投标文件是否符合招标文件的商务、技术等实质性要求；</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.6.2</w:t>
      </w:r>
      <w:r>
        <w:rPr>
          <w:rFonts w:ascii="仿宋" w:hAnsi="仿宋" w:eastAsia="仿宋"/>
          <w:sz w:val="24"/>
          <w:szCs w:val="24"/>
        </w:rPr>
        <w:t>要求投标人对投标文件有关事项作出澄清或者说明；</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.6.3</w:t>
      </w:r>
      <w:r>
        <w:rPr>
          <w:rFonts w:ascii="仿宋" w:hAnsi="仿宋" w:eastAsia="仿宋"/>
          <w:sz w:val="24"/>
          <w:szCs w:val="24"/>
        </w:rPr>
        <w:t>对投标文件进行比较和评价；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.6.4</w:t>
      </w:r>
      <w:r>
        <w:rPr>
          <w:rFonts w:ascii="仿宋" w:hAnsi="仿宋" w:eastAsia="仿宋"/>
          <w:sz w:val="24"/>
          <w:szCs w:val="24"/>
        </w:rPr>
        <w:t>确定中标候选人名单，以及根据采购人委托直接确定中标人；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.6.5</w:t>
      </w:r>
      <w:r>
        <w:rPr>
          <w:rFonts w:ascii="仿宋" w:hAnsi="仿宋" w:eastAsia="仿宋"/>
          <w:sz w:val="24"/>
          <w:szCs w:val="24"/>
        </w:rPr>
        <w:t>向采购人、采购代理机构或者有关部门报告评标中发现的违法行为。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.7</w:t>
      </w:r>
      <w:r>
        <w:rPr>
          <w:rFonts w:hint="eastAsia" w:ascii="仿宋" w:hAnsi="仿宋" w:eastAsia="仿宋"/>
          <w:sz w:val="24"/>
          <w:szCs w:val="24"/>
        </w:rPr>
        <w:t>评标委员会的义务：</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1</w:t>
      </w:r>
      <w:r>
        <w:rPr>
          <w:rFonts w:hint="eastAsia" w:ascii="仿宋" w:hAnsi="仿宋" w:eastAsia="仿宋"/>
          <w:sz w:val="24"/>
          <w:szCs w:val="24"/>
        </w:rPr>
        <w:t>遵纪守法，客观、公正、廉洁地履行职责；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2</w:t>
      </w:r>
      <w:r>
        <w:rPr>
          <w:rFonts w:hint="eastAsia" w:ascii="仿宋" w:hAnsi="仿宋" w:eastAsia="仿宋"/>
          <w:sz w:val="24"/>
          <w:szCs w:val="24"/>
        </w:rPr>
        <w:t>提出真实、可靠的评审意见；</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3</w:t>
      </w:r>
      <w:r>
        <w:rPr>
          <w:rFonts w:hint="eastAsia" w:ascii="仿宋" w:hAnsi="仿宋" w:eastAsia="仿宋"/>
          <w:sz w:val="24"/>
          <w:szCs w:val="24"/>
        </w:rPr>
        <w:t>严格遵守评标纪律，不得向外界泄露评标情况；</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4</w:t>
      </w:r>
      <w:r>
        <w:rPr>
          <w:rFonts w:hint="eastAsia" w:ascii="仿宋" w:hAnsi="仿宋" w:eastAsia="仿宋"/>
          <w:sz w:val="24"/>
          <w:szCs w:val="24"/>
        </w:rPr>
        <w:t>发现投标人在招投标活动中有不正当竞争或者恶意串通等违规行为，应及时向监督部门报告并加以制止；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5</w:t>
      </w:r>
      <w:r>
        <w:rPr>
          <w:rFonts w:hint="eastAsia" w:ascii="仿宋" w:hAnsi="仿宋" w:eastAsia="仿宋"/>
          <w:sz w:val="24"/>
          <w:szCs w:val="24"/>
        </w:rPr>
        <w:t>按照招标文件规定的评标方法和评标标准进行评标，对评标意见承担个人责任；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6</w:t>
      </w:r>
      <w:r>
        <w:rPr>
          <w:rFonts w:hint="eastAsia" w:ascii="仿宋" w:hAnsi="仿宋" w:eastAsia="仿宋"/>
          <w:sz w:val="24"/>
          <w:szCs w:val="24"/>
        </w:rPr>
        <w:t>编写评标报告；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7</w:t>
      </w:r>
      <w:r>
        <w:rPr>
          <w:rFonts w:hint="eastAsia" w:ascii="仿宋" w:hAnsi="仿宋" w:eastAsia="仿宋"/>
          <w:sz w:val="24"/>
          <w:szCs w:val="24"/>
        </w:rPr>
        <w:t>配合采购人或者采购代理机构答复投标人提出的质疑；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8</w:t>
      </w:r>
      <w:r>
        <w:rPr>
          <w:rFonts w:hint="eastAsia" w:ascii="仿宋" w:hAnsi="仿宋" w:eastAsia="仿宋"/>
          <w:sz w:val="24"/>
          <w:szCs w:val="24"/>
        </w:rPr>
        <w:t>对评标过程和结果，以及采购人、投标人的商业秘密保密；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9</w:t>
      </w:r>
      <w:r>
        <w:rPr>
          <w:rFonts w:hint="eastAsia" w:ascii="仿宋" w:hAnsi="仿宋" w:eastAsia="仿宋"/>
          <w:sz w:val="24"/>
          <w:szCs w:val="24"/>
        </w:rPr>
        <w:t>配合监管部门处理投诉；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.8</w:t>
      </w:r>
      <w:r>
        <w:rPr>
          <w:rFonts w:hint="eastAsia" w:ascii="仿宋" w:hAnsi="仿宋" w:eastAsia="仿宋"/>
          <w:sz w:val="24"/>
          <w:szCs w:val="24"/>
        </w:rPr>
        <w:t>评标委员会成员有下列情形之一的，应当回避</w:t>
      </w:r>
      <w:r>
        <w:rPr>
          <w:rFonts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.8.1</w:t>
      </w:r>
      <w:r>
        <w:rPr>
          <w:rFonts w:hint="eastAsia" w:ascii="仿宋" w:hAnsi="仿宋" w:eastAsia="仿宋"/>
          <w:sz w:val="24"/>
          <w:szCs w:val="24"/>
        </w:rPr>
        <w:t>投标人或者投标人主要负责人的近亲属；</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.8.2</w:t>
      </w:r>
      <w:r>
        <w:rPr>
          <w:rFonts w:hint="eastAsia" w:ascii="仿宋" w:hAnsi="仿宋" w:eastAsia="仿宋"/>
          <w:sz w:val="24"/>
          <w:szCs w:val="24"/>
        </w:rPr>
        <w:t>项目主管部门或者行政监督部门的人员；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.8.3</w:t>
      </w:r>
      <w:r>
        <w:rPr>
          <w:rFonts w:hint="eastAsia" w:ascii="仿宋" w:hAnsi="仿宋" w:eastAsia="仿宋"/>
          <w:sz w:val="24"/>
          <w:szCs w:val="24"/>
        </w:rPr>
        <w:t>与投标人有经济利益关系；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.8.4</w:t>
      </w:r>
      <w:r>
        <w:rPr>
          <w:rFonts w:hint="eastAsia" w:ascii="仿宋" w:hAnsi="仿宋" w:eastAsia="仿宋"/>
          <w:sz w:val="24"/>
          <w:szCs w:val="24"/>
        </w:rPr>
        <w:t>曾因在招标、评标以及其他与招标投标有关系活动中从事违法行为而受到行政处罚或者刑事处罚的；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.8.5</w:t>
      </w:r>
      <w:r>
        <w:rPr>
          <w:rFonts w:hint="eastAsia" w:ascii="仿宋" w:hAnsi="仿宋" w:eastAsia="仿宋"/>
          <w:sz w:val="24"/>
          <w:szCs w:val="24"/>
        </w:rPr>
        <w:t>与投标人有其他利害关系。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.9评标中因评标委员会成员缺席、回避或者健康等特殊原因导致评标委员会组成不符合本办法规定的，采购人或者采购代理机构应当依法补足后继续评标。被更换的评标委员会成员所作出的评标意见无效。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无法及时补足评标委员会成员的，采购人或者采购代理机构应当停止评标活动，封存所有投标文件和开标、评标资料，依法重新组建评标委员会进行评标。原评标委员会所作出的评标意见无效。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采购人或者采购代理机构应当将变更、重新组建评标委员会的情况予以记录，并随采购文件一并存档。</w:t>
      </w:r>
    </w:p>
    <w:p>
      <w:pPr>
        <w:spacing w:line="440" w:lineRule="exact"/>
        <w:ind w:firstLine="480" w:firstLineChars="200"/>
        <w:rPr>
          <w:rFonts w:ascii="仿宋" w:hAnsi="仿宋" w:eastAsia="仿宋"/>
          <w:sz w:val="24"/>
          <w:szCs w:val="24"/>
        </w:rPr>
      </w:pPr>
      <w:bookmarkStart w:id="94" w:name="_Toc494455674"/>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评标程序</w:t>
      </w:r>
      <w:bookmarkEnd w:id="94"/>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宣布评标纪律以及回避提示；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组织推荐评标委员会组长；</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资格性审查；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符合性审查；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技术和商务评审；</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澄清有关问题；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比较与评价；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确定中标人或者推荐中标候选人名单；</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编写评标报告；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10</w:t>
      </w:r>
      <w:r>
        <w:rPr>
          <w:rFonts w:hint="eastAsia" w:ascii="仿宋" w:hAnsi="仿宋" w:eastAsia="仿宋"/>
          <w:sz w:val="24"/>
          <w:szCs w:val="24"/>
        </w:rPr>
        <w:t>宣布评标结果。</w:t>
      </w:r>
    </w:p>
    <w:p>
      <w:pPr>
        <w:spacing w:line="440" w:lineRule="exact"/>
        <w:ind w:firstLine="480" w:firstLineChars="200"/>
        <w:rPr>
          <w:rFonts w:ascii="仿宋" w:hAnsi="仿宋" w:eastAsia="仿宋"/>
          <w:sz w:val="24"/>
          <w:szCs w:val="24"/>
        </w:rPr>
      </w:pPr>
      <w:bookmarkStart w:id="95" w:name="_Toc494455675"/>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评标</w:t>
      </w:r>
      <w:bookmarkEnd w:id="95"/>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w:t>
      </w:r>
      <w:r>
        <w:rPr>
          <w:rFonts w:ascii="仿宋" w:hAnsi="仿宋" w:eastAsia="仿宋"/>
          <w:sz w:val="24"/>
          <w:szCs w:val="24"/>
        </w:rPr>
        <w:t>采购人或者采购代理机构负责组织评标工作，并履行下列职责：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.1.1</w:t>
      </w:r>
      <w:r>
        <w:rPr>
          <w:rFonts w:ascii="仿宋" w:hAnsi="仿宋" w:eastAsia="仿宋"/>
          <w:sz w:val="24"/>
          <w:szCs w:val="24"/>
        </w:rPr>
        <w:t>核对评审专家身份和采购人代表授权函，对评审专家在政府采购活动中的职责履行情况予以记录，并及时将有关违法违规行为向财政部门报告；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.1.2</w:t>
      </w:r>
      <w:r>
        <w:rPr>
          <w:rFonts w:ascii="仿宋" w:hAnsi="仿宋" w:eastAsia="仿宋"/>
          <w:sz w:val="24"/>
          <w:szCs w:val="24"/>
        </w:rPr>
        <w:t>宣布评标纪律；</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.1.3</w:t>
      </w:r>
      <w:r>
        <w:rPr>
          <w:rFonts w:ascii="仿宋" w:hAnsi="仿宋" w:eastAsia="仿宋"/>
          <w:sz w:val="24"/>
          <w:szCs w:val="24"/>
        </w:rPr>
        <w:t>公布投标人名单，告知评审专家应当回避的情形；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.1.4</w:t>
      </w:r>
      <w:r>
        <w:rPr>
          <w:rFonts w:ascii="仿宋" w:hAnsi="仿宋" w:eastAsia="仿宋"/>
          <w:sz w:val="24"/>
          <w:szCs w:val="24"/>
        </w:rPr>
        <w:t>组织评标委员会推选评标组长，采购人代表不得担任组长；</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.1.5</w:t>
      </w:r>
      <w:r>
        <w:rPr>
          <w:rFonts w:ascii="仿宋" w:hAnsi="仿宋" w:eastAsia="仿宋"/>
          <w:sz w:val="24"/>
          <w:szCs w:val="24"/>
        </w:rPr>
        <w:t>在评标期间采取必要的通讯管理措施，保证评标活动不受外界干扰；</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.1.6</w:t>
      </w:r>
      <w:r>
        <w:rPr>
          <w:rFonts w:ascii="仿宋" w:hAnsi="仿宋" w:eastAsia="仿宋"/>
          <w:sz w:val="24"/>
          <w:szCs w:val="24"/>
        </w:rPr>
        <w:t>根据评标委员会的要求介绍政府采购相关政策法规、招标文件；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.1.7</w:t>
      </w:r>
      <w:r>
        <w:rPr>
          <w:rFonts w:ascii="仿宋" w:hAnsi="仿宋" w:eastAsia="仿宋"/>
          <w:sz w:val="24"/>
          <w:szCs w:val="24"/>
        </w:rPr>
        <w:t>维护评标秩序，监督评标委员会依照招标文件规定的评标程序、方法和标准进行独立评审，及时制止和纠正采购人代表、评审专家的倾向性言论或者违法违规行为；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.1.8</w:t>
      </w:r>
      <w:r>
        <w:rPr>
          <w:rFonts w:ascii="仿宋" w:hAnsi="仿宋" w:eastAsia="仿宋"/>
          <w:sz w:val="24"/>
          <w:szCs w:val="24"/>
        </w:rPr>
        <w:t>核对评标结果，有</w:t>
      </w:r>
      <w:r>
        <w:rPr>
          <w:rFonts w:hint="eastAsia" w:ascii="仿宋" w:hAnsi="仿宋" w:eastAsia="仿宋"/>
          <w:sz w:val="24"/>
          <w:szCs w:val="24"/>
        </w:rPr>
        <w:t>以下</w:t>
      </w:r>
      <w:r>
        <w:rPr>
          <w:rFonts w:ascii="仿宋" w:hAnsi="仿宋" w:eastAsia="仿宋"/>
          <w:sz w:val="24"/>
          <w:szCs w:val="24"/>
        </w:rPr>
        <w:t>情形的，要求评标委员会复核或者书面说明理由，评标委员会拒绝的，应予记录并向本级财政部门报告；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.1.8.1</w:t>
      </w:r>
      <w:r>
        <w:rPr>
          <w:rFonts w:ascii="仿宋" w:hAnsi="仿宋" w:eastAsia="仿宋"/>
          <w:sz w:val="24"/>
          <w:szCs w:val="24"/>
        </w:rPr>
        <w:t>分值汇总计算错误的；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.1.8.2</w:t>
      </w:r>
      <w:r>
        <w:rPr>
          <w:rFonts w:ascii="仿宋" w:hAnsi="仿宋" w:eastAsia="仿宋"/>
          <w:sz w:val="24"/>
          <w:szCs w:val="24"/>
        </w:rPr>
        <w:t>分项评分超出评分标准范围的；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.1.8.3</w:t>
      </w:r>
      <w:r>
        <w:rPr>
          <w:rFonts w:ascii="仿宋" w:hAnsi="仿宋" w:eastAsia="仿宋"/>
          <w:sz w:val="24"/>
          <w:szCs w:val="24"/>
        </w:rPr>
        <w:t>评标委员会成员对客观评审因素评分不一致的；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.1.8.4</w:t>
      </w:r>
      <w:r>
        <w:rPr>
          <w:rFonts w:ascii="仿宋" w:hAnsi="仿宋" w:eastAsia="仿宋"/>
          <w:sz w:val="24"/>
          <w:szCs w:val="24"/>
        </w:rPr>
        <w:t>经评标委员会认定评分畸高、畸低的。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.1.9</w:t>
      </w:r>
      <w:r>
        <w:rPr>
          <w:rFonts w:ascii="仿宋" w:hAnsi="仿宋" w:eastAsia="仿宋"/>
          <w:sz w:val="24"/>
          <w:szCs w:val="24"/>
        </w:rPr>
        <w:t>评审工作完成后，按照规定向评审专家支付劳务报酬和异地评审差旅费，不得向评审专家以外的其他人员支付评审劳务报酬；</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.1.10</w:t>
      </w:r>
      <w:r>
        <w:rPr>
          <w:rFonts w:ascii="仿宋" w:hAnsi="仿宋" w:eastAsia="仿宋"/>
          <w:sz w:val="24"/>
          <w:szCs w:val="24"/>
        </w:rPr>
        <w:t>处理与评标有关的其他事项。</w:t>
      </w:r>
    </w:p>
    <w:p>
      <w:pPr>
        <w:spacing w:line="440" w:lineRule="exact"/>
        <w:ind w:firstLine="480" w:firstLineChars="200"/>
        <w:rPr>
          <w:rFonts w:ascii="仿宋" w:hAnsi="仿宋" w:eastAsia="仿宋"/>
          <w:sz w:val="24"/>
          <w:szCs w:val="24"/>
        </w:rPr>
      </w:pPr>
      <w:r>
        <w:rPr>
          <w:rFonts w:ascii="仿宋" w:hAnsi="仿宋" w:eastAsia="仿宋"/>
          <w:sz w:val="24"/>
          <w:szCs w:val="24"/>
        </w:rPr>
        <w:t>采购人可以在评标前说明项目背景和采购需求，说明内容不得含有歧视性、倾向性意见，不得超出招标文件所述范围。说明应当提交书面材料，并随采购文件一并存档。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.2资格性审查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.2</w:t>
      </w:r>
      <w:r>
        <w:rPr>
          <w:rFonts w:ascii="仿宋" w:hAnsi="仿宋" w:eastAsia="仿宋"/>
          <w:sz w:val="24"/>
          <w:szCs w:val="24"/>
        </w:rPr>
        <w:t>.1</w:t>
      </w:r>
      <w:r>
        <w:rPr>
          <w:rFonts w:hint="eastAsia" w:ascii="仿宋" w:hAnsi="仿宋" w:eastAsia="仿宋"/>
          <w:sz w:val="24"/>
          <w:szCs w:val="24"/>
        </w:rPr>
        <w:t>采购人或者采购代理机构依据法律法规和招标文件的规定，对投标文件中的资格证明、投标保证金等进行审查，以确定投标人是否具备投标资格。</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.2</w:t>
      </w:r>
      <w:r>
        <w:rPr>
          <w:rFonts w:ascii="仿宋" w:hAnsi="仿宋" w:eastAsia="仿宋"/>
          <w:sz w:val="24"/>
          <w:szCs w:val="24"/>
        </w:rPr>
        <w:t>.2</w:t>
      </w:r>
      <w:r>
        <w:rPr>
          <w:rFonts w:hint="eastAsia" w:ascii="仿宋" w:hAnsi="仿宋" w:eastAsia="仿宋"/>
          <w:sz w:val="24"/>
          <w:szCs w:val="24"/>
        </w:rPr>
        <w:t>采购人、采购代理机构通过“信用中国”网站（www.creditchina.gov.cn）、中国政府采购网（www.ccgp.gov.cn）查询投标人信用记录，查询时要将查询网页、内容进行截图或拍照，以作证据留存，截图或拍照内容要完整清晰，应包括网站网址、查询内容、电脑截屏时间。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信用信息查询记录及相关证据应当与其他采购文件一并保存。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2.3在资格性审查时，对属于不合格投标人，采购人或者采购代理机构必须提出不合格的事实依据并出具不合格说明，由投标人签字确认。投标人拒绝签字确认的不影响采购人或采购代理机构做出的不合格判定。合格投标人不足3家的，不得评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.3符合性审查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评标委员会依据招标文件的规定，从投标文件的有效性、完整性和对招标文件的响应程度进行审查，以确定是否对招标文件的实质性要求作出响应。</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在符合性审查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技术和商务评审</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.4.</w:t>
      </w:r>
      <w:r>
        <w:rPr>
          <w:rFonts w:ascii="仿宋" w:hAnsi="仿宋" w:eastAsia="仿宋"/>
          <w:sz w:val="24"/>
          <w:szCs w:val="24"/>
        </w:rPr>
        <w:t>1</w:t>
      </w:r>
      <w:r>
        <w:rPr>
          <w:rFonts w:hint="eastAsia" w:ascii="仿宋" w:hAnsi="仿宋" w:eastAsia="仿宋"/>
          <w:sz w:val="24"/>
          <w:szCs w:val="24"/>
        </w:rPr>
        <w:t>按照招标文件要求，评标委员会审查投标人所投</w:t>
      </w:r>
      <w:r>
        <w:rPr>
          <w:rFonts w:hint="eastAsia" w:ascii="仿宋" w:hAnsi="仿宋" w:eastAsia="仿宋"/>
          <w:sz w:val="24"/>
          <w:szCs w:val="24"/>
          <w:lang w:eastAsia="zh-CN"/>
        </w:rPr>
        <w:t>工程、</w:t>
      </w:r>
      <w:r>
        <w:rPr>
          <w:rFonts w:hint="eastAsia" w:ascii="仿宋" w:hAnsi="仿宋" w:eastAsia="仿宋"/>
          <w:sz w:val="24"/>
          <w:szCs w:val="24"/>
        </w:rPr>
        <w:t>货物和服务的规格、质量、数量以及服务等技术要求和参数，进行技术部分的评审，并记录实质性响应、技术偏离等事项。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按照招标文件要求，评标委员会审查投标人业绩、政策性加分、价格扣除等事项，进行商务部分评审，并记录相关事项。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.4.</w:t>
      </w:r>
      <w:r>
        <w:rPr>
          <w:rFonts w:ascii="仿宋" w:hAnsi="仿宋" w:eastAsia="仿宋"/>
          <w:sz w:val="24"/>
          <w:szCs w:val="24"/>
        </w:rPr>
        <w:t>3采用综合评分法的，</w:t>
      </w:r>
      <w:r>
        <w:rPr>
          <w:rFonts w:hint="eastAsia" w:ascii="仿宋" w:hAnsi="仿宋" w:eastAsia="仿宋"/>
          <w:sz w:val="24"/>
          <w:szCs w:val="24"/>
        </w:rPr>
        <w:t>技术部分由评标委员会成员各自独立打分，按照招标文件规定的评标办法进行逐项打分，对客观评分项的评分应当一致，对需要借助专业知识评判的主观评分项应当严格按照评分标准公正评分。</w:t>
      </w:r>
    </w:p>
    <w:p>
      <w:pPr>
        <w:spacing w:line="440" w:lineRule="exact"/>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rPr>
        <w:t>18.</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.4.</w:t>
      </w:r>
      <w:r>
        <w:rPr>
          <w:rFonts w:ascii="仿宋" w:hAnsi="仿宋" w:eastAsia="仿宋"/>
          <w:color w:val="auto"/>
          <w:sz w:val="24"/>
          <w:szCs w:val="24"/>
        </w:rPr>
        <w:t>4采用综合评分法的，</w:t>
      </w:r>
      <w:r>
        <w:rPr>
          <w:rFonts w:hint="eastAsia" w:ascii="仿宋" w:hAnsi="仿宋" w:eastAsia="仿宋"/>
          <w:color w:val="auto"/>
          <w:sz w:val="24"/>
          <w:szCs w:val="24"/>
        </w:rPr>
        <w:t>商务部分由评标委员会审核认定评分结果</w:t>
      </w:r>
      <w:r>
        <w:rPr>
          <w:rFonts w:hint="eastAsia" w:ascii="仿宋" w:hAnsi="仿宋" w:eastAsia="仿宋"/>
          <w:color w:val="auto"/>
          <w:sz w:val="24"/>
          <w:szCs w:val="24"/>
          <w:lang w:eastAsia="zh-CN"/>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.4.5</w:t>
      </w:r>
      <w:r>
        <w:rPr>
          <w:rFonts w:ascii="仿宋" w:hAnsi="仿宋" w:eastAsia="仿宋"/>
          <w:sz w:val="24"/>
          <w:szCs w:val="24"/>
        </w:rPr>
        <w:t>采用最低评标价法的采购项目，提供相同品牌产品</w:t>
      </w:r>
      <w:r>
        <w:rPr>
          <w:rFonts w:hint="eastAsia" w:ascii="仿宋" w:hAnsi="仿宋" w:eastAsia="仿宋"/>
          <w:sz w:val="24"/>
          <w:szCs w:val="24"/>
        </w:rPr>
        <w:t>（非单一产品采购项目，系指采购人确定的核心产品）</w:t>
      </w:r>
      <w:r>
        <w:rPr>
          <w:rFonts w:ascii="仿宋" w:hAnsi="仿宋" w:eastAsia="仿宋"/>
          <w:sz w:val="24"/>
          <w:szCs w:val="24"/>
        </w:rPr>
        <w:t>的不同投标人参加同一合同项下投标的，以其中通过资格审查、符合性审查且报价最低的参加评标；报价相同的，由</w:t>
      </w:r>
      <w:r>
        <w:rPr>
          <w:rFonts w:hint="eastAsia" w:ascii="仿宋" w:hAnsi="仿宋" w:eastAsia="仿宋"/>
          <w:sz w:val="24"/>
          <w:szCs w:val="24"/>
        </w:rPr>
        <w:t>采购人</w:t>
      </w:r>
      <w:r>
        <w:rPr>
          <w:rFonts w:ascii="仿宋" w:hAnsi="仿宋" w:eastAsia="仿宋"/>
          <w:sz w:val="24"/>
          <w:szCs w:val="24"/>
        </w:rPr>
        <w:t>或者</w:t>
      </w:r>
      <w:r>
        <w:rPr>
          <w:rFonts w:hint="eastAsia" w:ascii="仿宋" w:hAnsi="仿宋" w:eastAsia="仿宋"/>
          <w:sz w:val="24"/>
          <w:szCs w:val="24"/>
        </w:rPr>
        <w:t>采购人</w:t>
      </w:r>
      <w:r>
        <w:rPr>
          <w:rFonts w:ascii="仿宋" w:hAnsi="仿宋" w:eastAsia="仿宋"/>
          <w:sz w:val="24"/>
          <w:szCs w:val="24"/>
        </w:rPr>
        <w:t>委托评标委员会采取随机抽取</w:t>
      </w:r>
      <w:r>
        <w:rPr>
          <w:rFonts w:hint="eastAsia" w:ascii="仿宋" w:hAnsi="仿宋" w:eastAsia="仿宋"/>
          <w:sz w:val="24"/>
          <w:szCs w:val="24"/>
        </w:rPr>
        <w:t>的</w:t>
      </w:r>
      <w:r>
        <w:rPr>
          <w:rFonts w:ascii="仿宋" w:hAnsi="仿宋" w:eastAsia="仿宋"/>
          <w:sz w:val="24"/>
          <w:szCs w:val="24"/>
        </w:rPr>
        <w:t>方式确定一个参加评标的投标人，其他投标无效。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.4.6</w:t>
      </w:r>
      <w:r>
        <w:rPr>
          <w:rFonts w:ascii="仿宋" w:hAnsi="仿宋" w:eastAsia="仿宋"/>
          <w:sz w:val="24"/>
          <w:szCs w:val="24"/>
        </w:rPr>
        <w:t>使用综合评分法的采购项目，提供相同品牌产品</w:t>
      </w:r>
      <w:r>
        <w:rPr>
          <w:rFonts w:hint="eastAsia" w:ascii="仿宋" w:hAnsi="仿宋" w:eastAsia="仿宋"/>
          <w:sz w:val="24"/>
          <w:szCs w:val="24"/>
        </w:rPr>
        <w:t>（非单一产品采购项目，系指采购人确定的核心产品）</w:t>
      </w:r>
      <w:r>
        <w:rPr>
          <w:rFonts w:ascii="仿宋" w:hAnsi="仿宋" w:eastAsia="仿宋"/>
          <w:sz w:val="24"/>
          <w:szCs w:val="24"/>
        </w:rPr>
        <w:t>且通过资格审查、符合性审查的不同投标人参加同一合同项下投标的，按一家投标人计算，评审后得分最高的同品牌投标人获得中标人推荐资格；评审得分相同的，由</w:t>
      </w:r>
      <w:r>
        <w:rPr>
          <w:rFonts w:hint="eastAsia" w:ascii="仿宋" w:hAnsi="仿宋" w:eastAsia="仿宋"/>
          <w:sz w:val="24"/>
          <w:szCs w:val="24"/>
        </w:rPr>
        <w:t>采购人</w:t>
      </w:r>
      <w:r>
        <w:rPr>
          <w:rFonts w:ascii="仿宋" w:hAnsi="仿宋" w:eastAsia="仿宋"/>
          <w:sz w:val="24"/>
          <w:szCs w:val="24"/>
        </w:rPr>
        <w:t>或者</w:t>
      </w:r>
      <w:r>
        <w:rPr>
          <w:rFonts w:hint="eastAsia" w:ascii="仿宋" w:hAnsi="仿宋" w:eastAsia="仿宋"/>
          <w:sz w:val="24"/>
          <w:szCs w:val="24"/>
        </w:rPr>
        <w:t>采购人</w:t>
      </w:r>
      <w:r>
        <w:rPr>
          <w:rFonts w:ascii="仿宋" w:hAnsi="仿宋" w:eastAsia="仿宋"/>
          <w:sz w:val="24"/>
          <w:szCs w:val="24"/>
        </w:rPr>
        <w:t>委托评标委员会采取随机抽取</w:t>
      </w:r>
      <w:r>
        <w:rPr>
          <w:rFonts w:hint="eastAsia" w:ascii="仿宋" w:hAnsi="仿宋" w:eastAsia="仿宋"/>
          <w:sz w:val="24"/>
          <w:szCs w:val="24"/>
        </w:rPr>
        <w:t>的</w:t>
      </w:r>
      <w:r>
        <w:rPr>
          <w:rFonts w:ascii="仿宋" w:hAnsi="仿宋" w:eastAsia="仿宋"/>
          <w:sz w:val="24"/>
          <w:szCs w:val="24"/>
        </w:rPr>
        <w:t>方式确定一个投标人获得中标人推荐资格，其他同品牌投标人不作为中标候选人。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4.7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440" w:lineRule="exact"/>
        <w:ind w:firstLine="480" w:firstLineChars="200"/>
        <w:rPr>
          <w:rFonts w:ascii="仿宋" w:hAnsi="仿宋" w:eastAsia="仿宋"/>
          <w:sz w:val="24"/>
          <w:szCs w:val="24"/>
        </w:rPr>
      </w:pPr>
      <w:bookmarkStart w:id="96" w:name="_Toc494455676"/>
      <w:r>
        <w:rPr>
          <w:rFonts w:hint="eastAsia" w:ascii="仿宋" w:hAnsi="仿宋" w:eastAsia="仿宋"/>
          <w:sz w:val="24"/>
          <w:szCs w:val="24"/>
        </w:rPr>
        <w:t>18.</w:t>
      </w:r>
      <w:r>
        <w:rPr>
          <w:rFonts w:hint="eastAsia" w:ascii="仿宋" w:hAnsi="仿宋" w:eastAsia="仿宋"/>
          <w:sz w:val="24"/>
          <w:szCs w:val="24"/>
          <w:lang w:val="en-US" w:eastAsia="zh-CN"/>
        </w:rPr>
        <w:t>5</w:t>
      </w:r>
      <w:r>
        <w:rPr>
          <w:rFonts w:hint="eastAsia" w:ascii="仿宋" w:hAnsi="仿宋" w:eastAsia="仿宋"/>
          <w:sz w:val="24"/>
          <w:szCs w:val="24"/>
        </w:rPr>
        <w:t>澄清有关问题</w:t>
      </w:r>
      <w:bookmarkEnd w:id="96"/>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5</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对投标文件中含义不明确、同类问题表述不一致或者有明显文字和计算错误的内容，评标委员会应以书面形式要求投标人做出必要的澄清、说明或者补正。投标人的澄清、说明或者补正应采取书面形式，由法定代表人或者被授权代表签字。投标人的澄清、说明或者补正不得超出投标文件的范围或者改变投标文件的实质性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5</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评标委员会判断投标文件的响应性仅基于投标文件本身而不靠外部因素。未响应实质性条款的，评标委员会有权确定其投标无效，投标人不能通过修正、撤销或者澄清不符之处而使其投标成为实质性响应的投标。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5</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仿宋" w:hAnsi="仿宋" w:eastAsia="仿宋"/>
          <w:sz w:val="24"/>
          <w:szCs w:val="24"/>
        </w:rPr>
      </w:pPr>
      <w:bookmarkStart w:id="97" w:name="_Toc494455677"/>
      <w:r>
        <w:rPr>
          <w:rFonts w:hint="eastAsia" w:ascii="仿宋" w:hAnsi="仿宋" w:eastAsia="仿宋"/>
          <w:sz w:val="24"/>
          <w:szCs w:val="24"/>
        </w:rPr>
        <w:t>18.</w:t>
      </w:r>
      <w:r>
        <w:rPr>
          <w:rFonts w:hint="eastAsia" w:ascii="仿宋" w:hAnsi="仿宋" w:eastAsia="仿宋"/>
          <w:sz w:val="24"/>
          <w:szCs w:val="24"/>
          <w:lang w:val="en-US" w:eastAsia="zh-CN"/>
        </w:rPr>
        <w:t>6</w:t>
      </w:r>
      <w:r>
        <w:rPr>
          <w:rFonts w:hint="eastAsia" w:ascii="仿宋" w:hAnsi="仿宋" w:eastAsia="仿宋"/>
          <w:sz w:val="24"/>
          <w:szCs w:val="24"/>
        </w:rPr>
        <w:t>定标</w:t>
      </w:r>
      <w:bookmarkEnd w:id="97"/>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6</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评标委员会根据投标人须知前附表的规定确定中标候选人或直接确定中标人。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评标委员会确定中标候选人的，中标候选人数见投标人须知前附表。</w:t>
      </w:r>
      <w:r>
        <w:rPr>
          <w:rFonts w:ascii="仿宋" w:hAnsi="仿宋" w:eastAsia="仿宋"/>
          <w:sz w:val="24"/>
          <w:szCs w:val="24"/>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6</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本次招标评标办法：见投标人须知前附表。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6</w:t>
      </w:r>
      <w:r>
        <w:rPr>
          <w:rFonts w:hint="eastAsia" w:ascii="仿宋" w:hAnsi="仿宋" w:eastAsia="仿宋"/>
          <w:sz w:val="24"/>
          <w:szCs w:val="24"/>
        </w:rPr>
        <w:t>.</w:t>
      </w:r>
      <w:r>
        <w:rPr>
          <w:rFonts w:ascii="仿宋" w:hAnsi="仿宋" w:eastAsia="仿宋"/>
          <w:sz w:val="24"/>
          <w:szCs w:val="24"/>
        </w:rPr>
        <w:t>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6</w:t>
      </w: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采用最低评标价法的，评标结果按投标报价由低到高顺序排列，投标报价相同的并列。</w:t>
      </w:r>
      <w:r>
        <w:rPr>
          <w:rFonts w:ascii="仿宋" w:hAnsi="仿宋" w:eastAsia="仿宋"/>
          <w:sz w:val="24"/>
          <w:szCs w:val="24"/>
        </w:rPr>
        <w:t>投标文件满足招标文件全部实质性要求且投标报价最低的投标人为排名第一的中标候选人。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6</w:t>
      </w:r>
      <w:r>
        <w:rPr>
          <w:rFonts w:hint="eastAsia" w:ascii="仿宋" w:hAnsi="仿宋" w:eastAsia="仿宋"/>
          <w:sz w:val="24"/>
          <w:szCs w:val="24"/>
        </w:rPr>
        <w:t>.5</w:t>
      </w:r>
      <w:r>
        <w:rPr>
          <w:rFonts w:ascii="仿宋" w:hAnsi="仿宋" w:eastAsia="仿宋"/>
          <w:sz w:val="24"/>
          <w:szCs w:val="24"/>
        </w:rPr>
        <w:t>对于可以投多个包，但只能中标</w:t>
      </w:r>
      <w:r>
        <w:rPr>
          <w:rFonts w:hint="eastAsia" w:ascii="仿宋" w:hAnsi="仿宋" w:eastAsia="仿宋"/>
          <w:sz w:val="24"/>
          <w:szCs w:val="24"/>
        </w:rPr>
        <w:t>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pPr>
        <w:spacing w:line="440" w:lineRule="exact"/>
        <w:ind w:firstLine="480" w:firstLineChars="200"/>
        <w:rPr>
          <w:rFonts w:ascii="仿宋" w:hAnsi="仿宋" w:eastAsia="仿宋" w:cs="仿宋"/>
          <w:kern w:val="0"/>
          <w:sz w:val="24"/>
          <w:szCs w:val="24"/>
        </w:rPr>
      </w:pPr>
      <w:r>
        <w:rPr>
          <w:rFonts w:ascii="仿宋" w:hAnsi="仿宋" w:eastAsia="仿宋" w:cs="仿宋"/>
          <w:kern w:val="0"/>
          <w:sz w:val="24"/>
          <w:szCs w:val="24"/>
        </w:rPr>
        <w:t>根据前项规定，导致各包参与综合得分排名的投标人不足</w:t>
      </w:r>
      <w:r>
        <w:rPr>
          <w:rFonts w:hint="eastAsia" w:ascii="仿宋" w:hAnsi="仿宋" w:eastAsia="仿宋" w:cs="仿宋"/>
          <w:kern w:val="0"/>
          <w:sz w:val="24"/>
          <w:szCs w:val="24"/>
        </w:rPr>
        <w:t>3家时，评委会认为不足以构成竞争的有权对该包予以废标。</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.6按照有关规定中标人因不可抗力或者自身原因不能履行政府采购合同的，报经同级财政部门同意后，可顺延排序第二的投标人中标；或者报同级财政部门同意后，做废标处理，由采购人依法重新组织招标。</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.7以入围方式确定多个中标人的，入围中标人数量应当根据招标需要并在招标活动开始前确定，由评标委员会按照招标文件规定的评标办法确定各投标人排列顺序，依照顺序确定入围中标人。</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.8评标委员会成员对需要共同认定的事项存在争议的，应当按照少数服从多数的原则作出结论。持不同意见的评标委员会成员应当在评标报告上签署不同意见及理由，否则视为同意评标报告。</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.9评标结果汇总完成后，除下列情形外，任何人不得修改评标结果：</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（一）分值汇总计算错误的；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（二）分项评分超出评分标准范围的；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（三）评标委员会成员对客观评审因素评分不一致的；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（四）经评标委员会认定评分畸高、畸低的。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480" w:firstLineChars="200"/>
        <w:rPr>
          <w:rFonts w:ascii="仿宋" w:hAnsi="仿宋" w:eastAsia="仿宋" w:cs="仿宋"/>
          <w:kern w:val="0"/>
          <w:sz w:val="24"/>
          <w:szCs w:val="24"/>
        </w:rPr>
      </w:pPr>
      <w:bookmarkStart w:id="98" w:name="_Toc494455678"/>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.10</w:t>
      </w:r>
      <w:r>
        <w:rPr>
          <w:rFonts w:ascii="仿宋" w:hAnsi="仿宋" w:eastAsia="仿宋" w:cs="仿宋"/>
          <w:kern w:val="0"/>
          <w:sz w:val="24"/>
          <w:szCs w:val="24"/>
        </w:rPr>
        <w:t>评标委员会根据全体评标成员签字的原始评标记录和评标结果编写评标报告。</w:t>
      </w:r>
      <w:bookmarkEnd w:id="98"/>
    </w:p>
    <w:p>
      <w:pPr>
        <w:spacing w:line="440" w:lineRule="exact"/>
        <w:ind w:firstLine="480" w:firstLineChars="200"/>
        <w:rPr>
          <w:rFonts w:ascii="仿宋" w:hAnsi="仿宋" w:eastAsia="仿宋" w:cs="仿宋"/>
          <w:kern w:val="0"/>
          <w:sz w:val="24"/>
          <w:szCs w:val="24"/>
        </w:rPr>
      </w:pPr>
      <w:bookmarkStart w:id="99" w:name="_Toc494455679"/>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中标公告以及中标通知书</w:t>
      </w:r>
      <w:bookmarkEnd w:id="99"/>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7</w:t>
      </w:r>
      <w:r>
        <w:rPr>
          <w:rFonts w:ascii="仿宋" w:hAnsi="仿宋" w:eastAsia="仿宋" w:cs="仿宋"/>
          <w:kern w:val="0"/>
          <w:sz w:val="24"/>
          <w:szCs w:val="24"/>
        </w:rPr>
        <w:t>.1</w:t>
      </w:r>
      <w:r>
        <w:rPr>
          <w:rFonts w:hint="eastAsia" w:ascii="仿宋" w:hAnsi="仿宋" w:eastAsia="仿宋" w:cs="仿宋"/>
          <w:kern w:val="0"/>
          <w:sz w:val="24"/>
          <w:szCs w:val="24"/>
        </w:rPr>
        <w:t>采购人或者采购代理机构应当自中标人确定之日起</w:t>
      </w:r>
      <w:r>
        <w:rPr>
          <w:rFonts w:ascii="仿宋" w:hAnsi="仿宋" w:eastAsia="仿宋" w:cs="仿宋"/>
          <w:kern w:val="0"/>
          <w:sz w:val="24"/>
          <w:szCs w:val="24"/>
        </w:rPr>
        <w:t>2</w:t>
      </w:r>
      <w:r>
        <w:rPr>
          <w:rFonts w:hint="eastAsia" w:ascii="仿宋" w:hAnsi="仿宋" w:eastAsia="仿宋" w:cs="仿宋"/>
          <w:kern w:val="0"/>
          <w:sz w:val="24"/>
          <w:szCs w:val="24"/>
        </w:rPr>
        <w:t>个工作日内，发出中标通知书，并在相关媒介公告中标结果（公告期限为</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日），招标文件随中标结果同时公告；</w:t>
      </w:r>
      <w:r>
        <w:rPr>
          <w:rFonts w:ascii="仿宋" w:hAnsi="仿宋" w:eastAsia="仿宋" w:cs="仿宋"/>
          <w:kern w:val="0"/>
          <w:sz w:val="24"/>
          <w:szCs w:val="24"/>
        </w:rPr>
        <w:t>采用综合评分法评审的，还应当告知未中标人本人的评审得分与排序。</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.2采购人或采购代理机构不按照规定发布中标公告或者发布中标公告后不签发中标通知书的，应当承担法律责任，给中标人造成经济损失的应承担赔偿责任。</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7</w:t>
      </w:r>
      <w:r>
        <w:rPr>
          <w:rStyle w:val="39"/>
          <w:sz w:val="24"/>
          <w:szCs w:val="24"/>
        </w:rPr>
        <w:t>.</w:t>
      </w:r>
      <w:r>
        <w:rPr>
          <w:rStyle w:val="39"/>
          <w:rFonts w:hint="eastAsia"/>
          <w:sz w:val="24"/>
          <w:szCs w:val="24"/>
        </w:rPr>
        <w:t>3中标通知书对采购人和中标人都具有法律效力。中标通知书发出后，采购人改变中标结果的，或者中标人放弃中标，应当依法承担法律责任。</w:t>
      </w:r>
    </w:p>
    <w:p>
      <w:pPr>
        <w:spacing w:line="440" w:lineRule="exact"/>
        <w:ind w:firstLine="480" w:firstLineChars="200"/>
        <w:rPr>
          <w:rStyle w:val="39"/>
          <w:sz w:val="24"/>
          <w:szCs w:val="24"/>
        </w:rPr>
      </w:pPr>
      <w:bookmarkStart w:id="100" w:name="_Toc494455680"/>
      <w:r>
        <w:rPr>
          <w:rStyle w:val="39"/>
          <w:rFonts w:hint="eastAsia"/>
          <w:sz w:val="24"/>
          <w:szCs w:val="24"/>
        </w:rPr>
        <w:t>18.</w:t>
      </w:r>
      <w:r>
        <w:rPr>
          <w:rStyle w:val="39"/>
          <w:rFonts w:hint="eastAsia" w:eastAsia="仿宋"/>
          <w:sz w:val="24"/>
          <w:szCs w:val="24"/>
          <w:lang w:val="en-US" w:eastAsia="zh-CN"/>
        </w:rPr>
        <w:t>8</w:t>
      </w:r>
      <w:r>
        <w:rPr>
          <w:rStyle w:val="39"/>
          <w:rFonts w:hint="eastAsia"/>
          <w:sz w:val="24"/>
          <w:szCs w:val="24"/>
        </w:rPr>
        <w:t>投标无效</w:t>
      </w:r>
      <w:bookmarkEnd w:id="100"/>
    </w:p>
    <w:p>
      <w:pPr>
        <w:spacing w:line="440" w:lineRule="exact"/>
        <w:ind w:firstLine="480" w:firstLineChars="200"/>
        <w:rPr>
          <w:rStyle w:val="39"/>
          <w:sz w:val="24"/>
          <w:szCs w:val="24"/>
        </w:rPr>
      </w:pPr>
      <w:r>
        <w:rPr>
          <w:rStyle w:val="39"/>
          <w:rFonts w:hint="eastAsia"/>
          <w:sz w:val="24"/>
          <w:szCs w:val="24"/>
        </w:rPr>
        <w:t>出现下列情形之一的，投标无效：</w:t>
      </w:r>
    </w:p>
    <w:p>
      <w:pPr>
        <w:spacing w:line="440" w:lineRule="exact"/>
        <w:ind w:firstLine="480" w:firstLineChars="200"/>
        <w:rPr>
          <w:rStyle w:val="39"/>
          <w:color w:val="auto"/>
          <w:sz w:val="24"/>
          <w:szCs w:val="24"/>
        </w:rPr>
      </w:pPr>
      <w:r>
        <w:rPr>
          <w:rStyle w:val="39"/>
          <w:rFonts w:hint="eastAsia"/>
          <w:color w:val="auto"/>
          <w:sz w:val="24"/>
          <w:szCs w:val="24"/>
        </w:rPr>
        <w:t>18.</w:t>
      </w:r>
      <w:r>
        <w:rPr>
          <w:rStyle w:val="39"/>
          <w:rFonts w:hint="eastAsia" w:eastAsia="仿宋"/>
          <w:color w:val="auto"/>
          <w:sz w:val="24"/>
          <w:szCs w:val="24"/>
          <w:lang w:val="en-US" w:eastAsia="zh-CN"/>
        </w:rPr>
        <w:t>8</w:t>
      </w:r>
      <w:r>
        <w:rPr>
          <w:rStyle w:val="39"/>
          <w:rFonts w:hint="eastAsia"/>
          <w:color w:val="auto"/>
          <w:sz w:val="24"/>
          <w:szCs w:val="24"/>
        </w:rPr>
        <w:t>.</w:t>
      </w:r>
      <w:r>
        <w:rPr>
          <w:rStyle w:val="39"/>
          <w:color w:val="auto"/>
          <w:sz w:val="24"/>
          <w:szCs w:val="24"/>
        </w:rPr>
        <w:t>1报价超过招标文件中规定的预算金额或者最高限价的</w:t>
      </w:r>
      <w:r>
        <w:rPr>
          <w:rStyle w:val="39"/>
          <w:rFonts w:hint="eastAsia"/>
          <w:color w:val="auto"/>
          <w:sz w:val="24"/>
          <w:szCs w:val="24"/>
        </w:rPr>
        <w:t>；</w:t>
      </w:r>
    </w:p>
    <w:p>
      <w:pPr>
        <w:spacing w:line="440" w:lineRule="exact"/>
        <w:ind w:firstLine="480" w:firstLineChars="200"/>
        <w:rPr>
          <w:rStyle w:val="39"/>
          <w:color w:val="auto"/>
          <w:sz w:val="24"/>
          <w:szCs w:val="24"/>
        </w:rPr>
      </w:pPr>
      <w:r>
        <w:rPr>
          <w:rStyle w:val="39"/>
          <w:rFonts w:hint="eastAsia"/>
          <w:color w:val="auto"/>
          <w:sz w:val="24"/>
          <w:szCs w:val="24"/>
        </w:rPr>
        <w:t>18.</w:t>
      </w:r>
      <w:r>
        <w:rPr>
          <w:rStyle w:val="39"/>
          <w:rFonts w:hint="eastAsia" w:eastAsia="仿宋"/>
          <w:color w:val="auto"/>
          <w:sz w:val="24"/>
          <w:szCs w:val="24"/>
          <w:lang w:val="en-US" w:eastAsia="zh-CN"/>
        </w:rPr>
        <w:t>8</w:t>
      </w:r>
      <w:r>
        <w:rPr>
          <w:rStyle w:val="39"/>
          <w:rFonts w:hint="eastAsia"/>
          <w:color w:val="auto"/>
          <w:sz w:val="24"/>
          <w:szCs w:val="24"/>
        </w:rPr>
        <w:t>.</w:t>
      </w:r>
      <w:r>
        <w:rPr>
          <w:rStyle w:val="39"/>
          <w:color w:val="auto"/>
          <w:sz w:val="24"/>
          <w:szCs w:val="24"/>
        </w:rPr>
        <w:t>2</w:t>
      </w:r>
      <w:r>
        <w:rPr>
          <w:rStyle w:val="39"/>
          <w:rFonts w:hint="eastAsia"/>
          <w:color w:val="auto"/>
          <w:sz w:val="24"/>
          <w:szCs w:val="24"/>
        </w:rPr>
        <w:t>对招标文件要求的不可更改的参数未做出实质性响应或者发生负偏离的；</w:t>
      </w:r>
    </w:p>
    <w:p>
      <w:pPr>
        <w:spacing w:line="440" w:lineRule="exact"/>
        <w:ind w:firstLine="480" w:firstLineChars="200"/>
        <w:rPr>
          <w:rStyle w:val="39"/>
          <w:color w:val="auto"/>
          <w:sz w:val="24"/>
          <w:szCs w:val="24"/>
        </w:rPr>
      </w:pPr>
      <w:r>
        <w:rPr>
          <w:rStyle w:val="39"/>
          <w:rFonts w:hint="eastAsia"/>
          <w:color w:val="auto"/>
          <w:sz w:val="24"/>
          <w:szCs w:val="24"/>
        </w:rPr>
        <w:t>18.</w:t>
      </w:r>
      <w:r>
        <w:rPr>
          <w:rStyle w:val="39"/>
          <w:rFonts w:hint="eastAsia" w:eastAsia="仿宋"/>
          <w:color w:val="auto"/>
          <w:sz w:val="24"/>
          <w:szCs w:val="24"/>
          <w:lang w:val="en-US" w:eastAsia="zh-CN"/>
        </w:rPr>
        <w:t>8</w:t>
      </w:r>
      <w:r>
        <w:rPr>
          <w:rStyle w:val="39"/>
          <w:rFonts w:hint="eastAsia"/>
          <w:color w:val="auto"/>
          <w:sz w:val="24"/>
          <w:szCs w:val="24"/>
        </w:rPr>
        <w:t>.3应提供而未提供标注的政府强制采购节能、环保产品的；</w:t>
      </w:r>
    </w:p>
    <w:p>
      <w:pPr>
        <w:spacing w:line="440" w:lineRule="exact"/>
        <w:ind w:firstLine="480" w:firstLineChars="200"/>
        <w:rPr>
          <w:rStyle w:val="39"/>
          <w:color w:val="auto"/>
          <w:sz w:val="24"/>
          <w:szCs w:val="24"/>
        </w:rPr>
      </w:pPr>
      <w:r>
        <w:rPr>
          <w:rStyle w:val="39"/>
          <w:rFonts w:hint="eastAsia"/>
          <w:color w:val="auto"/>
          <w:sz w:val="24"/>
          <w:szCs w:val="24"/>
        </w:rPr>
        <w:t>18.</w:t>
      </w:r>
      <w:r>
        <w:rPr>
          <w:rStyle w:val="39"/>
          <w:rFonts w:hint="eastAsia" w:eastAsia="仿宋"/>
          <w:color w:val="auto"/>
          <w:sz w:val="24"/>
          <w:szCs w:val="24"/>
          <w:lang w:val="en-US" w:eastAsia="zh-CN"/>
        </w:rPr>
        <w:t>8</w:t>
      </w:r>
      <w:r>
        <w:rPr>
          <w:rStyle w:val="39"/>
          <w:rFonts w:hint="eastAsia"/>
          <w:color w:val="auto"/>
          <w:sz w:val="24"/>
          <w:szCs w:val="24"/>
        </w:rPr>
        <w:t>.4</w:t>
      </w:r>
      <w:r>
        <w:rPr>
          <w:rStyle w:val="39"/>
          <w:color w:val="auto"/>
          <w:sz w:val="24"/>
          <w:szCs w:val="24"/>
        </w:rPr>
        <w:t>对于不允许偏离的实质性要求和条件</w:t>
      </w:r>
      <w:r>
        <w:rPr>
          <w:rStyle w:val="39"/>
          <w:rFonts w:hint="eastAsia"/>
          <w:color w:val="auto"/>
          <w:sz w:val="24"/>
          <w:szCs w:val="24"/>
        </w:rPr>
        <w:t>发生偏离的；</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8</w:t>
      </w:r>
      <w:r>
        <w:rPr>
          <w:rStyle w:val="39"/>
          <w:rFonts w:hint="eastAsia"/>
          <w:sz w:val="24"/>
          <w:szCs w:val="24"/>
        </w:rPr>
        <w:t>.5不按照招标文件规定报价、没有分项报价、拒绝报价、有多个报价（招标文件另有规定的除外）、有选择性报价、附有条件的报价或者拒绝修正报价的；</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8</w:t>
      </w:r>
      <w:r>
        <w:rPr>
          <w:rStyle w:val="39"/>
          <w:rFonts w:hint="eastAsia"/>
          <w:sz w:val="24"/>
          <w:szCs w:val="24"/>
        </w:rPr>
        <w:t>.6投标文件正副本未区分或者内容严重不一致的；</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8</w:t>
      </w:r>
      <w:r>
        <w:rPr>
          <w:rStyle w:val="39"/>
          <w:rFonts w:hint="eastAsia"/>
          <w:sz w:val="24"/>
          <w:szCs w:val="24"/>
        </w:rPr>
        <w:t>.7</w:t>
      </w:r>
      <w:r>
        <w:rPr>
          <w:rStyle w:val="39"/>
          <w:sz w:val="24"/>
          <w:szCs w:val="24"/>
        </w:rPr>
        <w:t>未按照招标文件的规定提交投标保证金的</w:t>
      </w:r>
      <w:r>
        <w:rPr>
          <w:rStyle w:val="39"/>
          <w:rFonts w:hint="eastAsia"/>
          <w:sz w:val="24"/>
          <w:szCs w:val="24"/>
        </w:rPr>
        <w:t>；</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8</w:t>
      </w:r>
      <w:r>
        <w:rPr>
          <w:rStyle w:val="39"/>
          <w:rFonts w:hint="eastAsia"/>
          <w:sz w:val="24"/>
          <w:szCs w:val="24"/>
        </w:rPr>
        <w:t>.8投标有效期不满足招标文件要求的；</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8</w:t>
      </w:r>
      <w:r>
        <w:rPr>
          <w:rStyle w:val="39"/>
          <w:rFonts w:hint="eastAsia"/>
          <w:sz w:val="24"/>
          <w:szCs w:val="24"/>
        </w:rPr>
        <w:t>.9投标超出营业执照经营范围的；</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8</w:t>
      </w:r>
      <w:r>
        <w:rPr>
          <w:rStyle w:val="39"/>
          <w:rFonts w:hint="eastAsia"/>
          <w:sz w:val="24"/>
          <w:szCs w:val="24"/>
        </w:rPr>
        <w:t>.10评标委员会</w:t>
      </w:r>
      <w:r>
        <w:rPr>
          <w:rStyle w:val="39"/>
          <w:sz w:val="24"/>
          <w:szCs w:val="24"/>
        </w:rPr>
        <w:t>2/3</w:t>
      </w:r>
      <w:r>
        <w:rPr>
          <w:rStyle w:val="39"/>
          <w:rFonts w:hint="eastAsia"/>
          <w:sz w:val="24"/>
          <w:szCs w:val="24"/>
        </w:rPr>
        <w:t>及以上成员认定投标方案技术含量低、不符合招标文件要求的；</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8</w:t>
      </w:r>
      <w:r>
        <w:rPr>
          <w:rStyle w:val="39"/>
          <w:rFonts w:hint="eastAsia"/>
          <w:sz w:val="24"/>
          <w:szCs w:val="24"/>
        </w:rPr>
        <w:t>.</w:t>
      </w:r>
      <w:r>
        <w:rPr>
          <w:rStyle w:val="39"/>
          <w:sz w:val="24"/>
          <w:szCs w:val="24"/>
        </w:rPr>
        <w:t>1</w:t>
      </w:r>
      <w:r>
        <w:rPr>
          <w:rStyle w:val="39"/>
          <w:rFonts w:hint="eastAsia"/>
          <w:sz w:val="24"/>
          <w:szCs w:val="24"/>
        </w:rPr>
        <w:t>1评标委员会判定投标人涂改证明材料或者提供虚假材料和承诺的；</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8</w:t>
      </w:r>
      <w:r>
        <w:rPr>
          <w:rStyle w:val="39"/>
          <w:rFonts w:hint="eastAsia"/>
          <w:sz w:val="24"/>
          <w:szCs w:val="24"/>
        </w:rPr>
        <w:t>.</w:t>
      </w:r>
      <w:r>
        <w:rPr>
          <w:rStyle w:val="39"/>
          <w:sz w:val="24"/>
          <w:szCs w:val="24"/>
        </w:rPr>
        <w:t>12投标文件未按招标文件要求</w:t>
      </w:r>
      <w:r>
        <w:rPr>
          <w:rStyle w:val="39"/>
          <w:rFonts w:hint="eastAsia"/>
          <w:sz w:val="24"/>
          <w:szCs w:val="24"/>
        </w:rPr>
        <w:t>编制、</w:t>
      </w:r>
      <w:r>
        <w:rPr>
          <w:rStyle w:val="39"/>
          <w:sz w:val="24"/>
          <w:szCs w:val="24"/>
        </w:rPr>
        <w:t>签署、盖章</w:t>
      </w:r>
      <w:r>
        <w:rPr>
          <w:rStyle w:val="39"/>
          <w:rFonts w:hint="eastAsia"/>
          <w:sz w:val="24"/>
          <w:szCs w:val="24"/>
        </w:rPr>
        <w:t>、装订</w:t>
      </w:r>
      <w:r>
        <w:rPr>
          <w:rStyle w:val="39"/>
          <w:sz w:val="24"/>
          <w:szCs w:val="24"/>
        </w:rPr>
        <w:t>的</w:t>
      </w:r>
      <w:r>
        <w:rPr>
          <w:rStyle w:val="39"/>
          <w:rFonts w:hint="eastAsia"/>
          <w:sz w:val="24"/>
          <w:szCs w:val="24"/>
        </w:rPr>
        <w:t>；</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8</w:t>
      </w:r>
      <w:r>
        <w:rPr>
          <w:rStyle w:val="39"/>
          <w:rFonts w:hint="eastAsia"/>
          <w:sz w:val="24"/>
          <w:szCs w:val="24"/>
        </w:rPr>
        <w:t>.13</w:t>
      </w:r>
      <w:r>
        <w:rPr>
          <w:rStyle w:val="39"/>
          <w:sz w:val="24"/>
          <w:szCs w:val="24"/>
        </w:rPr>
        <w:t>投标人</w:t>
      </w:r>
      <w:r>
        <w:rPr>
          <w:rStyle w:val="39"/>
          <w:rFonts w:hint="eastAsia" w:eastAsia="仿宋"/>
          <w:sz w:val="24"/>
          <w:szCs w:val="24"/>
          <w:lang w:val="en-US" w:eastAsia="zh-CN"/>
        </w:rPr>
        <w:t>未按招标文件要求提交</w:t>
      </w:r>
      <w:r>
        <w:rPr>
          <w:rStyle w:val="39"/>
          <w:rFonts w:hint="eastAsia"/>
          <w:sz w:val="24"/>
          <w:szCs w:val="24"/>
        </w:rPr>
        <w:t>必须</w:t>
      </w:r>
      <w:r>
        <w:rPr>
          <w:rStyle w:val="39"/>
          <w:sz w:val="24"/>
          <w:szCs w:val="24"/>
        </w:rPr>
        <w:t>提交的</w:t>
      </w:r>
      <w:r>
        <w:rPr>
          <w:rStyle w:val="39"/>
          <w:rFonts w:hint="eastAsia"/>
          <w:sz w:val="24"/>
          <w:szCs w:val="24"/>
        </w:rPr>
        <w:t>资格证明、提交不齐全或者复印件未装订于投标文件中的；</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8</w:t>
      </w:r>
      <w:r>
        <w:rPr>
          <w:rStyle w:val="39"/>
          <w:rFonts w:hint="eastAsia"/>
          <w:sz w:val="24"/>
          <w:szCs w:val="24"/>
        </w:rPr>
        <w:t>.14</w:t>
      </w:r>
      <w:r>
        <w:rPr>
          <w:rStyle w:val="39"/>
          <w:rFonts w:hint="eastAsia" w:eastAsia="仿宋"/>
          <w:sz w:val="24"/>
          <w:szCs w:val="24"/>
          <w:lang w:val="en-US" w:eastAsia="zh-CN"/>
        </w:rPr>
        <w:t>商务、技术</w:t>
      </w:r>
      <w:r>
        <w:rPr>
          <w:rStyle w:val="39"/>
          <w:rFonts w:hint="eastAsia"/>
          <w:sz w:val="24"/>
          <w:szCs w:val="24"/>
        </w:rPr>
        <w:t>等证明文件可以为复印件的，复印件未加盖单位公章的；</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8</w:t>
      </w:r>
      <w:r>
        <w:rPr>
          <w:rStyle w:val="39"/>
          <w:rFonts w:hint="eastAsia"/>
          <w:sz w:val="24"/>
          <w:szCs w:val="24"/>
        </w:rPr>
        <w:t>.15投标文件含有采购人不能接受的附加条件的；</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8</w:t>
      </w:r>
      <w:r>
        <w:rPr>
          <w:rStyle w:val="39"/>
          <w:rFonts w:hint="eastAsia"/>
          <w:sz w:val="24"/>
          <w:szCs w:val="24"/>
        </w:rPr>
        <w:t>.16</w:t>
      </w:r>
      <w:r>
        <w:rPr>
          <w:rStyle w:val="39"/>
          <w:sz w:val="24"/>
          <w:szCs w:val="24"/>
        </w:rPr>
        <w:t>法律、法规和招标文件规定的其他无效情形</w:t>
      </w:r>
      <w:r>
        <w:rPr>
          <w:rStyle w:val="39"/>
          <w:rFonts w:hint="eastAsia"/>
          <w:sz w:val="24"/>
          <w:szCs w:val="24"/>
        </w:rPr>
        <w:t>。</w:t>
      </w:r>
    </w:p>
    <w:p>
      <w:pPr>
        <w:spacing w:line="440" w:lineRule="exact"/>
        <w:ind w:firstLine="480" w:firstLineChars="200"/>
        <w:rPr>
          <w:rStyle w:val="39"/>
          <w:sz w:val="24"/>
          <w:szCs w:val="24"/>
        </w:rPr>
      </w:pPr>
      <w:r>
        <w:rPr>
          <w:rStyle w:val="39"/>
          <w:rFonts w:hint="eastAsia"/>
          <w:sz w:val="24"/>
          <w:szCs w:val="24"/>
        </w:rPr>
        <w:t>对投标无效的认定，必须经评标委员会集体做出决定并出具投标无效的事实依据，由投标人法定代表人或者被授权代表签字确认，拒绝签字的，不影响评标委员会做出的决定。</w:t>
      </w:r>
    </w:p>
    <w:p>
      <w:pPr>
        <w:spacing w:line="440" w:lineRule="exact"/>
        <w:ind w:firstLine="480" w:firstLineChars="200"/>
        <w:rPr>
          <w:rStyle w:val="39"/>
          <w:sz w:val="24"/>
          <w:szCs w:val="24"/>
        </w:rPr>
      </w:pPr>
      <w:bookmarkStart w:id="101" w:name="_Toc494455681"/>
      <w:r>
        <w:rPr>
          <w:rStyle w:val="39"/>
          <w:rFonts w:hint="eastAsia"/>
          <w:sz w:val="24"/>
          <w:szCs w:val="24"/>
        </w:rPr>
        <w:t>18.</w:t>
      </w:r>
      <w:r>
        <w:rPr>
          <w:rStyle w:val="39"/>
          <w:rFonts w:hint="eastAsia" w:eastAsia="仿宋"/>
          <w:sz w:val="24"/>
          <w:szCs w:val="24"/>
          <w:lang w:val="en-US" w:eastAsia="zh-CN"/>
        </w:rPr>
        <w:t>9</w:t>
      </w:r>
      <w:r>
        <w:rPr>
          <w:rStyle w:val="39"/>
          <w:rFonts w:hint="eastAsia"/>
          <w:sz w:val="24"/>
          <w:szCs w:val="24"/>
        </w:rPr>
        <w:t>废标</w:t>
      </w:r>
      <w:bookmarkEnd w:id="101"/>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9</w:t>
      </w:r>
      <w:r>
        <w:rPr>
          <w:rStyle w:val="39"/>
          <w:rFonts w:hint="eastAsia"/>
          <w:sz w:val="24"/>
          <w:szCs w:val="24"/>
        </w:rPr>
        <w:t>.</w:t>
      </w:r>
      <w:r>
        <w:rPr>
          <w:rStyle w:val="39"/>
          <w:sz w:val="24"/>
          <w:szCs w:val="24"/>
        </w:rPr>
        <w:t>1</w:t>
      </w:r>
      <w:r>
        <w:rPr>
          <w:rStyle w:val="39"/>
          <w:rFonts w:hint="eastAsia"/>
          <w:sz w:val="24"/>
          <w:szCs w:val="24"/>
        </w:rPr>
        <w:t>出现下列情形之一的，应予废标：</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9</w:t>
      </w:r>
      <w:r>
        <w:rPr>
          <w:rStyle w:val="39"/>
          <w:rFonts w:hint="eastAsia"/>
          <w:sz w:val="24"/>
          <w:szCs w:val="24"/>
        </w:rPr>
        <w:t>.</w:t>
      </w:r>
      <w:r>
        <w:rPr>
          <w:rStyle w:val="39"/>
          <w:sz w:val="24"/>
          <w:szCs w:val="24"/>
        </w:rPr>
        <w:t>1.1</w:t>
      </w:r>
      <w:r>
        <w:rPr>
          <w:rStyle w:val="39"/>
          <w:rFonts w:hint="eastAsia"/>
          <w:sz w:val="24"/>
          <w:szCs w:val="24"/>
        </w:rPr>
        <w:t>在投标截止时间后参加投标的投标人不足3家或者通过资格审查或符合性审查的投标人不足3家的；</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9</w:t>
      </w:r>
      <w:r>
        <w:rPr>
          <w:rStyle w:val="39"/>
          <w:rFonts w:hint="eastAsia"/>
          <w:sz w:val="24"/>
          <w:szCs w:val="24"/>
        </w:rPr>
        <w:t>.</w:t>
      </w:r>
      <w:r>
        <w:rPr>
          <w:rStyle w:val="39"/>
          <w:sz w:val="24"/>
          <w:szCs w:val="24"/>
        </w:rPr>
        <w:t>1.2</w:t>
      </w:r>
      <w:r>
        <w:rPr>
          <w:rStyle w:val="39"/>
          <w:rFonts w:hint="eastAsia"/>
          <w:sz w:val="24"/>
          <w:szCs w:val="24"/>
        </w:rPr>
        <w:t>出现影响采购公正的违法违规行为的；</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9</w:t>
      </w:r>
      <w:r>
        <w:rPr>
          <w:rStyle w:val="39"/>
          <w:rFonts w:hint="eastAsia"/>
          <w:sz w:val="24"/>
          <w:szCs w:val="24"/>
        </w:rPr>
        <w:t>.</w:t>
      </w:r>
      <w:r>
        <w:rPr>
          <w:rStyle w:val="39"/>
          <w:sz w:val="24"/>
          <w:szCs w:val="24"/>
        </w:rPr>
        <w:t>1.3</w:t>
      </w:r>
      <w:r>
        <w:rPr>
          <w:rStyle w:val="39"/>
          <w:rFonts w:hint="eastAsia"/>
          <w:sz w:val="24"/>
          <w:szCs w:val="24"/>
        </w:rPr>
        <w:t>投标人的报价均超过预算金额或者最高限价的；</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9</w:t>
      </w:r>
      <w:r>
        <w:rPr>
          <w:rStyle w:val="39"/>
          <w:rFonts w:hint="eastAsia"/>
          <w:sz w:val="24"/>
          <w:szCs w:val="24"/>
        </w:rPr>
        <w:t>.</w:t>
      </w:r>
      <w:r>
        <w:rPr>
          <w:rStyle w:val="39"/>
          <w:sz w:val="24"/>
          <w:szCs w:val="24"/>
        </w:rPr>
        <w:t>1.4</w:t>
      </w:r>
      <w:r>
        <w:rPr>
          <w:rStyle w:val="39"/>
          <w:rFonts w:hint="eastAsia"/>
          <w:sz w:val="24"/>
          <w:szCs w:val="24"/>
        </w:rPr>
        <w:t>因重大变故，采购任务取消的；</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9</w:t>
      </w:r>
      <w:r>
        <w:rPr>
          <w:rStyle w:val="39"/>
          <w:rFonts w:hint="eastAsia"/>
          <w:sz w:val="24"/>
          <w:szCs w:val="24"/>
        </w:rPr>
        <w:t>.</w:t>
      </w:r>
      <w:r>
        <w:rPr>
          <w:rStyle w:val="39"/>
          <w:sz w:val="24"/>
          <w:szCs w:val="24"/>
        </w:rPr>
        <w:t>1.5</w:t>
      </w:r>
      <w:r>
        <w:rPr>
          <w:rStyle w:val="39"/>
          <w:rFonts w:hint="eastAsia"/>
          <w:sz w:val="24"/>
          <w:szCs w:val="24"/>
        </w:rPr>
        <w:t>法律、法规以及招标文件规定的其他废标情形。</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9</w:t>
      </w:r>
      <w:r>
        <w:rPr>
          <w:rStyle w:val="39"/>
          <w:rFonts w:hint="eastAsia"/>
          <w:sz w:val="24"/>
          <w:szCs w:val="24"/>
        </w:rPr>
        <w:t>.</w:t>
      </w:r>
      <w:r>
        <w:rPr>
          <w:rStyle w:val="39"/>
          <w:sz w:val="24"/>
          <w:szCs w:val="24"/>
        </w:rPr>
        <w:t>2</w:t>
      </w:r>
      <w:r>
        <w:rPr>
          <w:rStyle w:val="39"/>
          <w:rFonts w:hint="eastAsia"/>
          <w:sz w:val="24"/>
          <w:szCs w:val="24"/>
        </w:rPr>
        <w:t>废标后，采购人或者采购代理机构应当将废标理由通知所有投标人。</w:t>
      </w:r>
    </w:p>
    <w:p>
      <w:pPr>
        <w:spacing w:line="440" w:lineRule="exact"/>
        <w:ind w:firstLine="480" w:firstLineChars="200"/>
        <w:rPr>
          <w:rStyle w:val="39"/>
          <w:sz w:val="24"/>
          <w:szCs w:val="24"/>
        </w:rPr>
      </w:pPr>
      <w:bookmarkStart w:id="102" w:name="_Toc494455682"/>
      <w:r>
        <w:rPr>
          <w:rStyle w:val="39"/>
          <w:rFonts w:hint="eastAsia"/>
          <w:sz w:val="24"/>
          <w:szCs w:val="24"/>
        </w:rPr>
        <w:t>18.</w:t>
      </w:r>
      <w:r>
        <w:rPr>
          <w:rStyle w:val="39"/>
          <w:rFonts w:hint="eastAsia" w:eastAsia="仿宋"/>
          <w:sz w:val="24"/>
          <w:szCs w:val="24"/>
          <w:lang w:val="en-US" w:eastAsia="zh-CN"/>
        </w:rPr>
        <w:t>10</w:t>
      </w:r>
      <w:r>
        <w:rPr>
          <w:rStyle w:val="39"/>
          <w:rFonts w:hint="eastAsia"/>
          <w:sz w:val="24"/>
          <w:szCs w:val="24"/>
        </w:rPr>
        <w:t>特殊情况处置程序</w:t>
      </w:r>
      <w:bookmarkEnd w:id="102"/>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10</w:t>
      </w:r>
      <w:r>
        <w:rPr>
          <w:rStyle w:val="39"/>
          <w:rFonts w:hint="eastAsia"/>
          <w:sz w:val="24"/>
          <w:szCs w:val="24"/>
        </w:rPr>
        <w:t>.</w:t>
      </w:r>
      <w:r>
        <w:rPr>
          <w:rStyle w:val="39"/>
          <w:sz w:val="24"/>
          <w:szCs w:val="24"/>
        </w:rPr>
        <w:t>1</w:t>
      </w:r>
      <w:r>
        <w:rPr>
          <w:rStyle w:val="39"/>
          <w:rFonts w:hint="eastAsia"/>
          <w:sz w:val="24"/>
          <w:szCs w:val="24"/>
        </w:rPr>
        <w:t>评标委员会成员的更换</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10</w:t>
      </w:r>
      <w:r>
        <w:rPr>
          <w:rStyle w:val="39"/>
          <w:rFonts w:hint="eastAsia"/>
          <w:sz w:val="24"/>
          <w:szCs w:val="24"/>
        </w:rPr>
        <w:t>.</w:t>
      </w:r>
      <w:r>
        <w:rPr>
          <w:rStyle w:val="39"/>
          <w:sz w:val="24"/>
          <w:szCs w:val="24"/>
        </w:rPr>
        <w:t>1.1</w:t>
      </w:r>
      <w:r>
        <w:rPr>
          <w:rStyle w:val="39"/>
          <w:rFonts w:hint="eastAsia"/>
          <w:sz w:val="24"/>
          <w:szCs w:val="24"/>
        </w:rPr>
        <w:t>评标委员会应当执行连续评标的原则，按照招标文件规定的程序、内容、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件，择期重新组建评标委员会进行评审。</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10</w:t>
      </w:r>
      <w:r>
        <w:rPr>
          <w:rStyle w:val="39"/>
          <w:rFonts w:hint="eastAsia"/>
          <w:sz w:val="24"/>
          <w:szCs w:val="24"/>
        </w:rPr>
        <w:t>.</w:t>
      </w:r>
      <w:r>
        <w:rPr>
          <w:rStyle w:val="39"/>
          <w:sz w:val="24"/>
          <w:szCs w:val="24"/>
        </w:rPr>
        <w:t>1.2</w:t>
      </w:r>
      <w:r>
        <w:rPr>
          <w:rStyle w:val="39"/>
          <w:rFonts w:hint="eastAsia"/>
          <w:sz w:val="24"/>
          <w:szCs w:val="24"/>
        </w:rPr>
        <w:t>退出评标委员会的成员，其已完成的评审行为无效。由采购人向监督人员提出更换评标委员会成员意见并获准后，根据本招标文件规定的评标委员会成员产生方式另行确定替代者进行评标。</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10</w:t>
      </w:r>
      <w:r>
        <w:rPr>
          <w:rStyle w:val="39"/>
          <w:rFonts w:hint="eastAsia"/>
          <w:sz w:val="24"/>
          <w:szCs w:val="24"/>
        </w:rPr>
        <w:t>.</w:t>
      </w:r>
      <w:r>
        <w:rPr>
          <w:rStyle w:val="39"/>
          <w:sz w:val="24"/>
          <w:szCs w:val="24"/>
        </w:rPr>
        <w:t>2</w:t>
      </w:r>
      <w:r>
        <w:rPr>
          <w:rStyle w:val="39"/>
          <w:rFonts w:hint="eastAsia"/>
          <w:sz w:val="24"/>
          <w:szCs w:val="24"/>
        </w:rPr>
        <w:t>记名投票</w:t>
      </w:r>
    </w:p>
    <w:p>
      <w:pPr>
        <w:spacing w:line="440" w:lineRule="exact"/>
        <w:ind w:firstLine="480" w:firstLineChars="200"/>
        <w:rPr>
          <w:rStyle w:val="39"/>
          <w:sz w:val="24"/>
          <w:szCs w:val="24"/>
        </w:rPr>
      </w:pPr>
      <w:r>
        <w:rPr>
          <w:rStyle w:val="39"/>
          <w:rFonts w:hint="eastAsia"/>
          <w:sz w:val="24"/>
          <w:szCs w:val="24"/>
        </w:rPr>
        <w:t>在评标过程中，评标委员会发生分歧或者评审结论有异议需表决的，按照少数服从多数的原则，由评标委员会全体成员以记名投票方式表决。</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10</w:t>
      </w:r>
      <w:r>
        <w:rPr>
          <w:rStyle w:val="39"/>
          <w:rFonts w:hint="eastAsia"/>
          <w:sz w:val="24"/>
          <w:szCs w:val="24"/>
        </w:rPr>
        <w:t>.</w:t>
      </w:r>
      <w:r>
        <w:rPr>
          <w:rStyle w:val="39"/>
          <w:sz w:val="24"/>
          <w:szCs w:val="24"/>
        </w:rPr>
        <w:t>3</w:t>
      </w:r>
      <w:r>
        <w:rPr>
          <w:rStyle w:val="39"/>
          <w:rFonts w:hint="eastAsia"/>
          <w:sz w:val="24"/>
          <w:szCs w:val="24"/>
        </w:rPr>
        <w:t>延期开标</w:t>
      </w:r>
    </w:p>
    <w:p>
      <w:pPr>
        <w:spacing w:line="440" w:lineRule="exact"/>
        <w:ind w:firstLine="480" w:firstLineChars="200"/>
        <w:rPr>
          <w:rStyle w:val="39"/>
          <w:sz w:val="24"/>
          <w:szCs w:val="24"/>
        </w:rPr>
      </w:pPr>
      <w:r>
        <w:rPr>
          <w:rStyle w:val="39"/>
          <w:rFonts w:hint="eastAsia"/>
          <w:sz w:val="24"/>
          <w:szCs w:val="24"/>
        </w:rPr>
        <w:t>因特殊情况需要推迟开标时间的，采购人或者采购代理机构必须提前报监督部门审批，经批准后按规定提前告知所有参加投标的投标人，否则必须按时开标。</w:t>
      </w:r>
    </w:p>
    <w:p>
      <w:pPr>
        <w:spacing w:line="440" w:lineRule="exact"/>
        <w:ind w:firstLine="480" w:firstLineChars="200"/>
        <w:rPr>
          <w:rStyle w:val="39"/>
          <w:sz w:val="24"/>
          <w:szCs w:val="24"/>
        </w:rPr>
      </w:pPr>
      <w:bookmarkStart w:id="103" w:name="_Toc494455683"/>
      <w:r>
        <w:rPr>
          <w:rStyle w:val="39"/>
          <w:rFonts w:hint="eastAsia"/>
          <w:sz w:val="24"/>
          <w:szCs w:val="24"/>
        </w:rPr>
        <w:t>18.</w:t>
      </w:r>
      <w:r>
        <w:rPr>
          <w:rStyle w:val="39"/>
          <w:rFonts w:hint="eastAsia" w:eastAsia="仿宋"/>
          <w:sz w:val="24"/>
          <w:szCs w:val="24"/>
          <w:lang w:val="en-US" w:eastAsia="zh-CN"/>
        </w:rPr>
        <w:t>11</w:t>
      </w:r>
      <w:r>
        <w:rPr>
          <w:rStyle w:val="39"/>
          <w:rFonts w:hint="eastAsia"/>
          <w:sz w:val="24"/>
          <w:szCs w:val="24"/>
        </w:rPr>
        <w:t>违法违规情形</w:t>
      </w:r>
      <w:bookmarkEnd w:id="103"/>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11</w:t>
      </w:r>
      <w:r>
        <w:rPr>
          <w:rStyle w:val="39"/>
          <w:rFonts w:hint="eastAsia"/>
          <w:sz w:val="24"/>
          <w:szCs w:val="24"/>
        </w:rPr>
        <w:t>.</w:t>
      </w:r>
      <w:r>
        <w:rPr>
          <w:rStyle w:val="39"/>
          <w:sz w:val="24"/>
          <w:szCs w:val="24"/>
        </w:rPr>
        <w:t>1</w:t>
      </w:r>
      <w:r>
        <w:rPr>
          <w:rStyle w:val="39"/>
          <w:rFonts w:hint="eastAsia"/>
          <w:sz w:val="24"/>
          <w:szCs w:val="24"/>
        </w:rPr>
        <w:t>有下列情形之一的，属于投标人相互串通投标：</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11</w:t>
      </w:r>
      <w:r>
        <w:rPr>
          <w:rStyle w:val="39"/>
          <w:rFonts w:hint="eastAsia"/>
          <w:sz w:val="24"/>
          <w:szCs w:val="24"/>
        </w:rPr>
        <w:t>.</w:t>
      </w:r>
      <w:r>
        <w:rPr>
          <w:rStyle w:val="39"/>
          <w:sz w:val="24"/>
          <w:szCs w:val="24"/>
        </w:rPr>
        <w:t>1.1</w:t>
      </w:r>
      <w:r>
        <w:rPr>
          <w:rStyle w:val="39"/>
          <w:rFonts w:hint="eastAsia"/>
          <w:sz w:val="24"/>
          <w:szCs w:val="24"/>
        </w:rPr>
        <w:t>投标人之间协商投标报价等投标文件的实质性内容；</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11</w:t>
      </w:r>
      <w:r>
        <w:rPr>
          <w:rStyle w:val="39"/>
          <w:rFonts w:hint="eastAsia"/>
          <w:sz w:val="24"/>
          <w:szCs w:val="24"/>
        </w:rPr>
        <w:t>.</w:t>
      </w:r>
      <w:r>
        <w:rPr>
          <w:rStyle w:val="39"/>
          <w:sz w:val="24"/>
          <w:szCs w:val="24"/>
        </w:rPr>
        <w:t>1.2</w:t>
      </w:r>
      <w:r>
        <w:rPr>
          <w:rStyle w:val="39"/>
          <w:rFonts w:hint="eastAsia"/>
          <w:sz w:val="24"/>
          <w:szCs w:val="24"/>
        </w:rPr>
        <w:t>投标人之间约定中标人；</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11</w:t>
      </w:r>
      <w:r>
        <w:rPr>
          <w:rStyle w:val="39"/>
          <w:rFonts w:hint="eastAsia"/>
          <w:sz w:val="24"/>
          <w:szCs w:val="24"/>
        </w:rPr>
        <w:t>.</w:t>
      </w:r>
      <w:r>
        <w:rPr>
          <w:rStyle w:val="39"/>
          <w:sz w:val="24"/>
          <w:szCs w:val="24"/>
        </w:rPr>
        <w:t>1.3</w:t>
      </w:r>
      <w:r>
        <w:rPr>
          <w:rStyle w:val="39"/>
          <w:rFonts w:hint="eastAsia"/>
          <w:sz w:val="24"/>
          <w:szCs w:val="24"/>
        </w:rPr>
        <w:t>投标人之间约定部分投标人放弃投标或者中标；</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11</w:t>
      </w:r>
      <w:r>
        <w:rPr>
          <w:rStyle w:val="39"/>
          <w:rFonts w:hint="eastAsia"/>
          <w:sz w:val="24"/>
          <w:szCs w:val="24"/>
        </w:rPr>
        <w:t>.</w:t>
      </w:r>
      <w:r>
        <w:rPr>
          <w:rStyle w:val="39"/>
          <w:sz w:val="24"/>
          <w:szCs w:val="24"/>
        </w:rPr>
        <w:t>1.4</w:t>
      </w:r>
      <w:r>
        <w:rPr>
          <w:rStyle w:val="39"/>
          <w:rFonts w:hint="eastAsia"/>
          <w:sz w:val="24"/>
          <w:szCs w:val="24"/>
        </w:rPr>
        <w:t>属于同一集团、协会、商会等组织成员的投标人按照该组织要求协同投标；</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11</w:t>
      </w:r>
      <w:r>
        <w:rPr>
          <w:rStyle w:val="39"/>
          <w:rFonts w:hint="eastAsia"/>
          <w:sz w:val="24"/>
          <w:szCs w:val="24"/>
        </w:rPr>
        <w:t>.</w:t>
      </w:r>
      <w:r>
        <w:rPr>
          <w:rStyle w:val="39"/>
          <w:sz w:val="24"/>
          <w:szCs w:val="24"/>
        </w:rPr>
        <w:t>1.5</w:t>
      </w:r>
      <w:r>
        <w:rPr>
          <w:rStyle w:val="39"/>
          <w:rFonts w:hint="eastAsia"/>
          <w:sz w:val="24"/>
          <w:szCs w:val="24"/>
        </w:rPr>
        <w:t>投标人之间为谋取中标或者排斥特定投标人而采取的其他联合行动。</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11</w:t>
      </w:r>
      <w:r>
        <w:rPr>
          <w:rStyle w:val="39"/>
          <w:rFonts w:hint="eastAsia"/>
          <w:sz w:val="24"/>
          <w:szCs w:val="24"/>
        </w:rPr>
        <w:t>.</w:t>
      </w:r>
      <w:r>
        <w:rPr>
          <w:rStyle w:val="39"/>
          <w:sz w:val="24"/>
          <w:szCs w:val="24"/>
        </w:rPr>
        <w:t>2</w:t>
      </w:r>
      <w:r>
        <w:rPr>
          <w:rStyle w:val="39"/>
          <w:rFonts w:hint="eastAsia"/>
          <w:sz w:val="24"/>
          <w:szCs w:val="24"/>
        </w:rPr>
        <w:t>有下列情形之一的，视为投标人相互串通投标，评标委员会应当出具违法违规认定意见并作投标无效处理：</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11</w:t>
      </w:r>
      <w:r>
        <w:rPr>
          <w:rStyle w:val="39"/>
          <w:rFonts w:hint="eastAsia"/>
          <w:sz w:val="24"/>
          <w:szCs w:val="24"/>
        </w:rPr>
        <w:t>.</w:t>
      </w:r>
      <w:r>
        <w:rPr>
          <w:rStyle w:val="39"/>
          <w:sz w:val="24"/>
          <w:szCs w:val="24"/>
        </w:rPr>
        <w:t>2.1</w:t>
      </w:r>
      <w:r>
        <w:rPr>
          <w:rStyle w:val="39"/>
          <w:rFonts w:hint="eastAsia"/>
          <w:sz w:val="24"/>
          <w:szCs w:val="24"/>
        </w:rPr>
        <w:t>不同投标人的投标文件由同一单位或者个人编制；</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11</w:t>
      </w:r>
      <w:r>
        <w:rPr>
          <w:rStyle w:val="39"/>
          <w:rFonts w:hint="eastAsia"/>
          <w:sz w:val="24"/>
          <w:szCs w:val="24"/>
        </w:rPr>
        <w:t>.</w:t>
      </w:r>
      <w:r>
        <w:rPr>
          <w:rStyle w:val="39"/>
          <w:sz w:val="24"/>
          <w:szCs w:val="24"/>
        </w:rPr>
        <w:t>2.2</w:t>
      </w:r>
      <w:r>
        <w:rPr>
          <w:rStyle w:val="39"/>
          <w:rFonts w:hint="eastAsia"/>
          <w:sz w:val="24"/>
          <w:szCs w:val="24"/>
        </w:rPr>
        <w:t>不同投标人委托同一单位或者个人办理投标事宜；</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11</w:t>
      </w:r>
      <w:r>
        <w:rPr>
          <w:rStyle w:val="39"/>
          <w:rFonts w:hint="eastAsia"/>
          <w:sz w:val="24"/>
          <w:szCs w:val="24"/>
        </w:rPr>
        <w:t>.</w:t>
      </w:r>
      <w:r>
        <w:rPr>
          <w:rStyle w:val="39"/>
          <w:sz w:val="24"/>
          <w:szCs w:val="24"/>
        </w:rPr>
        <w:t>2.3</w:t>
      </w:r>
      <w:r>
        <w:rPr>
          <w:rStyle w:val="39"/>
          <w:rFonts w:hint="eastAsia"/>
          <w:sz w:val="24"/>
          <w:szCs w:val="24"/>
        </w:rPr>
        <w:t>不同投标人的投标文件载明的项目管理成员或者联系人员为同一人；</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11</w:t>
      </w:r>
      <w:r>
        <w:rPr>
          <w:rStyle w:val="39"/>
          <w:rFonts w:hint="eastAsia"/>
          <w:sz w:val="24"/>
          <w:szCs w:val="24"/>
        </w:rPr>
        <w:t>.</w:t>
      </w:r>
      <w:r>
        <w:rPr>
          <w:rStyle w:val="39"/>
          <w:sz w:val="24"/>
          <w:szCs w:val="24"/>
        </w:rPr>
        <w:t>2.4</w:t>
      </w:r>
      <w:r>
        <w:rPr>
          <w:rStyle w:val="39"/>
          <w:rFonts w:hint="eastAsia"/>
          <w:sz w:val="24"/>
          <w:szCs w:val="24"/>
        </w:rPr>
        <w:t>不同投标人的投标文件异常一致或者投标报价呈规律性差异；</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11</w:t>
      </w:r>
      <w:r>
        <w:rPr>
          <w:rStyle w:val="39"/>
          <w:rFonts w:hint="eastAsia"/>
          <w:sz w:val="24"/>
          <w:szCs w:val="24"/>
        </w:rPr>
        <w:t>.</w:t>
      </w:r>
      <w:r>
        <w:rPr>
          <w:rStyle w:val="39"/>
          <w:sz w:val="24"/>
          <w:szCs w:val="24"/>
        </w:rPr>
        <w:t>2.5</w:t>
      </w:r>
      <w:r>
        <w:rPr>
          <w:rStyle w:val="39"/>
          <w:rFonts w:hint="eastAsia"/>
          <w:sz w:val="24"/>
          <w:szCs w:val="24"/>
        </w:rPr>
        <w:t>不同投标人的投标文件相互混装；</w:t>
      </w:r>
    </w:p>
    <w:p>
      <w:pPr>
        <w:spacing w:line="440" w:lineRule="exact"/>
        <w:ind w:firstLine="480" w:firstLineChars="200"/>
        <w:rPr>
          <w:rStyle w:val="39"/>
          <w:sz w:val="24"/>
          <w:szCs w:val="24"/>
        </w:rPr>
      </w:pPr>
      <w:r>
        <w:rPr>
          <w:rStyle w:val="39"/>
          <w:rFonts w:hint="eastAsia"/>
          <w:sz w:val="24"/>
          <w:szCs w:val="24"/>
        </w:rPr>
        <w:t>18.</w:t>
      </w:r>
      <w:r>
        <w:rPr>
          <w:rStyle w:val="39"/>
          <w:rFonts w:hint="eastAsia" w:eastAsia="仿宋"/>
          <w:sz w:val="24"/>
          <w:szCs w:val="24"/>
          <w:lang w:val="en-US" w:eastAsia="zh-CN"/>
        </w:rPr>
        <w:t>11</w:t>
      </w:r>
      <w:r>
        <w:rPr>
          <w:rStyle w:val="39"/>
          <w:rFonts w:hint="eastAsia"/>
          <w:sz w:val="24"/>
          <w:szCs w:val="24"/>
        </w:rPr>
        <w:t>.</w:t>
      </w:r>
      <w:r>
        <w:rPr>
          <w:rStyle w:val="39"/>
          <w:sz w:val="24"/>
          <w:szCs w:val="24"/>
        </w:rPr>
        <w:t>2.6</w:t>
      </w:r>
      <w:r>
        <w:rPr>
          <w:rStyle w:val="39"/>
          <w:rFonts w:hint="eastAsia"/>
          <w:sz w:val="24"/>
          <w:szCs w:val="24"/>
        </w:rPr>
        <w:t>不同投标人的投标保证金从同一单位或者个人的账户转出。</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1</w:t>
      </w:r>
      <w:r>
        <w:rPr>
          <w:rStyle w:val="39"/>
          <w:rFonts w:hint="eastAsia"/>
          <w:sz w:val="24"/>
          <w:szCs w:val="24"/>
        </w:rPr>
        <w:t>.</w:t>
      </w:r>
      <w:r>
        <w:rPr>
          <w:rStyle w:val="39"/>
          <w:sz w:val="24"/>
          <w:szCs w:val="24"/>
        </w:rPr>
        <w:t>3</w:t>
      </w:r>
      <w:r>
        <w:rPr>
          <w:rStyle w:val="39"/>
          <w:rFonts w:hint="eastAsia"/>
          <w:sz w:val="24"/>
          <w:szCs w:val="24"/>
        </w:rPr>
        <w:t>有下列情形之一的，属于采购人与投标人串通投标：</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1</w:t>
      </w:r>
      <w:r>
        <w:rPr>
          <w:rStyle w:val="39"/>
          <w:rFonts w:hint="eastAsia"/>
          <w:sz w:val="24"/>
          <w:szCs w:val="24"/>
        </w:rPr>
        <w:t>.</w:t>
      </w:r>
      <w:r>
        <w:rPr>
          <w:rStyle w:val="39"/>
          <w:sz w:val="24"/>
          <w:szCs w:val="24"/>
        </w:rPr>
        <w:t>3.1</w:t>
      </w:r>
      <w:r>
        <w:rPr>
          <w:rStyle w:val="39"/>
          <w:rFonts w:hint="eastAsia"/>
          <w:sz w:val="24"/>
          <w:szCs w:val="24"/>
        </w:rPr>
        <w:t>采购人在开标前开启投标文件并将有关信息泄露给其他投标人</w:t>
      </w:r>
      <w:r>
        <w:rPr>
          <w:rStyle w:val="39"/>
          <w:sz w:val="24"/>
          <w:szCs w:val="24"/>
        </w:rPr>
        <w:t>；</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1</w:t>
      </w:r>
      <w:r>
        <w:rPr>
          <w:rStyle w:val="39"/>
          <w:rFonts w:hint="eastAsia"/>
          <w:sz w:val="24"/>
          <w:szCs w:val="24"/>
        </w:rPr>
        <w:t>.</w:t>
      </w:r>
      <w:r>
        <w:rPr>
          <w:rStyle w:val="39"/>
          <w:sz w:val="24"/>
          <w:szCs w:val="24"/>
        </w:rPr>
        <w:t>3.2</w:t>
      </w:r>
      <w:r>
        <w:rPr>
          <w:rStyle w:val="39"/>
          <w:rFonts w:hint="eastAsia"/>
          <w:sz w:val="24"/>
          <w:szCs w:val="24"/>
        </w:rPr>
        <w:t>采购人直接或者间接向投标人泄露标底、评标委员会成员等信息；</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1</w:t>
      </w:r>
      <w:r>
        <w:rPr>
          <w:rStyle w:val="39"/>
          <w:rFonts w:hint="eastAsia"/>
          <w:sz w:val="24"/>
          <w:szCs w:val="24"/>
        </w:rPr>
        <w:t>.</w:t>
      </w:r>
      <w:r>
        <w:rPr>
          <w:rStyle w:val="39"/>
          <w:sz w:val="24"/>
          <w:szCs w:val="24"/>
        </w:rPr>
        <w:t>3.3</w:t>
      </w:r>
      <w:r>
        <w:rPr>
          <w:rStyle w:val="39"/>
          <w:rFonts w:hint="eastAsia"/>
          <w:sz w:val="24"/>
          <w:szCs w:val="24"/>
        </w:rPr>
        <w:t>采购人明示或者暗示投标人压低或者抬高投标报价；</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1</w:t>
      </w:r>
      <w:r>
        <w:rPr>
          <w:rStyle w:val="39"/>
          <w:rFonts w:hint="eastAsia"/>
          <w:sz w:val="24"/>
          <w:szCs w:val="24"/>
        </w:rPr>
        <w:t>.</w:t>
      </w:r>
      <w:r>
        <w:rPr>
          <w:rStyle w:val="39"/>
          <w:sz w:val="24"/>
          <w:szCs w:val="24"/>
        </w:rPr>
        <w:t>3.4</w:t>
      </w:r>
      <w:r>
        <w:rPr>
          <w:rStyle w:val="39"/>
          <w:rFonts w:hint="eastAsia"/>
          <w:sz w:val="24"/>
          <w:szCs w:val="24"/>
        </w:rPr>
        <w:t>采购人授意投标人撤换、修改投标文件；</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1</w:t>
      </w:r>
      <w:r>
        <w:rPr>
          <w:rStyle w:val="39"/>
          <w:rFonts w:hint="eastAsia"/>
          <w:sz w:val="24"/>
          <w:szCs w:val="24"/>
        </w:rPr>
        <w:t>.</w:t>
      </w:r>
      <w:r>
        <w:rPr>
          <w:rStyle w:val="39"/>
          <w:sz w:val="24"/>
          <w:szCs w:val="24"/>
        </w:rPr>
        <w:t>3.5</w:t>
      </w:r>
      <w:r>
        <w:rPr>
          <w:rStyle w:val="39"/>
          <w:rFonts w:hint="eastAsia"/>
          <w:sz w:val="24"/>
          <w:szCs w:val="24"/>
        </w:rPr>
        <w:t>采购人明示或者暗示投标人为特定投标人中标提供方便；</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1</w:t>
      </w:r>
      <w:r>
        <w:rPr>
          <w:rStyle w:val="39"/>
          <w:rFonts w:hint="eastAsia"/>
          <w:sz w:val="24"/>
          <w:szCs w:val="24"/>
        </w:rPr>
        <w:t>.</w:t>
      </w:r>
      <w:r>
        <w:rPr>
          <w:rStyle w:val="39"/>
          <w:sz w:val="24"/>
          <w:szCs w:val="24"/>
        </w:rPr>
        <w:t>3.6</w:t>
      </w:r>
      <w:r>
        <w:rPr>
          <w:rStyle w:val="39"/>
          <w:rFonts w:hint="eastAsia"/>
          <w:sz w:val="24"/>
          <w:szCs w:val="24"/>
        </w:rPr>
        <w:t>采购人与投标人为谋求特定投标人中标而采取的其他串通行为。</w:t>
      </w:r>
    </w:p>
    <w:p>
      <w:pPr>
        <w:spacing w:line="440" w:lineRule="exact"/>
        <w:ind w:firstLine="480" w:firstLineChars="200"/>
        <w:rPr>
          <w:rStyle w:val="39"/>
          <w:sz w:val="24"/>
          <w:szCs w:val="24"/>
        </w:rPr>
      </w:pPr>
      <w:r>
        <w:rPr>
          <w:rStyle w:val="39"/>
          <w:sz w:val="24"/>
          <w:szCs w:val="24"/>
        </w:rPr>
        <w:t>在评标过程中发现投标人有上述情形的，评标委员会应当认定其投标无效，并书面报告本级财政部门。</w:t>
      </w:r>
    </w:p>
    <w:p>
      <w:pPr>
        <w:spacing w:line="440" w:lineRule="exact"/>
        <w:ind w:firstLine="480" w:firstLineChars="200"/>
        <w:rPr>
          <w:rStyle w:val="39"/>
          <w:sz w:val="24"/>
          <w:szCs w:val="24"/>
        </w:rPr>
      </w:pPr>
      <w:bookmarkStart w:id="104" w:name="_Toc494455684"/>
      <w:r>
        <w:rPr>
          <w:rStyle w:val="39"/>
          <w:rFonts w:hint="eastAsia"/>
          <w:sz w:val="24"/>
          <w:szCs w:val="24"/>
        </w:rPr>
        <w:t>18.1</w:t>
      </w:r>
      <w:r>
        <w:rPr>
          <w:rStyle w:val="39"/>
          <w:rFonts w:hint="eastAsia" w:eastAsia="仿宋"/>
          <w:sz w:val="24"/>
          <w:szCs w:val="24"/>
          <w:lang w:val="en-US" w:eastAsia="zh-CN"/>
        </w:rPr>
        <w:t>2</w:t>
      </w:r>
      <w:r>
        <w:rPr>
          <w:rStyle w:val="39"/>
          <w:rFonts w:hint="eastAsia"/>
          <w:sz w:val="24"/>
          <w:szCs w:val="24"/>
        </w:rPr>
        <w:t>违规处理</w:t>
      </w:r>
      <w:bookmarkEnd w:id="104"/>
    </w:p>
    <w:p>
      <w:pPr>
        <w:spacing w:line="440" w:lineRule="exact"/>
        <w:ind w:firstLine="480" w:firstLineChars="200"/>
        <w:rPr>
          <w:rStyle w:val="39"/>
          <w:sz w:val="24"/>
          <w:szCs w:val="24"/>
        </w:rPr>
      </w:pPr>
      <w:r>
        <w:rPr>
          <w:rStyle w:val="39"/>
          <w:rFonts w:hint="eastAsia"/>
          <w:sz w:val="24"/>
          <w:szCs w:val="24"/>
        </w:rPr>
        <w:t>投标人有下列情形之一的，列入不良行为记录名单，在一至三年内禁止参加政府采购活动：</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2</w:t>
      </w:r>
      <w:r>
        <w:rPr>
          <w:rStyle w:val="39"/>
          <w:rFonts w:hint="eastAsia"/>
          <w:sz w:val="24"/>
          <w:szCs w:val="24"/>
        </w:rPr>
        <w:t>.</w:t>
      </w:r>
      <w:r>
        <w:rPr>
          <w:rStyle w:val="39"/>
          <w:sz w:val="24"/>
          <w:szCs w:val="24"/>
        </w:rPr>
        <w:t>1</w:t>
      </w:r>
      <w:r>
        <w:rPr>
          <w:rStyle w:val="39"/>
          <w:rFonts w:hint="eastAsia"/>
          <w:sz w:val="24"/>
          <w:szCs w:val="24"/>
        </w:rPr>
        <w:t>提供虚假投标材料谋取中标、成交的；</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2</w:t>
      </w:r>
      <w:r>
        <w:rPr>
          <w:rStyle w:val="39"/>
          <w:rFonts w:hint="eastAsia"/>
          <w:sz w:val="24"/>
          <w:szCs w:val="24"/>
        </w:rPr>
        <w:t>.</w:t>
      </w:r>
      <w:r>
        <w:rPr>
          <w:rStyle w:val="39"/>
          <w:sz w:val="24"/>
          <w:szCs w:val="24"/>
        </w:rPr>
        <w:t>2</w:t>
      </w:r>
      <w:r>
        <w:rPr>
          <w:rStyle w:val="39"/>
          <w:rFonts w:hint="eastAsia"/>
          <w:sz w:val="24"/>
          <w:szCs w:val="24"/>
        </w:rPr>
        <w:t>采取不正当手段诋毁、排挤其他投标人的；</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2</w:t>
      </w:r>
      <w:r>
        <w:rPr>
          <w:rStyle w:val="39"/>
          <w:rFonts w:hint="eastAsia"/>
          <w:sz w:val="24"/>
          <w:szCs w:val="24"/>
        </w:rPr>
        <w:t>.</w:t>
      </w:r>
      <w:r>
        <w:rPr>
          <w:rStyle w:val="39"/>
          <w:sz w:val="24"/>
          <w:szCs w:val="24"/>
        </w:rPr>
        <w:t>3</w:t>
      </w:r>
      <w:r>
        <w:rPr>
          <w:rStyle w:val="39"/>
          <w:rFonts w:hint="eastAsia"/>
          <w:sz w:val="24"/>
          <w:szCs w:val="24"/>
        </w:rPr>
        <w:t>与采购人、其他投标人或者采购代理机构恶意串通的；</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2</w:t>
      </w:r>
      <w:r>
        <w:rPr>
          <w:rStyle w:val="39"/>
          <w:rFonts w:hint="eastAsia"/>
          <w:sz w:val="24"/>
          <w:szCs w:val="24"/>
        </w:rPr>
        <w:t>.</w:t>
      </w:r>
      <w:r>
        <w:rPr>
          <w:rStyle w:val="39"/>
          <w:sz w:val="24"/>
          <w:szCs w:val="24"/>
        </w:rPr>
        <w:t>4</w:t>
      </w:r>
      <w:r>
        <w:rPr>
          <w:rStyle w:val="39"/>
          <w:rFonts w:hint="eastAsia"/>
          <w:sz w:val="24"/>
          <w:szCs w:val="24"/>
        </w:rPr>
        <w:t>向采购人、采购代理机构行贿或者提供其他不正当利益的；</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2</w:t>
      </w:r>
      <w:r>
        <w:rPr>
          <w:rStyle w:val="39"/>
          <w:rFonts w:hint="eastAsia"/>
          <w:sz w:val="24"/>
          <w:szCs w:val="24"/>
        </w:rPr>
        <w:t>.</w:t>
      </w:r>
      <w:r>
        <w:rPr>
          <w:rStyle w:val="39"/>
          <w:sz w:val="24"/>
          <w:szCs w:val="24"/>
        </w:rPr>
        <w:t>5</w:t>
      </w:r>
      <w:r>
        <w:rPr>
          <w:rStyle w:val="39"/>
          <w:rFonts w:hint="eastAsia"/>
          <w:sz w:val="24"/>
          <w:szCs w:val="24"/>
        </w:rPr>
        <w:t>在招标采购过程中与采购人进行协商的；</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2</w:t>
      </w:r>
      <w:r>
        <w:rPr>
          <w:rStyle w:val="39"/>
          <w:rFonts w:hint="eastAsia"/>
          <w:sz w:val="24"/>
          <w:szCs w:val="24"/>
        </w:rPr>
        <w:t>.</w:t>
      </w:r>
      <w:r>
        <w:rPr>
          <w:rStyle w:val="39"/>
          <w:sz w:val="24"/>
          <w:szCs w:val="24"/>
        </w:rPr>
        <w:t>6</w:t>
      </w:r>
      <w:r>
        <w:rPr>
          <w:rStyle w:val="39"/>
          <w:rFonts w:hint="eastAsia"/>
          <w:sz w:val="24"/>
          <w:szCs w:val="24"/>
        </w:rPr>
        <w:t>拒绝有关部门监督检查或者提供虚假情况的；</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2</w:t>
      </w:r>
      <w:r>
        <w:rPr>
          <w:rStyle w:val="39"/>
          <w:rFonts w:hint="eastAsia"/>
          <w:sz w:val="24"/>
          <w:szCs w:val="24"/>
        </w:rPr>
        <w:t>.</w:t>
      </w:r>
      <w:r>
        <w:rPr>
          <w:rStyle w:val="39"/>
          <w:sz w:val="24"/>
          <w:szCs w:val="24"/>
        </w:rPr>
        <w:t>7</w:t>
      </w:r>
      <w:r>
        <w:rPr>
          <w:rStyle w:val="39"/>
          <w:rFonts w:hint="eastAsia"/>
          <w:sz w:val="24"/>
          <w:szCs w:val="24"/>
        </w:rPr>
        <w:t>一年内累计三次以上投诉均查无实据，并带有明显故意行为的；</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2</w:t>
      </w:r>
      <w:r>
        <w:rPr>
          <w:rStyle w:val="39"/>
          <w:rFonts w:hint="eastAsia"/>
          <w:sz w:val="24"/>
          <w:szCs w:val="24"/>
        </w:rPr>
        <w:t>.</w:t>
      </w:r>
      <w:r>
        <w:rPr>
          <w:rStyle w:val="39"/>
          <w:sz w:val="24"/>
          <w:szCs w:val="24"/>
        </w:rPr>
        <w:t>8</w:t>
      </w:r>
      <w:r>
        <w:rPr>
          <w:rStyle w:val="39"/>
          <w:rFonts w:hint="eastAsia"/>
          <w:sz w:val="24"/>
          <w:szCs w:val="24"/>
        </w:rPr>
        <w:t>捏造事实或者提供虚假投诉材料的；</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2</w:t>
      </w:r>
      <w:r>
        <w:rPr>
          <w:rStyle w:val="39"/>
          <w:rFonts w:hint="eastAsia"/>
          <w:sz w:val="24"/>
          <w:szCs w:val="24"/>
        </w:rPr>
        <w:t>.</w:t>
      </w:r>
      <w:r>
        <w:rPr>
          <w:rStyle w:val="39"/>
          <w:sz w:val="24"/>
          <w:szCs w:val="24"/>
        </w:rPr>
        <w:t>9</w:t>
      </w:r>
      <w:r>
        <w:rPr>
          <w:rStyle w:val="39"/>
          <w:rFonts w:hint="eastAsia"/>
          <w:sz w:val="24"/>
          <w:szCs w:val="24"/>
        </w:rPr>
        <w:t>不按照规定程序以及正常途径质疑、投诉，采用匿名信、匿名电话、发短信息等手段，威胁、恫吓、辱骂、恶意中伤其他相关当事人的；</w:t>
      </w:r>
    </w:p>
    <w:p>
      <w:pPr>
        <w:spacing w:line="440" w:lineRule="exact"/>
        <w:ind w:firstLine="480" w:firstLineChars="200"/>
        <w:rPr>
          <w:rStyle w:val="39"/>
          <w:sz w:val="24"/>
          <w:szCs w:val="24"/>
        </w:rPr>
      </w:pPr>
      <w:r>
        <w:rPr>
          <w:rStyle w:val="39"/>
          <w:rFonts w:hint="eastAsia"/>
          <w:sz w:val="24"/>
          <w:szCs w:val="24"/>
        </w:rPr>
        <w:t>18.1</w:t>
      </w:r>
      <w:r>
        <w:rPr>
          <w:rStyle w:val="39"/>
          <w:rFonts w:hint="eastAsia" w:eastAsia="仿宋"/>
          <w:sz w:val="24"/>
          <w:szCs w:val="24"/>
          <w:lang w:val="en-US" w:eastAsia="zh-CN"/>
        </w:rPr>
        <w:t>2</w:t>
      </w:r>
      <w:r>
        <w:rPr>
          <w:rStyle w:val="39"/>
          <w:rFonts w:hint="eastAsia"/>
          <w:sz w:val="24"/>
          <w:szCs w:val="24"/>
        </w:rPr>
        <w:t>.</w:t>
      </w:r>
      <w:r>
        <w:rPr>
          <w:rStyle w:val="39"/>
          <w:sz w:val="24"/>
          <w:szCs w:val="24"/>
        </w:rPr>
        <w:t>10</w:t>
      </w:r>
      <w:r>
        <w:rPr>
          <w:rStyle w:val="39"/>
          <w:rFonts w:hint="eastAsia"/>
          <w:sz w:val="24"/>
          <w:szCs w:val="24"/>
        </w:rPr>
        <w:t>法律、法规和招标文件中规定的其他情形。</w:t>
      </w:r>
    </w:p>
    <w:p>
      <w:pPr>
        <w:spacing w:line="440" w:lineRule="exact"/>
        <w:ind w:firstLine="560" w:firstLineChars="200"/>
        <w:outlineLvl w:val="2"/>
        <w:rPr>
          <w:rFonts w:ascii="楷体" w:hAnsi="楷体" w:eastAsia="楷体"/>
          <w:sz w:val="28"/>
          <w:szCs w:val="28"/>
        </w:rPr>
      </w:pPr>
      <w:bookmarkStart w:id="105" w:name="_Toc26581"/>
      <w:bookmarkStart w:id="106" w:name="_Toc32695"/>
      <w:bookmarkStart w:id="107" w:name="_Toc27076"/>
      <w:r>
        <w:rPr>
          <w:rFonts w:hint="eastAsia" w:ascii="楷体" w:hAnsi="楷体" w:eastAsia="楷体"/>
          <w:sz w:val="28"/>
          <w:szCs w:val="28"/>
        </w:rPr>
        <w:t>19.纪律要求</w:t>
      </w:r>
      <w:bookmarkEnd w:id="105"/>
      <w:bookmarkEnd w:id="106"/>
      <w:bookmarkEnd w:id="107"/>
    </w:p>
    <w:p>
      <w:pPr>
        <w:spacing w:line="440" w:lineRule="exact"/>
        <w:ind w:firstLine="480" w:firstLineChars="200"/>
        <w:rPr>
          <w:rFonts w:ascii="仿宋" w:hAnsi="仿宋" w:eastAsia="仿宋"/>
          <w:sz w:val="24"/>
          <w:szCs w:val="24"/>
        </w:rPr>
      </w:pPr>
      <w:bookmarkStart w:id="108" w:name="_Toc494455686"/>
      <w:r>
        <w:rPr>
          <w:rFonts w:hint="eastAsia" w:ascii="仿宋" w:hAnsi="仿宋" w:eastAsia="仿宋"/>
          <w:sz w:val="24"/>
          <w:szCs w:val="24"/>
        </w:rPr>
        <w:t>19.1对采购人的纪律要求</w:t>
      </w:r>
      <w:bookmarkEnd w:id="108"/>
    </w:p>
    <w:p>
      <w:pPr>
        <w:spacing w:line="440" w:lineRule="exact"/>
        <w:ind w:firstLine="480" w:firstLineChars="200"/>
        <w:rPr>
          <w:rFonts w:ascii="仿宋" w:hAnsi="仿宋" w:eastAsia="仿宋"/>
          <w:sz w:val="24"/>
          <w:szCs w:val="24"/>
        </w:rPr>
      </w:pPr>
      <w:r>
        <w:rPr>
          <w:rFonts w:ascii="仿宋" w:hAnsi="仿宋" w:eastAsia="仿宋"/>
          <w:sz w:val="24"/>
          <w:szCs w:val="24"/>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pPr>
        <w:spacing w:line="440" w:lineRule="exact"/>
        <w:ind w:firstLine="480" w:firstLineChars="200"/>
        <w:rPr>
          <w:rFonts w:ascii="仿宋" w:hAnsi="仿宋" w:eastAsia="仿宋"/>
          <w:sz w:val="24"/>
          <w:szCs w:val="24"/>
        </w:rPr>
      </w:pPr>
      <w:r>
        <w:rPr>
          <w:rFonts w:ascii="仿宋" w:hAnsi="仿宋" w:eastAsia="仿宋"/>
          <w:sz w:val="24"/>
          <w:szCs w:val="24"/>
        </w:rPr>
        <w:t>采购人不得向供应商索要或者接受其给予的赠品、回扣或者与采购无关的其他</w:t>
      </w:r>
      <w:r>
        <w:rPr>
          <w:rFonts w:hint="eastAsia" w:ascii="仿宋" w:hAnsi="仿宋" w:eastAsia="仿宋"/>
          <w:sz w:val="24"/>
          <w:szCs w:val="24"/>
        </w:rPr>
        <w:t>商品、服务。</w:t>
      </w:r>
    </w:p>
    <w:p>
      <w:pPr>
        <w:spacing w:line="440" w:lineRule="exact"/>
        <w:ind w:firstLine="480" w:firstLineChars="200"/>
        <w:rPr>
          <w:rFonts w:ascii="仿宋" w:hAnsi="仿宋" w:eastAsia="仿宋"/>
          <w:sz w:val="24"/>
          <w:szCs w:val="24"/>
        </w:rPr>
      </w:pPr>
      <w:bookmarkStart w:id="109" w:name="_Toc494455687"/>
      <w:r>
        <w:rPr>
          <w:rFonts w:hint="eastAsia" w:ascii="仿宋" w:hAnsi="仿宋" w:eastAsia="仿宋"/>
          <w:sz w:val="24"/>
          <w:szCs w:val="24"/>
        </w:rPr>
        <w:t>19.2对投标人的纪律要求</w:t>
      </w:r>
      <w:bookmarkEnd w:id="109"/>
    </w:p>
    <w:p>
      <w:pPr>
        <w:spacing w:line="440" w:lineRule="exact"/>
        <w:ind w:firstLine="480" w:firstLineChars="200"/>
        <w:rPr>
          <w:rFonts w:ascii="仿宋" w:hAnsi="仿宋" w:eastAsia="仿宋"/>
          <w:sz w:val="24"/>
          <w:szCs w:val="24"/>
        </w:rPr>
      </w:pPr>
      <w:r>
        <w:rPr>
          <w:rFonts w:hint="eastAsia" w:ascii="仿宋" w:hAnsi="仿宋" w:eastAsia="仿宋"/>
          <w:sz w:val="24"/>
          <w:szCs w:val="24"/>
        </w:rPr>
        <w:t>投标人应当遵循公平竞争的原则，不得恶意串通，不得妨碍其他投标人的竞争行为，不得损害采购人或者其他投标人的合法权益。</w:t>
      </w:r>
    </w:p>
    <w:p>
      <w:pPr>
        <w:spacing w:line="440" w:lineRule="exact"/>
        <w:ind w:firstLine="480" w:firstLineChars="200"/>
        <w:rPr>
          <w:rFonts w:ascii="仿宋" w:hAnsi="仿宋" w:eastAsia="仿宋"/>
          <w:sz w:val="24"/>
          <w:szCs w:val="24"/>
        </w:rPr>
      </w:pPr>
      <w:bookmarkStart w:id="110" w:name="_Toc494455688"/>
      <w:r>
        <w:rPr>
          <w:rFonts w:hint="eastAsia" w:ascii="仿宋" w:hAnsi="仿宋" w:eastAsia="仿宋"/>
          <w:sz w:val="24"/>
          <w:szCs w:val="24"/>
        </w:rPr>
        <w:t>19.3对评标委员会成员的纪律要求</w:t>
      </w:r>
      <w:bookmarkEnd w:id="110"/>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评标委员会及其成员不得有下列行为：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（一）确定参与评标至评标结束前私自接触投标人；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（二）接受投标人提出的与投标文件不一致的澄清或者说明，法律规定允许澄清或说明的情形除外；</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（三）违反评标纪律发表倾向性意见或者征询采购人的倾向性意见；</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（四）对需要专业判断的主观评审因素协商评分；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（五）在评标过程中擅离职守，影响评标程序正常进行的；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（六）记录、复制或者带走任何评标资料；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（七）其他不遵守评标纪律的行为。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评标委员会成员有前款第一至五项行为之一的，其评审意见无效，并不得获取评审劳务报酬和报销异地评审差旅费。</w:t>
      </w:r>
    </w:p>
    <w:p>
      <w:pPr>
        <w:spacing w:line="440" w:lineRule="exact"/>
        <w:ind w:firstLine="480" w:firstLineChars="200"/>
        <w:rPr>
          <w:rFonts w:ascii="仿宋" w:hAnsi="仿宋" w:eastAsia="仿宋"/>
          <w:sz w:val="24"/>
          <w:szCs w:val="24"/>
        </w:rPr>
      </w:pPr>
      <w:bookmarkStart w:id="111" w:name="_Toc494455689"/>
      <w:r>
        <w:rPr>
          <w:rFonts w:hint="eastAsia" w:ascii="仿宋" w:hAnsi="仿宋" w:eastAsia="仿宋"/>
          <w:sz w:val="24"/>
          <w:szCs w:val="24"/>
        </w:rPr>
        <w:t>19.4对与评标活动有关的工作人员的纪律要求</w:t>
      </w:r>
      <w:bookmarkEnd w:id="111"/>
    </w:p>
    <w:p>
      <w:pPr>
        <w:spacing w:line="440" w:lineRule="exact"/>
        <w:ind w:firstLine="480" w:firstLineChars="200"/>
        <w:rPr>
          <w:rStyle w:val="39"/>
          <w:sz w:val="24"/>
          <w:szCs w:val="24"/>
        </w:rPr>
      </w:pPr>
      <w:r>
        <w:rPr>
          <w:rFonts w:hint="eastAsia" w:ascii="仿宋" w:hAnsi="仿宋" w:eastAsia="仿宋"/>
          <w:sz w:val="24"/>
          <w:szCs w:val="24"/>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bookmarkEnd w:id="91"/>
    <w:p>
      <w:pPr>
        <w:spacing w:line="440" w:lineRule="exact"/>
        <w:ind w:firstLine="560" w:firstLineChars="200"/>
        <w:outlineLvl w:val="2"/>
        <w:rPr>
          <w:rFonts w:ascii="楷体" w:hAnsi="楷体" w:eastAsia="楷体"/>
          <w:sz w:val="28"/>
          <w:szCs w:val="28"/>
        </w:rPr>
      </w:pPr>
      <w:bookmarkStart w:id="112" w:name="_Toc23169"/>
      <w:bookmarkStart w:id="113" w:name="_Toc28233"/>
      <w:bookmarkStart w:id="114" w:name="_Toc16617"/>
      <w:r>
        <w:rPr>
          <w:rFonts w:hint="eastAsia" w:ascii="楷体" w:hAnsi="楷体" w:eastAsia="楷体"/>
          <w:sz w:val="28"/>
          <w:szCs w:val="28"/>
        </w:rPr>
        <w:t>20.质疑</w:t>
      </w:r>
      <w:bookmarkEnd w:id="112"/>
      <w:bookmarkEnd w:id="113"/>
      <w:bookmarkEnd w:id="114"/>
    </w:p>
    <w:p>
      <w:pPr>
        <w:spacing w:line="440" w:lineRule="exact"/>
        <w:ind w:firstLine="480" w:firstLineChars="200"/>
        <w:rPr>
          <w:rFonts w:ascii="仿宋" w:hAnsi="仿宋" w:eastAsia="仿宋"/>
          <w:sz w:val="24"/>
          <w:szCs w:val="24"/>
        </w:rPr>
      </w:pPr>
      <w:r>
        <w:rPr>
          <w:rFonts w:hint="eastAsia" w:ascii="仿宋" w:hAnsi="仿宋" w:eastAsia="仿宋"/>
          <w:sz w:val="24"/>
          <w:szCs w:val="24"/>
        </w:rPr>
        <w:t>20.1参加本次政府采购活动的投标人认为招标文件、招标过程和中标结果使自己的权益受到损害的，可以在知道或者应知道其权益受到损害之日起7个工作日内，以书面形式向采购人或者采购代理机构提出质疑。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w:t>
      </w:r>
      <w:r>
        <w:rPr>
          <w:rFonts w:hint="eastAsia" w:ascii="仿宋" w:hAnsi="仿宋" w:eastAsia="仿宋"/>
          <w:sz w:val="24"/>
          <w:szCs w:val="24"/>
        </w:rPr>
        <w:t>质疑书内容应包括以下主要内容：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2.1</w:t>
      </w:r>
      <w:r>
        <w:rPr>
          <w:rFonts w:hint="eastAsia" w:ascii="仿宋" w:hAnsi="仿宋" w:eastAsia="仿宋"/>
          <w:sz w:val="24"/>
          <w:szCs w:val="24"/>
        </w:rPr>
        <w:t>质疑人的名称、地址、电话等；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2.2</w:t>
      </w:r>
      <w:r>
        <w:rPr>
          <w:rFonts w:hint="eastAsia" w:ascii="仿宋" w:hAnsi="仿宋" w:eastAsia="仿宋"/>
          <w:sz w:val="24"/>
          <w:szCs w:val="24"/>
        </w:rPr>
        <w:t>具体的质疑事项、证据以及法律、法规依据；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2.3</w:t>
      </w:r>
      <w:r>
        <w:rPr>
          <w:rFonts w:hint="eastAsia" w:ascii="仿宋" w:hAnsi="仿宋" w:eastAsia="仿宋"/>
          <w:sz w:val="24"/>
          <w:szCs w:val="24"/>
        </w:rPr>
        <w:t>提出质疑的日期。</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3</w:t>
      </w:r>
      <w:r>
        <w:rPr>
          <w:rFonts w:hint="eastAsia" w:ascii="仿宋" w:hAnsi="仿宋" w:eastAsia="仿宋"/>
          <w:sz w:val="24"/>
          <w:szCs w:val="24"/>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4</w:t>
      </w:r>
      <w:r>
        <w:rPr>
          <w:rFonts w:hint="eastAsia" w:ascii="仿宋" w:hAnsi="仿宋" w:eastAsia="仿宋"/>
          <w:sz w:val="24"/>
          <w:szCs w:val="24"/>
        </w:rPr>
        <w:t>除书面形式外，其他任何方式的质疑，采购人或者采购代理机构均不予接受和回复。</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5</w:t>
      </w:r>
      <w:r>
        <w:rPr>
          <w:rFonts w:hint="eastAsia" w:ascii="仿宋" w:hAnsi="仿宋" w:eastAsia="仿宋"/>
          <w:sz w:val="24"/>
          <w:szCs w:val="24"/>
        </w:rPr>
        <w:t>采购人或者采购代理机构在收到质疑书后7个工作日内做出书面答复，并以书面形式通知质疑人和其他有关投标人，但答复不得涉及商业秘密。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6</w:t>
      </w:r>
      <w:r>
        <w:rPr>
          <w:rFonts w:hint="eastAsia" w:ascii="仿宋" w:hAnsi="仿宋" w:eastAsia="仿宋"/>
          <w:sz w:val="24"/>
          <w:szCs w:val="24"/>
        </w:rPr>
        <w:t>质疑人对采购人、采购代理机构的答复不满意或者采购人、采购代理机构未在规定的时间内做出答复的，可以在答复期满后1</w:t>
      </w:r>
      <w:r>
        <w:rPr>
          <w:rFonts w:ascii="仿宋" w:hAnsi="仿宋" w:eastAsia="仿宋"/>
          <w:sz w:val="24"/>
          <w:szCs w:val="24"/>
        </w:rPr>
        <w:t>5</w:t>
      </w:r>
      <w:r>
        <w:rPr>
          <w:rFonts w:hint="eastAsia" w:ascii="仿宋" w:hAnsi="仿宋" w:eastAsia="仿宋"/>
          <w:sz w:val="24"/>
          <w:szCs w:val="24"/>
        </w:rPr>
        <w:t>个工作日内向同级监管部门投诉。</w:t>
      </w:r>
    </w:p>
    <w:p>
      <w:pPr>
        <w:spacing w:line="440" w:lineRule="exact"/>
        <w:ind w:firstLine="560" w:firstLineChars="200"/>
        <w:outlineLvl w:val="2"/>
        <w:rPr>
          <w:rFonts w:ascii="楷体" w:hAnsi="楷体" w:eastAsia="楷体"/>
          <w:sz w:val="28"/>
          <w:szCs w:val="28"/>
        </w:rPr>
      </w:pPr>
      <w:bookmarkStart w:id="115" w:name="_Toc32012"/>
      <w:bookmarkStart w:id="116" w:name="_Toc494455668"/>
      <w:bookmarkStart w:id="117" w:name="_Toc548"/>
      <w:bookmarkStart w:id="118" w:name="_Toc3444"/>
      <w:r>
        <w:rPr>
          <w:rFonts w:hint="eastAsia" w:ascii="楷体" w:hAnsi="楷体" w:eastAsia="楷体"/>
          <w:sz w:val="28"/>
          <w:szCs w:val="28"/>
        </w:rPr>
        <w:t>21.投诉</w:t>
      </w:r>
      <w:bookmarkEnd w:id="115"/>
      <w:bookmarkEnd w:id="116"/>
      <w:bookmarkEnd w:id="117"/>
      <w:bookmarkEnd w:id="118"/>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1</w:t>
      </w:r>
      <w:r>
        <w:rPr>
          <w:rFonts w:hint="eastAsia" w:ascii="仿宋" w:hAnsi="仿宋" w:eastAsia="仿宋"/>
          <w:sz w:val="24"/>
          <w:szCs w:val="24"/>
        </w:rPr>
        <w:t>按照《中华人民共和国政府采购法》、财政部《政府采购供应商投诉处理办法》（第</w:t>
      </w:r>
      <w:r>
        <w:rPr>
          <w:rFonts w:ascii="仿宋" w:hAnsi="仿宋" w:eastAsia="仿宋"/>
          <w:sz w:val="24"/>
          <w:szCs w:val="24"/>
        </w:rPr>
        <w:t>20</w:t>
      </w:r>
      <w:r>
        <w:rPr>
          <w:rFonts w:hint="eastAsia" w:ascii="仿宋" w:hAnsi="仿宋" w:eastAsia="仿宋"/>
          <w:sz w:val="24"/>
          <w:szCs w:val="24"/>
        </w:rPr>
        <w:t>号令）和财政部《关于加强政府采购供应商投诉受理审查工作的通知》（财库〔</w:t>
      </w:r>
      <w:r>
        <w:rPr>
          <w:rFonts w:ascii="仿宋" w:hAnsi="仿宋" w:eastAsia="仿宋"/>
          <w:sz w:val="24"/>
          <w:szCs w:val="24"/>
        </w:rPr>
        <w:t>2007</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号）文件以及相关的法律、法规及规定，质疑人对采购人、采购代理机构的答复不满意或者采购人、采购代理机构未在规定的时间内做出答复的，可以在答复期满后1</w:t>
      </w:r>
      <w:r>
        <w:rPr>
          <w:rFonts w:ascii="仿宋" w:hAnsi="仿宋" w:eastAsia="仿宋"/>
          <w:sz w:val="24"/>
          <w:szCs w:val="24"/>
        </w:rPr>
        <w:t>5</w:t>
      </w:r>
      <w:r>
        <w:rPr>
          <w:rFonts w:hint="eastAsia" w:ascii="仿宋" w:hAnsi="仿宋" w:eastAsia="仿宋"/>
          <w:sz w:val="24"/>
          <w:szCs w:val="24"/>
        </w:rPr>
        <w:t>个工作日内向同级监管部门投诉。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w:t>
      </w:r>
      <w:r>
        <w:rPr>
          <w:rFonts w:hint="eastAsia" w:ascii="仿宋" w:hAnsi="仿宋" w:eastAsia="仿宋"/>
          <w:sz w:val="24"/>
          <w:szCs w:val="24"/>
        </w:rPr>
        <w:t>投诉人提起投诉应符合下列条件：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2.1</w:t>
      </w:r>
      <w:r>
        <w:rPr>
          <w:rFonts w:hint="eastAsia" w:ascii="仿宋" w:hAnsi="仿宋" w:eastAsia="仿宋"/>
          <w:sz w:val="24"/>
          <w:szCs w:val="24"/>
        </w:rPr>
        <w:t>投诉人是参与所投诉政府采购活动的投标人；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2.2</w:t>
      </w:r>
      <w:r>
        <w:rPr>
          <w:rFonts w:hint="eastAsia" w:ascii="仿宋" w:hAnsi="仿宋" w:eastAsia="仿宋"/>
          <w:sz w:val="24"/>
          <w:szCs w:val="24"/>
        </w:rPr>
        <w:t>提起投诉前已依法进行质疑；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2.3</w:t>
      </w:r>
      <w:r>
        <w:rPr>
          <w:rFonts w:hint="eastAsia" w:ascii="仿宋" w:hAnsi="仿宋" w:eastAsia="仿宋"/>
          <w:sz w:val="24"/>
          <w:szCs w:val="24"/>
        </w:rPr>
        <w:t>投诉书内容符合财政部《政府采购投标人投诉处理办法》（第</w:t>
      </w:r>
      <w:r>
        <w:rPr>
          <w:rFonts w:ascii="仿宋" w:hAnsi="仿宋" w:eastAsia="仿宋"/>
          <w:sz w:val="24"/>
          <w:szCs w:val="24"/>
        </w:rPr>
        <w:t>20</w:t>
      </w:r>
      <w:r>
        <w:rPr>
          <w:rFonts w:hint="eastAsia" w:ascii="仿宋" w:hAnsi="仿宋" w:eastAsia="仿宋"/>
          <w:sz w:val="24"/>
          <w:szCs w:val="24"/>
        </w:rPr>
        <w:t>号令）规定；</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2.4</w:t>
      </w:r>
      <w:r>
        <w:rPr>
          <w:rFonts w:hint="eastAsia" w:ascii="仿宋" w:hAnsi="仿宋" w:eastAsia="仿宋"/>
          <w:sz w:val="24"/>
          <w:szCs w:val="24"/>
        </w:rPr>
        <w:t>在投诉有效期限内提起投诉；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2.5</w:t>
      </w:r>
      <w:r>
        <w:rPr>
          <w:rFonts w:hint="eastAsia" w:ascii="仿宋" w:hAnsi="仿宋" w:eastAsia="仿宋"/>
          <w:sz w:val="24"/>
          <w:szCs w:val="24"/>
        </w:rPr>
        <w:t>属于本财政部门管辖；</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2.6</w:t>
      </w:r>
      <w:r>
        <w:rPr>
          <w:rFonts w:hint="eastAsia" w:ascii="仿宋" w:hAnsi="仿宋" w:eastAsia="仿宋"/>
          <w:sz w:val="24"/>
          <w:szCs w:val="24"/>
        </w:rPr>
        <w:t>同一投诉事项未经财政部门投诉处理；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2.7</w:t>
      </w:r>
      <w:r>
        <w:rPr>
          <w:rFonts w:hint="eastAsia" w:ascii="仿宋" w:hAnsi="仿宋" w:eastAsia="仿宋"/>
          <w:sz w:val="24"/>
          <w:szCs w:val="24"/>
        </w:rPr>
        <w:t>法律法规规定的其他条件。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3</w:t>
      </w:r>
      <w:r>
        <w:rPr>
          <w:rFonts w:hint="eastAsia" w:ascii="仿宋" w:hAnsi="仿宋" w:eastAsia="仿宋"/>
          <w:sz w:val="24"/>
          <w:szCs w:val="24"/>
        </w:rPr>
        <w:t>投诉人投诉时，应当提交投诉书，并按照被投诉采购人、采购代理机构和与投诉事项有关的投标人数量提供投诉书的副本。</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w:t>
      </w:r>
      <w:r>
        <w:rPr>
          <w:rFonts w:hint="eastAsia" w:ascii="仿宋" w:hAnsi="仿宋" w:eastAsia="仿宋"/>
          <w:sz w:val="24"/>
          <w:szCs w:val="24"/>
        </w:rPr>
        <w:t>投诉书应当包括以下主要内容：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4.1</w:t>
      </w:r>
      <w:r>
        <w:rPr>
          <w:rFonts w:hint="eastAsia" w:ascii="仿宋" w:hAnsi="仿宋" w:eastAsia="仿宋"/>
          <w:sz w:val="24"/>
          <w:szCs w:val="24"/>
        </w:rPr>
        <w:t>投诉人和被投诉人的名称、地址、电话等；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4.2</w:t>
      </w:r>
      <w:r>
        <w:rPr>
          <w:rFonts w:hint="eastAsia" w:ascii="仿宋" w:hAnsi="仿宋" w:eastAsia="仿宋"/>
          <w:sz w:val="24"/>
          <w:szCs w:val="24"/>
        </w:rPr>
        <w:t>具体的投诉事宜以及事实依据；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4.3</w:t>
      </w:r>
      <w:r>
        <w:rPr>
          <w:rFonts w:hint="eastAsia" w:ascii="仿宋" w:hAnsi="仿宋" w:eastAsia="仿宋"/>
          <w:sz w:val="24"/>
          <w:szCs w:val="24"/>
        </w:rPr>
        <w:t>质疑书和质疑答复情况以及相关证明材料；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4.4</w:t>
      </w:r>
      <w:r>
        <w:rPr>
          <w:rFonts w:hint="eastAsia" w:ascii="仿宋" w:hAnsi="仿宋" w:eastAsia="仿宋"/>
          <w:sz w:val="24"/>
          <w:szCs w:val="24"/>
        </w:rPr>
        <w:t>提起投诉的日期。</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5</w:t>
      </w:r>
      <w:r>
        <w:rPr>
          <w:rFonts w:hint="eastAsia" w:ascii="仿宋" w:hAnsi="仿宋" w:eastAsia="仿宋"/>
          <w:sz w:val="24"/>
          <w:szCs w:val="24"/>
        </w:rPr>
        <w:t>投诉书应当署名。投诉人为自然人的，应当由本人签字；投诉人为法人或者其他组织的，应当由法定代表人或者主要负责人签字盖章并加盖公章。</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6</w:t>
      </w:r>
      <w:r>
        <w:rPr>
          <w:rFonts w:hint="eastAsia" w:ascii="仿宋" w:hAnsi="仿宋" w:eastAsia="仿宋"/>
          <w:sz w:val="24"/>
          <w:szCs w:val="24"/>
        </w:rPr>
        <w:t>投诉人可以委托代理人办理投诉事务。代理人办理投诉事务时，除提交投诉书外，还应当向同级监管部门提交投诉人的授权委托书，授权委托书应当载明委托代理的具体权限和事项。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7</w:t>
      </w:r>
      <w:r>
        <w:rPr>
          <w:rFonts w:hint="eastAsia" w:ascii="仿宋" w:hAnsi="仿宋" w:eastAsia="仿宋"/>
          <w:sz w:val="24"/>
          <w:szCs w:val="24"/>
        </w:rPr>
        <w:t>投诉人不符合上述规定提起的投诉，监管部门不予受理。</w:t>
      </w:r>
    </w:p>
    <w:p>
      <w:pPr>
        <w:spacing w:line="440" w:lineRule="exact"/>
        <w:ind w:firstLine="560" w:firstLineChars="200"/>
        <w:outlineLvl w:val="2"/>
        <w:rPr>
          <w:rFonts w:ascii="楷体" w:hAnsi="楷体" w:eastAsia="楷体"/>
          <w:sz w:val="28"/>
          <w:szCs w:val="28"/>
        </w:rPr>
      </w:pPr>
      <w:bookmarkStart w:id="119" w:name="_Toc8491"/>
      <w:bookmarkStart w:id="120" w:name="_Toc3474"/>
      <w:bookmarkStart w:id="121" w:name="_Toc14605"/>
      <w:bookmarkStart w:id="122" w:name="_Toc494455669"/>
      <w:r>
        <w:rPr>
          <w:rFonts w:ascii="楷体" w:hAnsi="楷体" w:eastAsia="楷体"/>
          <w:sz w:val="28"/>
          <w:szCs w:val="28"/>
        </w:rPr>
        <w:t>2</w:t>
      </w:r>
      <w:r>
        <w:rPr>
          <w:rFonts w:hint="eastAsia" w:ascii="楷体" w:hAnsi="楷体" w:eastAsia="楷体"/>
          <w:sz w:val="28"/>
          <w:szCs w:val="28"/>
        </w:rPr>
        <w:t>2.其他需补充的内容</w:t>
      </w:r>
      <w:bookmarkEnd w:id="119"/>
      <w:bookmarkEnd w:id="120"/>
      <w:bookmarkEnd w:id="121"/>
      <w:bookmarkEnd w:id="122"/>
    </w:p>
    <w:p>
      <w:pPr>
        <w:spacing w:line="440" w:lineRule="exact"/>
        <w:ind w:firstLine="560" w:firstLineChars="200"/>
        <w:outlineLvl w:val="2"/>
        <w:rPr>
          <w:rFonts w:hint="eastAsia" w:ascii="楷体" w:hAnsi="楷体" w:eastAsia="楷体"/>
          <w:sz w:val="28"/>
          <w:szCs w:val="28"/>
        </w:rPr>
      </w:pPr>
      <w:bookmarkStart w:id="123" w:name="_Toc75410114"/>
      <w:bookmarkStart w:id="124" w:name="_Toc34735250"/>
      <w:bookmarkStart w:id="125" w:name="_Toc41102981"/>
      <w:bookmarkStart w:id="126" w:name="_Toc41287898"/>
      <w:bookmarkStart w:id="127" w:name="_Toc35662900"/>
      <w:bookmarkStart w:id="128" w:name="_Toc11833"/>
      <w:bookmarkStart w:id="129" w:name="_Toc41103223"/>
      <w:bookmarkStart w:id="130" w:name="_Toc34732915"/>
      <w:bookmarkStart w:id="131" w:name="_Toc34708564"/>
      <w:bookmarkStart w:id="132" w:name="_Toc34734808"/>
      <w:bookmarkStart w:id="133" w:name="_Toc18775"/>
      <w:bookmarkStart w:id="134" w:name="_Toc33510794"/>
      <w:bookmarkStart w:id="135" w:name="_Toc3714"/>
      <w:bookmarkStart w:id="136" w:name="_Toc12346"/>
      <w:bookmarkStart w:id="137" w:name="_Toc290746885"/>
      <w:bookmarkStart w:id="138" w:name="_Toc33679405"/>
      <w:r>
        <w:rPr>
          <w:rFonts w:hint="eastAsia" w:ascii="楷体" w:hAnsi="楷体" w:eastAsia="楷体"/>
          <w:sz w:val="28"/>
          <w:szCs w:val="28"/>
          <w:lang w:val="en-US" w:eastAsia="zh-CN"/>
        </w:rPr>
        <w:t>22.1</w:t>
      </w:r>
      <w:r>
        <w:rPr>
          <w:rFonts w:hint="eastAsia" w:ascii="楷体" w:hAnsi="楷体" w:eastAsia="楷体"/>
          <w:sz w:val="28"/>
          <w:szCs w:val="28"/>
        </w:rPr>
        <w:t>投标人的商务文件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w:t>
      </w:r>
      <w:r>
        <w:rPr>
          <w:rFonts w:hint="eastAsia" w:ascii="仿宋" w:hAnsi="仿宋" w:eastAsia="仿宋"/>
          <w:sz w:val="24"/>
          <w:szCs w:val="24"/>
        </w:rPr>
        <w:t>1投标人的法人资格证明书。</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w:t>
      </w:r>
      <w:r>
        <w:rPr>
          <w:rFonts w:hint="eastAsia" w:ascii="仿宋" w:hAnsi="仿宋" w:eastAsia="仿宋"/>
          <w:sz w:val="24"/>
          <w:szCs w:val="24"/>
        </w:rPr>
        <w:t>2投标人的法人授权委托书，受委托人的身份证复印件。</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22.1.3</w:t>
      </w:r>
      <w:r>
        <w:rPr>
          <w:rFonts w:hint="eastAsia" w:ascii="仿宋" w:hAnsi="仿宋" w:eastAsia="仿宋"/>
          <w:sz w:val="24"/>
          <w:szCs w:val="24"/>
        </w:rPr>
        <w:t>投标人各种证件复印件，包括营业执照复印件（加盖单位公章，并注明与原件一致）。</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22.1.4</w:t>
      </w:r>
      <w:r>
        <w:rPr>
          <w:rFonts w:hint="eastAsia" w:ascii="仿宋" w:hAnsi="仿宋" w:eastAsia="仿宋"/>
          <w:sz w:val="24"/>
          <w:szCs w:val="24"/>
        </w:rPr>
        <w:t>售后服务、</w:t>
      </w:r>
      <w:r>
        <w:rPr>
          <w:rFonts w:hint="eastAsia" w:ascii="仿宋" w:hAnsi="仿宋" w:eastAsia="仿宋"/>
          <w:sz w:val="24"/>
          <w:szCs w:val="24"/>
          <w:lang w:val="en-US" w:eastAsia="zh-CN"/>
        </w:rPr>
        <w:t>质量保证</w:t>
      </w:r>
      <w:r>
        <w:rPr>
          <w:rFonts w:hint="eastAsia" w:ascii="仿宋" w:hAnsi="仿宋" w:eastAsia="仿宋"/>
          <w:sz w:val="24"/>
          <w:szCs w:val="24"/>
        </w:rPr>
        <w:t>等承诺。</w:t>
      </w:r>
    </w:p>
    <w:p>
      <w:pPr>
        <w:spacing w:line="440" w:lineRule="exact"/>
        <w:ind w:firstLine="480" w:firstLineChars="200"/>
        <w:rPr>
          <w:rFonts w:hint="eastAsia" w:ascii="仿宋" w:hAnsi="仿宋" w:eastAsia="仿宋"/>
          <w:sz w:val="24"/>
          <w:szCs w:val="24"/>
        </w:rPr>
      </w:pPr>
      <w:bookmarkStart w:id="139" w:name="_Toc34734809"/>
      <w:bookmarkStart w:id="140" w:name="_Toc34735251"/>
      <w:bookmarkStart w:id="141" w:name="_Toc33679406"/>
      <w:bookmarkStart w:id="142" w:name="_Toc35662901"/>
      <w:bookmarkStart w:id="143" w:name="_Toc33510795"/>
      <w:bookmarkStart w:id="144" w:name="_Toc34732916"/>
      <w:bookmarkStart w:id="145" w:name="_Toc34708565"/>
      <w:r>
        <w:rPr>
          <w:rFonts w:hint="eastAsia" w:ascii="仿宋" w:hAnsi="仿宋" w:eastAsia="仿宋"/>
          <w:sz w:val="24"/>
          <w:szCs w:val="24"/>
          <w:lang w:val="en-US" w:eastAsia="zh-CN"/>
        </w:rPr>
        <w:t>22.1.5</w:t>
      </w:r>
      <w:r>
        <w:rPr>
          <w:rFonts w:hint="eastAsia" w:ascii="仿宋" w:hAnsi="仿宋" w:eastAsia="仿宋"/>
          <w:sz w:val="24"/>
          <w:szCs w:val="24"/>
        </w:rPr>
        <w:t>商务差异情况。</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22.1.6</w:t>
      </w:r>
      <w:r>
        <w:rPr>
          <w:rFonts w:hint="eastAsia" w:ascii="仿宋" w:hAnsi="仿宋" w:eastAsia="仿宋"/>
          <w:sz w:val="24"/>
          <w:szCs w:val="24"/>
        </w:rPr>
        <w:t>对合同条款的响应情况。</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22.1.7</w:t>
      </w:r>
      <w:r>
        <w:rPr>
          <w:rFonts w:hint="eastAsia" w:ascii="仿宋" w:hAnsi="仿宋" w:eastAsia="仿宋"/>
          <w:sz w:val="24"/>
          <w:szCs w:val="24"/>
        </w:rPr>
        <w:t>投标人提供的投标保证金。</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22.1.8</w:t>
      </w:r>
      <w:r>
        <w:rPr>
          <w:rFonts w:hint="eastAsia" w:ascii="仿宋" w:hAnsi="仿宋" w:eastAsia="仿宋"/>
          <w:sz w:val="24"/>
          <w:szCs w:val="24"/>
        </w:rPr>
        <w:t>投标提供产品的有关资料：供货名称规格；产品种类、标号；数量（附明细表）。</w:t>
      </w:r>
    </w:p>
    <w:p>
      <w:pPr>
        <w:spacing w:line="440" w:lineRule="exact"/>
        <w:ind w:firstLine="560" w:firstLineChars="200"/>
        <w:outlineLvl w:val="2"/>
        <w:rPr>
          <w:rFonts w:hint="eastAsia" w:ascii="楷体" w:hAnsi="楷体" w:eastAsia="楷体"/>
          <w:sz w:val="28"/>
          <w:szCs w:val="28"/>
          <w:lang w:val="en-US" w:eastAsia="zh-CN"/>
        </w:rPr>
      </w:pPr>
      <w:bookmarkStart w:id="146" w:name="_Toc41102982"/>
      <w:bookmarkStart w:id="147" w:name="_Toc21893"/>
      <w:bookmarkStart w:id="148" w:name="_Toc75410115"/>
      <w:bookmarkStart w:id="149" w:name="_Toc41103224"/>
      <w:bookmarkStart w:id="150" w:name="_Toc5142"/>
      <w:bookmarkStart w:id="151" w:name="_Toc290746886"/>
      <w:bookmarkStart w:id="152" w:name="_Toc41287899"/>
      <w:bookmarkStart w:id="153" w:name="_Toc29111"/>
      <w:bookmarkStart w:id="154" w:name="_Toc10927"/>
      <w:r>
        <w:rPr>
          <w:rFonts w:hint="eastAsia" w:ascii="楷体" w:hAnsi="楷体" w:eastAsia="楷体"/>
          <w:sz w:val="28"/>
          <w:szCs w:val="28"/>
          <w:lang w:val="en-US" w:eastAsia="zh-CN"/>
        </w:rPr>
        <w:t>22.2投标人的技术文件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spacing w:line="440" w:lineRule="exact"/>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22.2.1投标人须按招标文件中“技术规范”的要求提交证明其拟供工程、货物和服务符合招标文件规定的技术文件（可以是文字资料、图纸和数据等）。</w:t>
      </w:r>
    </w:p>
    <w:p>
      <w:pPr>
        <w:spacing w:line="440" w:lineRule="exact"/>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22.2.2投标人须严格按 “技术规范”中所指出材料和设备的标准编制技术文件，可以提出替代标准，但该替代应相当于或优于招标文件“技术规范”中的规定。</w:t>
      </w:r>
    </w:p>
    <w:p>
      <w:pPr>
        <w:spacing w:line="440" w:lineRule="exact"/>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22.2.3投标人应提交各种实验报告、鉴定报告复印件，产品的样本说明书等技术资料，获奖产品的证明复印件，作为其技术文件的附件。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ascii="黑体" w:hAnsi="黑体" w:eastAsia="黑体"/>
          <w:sz w:val="32"/>
          <w:szCs w:val="32"/>
        </w:rPr>
      </w:pPr>
      <w:bookmarkStart w:id="155" w:name="_Toc49445591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pStyle w:val="4"/>
        <w:rPr>
          <w:rFonts w:ascii="黑体" w:hAnsi="黑体" w:eastAsia="黑体"/>
          <w:sz w:val="32"/>
          <w:szCs w:val="32"/>
        </w:rPr>
      </w:pPr>
    </w:p>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楷体" w:hAnsi="楷体" w:eastAsia="楷体"/>
          <w:b w:val="0"/>
          <w:bCs w:val="0"/>
          <w:sz w:val="36"/>
          <w:szCs w:val="36"/>
        </w:rPr>
      </w:pPr>
      <w:r>
        <w:rPr>
          <w:rFonts w:ascii="黑体" w:hAnsi="黑体" w:eastAsia="黑体"/>
          <w:sz w:val="32"/>
          <w:szCs w:val="32"/>
        </w:rPr>
        <w:t>第</w:t>
      </w:r>
      <w:r>
        <w:rPr>
          <w:rFonts w:hint="eastAsia" w:ascii="黑体" w:hAnsi="黑体" w:eastAsia="黑体"/>
          <w:sz w:val="32"/>
          <w:szCs w:val="32"/>
        </w:rPr>
        <w:t>三</w:t>
      </w:r>
      <w:r>
        <w:rPr>
          <w:rFonts w:ascii="黑体" w:hAnsi="黑体" w:eastAsia="黑体"/>
          <w:sz w:val="32"/>
          <w:szCs w:val="32"/>
        </w:rPr>
        <w:t>章</w:t>
      </w:r>
      <w:r>
        <w:rPr>
          <w:rFonts w:hint="eastAsia" w:ascii="黑体" w:hAnsi="黑体" w:eastAsia="黑体"/>
          <w:sz w:val="32"/>
          <w:szCs w:val="32"/>
        </w:rPr>
        <w:t xml:space="preserve">  采购需求</w:t>
      </w:r>
      <w:bookmarkEnd w:id="155"/>
      <w:bookmarkStart w:id="156" w:name="_Toc9977"/>
      <w:bookmarkStart w:id="157" w:name="_Toc24669"/>
      <w:bookmarkStart w:id="158" w:name="_Toc8637"/>
    </w:p>
    <w:p>
      <w:pPr>
        <w:spacing w:afterLines="50" w:line="400" w:lineRule="exact"/>
        <w:jc w:val="center"/>
        <w:outlineLvl w:val="2"/>
        <w:rPr>
          <w:rFonts w:hint="eastAsia" w:ascii="楷体" w:hAnsi="楷体" w:eastAsia="楷体"/>
          <w:sz w:val="28"/>
          <w:szCs w:val="28"/>
          <w:lang w:eastAsia="zh-CN"/>
        </w:rPr>
      </w:pPr>
      <w:bookmarkStart w:id="159" w:name="_Toc24588"/>
      <w:bookmarkStart w:id="160" w:name="_Toc494455913"/>
      <w:bookmarkStart w:id="161" w:name="_Toc1034"/>
      <w:bookmarkStart w:id="162" w:name="_Toc12535"/>
      <w:r>
        <w:rPr>
          <w:rFonts w:hint="eastAsia" w:ascii="楷体" w:hAnsi="楷体" w:eastAsia="楷体"/>
          <w:sz w:val="28"/>
          <w:szCs w:val="28"/>
          <w:lang w:eastAsia="zh-CN"/>
        </w:rPr>
        <w:t>（</w:t>
      </w:r>
      <w:r>
        <w:rPr>
          <w:rFonts w:hint="eastAsia" w:ascii="楷体" w:hAnsi="楷体" w:eastAsia="楷体"/>
          <w:sz w:val="28"/>
          <w:szCs w:val="28"/>
          <w:lang w:val="en-US" w:eastAsia="zh-CN"/>
        </w:rPr>
        <w:t>清单另卷</w:t>
      </w:r>
      <w:r>
        <w:rPr>
          <w:rFonts w:hint="eastAsia" w:ascii="楷体" w:hAnsi="楷体" w:eastAsia="楷体"/>
          <w:sz w:val="28"/>
          <w:szCs w:val="28"/>
          <w:lang w:eastAsia="zh-CN"/>
        </w:rPr>
        <w:t>）</w:t>
      </w:r>
      <w:bookmarkEnd w:id="159"/>
    </w:p>
    <w:bookmarkEnd w:id="156"/>
    <w:bookmarkEnd w:id="157"/>
    <w:bookmarkEnd w:id="158"/>
    <w:bookmarkEnd w:id="160"/>
    <w:bookmarkEnd w:id="161"/>
    <w:bookmarkEnd w:id="162"/>
    <w:p>
      <w:pPr>
        <w:jc w:val="both"/>
        <w:rPr>
          <w:rFonts w:hint="eastAsia" w:ascii="黑体" w:hAnsi="黑体" w:eastAsia="黑体"/>
          <w:sz w:val="22"/>
          <w:szCs w:val="22"/>
          <w:highlight w:val="none"/>
        </w:rPr>
      </w:pPr>
      <w:bookmarkStart w:id="163" w:name="_Toc494455690"/>
    </w:p>
    <w:p>
      <w:pPr>
        <w:jc w:val="center"/>
        <w:rPr>
          <w:rFonts w:hint="eastAsia" w:ascii="黑体" w:hAnsi="黑体" w:eastAsia="黑体"/>
          <w:sz w:val="22"/>
          <w:szCs w:val="22"/>
          <w:highlight w:val="none"/>
        </w:rPr>
      </w:pPr>
    </w:p>
    <w:p>
      <w:pPr>
        <w:pStyle w:val="4"/>
        <w:rPr>
          <w:rFonts w:hint="eastAsia" w:ascii="黑体" w:hAnsi="黑体" w:eastAsia="黑体"/>
          <w:sz w:val="22"/>
          <w:szCs w:val="22"/>
          <w:highlight w:val="none"/>
        </w:rPr>
      </w:pPr>
    </w:p>
    <w:p>
      <w:pPr>
        <w:rPr>
          <w:rFonts w:hint="eastAsia" w:ascii="黑体" w:hAnsi="黑体" w:eastAsia="黑体"/>
          <w:sz w:val="22"/>
          <w:szCs w:val="22"/>
          <w:highlight w:val="none"/>
        </w:rPr>
      </w:pPr>
    </w:p>
    <w:p>
      <w:pPr>
        <w:pStyle w:val="4"/>
        <w:rPr>
          <w:rFonts w:hint="eastAsia" w:ascii="黑体" w:hAnsi="黑体" w:eastAsia="黑体"/>
          <w:sz w:val="22"/>
          <w:szCs w:val="22"/>
          <w:highlight w:val="none"/>
        </w:rPr>
      </w:pPr>
    </w:p>
    <w:p>
      <w:pPr>
        <w:rPr>
          <w:rFonts w:hint="eastAsia" w:ascii="黑体" w:hAnsi="黑体" w:eastAsia="黑体"/>
          <w:sz w:val="22"/>
          <w:szCs w:val="22"/>
          <w:highlight w:val="none"/>
        </w:rPr>
      </w:pPr>
    </w:p>
    <w:p>
      <w:pPr>
        <w:pStyle w:val="4"/>
        <w:rPr>
          <w:rFonts w:hint="eastAsia" w:ascii="黑体" w:hAnsi="黑体" w:eastAsia="黑体"/>
          <w:sz w:val="22"/>
          <w:szCs w:val="22"/>
          <w:highlight w:val="none"/>
        </w:rPr>
      </w:pPr>
    </w:p>
    <w:p>
      <w:pPr>
        <w:rPr>
          <w:rFonts w:hint="eastAsia" w:ascii="黑体" w:hAnsi="黑体" w:eastAsia="黑体"/>
          <w:sz w:val="22"/>
          <w:szCs w:val="22"/>
          <w:highlight w:val="none"/>
        </w:rPr>
      </w:pPr>
    </w:p>
    <w:p>
      <w:pPr>
        <w:pStyle w:val="4"/>
        <w:rPr>
          <w:rFonts w:hint="eastAsia" w:ascii="黑体" w:hAnsi="黑体" w:eastAsia="黑体"/>
          <w:sz w:val="22"/>
          <w:szCs w:val="22"/>
          <w:highlight w:val="none"/>
        </w:rPr>
      </w:pPr>
    </w:p>
    <w:p>
      <w:pPr>
        <w:rPr>
          <w:rFonts w:hint="eastAsia" w:ascii="黑体" w:hAnsi="黑体" w:eastAsia="黑体"/>
          <w:sz w:val="22"/>
          <w:szCs w:val="22"/>
          <w:highlight w:val="none"/>
        </w:rPr>
      </w:pPr>
    </w:p>
    <w:p>
      <w:pPr>
        <w:pStyle w:val="4"/>
        <w:rPr>
          <w:rFonts w:hint="eastAsia" w:ascii="黑体" w:hAnsi="黑体" w:eastAsia="黑体"/>
          <w:sz w:val="22"/>
          <w:szCs w:val="22"/>
          <w:highlight w:val="none"/>
        </w:rPr>
      </w:pPr>
    </w:p>
    <w:p>
      <w:pPr>
        <w:rPr>
          <w:rFonts w:hint="eastAsia" w:ascii="黑体" w:hAnsi="黑体" w:eastAsia="黑体"/>
          <w:sz w:val="22"/>
          <w:szCs w:val="22"/>
          <w:highlight w:val="none"/>
        </w:rPr>
      </w:pPr>
    </w:p>
    <w:p>
      <w:pPr>
        <w:pStyle w:val="4"/>
        <w:rPr>
          <w:rFonts w:hint="eastAsia" w:ascii="黑体" w:hAnsi="黑体" w:eastAsia="黑体"/>
          <w:sz w:val="22"/>
          <w:szCs w:val="22"/>
          <w:highlight w:val="none"/>
        </w:rPr>
      </w:pPr>
    </w:p>
    <w:p>
      <w:pPr>
        <w:rPr>
          <w:rFonts w:hint="eastAsia" w:ascii="黑体" w:hAnsi="黑体" w:eastAsia="黑体"/>
          <w:sz w:val="22"/>
          <w:szCs w:val="22"/>
          <w:highlight w:val="none"/>
        </w:rPr>
      </w:pPr>
    </w:p>
    <w:p>
      <w:pPr>
        <w:pStyle w:val="4"/>
        <w:rPr>
          <w:rFonts w:hint="eastAsia" w:ascii="黑体" w:hAnsi="黑体" w:eastAsia="黑体"/>
          <w:sz w:val="22"/>
          <w:szCs w:val="22"/>
          <w:highlight w:val="none"/>
        </w:rPr>
      </w:pPr>
    </w:p>
    <w:p>
      <w:pPr>
        <w:rPr>
          <w:rFonts w:hint="eastAsia" w:ascii="黑体" w:hAnsi="黑体" w:eastAsia="黑体"/>
          <w:sz w:val="22"/>
          <w:szCs w:val="22"/>
          <w:highlight w:val="none"/>
        </w:rPr>
      </w:pPr>
    </w:p>
    <w:p>
      <w:pPr>
        <w:pStyle w:val="4"/>
        <w:rPr>
          <w:rFonts w:hint="eastAsia" w:ascii="黑体" w:hAnsi="黑体" w:eastAsia="黑体"/>
          <w:sz w:val="22"/>
          <w:szCs w:val="22"/>
          <w:highlight w:val="none"/>
        </w:rPr>
      </w:pPr>
    </w:p>
    <w:p>
      <w:pPr>
        <w:rPr>
          <w:rFonts w:hint="eastAsia" w:ascii="黑体" w:hAnsi="黑体" w:eastAsia="黑体"/>
          <w:sz w:val="22"/>
          <w:szCs w:val="22"/>
          <w:highlight w:val="none"/>
        </w:rPr>
      </w:pPr>
    </w:p>
    <w:p>
      <w:pPr>
        <w:pStyle w:val="4"/>
        <w:rPr>
          <w:rFonts w:hint="eastAsia"/>
        </w:rPr>
      </w:pPr>
    </w:p>
    <w:p>
      <w:pPr>
        <w:jc w:val="center"/>
        <w:rPr>
          <w:rFonts w:hint="eastAsia" w:ascii="黑体" w:hAnsi="黑体" w:eastAsia="黑体"/>
          <w:sz w:val="22"/>
          <w:szCs w:val="22"/>
          <w:highlight w:val="none"/>
        </w:rPr>
      </w:pPr>
    </w:p>
    <w:p>
      <w:pPr>
        <w:jc w:val="center"/>
        <w:rPr>
          <w:rFonts w:hint="default" w:ascii="黑体" w:hAnsi="黑体" w:eastAsia="黑体"/>
          <w:sz w:val="22"/>
          <w:szCs w:val="22"/>
          <w:highlight w:val="none"/>
          <w:lang w:val="en-US" w:eastAsia="zh-CN"/>
        </w:rPr>
      </w:pPr>
      <w:r>
        <w:rPr>
          <w:rFonts w:hint="eastAsia" w:ascii="黑体" w:hAnsi="黑体" w:eastAsia="黑体" w:cs="Times New Roman"/>
          <w:sz w:val="32"/>
          <w:szCs w:val="32"/>
          <w:lang w:val="en-US" w:eastAsia="zh-CN"/>
        </w:rPr>
        <w:t>第四章 评标办法</w:t>
      </w:r>
    </w:p>
    <w:p>
      <w:pPr>
        <w:spacing w:afterLines="50" w:line="400" w:lineRule="exact"/>
        <w:ind w:firstLine="480" w:firstLineChars="200"/>
        <w:outlineLvl w:val="2"/>
        <w:rPr>
          <w:rFonts w:hint="eastAsia" w:ascii="仿宋" w:hAnsi="仿宋" w:eastAsia="仿宋" w:cs="仿宋"/>
          <w:sz w:val="24"/>
          <w:szCs w:val="24"/>
          <w:highlight w:val="none"/>
        </w:rPr>
      </w:pPr>
      <w:bookmarkStart w:id="164" w:name="_Toc494455917"/>
      <w:bookmarkStart w:id="165" w:name="_Toc22811"/>
      <w:bookmarkStart w:id="166" w:name="_Toc10928"/>
      <w:bookmarkStart w:id="167" w:name="_Toc31066"/>
      <w:bookmarkStart w:id="168" w:name="_Toc24667"/>
      <w:bookmarkStart w:id="169" w:name="_Toc10813"/>
      <w:bookmarkStart w:id="170" w:name="_Toc15783"/>
      <w:r>
        <w:rPr>
          <w:rFonts w:hint="eastAsia" w:ascii="仿宋" w:hAnsi="仿宋" w:eastAsia="仿宋" w:cs="仿宋"/>
          <w:sz w:val="24"/>
          <w:szCs w:val="24"/>
          <w:highlight w:val="none"/>
        </w:rPr>
        <w:t>1.相关要求</w:t>
      </w:r>
      <w:bookmarkEnd w:id="164"/>
      <w:bookmarkEnd w:id="165"/>
      <w:bookmarkEnd w:id="166"/>
      <w:bookmarkEnd w:id="167"/>
      <w:bookmarkEnd w:id="168"/>
      <w:bookmarkEnd w:id="169"/>
      <w:bookmarkEnd w:id="170"/>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1.1当投标人未提供符合招标文件规定的技术支持资料时，其技术部分得0分。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1.2技术汇总得分的计算方法：评标委员会成员技术评分的算术平均值。</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1.3当投标人所投设备功能与招标文件要求相同，但其表述不同时不扣分。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1.4“同类项目”是指投标人已经完成的与本次采购要求相同或者类同的</w:t>
      </w:r>
      <w:r>
        <w:rPr>
          <w:rFonts w:hint="eastAsia" w:ascii="仿宋" w:hAnsi="仿宋" w:eastAsia="仿宋" w:cs="仿宋"/>
          <w:sz w:val="24"/>
          <w:szCs w:val="24"/>
          <w:highlight w:val="none"/>
          <w:lang w:eastAsia="zh-CN"/>
        </w:rPr>
        <w:t>工程、</w:t>
      </w:r>
      <w:r>
        <w:rPr>
          <w:rFonts w:hint="eastAsia" w:ascii="仿宋" w:hAnsi="仿宋" w:eastAsia="仿宋" w:cs="仿宋"/>
          <w:sz w:val="24"/>
          <w:szCs w:val="24"/>
          <w:highlight w:val="none"/>
        </w:rPr>
        <w:t>货物，并且签订合同一方必须是投标人</w:t>
      </w:r>
      <w:r>
        <w:rPr>
          <w:rFonts w:hint="eastAsia" w:ascii="仿宋" w:hAnsi="仿宋" w:eastAsia="仿宋" w:cs="仿宋"/>
          <w:sz w:val="24"/>
          <w:szCs w:val="24"/>
          <w:highlight w:val="none"/>
          <w:lang w:eastAsia="zh-CN"/>
        </w:rPr>
        <w:t>。</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1.5执行国家统一定价标准和采用固定价格采购的项目，其价格不列为评审因素。</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1.6中型、小型、微型企业应当同时符合以下条件：</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1.6.1依据《关于印发&lt;统计上大中小微型企业划分办法(2017)&gt;的通知》规定，中型、小型和微型企业投标的须提供《中小企业声明函》原件并对声明函的真实性负责；</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1.6.2按照《关于印发&lt;统计上大中小微型企业划分办法(2017)&gt;的通知》规定，投标人应符合中小企业划分标准；所称中小企业划分标准，是指国务院有关部门根据企业从业人员、营业收入、资产总额等指标制定的中小企业划型标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1.6.3提供本企业制造的货物、承担的工程或者服务，或者提供其他中小企业制造的货物。本项所称货物不包括使用大型企业注册商标的货物。</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1.7小型、微型企业提供中型企业制造的货物的，视同为中型企业。</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1.8小型和微型企业提供的货物中含有中型及以上企业的产品或者大中型企业提供货物中含有小型、微型企业产品的，均不给予价格扣除。</w:t>
      </w:r>
    </w:p>
    <w:p>
      <w:pPr>
        <w:spacing w:line="400" w:lineRule="exact"/>
        <w:ind w:firstLine="480" w:firstLineChars="200"/>
        <w:rPr>
          <w:rFonts w:hint="eastAsia" w:ascii="仿宋" w:hAnsi="仿宋" w:eastAsia="仿宋" w:cs="仿宋"/>
          <w:szCs w:val="21"/>
          <w:highlight w:val="none"/>
        </w:rPr>
      </w:pPr>
      <w:r>
        <w:rPr>
          <w:rFonts w:hint="eastAsia" w:ascii="仿宋" w:hAnsi="仿宋" w:eastAsia="仿宋" w:cs="仿宋"/>
          <w:sz w:val="24"/>
          <w:szCs w:val="24"/>
          <w:highlight w:val="none"/>
          <w:lang w:eastAsia="zh-CN"/>
        </w:rPr>
        <w:t>1.8</w:t>
      </w:r>
      <w:r>
        <w:rPr>
          <w:rFonts w:hint="eastAsia" w:ascii="仿宋" w:hAnsi="仿宋" w:eastAsia="仿宋" w:cs="仿宋"/>
          <w:sz w:val="24"/>
          <w:szCs w:val="24"/>
          <w:highlight w:val="none"/>
        </w:rPr>
        <w:t>评分得分非整数的保留小数点后两位（小数点后第三位数四舍五入）。</w:t>
      </w:r>
      <w:bookmarkStart w:id="171" w:name="_Toc494455918"/>
      <w:bookmarkStart w:id="172" w:name="_Toc3947"/>
      <w:bookmarkStart w:id="173" w:name="_Toc16161"/>
      <w:bookmarkStart w:id="174" w:name="_Toc29326"/>
      <w:bookmarkStart w:id="175" w:name="_Toc7269"/>
      <w:bookmarkStart w:id="176" w:name="_Toc9251"/>
    </w:p>
    <w:p>
      <w:pPr>
        <w:spacing w:before="312" w:beforeLines="100" w:after="156" w:afterLines="50" w:line="400" w:lineRule="exact"/>
        <w:ind w:firstLine="420" w:firstLineChars="200"/>
        <w:outlineLvl w:val="2"/>
        <w:rPr>
          <w:rFonts w:hint="eastAsia" w:ascii="仿宋" w:hAnsi="仿宋" w:eastAsia="仿宋" w:cs="仿宋"/>
          <w:szCs w:val="21"/>
          <w:highlight w:val="none"/>
        </w:rPr>
      </w:pPr>
      <w:bookmarkStart w:id="177" w:name="_Toc16328"/>
      <w:r>
        <w:rPr>
          <w:rFonts w:hint="eastAsia" w:ascii="仿宋" w:hAnsi="仿宋" w:eastAsia="仿宋" w:cs="仿宋"/>
          <w:szCs w:val="21"/>
          <w:highlight w:val="none"/>
        </w:rPr>
        <w:t>2.评</w:t>
      </w:r>
      <w:bookmarkEnd w:id="171"/>
      <w:r>
        <w:rPr>
          <w:rFonts w:hint="eastAsia" w:ascii="仿宋" w:hAnsi="仿宋" w:eastAsia="仿宋" w:cs="仿宋"/>
          <w:szCs w:val="21"/>
          <w:highlight w:val="none"/>
        </w:rPr>
        <w:t>标附表</w:t>
      </w:r>
      <w:bookmarkEnd w:id="172"/>
      <w:bookmarkEnd w:id="173"/>
      <w:bookmarkEnd w:id="174"/>
      <w:bookmarkEnd w:id="175"/>
      <w:bookmarkEnd w:id="176"/>
      <w:bookmarkEnd w:id="177"/>
    </w:p>
    <w:p>
      <w:pPr>
        <w:spacing w:after="156" w:afterLines="5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2.1评分因素以及分值</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457"/>
        <w:gridCol w:w="2484"/>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35"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评分因素</w:t>
            </w:r>
          </w:p>
        </w:tc>
        <w:tc>
          <w:tcPr>
            <w:tcW w:w="2457"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商务部分</w:t>
            </w:r>
          </w:p>
        </w:tc>
        <w:tc>
          <w:tcPr>
            <w:tcW w:w="2484"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技术部分</w:t>
            </w:r>
          </w:p>
        </w:tc>
        <w:tc>
          <w:tcPr>
            <w:tcW w:w="2304"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35"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分值比重</w:t>
            </w:r>
          </w:p>
        </w:tc>
        <w:tc>
          <w:tcPr>
            <w:tcW w:w="2457"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30</w:t>
            </w:r>
            <w:r>
              <w:rPr>
                <w:rFonts w:hint="eastAsia" w:ascii="仿宋" w:hAnsi="仿宋" w:eastAsia="仿宋" w:cs="仿宋"/>
                <w:szCs w:val="21"/>
                <w:highlight w:val="none"/>
              </w:rPr>
              <w:t>分</w:t>
            </w:r>
          </w:p>
        </w:tc>
        <w:tc>
          <w:tcPr>
            <w:tcW w:w="2484"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70</w:t>
            </w:r>
            <w:r>
              <w:rPr>
                <w:rFonts w:hint="eastAsia" w:ascii="仿宋" w:hAnsi="仿宋" w:eastAsia="仿宋" w:cs="仿宋"/>
                <w:szCs w:val="21"/>
                <w:highlight w:val="none"/>
              </w:rPr>
              <w:t>分</w:t>
            </w:r>
          </w:p>
        </w:tc>
        <w:tc>
          <w:tcPr>
            <w:tcW w:w="2304"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100分</w:t>
            </w:r>
          </w:p>
        </w:tc>
      </w:tr>
    </w:tbl>
    <w:p>
      <w:pPr>
        <w:spacing w:after="156" w:afterLines="50" w:line="400" w:lineRule="exact"/>
        <w:ind w:firstLine="420" w:firstLineChars="200"/>
        <w:rPr>
          <w:rFonts w:hint="eastAsia" w:ascii="仿宋" w:hAnsi="仿宋" w:eastAsia="仿宋" w:cs="仿宋"/>
          <w:szCs w:val="21"/>
          <w:highlight w:val="none"/>
        </w:rPr>
      </w:pPr>
      <w:bookmarkStart w:id="178" w:name="_Toc391306856"/>
      <w:bookmarkStart w:id="179" w:name="_Toc381951225"/>
      <w:r>
        <w:rPr>
          <w:rFonts w:hint="eastAsia" w:ascii="仿宋" w:hAnsi="仿宋" w:eastAsia="仿宋" w:cs="仿宋"/>
          <w:szCs w:val="21"/>
          <w:highlight w:val="none"/>
        </w:rPr>
        <w:t>2.2初步评审表</w:t>
      </w:r>
      <w:bookmarkEnd w:id="178"/>
      <w:bookmarkEnd w:id="179"/>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6"/>
        <w:gridCol w:w="1725"/>
        <w:gridCol w:w="61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3111" w:type="dxa"/>
            <w:gridSpan w:val="2"/>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条款号</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386" w:type="dxa"/>
            <w:vMerge w:val="restart"/>
            <w:tcBorders>
              <w:top w:val="single" w:color="auto" w:sz="4" w:space="0"/>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r>
              <w:rPr>
                <w:rFonts w:hint="eastAsia" w:ascii="仿宋" w:hAnsi="仿宋" w:eastAsia="仿宋" w:cs="仿宋"/>
                <w:szCs w:val="21"/>
                <w:highlight w:val="none"/>
              </w:rPr>
              <w:t>2.2.1</w:t>
            </w:r>
          </w:p>
        </w:tc>
        <w:tc>
          <w:tcPr>
            <w:tcW w:w="1725" w:type="dxa"/>
            <w:vMerge w:val="restart"/>
            <w:tcBorders>
              <w:top w:val="single" w:color="auto" w:sz="4" w:space="0"/>
              <w:left w:val="nil"/>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r>
              <w:rPr>
                <w:rFonts w:hint="eastAsia" w:ascii="仿宋" w:hAnsi="仿宋" w:eastAsia="仿宋" w:cs="仿宋"/>
                <w:szCs w:val="21"/>
                <w:highlight w:val="none"/>
              </w:rPr>
              <w:t>资格性审查</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color w:val="auto"/>
                <w:lang w:val="en-US" w:eastAsia="zh-CN"/>
              </w:rPr>
            </w:pPr>
            <w:r>
              <w:rPr>
                <w:rFonts w:hint="eastAsia"/>
                <w:color w:val="auto"/>
              </w:rPr>
              <w:t>（1）具备有效的营业执照； （2）具备[施工总承包·建筑工程·建筑工程三级](含)以上并且[施工专业承包·钢结构工程·钢结构工程三级](含)以上资质；有效的安全生产许可证；外省投标企业须提供《新疆维吾尔自治区区外建设工程企业信息登记册》或新疆工程建设云下载审核通过的信息报送册；项目负责人需满足【建筑工程专业注册建造师二级】（含）以上注册建造师执业资格;</w:t>
            </w:r>
          </w:p>
          <w:p>
            <w:pPr>
              <w:spacing w:before="93" w:beforeLines="30" w:line="312" w:lineRule="auto"/>
              <w:rPr>
                <w:rFonts w:hint="eastAsia" w:ascii="仿宋" w:hAnsi="仿宋" w:eastAsia="仿宋" w:cs="仿宋"/>
                <w:szCs w:val="21"/>
                <w:highlight w:val="none"/>
              </w:rPr>
            </w:pPr>
            <w:r>
              <w:rPr>
                <w:rFonts w:hint="eastAsia"/>
                <w:color w:val="auto"/>
              </w:rPr>
              <w:t xml:space="preserve"> (</w:t>
            </w:r>
            <w:r>
              <w:rPr>
                <w:rFonts w:hint="eastAsia"/>
                <w:color w:val="auto"/>
                <w:lang w:val="en-US" w:eastAsia="zh-CN"/>
              </w:rPr>
              <w:t>3</w:t>
            </w:r>
            <w:r>
              <w:rPr>
                <w:rFonts w:hint="eastAsia"/>
                <w:color w:val="auto"/>
              </w:rPr>
              <w:t>)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供应商网上自行打印后加盖供应商公章﹚； （5）与采购人存在利害关系可能影响公正性的单位，不得参加谈判。单位负责人为同一人或存在控股、管理关系的不同单位，不得参加同一标段谈判，否则，相关谈判均无效。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color w:val="auto"/>
              </w:rPr>
            </w:pPr>
            <w:r>
              <w:rPr>
                <w:rFonts w:hint="eastAsia"/>
                <w:color w:val="auto"/>
              </w:rPr>
              <w:t>（1）财政部、工业和信息化部关于印发《政府采购促进中小企业发展管理办法》的通知（财库〔2020〕46号）；</w:t>
            </w:r>
          </w:p>
          <w:p>
            <w:pPr>
              <w:spacing w:before="93" w:beforeLines="30" w:line="312" w:lineRule="auto"/>
              <w:rPr>
                <w:rFonts w:hint="eastAsia"/>
                <w:color w:val="auto"/>
              </w:rPr>
            </w:pPr>
            <w:r>
              <w:rPr>
                <w:rFonts w:hint="eastAsia"/>
                <w:color w:val="auto"/>
              </w:rPr>
              <w:t>（2）（财库〔2014〕68号）；</w:t>
            </w:r>
          </w:p>
          <w:p>
            <w:pPr>
              <w:spacing w:before="93" w:beforeLines="30" w:line="312" w:lineRule="auto"/>
              <w:rPr>
                <w:rFonts w:hint="eastAsia"/>
                <w:color w:val="auto"/>
              </w:rPr>
            </w:pPr>
            <w:r>
              <w:rPr>
                <w:rFonts w:hint="eastAsia"/>
                <w:color w:val="auto"/>
              </w:rPr>
              <w:t>（3）《国务院办公厅关于建立政府强制采购节能产品制度的通知》（国办发〔2007〕51号）；</w:t>
            </w:r>
          </w:p>
          <w:p>
            <w:pPr>
              <w:spacing w:before="93" w:beforeLines="30" w:line="312" w:lineRule="auto"/>
              <w:rPr>
                <w:rFonts w:hint="eastAsia"/>
                <w:color w:val="auto"/>
              </w:rPr>
            </w:pPr>
            <w:r>
              <w:rPr>
                <w:rFonts w:hint="eastAsia"/>
                <w:color w:val="auto"/>
              </w:rPr>
              <w:t>（4）《财政部民政部中国残疾人联合会关于促进残疾人就业政府采购政策的通知》财库〔2017〕141号。</w:t>
            </w:r>
          </w:p>
          <w:p>
            <w:pPr>
              <w:spacing w:before="93" w:beforeLines="30" w:line="312" w:lineRule="auto"/>
              <w:rPr>
                <w:rFonts w:hint="eastAsia" w:ascii="仿宋" w:hAnsi="仿宋" w:eastAsia="宋体" w:cs="仿宋"/>
                <w:szCs w:val="21"/>
                <w:highlight w:val="none"/>
                <w:lang w:eastAsia="zh-CN"/>
              </w:rPr>
            </w:pPr>
            <w:r>
              <w:rPr>
                <w:rFonts w:hint="eastAsia"/>
                <w:color w:val="auto"/>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default" w:ascii="仿宋" w:hAnsi="仿宋" w:eastAsia="仿宋" w:cs="仿宋"/>
                <w:szCs w:val="21"/>
                <w:highlight w:val="none"/>
                <w:lang w:val="en-US" w:eastAsia="zh-CN"/>
              </w:rPr>
            </w:pPr>
            <w:r>
              <w:rPr>
                <w:rFonts w:hint="eastAsia"/>
                <w:color w:val="auto"/>
                <w:lang w:val="en-US" w:eastAsia="zh-CN"/>
              </w:rPr>
              <w:t>提供近6个月</w:t>
            </w:r>
            <w:r>
              <w:rPr>
                <w:rFonts w:hint="eastAsia"/>
                <w:color w:val="auto"/>
              </w:rPr>
              <w:t>的社保缴纳证明（需有相关人员的社保缴纳明细，退休人员需提供退休证明）；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eastAsia="宋体"/>
                <w:color w:val="auto"/>
                <w:lang w:eastAsia="zh-CN"/>
              </w:rPr>
            </w:pPr>
            <w:r>
              <w:rPr>
                <w:rFonts w:hint="eastAsia"/>
                <w:color w:val="auto"/>
              </w:rPr>
              <w:t>提供 2019-2021 年的财务审计报告〔成立不足一年提 供成立至今财务报表)</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default" w:ascii="仿宋" w:hAnsi="仿宋" w:eastAsia="仿宋" w:cs="仿宋"/>
                <w:szCs w:val="21"/>
                <w:highlight w:val="none"/>
                <w:lang w:val="en-US" w:eastAsia="zh-CN"/>
              </w:rPr>
            </w:pPr>
            <w:r>
              <w:rPr>
                <w:rFonts w:hint="eastAsia" w:eastAsia="宋体" w:cs="Times New Roman"/>
                <w:color w:val="auto"/>
                <w:lang w:val="en-US" w:eastAsia="zh-CN"/>
              </w:rPr>
              <w:t>近期完税证明；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restart"/>
            <w:tcBorders>
              <w:top w:val="single" w:color="auto" w:sz="4" w:space="0"/>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r>
              <w:rPr>
                <w:rFonts w:hint="eastAsia" w:ascii="仿宋" w:hAnsi="仿宋" w:eastAsia="仿宋" w:cs="仿宋"/>
                <w:szCs w:val="21"/>
                <w:highlight w:val="none"/>
              </w:rPr>
              <w:t>2.2.2</w:t>
            </w:r>
          </w:p>
        </w:tc>
        <w:tc>
          <w:tcPr>
            <w:tcW w:w="1725" w:type="dxa"/>
            <w:vMerge w:val="restart"/>
            <w:tcBorders>
              <w:top w:val="single" w:color="auto" w:sz="4" w:space="0"/>
              <w:left w:val="nil"/>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r>
              <w:rPr>
                <w:rFonts w:hint="eastAsia" w:ascii="仿宋" w:hAnsi="仿宋" w:eastAsia="仿宋" w:cs="仿宋"/>
                <w:szCs w:val="21"/>
                <w:highlight w:val="none"/>
              </w:rPr>
              <w:t>符合性审查</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宋体" w:hAnsi="宋体" w:eastAsia="宋体" w:cs="宋体"/>
                <w:kern w:val="2"/>
                <w:sz w:val="21"/>
                <w:szCs w:val="21"/>
                <w:lang w:val="en-US" w:eastAsia="zh-CN" w:bidi="ar-SA"/>
              </w:rPr>
              <w:t>投标文件格式符合招标文件要求；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宋体" w:hAnsi="宋体" w:cs="宋体"/>
                <w:kern w:val="2"/>
                <w:sz w:val="21"/>
                <w:szCs w:val="21"/>
                <w:lang w:val="en-US" w:eastAsia="zh-CN" w:bidi="ar-SA"/>
              </w:rPr>
              <w:t>投标</w:t>
            </w:r>
            <w:r>
              <w:rPr>
                <w:rFonts w:hint="eastAsia" w:ascii="宋体" w:hAnsi="宋体" w:eastAsia="宋体" w:cs="宋体"/>
                <w:kern w:val="2"/>
                <w:sz w:val="21"/>
                <w:szCs w:val="21"/>
                <w:lang w:val="en-US" w:eastAsia="zh-CN" w:bidi="ar-SA"/>
              </w:rPr>
              <w:t>文件按照</w:t>
            </w:r>
            <w:r>
              <w:rPr>
                <w:rFonts w:hint="eastAsia" w:ascii="宋体" w:hAnsi="宋体" w:cs="宋体"/>
                <w:kern w:val="2"/>
                <w:sz w:val="21"/>
                <w:szCs w:val="21"/>
                <w:lang w:val="en-US" w:eastAsia="zh-CN" w:bidi="ar-SA"/>
              </w:rPr>
              <w:t>招标</w:t>
            </w:r>
            <w:r>
              <w:rPr>
                <w:rFonts w:hint="eastAsia" w:ascii="宋体" w:hAnsi="宋体" w:eastAsia="宋体" w:cs="宋体"/>
                <w:kern w:val="2"/>
                <w:sz w:val="21"/>
                <w:szCs w:val="21"/>
                <w:lang w:val="en-US" w:eastAsia="zh-CN" w:bidi="ar-SA"/>
              </w:rPr>
              <w:t>文件规定要求签署、盖章的</w:t>
            </w:r>
            <w:r>
              <w:rPr>
                <w:rFonts w:hint="eastAsia" w:ascii="宋体" w:hAnsi="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宋体" w:hAnsi="宋体" w:cs="宋体"/>
                <w:kern w:val="2"/>
                <w:sz w:val="21"/>
                <w:szCs w:val="21"/>
                <w:lang w:val="en-US" w:eastAsia="zh-CN" w:bidi="ar-SA"/>
              </w:rPr>
              <w:t>投标</w:t>
            </w:r>
            <w:r>
              <w:rPr>
                <w:rFonts w:hint="eastAsia" w:ascii="宋体" w:hAnsi="宋体" w:eastAsia="宋体" w:cs="宋体"/>
                <w:kern w:val="2"/>
                <w:sz w:val="21"/>
                <w:szCs w:val="21"/>
                <w:lang w:val="en-US" w:eastAsia="zh-CN" w:bidi="ar-SA"/>
              </w:rPr>
              <w:t>有效期符合</w:t>
            </w:r>
            <w:r>
              <w:rPr>
                <w:rFonts w:hint="eastAsia" w:ascii="宋体" w:hAnsi="宋体" w:cs="宋体"/>
                <w:kern w:val="2"/>
                <w:sz w:val="21"/>
                <w:szCs w:val="21"/>
                <w:lang w:val="en-US" w:eastAsia="zh-CN" w:bidi="ar-SA"/>
              </w:rPr>
              <w:t>招标</w:t>
            </w:r>
            <w:r>
              <w:rPr>
                <w:rFonts w:hint="eastAsia" w:ascii="宋体" w:hAnsi="宋体" w:eastAsia="宋体" w:cs="宋体"/>
                <w:kern w:val="2"/>
                <w:sz w:val="21"/>
                <w:szCs w:val="21"/>
                <w:lang w:val="en-US" w:eastAsia="zh-CN" w:bidi="ar-SA"/>
              </w:rPr>
              <w:t>文件中规定的；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color w:val="FF0000"/>
                <w:szCs w:val="21"/>
                <w:highlight w:val="none"/>
              </w:rPr>
            </w:pPr>
            <w:r>
              <w:rPr>
                <w:rFonts w:hint="eastAsia" w:ascii="宋体" w:hAnsi="宋体" w:eastAsia="宋体" w:cs="宋体"/>
                <w:kern w:val="2"/>
                <w:sz w:val="21"/>
                <w:szCs w:val="21"/>
                <w:lang w:val="en-US" w:eastAsia="zh-CN" w:bidi="ar-SA"/>
              </w:rPr>
              <w:t>符合法律、法规及</w:t>
            </w:r>
            <w:r>
              <w:rPr>
                <w:rFonts w:hint="eastAsia" w:ascii="宋体" w:hAnsi="宋体" w:cs="宋体"/>
                <w:kern w:val="2"/>
                <w:sz w:val="21"/>
                <w:szCs w:val="21"/>
                <w:lang w:val="en-US" w:eastAsia="zh-CN" w:bidi="ar-SA"/>
              </w:rPr>
              <w:t>招标</w:t>
            </w:r>
            <w:r>
              <w:rPr>
                <w:rFonts w:hint="eastAsia" w:ascii="宋体" w:hAnsi="宋体" w:eastAsia="宋体" w:cs="宋体"/>
                <w:kern w:val="2"/>
                <w:sz w:val="21"/>
                <w:szCs w:val="21"/>
                <w:lang w:val="en-US" w:eastAsia="zh-CN" w:bidi="ar-SA"/>
              </w:rPr>
              <w:t>文件规定的其他情形</w:t>
            </w:r>
            <w:r>
              <w:rPr>
                <w:rFonts w:hint="eastAsia" w:ascii="宋体" w:hAnsi="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按照招标文件规定报价只有一个有效报价且没有漏项及超过最高限价的</w:t>
            </w:r>
            <w:r>
              <w:rPr>
                <w:rFonts w:hint="eastAsia" w:ascii="宋体" w:hAnsi="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1.不得改变</w:t>
            </w:r>
            <w:r>
              <w:rPr>
                <w:rFonts w:hint="eastAsia" w:ascii="宋体" w:hAnsi="宋体" w:cs="宋体"/>
                <w:kern w:val="2"/>
                <w:sz w:val="21"/>
                <w:szCs w:val="21"/>
                <w:lang w:val="en-US" w:eastAsia="zh-CN" w:bidi="ar-SA"/>
              </w:rPr>
              <w:t>招标</w:t>
            </w:r>
            <w:r>
              <w:rPr>
                <w:rFonts w:hint="eastAsia" w:ascii="宋体" w:hAnsi="宋体" w:eastAsia="宋体" w:cs="宋体"/>
                <w:kern w:val="2"/>
                <w:sz w:val="21"/>
                <w:szCs w:val="21"/>
                <w:lang w:val="en-US" w:eastAsia="zh-CN" w:bidi="ar-SA"/>
              </w:rPr>
              <w:t>文件提供的工程量清单中的项目编码、项目名称、项目特征、计量单位、工程量；</w:t>
            </w:r>
          </w:p>
          <w:p>
            <w:pPr>
              <w:spacing w:before="93" w:beforeLines="30" w:line="312"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2.不得将工程排污费、社会保障费、住房公积金、大型机械检测检验费等规费和增值税销项税额等税金，以及安全文明施工费列入招标投标竞争性费用。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其他不符合招标文件的实质性要求</w:t>
            </w:r>
            <w:r>
              <w:rPr>
                <w:rFonts w:hint="eastAsia" w:ascii="宋体" w:hAnsi="宋体" w:cs="宋体"/>
                <w:kern w:val="2"/>
                <w:sz w:val="21"/>
                <w:szCs w:val="21"/>
                <w:lang w:val="en-US" w:eastAsia="zh-CN" w:bidi="ar-SA"/>
              </w:rPr>
              <w:t>；</w:t>
            </w:r>
          </w:p>
        </w:tc>
      </w:tr>
    </w:tbl>
    <w:p>
      <w:pPr>
        <w:spacing w:before="312" w:beforeLines="100" w:after="156" w:afterLines="50" w:line="400" w:lineRule="exact"/>
        <w:ind w:firstLine="420" w:firstLineChars="200"/>
        <w:rPr>
          <w:rFonts w:hint="default" w:ascii="仿宋" w:hAnsi="仿宋" w:eastAsia="仿宋" w:cs="仿宋"/>
          <w:szCs w:val="21"/>
          <w:highlight w:val="none"/>
          <w:lang w:val="en-US" w:eastAsia="zh-CN"/>
        </w:rPr>
      </w:pPr>
      <w:bookmarkStart w:id="180" w:name="_Toc17295"/>
      <w:bookmarkStart w:id="181" w:name="_Toc494455919"/>
      <w:r>
        <w:rPr>
          <w:rFonts w:hint="eastAsia" w:ascii="仿宋" w:hAnsi="仿宋" w:eastAsia="仿宋" w:cs="仿宋"/>
          <w:szCs w:val="21"/>
          <w:highlight w:val="none"/>
        </w:rPr>
        <w:t>2.3商务部分</w:t>
      </w:r>
    </w:p>
    <w:tbl>
      <w:tblPr>
        <w:tblStyle w:val="31"/>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32" w:type="dxa"/>
            <w:gridSpan w:val="2"/>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条款号</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报价得分（3</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分）</w:t>
            </w:r>
          </w:p>
        </w:tc>
        <w:tc>
          <w:tcPr>
            <w:tcW w:w="5948"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rPr>
            </w:pPr>
            <w:r>
              <w:rPr>
                <w:rFonts w:hint="eastAsia" w:ascii="仿宋" w:hAnsi="仿宋" w:eastAsia="仿宋" w:cs="仿宋"/>
                <w:color w:val="auto"/>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w:t>
            </w:r>
            <w:r>
              <w:rPr>
                <w:rFonts w:hint="eastAsia" w:ascii="仿宋" w:hAnsi="仿宋" w:eastAsia="仿宋" w:cs="仿宋"/>
                <w:color w:val="auto"/>
                <w:lang w:val="en-US" w:eastAsia="zh-CN"/>
              </w:rPr>
              <w:t>30%</w:t>
            </w:r>
            <w:r>
              <w:rPr>
                <w:rFonts w:hint="eastAsia" w:ascii="仿宋" w:hAnsi="仿宋" w:eastAsia="仿宋" w:cs="仿宋"/>
                <w:color w:val="auto"/>
              </w:rPr>
              <w:t>×100。</w:t>
            </w:r>
          </w:p>
          <w:p>
            <w:pPr>
              <w:pStyle w:val="38"/>
              <w:rPr>
                <w:rFonts w:hint="eastAsia"/>
              </w:rPr>
            </w:pPr>
            <w:r>
              <w:rPr>
                <w:rFonts w:hint="eastAsia" w:ascii="仿宋" w:hAnsi="仿宋" w:eastAsia="仿宋" w:cs="仿宋"/>
                <w:color w:val="auto"/>
                <w:lang w:eastAsia="zh-CN"/>
              </w:rPr>
              <w:t>注：此公式中的投标报价，根据财政部、工业和信息化部（财库〔2020〕46号）文件规定，供应商属小型或微型企业并以其自身产品和服务报价，或者提供其他小微企业制造的货物，在满足采购需求且质量和服务相等的情况下，给予价格10%的扣除，以扣除后的价格参与评审。</w:t>
            </w:r>
          </w:p>
        </w:tc>
      </w:tr>
    </w:tbl>
    <w:p>
      <w:pPr>
        <w:spacing w:before="156" w:beforeLines="50" w:after="156" w:afterLines="50" w:line="400" w:lineRule="exact"/>
        <w:rPr>
          <w:rFonts w:hint="eastAsia" w:ascii="仿宋" w:hAnsi="仿宋" w:eastAsia="仿宋" w:cs="仿宋"/>
          <w:szCs w:val="21"/>
          <w:highlight w:val="none"/>
        </w:rPr>
      </w:pPr>
    </w:p>
    <w:p>
      <w:pPr>
        <w:spacing w:before="156" w:beforeLines="50" w:after="156" w:afterLines="5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2.4技术部分</w:t>
      </w:r>
    </w:p>
    <w:bookmarkEnd w:id="180"/>
    <w:bookmarkEnd w:id="181"/>
    <w:p>
      <w:pPr>
        <w:tabs>
          <w:tab w:val="left" w:pos="900"/>
        </w:tabs>
        <w:spacing w:before="240" w:after="240" w:line="276" w:lineRule="auto"/>
        <w:jc w:val="center"/>
        <w:rPr>
          <w:rFonts w:hint="eastAsia" w:ascii="宋体" w:hAnsi="宋体" w:eastAsia="宋体" w:cs="宋体"/>
          <w:b/>
          <w:sz w:val="30"/>
          <w:szCs w:val="30"/>
          <w:highlight w:val="none"/>
        </w:rPr>
      </w:pPr>
      <w:bookmarkStart w:id="182" w:name="_Toc16306"/>
      <w:bookmarkStart w:id="183" w:name="_Toc9162"/>
      <w:bookmarkStart w:id="184" w:name="_Toc23460"/>
      <w:bookmarkStart w:id="185" w:name="_Toc20468"/>
      <w:bookmarkStart w:id="186" w:name="_Toc15307"/>
      <w:bookmarkStart w:id="187" w:name="_Toc11811"/>
      <w:bookmarkStart w:id="188" w:name="_Toc12697"/>
      <w:bookmarkStart w:id="189" w:name="_Toc30543"/>
      <w:bookmarkStart w:id="190" w:name="_Toc32220"/>
      <w:bookmarkStart w:id="191" w:name="_Toc19385"/>
      <w:r>
        <w:rPr>
          <w:rFonts w:hint="eastAsia" w:ascii="宋体" w:hAnsi="宋体" w:eastAsia="宋体" w:cs="宋体"/>
          <w:sz w:val="32"/>
          <w:szCs w:val="30"/>
          <w:highlight w:val="none"/>
        </w:rPr>
        <w:softHyphen/>
      </w:r>
      <w:r>
        <w:rPr>
          <w:rFonts w:hint="eastAsia" w:ascii="宋体" w:hAnsi="宋体" w:eastAsia="宋体" w:cs="宋体"/>
          <w:b/>
          <w:sz w:val="32"/>
          <w:szCs w:val="30"/>
          <w:highlight w:val="none"/>
        </w:rPr>
        <w:t>技术标评审标准</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2"/>
        <w:gridCol w:w="1160"/>
        <w:gridCol w:w="1044"/>
        <w:gridCol w:w="6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422" w:type="dxa"/>
            <w:noWrap w:val="0"/>
            <w:vAlign w:val="center"/>
          </w:tcPr>
          <w:p>
            <w:pPr>
              <w:widowControl/>
              <w:spacing w:line="34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项目分值</w:t>
            </w:r>
          </w:p>
        </w:tc>
        <w:tc>
          <w:tcPr>
            <w:tcW w:w="2204" w:type="dxa"/>
            <w:gridSpan w:val="2"/>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b/>
                <w:sz w:val="24"/>
                <w:highlight w:val="none"/>
              </w:rPr>
              <w:t>评分内容</w:t>
            </w:r>
          </w:p>
        </w:tc>
        <w:tc>
          <w:tcPr>
            <w:tcW w:w="6336" w:type="dxa"/>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422" w:type="dxa"/>
            <w:vMerge w:val="restart"/>
            <w:noWrap w:val="0"/>
            <w:vAlign w:val="center"/>
          </w:tcPr>
          <w:p>
            <w:pPr>
              <w:widowControl/>
              <w:spacing w:line="340" w:lineRule="exact"/>
              <w:jc w:val="center"/>
              <w:rPr>
                <w:rFonts w:hint="eastAsia" w:ascii="宋体" w:hAnsi="宋体" w:eastAsia="宋体" w:cs="宋体"/>
                <w:sz w:val="28"/>
                <w:highlight w:val="none"/>
              </w:rPr>
            </w:pPr>
            <w:r>
              <w:rPr>
                <w:rFonts w:hint="eastAsia" w:ascii="宋体" w:hAnsi="宋体" w:eastAsia="宋体" w:cs="宋体"/>
                <w:sz w:val="28"/>
                <w:highlight w:val="none"/>
              </w:rPr>
              <w:t>技术标</w:t>
            </w:r>
          </w:p>
          <w:p>
            <w:pPr>
              <w:widowControl/>
              <w:spacing w:line="340" w:lineRule="exact"/>
              <w:jc w:val="center"/>
              <w:rPr>
                <w:rFonts w:hint="eastAsia" w:ascii="宋体" w:hAnsi="宋体" w:eastAsia="宋体" w:cs="宋体"/>
                <w:sz w:val="28"/>
                <w:highlight w:val="none"/>
              </w:rPr>
            </w:pPr>
            <w:r>
              <w:rPr>
                <w:rFonts w:hint="eastAsia" w:ascii="宋体" w:hAnsi="宋体" w:eastAsia="宋体" w:cs="宋体"/>
                <w:sz w:val="28"/>
                <w:highlight w:val="none"/>
                <w:lang w:val="en-US" w:eastAsia="zh-CN"/>
              </w:rPr>
              <w:t>70</w:t>
            </w:r>
            <w:r>
              <w:rPr>
                <w:rFonts w:hint="eastAsia" w:ascii="宋体" w:hAnsi="宋体" w:eastAsia="宋体" w:cs="宋体"/>
                <w:sz w:val="28"/>
                <w:highlight w:val="none"/>
              </w:rPr>
              <w:t>分</w:t>
            </w:r>
          </w:p>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全面性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lang w:val="en-US" w:eastAsia="zh-CN"/>
              </w:rPr>
              <w:t>14</w:t>
            </w:r>
            <w:r>
              <w:rPr>
                <w:rFonts w:hint="eastAsia" w:ascii="宋体" w:hAnsi="宋体" w:eastAsia="宋体" w:cs="宋体"/>
                <w:sz w:val="24"/>
                <w:highlight w:val="none"/>
              </w:rPr>
              <w:t>分</w:t>
            </w: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3</w:t>
            </w:r>
          </w:p>
        </w:tc>
        <w:tc>
          <w:tcPr>
            <w:tcW w:w="6336" w:type="dxa"/>
            <w:noWrap w:val="0"/>
            <w:vAlign w:val="center"/>
          </w:tcPr>
          <w:p>
            <w:pPr>
              <w:pStyle w:val="87"/>
              <w:spacing w:line="340" w:lineRule="exact"/>
              <w:textAlignment w:val="center"/>
              <w:rPr>
                <w:rFonts w:hint="eastAsia" w:ascii="宋体" w:hAnsi="宋体" w:eastAsia="宋体" w:cs="宋体"/>
                <w:sz w:val="21"/>
                <w:highlight w:val="none"/>
                <w:lang w:val="en-US" w:eastAsia="zh-CN"/>
              </w:rPr>
            </w:pPr>
            <w:r>
              <w:rPr>
                <w:rFonts w:hint="eastAsia" w:ascii="宋体" w:hAnsi="宋体" w:eastAsia="宋体" w:cs="宋体"/>
                <w:sz w:val="21"/>
                <w:highlight w:val="none"/>
              </w:rPr>
              <w:t>施工方法先进得</w:t>
            </w:r>
            <w:r>
              <w:rPr>
                <w:rFonts w:hint="eastAsia" w:ascii="宋体" w:hAnsi="宋体" w:cs="宋体"/>
                <w:sz w:val="21"/>
                <w:highlight w:val="none"/>
                <w:lang w:val="en-US" w:eastAsia="zh-CN"/>
              </w:rPr>
              <w:t>3</w:t>
            </w:r>
            <w:r>
              <w:rPr>
                <w:rFonts w:hint="eastAsia" w:ascii="宋体" w:hAnsi="宋体" w:eastAsia="宋体" w:cs="宋体"/>
                <w:sz w:val="21"/>
                <w:highlight w:val="none"/>
              </w:rPr>
              <w:t>分，一般得</w:t>
            </w:r>
            <w:r>
              <w:rPr>
                <w:rFonts w:hint="eastAsia" w:ascii="宋体" w:hAnsi="宋体" w:cs="宋体"/>
                <w:sz w:val="21"/>
                <w:highlight w:val="none"/>
                <w:lang w:val="en-US" w:eastAsia="zh-CN"/>
              </w:rPr>
              <w:t>1</w:t>
            </w:r>
            <w:r>
              <w:rPr>
                <w:rFonts w:hint="eastAsia" w:ascii="宋体" w:hAnsi="宋体" w:eastAsia="宋体" w:cs="宋体"/>
                <w:sz w:val="21"/>
                <w:highlight w:val="none"/>
              </w:rPr>
              <w:t>分，否则酌情扣分</w:t>
            </w:r>
            <w:r>
              <w:rPr>
                <w:rFonts w:hint="eastAsia" w:ascii="宋体" w:hAnsi="宋体" w:eastAsia="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3</w:t>
            </w:r>
          </w:p>
        </w:tc>
        <w:tc>
          <w:tcPr>
            <w:tcW w:w="6336" w:type="dxa"/>
            <w:noWrap w:val="0"/>
            <w:vAlign w:val="center"/>
          </w:tcPr>
          <w:p>
            <w:pPr>
              <w:widowControl/>
              <w:spacing w:line="340" w:lineRule="exact"/>
              <w:rPr>
                <w:rFonts w:hint="eastAsia" w:ascii="宋体" w:hAnsi="宋体" w:eastAsia="宋体" w:cs="宋体"/>
                <w:highlight w:val="none"/>
                <w:lang w:val="en-US" w:eastAsia="zh-CN"/>
              </w:rPr>
            </w:pPr>
            <w:r>
              <w:rPr>
                <w:rFonts w:hint="eastAsia" w:ascii="宋体" w:hAnsi="宋体" w:eastAsia="宋体" w:cs="宋体"/>
                <w:highlight w:val="none"/>
              </w:rPr>
              <w:t>施工设备、劳动力计划合理得</w:t>
            </w:r>
            <w:r>
              <w:rPr>
                <w:rFonts w:hint="eastAsia" w:ascii="宋体" w:hAnsi="宋体" w:eastAsia="宋体" w:cs="宋体"/>
                <w:highlight w:val="none"/>
                <w:lang w:val="en-US" w:eastAsia="zh-CN"/>
              </w:rPr>
              <w:t>3</w:t>
            </w:r>
            <w:r>
              <w:rPr>
                <w:rFonts w:hint="eastAsia" w:ascii="宋体" w:hAnsi="宋体" w:eastAsia="宋体" w:cs="宋体"/>
                <w:highlight w:val="none"/>
              </w:rPr>
              <w:t>分，一般得</w:t>
            </w:r>
            <w:r>
              <w:rPr>
                <w:rFonts w:hint="eastAsia" w:ascii="宋体" w:hAnsi="宋体" w:eastAsia="宋体" w:cs="宋体"/>
                <w:highlight w:val="none"/>
                <w:lang w:val="en-US" w:eastAsia="zh-CN"/>
              </w:rPr>
              <w:t>1</w:t>
            </w:r>
            <w:r>
              <w:rPr>
                <w:rFonts w:hint="eastAsia" w:ascii="宋体" w:hAnsi="宋体" w:eastAsia="宋体" w:cs="宋体"/>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2</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确保工程质量、工期、安全措施得力得</w:t>
            </w:r>
            <w:r>
              <w:rPr>
                <w:rFonts w:hint="eastAsia" w:ascii="宋体" w:hAnsi="宋体" w:eastAsia="宋体" w:cs="宋体"/>
                <w:highlight w:val="none"/>
                <w:lang w:val="en-US" w:eastAsia="zh-CN"/>
              </w:rPr>
              <w:t>2</w:t>
            </w:r>
            <w:r>
              <w:rPr>
                <w:rFonts w:hint="eastAsia" w:ascii="宋体" w:hAnsi="宋体" w:eastAsia="宋体" w:cs="宋体"/>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2</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文明施工措施可信度高得</w:t>
            </w:r>
            <w:r>
              <w:rPr>
                <w:rFonts w:hint="eastAsia" w:ascii="宋体" w:hAnsi="宋体" w:eastAsia="宋体" w:cs="宋体"/>
                <w:highlight w:val="none"/>
                <w:lang w:val="en-US" w:eastAsia="zh-CN"/>
              </w:rPr>
              <w:t>2</w:t>
            </w:r>
            <w:r>
              <w:rPr>
                <w:rFonts w:hint="eastAsia" w:ascii="宋体" w:hAnsi="宋体" w:eastAsia="宋体" w:cs="宋体"/>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2</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施工总进度计划合理得</w:t>
            </w:r>
            <w:r>
              <w:rPr>
                <w:rFonts w:hint="eastAsia" w:ascii="宋体" w:hAnsi="宋体" w:eastAsia="宋体" w:cs="宋体"/>
                <w:highlight w:val="none"/>
                <w:lang w:val="en-US" w:eastAsia="zh-CN"/>
              </w:rPr>
              <w:t>2</w:t>
            </w:r>
            <w:r>
              <w:rPr>
                <w:rFonts w:hint="eastAsia" w:ascii="宋体" w:hAnsi="宋体" w:eastAsia="宋体" w:cs="宋体"/>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2</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平面布置合理得</w:t>
            </w:r>
            <w:r>
              <w:rPr>
                <w:rFonts w:hint="eastAsia" w:ascii="宋体" w:hAnsi="宋体" w:eastAsia="宋体" w:cs="宋体"/>
                <w:highlight w:val="none"/>
                <w:lang w:val="en-US" w:eastAsia="zh-CN"/>
              </w:rPr>
              <w:t>2</w:t>
            </w:r>
            <w:r>
              <w:rPr>
                <w:rFonts w:hint="eastAsia" w:ascii="宋体" w:hAnsi="宋体" w:eastAsia="宋体" w:cs="宋体"/>
                <w:highlight w:val="none"/>
              </w:rPr>
              <w:t>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可行性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lang w:val="en-US" w:eastAsia="zh-CN"/>
              </w:rPr>
              <w:t>14</w:t>
            </w:r>
            <w:r>
              <w:rPr>
                <w:rFonts w:hint="eastAsia" w:ascii="宋体" w:hAnsi="宋体" w:eastAsia="宋体" w:cs="宋体"/>
                <w:sz w:val="24"/>
                <w:highlight w:val="none"/>
              </w:rPr>
              <w:t>分</w:t>
            </w: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4</w:t>
            </w:r>
          </w:p>
        </w:tc>
        <w:tc>
          <w:tcPr>
            <w:tcW w:w="6336" w:type="dxa"/>
            <w:noWrap w:val="0"/>
            <w:vAlign w:val="center"/>
          </w:tcPr>
          <w:p>
            <w:pPr>
              <w:pStyle w:val="87"/>
              <w:spacing w:line="340" w:lineRule="exact"/>
              <w:textAlignment w:val="center"/>
              <w:rPr>
                <w:rFonts w:hint="eastAsia" w:ascii="宋体" w:hAnsi="宋体" w:eastAsia="宋体" w:cs="宋体"/>
                <w:sz w:val="21"/>
                <w:highlight w:val="none"/>
                <w:lang w:eastAsia="zh-CN"/>
              </w:rPr>
            </w:pPr>
            <w:r>
              <w:rPr>
                <w:rFonts w:hint="eastAsia" w:ascii="宋体" w:hAnsi="宋体" w:eastAsia="宋体" w:cs="宋体"/>
                <w:sz w:val="21"/>
                <w:highlight w:val="none"/>
              </w:rPr>
              <w:t>涉及主要内容齐全措施计划详尽得</w:t>
            </w:r>
            <w:r>
              <w:rPr>
                <w:rFonts w:hint="eastAsia" w:ascii="宋体" w:hAnsi="宋体" w:cs="宋体"/>
                <w:sz w:val="21"/>
                <w:highlight w:val="none"/>
                <w:lang w:val="en-US" w:eastAsia="zh-CN"/>
              </w:rPr>
              <w:t>4</w:t>
            </w:r>
            <w:r>
              <w:rPr>
                <w:rFonts w:hint="eastAsia" w:ascii="宋体" w:hAnsi="宋体" w:eastAsia="宋体" w:cs="宋体"/>
                <w:sz w:val="21"/>
                <w:highlight w:val="none"/>
              </w:rPr>
              <w:t>分，一般得</w:t>
            </w:r>
            <w:r>
              <w:rPr>
                <w:rFonts w:hint="eastAsia" w:ascii="宋体" w:hAnsi="宋体" w:cs="宋体"/>
                <w:sz w:val="21"/>
                <w:highlight w:val="none"/>
                <w:lang w:val="en-US" w:eastAsia="zh-CN"/>
              </w:rPr>
              <w:t>2</w:t>
            </w:r>
            <w:r>
              <w:rPr>
                <w:rFonts w:hint="eastAsia" w:ascii="宋体" w:hAnsi="宋体" w:eastAsia="宋体" w:cs="宋体"/>
                <w:sz w:val="21"/>
                <w:highlight w:val="none"/>
              </w:rPr>
              <w:t>分</w:t>
            </w:r>
            <w:r>
              <w:rPr>
                <w:rFonts w:hint="eastAsia" w:ascii="宋体" w:hAnsi="宋体" w:cs="宋体"/>
                <w:sz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1"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4</w:t>
            </w:r>
          </w:p>
        </w:tc>
        <w:tc>
          <w:tcPr>
            <w:tcW w:w="6336" w:type="dxa"/>
            <w:noWrap w:val="0"/>
            <w:vAlign w:val="center"/>
          </w:tcPr>
          <w:p>
            <w:pPr>
              <w:pStyle w:val="22"/>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流水段的划分合理得</w:t>
            </w:r>
            <w:r>
              <w:rPr>
                <w:rFonts w:hint="eastAsia" w:ascii="宋体" w:hAnsi="宋体" w:eastAsia="宋体" w:cs="宋体"/>
                <w:sz w:val="21"/>
                <w:highlight w:val="none"/>
                <w:lang w:val="en-US" w:eastAsia="zh-CN"/>
              </w:rPr>
              <w:t>4</w:t>
            </w:r>
            <w:r>
              <w:rPr>
                <w:rFonts w:hint="eastAsia" w:ascii="宋体" w:hAnsi="宋体" w:eastAsia="宋体" w:cs="宋体"/>
                <w:sz w:val="21"/>
                <w:highlight w:val="none"/>
              </w:rPr>
              <w:t>分，一般得</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分，否则酌情扣分</w:t>
            </w:r>
            <w:r>
              <w:rPr>
                <w:rFonts w:hint="eastAsia" w:ascii="宋体" w:hAnsi="宋体" w:eastAsia="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2</w:t>
            </w:r>
          </w:p>
        </w:tc>
        <w:tc>
          <w:tcPr>
            <w:tcW w:w="6336" w:type="dxa"/>
            <w:noWrap w:val="0"/>
            <w:vAlign w:val="center"/>
          </w:tcPr>
          <w:p>
            <w:pPr>
              <w:pStyle w:val="22"/>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流水作业的合理性得</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分，否则酌情扣分</w:t>
            </w:r>
            <w:r>
              <w:rPr>
                <w:rFonts w:hint="eastAsia" w:ascii="宋体" w:hAnsi="宋体" w:eastAsia="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2</w:t>
            </w:r>
          </w:p>
        </w:tc>
        <w:tc>
          <w:tcPr>
            <w:tcW w:w="6336" w:type="dxa"/>
            <w:noWrap w:val="0"/>
            <w:vAlign w:val="center"/>
          </w:tcPr>
          <w:p>
            <w:pPr>
              <w:pStyle w:val="22"/>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各项交叉作业切合实际得</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分，否则酌情扣分</w:t>
            </w:r>
            <w:r>
              <w:rPr>
                <w:rFonts w:hint="eastAsia" w:ascii="宋体" w:hAnsi="宋体" w:eastAsia="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0～2</w:t>
            </w:r>
          </w:p>
        </w:tc>
        <w:tc>
          <w:tcPr>
            <w:tcW w:w="6336" w:type="dxa"/>
            <w:noWrap w:val="0"/>
            <w:vAlign w:val="center"/>
          </w:tcPr>
          <w:p>
            <w:pPr>
              <w:pStyle w:val="22"/>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机具合理可行得2分，否则酌情扣分</w:t>
            </w:r>
            <w:r>
              <w:rPr>
                <w:rFonts w:hint="eastAsia" w:ascii="宋体" w:hAnsi="宋体" w:eastAsia="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针对性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lang w:val="en-US" w:eastAsia="zh-CN"/>
              </w:rPr>
              <w:t>20</w:t>
            </w:r>
            <w:r>
              <w:rPr>
                <w:rFonts w:hint="eastAsia" w:ascii="宋体" w:hAnsi="宋体" w:eastAsia="宋体" w:cs="宋体"/>
                <w:sz w:val="24"/>
                <w:highlight w:val="none"/>
              </w:rPr>
              <w:t>分</w:t>
            </w: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7</w:t>
            </w:r>
          </w:p>
        </w:tc>
        <w:tc>
          <w:tcPr>
            <w:tcW w:w="6336" w:type="dxa"/>
            <w:noWrap w:val="0"/>
            <w:vAlign w:val="center"/>
          </w:tcPr>
          <w:p>
            <w:pPr>
              <w:pStyle w:val="87"/>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涉及重点内容突出得</w:t>
            </w:r>
            <w:r>
              <w:rPr>
                <w:rFonts w:hint="eastAsia" w:ascii="宋体" w:hAnsi="宋体" w:cs="宋体"/>
                <w:sz w:val="21"/>
                <w:highlight w:val="none"/>
                <w:lang w:val="en-US" w:eastAsia="zh-CN"/>
              </w:rPr>
              <w:t>7</w:t>
            </w:r>
            <w:r>
              <w:rPr>
                <w:rFonts w:hint="eastAsia" w:ascii="宋体" w:hAnsi="宋体" w:eastAsia="宋体" w:cs="宋体"/>
                <w:sz w:val="21"/>
                <w:highlight w:val="none"/>
              </w:rPr>
              <w:t>分</w:t>
            </w:r>
            <w:r>
              <w:rPr>
                <w:rFonts w:hint="eastAsia" w:ascii="宋体" w:hAnsi="宋体" w:cs="宋体"/>
                <w:sz w:val="21"/>
                <w:highlight w:val="none"/>
                <w:lang w:val="en-US" w:eastAsia="zh-CN"/>
              </w:rPr>
              <w:t>,</w:t>
            </w:r>
            <w:r>
              <w:rPr>
                <w:rFonts w:hint="eastAsia" w:ascii="宋体" w:hAnsi="宋体" w:eastAsia="宋体" w:cs="宋体"/>
                <w:sz w:val="21"/>
                <w:highlight w:val="none"/>
              </w:rPr>
              <w:t>尚可得</w:t>
            </w:r>
            <w:r>
              <w:rPr>
                <w:rFonts w:hint="eastAsia" w:ascii="宋体" w:hAnsi="宋体" w:cs="宋体"/>
                <w:sz w:val="21"/>
                <w:highlight w:val="none"/>
                <w:lang w:val="en-US" w:eastAsia="zh-CN"/>
              </w:rPr>
              <w:t>4</w:t>
            </w:r>
            <w:r>
              <w:rPr>
                <w:rFonts w:hint="eastAsia" w:ascii="宋体" w:hAnsi="宋体" w:eastAsia="宋体" w:cs="宋体"/>
                <w:sz w:val="21"/>
                <w:highlight w:val="none"/>
              </w:rPr>
              <w:t>分，一般得2分，否则酌情扣分</w:t>
            </w:r>
            <w:r>
              <w:rPr>
                <w:rFonts w:hint="eastAsia" w:ascii="宋体" w:hAnsi="宋体" w:eastAsia="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2</w:t>
            </w:r>
          </w:p>
        </w:tc>
        <w:tc>
          <w:tcPr>
            <w:tcW w:w="6336" w:type="dxa"/>
            <w:noWrap w:val="0"/>
            <w:vAlign w:val="center"/>
          </w:tcPr>
          <w:p>
            <w:pPr>
              <w:pStyle w:val="22"/>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工程项目的质保体系健全得</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分，否则酌情扣分</w:t>
            </w:r>
            <w:r>
              <w:rPr>
                <w:rFonts w:hint="eastAsia" w:ascii="宋体" w:hAnsi="宋体" w:eastAsia="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2</w:t>
            </w:r>
          </w:p>
        </w:tc>
        <w:tc>
          <w:tcPr>
            <w:tcW w:w="6336" w:type="dxa"/>
            <w:noWrap w:val="0"/>
            <w:vAlign w:val="center"/>
          </w:tcPr>
          <w:p>
            <w:pPr>
              <w:pStyle w:val="22"/>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安保体系健全有效得</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分，否则酌情扣分</w:t>
            </w:r>
            <w:r>
              <w:rPr>
                <w:rFonts w:hint="eastAsia" w:ascii="宋体" w:hAnsi="宋体" w:eastAsia="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5</w:t>
            </w:r>
          </w:p>
        </w:tc>
        <w:tc>
          <w:tcPr>
            <w:tcW w:w="6336" w:type="dxa"/>
            <w:noWrap w:val="0"/>
            <w:vAlign w:val="center"/>
          </w:tcPr>
          <w:p>
            <w:pPr>
              <w:pStyle w:val="22"/>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创优措施切实可行得5分，尚可得3分，否则酌情扣分</w:t>
            </w:r>
            <w:r>
              <w:rPr>
                <w:rFonts w:hint="eastAsia" w:ascii="宋体" w:hAnsi="宋体" w:eastAsia="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2</w:t>
            </w:r>
          </w:p>
        </w:tc>
        <w:tc>
          <w:tcPr>
            <w:tcW w:w="6336" w:type="dxa"/>
            <w:noWrap w:val="0"/>
            <w:vAlign w:val="center"/>
          </w:tcPr>
          <w:p>
            <w:pPr>
              <w:pStyle w:val="22"/>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工程的安全措施得力</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分，一般得1分，否则酌情扣分</w:t>
            </w:r>
            <w:r>
              <w:rPr>
                <w:rFonts w:hint="eastAsia" w:ascii="宋体" w:hAnsi="宋体" w:eastAsia="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2</w:t>
            </w:r>
          </w:p>
        </w:tc>
        <w:tc>
          <w:tcPr>
            <w:tcW w:w="6336" w:type="dxa"/>
            <w:noWrap w:val="0"/>
            <w:vAlign w:val="center"/>
          </w:tcPr>
          <w:p>
            <w:pPr>
              <w:pStyle w:val="22"/>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文明施工措施得力得</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分，否则酌情扣分</w:t>
            </w:r>
            <w:r>
              <w:rPr>
                <w:rFonts w:hint="eastAsia" w:ascii="宋体" w:hAnsi="宋体" w:eastAsia="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pStyle w:val="87"/>
              <w:spacing w:line="3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先进性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分</w:t>
            </w: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2</w:t>
            </w:r>
          </w:p>
        </w:tc>
        <w:tc>
          <w:tcPr>
            <w:tcW w:w="6336" w:type="dxa"/>
            <w:noWrap w:val="0"/>
            <w:vAlign w:val="center"/>
          </w:tcPr>
          <w:p>
            <w:pPr>
              <w:pStyle w:val="87"/>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采用新工艺、新技术、新设备各得2分，没有不得分</w:t>
            </w:r>
            <w:r>
              <w:rPr>
                <w:rFonts w:hint="eastAsia" w:ascii="宋体" w:hAnsi="宋体" w:eastAsia="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7</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在确保工程质量前提下，有降低成本、缩短工期、减轻劳动强度提高进度提案者得</w:t>
            </w:r>
            <w:r>
              <w:rPr>
                <w:rFonts w:hint="eastAsia" w:ascii="宋体" w:hAnsi="宋体" w:eastAsia="宋体" w:cs="宋体"/>
                <w:highlight w:val="none"/>
                <w:lang w:val="en-US" w:eastAsia="zh-CN"/>
              </w:rPr>
              <w:t>7</w:t>
            </w:r>
            <w:r>
              <w:rPr>
                <w:rFonts w:hint="eastAsia" w:ascii="宋体" w:hAnsi="宋体" w:eastAsia="宋体" w:cs="宋体"/>
                <w:highlight w:val="none"/>
              </w:rPr>
              <w:t>分，方案尚可得</w:t>
            </w:r>
            <w:r>
              <w:rPr>
                <w:rFonts w:hint="eastAsia" w:ascii="宋体" w:hAnsi="宋体" w:eastAsia="宋体" w:cs="宋体"/>
                <w:highlight w:val="none"/>
                <w:lang w:val="en-US" w:eastAsia="zh-CN"/>
              </w:rPr>
              <w:t>5</w:t>
            </w:r>
            <w:r>
              <w:rPr>
                <w:rFonts w:hint="eastAsia" w:ascii="宋体" w:hAnsi="宋体" w:eastAsia="宋体" w:cs="宋体"/>
                <w:highlight w:val="none"/>
              </w:rPr>
              <w:t>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执行国家强制性条文有切实可行的保证措施各得3分，否则酌情扣分；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强制性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4</w:t>
            </w:r>
          </w:p>
        </w:tc>
        <w:tc>
          <w:tcPr>
            <w:tcW w:w="6336" w:type="dxa"/>
            <w:noWrap w:val="0"/>
            <w:vAlign w:val="center"/>
          </w:tcPr>
          <w:p>
            <w:pPr>
              <w:pStyle w:val="87"/>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制定了质量通病的防治措施、措施可行得</w:t>
            </w:r>
            <w:r>
              <w:rPr>
                <w:rFonts w:hint="eastAsia" w:ascii="宋体" w:hAnsi="宋体" w:cs="宋体"/>
                <w:sz w:val="21"/>
                <w:highlight w:val="none"/>
                <w:lang w:val="en-US" w:eastAsia="zh-CN"/>
              </w:rPr>
              <w:t>4</w:t>
            </w:r>
            <w:r>
              <w:rPr>
                <w:rFonts w:hint="eastAsia" w:ascii="宋体" w:hAnsi="宋体" w:eastAsia="宋体" w:cs="宋体"/>
                <w:sz w:val="21"/>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2</w:t>
            </w:r>
          </w:p>
        </w:tc>
        <w:tc>
          <w:tcPr>
            <w:tcW w:w="6336" w:type="dxa"/>
            <w:noWrap w:val="0"/>
            <w:vAlign w:val="center"/>
          </w:tcPr>
          <w:p>
            <w:pPr>
              <w:widowControl/>
              <w:spacing w:line="340" w:lineRule="exact"/>
              <w:jc w:val="left"/>
              <w:rPr>
                <w:rFonts w:hint="eastAsia" w:ascii="宋体" w:hAnsi="宋体" w:eastAsia="宋体" w:cs="宋体"/>
                <w:highlight w:val="none"/>
              </w:rPr>
            </w:pPr>
            <w:r>
              <w:rPr>
                <w:rFonts w:hint="eastAsia" w:ascii="宋体" w:hAnsi="宋体" w:eastAsia="宋体" w:cs="宋体"/>
                <w:highlight w:val="none"/>
              </w:rPr>
              <w:t>执行国家强制性条文、有切实可行的保证措施得</w:t>
            </w:r>
            <w:r>
              <w:rPr>
                <w:rFonts w:hint="eastAsia" w:ascii="宋体" w:hAnsi="宋体" w:eastAsia="宋体" w:cs="宋体"/>
                <w:highlight w:val="none"/>
                <w:lang w:val="en-US" w:eastAsia="zh-CN"/>
              </w:rPr>
              <w:t>2</w:t>
            </w:r>
            <w:r>
              <w:rPr>
                <w:rFonts w:hint="eastAsia" w:ascii="宋体" w:hAnsi="宋体" w:eastAsia="宋体" w:cs="宋体"/>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承诺</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2</w:t>
            </w:r>
          </w:p>
        </w:tc>
        <w:tc>
          <w:tcPr>
            <w:tcW w:w="6336" w:type="dxa"/>
            <w:noWrap w:val="0"/>
            <w:vAlign w:val="center"/>
          </w:tcPr>
          <w:p>
            <w:pPr>
              <w:widowControl/>
              <w:spacing w:line="340" w:lineRule="exact"/>
              <w:textAlignment w:val="center"/>
              <w:rPr>
                <w:rFonts w:hint="eastAsia" w:ascii="宋体" w:hAnsi="宋体" w:eastAsia="宋体" w:cs="宋体"/>
                <w:highlight w:val="none"/>
              </w:rPr>
            </w:pPr>
            <w:r>
              <w:rPr>
                <w:rFonts w:hint="eastAsia" w:ascii="宋体" w:hAnsi="宋体" w:eastAsia="宋体" w:cs="宋体"/>
                <w:highlight w:val="none"/>
              </w:rPr>
              <w:t>保修有承诺、有违约经济处罚且措施可行各得2分，否则酌情扣分；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eastAsia="宋体" w:cs="宋体"/>
                <w:highlight w:val="none"/>
                <w:lang w:val="en-US" w:eastAsia="zh-CN"/>
              </w:rPr>
              <w:t>2</w:t>
            </w:r>
          </w:p>
        </w:tc>
        <w:tc>
          <w:tcPr>
            <w:tcW w:w="6336" w:type="dxa"/>
            <w:noWrap w:val="0"/>
            <w:vAlign w:val="center"/>
          </w:tcPr>
          <w:p>
            <w:pPr>
              <w:widowControl/>
              <w:spacing w:line="340" w:lineRule="exact"/>
              <w:jc w:val="left"/>
              <w:rPr>
                <w:rFonts w:hint="eastAsia" w:ascii="宋体" w:hAnsi="宋体" w:eastAsia="宋体" w:cs="宋体"/>
                <w:highlight w:val="none"/>
              </w:rPr>
            </w:pPr>
            <w:r>
              <w:rPr>
                <w:rFonts w:hint="eastAsia" w:ascii="宋体" w:hAnsi="宋体" w:eastAsia="宋体" w:cs="宋体"/>
                <w:highlight w:val="none"/>
              </w:rPr>
              <w:t>承诺达到优质质量标准、并有切实可行质量保证措施得</w:t>
            </w:r>
            <w:r>
              <w:rPr>
                <w:rFonts w:hint="eastAsia" w:ascii="宋体" w:hAnsi="宋体" w:eastAsia="宋体" w:cs="宋体"/>
                <w:highlight w:val="none"/>
                <w:lang w:val="en-US" w:eastAsia="zh-CN"/>
              </w:rPr>
              <w:t>2</w:t>
            </w:r>
            <w:r>
              <w:rPr>
                <w:rFonts w:hint="eastAsia" w:ascii="宋体" w:hAnsi="宋体" w:eastAsia="宋体" w:cs="宋体"/>
                <w:highlight w:val="none"/>
              </w:rPr>
              <w:t>分，否则酌情扣分；达不到有违约经济处罚的得1分，否则不得分；</w:t>
            </w:r>
          </w:p>
        </w:tc>
      </w:tr>
    </w:tbl>
    <w:p>
      <w:pPr>
        <w:spacing w:beforeLines="100" w:afterLines="50" w:line="400" w:lineRule="exact"/>
        <w:ind w:firstLine="480" w:firstLineChars="200"/>
        <w:outlineLvl w:val="2"/>
        <w:rPr>
          <w:rFonts w:hint="eastAsia" w:ascii="仿宋" w:hAnsi="仿宋" w:eastAsia="仿宋" w:cs="仿宋"/>
          <w:b w:val="0"/>
          <w:bCs w:val="0"/>
          <w:color w:val="auto"/>
          <w:sz w:val="24"/>
          <w:szCs w:val="24"/>
          <w:highlight w:val="none"/>
        </w:rPr>
      </w:pPr>
    </w:p>
    <w:p>
      <w:pPr>
        <w:spacing w:beforeLines="100" w:afterLines="50" w:line="400" w:lineRule="exact"/>
        <w:ind w:firstLine="480" w:firstLineChars="200"/>
        <w:outlineLvl w:val="2"/>
        <w:rPr>
          <w:rFonts w:hint="eastAsia" w:ascii="仿宋" w:hAnsi="仿宋" w:eastAsia="仿宋" w:cs="仿宋"/>
          <w:b w:val="0"/>
          <w:bCs w:val="0"/>
          <w:color w:val="auto"/>
          <w:sz w:val="24"/>
          <w:szCs w:val="24"/>
          <w:highlight w:val="none"/>
        </w:rPr>
      </w:pPr>
      <w:bookmarkStart w:id="192" w:name="_Toc18019"/>
      <w:r>
        <w:rPr>
          <w:rFonts w:hint="eastAsia" w:ascii="仿宋" w:hAnsi="仿宋" w:eastAsia="仿宋" w:cs="仿宋"/>
          <w:b w:val="0"/>
          <w:bCs w:val="0"/>
          <w:color w:val="auto"/>
          <w:sz w:val="24"/>
          <w:szCs w:val="24"/>
          <w:highlight w:val="none"/>
        </w:rPr>
        <w:t>4.评标方法</w:t>
      </w:r>
      <w:bookmarkEnd w:id="182"/>
      <w:bookmarkEnd w:id="183"/>
      <w:bookmarkEnd w:id="184"/>
      <w:bookmarkEnd w:id="185"/>
      <w:bookmarkEnd w:id="186"/>
      <w:bookmarkEnd w:id="192"/>
    </w:p>
    <w:p>
      <w:pPr>
        <w:spacing w:line="40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项目评标办法为综合评分法。评标委员会对满足招标文件实质性要求的投标文件，按照本章第2.3、2.4款规定的评分标准进行打分，并按综合得分由高到低顺序推荐中标候选人，或根据招标人授权直接确定中标人。综合评分相等时，以投标报价低的优先；投标报价也相等的，由招标人自行确定。</w:t>
      </w:r>
    </w:p>
    <w:p>
      <w:pPr>
        <w:spacing w:beforeLines="100" w:afterLines="50" w:line="400" w:lineRule="exact"/>
        <w:ind w:firstLine="480" w:firstLineChars="200"/>
        <w:outlineLvl w:val="2"/>
        <w:rPr>
          <w:rFonts w:hint="eastAsia" w:ascii="仿宋" w:hAnsi="仿宋" w:eastAsia="仿宋" w:cs="仿宋"/>
          <w:b w:val="0"/>
          <w:bCs w:val="0"/>
          <w:color w:val="auto"/>
          <w:sz w:val="24"/>
          <w:szCs w:val="24"/>
          <w:highlight w:val="none"/>
        </w:rPr>
      </w:pPr>
      <w:bookmarkStart w:id="193" w:name="_Toc4664"/>
      <w:bookmarkStart w:id="194" w:name="_Toc16439"/>
      <w:bookmarkStart w:id="195" w:name="_Toc7399"/>
      <w:bookmarkStart w:id="196" w:name="_Toc12828"/>
      <w:bookmarkStart w:id="197" w:name="_Toc22832"/>
      <w:r>
        <w:rPr>
          <w:rFonts w:hint="eastAsia" w:ascii="仿宋" w:hAnsi="仿宋" w:eastAsia="仿宋" w:cs="仿宋"/>
          <w:b w:val="0"/>
          <w:bCs w:val="0"/>
          <w:color w:val="auto"/>
          <w:sz w:val="24"/>
          <w:szCs w:val="24"/>
          <w:highlight w:val="none"/>
        </w:rPr>
        <w:t>5.评审标准</w:t>
      </w:r>
      <w:bookmarkEnd w:id="193"/>
      <w:bookmarkEnd w:id="194"/>
      <w:bookmarkEnd w:id="195"/>
      <w:bookmarkEnd w:id="196"/>
      <w:bookmarkEnd w:id="197"/>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5.1初步评审标准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5.1.1资格性审查：详见评标办法前附表；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5.1.2符合性审查：详见评标办法前附表。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5.2分值构成与评分标准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5.2.1分值构成：详见评标办法前附表。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5.2.2评标基准价的确定：满足招标要求且投标价格最低的投标报价为评标基准价。</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有效报价：未超过最高限价的所以投标报价均为有效报价。</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5.2.3投标报价的得分计算</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投标商务得分：投标报价得分=(评标基准价／投标报价)×价格权值</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×100</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5.2.4发包人有权接受或拒绝投标人在投标文件中提出偏离、保留。发包人不接受投标人在开标后提出的优惠条件。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5.2.5评分标准：详见评标附表。</w:t>
      </w:r>
    </w:p>
    <w:p>
      <w:pPr>
        <w:spacing w:beforeLines="100" w:afterLines="50" w:line="400" w:lineRule="exact"/>
        <w:ind w:firstLine="480" w:firstLineChars="200"/>
        <w:outlineLvl w:val="2"/>
        <w:rPr>
          <w:rFonts w:hint="eastAsia" w:ascii="仿宋" w:hAnsi="仿宋" w:eastAsia="仿宋" w:cs="仿宋"/>
          <w:color w:val="auto"/>
          <w:sz w:val="24"/>
          <w:szCs w:val="24"/>
          <w:highlight w:val="none"/>
        </w:rPr>
      </w:pPr>
      <w:bookmarkStart w:id="198" w:name="_Toc15558"/>
      <w:r>
        <w:rPr>
          <w:rFonts w:hint="eastAsia" w:ascii="仿宋" w:hAnsi="仿宋" w:eastAsia="仿宋" w:cs="仿宋"/>
          <w:color w:val="auto"/>
          <w:sz w:val="24"/>
          <w:szCs w:val="24"/>
          <w:highlight w:val="none"/>
        </w:rPr>
        <w:t>6.评标程序</w:t>
      </w:r>
      <w:bookmarkEnd w:id="187"/>
      <w:bookmarkEnd w:id="188"/>
      <w:bookmarkEnd w:id="189"/>
      <w:bookmarkEnd w:id="190"/>
      <w:bookmarkEnd w:id="191"/>
      <w:bookmarkEnd w:id="198"/>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6.1初步评审</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6.1.1评标委员会可以要求投标人提交第二章“投标人须知”规定的有关证明和证件的原件，以便核验。评标委员会依据本章第2.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款规定的标准对投标文件进行初步评审。有一项不符合评审标准的，作废标处理。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6.1.2投标人有以下情形之一的，其投标作废标处理：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（1）串通投标或弄虚作假或有其他违法行为的；</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（2）不按评标委员会要求澄清、说明或补正的。</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（3）投标函中投标报价与采购清单汇总价不一致时投标文件作废标处理。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（4）提供虚假资料的其投标文件作废标处理。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（5）投标人在开标时资格审查时递交的法人授权委托书公证件原件，其内容应与投标文件的内容一致，其中委托代理人均为同一人，不一致作废标处理。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（6）评标委员会认定投标人以低于成本报价竞标的。</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（7）投标人附有招标人不能接受的条件。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（8）投标文件偏离招标文件实质性要求和条件的。</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（9）一个投标人递交两份或多分内容不同的投标文件，或在</w:t>
      </w:r>
      <w:r>
        <w:rPr>
          <w:rFonts w:hint="eastAsia" w:ascii="仿宋" w:hAnsi="仿宋" w:eastAsia="仿宋" w:cs="仿宋"/>
          <w:sz w:val="24"/>
          <w:szCs w:val="24"/>
          <w:highlight w:val="none"/>
        </w:rPr>
        <w:t>一份投标文件中对同一招标项目有两个或多个报价，且未声明哪一个报价有效的。</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6.1.3投标报价有算术错误的，评标委员会按以下原则对投标报价进行修正，修正的价格经投标人书面确认后具有约束力。投标人不接受修正价格的，其投标作废标处理。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（1）投标文件中的大写金额与小写金额不一致的，以大写金额为准；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（2）总价金额与依据单价计算出的结果不一致的，以单价金额为准修正总价，但单价金额小数点有明显错误的除外。</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6.2详细评审</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评标委员会分别进行技术评审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商务评审，在技术组评委技术评分表提交后，在进行商务评分汇总。</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6.2.1评标委员会按照本章第2</w:t>
      </w:r>
      <w:r>
        <w:rPr>
          <w:rFonts w:hint="eastAsia" w:ascii="仿宋" w:hAnsi="仿宋" w:eastAsia="仿宋" w:cs="仿宋"/>
          <w:sz w:val="24"/>
          <w:szCs w:val="24"/>
          <w:highlight w:val="none"/>
          <w:lang w:val="en-US" w:eastAsia="zh-CN"/>
        </w:rPr>
        <w:t>.3及2.4</w:t>
      </w:r>
      <w:r>
        <w:rPr>
          <w:rFonts w:hint="eastAsia" w:ascii="仿宋" w:hAnsi="仿宋" w:eastAsia="仿宋" w:cs="仿宋"/>
          <w:sz w:val="24"/>
          <w:szCs w:val="24"/>
          <w:highlight w:val="none"/>
        </w:rPr>
        <w:t>款规定的量化因素和分值进行打分,计算出综合评分得分,投标人的总得分等于评委评分的算术和的平均值。</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（1）按本章规定的评审项目及内容对技术因素部分计算出得分∑1；</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（2）按本章规定的评审项目及内容对</w:t>
      </w:r>
      <w:r>
        <w:rPr>
          <w:rFonts w:hint="eastAsia" w:ascii="仿宋" w:hAnsi="仿宋" w:eastAsia="仿宋" w:cs="仿宋"/>
          <w:sz w:val="24"/>
          <w:szCs w:val="24"/>
          <w:highlight w:val="none"/>
          <w:lang w:val="en-US" w:eastAsia="zh-CN"/>
        </w:rPr>
        <w:t>商务因素</w:t>
      </w:r>
      <w:r>
        <w:rPr>
          <w:rFonts w:hint="eastAsia" w:ascii="仿宋" w:hAnsi="仿宋" w:eastAsia="仿宋" w:cs="仿宋"/>
          <w:sz w:val="24"/>
          <w:szCs w:val="24"/>
          <w:highlight w:val="none"/>
        </w:rPr>
        <w:t>部分计算出∑2；</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6.2.2评分分值计算保留小数点后两位，小数点后第三位按“四舍五入”;</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6.2.3投标人得分：∑1+∑2</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6.3投标文件的澄清和补正</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6.3.2澄清、说明和补正不得改变投标文件的实质性内容（算术性错误修正的除外）。投标人的书面澄清、说明和补正属于投标文件的组成部分。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3.3.3评标委员会对投标人提交的澄清、说明或补正有疑问的，可以要求投标人进一步澄清、说明或补正，直至满足评标委员会的要求。</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6.4评标结果</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6.4.1评标委员会依据本章第评分标准进行评分，按评标办法前附表的约定计算投标人最终得分，根据得分由高到低的顺序推荐3名中标候选人，并标明推荐顺序。</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6.4.2评标委员会完成评标后，应当向招标人提交书面评标报告。</w:t>
      </w:r>
    </w:p>
    <w:p>
      <w:pPr>
        <w:spacing w:afterLines="50" w:line="440" w:lineRule="exact"/>
        <w:jc w:val="both"/>
        <w:outlineLvl w:val="1"/>
        <w:rPr>
          <w:rFonts w:ascii="黑体" w:hAnsi="黑体" w:eastAsia="黑体"/>
          <w:sz w:val="32"/>
          <w:szCs w:val="32"/>
        </w:rPr>
      </w:pPr>
    </w:p>
    <w:p>
      <w:pPr>
        <w:spacing w:afterLines="50" w:line="440" w:lineRule="exact"/>
        <w:jc w:val="center"/>
        <w:outlineLvl w:val="1"/>
        <w:rPr>
          <w:rFonts w:ascii="黑体" w:hAnsi="黑体" w:eastAsia="黑体"/>
          <w:sz w:val="32"/>
          <w:szCs w:val="32"/>
        </w:rPr>
      </w:pPr>
      <w:bookmarkStart w:id="199" w:name="_Toc3573"/>
    </w:p>
    <w:p>
      <w:pPr>
        <w:spacing w:afterLines="50" w:line="440" w:lineRule="exact"/>
        <w:jc w:val="center"/>
        <w:outlineLvl w:val="1"/>
        <w:rPr>
          <w:rFonts w:ascii="黑体" w:hAnsi="黑体" w:eastAsia="黑体"/>
          <w:sz w:val="32"/>
          <w:szCs w:val="32"/>
        </w:rPr>
      </w:pPr>
    </w:p>
    <w:p>
      <w:pPr>
        <w:spacing w:afterLines="50" w:line="440" w:lineRule="exact"/>
        <w:jc w:val="center"/>
        <w:outlineLvl w:val="1"/>
        <w:rPr>
          <w:rFonts w:ascii="黑体" w:hAnsi="黑体" w:eastAsia="黑体"/>
          <w:sz w:val="32"/>
          <w:szCs w:val="32"/>
        </w:rPr>
      </w:pPr>
    </w:p>
    <w:p>
      <w:pPr>
        <w:spacing w:afterLines="50" w:line="440" w:lineRule="exact"/>
        <w:jc w:val="center"/>
        <w:outlineLvl w:val="1"/>
        <w:rPr>
          <w:rFonts w:ascii="黑体" w:hAnsi="黑体" w:eastAsia="黑体"/>
          <w:sz w:val="32"/>
          <w:szCs w:val="32"/>
        </w:rPr>
      </w:pPr>
    </w:p>
    <w:p>
      <w:pPr>
        <w:spacing w:afterLines="50" w:line="440" w:lineRule="exact"/>
        <w:jc w:val="center"/>
        <w:outlineLvl w:val="1"/>
        <w:rPr>
          <w:rFonts w:ascii="黑体" w:hAnsi="黑体" w:eastAsia="黑体"/>
          <w:sz w:val="32"/>
          <w:szCs w:val="32"/>
        </w:rPr>
      </w:pPr>
    </w:p>
    <w:p>
      <w:pPr>
        <w:spacing w:afterLines="50" w:line="440" w:lineRule="exact"/>
        <w:jc w:val="center"/>
        <w:outlineLvl w:val="1"/>
        <w:rPr>
          <w:rFonts w:ascii="黑体" w:hAnsi="黑体" w:eastAsia="黑体"/>
          <w:sz w:val="32"/>
          <w:szCs w:val="32"/>
        </w:rPr>
      </w:pPr>
    </w:p>
    <w:p>
      <w:pPr>
        <w:spacing w:afterLines="50" w:line="440" w:lineRule="exact"/>
        <w:jc w:val="center"/>
        <w:outlineLvl w:val="1"/>
        <w:rPr>
          <w:rFonts w:ascii="黑体" w:hAnsi="黑体" w:eastAsia="黑体"/>
          <w:sz w:val="32"/>
          <w:szCs w:val="32"/>
        </w:rPr>
      </w:pPr>
    </w:p>
    <w:p>
      <w:pPr>
        <w:spacing w:afterLines="50" w:line="440" w:lineRule="exact"/>
        <w:jc w:val="center"/>
        <w:outlineLvl w:val="1"/>
        <w:rPr>
          <w:rFonts w:hint="eastAsia" w:ascii="黑体" w:hAnsi="黑体" w:eastAsia="黑体"/>
          <w:sz w:val="28"/>
          <w:szCs w:val="28"/>
          <w:lang w:eastAsia="zh-CN"/>
        </w:rPr>
      </w:pPr>
      <w:r>
        <w:rPr>
          <w:rFonts w:ascii="黑体" w:hAnsi="黑体" w:eastAsia="黑体"/>
          <w:sz w:val="32"/>
          <w:szCs w:val="32"/>
        </w:rPr>
        <w:t>第</w:t>
      </w:r>
      <w:r>
        <w:rPr>
          <w:rFonts w:hint="eastAsia" w:ascii="黑体" w:hAnsi="黑体" w:eastAsia="黑体"/>
          <w:sz w:val="32"/>
          <w:szCs w:val="32"/>
        </w:rPr>
        <w:t>五</w:t>
      </w:r>
      <w:r>
        <w:rPr>
          <w:rFonts w:ascii="黑体" w:hAnsi="黑体" w:eastAsia="黑体"/>
          <w:sz w:val="32"/>
          <w:szCs w:val="32"/>
        </w:rPr>
        <w:t>章</w:t>
      </w:r>
      <w:r>
        <w:rPr>
          <w:rFonts w:hint="eastAsia" w:ascii="黑体" w:hAnsi="黑体" w:eastAsia="黑体"/>
          <w:sz w:val="32"/>
          <w:szCs w:val="32"/>
        </w:rPr>
        <w:t xml:space="preserve">  签订合同、合同主要条款</w:t>
      </w:r>
      <w:bookmarkEnd w:id="163"/>
      <w:bookmarkEnd w:id="199"/>
      <w:r>
        <w:rPr>
          <w:rFonts w:hint="eastAsia" w:ascii="黑体" w:hAnsi="黑体" w:eastAsia="黑体"/>
          <w:sz w:val="32"/>
          <w:szCs w:val="32"/>
          <w:lang w:eastAsia="zh-CN"/>
        </w:rPr>
        <w:t>（参考合同）</w:t>
      </w:r>
    </w:p>
    <w:p>
      <w:pPr>
        <w:spacing w:line="400" w:lineRule="exact"/>
        <w:ind w:firstLine="480" w:firstLineChars="200"/>
        <w:rPr>
          <w:rFonts w:hint="eastAsia" w:ascii="仿宋" w:hAnsi="仿宋" w:eastAsia="仿宋" w:cs="仿宋"/>
          <w:sz w:val="24"/>
          <w:szCs w:val="24"/>
          <w:highlight w:val="none"/>
          <w:lang w:eastAsia="zh-CN"/>
        </w:rPr>
      </w:pPr>
      <w:bookmarkStart w:id="200" w:name="_Toc494455695"/>
      <w:bookmarkStart w:id="201" w:name="_Toc494455694"/>
      <w:r>
        <w:rPr>
          <w:rFonts w:hint="eastAsia" w:ascii="仿宋" w:hAnsi="仿宋" w:eastAsia="仿宋" w:cs="仿宋"/>
          <w:sz w:val="24"/>
          <w:szCs w:val="24"/>
          <w:highlight w:val="none"/>
        </w:rPr>
        <w:t>通用合同条款直接引用住房城乡建设部、国家工商行政管理总局制定</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《建设工程施工合同（示范文本）》（GF-2017-0201）（以下简称《示范文本》）</w:t>
      </w:r>
      <w:r>
        <w:rPr>
          <w:rFonts w:hint="eastAsia" w:ascii="仿宋" w:hAnsi="仿宋" w:eastAsia="仿宋" w:cs="仿宋"/>
          <w:sz w:val="24"/>
          <w:szCs w:val="24"/>
          <w:highlight w:val="none"/>
          <w:lang w:eastAsia="zh-CN"/>
        </w:rPr>
        <w:t>。</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专用合同条款</w:t>
      </w:r>
      <w:r>
        <w:rPr>
          <w:rFonts w:hint="eastAsia" w:ascii="仿宋" w:hAnsi="仿宋" w:eastAsia="仿宋" w:cs="仿宋"/>
          <w:sz w:val="24"/>
          <w:szCs w:val="24"/>
          <w:highlight w:val="none"/>
          <w:lang w:eastAsia="zh-CN"/>
        </w:rPr>
        <w:t>由</w:t>
      </w:r>
      <w:r>
        <w:rPr>
          <w:rFonts w:hint="eastAsia" w:ascii="仿宋" w:hAnsi="仿宋" w:eastAsia="仿宋" w:cs="仿宋"/>
          <w:sz w:val="24"/>
          <w:szCs w:val="24"/>
          <w:highlight w:val="none"/>
        </w:rPr>
        <w:t>甲方与中标企业签定合同时具体约定</w:t>
      </w:r>
      <w:r>
        <w:rPr>
          <w:rFonts w:hint="eastAsia" w:ascii="仿宋" w:hAnsi="仿宋" w:eastAsia="仿宋" w:cs="仿宋"/>
          <w:sz w:val="24"/>
          <w:szCs w:val="24"/>
          <w:highlight w:val="none"/>
          <w:lang w:eastAsia="zh-CN"/>
        </w:rPr>
        <w:t>。</w:t>
      </w:r>
    </w:p>
    <w:p>
      <w:pPr>
        <w:spacing w:line="400" w:lineRule="exact"/>
        <w:ind w:firstLine="480" w:firstLineChars="200"/>
        <w:rPr>
          <w:rFonts w:hint="eastAsia" w:ascii="仿宋" w:hAnsi="仿宋" w:eastAsia="仿宋" w:cs="仿宋"/>
          <w:sz w:val="24"/>
          <w:szCs w:val="24"/>
          <w:highlight w:val="none"/>
          <w:lang w:eastAsia="zh-CN"/>
        </w:rPr>
      </w:pPr>
    </w:p>
    <w:p>
      <w:pPr>
        <w:spacing w:line="400" w:lineRule="exact"/>
        <w:ind w:firstLine="480" w:firstLineChars="200"/>
        <w:rPr>
          <w:rFonts w:hint="eastAsia" w:ascii="仿宋" w:hAnsi="仿宋" w:eastAsia="仿宋" w:cs="仿宋"/>
          <w:sz w:val="24"/>
          <w:szCs w:val="24"/>
          <w:highlight w:val="none"/>
          <w:lang w:eastAsia="zh-CN"/>
        </w:rPr>
      </w:pPr>
    </w:p>
    <w:p>
      <w:pPr>
        <w:spacing w:line="400" w:lineRule="exact"/>
        <w:ind w:firstLine="480" w:firstLineChars="200"/>
        <w:rPr>
          <w:rFonts w:hint="eastAsia" w:ascii="仿宋" w:hAnsi="仿宋" w:eastAsia="仿宋" w:cs="仿宋"/>
          <w:sz w:val="24"/>
          <w:szCs w:val="24"/>
          <w:highlight w:val="none"/>
          <w:lang w:eastAsia="zh-CN"/>
        </w:rPr>
      </w:pPr>
    </w:p>
    <w:p>
      <w:pPr>
        <w:spacing w:line="400" w:lineRule="exact"/>
        <w:ind w:firstLine="480" w:firstLineChars="200"/>
        <w:rPr>
          <w:rFonts w:hint="eastAsia" w:ascii="仿宋" w:hAnsi="仿宋" w:eastAsia="仿宋" w:cs="仿宋"/>
          <w:sz w:val="24"/>
          <w:szCs w:val="24"/>
          <w:highlight w:val="none"/>
          <w:lang w:eastAsia="zh-CN"/>
        </w:rPr>
      </w:pPr>
    </w:p>
    <w:p>
      <w:pPr>
        <w:spacing w:line="4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通用条款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通用合同条款直接引用住房城乡建设部、国家工商行政管理总局（《建设工程施工合同》（GF-2013-0201）第二部分“通用合同条款”。</w:t>
      </w:r>
    </w:p>
    <w:p>
      <w:pPr>
        <w:spacing w:line="4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专用条款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1、词语定义及合同文件</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2、合同文件及解释顺序</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合同文件组成及解释顺序：协议书、合同补充协议、专用条款、本合同通用条款、变更通知、中标通知书、答疑纪要、招标文件、投标书、图纸、有关技术标准、规范。</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3、语言文字和适用法律、标准及规范</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3.1本合同使用汉语言文字。</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3.2适用法律和法规</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需要明示的法律、行政法规：《中华人民共和国建筑法》、《中华人民共和国合同法》。</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3.3适用标准、规范</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适用标准、规范的名称：执行国家建筑工程现行施工及验收规范标准以及材料、设备所涉及的现行国家、省、市或行业的工程建设标准、规范的要求。</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国内没有相应标准、规范时的约定：按生产企业在技术监督局的备案标准、并经监理工程师和业主同意。</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4、图纸</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4.1发包人向承包人提供图纸日期和套数：在合同签订5天内提供2套图纸。</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发包人对图纸的保密要求：不得外借。</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二、双方一般权利和义务</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5、工程师</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5.1监理单位委派的工程师</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发包人委托的职权：施工过程的质量、进度控制，合同管理和信息管理，施工中各种组织协调工作及全程监理。</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需要取得发包人批准才能行使的职权：重大工程洽商、设计变更、发包人指定价的认质认价等在决策之前需经业主同意。</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5.2发包人派驻的工程师</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职权：负责施工全过程内、外部关系协调、处理往来文件，对工程进度、质量、造价进行管理。</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6、项目经理    </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6.1项目经理必须由取得建造师资格的人员担任。</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7、发包人工作</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7.1发包人应按约定的时间和要求完成以下工作： </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（1）施工场地具备施工条件的要求及完成的时间：本工程开工前5日内。</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（2）将施工所需的水、电线路接至施工场地，并配备水、电表。水、电线路由施工单位安装并向发包人交纳水、电费，水电费价格按工程所在地的工业用水用电价格计收，通讯线路和设备施工单位自行解决。</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（3）水准点与坐标控制点交验要求：执行《通用条款》8.1.（6）款。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（4）图纸会审和设计交底时间：工程开工前7日内。</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（5）协调处理施工场地周围地下管线和邻近建筑物、构筑物（含文物保护建筑）、古树名木的保护工作：执行《通用条款》8.1.（8）款。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8、承包人工作</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8.1承包人应按约定时间和要求，完成以下工作：</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⑴应提供计划、报表的名称及完成时间：</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每月25日向业主、监理单位报送叁份报表。</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⑵承担施工安全保卫工作及非夜间施工照明的责任和要求：</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执行《通用条款》9.1.（5）款。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⑶需承包人办理的有关施工场地交通、环卫和施工噪声管理等手续：</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执行《通用条款》9.1.（5）款。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⑷已完工程成品保护的特殊要求及费用承担：执行《通用条款》9.1.（6）款。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⑸施工场地周围地下管线和邻近建筑物、构筑物（含文物保护建筑）、古树名木的保护要求及费用承担：</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承包方执行《通用条款》9.1.（7）款，如因施工方法不当造成损失由承包方承担。文物和管网保护费用经监理工程师和甲方项目负责人签认后由发包方承担。</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⑹施工场地清洁卫生的要求：</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执行《通用条款》9.1.（2）款。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三、施工组织设计和工期</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9、进度计划</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9.1承包人在签订合同后十日内应按投标书中的承诺向发包人提交详细的施工组织设计（或施工方案）和进度计划以及各工种按进度计划所配备的人员。</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工程师确认的时间：五日内</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10、工期延误  </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10.1双方约定工期顺延的其他情况：执行《通用条款》13条。工期不要求提前。</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四、质量与验收</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11.工程质量</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符合国家GB50300-2001各项《建筑工程质量统一验收标准》合格等级。</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12、隐蔽工程和中间验收</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12.1双方约定中间验收部位：执行《通用条款》17条。除按规定进行正常隐蔽工程验收外，中间验收部分：基础、±0、封顶。</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五、安全施工</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执行《通用条款》第五条全部条款和国家、省、市关于安全文明施工的要求规定。</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六、合同价款与支付</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13、合同价款及调整</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13.1本合同价款采用可调价格方式确定，价格调整因素为工程量变更。</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风险范围以外合同价款调整方法：因甲方设计变更应依照招标文件、答疑纪要、设计变更、现场签证、洽商文件、发包人认质认价确认及承包人中标下浮比例进行调整。因承包人未报的项目视为已包含在其他项目报价中，中标后不予调整。</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13.2双方约定合同价款的其他调整因素：不执行《通用条款》23.3条。</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14、工程预付款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15、工程量确认</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15.1承包人向监理工程师提交已完工程量报告的时间： 每月25日。</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16、工程款支付：签订工程合同时另行约定。</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17、承包人施工使用的机械设备、检测设备及所采购的材料设备</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17.1对于承包人采购的材料设备均应遵守以下约定：</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由发包人指定的材料设备必须经发包人认质认价后，承包人方可采购，按发包人认定的价格进行结算。</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八、工程变更（如若是设计合理性问题造成的变更，由承包方负责相关变更费用。）</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18．确定变更价款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18.1在本工程施工过程中，若发生设计变更，按照有关规定，其增减工程量由业主签字确认后进行结算。</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报价中未列项的零星工程发生时，以业主实际签证为准。其余情况执行《通用条款》第八条有关条款。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九、竣工验收与结算</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19、竣工验收</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19.1.承包人提供竣工图的约定：竣工验收后一个月内，交竣工图及资料文件二套。</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20、竣工结算</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20.1  承包人应在竣工验收合格后，向发包人递交竣工结算报告及完整的结算资料。发包人应按“财政部 、建设部财建［2004］369号”文件规定时限进行核对(审查)并提出审查意见。</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20.2  竣工结算经发、承包人签字盖章后有效，根据确认的竣工结算报告，承包人向发包人申请支付工程竣工结算款。发包人应在收到申请后15天内支付结算款，到期没有支付的应承担违约责任。</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20.3  如果发包人支付延误，则应在下次支付时付利息，利息从应支付之日算起，利率按国家银行发布的贷款利率计算。</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20.4竣工结算经双方签字盖章确认后15日内一次付清（除预留5%保修金外）全部工程尾款。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十、违约、索赔和争议</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21、违约</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21.1本合同中关于发包人违约的具体责任如下：</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本合同通用条款第30.3款约定发包人违约应承担的违约责任：</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《通用条款》30.3条改为：竣工结算经双方签字盖章确认后，15天内若不能如数支付除10%的保修金外的余款，从第16天起按同期银行贷款利率支付拖欠工程款的利息。</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21.2 本合同中关于承包人违约的具体责任如下：</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本合同通用条款第14.2款约定承包人违约应承担的违约责任：乙方工期每推迟一天除按5000元处罚外，若影响发包人使用时，应另赔偿由此给甲方造成的损失，赔偿限额为合同价的5%。</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本合同通用条款第15.1款约定承包人违约应承担的违约责任：承包方按合同价的2%承担违约金外，另按国务院279号令有关规定处理。</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22、争议</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22.1双方约定，在履行合同过程中产生争议时：</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首先按第（1）种方式进行调解，调解不能达成一致时按第（2）种方式解决。</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（1）请合同主管部门和造价主管部门调解；</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（2）向工程建设所在地的仲裁委员会提请仲裁或向人民法院提起诉讼。</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十一、其他</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23、工程分包</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23.1本工程发包人指定分包的工程：发包人指定的全费用价格的产成品，发包人有权指定厂家供货并安装，若由指定厂家安装时，承包人应积极配合，并会同发包人进行质量验收。</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24、不可抗力</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24.1双方关于不可抗力的约定：执行《通用条款》第39条。</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25、合同份数</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25.1双方约定合同副本份数：</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正本两份，副本陆份；发、承包双方各持正本壹份、副本叁份。</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26、补充条款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26.1承包人招聘的农民工工资，当承包人申报当期进度款计划时应一并报发包人，发包人有权监督承包人在支付的当期进度款中发放农民工工资。</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26.2本工程竣工后，施工承包人应将施工所占场地范围内的施工现场清除干净，应达到：无施工临时建筑、无建筑材料、无建筑设备、无建筑垃圾、无坑池渠沟、无掩埋的硬化道路和垃圾，场地平整。承包人未经业主许可不得乱占施工场地。</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26.3本工程要文明施工，应设立垃圾堆放地，不得在施工区内任意堆放或乱倒垃圾，并定期将建筑垃圾清理外运。</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26.4施工过程中，资料和工程进度必须同步、准确、真实。在工程竣工验收前，承包人要按规定将竣工资料交监理（或业主方）验收，由监理出据相应证明后，发包人方可组织验收。</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26.5安全管理人员必须持证上岗，并负责检查现场和施工人员安全情况。如监理和现场业主代表发现有不安全因素存在，经指出仍未纠正的，监理和现场业主代表有权要求停止施工，后果由承包人自行承担。</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26.6现场用电必须按照规定要求配置用电线路，不得使用电炉等易造成安全隐患的电器用于取暖、做饭、烧水等。如施工现场出现由于施工单位违章用电造成发包人经济损失的，承包人应承担发包人的经济损失。</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27 验收</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    1、验收按有关国家规范中的相关技术要求，验收方法参照ISO139，GB6529-86，ISO187-90，GB/T10739-2002。</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    2、所用施工材料应符合绿色环保要求，并达到室内环境检测标准。</w:t>
      </w:r>
    </w:p>
    <w:p>
      <w:pPr>
        <w:spacing w:line="400" w:lineRule="exact"/>
        <w:ind w:firstLine="480" w:firstLineChars="200"/>
        <w:rPr>
          <w:rFonts w:hint="eastAsia" w:ascii="仿宋" w:hAnsi="仿宋" w:eastAsia="仿宋" w:cs="仿宋"/>
          <w:sz w:val="24"/>
          <w:szCs w:val="24"/>
          <w:highlight w:val="none"/>
          <w:lang w:val="en-US" w:eastAsia="zh-CN"/>
        </w:rPr>
      </w:pPr>
    </w:p>
    <w:p>
      <w:pPr>
        <w:spacing w:line="400" w:lineRule="exact"/>
        <w:ind w:firstLine="480" w:firstLineChars="200"/>
        <w:rPr>
          <w:rFonts w:hint="eastAsia" w:ascii="仿宋" w:hAnsi="仿宋" w:eastAsia="仿宋" w:cs="仿宋"/>
          <w:sz w:val="24"/>
          <w:szCs w:val="24"/>
          <w:highlight w:val="none"/>
          <w:lang w:val="en-US" w:eastAsia="zh-CN"/>
        </w:rPr>
      </w:pPr>
    </w:p>
    <w:p>
      <w:pPr>
        <w:spacing w:line="400" w:lineRule="exact"/>
        <w:ind w:firstLine="480" w:firstLineChars="200"/>
        <w:rPr>
          <w:rFonts w:hint="eastAsia" w:ascii="仿宋" w:hAnsi="仿宋" w:eastAsia="仿宋" w:cs="仿宋"/>
          <w:sz w:val="24"/>
          <w:szCs w:val="24"/>
          <w:highlight w:val="none"/>
          <w:lang w:val="en-US" w:eastAsia="zh-CN"/>
        </w:rPr>
      </w:pP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合同文件格式</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1、协议书</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合同名称：</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合同编号：</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(发包人名称)    (以下称发包人)拟修建                工程，接受了   (承包人名称)  (以下称承包人)的投标，双方达成如下协议，并于     年   月   日签订了本协议书，合同总金额为人民币（大写）                       元。</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1.本协议书中的词语涵义与下述第2条所列的专用合同条款和通用合同条款中的词语涵义相同。</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2.本合同包括下列文件：</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（1）协议书(包括补充协议)；</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（2）中标通知书；</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（3）投标报价书；</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（4）专用合同条款；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（5）通用合同条款；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（6）技术条款；</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（7）图纸；</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（8）经双方确认进入合同的其它文件。</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3.承包人保证按照合同规定全面完成各项承包工作，并承担合同规定的承包人的全部义务和责任。</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4.发包人保证按照合同规定付款并承担合同规定的发包人的全部义务和责任。</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5.本协议书经双方法定代表人或其委托代理人签名并分别盖本单位公章后生效（若需公证或鉴证时尚需办理公证或鉴证手续后生效）。</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6.本合同一式    份。其中正本贰份，双方各执   份，副本陆份，发包人执   份，承包人执   份，其余副本由发包人分送有关单位。</w:t>
      </w:r>
    </w:p>
    <w:p>
      <w:pPr>
        <w:spacing w:line="400" w:lineRule="exact"/>
        <w:ind w:firstLine="480" w:firstLineChars="200"/>
        <w:rPr>
          <w:rFonts w:hint="eastAsia" w:ascii="仿宋" w:hAnsi="仿宋" w:eastAsia="仿宋" w:cs="仿宋"/>
          <w:sz w:val="24"/>
          <w:szCs w:val="24"/>
          <w:highlight w:val="none"/>
          <w:lang w:eastAsia="zh-CN"/>
        </w:rPr>
      </w:pPr>
    </w:p>
    <w:p>
      <w:pPr>
        <w:spacing w:line="400" w:lineRule="exact"/>
        <w:ind w:firstLine="480" w:firstLineChars="200"/>
        <w:rPr>
          <w:rFonts w:hint="eastAsia" w:ascii="仿宋" w:hAnsi="仿宋" w:eastAsia="仿宋" w:cs="仿宋"/>
          <w:sz w:val="24"/>
          <w:szCs w:val="24"/>
          <w:highlight w:val="none"/>
          <w:lang w:eastAsia="zh-CN"/>
        </w:rPr>
      </w:pP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发包人：(名称)                     承包人：(名称)</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(盖单位章)                       (盖单位章)</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法定代表人：    (姓名)             法定代表人：    (姓名)    </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(或委托代理人)  (签名)             (或委托代理人)  (签名) </w:t>
      </w:r>
    </w:p>
    <w:p>
      <w:pPr>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地    址：                         地    址：                 </w:t>
      </w:r>
    </w:p>
    <w:p>
      <w:pPr>
        <w:spacing w:line="400" w:lineRule="exact"/>
        <w:ind w:firstLine="480" w:firstLineChars="200"/>
        <w:rPr>
          <w:rFonts w:hint="eastAsia" w:ascii="仿宋" w:hAnsi="仿宋" w:eastAsia="仿宋" w:cs="仿宋"/>
          <w:b/>
          <w:color w:val="auto"/>
          <w:sz w:val="28"/>
          <w:szCs w:val="28"/>
          <w:lang w:eastAsia="zh-CN"/>
        </w:rPr>
      </w:pPr>
      <w:r>
        <w:rPr>
          <w:rFonts w:hint="eastAsia" w:ascii="仿宋" w:hAnsi="仿宋" w:eastAsia="仿宋" w:cs="仿宋"/>
          <w:sz w:val="24"/>
          <w:szCs w:val="24"/>
          <w:highlight w:val="none"/>
          <w:lang w:eastAsia="zh-CN"/>
        </w:rPr>
        <w:t xml:space="preserve">网    址：                         网    址：            </w:t>
      </w:r>
      <w:r>
        <w:rPr>
          <w:rFonts w:hint="eastAsia" w:ascii="仿宋" w:hAnsi="仿宋" w:eastAsia="仿宋" w:cs="仿宋"/>
          <w:b/>
          <w:color w:val="auto"/>
          <w:sz w:val="28"/>
          <w:szCs w:val="28"/>
          <w:lang w:eastAsia="zh-CN"/>
        </w:rPr>
        <w:t xml:space="preserve">    </w:t>
      </w:r>
    </w:p>
    <w:p>
      <w:pPr>
        <w:pStyle w:val="85"/>
        <w:pageBreakBefore w:val="0"/>
        <w:widowControl w:val="0"/>
        <w:kinsoku/>
        <w:wordWrap/>
        <w:overflowPunct/>
        <w:topLinePunct w:val="0"/>
        <w:autoSpaceDE/>
        <w:autoSpaceDN/>
        <w:bidi w:val="0"/>
        <w:adjustRightInd/>
        <w:snapToGrid/>
        <w:spacing w:line="460" w:lineRule="exact"/>
        <w:ind w:firstLine="560"/>
        <w:jc w:val="left"/>
        <w:textAlignment w:val="auto"/>
        <w:rPr>
          <w:rFonts w:hint="eastAsia" w:ascii="宋体" w:hAnsi="宋体" w:eastAsia="宋体" w:cs="宋体"/>
          <w:bCs/>
          <w:sz w:val="24"/>
          <w:szCs w:val="24"/>
        </w:rPr>
      </w:pPr>
      <w:r>
        <w:rPr>
          <w:rFonts w:hint="eastAsia" w:ascii="仿宋" w:hAnsi="仿宋" w:eastAsia="仿宋" w:cs="仿宋"/>
          <w:b/>
          <w:color w:val="auto"/>
          <w:sz w:val="28"/>
          <w:szCs w:val="28"/>
          <w:lang w:eastAsia="zh-CN"/>
        </w:rPr>
        <w:t>注：本合同模板仅供参考！</w:t>
      </w:r>
    </w:p>
    <w:p>
      <w:pPr>
        <w:pStyle w:val="30"/>
        <w:rPr>
          <w:rFonts w:hint="eastAsia" w:ascii="宋体" w:hAnsi="宋体" w:eastAsia="宋体" w:cs="宋体"/>
          <w:sz w:val="24"/>
          <w:highlight w:val="none"/>
          <w:lang w:eastAsia="zh-CN"/>
        </w:rPr>
      </w:pPr>
    </w:p>
    <w:p>
      <w:pPr>
        <w:widowControl/>
        <w:autoSpaceDE w:val="0"/>
        <w:autoSpaceDN w:val="0"/>
        <w:adjustRightInd w:val="0"/>
        <w:spacing w:line="440" w:lineRule="exact"/>
        <w:rPr>
          <w:rStyle w:val="39"/>
          <w:sz w:val="28"/>
          <w:szCs w:val="28"/>
          <w:lang w:val="en-GB"/>
        </w:rPr>
      </w:pPr>
    </w:p>
    <w:p>
      <w:pPr>
        <w:spacing w:afterLines="50" w:line="440" w:lineRule="exact"/>
        <w:jc w:val="center"/>
        <w:outlineLvl w:val="1"/>
        <w:rPr>
          <w:rFonts w:ascii="黑体" w:hAnsi="黑体" w:eastAsia="黑体"/>
          <w:sz w:val="32"/>
          <w:szCs w:val="32"/>
        </w:rPr>
      </w:pPr>
    </w:p>
    <w:p>
      <w:pPr>
        <w:pStyle w:val="4"/>
        <w:rPr>
          <w:rFonts w:ascii="黑体" w:hAnsi="黑体" w:eastAsia="黑体"/>
          <w:sz w:val="32"/>
          <w:szCs w:val="32"/>
        </w:rPr>
      </w:pPr>
    </w:p>
    <w:p>
      <w:pPr>
        <w:rPr>
          <w:rFonts w:ascii="黑体" w:hAnsi="黑体" w:eastAsia="黑体"/>
          <w:sz w:val="32"/>
          <w:szCs w:val="32"/>
        </w:rPr>
      </w:pPr>
    </w:p>
    <w:p>
      <w:pPr>
        <w:pStyle w:val="4"/>
        <w:rPr>
          <w:rFonts w:ascii="黑体" w:hAnsi="黑体" w:eastAsia="黑体"/>
          <w:sz w:val="32"/>
          <w:szCs w:val="32"/>
        </w:rPr>
      </w:pPr>
    </w:p>
    <w:p>
      <w:pPr>
        <w:rPr>
          <w:rFonts w:ascii="黑体" w:hAnsi="黑体" w:eastAsia="黑体"/>
          <w:sz w:val="32"/>
          <w:szCs w:val="32"/>
        </w:rPr>
      </w:pPr>
    </w:p>
    <w:p>
      <w:pPr>
        <w:pStyle w:val="4"/>
        <w:rPr>
          <w:rFonts w:ascii="黑体" w:hAnsi="黑体" w:eastAsia="黑体"/>
          <w:sz w:val="32"/>
          <w:szCs w:val="32"/>
        </w:rPr>
      </w:pPr>
    </w:p>
    <w:p>
      <w:pPr>
        <w:rPr>
          <w:rFonts w:ascii="黑体" w:hAnsi="黑体" w:eastAsia="黑体"/>
          <w:sz w:val="32"/>
          <w:szCs w:val="32"/>
        </w:rPr>
      </w:pPr>
    </w:p>
    <w:p>
      <w:pPr>
        <w:pStyle w:val="4"/>
      </w:pPr>
    </w:p>
    <w:p>
      <w:pPr>
        <w:spacing w:afterLines="50" w:line="440" w:lineRule="exact"/>
        <w:jc w:val="center"/>
        <w:outlineLvl w:val="1"/>
        <w:rPr>
          <w:rFonts w:ascii="黑体" w:hAnsi="黑体" w:eastAsia="黑体"/>
          <w:sz w:val="32"/>
          <w:szCs w:val="32"/>
        </w:rPr>
      </w:pPr>
      <w:bookmarkStart w:id="202" w:name="_Toc30423"/>
    </w:p>
    <w:p>
      <w:pPr>
        <w:spacing w:afterLines="50" w:line="440" w:lineRule="exact"/>
        <w:jc w:val="center"/>
        <w:outlineLvl w:val="1"/>
        <w:rPr>
          <w:rFonts w:ascii="黑体" w:hAnsi="黑体" w:eastAsia="黑体"/>
          <w:sz w:val="32"/>
          <w:szCs w:val="32"/>
        </w:rPr>
      </w:pPr>
    </w:p>
    <w:p>
      <w:pPr>
        <w:spacing w:afterLines="50" w:line="440" w:lineRule="exact"/>
        <w:jc w:val="center"/>
        <w:outlineLvl w:val="1"/>
        <w:rPr>
          <w:rFonts w:ascii="黑体" w:hAnsi="黑体" w:eastAsia="黑体"/>
          <w:sz w:val="32"/>
          <w:szCs w:val="32"/>
        </w:rPr>
      </w:pPr>
    </w:p>
    <w:p>
      <w:pPr>
        <w:spacing w:afterLines="50" w:line="440" w:lineRule="exact"/>
        <w:jc w:val="center"/>
        <w:outlineLvl w:val="1"/>
        <w:rPr>
          <w:rFonts w:ascii="黑体" w:hAnsi="黑体" w:eastAsia="黑体"/>
          <w:sz w:val="32"/>
          <w:szCs w:val="32"/>
        </w:rPr>
      </w:pPr>
    </w:p>
    <w:p>
      <w:pPr>
        <w:spacing w:afterLines="50" w:line="440" w:lineRule="exact"/>
        <w:jc w:val="center"/>
        <w:outlineLvl w:val="1"/>
        <w:rPr>
          <w:rFonts w:ascii="黑体" w:hAnsi="黑体" w:eastAsia="黑体"/>
          <w:sz w:val="32"/>
          <w:szCs w:val="32"/>
        </w:rPr>
      </w:pPr>
    </w:p>
    <w:p>
      <w:pPr>
        <w:spacing w:afterLines="50" w:line="440" w:lineRule="exact"/>
        <w:jc w:val="center"/>
        <w:outlineLvl w:val="1"/>
        <w:rPr>
          <w:rFonts w:ascii="黑体" w:hAnsi="黑体" w:eastAsia="黑体"/>
          <w:sz w:val="32"/>
          <w:szCs w:val="32"/>
        </w:rPr>
      </w:pPr>
    </w:p>
    <w:p>
      <w:pPr>
        <w:spacing w:afterLines="50" w:line="440" w:lineRule="exact"/>
        <w:jc w:val="center"/>
        <w:outlineLvl w:val="1"/>
        <w:rPr>
          <w:rFonts w:ascii="黑体" w:hAnsi="黑体" w:eastAsia="黑体"/>
          <w:sz w:val="32"/>
          <w:szCs w:val="32"/>
        </w:rPr>
      </w:pPr>
    </w:p>
    <w:p>
      <w:pPr>
        <w:spacing w:afterLines="50" w:line="440" w:lineRule="exact"/>
        <w:jc w:val="center"/>
        <w:outlineLvl w:val="1"/>
        <w:rPr>
          <w:rFonts w:ascii="黑体" w:hAnsi="黑体" w:eastAsia="黑体"/>
          <w:sz w:val="32"/>
          <w:szCs w:val="32"/>
        </w:rPr>
      </w:pPr>
    </w:p>
    <w:p>
      <w:pPr>
        <w:spacing w:afterLines="50" w:line="440" w:lineRule="exact"/>
        <w:jc w:val="center"/>
        <w:outlineLvl w:val="1"/>
        <w:rPr>
          <w:rFonts w:ascii="黑体" w:hAnsi="黑体" w:eastAsia="黑体"/>
          <w:sz w:val="32"/>
          <w:szCs w:val="32"/>
        </w:rPr>
      </w:pPr>
    </w:p>
    <w:p>
      <w:pPr>
        <w:spacing w:afterLines="50" w:line="440" w:lineRule="exact"/>
        <w:jc w:val="center"/>
        <w:outlineLvl w:val="1"/>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章</w:t>
      </w:r>
      <w:r>
        <w:rPr>
          <w:rFonts w:hint="eastAsia" w:ascii="黑体" w:hAnsi="黑体" w:eastAsia="黑体"/>
          <w:sz w:val="32"/>
          <w:szCs w:val="32"/>
        </w:rPr>
        <w:t xml:space="preserve">  投标文件</w:t>
      </w:r>
      <w:bookmarkEnd w:id="200"/>
      <w:r>
        <w:rPr>
          <w:rFonts w:hint="eastAsia" w:ascii="黑体" w:hAnsi="黑体" w:eastAsia="黑体"/>
          <w:sz w:val="32"/>
          <w:szCs w:val="32"/>
        </w:rPr>
        <w:t>格式</w:t>
      </w:r>
      <w:bookmarkEnd w:id="202"/>
    </w:p>
    <w:p>
      <w:pPr>
        <w:spacing w:afterLines="50" w:line="440" w:lineRule="exact"/>
        <w:jc w:val="right"/>
        <w:rPr>
          <w:rFonts w:ascii="黑体" w:hAnsi="黑体" w:eastAsia="黑体" w:cs="黑体"/>
          <w:kern w:val="1"/>
          <w:sz w:val="36"/>
          <w:szCs w:val="36"/>
        </w:rPr>
      </w:pPr>
      <w:r>
        <w:rPr>
          <w:rFonts w:hint="eastAsia" w:ascii="黑体" w:hAnsi="黑体" w:eastAsia="黑体" w:cs="黑体"/>
          <w:kern w:val="1"/>
          <w:sz w:val="36"/>
          <w:szCs w:val="36"/>
        </w:rPr>
        <w:br w:type="page"/>
      </w:r>
    </w:p>
    <w:bookmarkEnd w:id="201"/>
    <w:p>
      <w:pPr>
        <w:pStyle w:val="4"/>
        <w:rPr>
          <w:rFonts w:hint="eastAsia" w:ascii="宋体" w:hAnsi="宋体" w:cs="宋体"/>
        </w:rPr>
      </w:pPr>
      <w:bookmarkStart w:id="203" w:name="_Toc12421"/>
      <w:bookmarkStart w:id="204" w:name="_Toc22294"/>
      <w:bookmarkStart w:id="205" w:name="_Toc507582926"/>
      <w:r>
        <w:rPr>
          <w:rFonts w:hint="eastAsia" w:ascii="宋体" w:hAnsi="宋体" w:cs="宋体"/>
        </w:rPr>
        <w:t>一、</w:t>
      </w:r>
      <w:r>
        <w:rPr>
          <w:rFonts w:hint="eastAsia" w:ascii="宋体" w:hAnsi="宋体" w:cs="宋体"/>
          <w:lang w:eastAsia="zh-CN"/>
        </w:rPr>
        <w:t>投标</w:t>
      </w:r>
      <w:r>
        <w:rPr>
          <w:rFonts w:hint="eastAsia" w:ascii="宋体" w:hAnsi="宋体" w:cs="宋体"/>
        </w:rPr>
        <w:t>文件封面</w:t>
      </w:r>
      <w:bookmarkEnd w:id="203"/>
      <w:bookmarkEnd w:id="204"/>
      <w:bookmarkEnd w:id="205"/>
    </w:p>
    <w:p>
      <w:pPr>
        <w:pStyle w:val="88"/>
        <w:spacing w:line="360" w:lineRule="auto"/>
        <w:rPr>
          <w:rFonts w:hint="eastAsia" w:ascii="宋体" w:hAnsi="宋体" w:cs="宋体"/>
          <w:b/>
          <w:color w:val="000000"/>
          <w:sz w:val="24"/>
        </w:rPr>
      </w:pPr>
    </w:p>
    <w:p>
      <w:pPr>
        <w:pStyle w:val="88"/>
        <w:spacing w:line="360" w:lineRule="auto"/>
        <w:jc w:val="center"/>
        <w:rPr>
          <w:rFonts w:hint="eastAsia" w:ascii="宋体" w:hAnsi="宋体" w:cs="宋体"/>
          <w:color w:val="000000"/>
          <w:sz w:val="24"/>
        </w:rPr>
      </w:pPr>
    </w:p>
    <w:p>
      <w:pPr>
        <w:pStyle w:val="88"/>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（项目名称）</w:t>
      </w:r>
    </w:p>
    <w:p>
      <w:pPr>
        <w:pStyle w:val="88"/>
        <w:spacing w:line="360" w:lineRule="auto"/>
        <w:jc w:val="center"/>
        <w:rPr>
          <w:rFonts w:hint="eastAsia" w:ascii="宋体" w:hAnsi="宋体" w:cs="宋体"/>
          <w:color w:val="000000"/>
          <w:sz w:val="28"/>
          <w:szCs w:val="28"/>
        </w:rPr>
      </w:pPr>
    </w:p>
    <w:p>
      <w:pPr>
        <w:pStyle w:val="88"/>
        <w:spacing w:line="360" w:lineRule="auto"/>
        <w:ind w:firstLine="1680" w:firstLineChars="600"/>
        <w:rPr>
          <w:rFonts w:hint="eastAsia" w:ascii="宋体" w:hAnsi="宋体" w:cs="宋体"/>
          <w:color w:val="000000"/>
          <w:sz w:val="28"/>
          <w:szCs w:val="28"/>
        </w:rPr>
      </w:pPr>
      <w:r>
        <w:rPr>
          <w:rFonts w:hint="eastAsia" w:ascii="宋体" w:hAnsi="宋体" w:cs="宋体"/>
          <w:color w:val="000000"/>
          <w:sz w:val="28"/>
          <w:szCs w:val="28"/>
        </w:rPr>
        <w:t xml:space="preserve">     </w:t>
      </w:r>
    </w:p>
    <w:p>
      <w:pPr>
        <w:pStyle w:val="88"/>
        <w:spacing w:line="360" w:lineRule="auto"/>
        <w:jc w:val="center"/>
        <w:rPr>
          <w:rFonts w:hint="eastAsia" w:ascii="宋体" w:hAnsi="宋体" w:cs="宋体"/>
          <w:color w:val="000000"/>
          <w:sz w:val="24"/>
        </w:rPr>
      </w:pPr>
    </w:p>
    <w:p>
      <w:pPr>
        <w:pStyle w:val="88"/>
        <w:spacing w:line="360" w:lineRule="auto"/>
        <w:jc w:val="center"/>
        <w:rPr>
          <w:rFonts w:hint="eastAsia" w:ascii="宋体" w:hAnsi="宋体" w:cs="宋体"/>
          <w:color w:val="000000"/>
          <w:sz w:val="24"/>
        </w:rPr>
      </w:pPr>
    </w:p>
    <w:p>
      <w:pPr>
        <w:pStyle w:val="88"/>
        <w:spacing w:line="360" w:lineRule="auto"/>
        <w:jc w:val="center"/>
        <w:rPr>
          <w:rFonts w:hint="eastAsia" w:ascii="宋体" w:hAnsi="宋体" w:cs="宋体"/>
          <w:b/>
          <w:sz w:val="52"/>
          <w:szCs w:val="52"/>
        </w:rPr>
      </w:pPr>
      <w:r>
        <w:rPr>
          <w:rFonts w:hint="eastAsia" w:ascii="宋体" w:hAnsi="宋体" w:cs="宋体"/>
          <w:b/>
          <w:sz w:val="52"/>
          <w:szCs w:val="52"/>
          <w:lang w:eastAsia="zh-CN"/>
        </w:rPr>
        <w:t>投标</w:t>
      </w:r>
      <w:r>
        <w:rPr>
          <w:rFonts w:hint="eastAsia" w:ascii="宋体" w:hAnsi="宋体" w:cs="宋体"/>
          <w:b/>
          <w:sz w:val="52"/>
          <w:szCs w:val="52"/>
        </w:rPr>
        <w:t>文件</w:t>
      </w:r>
    </w:p>
    <w:p>
      <w:pPr>
        <w:pStyle w:val="88"/>
        <w:spacing w:line="360" w:lineRule="auto"/>
        <w:jc w:val="center"/>
        <w:rPr>
          <w:rFonts w:hint="eastAsia" w:ascii="宋体" w:hAnsi="宋体" w:cs="宋体"/>
          <w:color w:val="000000"/>
          <w:sz w:val="24"/>
        </w:rPr>
      </w:pPr>
    </w:p>
    <w:p>
      <w:pPr>
        <w:pStyle w:val="88"/>
        <w:spacing w:line="360" w:lineRule="auto"/>
        <w:jc w:val="center"/>
        <w:rPr>
          <w:rFonts w:hint="eastAsia" w:ascii="宋体" w:hAnsi="宋体" w:cs="宋体"/>
          <w:color w:val="000000"/>
          <w:sz w:val="24"/>
        </w:rPr>
      </w:pPr>
    </w:p>
    <w:p>
      <w:pPr>
        <w:pStyle w:val="88"/>
        <w:spacing w:line="360" w:lineRule="auto"/>
        <w:jc w:val="center"/>
        <w:rPr>
          <w:rFonts w:hint="eastAsia" w:ascii="宋体" w:hAnsi="宋体" w:cs="宋体"/>
          <w:b/>
          <w:color w:val="000000"/>
          <w:sz w:val="24"/>
        </w:rPr>
      </w:pPr>
    </w:p>
    <w:p>
      <w:pPr>
        <w:pStyle w:val="88"/>
        <w:spacing w:line="360" w:lineRule="auto"/>
        <w:jc w:val="center"/>
        <w:rPr>
          <w:rFonts w:hint="eastAsia" w:ascii="宋体" w:hAnsi="宋体" w:cs="宋体"/>
          <w:b/>
          <w:color w:val="000000"/>
          <w:sz w:val="24"/>
        </w:rPr>
      </w:pPr>
    </w:p>
    <w:p>
      <w:pPr>
        <w:pStyle w:val="88"/>
        <w:spacing w:line="360" w:lineRule="auto"/>
        <w:jc w:val="center"/>
        <w:rPr>
          <w:rFonts w:hint="eastAsia" w:ascii="宋体" w:hAnsi="宋体" w:cs="宋体"/>
          <w:b/>
          <w:color w:val="000000"/>
          <w:sz w:val="24"/>
        </w:rPr>
      </w:pPr>
    </w:p>
    <w:p>
      <w:pPr>
        <w:pStyle w:val="88"/>
        <w:spacing w:line="360" w:lineRule="auto"/>
        <w:jc w:val="center"/>
        <w:rPr>
          <w:rFonts w:hint="eastAsia" w:ascii="宋体" w:hAnsi="宋体" w:cs="宋体"/>
          <w:b/>
          <w:color w:val="000000"/>
          <w:sz w:val="24"/>
        </w:rPr>
      </w:pPr>
    </w:p>
    <w:p>
      <w:pPr>
        <w:pStyle w:val="88"/>
        <w:spacing w:line="360" w:lineRule="auto"/>
        <w:jc w:val="center"/>
        <w:rPr>
          <w:rFonts w:hint="eastAsia" w:ascii="宋体" w:hAnsi="宋体" w:cs="宋体"/>
          <w:b/>
          <w:color w:val="000000"/>
          <w:sz w:val="24"/>
        </w:rPr>
      </w:pPr>
    </w:p>
    <w:p>
      <w:pPr>
        <w:pStyle w:val="88"/>
        <w:spacing w:line="360" w:lineRule="auto"/>
        <w:jc w:val="center"/>
        <w:rPr>
          <w:rFonts w:hint="eastAsia" w:ascii="宋体" w:hAnsi="宋体" w:cs="宋体"/>
          <w:b/>
          <w:color w:val="000000"/>
          <w:sz w:val="24"/>
        </w:rPr>
      </w:pPr>
    </w:p>
    <w:p>
      <w:pPr>
        <w:pStyle w:val="88"/>
        <w:spacing w:line="360" w:lineRule="auto"/>
        <w:jc w:val="center"/>
        <w:rPr>
          <w:rFonts w:hint="eastAsia" w:ascii="宋体" w:hAnsi="宋体" w:cs="宋体"/>
          <w:color w:val="000000"/>
          <w:sz w:val="28"/>
          <w:szCs w:val="28"/>
          <w:u w:val="single"/>
        </w:rPr>
      </w:pPr>
      <w:r>
        <w:rPr>
          <w:rFonts w:hint="eastAsia" w:ascii="宋体" w:hAnsi="宋体" w:cs="宋体"/>
          <w:color w:val="000000"/>
          <w:sz w:val="28"/>
          <w:szCs w:val="28"/>
        </w:rPr>
        <w:t>投标人</w:t>
      </w:r>
      <w:r>
        <w:rPr>
          <w:rFonts w:hint="eastAsia" w:ascii="宋体" w:hAnsi="宋体" w:cs="宋体"/>
          <w:color w:val="000000"/>
          <w:sz w:val="28"/>
          <w:szCs w:val="28"/>
          <w:lang w:eastAsia="zh-CN"/>
        </w:rPr>
        <w:t>：</w:t>
      </w:r>
      <w:r>
        <w:rPr>
          <w:rFonts w:hint="eastAsia" w:ascii="宋体" w:hAnsi="宋体" w:cs="宋体"/>
          <w:color w:val="000000"/>
          <w:sz w:val="28"/>
          <w:szCs w:val="28"/>
          <w:u w:val="single"/>
        </w:rPr>
        <w:t xml:space="preserve">                     </w:t>
      </w:r>
      <w:r>
        <w:rPr>
          <w:rFonts w:hint="eastAsia" w:ascii="宋体" w:hAnsi="宋体" w:cs="宋体"/>
          <w:sz w:val="28"/>
          <w:szCs w:val="28"/>
        </w:rPr>
        <w:t>（签章）</w:t>
      </w:r>
    </w:p>
    <w:p>
      <w:pPr>
        <w:pStyle w:val="88"/>
        <w:spacing w:line="360" w:lineRule="auto"/>
        <w:rPr>
          <w:rFonts w:hint="eastAsia" w:ascii="宋体" w:hAnsi="宋体" w:cs="宋体"/>
          <w:color w:val="000000"/>
          <w:sz w:val="28"/>
          <w:szCs w:val="28"/>
        </w:rPr>
      </w:pPr>
      <w:r>
        <w:rPr>
          <w:rFonts w:hint="eastAsia" w:ascii="宋体" w:hAnsi="宋体" w:cs="宋体"/>
          <w:color w:val="000000"/>
          <w:sz w:val="28"/>
          <w:szCs w:val="28"/>
        </w:rPr>
        <w:t>法定代表人</w:t>
      </w:r>
      <w:r>
        <w:rPr>
          <w:rFonts w:hint="eastAsia" w:ascii="宋体" w:hAnsi="宋体" w:cs="宋体"/>
          <w:color w:val="000000"/>
          <w:sz w:val="28"/>
          <w:szCs w:val="28"/>
          <w:lang w:eastAsia="zh-CN"/>
        </w:rPr>
        <w:t>或其授权委托人：</w:t>
      </w:r>
      <w:r>
        <w:rPr>
          <w:rFonts w:hint="eastAsia" w:ascii="宋体" w:hAnsi="宋体" w:cs="宋体"/>
          <w:color w:val="000000"/>
          <w:sz w:val="28"/>
          <w:szCs w:val="28"/>
          <w:u w:val="single"/>
        </w:rPr>
        <w:t xml:space="preserve">                   </w:t>
      </w:r>
      <w:r>
        <w:rPr>
          <w:rFonts w:hint="eastAsia" w:ascii="宋体" w:hAnsi="宋体" w:cs="宋体"/>
          <w:color w:val="000000"/>
          <w:sz w:val="28"/>
          <w:szCs w:val="28"/>
        </w:rPr>
        <w:t>（</w:t>
      </w:r>
      <w:r>
        <w:rPr>
          <w:rFonts w:hint="eastAsia" w:ascii="宋体" w:hAnsi="宋体" w:cs="宋体"/>
          <w:color w:val="000000"/>
          <w:sz w:val="28"/>
          <w:szCs w:val="28"/>
          <w:lang w:eastAsia="zh-CN"/>
        </w:rPr>
        <w:t>签字或盖章</w:t>
      </w:r>
      <w:r>
        <w:rPr>
          <w:rFonts w:hint="eastAsia" w:ascii="宋体" w:hAnsi="宋体" w:cs="宋体"/>
          <w:color w:val="000000"/>
          <w:sz w:val="28"/>
          <w:szCs w:val="28"/>
        </w:rPr>
        <w:t>）</w:t>
      </w:r>
    </w:p>
    <w:p>
      <w:pPr>
        <w:pStyle w:val="88"/>
        <w:spacing w:line="360" w:lineRule="auto"/>
        <w:jc w:val="center"/>
        <w:rPr>
          <w:rFonts w:hint="eastAsia" w:ascii="宋体" w:hAnsi="宋体" w:cs="宋体"/>
          <w:color w:val="000000"/>
          <w:sz w:val="28"/>
          <w:szCs w:val="28"/>
          <w:u w:val="single"/>
        </w:rPr>
      </w:pPr>
      <w:r>
        <w:rPr>
          <w:rFonts w:hint="eastAsia" w:ascii="宋体" w:hAnsi="宋体" w:cs="宋体"/>
          <w:color w:val="000000"/>
          <w:sz w:val="28"/>
          <w:szCs w:val="28"/>
        </w:rPr>
        <w:t>日期</w:t>
      </w:r>
      <w:r>
        <w:rPr>
          <w:rFonts w:hint="eastAsia" w:ascii="宋体" w:hAnsi="宋体" w:cs="宋体"/>
          <w:color w:val="000000"/>
          <w:sz w:val="28"/>
          <w:szCs w:val="28"/>
          <w:lang w:eastAsia="zh-CN"/>
        </w:rPr>
        <w:t>：</w:t>
      </w:r>
      <w:r>
        <w:rPr>
          <w:rFonts w:hint="eastAsia" w:ascii="宋体" w:hAnsi="宋体" w:cs="宋体"/>
          <w:color w:val="000000"/>
          <w:sz w:val="28"/>
          <w:szCs w:val="28"/>
          <w:u w:val="single"/>
        </w:rPr>
        <w:t xml:space="preserve">                   </w:t>
      </w:r>
      <w:r>
        <w:rPr>
          <w:rFonts w:hint="eastAsia" w:ascii="宋体" w:hAnsi="宋体" w:cs="宋体"/>
          <w:color w:val="000000"/>
          <w:sz w:val="28"/>
          <w:szCs w:val="28"/>
        </w:rPr>
        <w:t>（年/月/日）</w:t>
      </w:r>
    </w:p>
    <w:p>
      <w:pPr>
        <w:spacing w:line="360" w:lineRule="auto"/>
        <w:rPr>
          <w:rFonts w:hint="eastAsia" w:ascii="宋体" w:hAnsi="宋体" w:cs="宋体"/>
        </w:rPr>
      </w:pPr>
    </w:p>
    <w:p>
      <w:pPr>
        <w:spacing w:line="360" w:lineRule="auto"/>
        <w:rPr>
          <w:rFonts w:hint="eastAsia" w:ascii="宋体" w:hAnsi="宋体" w:cs="宋体"/>
        </w:rPr>
      </w:pPr>
    </w:p>
    <w:p>
      <w:pPr>
        <w:spacing w:after="312" w:afterLines="100" w:line="360" w:lineRule="auto"/>
        <w:jc w:val="center"/>
        <w:rPr>
          <w:rFonts w:hint="eastAsia" w:ascii="宋体" w:hAnsi="宋体" w:cs="宋体"/>
          <w:b/>
          <w:bCs/>
          <w:sz w:val="28"/>
          <w:szCs w:val="28"/>
        </w:rPr>
      </w:pPr>
      <w:r>
        <w:rPr>
          <w:rFonts w:hint="eastAsia" w:ascii="宋体" w:hAnsi="宋体" w:cs="宋体"/>
          <w:lang w:eastAsia="zh-CN"/>
        </w:rPr>
        <w:t>注：需加盖单位公章。</w:t>
      </w:r>
      <w:r>
        <w:rPr>
          <w:rFonts w:hint="eastAsia" w:ascii="宋体" w:hAnsi="宋体" w:cs="宋体"/>
        </w:rPr>
        <w:br w:type="page"/>
      </w:r>
      <w:r>
        <w:rPr>
          <w:rFonts w:hint="eastAsia" w:ascii="宋体" w:hAnsi="宋体" w:cs="宋体"/>
          <w:b/>
          <w:bCs/>
          <w:sz w:val="28"/>
          <w:szCs w:val="28"/>
        </w:rPr>
        <w:t>目 录</w:t>
      </w:r>
      <w:r>
        <w:rPr>
          <w:rFonts w:hint="eastAsia" w:ascii="宋体" w:hAnsi="宋体" w:cs="宋体"/>
          <w:lang w:eastAsia="zh-CN"/>
        </w:rPr>
        <w:t>（参考）</w:t>
      </w:r>
    </w:p>
    <w:p>
      <w:pPr>
        <w:autoSpaceDE w:val="0"/>
        <w:autoSpaceDN w:val="0"/>
        <w:adjustRightInd w:val="0"/>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zh-CN" w:eastAsia="zh-CN"/>
        </w:rPr>
        <w:t>一、</w:t>
      </w:r>
      <w:r>
        <w:rPr>
          <w:rFonts w:hint="eastAsia" w:ascii="宋体" w:hAnsi="宋体" w:eastAsia="宋体" w:cs="宋体"/>
          <w:sz w:val="24"/>
          <w:lang w:val="en-US" w:eastAsia="zh-CN"/>
        </w:rPr>
        <w:t>投标文件封面</w:t>
      </w:r>
    </w:p>
    <w:p>
      <w:pPr>
        <w:autoSpaceDE w:val="0"/>
        <w:autoSpaceDN w:val="0"/>
        <w:adjustRightInd w:val="0"/>
        <w:spacing w:line="360" w:lineRule="auto"/>
        <w:ind w:firstLine="480" w:firstLineChars="200"/>
        <w:jc w:val="left"/>
        <w:rPr>
          <w:rFonts w:hint="eastAsia" w:ascii="宋体" w:hAnsi="宋体" w:eastAsia="宋体" w:cs="宋体"/>
          <w:sz w:val="24"/>
          <w:lang w:val="zh-CN" w:eastAsia="zh-CN"/>
        </w:rPr>
      </w:pPr>
      <w:r>
        <w:rPr>
          <w:rFonts w:hint="eastAsia" w:ascii="宋体" w:hAnsi="宋体" w:eastAsia="宋体" w:cs="宋体"/>
          <w:sz w:val="24"/>
          <w:lang w:val="en-US" w:eastAsia="zh-CN"/>
        </w:rPr>
        <w:t>二</w:t>
      </w:r>
      <w:r>
        <w:rPr>
          <w:rFonts w:hint="eastAsia" w:ascii="宋体" w:hAnsi="宋体" w:eastAsia="宋体" w:cs="宋体"/>
          <w:sz w:val="24"/>
          <w:lang w:val="zh-CN" w:eastAsia="zh-CN"/>
        </w:rPr>
        <w:t>、</w:t>
      </w:r>
      <w:r>
        <w:rPr>
          <w:rFonts w:hint="eastAsia" w:ascii="宋体" w:hAnsi="宋体" w:eastAsia="宋体" w:cs="宋体"/>
          <w:sz w:val="24"/>
          <w:lang w:val="en-US" w:eastAsia="zh-CN"/>
        </w:rPr>
        <w:t>资格证明文件</w:t>
      </w:r>
    </w:p>
    <w:p>
      <w:pPr>
        <w:autoSpaceDE w:val="0"/>
        <w:autoSpaceDN w:val="0"/>
        <w:adjustRightInd w:val="0"/>
        <w:spacing w:line="360" w:lineRule="auto"/>
        <w:ind w:firstLine="480" w:firstLineChars="200"/>
        <w:jc w:val="left"/>
        <w:rPr>
          <w:rFonts w:hint="eastAsia" w:ascii="宋体" w:hAnsi="宋体" w:eastAsia="宋体" w:cs="宋体"/>
          <w:sz w:val="24"/>
          <w:lang w:val="zh-CN" w:eastAsia="zh-CN"/>
        </w:rPr>
      </w:pPr>
      <w:r>
        <w:rPr>
          <w:rFonts w:hint="eastAsia" w:ascii="宋体" w:hAnsi="宋体" w:eastAsia="宋体" w:cs="宋体"/>
          <w:sz w:val="24"/>
          <w:lang w:val="en-US" w:eastAsia="zh-CN"/>
        </w:rPr>
        <w:t>三、商务报价文件</w:t>
      </w:r>
    </w:p>
    <w:p>
      <w:pPr>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en-US" w:eastAsia="zh-CN"/>
        </w:rPr>
        <w:t>四</w:t>
      </w:r>
      <w:r>
        <w:rPr>
          <w:rFonts w:hint="eastAsia" w:ascii="宋体" w:hAnsi="宋体" w:cs="宋体"/>
          <w:sz w:val="24"/>
          <w:lang w:val="zh-CN"/>
        </w:rPr>
        <w:t>、</w:t>
      </w:r>
      <w:r>
        <w:rPr>
          <w:rFonts w:hint="eastAsia" w:ascii="宋体" w:hAnsi="宋体" w:cs="宋体"/>
          <w:sz w:val="24"/>
          <w:lang w:val="en-US" w:eastAsia="zh-CN"/>
        </w:rPr>
        <w:t>技术文件</w:t>
      </w:r>
    </w:p>
    <w:p>
      <w:pPr>
        <w:autoSpaceDE w:val="0"/>
        <w:autoSpaceDN w:val="0"/>
        <w:adjustRightInd w:val="0"/>
        <w:spacing w:line="360" w:lineRule="auto"/>
        <w:ind w:firstLine="480" w:firstLineChars="200"/>
        <w:jc w:val="left"/>
        <w:rPr>
          <w:rFonts w:hint="eastAsia" w:ascii="宋体" w:hAnsi="宋体" w:cs="宋体"/>
        </w:rPr>
      </w:pPr>
      <w:r>
        <w:rPr>
          <w:rFonts w:hint="eastAsia" w:ascii="宋体" w:hAnsi="宋体" w:cs="宋体"/>
          <w:sz w:val="24"/>
          <w:lang w:val="en-US" w:eastAsia="zh-CN"/>
        </w:rPr>
        <w:t>五、项目管理机构</w:t>
      </w:r>
    </w:p>
    <w:p>
      <w:pPr>
        <w:pStyle w:val="4"/>
        <w:jc w:val="center"/>
        <w:rPr>
          <w:rFonts w:hint="eastAsia" w:ascii="宋体" w:hAnsi="宋体" w:cs="宋体"/>
        </w:rPr>
      </w:pPr>
      <w:r>
        <w:rPr>
          <w:rFonts w:hint="eastAsia" w:ascii="宋体" w:hAnsi="宋体" w:cs="宋体"/>
          <w:sz w:val="28"/>
          <w:szCs w:val="28"/>
          <w:lang w:val="en-US" w:eastAsia="zh-CN"/>
        </w:rPr>
        <w:br w:type="page"/>
      </w:r>
      <w:bookmarkStart w:id="206" w:name="_Toc18338"/>
      <w:bookmarkStart w:id="207" w:name="_Toc5400"/>
      <w:r>
        <w:rPr>
          <w:rFonts w:hint="eastAsia" w:ascii="宋体" w:hAnsi="宋体" w:cs="宋体"/>
          <w:sz w:val="28"/>
          <w:szCs w:val="28"/>
          <w:lang w:val="en-US" w:eastAsia="zh-CN"/>
        </w:rPr>
        <w:t>二</w:t>
      </w:r>
      <w:r>
        <w:rPr>
          <w:rFonts w:hint="eastAsia" w:ascii="宋体" w:hAnsi="宋体" w:cs="宋体"/>
          <w:b/>
          <w:bCs/>
          <w:sz w:val="28"/>
          <w:szCs w:val="28"/>
        </w:rPr>
        <w:t>、资格证明文件</w:t>
      </w:r>
      <w:bookmarkEnd w:id="206"/>
      <w:bookmarkEnd w:id="207"/>
    </w:p>
    <w:p>
      <w:pPr>
        <w:pStyle w:val="5"/>
        <w:spacing w:line="360" w:lineRule="auto"/>
        <w:jc w:val="center"/>
        <w:rPr>
          <w:rFonts w:hint="eastAsia" w:ascii="宋体" w:hAnsi="宋体" w:eastAsia="宋体" w:cs="宋体"/>
          <w:b/>
          <w:sz w:val="28"/>
          <w:szCs w:val="28"/>
          <w:highlight w:val="none"/>
        </w:rPr>
      </w:pPr>
      <w:bookmarkStart w:id="208" w:name="_Toc15102"/>
      <w:bookmarkStart w:id="209" w:name="_Toc28800"/>
      <w:r>
        <w:rPr>
          <w:rFonts w:hint="eastAsia" w:ascii="宋体" w:hAnsi="宋体" w:cs="宋体"/>
          <w:sz w:val="28"/>
          <w:szCs w:val="28"/>
        </w:rPr>
        <w:t xml:space="preserve">(一) </w:t>
      </w:r>
      <w:bookmarkEnd w:id="208"/>
      <w:r>
        <w:rPr>
          <w:rFonts w:hint="eastAsia" w:ascii="宋体" w:hAnsi="宋体" w:cs="宋体"/>
          <w:sz w:val="28"/>
          <w:szCs w:val="28"/>
        </w:rPr>
        <w:t>投标人基本情况表</w:t>
      </w:r>
      <w:bookmarkEnd w:id="209"/>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940"/>
        <w:gridCol w:w="559"/>
        <w:gridCol w:w="1456"/>
        <w:gridCol w:w="303"/>
        <w:gridCol w:w="1"/>
        <w:gridCol w:w="828"/>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投标人名称</w:t>
            </w:r>
          </w:p>
        </w:tc>
        <w:tc>
          <w:tcPr>
            <w:tcW w:w="8201" w:type="dxa"/>
            <w:gridSpan w:val="10"/>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注册地址</w:t>
            </w:r>
          </w:p>
        </w:tc>
        <w:tc>
          <w:tcPr>
            <w:tcW w:w="3959" w:type="dxa"/>
            <w:gridSpan w:val="5"/>
            <w:noWrap w:val="0"/>
            <w:vAlign w:val="center"/>
          </w:tcPr>
          <w:p>
            <w:pPr>
              <w:jc w:val="center"/>
              <w:rPr>
                <w:rFonts w:hint="eastAsia" w:ascii="宋体" w:hAnsi="宋体" w:eastAsia="宋体" w:cs="宋体"/>
                <w:sz w:val="21"/>
                <w:szCs w:val="21"/>
                <w:highlight w:val="none"/>
              </w:rPr>
            </w:pPr>
          </w:p>
        </w:tc>
        <w:tc>
          <w:tcPr>
            <w:tcW w:w="145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邮政编码</w:t>
            </w:r>
          </w:p>
        </w:tc>
        <w:tc>
          <w:tcPr>
            <w:tcW w:w="2786" w:type="dxa"/>
            <w:gridSpan w:val="4"/>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联系方式</w:t>
            </w:r>
          </w:p>
        </w:tc>
        <w:tc>
          <w:tcPr>
            <w:tcW w:w="1341" w:type="dxa"/>
            <w:gridSpan w:val="2"/>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p>
        </w:tc>
        <w:tc>
          <w:tcPr>
            <w:tcW w:w="2618" w:type="dxa"/>
            <w:gridSpan w:val="3"/>
            <w:noWrap w:val="0"/>
            <w:vAlign w:val="center"/>
          </w:tcPr>
          <w:p>
            <w:pPr>
              <w:jc w:val="center"/>
              <w:rPr>
                <w:rFonts w:hint="eastAsia" w:ascii="宋体" w:hAnsi="宋体" w:eastAsia="宋体" w:cs="宋体"/>
                <w:sz w:val="21"/>
                <w:szCs w:val="21"/>
                <w:highlight w:val="none"/>
              </w:rPr>
            </w:pPr>
          </w:p>
        </w:tc>
        <w:tc>
          <w:tcPr>
            <w:tcW w:w="145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  话</w:t>
            </w:r>
          </w:p>
        </w:tc>
        <w:tc>
          <w:tcPr>
            <w:tcW w:w="2786" w:type="dxa"/>
            <w:gridSpan w:val="4"/>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continue"/>
            <w:noWrap w:val="0"/>
            <w:vAlign w:val="center"/>
          </w:tcPr>
          <w:p>
            <w:pPr>
              <w:jc w:val="center"/>
              <w:rPr>
                <w:rFonts w:hint="eastAsia" w:ascii="宋体" w:hAnsi="宋体" w:eastAsia="宋体" w:cs="宋体"/>
                <w:sz w:val="21"/>
                <w:szCs w:val="21"/>
                <w:highlight w:val="none"/>
              </w:rPr>
            </w:pPr>
          </w:p>
        </w:tc>
        <w:tc>
          <w:tcPr>
            <w:tcW w:w="1341" w:type="dxa"/>
            <w:gridSpan w:val="2"/>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传  真</w:t>
            </w:r>
          </w:p>
        </w:tc>
        <w:tc>
          <w:tcPr>
            <w:tcW w:w="2618" w:type="dxa"/>
            <w:gridSpan w:val="3"/>
            <w:noWrap w:val="0"/>
            <w:vAlign w:val="center"/>
          </w:tcPr>
          <w:p>
            <w:pPr>
              <w:jc w:val="center"/>
              <w:rPr>
                <w:rFonts w:hint="eastAsia" w:ascii="宋体" w:hAnsi="宋体" w:eastAsia="宋体" w:cs="宋体"/>
                <w:sz w:val="21"/>
                <w:szCs w:val="21"/>
                <w:highlight w:val="none"/>
              </w:rPr>
            </w:pPr>
          </w:p>
        </w:tc>
        <w:tc>
          <w:tcPr>
            <w:tcW w:w="145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网  址</w:t>
            </w:r>
          </w:p>
        </w:tc>
        <w:tc>
          <w:tcPr>
            <w:tcW w:w="2786" w:type="dxa"/>
            <w:gridSpan w:val="4"/>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组织结构</w:t>
            </w:r>
          </w:p>
        </w:tc>
        <w:tc>
          <w:tcPr>
            <w:tcW w:w="8201" w:type="dxa"/>
            <w:gridSpan w:val="10"/>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tc>
        <w:tc>
          <w:tcPr>
            <w:tcW w:w="1048"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1412" w:type="dxa"/>
            <w:gridSpan w:val="2"/>
            <w:noWrap w:val="0"/>
            <w:vAlign w:val="center"/>
          </w:tcPr>
          <w:p>
            <w:pPr>
              <w:jc w:val="center"/>
              <w:rPr>
                <w:rFonts w:hint="eastAsia" w:ascii="宋体" w:hAnsi="宋体" w:eastAsia="宋体" w:cs="宋体"/>
                <w:sz w:val="21"/>
                <w:szCs w:val="21"/>
                <w:highlight w:val="none"/>
              </w:rPr>
            </w:pPr>
          </w:p>
        </w:tc>
        <w:tc>
          <w:tcPr>
            <w:tcW w:w="1499" w:type="dxa"/>
            <w:gridSpan w:val="2"/>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技术职称</w:t>
            </w:r>
          </w:p>
        </w:tc>
        <w:tc>
          <w:tcPr>
            <w:tcW w:w="1760" w:type="dxa"/>
            <w:gridSpan w:val="3"/>
            <w:noWrap w:val="0"/>
            <w:vAlign w:val="center"/>
          </w:tcPr>
          <w:p>
            <w:pPr>
              <w:jc w:val="center"/>
              <w:rPr>
                <w:rFonts w:hint="eastAsia" w:ascii="宋体" w:hAnsi="宋体" w:eastAsia="宋体" w:cs="宋体"/>
                <w:sz w:val="21"/>
                <w:szCs w:val="21"/>
                <w:highlight w:val="none"/>
              </w:rPr>
            </w:pPr>
          </w:p>
        </w:tc>
        <w:tc>
          <w:tcPr>
            <w:tcW w:w="828"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c>
          <w:tcPr>
            <w:tcW w:w="1654" w:type="dxa"/>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技术负责人</w:t>
            </w:r>
          </w:p>
        </w:tc>
        <w:tc>
          <w:tcPr>
            <w:tcW w:w="1048"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1412" w:type="dxa"/>
            <w:gridSpan w:val="2"/>
            <w:noWrap w:val="0"/>
            <w:vAlign w:val="center"/>
          </w:tcPr>
          <w:p>
            <w:pPr>
              <w:jc w:val="center"/>
              <w:rPr>
                <w:rFonts w:hint="eastAsia" w:ascii="宋体" w:hAnsi="宋体" w:eastAsia="宋体" w:cs="宋体"/>
                <w:sz w:val="21"/>
                <w:szCs w:val="21"/>
                <w:highlight w:val="none"/>
              </w:rPr>
            </w:pPr>
          </w:p>
        </w:tc>
        <w:tc>
          <w:tcPr>
            <w:tcW w:w="1499" w:type="dxa"/>
            <w:gridSpan w:val="2"/>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技术职称</w:t>
            </w:r>
          </w:p>
        </w:tc>
        <w:tc>
          <w:tcPr>
            <w:tcW w:w="1760" w:type="dxa"/>
            <w:gridSpan w:val="3"/>
            <w:noWrap w:val="0"/>
            <w:vAlign w:val="center"/>
          </w:tcPr>
          <w:p>
            <w:pPr>
              <w:jc w:val="center"/>
              <w:rPr>
                <w:rFonts w:hint="eastAsia" w:ascii="宋体" w:hAnsi="宋体" w:eastAsia="宋体" w:cs="宋体"/>
                <w:sz w:val="21"/>
                <w:szCs w:val="21"/>
                <w:highlight w:val="none"/>
              </w:rPr>
            </w:pPr>
          </w:p>
        </w:tc>
        <w:tc>
          <w:tcPr>
            <w:tcW w:w="828"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c>
          <w:tcPr>
            <w:tcW w:w="1654" w:type="dxa"/>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成立时间</w:t>
            </w:r>
          </w:p>
        </w:tc>
        <w:tc>
          <w:tcPr>
            <w:tcW w:w="2460" w:type="dxa"/>
            <w:gridSpan w:val="3"/>
            <w:noWrap w:val="0"/>
            <w:vAlign w:val="center"/>
          </w:tcPr>
          <w:p>
            <w:pPr>
              <w:jc w:val="center"/>
              <w:rPr>
                <w:rFonts w:hint="eastAsia" w:ascii="宋体" w:hAnsi="宋体" w:eastAsia="宋体" w:cs="宋体"/>
                <w:sz w:val="21"/>
                <w:szCs w:val="21"/>
                <w:highlight w:val="none"/>
              </w:rPr>
            </w:pPr>
          </w:p>
        </w:tc>
        <w:tc>
          <w:tcPr>
            <w:tcW w:w="5741" w:type="dxa"/>
            <w:gridSpan w:val="7"/>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企业资质等级</w:t>
            </w:r>
          </w:p>
        </w:tc>
        <w:tc>
          <w:tcPr>
            <w:tcW w:w="1048" w:type="dxa"/>
            <w:noWrap w:val="0"/>
            <w:vAlign w:val="center"/>
          </w:tcPr>
          <w:p>
            <w:pPr>
              <w:jc w:val="center"/>
              <w:rPr>
                <w:rFonts w:hint="eastAsia" w:ascii="宋体" w:hAnsi="宋体" w:eastAsia="宋体" w:cs="宋体"/>
                <w:sz w:val="21"/>
                <w:szCs w:val="21"/>
                <w:highlight w:val="none"/>
              </w:rPr>
            </w:pPr>
          </w:p>
        </w:tc>
        <w:tc>
          <w:tcPr>
            <w:tcW w:w="1412" w:type="dxa"/>
            <w:gridSpan w:val="2"/>
            <w:noWrap w:val="0"/>
            <w:vAlign w:val="center"/>
          </w:tcPr>
          <w:p>
            <w:pPr>
              <w:jc w:val="center"/>
              <w:rPr>
                <w:rFonts w:hint="eastAsia" w:ascii="宋体" w:hAnsi="宋体" w:eastAsia="宋体" w:cs="宋体"/>
                <w:sz w:val="21"/>
                <w:szCs w:val="21"/>
                <w:highlight w:val="none"/>
              </w:rPr>
            </w:pPr>
          </w:p>
        </w:tc>
        <w:tc>
          <w:tcPr>
            <w:tcW w:w="940"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其中</w:t>
            </w:r>
          </w:p>
        </w:tc>
        <w:tc>
          <w:tcPr>
            <w:tcW w:w="2318" w:type="dxa"/>
            <w:gridSpan w:val="3"/>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项目经理</w:t>
            </w:r>
          </w:p>
        </w:tc>
        <w:tc>
          <w:tcPr>
            <w:tcW w:w="2483" w:type="dxa"/>
            <w:gridSpan w:val="3"/>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营业执照号</w:t>
            </w:r>
          </w:p>
        </w:tc>
        <w:tc>
          <w:tcPr>
            <w:tcW w:w="1048" w:type="dxa"/>
            <w:noWrap w:val="0"/>
            <w:vAlign w:val="center"/>
          </w:tcPr>
          <w:p>
            <w:pPr>
              <w:jc w:val="center"/>
              <w:rPr>
                <w:rFonts w:hint="eastAsia" w:ascii="宋体" w:hAnsi="宋体" w:eastAsia="宋体" w:cs="宋体"/>
                <w:sz w:val="21"/>
                <w:szCs w:val="21"/>
                <w:highlight w:val="none"/>
              </w:rPr>
            </w:pPr>
          </w:p>
        </w:tc>
        <w:tc>
          <w:tcPr>
            <w:tcW w:w="1412" w:type="dxa"/>
            <w:gridSpan w:val="2"/>
            <w:noWrap w:val="0"/>
            <w:vAlign w:val="center"/>
          </w:tcPr>
          <w:p>
            <w:pPr>
              <w:jc w:val="center"/>
              <w:rPr>
                <w:rFonts w:hint="eastAsia" w:ascii="宋体" w:hAnsi="宋体" w:eastAsia="宋体" w:cs="宋体"/>
                <w:sz w:val="21"/>
                <w:szCs w:val="21"/>
                <w:highlight w:val="none"/>
              </w:rPr>
            </w:pPr>
          </w:p>
        </w:tc>
        <w:tc>
          <w:tcPr>
            <w:tcW w:w="940" w:type="dxa"/>
            <w:vMerge w:val="continue"/>
            <w:noWrap w:val="0"/>
            <w:vAlign w:val="center"/>
          </w:tcPr>
          <w:p>
            <w:pPr>
              <w:jc w:val="center"/>
              <w:rPr>
                <w:rFonts w:hint="eastAsia" w:ascii="宋体" w:hAnsi="宋体" w:eastAsia="宋体" w:cs="宋体"/>
                <w:sz w:val="21"/>
                <w:szCs w:val="21"/>
                <w:highlight w:val="none"/>
              </w:rPr>
            </w:pPr>
          </w:p>
        </w:tc>
        <w:tc>
          <w:tcPr>
            <w:tcW w:w="2318" w:type="dxa"/>
            <w:gridSpan w:val="3"/>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高级职称人员</w:t>
            </w:r>
          </w:p>
        </w:tc>
        <w:tc>
          <w:tcPr>
            <w:tcW w:w="2483" w:type="dxa"/>
            <w:gridSpan w:val="3"/>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注册资金</w:t>
            </w:r>
          </w:p>
        </w:tc>
        <w:tc>
          <w:tcPr>
            <w:tcW w:w="1048" w:type="dxa"/>
            <w:noWrap w:val="0"/>
            <w:vAlign w:val="center"/>
          </w:tcPr>
          <w:p>
            <w:pPr>
              <w:jc w:val="center"/>
              <w:rPr>
                <w:rFonts w:hint="eastAsia" w:ascii="宋体" w:hAnsi="宋体" w:eastAsia="宋体" w:cs="宋体"/>
                <w:sz w:val="21"/>
                <w:szCs w:val="21"/>
                <w:highlight w:val="none"/>
              </w:rPr>
            </w:pPr>
          </w:p>
        </w:tc>
        <w:tc>
          <w:tcPr>
            <w:tcW w:w="1412" w:type="dxa"/>
            <w:gridSpan w:val="2"/>
            <w:noWrap w:val="0"/>
            <w:vAlign w:val="center"/>
          </w:tcPr>
          <w:p>
            <w:pPr>
              <w:jc w:val="center"/>
              <w:rPr>
                <w:rFonts w:hint="eastAsia" w:ascii="宋体" w:hAnsi="宋体" w:eastAsia="宋体" w:cs="宋体"/>
                <w:sz w:val="21"/>
                <w:szCs w:val="21"/>
                <w:highlight w:val="none"/>
              </w:rPr>
            </w:pPr>
          </w:p>
        </w:tc>
        <w:tc>
          <w:tcPr>
            <w:tcW w:w="940" w:type="dxa"/>
            <w:vMerge w:val="continue"/>
            <w:noWrap w:val="0"/>
            <w:vAlign w:val="center"/>
          </w:tcPr>
          <w:p>
            <w:pPr>
              <w:jc w:val="center"/>
              <w:rPr>
                <w:rFonts w:hint="eastAsia" w:ascii="宋体" w:hAnsi="宋体" w:eastAsia="宋体" w:cs="宋体"/>
                <w:sz w:val="21"/>
                <w:szCs w:val="21"/>
                <w:highlight w:val="none"/>
              </w:rPr>
            </w:pPr>
          </w:p>
        </w:tc>
        <w:tc>
          <w:tcPr>
            <w:tcW w:w="2318" w:type="dxa"/>
            <w:gridSpan w:val="3"/>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中级职称人员</w:t>
            </w:r>
          </w:p>
        </w:tc>
        <w:tc>
          <w:tcPr>
            <w:tcW w:w="2483" w:type="dxa"/>
            <w:gridSpan w:val="3"/>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c>
          <w:tcPr>
            <w:tcW w:w="1048" w:type="dxa"/>
            <w:noWrap w:val="0"/>
            <w:vAlign w:val="center"/>
          </w:tcPr>
          <w:p>
            <w:pPr>
              <w:jc w:val="center"/>
              <w:rPr>
                <w:rFonts w:hint="eastAsia" w:ascii="宋体" w:hAnsi="宋体" w:eastAsia="宋体" w:cs="宋体"/>
                <w:sz w:val="21"/>
                <w:szCs w:val="21"/>
                <w:highlight w:val="none"/>
              </w:rPr>
            </w:pPr>
          </w:p>
        </w:tc>
        <w:tc>
          <w:tcPr>
            <w:tcW w:w="1412" w:type="dxa"/>
            <w:gridSpan w:val="2"/>
            <w:noWrap w:val="0"/>
            <w:vAlign w:val="center"/>
          </w:tcPr>
          <w:p>
            <w:pPr>
              <w:jc w:val="center"/>
              <w:rPr>
                <w:rFonts w:hint="eastAsia" w:ascii="宋体" w:hAnsi="宋体" w:eastAsia="宋体" w:cs="宋体"/>
                <w:sz w:val="21"/>
                <w:szCs w:val="21"/>
                <w:highlight w:val="none"/>
              </w:rPr>
            </w:pPr>
          </w:p>
        </w:tc>
        <w:tc>
          <w:tcPr>
            <w:tcW w:w="940" w:type="dxa"/>
            <w:vMerge w:val="continue"/>
            <w:noWrap w:val="0"/>
            <w:vAlign w:val="center"/>
          </w:tcPr>
          <w:p>
            <w:pPr>
              <w:jc w:val="center"/>
              <w:rPr>
                <w:rFonts w:hint="eastAsia" w:ascii="宋体" w:hAnsi="宋体" w:eastAsia="宋体" w:cs="宋体"/>
                <w:sz w:val="21"/>
                <w:szCs w:val="21"/>
                <w:highlight w:val="none"/>
              </w:rPr>
            </w:pPr>
          </w:p>
        </w:tc>
        <w:tc>
          <w:tcPr>
            <w:tcW w:w="2318" w:type="dxa"/>
            <w:gridSpan w:val="3"/>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初级职称人员</w:t>
            </w:r>
          </w:p>
        </w:tc>
        <w:tc>
          <w:tcPr>
            <w:tcW w:w="2483" w:type="dxa"/>
            <w:gridSpan w:val="3"/>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tc>
        <w:tc>
          <w:tcPr>
            <w:tcW w:w="1048" w:type="dxa"/>
            <w:noWrap w:val="0"/>
            <w:vAlign w:val="center"/>
          </w:tcPr>
          <w:p>
            <w:pPr>
              <w:jc w:val="center"/>
              <w:rPr>
                <w:rFonts w:hint="eastAsia" w:ascii="宋体" w:hAnsi="宋体" w:eastAsia="宋体" w:cs="宋体"/>
                <w:sz w:val="21"/>
                <w:szCs w:val="21"/>
                <w:highlight w:val="none"/>
              </w:rPr>
            </w:pPr>
          </w:p>
        </w:tc>
        <w:tc>
          <w:tcPr>
            <w:tcW w:w="1412" w:type="dxa"/>
            <w:gridSpan w:val="2"/>
            <w:noWrap w:val="0"/>
            <w:vAlign w:val="center"/>
          </w:tcPr>
          <w:p>
            <w:pPr>
              <w:jc w:val="center"/>
              <w:rPr>
                <w:rFonts w:hint="eastAsia" w:ascii="宋体" w:hAnsi="宋体" w:eastAsia="宋体" w:cs="宋体"/>
                <w:sz w:val="21"/>
                <w:szCs w:val="21"/>
                <w:highlight w:val="none"/>
              </w:rPr>
            </w:pPr>
          </w:p>
        </w:tc>
        <w:tc>
          <w:tcPr>
            <w:tcW w:w="940" w:type="dxa"/>
            <w:vMerge w:val="continue"/>
            <w:noWrap w:val="0"/>
            <w:vAlign w:val="center"/>
          </w:tcPr>
          <w:p>
            <w:pPr>
              <w:jc w:val="center"/>
              <w:rPr>
                <w:rFonts w:hint="eastAsia" w:ascii="宋体" w:hAnsi="宋体" w:eastAsia="宋体" w:cs="宋体"/>
                <w:sz w:val="21"/>
                <w:szCs w:val="21"/>
                <w:highlight w:val="none"/>
              </w:rPr>
            </w:pPr>
          </w:p>
        </w:tc>
        <w:tc>
          <w:tcPr>
            <w:tcW w:w="2318" w:type="dxa"/>
            <w:gridSpan w:val="3"/>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  工</w:t>
            </w:r>
          </w:p>
        </w:tc>
        <w:tc>
          <w:tcPr>
            <w:tcW w:w="2483" w:type="dxa"/>
            <w:gridSpan w:val="3"/>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3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经营范围</w:t>
            </w:r>
          </w:p>
        </w:tc>
        <w:tc>
          <w:tcPr>
            <w:tcW w:w="8201" w:type="dxa"/>
            <w:gridSpan w:val="10"/>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8201" w:type="dxa"/>
            <w:gridSpan w:val="10"/>
            <w:noWrap w:val="0"/>
            <w:vAlign w:val="center"/>
          </w:tcPr>
          <w:p>
            <w:pPr>
              <w:jc w:val="center"/>
              <w:rPr>
                <w:rFonts w:hint="eastAsia" w:ascii="宋体" w:hAnsi="宋体" w:eastAsia="宋体" w:cs="宋体"/>
                <w:sz w:val="21"/>
                <w:szCs w:val="21"/>
                <w:highlight w:val="none"/>
              </w:rPr>
            </w:pPr>
          </w:p>
        </w:tc>
      </w:tr>
    </w:tbl>
    <w:p>
      <w:pPr>
        <w:spacing w:line="440" w:lineRule="exact"/>
        <w:rPr>
          <w:rFonts w:hint="eastAsia" w:ascii="宋体" w:hAnsi="宋体" w:eastAsia="宋体" w:cs="宋体"/>
          <w:sz w:val="24"/>
          <w:szCs w:val="21"/>
          <w:highlight w:val="none"/>
        </w:rPr>
      </w:pPr>
      <w:r>
        <w:rPr>
          <w:rFonts w:hint="eastAsia" w:ascii="宋体" w:hAnsi="宋体" w:eastAsia="宋体" w:cs="宋体"/>
          <w:sz w:val="24"/>
          <w:szCs w:val="21"/>
          <w:highlight w:val="none"/>
        </w:rPr>
        <w:t>备注：本表后应附企业法人营业执照、企业资质证书、安全生产许可证、</w:t>
      </w:r>
      <w:r>
        <w:rPr>
          <w:rFonts w:hint="eastAsia" w:ascii="宋体" w:hAnsi="宋体" w:eastAsia="宋体" w:cs="宋体"/>
          <w:sz w:val="24"/>
          <w:szCs w:val="21"/>
          <w:highlight w:val="none"/>
          <w:lang w:eastAsia="zh-CN"/>
        </w:rPr>
        <w:t>开户许可证、</w:t>
      </w:r>
      <w:r>
        <w:rPr>
          <w:rFonts w:hint="eastAsia" w:ascii="宋体" w:hAnsi="宋体" w:eastAsia="宋体" w:cs="宋体"/>
          <w:sz w:val="24"/>
          <w:szCs w:val="21"/>
          <w:highlight w:val="none"/>
        </w:rPr>
        <w:t>等材料的复印件。</w:t>
      </w:r>
    </w:p>
    <w:p>
      <w:pPr>
        <w:spacing w:line="360" w:lineRule="auto"/>
        <w:ind w:firstLine="420"/>
        <w:rPr>
          <w:rFonts w:hint="eastAsia" w:ascii="宋体" w:hAnsi="宋体" w:cs="宋体"/>
        </w:rPr>
      </w:pPr>
    </w:p>
    <w:p>
      <w:pPr>
        <w:pStyle w:val="5"/>
        <w:spacing w:line="360" w:lineRule="auto"/>
        <w:jc w:val="center"/>
        <w:rPr>
          <w:rFonts w:hint="eastAsia" w:ascii="宋体" w:hAnsi="宋体" w:cs="宋体"/>
          <w:b/>
          <w:bCs/>
          <w:sz w:val="28"/>
          <w:szCs w:val="28"/>
        </w:rPr>
      </w:pPr>
      <w:bookmarkStart w:id="210" w:name="_Toc18671"/>
      <w:bookmarkStart w:id="211" w:name="_Toc26437"/>
      <w:r>
        <w:rPr>
          <w:rFonts w:hint="eastAsia" w:ascii="宋体" w:hAnsi="宋体" w:cs="宋体"/>
          <w:b/>
          <w:bCs/>
          <w:sz w:val="28"/>
          <w:szCs w:val="28"/>
        </w:rPr>
        <w:t>（二）法定代表人身份证明或附有法定代表人身份证明的授权书</w:t>
      </w:r>
      <w:bookmarkEnd w:id="210"/>
    </w:p>
    <w:bookmarkEnd w:id="211"/>
    <w:p>
      <w:pPr>
        <w:spacing w:line="360" w:lineRule="auto"/>
        <w:ind w:firstLine="420"/>
        <w:jc w:val="center"/>
        <w:rPr>
          <w:rFonts w:hint="eastAsia" w:ascii="宋体" w:hAnsi="宋体" w:cs="宋体"/>
          <w:szCs w:val="21"/>
        </w:rPr>
      </w:pPr>
    </w:p>
    <w:p>
      <w:pPr>
        <w:spacing w:line="360" w:lineRule="auto"/>
        <w:jc w:val="center"/>
        <w:rPr>
          <w:rFonts w:hint="eastAsia" w:ascii="宋体" w:hAnsi="宋体" w:cs="宋体"/>
          <w:b/>
          <w:sz w:val="24"/>
        </w:rPr>
      </w:pPr>
      <w:r>
        <w:rPr>
          <w:rFonts w:hint="eastAsia" w:ascii="宋体" w:hAnsi="宋体" w:cs="宋体"/>
          <w:b/>
          <w:bCs/>
          <w:sz w:val="24"/>
        </w:rPr>
        <w:t>法定代表人身份证明</w:t>
      </w:r>
    </w:p>
    <w:p>
      <w:pPr>
        <w:spacing w:line="360" w:lineRule="auto"/>
        <w:ind w:firstLine="480"/>
        <w:rPr>
          <w:rFonts w:hint="eastAsia" w:ascii="宋体" w:hAnsi="宋体" w:cs="宋体"/>
          <w:sz w:val="24"/>
        </w:rPr>
      </w:pPr>
    </w:p>
    <w:p>
      <w:pPr>
        <w:spacing w:line="360" w:lineRule="auto"/>
        <w:ind w:firstLine="420"/>
        <w:rPr>
          <w:rFonts w:hint="eastAsia" w:ascii="宋体" w:hAnsi="宋体" w:cs="宋体"/>
          <w:szCs w:val="21"/>
        </w:rPr>
      </w:pPr>
    </w:p>
    <w:p>
      <w:pPr>
        <w:spacing w:line="360" w:lineRule="auto"/>
        <w:ind w:firstLine="420"/>
        <w:rPr>
          <w:rFonts w:hint="eastAsia"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spacing w:line="360" w:lineRule="auto"/>
        <w:ind w:firstLine="420"/>
        <w:rPr>
          <w:rFonts w:hint="eastAsia"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p>
    <w:p>
      <w:pPr>
        <w:spacing w:line="360" w:lineRule="auto"/>
        <w:ind w:firstLine="420"/>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pPr>
        <w:spacing w:line="360" w:lineRule="auto"/>
        <w:ind w:firstLine="420"/>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420"/>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pPr>
        <w:spacing w:line="360" w:lineRule="auto"/>
        <w:ind w:firstLine="420"/>
        <w:rPr>
          <w:rFonts w:hint="eastAsia" w:ascii="宋体" w:hAnsi="宋体" w:cs="宋体"/>
          <w:szCs w:val="21"/>
        </w:rPr>
      </w:pPr>
    </w:p>
    <w:p>
      <w:pPr>
        <w:spacing w:line="360" w:lineRule="auto"/>
        <w:ind w:firstLine="420"/>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pPr>
        <w:spacing w:line="360" w:lineRule="auto"/>
        <w:ind w:firstLine="420"/>
        <w:rPr>
          <w:rFonts w:hint="eastAsia" w:ascii="宋体" w:hAnsi="宋体" w:cs="宋体"/>
          <w:szCs w:val="21"/>
          <w:u w:val="single"/>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pPr>
        <w:spacing w:line="360" w:lineRule="auto"/>
        <w:ind w:firstLine="420"/>
        <w:rPr>
          <w:rFonts w:hint="eastAsia" w:ascii="宋体" w:hAnsi="宋体" w:cs="宋体"/>
          <w:szCs w:val="21"/>
        </w:rPr>
      </w:pPr>
    </w:p>
    <w:p>
      <w:pPr>
        <w:spacing w:line="360" w:lineRule="auto"/>
        <w:ind w:firstLine="420"/>
        <w:rPr>
          <w:rFonts w:hint="eastAsia" w:ascii="宋体" w:hAnsi="宋体" w:cs="宋体"/>
          <w:szCs w:val="21"/>
        </w:rPr>
      </w:pPr>
      <w:r>
        <w:rPr>
          <w:rFonts w:hint="eastAsia" w:ascii="宋体" w:hAnsi="宋体" w:cs="宋体"/>
          <w:szCs w:val="21"/>
        </w:rPr>
        <w:tab/>
      </w:r>
    </w:p>
    <w:p>
      <w:pPr>
        <w:spacing w:line="360" w:lineRule="auto"/>
        <w:ind w:firstLine="42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（供应商）的法定代表人。</w:t>
      </w:r>
    </w:p>
    <w:p>
      <w:pPr>
        <w:spacing w:line="360" w:lineRule="auto"/>
        <w:ind w:firstLine="420"/>
        <w:rPr>
          <w:rFonts w:hint="eastAsia" w:ascii="宋体" w:hAnsi="宋体" w:cs="宋体"/>
          <w:szCs w:val="21"/>
        </w:rPr>
      </w:pPr>
      <w:r>
        <w:rPr>
          <w:rFonts w:hint="eastAsia" w:ascii="宋体" w:hAnsi="宋体" w:cs="宋体"/>
          <w:szCs w:val="21"/>
        </w:rPr>
        <w:t>特此证明。</w:t>
      </w:r>
    </w:p>
    <w:p>
      <w:pPr>
        <w:spacing w:line="360" w:lineRule="auto"/>
        <w:ind w:firstLine="420"/>
        <w:rPr>
          <w:rFonts w:hint="eastAsia" w:ascii="宋体" w:hAnsi="宋体" w:cs="宋体"/>
          <w:szCs w:val="21"/>
        </w:rPr>
      </w:pPr>
    </w:p>
    <w:p>
      <w:pPr>
        <w:spacing w:line="360" w:lineRule="auto"/>
        <w:ind w:firstLine="420"/>
        <w:rPr>
          <w:rFonts w:hint="eastAsia" w:ascii="宋体" w:hAnsi="宋体" w:cs="宋体"/>
          <w:szCs w:val="21"/>
        </w:rPr>
      </w:pPr>
      <w:r>
        <w:rPr>
          <w:rFonts w:hint="eastAsia" w:ascii="宋体" w:hAnsi="宋体" w:cs="宋体"/>
          <w:szCs w:val="21"/>
        </w:rPr>
        <w:t>附：法定代表人身份证复印件正反面</w:t>
      </w:r>
    </w:p>
    <w:p>
      <w:pPr>
        <w:spacing w:line="360" w:lineRule="auto"/>
        <w:ind w:firstLine="420"/>
        <w:rPr>
          <w:rFonts w:hint="eastAsia" w:ascii="宋体" w:hAnsi="宋体" w:cs="宋体"/>
          <w:szCs w:val="21"/>
        </w:rPr>
      </w:pPr>
    </w:p>
    <w:p>
      <w:pPr>
        <w:spacing w:line="360" w:lineRule="auto"/>
        <w:ind w:firstLine="420"/>
        <w:rPr>
          <w:rFonts w:hint="eastAsia" w:ascii="宋体" w:hAnsi="宋体" w:cs="宋体"/>
          <w:szCs w:val="21"/>
        </w:rPr>
      </w:pPr>
    </w:p>
    <w:p>
      <w:pPr>
        <w:spacing w:line="360" w:lineRule="auto"/>
        <w:ind w:firstLine="420"/>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eastAsia="zh-CN"/>
        </w:rPr>
        <w:t>投标人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（盖单位章）</w:t>
      </w:r>
    </w:p>
    <w:p>
      <w:pPr>
        <w:spacing w:line="360" w:lineRule="auto"/>
        <w:ind w:firstLine="420"/>
        <w:rPr>
          <w:rFonts w:hint="eastAsia" w:ascii="宋体" w:hAnsi="宋体" w:cs="宋体"/>
          <w:szCs w:val="21"/>
        </w:rPr>
      </w:pPr>
      <w:r>
        <w:rPr>
          <w:rFonts w:hint="eastAsia" w:ascii="宋体" w:hAnsi="宋体" w:cs="宋体"/>
          <w:szCs w:val="21"/>
        </w:rPr>
        <w:t xml:space="preserve">                                 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pPr>
        <w:spacing w:line="360" w:lineRule="auto"/>
        <w:ind w:firstLine="420"/>
        <w:rPr>
          <w:rFonts w:hint="eastAsia" w:ascii="宋体" w:hAnsi="宋体" w:cs="宋体"/>
          <w:szCs w:val="21"/>
        </w:rPr>
      </w:pPr>
    </w:p>
    <w:p>
      <w:pPr>
        <w:spacing w:line="360" w:lineRule="auto"/>
        <w:jc w:val="center"/>
        <w:rPr>
          <w:rFonts w:hint="eastAsia"/>
          <w:b/>
          <w:bCs/>
          <w:sz w:val="24"/>
          <w:lang w:val="zh-CN"/>
        </w:rPr>
      </w:pPr>
      <w:r>
        <w:rPr>
          <w:rFonts w:hint="eastAsia" w:ascii="宋体" w:hAnsi="宋体" w:cs="宋体"/>
          <w:sz w:val="20"/>
        </w:rPr>
        <w:br w:type="page"/>
      </w:r>
      <w:r>
        <w:rPr>
          <w:rFonts w:hint="eastAsia"/>
          <w:b/>
          <w:bCs/>
          <w:sz w:val="24"/>
          <w:lang w:val="zh-CN"/>
        </w:rPr>
        <w:t>授权委托书</w:t>
      </w:r>
    </w:p>
    <w:p>
      <w:pPr>
        <w:pStyle w:val="20"/>
        <w:adjustRightInd w:val="0"/>
        <w:snapToGrid w:val="0"/>
        <w:spacing w:line="360" w:lineRule="auto"/>
        <w:rPr>
          <w:rFonts w:hint="eastAsia" w:hAnsi="宋体" w:cs="宋体"/>
        </w:rPr>
      </w:pPr>
    </w:p>
    <w:p>
      <w:pPr>
        <w:pStyle w:val="20"/>
        <w:adjustRightInd w:val="0"/>
        <w:snapToGrid w:val="0"/>
        <w:spacing w:line="360" w:lineRule="auto"/>
        <w:ind w:firstLine="420" w:firstLineChars="200"/>
        <w:rPr>
          <w:rFonts w:hint="eastAsia" w:hAnsi="宋体" w:cs="宋体"/>
        </w:rPr>
      </w:pPr>
      <w:r>
        <w:rPr>
          <w:rFonts w:hint="eastAsia" w:hAnsi="宋体" w:cs="宋体"/>
        </w:rPr>
        <w:t>本授权委托书声明：我</w:t>
      </w:r>
      <w:r>
        <w:rPr>
          <w:rFonts w:hint="eastAsia" w:hAnsi="宋体" w:cs="宋体"/>
          <w:u w:val="single"/>
        </w:rPr>
        <w:t xml:space="preserve">        </w:t>
      </w:r>
      <w:r>
        <w:rPr>
          <w:rFonts w:hint="eastAsia" w:hAnsi="宋体" w:cs="宋体"/>
        </w:rPr>
        <w:t xml:space="preserve"> (姓名)系</w:t>
      </w:r>
      <w:r>
        <w:rPr>
          <w:rFonts w:hint="eastAsia" w:hAnsi="宋体" w:cs="宋体"/>
          <w:u w:val="single"/>
        </w:rPr>
        <w:t xml:space="preserve">            </w:t>
      </w:r>
      <w:r>
        <w:rPr>
          <w:rFonts w:hint="eastAsia" w:hAnsi="宋体" w:cs="宋体"/>
        </w:rPr>
        <w:t xml:space="preserve">(供应商名称)的法定代表人，现授权委托 </w:t>
      </w:r>
      <w:r>
        <w:rPr>
          <w:rFonts w:hint="eastAsia" w:hAnsi="宋体" w:cs="宋体"/>
          <w:u w:val="single"/>
        </w:rPr>
        <w:t xml:space="preserve">         </w:t>
      </w:r>
      <w:r>
        <w:rPr>
          <w:rFonts w:hint="eastAsia" w:hAnsi="宋体" w:cs="宋体"/>
        </w:rPr>
        <w:t>(姓名)为我公司本次</w:t>
      </w:r>
      <w:r>
        <w:rPr>
          <w:rFonts w:hint="eastAsia" w:hAnsi="宋体" w:cs="宋体"/>
          <w:lang w:eastAsia="zh-CN"/>
        </w:rPr>
        <w:t>招标</w:t>
      </w:r>
      <w:r>
        <w:rPr>
          <w:rFonts w:hint="eastAsia" w:hAnsi="宋体" w:cs="宋体"/>
        </w:rPr>
        <w:t>采购活动的授权代表，参加</w:t>
      </w:r>
      <w:r>
        <w:rPr>
          <w:rFonts w:hint="eastAsia" w:hAnsi="宋体" w:cs="宋体"/>
          <w:u w:val="single"/>
        </w:rPr>
        <w:t xml:space="preserve">                </w:t>
      </w:r>
      <w:r>
        <w:rPr>
          <w:rFonts w:hint="eastAsia" w:hAnsi="宋体" w:cs="宋体"/>
        </w:rPr>
        <w:t>(采购人)的</w:t>
      </w:r>
      <w:r>
        <w:rPr>
          <w:rFonts w:hint="eastAsia" w:hAnsi="宋体" w:cs="宋体"/>
          <w:u w:val="single"/>
        </w:rPr>
        <w:t xml:space="preserve">                    </w:t>
      </w:r>
      <w:r>
        <w:rPr>
          <w:rFonts w:hint="eastAsia" w:hAnsi="宋体" w:cs="宋体"/>
        </w:rPr>
        <w:t>项目的</w:t>
      </w:r>
      <w:r>
        <w:rPr>
          <w:rFonts w:hint="eastAsia" w:hAnsi="宋体" w:cs="宋体"/>
          <w:lang w:eastAsia="zh-CN"/>
        </w:rPr>
        <w:t>招标</w:t>
      </w:r>
      <w:r>
        <w:rPr>
          <w:rFonts w:hint="eastAsia" w:hAnsi="宋体" w:cs="宋体"/>
        </w:rPr>
        <w:t>采购活动。授权代表在</w:t>
      </w:r>
      <w:r>
        <w:rPr>
          <w:rFonts w:hint="eastAsia" w:hAnsi="宋体" w:cs="宋体"/>
          <w:lang w:eastAsia="zh-CN"/>
        </w:rPr>
        <w:t>招标</w:t>
      </w:r>
      <w:r>
        <w:rPr>
          <w:rFonts w:hint="eastAsia" w:hAnsi="宋体" w:cs="宋体"/>
        </w:rPr>
        <w:t>、合同签订过程中所签署的一切文件和处理与之有关的一切事务，我均予以承认。</w:t>
      </w:r>
    </w:p>
    <w:p>
      <w:pPr>
        <w:pStyle w:val="20"/>
        <w:adjustRightInd w:val="0"/>
        <w:snapToGrid w:val="0"/>
        <w:spacing w:line="360" w:lineRule="auto"/>
        <w:rPr>
          <w:rFonts w:hint="eastAsia" w:hAnsi="宋体" w:cs="宋体"/>
        </w:rPr>
      </w:pPr>
    </w:p>
    <w:p>
      <w:pPr>
        <w:pStyle w:val="20"/>
        <w:adjustRightInd w:val="0"/>
        <w:snapToGrid w:val="0"/>
        <w:spacing w:line="360" w:lineRule="auto"/>
        <w:ind w:left="412"/>
        <w:rPr>
          <w:rFonts w:hint="eastAsia" w:hAnsi="宋体" w:cs="宋体"/>
        </w:rPr>
      </w:pPr>
      <w:r>
        <w:rPr>
          <w:rFonts w:hint="eastAsia" w:hAnsi="宋体" w:cs="宋体"/>
        </w:rPr>
        <w:t>授权代表无转委托权。特此委托。</w:t>
      </w:r>
    </w:p>
    <w:p>
      <w:pPr>
        <w:pStyle w:val="20"/>
        <w:adjustRightInd w:val="0"/>
        <w:snapToGrid w:val="0"/>
        <w:spacing w:line="360" w:lineRule="auto"/>
        <w:ind w:left="412"/>
        <w:rPr>
          <w:rFonts w:hint="eastAsia" w:hAnsi="宋体" w:cs="宋体"/>
        </w:rPr>
      </w:pPr>
    </w:p>
    <w:p>
      <w:pPr>
        <w:pStyle w:val="20"/>
        <w:adjustRightInd w:val="0"/>
        <w:snapToGrid w:val="0"/>
        <w:spacing w:line="360" w:lineRule="auto"/>
        <w:ind w:left="412"/>
        <w:rPr>
          <w:rFonts w:hint="eastAsia" w:hAnsi="宋体" w:cs="宋体"/>
        </w:rPr>
      </w:pPr>
      <w:r>
        <w:rPr>
          <w:rFonts w:hint="eastAsia" w:hAnsi="宋体" w:cs="宋体"/>
        </w:rPr>
        <w:t>授权代表（姓名）：               性别：                    年龄：</w:t>
      </w:r>
    </w:p>
    <w:p>
      <w:pPr>
        <w:pStyle w:val="20"/>
        <w:adjustRightInd w:val="0"/>
        <w:snapToGrid w:val="0"/>
        <w:spacing w:line="360" w:lineRule="auto"/>
        <w:ind w:firstLine="420"/>
        <w:rPr>
          <w:rFonts w:hint="eastAsia" w:hAnsi="宋体" w:cs="宋体"/>
        </w:rPr>
      </w:pPr>
      <w:r>
        <w:rPr>
          <w:rFonts w:hint="eastAsia" w:hAnsi="宋体" w:cs="宋体"/>
        </w:rPr>
        <w:t>单           位：               部门：                    职务：</w:t>
      </w:r>
    </w:p>
    <w:p>
      <w:pPr>
        <w:pStyle w:val="20"/>
        <w:adjustRightInd w:val="0"/>
        <w:snapToGrid w:val="0"/>
        <w:spacing w:line="360" w:lineRule="auto"/>
        <w:ind w:firstLine="420"/>
        <w:rPr>
          <w:rFonts w:hint="eastAsia" w:hAnsi="宋体" w:cs="宋体"/>
        </w:rPr>
      </w:pPr>
    </w:p>
    <w:p>
      <w:pPr>
        <w:pStyle w:val="20"/>
        <w:adjustRightInd w:val="0"/>
        <w:snapToGrid w:val="0"/>
        <w:spacing w:line="360" w:lineRule="auto"/>
        <w:ind w:firstLine="420"/>
        <w:rPr>
          <w:rFonts w:hint="eastAsia" w:hAnsi="宋体" w:cs="宋体"/>
        </w:rPr>
      </w:pPr>
      <w:r>
        <w:rPr>
          <w:rFonts w:hint="eastAsia" w:hAnsi="宋体" w:cs="宋体"/>
        </w:rPr>
        <w:t>附：授权代表身份证复印件正反面</w:t>
      </w:r>
    </w:p>
    <w:p>
      <w:pPr>
        <w:pStyle w:val="20"/>
        <w:adjustRightInd w:val="0"/>
        <w:snapToGrid w:val="0"/>
        <w:spacing w:line="360" w:lineRule="auto"/>
        <w:ind w:firstLine="420"/>
        <w:rPr>
          <w:rFonts w:hint="eastAsia" w:hAnsi="宋体" w:cs="宋体"/>
        </w:rPr>
      </w:pPr>
    </w:p>
    <w:p>
      <w:pPr>
        <w:pStyle w:val="20"/>
        <w:adjustRightInd w:val="0"/>
        <w:snapToGrid w:val="0"/>
        <w:spacing w:line="360" w:lineRule="auto"/>
        <w:ind w:firstLine="420"/>
        <w:rPr>
          <w:rFonts w:hint="eastAsia" w:hAnsi="宋体" w:cs="宋体"/>
          <w:u w:val="single"/>
        </w:rPr>
      </w:pPr>
      <w:r>
        <w:rPr>
          <w:rFonts w:hint="eastAsia" w:hAnsi="宋体" w:cs="宋体"/>
          <w:lang w:eastAsia="zh-CN"/>
        </w:rPr>
        <w:t>投标人</w:t>
      </w:r>
      <w:r>
        <w:rPr>
          <w:rFonts w:hint="eastAsia" w:hAnsi="宋体" w:cs="宋体"/>
        </w:rPr>
        <w:t>名称</w:t>
      </w:r>
      <w:r>
        <w:rPr>
          <w:rFonts w:hint="eastAsia" w:hAnsi="宋体" w:cs="宋体"/>
          <w:lang w:eastAsia="zh-CN"/>
        </w:rPr>
        <w:t>：</w:t>
      </w:r>
      <w:r>
        <w:rPr>
          <w:rFonts w:hint="eastAsia" w:hAnsi="宋体" w:cs="宋体"/>
          <w:u w:val="single"/>
          <w:lang w:val="en-US" w:eastAsia="zh-CN"/>
        </w:rPr>
        <w:t xml:space="preserve">                 </w:t>
      </w:r>
      <w:r>
        <w:rPr>
          <w:rFonts w:hint="eastAsia" w:hAnsi="宋体" w:cs="宋体"/>
        </w:rPr>
        <w:t xml:space="preserve"> (盖单位章)</w:t>
      </w:r>
    </w:p>
    <w:p>
      <w:pPr>
        <w:pStyle w:val="20"/>
        <w:adjustRightInd w:val="0"/>
        <w:snapToGrid w:val="0"/>
        <w:spacing w:line="360" w:lineRule="auto"/>
        <w:ind w:firstLine="420"/>
        <w:rPr>
          <w:rFonts w:hint="eastAsia" w:hAnsi="宋体" w:cs="宋体"/>
        </w:rPr>
      </w:pPr>
      <w:r>
        <w:rPr>
          <w:rFonts w:hint="eastAsia" w:hAnsi="宋体" w:cs="宋体"/>
        </w:rPr>
        <w:t>法定代表人</w:t>
      </w:r>
      <w:r>
        <w:rPr>
          <w:rFonts w:hint="eastAsia" w:hAnsi="宋体" w:cs="宋体"/>
          <w:lang w:eastAsia="zh-CN"/>
        </w:rPr>
        <w:t>：</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(签字或盖章)</w:t>
      </w:r>
    </w:p>
    <w:p>
      <w:pPr>
        <w:pStyle w:val="20"/>
        <w:adjustRightInd w:val="0"/>
        <w:snapToGrid w:val="0"/>
        <w:spacing w:line="360" w:lineRule="auto"/>
        <w:ind w:right="420" w:firstLine="420" w:firstLineChars="200"/>
        <w:rPr>
          <w:rFonts w:hint="eastAsia" w:hAnsi="宋体" w:cs="宋体"/>
          <w:u w:val="single"/>
        </w:rPr>
      </w:pPr>
      <w:r>
        <w:rPr>
          <w:rFonts w:hint="eastAsia" w:hAnsi="宋体" w:cs="宋体"/>
        </w:rPr>
        <w:t>授权代表</w:t>
      </w:r>
      <w:r>
        <w:rPr>
          <w:rFonts w:hint="eastAsia" w:hAnsi="宋体" w:cs="宋体"/>
          <w:lang w:eastAsia="zh-CN"/>
        </w:rPr>
        <w:t>：</w:t>
      </w:r>
      <w:r>
        <w:rPr>
          <w:rFonts w:hint="eastAsia" w:hAnsi="宋体" w:cs="宋体"/>
          <w:u w:val="single"/>
          <w:lang w:val="en-US" w:eastAsia="zh-CN"/>
        </w:rPr>
        <w:t xml:space="preserve">                          </w:t>
      </w:r>
      <w:r>
        <w:rPr>
          <w:rFonts w:hint="eastAsia" w:hAnsi="宋体" w:cs="宋体"/>
        </w:rPr>
        <w:t>（签字或盖章）</w:t>
      </w:r>
    </w:p>
    <w:p>
      <w:pPr>
        <w:pStyle w:val="20"/>
        <w:adjustRightInd w:val="0"/>
        <w:snapToGrid w:val="0"/>
        <w:spacing w:line="360" w:lineRule="auto"/>
        <w:ind w:right="420" w:firstLine="420" w:firstLineChars="200"/>
        <w:rPr>
          <w:rFonts w:hint="eastAsia" w:hAnsi="宋体" w:cs="宋体"/>
        </w:rPr>
      </w:pPr>
    </w:p>
    <w:p>
      <w:pPr>
        <w:pStyle w:val="20"/>
        <w:adjustRightInd w:val="0"/>
        <w:snapToGrid w:val="0"/>
        <w:spacing w:line="360" w:lineRule="auto"/>
        <w:ind w:right="420" w:firstLine="420" w:firstLineChars="200"/>
        <w:rPr>
          <w:rFonts w:hint="eastAsia" w:hAnsi="宋体" w:cs="宋体"/>
        </w:rPr>
      </w:pPr>
      <w:r>
        <w:rPr>
          <w:rFonts w:hint="eastAsia" w:hAnsi="宋体" w:cs="宋体"/>
        </w:rPr>
        <w:t>日期：</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pPr>
        <w:pStyle w:val="20"/>
        <w:adjustRightInd w:val="0"/>
        <w:snapToGrid w:val="0"/>
        <w:spacing w:line="360" w:lineRule="auto"/>
        <w:rPr>
          <w:rFonts w:hint="eastAsia" w:hAnsi="宋体" w:cs="宋体"/>
        </w:rPr>
      </w:pPr>
    </w:p>
    <w:p>
      <w:pPr>
        <w:autoSpaceDE w:val="0"/>
        <w:autoSpaceDN w:val="0"/>
        <w:adjustRightInd w:val="0"/>
        <w:spacing w:line="360" w:lineRule="auto"/>
        <w:rPr>
          <w:rFonts w:hint="eastAsia" w:ascii="宋体" w:hAnsi="宋体" w:cs="宋体"/>
          <w:szCs w:val="21"/>
        </w:rPr>
      </w:pPr>
    </w:p>
    <w:p>
      <w:pPr>
        <w:pStyle w:val="5"/>
        <w:numPr>
          <w:ilvl w:val="0"/>
          <w:numId w:val="7"/>
        </w:numPr>
        <w:spacing w:line="360" w:lineRule="auto"/>
        <w:jc w:val="left"/>
        <w:rPr>
          <w:rFonts w:hint="eastAsia" w:ascii="宋体" w:hAnsi="宋体" w:cs="宋体"/>
          <w:sz w:val="28"/>
          <w:szCs w:val="28"/>
        </w:rPr>
      </w:pPr>
      <w:r>
        <w:rPr>
          <w:rFonts w:hint="eastAsia" w:ascii="宋体" w:hAnsi="宋体" w:cs="宋体"/>
          <w:sz w:val="28"/>
          <w:szCs w:val="28"/>
        </w:rPr>
        <w:br w:type="page"/>
      </w:r>
      <w:bookmarkStart w:id="212" w:name="_Toc16094"/>
      <w:bookmarkStart w:id="213" w:name="_Toc6868"/>
      <w:r>
        <w:rPr>
          <w:rFonts w:hint="eastAsia" w:ascii="宋体" w:hAnsi="宋体" w:cs="宋体"/>
          <w:sz w:val="28"/>
          <w:szCs w:val="28"/>
        </w:rPr>
        <w:t>近三年无重大违法记录信息证明文件</w:t>
      </w:r>
      <w:bookmarkEnd w:id="212"/>
      <w:bookmarkEnd w:id="213"/>
    </w:p>
    <w:p>
      <w:pPr>
        <w:numPr>
          <w:ilvl w:val="0"/>
          <w:numId w:val="0"/>
        </w:numPr>
        <w:rPr>
          <w:rFonts w:hint="eastAsia"/>
        </w:rPr>
      </w:pPr>
    </w:p>
    <w:p>
      <w:pPr>
        <w:numPr>
          <w:ilvl w:val="0"/>
          <w:numId w:val="7"/>
        </w:numPr>
        <w:ind w:left="0" w:leftChars="0" w:firstLine="0" w:firstLineChars="0"/>
        <w:rPr>
          <w:rFonts w:hint="eastAsia" w:ascii="宋体" w:hAnsi="宋体" w:cs="宋体"/>
          <w:b/>
          <w:bCs/>
          <w:kern w:val="2"/>
          <w:sz w:val="28"/>
          <w:szCs w:val="28"/>
          <w:lang w:val="en-US" w:eastAsia="zh-CN" w:bidi="ar-SA"/>
        </w:rPr>
      </w:pPr>
      <w:r>
        <w:rPr>
          <w:rFonts w:hint="eastAsia" w:ascii="宋体" w:hAnsi="宋体" w:cs="宋体"/>
          <w:b/>
          <w:bCs/>
          <w:kern w:val="2"/>
          <w:sz w:val="28"/>
          <w:szCs w:val="28"/>
          <w:lang w:val="en-US" w:eastAsia="zh-CN" w:bidi="ar-SA"/>
        </w:rPr>
        <w:t>投标保证金</w:t>
      </w:r>
    </w:p>
    <w:p>
      <w:pPr>
        <w:pStyle w:val="30"/>
        <w:numPr>
          <w:ilvl w:val="0"/>
          <w:numId w:val="0"/>
        </w:numPr>
        <w:ind w:leftChars="0"/>
        <w:rPr>
          <w:rFonts w:hint="eastAsia"/>
          <w:lang w:val="en-US" w:eastAsia="zh-CN"/>
        </w:rPr>
      </w:pPr>
    </w:p>
    <w:p>
      <w:pPr>
        <w:pStyle w:val="5"/>
        <w:spacing w:line="360" w:lineRule="auto"/>
        <w:jc w:val="left"/>
        <w:rPr>
          <w:rFonts w:hint="eastAsia" w:ascii="宋体" w:hAnsi="宋体" w:cs="宋体"/>
          <w:sz w:val="28"/>
          <w:szCs w:val="28"/>
        </w:rPr>
      </w:pPr>
      <w:bookmarkStart w:id="214" w:name="_Toc25032"/>
      <w:bookmarkStart w:id="215" w:name="_Toc17751"/>
      <w:r>
        <w:rPr>
          <w:rFonts w:hint="eastAsia" w:ascii="宋体" w:hAnsi="宋体" w:cs="宋体"/>
          <w:sz w:val="28"/>
          <w:szCs w:val="28"/>
        </w:rPr>
        <w:t>（</w:t>
      </w:r>
      <w:r>
        <w:rPr>
          <w:rFonts w:hint="eastAsia" w:ascii="宋体" w:hAnsi="宋体" w:cs="宋体"/>
          <w:sz w:val="28"/>
          <w:szCs w:val="28"/>
          <w:lang w:eastAsia="zh-CN"/>
        </w:rPr>
        <w:t>五</w:t>
      </w:r>
      <w:r>
        <w:rPr>
          <w:rFonts w:hint="eastAsia" w:ascii="宋体" w:hAnsi="宋体" w:cs="宋体"/>
          <w:sz w:val="28"/>
          <w:szCs w:val="28"/>
        </w:rPr>
        <w:t>）其他资格证明文件</w:t>
      </w:r>
      <w:bookmarkEnd w:id="214"/>
      <w:bookmarkEnd w:id="215"/>
    </w:p>
    <w:p>
      <w:pPr>
        <w:pStyle w:val="30"/>
        <w:numPr>
          <w:ilvl w:val="0"/>
          <w:numId w:val="0"/>
        </w:numPr>
        <w:ind w:leftChars="0"/>
        <w:rPr>
          <w:rFonts w:hint="eastAsia"/>
          <w:lang w:val="en-US" w:eastAsia="zh-CN"/>
        </w:rPr>
      </w:pPr>
      <w:r>
        <w:rPr>
          <w:rFonts w:hint="eastAsia"/>
          <w:lang w:val="en-US" w:eastAsia="zh-CN"/>
        </w:rPr>
        <w:t>附投标人认为需提供的证明文件</w:t>
      </w: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pStyle w:val="30"/>
        <w:rPr>
          <w:rFonts w:hint="eastAsia" w:ascii="宋体" w:hAnsi="宋体" w:cs="宋体"/>
          <w:sz w:val="28"/>
          <w:szCs w:val="28"/>
        </w:rPr>
      </w:pPr>
    </w:p>
    <w:p>
      <w:pPr>
        <w:numPr>
          <w:ilvl w:val="0"/>
          <w:numId w:val="8"/>
        </w:numPr>
        <w:spacing w:line="360" w:lineRule="auto"/>
        <w:ind w:right="1120"/>
        <w:jc w:val="center"/>
        <w:rPr>
          <w:rFonts w:hint="eastAsia" w:ascii="宋体" w:hAnsi="宋体" w:cs="宋体"/>
          <w:b/>
          <w:bCs/>
          <w:sz w:val="28"/>
          <w:szCs w:val="28"/>
          <w:lang w:val="en-US" w:eastAsia="zh-CN"/>
        </w:rPr>
      </w:pPr>
      <w:bookmarkStart w:id="216" w:name="_Toc30189"/>
      <w:r>
        <w:rPr>
          <w:rFonts w:hint="eastAsia" w:ascii="宋体" w:hAnsi="宋体" w:cs="宋体"/>
          <w:b/>
          <w:bCs/>
          <w:sz w:val="28"/>
          <w:szCs w:val="28"/>
          <w:lang w:val="en-US" w:eastAsia="zh-CN"/>
        </w:rPr>
        <w:t>商务文件</w:t>
      </w:r>
      <w:bookmarkEnd w:id="216"/>
      <w:bookmarkStart w:id="217" w:name="_Toc19829"/>
    </w:p>
    <w:bookmarkEnd w:id="217"/>
    <w:p>
      <w:pPr>
        <w:numPr>
          <w:ilvl w:val="0"/>
          <w:numId w:val="9"/>
        </w:numPr>
        <w:spacing w:line="360" w:lineRule="auto"/>
        <w:ind w:right="1120" w:rightChars="0"/>
        <w:jc w:val="center"/>
        <w:rPr>
          <w:rFonts w:hint="eastAsia" w:ascii="宋体" w:hAnsi="宋体" w:cs="宋体"/>
          <w:b/>
          <w:bCs/>
          <w:sz w:val="28"/>
          <w:szCs w:val="28"/>
        </w:rPr>
      </w:pPr>
      <w:r>
        <w:rPr>
          <w:rFonts w:hint="eastAsia" w:ascii="宋体" w:hAnsi="宋体" w:cs="宋体"/>
          <w:b/>
          <w:bCs/>
          <w:sz w:val="28"/>
          <w:szCs w:val="28"/>
          <w:lang w:eastAsia="zh-CN"/>
        </w:rPr>
        <w:t>投标</w:t>
      </w:r>
      <w:r>
        <w:rPr>
          <w:rFonts w:hint="eastAsia" w:ascii="宋体" w:hAnsi="宋体" w:cs="宋体"/>
          <w:b/>
          <w:bCs/>
          <w:sz w:val="28"/>
          <w:szCs w:val="28"/>
        </w:rPr>
        <w:t>申请</w:t>
      </w:r>
    </w:p>
    <w:p>
      <w:pPr>
        <w:autoSpaceDE w:val="0"/>
        <w:autoSpaceDN w:val="0"/>
        <w:adjustRightInd w:val="0"/>
        <w:spacing w:line="360" w:lineRule="auto"/>
        <w:rPr>
          <w:rFonts w:hint="eastAsia" w:ascii="宋体" w:hAnsi="宋体" w:cs="宋体"/>
          <w:szCs w:val="21"/>
          <w:lang w:val="zh-CN"/>
        </w:rPr>
      </w:pPr>
    </w:p>
    <w:p>
      <w:pPr>
        <w:autoSpaceDE w:val="0"/>
        <w:autoSpaceDN w:val="0"/>
        <w:adjustRightInd w:val="0"/>
        <w:spacing w:line="360" w:lineRule="auto"/>
        <w:rPr>
          <w:rFonts w:hint="eastAsia" w:ascii="宋体" w:hAnsi="宋体" w:cs="宋体"/>
          <w:szCs w:val="21"/>
          <w:lang w:val="zh-CN"/>
        </w:rPr>
      </w:pPr>
      <w:r>
        <w:rPr>
          <w:rFonts w:hint="eastAsia" w:ascii="宋体" w:hAnsi="宋体" w:cs="宋体"/>
          <w:szCs w:val="21"/>
          <w:lang w:val="zh-CN"/>
        </w:rPr>
        <w:t>致：</w:t>
      </w:r>
      <w:r>
        <w:rPr>
          <w:rFonts w:hint="eastAsia" w:ascii="宋体" w:hAnsi="宋体" w:cs="宋体"/>
          <w:szCs w:val="21"/>
          <w:u w:val="single"/>
          <w:lang w:val="zh-CN"/>
        </w:rPr>
        <w:t xml:space="preserve">                         </w:t>
      </w:r>
      <w:r>
        <w:rPr>
          <w:rFonts w:hint="eastAsia" w:ascii="宋体" w:hAnsi="宋体" w:cs="宋体"/>
          <w:szCs w:val="21"/>
          <w:lang w:val="zh-CN"/>
        </w:rPr>
        <w:t>（项目单位）</w:t>
      </w:r>
    </w:p>
    <w:p>
      <w:pPr>
        <w:autoSpaceDE w:val="0"/>
        <w:autoSpaceDN w:val="0"/>
        <w:adjustRightInd w:val="0"/>
        <w:spacing w:before="156" w:beforeLines="50" w:line="360" w:lineRule="auto"/>
        <w:ind w:firstLine="420" w:firstLineChars="200"/>
        <w:jc w:val="left"/>
        <w:rPr>
          <w:rFonts w:hint="eastAsia" w:ascii="宋体" w:hAnsi="宋体" w:cs="宋体"/>
          <w:szCs w:val="21"/>
          <w:lang w:val="zh-CN"/>
        </w:rPr>
      </w:pPr>
      <w:r>
        <w:rPr>
          <w:rFonts w:hint="eastAsia" w:ascii="宋体" w:hAnsi="宋体" w:cs="宋体"/>
          <w:szCs w:val="21"/>
          <w:lang w:val="zh-CN"/>
        </w:rPr>
        <w:t>根据贵方</w:t>
      </w:r>
      <w:r>
        <w:rPr>
          <w:rFonts w:hint="eastAsia" w:ascii="宋体" w:hAnsi="宋体" w:cs="宋体"/>
          <w:szCs w:val="21"/>
          <w:u w:val="single"/>
          <w:lang w:val="zh-CN"/>
        </w:rPr>
        <w:t xml:space="preserve">   （项目名称） </w:t>
      </w:r>
      <w:r>
        <w:rPr>
          <w:rFonts w:hint="eastAsia" w:ascii="宋体" w:hAnsi="宋体" w:cs="宋体"/>
          <w:szCs w:val="21"/>
          <w:lang w:val="zh-CN"/>
        </w:rPr>
        <w:t>的招标文件，我方正式提交投标文件正本壹份，副本</w:t>
      </w:r>
      <w:r>
        <w:rPr>
          <w:rFonts w:hint="eastAsia" w:ascii="宋体" w:hAnsi="宋体" w:cs="宋体"/>
          <w:szCs w:val="21"/>
          <w:u w:val="single"/>
          <w:lang w:val="zh-CN"/>
        </w:rPr>
        <w:t xml:space="preserve">     </w:t>
      </w:r>
      <w:r>
        <w:rPr>
          <w:rFonts w:hint="eastAsia" w:ascii="宋体" w:hAnsi="宋体" w:cs="宋体"/>
          <w:szCs w:val="21"/>
          <w:lang w:val="zh-CN"/>
        </w:rPr>
        <w:t>份。</w:t>
      </w:r>
    </w:p>
    <w:p>
      <w:pPr>
        <w:spacing w:line="360" w:lineRule="auto"/>
        <w:ind w:firstLine="420" w:firstLineChars="200"/>
        <w:rPr>
          <w:rFonts w:hint="eastAsia" w:ascii="宋体" w:hAnsi="宋体" w:cs="宋体"/>
          <w:szCs w:val="21"/>
        </w:rPr>
      </w:pPr>
      <w:r>
        <w:rPr>
          <w:rFonts w:hint="eastAsia" w:ascii="宋体" w:hAnsi="宋体" w:cs="宋体"/>
          <w:szCs w:val="21"/>
        </w:rPr>
        <w:t>据此函，签字人兹同意如下：</w:t>
      </w:r>
    </w:p>
    <w:p>
      <w:pPr>
        <w:spacing w:line="360" w:lineRule="auto"/>
        <w:ind w:firstLine="420" w:firstLineChars="200"/>
        <w:rPr>
          <w:rFonts w:hint="eastAsia" w:ascii="宋体" w:hAnsi="宋体" w:cs="宋体"/>
          <w:szCs w:val="21"/>
        </w:rPr>
      </w:pPr>
      <w:r>
        <w:rPr>
          <w:rFonts w:hint="eastAsia" w:ascii="宋体" w:hAnsi="宋体" w:cs="宋体"/>
          <w:szCs w:val="21"/>
        </w:rPr>
        <w:t>1、总报价为（大写）</w:t>
      </w:r>
      <w:r>
        <w:rPr>
          <w:rFonts w:hint="eastAsia" w:ascii="宋体" w:hAnsi="宋体" w:cs="宋体"/>
          <w:b/>
          <w:szCs w:val="21"/>
          <w:u w:val="single"/>
        </w:rPr>
        <w:t xml:space="preserve">             </w:t>
      </w:r>
      <w:r>
        <w:rPr>
          <w:rFonts w:hint="eastAsia" w:ascii="宋体" w:hAnsi="宋体" w:cs="宋体"/>
          <w:szCs w:val="21"/>
        </w:rPr>
        <w:t>元人民币。</w:t>
      </w:r>
    </w:p>
    <w:p>
      <w:pPr>
        <w:spacing w:line="360" w:lineRule="auto"/>
        <w:ind w:firstLine="420" w:firstLineChars="200"/>
        <w:rPr>
          <w:rFonts w:hint="eastAsia" w:ascii="宋体" w:hAnsi="宋体" w:cs="宋体"/>
          <w:szCs w:val="21"/>
        </w:rPr>
      </w:pPr>
      <w:r>
        <w:rPr>
          <w:rFonts w:hint="eastAsia" w:ascii="宋体" w:hAnsi="宋体" w:cs="宋体"/>
          <w:szCs w:val="21"/>
        </w:rPr>
        <w:t>2、我们同意提供贵方可能要求的与本次</w:t>
      </w:r>
      <w:r>
        <w:rPr>
          <w:rFonts w:hint="eastAsia" w:ascii="宋体" w:hAnsi="宋体" w:cs="宋体"/>
          <w:szCs w:val="21"/>
          <w:lang w:eastAsia="zh-CN"/>
        </w:rPr>
        <w:t>招标</w:t>
      </w:r>
      <w:r>
        <w:rPr>
          <w:rFonts w:hint="eastAsia" w:ascii="宋体" w:hAnsi="宋体" w:cs="宋体"/>
          <w:szCs w:val="21"/>
        </w:rPr>
        <w:t>有关的任何证据或资料。</w:t>
      </w:r>
    </w:p>
    <w:p>
      <w:pPr>
        <w:spacing w:line="360" w:lineRule="auto"/>
        <w:ind w:firstLine="420" w:firstLineChars="200"/>
        <w:rPr>
          <w:rFonts w:hint="eastAsia" w:ascii="宋体" w:hAnsi="宋体" w:cs="宋体"/>
          <w:szCs w:val="21"/>
        </w:rPr>
      </w:pPr>
      <w:r>
        <w:rPr>
          <w:rFonts w:hint="eastAsia" w:ascii="宋体" w:hAnsi="宋体" w:cs="宋体"/>
          <w:szCs w:val="21"/>
        </w:rPr>
        <w:t>3、一旦我方成交，我方承诺将根据</w:t>
      </w:r>
      <w:r>
        <w:rPr>
          <w:rFonts w:hint="eastAsia" w:ascii="宋体" w:hAnsi="宋体" w:cs="宋体"/>
          <w:szCs w:val="21"/>
          <w:lang w:eastAsia="zh-CN"/>
        </w:rPr>
        <w:t>招标</w:t>
      </w:r>
      <w:r>
        <w:rPr>
          <w:rFonts w:hint="eastAsia" w:ascii="宋体" w:hAnsi="宋体" w:cs="宋体"/>
          <w:szCs w:val="21"/>
        </w:rPr>
        <w:t>文件与贵方签订书面合同，并严格履行合同义务。</w:t>
      </w:r>
    </w:p>
    <w:p>
      <w:pPr>
        <w:spacing w:line="360" w:lineRule="auto"/>
        <w:ind w:firstLine="420" w:firstLineChars="200"/>
        <w:rPr>
          <w:rFonts w:hint="eastAsia" w:ascii="宋体" w:hAnsi="宋体" w:cs="宋体"/>
          <w:szCs w:val="21"/>
        </w:rPr>
      </w:pPr>
      <w:r>
        <w:rPr>
          <w:rFonts w:hint="eastAsia" w:ascii="宋体" w:hAnsi="宋体" w:cs="宋体"/>
          <w:szCs w:val="21"/>
        </w:rPr>
        <w:t>4、我方指派</w:t>
      </w:r>
      <w:r>
        <w:rPr>
          <w:rFonts w:hint="eastAsia" w:ascii="宋体" w:hAnsi="宋体" w:cs="宋体"/>
          <w:szCs w:val="21"/>
          <w:u w:val="single"/>
        </w:rPr>
        <w:t xml:space="preserve">        </w:t>
      </w:r>
      <w:r>
        <w:rPr>
          <w:rFonts w:hint="eastAsia" w:ascii="宋体" w:hAnsi="宋体" w:cs="宋体"/>
          <w:szCs w:val="21"/>
        </w:rPr>
        <w:t>（姓名）为项目经理，保证于承诺的时间内完成本次发包范围内的任务，并交付贵方验收、使用。</w:t>
      </w:r>
    </w:p>
    <w:p>
      <w:pPr>
        <w:spacing w:line="360" w:lineRule="auto"/>
        <w:ind w:firstLine="420" w:firstLineChars="200"/>
        <w:rPr>
          <w:rFonts w:hint="eastAsia" w:ascii="宋体" w:hAnsi="宋体" w:cs="宋体"/>
          <w:szCs w:val="21"/>
        </w:rPr>
      </w:pPr>
      <w:r>
        <w:rPr>
          <w:rFonts w:hint="eastAsia" w:ascii="宋体" w:hAnsi="宋体" w:cs="宋体"/>
          <w:szCs w:val="21"/>
        </w:rPr>
        <w:t>5、我方决不提供虚假材料谋取成交，决不采取不正当手段诋毁、排挤其他供应商，决不与采购人、其它供应商恶意串通，决不向采购人及</w:t>
      </w:r>
      <w:r>
        <w:rPr>
          <w:rFonts w:hint="eastAsia" w:ascii="宋体" w:hAnsi="宋体" w:cs="宋体"/>
          <w:szCs w:val="21"/>
          <w:lang w:eastAsia="zh-CN"/>
        </w:rPr>
        <w:t>评审</w:t>
      </w:r>
      <w:r>
        <w:rPr>
          <w:rFonts w:hint="eastAsia" w:ascii="宋体" w:hAnsi="宋体" w:cs="宋体"/>
          <w:szCs w:val="21"/>
        </w:rPr>
        <w:t>小组进行商业贿赂。如有违反，愿无条件接受贵方及相关管理部门的处罚。</w:t>
      </w:r>
    </w:p>
    <w:p>
      <w:pPr>
        <w:spacing w:line="360" w:lineRule="auto"/>
        <w:ind w:firstLine="420" w:firstLineChars="200"/>
        <w:rPr>
          <w:rFonts w:hint="eastAsia" w:ascii="宋体" w:hAnsi="宋体" w:cs="宋体"/>
        </w:rPr>
      </w:pPr>
      <w:r>
        <w:rPr>
          <w:rFonts w:hint="eastAsia" w:ascii="宋体" w:hAnsi="宋体" w:cs="宋体"/>
          <w:szCs w:val="21"/>
        </w:rPr>
        <w:t>6、</w:t>
      </w:r>
      <w:r>
        <w:rPr>
          <w:rFonts w:hint="eastAsia" w:ascii="宋体" w:hAnsi="宋体" w:cs="宋体"/>
        </w:rPr>
        <w:t>随本申请递交的申请附录是本申请的组成部分，对我方构成约束力。</w:t>
      </w:r>
    </w:p>
    <w:p>
      <w:pPr>
        <w:spacing w:line="360" w:lineRule="auto"/>
        <w:ind w:firstLine="420" w:firstLineChars="200"/>
        <w:rPr>
          <w:rFonts w:hint="eastAsia" w:ascii="宋体" w:hAnsi="宋体" w:cs="宋体"/>
          <w:szCs w:val="21"/>
        </w:rPr>
      </w:pPr>
      <w:r>
        <w:rPr>
          <w:rFonts w:hint="eastAsia" w:ascii="宋体" w:hAnsi="宋体" w:cs="宋体"/>
          <w:szCs w:val="21"/>
        </w:rPr>
        <w:t>7、与本申请有关的正式通讯地址为：</w:t>
      </w:r>
    </w:p>
    <w:p>
      <w:pPr>
        <w:spacing w:line="360" w:lineRule="auto"/>
        <w:ind w:firstLine="420" w:firstLineChars="200"/>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pPr>
        <w:spacing w:line="360" w:lineRule="auto"/>
        <w:ind w:firstLine="420" w:firstLineChars="200"/>
        <w:rPr>
          <w:rFonts w:hint="eastAsia"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pPr>
        <w:spacing w:line="360" w:lineRule="auto"/>
        <w:ind w:firstLine="420" w:firstLineChars="200"/>
        <w:rPr>
          <w:rFonts w:hint="eastAsia"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                       </w:t>
      </w:r>
    </w:p>
    <w:p>
      <w:pPr>
        <w:spacing w:line="360" w:lineRule="auto"/>
        <w:ind w:firstLine="420" w:firstLineChars="200"/>
        <w:rPr>
          <w:rFonts w:hint="eastAsia" w:ascii="宋体" w:hAnsi="宋体" w:cs="宋体"/>
          <w:szCs w:val="21"/>
        </w:rPr>
      </w:pPr>
    </w:p>
    <w:p>
      <w:pPr>
        <w:pStyle w:val="30"/>
        <w:rPr>
          <w:rFonts w:hint="eastAsia" w:ascii="宋体" w:hAnsi="宋体" w:cs="宋体"/>
          <w:szCs w:val="21"/>
        </w:rPr>
      </w:pPr>
    </w:p>
    <w:p>
      <w:pPr>
        <w:pStyle w:val="30"/>
        <w:rPr>
          <w:rFonts w:hint="eastAsia" w:ascii="宋体" w:hAnsi="宋体" w:cs="宋体"/>
          <w:szCs w:val="21"/>
        </w:rPr>
      </w:pP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lang w:eastAsia="zh-CN"/>
        </w:rPr>
        <w:t>投标人</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（盖单位章）</w:t>
      </w:r>
    </w:p>
    <w:p>
      <w:pPr>
        <w:spacing w:before="50" w:after="156" w:afterLines="50" w:line="360" w:lineRule="auto"/>
        <w:ind w:firstLine="420" w:firstLineChars="200"/>
        <w:rPr>
          <w:rFonts w:hint="eastAsia"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5"/>
        <w:spacing w:line="360" w:lineRule="auto"/>
        <w:jc w:val="center"/>
        <w:rPr>
          <w:rFonts w:hint="eastAsia" w:ascii="宋体" w:hAnsi="宋体" w:cs="宋体"/>
          <w:sz w:val="28"/>
          <w:szCs w:val="28"/>
          <w:lang w:val="zh-CN"/>
        </w:rPr>
      </w:pPr>
      <w:r>
        <w:rPr>
          <w:rFonts w:hint="eastAsia" w:ascii="宋体" w:hAnsi="宋体" w:cs="宋体"/>
          <w:sz w:val="28"/>
          <w:szCs w:val="28"/>
        </w:rPr>
        <w:br w:type="page"/>
      </w:r>
      <w:bookmarkStart w:id="218" w:name="_Toc9112"/>
      <w:bookmarkStart w:id="219" w:name="_Toc23012"/>
      <w:r>
        <w:rPr>
          <w:rFonts w:hint="eastAsia" w:ascii="宋体" w:hAnsi="宋体" w:cs="宋体"/>
          <w:sz w:val="28"/>
          <w:szCs w:val="28"/>
        </w:rPr>
        <w:t>（二）申请附录</w:t>
      </w:r>
      <w:bookmarkEnd w:id="218"/>
      <w:bookmarkEnd w:id="219"/>
    </w:p>
    <w:p>
      <w:pPr>
        <w:spacing w:after="156" w:afterLines="50" w:line="360" w:lineRule="auto"/>
        <w:jc w:val="left"/>
        <w:rPr>
          <w:rFonts w:hint="eastAsia" w:ascii="宋体" w:hAnsi="宋体" w:cs="宋体"/>
          <w:b/>
          <w:szCs w:val="21"/>
        </w:rPr>
      </w:pPr>
      <w:r>
        <w:rPr>
          <w:rFonts w:hint="eastAsia" w:ascii="宋体" w:hAnsi="宋体" w:cs="宋体"/>
          <w:szCs w:val="21"/>
        </w:rPr>
        <w:t>项目名称：                                                    报价单位：人民币元</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20"/>
              <w:spacing w:line="360" w:lineRule="auto"/>
              <w:jc w:val="center"/>
              <w:rPr>
                <w:rFonts w:hint="eastAsia" w:hAnsi="宋体" w:cs="宋体"/>
                <w:color w:val="000000"/>
              </w:rPr>
            </w:pPr>
            <w:r>
              <w:rPr>
                <w:rFonts w:hint="eastAsia" w:hAnsi="宋体" w:cs="宋体"/>
                <w:color w:val="000000"/>
                <w:lang w:eastAsia="zh-CN"/>
              </w:rPr>
              <w:t>投标人</w:t>
            </w:r>
            <w:r>
              <w:rPr>
                <w:rFonts w:hint="eastAsia" w:hAnsi="宋体" w:cs="宋体"/>
                <w:color w:val="000000"/>
              </w:rPr>
              <w:t>全称</w:t>
            </w:r>
          </w:p>
        </w:tc>
        <w:tc>
          <w:tcPr>
            <w:tcW w:w="7371" w:type="dxa"/>
            <w:gridSpan w:val="2"/>
            <w:noWrap w:val="0"/>
            <w:vAlign w:val="center"/>
          </w:tcPr>
          <w:p>
            <w:pPr>
              <w:pStyle w:val="20"/>
              <w:spacing w:line="360" w:lineRule="auto"/>
              <w:rPr>
                <w:rFonts w:hint="eastAsia"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023" w:type="dxa"/>
            <w:vMerge w:val="restart"/>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总报价（元）</w:t>
            </w:r>
          </w:p>
        </w:tc>
        <w:tc>
          <w:tcPr>
            <w:tcW w:w="1501" w:type="dxa"/>
            <w:tcBorders>
              <w:bottom w:val="single" w:color="auto" w:sz="4" w:space="0"/>
            </w:tcBorders>
            <w:noWrap w:val="0"/>
            <w:vAlign w:val="center"/>
          </w:tcPr>
          <w:p>
            <w:pPr>
              <w:pStyle w:val="20"/>
              <w:spacing w:line="360" w:lineRule="auto"/>
              <w:ind w:firstLine="420"/>
              <w:rPr>
                <w:rFonts w:hint="eastAsia" w:hAnsi="宋体" w:cs="宋体"/>
                <w:color w:val="000000"/>
              </w:rPr>
            </w:pPr>
            <w:r>
              <w:rPr>
                <w:rFonts w:hint="eastAsia" w:hAnsi="宋体" w:cs="宋体"/>
                <w:color w:val="000000"/>
              </w:rPr>
              <w:t>大写</w:t>
            </w:r>
          </w:p>
        </w:tc>
        <w:tc>
          <w:tcPr>
            <w:tcW w:w="5870" w:type="dxa"/>
            <w:tcBorders>
              <w:bottom w:val="single" w:color="auto" w:sz="4" w:space="0"/>
            </w:tcBorders>
            <w:noWrap w:val="0"/>
            <w:vAlign w:val="center"/>
          </w:tcPr>
          <w:p>
            <w:pPr>
              <w:pStyle w:val="20"/>
              <w:spacing w:line="360" w:lineRule="auto"/>
              <w:rPr>
                <w:rFonts w:hint="eastAsia"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tcBorders>
              <w:bottom w:val="single" w:color="auto" w:sz="4" w:space="0"/>
            </w:tcBorders>
            <w:noWrap w:val="0"/>
            <w:vAlign w:val="center"/>
          </w:tcPr>
          <w:p>
            <w:pPr>
              <w:spacing w:line="360" w:lineRule="auto"/>
              <w:jc w:val="center"/>
              <w:rPr>
                <w:rFonts w:hint="eastAsia" w:ascii="宋体" w:hAnsi="宋体" w:cs="宋体"/>
                <w:color w:val="000000"/>
                <w:szCs w:val="21"/>
              </w:rPr>
            </w:pPr>
          </w:p>
        </w:tc>
        <w:tc>
          <w:tcPr>
            <w:tcW w:w="1501" w:type="dxa"/>
            <w:tcBorders>
              <w:bottom w:val="single" w:color="auto" w:sz="4" w:space="0"/>
            </w:tcBorders>
            <w:noWrap w:val="0"/>
            <w:vAlign w:val="center"/>
          </w:tcPr>
          <w:p>
            <w:pPr>
              <w:pStyle w:val="20"/>
              <w:spacing w:line="360" w:lineRule="auto"/>
              <w:ind w:firstLine="420"/>
              <w:rPr>
                <w:rFonts w:hint="eastAsia" w:hAnsi="宋体" w:cs="宋体"/>
                <w:color w:val="000000"/>
              </w:rPr>
            </w:pPr>
            <w:r>
              <w:rPr>
                <w:rFonts w:hint="eastAsia" w:hAnsi="宋体" w:cs="宋体"/>
                <w:color w:val="000000"/>
              </w:rPr>
              <w:t>小写</w:t>
            </w:r>
          </w:p>
        </w:tc>
        <w:tc>
          <w:tcPr>
            <w:tcW w:w="5870" w:type="dxa"/>
            <w:tcBorders>
              <w:bottom w:val="single" w:color="auto" w:sz="4" w:space="0"/>
            </w:tcBorders>
            <w:noWrap w:val="0"/>
            <w:vAlign w:val="center"/>
          </w:tcPr>
          <w:p>
            <w:pPr>
              <w:pStyle w:val="20"/>
              <w:spacing w:line="360" w:lineRule="auto"/>
              <w:rPr>
                <w:rFonts w:hint="eastAsia"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20"/>
              <w:spacing w:line="360" w:lineRule="auto"/>
              <w:ind w:firstLine="420"/>
              <w:jc w:val="both"/>
              <w:rPr>
                <w:rFonts w:hint="eastAsia" w:hAnsi="宋体" w:cs="宋体"/>
              </w:rPr>
            </w:pPr>
            <w:r>
              <w:rPr>
                <w:rFonts w:hint="eastAsia" w:hAnsi="宋体" w:cs="宋体"/>
                <w:lang w:eastAsia="zh-CN"/>
              </w:rPr>
              <w:t>投标</w:t>
            </w:r>
            <w:r>
              <w:rPr>
                <w:rFonts w:hint="eastAsia" w:hAnsi="宋体" w:cs="宋体"/>
              </w:rPr>
              <w:t>保证金</w:t>
            </w:r>
          </w:p>
        </w:tc>
        <w:tc>
          <w:tcPr>
            <w:tcW w:w="7371" w:type="dxa"/>
            <w:gridSpan w:val="2"/>
            <w:noWrap w:val="0"/>
            <w:vAlign w:val="center"/>
          </w:tcPr>
          <w:p>
            <w:pPr>
              <w:pStyle w:val="20"/>
              <w:spacing w:line="360" w:lineRule="auto"/>
              <w:jc w:val="left"/>
              <w:rPr>
                <w:rFonts w:hint="eastAsia" w:hAnsi="宋体" w:cs="宋体"/>
                <w:color w:val="00CC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20"/>
              <w:spacing w:line="360" w:lineRule="auto"/>
              <w:jc w:val="center"/>
              <w:rPr>
                <w:rFonts w:hint="eastAsia" w:hAnsi="宋体" w:cs="宋体"/>
              </w:rPr>
            </w:pPr>
            <w:r>
              <w:rPr>
                <w:rFonts w:hint="eastAsia" w:hAnsi="宋体" w:cs="宋体"/>
                <w:lang w:eastAsia="zh-CN"/>
              </w:rPr>
              <w:t>投标</w:t>
            </w:r>
            <w:r>
              <w:rPr>
                <w:rFonts w:hint="eastAsia" w:hAnsi="宋体" w:cs="宋体"/>
              </w:rPr>
              <w:t>文件有效期</w:t>
            </w:r>
          </w:p>
        </w:tc>
        <w:tc>
          <w:tcPr>
            <w:tcW w:w="7371" w:type="dxa"/>
            <w:gridSpan w:val="2"/>
            <w:noWrap w:val="0"/>
            <w:vAlign w:val="center"/>
          </w:tcPr>
          <w:p>
            <w:pPr>
              <w:pStyle w:val="20"/>
              <w:spacing w:line="360" w:lineRule="auto"/>
              <w:jc w:val="left"/>
              <w:rPr>
                <w:rFonts w:hint="eastAsia" w:hAnsi="宋体" w:cs="宋体"/>
                <w:color w:val="00CC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20"/>
              <w:spacing w:line="360" w:lineRule="auto"/>
              <w:jc w:val="center"/>
              <w:rPr>
                <w:rFonts w:hint="eastAsia" w:hAnsi="宋体" w:cs="宋体"/>
              </w:rPr>
            </w:pPr>
            <w:r>
              <w:rPr>
                <w:rFonts w:hint="eastAsia" w:hAnsi="宋体" w:cs="宋体"/>
              </w:rPr>
              <w:t>工期</w:t>
            </w:r>
          </w:p>
        </w:tc>
        <w:tc>
          <w:tcPr>
            <w:tcW w:w="7371" w:type="dxa"/>
            <w:gridSpan w:val="2"/>
            <w:noWrap w:val="0"/>
            <w:vAlign w:val="center"/>
          </w:tcPr>
          <w:p>
            <w:pPr>
              <w:pStyle w:val="20"/>
              <w:spacing w:line="360" w:lineRule="auto"/>
              <w:jc w:val="left"/>
              <w:rPr>
                <w:rFonts w:hint="eastAsia" w:hAnsi="宋体" w:cs="宋体"/>
                <w:color w:val="00CC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20"/>
              <w:spacing w:line="360" w:lineRule="auto"/>
              <w:jc w:val="center"/>
              <w:rPr>
                <w:rFonts w:hint="eastAsia" w:hAnsi="宋体" w:cs="宋体"/>
              </w:rPr>
            </w:pPr>
            <w:r>
              <w:rPr>
                <w:rFonts w:hint="eastAsia" w:hAnsi="宋体" w:cs="宋体"/>
              </w:rPr>
              <w:t>质量标准</w:t>
            </w:r>
          </w:p>
        </w:tc>
        <w:tc>
          <w:tcPr>
            <w:tcW w:w="7371" w:type="dxa"/>
            <w:gridSpan w:val="2"/>
            <w:noWrap w:val="0"/>
            <w:vAlign w:val="center"/>
          </w:tcPr>
          <w:p>
            <w:pPr>
              <w:pStyle w:val="20"/>
              <w:spacing w:line="360" w:lineRule="auto"/>
              <w:jc w:val="left"/>
              <w:rPr>
                <w:rFonts w:hint="eastAsia" w:hAnsi="宋体" w:cs="宋体"/>
                <w:color w:val="00CC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20"/>
              <w:spacing w:line="360" w:lineRule="auto"/>
              <w:jc w:val="center"/>
              <w:rPr>
                <w:rFonts w:hint="eastAsia" w:hAnsi="宋体" w:cs="宋体"/>
              </w:rPr>
            </w:pPr>
            <w:r>
              <w:rPr>
                <w:rFonts w:hint="eastAsia" w:hAnsi="宋体" w:cs="宋体"/>
              </w:rPr>
              <w:t>质量保证期</w:t>
            </w:r>
          </w:p>
        </w:tc>
        <w:tc>
          <w:tcPr>
            <w:tcW w:w="7371" w:type="dxa"/>
            <w:gridSpan w:val="2"/>
            <w:noWrap w:val="0"/>
            <w:vAlign w:val="center"/>
          </w:tcPr>
          <w:p>
            <w:pPr>
              <w:pStyle w:val="20"/>
              <w:spacing w:line="360" w:lineRule="auto"/>
              <w:jc w:val="left"/>
              <w:rPr>
                <w:rFonts w:hint="eastAsia" w:hAnsi="宋体" w:cs="宋体"/>
                <w:color w:val="00CC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20"/>
              <w:spacing w:line="360" w:lineRule="auto"/>
              <w:jc w:val="center"/>
              <w:rPr>
                <w:rFonts w:hint="eastAsia" w:hAnsi="宋体" w:cs="宋体"/>
              </w:rPr>
            </w:pPr>
            <w:r>
              <w:rPr>
                <w:rFonts w:hint="eastAsia" w:hAnsi="宋体" w:cs="宋体"/>
              </w:rPr>
              <w:t>质量</w:t>
            </w:r>
            <w:r>
              <w:rPr>
                <w:rFonts w:hint="eastAsia" w:hAnsi="宋体" w:cs="宋体"/>
                <w:lang w:eastAsia="zh-CN"/>
              </w:rPr>
              <w:t>投标</w:t>
            </w:r>
            <w:r>
              <w:rPr>
                <w:rFonts w:hint="eastAsia" w:hAnsi="宋体" w:cs="宋体"/>
              </w:rPr>
              <w:t>保证金</w:t>
            </w:r>
          </w:p>
        </w:tc>
        <w:tc>
          <w:tcPr>
            <w:tcW w:w="7371" w:type="dxa"/>
            <w:gridSpan w:val="2"/>
            <w:noWrap w:val="0"/>
            <w:vAlign w:val="center"/>
          </w:tcPr>
          <w:p>
            <w:pPr>
              <w:pStyle w:val="20"/>
              <w:spacing w:line="360" w:lineRule="auto"/>
              <w:jc w:val="left"/>
              <w:rPr>
                <w:rFonts w:hint="eastAsia" w:hAnsi="宋体" w:cs="宋体"/>
                <w:color w:val="00CC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20"/>
              <w:spacing w:line="360" w:lineRule="auto"/>
              <w:ind w:firstLine="420"/>
              <w:jc w:val="center"/>
              <w:rPr>
                <w:rFonts w:hint="eastAsia" w:hAnsi="宋体" w:cs="宋体"/>
                <w:color w:val="000000"/>
              </w:rPr>
            </w:pPr>
            <w:r>
              <w:rPr>
                <w:rFonts w:hint="eastAsia" w:hAnsi="宋体" w:cs="宋体"/>
                <w:color w:val="000000"/>
              </w:rPr>
              <w:t>备注</w:t>
            </w:r>
          </w:p>
        </w:tc>
        <w:tc>
          <w:tcPr>
            <w:tcW w:w="7371" w:type="dxa"/>
            <w:gridSpan w:val="2"/>
            <w:noWrap w:val="0"/>
            <w:vAlign w:val="center"/>
          </w:tcPr>
          <w:p>
            <w:pPr>
              <w:pStyle w:val="20"/>
              <w:spacing w:line="360" w:lineRule="auto"/>
              <w:jc w:val="left"/>
              <w:rPr>
                <w:rFonts w:hint="eastAsia" w:hAnsi="宋体" w:cs="宋体"/>
                <w:b/>
                <w:color w:val="000000"/>
              </w:rPr>
            </w:pPr>
            <w:r>
              <w:rPr>
                <w:rFonts w:hint="eastAsia" w:hAnsi="宋体" w:cs="宋体"/>
                <w:color w:val="000000"/>
              </w:rPr>
              <w:t>供应商在</w:t>
            </w:r>
            <w:r>
              <w:rPr>
                <w:rFonts w:hint="eastAsia" w:hAnsi="宋体" w:cs="宋体"/>
                <w:color w:val="000000"/>
                <w:lang w:eastAsia="zh-CN"/>
              </w:rPr>
              <w:t>招标</w:t>
            </w:r>
            <w:r>
              <w:rPr>
                <w:rFonts w:hint="eastAsia" w:hAnsi="宋体" w:cs="宋体"/>
                <w:color w:val="000000"/>
              </w:rPr>
              <w:t>文件中规定的实质性要求和条件的基础上，可做出其他有利于采购人的承诺。此类承诺可在本表中予以补充填写。</w:t>
            </w:r>
          </w:p>
        </w:tc>
      </w:tr>
    </w:tbl>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lang w:eastAsia="zh-CN"/>
        </w:rPr>
        <w:t>投标人</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（盖单位章）</w:t>
      </w:r>
    </w:p>
    <w:p>
      <w:pPr>
        <w:spacing w:before="50" w:after="156" w:afterLines="50" w:line="360" w:lineRule="auto"/>
        <w:ind w:firstLine="420" w:firstLineChars="200"/>
        <w:rPr>
          <w:rFonts w:hint="eastAsia"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numPr>
          <w:ilvl w:val="0"/>
          <w:numId w:val="10"/>
        </w:numPr>
        <w:spacing w:line="360" w:lineRule="auto"/>
        <w:ind w:firstLine="562" w:firstLineChars="200"/>
        <w:rPr>
          <w:rStyle w:val="89"/>
          <w:rFonts w:hint="eastAsia"/>
          <w:sz w:val="28"/>
          <w:szCs w:val="28"/>
        </w:rPr>
      </w:pPr>
      <w:r>
        <w:rPr>
          <w:rStyle w:val="89"/>
          <w:rFonts w:hint="eastAsia"/>
          <w:sz w:val="28"/>
          <w:szCs w:val="28"/>
          <w:lang w:eastAsia="zh-CN"/>
        </w:rPr>
        <w:br w:type="page"/>
      </w:r>
      <w:bookmarkStart w:id="220" w:name="_Toc25075"/>
      <w:bookmarkStart w:id="221" w:name="_Toc29808"/>
      <w:r>
        <w:rPr>
          <w:rStyle w:val="89"/>
          <w:rFonts w:hint="eastAsia"/>
          <w:sz w:val="28"/>
          <w:szCs w:val="28"/>
        </w:rPr>
        <w:t>已标价的工程量清单</w:t>
      </w:r>
    </w:p>
    <w:bookmarkEnd w:id="220"/>
    <w:bookmarkEnd w:id="221"/>
    <w:p>
      <w:pPr>
        <w:spacing w:line="360" w:lineRule="auto"/>
        <w:jc w:val="left"/>
        <w:rPr>
          <w:rFonts w:hint="eastAsia"/>
        </w:rPr>
      </w:pPr>
    </w:p>
    <w:p>
      <w:pPr>
        <w:spacing w:line="360" w:lineRule="auto"/>
        <w:jc w:val="left"/>
        <w:rPr>
          <w:rFonts w:hint="eastAsia"/>
        </w:rPr>
      </w:pPr>
    </w:p>
    <w:p>
      <w:pPr>
        <w:spacing w:line="360" w:lineRule="auto"/>
        <w:jc w:val="left"/>
        <w:rPr>
          <w:rFonts w:hint="eastAsia"/>
        </w:rPr>
      </w:pPr>
      <w:r>
        <w:rPr>
          <w:rFonts w:hint="eastAsia"/>
        </w:rPr>
        <w:t>注：1.投标人编制经济标严格按照采购人发布的工程量清单提供的表格填列，并不得改动表中的任何地方，表格顺序也不得变动，否则按重大偏差处理。</w:t>
      </w:r>
    </w:p>
    <w:p>
      <w:pPr>
        <w:spacing w:line="360" w:lineRule="auto"/>
        <w:jc w:val="left"/>
        <w:rPr>
          <w:rFonts w:hint="eastAsia"/>
        </w:rPr>
      </w:pPr>
      <w:r>
        <w:rPr>
          <w:rFonts w:hint="eastAsia"/>
        </w:rPr>
        <w:t>2.投标人不允许改变招标人所发工程量清单的结构格式、清单编号、名称、工程量、单位、招标人给出的费率及提供的主材顺序。</w:t>
      </w:r>
    </w:p>
    <w:p>
      <w:pPr>
        <w:spacing w:line="360" w:lineRule="auto"/>
        <w:jc w:val="left"/>
        <w:rPr>
          <w:rFonts w:hint="eastAsia" w:ascii="宋体" w:hAnsi="宋体" w:cs="宋体"/>
          <w:b/>
          <w:szCs w:val="21"/>
        </w:rPr>
      </w:pPr>
      <w:r>
        <w:rPr>
          <w:rFonts w:hint="eastAsia"/>
        </w:rPr>
        <w:t>3.分部分项工程量清单综合单价分析。</w:t>
      </w:r>
      <w:r>
        <w:rPr>
          <w:rFonts w:hint="eastAsia"/>
        </w:rPr>
        <w:br w:type="page"/>
      </w:r>
      <w:bookmarkStart w:id="222" w:name="_Toc5414"/>
      <w:r>
        <w:rPr>
          <w:rStyle w:val="89"/>
          <w:rFonts w:hint="eastAsia"/>
          <w:sz w:val="28"/>
          <w:szCs w:val="28"/>
        </w:rPr>
        <w:t>附件：最后报价书格式</w:t>
      </w:r>
      <w:bookmarkEnd w:id="222"/>
    </w:p>
    <w:p>
      <w:pPr>
        <w:spacing w:line="360" w:lineRule="auto"/>
        <w:jc w:val="center"/>
        <w:rPr>
          <w:rFonts w:hint="eastAsia" w:ascii="宋体" w:hAnsi="宋体" w:cs="宋体"/>
          <w:b/>
          <w:sz w:val="32"/>
          <w:szCs w:val="32"/>
        </w:rPr>
      </w:pPr>
      <w:r>
        <w:rPr>
          <w:rFonts w:hint="eastAsia" w:ascii="宋体" w:hAnsi="宋体" w:cs="宋体"/>
          <w:b/>
          <w:sz w:val="32"/>
          <w:szCs w:val="32"/>
        </w:rPr>
        <w:t>报价</w:t>
      </w:r>
      <w:r>
        <w:rPr>
          <w:rFonts w:hint="eastAsia" w:ascii="宋体" w:hAnsi="宋体" w:cs="宋体"/>
          <w:b/>
          <w:sz w:val="32"/>
          <w:szCs w:val="32"/>
          <w:lang w:val="en-US" w:eastAsia="zh-CN"/>
        </w:rPr>
        <w:t>一览表</w:t>
      </w:r>
    </w:p>
    <w:p>
      <w:pPr>
        <w:adjustRightInd w:val="0"/>
        <w:snapToGrid w:val="0"/>
        <w:spacing w:line="360" w:lineRule="auto"/>
        <w:ind w:left="-88" w:leftChars="-42"/>
        <w:rPr>
          <w:rFonts w:hint="eastAsia" w:ascii="宋体" w:hAnsi="宋体" w:cs="宋体"/>
          <w:color w:val="00CCFF"/>
          <w:szCs w:val="21"/>
        </w:rPr>
      </w:pPr>
    </w:p>
    <w:p>
      <w:pPr>
        <w:spacing w:after="156" w:afterLines="50" w:line="360" w:lineRule="auto"/>
        <w:jc w:val="left"/>
        <w:rPr>
          <w:rFonts w:hint="eastAsia" w:ascii="宋体" w:hAnsi="宋体" w:cs="宋体"/>
          <w:b/>
          <w:sz w:val="24"/>
          <w:szCs w:val="24"/>
        </w:rPr>
      </w:pPr>
      <w:r>
        <w:rPr>
          <w:rFonts w:hint="eastAsia" w:ascii="宋体" w:hAnsi="宋体" w:cs="宋体"/>
          <w:sz w:val="24"/>
          <w:szCs w:val="24"/>
          <w:lang w:val="en-US" w:eastAsia="zh-CN"/>
        </w:rPr>
        <w:t>项目</w:t>
      </w:r>
      <w:r>
        <w:rPr>
          <w:rFonts w:hint="eastAsia" w:ascii="宋体" w:hAnsi="宋体" w:cs="宋体"/>
          <w:sz w:val="24"/>
          <w:szCs w:val="24"/>
        </w:rPr>
        <w:t>名称：</w:t>
      </w:r>
      <w:r>
        <w:rPr>
          <w:rFonts w:hint="eastAsia" w:ascii="宋体" w:hAnsi="宋体" w:cs="宋体"/>
          <w:sz w:val="24"/>
          <w:szCs w:val="24"/>
          <w:lang w:val="en-US" w:eastAsia="zh-CN"/>
        </w:rPr>
        <w:t xml:space="preserve">                                         </w:t>
      </w:r>
      <w:r>
        <w:rPr>
          <w:rFonts w:hint="eastAsia" w:ascii="宋体" w:hAnsi="宋体" w:cs="宋体"/>
          <w:sz w:val="24"/>
          <w:szCs w:val="24"/>
        </w:rPr>
        <w:t>单位：人民币元</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r>
              <w:rPr>
                <w:rFonts w:hint="eastAsia" w:ascii="宋体" w:hAnsi="宋体" w:cs="宋体"/>
                <w:szCs w:val="21"/>
              </w:rPr>
              <w:t>优惠后总报价（元）</w:t>
            </w:r>
          </w:p>
          <w:p>
            <w:pPr>
              <w:spacing w:line="360" w:lineRule="auto"/>
              <w:jc w:val="center"/>
              <w:rPr>
                <w:rFonts w:hint="eastAsia" w:ascii="宋体" w:hAnsi="宋体" w:cs="宋体"/>
                <w:szCs w:val="21"/>
              </w:rPr>
            </w:pPr>
          </w:p>
        </w:tc>
        <w:tc>
          <w:tcPr>
            <w:tcW w:w="1501" w:type="dxa"/>
            <w:noWrap w:val="0"/>
            <w:vAlign w:val="center"/>
          </w:tcPr>
          <w:p>
            <w:pPr>
              <w:pStyle w:val="20"/>
              <w:spacing w:line="360" w:lineRule="auto"/>
              <w:ind w:firstLine="420" w:firstLineChars="0"/>
              <w:rPr>
                <w:rFonts w:hint="eastAsia" w:hAnsi="宋体" w:cs="宋体"/>
              </w:rPr>
            </w:pPr>
            <w:r>
              <w:rPr>
                <w:rFonts w:hint="eastAsia" w:hAnsi="宋体" w:cs="宋体"/>
              </w:rPr>
              <w:t>小写</w:t>
            </w:r>
          </w:p>
        </w:tc>
        <w:tc>
          <w:tcPr>
            <w:tcW w:w="5870" w:type="dxa"/>
            <w:noWrap w:val="0"/>
            <w:vAlign w:val="center"/>
          </w:tcPr>
          <w:p>
            <w:pPr>
              <w:pStyle w:val="20"/>
              <w:spacing w:line="360" w:lineRule="auto"/>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noWrap w:val="0"/>
            <w:vAlign w:val="center"/>
          </w:tcPr>
          <w:p>
            <w:pPr>
              <w:spacing w:line="360" w:lineRule="auto"/>
              <w:jc w:val="center"/>
              <w:rPr>
                <w:rFonts w:hint="eastAsia" w:ascii="宋体" w:hAnsi="宋体" w:cs="宋体"/>
                <w:szCs w:val="21"/>
              </w:rPr>
            </w:pPr>
          </w:p>
        </w:tc>
        <w:tc>
          <w:tcPr>
            <w:tcW w:w="1501" w:type="dxa"/>
            <w:tcBorders>
              <w:bottom w:val="single" w:color="auto" w:sz="4" w:space="0"/>
            </w:tcBorders>
            <w:noWrap w:val="0"/>
            <w:vAlign w:val="center"/>
          </w:tcPr>
          <w:p>
            <w:pPr>
              <w:pStyle w:val="20"/>
              <w:spacing w:line="360" w:lineRule="auto"/>
              <w:ind w:firstLine="420"/>
              <w:rPr>
                <w:rFonts w:hint="eastAsia" w:hAnsi="宋体" w:cs="宋体"/>
              </w:rPr>
            </w:pPr>
            <w:r>
              <w:rPr>
                <w:rFonts w:hint="eastAsia" w:hAnsi="宋体" w:cs="宋体"/>
              </w:rPr>
              <w:t>大写</w:t>
            </w:r>
          </w:p>
        </w:tc>
        <w:tc>
          <w:tcPr>
            <w:tcW w:w="5870" w:type="dxa"/>
            <w:tcBorders>
              <w:bottom w:val="single" w:color="auto" w:sz="4" w:space="0"/>
            </w:tcBorders>
            <w:noWrap w:val="0"/>
            <w:vAlign w:val="center"/>
          </w:tcPr>
          <w:p>
            <w:pPr>
              <w:pStyle w:val="20"/>
              <w:spacing w:line="360" w:lineRule="auto"/>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20"/>
              <w:spacing w:line="360" w:lineRule="auto"/>
              <w:jc w:val="center"/>
              <w:rPr>
                <w:rFonts w:hint="eastAsia" w:hAnsi="宋体" w:cs="宋体"/>
              </w:rPr>
            </w:pPr>
            <w:r>
              <w:rPr>
                <w:rFonts w:hint="eastAsia" w:hAnsi="宋体" w:cs="宋体"/>
              </w:rPr>
              <w:t>工期</w:t>
            </w:r>
          </w:p>
        </w:tc>
        <w:tc>
          <w:tcPr>
            <w:tcW w:w="7371" w:type="dxa"/>
            <w:gridSpan w:val="2"/>
            <w:noWrap w:val="0"/>
            <w:vAlign w:val="center"/>
          </w:tcPr>
          <w:p>
            <w:pPr>
              <w:pStyle w:val="20"/>
              <w:spacing w:line="360" w:lineRule="auto"/>
              <w:ind w:firstLine="420"/>
              <w:jc w:val="left"/>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20"/>
              <w:spacing w:line="360" w:lineRule="auto"/>
              <w:jc w:val="center"/>
              <w:rPr>
                <w:rFonts w:hint="eastAsia" w:hAnsi="宋体" w:eastAsia="宋体" w:cs="宋体"/>
                <w:lang w:val="en-US" w:eastAsia="zh-CN"/>
              </w:rPr>
            </w:pPr>
            <w:r>
              <w:rPr>
                <w:rFonts w:hint="eastAsia" w:hAnsi="宋体" w:cs="宋体"/>
                <w:lang w:val="en-US" w:eastAsia="zh-CN"/>
              </w:rPr>
              <w:t>负责人</w:t>
            </w:r>
          </w:p>
        </w:tc>
        <w:tc>
          <w:tcPr>
            <w:tcW w:w="7371" w:type="dxa"/>
            <w:gridSpan w:val="2"/>
            <w:noWrap w:val="0"/>
            <w:vAlign w:val="center"/>
          </w:tcPr>
          <w:p>
            <w:pPr>
              <w:pStyle w:val="20"/>
              <w:spacing w:line="360" w:lineRule="auto"/>
              <w:ind w:firstLine="422"/>
              <w:jc w:val="left"/>
              <w:rPr>
                <w:rFonts w:hint="eastAsia"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20"/>
              <w:spacing w:line="360" w:lineRule="auto"/>
              <w:jc w:val="center"/>
              <w:rPr>
                <w:rFonts w:hint="eastAsia" w:hAnsi="宋体" w:cs="宋体"/>
              </w:rPr>
            </w:pPr>
            <w:r>
              <w:rPr>
                <w:rFonts w:hint="eastAsia" w:hAnsi="宋体" w:cs="宋体"/>
              </w:rPr>
              <w:t>备注</w:t>
            </w:r>
          </w:p>
        </w:tc>
        <w:tc>
          <w:tcPr>
            <w:tcW w:w="7371" w:type="dxa"/>
            <w:gridSpan w:val="2"/>
            <w:noWrap w:val="0"/>
            <w:vAlign w:val="center"/>
          </w:tcPr>
          <w:p>
            <w:pPr>
              <w:pStyle w:val="20"/>
              <w:spacing w:line="360" w:lineRule="auto"/>
              <w:ind w:firstLine="422"/>
              <w:jc w:val="left"/>
              <w:rPr>
                <w:rFonts w:hint="eastAsia" w:hAnsi="宋体" w:cs="宋体"/>
                <w:b/>
              </w:rPr>
            </w:pPr>
          </w:p>
        </w:tc>
      </w:tr>
    </w:tbl>
    <w:p>
      <w:pPr>
        <w:spacing w:line="360" w:lineRule="auto"/>
        <w:rPr>
          <w:rFonts w:hint="eastAsia" w:ascii="宋体" w:hAnsi="宋体" w:cs="宋体"/>
          <w:szCs w:val="21"/>
        </w:rPr>
      </w:pPr>
      <w:r>
        <w:rPr>
          <w:rFonts w:hint="eastAsia" w:ascii="宋体" w:hAnsi="宋体" w:cs="宋体"/>
          <w:szCs w:val="21"/>
        </w:rPr>
        <w:t>说明：优惠后各分项价格统一按此总报价优惠幅度调整。</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lang w:eastAsia="zh-CN"/>
        </w:rPr>
        <w:t>投标人</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（盖单位章）</w:t>
      </w:r>
    </w:p>
    <w:p>
      <w:pPr>
        <w:spacing w:before="50" w:after="156" w:afterLines="50" w:line="360" w:lineRule="auto"/>
        <w:ind w:firstLine="420" w:firstLineChars="200"/>
        <w:rPr>
          <w:rFonts w:hint="eastAsia"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562" w:firstLineChars="200"/>
        <w:jc w:val="center"/>
        <w:rPr>
          <w:rStyle w:val="90"/>
          <w:rFonts w:hint="eastAsia"/>
          <w:b/>
          <w:bCs/>
          <w:sz w:val="28"/>
          <w:szCs w:val="28"/>
          <w:lang w:eastAsia="zh-CN"/>
        </w:rPr>
      </w:pPr>
      <w:r>
        <w:rPr>
          <w:rStyle w:val="90"/>
          <w:rFonts w:hint="eastAsia"/>
          <w:b/>
          <w:bCs/>
          <w:sz w:val="28"/>
          <w:szCs w:val="28"/>
          <w:lang w:val="en-US" w:eastAsia="zh-CN"/>
        </w:rPr>
        <w:br w:type="page"/>
      </w:r>
      <w:bookmarkStart w:id="223" w:name="_Toc15675"/>
      <w:bookmarkStart w:id="224" w:name="_Toc3788"/>
      <w:r>
        <w:rPr>
          <w:rStyle w:val="90"/>
          <w:rFonts w:hint="eastAsia"/>
          <w:b/>
          <w:bCs/>
          <w:sz w:val="28"/>
          <w:szCs w:val="28"/>
          <w:lang w:val="en-US" w:eastAsia="zh-CN"/>
        </w:rPr>
        <w:t>四、技术文件</w:t>
      </w:r>
    </w:p>
    <w:bookmarkEnd w:id="223"/>
    <w:bookmarkEnd w:id="224"/>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 全面性</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1.1工程概况、施工组织方案；</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1.2施工机械设备、劳动力投入计划；</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1.3质量、工期、投资控制方案；</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1.4文明施工措施；</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1.5施工总进度计划（附图）；</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1.6施工现场平面布置（附图）；</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 可行性</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2.1施工措施及计划；</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2.2施工现场流水段的划分；</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2.3施工现场流水作业；</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2.4施工现场交叉作业；</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2.5施工现场机具配置和布置；</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 针对性</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3.1施工的重点和关键部位处理</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3.2质保体系；</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3.3安保体系；</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3.4创优措施；</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3.5安全措施；</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3.6文明施工和防止扰民措施。</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 先进性</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4.1采用的新工艺、新技术、新设备；</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4.2在确保工程质量前提下，有降低成本、缩短工期、减轻劳动强度、提高进度的方案；</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4.3在执行国家强制性条文前提下体现施工的先进性措施。</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5. 强制性</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5.1防治质量通病的措施；</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5.2</w:t>
      </w:r>
      <w:r>
        <w:rPr>
          <w:rFonts w:hint="eastAsia" w:ascii="宋体" w:hAnsi="宋体" w:eastAsia="宋体" w:cs="宋体"/>
          <w:sz w:val="21"/>
          <w:szCs w:val="21"/>
          <w:highlight w:val="none"/>
          <w:lang w:eastAsia="zh-CN"/>
        </w:rPr>
        <w:t>执</w:t>
      </w:r>
      <w:r>
        <w:rPr>
          <w:rFonts w:hint="eastAsia" w:ascii="宋体" w:hAnsi="宋体" w:eastAsia="宋体" w:cs="宋体"/>
          <w:sz w:val="21"/>
          <w:szCs w:val="21"/>
          <w:highlight w:val="none"/>
        </w:rPr>
        <w:t>行国家强制性条文的保证措施</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6. 承诺</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6.1保修承诺和违约经济处罚承诺；</w:t>
      </w:r>
    </w:p>
    <w:p>
      <w:pPr>
        <w:spacing w:line="400" w:lineRule="exact"/>
        <w:ind w:firstLine="371" w:firstLineChars="177"/>
        <w:rPr>
          <w:rFonts w:hint="eastAsia" w:ascii="宋体" w:hAnsi="宋体" w:eastAsia="宋体" w:cs="宋体"/>
          <w:sz w:val="21"/>
          <w:szCs w:val="21"/>
          <w:highlight w:val="none"/>
        </w:rPr>
      </w:pPr>
      <w:r>
        <w:rPr>
          <w:rFonts w:hint="eastAsia" w:ascii="宋体" w:hAnsi="宋体" w:eastAsia="宋体" w:cs="宋体"/>
          <w:sz w:val="21"/>
          <w:szCs w:val="21"/>
          <w:highlight w:val="none"/>
        </w:rPr>
        <w:t>6.2工程质量争优承诺及保证质量措施。</w:t>
      </w:r>
    </w:p>
    <w:p>
      <w:pPr>
        <w:topLinePunct/>
        <w:spacing w:line="400" w:lineRule="exac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kern w:val="0"/>
          <w:sz w:val="21"/>
          <w:szCs w:val="21"/>
          <w:highlight w:val="none"/>
        </w:rPr>
        <w:t>投标文件须按技术标格式目录顺序编写</w:t>
      </w:r>
    </w:p>
    <w:p>
      <w:pPr>
        <w:spacing w:line="360" w:lineRule="auto"/>
        <w:jc w:val="center"/>
        <w:rPr>
          <w:rFonts w:hint="eastAsia" w:ascii="宋体" w:hAnsi="宋体" w:cs="宋体"/>
          <w:b/>
          <w:bCs/>
          <w:sz w:val="28"/>
          <w:szCs w:val="28"/>
        </w:rPr>
      </w:pPr>
      <w:r>
        <w:rPr>
          <w:rFonts w:hint="eastAsia"/>
        </w:rPr>
        <w:br w:type="page"/>
      </w:r>
      <w:bookmarkStart w:id="225" w:name="_Toc28157"/>
      <w:r>
        <w:rPr>
          <w:rFonts w:hint="eastAsia" w:ascii="宋体" w:hAnsi="宋体" w:cs="宋体"/>
          <w:b/>
          <w:bCs/>
          <w:sz w:val="28"/>
          <w:szCs w:val="28"/>
        </w:rPr>
        <w:t>五、项目管理机构</w:t>
      </w:r>
      <w:bookmarkEnd w:id="225"/>
    </w:p>
    <w:p>
      <w:pPr>
        <w:pStyle w:val="5"/>
        <w:spacing w:line="360" w:lineRule="auto"/>
        <w:rPr>
          <w:rFonts w:hint="eastAsia" w:ascii="宋体" w:hAnsi="宋体" w:cs="宋体"/>
          <w:sz w:val="28"/>
          <w:szCs w:val="28"/>
        </w:rPr>
      </w:pPr>
      <w:bookmarkStart w:id="226" w:name="_Toc30292"/>
      <w:bookmarkStart w:id="227" w:name="_Toc12180"/>
      <w:r>
        <w:rPr>
          <w:rFonts w:hint="eastAsia" w:ascii="宋体" w:hAnsi="宋体" w:cs="宋体"/>
          <w:sz w:val="28"/>
          <w:szCs w:val="28"/>
        </w:rPr>
        <w:t>（一）项目管理机构组成表</w:t>
      </w:r>
      <w:bookmarkEnd w:id="226"/>
      <w:bookmarkEnd w:id="227"/>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66"/>
        <w:gridCol w:w="765"/>
        <w:gridCol w:w="1149"/>
        <w:gridCol w:w="765"/>
        <w:gridCol w:w="766"/>
        <w:gridCol w:w="765"/>
        <w:gridCol w:w="2682"/>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8"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766"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765"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职称</w:t>
            </w:r>
          </w:p>
        </w:tc>
        <w:tc>
          <w:tcPr>
            <w:tcW w:w="6127" w:type="dxa"/>
            <w:gridSpan w:val="5"/>
            <w:noWrap w:val="0"/>
            <w:vAlign w:val="center"/>
          </w:tcPr>
          <w:p>
            <w:pPr>
              <w:spacing w:line="360" w:lineRule="auto"/>
              <w:jc w:val="center"/>
              <w:rPr>
                <w:rFonts w:hint="eastAsia" w:ascii="宋体" w:hAnsi="宋体" w:cs="宋体"/>
                <w:szCs w:val="21"/>
              </w:rPr>
            </w:pPr>
            <w:r>
              <w:rPr>
                <w:rFonts w:hint="eastAsia" w:ascii="宋体" w:hAnsi="宋体" w:cs="宋体"/>
                <w:szCs w:val="21"/>
              </w:rPr>
              <w:t>执业或职业资格证明</w:t>
            </w:r>
          </w:p>
        </w:tc>
        <w:tc>
          <w:tcPr>
            <w:tcW w:w="714" w:type="dxa"/>
            <w:noWrap w:val="0"/>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8" w:type="dxa"/>
            <w:vMerge w:val="continue"/>
            <w:noWrap w:val="0"/>
            <w:vAlign w:val="center"/>
          </w:tcPr>
          <w:p>
            <w:pPr>
              <w:spacing w:line="360" w:lineRule="auto"/>
              <w:jc w:val="center"/>
              <w:rPr>
                <w:rFonts w:hint="eastAsia" w:ascii="宋体" w:hAnsi="宋体" w:cs="宋体"/>
                <w:szCs w:val="21"/>
              </w:rPr>
            </w:pPr>
          </w:p>
        </w:tc>
        <w:tc>
          <w:tcPr>
            <w:tcW w:w="766" w:type="dxa"/>
            <w:vMerge w:val="continue"/>
            <w:noWrap w:val="0"/>
            <w:vAlign w:val="center"/>
          </w:tcPr>
          <w:p>
            <w:pPr>
              <w:spacing w:line="360" w:lineRule="auto"/>
              <w:jc w:val="center"/>
              <w:rPr>
                <w:rFonts w:hint="eastAsia" w:ascii="宋体" w:hAnsi="宋体" w:cs="宋体"/>
                <w:szCs w:val="21"/>
              </w:rPr>
            </w:pPr>
          </w:p>
        </w:tc>
        <w:tc>
          <w:tcPr>
            <w:tcW w:w="765" w:type="dxa"/>
            <w:vMerge w:val="continue"/>
            <w:noWrap w:val="0"/>
            <w:vAlign w:val="center"/>
          </w:tcPr>
          <w:p>
            <w:pPr>
              <w:spacing w:line="360" w:lineRule="auto"/>
              <w:jc w:val="center"/>
              <w:rPr>
                <w:rFonts w:hint="eastAsia" w:ascii="宋体" w:hAnsi="宋体" w:cs="宋体"/>
                <w:szCs w:val="21"/>
              </w:rPr>
            </w:pPr>
          </w:p>
        </w:tc>
        <w:tc>
          <w:tcPr>
            <w:tcW w:w="1149" w:type="dxa"/>
            <w:noWrap w:val="0"/>
            <w:vAlign w:val="center"/>
          </w:tcPr>
          <w:p>
            <w:pPr>
              <w:spacing w:line="360" w:lineRule="auto"/>
              <w:jc w:val="center"/>
              <w:rPr>
                <w:rFonts w:hint="eastAsia" w:ascii="宋体" w:hAnsi="宋体" w:cs="宋体"/>
                <w:szCs w:val="21"/>
              </w:rPr>
            </w:pPr>
            <w:r>
              <w:rPr>
                <w:rFonts w:hint="eastAsia" w:ascii="宋体" w:hAnsi="宋体" w:cs="宋体"/>
                <w:szCs w:val="21"/>
              </w:rPr>
              <w:t>证书名称</w:t>
            </w:r>
          </w:p>
        </w:tc>
        <w:tc>
          <w:tcPr>
            <w:tcW w:w="765" w:type="dxa"/>
            <w:noWrap w:val="0"/>
            <w:vAlign w:val="center"/>
          </w:tcPr>
          <w:p>
            <w:pPr>
              <w:spacing w:line="360" w:lineRule="auto"/>
              <w:jc w:val="center"/>
              <w:rPr>
                <w:rFonts w:hint="eastAsia" w:ascii="宋体" w:hAnsi="宋体" w:cs="宋体"/>
                <w:szCs w:val="21"/>
              </w:rPr>
            </w:pPr>
            <w:r>
              <w:rPr>
                <w:rFonts w:hint="eastAsia" w:ascii="宋体" w:hAnsi="宋体" w:cs="宋体"/>
                <w:szCs w:val="21"/>
              </w:rPr>
              <w:t>级别</w:t>
            </w:r>
          </w:p>
        </w:tc>
        <w:tc>
          <w:tcPr>
            <w:tcW w:w="766" w:type="dxa"/>
            <w:noWrap w:val="0"/>
            <w:vAlign w:val="center"/>
          </w:tcPr>
          <w:p>
            <w:pPr>
              <w:spacing w:line="360" w:lineRule="auto"/>
              <w:jc w:val="center"/>
              <w:rPr>
                <w:rFonts w:hint="eastAsia" w:ascii="宋体" w:hAnsi="宋体" w:cs="宋体"/>
                <w:szCs w:val="21"/>
              </w:rPr>
            </w:pPr>
            <w:r>
              <w:rPr>
                <w:rFonts w:hint="eastAsia" w:ascii="宋体" w:hAnsi="宋体" w:cs="宋体"/>
                <w:szCs w:val="21"/>
              </w:rPr>
              <w:t>证号</w:t>
            </w:r>
          </w:p>
        </w:tc>
        <w:tc>
          <w:tcPr>
            <w:tcW w:w="765" w:type="dxa"/>
            <w:noWrap w:val="0"/>
            <w:vAlign w:val="center"/>
          </w:tcPr>
          <w:p>
            <w:pPr>
              <w:spacing w:line="360" w:lineRule="auto"/>
              <w:jc w:val="center"/>
              <w:rPr>
                <w:rFonts w:hint="eastAsia" w:ascii="宋体" w:hAnsi="宋体" w:cs="宋体"/>
                <w:szCs w:val="21"/>
              </w:rPr>
            </w:pPr>
            <w:r>
              <w:rPr>
                <w:rFonts w:hint="eastAsia" w:ascii="宋体" w:hAnsi="宋体" w:cs="宋体"/>
                <w:szCs w:val="21"/>
              </w:rPr>
              <w:t>专业</w:t>
            </w:r>
          </w:p>
        </w:tc>
        <w:tc>
          <w:tcPr>
            <w:tcW w:w="2682" w:type="dxa"/>
            <w:noWrap w:val="0"/>
            <w:vAlign w:val="center"/>
          </w:tcPr>
          <w:p>
            <w:pPr>
              <w:spacing w:line="360" w:lineRule="auto"/>
              <w:jc w:val="center"/>
              <w:rPr>
                <w:rFonts w:hint="eastAsia" w:ascii="宋体" w:hAnsi="宋体" w:cs="宋体"/>
                <w:szCs w:val="21"/>
              </w:rPr>
            </w:pPr>
            <w:r>
              <w:rPr>
                <w:rFonts w:hint="eastAsia" w:ascii="宋体" w:hAnsi="宋体" w:cs="宋体"/>
                <w:szCs w:val="21"/>
              </w:rPr>
              <w:t>养老保险</w:t>
            </w:r>
          </w:p>
        </w:tc>
        <w:tc>
          <w:tcPr>
            <w:tcW w:w="714" w:type="dxa"/>
            <w:noWrap w:val="0"/>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center"/>
          </w:tcPr>
          <w:p>
            <w:pPr>
              <w:spacing w:line="360" w:lineRule="auto"/>
              <w:jc w:val="center"/>
              <w:rPr>
                <w:rFonts w:hint="eastAsia" w:ascii="宋体" w:hAnsi="宋体" w:cs="宋体"/>
                <w:color w:val="00CCFF"/>
                <w:szCs w:val="21"/>
              </w:rPr>
            </w:pPr>
          </w:p>
        </w:tc>
        <w:tc>
          <w:tcPr>
            <w:tcW w:w="766" w:type="dxa"/>
            <w:noWrap w:val="0"/>
            <w:vAlign w:val="center"/>
          </w:tcPr>
          <w:p>
            <w:pPr>
              <w:spacing w:line="360" w:lineRule="auto"/>
              <w:jc w:val="center"/>
              <w:rPr>
                <w:rFonts w:hint="eastAsia" w:ascii="宋体" w:hAnsi="宋体" w:cs="宋体"/>
                <w:color w:val="00CCFF"/>
                <w:szCs w:val="21"/>
              </w:rPr>
            </w:pPr>
          </w:p>
        </w:tc>
        <w:tc>
          <w:tcPr>
            <w:tcW w:w="765" w:type="dxa"/>
            <w:noWrap w:val="0"/>
            <w:vAlign w:val="center"/>
          </w:tcPr>
          <w:p>
            <w:pPr>
              <w:spacing w:line="360" w:lineRule="auto"/>
              <w:jc w:val="center"/>
              <w:rPr>
                <w:rFonts w:hint="eastAsia" w:ascii="宋体" w:hAnsi="宋体" w:cs="宋体"/>
                <w:color w:val="00CCFF"/>
                <w:szCs w:val="21"/>
              </w:rPr>
            </w:pPr>
          </w:p>
        </w:tc>
        <w:tc>
          <w:tcPr>
            <w:tcW w:w="1149" w:type="dxa"/>
            <w:noWrap w:val="0"/>
            <w:vAlign w:val="center"/>
          </w:tcPr>
          <w:p>
            <w:pPr>
              <w:spacing w:line="360" w:lineRule="auto"/>
              <w:jc w:val="center"/>
              <w:rPr>
                <w:rFonts w:hint="eastAsia" w:ascii="宋体" w:hAnsi="宋体" w:cs="宋体"/>
                <w:color w:val="00CCFF"/>
                <w:szCs w:val="21"/>
              </w:rPr>
            </w:pPr>
          </w:p>
        </w:tc>
        <w:tc>
          <w:tcPr>
            <w:tcW w:w="765" w:type="dxa"/>
            <w:noWrap w:val="0"/>
            <w:vAlign w:val="center"/>
          </w:tcPr>
          <w:p>
            <w:pPr>
              <w:spacing w:line="360" w:lineRule="auto"/>
              <w:jc w:val="center"/>
              <w:rPr>
                <w:rFonts w:hint="eastAsia" w:ascii="宋体" w:hAnsi="宋体" w:cs="宋体"/>
                <w:color w:val="00CCFF"/>
                <w:szCs w:val="21"/>
              </w:rPr>
            </w:pPr>
          </w:p>
        </w:tc>
        <w:tc>
          <w:tcPr>
            <w:tcW w:w="766" w:type="dxa"/>
            <w:noWrap w:val="0"/>
            <w:vAlign w:val="center"/>
          </w:tcPr>
          <w:p>
            <w:pPr>
              <w:spacing w:line="360" w:lineRule="auto"/>
              <w:jc w:val="center"/>
              <w:rPr>
                <w:rFonts w:hint="eastAsia" w:ascii="宋体" w:hAnsi="宋体" w:cs="宋体"/>
                <w:color w:val="00CCFF"/>
                <w:szCs w:val="21"/>
              </w:rPr>
            </w:pPr>
          </w:p>
        </w:tc>
        <w:tc>
          <w:tcPr>
            <w:tcW w:w="765" w:type="dxa"/>
            <w:noWrap w:val="0"/>
            <w:vAlign w:val="center"/>
          </w:tcPr>
          <w:p>
            <w:pPr>
              <w:spacing w:line="360" w:lineRule="auto"/>
              <w:jc w:val="center"/>
              <w:rPr>
                <w:rFonts w:hint="eastAsia" w:ascii="宋体" w:hAnsi="宋体" w:cs="宋体"/>
                <w:color w:val="00CCFF"/>
                <w:szCs w:val="21"/>
              </w:rPr>
            </w:pPr>
          </w:p>
        </w:tc>
        <w:tc>
          <w:tcPr>
            <w:tcW w:w="2682" w:type="dxa"/>
            <w:noWrap w:val="0"/>
            <w:vAlign w:val="center"/>
          </w:tcPr>
          <w:p>
            <w:pPr>
              <w:spacing w:line="360" w:lineRule="auto"/>
              <w:jc w:val="center"/>
              <w:rPr>
                <w:rFonts w:hint="eastAsia" w:ascii="宋体" w:hAnsi="宋体" w:cs="宋体"/>
                <w:color w:val="00CCFF"/>
                <w:szCs w:val="21"/>
              </w:rPr>
            </w:pPr>
          </w:p>
        </w:tc>
        <w:tc>
          <w:tcPr>
            <w:tcW w:w="714" w:type="dxa"/>
            <w:noWrap w:val="0"/>
            <w:vAlign w:val="center"/>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1149"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766" w:type="dxa"/>
            <w:noWrap w:val="0"/>
            <w:vAlign w:val="top"/>
          </w:tcPr>
          <w:p>
            <w:pPr>
              <w:spacing w:line="360" w:lineRule="auto"/>
              <w:jc w:val="center"/>
              <w:rPr>
                <w:rFonts w:hint="eastAsia" w:ascii="宋体" w:hAnsi="宋体" w:cs="宋体"/>
                <w:color w:val="00CCFF"/>
                <w:szCs w:val="21"/>
              </w:rPr>
            </w:pPr>
          </w:p>
        </w:tc>
        <w:tc>
          <w:tcPr>
            <w:tcW w:w="765" w:type="dxa"/>
            <w:noWrap w:val="0"/>
            <w:vAlign w:val="top"/>
          </w:tcPr>
          <w:p>
            <w:pPr>
              <w:spacing w:line="360" w:lineRule="auto"/>
              <w:jc w:val="center"/>
              <w:rPr>
                <w:rFonts w:hint="eastAsia" w:ascii="宋体" w:hAnsi="宋体" w:cs="宋体"/>
                <w:color w:val="00CCFF"/>
                <w:szCs w:val="21"/>
              </w:rPr>
            </w:pPr>
          </w:p>
        </w:tc>
        <w:tc>
          <w:tcPr>
            <w:tcW w:w="2682" w:type="dxa"/>
            <w:noWrap w:val="0"/>
            <w:vAlign w:val="top"/>
          </w:tcPr>
          <w:p>
            <w:pPr>
              <w:spacing w:line="360" w:lineRule="auto"/>
              <w:jc w:val="center"/>
              <w:rPr>
                <w:rFonts w:hint="eastAsia" w:ascii="宋体" w:hAnsi="宋体" w:cs="宋体"/>
                <w:color w:val="00CCFF"/>
                <w:szCs w:val="21"/>
              </w:rPr>
            </w:pPr>
          </w:p>
        </w:tc>
        <w:tc>
          <w:tcPr>
            <w:tcW w:w="714"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bl>
    <w:p>
      <w:pPr>
        <w:topLinePunct/>
        <w:spacing w:line="360" w:lineRule="auto"/>
        <w:jc w:val="center"/>
        <w:rPr>
          <w:rFonts w:hint="eastAsia" w:ascii="宋体" w:hAnsi="宋体" w:cs="宋体"/>
          <w:color w:val="00CCFF"/>
          <w:sz w:val="20"/>
        </w:rPr>
      </w:pPr>
    </w:p>
    <w:p>
      <w:pPr>
        <w:spacing w:line="360" w:lineRule="auto"/>
        <w:jc w:val="left"/>
        <w:rPr>
          <w:rFonts w:hint="eastAsia" w:ascii="宋体" w:hAnsi="宋体" w:cs="宋体"/>
          <w:b/>
          <w:sz w:val="30"/>
          <w:szCs w:val="30"/>
        </w:rPr>
      </w:pPr>
      <w:r>
        <w:rPr>
          <w:rFonts w:hint="eastAsia" w:ascii="宋体" w:hAnsi="宋体" w:cs="宋体"/>
          <w:b/>
          <w:color w:val="00CCFF"/>
          <w:sz w:val="28"/>
          <w:szCs w:val="28"/>
        </w:rPr>
        <w:br w:type="page"/>
      </w:r>
      <w:bookmarkStart w:id="228" w:name="_Toc5916"/>
      <w:bookmarkStart w:id="229" w:name="_Toc79"/>
      <w:r>
        <w:rPr>
          <w:rStyle w:val="89"/>
          <w:rFonts w:hint="eastAsia" w:ascii="宋体" w:hAnsi="宋体" w:cs="宋体"/>
          <w:sz w:val="28"/>
          <w:szCs w:val="28"/>
        </w:rPr>
        <w:t>（二）项目经理简历表</w:t>
      </w:r>
      <w:bookmarkEnd w:id="228"/>
      <w:bookmarkEnd w:id="229"/>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82"/>
        <w:gridCol w:w="765"/>
        <w:gridCol w:w="986"/>
        <w:gridCol w:w="1132"/>
        <w:gridCol w:w="752"/>
        <w:gridCol w:w="1341"/>
        <w:gridCol w:w="171"/>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pPr>
              <w:spacing w:line="360" w:lineRule="auto"/>
              <w:jc w:val="center"/>
              <w:rPr>
                <w:rFonts w:hint="eastAsia" w:ascii="宋体" w:hAnsi="宋体" w:cs="宋体"/>
                <w:szCs w:val="21"/>
              </w:rPr>
            </w:pPr>
            <w:r>
              <w:rPr>
                <w:rFonts w:hint="eastAsia" w:ascii="宋体" w:hAnsi="宋体" w:cs="宋体"/>
                <w:szCs w:val="21"/>
              </w:rPr>
              <w:t>姓  名</w:t>
            </w:r>
          </w:p>
        </w:tc>
        <w:tc>
          <w:tcPr>
            <w:tcW w:w="1147" w:type="dxa"/>
            <w:gridSpan w:val="2"/>
            <w:noWrap w:val="0"/>
            <w:vAlign w:val="center"/>
          </w:tcPr>
          <w:p>
            <w:pPr>
              <w:spacing w:line="360" w:lineRule="auto"/>
              <w:jc w:val="center"/>
              <w:rPr>
                <w:rFonts w:hint="eastAsia" w:ascii="宋体" w:hAnsi="宋体" w:cs="宋体"/>
                <w:szCs w:val="21"/>
              </w:rPr>
            </w:pPr>
          </w:p>
        </w:tc>
        <w:tc>
          <w:tcPr>
            <w:tcW w:w="986" w:type="dxa"/>
            <w:noWrap w:val="0"/>
            <w:vAlign w:val="center"/>
          </w:tcPr>
          <w:p>
            <w:pPr>
              <w:spacing w:line="360" w:lineRule="auto"/>
              <w:jc w:val="center"/>
              <w:rPr>
                <w:rFonts w:hint="eastAsia" w:ascii="宋体" w:hAnsi="宋体" w:cs="宋体"/>
                <w:szCs w:val="21"/>
              </w:rPr>
            </w:pPr>
            <w:r>
              <w:rPr>
                <w:rFonts w:hint="eastAsia" w:ascii="宋体" w:hAnsi="宋体" w:cs="宋体"/>
                <w:szCs w:val="21"/>
              </w:rPr>
              <w:t>年 龄</w:t>
            </w:r>
          </w:p>
        </w:tc>
        <w:tc>
          <w:tcPr>
            <w:tcW w:w="1132" w:type="dxa"/>
            <w:noWrap w:val="0"/>
            <w:vAlign w:val="center"/>
          </w:tcPr>
          <w:p>
            <w:pPr>
              <w:spacing w:line="360" w:lineRule="auto"/>
              <w:jc w:val="center"/>
              <w:rPr>
                <w:rFonts w:hint="eastAsia" w:ascii="宋体" w:hAnsi="宋体" w:cs="宋体"/>
                <w:szCs w:val="21"/>
              </w:rPr>
            </w:pPr>
          </w:p>
        </w:tc>
        <w:tc>
          <w:tcPr>
            <w:tcW w:w="2264" w:type="dxa"/>
            <w:gridSpan w:val="3"/>
            <w:noWrap w:val="0"/>
            <w:vAlign w:val="center"/>
          </w:tcPr>
          <w:p>
            <w:pPr>
              <w:spacing w:line="360" w:lineRule="auto"/>
              <w:jc w:val="center"/>
              <w:rPr>
                <w:rFonts w:hint="eastAsia" w:ascii="宋体" w:hAnsi="宋体" w:cs="宋体"/>
                <w:szCs w:val="21"/>
              </w:rPr>
            </w:pPr>
            <w:r>
              <w:rPr>
                <w:rFonts w:hint="eastAsia" w:ascii="宋体" w:hAnsi="宋体" w:cs="宋体"/>
                <w:szCs w:val="21"/>
              </w:rPr>
              <w:t>学历</w:t>
            </w:r>
          </w:p>
        </w:tc>
        <w:tc>
          <w:tcPr>
            <w:tcW w:w="2270" w:type="dxa"/>
            <w:noWrap w:val="0"/>
            <w:vAlign w:val="center"/>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pPr>
              <w:spacing w:line="360" w:lineRule="auto"/>
              <w:jc w:val="center"/>
              <w:rPr>
                <w:rFonts w:hint="eastAsia" w:ascii="宋体" w:hAnsi="宋体" w:cs="宋体"/>
                <w:szCs w:val="21"/>
              </w:rPr>
            </w:pPr>
            <w:r>
              <w:rPr>
                <w:rFonts w:hint="eastAsia" w:ascii="宋体" w:hAnsi="宋体" w:cs="宋体"/>
                <w:szCs w:val="21"/>
              </w:rPr>
              <w:t>职  称</w:t>
            </w:r>
          </w:p>
        </w:tc>
        <w:tc>
          <w:tcPr>
            <w:tcW w:w="1147" w:type="dxa"/>
            <w:gridSpan w:val="2"/>
            <w:noWrap w:val="0"/>
            <w:vAlign w:val="center"/>
          </w:tcPr>
          <w:p>
            <w:pPr>
              <w:spacing w:line="360" w:lineRule="auto"/>
              <w:jc w:val="center"/>
              <w:rPr>
                <w:rFonts w:hint="eastAsia" w:ascii="宋体" w:hAnsi="宋体" w:cs="宋体"/>
                <w:szCs w:val="21"/>
              </w:rPr>
            </w:pPr>
          </w:p>
        </w:tc>
        <w:tc>
          <w:tcPr>
            <w:tcW w:w="986" w:type="dxa"/>
            <w:noWrap w:val="0"/>
            <w:vAlign w:val="center"/>
          </w:tcPr>
          <w:p>
            <w:pPr>
              <w:spacing w:line="360" w:lineRule="auto"/>
              <w:jc w:val="center"/>
              <w:rPr>
                <w:rFonts w:hint="eastAsia" w:ascii="宋体" w:hAnsi="宋体" w:cs="宋体"/>
                <w:szCs w:val="21"/>
              </w:rPr>
            </w:pPr>
            <w:r>
              <w:rPr>
                <w:rFonts w:hint="eastAsia" w:ascii="宋体" w:hAnsi="宋体" w:cs="宋体"/>
                <w:szCs w:val="21"/>
              </w:rPr>
              <w:t>职 务</w:t>
            </w:r>
          </w:p>
        </w:tc>
        <w:tc>
          <w:tcPr>
            <w:tcW w:w="1132" w:type="dxa"/>
            <w:noWrap w:val="0"/>
            <w:vAlign w:val="center"/>
          </w:tcPr>
          <w:p>
            <w:pPr>
              <w:spacing w:line="360" w:lineRule="auto"/>
              <w:jc w:val="center"/>
              <w:rPr>
                <w:rFonts w:hint="eastAsia" w:ascii="宋体" w:hAnsi="宋体" w:cs="宋体"/>
                <w:szCs w:val="21"/>
              </w:rPr>
            </w:pPr>
          </w:p>
        </w:tc>
        <w:tc>
          <w:tcPr>
            <w:tcW w:w="2264" w:type="dxa"/>
            <w:gridSpan w:val="3"/>
            <w:noWrap w:val="0"/>
            <w:vAlign w:val="center"/>
          </w:tcPr>
          <w:p>
            <w:pPr>
              <w:spacing w:line="360" w:lineRule="auto"/>
              <w:jc w:val="center"/>
              <w:rPr>
                <w:rFonts w:hint="eastAsia" w:ascii="宋体" w:hAnsi="宋体" w:cs="宋体"/>
                <w:szCs w:val="21"/>
              </w:rPr>
            </w:pPr>
            <w:r>
              <w:rPr>
                <w:rFonts w:hint="eastAsia" w:ascii="宋体" w:hAnsi="宋体" w:cs="宋体"/>
                <w:szCs w:val="21"/>
              </w:rPr>
              <w:t>拟在本合同任职</w:t>
            </w:r>
          </w:p>
        </w:tc>
        <w:tc>
          <w:tcPr>
            <w:tcW w:w="2270" w:type="dxa"/>
            <w:noWrap w:val="0"/>
            <w:vAlign w:val="center"/>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pPr>
              <w:spacing w:line="360" w:lineRule="auto"/>
              <w:rPr>
                <w:rFonts w:hint="eastAsia" w:ascii="宋体" w:hAnsi="宋体" w:cs="宋体"/>
                <w:szCs w:val="21"/>
              </w:rPr>
            </w:pPr>
            <w:r>
              <w:rPr>
                <w:rFonts w:hint="eastAsia" w:ascii="宋体" w:hAnsi="宋体" w:cs="宋体"/>
                <w:szCs w:val="21"/>
              </w:rPr>
              <w:t>毕业学校</w:t>
            </w:r>
          </w:p>
        </w:tc>
        <w:tc>
          <w:tcPr>
            <w:tcW w:w="7799" w:type="dxa"/>
            <w:gridSpan w:val="8"/>
            <w:noWrap w:val="0"/>
            <w:vAlign w:val="top"/>
          </w:tcPr>
          <w:p>
            <w:pPr>
              <w:spacing w:line="360" w:lineRule="auto"/>
              <w:rPr>
                <w:rFonts w:hint="eastAsia" w:ascii="宋体" w:hAnsi="宋体" w:cs="宋体"/>
                <w:szCs w:val="21"/>
              </w:rPr>
            </w:pPr>
            <w:r>
              <w:rPr>
                <w:rFonts w:hint="eastAsia" w:ascii="宋体" w:hAnsi="宋体" w:cs="宋体"/>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noWrap w:val="0"/>
            <w:vAlign w:val="center"/>
          </w:tcPr>
          <w:p>
            <w:pPr>
              <w:spacing w:line="360" w:lineRule="auto"/>
              <w:rPr>
                <w:rFonts w:hint="eastAsia" w:ascii="宋体" w:hAnsi="宋体" w:cs="宋体"/>
                <w:szCs w:val="21"/>
              </w:rPr>
            </w:pPr>
            <w:r>
              <w:rPr>
                <w:rFonts w:hint="eastAsia" w:ascii="宋体" w:hAnsi="宋体" w:cs="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3" w:type="dxa"/>
            <w:gridSpan w:val="2"/>
            <w:noWrap w:val="0"/>
            <w:vAlign w:val="center"/>
          </w:tcPr>
          <w:p>
            <w:pPr>
              <w:spacing w:line="360" w:lineRule="auto"/>
              <w:rPr>
                <w:rFonts w:hint="eastAsia" w:ascii="宋体" w:hAnsi="宋体" w:cs="宋体"/>
                <w:szCs w:val="21"/>
              </w:rPr>
            </w:pPr>
            <w:r>
              <w:rPr>
                <w:rFonts w:hint="eastAsia" w:ascii="宋体" w:hAnsi="宋体" w:cs="宋体"/>
                <w:szCs w:val="21"/>
              </w:rPr>
              <w:t>时  间</w:t>
            </w:r>
          </w:p>
        </w:tc>
        <w:tc>
          <w:tcPr>
            <w:tcW w:w="3635" w:type="dxa"/>
            <w:gridSpan w:val="4"/>
            <w:noWrap w:val="0"/>
            <w:vAlign w:val="center"/>
          </w:tcPr>
          <w:p>
            <w:pPr>
              <w:spacing w:line="360" w:lineRule="auto"/>
              <w:rPr>
                <w:rFonts w:hint="eastAsia" w:ascii="宋体" w:hAnsi="宋体" w:cs="宋体"/>
                <w:szCs w:val="21"/>
              </w:rPr>
            </w:pPr>
            <w:r>
              <w:rPr>
                <w:rFonts w:hint="eastAsia" w:ascii="宋体" w:hAnsi="宋体" w:cs="宋体"/>
                <w:szCs w:val="21"/>
              </w:rPr>
              <w:t>参加过的类似项目</w:t>
            </w:r>
          </w:p>
        </w:tc>
        <w:tc>
          <w:tcPr>
            <w:tcW w:w="1341" w:type="dxa"/>
            <w:noWrap w:val="0"/>
            <w:vAlign w:val="center"/>
          </w:tcPr>
          <w:p>
            <w:pPr>
              <w:spacing w:line="360" w:lineRule="auto"/>
              <w:rPr>
                <w:rFonts w:hint="eastAsia" w:ascii="宋体" w:hAnsi="宋体" w:cs="宋体"/>
                <w:szCs w:val="21"/>
              </w:rPr>
            </w:pPr>
            <w:r>
              <w:rPr>
                <w:rFonts w:hint="eastAsia" w:ascii="宋体" w:hAnsi="宋体" w:cs="宋体"/>
                <w:szCs w:val="21"/>
              </w:rPr>
              <w:t>担任职务</w:t>
            </w:r>
          </w:p>
        </w:tc>
        <w:tc>
          <w:tcPr>
            <w:tcW w:w="2441" w:type="dxa"/>
            <w:gridSpan w:val="2"/>
            <w:noWrap w:val="0"/>
            <w:vAlign w:val="center"/>
          </w:tcPr>
          <w:p>
            <w:pPr>
              <w:spacing w:line="360" w:lineRule="auto"/>
              <w:rPr>
                <w:rFonts w:hint="eastAsia" w:ascii="宋体" w:hAnsi="宋体" w:cs="宋体"/>
                <w:szCs w:val="21"/>
              </w:rPr>
            </w:pPr>
            <w:r>
              <w:rPr>
                <w:rFonts w:hint="eastAsia" w:ascii="宋体" w:hAnsi="宋体" w:cs="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rPr>
            </w:pPr>
          </w:p>
        </w:tc>
        <w:tc>
          <w:tcPr>
            <w:tcW w:w="3635" w:type="dxa"/>
            <w:gridSpan w:val="4"/>
            <w:noWrap w:val="0"/>
            <w:vAlign w:val="top"/>
          </w:tcPr>
          <w:p>
            <w:pPr>
              <w:spacing w:line="360" w:lineRule="auto"/>
              <w:rPr>
                <w:rFonts w:hint="eastAsia" w:ascii="宋体" w:hAnsi="宋体" w:cs="宋体"/>
                <w:color w:val="00CCFF"/>
                <w:szCs w:val="21"/>
              </w:rPr>
            </w:pPr>
          </w:p>
        </w:tc>
        <w:tc>
          <w:tcPr>
            <w:tcW w:w="1341" w:type="dxa"/>
            <w:noWrap w:val="0"/>
            <w:vAlign w:val="top"/>
          </w:tcPr>
          <w:p>
            <w:pPr>
              <w:spacing w:line="360" w:lineRule="auto"/>
              <w:rPr>
                <w:rFonts w:hint="eastAsia" w:ascii="宋体" w:hAnsi="宋体" w:cs="宋体"/>
                <w:color w:val="00CCFF"/>
                <w:szCs w:val="21"/>
              </w:rPr>
            </w:pPr>
          </w:p>
        </w:tc>
        <w:tc>
          <w:tcPr>
            <w:tcW w:w="2441" w:type="dxa"/>
            <w:gridSpan w:val="2"/>
            <w:noWrap w:val="0"/>
            <w:vAlign w:val="top"/>
          </w:tcPr>
          <w:p>
            <w:pPr>
              <w:spacing w:line="360" w:lineRule="auto"/>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rPr>
            </w:pPr>
          </w:p>
        </w:tc>
        <w:tc>
          <w:tcPr>
            <w:tcW w:w="3635" w:type="dxa"/>
            <w:gridSpan w:val="4"/>
            <w:noWrap w:val="0"/>
            <w:vAlign w:val="top"/>
          </w:tcPr>
          <w:p>
            <w:pPr>
              <w:spacing w:line="360" w:lineRule="auto"/>
              <w:rPr>
                <w:rFonts w:hint="eastAsia" w:ascii="宋体" w:hAnsi="宋体" w:cs="宋体"/>
                <w:color w:val="00CCFF"/>
                <w:szCs w:val="21"/>
              </w:rPr>
            </w:pPr>
          </w:p>
        </w:tc>
        <w:tc>
          <w:tcPr>
            <w:tcW w:w="1341" w:type="dxa"/>
            <w:noWrap w:val="0"/>
            <w:vAlign w:val="top"/>
          </w:tcPr>
          <w:p>
            <w:pPr>
              <w:spacing w:line="360" w:lineRule="auto"/>
              <w:rPr>
                <w:rFonts w:hint="eastAsia" w:ascii="宋体" w:hAnsi="宋体" w:cs="宋体"/>
                <w:color w:val="00CCFF"/>
                <w:szCs w:val="21"/>
              </w:rPr>
            </w:pPr>
          </w:p>
        </w:tc>
        <w:tc>
          <w:tcPr>
            <w:tcW w:w="2441" w:type="dxa"/>
            <w:gridSpan w:val="2"/>
            <w:noWrap w:val="0"/>
            <w:vAlign w:val="top"/>
          </w:tcPr>
          <w:p>
            <w:pPr>
              <w:spacing w:line="360" w:lineRule="auto"/>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rPr>
            </w:pPr>
          </w:p>
        </w:tc>
        <w:tc>
          <w:tcPr>
            <w:tcW w:w="3635" w:type="dxa"/>
            <w:gridSpan w:val="4"/>
            <w:noWrap w:val="0"/>
            <w:vAlign w:val="top"/>
          </w:tcPr>
          <w:p>
            <w:pPr>
              <w:spacing w:line="360" w:lineRule="auto"/>
              <w:rPr>
                <w:rFonts w:hint="eastAsia" w:ascii="宋体" w:hAnsi="宋体" w:cs="宋体"/>
                <w:color w:val="00CCFF"/>
                <w:szCs w:val="21"/>
              </w:rPr>
            </w:pPr>
          </w:p>
        </w:tc>
        <w:tc>
          <w:tcPr>
            <w:tcW w:w="1341" w:type="dxa"/>
            <w:noWrap w:val="0"/>
            <w:vAlign w:val="top"/>
          </w:tcPr>
          <w:p>
            <w:pPr>
              <w:spacing w:line="360" w:lineRule="auto"/>
              <w:rPr>
                <w:rFonts w:hint="eastAsia" w:ascii="宋体" w:hAnsi="宋体" w:cs="宋体"/>
                <w:color w:val="00CCFF"/>
                <w:szCs w:val="21"/>
              </w:rPr>
            </w:pPr>
          </w:p>
        </w:tc>
        <w:tc>
          <w:tcPr>
            <w:tcW w:w="2441" w:type="dxa"/>
            <w:gridSpan w:val="2"/>
            <w:noWrap w:val="0"/>
            <w:vAlign w:val="top"/>
          </w:tcPr>
          <w:p>
            <w:pPr>
              <w:spacing w:line="360" w:lineRule="auto"/>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rPr>
            </w:pPr>
          </w:p>
        </w:tc>
        <w:tc>
          <w:tcPr>
            <w:tcW w:w="3635" w:type="dxa"/>
            <w:gridSpan w:val="4"/>
            <w:noWrap w:val="0"/>
            <w:vAlign w:val="top"/>
          </w:tcPr>
          <w:p>
            <w:pPr>
              <w:spacing w:line="360" w:lineRule="auto"/>
              <w:rPr>
                <w:rFonts w:hint="eastAsia" w:ascii="宋体" w:hAnsi="宋体" w:cs="宋体"/>
                <w:color w:val="00CCFF"/>
                <w:szCs w:val="21"/>
              </w:rPr>
            </w:pPr>
          </w:p>
        </w:tc>
        <w:tc>
          <w:tcPr>
            <w:tcW w:w="1341" w:type="dxa"/>
            <w:noWrap w:val="0"/>
            <w:vAlign w:val="top"/>
          </w:tcPr>
          <w:p>
            <w:pPr>
              <w:spacing w:line="360" w:lineRule="auto"/>
              <w:rPr>
                <w:rFonts w:hint="eastAsia" w:ascii="宋体" w:hAnsi="宋体" w:cs="宋体"/>
                <w:color w:val="00CCFF"/>
                <w:szCs w:val="21"/>
              </w:rPr>
            </w:pPr>
          </w:p>
        </w:tc>
        <w:tc>
          <w:tcPr>
            <w:tcW w:w="2441" w:type="dxa"/>
            <w:gridSpan w:val="2"/>
            <w:noWrap w:val="0"/>
            <w:vAlign w:val="top"/>
          </w:tcPr>
          <w:p>
            <w:pPr>
              <w:spacing w:line="360" w:lineRule="auto"/>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rPr>
            </w:pPr>
          </w:p>
        </w:tc>
        <w:tc>
          <w:tcPr>
            <w:tcW w:w="3635" w:type="dxa"/>
            <w:gridSpan w:val="4"/>
            <w:noWrap w:val="0"/>
            <w:vAlign w:val="top"/>
          </w:tcPr>
          <w:p>
            <w:pPr>
              <w:spacing w:line="360" w:lineRule="auto"/>
              <w:rPr>
                <w:rFonts w:hint="eastAsia" w:ascii="宋体" w:hAnsi="宋体" w:cs="宋体"/>
                <w:color w:val="00CCFF"/>
                <w:szCs w:val="21"/>
              </w:rPr>
            </w:pPr>
          </w:p>
        </w:tc>
        <w:tc>
          <w:tcPr>
            <w:tcW w:w="1341" w:type="dxa"/>
            <w:noWrap w:val="0"/>
            <w:vAlign w:val="top"/>
          </w:tcPr>
          <w:p>
            <w:pPr>
              <w:spacing w:line="360" w:lineRule="auto"/>
              <w:rPr>
                <w:rFonts w:hint="eastAsia" w:ascii="宋体" w:hAnsi="宋体" w:cs="宋体"/>
                <w:color w:val="00CCFF"/>
                <w:szCs w:val="21"/>
              </w:rPr>
            </w:pPr>
          </w:p>
        </w:tc>
        <w:tc>
          <w:tcPr>
            <w:tcW w:w="2441" w:type="dxa"/>
            <w:gridSpan w:val="2"/>
            <w:noWrap w:val="0"/>
            <w:vAlign w:val="top"/>
          </w:tcPr>
          <w:p>
            <w:pPr>
              <w:spacing w:line="360" w:lineRule="auto"/>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rPr>
            </w:pPr>
          </w:p>
        </w:tc>
        <w:tc>
          <w:tcPr>
            <w:tcW w:w="3635" w:type="dxa"/>
            <w:gridSpan w:val="4"/>
            <w:noWrap w:val="0"/>
            <w:vAlign w:val="top"/>
          </w:tcPr>
          <w:p>
            <w:pPr>
              <w:spacing w:line="360" w:lineRule="auto"/>
              <w:rPr>
                <w:rFonts w:hint="eastAsia" w:ascii="宋体" w:hAnsi="宋体" w:cs="宋体"/>
                <w:color w:val="00CCFF"/>
                <w:szCs w:val="21"/>
              </w:rPr>
            </w:pPr>
          </w:p>
        </w:tc>
        <w:tc>
          <w:tcPr>
            <w:tcW w:w="1341" w:type="dxa"/>
            <w:noWrap w:val="0"/>
            <w:vAlign w:val="top"/>
          </w:tcPr>
          <w:p>
            <w:pPr>
              <w:spacing w:line="360" w:lineRule="auto"/>
              <w:rPr>
                <w:rFonts w:hint="eastAsia" w:ascii="宋体" w:hAnsi="宋体" w:cs="宋体"/>
                <w:color w:val="00CCFF"/>
                <w:szCs w:val="21"/>
              </w:rPr>
            </w:pPr>
          </w:p>
        </w:tc>
        <w:tc>
          <w:tcPr>
            <w:tcW w:w="2441" w:type="dxa"/>
            <w:gridSpan w:val="2"/>
            <w:noWrap w:val="0"/>
            <w:vAlign w:val="top"/>
          </w:tcPr>
          <w:p>
            <w:pPr>
              <w:spacing w:line="360" w:lineRule="auto"/>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rPr>
            </w:pPr>
          </w:p>
        </w:tc>
        <w:tc>
          <w:tcPr>
            <w:tcW w:w="3635" w:type="dxa"/>
            <w:gridSpan w:val="4"/>
            <w:noWrap w:val="0"/>
            <w:vAlign w:val="top"/>
          </w:tcPr>
          <w:p>
            <w:pPr>
              <w:spacing w:line="360" w:lineRule="auto"/>
              <w:rPr>
                <w:rFonts w:hint="eastAsia" w:ascii="宋体" w:hAnsi="宋体" w:cs="宋体"/>
                <w:color w:val="00CCFF"/>
                <w:szCs w:val="21"/>
              </w:rPr>
            </w:pPr>
          </w:p>
        </w:tc>
        <w:tc>
          <w:tcPr>
            <w:tcW w:w="1341" w:type="dxa"/>
            <w:noWrap w:val="0"/>
            <w:vAlign w:val="top"/>
          </w:tcPr>
          <w:p>
            <w:pPr>
              <w:spacing w:line="360" w:lineRule="auto"/>
              <w:rPr>
                <w:rFonts w:hint="eastAsia" w:ascii="宋体" w:hAnsi="宋体" w:cs="宋体"/>
                <w:color w:val="00CCFF"/>
                <w:szCs w:val="21"/>
              </w:rPr>
            </w:pPr>
          </w:p>
        </w:tc>
        <w:tc>
          <w:tcPr>
            <w:tcW w:w="2441" w:type="dxa"/>
            <w:gridSpan w:val="2"/>
            <w:noWrap w:val="0"/>
            <w:vAlign w:val="top"/>
          </w:tcPr>
          <w:p>
            <w:pPr>
              <w:spacing w:line="360" w:lineRule="auto"/>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rPr>
            </w:pPr>
          </w:p>
        </w:tc>
        <w:tc>
          <w:tcPr>
            <w:tcW w:w="3635" w:type="dxa"/>
            <w:gridSpan w:val="4"/>
            <w:noWrap w:val="0"/>
            <w:vAlign w:val="top"/>
          </w:tcPr>
          <w:p>
            <w:pPr>
              <w:spacing w:line="360" w:lineRule="auto"/>
              <w:rPr>
                <w:rFonts w:hint="eastAsia" w:ascii="宋体" w:hAnsi="宋体" w:cs="宋体"/>
                <w:color w:val="00CCFF"/>
                <w:szCs w:val="21"/>
              </w:rPr>
            </w:pPr>
          </w:p>
        </w:tc>
        <w:tc>
          <w:tcPr>
            <w:tcW w:w="1341" w:type="dxa"/>
            <w:noWrap w:val="0"/>
            <w:vAlign w:val="top"/>
          </w:tcPr>
          <w:p>
            <w:pPr>
              <w:spacing w:line="360" w:lineRule="auto"/>
              <w:rPr>
                <w:rFonts w:hint="eastAsia" w:ascii="宋体" w:hAnsi="宋体" w:cs="宋体"/>
                <w:color w:val="00CCFF"/>
                <w:szCs w:val="21"/>
              </w:rPr>
            </w:pPr>
          </w:p>
        </w:tc>
        <w:tc>
          <w:tcPr>
            <w:tcW w:w="2441" w:type="dxa"/>
            <w:gridSpan w:val="2"/>
            <w:noWrap w:val="0"/>
            <w:vAlign w:val="top"/>
          </w:tcPr>
          <w:p>
            <w:pPr>
              <w:spacing w:line="360" w:lineRule="auto"/>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rPr>
            </w:pPr>
          </w:p>
        </w:tc>
        <w:tc>
          <w:tcPr>
            <w:tcW w:w="3635" w:type="dxa"/>
            <w:gridSpan w:val="4"/>
            <w:noWrap w:val="0"/>
            <w:vAlign w:val="top"/>
          </w:tcPr>
          <w:p>
            <w:pPr>
              <w:spacing w:line="360" w:lineRule="auto"/>
              <w:rPr>
                <w:rFonts w:hint="eastAsia" w:ascii="宋体" w:hAnsi="宋体" w:cs="宋体"/>
                <w:color w:val="00CCFF"/>
                <w:szCs w:val="21"/>
              </w:rPr>
            </w:pPr>
          </w:p>
        </w:tc>
        <w:tc>
          <w:tcPr>
            <w:tcW w:w="1341" w:type="dxa"/>
            <w:noWrap w:val="0"/>
            <w:vAlign w:val="top"/>
          </w:tcPr>
          <w:p>
            <w:pPr>
              <w:spacing w:line="360" w:lineRule="auto"/>
              <w:rPr>
                <w:rFonts w:hint="eastAsia" w:ascii="宋体" w:hAnsi="宋体" w:cs="宋体"/>
                <w:color w:val="00CCFF"/>
                <w:szCs w:val="21"/>
              </w:rPr>
            </w:pPr>
          </w:p>
        </w:tc>
        <w:tc>
          <w:tcPr>
            <w:tcW w:w="2441" w:type="dxa"/>
            <w:gridSpan w:val="2"/>
            <w:noWrap w:val="0"/>
            <w:vAlign w:val="top"/>
          </w:tcPr>
          <w:p>
            <w:pPr>
              <w:spacing w:line="360" w:lineRule="auto"/>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rPr>
            </w:pPr>
          </w:p>
        </w:tc>
        <w:tc>
          <w:tcPr>
            <w:tcW w:w="3635" w:type="dxa"/>
            <w:gridSpan w:val="4"/>
            <w:noWrap w:val="0"/>
            <w:vAlign w:val="top"/>
          </w:tcPr>
          <w:p>
            <w:pPr>
              <w:spacing w:line="360" w:lineRule="auto"/>
              <w:rPr>
                <w:rFonts w:hint="eastAsia" w:ascii="宋体" w:hAnsi="宋体" w:cs="宋体"/>
                <w:color w:val="00CCFF"/>
                <w:szCs w:val="21"/>
              </w:rPr>
            </w:pPr>
          </w:p>
        </w:tc>
        <w:tc>
          <w:tcPr>
            <w:tcW w:w="1341" w:type="dxa"/>
            <w:noWrap w:val="0"/>
            <w:vAlign w:val="top"/>
          </w:tcPr>
          <w:p>
            <w:pPr>
              <w:spacing w:line="360" w:lineRule="auto"/>
              <w:rPr>
                <w:rFonts w:hint="eastAsia" w:ascii="宋体" w:hAnsi="宋体" w:cs="宋体"/>
                <w:color w:val="00CCFF"/>
                <w:szCs w:val="21"/>
              </w:rPr>
            </w:pPr>
          </w:p>
        </w:tc>
        <w:tc>
          <w:tcPr>
            <w:tcW w:w="2441" w:type="dxa"/>
            <w:gridSpan w:val="2"/>
            <w:noWrap w:val="0"/>
            <w:vAlign w:val="top"/>
          </w:tcPr>
          <w:p>
            <w:pPr>
              <w:spacing w:line="360" w:lineRule="auto"/>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rPr>
            </w:pPr>
          </w:p>
        </w:tc>
        <w:tc>
          <w:tcPr>
            <w:tcW w:w="3635" w:type="dxa"/>
            <w:gridSpan w:val="4"/>
            <w:noWrap w:val="0"/>
            <w:vAlign w:val="top"/>
          </w:tcPr>
          <w:p>
            <w:pPr>
              <w:spacing w:line="360" w:lineRule="auto"/>
              <w:rPr>
                <w:rFonts w:hint="eastAsia" w:ascii="宋体" w:hAnsi="宋体" w:cs="宋体"/>
                <w:color w:val="00CCFF"/>
                <w:szCs w:val="21"/>
              </w:rPr>
            </w:pPr>
          </w:p>
        </w:tc>
        <w:tc>
          <w:tcPr>
            <w:tcW w:w="1341" w:type="dxa"/>
            <w:noWrap w:val="0"/>
            <w:vAlign w:val="top"/>
          </w:tcPr>
          <w:p>
            <w:pPr>
              <w:spacing w:line="360" w:lineRule="auto"/>
              <w:rPr>
                <w:rFonts w:hint="eastAsia" w:ascii="宋体" w:hAnsi="宋体" w:cs="宋体"/>
                <w:color w:val="00CCFF"/>
                <w:szCs w:val="21"/>
              </w:rPr>
            </w:pPr>
          </w:p>
        </w:tc>
        <w:tc>
          <w:tcPr>
            <w:tcW w:w="2441" w:type="dxa"/>
            <w:gridSpan w:val="2"/>
            <w:noWrap w:val="0"/>
            <w:vAlign w:val="top"/>
          </w:tcPr>
          <w:p>
            <w:pPr>
              <w:spacing w:line="360" w:lineRule="auto"/>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rPr>
            </w:pPr>
          </w:p>
        </w:tc>
        <w:tc>
          <w:tcPr>
            <w:tcW w:w="3635" w:type="dxa"/>
            <w:gridSpan w:val="4"/>
            <w:noWrap w:val="0"/>
            <w:vAlign w:val="top"/>
          </w:tcPr>
          <w:p>
            <w:pPr>
              <w:spacing w:line="360" w:lineRule="auto"/>
              <w:rPr>
                <w:rFonts w:hint="eastAsia" w:ascii="宋体" w:hAnsi="宋体" w:cs="宋体"/>
                <w:color w:val="00CCFF"/>
                <w:szCs w:val="21"/>
              </w:rPr>
            </w:pPr>
          </w:p>
        </w:tc>
        <w:tc>
          <w:tcPr>
            <w:tcW w:w="1341" w:type="dxa"/>
            <w:noWrap w:val="0"/>
            <w:vAlign w:val="top"/>
          </w:tcPr>
          <w:p>
            <w:pPr>
              <w:spacing w:line="360" w:lineRule="auto"/>
              <w:rPr>
                <w:rFonts w:hint="eastAsia" w:ascii="宋体" w:hAnsi="宋体" w:cs="宋体"/>
                <w:color w:val="00CCFF"/>
                <w:szCs w:val="21"/>
              </w:rPr>
            </w:pPr>
          </w:p>
        </w:tc>
        <w:tc>
          <w:tcPr>
            <w:tcW w:w="2441" w:type="dxa"/>
            <w:gridSpan w:val="2"/>
            <w:noWrap w:val="0"/>
            <w:vAlign w:val="top"/>
          </w:tcPr>
          <w:p>
            <w:pPr>
              <w:spacing w:line="360" w:lineRule="auto"/>
              <w:rPr>
                <w:rFonts w:hint="eastAsia" w:ascii="宋体" w:hAnsi="宋体" w:cs="宋体"/>
                <w:color w:val="00CCFF"/>
                <w:szCs w:val="21"/>
              </w:rPr>
            </w:pPr>
          </w:p>
        </w:tc>
      </w:tr>
    </w:tbl>
    <w:p>
      <w:pPr>
        <w:spacing w:line="360" w:lineRule="auto"/>
        <w:ind w:firstLine="420" w:firstLineChars="200"/>
        <w:rPr>
          <w:rFonts w:hint="eastAsia" w:ascii="宋体" w:hAnsi="宋体" w:eastAsia="宋体" w:cs="宋体"/>
          <w:lang w:eastAsia="zh-CN"/>
        </w:rPr>
      </w:pPr>
      <w:r>
        <w:rPr>
          <w:rFonts w:hint="eastAsia" w:ascii="宋体" w:hAnsi="宋体" w:cs="宋体"/>
        </w:rPr>
        <w:t>附：项目经理应附建造师执业资格证书、注册证书、安全生产考核合格证书、身份证、职称证</w:t>
      </w:r>
      <w:r>
        <w:rPr>
          <w:rFonts w:hint="eastAsia" w:ascii="宋体" w:hAnsi="宋体" w:cs="宋体"/>
          <w:lang w:eastAsia="zh-CN"/>
        </w:rPr>
        <w:t>（如有）</w:t>
      </w:r>
      <w:r>
        <w:rPr>
          <w:rFonts w:hint="eastAsia" w:ascii="宋体" w:hAnsi="宋体" w:cs="宋体"/>
        </w:rPr>
        <w:t>、学历证、养老保险复印件及未担任其他在施建设工程项目项目经理的承诺书</w:t>
      </w:r>
      <w:r>
        <w:rPr>
          <w:rFonts w:hint="eastAsia" w:ascii="宋体" w:hAnsi="宋体" w:cs="宋体"/>
          <w:lang w:eastAsia="zh-CN"/>
        </w:rPr>
        <w:t>。</w:t>
      </w:r>
    </w:p>
    <w:p>
      <w:pPr>
        <w:spacing w:line="360" w:lineRule="auto"/>
        <w:rPr>
          <w:rFonts w:hint="eastAsia" w:ascii="宋体" w:hAnsi="宋体" w:cs="宋体"/>
          <w:color w:val="00CCFF"/>
          <w:sz w:val="27"/>
          <w:szCs w:val="27"/>
        </w:rPr>
      </w:pPr>
    </w:p>
    <w:p>
      <w:pPr>
        <w:widowControl/>
        <w:jc w:val="center"/>
        <w:rPr>
          <w:rFonts w:hint="eastAsia"/>
          <w:highlight w:val="none"/>
        </w:rPr>
      </w:pPr>
      <w:r>
        <w:rPr>
          <w:rFonts w:hint="eastAsia" w:ascii="宋体" w:hAnsi="宋体" w:cs="宋体"/>
          <w:color w:val="00CCFF"/>
        </w:rPr>
        <w:br w:type="page"/>
      </w:r>
      <w:r>
        <w:rPr>
          <w:rFonts w:hint="eastAsia" w:hAnsi="宋体" w:eastAsia="宋体" w:cs="宋体"/>
          <w:b/>
          <w:sz w:val="36"/>
          <w:szCs w:val="36"/>
          <w:highlight w:val="none"/>
          <w:lang w:bidi="ar"/>
        </w:rPr>
        <w:t>中小企业声明函</w:t>
      </w:r>
    </w:p>
    <w:p>
      <w:pPr>
        <w:widowControl/>
        <w:adjustRightInd/>
        <w:spacing w:line="440" w:lineRule="exact"/>
        <w:ind w:firstLine="480" w:firstLineChars="200"/>
        <w:jc w:val="left"/>
        <w:textAlignment w:val="auto"/>
        <w:rPr>
          <w:rFonts w:hint="eastAsia" w:hAnsi="宋体" w:eastAsia="宋体"/>
          <w:sz w:val="24"/>
          <w:lang w:eastAsia="zh-CN"/>
        </w:rPr>
      </w:pPr>
      <w:r>
        <w:rPr>
          <w:rFonts w:hint="eastAsia" w:hAnsi="宋体" w:eastAsia="宋体"/>
          <w:sz w:val="24"/>
        </w:rPr>
        <w:t>本公司郑重声明，根据《政府采购促进中小企业发展管理办法》（财库﹝2020﹞46号）的规定，本公司参加</w:t>
      </w:r>
      <w:r>
        <w:rPr>
          <w:rFonts w:hint="eastAsia" w:hAnsi="宋体" w:eastAsia="宋体"/>
          <w:sz w:val="24"/>
          <w:u w:val="single"/>
        </w:rPr>
        <w:t>    </w:t>
      </w:r>
      <w:r>
        <w:rPr>
          <w:rFonts w:hint="eastAsia" w:hAnsi="宋体" w:eastAsia="宋体"/>
          <w:sz w:val="24"/>
        </w:rPr>
        <w:t>（单位名称）的</w:t>
      </w:r>
      <w:r>
        <w:rPr>
          <w:rFonts w:hint="eastAsia" w:hAnsi="宋体" w:eastAsia="宋体"/>
          <w:sz w:val="24"/>
          <w:u w:val="single"/>
        </w:rPr>
        <w:t>     </w:t>
      </w:r>
      <w:r>
        <w:rPr>
          <w:rFonts w:hint="eastAsia" w:hAnsi="宋体" w:eastAsia="宋体"/>
          <w:sz w:val="24"/>
        </w:rPr>
        <w:t>（项目名称）采购活动，工程的施工单位全部为符合政策要求的中小企业（或者：服务全部由符合政策要求的中小企业承接）。相关企业的具体情况如下：</w:t>
      </w:r>
    </w:p>
    <w:p>
      <w:pPr>
        <w:widowControl/>
        <w:adjustRightInd/>
        <w:spacing w:line="440" w:lineRule="exact"/>
        <w:ind w:firstLine="480" w:firstLineChars="200"/>
        <w:jc w:val="left"/>
        <w:textAlignment w:val="auto"/>
        <w:rPr>
          <w:rFonts w:hint="eastAsia" w:hAnsi="宋体" w:eastAsia="宋体"/>
          <w:sz w:val="24"/>
          <w:lang w:eastAsia="zh-CN"/>
        </w:rPr>
      </w:pPr>
      <w:r>
        <w:rPr>
          <w:rFonts w:hint="eastAsia" w:hAnsi="宋体" w:eastAsia="宋体"/>
          <w:sz w:val="24"/>
        </w:rPr>
        <w:t xml:space="preserve">    1、</w:t>
      </w:r>
      <w:r>
        <w:rPr>
          <w:rFonts w:hint="eastAsia" w:hAnsi="宋体" w:eastAsia="宋体"/>
          <w:sz w:val="24"/>
          <w:u w:val="single"/>
        </w:rPr>
        <w:t>（标的名称）</w:t>
      </w:r>
      <w:r>
        <w:rPr>
          <w:rFonts w:hint="eastAsia" w:hAnsi="宋体" w:eastAsia="宋体"/>
          <w:sz w:val="24"/>
        </w:rPr>
        <w:t>，属于</w:t>
      </w:r>
      <w:r>
        <w:rPr>
          <w:rFonts w:hint="eastAsia" w:hAnsi="宋体" w:eastAsia="宋体"/>
          <w:sz w:val="24"/>
          <w:u w:val="single"/>
        </w:rPr>
        <w:t>（采购文件中明确的所属行业）</w:t>
      </w:r>
      <w:r>
        <w:rPr>
          <w:rFonts w:hint="eastAsia" w:hAnsi="宋体" w:eastAsia="宋体"/>
          <w:sz w:val="24"/>
        </w:rPr>
        <w:t>；承建（承接）企业为</w:t>
      </w:r>
      <w:r>
        <w:rPr>
          <w:rFonts w:hint="eastAsia" w:hAnsi="宋体" w:eastAsia="宋体"/>
          <w:sz w:val="24"/>
          <w:u w:val="single"/>
        </w:rPr>
        <w:t>   （企业名称）</w:t>
      </w:r>
      <w:r>
        <w:rPr>
          <w:rFonts w:hint="eastAsia" w:hAnsi="宋体" w:eastAsia="宋体"/>
          <w:sz w:val="24"/>
        </w:rPr>
        <w:t>，从业人员</w:t>
      </w:r>
      <w:r>
        <w:rPr>
          <w:rFonts w:hint="eastAsia" w:hAnsi="宋体" w:eastAsia="宋体"/>
          <w:sz w:val="24"/>
          <w:u w:val="single"/>
        </w:rPr>
        <w:t xml:space="preserve">  </w:t>
      </w:r>
      <w:r>
        <w:rPr>
          <w:rFonts w:hint="eastAsia" w:hAnsi="宋体" w:eastAsia="宋体"/>
          <w:sz w:val="24"/>
        </w:rPr>
        <w:t>人，营业收入为</w:t>
      </w:r>
      <w:r>
        <w:rPr>
          <w:rFonts w:hint="eastAsia" w:hAnsi="宋体" w:eastAsia="宋体"/>
          <w:sz w:val="24"/>
          <w:u w:val="single"/>
        </w:rPr>
        <w:t xml:space="preserve">     </w:t>
      </w:r>
      <w:r>
        <w:rPr>
          <w:rFonts w:hint="eastAsia" w:hAnsi="宋体" w:eastAsia="宋体"/>
          <w:sz w:val="24"/>
        </w:rPr>
        <w:t>万元，资产总额为</w:t>
      </w:r>
      <w:r>
        <w:rPr>
          <w:rFonts w:hint="eastAsia" w:hAnsi="宋体" w:eastAsia="宋体"/>
          <w:sz w:val="24"/>
          <w:u w:val="single"/>
        </w:rPr>
        <w:t>   </w:t>
      </w:r>
      <w:r>
        <w:rPr>
          <w:rFonts w:hint="eastAsia" w:hAnsi="宋体" w:eastAsia="宋体"/>
          <w:sz w:val="24"/>
        </w:rPr>
        <w:t>万元，属于（中型企业、小型企业、微型企业）；</w:t>
      </w:r>
    </w:p>
    <w:p>
      <w:pPr>
        <w:widowControl/>
        <w:adjustRightInd/>
        <w:spacing w:line="440" w:lineRule="exact"/>
        <w:ind w:firstLine="480" w:firstLineChars="200"/>
        <w:jc w:val="left"/>
        <w:textAlignment w:val="auto"/>
        <w:rPr>
          <w:rFonts w:hint="eastAsia" w:hAnsi="宋体" w:eastAsia="宋体"/>
          <w:sz w:val="24"/>
          <w:lang w:eastAsia="zh-CN"/>
        </w:rPr>
      </w:pPr>
      <w:r>
        <w:rPr>
          <w:rFonts w:hint="eastAsia" w:hAnsi="宋体" w:eastAsia="宋体"/>
          <w:sz w:val="24"/>
        </w:rPr>
        <w:t xml:space="preserve">    2、</w:t>
      </w:r>
      <w:r>
        <w:rPr>
          <w:rFonts w:hint="eastAsia" w:hAnsi="宋体" w:eastAsia="宋体"/>
          <w:sz w:val="24"/>
          <w:u w:val="single"/>
        </w:rPr>
        <w:t>（标的名称）</w:t>
      </w:r>
      <w:r>
        <w:rPr>
          <w:rFonts w:hint="eastAsia" w:hAnsi="宋体" w:eastAsia="宋体"/>
          <w:sz w:val="24"/>
        </w:rPr>
        <w:t>，属于（采购文件中明确的所属行业）；承建（承接）企业为</w:t>
      </w:r>
      <w:r>
        <w:rPr>
          <w:rFonts w:hint="eastAsia" w:hAnsi="宋体" w:eastAsia="宋体"/>
          <w:sz w:val="24"/>
          <w:u w:val="single"/>
        </w:rPr>
        <w:t>   （企业名称）</w:t>
      </w:r>
      <w:r>
        <w:rPr>
          <w:rFonts w:hint="eastAsia" w:hAnsi="宋体" w:eastAsia="宋体"/>
          <w:sz w:val="24"/>
        </w:rPr>
        <w:t>，从业人员</w:t>
      </w:r>
      <w:r>
        <w:rPr>
          <w:rFonts w:hint="eastAsia" w:hAnsi="宋体" w:eastAsia="宋体"/>
          <w:sz w:val="24"/>
          <w:u w:val="single"/>
        </w:rPr>
        <w:t xml:space="preserve">   </w:t>
      </w:r>
      <w:r>
        <w:rPr>
          <w:rFonts w:hint="eastAsia" w:hAnsi="宋体" w:eastAsia="宋体"/>
          <w:sz w:val="24"/>
        </w:rPr>
        <w:t>人，营业收入为</w:t>
      </w:r>
      <w:r>
        <w:rPr>
          <w:rFonts w:hint="eastAsia" w:hAnsi="宋体" w:eastAsia="宋体"/>
          <w:sz w:val="24"/>
          <w:u w:val="single"/>
        </w:rPr>
        <w:t xml:space="preserve">     </w:t>
      </w:r>
      <w:r>
        <w:rPr>
          <w:rFonts w:hint="eastAsia" w:hAnsi="宋体" w:eastAsia="宋体"/>
          <w:sz w:val="24"/>
        </w:rPr>
        <w:t>万元，资产总额为</w:t>
      </w:r>
      <w:r>
        <w:rPr>
          <w:rFonts w:hint="eastAsia" w:hAnsi="宋体" w:eastAsia="宋体"/>
          <w:sz w:val="24"/>
          <w:u w:val="single"/>
        </w:rPr>
        <w:t xml:space="preserve">    </w:t>
      </w:r>
      <w:r>
        <w:rPr>
          <w:rFonts w:hint="eastAsia" w:hAnsi="宋体" w:eastAsia="宋体"/>
          <w:sz w:val="24"/>
        </w:rPr>
        <w:t>万元，属于（中型企业、小型企业、微型企业）；</w:t>
      </w:r>
    </w:p>
    <w:p>
      <w:pPr>
        <w:widowControl/>
        <w:adjustRightInd/>
        <w:spacing w:line="440" w:lineRule="exact"/>
        <w:ind w:firstLine="480" w:firstLineChars="200"/>
        <w:jc w:val="left"/>
        <w:textAlignment w:val="auto"/>
        <w:rPr>
          <w:rFonts w:hint="eastAsia" w:hAnsi="宋体" w:eastAsia="宋体"/>
          <w:sz w:val="24"/>
          <w:lang w:eastAsia="zh-CN"/>
        </w:rPr>
      </w:pPr>
      <w:r>
        <w:rPr>
          <w:rFonts w:hint="eastAsia" w:hAnsi="宋体" w:eastAsia="宋体"/>
          <w:sz w:val="24"/>
        </w:rPr>
        <w:t>……</w:t>
      </w:r>
    </w:p>
    <w:p>
      <w:pPr>
        <w:widowControl/>
        <w:adjustRightInd/>
        <w:spacing w:line="440" w:lineRule="exact"/>
        <w:ind w:firstLine="480" w:firstLineChars="200"/>
        <w:jc w:val="left"/>
        <w:textAlignment w:val="auto"/>
        <w:rPr>
          <w:rFonts w:hint="eastAsia" w:hAnsi="宋体" w:eastAsia="宋体"/>
          <w:sz w:val="24"/>
          <w:lang w:eastAsia="zh-CN"/>
        </w:rPr>
      </w:pPr>
      <w:r>
        <w:rPr>
          <w:rFonts w:hint="eastAsia" w:hAnsi="宋体" w:eastAsia="宋体"/>
          <w:sz w:val="24"/>
        </w:rPr>
        <w:t>以上企业，不属于大企业的分支机构，不存在控股股东为大企业的情形，也不存在与大企业的负责人为同一人的情形。</w:t>
      </w:r>
    </w:p>
    <w:p>
      <w:pPr>
        <w:widowControl/>
        <w:adjustRightInd/>
        <w:spacing w:line="440" w:lineRule="exact"/>
        <w:ind w:firstLine="480" w:firstLineChars="200"/>
        <w:jc w:val="left"/>
        <w:textAlignment w:val="auto"/>
        <w:rPr>
          <w:rFonts w:hint="eastAsia" w:hAnsi="宋体" w:eastAsia="宋体" w:cs="宋体"/>
          <w:sz w:val="24"/>
          <w:szCs w:val="24"/>
        </w:rPr>
      </w:pPr>
      <w:r>
        <w:rPr>
          <w:rFonts w:hint="eastAsia" w:hAnsi="宋体" w:eastAsia="宋体"/>
          <w:sz w:val="24"/>
        </w:rPr>
        <w:t>本企业对上述声明内容的真实性负责。如有虚假，将依法承担相应责任。</w:t>
      </w:r>
      <w:r>
        <w:rPr>
          <w:rFonts w:hint="eastAsia" w:hAnsi="宋体" w:eastAsia="宋体" w:cs="宋体"/>
          <w:sz w:val="24"/>
          <w:szCs w:val="24"/>
          <w:lang w:bidi="ar"/>
        </w:rPr>
        <w:t xml:space="preserve"> </w:t>
      </w:r>
    </w:p>
    <w:p>
      <w:pPr>
        <w:widowControl/>
        <w:adjustRightInd/>
        <w:spacing w:line="440" w:lineRule="exact"/>
        <w:jc w:val="left"/>
        <w:textAlignment w:val="auto"/>
        <w:rPr>
          <w:rFonts w:hint="eastAsia" w:hAnsi="宋体" w:eastAsia="宋体" w:cs="宋体"/>
          <w:sz w:val="24"/>
          <w:szCs w:val="24"/>
          <w:lang w:bidi="ar"/>
        </w:rPr>
      </w:pPr>
    </w:p>
    <w:p>
      <w:pPr>
        <w:widowControl/>
        <w:adjustRightInd/>
        <w:spacing w:line="440" w:lineRule="exact"/>
        <w:jc w:val="left"/>
        <w:textAlignment w:val="auto"/>
        <w:rPr>
          <w:rFonts w:hint="eastAsia" w:hAnsi="宋体" w:eastAsia="宋体" w:cs="宋体"/>
          <w:sz w:val="24"/>
          <w:szCs w:val="24"/>
          <w:lang w:bidi="ar"/>
        </w:rPr>
      </w:pPr>
    </w:p>
    <w:p>
      <w:pPr>
        <w:widowControl/>
        <w:adjustRightInd/>
        <w:spacing w:line="440" w:lineRule="exact"/>
        <w:jc w:val="left"/>
        <w:textAlignment w:val="auto"/>
        <w:rPr>
          <w:rFonts w:hint="eastAsia" w:hAnsi="宋体" w:eastAsia="宋体" w:cs="宋体"/>
          <w:sz w:val="24"/>
          <w:szCs w:val="24"/>
          <w:lang w:bidi="ar"/>
        </w:rPr>
      </w:pPr>
    </w:p>
    <w:p>
      <w:pPr>
        <w:widowControl/>
        <w:adjustRightInd/>
        <w:spacing w:line="440" w:lineRule="exact"/>
        <w:ind w:firstLine="4800" w:firstLineChars="2000"/>
        <w:jc w:val="left"/>
        <w:textAlignment w:val="auto"/>
        <w:rPr>
          <w:rFonts w:hint="eastAsia" w:hAnsi="宋体" w:eastAsia="宋体" w:cs="宋体"/>
          <w:sz w:val="24"/>
          <w:szCs w:val="24"/>
        </w:rPr>
      </w:pPr>
      <w:r>
        <w:rPr>
          <w:rFonts w:hint="eastAsia" w:hAnsi="宋体" w:eastAsia="宋体" w:cs="宋体"/>
          <w:sz w:val="24"/>
          <w:szCs w:val="24"/>
          <w:lang w:bidi="ar"/>
        </w:rPr>
        <w:t xml:space="preserve">企业名称（盖章）： </w:t>
      </w:r>
    </w:p>
    <w:p>
      <w:pPr>
        <w:widowControl/>
        <w:adjustRightInd/>
        <w:spacing w:line="440" w:lineRule="exact"/>
        <w:jc w:val="left"/>
        <w:textAlignment w:val="auto"/>
        <w:rPr>
          <w:rFonts w:hint="eastAsia" w:hAnsi="宋体" w:eastAsia="宋体" w:cs="宋体"/>
          <w:sz w:val="24"/>
          <w:szCs w:val="24"/>
          <w:lang w:bidi="ar"/>
        </w:rPr>
      </w:pPr>
    </w:p>
    <w:p>
      <w:pPr>
        <w:widowControl/>
        <w:adjustRightInd/>
        <w:spacing w:line="440" w:lineRule="exact"/>
        <w:ind w:firstLine="4800" w:firstLineChars="2000"/>
        <w:jc w:val="left"/>
        <w:textAlignment w:val="auto"/>
        <w:rPr>
          <w:rFonts w:hint="eastAsia" w:hAnsi="宋体" w:eastAsia="宋体" w:cs="宋体"/>
          <w:sz w:val="24"/>
          <w:szCs w:val="24"/>
          <w:lang w:bidi="ar"/>
        </w:rPr>
      </w:pPr>
      <w:r>
        <w:rPr>
          <w:rFonts w:hint="eastAsia" w:hAnsi="宋体" w:eastAsia="宋体" w:cs="宋体"/>
          <w:sz w:val="24"/>
          <w:szCs w:val="24"/>
          <w:lang w:bidi="ar"/>
        </w:rPr>
        <w:t xml:space="preserve">日 期： </w:t>
      </w:r>
    </w:p>
    <w:p>
      <w:pPr>
        <w:widowControl/>
        <w:adjustRightInd/>
        <w:spacing w:line="440" w:lineRule="exact"/>
        <w:jc w:val="left"/>
        <w:textAlignment w:val="auto"/>
        <w:rPr>
          <w:rFonts w:hint="eastAsia" w:ascii="Times New Roman" w:hAnsi="宋体" w:eastAsia="宋体" w:cs="宋体"/>
          <w:sz w:val="24"/>
          <w:szCs w:val="24"/>
          <w:lang w:bidi="ar"/>
        </w:rPr>
      </w:pPr>
    </w:p>
    <w:p>
      <w:pPr>
        <w:widowControl/>
        <w:adjustRightInd/>
        <w:spacing w:line="440" w:lineRule="exact"/>
        <w:jc w:val="left"/>
        <w:textAlignment w:val="auto"/>
        <w:rPr>
          <w:rFonts w:hint="eastAsia" w:ascii="Times New Roman" w:hAnsi="宋体" w:eastAsia="宋体" w:cs="宋体"/>
          <w:sz w:val="24"/>
          <w:szCs w:val="24"/>
          <w:lang w:bidi="ar"/>
        </w:rPr>
      </w:pPr>
    </w:p>
    <w:p>
      <w:pPr>
        <w:widowControl/>
        <w:adjustRightInd/>
        <w:spacing w:line="440" w:lineRule="exact"/>
        <w:jc w:val="left"/>
        <w:textAlignment w:val="auto"/>
        <w:rPr>
          <w:rFonts w:hint="eastAsia" w:ascii="Times New Roman" w:hAnsi="宋体" w:eastAsia="宋体" w:cs="宋体"/>
          <w:sz w:val="24"/>
          <w:szCs w:val="24"/>
          <w:lang w:bidi="ar"/>
        </w:rPr>
      </w:pPr>
    </w:p>
    <w:p>
      <w:pPr>
        <w:widowControl/>
        <w:adjustRightInd/>
        <w:spacing w:line="440" w:lineRule="exact"/>
        <w:jc w:val="left"/>
        <w:textAlignment w:val="auto"/>
        <w:rPr>
          <w:rFonts w:hint="eastAsia" w:ascii="Times New Roman" w:hAnsi="宋体" w:eastAsia="宋体" w:cs="宋体"/>
          <w:sz w:val="24"/>
          <w:szCs w:val="24"/>
          <w:lang w:eastAsia="zh-CN" w:bidi="ar"/>
        </w:rPr>
      </w:pPr>
    </w:p>
    <w:p>
      <w:pPr>
        <w:widowControl/>
        <w:adjustRightInd/>
        <w:spacing w:line="440" w:lineRule="exact"/>
        <w:jc w:val="left"/>
        <w:textAlignment w:val="auto"/>
        <w:rPr>
          <w:rFonts w:hint="eastAsia" w:ascii="Times New Roman" w:hAnsi="宋体" w:eastAsia="宋体" w:cs="宋体"/>
          <w:sz w:val="24"/>
          <w:szCs w:val="24"/>
          <w:lang w:eastAsia="zh-CN" w:bidi="ar"/>
        </w:rPr>
      </w:pPr>
    </w:p>
    <w:p>
      <w:pPr>
        <w:widowControl/>
        <w:adjustRightInd/>
        <w:spacing w:line="440" w:lineRule="exact"/>
        <w:jc w:val="left"/>
        <w:textAlignment w:val="auto"/>
        <w:rPr>
          <w:rFonts w:hint="eastAsia" w:ascii="Times New Roman" w:hAnsi="宋体" w:eastAsia="宋体" w:cs="宋体"/>
          <w:sz w:val="24"/>
          <w:szCs w:val="24"/>
          <w:lang w:eastAsia="zh-CN" w:bidi="ar"/>
        </w:rPr>
      </w:pPr>
    </w:p>
    <w:p>
      <w:pPr>
        <w:widowControl/>
        <w:adjustRightInd/>
        <w:spacing w:line="440" w:lineRule="exact"/>
        <w:jc w:val="left"/>
        <w:textAlignment w:val="auto"/>
        <w:rPr>
          <w:rFonts w:hint="eastAsia" w:ascii="Times New Roman" w:hAnsi="宋体" w:eastAsia="宋体" w:cs="宋体"/>
          <w:sz w:val="24"/>
          <w:szCs w:val="24"/>
          <w:lang w:eastAsia="zh-CN" w:bidi="ar"/>
        </w:rPr>
      </w:pPr>
    </w:p>
    <w:p>
      <w:pPr>
        <w:widowControl/>
        <w:adjustRightInd/>
        <w:spacing w:line="440" w:lineRule="exact"/>
        <w:jc w:val="left"/>
        <w:textAlignment w:val="auto"/>
        <w:rPr>
          <w:rFonts w:hint="eastAsia" w:ascii="Times New Roman" w:hAnsi="宋体" w:eastAsia="宋体" w:cs="宋体"/>
          <w:sz w:val="24"/>
          <w:szCs w:val="24"/>
          <w:lang w:eastAsia="zh-CN" w:bidi="ar"/>
        </w:rPr>
      </w:pPr>
    </w:p>
    <w:p>
      <w:pPr>
        <w:widowControl/>
        <w:adjustRightInd/>
        <w:spacing w:line="440" w:lineRule="exact"/>
        <w:jc w:val="left"/>
        <w:textAlignment w:val="auto"/>
        <w:rPr>
          <w:rFonts w:hint="eastAsia" w:ascii="Times New Roman" w:hAnsi="宋体" w:eastAsia="宋体" w:cs="宋体"/>
          <w:sz w:val="24"/>
          <w:szCs w:val="24"/>
          <w:lang w:eastAsia="zh-CN" w:bidi="ar"/>
        </w:rPr>
      </w:pPr>
    </w:p>
    <w:p>
      <w:pPr>
        <w:pStyle w:val="4"/>
        <w:numPr>
          <w:ilvl w:val="0"/>
          <w:numId w:val="0"/>
        </w:numPr>
        <w:ind w:leftChars="0"/>
        <w:jc w:val="center"/>
        <w:rPr>
          <w:rFonts w:hint="eastAsia" w:ascii="宋体" w:hAnsi="宋体" w:eastAsia="宋体" w:cs="Times New Roman"/>
          <w:b/>
          <w:bCs/>
          <w:color w:val="000000"/>
          <w:kern w:val="1"/>
          <w:sz w:val="32"/>
          <w:szCs w:val="32"/>
          <w:lang w:val="en-US" w:eastAsia="zh-CN" w:bidi="ar-SA"/>
        </w:rPr>
      </w:pPr>
      <w:bookmarkStart w:id="230" w:name="_Toc13175"/>
      <w:r>
        <w:rPr>
          <w:rFonts w:hint="eastAsia" w:ascii="宋体" w:hAnsi="宋体" w:eastAsia="宋体" w:cs="Times New Roman"/>
          <w:b/>
          <w:bCs/>
          <w:color w:val="000000"/>
          <w:kern w:val="1"/>
          <w:sz w:val="32"/>
          <w:szCs w:val="32"/>
          <w:lang w:val="en-US" w:eastAsia="zh-CN" w:bidi="ar-SA"/>
        </w:rPr>
        <w:t>投标人认为的其他资料</w:t>
      </w:r>
      <w:bookmarkEnd w:id="230"/>
    </w:p>
    <w:p>
      <w:pPr>
        <w:widowControl/>
        <w:autoSpaceDE w:val="0"/>
        <w:autoSpaceDN w:val="0"/>
        <w:adjustRightInd w:val="0"/>
        <w:spacing w:before="120" w:after="120" w:line="440" w:lineRule="exact"/>
        <w:ind w:right="-481"/>
        <w:jc w:val="both"/>
        <w:rPr>
          <w:rStyle w:val="39"/>
          <w:sz w:val="28"/>
          <w:szCs w:val="28"/>
          <w:lang w:val="en-GB"/>
        </w:rPr>
      </w:pPr>
    </w:p>
    <w:sectPr>
      <w:footerReference r:id="rId5" w:type="default"/>
      <w:pgSz w:w="11906" w:h="16838"/>
      <w:pgMar w:top="1440" w:right="1440" w:bottom="1440" w:left="1440"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62AA124-C69F-493C-B268-E4C54EBE3214}"/>
  </w:font>
  <w:font w:name="黑体">
    <w:panose1 w:val="02010609060101010101"/>
    <w:charset w:val="86"/>
    <w:family w:val="auto"/>
    <w:pitch w:val="default"/>
    <w:sig w:usb0="800002BF" w:usb1="38CF7CFA" w:usb2="00000016" w:usb3="00000000" w:csb0="00040001" w:csb1="00000000"/>
    <w:embedRegular r:id="rId2" w:fontKey="{FB334C12-370C-4F90-91F3-69A6F389FD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C0151EE9-0046-4CBC-A0F7-4BFD673B3F7E}"/>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4" w:fontKey="{21B6CD44-31CC-443C-9A9B-E55D00D013E3}"/>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embedRegular r:id="rId5" w:fontKey="{7D7A45F4-1322-4A3D-83AE-8CBEB57D8C41}"/>
  </w:font>
  <w:font w:name="Wingdings 2">
    <w:panose1 w:val="05020102010507070707"/>
    <w:charset w:val="00"/>
    <w:family w:val="auto"/>
    <w:pitch w:val="default"/>
    <w:sig w:usb0="00000000" w:usb1="00000000" w:usb2="00000000" w:usb3="00000000" w:csb0="80000000" w:csb1="00000000"/>
    <w:embedRegular r:id="rId6" w:fontKey="{74A94151-8ECC-4C51-AE9D-02A54AA50E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B31B7"/>
    <w:multiLevelType w:val="multilevel"/>
    <w:tmpl w:val="9DFB31B7"/>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D2EC3771"/>
    <w:multiLevelType w:val="singleLevel"/>
    <w:tmpl w:val="D2EC3771"/>
    <w:lvl w:ilvl="0" w:tentative="0">
      <w:start w:val="1"/>
      <w:numFmt w:val="decimal"/>
      <w:lvlText w:val="%1"/>
      <w:lvlJc w:val="left"/>
      <w:pPr>
        <w:tabs>
          <w:tab w:val="left" w:pos="420"/>
        </w:tabs>
        <w:ind w:left="425" w:hanging="425"/>
      </w:pPr>
      <w:rPr>
        <w:rFonts w:hint="default"/>
      </w:rPr>
    </w:lvl>
  </w:abstractNum>
  <w:abstractNum w:abstractNumId="2">
    <w:nsid w:val="D48DAE09"/>
    <w:multiLevelType w:val="singleLevel"/>
    <w:tmpl w:val="D48DAE09"/>
    <w:lvl w:ilvl="0" w:tentative="0">
      <w:start w:val="3"/>
      <w:numFmt w:val="chineseCounting"/>
      <w:suff w:val="nothing"/>
      <w:lvlText w:val="%1、"/>
      <w:lvlJc w:val="left"/>
      <w:rPr>
        <w:rFonts w:hint="eastAsia"/>
      </w:rPr>
    </w:lvl>
  </w:abstractNum>
  <w:abstractNum w:abstractNumId="3">
    <w:nsid w:val="08B784F5"/>
    <w:multiLevelType w:val="singleLevel"/>
    <w:tmpl w:val="08B784F5"/>
    <w:lvl w:ilvl="0" w:tentative="0">
      <w:start w:val="3"/>
      <w:numFmt w:val="chineseCounting"/>
      <w:suff w:val="nothing"/>
      <w:lvlText w:val="（%1）"/>
      <w:lvlJc w:val="left"/>
      <w:rPr>
        <w:rFonts w:hint="eastAsia"/>
      </w:rPr>
    </w:lvl>
  </w:abstractNum>
  <w:abstractNum w:abstractNumId="4">
    <w:nsid w:val="11BA8C19"/>
    <w:multiLevelType w:val="singleLevel"/>
    <w:tmpl w:val="11BA8C19"/>
    <w:lvl w:ilvl="0" w:tentative="0">
      <w:start w:val="1"/>
      <w:numFmt w:val="bullet"/>
      <w:pStyle w:val="18"/>
      <w:lvlText w:val=""/>
      <w:lvlJc w:val="left"/>
      <w:pPr>
        <w:tabs>
          <w:tab w:val="left" w:pos="780"/>
        </w:tabs>
        <w:ind w:left="780" w:hanging="360"/>
      </w:pPr>
      <w:rPr>
        <w:rFonts w:hint="default" w:ascii="Wingdings" w:hAnsi="Wingdings"/>
      </w:rPr>
    </w:lvl>
  </w:abstractNum>
  <w:abstractNum w:abstractNumId="5">
    <w:nsid w:val="3334FE64"/>
    <w:multiLevelType w:val="singleLevel"/>
    <w:tmpl w:val="3334FE64"/>
    <w:lvl w:ilvl="0" w:tentative="0">
      <w:start w:val="1"/>
      <w:numFmt w:val="chineseCounting"/>
      <w:suff w:val="nothing"/>
      <w:lvlText w:val="（%1）"/>
      <w:lvlJc w:val="left"/>
      <w:rPr>
        <w:rFonts w:hint="eastAsia"/>
      </w:rPr>
    </w:lvl>
  </w:abstractNum>
  <w:abstractNum w:abstractNumId="6">
    <w:nsid w:val="4DA12531"/>
    <w:multiLevelType w:val="singleLevel"/>
    <w:tmpl w:val="4DA12531"/>
    <w:lvl w:ilvl="0" w:tentative="0">
      <w:start w:val="1"/>
      <w:numFmt w:val="decimal"/>
      <w:lvlText w:val="%1."/>
      <w:lvlJc w:val="left"/>
      <w:pPr>
        <w:tabs>
          <w:tab w:val="left" w:pos="312"/>
        </w:tabs>
      </w:pPr>
    </w:lvl>
  </w:abstractNum>
  <w:abstractNum w:abstractNumId="7">
    <w:nsid w:val="5921599D"/>
    <w:multiLevelType w:val="singleLevel"/>
    <w:tmpl w:val="5921599D"/>
    <w:lvl w:ilvl="0" w:tentative="0">
      <w:start w:val="3"/>
      <w:numFmt w:val="chineseCounting"/>
      <w:suff w:val="nothing"/>
      <w:lvlText w:val="（%1）"/>
      <w:lvlJc w:val="left"/>
      <w:rPr>
        <w:rFonts w:hint="eastAsia"/>
      </w:rPr>
    </w:lvl>
  </w:abstractNum>
  <w:abstractNum w:abstractNumId="8">
    <w:nsid w:val="5A6819A8"/>
    <w:multiLevelType w:val="singleLevel"/>
    <w:tmpl w:val="5A6819A8"/>
    <w:lvl w:ilvl="0" w:tentative="0">
      <w:start w:val="1"/>
      <w:numFmt w:val="chineseCounting"/>
      <w:suff w:val="space"/>
      <w:lvlText w:val="第%1章"/>
      <w:lvlJc w:val="left"/>
      <w:rPr>
        <w:rFonts w:hint="eastAsia"/>
      </w:rPr>
    </w:lvl>
  </w:abstractNum>
  <w:abstractNum w:abstractNumId="9">
    <w:nsid w:val="721F7164"/>
    <w:multiLevelType w:val="multilevel"/>
    <w:tmpl w:val="721F7164"/>
    <w:lvl w:ilvl="0" w:tentative="0">
      <w:start w:val="1"/>
      <w:numFmt w:val="decimal"/>
      <w:pStyle w:val="60"/>
      <w:lvlText w:val="(%1)"/>
      <w:lvlJc w:val="left"/>
      <w:pPr>
        <w:ind w:left="1134" w:hanging="567"/>
      </w:pPr>
      <w:rPr>
        <w:rFonts w:hint="default" w:ascii="Arial" w:hAnsi="Arial" w:eastAsia="宋体"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4"/>
  </w:num>
  <w:num w:numId="3">
    <w:abstractNumId w:val="9"/>
  </w:num>
  <w:num w:numId="4">
    <w:abstractNumId w:val="8"/>
  </w:num>
  <w:num w:numId="5">
    <w:abstractNumId w:val="1"/>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MDUyMmE3OWI1ZDBkYjFiNmYxOGUxNWY1MTIyYzcifQ=="/>
    <w:docVar w:name="KSO_WPS_MARK_KEY" w:val="73cab888-2ffe-4412-9587-acc70af4ec68"/>
  </w:docVars>
  <w:rsids>
    <w:rsidRoot w:val="3390740E"/>
    <w:rsid w:val="000E5F84"/>
    <w:rsid w:val="000F69F9"/>
    <w:rsid w:val="00133387"/>
    <w:rsid w:val="00183D1F"/>
    <w:rsid w:val="00257221"/>
    <w:rsid w:val="002A42F1"/>
    <w:rsid w:val="003345CE"/>
    <w:rsid w:val="00415F32"/>
    <w:rsid w:val="00504317"/>
    <w:rsid w:val="00717D3D"/>
    <w:rsid w:val="00786FF5"/>
    <w:rsid w:val="007B6AC9"/>
    <w:rsid w:val="00821480"/>
    <w:rsid w:val="00875A65"/>
    <w:rsid w:val="00A47684"/>
    <w:rsid w:val="00AC69F1"/>
    <w:rsid w:val="00B05DFB"/>
    <w:rsid w:val="00D310F9"/>
    <w:rsid w:val="00D464FF"/>
    <w:rsid w:val="00E462C7"/>
    <w:rsid w:val="00F07841"/>
    <w:rsid w:val="00F50CDF"/>
    <w:rsid w:val="01070540"/>
    <w:rsid w:val="011C7A61"/>
    <w:rsid w:val="012D0409"/>
    <w:rsid w:val="01391B08"/>
    <w:rsid w:val="013F79BD"/>
    <w:rsid w:val="01415FE7"/>
    <w:rsid w:val="0153326A"/>
    <w:rsid w:val="01596BDC"/>
    <w:rsid w:val="015F4D05"/>
    <w:rsid w:val="016E15F0"/>
    <w:rsid w:val="01742FD9"/>
    <w:rsid w:val="01867FFC"/>
    <w:rsid w:val="01B46B1C"/>
    <w:rsid w:val="01D82F31"/>
    <w:rsid w:val="01E65A4B"/>
    <w:rsid w:val="01EB70EB"/>
    <w:rsid w:val="01F30FC2"/>
    <w:rsid w:val="01F37548"/>
    <w:rsid w:val="01F7546E"/>
    <w:rsid w:val="01FE3195"/>
    <w:rsid w:val="02000D46"/>
    <w:rsid w:val="0211075A"/>
    <w:rsid w:val="02190CDE"/>
    <w:rsid w:val="02244E15"/>
    <w:rsid w:val="02251590"/>
    <w:rsid w:val="023F68CD"/>
    <w:rsid w:val="02542E95"/>
    <w:rsid w:val="0261475F"/>
    <w:rsid w:val="02654DFF"/>
    <w:rsid w:val="026D4780"/>
    <w:rsid w:val="029C61D1"/>
    <w:rsid w:val="02A64879"/>
    <w:rsid w:val="02B65A9C"/>
    <w:rsid w:val="02B92C32"/>
    <w:rsid w:val="02B93245"/>
    <w:rsid w:val="02CB6666"/>
    <w:rsid w:val="02CF5EEA"/>
    <w:rsid w:val="02D4220F"/>
    <w:rsid w:val="02D5148B"/>
    <w:rsid w:val="02D637A2"/>
    <w:rsid w:val="02DE6187"/>
    <w:rsid w:val="02EA0343"/>
    <w:rsid w:val="02FF5458"/>
    <w:rsid w:val="0317318F"/>
    <w:rsid w:val="031933D1"/>
    <w:rsid w:val="031F6079"/>
    <w:rsid w:val="03222A2A"/>
    <w:rsid w:val="032269F9"/>
    <w:rsid w:val="034D095E"/>
    <w:rsid w:val="035510DA"/>
    <w:rsid w:val="036B6108"/>
    <w:rsid w:val="037351FE"/>
    <w:rsid w:val="03752E0D"/>
    <w:rsid w:val="037551E4"/>
    <w:rsid w:val="03766107"/>
    <w:rsid w:val="037A29CF"/>
    <w:rsid w:val="03816FB2"/>
    <w:rsid w:val="038807BB"/>
    <w:rsid w:val="039F5E05"/>
    <w:rsid w:val="03A24E74"/>
    <w:rsid w:val="03AD45BE"/>
    <w:rsid w:val="03B10EED"/>
    <w:rsid w:val="03CC4DBC"/>
    <w:rsid w:val="03D06C4D"/>
    <w:rsid w:val="03EA6160"/>
    <w:rsid w:val="04016EE0"/>
    <w:rsid w:val="041D63F5"/>
    <w:rsid w:val="043B2CB5"/>
    <w:rsid w:val="043E30AA"/>
    <w:rsid w:val="04650902"/>
    <w:rsid w:val="048760F2"/>
    <w:rsid w:val="04CF6C6A"/>
    <w:rsid w:val="04DE4196"/>
    <w:rsid w:val="04E516C2"/>
    <w:rsid w:val="04F60B22"/>
    <w:rsid w:val="05033789"/>
    <w:rsid w:val="05053629"/>
    <w:rsid w:val="052C79F7"/>
    <w:rsid w:val="05307316"/>
    <w:rsid w:val="05323B75"/>
    <w:rsid w:val="053B11D1"/>
    <w:rsid w:val="053D466A"/>
    <w:rsid w:val="05432BBE"/>
    <w:rsid w:val="055612CF"/>
    <w:rsid w:val="055C757F"/>
    <w:rsid w:val="056B7F9F"/>
    <w:rsid w:val="056F26B0"/>
    <w:rsid w:val="05746FC2"/>
    <w:rsid w:val="05823DC5"/>
    <w:rsid w:val="059651D4"/>
    <w:rsid w:val="059B2AEB"/>
    <w:rsid w:val="059F275B"/>
    <w:rsid w:val="059F3A06"/>
    <w:rsid w:val="05A827C4"/>
    <w:rsid w:val="05B165FF"/>
    <w:rsid w:val="05B75624"/>
    <w:rsid w:val="05D35F51"/>
    <w:rsid w:val="05D60FE8"/>
    <w:rsid w:val="05DA4692"/>
    <w:rsid w:val="05DB66F5"/>
    <w:rsid w:val="05E56821"/>
    <w:rsid w:val="05EF79D4"/>
    <w:rsid w:val="05F07453"/>
    <w:rsid w:val="05F97384"/>
    <w:rsid w:val="06137C02"/>
    <w:rsid w:val="061F2A86"/>
    <w:rsid w:val="062A581B"/>
    <w:rsid w:val="06320521"/>
    <w:rsid w:val="0632635B"/>
    <w:rsid w:val="064A5629"/>
    <w:rsid w:val="06510F22"/>
    <w:rsid w:val="065D1452"/>
    <w:rsid w:val="068C5DE8"/>
    <w:rsid w:val="069232A2"/>
    <w:rsid w:val="06A12303"/>
    <w:rsid w:val="06B10804"/>
    <w:rsid w:val="06BE4464"/>
    <w:rsid w:val="06BF698D"/>
    <w:rsid w:val="06C42E42"/>
    <w:rsid w:val="06D2287C"/>
    <w:rsid w:val="06EA3448"/>
    <w:rsid w:val="06F84611"/>
    <w:rsid w:val="07163664"/>
    <w:rsid w:val="0728173B"/>
    <w:rsid w:val="072E4123"/>
    <w:rsid w:val="07335318"/>
    <w:rsid w:val="07431E20"/>
    <w:rsid w:val="07762DFC"/>
    <w:rsid w:val="07B070C4"/>
    <w:rsid w:val="07C66721"/>
    <w:rsid w:val="07D14AE4"/>
    <w:rsid w:val="07E53F09"/>
    <w:rsid w:val="07E94B24"/>
    <w:rsid w:val="080003BB"/>
    <w:rsid w:val="080C2673"/>
    <w:rsid w:val="081B03FF"/>
    <w:rsid w:val="08255F0D"/>
    <w:rsid w:val="083660F9"/>
    <w:rsid w:val="08426D79"/>
    <w:rsid w:val="08543F95"/>
    <w:rsid w:val="087211AD"/>
    <w:rsid w:val="08733318"/>
    <w:rsid w:val="08822B3D"/>
    <w:rsid w:val="088F19C6"/>
    <w:rsid w:val="0892087C"/>
    <w:rsid w:val="08A73BA2"/>
    <w:rsid w:val="08AE079C"/>
    <w:rsid w:val="08BA1DB4"/>
    <w:rsid w:val="08BB7D2B"/>
    <w:rsid w:val="08C23B9D"/>
    <w:rsid w:val="08CF0CCF"/>
    <w:rsid w:val="08ED168F"/>
    <w:rsid w:val="08F14654"/>
    <w:rsid w:val="08F54CBF"/>
    <w:rsid w:val="08FB50E9"/>
    <w:rsid w:val="0908276D"/>
    <w:rsid w:val="092145AA"/>
    <w:rsid w:val="0929339D"/>
    <w:rsid w:val="09307D48"/>
    <w:rsid w:val="09332858"/>
    <w:rsid w:val="09374D3F"/>
    <w:rsid w:val="093C2B8B"/>
    <w:rsid w:val="0949693F"/>
    <w:rsid w:val="094F2E41"/>
    <w:rsid w:val="095E7F80"/>
    <w:rsid w:val="096114E9"/>
    <w:rsid w:val="097207A7"/>
    <w:rsid w:val="097B5705"/>
    <w:rsid w:val="09915475"/>
    <w:rsid w:val="099C2425"/>
    <w:rsid w:val="09AC6560"/>
    <w:rsid w:val="09B108C5"/>
    <w:rsid w:val="09B21BFC"/>
    <w:rsid w:val="09CE39D9"/>
    <w:rsid w:val="09F370D3"/>
    <w:rsid w:val="0A014CC5"/>
    <w:rsid w:val="0A117773"/>
    <w:rsid w:val="0A163389"/>
    <w:rsid w:val="0A226888"/>
    <w:rsid w:val="0A6F2814"/>
    <w:rsid w:val="0A7260F8"/>
    <w:rsid w:val="0A79469D"/>
    <w:rsid w:val="0A7C3308"/>
    <w:rsid w:val="0A7D0314"/>
    <w:rsid w:val="0A826E25"/>
    <w:rsid w:val="0A8A2F8A"/>
    <w:rsid w:val="0A997BCB"/>
    <w:rsid w:val="0AC26A55"/>
    <w:rsid w:val="0ACC5838"/>
    <w:rsid w:val="0AD1533C"/>
    <w:rsid w:val="0AE012A0"/>
    <w:rsid w:val="0AE42481"/>
    <w:rsid w:val="0AE96C40"/>
    <w:rsid w:val="0AFF58B5"/>
    <w:rsid w:val="0B2039EA"/>
    <w:rsid w:val="0B2125EB"/>
    <w:rsid w:val="0B3348DE"/>
    <w:rsid w:val="0B346668"/>
    <w:rsid w:val="0B525D57"/>
    <w:rsid w:val="0B574100"/>
    <w:rsid w:val="0B604F75"/>
    <w:rsid w:val="0B74741F"/>
    <w:rsid w:val="0B8C60D9"/>
    <w:rsid w:val="0BB63E43"/>
    <w:rsid w:val="0BBD6EBE"/>
    <w:rsid w:val="0BC01BF6"/>
    <w:rsid w:val="0BC35275"/>
    <w:rsid w:val="0BCA0D2D"/>
    <w:rsid w:val="0BCE15C6"/>
    <w:rsid w:val="0BD10911"/>
    <w:rsid w:val="0BD24474"/>
    <w:rsid w:val="0BD466FD"/>
    <w:rsid w:val="0BE3399B"/>
    <w:rsid w:val="0BE837C1"/>
    <w:rsid w:val="0BEE13F9"/>
    <w:rsid w:val="0BFB56F7"/>
    <w:rsid w:val="0C0D24BD"/>
    <w:rsid w:val="0C3C32F1"/>
    <w:rsid w:val="0C3F018E"/>
    <w:rsid w:val="0C402D99"/>
    <w:rsid w:val="0C44572D"/>
    <w:rsid w:val="0C472212"/>
    <w:rsid w:val="0C6507DC"/>
    <w:rsid w:val="0C7871BF"/>
    <w:rsid w:val="0C8146C0"/>
    <w:rsid w:val="0C8218FF"/>
    <w:rsid w:val="0C860123"/>
    <w:rsid w:val="0C947D72"/>
    <w:rsid w:val="0C9E5B95"/>
    <w:rsid w:val="0CA84FED"/>
    <w:rsid w:val="0CAC56D3"/>
    <w:rsid w:val="0CC53AF0"/>
    <w:rsid w:val="0CC57E17"/>
    <w:rsid w:val="0CCC42D6"/>
    <w:rsid w:val="0CD20FBC"/>
    <w:rsid w:val="0CDC6477"/>
    <w:rsid w:val="0CDF7627"/>
    <w:rsid w:val="0CE70B53"/>
    <w:rsid w:val="0CEA7D08"/>
    <w:rsid w:val="0CEE2F4C"/>
    <w:rsid w:val="0D0267DB"/>
    <w:rsid w:val="0D13704C"/>
    <w:rsid w:val="0D1B505A"/>
    <w:rsid w:val="0D1B6BD4"/>
    <w:rsid w:val="0D1F2BE5"/>
    <w:rsid w:val="0D6D7BA2"/>
    <w:rsid w:val="0D775CA9"/>
    <w:rsid w:val="0D945C88"/>
    <w:rsid w:val="0D9F609E"/>
    <w:rsid w:val="0DAC40DF"/>
    <w:rsid w:val="0DCA5649"/>
    <w:rsid w:val="0DD90D2A"/>
    <w:rsid w:val="0DE235C5"/>
    <w:rsid w:val="0DEC7D15"/>
    <w:rsid w:val="0DFA7A23"/>
    <w:rsid w:val="0E0B7D94"/>
    <w:rsid w:val="0E100F06"/>
    <w:rsid w:val="0E125859"/>
    <w:rsid w:val="0E5F1184"/>
    <w:rsid w:val="0E605363"/>
    <w:rsid w:val="0E66233C"/>
    <w:rsid w:val="0E7304E4"/>
    <w:rsid w:val="0E760492"/>
    <w:rsid w:val="0E7E77AE"/>
    <w:rsid w:val="0E8C4BAA"/>
    <w:rsid w:val="0E9276B1"/>
    <w:rsid w:val="0E9601D6"/>
    <w:rsid w:val="0ED0174A"/>
    <w:rsid w:val="0F196319"/>
    <w:rsid w:val="0F423089"/>
    <w:rsid w:val="0F432B23"/>
    <w:rsid w:val="0F447544"/>
    <w:rsid w:val="0F4A5265"/>
    <w:rsid w:val="0F501231"/>
    <w:rsid w:val="0F566FA2"/>
    <w:rsid w:val="0F5D63CD"/>
    <w:rsid w:val="0F7851AB"/>
    <w:rsid w:val="0F7C6102"/>
    <w:rsid w:val="0F8310EE"/>
    <w:rsid w:val="0F8633FE"/>
    <w:rsid w:val="0F895414"/>
    <w:rsid w:val="0F8B2D78"/>
    <w:rsid w:val="0F963B27"/>
    <w:rsid w:val="0FA830CD"/>
    <w:rsid w:val="0FAD3B2A"/>
    <w:rsid w:val="0FD6081C"/>
    <w:rsid w:val="0FE33A4D"/>
    <w:rsid w:val="0FFD654C"/>
    <w:rsid w:val="10003075"/>
    <w:rsid w:val="10262EB2"/>
    <w:rsid w:val="103C656E"/>
    <w:rsid w:val="10496D35"/>
    <w:rsid w:val="104E10D6"/>
    <w:rsid w:val="10533935"/>
    <w:rsid w:val="10596505"/>
    <w:rsid w:val="10656094"/>
    <w:rsid w:val="10756B4C"/>
    <w:rsid w:val="107D54B5"/>
    <w:rsid w:val="10911D53"/>
    <w:rsid w:val="1091766E"/>
    <w:rsid w:val="109A120E"/>
    <w:rsid w:val="10A00624"/>
    <w:rsid w:val="10A2208C"/>
    <w:rsid w:val="10DD7D2D"/>
    <w:rsid w:val="10F539FE"/>
    <w:rsid w:val="1109016A"/>
    <w:rsid w:val="110A7B20"/>
    <w:rsid w:val="11212114"/>
    <w:rsid w:val="114855C9"/>
    <w:rsid w:val="114900F8"/>
    <w:rsid w:val="11491476"/>
    <w:rsid w:val="114958B1"/>
    <w:rsid w:val="11760564"/>
    <w:rsid w:val="117D1470"/>
    <w:rsid w:val="117F688B"/>
    <w:rsid w:val="11850FF5"/>
    <w:rsid w:val="1191204D"/>
    <w:rsid w:val="11A06393"/>
    <w:rsid w:val="11A6660A"/>
    <w:rsid w:val="11A960ED"/>
    <w:rsid w:val="11AD7CE2"/>
    <w:rsid w:val="11E72F7E"/>
    <w:rsid w:val="11E83A15"/>
    <w:rsid w:val="11F800D4"/>
    <w:rsid w:val="122074B8"/>
    <w:rsid w:val="122F2C62"/>
    <w:rsid w:val="12313FA7"/>
    <w:rsid w:val="12346111"/>
    <w:rsid w:val="12495852"/>
    <w:rsid w:val="125674F8"/>
    <w:rsid w:val="128955F1"/>
    <w:rsid w:val="128979BF"/>
    <w:rsid w:val="12B14FCC"/>
    <w:rsid w:val="12B952F9"/>
    <w:rsid w:val="12BC5DA5"/>
    <w:rsid w:val="12C37788"/>
    <w:rsid w:val="12FF3845"/>
    <w:rsid w:val="130A5013"/>
    <w:rsid w:val="13133FCF"/>
    <w:rsid w:val="13277721"/>
    <w:rsid w:val="132F46EA"/>
    <w:rsid w:val="13315C15"/>
    <w:rsid w:val="134417DA"/>
    <w:rsid w:val="13640C2C"/>
    <w:rsid w:val="136460AE"/>
    <w:rsid w:val="13720110"/>
    <w:rsid w:val="13764281"/>
    <w:rsid w:val="138F3179"/>
    <w:rsid w:val="13B93367"/>
    <w:rsid w:val="13DE1DCC"/>
    <w:rsid w:val="13EE1468"/>
    <w:rsid w:val="13F14238"/>
    <w:rsid w:val="13F42390"/>
    <w:rsid w:val="13FA4DCC"/>
    <w:rsid w:val="13FD5ED0"/>
    <w:rsid w:val="140C4729"/>
    <w:rsid w:val="1431124A"/>
    <w:rsid w:val="143570B8"/>
    <w:rsid w:val="14506409"/>
    <w:rsid w:val="145265C5"/>
    <w:rsid w:val="146E5B8D"/>
    <w:rsid w:val="14723C15"/>
    <w:rsid w:val="147240DC"/>
    <w:rsid w:val="14873CD3"/>
    <w:rsid w:val="1492566F"/>
    <w:rsid w:val="149722C9"/>
    <w:rsid w:val="14A34B4D"/>
    <w:rsid w:val="14B1350D"/>
    <w:rsid w:val="14B922F8"/>
    <w:rsid w:val="14C43FCC"/>
    <w:rsid w:val="14C5798B"/>
    <w:rsid w:val="14C67FF7"/>
    <w:rsid w:val="14F66936"/>
    <w:rsid w:val="151267BE"/>
    <w:rsid w:val="152B6F9E"/>
    <w:rsid w:val="152E3B0A"/>
    <w:rsid w:val="15330703"/>
    <w:rsid w:val="153642B2"/>
    <w:rsid w:val="154C6E75"/>
    <w:rsid w:val="155105B8"/>
    <w:rsid w:val="15563035"/>
    <w:rsid w:val="156063E1"/>
    <w:rsid w:val="15636F6C"/>
    <w:rsid w:val="15675BC0"/>
    <w:rsid w:val="156E495F"/>
    <w:rsid w:val="157A3DE6"/>
    <w:rsid w:val="15951871"/>
    <w:rsid w:val="15A14996"/>
    <w:rsid w:val="15AD2D2A"/>
    <w:rsid w:val="15D265B1"/>
    <w:rsid w:val="15D71B05"/>
    <w:rsid w:val="15F24AA9"/>
    <w:rsid w:val="1605282A"/>
    <w:rsid w:val="160D62DB"/>
    <w:rsid w:val="162163A6"/>
    <w:rsid w:val="162B6AFB"/>
    <w:rsid w:val="162F2805"/>
    <w:rsid w:val="162F4575"/>
    <w:rsid w:val="16312CE3"/>
    <w:rsid w:val="163D3672"/>
    <w:rsid w:val="164B4327"/>
    <w:rsid w:val="165547C7"/>
    <w:rsid w:val="166A720D"/>
    <w:rsid w:val="16A03C9A"/>
    <w:rsid w:val="16A70ED7"/>
    <w:rsid w:val="16C36C63"/>
    <w:rsid w:val="16D677EB"/>
    <w:rsid w:val="16DC3AAA"/>
    <w:rsid w:val="171754D5"/>
    <w:rsid w:val="172719AB"/>
    <w:rsid w:val="174263EB"/>
    <w:rsid w:val="175568A4"/>
    <w:rsid w:val="175E0E32"/>
    <w:rsid w:val="17672E19"/>
    <w:rsid w:val="177A0E1F"/>
    <w:rsid w:val="177A4DE4"/>
    <w:rsid w:val="17D06426"/>
    <w:rsid w:val="17D763C2"/>
    <w:rsid w:val="17D96EFE"/>
    <w:rsid w:val="17DB3467"/>
    <w:rsid w:val="17DC4D91"/>
    <w:rsid w:val="17F200CF"/>
    <w:rsid w:val="180D4289"/>
    <w:rsid w:val="18280AEF"/>
    <w:rsid w:val="1828551D"/>
    <w:rsid w:val="182B24D0"/>
    <w:rsid w:val="1844637C"/>
    <w:rsid w:val="186D436E"/>
    <w:rsid w:val="18725F30"/>
    <w:rsid w:val="18A62CFB"/>
    <w:rsid w:val="18A9254F"/>
    <w:rsid w:val="18AD4955"/>
    <w:rsid w:val="18B875FE"/>
    <w:rsid w:val="18C91115"/>
    <w:rsid w:val="18ED0502"/>
    <w:rsid w:val="18F35DEF"/>
    <w:rsid w:val="18FA252A"/>
    <w:rsid w:val="18FE7F08"/>
    <w:rsid w:val="18FF3CEE"/>
    <w:rsid w:val="19010305"/>
    <w:rsid w:val="19032EA8"/>
    <w:rsid w:val="191743CE"/>
    <w:rsid w:val="19267F8A"/>
    <w:rsid w:val="19346493"/>
    <w:rsid w:val="1938125B"/>
    <w:rsid w:val="195E62EC"/>
    <w:rsid w:val="1968029D"/>
    <w:rsid w:val="197E79E0"/>
    <w:rsid w:val="19832915"/>
    <w:rsid w:val="199A751A"/>
    <w:rsid w:val="199D34CE"/>
    <w:rsid w:val="19BA7280"/>
    <w:rsid w:val="19D23783"/>
    <w:rsid w:val="19D86E3E"/>
    <w:rsid w:val="19DE6130"/>
    <w:rsid w:val="1A0B466A"/>
    <w:rsid w:val="1A2F72D6"/>
    <w:rsid w:val="1A305252"/>
    <w:rsid w:val="1A5D0081"/>
    <w:rsid w:val="1A611DE0"/>
    <w:rsid w:val="1A6E7FB6"/>
    <w:rsid w:val="1A7B306F"/>
    <w:rsid w:val="1A806848"/>
    <w:rsid w:val="1A814826"/>
    <w:rsid w:val="1A877C75"/>
    <w:rsid w:val="1A921E3C"/>
    <w:rsid w:val="1AA17AB6"/>
    <w:rsid w:val="1AA22A51"/>
    <w:rsid w:val="1AA651E6"/>
    <w:rsid w:val="1AAE51B4"/>
    <w:rsid w:val="1AFA0C51"/>
    <w:rsid w:val="1AFE4EC5"/>
    <w:rsid w:val="1B0167A6"/>
    <w:rsid w:val="1B166828"/>
    <w:rsid w:val="1B47553D"/>
    <w:rsid w:val="1B5355BA"/>
    <w:rsid w:val="1B5763C6"/>
    <w:rsid w:val="1B6179C7"/>
    <w:rsid w:val="1B8204F5"/>
    <w:rsid w:val="1B9253A3"/>
    <w:rsid w:val="1BBC2CBA"/>
    <w:rsid w:val="1BBD16AB"/>
    <w:rsid w:val="1BC63490"/>
    <w:rsid w:val="1BCC1E70"/>
    <w:rsid w:val="1BD24A3B"/>
    <w:rsid w:val="1BE20BDB"/>
    <w:rsid w:val="1C14134E"/>
    <w:rsid w:val="1C1556A6"/>
    <w:rsid w:val="1C2864CC"/>
    <w:rsid w:val="1C6C3CA4"/>
    <w:rsid w:val="1C8360BC"/>
    <w:rsid w:val="1C8506AB"/>
    <w:rsid w:val="1C900E01"/>
    <w:rsid w:val="1CBF3AA6"/>
    <w:rsid w:val="1CC5781E"/>
    <w:rsid w:val="1CD16877"/>
    <w:rsid w:val="1CEB374A"/>
    <w:rsid w:val="1CEE58A5"/>
    <w:rsid w:val="1CF2640C"/>
    <w:rsid w:val="1D077978"/>
    <w:rsid w:val="1D0A3BF7"/>
    <w:rsid w:val="1D161258"/>
    <w:rsid w:val="1D3515C9"/>
    <w:rsid w:val="1D456CB0"/>
    <w:rsid w:val="1D504947"/>
    <w:rsid w:val="1D5F2D27"/>
    <w:rsid w:val="1D7019C1"/>
    <w:rsid w:val="1D723B16"/>
    <w:rsid w:val="1D7A35D1"/>
    <w:rsid w:val="1D7F1C04"/>
    <w:rsid w:val="1D9A259A"/>
    <w:rsid w:val="1DA3608C"/>
    <w:rsid w:val="1DAF0231"/>
    <w:rsid w:val="1DBE4CB0"/>
    <w:rsid w:val="1DC36E6D"/>
    <w:rsid w:val="1DCA48A3"/>
    <w:rsid w:val="1DDE073E"/>
    <w:rsid w:val="1DDE453E"/>
    <w:rsid w:val="1DEF3A5A"/>
    <w:rsid w:val="1E1D3072"/>
    <w:rsid w:val="1E414EFE"/>
    <w:rsid w:val="1E6F0FA6"/>
    <w:rsid w:val="1E731769"/>
    <w:rsid w:val="1E731CA4"/>
    <w:rsid w:val="1E7F1AFC"/>
    <w:rsid w:val="1E9224A7"/>
    <w:rsid w:val="1EA23DFC"/>
    <w:rsid w:val="1EAA2EA9"/>
    <w:rsid w:val="1EAD1413"/>
    <w:rsid w:val="1EAD3D02"/>
    <w:rsid w:val="1EAF2557"/>
    <w:rsid w:val="1EB23E31"/>
    <w:rsid w:val="1EC50873"/>
    <w:rsid w:val="1EC9771A"/>
    <w:rsid w:val="1ECC13D5"/>
    <w:rsid w:val="1ECC332E"/>
    <w:rsid w:val="1ECF707B"/>
    <w:rsid w:val="1ED0096A"/>
    <w:rsid w:val="1EE9111D"/>
    <w:rsid w:val="1F091C2E"/>
    <w:rsid w:val="1F0F2CAA"/>
    <w:rsid w:val="1F0F3AC4"/>
    <w:rsid w:val="1F100342"/>
    <w:rsid w:val="1F182CC6"/>
    <w:rsid w:val="1F2A1D94"/>
    <w:rsid w:val="1F3B52CF"/>
    <w:rsid w:val="1F450063"/>
    <w:rsid w:val="1F4C2F1E"/>
    <w:rsid w:val="1F517F48"/>
    <w:rsid w:val="1F791DEE"/>
    <w:rsid w:val="1F89604C"/>
    <w:rsid w:val="1F9537B1"/>
    <w:rsid w:val="1FA34011"/>
    <w:rsid w:val="1FB90384"/>
    <w:rsid w:val="1FC15CDC"/>
    <w:rsid w:val="1FF82C2C"/>
    <w:rsid w:val="1FFA0403"/>
    <w:rsid w:val="201A219E"/>
    <w:rsid w:val="201A5E0D"/>
    <w:rsid w:val="20204F25"/>
    <w:rsid w:val="20253D33"/>
    <w:rsid w:val="202558E6"/>
    <w:rsid w:val="202F3F1B"/>
    <w:rsid w:val="203A1A2A"/>
    <w:rsid w:val="2043206D"/>
    <w:rsid w:val="204A4D98"/>
    <w:rsid w:val="207778D6"/>
    <w:rsid w:val="209C2290"/>
    <w:rsid w:val="209F17AE"/>
    <w:rsid w:val="20A25CE4"/>
    <w:rsid w:val="20AA62F5"/>
    <w:rsid w:val="20AD5F53"/>
    <w:rsid w:val="20C633DE"/>
    <w:rsid w:val="20D220D6"/>
    <w:rsid w:val="20DC4B45"/>
    <w:rsid w:val="20EA2F22"/>
    <w:rsid w:val="211F178A"/>
    <w:rsid w:val="21215F19"/>
    <w:rsid w:val="213A2764"/>
    <w:rsid w:val="21417C0C"/>
    <w:rsid w:val="21497417"/>
    <w:rsid w:val="214A4735"/>
    <w:rsid w:val="2169415F"/>
    <w:rsid w:val="21784EEB"/>
    <w:rsid w:val="218339B2"/>
    <w:rsid w:val="21925ED0"/>
    <w:rsid w:val="21A5397D"/>
    <w:rsid w:val="21A66DA0"/>
    <w:rsid w:val="21A67E33"/>
    <w:rsid w:val="21B31565"/>
    <w:rsid w:val="21C034E1"/>
    <w:rsid w:val="21C05C68"/>
    <w:rsid w:val="21C14E47"/>
    <w:rsid w:val="21C26275"/>
    <w:rsid w:val="21C4176D"/>
    <w:rsid w:val="21CC2FB1"/>
    <w:rsid w:val="21DF125B"/>
    <w:rsid w:val="22303CF7"/>
    <w:rsid w:val="22347F26"/>
    <w:rsid w:val="225E028A"/>
    <w:rsid w:val="22664D98"/>
    <w:rsid w:val="22677FF9"/>
    <w:rsid w:val="226A4C31"/>
    <w:rsid w:val="227338E5"/>
    <w:rsid w:val="22787597"/>
    <w:rsid w:val="227B6347"/>
    <w:rsid w:val="22821DF8"/>
    <w:rsid w:val="228B537C"/>
    <w:rsid w:val="22A27EB2"/>
    <w:rsid w:val="22A7766B"/>
    <w:rsid w:val="22C22238"/>
    <w:rsid w:val="22E75B32"/>
    <w:rsid w:val="22EC5646"/>
    <w:rsid w:val="22F14D4B"/>
    <w:rsid w:val="23015C35"/>
    <w:rsid w:val="23105735"/>
    <w:rsid w:val="233F1C1A"/>
    <w:rsid w:val="234A09E0"/>
    <w:rsid w:val="235643A6"/>
    <w:rsid w:val="235F7E10"/>
    <w:rsid w:val="23602AED"/>
    <w:rsid w:val="23612F5B"/>
    <w:rsid w:val="23746501"/>
    <w:rsid w:val="23952182"/>
    <w:rsid w:val="23974089"/>
    <w:rsid w:val="239D482D"/>
    <w:rsid w:val="23A03194"/>
    <w:rsid w:val="23B7059F"/>
    <w:rsid w:val="23B73DEC"/>
    <w:rsid w:val="23E96AE2"/>
    <w:rsid w:val="2405544A"/>
    <w:rsid w:val="2409179A"/>
    <w:rsid w:val="24100FC7"/>
    <w:rsid w:val="241758E3"/>
    <w:rsid w:val="24226518"/>
    <w:rsid w:val="24230DED"/>
    <w:rsid w:val="242F650D"/>
    <w:rsid w:val="243A5990"/>
    <w:rsid w:val="243C5298"/>
    <w:rsid w:val="24462D8D"/>
    <w:rsid w:val="244B45EE"/>
    <w:rsid w:val="244E574D"/>
    <w:rsid w:val="245F77CA"/>
    <w:rsid w:val="24722154"/>
    <w:rsid w:val="248C70B9"/>
    <w:rsid w:val="248D2864"/>
    <w:rsid w:val="24A26292"/>
    <w:rsid w:val="24A56241"/>
    <w:rsid w:val="24A62CC5"/>
    <w:rsid w:val="24A66286"/>
    <w:rsid w:val="24B34A6B"/>
    <w:rsid w:val="24BA3512"/>
    <w:rsid w:val="24E773E9"/>
    <w:rsid w:val="24F70EEB"/>
    <w:rsid w:val="24FF7695"/>
    <w:rsid w:val="25072AA2"/>
    <w:rsid w:val="251D52EB"/>
    <w:rsid w:val="252A3074"/>
    <w:rsid w:val="252E4E78"/>
    <w:rsid w:val="252F3C1C"/>
    <w:rsid w:val="25302E70"/>
    <w:rsid w:val="2547757B"/>
    <w:rsid w:val="25497021"/>
    <w:rsid w:val="254E368A"/>
    <w:rsid w:val="255203D9"/>
    <w:rsid w:val="25671EF2"/>
    <w:rsid w:val="258A4DB4"/>
    <w:rsid w:val="258E032F"/>
    <w:rsid w:val="25953D21"/>
    <w:rsid w:val="25964835"/>
    <w:rsid w:val="2598608C"/>
    <w:rsid w:val="259D6ED5"/>
    <w:rsid w:val="25A128B8"/>
    <w:rsid w:val="25A61CDF"/>
    <w:rsid w:val="25D90CDC"/>
    <w:rsid w:val="25DB3872"/>
    <w:rsid w:val="25DE43E2"/>
    <w:rsid w:val="25FA029F"/>
    <w:rsid w:val="26063115"/>
    <w:rsid w:val="260F2E60"/>
    <w:rsid w:val="26256535"/>
    <w:rsid w:val="26281D3E"/>
    <w:rsid w:val="263A64E3"/>
    <w:rsid w:val="267A114F"/>
    <w:rsid w:val="26882B9F"/>
    <w:rsid w:val="268847A9"/>
    <w:rsid w:val="26906977"/>
    <w:rsid w:val="26965C29"/>
    <w:rsid w:val="2697010A"/>
    <w:rsid w:val="26970B20"/>
    <w:rsid w:val="26A279BA"/>
    <w:rsid w:val="26B40FBC"/>
    <w:rsid w:val="26BA1553"/>
    <w:rsid w:val="26C47C06"/>
    <w:rsid w:val="26C54908"/>
    <w:rsid w:val="26CA3EF0"/>
    <w:rsid w:val="26CC67FB"/>
    <w:rsid w:val="26D0112D"/>
    <w:rsid w:val="26D96290"/>
    <w:rsid w:val="26E00A85"/>
    <w:rsid w:val="26FB5B38"/>
    <w:rsid w:val="27050A1B"/>
    <w:rsid w:val="272674C9"/>
    <w:rsid w:val="27363334"/>
    <w:rsid w:val="27547A2E"/>
    <w:rsid w:val="2758539D"/>
    <w:rsid w:val="2759588C"/>
    <w:rsid w:val="275C5CD6"/>
    <w:rsid w:val="276532FC"/>
    <w:rsid w:val="276812CF"/>
    <w:rsid w:val="27690D48"/>
    <w:rsid w:val="276F4A98"/>
    <w:rsid w:val="277039CC"/>
    <w:rsid w:val="27946DAA"/>
    <w:rsid w:val="279574D4"/>
    <w:rsid w:val="27A668FF"/>
    <w:rsid w:val="27B63712"/>
    <w:rsid w:val="27BC0290"/>
    <w:rsid w:val="27CB0E9C"/>
    <w:rsid w:val="27CC24BE"/>
    <w:rsid w:val="27EE5BA5"/>
    <w:rsid w:val="27F97584"/>
    <w:rsid w:val="28017B69"/>
    <w:rsid w:val="28284B57"/>
    <w:rsid w:val="2834536B"/>
    <w:rsid w:val="28346222"/>
    <w:rsid w:val="28377363"/>
    <w:rsid w:val="283822D6"/>
    <w:rsid w:val="28397C62"/>
    <w:rsid w:val="287379E2"/>
    <w:rsid w:val="289A1DD6"/>
    <w:rsid w:val="289B7097"/>
    <w:rsid w:val="28A9720A"/>
    <w:rsid w:val="28C92869"/>
    <w:rsid w:val="28D53702"/>
    <w:rsid w:val="28D54C02"/>
    <w:rsid w:val="28E030CC"/>
    <w:rsid w:val="28E1754E"/>
    <w:rsid w:val="28E3740A"/>
    <w:rsid w:val="28E453FC"/>
    <w:rsid w:val="290A4A78"/>
    <w:rsid w:val="29121F00"/>
    <w:rsid w:val="2917291C"/>
    <w:rsid w:val="29274EFE"/>
    <w:rsid w:val="29292725"/>
    <w:rsid w:val="2937704C"/>
    <w:rsid w:val="29391F39"/>
    <w:rsid w:val="29411465"/>
    <w:rsid w:val="295C2EFB"/>
    <w:rsid w:val="2960444C"/>
    <w:rsid w:val="29765013"/>
    <w:rsid w:val="298142BB"/>
    <w:rsid w:val="29846103"/>
    <w:rsid w:val="29890081"/>
    <w:rsid w:val="298B4E2C"/>
    <w:rsid w:val="29966D9A"/>
    <w:rsid w:val="29BC2638"/>
    <w:rsid w:val="29C50A2F"/>
    <w:rsid w:val="29D10496"/>
    <w:rsid w:val="29D36734"/>
    <w:rsid w:val="29EE2717"/>
    <w:rsid w:val="29F91F6F"/>
    <w:rsid w:val="29F94360"/>
    <w:rsid w:val="2A0624BF"/>
    <w:rsid w:val="2A092F82"/>
    <w:rsid w:val="2A0B29B0"/>
    <w:rsid w:val="2A1C3265"/>
    <w:rsid w:val="2A1D732F"/>
    <w:rsid w:val="2A2A6BA3"/>
    <w:rsid w:val="2A310A3F"/>
    <w:rsid w:val="2A70418C"/>
    <w:rsid w:val="2A882D31"/>
    <w:rsid w:val="2AA7296D"/>
    <w:rsid w:val="2AB55C42"/>
    <w:rsid w:val="2AB738C8"/>
    <w:rsid w:val="2AC46E9B"/>
    <w:rsid w:val="2ACE040C"/>
    <w:rsid w:val="2ACF242A"/>
    <w:rsid w:val="2AE36A74"/>
    <w:rsid w:val="2AEE5296"/>
    <w:rsid w:val="2B103450"/>
    <w:rsid w:val="2B105781"/>
    <w:rsid w:val="2B29084A"/>
    <w:rsid w:val="2B2D73FC"/>
    <w:rsid w:val="2B312790"/>
    <w:rsid w:val="2B3F0BC7"/>
    <w:rsid w:val="2B4F35C6"/>
    <w:rsid w:val="2B5D343C"/>
    <w:rsid w:val="2B6321CF"/>
    <w:rsid w:val="2B683729"/>
    <w:rsid w:val="2B771DDA"/>
    <w:rsid w:val="2B970F25"/>
    <w:rsid w:val="2B9A197D"/>
    <w:rsid w:val="2BA1439E"/>
    <w:rsid w:val="2BA46A90"/>
    <w:rsid w:val="2BB42891"/>
    <w:rsid w:val="2BB44256"/>
    <w:rsid w:val="2BD276C5"/>
    <w:rsid w:val="2BD62E54"/>
    <w:rsid w:val="2BEC6911"/>
    <w:rsid w:val="2BFC2909"/>
    <w:rsid w:val="2C144B16"/>
    <w:rsid w:val="2C25151B"/>
    <w:rsid w:val="2C445EDA"/>
    <w:rsid w:val="2C5775DB"/>
    <w:rsid w:val="2C770359"/>
    <w:rsid w:val="2C817AF3"/>
    <w:rsid w:val="2C9313C5"/>
    <w:rsid w:val="2C95657E"/>
    <w:rsid w:val="2CC33510"/>
    <w:rsid w:val="2CC8357B"/>
    <w:rsid w:val="2CE7073F"/>
    <w:rsid w:val="2CE92566"/>
    <w:rsid w:val="2D000D35"/>
    <w:rsid w:val="2D316CD6"/>
    <w:rsid w:val="2D494353"/>
    <w:rsid w:val="2D56047C"/>
    <w:rsid w:val="2D5B2E31"/>
    <w:rsid w:val="2D763FA2"/>
    <w:rsid w:val="2D8D274C"/>
    <w:rsid w:val="2D954313"/>
    <w:rsid w:val="2D9976C8"/>
    <w:rsid w:val="2DA6352B"/>
    <w:rsid w:val="2DC73DF7"/>
    <w:rsid w:val="2DD06762"/>
    <w:rsid w:val="2DDB023F"/>
    <w:rsid w:val="2DE12F9D"/>
    <w:rsid w:val="2DEC6610"/>
    <w:rsid w:val="2DF4574E"/>
    <w:rsid w:val="2DF73322"/>
    <w:rsid w:val="2E116357"/>
    <w:rsid w:val="2E16306A"/>
    <w:rsid w:val="2E25603D"/>
    <w:rsid w:val="2E271ED2"/>
    <w:rsid w:val="2E2F77DB"/>
    <w:rsid w:val="2E3037CB"/>
    <w:rsid w:val="2E3F392F"/>
    <w:rsid w:val="2E414624"/>
    <w:rsid w:val="2E525891"/>
    <w:rsid w:val="2E59680F"/>
    <w:rsid w:val="2E64722F"/>
    <w:rsid w:val="2E872AAD"/>
    <w:rsid w:val="2E907687"/>
    <w:rsid w:val="2E950E5F"/>
    <w:rsid w:val="2EAA37C0"/>
    <w:rsid w:val="2EC60319"/>
    <w:rsid w:val="2ED20222"/>
    <w:rsid w:val="2ED45275"/>
    <w:rsid w:val="2ED67F44"/>
    <w:rsid w:val="2ED80613"/>
    <w:rsid w:val="2F3B087C"/>
    <w:rsid w:val="2F3C7F94"/>
    <w:rsid w:val="2F3E36CD"/>
    <w:rsid w:val="2F551185"/>
    <w:rsid w:val="2F5B1D5D"/>
    <w:rsid w:val="2F7F2114"/>
    <w:rsid w:val="2F804D68"/>
    <w:rsid w:val="2F84677E"/>
    <w:rsid w:val="2F8477A9"/>
    <w:rsid w:val="2F872E79"/>
    <w:rsid w:val="2F9C3D11"/>
    <w:rsid w:val="2F9D6943"/>
    <w:rsid w:val="2FA16A47"/>
    <w:rsid w:val="2FB669A3"/>
    <w:rsid w:val="2FB933E4"/>
    <w:rsid w:val="2FD17725"/>
    <w:rsid w:val="2FD82C24"/>
    <w:rsid w:val="2FD97D7C"/>
    <w:rsid w:val="2FE47C8F"/>
    <w:rsid w:val="2FE629BB"/>
    <w:rsid w:val="2FE83506"/>
    <w:rsid w:val="301A6768"/>
    <w:rsid w:val="30367485"/>
    <w:rsid w:val="303F2376"/>
    <w:rsid w:val="30450C63"/>
    <w:rsid w:val="3049057C"/>
    <w:rsid w:val="30552025"/>
    <w:rsid w:val="30734711"/>
    <w:rsid w:val="30937A84"/>
    <w:rsid w:val="30AB61B0"/>
    <w:rsid w:val="30B3424D"/>
    <w:rsid w:val="30DA0C8E"/>
    <w:rsid w:val="30DA1E89"/>
    <w:rsid w:val="30DA6ED1"/>
    <w:rsid w:val="30F447D5"/>
    <w:rsid w:val="31026C0A"/>
    <w:rsid w:val="310506F1"/>
    <w:rsid w:val="31090FD1"/>
    <w:rsid w:val="31094167"/>
    <w:rsid w:val="314521F6"/>
    <w:rsid w:val="31500225"/>
    <w:rsid w:val="315115A8"/>
    <w:rsid w:val="31574A25"/>
    <w:rsid w:val="316E01B8"/>
    <w:rsid w:val="318F385D"/>
    <w:rsid w:val="319262B0"/>
    <w:rsid w:val="319D0E14"/>
    <w:rsid w:val="31B468A3"/>
    <w:rsid w:val="31D9538D"/>
    <w:rsid w:val="31DE7AE4"/>
    <w:rsid w:val="31E20735"/>
    <w:rsid w:val="31F322FE"/>
    <w:rsid w:val="31F6735B"/>
    <w:rsid w:val="320C7047"/>
    <w:rsid w:val="320E7313"/>
    <w:rsid w:val="323C3EBC"/>
    <w:rsid w:val="32424C9B"/>
    <w:rsid w:val="3249667C"/>
    <w:rsid w:val="325411B2"/>
    <w:rsid w:val="32551F5E"/>
    <w:rsid w:val="326213B2"/>
    <w:rsid w:val="326A4D6F"/>
    <w:rsid w:val="326B095F"/>
    <w:rsid w:val="327815A0"/>
    <w:rsid w:val="32965382"/>
    <w:rsid w:val="32A312A5"/>
    <w:rsid w:val="32A76FB0"/>
    <w:rsid w:val="32AA7B6D"/>
    <w:rsid w:val="32AF34F7"/>
    <w:rsid w:val="32B27847"/>
    <w:rsid w:val="32BB73DF"/>
    <w:rsid w:val="32C3737A"/>
    <w:rsid w:val="32CE23E7"/>
    <w:rsid w:val="32E331A4"/>
    <w:rsid w:val="32EB49D4"/>
    <w:rsid w:val="32F5452D"/>
    <w:rsid w:val="330A11F7"/>
    <w:rsid w:val="3310247B"/>
    <w:rsid w:val="33207A1C"/>
    <w:rsid w:val="3326374E"/>
    <w:rsid w:val="33280CE3"/>
    <w:rsid w:val="334640AA"/>
    <w:rsid w:val="33482566"/>
    <w:rsid w:val="334D1DE8"/>
    <w:rsid w:val="3350003C"/>
    <w:rsid w:val="335B4318"/>
    <w:rsid w:val="3366607E"/>
    <w:rsid w:val="3370666C"/>
    <w:rsid w:val="33731577"/>
    <w:rsid w:val="33775400"/>
    <w:rsid w:val="337E5926"/>
    <w:rsid w:val="3390740E"/>
    <w:rsid w:val="33932DCC"/>
    <w:rsid w:val="33AD2BD0"/>
    <w:rsid w:val="33C24CDF"/>
    <w:rsid w:val="33CE707D"/>
    <w:rsid w:val="33D265DC"/>
    <w:rsid w:val="33DD5929"/>
    <w:rsid w:val="33E03FB6"/>
    <w:rsid w:val="33F057A9"/>
    <w:rsid w:val="33F337BD"/>
    <w:rsid w:val="33F93805"/>
    <w:rsid w:val="34027462"/>
    <w:rsid w:val="34267D29"/>
    <w:rsid w:val="342B21E8"/>
    <w:rsid w:val="34360E17"/>
    <w:rsid w:val="34381F9C"/>
    <w:rsid w:val="34560264"/>
    <w:rsid w:val="345B7473"/>
    <w:rsid w:val="34663ED0"/>
    <w:rsid w:val="346E1C08"/>
    <w:rsid w:val="34815B81"/>
    <w:rsid w:val="34900A9A"/>
    <w:rsid w:val="34AE3486"/>
    <w:rsid w:val="34B71E2A"/>
    <w:rsid w:val="34DA61AE"/>
    <w:rsid w:val="34F86642"/>
    <w:rsid w:val="3501440D"/>
    <w:rsid w:val="35014854"/>
    <w:rsid w:val="350D4951"/>
    <w:rsid w:val="3523640D"/>
    <w:rsid w:val="353B00D4"/>
    <w:rsid w:val="35471143"/>
    <w:rsid w:val="3567388C"/>
    <w:rsid w:val="356F6271"/>
    <w:rsid w:val="35735413"/>
    <w:rsid w:val="35794D6B"/>
    <w:rsid w:val="35825813"/>
    <w:rsid w:val="35905694"/>
    <w:rsid w:val="3590648F"/>
    <w:rsid w:val="3594687B"/>
    <w:rsid w:val="359B33B3"/>
    <w:rsid w:val="359C2E99"/>
    <w:rsid w:val="359D0903"/>
    <w:rsid w:val="359D1909"/>
    <w:rsid w:val="35A85EEE"/>
    <w:rsid w:val="35C27DD4"/>
    <w:rsid w:val="35DC54EA"/>
    <w:rsid w:val="35E0314A"/>
    <w:rsid w:val="35F46B1B"/>
    <w:rsid w:val="36034D29"/>
    <w:rsid w:val="36041DA9"/>
    <w:rsid w:val="364528AC"/>
    <w:rsid w:val="36605F7A"/>
    <w:rsid w:val="36653323"/>
    <w:rsid w:val="366D75CE"/>
    <w:rsid w:val="367779AA"/>
    <w:rsid w:val="368F0C49"/>
    <w:rsid w:val="36923746"/>
    <w:rsid w:val="36B05B8E"/>
    <w:rsid w:val="36B06144"/>
    <w:rsid w:val="36DE14B5"/>
    <w:rsid w:val="36E42F21"/>
    <w:rsid w:val="36EB554C"/>
    <w:rsid w:val="36EC229A"/>
    <w:rsid w:val="371D0880"/>
    <w:rsid w:val="37225683"/>
    <w:rsid w:val="373D24BC"/>
    <w:rsid w:val="373D331B"/>
    <w:rsid w:val="374D1111"/>
    <w:rsid w:val="37613A1D"/>
    <w:rsid w:val="378F0910"/>
    <w:rsid w:val="37B92791"/>
    <w:rsid w:val="37C414C3"/>
    <w:rsid w:val="37CA5732"/>
    <w:rsid w:val="37CD4EC9"/>
    <w:rsid w:val="37CF345B"/>
    <w:rsid w:val="37F417DC"/>
    <w:rsid w:val="37FD4873"/>
    <w:rsid w:val="3803255E"/>
    <w:rsid w:val="380A0A68"/>
    <w:rsid w:val="38136EA2"/>
    <w:rsid w:val="381B4348"/>
    <w:rsid w:val="38261E35"/>
    <w:rsid w:val="383F433C"/>
    <w:rsid w:val="3851468F"/>
    <w:rsid w:val="38537F46"/>
    <w:rsid w:val="385A5A3A"/>
    <w:rsid w:val="386248F2"/>
    <w:rsid w:val="38677890"/>
    <w:rsid w:val="388721E2"/>
    <w:rsid w:val="38877E93"/>
    <w:rsid w:val="3890795C"/>
    <w:rsid w:val="38A13889"/>
    <w:rsid w:val="38AD3262"/>
    <w:rsid w:val="38B27608"/>
    <w:rsid w:val="38BF3688"/>
    <w:rsid w:val="38D95A55"/>
    <w:rsid w:val="38E37361"/>
    <w:rsid w:val="390071B1"/>
    <w:rsid w:val="391D6903"/>
    <w:rsid w:val="392625FD"/>
    <w:rsid w:val="39294592"/>
    <w:rsid w:val="39330C23"/>
    <w:rsid w:val="39337695"/>
    <w:rsid w:val="3935623B"/>
    <w:rsid w:val="39376919"/>
    <w:rsid w:val="393828FD"/>
    <w:rsid w:val="394107AC"/>
    <w:rsid w:val="397B72CC"/>
    <w:rsid w:val="397E632E"/>
    <w:rsid w:val="39AB0A72"/>
    <w:rsid w:val="39B72F81"/>
    <w:rsid w:val="39C62642"/>
    <w:rsid w:val="39CA43DF"/>
    <w:rsid w:val="39CF11E7"/>
    <w:rsid w:val="3A0D1778"/>
    <w:rsid w:val="3A121556"/>
    <w:rsid w:val="3A163212"/>
    <w:rsid w:val="3A4D70BE"/>
    <w:rsid w:val="3A5A6304"/>
    <w:rsid w:val="3A601E3A"/>
    <w:rsid w:val="3A645DBF"/>
    <w:rsid w:val="3A6856CC"/>
    <w:rsid w:val="3A757123"/>
    <w:rsid w:val="3A8A560C"/>
    <w:rsid w:val="3A9B37B6"/>
    <w:rsid w:val="3A9D399F"/>
    <w:rsid w:val="3AAD1707"/>
    <w:rsid w:val="3AB323A0"/>
    <w:rsid w:val="3AE04563"/>
    <w:rsid w:val="3AE90D97"/>
    <w:rsid w:val="3AF7088C"/>
    <w:rsid w:val="3AFA0DF0"/>
    <w:rsid w:val="3AFC0037"/>
    <w:rsid w:val="3B004220"/>
    <w:rsid w:val="3B290EDF"/>
    <w:rsid w:val="3B3A5EAB"/>
    <w:rsid w:val="3B683BC1"/>
    <w:rsid w:val="3B6C3CB7"/>
    <w:rsid w:val="3B6F030E"/>
    <w:rsid w:val="3B760DB3"/>
    <w:rsid w:val="3B806CCB"/>
    <w:rsid w:val="3B8C2B55"/>
    <w:rsid w:val="3B8D64A0"/>
    <w:rsid w:val="3B8E2D72"/>
    <w:rsid w:val="3B950B19"/>
    <w:rsid w:val="3BAA1E02"/>
    <w:rsid w:val="3BAA1FD8"/>
    <w:rsid w:val="3BC25DE1"/>
    <w:rsid w:val="3C0178F5"/>
    <w:rsid w:val="3C303BB0"/>
    <w:rsid w:val="3C333B11"/>
    <w:rsid w:val="3C335C3C"/>
    <w:rsid w:val="3C490379"/>
    <w:rsid w:val="3C632BAD"/>
    <w:rsid w:val="3C697B26"/>
    <w:rsid w:val="3C807C49"/>
    <w:rsid w:val="3C8131B1"/>
    <w:rsid w:val="3C981E0F"/>
    <w:rsid w:val="3CCC7229"/>
    <w:rsid w:val="3CFA69E3"/>
    <w:rsid w:val="3D233F35"/>
    <w:rsid w:val="3D333BF0"/>
    <w:rsid w:val="3D3F3DA1"/>
    <w:rsid w:val="3D435E22"/>
    <w:rsid w:val="3D7E15C6"/>
    <w:rsid w:val="3D895C07"/>
    <w:rsid w:val="3D8C41D6"/>
    <w:rsid w:val="3DA12C5F"/>
    <w:rsid w:val="3DCC459A"/>
    <w:rsid w:val="3DD0444E"/>
    <w:rsid w:val="3DD9778A"/>
    <w:rsid w:val="3DDC44A5"/>
    <w:rsid w:val="3DFF7A07"/>
    <w:rsid w:val="3E0D6FB9"/>
    <w:rsid w:val="3E135FC1"/>
    <w:rsid w:val="3E254F06"/>
    <w:rsid w:val="3E4079B3"/>
    <w:rsid w:val="3E5470EF"/>
    <w:rsid w:val="3E5F22B7"/>
    <w:rsid w:val="3E6C5D3F"/>
    <w:rsid w:val="3E9E74DD"/>
    <w:rsid w:val="3EA95A42"/>
    <w:rsid w:val="3EB81AEB"/>
    <w:rsid w:val="3EB84196"/>
    <w:rsid w:val="3EBD3071"/>
    <w:rsid w:val="3EBF7209"/>
    <w:rsid w:val="3EC3787E"/>
    <w:rsid w:val="3ECA7A6C"/>
    <w:rsid w:val="3EDD3112"/>
    <w:rsid w:val="3EE51861"/>
    <w:rsid w:val="3EE94933"/>
    <w:rsid w:val="3F3C19CB"/>
    <w:rsid w:val="3F4E7B70"/>
    <w:rsid w:val="3F4F3C9D"/>
    <w:rsid w:val="3F524B3F"/>
    <w:rsid w:val="3F5E5A8C"/>
    <w:rsid w:val="3F607936"/>
    <w:rsid w:val="3F8805C3"/>
    <w:rsid w:val="3FA80F9A"/>
    <w:rsid w:val="3FAF0934"/>
    <w:rsid w:val="3FC05AD6"/>
    <w:rsid w:val="3FDD5D7C"/>
    <w:rsid w:val="3FE91FDB"/>
    <w:rsid w:val="3FEC79B4"/>
    <w:rsid w:val="400C11A3"/>
    <w:rsid w:val="400D2677"/>
    <w:rsid w:val="402417AF"/>
    <w:rsid w:val="402B6318"/>
    <w:rsid w:val="4031392C"/>
    <w:rsid w:val="404C4AE8"/>
    <w:rsid w:val="405125DC"/>
    <w:rsid w:val="40593854"/>
    <w:rsid w:val="40743885"/>
    <w:rsid w:val="407F7948"/>
    <w:rsid w:val="40811E02"/>
    <w:rsid w:val="408F5C2F"/>
    <w:rsid w:val="40A277DC"/>
    <w:rsid w:val="40A32211"/>
    <w:rsid w:val="40A4377B"/>
    <w:rsid w:val="40AC6CC0"/>
    <w:rsid w:val="40C502E3"/>
    <w:rsid w:val="40D828DA"/>
    <w:rsid w:val="40DA400D"/>
    <w:rsid w:val="40E10D33"/>
    <w:rsid w:val="40F3232A"/>
    <w:rsid w:val="41174F71"/>
    <w:rsid w:val="4122220F"/>
    <w:rsid w:val="412B4186"/>
    <w:rsid w:val="4134209B"/>
    <w:rsid w:val="41372133"/>
    <w:rsid w:val="41402ADC"/>
    <w:rsid w:val="41412BA9"/>
    <w:rsid w:val="414D3CC5"/>
    <w:rsid w:val="4154155E"/>
    <w:rsid w:val="41611D54"/>
    <w:rsid w:val="41614FF9"/>
    <w:rsid w:val="417648B7"/>
    <w:rsid w:val="41954477"/>
    <w:rsid w:val="41AC0A9B"/>
    <w:rsid w:val="41B2165F"/>
    <w:rsid w:val="41BC4873"/>
    <w:rsid w:val="41C428E8"/>
    <w:rsid w:val="41D27E03"/>
    <w:rsid w:val="41E905F9"/>
    <w:rsid w:val="42363C9E"/>
    <w:rsid w:val="423A44A8"/>
    <w:rsid w:val="42477661"/>
    <w:rsid w:val="42547DAA"/>
    <w:rsid w:val="42573048"/>
    <w:rsid w:val="42BD137D"/>
    <w:rsid w:val="42E83483"/>
    <w:rsid w:val="43023D7A"/>
    <w:rsid w:val="43053364"/>
    <w:rsid w:val="431856A5"/>
    <w:rsid w:val="43217A80"/>
    <w:rsid w:val="43222887"/>
    <w:rsid w:val="432F22A9"/>
    <w:rsid w:val="434D30E9"/>
    <w:rsid w:val="43674E77"/>
    <w:rsid w:val="436C5BF5"/>
    <w:rsid w:val="436E087B"/>
    <w:rsid w:val="437757E9"/>
    <w:rsid w:val="4380463A"/>
    <w:rsid w:val="43A00365"/>
    <w:rsid w:val="43A20E22"/>
    <w:rsid w:val="43AD2741"/>
    <w:rsid w:val="43B875CD"/>
    <w:rsid w:val="43BC2D17"/>
    <w:rsid w:val="43CD3BEF"/>
    <w:rsid w:val="43EC2FA6"/>
    <w:rsid w:val="43EC55F6"/>
    <w:rsid w:val="441A283E"/>
    <w:rsid w:val="442C3BBA"/>
    <w:rsid w:val="442E3854"/>
    <w:rsid w:val="44361589"/>
    <w:rsid w:val="444820A8"/>
    <w:rsid w:val="444A7FC7"/>
    <w:rsid w:val="444E1ADD"/>
    <w:rsid w:val="445F1F72"/>
    <w:rsid w:val="44733580"/>
    <w:rsid w:val="4474176F"/>
    <w:rsid w:val="44784B34"/>
    <w:rsid w:val="448E1E0B"/>
    <w:rsid w:val="44A776BF"/>
    <w:rsid w:val="44B36EDB"/>
    <w:rsid w:val="44C33F58"/>
    <w:rsid w:val="44C51236"/>
    <w:rsid w:val="44CC47CD"/>
    <w:rsid w:val="44DC3DAB"/>
    <w:rsid w:val="44E522BF"/>
    <w:rsid w:val="44F75932"/>
    <w:rsid w:val="44F9763B"/>
    <w:rsid w:val="450E7957"/>
    <w:rsid w:val="45182C3F"/>
    <w:rsid w:val="452E279B"/>
    <w:rsid w:val="454A5D82"/>
    <w:rsid w:val="454D17A4"/>
    <w:rsid w:val="45742481"/>
    <w:rsid w:val="459604EB"/>
    <w:rsid w:val="45987EA2"/>
    <w:rsid w:val="45A51423"/>
    <w:rsid w:val="45B11D2C"/>
    <w:rsid w:val="45DC4423"/>
    <w:rsid w:val="45DE15FD"/>
    <w:rsid w:val="45EF61C5"/>
    <w:rsid w:val="45F2062E"/>
    <w:rsid w:val="45F71CEC"/>
    <w:rsid w:val="45FF454C"/>
    <w:rsid w:val="461031E3"/>
    <w:rsid w:val="46182AAF"/>
    <w:rsid w:val="461F0AF3"/>
    <w:rsid w:val="463E0FD1"/>
    <w:rsid w:val="4647282F"/>
    <w:rsid w:val="465102B1"/>
    <w:rsid w:val="46572FE5"/>
    <w:rsid w:val="46634480"/>
    <w:rsid w:val="46665433"/>
    <w:rsid w:val="46680506"/>
    <w:rsid w:val="46824EC4"/>
    <w:rsid w:val="4691685F"/>
    <w:rsid w:val="46B32EDE"/>
    <w:rsid w:val="46D9136A"/>
    <w:rsid w:val="46EA5EB9"/>
    <w:rsid w:val="46EC13FE"/>
    <w:rsid w:val="47187AB1"/>
    <w:rsid w:val="472A6A1B"/>
    <w:rsid w:val="4731662A"/>
    <w:rsid w:val="47415DF2"/>
    <w:rsid w:val="4743767B"/>
    <w:rsid w:val="474A005A"/>
    <w:rsid w:val="474F35E3"/>
    <w:rsid w:val="47554E66"/>
    <w:rsid w:val="47555433"/>
    <w:rsid w:val="475F1FDB"/>
    <w:rsid w:val="476231F9"/>
    <w:rsid w:val="47664C50"/>
    <w:rsid w:val="476E602F"/>
    <w:rsid w:val="47773DDA"/>
    <w:rsid w:val="47876915"/>
    <w:rsid w:val="479161F7"/>
    <w:rsid w:val="47AC2B32"/>
    <w:rsid w:val="47D20D5F"/>
    <w:rsid w:val="47DA303A"/>
    <w:rsid w:val="47E12B77"/>
    <w:rsid w:val="47EE71EB"/>
    <w:rsid w:val="480D59DB"/>
    <w:rsid w:val="48136EA0"/>
    <w:rsid w:val="481638EC"/>
    <w:rsid w:val="482D320B"/>
    <w:rsid w:val="48607822"/>
    <w:rsid w:val="486A2FBC"/>
    <w:rsid w:val="486A7BB8"/>
    <w:rsid w:val="486E6D59"/>
    <w:rsid w:val="487B6078"/>
    <w:rsid w:val="48A034A5"/>
    <w:rsid w:val="48FB2646"/>
    <w:rsid w:val="491E0B94"/>
    <w:rsid w:val="49310C13"/>
    <w:rsid w:val="493535B9"/>
    <w:rsid w:val="493547D4"/>
    <w:rsid w:val="494B6B6D"/>
    <w:rsid w:val="495459A6"/>
    <w:rsid w:val="4958709C"/>
    <w:rsid w:val="49626FA9"/>
    <w:rsid w:val="4967404D"/>
    <w:rsid w:val="4993113E"/>
    <w:rsid w:val="49A6389F"/>
    <w:rsid w:val="49A870A3"/>
    <w:rsid w:val="49AB0565"/>
    <w:rsid w:val="49AB5527"/>
    <w:rsid w:val="49B57ADD"/>
    <w:rsid w:val="49C64C23"/>
    <w:rsid w:val="49ED4D77"/>
    <w:rsid w:val="49F3035B"/>
    <w:rsid w:val="49FA43FE"/>
    <w:rsid w:val="49FA7D9D"/>
    <w:rsid w:val="49FB6B4D"/>
    <w:rsid w:val="4A07210A"/>
    <w:rsid w:val="4A10665F"/>
    <w:rsid w:val="4A1471F6"/>
    <w:rsid w:val="4A223431"/>
    <w:rsid w:val="4A2D400B"/>
    <w:rsid w:val="4A332CFB"/>
    <w:rsid w:val="4A636993"/>
    <w:rsid w:val="4A637F0A"/>
    <w:rsid w:val="4A8653EE"/>
    <w:rsid w:val="4A921FD6"/>
    <w:rsid w:val="4A943A68"/>
    <w:rsid w:val="4ABD1A66"/>
    <w:rsid w:val="4AC360D1"/>
    <w:rsid w:val="4AC47E4F"/>
    <w:rsid w:val="4AC97207"/>
    <w:rsid w:val="4ADD3446"/>
    <w:rsid w:val="4AE20AAE"/>
    <w:rsid w:val="4B083A72"/>
    <w:rsid w:val="4B10184B"/>
    <w:rsid w:val="4B241572"/>
    <w:rsid w:val="4B246CAA"/>
    <w:rsid w:val="4B3963EB"/>
    <w:rsid w:val="4B6F16B5"/>
    <w:rsid w:val="4B8851D6"/>
    <w:rsid w:val="4BBE7344"/>
    <w:rsid w:val="4BCE1567"/>
    <w:rsid w:val="4BE04340"/>
    <w:rsid w:val="4BE143CD"/>
    <w:rsid w:val="4BEC3A70"/>
    <w:rsid w:val="4C075C03"/>
    <w:rsid w:val="4C1B7F57"/>
    <w:rsid w:val="4C2061DD"/>
    <w:rsid w:val="4C2239DF"/>
    <w:rsid w:val="4C3E21DF"/>
    <w:rsid w:val="4C3E5410"/>
    <w:rsid w:val="4C411D32"/>
    <w:rsid w:val="4C600F86"/>
    <w:rsid w:val="4C7C28D3"/>
    <w:rsid w:val="4C9E02AB"/>
    <w:rsid w:val="4CBC6C2B"/>
    <w:rsid w:val="4CBE0013"/>
    <w:rsid w:val="4CDF687D"/>
    <w:rsid w:val="4CEE449A"/>
    <w:rsid w:val="4CEF71CA"/>
    <w:rsid w:val="4CF469D9"/>
    <w:rsid w:val="4D120829"/>
    <w:rsid w:val="4D12499E"/>
    <w:rsid w:val="4D184E23"/>
    <w:rsid w:val="4D2D31CC"/>
    <w:rsid w:val="4D50486B"/>
    <w:rsid w:val="4D575E9E"/>
    <w:rsid w:val="4D5A2FEB"/>
    <w:rsid w:val="4D5D305C"/>
    <w:rsid w:val="4D6A0129"/>
    <w:rsid w:val="4D762AA5"/>
    <w:rsid w:val="4D7B1171"/>
    <w:rsid w:val="4D7F43B9"/>
    <w:rsid w:val="4D8F7A48"/>
    <w:rsid w:val="4D9D0287"/>
    <w:rsid w:val="4DBC0934"/>
    <w:rsid w:val="4DCD4DD9"/>
    <w:rsid w:val="4DDD6657"/>
    <w:rsid w:val="4DDE1331"/>
    <w:rsid w:val="4DE14BB0"/>
    <w:rsid w:val="4E057D5D"/>
    <w:rsid w:val="4E120BBB"/>
    <w:rsid w:val="4E26590B"/>
    <w:rsid w:val="4E280EE6"/>
    <w:rsid w:val="4E3F576D"/>
    <w:rsid w:val="4E473856"/>
    <w:rsid w:val="4E48070B"/>
    <w:rsid w:val="4E4E5D53"/>
    <w:rsid w:val="4E507355"/>
    <w:rsid w:val="4E5F61AF"/>
    <w:rsid w:val="4E706E8A"/>
    <w:rsid w:val="4E7D0080"/>
    <w:rsid w:val="4E9D3869"/>
    <w:rsid w:val="4EA75D55"/>
    <w:rsid w:val="4EB3332E"/>
    <w:rsid w:val="4ECE7636"/>
    <w:rsid w:val="4EF60A9A"/>
    <w:rsid w:val="4F130481"/>
    <w:rsid w:val="4F266D1F"/>
    <w:rsid w:val="4F2A0341"/>
    <w:rsid w:val="4F3013D6"/>
    <w:rsid w:val="4F371E9A"/>
    <w:rsid w:val="4F4C553B"/>
    <w:rsid w:val="4F565FD6"/>
    <w:rsid w:val="4F6F62DF"/>
    <w:rsid w:val="4F704776"/>
    <w:rsid w:val="4F9368AC"/>
    <w:rsid w:val="4F9D68AF"/>
    <w:rsid w:val="4FA40E4E"/>
    <w:rsid w:val="4FBA6948"/>
    <w:rsid w:val="4FBD028E"/>
    <w:rsid w:val="4FC51A32"/>
    <w:rsid w:val="4FEC79A3"/>
    <w:rsid w:val="500353E7"/>
    <w:rsid w:val="50252B2C"/>
    <w:rsid w:val="502822D3"/>
    <w:rsid w:val="50283E0F"/>
    <w:rsid w:val="50347D1D"/>
    <w:rsid w:val="50391A1A"/>
    <w:rsid w:val="5057099F"/>
    <w:rsid w:val="506543BB"/>
    <w:rsid w:val="508609D5"/>
    <w:rsid w:val="50991068"/>
    <w:rsid w:val="509947F2"/>
    <w:rsid w:val="50A13664"/>
    <w:rsid w:val="50A27C01"/>
    <w:rsid w:val="50AF2A66"/>
    <w:rsid w:val="50B07C1F"/>
    <w:rsid w:val="50BE4216"/>
    <w:rsid w:val="50C932D6"/>
    <w:rsid w:val="50D933D0"/>
    <w:rsid w:val="50E31290"/>
    <w:rsid w:val="50E74582"/>
    <w:rsid w:val="50EC455E"/>
    <w:rsid w:val="50F20585"/>
    <w:rsid w:val="50FE2865"/>
    <w:rsid w:val="510A22C1"/>
    <w:rsid w:val="510A64D6"/>
    <w:rsid w:val="512A55A8"/>
    <w:rsid w:val="512D74A4"/>
    <w:rsid w:val="51501067"/>
    <w:rsid w:val="51520166"/>
    <w:rsid w:val="516B0FF8"/>
    <w:rsid w:val="516F2EB9"/>
    <w:rsid w:val="51746229"/>
    <w:rsid w:val="518757DF"/>
    <w:rsid w:val="519849D7"/>
    <w:rsid w:val="51A721AE"/>
    <w:rsid w:val="51B360E5"/>
    <w:rsid w:val="51D14CFA"/>
    <w:rsid w:val="51D23862"/>
    <w:rsid w:val="51DC4C20"/>
    <w:rsid w:val="52291B63"/>
    <w:rsid w:val="52327EA6"/>
    <w:rsid w:val="523975CA"/>
    <w:rsid w:val="524041F4"/>
    <w:rsid w:val="52466271"/>
    <w:rsid w:val="525252E7"/>
    <w:rsid w:val="52636FCB"/>
    <w:rsid w:val="52996345"/>
    <w:rsid w:val="529E5241"/>
    <w:rsid w:val="52A51CDA"/>
    <w:rsid w:val="52B3067F"/>
    <w:rsid w:val="52B61649"/>
    <w:rsid w:val="52CD42C5"/>
    <w:rsid w:val="52D11115"/>
    <w:rsid w:val="52F65EE9"/>
    <w:rsid w:val="52FA6566"/>
    <w:rsid w:val="52FC29D5"/>
    <w:rsid w:val="5310326E"/>
    <w:rsid w:val="531847A8"/>
    <w:rsid w:val="532852EE"/>
    <w:rsid w:val="532C152A"/>
    <w:rsid w:val="5338592C"/>
    <w:rsid w:val="534014E1"/>
    <w:rsid w:val="534319B2"/>
    <w:rsid w:val="53495D9F"/>
    <w:rsid w:val="534B5517"/>
    <w:rsid w:val="534B759C"/>
    <w:rsid w:val="534E073D"/>
    <w:rsid w:val="5364440C"/>
    <w:rsid w:val="537C2F0B"/>
    <w:rsid w:val="53864224"/>
    <w:rsid w:val="5394396E"/>
    <w:rsid w:val="5399736B"/>
    <w:rsid w:val="539D31E7"/>
    <w:rsid w:val="53A912BA"/>
    <w:rsid w:val="53D81430"/>
    <w:rsid w:val="53D85CA1"/>
    <w:rsid w:val="53DC6163"/>
    <w:rsid w:val="54046F9E"/>
    <w:rsid w:val="5406123A"/>
    <w:rsid w:val="54084CBA"/>
    <w:rsid w:val="54106745"/>
    <w:rsid w:val="54273E81"/>
    <w:rsid w:val="543F081F"/>
    <w:rsid w:val="545804DE"/>
    <w:rsid w:val="54606A9A"/>
    <w:rsid w:val="546479FC"/>
    <w:rsid w:val="54652A8E"/>
    <w:rsid w:val="54915690"/>
    <w:rsid w:val="549B096C"/>
    <w:rsid w:val="54A44655"/>
    <w:rsid w:val="54A8158F"/>
    <w:rsid w:val="54B86AB2"/>
    <w:rsid w:val="54D2129D"/>
    <w:rsid w:val="55042313"/>
    <w:rsid w:val="55434A1E"/>
    <w:rsid w:val="556779FD"/>
    <w:rsid w:val="55945B57"/>
    <w:rsid w:val="55B259BB"/>
    <w:rsid w:val="55B8354B"/>
    <w:rsid w:val="55C6220C"/>
    <w:rsid w:val="55DC6F81"/>
    <w:rsid w:val="55EA0AEE"/>
    <w:rsid w:val="55ED67C1"/>
    <w:rsid w:val="56002BDB"/>
    <w:rsid w:val="560345EB"/>
    <w:rsid w:val="560B7ACB"/>
    <w:rsid w:val="563F46A5"/>
    <w:rsid w:val="56477271"/>
    <w:rsid w:val="565A61D2"/>
    <w:rsid w:val="5669749E"/>
    <w:rsid w:val="566F60E6"/>
    <w:rsid w:val="568E55D8"/>
    <w:rsid w:val="569972B8"/>
    <w:rsid w:val="56AF616E"/>
    <w:rsid w:val="56E666D1"/>
    <w:rsid w:val="56F36805"/>
    <w:rsid w:val="57206731"/>
    <w:rsid w:val="57227636"/>
    <w:rsid w:val="572A1D43"/>
    <w:rsid w:val="573F37A0"/>
    <w:rsid w:val="57490EA8"/>
    <w:rsid w:val="575A43A4"/>
    <w:rsid w:val="576772D1"/>
    <w:rsid w:val="57773AD5"/>
    <w:rsid w:val="577860E3"/>
    <w:rsid w:val="57821E15"/>
    <w:rsid w:val="579A1A73"/>
    <w:rsid w:val="57B81053"/>
    <w:rsid w:val="57F61DD3"/>
    <w:rsid w:val="5805384C"/>
    <w:rsid w:val="580C0F3A"/>
    <w:rsid w:val="580F689B"/>
    <w:rsid w:val="581772F9"/>
    <w:rsid w:val="5828796A"/>
    <w:rsid w:val="584002D9"/>
    <w:rsid w:val="584B3A0C"/>
    <w:rsid w:val="588C4A84"/>
    <w:rsid w:val="58C67EAF"/>
    <w:rsid w:val="58D9795F"/>
    <w:rsid w:val="58E40BD7"/>
    <w:rsid w:val="58F22CAF"/>
    <w:rsid w:val="5904708B"/>
    <w:rsid w:val="590F1507"/>
    <w:rsid w:val="591644C3"/>
    <w:rsid w:val="592517BD"/>
    <w:rsid w:val="592A4921"/>
    <w:rsid w:val="592A590C"/>
    <w:rsid w:val="594053B0"/>
    <w:rsid w:val="594B7F19"/>
    <w:rsid w:val="59505C28"/>
    <w:rsid w:val="595274B1"/>
    <w:rsid w:val="597025C4"/>
    <w:rsid w:val="597068F3"/>
    <w:rsid w:val="59AA3805"/>
    <w:rsid w:val="59E1005E"/>
    <w:rsid w:val="59E53D6C"/>
    <w:rsid w:val="59E940B2"/>
    <w:rsid w:val="59F27755"/>
    <w:rsid w:val="59F948D8"/>
    <w:rsid w:val="59FA2896"/>
    <w:rsid w:val="5A024EB5"/>
    <w:rsid w:val="5A056A12"/>
    <w:rsid w:val="5A1116FD"/>
    <w:rsid w:val="5A215065"/>
    <w:rsid w:val="5A2A6284"/>
    <w:rsid w:val="5A2C6001"/>
    <w:rsid w:val="5A373E24"/>
    <w:rsid w:val="5A3B22F0"/>
    <w:rsid w:val="5A427EDD"/>
    <w:rsid w:val="5A4B3E86"/>
    <w:rsid w:val="5A4F2381"/>
    <w:rsid w:val="5A5D5D5E"/>
    <w:rsid w:val="5A734220"/>
    <w:rsid w:val="5A7D72B9"/>
    <w:rsid w:val="5A9357BA"/>
    <w:rsid w:val="5AA3518B"/>
    <w:rsid w:val="5AB70C06"/>
    <w:rsid w:val="5AE9147E"/>
    <w:rsid w:val="5AEE1A5D"/>
    <w:rsid w:val="5AF073B6"/>
    <w:rsid w:val="5AF47DD9"/>
    <w:rsid w:val="5AFC26E4"/>
    <w:rsid w:val="5B254B01"/>
    <w:rsid w:val="5B256F8B"/>
    <w:rsid w:val="5B3449EB"/>
    <w:rsid w:val="5B3B1622"/>
    <w:rsid w:val="5B3D627F"/>
    <w:rsid w:val="5B4A11E6"/>
    <w:rsid w:val="5B581160"/>
    <w:rsid w:val="5B6214FD"/>
    <w:rsid w:val="5B694D7F"/>
    <w:rsid w:val="5B7A1D7C"/>
    <w:rsid w:val="5B811EE9"/>
    <w:rsid w:val="5B8541D4"/>
    <w:rsid w:val="5B8B3019"/>
    <w:rsid w:val="5B9F2405"/>
    <w:rsid w:val="5BA5228B"/>
    <w:rsid w:val="5BB66EEA"/>
    <w:rsid w:val="5BE50F25"/>
    <w:rsid w:val="5BFA6891"/>
    <w:rsid w:val="5BFE45DF"/>
    <w:rsid w:val="5C082DE8"/>
    <w:rsid w:val="5C162E5A"/>
    <w:rsid w:val="5C2715E1"/>
    <w:rsid w:val="5C353E0C"/>
    <w:rsid w:val="5C4129B1"/>
    <w:rsid w:val="5C56117C"/>
    <w:rsid w:val="5C994F63"/>
    <w:rsid w:val="5CB53A5E"/>
    <w:rsid w:val="5CCE6850"/>
    <w:rsid w:val="5CE17957"/>
    <w:rsid w:val="5CF5401D"/>
    <w:rsid w:val="5D085919"/>
    <w:rsid w:val="5D0D01AF"/>
    <w:rsid w:val="5D156F6C"/>
    <w:rsid w:val="5D185A10"/>
    <w:rsid w:val="5D30732C"/>
    <w:rsid w:val="5D6846AE"/>
    <w:rsid w:val="5D69598E"/>
    <w:rsid w:val="5D725B1F"/>
    <w:rsid w:val="5D727024"/>
    <w:rsid w:val="5D925D4C"/>
    <w:rsid w:val="5D97555D"/>
    <w:rsid w:val="5DBC3E30"/>
    <w:rsid w:val="5DDB06A3"/>
    <w:rsid w:val="5DE55991"/>
    <w:rsid w:val="5DEF61A4"/>
    <w:rsid w:val="5DF02116"/>
    <w:rsid w:val="5DFE27C2"/>
    <w:rsid w:val="5E335543"/>
    <w:rsid w:val="5E3535DC"/>
    <w:rsid w:val="5E3F3738"/>
    <w:rsid w:val="5E4353D6"/>
    <w:rsid w:val="5E464AE2"/>
    <w:rsid w:val="5E6120E8"/>
    <w:rsid w:val="5E734D07"/>
    <w:rsid w:val="5E744057"/>
    <w:rsid w:val="5E744C62"/>
    <w:rsid w:val="5E7C7F51"/>
    <w:rsid w:val="5E8F42CB"/>
    <w:rsid w:val="5E950952"/>
    <w:rsid w:val="5EB52D97"/>
    <w:rsid w:val="5EBE05DB"/>
    <w:rsid w:val="5EC53714"/>
    <w:rsid w:val="5ECC203B"/>
    <w:rsid w:val="5F160BE6"/>
    <w:rsid w:val="5F4B2E3F"/>
    <w:rsid w:val="5F6F6BEE"/>
    <w:rsid w:val="5F717BE5"/>
    <w:rsid w:val="5F775CBC"/>
    <w:rsid w:val="5F7F76E0"/>
    <w:rsid w:val="5F971630"/>
    <w:rsid w:val="5FAD25C4"/>
    <w:rsid w:val="5FC16257"/>
    <w:rsid w:val="5FC82C4D"/>
    <w:rsid w:val="5FCB5E7E"/>
    <w:rsid w:val="5FCE13FB"/>
    <w:rsid w:val="5FDA624B"/>
    <w:rsid w:val="5FDA6C9A"/>
    <w:rsid w:val="5FDF3861"/>
    <w:rsid w:val="5FEB4F44"/>
    <w:rsid w:val="60033351"/>
    <w:rsid w:val="6014147E"/>
    <w:rsid w:val="601B45EF"/>
    <w:rsid w:val="6031597A"/>
    <w:rsid w:val="60455DBA"/>
    <w:rsid w:val="60491819"/>
    <w:rsid w:val="604B706D"/>
    <w:rsid w:val="605170F5"/>
    <w:rsid w:val="60582448"/>
    <w:rsid w:val="60636240"/>
    <w:rsid w:val="60876719"/>
    <w:rsid w:val="60913740"/>
    <w:rsid w:val="609A133F"/>
    <w:rsid w:val="60B5241A"/>
    <w:rsid w:val="60C65C53"/>
    <w:rsid w:val="60CD19C8"/>
    <w:rsid w:val="60D27E02"/>
    <w:rsid w:val="60DA29A7"/>
    <w:rsid w:val="60F90076"/>
    <w:rsid w:val="60FA7FBD"/>
    <w:rsid w:val="610317E8"/>
    <w:rsid w:val="61055D5C"/>
    <w:rsid w:val="61267FC7"/>
    <w:rsid w:val="613767AA"/>
    <w:rsid w:val="61441376"/>
    <w:rsid w:val="614F5246"/>
    <w:rsid w:val="616B3116"/>
    <w:rsid w:val="616D778C"/>
    <w:rsid w:val="616F2E2F"/>
    <w:rsid w:val="618150F9"/>
    <w:rsid w:val="61A34DEC"/>
    <w:rsid w:val="61A82A46"/>
    <w:rsid w:val="61AD5014"/>
    <w:rsid w:val="61BE56DE"/>
    <w:rsid w:val="61C3664A"/>
    <w:rsid w:val="61D14699"/>
    <w:rsid w:val="61DE00C2"/>
    <w:rsid w:val="61F20910"/>
    <w:rsid w:val="620121B5"/>
    <w:rsid w:val="620B3C1D"/>
    <w:rsid w:val="62137E58"/>
    <w:rsid w:val="6226047D"/>
    <w:rsid w:val="623F6C33"/>
    <w:rsid w:val="625729E3"/>
    <w:rsid w:val="626D0407"/>
    <w:rsid w:val="62950CE0"/>
    <w:rsid w:val="629A717E"/>
    <w:rsid w:val="629D52D3"/>
    <w:rsid w:val="62AB7783"/>
    <w:rsid w:val="62DD3D8E"/>
    <w:rsid w:val="62E91F7A"/>
    <w:rsid w:val="62F615EE"/>
    <w:rsid w:val="630020D3"/>
    <w:rsid w:val="630075C7"/>
    <w:rsid w:val="63166270"/>
    <w:rsid w:val="63265E9F"/>
    <w:rsid w:val="632671EB"/>
    <w:rsid w:val="63275C4B"/>
    <w:rsid w:val="632B0E85"/>
    <w:rsid w:val="632F07AB"/>
    <w:rsid w:val="63322BBF"/>
    <w:rsid w:val="634C17B6"/>
    <w:rsid w:val="635600A9"/>
    <w:rsid w:val="635B0E29"/>
    <w:rsid w:val="636D2D88"/>
    <w:rsid w:val="637A6E33"/>
    <w:rsid w:val="63822D65"/>
    <w:rsid w:val="63835C63"/>
    <w:rsid w:val="63927F30"/>
    <w:rsid w:val="6398423D"/>
    <w:rsid w:val="639E09A4"/>
    <w:rsid w:val="63B87DE9"/>
    <w:rsid w:val="63C11FDF"/>
    <w:rsid w:val="63DA1D6D"/>
    <w:rsid w:val="640436CD"/>
    <w:rsid w:val="64062FAD"/>
    <w:rsid w:val="64113315"/>
    <w:rsid w:val="64202DC6"/>
    <w:rsid w:val="642A5D45"/>
    <w:rsid w:val="6434085F"/>
    <w:rsid w:val="643979E4"/>
    <w:rsid w:val="644D55B2"/>
    <w:rsid w:val="644D5D48"/>
    <w:rsid w:val="64641170"/>
    <w:rsid w:val="647A620C"/>
    <w:rsid w:val="647D0E30"/>
    <w:rsid w:val="647F3A4C"/>
    <w:rsid w:val="64961FEA"/>
    <w:rsid w:val="649737D1"/>
    <w:rsid w:val="64AC2A0D"/>
    <w:rsid w:val="64D57CC1"/>
    <w:rsid w:val="64D94CD6"/>
    <w:rsid w:val="64DE67DD"/>
    <w:rsid w:val="64E75170"/>
    <w:rsid w:val="64EF542F"/>
    <w:rsid w:val="64F60DB6"/>
    <w:rsid w:val="65053D6A"/>
    <w:rsid w:val="65085515"/>
    <w:rsid w:val="65120220"/>
    <w:rsid w:val="651D7306"/>
    <w:rsid w:val="6523039D"/>
    <w:rsid w:val="65287336"/>
    <w:rsid w:val="652F4833"/>
    <w:rsid w:val="65364C48"/>
    <w:rsid w:val="6539524A"/>
    <w:rsid w:val="653F1978"/>
    <w:rsid w:val="655536E6"/>
    <w:rsid w:val="656137FC"/>
    <w:rsid w:val="657D2EF6"/>
    <w:rsid w:val="658A0837"/>
    <w:rsid w:val="659B1B6E"/>
    <w:rsid w:val="65A90638"/>
    <w:rsid w:val="65B303FE"/>
    <w:rsid w:val="65B66A7F"/>
    <w:rsid w:val="65BF032F"/>
    <w:rsid w:val="65CE09F7"/>
    <w:rsid w:val="65D12212"/>
    <w:rsid w:val="65E80F94"/>
    <w:rsid w:val="65FB6B37"/>
    <w:rsid w:val="6601214F"/>
    <w:rsid w:val="661532C3"/>
    <w:rsid w:val="6633595B"/>
    <w:rsid w:val="66351D80"/>
    <w:rsid w:val="66473D46"/>
    <w:rsid w:val="664B4E95"/>
    <w:rsid w:val="66554C65"/>
    <w:rsid w:val="665B0220"/>
    <w:rsid w:val="66647CEF"/>
    <w:rsid w:val="66652D12"/>
    <w:rsid w:val="66871673"/>
    <w:rsid w:val="668D6EB0"/>
    <w:rsid w:val="669612B8"/>
    <w:rsid w:val="66A30A81"/>
    <w:rsid w:val="66A45E38"/>
    <w:rsid w:val="66AE5B8C"/>
    <w:rsid w:val="66C4285D"/>
    <w:rsid w:val="66F16AD4"/>
    <w:rsid w:val="66F25101"/>
    <w:rsid w:val="66F928A0"/>
    <w:rsid w:val="66F957EA"/>
    <w:rsid w:val="66FC1EA6"/>
    <w:rsid w:val="67014DEE"/>
    <w:rsid w:val="67061C6F"/>
    <w:rsid w:val="670E4CCD"/>
    <w:rsid w:val="671A4206"/>
    <w:rsid w:val="673322C0"/>
    <w:rsid w:val="675751AB"/>
    <w:rsid w:val="6788741A"/>
    <w:rsid w:val="67955879"/>
    <w:rsid w:val="67A1449C"/>
    <w:rsid w:val="67B45CF9"/>
    <w:rsid w:val="67DA72F1"/>
    <w:rsid w:val="67EB266B"/>
    <w:rsid w:val="68000AEE"/>
    <w:rsid w:val="68143A8E"/>
    <w:rsid w:val="68156359"/>
    <w:rsid w:val="681D5409"/>
    <w:rsid w:val="6836397F"/>
    <w:rsid w:val="68435CE5"/>
    <w:rsid w:val="685436B1"/>
    <w:rsid w:val="685D76D5"/>
    <w:rsid w:val="68C2275C"/>
    <w:rsid w:val="68D17DA1"/>
    <w:rsid w:val="68D66F7D"/>
    <w:rsid w:val="68E704E2"/>
    <w:rsid w:val="68FD3F41"/>
    <w:rsid w:val="68FE2FAA"/>
    <w:rsid w:val="69001CEE"/>
    <w:rsid w:val="69086524"/>
    <w:rsid w:val="690C7823"/>
    <w:rsid w:val="690D6FCB"/>
    <w:rsid w:val="691924BC"/>
    <w:rsid w:val="692F2F5C"/>
    <w:rsid w:val="69384EE2"/>
    <w:rsid w:val="693C5F0C"/>
    <w:rsid w:val="693F763B"/>
    <w:rsid w:val="696C440D"/>
    <w:rsid w:val="69704E73"/>
    <w:rsid w:val="697A30B8"/>
    <w:rsid w:val="69802604"/>
    <w:rsid w:val="69926F76"/>
    <w:rsid w:val="69A363E3"/>
    <w:rsid w:val="69CC6E17"/>
    <w:rsid w:val="69DF2E45"/>
    <w:rsid w:val="6A0A2A05"/>
    <w:rsid w:val="6A0B4A98"/>
    <w:rsid w:val="6A0E0D04"/>
    <w:rsid w:val="6A117E0F"/>
    <w:rsid w:val="6A234CE7"/>
    <w:rsid w:val="6A2B3DFA"/>
    <w:rsid w:val="6A2C069F"/>
    <w:rsid w:val="6A2F5D6D"/>
    <w:rsid w:val="6A564508"/>
    <w:rsid w:val="6A601B22"/>
    <w:rsid w:val="6A6A318A"/>
    <w:rsid w:val="6A864E94"/>
    <w:rsid w:val="6AAF0A38"/>
    <w:rsid w:val="6AB10108"/>
    <w:rsid w:val="6AB57FE0"/>
    <w:rsid w:val="6AB817BE"/>
    <w:rsid w:val="6AC2789A"/>
    <w:rsid w:val="6AF26073"/>
    <w:rsid w:val="6AF85145"/>
    <w:rsid w:val="6AFE13B8"/>
    <w:rsid w:val="6B1747F7"/>
    <w:rsid w:val="6B2A49F8"/>
    <w:rsid w:val="6B3360BE"/>
    <w:rsid w:val="6B500125"/>
    <w:rsid w:val="6B5D5F9E"/>
    <w:rsid w:val="6B605E11"/>
    <w:rsid w:val="6B6E7D76"/>
    <w:rsid w:val="6B786DC2"/>
    <w:rsid w:val="6B8123A4"/>
    <w:rsid w:val="6B8D0362"/>
    <w:rsid w:val="6B9A0018"/>
    <w:rsid w:val="6BAF67DE"/>
    <w:rsid w:val="6BB137E4"/>
    <w:rsid w:val="6BEA4F78"/>
    <w:rsid w:val="6BF25603"/>
    <w:rsid w:val="6BFA004A"/>
    <w:rsid w:val="6BFE10C7"/>
    <w:rsid w:val="6C0E025B"/>
    <w:rsid w:val="6C233704"/>
    <w:rsid w:val="6C3A0317"/>
    <w:rsid w:val="6C541169"/>
    <w:rsid w:val="6C5D21FB"/>
    <w:rsid w:val="6C721E31"/>
    <w:rsid w:val="6C9360FF"/>
    <w:rsid w:val="6C9E5415"/>
    <w:rsid w:val="6CAA6D68"/>
    <w:rsid w:val="6CBF5624"/>
    <w:rsid w:val="6CF13EC6"/>
    <w:rsid w:val="6D0E17BA"/>
    <w:rsid w:val="6D1214DA"/>
    <w:rsid w:val="6D170857"/>
    <w:rsid w:val="6D187838"/>
    <w:rsid w:val="6D314807"/>
    <w:rsid w:val="6D4C0234"/>
    <w:rsid w:val="6D4E753F"/>
    <w:rsid w:val="6D535020"/>
    <w:rsid w:val="6D7221B9"/>
    <w:rsid w:val="6D771D03"/>
    <w:rsid w:val="6D7A7821"/>
    <w:rsid w:val="6D8D725B"/>
    <w:rsid w:val="6D8F1E33"/>
    <w:rsid w:val="6DA070E2"/>
    <w:rsid w:val="6DB36FDF"/>
    <w:rsid w:val="6DC4579A"/>
    <w:rsid w:val="6DC81EC1"/>
    <w:rsid w:val="6DD536D2"/>
    <w:rsid w:val="6DD97201"/>
    <w:rsid w:val="6DF763D4"/>
    <w:rsid w:val="6E0505EF"/>
    <w:rsid w:val="6E254456"/>
    <w:rsid w:val="6E262FB4"/>
    <w:rsid w:val="6E2D44C3"/>
    <w:rsid w:val="6E31797E"/>
    <w:rsid w:val="6E352EB4"/>
    <w:rsid w:val="6E4D32D0"/>
    <w:rsid w:val="6E55044F"/>
    <w:rsid w:val="6E5767F6"/>
    <w:rsid w:val="6E605042"/>
    <w:rsid w:val="6E680107"/>
    <w:rsid w:val="6E976C98"/>
    <w:rsid w:val="6EA24956"/>
    <w:rsid w:val="6ECE001D"/>
    <w:rsid w:val="6ED717F6"/>
    <w:rsid w:val="6EDA3E17"/>
    <w:rsid w:val="6EE57E46"/>
    <w:rsid w:val="6F026F6D"/>
    <w:rsid w:val="6F0671DE"/>
    <w:rsid w:val="6F09367A"/>
    <w:rsid w:val="6F11329D"/>
    <w:rsid w:val="6F12034C"/>
    <w:rsid w:val="6F196F4B"/>
    <w:rsid w:val="6F1D1982"/>
    <w:rsid w:val="6F2563F6"/>
    <w:rsid w:val="6F3A19A1"/>
    <w:rsid w:val="6F3F1170"/>
    <w:rsid w:val="6F565726"/>
    <w:rsid w:val="6F565DEB"/>
    <w:rsid w:val="6F833C57"/>
    <w:rsid w:val="6F8D43ED"/>
    <w:rsid w:val="6FAC2801"/>
    <w:rsid w:val="6FC912BB"/>
    <w:rsid w:val="6FCA62DC"/>
    <w:rsid w:val="6FD67B49"/>
    <w:rsid w:val="6FDC5499"/>
    <w:rsid w:val="6FF25BF6"/>
    <w:rsid w:val="6FF7723D"/>
    <w:rsid w:val="6FF94E21"/>
    <w:rsid w:val="700803B2"/>
    <w:rsid w:val="701270F1"/>
    <w:rsid w:val="702B1420"/>
    <w:rsid w:val="70367B08"/>
    <w:rsid w:val="704C278B"/>
    <w:rsid w:val="708C6C14"/>
    <w:rsid w:val="70914DE8"/>
    <w:rsid w:val="709B49AD"/>
    <w:rsid w:val="709F56B9"/>
    <w:rsid w:val="70AD220A"/>
    <w:rsid w:val="70AF1502"/>
    <w:rsid w:val="70B4507B"/>
    <w:rsid w:val="70D94425"/>
    <w:rsid w:val="70E91966"/>
    <w:rsid w:val="7101188A"/>
    <w:rsid w:val="710E36C8"/>
    <w:rsid w:val="711759BB"/>
    <w:rsid w:val="71275EF7"/>
    <w:rsid w:val="71286898"/>
    <w:rsid w:val="712971A5"/>
    <w:rsid w:val="71533B5C"/>
    <w:rsid w:val="71567A73"/>
    <w:rsid w:val="716600BD"/>
    <w:rsid w:val="718B55F7"/>
    <w:rsid w:val="71A720CD"/>
    <w:rsid w:val="71BD1968"/>
    <w:rsid w:val="71E02DAD"/>
    <w:rsid w:val="71EB2105"/>
    <w:rsid w:val="71F856FC"/>
    <w:rsid w:val="7218737B"/>
    <w:rsid w:val="72192C03"/>
    <w:rsid w:val="72214789"/>
    <w:rsid w:val="72247D88"/>
    <w:rsid w:val="723C060D"/>
    <w:rsid w:val="725854FE"/>
    <w:rsid w:val="726764D5"/>
    <w:rsid w:val="726C689C"/>
    <w:rsid w:val="727110AF"/>
    <w:rsid w:val="72713458"/>
    <w:rsid w:val="72773F02"/>
    <w:rsid w:val="727F01BF"/>
    <w:rsid w:val="72870327"/>
    <w:rsid w:val="72897D89"/>
    <w:rsid w:val="728D4994"/>
    <w:rsid w:val="728F1BF4"/>
    <w:rsid w:val="72902AA4"/>
    <w:rsid w:val="72AB166E"/>
    <w:rsid w:val="72B63775"/>
    <w:rsid w:val="72C40D43"/>
    <w:rsid w:val="72D53A8C"/>
    <w:rsid w:val="72DC1E41"/>
    <w:rsid w:val="72E4675A"/>
    <w:rsid w:val="72E65A56"/>
    <w:rsid w:val="72F17A71"/>
    <w:rsid w:val="72F738D6"/>
    <w:rsid w:val="731A4CAD"/>
    <w:rsid w:val="732E2A2B"/>
    <w:rsid w:val="73351A2B"/>
    <w:rsid w:val="73356E13"/>
    <w:rsid w:val="73777153"/>
    <w:rsid w:val="738D32D9"/>
    <w:rsid w:val="739441DE"/>
    <w:rsid w:val="73B30F17"/>
    <w:rsid w:val="73C537B1"/>
    <w:rsid w:val="73CD33BB"/>
    <w:rsid w:val="73D1075C"/>
    <w:rsid w:val="73D410F7"/>
    <w:rsid w:val="73DD3FC1"/>
    <w:rsid w:val="73E476ED"/>
    <w:rsid w:val="73E63A72"/>
    <w:rsid w:val="73E84F83"/>
    <w:rsid w:val="73EA4640"/>
    <w:rsid w:val="73EC03DD"/>
    <w:rsid w:val="73F64075"/>
    <w:rsid w:val="73FB6C2B"/>
    <w:rsid w:val="740A6140"/>
    <w:rsid w:val="74301621"/>
    <w:rsid w:val="74442730"/>
    <w:rsid w:val="74531D2F"/>
    <w:rsid w:val="745B488C"/>
    <w:rsid w:val="746C669B"/>
    <w:rsid w:val="74842DB4"/>
    <w:rsid w:val="749232A9"/>
    <w:rsid w:val="74F56F80"/>
    <w:rsid w:val="75090E3A"/>
    <w:rsid w:val="75130903"/>
    <w:rsid w:val="75181C9D"/>
    <w:rsid w:val="75213866"/>
    <w:rsid w:val="752368E0"/>
    <w:rsid w:val="754340C6"/>
    <w:rsid w:val="754B4A3D"/>
    <w:rsid w:val="756E7E47"/>
    <w:rsid w:val="75706D1D"/>
    <w:rsid w:val="75894CB4"/>
    <w:rsid w:val="758D76E5"/>
    <w:rsid w:val="759D359F"/>
    <w:rsid w:val="75A61441"/>
    <w:rsid w:val="75C20429"/>
    <w:rsid w:val="75C56403"/>
    <w:rsid w:val="75CB1A4C"/>
    <w:rsid w:val="75E20279"/>
    <w:rsid w:val="75E36096"/>
    <w:rsid w:val="75F453A3"/>
    <w:rsid w:val="75FC0828"/>
    <w:rsid w:val="760A11F0"/>
    <w:rsid w:val="760C45D1"/>
    <w:rsid w:val="761149AD"/>
    <w:rsid w:val="76232AEC"/>
    <w:rsid w:val="76273749"/>
    <w:rsid w:val="76284AC2"/>
    <w:rsid w:val="76491255"/>
    <w:rsid w:val="764E37CA"/>
    <w:rsid w:val="765F1B2B"/>
    <w:rsid w:val="76B53CD2"/>
    <w:rsid w:val="76D24760"/>
    <w:rsid w:val="76D74BB2"/>
    <w:rsid w:val="76F07EAA"/>
    <w:rsid w:val="76FE2D08"/>
    <w:rsid w:val="77171721"/>
    <w:rsid w:val="771B0062"/>
    <w:rsid w:val="772251E6"/>
    <w:rsid w:val="774B7D02"/>
    <w:rsid w:val="774D7D60"/>
    <w:rsid w:val="77537D25"/>
    <w:rsid w:val="7754790A"/>
    <w:rsid w:val="777136F3"/>
    <w:rsid w:val="77776CAF"/>
    <w:rsid w:val="777E710B"/>
    <w:rsid w:val="77813BB7"/>
    <w:rsid w:val="77845250"/>
    <w:rsid w:val="778878C7"/>
    <w:rsid w:val="778D3EAD"/>
    <w:rsid w:val="778F34A7"/>
    <w:rsid w:val="77903967"/>
    <w:rsid w:val="77966242"/>
    <w:rsid w:val="77BE0B12"/>
    <w:rsid w:val="77CE0FB7"/>
    <w:rsid w:val="77E109BC"/>
    <w:rsid w:val="77E66E2A"/>
    <w:rsid w:val="780508C4"/>
    <w:rsid w:val="78077577"/>
    <w:rsid w:val="78147F54"/>
    <w:rsid w:val="781903FE"/>
    <w:rsid w:val="78267E28"/>
    <w:rsid w:val="78291D14"/>
    <w:rsid w:val="78390DEB"/>
    <w:rsid w:val="784D278D"/>
    <w:rsid w:val="7862675C"/>
    <w:rsid w:val="78635A04"/>
    <w:rsid w:val="78692B14"/>
    <w:rsid w:val="787542D7"/>
    <w:rsid w:val="7877756F"/>
    <w:rsid w:val="787C64BB"/>
    <w:rsid w:val="789B4907"/>
    <w:rsid w:val="789F743A"/>
    <w:rsid w:val="78A918EE"/>
    <w:rsid w:val="78AE75B3"/>
    <w:rsid w:val="78B725DE"/>
    <w:rsid w:val="78BB11DA"/>
    <w:rsid w:val="78BF0458"/>
    <w:rsid w:val="78C16764"/>
    <w:rsid w:val="78C676CF"/>
    <w:rsid w:val="78D13B60"/>
    <w:rsid w:val="78D14C8A"/>
    <w:rsid w:val="78D47EDB"/>
    <w:rsid w:val="78D85249"/>
    <w:rsid w:val="78EC0BEA"/>
    <w:rsid w:val="79053EE1"/>
    <w:rsid w:val="790B23F9"/>
    <w:rsid w:val="790D0AC0"/>
    <w:rsid w:val="79234D2F"/>
    <w:rsid w:val="7925031F"/>
    <w:rsid w:val="7932685A"/>
    <w:rsid w:val="79360170"/>
    <w:rsid w:val="79410484"/>
    <w:rsid w:val="79463BC4"/>
    <w:rsid w:val="794C74AB"/>
    <w:rsid w:val="79516F70"/>
    <w:rsid w:val="79525636"/>
    <w:rsid w:val="79527A44"/>
    <w:rsid w:val="795E0718"/>
    <w:rsid w:val="795F3B46"/>
    <w:rsid w:val="7991711C"/>
    <w:rsid w:val="79BF025D"/>
    <w:rsid w:val="79C476EA"/>
    <w:rsid w:val="79CF419C"/>
    <w:rsid w:val="7A075A61"/>
    <w:rsid w:val="7A1A6B77"/>
    <w:rsid w:val="7A234F10"/>
    <w:rsid w:val="7A3221EC"/>
    <w:rsid w:val="7A34770A"/>
    <w:rsid w:val="7A576DBA"/>
    <w:rsid w:val="7A590988"/>
    <w:rsid w:val="7A5C5DD2"/>
    <w:rsid w:val="7A5D5ED6"/>
    <w:rsid w:val="7A714B34"/>
    <w:rsid w:val="7A715493"/>
    <w:rsid w:val="7A770D8D"/>
    <w:rsid w:val="7A797A07"/>
    <w:rsid w:val="7A7C535A"/>
    <w:rsid w:val="7A886D99"/>
    <w:rsid w:val="7AAB6D14"/>
    <w:rsid w:val="7ABA33EA"/>
    <w:rsid w:val="7ACC5ED1"/>
    <w:rsid w:val="7AE32D5B"/>
    <w:rsid w:val="7AE70FFA"/>
    <w:rsid w:val="7B227CBE"/>
    <w:rsid w:val="7B255957"/>
    <w:rsid w:val="7B3377DF"/>
    <w:rsid w:val="7B36045B"/>
    <w:rsid w:val="7B5633CA"/>
    <w:rsid w:val="7B5D323B"/>
    <w:rsid w:val="7B5E6F7F"/>
    <w:rsid w:val="7B5F4A24"/>
    <w:rsid w:val="7B642401"/>
    <w:rsid w:val="7B665E5A"/>
    <w:rsid w:val="7B7D3058"/>
    <w:rsid w:val="7B866876"/>
    <w:rsid w:val="7B9710F5"/>
    <w:rsid w:val="7B9A3006"/>
    <w:rsid w:val="7BBC3352"/>
    <w:rsid w:val="7BCD1BB0"/>
    <w:rsid w:val="7BD40338"/>
    <w:rsid w:val="7BD45598"/>
    <w:rsid w:val="7BD56697"/>
    <w:rsid w:val="7BDE6B92"/>
    <w:rsid w:val="7BE60EA3"/>
    <w:rsid w:val="7BE713ED"/>
    <w:rsid w:val="7BF70EC6"/>
    <w:rsid w:val="7C0D020A"/>
    <w:rsid w:val="7C176585"/>
    <w:rsid w:val="7C2C5508"/>
    <w:rsid w:val="7C2E68EF"/>
    <w:rsid w:val="7C3946A2"/>
    <w:rsid w:val="7C3A7068"/>
    <w:rsid w:val="7C5E5352"/>
    <w:rsid w:val="7C71145B"/>
    <w:rsid w:val="7C9D1ABB"/>
    <w:rsid w:val="7CC657AB"/>
    <w:rsid w:val="7CD556FD"/>
    <w:rsid w:val="7CD63EB0"/>
    <w:rsid w:val="7CF46746"/>
    <w:rsid w:val="7CFC7AC4"/>
    <w:rsid w:val="7D0166A0"/>
    <w:rsid w:val="7D041215"/>
    <w:rsid w:val="7D1C7AB0"/>
    <w:rsid w:val="7D1E41BA"/>
    <w:rsid w:val="7D274817"/>
    <w:rsid w:val="7D5E3D8A"/>
    <w:rsid w:val="7D721420"/>
    <w:rsid w:val="7D8A2717"/>
    <w:rsid w:val="7D8A53A6"/>
    <w:rsid w:val="7D8E2F05"/>
    <w:rsid w:val="7D970D55"/>
    <w:rsid w:val="7E062BD5"/>
    <w:rsid w:val="7E160799"/>
    <w:rsid w:val="7E3E236F"/>
    <w:rsid w:val="7E431552"/>
    <w:rsid w:val="7E4818A4"/>
    <w:rsid w:val="7E4A539D"/>
    <w:rsid w:val="7E4C644D"/>
    <w:rsid w:val="7E5D2C1D"/>
    <w:rsid w:val="7E7C2E71"/>
    <w:rsid w:val="7E882F1A"/>
    <w:rsid w:val="7E8A4813"/>
    <w:rsid w:val="7EA5419C"/>
    <w:rsid w:val="7EA72BFC"/>
    <w:rsid w:val="7EAC26D6"/>
    <w:rsid w:val="7EB138C0"/>
    <w:rsid w:val="7EC918A7"/>
    <w:rsid w:val="7ECD4E2F"/>
    <w:rsid w:val="7EF06C38"/>
    <w:rsid w:val="7EFF6E4C"/>
    <w:rsid w:val="7F113A1D"/>
    <w:rsid w:val="7F1C7D6F"/>
    <w:rsid w:val="7F23172E"/>
    <w:rsid w:val="7F290B1C"/>
    <w:rsid w:val="7F3E5AAC"/>
    <w:rsid w:val="7F7D19C8"/>
    <w:rsid w:val="7F8942F1"/>
    <w:rsid w:val="7FA36CD4"/>
    <w:rsid w:val="7FA54125"/>
    <w:rsid w:val="7FAE37E8"/>
    <w:rsid w:val="7FCC7A1A"/>
    <w:rsid w:val="7FDF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90"/>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89"/>
    <w:qFormat/>
    <w:uiPriority w:val="1"/>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7">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1">
    <w:name w:val="Normal Indent"/>
    <w:basedOn w:val="1"/>
    <w:next w:val="12"/>
    <w:unhideWhenUsed/>
    <w:qFormat/>
    <w:uiPriority w:val="99"/>
    <w:pPr>
      <w:ind w:firstLine="420" w:firstLineChars="200"/>
    </w:pPr>
    <w:rPr>
      <w:rFonts w:ascii="Times New Roman" w:hAnsi="Times New Roman" w:cs="Times New Roman"/>
      <w:sz w:val="21"/>
      <w:szCs w:val="21"/>
    </w:rPr>
  </w:style>
  <w:style w:type="paragraph" w:styleId="12">
    <w:name w:val="toa heading"/>
    <w:basedOn w:val="1"/>
    <w:next w:val="1"/>
    <w:semiHidden/>
    <w:qFormat/>
    <w:uiPriority w:val="0"/>
    <w:pPr>
      <w:spacing w:before="120"/>
    </w:pPr>
    <w:rPr>
      <w:rFonts w:ascii="Arial" w:hAnsi="Arial" w:cs="Arial"/>
      <w:sz w:val="24"/>
      <w:szCs w:val="24"/>
    </w:rPr>
  </w:style>
  <w:style w:type="paragraph" w:styleId="13">
    <w:name w:val="index 5"/>
    <w:basedOn w:val="1"/>
    <w:next w:val="1"/>
    <w:qFormat/>
    <w:uiPriority w:val="0"/>
    <w:pPr>
      <w:ind w:left="800" w:leftChars="800"/>
    </w:pPr>
  </w:style>
  <w:style w:type="paragraph" w:styleId="14">
    <w:name w:val="Document Map"/>
    <w:basedOn w:val="1"/>
    <w:link w:val="48"/>
    <w:qFormat/>
    <w:uiPriority w:val="0"/>
    <w:rPr>
      <w:rFonts w:ascii="宋体"/>
      <w:sz w:val="18"/>
      <w:szCs w:val="18"/>
    </w:rPr>
  </w:style>
  <w:style w:type="paragraph" w:styleId="15">
    <w:name w:val="Body Text"/>
    <w:basedOn w:val="1"/>
    <w:next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16">
    <w:name w:val="Body Text Indent"/>
    <w:basedOn w:val="1"/>
    <w:next w:val="17"/>
    <w:qFormat/>
    <w:uiPriority w:val="0"/>
    <w:pPr>
      <w:spacing w:line="440" w:lineRule="exact"/>
      <w:ind w:firstLine="480" w:firstLineChars="200"/>
    </w:pPr>
    <w:rPr>
      <w:sz w:val="24"/>
    </w:rPr>
  </w:style>
  <w:style w:type="paragraph" w:styleId="17">
    <w:name w:val="Normal (Web)"/>
    <w:basedOn w:val="1"/>
    <w:next w:val="1"/>
    <w:qFormat/>
    <w:uiPriority w:val="0"/>
    <w:pPr>
      <w:spacing w:before="100" w:beforeAutospacing="1" w:after="100" w:afterAutospacing="1"/>
      <w:jc w:val="left"/>
    </w:pPr>
    <w:rPr>
      <w:kern w:val="0"/>
      <w:sz w:val="24"/>
    </w:rPr>
  </w:style>
  <w:style w:type="paragraph" w:styleId="18">
    <w:name w:val="List Bullet 2"/>
    <w:basedOn w:val="1"/>
    <w:qFormat/>
    <w:uiPriority w:val="0"/>
    <w:pPr>
      <w:numPr>
        <w:ilvl w:val="0"/>
        <w:numId w:val="2"/>
      </w:numPr>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cs="宋体"/>
      <w:szCs w:val="21"/>
    </w:rPr>
  </w:style>
  <w:style w:type="paragraph" w:styleId="21">
    <w:name w:val="Body Text Indent 2"/>
    <w:basedOn w:val="1"/>
    <w:qFormat/>
    <w:uiPriority w:val="0"/>
    <w:pPr>
      <w:spacing w:after="120" w:line="480" w:lineRule="auto"/>
      <w:ind w:left="420" w:leftChars="200"/>
    </w:pPr>
  </w:style>
  <w:style w:type="paragraph" w:styleId="22">
    <w:name w:val="footer"/>
    <w:basedOn w:val="1"/>
    <w:unhideWhenUsed/>
    <w:qFormat/>
    <w:uiPriority w:val="99"/>
    <w:pPr>
      <w:tabs>
        <w:tab w:val="center" w:pos="4153"/>
        <w:tab w:val="right" w:pos="8306"/>
      </w:tabs>
      <w:snapToGrid w:val="0"/>
      <w:jc w:val="left"/>
    </w:pPr>
    <w:rPr>
      <w:sz w:val="18"/>
      <w:szCs w:val="18"/>
    </w:rPr>
  </w:style>
  <w:style w:type="paragraph" w:styleId="2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footnote text"/>
    <w:basedOn w:val="1"/>
    <w:next w:val="13"/>
    <w:qFormat/>
    <w:uiPriority w:val="0"/>
    <w:pPr>
      <w:snapToGrid w:val="0"/>
      <w:jc w:val="left"/>
    </w:pPr>
    <w:rPr>
      <w:sz w:val="18"/>
      <w:szCs w:val="18"/>
    </w:rPr>
  </w:style>
  <w:style w:type="paragraph" w:styleId="27">
    <w:name w:val="toc 6"/>
    <w:basedOn w:val="1"/>
    <w:next w:val="1"/>
    <w:qFormat/>
    <w:uiPriority w:val="0"/>
    <w:pPr>
      <w:ind w:left="1050"/>
      <w:jc w:val="left"/>
    </w:pPr>
    <w:rPr>
      <w:rFonts w:ascii="Calibri" w:hAnsi="Calibri"/>
      <w:sz w:val="18"/>
      <w:szCs w:val="18"/>
    </w:rPr>
  </w:style>
  <w:style w:type="paragraph" w:styleId="28">
    <w:name w:val="toc 2"/>
    <w:basedOn w:val="1"/>
    <w:next w:val="1"/>
    <w:qFormat/>
    <w:uiPriority w:val="0"/>
    <w:pPr>
      <w:ind w:left="420" w:leftChars="200"/>
    </w:pPr>
  </w:style>
  <w:style w:type="paragraph" w:styleId="29">
    <w:name w:val="Body Text First Indent"/>
    <w:basedOn w:val="15"/>
    <w:next w:val="27"/>
    <w:semiHidden/>
    <w:unhideWhenUsed/>
    <w:qFormat/>
    <w:uiPriority w:val="99"/>
    <w:pPr>
      <w:ind w:firstLine="420" w:firstLineChars="100"/>
    </w:pPr>
  </w:style>
  <w:style w:type="paragraph" w:styleId="30">
    <w:name w:val="Body Text First Indent 2"/>
    <w:basedOn w:val="16"/>
    <w:qFormat/>
    <w:uiPriority w:val="0"/>
    <w:pPr>
      <w:ind w:firstLine="42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page number"/>
    <w:basedOn w:val="33"/>
    <w:unhideWhenUsed/>
    <w:qFormat/>
    <w:uiPriority w:val="0"/>
    <w:rPr>
      <w:rFonts w:cs="Times New Roman"/>
    </w:rPr>
  </w:style>
  <w:style w:type="character" w:styleId="36">
    <w:name w:val="Hyperlink"/>
    <w:qFormat/>
    <w:uiPriority w:val="99"/>
    <w:rPr>
      <w:color w:val="0000FF"/>
      <w:u w:val="single"/>
    </w:rPr>
  </w:style>
  <w:style w:type="character" w:styleId="37">
    <w:name w:val="HTML Sample"/>
    <w:basedOn w:val="33"/>
    <w:qFormat/>
    <w:uiPriority w:val="0"/>
    <w:rPr>
      <w:rFonts w:ascii="Courier New" w:hAnsi="Courier New"/>
    </w:rPr>
  </w:style>
  <w:style w:type="paragraph" w:styleId="38">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39">
    <w:name w:val="样式 仿宋"/>
    <w:qFormat/>
    <w:uiPriority w:val="0"/>
    <w:rPr>
      <w:rFonts w:ascii="仿宋" w:hAnsi="仿宋" w:eastAsia="仿宋"/>
      <w:kern w:val="1"/>
    </w:rPr>
  </w:style>
  <w:style w:type="paragraph" w:customStyle="1" w:styleId="40">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41">
    <w:name w:val="样式 仿宋 行距: 1.5 倍行距"/>
    <w:basedOn w:val="1"/>
    <w:qFormat/>
    <w:uiPriority w:val="0"/>
    <w:pPr>
      <w:spacing w:line="360" w:lineRule="auto"/>
    </w:pPr>
    <w:rPr>
      <w:rFonts w:ascii="仿宋" w:hAnsi="仿宋" w:eastAsia="仿宋" w:cs="宋体"/>
      <w:sz w:val="24"/>
      <w:szCs w:val="20"/>
    </w:rPr>
  </w:style>
  <w:style w:type="character" w:customStyle="1" w:styleId="42">
    <w:name w:val="font21"/>
    <w:basedOn w:val="33"/>
    <w:qFormat/>
    <w:uiPriority w:val="0"/>
    <w:rPr>
      <w:rFonts w:hint="default" w:ascii="等线" w:hAnsi="等线" w:eastAsia="等线" w:cs="等线"/>
      <w:color w:val="000000"/>
      <w:sz w:val="22"/>
      <w:szCs w:val="22"/>
      <w:u w:val="none"/>
    </w:rPr>
  </w:style>
  <w:style w:type="character" w:customStyle="1" w:styleId="43">
    <w:name w:val="font41"/>
    <w:basedOn w:val="33"/>
    <w:qFormat/>
    <w:uiPriority w:val="0"/>
    <w:rPr>
      <w:rFonts w:hint="eastAsia" w:ascii="宋体" w:hAnsi="宋体" w:eastAsia="宋体" w:cs="宋体"/>
      <w:color w:val="000000"/>
      <w:sz w:val="20"/>
      <w:szCs w:val="20"/>
      <w:u w:val="none"/>
    </w:rPr>
  </w:style>
  <w:style w:type="character" w:customStyle="1" w:styleId="44">
    <w:name w:val="font111"/>
    <w:basedOn w:val="33"/>
    <w:qFormat/>
    <w:uiPriority w:val="0"/>
    <w:rPr>
      <w:rFonts w:hint="eastAsia" w:ascii="宋体" w:hAnsi="宋体" w:eastAsia="宋体" w:cs="宋体"/>
      <w:color w:val="000000"/>
      <w:sz w:val="20"/>
      <w:szCs w:val="20"/>
      <w:u w:val="none"/>
    </w:rPr>
  </w:style>
  <w:style w:type="character" w:customStyle="1" w:styleId="45">
    <w:name w:val="font101"/>
    <w:basedOn w:val="33"/>
    <w:qFormat/>
    <w:uiPriority w:val="0"/>
    <w:rPr>
      <w:rFonts w:hint="eastAsia" w:ascii="宋体" w:hAnsi="宋体" w:eastAsia="宋体" w:cs="宋体"/>
      <w:b/>
      <w:color w:val="000000"/>
      <w:sz w:val="20"/>
      <w:szCs w:val="20"/>
      <w:u w:val="none"/>
    </w:rPr>
  </w:style>
  <w:style w:type="paragraph" w:styleId="46">
    <w:name w:val="List Paragraph"/>
    <w:basedOn w:val="1"/>
    <w:qFormat/>
    <w:uiPriority w:val="34"/>
    <w:pPr>
      <w:ind w:firstLine="420" w:firstLineChars="200"/>
    </w:pPr>
  </w:style>
  <w:style w:type="paragraph" w:customStyle="1" w:styleId="47">
    <w:name w:val="_Style 1"/>
    <w:basedOn w:val="1"/>
    <w:qFormat/>
    <w:uiPriority w:val="34"/>
    <w:pPr>
      <w:ind w:firstLine="420" w:firstLineChars="200"/>
    </w:pPr>
  </w:style>
  <w:style w:type="character" w:customStyle="1" w:styleId="48">
    <w:name w:val="文档结构图 Char"/>
    <w:basedOn w:val="33"/>
    <w:link w:val="14"/>
    <w:qFormat/>
    <w:uiPriority w:val="0"/>
    <w:rPr>
      <w:rFonts w:ascii="宋体" w:eastAsia="宋体"/>
      <w:kern w:val="2"/>
      <w:sz w:val="18"/>
      <w:szCs w:val="18"/>
    </w:rPr>
  </w:style>
  <w:style w:type="character" w:customStyle="1" w:styleId="49">
    <w:name w:val="font61"/>
    <w:basedOn w:val="33"/>
    <w:qFormat/>
    <w:uiPriority w:val="0"/>
    <w:rPr>
      <w:rFonts w:hint="eastAsia" w:ascii="宋体" w:hAnsi="宋体" w:eastAsia="宋体" w:cs="宋体"/>
      <w:color w:val="000000"/>
      <w:sz w:val="40"/>
      <w:szCs w:val="40"/>
      <w:u w:val="none"/>
    </w:rPr>
  </w:style>
  <w:style w:type="character" w:customStyle="1" w:styleId="50">
    <w:name w:val="font71"/>
    <w:basedOn w:val="33"/>
    <w:qFormat/>
    <w:uiPriority w:val="0"/>
    <w:rPr>
      <w:rFonts w:hint="eastAsia" w:ascii="仿宋" w:hAnsi="仿宋" w:eastAsia="仿宋" w:cs="仿宋"/>
      <w:color w:val="000000"/>
      <w:sz w:val="20"/>
      <w:szCs w:val="20"/>
      <w:u w:val="none"/>
    </w:rPr>
  </w:style>
  <w:style w:type="character" w:customStyle="1" w:styleId="51">
    <w:name w:val="font51"/>
    <w:basedOn w:val="33"/>
    <w:qFormat/>
    <w:uiPriority w:val="0"/>
    <w:rPr>
      <w:rFonts w:ascii="Arial" w:hAnsi="Arial" w:cs="Arial"/>
      <w:color w:val="000000"/>
      <w:sz w:val="20"/>
      <w:szCs w:val="20"/>
      <w:u w:val="none"/>
    </w:rPr>
  </w:style>
  <w:style w:type="paragraph" w:customStyle="1" w:styleId="52">
    <w:name w:val="样式 正文缩进 + 首行缩进:  2 字符"/>
    <w:basedOn w:val="11"/>
    <w:qFormat/>
    <w:uiPriority w:val="0"/>
    <w:pPr>
      <w:spacing w:line="360" w:lineRule="auto"/>
      <w:ind w:firstLine="200"/>
    </w:pPr>
    <w:rPr>
      <w:sz w:val="24"/>
      <w:szCs w:val="24"/>
    </w:rPr>
  </w:style>
  <w:style w:type="paragraph" w:customStyle="1" w:styleId="53">
    <w:name w:val="正文new"/>
    <w:basedOn w:val="1"/>
    <w:qFormat/>
    <w:uiPriority w:val="0"/>
    <w:pPr>
      <w:spacing w:before="156" w:beforeLines="50" w:after="156" w:afterLines="50" w:line="360" w:lineRule="auto"/>
      <w:ind w:firstLine="420" w:firstLineChars="200"/>
    </w:pPr>
    <w:rPr>
      <w:rFonts w:ascii="宋体" w:hAnsi="宋体" w:eastAsiaTheme="minorEastAsia"/>
      <w:color w:val="000000"/>
      <w:szCs w:val="24"/>
    </w:rPr>
  </w:style>
  <w:style w:type="paragraph" w:customStyle="1" w:styleId="54">
    <w:name w:val="_正文段落"/>
    <w:basedOn w:val="1"/>
    <w:qFormat/>
    <w:uiPriority w:val="0"/>
    <w:pPr>
      <w:spacing w:beforeLines="50" w:after="46" w:line="360" w:lineRule="auto"/>
      <w:ind w:firstLine="480" w:firstLineChars="200"/>
    </w:pPr>
    <w:rPr>
      <w:rFonts w:ascii="Arial" w:hAnsi="Arial" w:eastAsiaTheme="minorEastAsia"/>
      <w:color w:val="000000"/>
      <w:szCs w:val="24"/>
    </w:rPr>
  </w:style>
  <w:style w:type="paragraph" w:customStyle="1" w:styleId="55">
    <w:name w:val="标准正文样式"/>
    <w:basedOn w:val="1"/>
    <w:qFormat/>
    <w:uiPriority w:val="0"/>
    <w:pPr>
      <w:widowControl/>
      <w:spacing w:line="360" w:lineRule="auto"/>
      <w:ind w:firstLine="200" w:firstLineChars="200"/>
      <w:jc w:val="left"/>
    </w:pPr>
    <w:rPr>
      <w:rFonts w:ascii="Times New Roman" w:hAnsi="Times New Roman" w:cs="Times New Roman"/>
      <w:szCs w:val="24"/>
    </w:rPr>
  </w:style>
  <w:style w:type="paragraph" w:customStyle="1" w:styleId="56">
    <w:name w:val="正文样式"/>
    <w:basedOn w:val="1"/>
    <w:qFormat/>
    <w:uiPriority w:val="0"/>
    <w:pPr>
      <w:tabs>
        <w:tab w:val="left" w:pos="1560"/>
      </w:tabs>
      <w:spacing w:before="163" w:after="163" w:line="300" w:lineRule="auto"/>
      <w:ind w:left="1560" w:hanging="360"/>
    </w:pPr>
    <w:rPr>
      <w:rFonts w:ascii="宋体" w:hAnsi="Times New Roman" w:cs="Times New Roman"/>
      <w:szCs w:val="24"/>
    </w:rPr>
  </w:style>
  <w:style w:type="paragraph" w:customStyle="1" w:styleId="57">
    <w:name w:val="标题5"/>
    <w:basedOn w:val="1"/>
    <w:qFormat/>
    <w:uiPriority w:val="99"/>
    <w:pPr>
      <w:spacing w:before="120" w:after="120"/>
    </w:pPr>
    <w:rPr>
      <w:rFonts w:ascii="宋体" w:hAnsi="Times New Roman" w:cs="Times New Roman"/>
      <w:b/>
      <w:sz w:val="28"/>
      <w:szCs w:val="24"/>
    </w:rPr>
  </w:style>
  <w:style w:type="character" w:customStyle="1" w:styleId="58">
    <w:name w:val="font11"/>
    <w:basedOn w:val="33"/>
    <w:qFormat/>
    <w:uiPriority w:val="0"/>
    <w:rPr>
      <w:rFonts w:hint="eastAsia" w:ascii="宋体" w:hAnsi="宋体" w:eastAsia="宋体" w:cs="宋体"/>
      <w:color w:val="000000"/>
      <w:sz w:val="24"/>
      <w:szCs w:val="24"/>
      <w:u w:val="none"/>
    </w:rPr>
  </w:style>
  <w:style w:type="paragraph" w:customStyle="1" w:styleId="59">
    <w:name w:val="0"/>
    <w:basedOn w:val="1"/>
    <w:qFormat/>
    <w:uiPriority w:val="0"/>
    <w:pPr>
      <w:widowControl/>
      <w:snapToGrid w:val="0"/>
    </w:pPr>
    <w:rPr>
      <w:rFonts w:ascii="Times New Roman" w:hAnsi="Times New Roman"/>
      <w:szCs w:val="21"/>
    </w:rPr>
  </w:style>
  <w:style w:type="paragraph" w:customStyle="1" w:styleId="60">
    <w:name w:val="5 五级标题"/>
    <w:basedOn w:val="11"/>
    <w:qFormat/>
    <w:uiPriority w:val="0"/>
    <w:pPr>
      <w:numPr>
        <w:ilvl w:val="0"/>
        <w:numId w:val="3"/>
      </w:numPr>
      <w:spacing w:before="100" w:beforeAutospacing="1" w:after="100" w:afterAutospacing="1" w:line="300" w:lineRule="auto"/>
      <w:ind w:firstLine="0" w:firstLineChars="0"/>
    </w:pPr>
    <w:rPr>
      <w:rFonts w:ascii="Arial" w:hAnsi="Arial"/>
    </w:rPr>
  </w:style>
  <w:style w:type="character" w:customStyle="1" w:styleId="61">
    <w:name w:val="font01"/>
    <w:basedOn w:val="33"/>
    <w:qFormat/>
    <w:uiPriority w:val="0"/>
    <w:rPr>
      <w:rFonts w:hint="eastAsia" w:ascii="宋体" w:hAnsi="宋体" w:eastAsia="宋体" w:cs="宋体"/>
      <w:color w:val="000000"/>
      <w:sz w:val="24"/>
      <w:szCs w:val="24"/>
      <w:u w:val="none"/>
    </w:rPr>
  </w:style>
  <w:style w:type="paragraph" w:customStyle="1" w:styleId="62">
    <w:name w:val="样式 正文文本缩进 + 行距: 固定值 23 磅"/>
    <w:basedOn w:val="16"/>
    <w:qFormat/>
    <w:uiPriority w:val="0"/>
    <w:pPr>
      <w:spacing w:line="360" w:lineRule="auto"/>
      <w:ind w:firstLine="200"/>
    </w:pPr>
    <w:rPr>
      <w:rFonts w:cs="宋体"/>
      <w:szCs w:val="20"/>
    </w:rPr>
  </w:style>
  <w:style w:type="paragraph" w:customStyle="1" w:styleId="63">
    <w:name w:val="样式 宋体 小四 黑色 左 行距: 固定值 19 磅"/>
    <w:basedOn w:val="1"/>
    <w:qFormat/>
    <w:uiPriority w:val="0"/>
    <w:pPr>
      <w:spacing w:line="360" w:lineRule="auto"/>
      <w:jc w:val="left"/>
    </w:pPr>
    <w:rPr>
      <w:rFonts w:ascii="宋体" w:hAnsi="宋体" w:cs="宋体"/>
      <w:color w:val="000000"/>
      <w:sz w:val="24"/>
      <w:szCs w:val="20"/>
    </w:rPr>
  </w:style>
  <w:style w:type="paragraph" w:customStyle="1" w:styleId="64">
    <w:name w:val="样式 正文+首行缩进2 + 首行缩进:  2 字符 段后: 0.5 行3"/>
    <w:basedOn w:val="1"/>
    <w:qFormat/>
    <w:uiPriority w:val="0"/>
    <w:pPr>
      <w:snapToGrid/>
      <w:spacing w:line="360" w:lineRule="auto"/>
      <w:ind w:firstLine="200" w:firstLineChars="200"/>
    </w:pPr>
    <w:rPr>
      <w:rFonts w:cs="宋体"/>
      <w:kern w:val="0"/>
      <w:sz w:val="24"/>
      <w:szCs w:val="20"/>
    </w:rPr>
  </w:style>
  <w:style w:type="paragraph" w:customStyle="1" w:styleId="65">
    <w:name w:val="1样式-正文"/>
    <w:basedOn w:val="16"/>
    <w:qFormat/>
    <w:uiPriority w:val="0"/>
    <w:pPr>
      <w:spacing w:line="360" w:lineRule="auto"/>
    </w:pPr>
    <w:rPr>
      <w:rFonts w:ascii="宋体" w:hAnsi="宋体"/>
    </w:rPr>
  </w:style>
  <w:style w:type="paragraph" w:customStyle="1" w:styleId="66">
    <w:name w:val="zhengwen"/>
    <w:basedOn w:val="16"/>
    <w:link w:val="69"/>
    <w:qFormat/>
    <w:uiPriority w:val="0"/>
    <w:pPr>
      <w:spacing w:line="360" w:lineRule="auto"/>
    </w:pPr>
    <w:rPr>
      <w:rFonts w:ascii="宋体" w:hAnsi="宋体"/>
    </w:rPr>
  </w:style>
  <w:style w:type="paragraph" w:customStyle="1" w:styleId="67">
    <w:name w:val="目录 12"/>
    <w:basedOn w:val="1"/>
    <w:next w:val="1"/>
    <w:qFormat/>
    <w:uiPriority w:val="39"/>
    <w:pPr>
      <w:spacing w:before="120" w:after="120"/>
      <w:ind w:left="432" w:hanging="432"/>
      <w:jc w:val="left"/>
    </w:pPr>
    <w:rPr>
      <w:rFonts w:ascii="宋体" w:hAnsi="宋体" w:cs="微软雅黑"/>
      <w:b/>
      <w:bCs/>
      <w:caps/>
      <w:sz w:val="24"/>
    </w:rPr>
  </w:style>
  <w:style w:type="paragraph" w:customStyle="1" w:styleId="68">
    <w:name w:val="列出段落1"/>
    <w:basedOn w:val="1"/>
    <w:qFormat/>
    <w:uiPriority w:val="34"/>
    <w:pPr>
      <w:snapToGrid/>
      <w:ind w:firstLine="420" w:firstLineChars="200"/>
    </w:pPr>
    <w:rPr>
      <w:rFonts w:ascii="Calibri" w:hAnsi="Calibri"/>
      <w:szCs w:val="22"/>
    </w:rPr>
  </w:style>
  <w:style w:type="character" w:customStyle="1" w:styleId="69">
    <w:name w:val="zhengwen 字符"/>
    <w:link w:val="66"/>
    <w:qFormat/>
    <w:uiPriority w:val="0"/>
    <w:rPr>
      <w:rFonts w:ascii="宋体" w:hAnsi="宋体"/>
    </w:rPr>
  </w:style>
  <w:style w:type="paragraph" w:customStyle="1" w:styleId="70">
    <w:name w:val="列出段落2"/>
    <w:basedOn w:val="1"/>
    <w:qFormat/>
    <w:uiPriority w:val="34"/>
    <w:pPr>
      <w:widowControl/>
      <w:snapToGrid/>
      <w:ind w:firstLine="420" w:firstLineChars="200"/>
    </w:pPr>
    <w:rPr>
      <w:rFonts w:ascii="Calibri" w:hAnsi="Calibri" w:cs="宋体"/>
      <w:kern w:val="0"/>
      <w:szCs w:val="21"/>
    </w:rPr>
  </w:style>
  <w:style w:type="paragraph" w:customStyle="1" w:styleId="71">
    <w:name w:val="标准正文格式"/>
    <w:basedOn w:val="1"/>
    <w:qFormat/>
    <w:uiPriority w:val="0"/>
    <w:pPr>
      <w:widowControl/>
      <w:adjustRightInd w:val="0"/>
      <w:spacing w:before="60" w:after="120"/>
      <w:ind w:firstLine="200" w:firstLineChars="200"/>
      <w:textAlignment w:val="baseline"/>
    </w:pPr>
    <w:rPr>
      <w:rFonts w:ascii="宋体" w:eastAsia="仿宋_GB2312"/>
      <w:color w:val="000000"/>
      <w:kern w:val="0"/>
      <w:szCs w:val="20"/>
    </w:rPr>
  </w:style>
  <w:style w:type="paragraph" w:customStyle="1" w:styleId="72">
    <w:name w:val="列表段落1"/>
    <w:basedOn w:val="1"/>
    <w:qFormat/>
    <w:uiPriority w:val="34"/>
    <w:pPr>
      <w:ind w:firstLine="420" w:firstLineChars="200"/>
    </w:pPr>
  </w:style>
  <w:style w:type="paragraph" w:customStyle="1" w:styleId="73">
    <w:name w:val="图名"/>
    <w:basedOn w:val="1"/>
    <w:qFormat/>
    <w:uiPriority w:val="0"/>
    <w:pPr>
      <w:spacing w:beforeLines="100" w:line="360" w:lineRule="auto"/>
      <w:jc w:val="center"/>
    </w:pPr>
    <w:rPr>
      <w:rFonts w:cs="宋体"/>
      <w:b/>
      <w:kern w:val="2"/>
    </w:rPr>
  </w:style>
  <w:style w:type="character" w:customStyle="1" w:styleId="74">
    <w:name w:val="重点 Char"/>
    <w:basedOn w:val="33"/>
    <w:link w:val="75"/>
    <w:qFormat/>
    <w:uiPriority w:val="0"/>
    <w:rPr>
      <w:rFonts w:ascii="Verdana" w:hAnsi="Verdana"/>
      <w:b/>
      <w:kern w:val="2"/>
      <w:u w:val="single"/>
    </w:rPr>
  </w:style>
  <w:style w:type="paragraph" w:customStyle="1" w:styleId="75">
    <w:name w:val="重点"/>
    <w:basedOn w:val="1"/>
    <w:link w:val="74"/>
    <w:qFormat/>
    <w:uiPriority w:val="0"/>
    <w:pPr>
      <w:adjustRightInd w:val="0"/>
      <w:spacing w:line="360" w:lineRule="auto"/>
      <w:ind w:firstLine="480" w:firstLineChars="200"/>
      <w:textAlignment w:val="baseline"/>
    </w:pPr>
    <w:rPr>
      <w:rFonts w:ascii="Verdana" w:hAnsi="Verdana"/>
      <w:b/>
      <w:kern w:val="2"/>
      <w:u w:val="single"/>
    </w:rPr>
  </w:style>
  <w:style w:type="paragraph" w:customStyle="1" w:styleId="76">
    <w:name w:val="样式3"/>
    <w:basedOn w:val="1"/>
    <w:qFormat/>
    <w:uiPriority w:val="0"/>
    <w:pPr>
      <w:spacing w:line="360" w:lineRule="auto"/>
      <w:ind w:firstLine="480" w:firstLineChars="200"/>
    </w:pPr>
    <w:rPr>
      <w:kern w:val="2"/>
    </w:rPr>
  </w:style>
  <w:style w:type="paragraph" w:customStyle="1" w:styleId="77">
    <w:name w:val="333333"/>
    <w:basedOn w:val="1"/>
    <w:qFormat/>
    <w:uiPriority w:val="0"/>
    <w:pPr>
      <w:widowControl/>
      <w:spacing w:line="360" w:lineRule="auto"/>
      <w:ind w:firstLine="504" w:firstLineChars="210"/>
    </w:pPr>
    <w:rPr>
      <w:rFonts w:ascii="Arial" w:hAnsi="Arial" w:cs="Arial"/>
      <w:color w:val="000000"/>
      <w:lang w:bidi="en-US"/>
    </w:rPr>
  </w:style>
  <w:style w:type="paragraph" w:customStyle="1" w:styleId="78">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79">
    <w:name w:val="Table Paragraph"/>
    <w:basedOn w:val="1"/>
    <w:qFormat/>
    <w:uiPriority w:val="1"/>
    <w:pPr>
      <w:jc w:val="left"/>
    </w:pPr>
    <w:rPr>
      <w:rFonts w:ascii="宋体" w:hAnsi="宋体" w:cs="宋体"/>
      <w:sz w:val="22"/>
      <w:szCs w:val="22"/>
      <w:lang w:eastAsia="en-US"/>
    </w:rPr>
  </w:style>
  <w:style w:type="character" w:customStyle="1" w:styleId="80">
    <w:name w:val="font31"/>
    <w:basedOn w:val="33"/>
    <w:qFormat/>
    <w:uiPriority w:val="0"/>
    <w:rPr>
      <w:rFonts w:hint="eastAsia" w:ascii="宋体" w:hAnsi="宋体" w:eastAsia="宋体" w:cs="宋体"/>
      <w:color w:val="FF0000"/>
      <w:sz w:val="20"/>
      <w:szCs w:val="20"/>
      <w:u w:val="none"/>
    </w:rPr>
  </w:style>
  <w:style w:type="paragraph" w:customStyle="1" w:styleId="81">
    <w:name w:val="图形文字"/>
    <w:basedOn w:val="1"/>
    <w:qFormat/>
    <w:uiPriority w:val="0"/>
    <w:pPr>
      <w:jc w:val="center"/>
    </w:pPr>
    <w:rPr>
      <w:szCs w:val="21"/>
    </w:rPr>
  </w:style>
  <w:style w:type="character" w:customStyle="1" w:styleId="82">
    <w:name w:val="图形文字 Char"/>
    <w:qFormat/>
    <w:uiPriority w:val="0"/>
    <w:rPr>
      <w:rFonts w:eastAsia="宋体"/>
      <w:kern w:val="2"/>
      <w:sz w:val="21"/>
      <w:szCs w:val="21"/>
      <w:lang w:val="en-US" w:eastAsia="zh-CN" w:bidi="ar-SA"/>
    </w:rPr>
  </w:style>
  <w:style w:type="paragraph" w:customStyle="1" w:styleId="83">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84">
    <w:name w:val="font81"/>
    <w:basedOn w:val="33"/>
    <w:qFormat/>
    <w:uiPriority w:val="0"/>
    <w:rPr>
      <w:rFonts w:hint="default" w:ascii="仿宋_GB2312" w:eastAsia="仿宋_GB2312" w:cs="仿宋_GB2312"/>
      <w:color w:val="000000"/>
      <w:sz w:val="20"/>
      <w:szCs w:val="20"/>
      <w:u w:val="none"/>
    </w:rPr>
  </w:style>
  <w:style w:type="paragraph" w:customStyle="1" w:styleId="85">
    <w:name w:val="正文缩进_0"/>
    <w:basedOn w:val="86"/>
    <w:unhideWhenUsed/>
    <w:qFormat/>
    <w:uiPriority w:val="0"/>
    <w:pPr>
      <w:ind w:firstLine="420" w:firstLineChars="200"/>
    </w:pPr>
    <w:rPr>
      <w:rFonts w:ascii="Calibri" w:hAnsi="Calibri"/>
      <w:szCs w:val="22"/>
    </w:rPr>
  </w:style>
  <w:style w:type="paragraph" w:customStyle="1" w:styleId="8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WPS Plain"/>
    <w:qFormat/>
    <w:uiPriority w:val="0"/>
    <w:rPr>
      <w:rFonts w:ascii="Times New Roman" w:hAnsi="Times New Roman" w:eastAsia="宋体" w:cs="Times New Roman"/>
      <w:lang w:val="en-US" w:eastAsia="zh-CN" w:bidi="ar-SA"/>
    </w:rPr>
  </w:style>
  <w:style w:type="paragraph" w:customStyle="1" w:styleId="8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标题 3 Char"/>
    <w:link w:val="5"/>
    <w:qFormat/>
    <w:uiPriority w:val="0"/>
    <w:rPr>
      <w:b/>
      <w:bCs/>
      <w:sz w:val="32"/>
      <w:szCs w:val="32"/>
    </w:rPr>
  </w:style>
  <w:style w:type="character" w:customStyle="1" w:styleId="90">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62</Pages>
  <Words>30474</Words>
  <Characters>32936</Characters>
  <Lines>341</Lines>
  <Paragraphs>96</Paragraphs>
  <TotalTime>0</TotalTime>
  <ScaleCrop>false</ScaleCrop>
  <LinksUpToDate>false</LinksUpToDate>
  <CharactersWithSpaces>34948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2018-10-26T10:20:00Z</dcterms:created>
  <dc:creator>Administrator</dc:creator>
  <cp:lastModifiedBy>Administrator</cp:lastModifiedBy>
  <cp:lastPrinted>2023-02-27T10:09:00Z</cp:lastPrinted>
  <dcterms:modified xsi:type="dcterms:W3CDTF">2023-03-23T09:12:07Z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BFA8CF853ED3411BB29C1570911BE6C9</vt:lpwstr>
  </property>
</Properties>
</file>