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adjustRightInd w:val="0"/>
        <w:snapToGrid w:val="0"/>
        <w:spacing w:line="360" w:lineRule="auto"/>
        <w:jc w:val="center"/>
        <w:rPr>
          <w:rFonts w:hint="eastAsia" w:ascii="仿宋" w:hAnsi="仿宋" w:eastAsia="仿宋" w:cs="仿宋"/>
          <w:b/>
          <w:color w:val="000000" w:themeColor="text1"/>
          <w:sz w:val="40"/>
          <w:szCs w:val="40"/>
          <w:lang w:val="en-US" w:eastAsia="zh-CN"/>
          <w14:textFill>
            <w14:solidFill>
              <w14:schemeClr w14:val="tx1"/>
            </w14:solidFill>
          </w14:textFill>
        </w:rPr>
      </w:pPr>
      <w:r>
        <w:rPr>
          <w:rFonts w:hint="eastAsia" w:ascii="仿宋" w:hAnsi="仿宋" w:eastAsia="仿宋" w:cs="仿宋"/>
          <w:b/>
          <w:color w:val="000000" w:themeColor="text1"/>
          <w:sz w:val="40"/>
          <w:szCs w:val="40"/>
          <w:lang w:val="en-US" w:eastAsia="zh-CN"/>
          <w14:textFill>
            <w14:solidFill>
              <w14:schemeClr w14:val="tx1"/>
            </w14:solidFill>
          </w14:textFill>
        </w:rPr>
        <w:t>和田县2023年蚧类害虫综合防治项目（包一：高氯毒死蜱和石硫合剂采购）-二次</w:t>
      </w:r>
    </w:p>
    <w:p>
      <w:pPr>
        <w:pStyle w:val="24"/>
        <w:adjustRightInd w:val="0"/>
        <w:snapToGrid w:val="0"/>
        <w:spacing w:line="240" w:lineRule="auto"/>
        <w:jc w:val="center"/>
        <w:rPr>
          <w:rFonts w:hint="eastAsia" w:ascii="仿宋" w:hAnsi="仿宋" w:eastAsia="仿宋" w:cs="仿宋"/>
          <w:b/>
          <w:color w:val="000000" w:themeColor="text1"/>
          <w:sz w:val="22"/>
          <w:szCs w:val="22"/>
          <w:lang w:val="en-US" w:eastAsia="zh-CN"/>
          <w14:textFill>
            <w14:solidFill>
              <w14:schemeClr w14:val="tx1"/>
            </w14:solidFill>
          </w14:textFill>
        </w:rPr>
      </w:pPr>
    </w:p>
    <w:p>
      <w:pPr>
        <w:pStyle w:val="24"/>
        <w:adjustRightInd w:val="0"/>
        <w:snapToGrid w:val="0"/>
        <w:spacing w:line="360" w:lineRule="auto"/>
        <w:jc w:val="center"/>
        <w:rPr>
          <w:rFonts w:hint="eastAsia" w:ascii="仿宋" w:hAnsi="仿宋" w:eastAsia="仿宋" w:cs="仿宋"/>
          <w:b/>
          <w:color w:val="000000" w:themeColor="text1"/>
          <w:sz w:val="36"/>
          <w:szCs w:val="36"/>
          <w:lang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项目编号：</w:t>
      </w:r>
      <w:r>
        <w:rPr>
          <w:rFonts w:hint="eastAsia" w:ascii="仿宋" w:hAnsi="仿宋" w:eastAsia="仿宋" w:cs="仿宋"/>
          <w:b/>
          <w:color w:val="000000" w:themeColor="text1"/>
          <w:sz w:val="36"/>
          <w:szCs w:val="36"/>
          <w:highlight w:val="none"/>
          <w:lang w:val="en-US" w:eastAsia="zh-CN"/>
          <w14:textFill>
            <w14:solidFill>
              <w14:schemeClr w14:val="tx1"/>
            </w14:solidFill>
          </w14:textFill>
        </w:rPr>
        <w:t>HTXZFCG（2023FS）006-1号</w:t>
      </w:r>
    </w:p>
    <w:p>
      <w:pPr>
        <w:pStyle w:val="24"/>
        <w:adjustRightInd w:val="0"/>
        <w:snapToGrid w:val="0"/>
        <w:spacing w:line="240" w:lineRule="auto"/>
        <w:jc w:val="center"/>
        <w:rPr>
          <w:rFonts w:hint="eastAsia" w:ascii="仿宋" w:hAnsi="仿宋" w:eastAsia="仿宋" w:cs="仿宋"/>
          <w:b/>
          <w:color w:val="000000" w:themeColor="text1"/>
          <w:sz w:val="44"/>
          <w:szCs w:val="44"/>
          <w:lang w:eastAsia="zh-CN"/>
          <w14:textFill>
            <w14:solidFill>
              <w14:schemeClr w14:val="tx1"/>
            </w14:solidFill>
          </w14:textFill>
        </w:rPr>
      </w:pPr>
    </w:p>
    <w:p>
      <w:pPr>
        <w:pStyle w:val="24"/>
        <w:adjustRightInd w:val="0"/>
        <w:snapToGrid w:val="0"/>
        <w:spacing w:line="240" w:lineRule="auto"/>
        <w:jc w:val="center"/>
        <w:rPr>
          <w:rFonts w:hint="eastAsia" w:ascii="仿宋" w:hAnsi="仿宋" w:eastAsia="仿宋" w:cs="仿宋"/>
          <w:b/>
          <w:color w:val="000000" w:themeColor="text1"/>
          <w:sz w:val="36"/>
          <w:szCs w:val="36"/>
          <w:lang w:eastAsia="zh-CN"/>
          <w14:textFill>
            <w14:solidFill>
              <w14:schemeClr w14:val="tx1"/>
            </w14:solidFill>
          </w14:textFill>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招</w:t>
      </w:r>
    </w:p>
    <w:p>
      <w:pPr>
        <w:pStyle w:val="34"/>
        <w:rPr>
          <w:rFonts w:hint="eastAsia"/>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标</w:t>
      </w:r>
    </w:p>
    <w:p>
      <w:pPr>
        <w:pStyle w:val="34"/>
        <w:rPr>
          <w:rFonts w:hint="eastAsia"/>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文</w:t>
      </w:r>
    </w:p>
    <w:p>
      <w:pPr>
        <w:pStyle w:val="34"/>
        <w:rPr>
          <w:rFonts w:hint="eastAsia"/>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件</w:t>
      </w:r>
    </w:p>
    <w:p>
      <w:pPr>
        <w:pStyle w:val="5"/>
        <w:rPr>
          <w:rFonts w:hint="eastAsia"/>
        </w:rPr>
      </w:pPr>
    </w:p>
    <w:p>
      <w:pPr>
        <w:pStyle w:val="24"/>
        <w:adjustRightInd w:val="0"/>
        <w:snapToGrid w:val="0"/>
        <w:spacing w:line="360" w:lineRule="auto"/>
        <w:jc w:val="both"/>
        <w:rPr>
          <w:rFonts w:hint="eastAsia" w:ascii="仿宋" w:hAnsi="仿宋" w:eastAsia="仿宋" w:cs="仿宋"/>
          <w:b/>
          <w:color w:val="000000" w:themeColor="text1"/>
          <w:sz w:val="32"/>
          <w:szCs w:val="32"/>
          <w14:textFill>
            <w14:solidFill>
              <w14:schemeClr w14:val="tx1"/>
            </w14:solidFill>
          </w14:textFill>
        </w:rPr>
      </w:pPr>
    </w:p>
    <w:p>
      <w:pPr>
        <w:pStyle w:val="24"/>
        <w:adjustRightInd w:val="0"/>
        <w:snapToGrid w:val="0"/>
        <w:spacing w:line="360" w:lineRule="auto"/>
        <w:jc w:val="both"/>
        <w:rPr>
          <w:rFonts w:hint="eastAsia" w:ascii="仿宋" w:hAnsi="仿宋" w:eastAsia="仿宋" w:cs="仿宋"/>
          <w:b/>
          <w:color w:val="000000" w:themeColor="text1"/>
          <w:sz w:val="32"/>
          <w:szCs w:val="32"/>
          <w14:textFill>
            <w14:solidFill>
              <w14:schemeClr w14:val="tx1"/>
            </w14:solidFill>
          </w14:textFill>
        </w:rPr>
      </w:pPr>
    </w:p>
    <w:p>
      <w:pPr>
        <w:pStyle w:val="24"/>
        <w:adjustRightInd w:val="0"/>
        <w:snapToGrid w:val="0"/>
        <w:spacing w:line="360" w:lineRule="auto"/>
        <w:jc w:val="both"/>
        <w:rPr>
          <w:rFonts w:hint="eastAsia" w:ascii="仿宋" w:hAnsi="仿宋" w:eastAsia="仿宋" w:cs="仿宋"/>
          <w:b/>
          <w:color w:val="000000" w:themeColor="text1"/>
          <w:sz w:val="32"/>
          <w:szCs w:val="32"/>
          <w14:textFill>
            <w14:solidFill>
              <w14:schemeClr w14:val="tx1"/>
            </w14:solidFill>
          </w14:textFill>
        </w:rPr>
      </w:pPr>
    </w:p>
    <w:p>
      <w:pPr>
        <w:pStyle w:val="24"/>
        <w:adjustRightInd w:val="0"/>
        <w:snapToGrid w:val="0"/>
        <w:spacing w:line="600" w:lineRule="auto"/>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新疆庆信达项目管理有限公司</w:t>
      </w:r>
    </w:p>
    <w:p>
      <w:pPr>
        <w:pStyle w:val="24"/>
        <w:adjustRightInd w:val="0"/>
        <w:snapToGrid w:val="0"/>
        <w:spacing w:line="600" w:lineRule="auto"/>
        <w:jc w:val="center"/>
        <w:rPr>
          <w:rFonts w:hint="eastAsia" w:ascii="仿宋" w:hAnsi="仿宋" w:eastAsia="仿宋" w:cs="仿宋"/>
          <w:lang w:eastAsia="zh-CN"/>
        </w:rPr>
      </w:pPr>
      <w:r>
        <w:rPr>
          <w:rFonts w:hint="eastAsia" w:ascii="仿宋" w:hAnsi="仿宋" w:eastAsia="仿宋" w:cs="仿宋"/>
          <w:b/>
          <w:color w:val="000000" w:themeColor="text1"/>
          <w:sz w:val="36"/>
          <w:szCs w:val="36"/>
          <w:lang w:eastAsia="zh-CN"/>
          <w14:textFill>
            <w14:solidFill>
              <w14:schemeClr w14:val="tx1"/>
            </w14:solidFill>
          </w14:textFill>
        </w:rPr>
        <w:t>二〇</w:t>
      </w:r>
      <w:r>
        <w:rPr>
          <w:rFonts w:hint="eastAsia" w:ascii="仿宋" w:hAnsi="仿宋" w:eastAsia="仿宋" w:cs="仿宋"/>
          <w:b/>
          <w:color w:val="000000" w:themeColor="text1"/>
          <w:sz w:val="36"/>
          <w:szCs w:val="36"/>
          <w:lang w:val="en-US" w:eastAsia="zh-CN"/>
          <w14:textFill>
            <w14:solidFill>
              <w14:schemeClr w14:val="tx1"/>
            </w14:solidFill>
          </w14:textFill>
        </w:rPr>
        <w:t>二三</w:t>
      </w:r>
      <w:r>
        <w:rPr>
          <w:rFonts w:hint="eastAsia" w:ascii="仿宋" w:hAnsi="仿宋" w:eastAsia="仿宋" w:cs="仿宋"/>
          <w:b/>
          <w:color w:val="000000" w:themeColor="text1"/>
          <w:sz w:val="36"/>
          <w:szCs w:val="36"/>
          <w:lang w:eastAsia="zh-CN"/>
          <w14:textFill>
            <w14:solidFill>
              <w14:schemeClr w14:val="tx1"/>
            </w14:solidFill>
          </w14:textFill>
        </w:rPr>
        <w:t>年</w:t>
      </w:r>
      <w:r>
        <w:rPr>
          <w:rFonts w:hint="eastAsia" w:ascii="仿宋" w:hAnsi="仿宋" w:eastAsia="仿宋" w:cs="仿宋"/>
          <w:b/>
          <w:color w:val="000000" w:themeColor="text1"/>
          <w:sz w:val="36"/>
          <w:szCs w:val="36"/>
          <w:lang w:val="en-US" w:eastAsia="zh-CN"/>
          <w14:textFill>
            <w14:solidFill>
              <w14:schemeClr w14:val="tx1"/>
            </w14:solidFill>
          </w14:textFill>
        </w:rPr>
        <w:t>三</w:t>
      </w:r>
      <w:r>
        <w:rPr>
          <w:rFonts w:hint="eastAsia" w:ascii="仿宋" w:hAnsi="仿宋" w:eastAsia="仿宋" w:cs="仿宋"/>
          <w:b/>
          <w:color w:val="000000" w:themeColor="text1"/>
          <w:sz w:val="36"/>
          <w:szCs w:val="36"/>
          <w:lang w:eastAsia="zh-CN"/>
          <w14:textFill>
            <w14:solidFill>
              <w14:schemeClr w14:val="tx1"/>
            </w14:solidFill>
          </w14:textFill>
        </w:rPr>
        <w:t>月</w:t>
      </w:r>
    </w:p>
    <w:p>
      <w:pPr>
        <w:autoSpaceDE w:val="0"/>
        <w:autoSpaceDN w:val="0"/>
        <w:adjustRightInd w:val="0"/>
        <w:jc w:val="center"/>
        <w:rPr>
          <w:rFonts w:hint="eastAsia" w:ascii="仿宋" w:hAnsi="仿宋" w:eastAsia="仿宋" w:cs="仿宋"/>
          <w:b/>
          <w:bCs w:val="0"/>
          <w:color w:val="000000" w:themeColor="text1"/>
          <w:kern w:val="0"/>
          <w:sz w:val="36"/>
          <w:szCs w:val="36"/>
          <w:lang w:eastAsia="zh-CN"/>
          <w14:textFill>
            <w14:solidFill>
              <w14:schemeClr w14:val="tx1"/>
            </w14:solidFill>
          </w14:textFill>
        </w:rPr>
      </w:pPr>
      <w:r>
        <w:rPr>
          <w:rFonts w:hint="eastAsia" w:ascii="仿宋" w:hAnsi="仿宋" w:eastAsia="仿宋" w:cs="仿宋"/>
          <w:b/>
          <w:bCs w:val="0"/>
          <w:color w:val="000000" w:themeColor="text1"/>
          <w:kern w:val="0"/>
          <w:sz w:val="36"/>
          <w:szCs w:val="36"/>
          <w14:textFill>
            <w14:solidFill>
              <w14:schemeClr w14:val="tx1"/>
            </w14:solidFill>
          </w14:textFill>
        </w:rPr>
        <w:t>招标文件</w:t>
      </w:r>
      <w:r>
        <w:rPr>
          <w:rFonts w:hint="eastAsia" w:ascii="仿宋" w:hAnsi="仿宋" w:eastAsia="仿宋" w:cs="仿宋"/>
          <w:b/>
          <w:bCs w:val="0"/>
          <w:color w:val="000000" w:themeColor="text1"/>
          <w:kern w:val="0"/>
          <w:sz w:val="36"/>
          <w:szCs w:val="36"/>
          <w:lang w:eastAsia="zh-CN"/>
          <w14:textFill>
            <w14:solidFill>
              <w14:schemeClr w14:val="tx1"/>
            </w14:solidFill>
          </w14:textFill>
        </w:rPr>
        <w:t>（公开招标）</w:t>
      </w:r>
    </w:p>
    <w:p>
      <w:pPr>
        <w:ind w:firstLine="420" w:firstLineChars="150"/>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 xml:space="preserve">  </w:t>
      </w:r>
    </w:p>
    <w:p>
      <w:pPr>
        <w:autoSpaceDE w:val="0"/>
        <w:autoSpaceDN w:val="0"/>
        <w:adjustRightInd w:val="0"/>
        <w:spacing w:line="680" w:lineRule="exact"/>
        <w:ind w:firstLine="480" w:firstLineChars="200"/>
        <w:jc w:val="both"/>
        <w:rPr>
          <w:rFonts w:hint="eastAsia" w:ascii="仿宋" w:hAnsi="仿宋" w:eastAsia="仿宋" w:cs="仿宋"/>
          <w:bCs/>
          <w:color w:val="000000" w:themeColor="text1"/>
          <w:sz w:val="24"/>
          <w:szCs w:val="24"/>
          <w:lang w:val="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项目名称：</w:t>
      </w:r>
      <w:r>
        <w:rPr>
          <w:rFonts w:hint="eastAsia" w:ascii="仿宋" w:hAnsi="仿宋" w:eastAsia="仿宋" w:cs="仿宋"/>
          <w:bCs/>
          <w:color w:val="000000" w:themeColor="text1"/>
          <w:sz w:val="24"/>
          <w:szCs w:val="24"/>
          <w:lang w:val="zh-CN" w:eastAsia="zh-CN"/>
          <w14:textFill>
            <w14:solidFill>
              <w14:schemeClr w14:val="tx1"/>
            </w14:solidFill>
          </w14:textFill>
        </w:rPr>
        <w:t>和田县2023年蚧类害虫综合防治项目（包一：高氯毒死蜱和石硫合剂采购）-二次</w:t>
      </w:r>
    </w:p>
    <w:p>
      <w:pPr>
        <w:autoSpaceDE w:val="0"/>
        <w:autoSpaceDN w:val="0"/>
        <w:adjustRightInd w:val="0"/>
        <w:spacing w:line="680" w:lineRule="exact"/>
        <w:ind w:firstLine="480" w:firstLineChars="200"/>
        <w:jc w:val="both"/>
        <w:rPr>
          <w:rFonts w:hint="eastAsia" w:ascii="仿宋" w:hAnsi="仿宋" w:eastAsia="仿宋" w:cs="仿宋"/>
          <w:bCs/>
          <w:color w:val="000000" w:themeColor="text1"/>
          <w:sz w:val="24"/>
          <w:szCs w:val="24"/>
          <w:lang w:val="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采购单位：</w:t>
      </w:r>
      <w:r>
        <w:rPr>
          <w:rFonts w:hint="eastAsia" w:ascii="仿宋" w:hAnsi="仿宋" w:eastAsia="仿宋" w:cs="仿宋"/>
          <w:bCs/>
          <w:color w:val="000000" w:themeColor="text1"/>
          <w:sz w:val="24"/>
          <w:szCs w:val="24"/>
          <w:lang w:val="zh-CN" w:eastAsia="zh-CN"/>
          <w14:textFill>
            <w14:solidFill>
              <w14:schemeClr w14:val="tx1"/>
            </w14:solidFill>
          </w14:textFill>
        </w:rPr>
        <w:t>和田县林业和草原</w:t>
      </w:r>
      <w:r>
        <w:rPr>
          <w:rFonts w:hint="eastAsia" w:ascii="仿宋" w:hAnsi="仿宋" w:eastAsia="仿宋" w:cs="仿宋"/>
          <w:bCs/>
          <w:color w:val="000000" w:themeColor="text1"/>
          <w:sz w:val="24"/>
          <w:szCs w:val="24"/>
          <w:lang w:val="zh-CN"/>
          <w14:textFill>
            <w14:solidFill>
              <w14:schemeClr w14:val="tx1"/>
            </w14:solidFill>
          </w14:textFill>
        </w:rPr>
        <w:t>局</w:t>
      </w:r>
    </w:p>
    <w:p>
      <w:pPr>
        <w:autoSpaceDE w:val="0"/>
        <w:autoSpaceDN w:val="0"/>
        <w:adjustRightInd w:val="0"/>
        <w:spacing w:line="680" w:lineRule="exact"/>
        <w:ind w:firstLine="480" w:firstLineChars="200"/>
        <w:jc w:val="both"/>
        <w:rPr>
          <w:rFonts w:hint="eastAsia" w:ascii="仿宋" w:hAnsi="仿宋" w:eastAsia="仿宋" w:cs="仿宋"/>
          <w:bCs/>
          <w:color w:val="0000FF"/>
          <w:sz w:val="24"/>
          <w:szCs w:val="24"/>
          <w:highlight w:val="none"/>
          <w:lang w:val="zh-CN"/>
        </w:rPr>
      </w:pPr>
      <w:r>
        <w:rPr>
          <w:rFonts w:hint="eastAsia" w:ascii="仿宋" w:hAnsi="仿宋" w:eastAsia="仿宋" w:cs="仿宋"/>
          <w:bCs/>
          <w:color w:val="000000" w:themeColor="text1"/>
          <w:sz w:val="24"/>
          <w:szCs w:val="24"/>
          <w:highlight w:val="none"/>
          <w:lang w:val="zh-CN"/>
          <w14:textFill>
            <w14:solidFill>
              <w14:schemeClr w14:val="tx1"/>
            </w14:solidFill>
          </w14:textFill>
        </w:rPr>
        <w:t>联 系 人：</w:t>
      </w:r>
      <w:r>
        <w:rPr>
          <w:rFonts w:hint="eastAsia" w:ascii="仿宋" w:hAnsi="仿宋" w:eastAsia="仿宋" w:cs="仿宋"/>
          <w:bCs/>
          <w:color w:val="000000" w:themeColor="text1"/>
          <w:sz w:val="24"/>
          <w:szCs w:val="24"/>
          <w:highlight w:val="none"/>
          <w:lang w:val="zh-CN" w:eastAsia="zh-CN"/>
          <w14:textFill>
            <w14:solidFill>
              <w14:schemeClr w14:val="tx1"/>
            </w14:solidFill>
          </w14:textFill>
        </w:rPr>
        <w:t>买买托合提·吐孙</w:t>
      </w:r>
    </w:p>
    <w:p>
      <w:pPr>
        <w:autoSpaceDE w:val="0"/>
        <w:autoSpaceDN w:val="0"/>
        <w:adjustRightInd w:val="0"/>
        <w:spacing w:line="680" w:lineRule="exact"/>
        <w:ind w:firstLine="480" w:firstLineChars="200"/>
        <w:jc w:val="both"/>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电    话：</w:t>
      </w:r>
      <w:r>
        <w:rPr>
          <w:rFonts w:hint="eastAsia" w:ascii="仿宋" w:hAnsi="仿宋" w:eastAsia="仿宋" w:cs="仿宋"/>
          <w:bCs/>
          <w:color w:val="000000" w:themeColor="text1"/>
          <w:sz w:val="24"/>
          <w:szCs w:val="24"/>
          <w:highlight w:val="none"/>
          <w:lang w:val="zh-CN" w:eastAsia="zh-CN"/>
          <w14:textFill>
            <w14:solidFill>
              <w14:schemeClr w14:val="tx1"/>
            </w14:solidFill>
          </w14:textFill>
        </w:rPr>
        <w:t>0903-2027687</w:t>
      </w:r>
    </w:p>
    <w:p>
      <w:pPr>
        <w:autoSpaceDE w:val="0"/>
        <w:autoSpaceDN w:val="0"/>
        <w:adjustRightInd w:val="0"/>
        <w:spacing w:line="680" w:lineRule="exact"/>
        <w:rPr>
          <w:rFonts w:hint="eastAsia" w:ascii="仿宋" w:hAnsi="仿宋" w:eastAsia="仿宋" w:cs="仿宋"/>
          <w:bCs/>
          <w:color w:val="000000" w:themeColor="text1"/>
          <w:sz w:val="22"/>
          <w:szCs w:val="22"/>
          <w:lang w:val="zh-CN"/>
          <w14:textFill>
            <w14:solidFill>
              <w14:schemeClr w14:val="tx1"/>
            </w14:solidFill>
          </w14:textFill>
        </w:rPr>
      </w:pPr>
    </w:p>
    <w:p>
      <w:pPr>
        <w:autoSpaceDE w:val="0"/>
        <w:autoSpaceDN w:val="0"/>
        <w:adjustRightInd w:val="0"/>
        <w:spacing w:line="680" w:lineRule="exact"/>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lang w:val="zh-CN"/>
          <w14:textFill>
            <w14:solidFill>
              <w14:schemeClr w14:val="tx1"/>
            </w14:solidFill>
          </w14:textFill>
        </w:rPr>
        <w:t xml:space="preserve"> </w:t>
      </w:r>
      <w:r>
        <w:rPr>
          <w:rFonts w:hint="eastAsia" w:ascii="仿宋" w:hAnsi="仿宋" w:eastAsia="仿宋" w:cs="仿宋"/>
          <w:bCs/>
          <w:color w:val="000000" w:themeColor="text1"/>
          <w:sz w:val="22"/>
          <w:szCs w:val="22"/>
          <w14:textFill>
            <w14:solidFill>
              <w14:schemeClr w14:val="tx1"/>
            </w14:solidFill>
          </w14:textFill>
        </w:rPr>
        <w:t xml:space="preserve">   </w:t>
      </w:r>
    </w:p>
    <w:p>
      <w:pPr>
        <w:pStyle w:val="2"/>
        <w:rPr>
          <w:rFonts w:hint="eastAsia" w:ascii="仿宋" w:hAnsi="仿宋" w:eastAsia="仿宋" w:cs="仿宋"/>
          <w:bCs/>
          <w:color w:val="000000" w:themeColor="text1"/>
          <w:sz w:val="22"/>
          <w:szCs w:val="22"/>
          <w14:textFill>
            <w14:solidFill>
              <w14:schemeClr w14:val="tx1"/>
            </w14:solidFill>
          </w14:textFill>
        </w:rPr>
      </w:pPr>
    </w:p>
    <w:p>
      <w:pPr>
        <w:pStyle w:val="5"/>
        <w:rPr>
          <w:rFonts w:hint="eastAsia" w:ascii="仿宋" w:hAnsi="仿宋" w:eastAsia="仿宋" w:cs="仿宋"/>
          <w:lang w:val="zh-CN"/>
        </w:rPr>
      </w:pPr>
    </w:p>
    <w:p>
      <w:pPr>
        <w:autoSpaceDE w:val="0"/>
        <w:autoSpaceDN w:val="0"/>
        <w:adjustRightInd w:val="0"/>
        <w:spacing w:line="680" w:lineRule="exact"/>
        <w:rPr>
          <w:rFonts w:hint="eastAsia" w:ascii="仿宋" w:hAnsi="仿宋" w:eastAsia="仿宋" w:cs="仿宋"/>
          <w:bCs/>
          <w:color w:val="000000" w:themeColor="text1"/>
          <w:sz w:val="24"/>
          <w:szCs w:val="28"/>
          <w14:textFill>
            <w14:solidFill>
              <w14:schemeClr w14:val="tx1"/>
            </w14:solidFill>
          </w14:textFill>
        </w:rPr>
      </w:pPr>
      <w:r>
        <w:rPr>
          <w:rFonts w:hint="eastAsia" w:ascii="仿宋" w:hAnsi="仿宋" w:eastAsia="仿宋" w:cs="仿宋"/>
          <w:bCs/>
          <w:color w:val="000000" w:themeColor="text1"/>
          <w:sz w:val="24"/>
          <w:szCs w:val="28"/>
          <w14:textFill>
            <w14:solidFill>
              <w14:schemeClr w14:val="tx1"/>
            </w14:solidFill>
          </w14:textFill>
        </w:rPr>
        <w:t xml:space="preserve">     ----------------------------------------------------------- </w:t>
      </w:r>
    </w:p>
    <w:p>
      <w:pPr>
        <w:autoSpaceDE w:val="0"/>
        <w:autoSpaceDN w:val="0"/>
        <w:adjustRightInd w:val="0"/>
        <w:spacing w:line="680" w:lineRule="exact"/>
        <w:ind w:left="1077" w:leftChars="513"/>
        <w:rPr>
          <w:rFonts w:hint="eastAsia" w:ascii="仿宋" w:hAnsi="仿宋" w:eastAsia="仿宋" w:cs="仿宋"/>
          <w:bCs/>
          <w:color w:val="000000" w:themeColor="text1"/>
          <w:sz w:val="24"/>
          <w:szCs w:val="28"/>
          <w:lang w:val="zh-CN"/>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2"/>
          <w:szCs w:val="22"/>
          <w:lang w:val="zh-CN"/>
          <w14:textFill>
            <w14:solidFill>
              <w14:schemeClr w14:val="tx1"/>
            </w14:solidFill>
          </w14:textFill>
        </w:rPr>
      </w:pPr>
    </w:p>
    <w:p>
      <w:pPr>
        <w:pStyle w:val="42"/>
        <w:rPr>
          <w:rFonts w:hint="eastAsia" w:ascii="仿宋" w:hAnsi="仿宋" w:eastAsia="仿宋" w:cs="仿宋"/>
          <w:color w:val="000000" w:themeColor="text1"/>
          <w:sz w:val="22"/>
          <w:szCs w:val="22"/>
          <w:lang w:val="zh-CN"/>
          <w14:textFill>
            <w14:solidFill>
              <w14:schemeClr w14:val="tx1"/>
            </w14:solidFill>
          </w14:textFill>
        </w:rPr>
      </w:pPr>
    </w:p>
    <w:p>
      <w:pPr>
        <w:pStyle w:val="42"/>
        <w:rPr>
          <w:rFonts w:hint="eastAsia" w:ascii="仿宋" w:hAnsi="仿宋" w:eastAsia="仿宋" w:cs="仿宋"/>
          <w:color w:val="000000" w:themeColor="text1"/>
          <w:sz w:val="22"/>
          <w:szCs w:val="22"/>
          <w:lang w:val="zh-CN"/>
          <w14:textFill>
            <w14:solidFill>
              <w14:schemeClr w14:val="tx1"/>
            </w14:solidFill>
          </w14:textFill>
        </w:rPr>
      </w:pPr>
    </w:p>
    <w:p>
      <w:pPr>
        <w:rPr>
          <w:rFonts w:hint="eastAsia"/>
          <w:lang w:val="zh-CN"/>
        </w:rPr>
      </w:pPr>
    </w:p>
    <w:p>
      <w:pPr>
        <w:autoSpaceDE w:val="0"/>
        <w:autoSpaceDN w:val="0"/>
        <w:adjustRightInd w:val="0"/>
        <w:spacing w:line="680" w:lineRule="exact"/>
        <w:ind w:firstLine="480" w:firstLineChars="200"/>
        <w:jc w:val="left"/>
        <w:rPr>
          <w:rFonts w:hint="eastAsia" w:ascii="仿宋" w:hAnsi="仿宋" w:eastAsia="仿宋" w:cs="仿宋"/>
          <w:bCs/>
          <w:color w:val="000000" w:themeColor="text1"/>
          <w:sz w:val="24"/>
          <w:szCs w:val="24"/>
          <w:lang w:val="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 xml:space="preserve">招标代理机构：新疆庆信达项目管理有限公司 </w:t>
      </w:r>
    </w:p>
    <w:p>
      <w:pPr>
        <w:autoSpaceDE w:val="0"/>
        <w:autoSpaceDN w:val="0"/>
        <w:adjustRightInd w:val="0"/>
        <w:spacing w:line="680" w:lineRule="exact"/>
        <w:ind w:firstLine="480" w:firstLineChars="200"/>
        <w:jc w:val="left"/>
        <w:rPr>
          <w:rFonts w:hint="eastAsia" w:ascii="仿宋" w:hAnsi="仿宋" w:eastAsia="仿宋" w:cs="仿宋"/>
          <w:bCs/>
          <w:color w:val="000000" w:themeColor="text1"/>
          <w:sz w:val="24"/>
          <w:szCs w:val="24"/>
          <w:lang w:val="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联 系 人：石玉环</w:t>
      </w:r>
    </w:p>
    <w:p>
      <w:pPr>
        <w:autoSpaceDE w:val="0"/>
        <w:autoSpaceDN w:val="0"/>
        <w:adjustRightInd w:val="0"/>
        <w:spacing w:line="680" w:lineRule="exact"/>
        <w:ind w:firstLine="480" w:firstLineChars="200"/>
        <w:jc w:val="left"/>
        <w:rPr>
          <w:rFonts w:hint="eastAsia" w:ascii="仿宋" w:hAnsi="仿宋" w:eastAsia="仿宋" w:cs="仿宋"/>
          <w:bCs/>
          <w:color w:val="000000" w:themeColor="text1"/>
          <w:sz w:val="24"/>
          <w:szCs w:val="24"/>
          <w:lang w:val="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电    话：0903-7820626</w:t>
      </w:r>
    </w:p>
    <w:p>
      <w:pPr>
        <w:autoSpaceDE w:val="0"/>
        <w:autoSpaceDN w:val="0"/>
        <w:adjustRightInd w:val="0"/>
        <w:spacing w:line="680" w:lineRule="exact"/>
        <w:ind w:firstLine="480" w:firstLineChars="200"/>
        <w:jc w:val="left"/>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详细地址：和田市人民街18号玉都国际广场金座</w:t>
      </w:r>
      <w:r>
        <w:rPr>
          <w:rFonts w:hint="eastAsia" w:ascii="仿宋" w:hAnsi="仿宋" w:eastAsia="仿宋" w:cs="仿宋"/>
          <w:bCs/>
          <w:color w:val="000000" w:themeColor="text1"/>
          <w:sz w:val="24"/>
          <w:szCs w:val="24"/>
          <w:lang w:val="en-US" w:eastAsia="zh-CN"/>
          <w14:textFill>
            <w14:solidFill>
              <w14:schemeClr w14:val="tx1"/>
            </w14:solidFill>
          </w14:textFill>
        </w:rPr>
        <w:t xml:space="preserve">703室 </w:t>
      </w:r>
    </w:p>
    <w:p>
      <w:pPr>
        <w:spacing w:line="360" w:lineRule="auto"/>
        <w:jc w:val="both"/>
        <w:rPr>
          <w:rFonts w:hint="eastAsia" w:ascii="仿宋" w:hAnsi="仿宋" w:eastAsia="仿宋" w:cs="仿宋"/>
          <w:b/>
          <w:color w:val="auto"/>
          <w:sz w:val="28"/>
          <w:szCs w:val="28"/>
        </w:rPr>
      </w:pPr>
    </w:p>
    <w:p>
      <w:pPr>
        <w:spacing w:line="360" w:lineRule="auto"/>
        <w:jc w:val="both"/>
        <w:rPr>
          <w:rFonts w:hint="eastAsia" w:ascii="仿宋" w:hAnsi="仿宋" w:eastAsia="仿宋" w:cs="仿宋"/>
          <w:b/>
          <w:color w:val="auto"/>
          <w:sz w:val="28"/>
          <w:szCs w:val="28"/>
        </w:rPr>
      </w:pPr>
    </w:p>
    <w:p>
      <w:pPr>
        <w:spacing w:line="360" w:lineRule="auto"/>
        <w:jc w:val="both"/>
        <w:rPr>
          <w:rFonts w:hint="eastAsia" w:ascii="仿宋" w:hAnsi="仿宋" w:eastAsia="仿宋" w:cs="仿宋"/>
          <w:b/>
          <w:color w:val="auto"/>
          <w:sz w:val="28"/>
          <w:szCs w:val="28"/>
        </w:rPr>
      </w:pPr>
      <w:r>
        <w:rPr>
          <w:rFonts w:hint="eastAsia" w:ascii="仿宋" w:hAnsi="仿宋" w:eastAsia="仿宋" w:cs="仿宋"/>
          <w:b/>
          <w:color w:val="auto"/>
          <w:sz w:val="28"/>
          <w:szCs w:val="28"/>
        </w:rPr>
        <w:t>政府采购管理机构备案登记栏：</w:t>
      </w:r>
    </w:p>
    <w:tbl>
      <w:tblPr>
        <w:tblStyle w:val="43"/>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trPr>
        <w:tc>
          <w:tcPr>
            <w:tcW w:w="8385" w:type="dxa"/>
          </w:tcPr>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本文件已报备</w:t>
            </w: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autoSpaceDE w:val="0"/>
              <w:autoSpaceDN w:val="0"/>
              <w:adjustRightInd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和田县2023年蚧类害虫综合防治项目（包一：高氯毒死蜱和石硫合剂采购）-二</w:t>
            </w:r>
            <w:r>
              <w:rPr>
                <w:rFonts w:hint="eastAsia" w:ascii="仿宋" w:hAnsi="仿宋" w:eastAsia="仿宋" w:cs="仿宋"/>
                <w:color w:val="auto"/>
                <w:sz w:val="28"/>
                <w:szCs w:val="28"/>
                <w:lang w:val="zh-CN" w:eastAsia="zh-CN"/>
              </w:rPr>
              <w:t>次</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7"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1312;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JpVu2gAAAAoBAAAPAAAAAAAAAAEAIAAAACIA&#10;AABkcnMvZG93bnJldi54bWxQSwECFAAUAAAACACHTuJAQvWZoM4BAACLAwAADgAAAAAAAAABACAA&#10;AAApAQAAZHJzL2Uyb0RvYy54bWxQSwUGAAAAAAYABgBZAQAAaQ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备案日期：</w:t>
            </w:r>
            <w:r>
              <w:rPr>
                <w:rFonts w:hint="eastAsia" w:ascii="仿宋" w:hAnsi="仿宋" w:eastAsia="仿宋" w:cs="仿宋"/>
                <w:color w:val="auto"/>
                <w:sz w:val="28"/>
                <w:szCs w:val="28"/>
                <w:lang w:val="en-US" w:eastAsia="zh-CN"/>
              </w:rPr>
              <w:t>2023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bl>
    <w:p>
      <w:pPr>
        <w:spacing w:line="360" w:lineRule="auto"/>
        <w:ind w:right="560" w:firstLine="4340" w:firstLineChars="155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和田县</w:t>
      </w:r>
      <w:r>
        <w:rPr>
          <w:rFonts w:hint="eastAsia" w:ascii="仿宋" w:hAnsi="仿宋" w:eastAsia="仿宋" w:cs="仿宋"/>
          <w:color w:val="auto"/>
          <w:sz w:val="28"/>
          <w:szCs w:val="28"/>
        </w:rPr>
        <w:t>政府采购</w:t>
      </w:r>
      <w:r>
        <w:rPr>
          <w:rFonts w:hint="eastAsia" w:ascii="仿宋" w:hAnsi="仿宋" w:eastAsia="仿宋" w:cs="仿宋"/>
          <w:color w:val="auto"/>
          <w:sz w:val="28"/>
          <w:szCs w:val="28"/>
          <w:lang w:eastAsia="zh-CN"/>
        </w:rPr>
        <w:t>管理</w:t>
      </w:r>
      <w:r>
        <w:rPr>
          <w:rFonts w:hint="eastAsia" w:ascii="仿宋" w:hAnsi="仿宋" w:eastAsia="仿宋" w:cs="仿宋"/>
          <w:color w:val="auto"/>
          <w:sz w:val="28"/>
          <w:szCs w:val="28"/>
        </w:rPr>
        <w:t>办公室</w:t>
      </w:r>
    </w:p>
    <w:p>
      <w:pPr>
        <w:spacing w:line="360" w:lineRule="auto"/>
        <w:rPr>
          <w:rFonts w:hint="eastAsia" w:ascii="仿宋" w:hAnsi="仿宋" w:eastAsia="仿宋" w:cs="仿宋"/>
          <w:color w:val="auto"/>
          <w:highlight w:val="none"/>
        </w:rPr>
      </w:pPr>
    </w:p>
    <w:p>
      <w:pPr>
        <w:autoSpaceDE w:val="0"/>
        <w:autoSpaceDN w:val="0"/>
        <w:adjustRightInd w:val="0"/>
        <w:spacing w:line="240" w:lineRule="auto"/>
        <w:jc w:val="center"/>
        <w:rPr>
          <w:rFonts w:hint="eastAsia" w:ascii="仿宋" w:hAnsi="仿宋" w:eastAsia="仿宋" w:cs="仿宋"/>
          <w:color w:val="auto"/>
          <w:kern w:val="0"/>
          <w:sz w:val="36"/>
          <w:szCs w:val="36"/>
          <w:highlight w:val="none"/>
        </w:rPr>
      </w:pPr>
    </w:p>
    <w:p>
      <w:pPr>
        <w:autoSpaceDE w:val="0"/>
        <w:autoSpaceDN w:val="0"/>
        <w:adjustRightInd w:val="0"/>
        <w:spacing w:line="600" w:lineRule="auto"/>
        <w:jc w:val="center"/>
        <w:rPr>
          <w:rFonts w:hint="eastAsia" w:ascii="仿宋" w:hAnsi="仿宋" w:eastAsia="仿宋" w:cs="仿宋"/>
          <w:color w:val="auto"/>
          <w:kern w:val="0"/>
          <w:sz w:val="36"/>
          <w:szCs w:val="36"/>
          <w:highlight w:val="none"/>
        </w:rPr>
      </w:pPr>
      <w:r>
        <w:rPr>
          <w:rFonts w:hint="eastAsia" w:ascii="仿宋" w:hAnsi="仿宋" w:eastAsia="仿宋" w:cs="仿宋"/>
          <w:color w:val="auto"/>
          <w:kern w:val="0"/>
          <w:sz w:val="36"/>
          <w:szCs w:val="36"/>
          <w:highlight w:val="none"/>
        </w:rPr>
        <w:t>目  录</w:t>
      </w:r>
    </w:p>
    <w:p>
      <w:pPr>
        <w:pStyle w:val="31"/>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"1-9" \f \h \u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_Toc31121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eastAsia="zh-CN"/>
        </w:rPr>
        <w:t>第一部分</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采购公告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1"/>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_Toc25035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第二部分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1"/>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_Toc10179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6"/>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_Toc27167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6"/>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_Toc26927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第二章 </w:t>
      </w:r>
      <w:r>
        <w:rPr>
          <w:rFonts w:hint="eastAsia" w:ascii="仿宋" w:hAnsi="仿宋" w:eastAsia="仿宋" w:cs="仿宋"/>
          <w:color w:val="auto"/>
          <w:sz w:val="24"/>
          <w:szCs w:val="24"/>
          <w:highlight w:val="none"/>
          <w:lang w:val="en-US" w:eastAsia="zh-CN"/>
        </w:rPr>
        <w:t>评标办法及标准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6"/>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_Toc29633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第三章</w:t>
      </w:r>
      <w:r>
        <w:rPr>
          <w:rFonts w:hint="eastAsia" w:ascii="仿宋" w:hAnsi="仿宋" w:eastAsia="仿宋" w:cs="仿宋"/>
          <w:color w:val="auto"/>
          <w:sz w:val="24"/>
          <w:szCs w:val="24"/>
          <w:highlight w:val="none"/>
          <w:lang w:val="en-US" w:eastAsia="zh-CN"/>
        </w:rPr>
        <w:t xml:space="preserve"> 采购需求、技术参数、规格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1"/>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_Toc13536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 xml:space="preserve">第四章 </w:t>
      </w:r>
      <w:r>
        <w:rPr>
          <w:rFonts w:hint="eastAsia" w:ascii="仿宋" w:hAnsi="仿宋" w:eastAsia="仿宋" w:cs="仿宋"/>
          <w:bCs/>
          <w:color w:val="auto"/>
          <w:sz w:val="24"/>
          <w:szCs w:val="24"/>
          <w:highlight w:val="none"/>
          <w:lang w:eastAsia="zh-CN"/>
        </w:rPr>
        <w:t>采购合同范本</w:t>
      </w:r>
      <w:r>
        <w:rPr>
          <w:rFonts w:hint="eastAsia" w:ascii="仿宋" w:hAnsi="仿宋" w:eastAsia="仿宋" w:cs="仿宋"/>
          <w:bCs/>
          <w:color w:val="auto"/>
          <w:sz w:val="24"/>
          <w:szCs w:val="24"/>
          <w:highlight w:val="none"/>
        </w:rPr>
        <w:t>（仅供参考）</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1"/>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_Toc5124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第五章</w:t>
      </w:r>
      <w:r>
        <w:rPr>
          <w:rFonts w:hint="eastAsia" w:ascii="仿宋" w:hAnsi="仿宋" w:eastAsia="仿宋" w:cs="仿宋"/>
          <w:color w:val="auto"/>
          <w:sz w:val="24"/>
          <w:szCs w:val="24"/>
          <w:highlight w:val="none"/>
          <w:lang w:val="en-US" w:eastAsia="zh-CN"/>
        </w:rPr>
        <w:t xml:space="preserve"> 投标文件内容及格式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pPr>
        <w:pStyle w:val="3"/>
        <w:outlineLvl w:val="0"/>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pPr>
        <w:autoSpaceDE w:val="0"/>
        <w:autoSpaceDN w:val="0"/>
        <w:adjustRightInd w:val="0"/>
        <w:spacing w:line="600" w:lineRule="auto"/>
        <w:ind w:left="2"/>
        <w:rPr>
          <w:rFonts w:hint="eastAsia" w:ascii="仿宋" w:hAnsi="仿宋" w:eastAsia="仿宋" w:cs="仿宋"/>
          <w:color w:val="auto"/>
          <w:kern w:val="0"/>
          <w:sz w:val="28"/>
          <w:szCs w:val="28"/>
          <w:highlight w:val="none"/>
        </w:rPr>
      </w:pPr>
    </w:p>
    <w:p>
      <w:pPr>
        <w:pStyle w:val="5"/>
        <w:rPr>
          <w:rFonts w:hint="eastAsia" w:ascii="仿宋" w:hAnsi="仿宋" w:eastAsia="仿宋" w:cs="仿宋"/>
          <w:color w:val="auto"/>
          <w:kern w:val="0"/>
          <w:sz w:val="28"/>
          <w:szCs w:val="28"/>
          <w:highlight w:val="none"/>
        </w:rPr>
      </w:pPr>
    </w:p>
    <w:p>
      <w:pPr>
        <w:rPr>
          <w:rFonts w:hint="eastAsia" w:ascii="仿宋" w:hAnsi="仿宋" w:eastAsia="仿宋" w:cs="仿宋"/>
          <w:color w:val="auto"/>
          <w:kern w:val="0"/>
          <w:sz w:val="28"/>
          <w:szCs w:val="28"/>
          <w:highlight w:val="none"/>
        </w:rPr>
      </w:pPr>
    </w:p>
    <w:p>
      <w:pPr>
        <w:pStyle w:val="5"/>
        <w:rPr>
          <w:rFonts w:hint="eastAsia" w:ascii="仿宋" w:hAnsi="仿宋" w:eastAsia="仿宋" w:cs="仿宋"/>
          <w:color w:val="auto"/>
          <w:kern w:val="0"/>
          <w:sz w:val="28"/>
          <w:szCs w:val="28"/>
          <w:highlight w:val="none"/>
        </w:rPr>
      </w:pPr>
    </w:p>
    <w:p>
      <w:pPr>
        <w:rPr>
          <w:rFonts w:hint="eastAsia"/>
        </w:rPr>
      </w:pPr>
    </w:p>
    <w:p>
      <w:pPr>
        <w:rPr>
          <w:rFonts w:hint="eastAsia" w:ascii="仿宋" w:hAnsi="仿宋" w:eastAsia="仿宋" w:cs="仿宋"/>
          <w:color w:val="auto"/>
          <w:kern w:val="0"/>
          <w:sz w:val="28"/>
          <w:szCs w:val="28"/>
          <w:highlight w:val="none"/>
        </w:rPr>
      </w:pPr>
    </w:p>
    <w:p>
      <w:pPr>
        <w:pStyle w:val="34"/>
        <w:rPr>
          <w:rFonts w:hint="eastAsia"/>
        </w:rPr>
      </w:pPr>
    </w:p>
    <w:p>
      <w:pPr>
        <w:spacing w:line="360" w:lineRule="auto"/>
        <w:jc w:val="center"/>
        <w:outlineLvl w:val="0"/>
        <w:rPr>
          <w:rFonts w:hint="eastAsia" w:ascii="仿宋" w:hAnsi="仿宋" w:eastAsia="仿宋" w:cs="仿宋"/>
          <w:b/>
          <w:color w:val="auto"/>
          <w:sz w:val="36"/>
          <w:szCs w:val="36"/>
          <w:highlight w:val="none"/>
          <w:lang w:eastAsia="zh-CN"/>
        </w:rPr>
      </w:pPr>
      <w:bookmarkStart w:id="0" w:name="_Toc14876"/>
      <w:bookmarkStart w:id="1" w:name="_Toc27002"/>
      <w:bookmarkStart w:id="2" w:name="_Toc5064"/>
      <w:bookmarkStart w:id="3" w:name="_Toc15770"/>
      <w:bookmarkStart w:id="4" w:name="_Toc15231"/>
      <w:bookmarkStart w:id="5" w:name="_Toc30491"/>
      <w:bookmarkStart w:id="6" w:name="_Toc30559"/>
      <w:bookmarkStart w:id="7" w:name="_Toc19282"/>
      <w:bookmarkStart w:id="8" w:name="_Toc25035"/>
      <w:bookmarkStart w:id="9" w:name="_Toc1277"/>
      <w:r>
        <w:rPr>
          <w:rFonts w:hint="eastAsia" w:ascii="仿宋" w:hAnsi="仿宋" w:eastAsia="仿宋" w:cs="仿宋"/>
          <w:b/>
          <w:color w:val="auto"/>
          <w:sz w:val="36"/>
          <w:szCs w:val="36"/>
          <w:highlight w:val="none"/>
          <w:lang w:val="en-US" w:eastAsia="zh-CN"/>
        </w:rPr>
        <w:t xml:space="preserve">第一部分  </w:t>
      </w:r>
      <w:r>
        <w:rPr>
          <w:rFonts w:hint="eastAsia" w:ascii="仿宋" w:hAnsi="仿宋" w:eastAsia="仿宋" w:cs="仿宋"/>
          <w:b/>
          <w:color w:val="auto"/>
          <w:sz w:val="36"/>
          <w:szCs w:val="36"/>
          <w:highlight w:val="none"/>
          <w:lang w:eastAsia="zh-CN"/>
        </w:rPr>
        <w:t>采购公告</w:t>
      </w:r>
    </w:p>
    <w:bookmarkEnd w:id="0"/>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32"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和田县2023年蚧类害虫综合防治项目（包一：高氯毒死蜱和石硫</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32"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合剂采购）-二次公开招标</w:t>
      </w:r>
      <w:r>
        <w:rPr>
          <w:rFonts w:hint="eastAsia" w:ascii="仿宋" w:hAnsi="仿宋" w:eastAsia="仿宋" w:cs="仿宋"/>
          <w:sz w:val="28"/>
          <w:szCs w:val="28"/>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32"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sz w:val="24"/>
          <w:szCs w:val="24"/>
          <w:u w:val="single"/>
        </w:rPr>
        <w:t>和田县2023年蚧类害虫综合防治项目（包一：高氯毒死蜱和石硫合剂采购）-二次的潜在供应商</w:t>
      </w:r>
      <w:r>
        <w:rPr>
          <w:rFonts w:hint="eastAsia" w:ascii="仿宋" w:hAnsi="仿宋" w:eastAsia="仿宋" w:cs="仿宋"/>
          <w:sz w:val="24"/>
          <w:szCs w:val="24"/>
          <w:u w:val="single"/>
          <w:lang w:eastAsia="zh-CN"/>
        </w:rPr>
        <w:t>应在政采云平台：</w:t>
      </w:r>
      <w:r>
        <w:rPr>
          <w:rFonts w:hint="eastAsia" w:ascii="仿宋" w:hAnsi="仿宋" w:eastAsia="仿宋" w:cs="仿宋"/>
          <w:sz w:val="24"/>
          <w:szCs w:val="24"/>
          <w:highlight w:val="none"/>
          <w:u w:val="single"/>
          <w:lang w:eastAsia="zh-CN"/>
        </w:rPr>
        <w:fldChar w:fldCharType="begin"/>
      </w:r>
      <w:r>
        <w:rPr>
          <w:rFonts w:hint="eastAsia" w:ascii="仿宋" w:hAnsi="仿宋" w:eastAsia="仿宋" w:cs="仿宋"/>
          <w:sz w:val="24"/>
          <w:szCs w:val="24"/>
          <w:highlight w:val="none"/>
          <w:u w:val="single"/>
          <w:lang w:eastAsia="zh-CN"/>
        </w:rPr>
        <w:instrText xml:space="preserve"> HYPERLINK "https://www.zcygov.cn/线上获取获取招标文件，并于2022年07月" </w:instrText>
      </w:r>
      <w:r>
        <w:rPr>
          <w:rFonts w:hint="eastAsia" w:ascii="仿宋" w:hAnsi="仿宋" w:eastAsia="仿宋" w:cs="仿宋"/>
          <w:sz w:val="24"/>
          <w:szCs w:val="24"/>
          <w:highlight w:val="none"/>
          <w:u w:val="single"/>
          <w:lang w:eastAsia="zh-CN"/>
        </w:rPr>
        <w:fldChar w:fldCharType="separate"/>
      </w:r>
      <w:r>
        <w:rPr>
          <w:rFonts w:hint="eastAsia" w:ascii="仿宋" w:hAnsi="仿宋" w:eastAsia="仿宋" w:cs="仿宋"/>
          <w:sz w:val="24"/>
          <w:szCs w:val="24"/>
          <w:highlight w:val="none"/>
          <w:u w:val="single"/>
          <w:lang w:eastAsia="zh-CN"/>
        </w:rPr>
        <w:t>https://www.zcygov.cn/线上获取招标文件，并于202</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u w:val="single"/>
          <w:lang w:eastAsia="zh-CN"/>
        </w:rPr>
        <w:t>年</w:t>
      </w:r>
      <w:r>
        <w:rPr>
          <w:rFonts w:hint="eastAsia" w:ascii="仿宋" w:hAnsi="仿宋" w:eastAsia="仿宋" w:cs="仿宋"/>
          <w:sz w:val="24"/>
          <w:szCs w:val="24"/>
          <w:highlight w:val="none"/>
          <w:u w:val="single"/>
          <w:lang w:val="en-US" w:eastAsia="zh-CN"/>
        </w:rPr>
        <w:t>04</w:t>
      </w:r>
      <w:r>
        <w:rPr>
          <w:rFonts w:hint="eastAsia" w:ascii="仿宋" w:hAnsi="仿宋" w:eastAsia="仿宋" w:cs="仿宋"/>
          <w:sz w:val="24"/>
          <w:szCs w:val="24"/>
          <w:highlight w:val="none"/>
          <w:u w:val="single"/>
          <w:lang w:eastAsia="zh-CN"/>
        </w:rPr>
        <w:t>月</w:t>
      </w:r>
      <w:r>
        <w:rPr>
          <w:rFonts w:hint="eastAsia" w:ascii="仿宋" w:hAnsi="仿宋" w:eastAsia="仿宋" w:cs="仿宋"/>
          <w:sz w:val="24"/>
          <w:szCs w:val="24"/>
          <w:highlight w:val="none"/>
          <w:u w:val="single"/>
          <w:lang w:eastAsia="zh-CN"/>
        </w:rPr>
        <w:fldChar w:fldCharType="end"/>
      </w:r>
      <w:r>
        <w:rPr>
          <w:rFonts w:hint="eastAsia" w:ascii="仿宋" w:hAnsi="仿宋" w:eastAsia="仿宋" w:cs="仿宋"/>
          <w:color w:val="auto"/>
          <w:sz w:val="24"/>
          <w:szCs w:val="24"/>
          <w:highlight w:val="none"/>
          <w:u w:val="single"/>
          <w:lang w:val="en-US" w:eastAsia="zh-CN"/>
        </w:rPr>
        <w:t>20日</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rPr>
        <w:t>点</w:t>
      </w:r>
      <w:r>
        <w:rPr>
          <w:rFonts w:hint="eastAsia" w:ascii="仿宋" w:hAnsi="仿宋" w:eastAsia="仿宋" w:cs="仿宋"/>
          <w:color w:val="auto"/>
          <w:sz w:val="24"/>
          <w:szCs w:val="24"/>
          <w:u w:val="single"/>
          <w:lang w:val="en-US" w:eastAsia="zh-CN"/>
        </w:rPr>
        <w:t>00</w:t>
      </w:r>
      <w:r>
        <w:rPr>
          <w:rFonts w:hint="eastAsia" w:ascii="仿宋" w:hAnsi="仿宋" w:eastAsia="仿宋" w:cs="仿宋"/>
          <w:color w:val="auto"/>
          <w:sz w:val="24"/>
          <w:szCs w:val="24"/>
          <w:u w:val="single"/>
        </w:rPr>
        <w:t>分（北京时间）前提交响应文件。</w:t>
      </w:r>
    </w:p>
    <w:p>
      <w:pPr>
        <w:keepNext w:val="0"/>
        <w:keepLines w:val="0"/>
        <w:pageBreakBefore w:val="0"/>
        <w:widowControl w:val="0"/>
        <w:kinsoku/>
        <w:wordWrap/>
        <w:overflowPunct/>
        <w:topLinePunct w:val="0"/>
        <w:autoSpaceDE/>
        <w:autoSpaceDN/>
        <w:bidi w:val="0"/>
        <w:adjustRightInd/>
        <w:snapToGrid w:val="0"/>
        <w:spacing w:line="332" w:lineRule="auto"/>
        <w:ind w:firstLine="241" w:firstLineChars="100"/>
        <w:textAlignment w:val="auto"/>
        <w:rPr>
          <w:rFonts w:hint="eastAsia" w:ascii="仿宋" w:hAnsi="仿宋" w:eastAsia="仿宋" w:cs="仿宋"/>
          <w:b/>
          <w:bCs/>
          <w:sz w:val="24"/>
          <w:szCs w:val="24"/>
        </w:rPr>
      </w:pPr>
      <w:bookmarkStart w:id="10" w:name="_Toc35393629"/>
      <w:bookmarkStart w:id="11" w:name="_Toc28359012"/>
      <w:bookmarkStart w:id="12" w:name="_Toc28359089"/>
      <w:bookmarkStart w:id="13" w:name="_Toc14464"/>
      <w:bookmarkStart w:id="14" w:name="_Toc11674"/>
      <w:bookmarkStart w:id="15" w:name="_Toc35393798"/>
      <w:r>
        <w:rPr>
          <w:rFonts w:hint="eastAsia" w:ascii="仿宋" w:hAnsi="仿宋" w:eastAsia="仿宋" w:cs="仿宋"/>
          <w:b/>
          <w:bCs/>
          <w:sz w:val="24"/>
          <w:szCs w:val="24"/>
        </w:rPr>
        <w:t>一、项目基本情况</w:t>
      </w:r>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项目编号：HTXZFCG（2023FS）006-1号</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项目名称：和田县2023年蚧类害虫综合防治项目（包一：高氯毒死蜱和石硫合剂采购）-二次</w:t>
      </w:r>
    </w:p>
    <w:p>
      <w:pPr>
        <w:pStyle w:val="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采购方式：公开招标</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预算金额：1423500.00元</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最高限价（如有）：1423500.00元</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采购需求：高氯毒死蜱和石硫合剂采购；具体参数详见招标文件。</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资金来源：2023年中央财政林业草原生态保护恢复资金（国有林保护修复—林业有害生物防治补助资金）</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合同履行期限：以签订合同为准</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本项目（否）接受联合体</w:t>
      </w:r>
      <w:bookmarkStart w:id="16" w:name="_Toc35393799"/>
      <w:bookmarkStart w:id="17" w:name="_Toc28359013"/>
      <w:bookmarkStart w:id="18" w:name="_Toc3275"/>
      <w:bookmarkStart w:id="19" w:name="_Toc10197"/>
      <w:bookmarkStart w:id="20" w:name="_Toc28359090"/>
      <w:bookmarkStart w:id="21" w:name="_Toc35393630"/>
    </w:p>
    <w:p>
      <w:pPr>
        <w:keepNext w:val="0"/>
        <w:keepLines w:val="0"/>
        <w:pageBreakBefore w:val="0"/>
        <w:widowControl w:val="0"/>
        <w:kinsoku/>
        <w:wordWrap/>
        <w:overflowPunct/>
        <w:topLinePunct w:val="0"/>
        <w:autoSpaceDE/>
        <w:autoSpaceDN/>
        <w:bidi w:val="0"/>
        <w:adjustRightInd/>
        <w:snapToGrid w:val="0"/>
        <w:spacing w:line="332" w:lineRule="auto"/>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rPr>
      </w:pPr>
      <w:bookmarkStart w:id="22" w:name="_Toc28359091"/>
      <w:bookmarkStart w:id="23" w:name="_Toc28359014"/>
      <w:bookmarkStart w:id="24" w:name="_Toc35393800"/>
      <w:bookmarkStart w:id="25" w:name="_Toc35393631"/>
      <w:bookmarkStart w:id="26" w:name="_Toc17402"/>
      <w:bookmarkStart w:id="27" w:name="_Toc20889"/>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（2）本项目专门面向中小企业(含监狱企业、残疾人福利单位)采购；</w:t>
      </w:r>
    </w:p>
    <w:bookmarkEnd w:id="22"/>
    <w:bookmarkEnd w:id="23"/>
    <w:bookmarkEnd w:id="24"/>
    <w:bookmarkEnd w:id="25"/>
    <w:bookmarkEnd w:id="26"/>
    <w:bookmarkEnd w:id="27"/>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（3）具有有效经年检合格的“三证合一”营业执照；</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（4）法定代表人开标应附《法定代表人身份证明书》及身份证复印件，委托代理人开标应附《法定代表人授权委托书》及身份证复印件；</w:t>
      </w:r>
    </w:p>
    <w:p>
      <w:pPr>
        <w:pStyle w:val="2"/>
        <w:keepNext w:val="0"/>
        <w:keepLines w:val="0"/>
        <w:pageBreakBefore w:val="0"/>
        <w:widowControl w:val="0"/>
        <w:kinsoku/>
        <w:wordWrap/>
        <w:overflowPunct/>
        <w:topLinePunct w:val="0"/>
        <w:bidi w:val="0"/>
        <w:spacing w:line="332"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（5）提供本单位缴纳的近三个月（近三个月是指2023年1月-3月）社保缴纳证明（社保缴费凭证，新成立不足三个月的公司以实际发生的为准）；</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投标人为生产厂家的需提供《农药登记证》、《农药标准证》、《农药生产许可证或者农药生产批准文件》原件；投标人为经销商的需提供《农药经营许可证》原件和生产厂家的《农药登记证》、《农药标准证》、《农药生产许可证或者农药生产批准文件》原件或复印件；</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（7）投标人须提供农药包装废弃物回收处理承诺书原件；</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（8）投标人需提供2022年度第三方审计机构出具的财务审计报告(会计周期不满一年的提供近三个月银行出具的资信证明,近三个月是指2023年1月-3月）和健全的财务会计制度；</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（9）提供税务部门出具近三个月（近三个月是指2023年1月-3月）依法缴纳税收的完税证明或报税材料（需含增值税、印花税等税种），新成立公司按实际发生提供税务机关出具的无欠税证明；</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val="0"/>
          <w:bCs w:val="0"/>
          <w:sz w:val="24"/>
          <w:szCs w:val="24"/>
          <w:lang w:val="en-US" w:eastAsia="zh-CN"/>
        </w:rPr>
        <w:drawing>
          <wp:inline distT="0" distB="0" distL="114300" distR="114300">
            <wp:extent cx="190500" cy="142875"/>
            <wp:effectExtent l="0" t="0" r="0" b="9525"/>
            <wp:docPr id="1"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val="0"/>
          <w:bCs w:val="0"/>
          <w:sz w:val="24"/>
          <w:szCs w:val="24"/>
          <w:lang w:val="en-US" w:eastAsia="zh-CN"/>
        </w:rPr>
        <w:t>http://wenshu.court.gov.cn/）”有行贿受贿犯罪记录的投标企业将拒绝其参与本次政府采购活动；</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（11）企业负责人为同一人或者存在直接控股、管理关系的不同供应商，不得参加同一合同项下的政府采购活动。否则，皆取消投标资格。</w:t>
      </w:r>
    </w:p>
    <w:p>
      <w:pPr>
        <w:pStyle w:val="20"/>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kern w:val="2"/>
          <w:sz w:val="24"/>
          <w:szCs w:val="24"/>
          <w:lang w:val="en-US" w:eastAsia="zh-CN" w:bidi="ar-SA"/>
        </w:rPr>
        <w:t>3.本项目的特定资格要求：无</w:t>
      </w:r>
    </w:p>
    <w:p>
      <w:pPr>
        <w:keepNext w:val="0"/>
        <w:keepLines w:val="0"/>
        <w:pageBreakBefore w:val="0"/>
        <w:widowControl w:val="0"/>
        <w:kinsoku/>
        <w:wordWrap/>
        <w:overflowPunct/>
        <w:topLinePunct w:val="0"/>
        <w:autoSpaceDE/>
        <w:autoSpaceDN/>
        <w:bidi w:val="0"/>
        <w:adjustRightInd/>
        <w:snapToGrid w:val="0"/>
        <w:spacing w:line="332" w:lineRule="auto"/>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三、获取采购文件</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jc w:val="both"/>
        <w:textAlignment w:val="auto"/>
        <w:rPr>
          <w:rFonts w:hint="eastAsia" w:ascii="仿宋" w:hAnsi="仿宋" w:eastAsia="仿宋" w:cs="仿宋"/>
          <w:color w:val="auto"/>
          <w:sz w:val="24"/>
          <w:szCs w:val="24"/>
          <w:lang w:val="en-US" w:eastAsia="zh-CN"/>
        </w:rPr>
      </w:pPr>
      <w:bookmarkStart w:id="28" w:name="_Toc35393801"/>
      <w:bookmarkStart w:id="29" w:name="_Toc22996"/>
      <w:bookmarkStart w:id="30" w:name="_Toc35393632"/>
      <w:bookmarkStart w:id="31" w:name="_Toc7922"/>
      <w:bookmarkStart w:id="32" w:name="_Toc28359092"/>
      <w:bookmarkStart w:id="33" w:name="_Toc28359015"/>
      <w:r>
        <w:rPr>
          <w:rFonts w:hint="eastAsia" w:ascii="仿宋" w:hAnsi="仿宋" w:eastAsia="仿宋" w:cs="仿宋"/>
          <w:sz w:val="24"/>
          <w:szCs w:val="24"/>
          <w:lang w:val="en-US" w:eastAsia="zh-CN"/>
        </w:rPr>
        <w:t>时间：2023年03月31日至2023年04月19日</w:t>
      </w:r>
      <w:r>
        <w:rPr>
          <w:rFonts w:hint="eastAsia" w:ascii="仿宋" w:hAnsi="仿宋" w:eastAsia="仿宋" w:cs="仿宋"/>
          <w:color w:val="auto"/>
          <w:sz w:val="24"/>
          <w:szCs w:val="24"/>
          <w:lang w:val="en-US" w:eastAsia="zh-CN"/>
        </w:rPr>
        <w:t>，每天上午00:00至12:00，下午12:00至23:59（北京时间，法定节假日除外）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地点：供应商登陆政采云平台https://www.zcygov.cn/在线申请获取采购文件；</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售价：0元</w:t>
      </w:r>
    </w:p>
    <w:p>
      <w:pPr>
        <w:keepNext w:val="0"/>
        <w:keepLines w:val="0"/>
        <w:pageBreakBefore w:val="0"/>
        <w:widowControl w:val="0"/>
        <w:kinsoku/>
        <w:wordWrap/>
        <w:overflowPunct/>
        <w:topLinePunct w:val="0"/>
        <w:autoSpaceDE/>
        <w:autoSpaceDN/>
        <w:bidi w:val="0"/>
        <w:adjustRightInd/>
        <w:snapToGrid w:val="0"/>
        <w:spacing w:line="332" w:lineRule="auto"/>
        <w:ind w:firstLine="241" w:firstLineChars="1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w:t>
      </w:r>
      <w:bookmarkEnd w:id="28"/>
      <w:bookmarkEnd w:id="29"/>
      <w:bookmarkEnd w:id="30"/>
      <w:bookmarkEnd w:id="31"/>
      <w:bookmarkEnd w:id="32"/>
      <w:bookmarkEnd w:id="33"/>
      <w:r>
        <w:rPr>
          <w:rFonts w:hint="eastAsia" w:ascii="仿宋" w:hAnsi="仿宋" w:eastAsia="仿宋" w:cs="仿宋"/>
          <w:b/>
          <w:bCs/>
          <w:color w:val="auto"/>
          <w:sz w:val="24"/>
          <w:szCs w:val="24"/>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color w:val="auto"/>
          <w:sz w:val="24"/>
          <w:szCs w:val="24"/>
          <w:lang w:val="en-US" w:eastAsia="zh-CN"/>
        </w:rPr>
      </w:pPr>
      <w:bookmarkStart w:id="34" w:name="_Toc135"/>
      <w:bookmarkStart w:id="35" w:name="_Toc15664"/>
      <w:bookmarkStart w:id="36" w:name="_Toc35393803"/>
      <w:bookmarkStart w:id="37" w:name="_Toc35393634"/>
      <w:bookmarkStart w:id="38" w:name="_Toc28359017"/>
      <w:bookmarkStart w:id="39" w:name="_Toc28359094"/>
      <w:r>
        <w:rPr>
          <w:rFonts w:hint="eastAsia" w:ascii="仿宋" w:hAnsi="仿宋" w:eastAsia="仿宋" w:cs="仿宋"/>
          <w:b w:val="0"/>
          <w:bCs w:val="0"/>
          <w:color w:val="auto"/>
          <w:sz w:val="24"/>
          <w:szCs w:val="24"/>
          <w:lang w:val="en-US" w:eastAsia="zh-CN"/>
        </w:rPr>
        <w:t>1.提交投标文件截止时间：2023年04</w:t>
      </w:r>
      <w:r>
        <w:rPr>
          <w:rFonts w:hint="eastAsia" w:ascii="仿宋" w:hAnsi="仿宋" w:eastAsia="仿宋" w:cs="仿宋"/>
          <w:b w:val="0"/>
          <w:bCs w:val="0"/>
          <w:color w:val="auto"/>
          <w:sz w:val="24"/>
          <w:szCs w:val="24"/>
          <w:highlight w:val="none"/>
          <w:lang w:val="en-US" w:eastAsia="zh-CN"/>
        </w:rPr>
        <w:t>月20日11</w:t>
      </w:r>
      <w:r>
        <w:rPr>
          <w:rFonts w:hint="eastAsia" w:ascii="仿宋" w:hAnsi="仿宋" w:eastAsia="仿宋" w:cs="仿宋"/>
          <w:b w:val="0"/>
          <w:bCs w:val="0"/>
          <w:color w:val="auto"/>
          <w:sz w:val="24"/>
          <w:szCs w:val="24"/>
          <w:lang w:val="en-US" w:eastAsia="zh-CN"/>
        </w:rPr>
        <w:t>时00分（北京时间）</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2.投标地点：新疆政府采购网政采云平台（www.zcygov.cn）</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3.开标时间：2023年04</w:t>
      </w:r>
      <w:r>
        <w:rPr>
          <w:rFonts w:hint="eastAsia" w:ascii="仿宋" w:hAnsi="仿宋" w:eastAsia="仿宋" w:cs="仿宋"/>
          <w:b w:val="0"/>
          <w:bCs w:val="0"/>
          <w:color w:val="auto"/>
          <w:sz w:val="24"/>
          <w:szCs w:val="24"/>
          <w:highlight w:val="none"/>
          <w:lang w:val="en-US" w:eastAsia="zh-CN"/>
        </w:rPr>
        <w:t>月20日1</w:t>
      </w:r>
      <w:r>
        <w:rPr>
          <w:rFonts w:hint="eastAsia" w:ascii="仿宋" w:hAnsi="仿宋" w:eastAsia="仿宋" w:cs="仿宋"/>
          <w:b w:val="0"/>
          <w:bCs w:val="0"/>
          <w:color w:val="auto"/>
          <w:sz w:val="24"/>
          <w:szCs w:val="24"/>
          <w:lang w:val="en-US" w:eastAsia="zh-CN"/>
        </w:rPr>
        <w:t>1时00分（北京时间）</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4.开标地点：和田县行政服务和公共资源交易中心（和田县经济新区昌盛路）</w:t>
      </w:r>
    </w:p>
    <w:p>
      <w:pPr>
        <w:keepNext w:val="0"/>
        <w:keepLines w:val="0"/>
        <w:pageBreakBefore w:val="0"/>
        <w:widowControl w:val="0"/>
        <w:kinsoku/>
        <w:wordWrap/>
        <w:overflowPunct/>
        <w:topLinePunct w:val="0"/>
        <w:autoSpaceDE/>
        <w:autoSpaceDN/>
        <w:bidi w:val="0"/>
        <w:adjustRightInd/>
        <w:snapToGrid w:val="0"/>
        <w:spacing w:line="332" w:lineRule="auto"/>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、公告期限</w:t>
      </w:r>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w:t>
      </w:r>
      <w:r>
        <w:rPr>
          <w:rFonts w:hint="eastAsia" w:ascii="仿宋" w:hAnsi="仿宋" w:eastAsia="仿宋" w:cs="仿宋"/>
          <w:sz w:val="24"/>
          <w:szCs w:val="24"/>
          <w:highlight w:val="none"/>
        </w:rPr>
        <w:t>日起</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w:t>
      </w:r>
    </w:p>
    <w:p>
      <w:pPr>
        <w:keepNext w:val="0"/>
        <w:keepLines w:val="0"/>
        <w:pageBreakBefore w:val="0"/>
        <w:widowControl w:val="0"/>
        <w:kinsoku/>
        <w:wordWrap/>
        <w:overflowPunct/>
        <w:topLinePunct w:val="0"/>
        <w:autoSpaceDE/>
        <w:autoSpaceDN/>
        <w:bidi w:val="0"/>
        <w:adjustRightInd/>
        <w:snapToGrid w:val="0"/>
        <w:spacing w:line="332" w:lineRule="auto"/>
        <w:ind w:firstLine="241" w:firstLineChars="100"/>
        <w:textAlignment w:val="auto"/>
        <w:rPr>
          <w:rFonts w:hint="eastAsia" w:ascii="仿宋" w:hAnsi="仿宋" w:eastAsia="仿宋" w:cs="仿宋"/>
          <w:b/>
          <w:bCs/>
          <w:sz w:val="24"/>
          <w:szCs w:val="24"/>
          <w:lang w:val="en-US" w:eastAsia="zh-CN"/>
        </w:rPr>
      </w:pPr>
      <w:bookmarkStart w:id="40" w:name="_Toc35393804"/>
      <w:bookmarkStart w:id="41" w:name="_Toc35393635"/>
      <w:bookmarkStart w:id="42" w:name="_Toc25927"/>
      <w:bookmarkStart w:id="43" w:name="_Toc23752"/>
      <w:r>
        <w:rPr>
          <w:rFonts w:hint="eastAsia" w:ascii="仿宋" w:hAnsi="仿宋" w:eastAsia="仿宋" w:cs="仿宋"/>
          <w:b/>
          <w:bCs/>
          <w:sz w:val="24"/>
          <w:szCs w:val="24"/>
          <w:lang w:val="en-US" w:eastAsia="zh-CN"/>
        </w:rPr>
        <w:t>六、其他补充事宜</w:t>
      </w:r>
      <w:bookmarkEnd w:id="40"/>
      <w:bookmarkEnd w:id="41"/>
      <w:r>
        <w:rPr>
          <w:rFonts w:hint="eastAsia" w:ascii="仿宋" w:hAnsi="仿宋" w:eastAsia="仿宋" w:cs="仿宋"/>
          <w:b/>
          <w:bCs/>
          <w:sz w:val="24"/>
          <w:szCs w:val="24"/>
          <w:lang w:val="en-US" w:eastAsia="zh-CN"/>
        </w:rPr>
        <w:t>：</w:t>
      </w:r>
      <w:bookmarkEnd w:id="42"/>
      <w:bookmarkEnd w:id="43"/>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4.供应商在开标时须使用制作加密电子投标文件所使用的CA锁及电脑，电脑须提前配置好浏览器（使用谷歌浏览器），并确保开标期间电脑网络环境畅通，以便开标时解锁；</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5.为了保证开评标顺利进行，政采云线上开标功能完全实现，供应商开标所使用的电脑设备须具有视频及语音功能</w:t>
      </w:r>
      <w:r>
        <w:rPr>
          <w:rFonts w:hint="eastAsia" w:ascii="仿宋" w:hAnsi="仿宋" w:eastAsia="仿宋" w:cs="仿宋"/>
          <w:kern w:val="2"/>
          <w:sz w:val="24"/>
          <w:szCs w:val="24"/>
          <w:lang w:val="en-US" w:eastAsia="zh-CN" w:bidi="ar-SA"/>
        </w:rPr>
        <w:t>。</w:t>
      </w:r>
    </w:p>
    <w:p>
      <w:pPr>
        <w:pStyle w:val="42"/>
        <w:keepNext w:val="0"/>
        <w:keepLines w:val="0"/>
        <w:pageBreakBefore w:val="0"/>
        <w:widowControl w:val="0"/>
        <w:numPr>
          <w:ilvl w:val="0"/>
          <w:numId w:val="0"/>
        </w:numPr>
        <w:kinsoku/>
        <w:wordWrap/>
        <w:overflowPunct/>
        <w:topLinePunct w:val="0"/>
        <w:autoSpaceDE/>
        <w:autoSpaceDN/>
        <w:bidi w:val="0"/>
        <w:adjustRightInd/>
        <w:spacing w:line="332" w:lineRule="auto"/>
        <w:ind w:firstLine="241" w:firstLineChars="100"/>
        <w:textAlignment w:val="auto"/>
        <w:rPr>
          <w:rFonts w:hint="eastAsia" w:ascii="仿宋" w:hAnsi="仿宋" w:eastAsia="仿宋" w:cs="仿宋"/>
          <w:color w:val="000000"/>
          <w:spacing w:val="0"/>
          <w:kern w:val="0"/>
          <w:sz w:val="24"/>
          <w:szCs w:val="24"/>
          <w:lang w:val="en-US" w:eastAsia="zh-CN" w:bidi="ar-SA"/>
        </w:rPr>
      </w:pPr>
      <w:r>
        <w:rPr>
          <w:rFonts w:hint="eastAsia" w:ascii="仿宋" w:hAnsi="仿宋" w:eastAsia="仿宋" w:cs="仿宋"/>
          <w:b/>
          <w:bCs/>
          <w:color w:val="000000"/>
          <w:spacing w:val="0"/>
          <w:kern w:val="0"/>
          <w:sz w:val="24"/>
          <w:szCs w:val="24"/>
          <w:lang w:val="en-US" w:eastAsia="zh-CN" w:bidi="ar-SA"/>
        </w:rPr>
        <w:t>特别提示：</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332" w:lineRule="auto"/>
        <w:ind w:firstLine="54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val="0"/>
        <w:spacing w:line="332" w:lineRule="auto"/>
        <w:ind w:firstLine="241" w:firstLineChars="100"/>
        <w:textAlignment w:val="auto"/>
        <w:rPr>
          <w:rFonts w:hint="eastAsia" w:ascii="仿宋" w:hAnsi="仿宋" w:eastAsia="仿宋" w:cs="仿宋"/>
          <w:b/>
          <w:bCs/>
          <w:sz w:val="24"/>
          <w:szCs w:val="24"/>
          <w:lang w:val="en-US" w:eastAsia="zh-CN"/>
        </w:rPr>
      </w:pPr>
      <w:bookmarkStart w:id="44" w:name="_Toc35393805"/>
      <w:bookmarkStart w:id="45" w:name="_Toc35393636"/>
      <w:bookmarkStart w:id="46" w:name="_Toc28359018"/>
      <w:bookmarkStart w:id="47" w:name="_Toc20454"/>
      <w:bookmarkStart w:id="48" w:name="_Toc1455"/>
      <w:bookmarkStart w:id="49" w:name="_Toc28359095"/>
      <w:r>
        <w:rPr>
          <w:rFonts w:hint="eastAsia" w:ascii="仿宋" w:hAnsi="仿宋" w:eastAsia="仿宋" w:cs="仿宋"/>
          <w:b/>
          <w:bCs/>
          <w:sz w:val="24"/>
          <w:szCs w:val="24"/>
          <w:lang w:val="en-US" w:eastAsia="zh-CN"/>
        </w:rPr>
        <w:t>七、凡对本次采购提出询问，请按以下方式联系。</w:t>
      </w:r>
      <w:bookmarkEnd w:id="44"/>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称：和田县林业和草原局</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址：和田县经济新区</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人：买买托合提·吐孙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联系方式：0903-2027687</w:t>
      </w:r>
    </w:p>
    <w:p>
      <w:pPr>
        <w:keepNext w:val="0"/>
        <w:keepLines w:val="0"/>
        <w:pageBreakBefore w:val="0"/>
        <w:widowControl w:val="0"/>
        <w:kinsoku/>
        <w:wordWrap/>
        <w:overflowPunct/>
        <w:topLinePunct w:val="0"/>
        <w:autoSpaceDE/>
        <w:autoSpaceDN/>
        <w:bidi w:val="0"/>
        <w:adjustRightInd/>
        <w:spacing w:line="332" w:lineRule="auto"/>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联系方式：0903-7820626　　</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项目联系人：石玉环</w:t>
      </w:r>
    </w:p>
    <w:p>
      <w:pPr>
        <w:keepNext w:val="0"/>
        <w:keepLines w:val="0"/>
        <w:pageBreakBefore w:val="0"/>
        <w:widowControl w:val="0"/>
        <w:kinsoku/>
        <w:wordWrap/>
        <w:overflowPunct/>
        <w:topLinePunct w:val="0"/>
        <w:autoSpaceDE/>
        <w:autoSpaceDN/>
        <w:bidi w:val="0"/>
        <w:adjustRightInd/>
        <w:snapToGrid w:val="0"/>
        <w:spacing w:line="33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电　　  话：0903-7820626</w:t>
      </w:r>
    </w:p>
    <w:p>
      <w:pPr>
        <w:pStyle w:val="34"/>
        <w:rPr>
          <w:rFonts w:hint="eastAsia" w:ascii="仿宋" w:hAnsi="仿宋" w:eastAsia="仿宋" w:cs="仿宋"/>
          <w:sz w:val="24"/>
          <w:szCs w:val="24"/>
          <w:lang w:val="en-US" w:eastAsia="zh-CN"/>
        </w:rPr>
      </w:pPr>
    </w:p>
    <w:p>
      <w:pPr>
        <w:pStyle w:val="34"/>
        <w:rPr>
          <w:rFonts w:hint="eastAsia" w:ascii="仿宋" w:hAnsi="仿宋" w:eastAsia="仿宋" w:cs="仿宋"/>
          <w:sz w:val="24"/>
          <w:szCs w:val="24"/>
          <w:lang w:val="en-US" w:eastAsia="zh-CN"/>
        </w:rPr>
      </w:pPr>
    </w:p>
    <w:p>
      <w:pPr>
        <w:pStyle w:val="34"/>
        <w:rPr>
          <w:rFonts w:hint="eastAsia" w:ascii="仿宋" w:hAnsi="仿宋" w:eastAsia="仿宋" w:cs="仿宋"/>
          <w:sz w:val="24"/>
          <w:szCs w:val="24"/>
          <w:lang w:val="en-US" w:eastAsia="zh-CN"/>
        </w:rPr>
      </w:pPr>
    </w:p>
    <w:p>
      <w:pPr>
        <w:pStyle w:val="34"/>
        <w:rPr>
          <w:rFonts w:hint="eastAsia" w:ascii="仿宋" w:hAnsi="仿宋" w:eastAsia="仿宋" w:cs="仿宋"/>
          <w:sz w:val="24"/>
          <w:szCs w:val="24"/>
          <w:lang w:val="en-US" w:eastAsia="zh-CN"/>
        </w:rPr>
      </w:pPr>
    </w:p>
    <w:p>
      <w:pPr>
        <w:pStyle w:val="34"/>
        <w:rPr>
          <w:rFonts w:hint="eastAsia" w:ascii="仿宋" w:hAnsi="仿宋" w:eastAsia="仿宋" w:cs="仿宋"/>
          <w:sz w:val="24"/>
          <w:szCs w:val="24"/>
          <w:lang w:val="en-US" w:eastAsia="zh-CN"/>
        </w:rPr>
      </w:pPr>
    </w:p>
    <w:p>
      <w:pPr>
        <w:spacing w:line="240" w:lineRule="auto"/>
        <w:jc w:val="center"/>
        <w:outlineLvl w:val="0"/>
        <w:rPr>
          <w:rFonts w:hint="eastAsia" w:ascii="仿宋" w:hAnsi="仿宋" w:eastAsia="仿宋" w:cs="仿宋"/>
          <w:b/>
          <w:color w:val="auto"/>
          <w:sz w:val="36"/>
          <w:szCs w:val="36"/>
          <w:highlight w:val="none"/>
          <w:lang w:eastAsia="zh-CN"/>
        </w:rPr>
      </w:pPr>
    </w:p>
    <w:p>
      <w:pPr>
        <w:spacing w:line="240" w:lineRule="auto"/>
        <w:jc w:val="center"/>
        <w:outlineLvl w:val="0"/>
        <w:rPr>
          <w:rFonts w:hint="eastAsia" w:ascii="仿宋" w:hAnsi="仿宋" w:eastAsia="仿宋" w:cs="仿宋"/>
          <w:b/>
          <w:color w:val="auto"/>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第二部分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投标人须知</w:t>
      </w:r>
      <w:bookmarkEnd w:id="1"/>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outlineLvl w:val="0"/>
        <w:rPr>
          <w:rFonts w:hint="eastAsia" w:ascii="仿宋" w:hAnsi="仿宋" w:eastAsia="仿宋" w:cs="仿宋"/>
          <w:b/>
          <w:color w:val="auto"/>
          <w:sz w:val="28"/>
          <w:szCs w:val="28"/>
          <w:highlight w:val="none"/>
        </w:rPr>
      </w:pPr>
      <w:bookmarkStart w:id="50" w:name="_Toc10040"/>
      <w:bookmarkStart w:id="51" w:name="_Toc21348_WPSOffice_Level1"/>
      <w:bookmarkStart w:id="52" w:name="_Toc7237"/>
      <w:bookmarkStart w:id="53" w:name="_Toc10179"/>
      <w:bookmarkStart w:id="54" w:name="_Toc18219"/>
      <w:bookmarkStart w:id="55" w:name="_Toc12827"/>
      <w:bookmarkStart w:id="56" w:name="_Toc24832"/>
      <w:bookmarkStart w:id="57" w:name="_Toc29111"/>
      <w:bookmarkStart w:id="58" w:name="_Toc14053"/>
      <w:bookmarkStart w:id="59" w:name="_Toc8971"/>
      <w:bookmarkStart w:id="60" w:name="_Toc9144"/>
      <w:bookmarkStart w:id="61" w:name="_Toc17655"/>
      <w:r>
        <w:rPr>
          <w:rFonts w:hint="eastAsia" w:ascii="仿宋" w:hAnsi="仿宋" w:eastAsia="仿宋" w:cs="仿宋"/>
          <w:b/>
          <w:color w:val="auto"/>
          <w:sz w:val="28"/>
          <w:szCs w:val="28"/>
          <w:highlight w:val="none"/>
        </w:rPr>
        <w:t>投标人须知前附表</w:t>
      </w:r>
      <w:bookmarkEnd w:id="50"/>
      <w:bookmarkEnd w:id="51"/>
      <w:bookmarkEnd w:id="52"/>
      <w:bookmarkEnd w:id="53"/>
      <w:bookmarkEnd w:id="54"/>
      <w:bookmarkEnd w:id="55"/>
      <w:bookmarkEnd w:id="56"/>
      <w:bookmarkEnd w:id="57"/>
      <w:bookmarkEnd w:id="58"/>
      <w:bookmarkEnd w:id="59"/>
      <w:bookmarkEnd w:id="60"/>
      <w:bookmarkEnd w:id="61"/>
    </w:p>
    <w:tbl>
      <w:tblPr>
        <w:tblStyle w:val="43"/>
        <w:tblW w:w="9745"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47"/>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47"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款</w:t>
            </w:r>
          </w:p>
        </w:tc>
        <w:tc>
          <w:tcPr>
            <w:tcW w:w="6960"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7"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960" w:type="dxa"/>
            <w:vAlign w:val="center"/>
          </w:tcPr>
          <w:p>
            <w:pPr>
              <w:spacing w:before="24" w:beforeLines="10" w:after="24" w:afterLines="10" w:line="24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和田县林业和草原局</w:t>
            </w:r>
          </w:p>
          <w:p>
            <w:pPr>
              <w:spacing w:before="24" w:beforeLines="10" w:after="24" w:afterLines="1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买买托合提·吐孙</w:t>
            </w:r>
          </w:p>
          <w:p>
            <w:pPr>
              <w:spacing w:before="24" w:beforeLines="10" w:after="24" w:afterLines="1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0903-2027657</w:t>
            </w:r>
          </w:p>
          <w:p>
            <w:pPr>
              <w:spacing w:before="24" w:beforeLines="10" w:after="24" w:afterLines="10"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  址：和田县经济新区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7"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代理机构</w:t>
            </w:r>
          </w:p>
        </w:tc>
        <w:tc>
          <w:tcPr>
            <w:tcW w:w="6960" w:type="dxa"/>
            <w:vAlign w:val="center"/>
          </w:tcPr>
          <w:p>
            <w:pPr>
              <w:spacing w:before="24" w:beforeLines="10" w:after="24" w:afterLines="1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 xml:space="preserve">名  称: </w:t>
            </w:r>
            <w:r>
              <w:rPr>
                <w:rFonts w:hint="eastAsia" w:ascii="仿宋" w:hAnsi="仿宋" w:eastAsia="仿宋" w:cs="仿宋"/>
                <w:color w:val="auto"/>
                <w:sz w:val="24"/>
                <w:szCs w:val="24"/>
                <w:highlight w:val="none"/>
                <w:lang w:val="en-US" w:eastAsia="zh-CN"/>
              </w:rPr>
              <w:t>新疆庆信达项目管理有限公司</w:t>
            </w:r>
          </w:p>
          <w:p>
            <w:pPr>
              <w:spacing w:before="24" w:beforeLines="10" w:after="24" w:afterLines="1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lang w:val="en-US" w:eastAsia="zh-CN"/>
              </w:rPr>
              <w:t>和田市人民街18号玉都国际广场金座703室</w:t>
            </w:r>
          </w:p>
          <w:p>
            <w:pPr>
              <w:spacing w:before="24" w:beforeLines="10" w:after="24" w:afterLines="1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w:t>
            </w:r>
            <w:r>
              <w:rPr>
                <w:rFonts w:hint="eastAsia" w:ascii="仿宋" w:hAnsi="仿宋" w:eastAsia="仿宋" w:cs="仿宋"/>
                <w:color w:val="auto"/>
                <w:sz w:val="24"/>
                <w:szCs w:val="24"/>
                <w:highlight w:val="none"/>
                <w:lang w:val="en-US" w:eastAsia="zh-CN"/>
              </w:rPr>
              <w:t>人: 石玉环</w:t>
            </w:r>
          </w:p>
          <w:p>
            <w:pPr>
              <w:spacing w:before="24" w:beforeLines="10" w:after="24" w:afterLines="10"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 xml:space="preserve"> 0903-7820626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项目编号及</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lang w:val="en-US" w:eastAsia="zh-CN"/>
              </w:rPr>
              <w:t>HTXZFCG（2023FS）006-1号</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lang w:val="en-US" w:eastAsia="zh-CN"/>
              </w:rPr>
              <w:t>和田县2023年蚧类害虫综合防治项目（包一：高氯毒死蜱和石硫合剂采购）-二次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947" w:type="dxa"/>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采购方式</w:t>
            </w:r>
          </w:p>
        </w:tc>
        <w:tc>
          <w:tcPr>
            <w:tcW w:w="6960" w:type="dxa"/>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5</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高氯毒死蜱和石硫合剂采购；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947" w:type="dxa"/>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lang w:eastAsia="zh-CN"/>
              </w:rPr>
              <w:t>供货</w:t>
            </w:r>
            <w:r>
              <w:rPr>
                <w:rFonts w:hint="eastAsia" w:ascii="仿宋" w:hAnsi="仿宋" w:eastAsia="仿宋" w:cs="仿宋"/>
                <w:color w:val="000000"/>
                <w:sz w:val="24"/>
                <w:szCs w:val="24"/>
                <w:highlight w:val="none"/>
              </w:rPr>
              <w:t>期</w:t>
            </w:r>
            <w:r>
              <w:rPr>
                <w:rFonts w:hint="eastAsia" w:ascii="仿宋" w:hAnsi="仿宋" w:eastAsia="仿宋" w:cs="仿宋"/>
                <w:color w:val="000000"/>
                <w:sz w:val="24"/>
                <w:szCs w:val="24"/>
                <w:highlight w:val="none"/>
                <w:lang w:eastAsia="zh-CN"/>
              </w:rPr>
              <w:t>及保质期</w:t>
            </w:r>
          </w:p>
        </w:tc>
        <w:tc>
          <w:tcPr>
            <w:tcW w:w="6960" w:type="dxa"/>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供货期：签订合同后20天内完成</w:t>
            </w:r>
          </w:p>
          <w:p>
            <w:pPr>
              <w:pStyle w:val="2"/>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保质期：2023年生产，保质期不低于两年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采购预算</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1423500.00元；此采购预算价为最高限价，投标人投标报价超过采购预算价的按无效报价处理。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投标保证金</w:t>
            </w:r>
          </w:p>
        </w:tc>
        <w:tc>
          <w:tcPr>
            <w:tcW w:w="6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投标保证金金额：￥14000.00元 （大写：壹万肆仟元整）</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缴纳方式：转账汇款（对公转账，从基本账户转入）或保函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账户名称：和田县行政服务和公共资源交易中心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账    户：3058  0801  0400  05315</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开户银行：中国农业银行股份有限公司和田市支行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行    号：103896058086</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sz w:val="24"/>
                <w:szCs w:val="24"/>
                <w:lang w:val="en-US" w:eastAsia="zh-CN"/>
              </w:rPr>
              <w:t>备 注：投标保证金必须在投标截止日前到达指定账户。必须以投标单位的名义缴纳投标保证金,汇款时必须在备注栏写明所投采购项目名称。在投标截止时间前将投标保证金以银行电汇、银行转账的方式到指定账户，须公对公账户，不接受个人打款，以个人名义打款将视为</w:t>
            </w:r>
            <w:r>
              <w:rPr>
                <w:rFonts w:hint="eastAsia" w:ascii="仿宋" w:hAnsi="仿宋" w:eastAsia="仿宋" w:cs="仿宋"/>
                <w:b w:val="0"/>
                <w:bCs w:val="0"/>
                <w:color w:val="auto"/>
                <w:sz w:val="24"/>
                <w:szCs w:val="24"/>
                <w:lang w:val="en-US" w:eastAsia="zh-CN"/>
              </w:rPr>
              <w:t>无效；无需换取投标保证金收据。</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退投标保证金说明：开标结束后未中标企业自行到和田县行政服务和公共资源交易中心办理保证金退款事宜，中标企业应在签订合同后5个工作日内到和田县行政服务和公共资源交易中心办理保证金退款事宜。</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sz w:val="24"/>
                <w:szCs w:val="24"/>
                <w:lang w:val="en-US" w:eastAsia="zh-CN"/>
              </w:rPr>
              <w:t>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资格要求</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p>
        </w:tc>
        <w:tc>
          <w:tcPr>
            <w:tcW w:w="6960" w:type="dxa"/>
            <w:vAlign w:val="center"/>
          </w:tcPr>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1.满足《中华人民共和国政府采购法》第二十二条规定；</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2.落实政府采购政策需满足的资格要求：</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（1）根据财政部、工业和信息化部关于印发《政府采购促进中小企业发展管理办法》的通知(财库[2020]46号)；</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（2）本项目专门面向中小企业(含监狱企业、残疾人福利单位)采购；</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（3）具有有效经年检合格的“三证合一”营业执照；</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（4）法定代表人开标应附《法定代表人身份证明书》及身份证复印件，委托代理人开标应附《法定代表人授权委托书》及身份证复印件；</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（5）提供本单位缴纳的近三个月（近三个月是指2023年1月-3月）社保缴纳证明（社保缴费凭证，新成立不足三个月的公司以实际发生的为准）；</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6）投标人为生产厂家的需提供《农药登记证》、《农药标准证》、《农药生产许可证或者农药生产批准文件》原件；投标人为经销商的需提供《农药经营许可证》原件和生产厂家的《农药登记证》、《农药标准证》、《农药生产许可证或者农药生产批准文件》原件或复印件；</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（7）投标人须提供农药包装废弃物回收处理承诺书原件；</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（8）投标人需提供2022年度第三方审计机构出具的财务审计报告(会计周期不满一年的提供近三个月银行出具的资信证明,近三个月是指2023年1月-3月）和健全的财务会计制度；</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（9）提供税务部门出具近三个月（近三个月是指2023年1月-3月）依法缴纳税收的完税证明或报税材料（需含增值税、印花税等税种），新成立公司按实际发生提供税务机关出具的无欠税证明；</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i w:val="0"/>
                <w:caps w:val="0"/>
                <w:color w:val="auto"/>
                <w:spacing w:val="0"/>
                <w:kern w:val="2"/>
                <w:sz w:val="24"/>
                <w:szCs w:val="24"/>
                <w:highlight w:val="none"/>
                <w:lang w:val="en-US" w:eastAsia="zh-CN" w:bidi="ar-SA"/>
              </w:rPr>
              <w:drawing>
                <wp:inline distT="0" distB="0" distL="114300" distR="114300">
                  <wp:extent cx="190500" cy="142875"/>
                  <wp:effectExtent l="0" t="0" r="0" b="9525"/>
                  <wp:docPr id="10"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i w:val="0"/>
                <w:caps w:val="0"/>
                <w:color w:val="auto"/>
                <w:spacing w:val="0"/>
                <w:kern w:val="2"/>
                <w:sz w:val="24"/>
                <w:szCs w:val="24"/>
                <w:highlight w:val="none"/>
                <w:lang w:val="en-US" w:eastAsia="zh-CN" w:bidi="ar-SA"/>
              </w:rPr>
              <w:t>http://wenshu.court.gov.cn/）”有行贿受贿犯罪记录的投标企业将拒绝其参与本次政府采购活动；</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（11）企业负责人为同一人或者存在直接控股、管理关系的不同供应商，不得参加同一合同项下的政府采购活动。否则，皆取消投标资格。</w:t>
            </w:r>
          </w:p>
          <w:p>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信用情况</w:t>
            </w:r>
          </w:p>
        </w:tc>
        <w:tc>
          <w:tcPr>
            <w:tcW w:w="6960" w:type="dxa"/>
            <w:vAlign w:val="center"/>
          </w:tcPr>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国家企业信用信息公示系统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中国裁判文书网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查询，并按招标文件要求提供网页</w:t>
            </w:r>
            <w:r>
              <w:rPr>
                <w:rFonts w:hint="eastAsia" w:ascii="仿宋" w:hAnsi="仿宋" w:eastAsia="仿宋" w:cs="仿宋"/>
                <w:color w:val="auto"/>
                <w:sz w:val="24"/>
                <w:szCs w:val="24"/>
                <w:highlight w:val="none"/>
                <w:lang w:eastAsia="zh-CN"/>
              </w:rPr>
              <w:t>查询</w:t>
            </w:r>
            <w:r>
              <w:rPr>
                <w:rFonts w:hint="eastAsia" w:ascii="仿宋" w:hAnsi="仿宋" w:eastAsia="仿宋" w:cs="仿宋"/>
                <w:color w:val="auto"/>
                <w:sz w:val="24"/>
                <w:szCs w:val="24"/>
                <w:highlight w:val="none"/>
              </w:rPr>
              <w:t>材料。</w:t>
            </w:r>
            <w:r>
              <w:rPr>
                <w:rFonts w:hint="eastAsia" w:ascii="仿宋" w:hAnsi="仿宋" w:eastAsia="仿宋" w:cs="仿宋"/>
                <w:color w:val="auto"/>
                <w:sz w:val="24"/>
                <w:szCs w:val="24"/>
                <w:highlight w:val="none"/>
                <w:lang w:val="en-US" w:eastAsia="zh-CN"/>
              </w:rPr>
              <w:t>被列入失信被执行人、重大税收违法案件当事人名单、政府采购严重违法失信名单、</w:t>
            </w:r>
            <w:r>
              <w:rPr>
                <w:rFonts w:hint="eastAsia" w:ascii="仿宋" w:hAnsi="仿宋" w:eastAsia="仿宋" w:cs="仿宋"/>
                <w:b w:val="0"/>
                <w:bCs/>
                <w:i w:val="0"/>
                <w:caps w:val="0"/>
                <w:color w:val="auto"/>
                <w:spacing w:val="0"/>
                <w:sz w:val="24"/>
                <w:szCs w:val="24"/>
                <w:highlight w:val="none"/>
                <w:shd w:val="clear" w:color="auto" w:fill="FFFFFF"/>
                <w:lang w:val="en-US" w:eastAsia="zh-CN"/>
              </w:rPr>
              <w:t>政府采购严重违法失信行为记录名单、经营异常名录信息、严重违法失信名单（黑名单）信息（尚在处罚期内的）、有行贿受贿犯罪记录的</w:t>
            </w:r>
            <w:r>
              <w:rPr>
                <w:rFonts w:hint="eastAsia" w:ascii="仿宋" w:hAnsi="仿宋" w:eastAsia="仿宋" w:cs="仿宋"/>
                <w:color w:val="auto"/>
                <w:sz w:val="24"/>
                <w:szCs w:val="24"/>
                <w:highlight w:val="none"/>
              </w:rPr>
              <w:t>,其他不符合《中华人民共和国政府采购法》第二十二条规定条件的供应商，其投标文件将被视为无效投标。未提供证明材料的视为不响应招标文件。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rPr>
              <w:t>标前准备</w:t>
            </w:r>
          </w:p>
        </w:tc>
        <w:tc>
          <w:tcPr>
            <w:tcW w:w="6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1、</w:t>
            </w:r>
            <w:r>
              <w:rPr>
                <w:rFonts w:hint="eastAsia" w:ascii="仿宋" w:hAnsi="仿宋" w:eastAsia="仿宋" w:cs="仿宋"/>
                <w:b/>
                <w:bCs w:val="0"/>
                <w:color w:val="auto"/>
                <w:sz w:val="24"/>
                <w:szCs w:val="24"/>
                <w:highlight w:val="none"/>
              </w:rPr>
              <w:t>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各供应商应在开标前应确保成为新疆维吾尔自治区政府采购网正式注册入库供应商，并完成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w:t>
            </w:r>
            <w:r>
              <w:rPr>
                <w:rFonts w:hint="eastAsia" w:ascii="仿宋" w:hAnsi="仿宋" w:eastAsia="仿宋" w:cs="仿宋"/>
                <w:b/>
                <w:bCs w:val="0"/>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val="0"/>
                <w:color w:val="auto"/>
                <w:sz w:val="24"/>
                <w:szCs w:val="24"/>
                <w:highlight w:val="none"/>
              </w:rPr>
              <w:t>4、供应商将政采云电子交易客户端下载、安装完成后， 可通过账号密码或 CA 登录客户端进行投标文件制作。在使用政采云投标客户端时，建议使用 WIN7 及以上操作系统。客户端请至新疆政府采购网（https://www.zcygov.cn/）下载专区查看，如有问题可拨打政采 云客户服务热线 400-881-7190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p>
        </w:tc>
        <w:tc>
          <w:tcPr>
            <w:tcW w:w="6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交货地点</w:t>
            </w:r>
          </w:p>
        </w:tc>
        <w:tc>
          <w:tcPr>
            <w:tcW w:w="6960" w:type="dxa"/>
            <w:vAlign w:val="center"/>
          </w:tcPr>
          <w:p>
            <w:pPr>
              <w:spacing w:line="240" w:lineRule="auto"/>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eastAsia="zh-CN"/>
              </w:rPr>
              <w:t>招标</w:t>
            </w:r>
            <w:r>
              <w:rPr>
                <w:rFonts w:hint="eastAsia" w:ascii="仿宋" w:hAnsi="仿宋" w:eastAsia="仿宋" w:cs="仿宋"/>
                <w:b w:val="0"/>
                <w:bCs/>
                <w:color w:val="auto"/>
                <w:sz w:val="24"/>
                <w:szCs w:val="24"/>
                <w:highlight w:val="none"/>
              </w:rPr>
              <w:t>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6960" w:type="dxa"/>
            <w:vAlign w:val="center"/>
          </w:tcPr>
          <w:p>
            <w:pPr>
              <w:pStyle w:val="86"/>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必须达到国家和行业规定标准及招标文件中规定的要求标准，并通过验收。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付款方式</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资金来源</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sz w:val="24"/>
                <w:szCs w:val="24"/>
                <w:lang w:val="en-US" w:eastAsia="zh-CN"/>
              </w:rPr>
              <w:t>2023年中央财政林业草原生态保护恢复资金（国有林保护修复—林业有害生物防治补助资金）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90天</w:t>
            </w:r>
            <w:r>
              <w:rPr>
                <w:rFonts w:hint="eastAsia" w:ascii="仿宋" w:hAnsi="仿宋" w:eastAsia="仿宋" w:cs="仿宋"/>
                <w:bCs/>
                <w:color w:val="auto"/>
                <w:sz w:val="24"/>
                <w:szCs w:val="24"/>
                <w:highlight w:val="none"/>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投标人对招标文件提出质疑的时间</w:t>
            </w:r>
          </w:p>
        </w:tc>
        <w:tc>
          <w:tcPr>
            <w:tcW w:w="6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提出质疑函的时限：对采购文件提出质疑的，应当在获取采购文件或者采购文件公告期限届满之日起7个工作日内提出。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接收质疑函的方式：将PDF格式电子版质疑文件加盖公章扫描发送至3521573009@qq.com邮箱。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接受质疑的单位：新疆庆信达项目管理有限公司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联系电话：0903-7820626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地址：和田市人民街18号玉都国际广场金座703室</w:t>
            </w:r>
          </w:p>
          <w:p>
            <w:pPr>
              <w:pStyle w:val="53"/>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注：供应商认为采购文件、采购过程、中标或者成交结果使自己的权益受到损害的，可以根据中华人民共和国财政部令第94号中第十条，以书面形式向采购人、采购代理机构一次性针对同一采购程序环节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发放</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供应商登录政采云平台https://www.zcygov.cn/在线申请获取采购文件（进入“项目采购”应用，在获取采购文件菜单中选择项目，申请获取采购文件）</w:t>
            </w:r>
            <w:r>
              <w:rPr>
                <w:rFonts w:hint="eastAsia" w:ascii="仿宋" w:hAnsi="仿宋" w:eastAsia="仿宋" w:cs="仿宋"/>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构成招标文件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的其他文件</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val="0"/>
                <w:color w:val="auto"/>
                <w:sz w:val="24"/>
                <w:szCs w:val="24"/>
                <w:highlight w:val="none"/>
                <w:u w:val="none"/>
                <w:lang w:val="en-US" w:eastAsia="zh-CN"/>
              </w:rPr>
            </w:pPr>
            <w:r>
              <w:rPr>
                <w:rFonts w:hint="eastAsia" w:ascii="仿宋" w:hAnsi="仿宋" w:eastAsia="仿宋" w:cs="仿宋"/>
                <w:bCs/>
                <w:color w:val="auto"/>
                <w:sz w:val="24"/>
                <w:szCs w:val="24"/>
                <w:highlight w:val="none"/>
              </w:rPr>
              <w:t>招标文件的澄清、修改书及有关补充通知为招标文件的有效组成部分</w:t>
            </w:r>
            <w:r>
              <w:rPr>
                <w:rFonts w:hint="eastAsia" w:ascii="仿宋" w:hAnsi="仿宋" w:eastAsia="仿宋" w:cs="仿宋"/>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投标截止时间</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2023年04月20日</w:t>
            </w:r>
            <w:bookmarkStart w:id="182" w:name="_GoBack"/>
            <w:bookmarkEnd w:id="182"/>
            <w:r>
              <w:rPr>
                <w:rFonts w:hint="eastAsia" w:ascii="仿宋" w:hAnsi="仿宋" w:eastAsia="仿宋" w:cs="仿宋"/>
                <w:color w:val="auto"/>
                <w:kern w:val="2"/>
                <w:sz w:val="24"/>
                <w:szCs w:val="24"/>
                <w:highlight w:val="none"/>
                <w:lang w:val="en-US" w:eastAsia="zh-CN" w:bidi="ar-SA"/>
              </w:rPr>
              <w:t>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递交投标文件</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的地点</w:t>
            </w:r>
            <w:r>
              <w:rPr>
                <w:rFonts w:hint="eastAsia" w:ascii="仿宋" w:hAnsi="仿宋" w:eastAsia="仿宋" w:cs="仿宋"/>
                <w:color w:val="auto"/>
                <w:sz w:val="24"/>
                <w:szCs w:val="24"/>
                <w:highlight w:val="none"/>
                <w:lang w:eastAsia="zh-CN"/>
              </w:rPr>
              <w:t>及方式</w:t>
            </w:r>
          </w:p>
        </w:tc>
        <w:tc>
          <w:tcPr>
            <w:tcW w:w="6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和田县行政服务和公共资源交易中心（和田县经济新区昌盛路）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bCs/>
                <w:color w:val="auto"/>
                <w:sz w:val="24"/>
                <w:szCs w:val="24"/>
                <w:highlight w:val="none"/>
              </w:rPr>
              <w:t>投标人应于</w:t>
            </w:r>
            <w:r>
              <w:rPr>
                <w:rFonts w:hint="eastAsia" w:ascii="仿宋" w:hAnsi="仿宋" w:eastAsia="仿宋" w:cs="仿宋"/>
                <w:bCs/>
                <w:color w:val="auto"/>
                <w:sz w:val="24"/>
                <w:szCs w:val="24"/>
                <w:highlight w:val="none"/>
                <w:u w:val="single"/>
                <w:lang w:val="en-US" w:eastAsia="zh-CN"/>
              </w:rPr>
              <w:t>2023</w:t>
            </w:r>
            <w:r>
              <w:rPr>
                <w:rFonts w:hint="eastAsia" w:ascii="仿宋" w:hAnsi="仿宋" w:eastAsia="仿宋" w:cs="仿宋"/>
                <w:bCs/>
                <w:color w:val="auto"/>
                <w:sz w:val="24"/>
                <w:szCs w:val="24"/>
                <w:highlight w:val="none"/>
                <w:lang w:val="en-US" w:eastAsia="zh-CN"/>
              </w:rPr>
              <w:t>年</w:t>
            </w:r>
            <w:r>
              <w:rPr>
                <w:rFonts w:hint="eastAsia" w:ascii="仿宋" w:hAnsi="仿宋" w:eastAsia="仿宋" w:cs="仿宋"/>
                <w:bCs/>
                <w:color w:val="auto"/>
                <w:sz w:val="24"/>
                <w:szCs w:val="24"/>
                <w:highlight w:val="none"/>
                <w:u w:val="single"/>
                <w:lang w:val="en-US" w:eastAsia="zh-CN"/>
              </w:rPr>
              <w:t>04</w:t>
            </w:r>
            <w:r>
              <w:rPr>
                <w:rFonts w:hint="eastAsia" w:ascii="仿宋" w:hAnsi="仿宋" w:eastAsia="仿宋" w:cs="仿宋"/>
                <w:bCs/>
                <w:color w:val="auto"/>
                <w:sz w:val="24"/>
                <w:szCs w:val="24"/>
                <w:highlight w:val="none"/>
                <w:lang w:val="en-US" w:eastAsia="zh-CN"/>
              </w:rPr>
              <w:t>月</w:t>
            </w:r>
            <w:r>
              <w:rPr>
                <w:rFonts w:hint="eastAsia" w:ascii="仿宋" w:hAnsi="仿宋" w:eastAsia="仿宋" w:cs="仿宋"/>
                <w:bCs/>
                <w:color w:val="auto"/>
                <w:sz w:val="24"/>
                <w:szCs w:val="24"/>
                <w:highlight w:val="none"/>
                <w:u w:val="single"/>
                <w:lang w:val="en-US" w:eastAsia="zh-CN"/>
              </w:rPr>
              <w:t xml:space="preserve"> 20</w:t>
            </w:r>
            <w:r>
              <w:rPr>
                <w:rFonts w:hint="eastAsia" w:ascii="仿宋" w:hAnsi="仿宋" w:eastAsia="仿宋" w:cs="仿宋"/>
                <w:bCs/>
                <w:color w:val="auto"/>
                <w:sz w:val="24"/>
                <w:szCs w:val="24"/>
                <w:highlight w:val="none"/>
                <w:lang w:val="en-US" w:eastAsia="zh-CN"/>
              </w:rPr>
              <w:t>日</w:t>
            </w:r>
            <w:r>
              <w:rPr>
                <w:rFonts w:hint="eastAsia" w:ascii="仿宋" w:hAnsi="仿宋" w:eastAsia="仿宋" w:cs="仿宋"/>
                <w:bCs/>
                <w:color w:val="auto"/>
                <w:sz w:val="24"/>
                <w:szCs w:val="24"/>
                <w:highlight w:val="none"/>
                <w:u w:val="single"/>
                <w:lang w:val="en-US" w:eastAsia="zh-CN"/>
              </w:rPr>
              <w:t xml:space="preserve"> 11:00</w:t>
            </w:r>
            <w:r>
              <w:rPr>
                <w:rFonts w:hint="eastAsia" w:ascii="仿宋" w:hAnsi="仿宋" w:eastAsia="仿宋" w:cs="仿宋"/>
                <w:b w:val="0"/>
                <w:bCs/>
                <w:color w:val="auto"/>
                <w:sz w:val="24"/>
                <w:szCs w:val="24"/>
                <w:highlight w:val="none"/>
                <w:u w:val="none"/>
                <w:lang w:eastAsia="zh-CN"/>
              </w:rPr>
              <w:t>时整之前</w:t>
            </w:r>
            <w:r>
              <w:rPr>
                <w:rFonts w:hint="eastAsia" w:ascii="仿宋" w:hAnsi="仿宋" w:eastAsia="仿宋" w:cs="仿宋"/>
                <w:b w:val="0"/>
                <w:bCs/>
                <w:color w:val="auto"/>
                <w:sz w:val="24"/>
                <w:szCs w:val="24"/>
                <w:highlight w:val="none"/>
              </w:rPr>
              <w:t>将</w:t>
            </w:r>
            <w:r>
              <w:rPr>
                <w:rFonts w:hint="eastAsia" w:ascii="仿宋" w:hAnsi="仿宋" w:eastAsia="仿宋" w:cs="仿宋"/>
                <w:bCs/>
                <w:color w:val="auto"/>
                <w:sz w:val="24"/>
                <w:szCs w:val="24"/>
                <w:highlight w:val="none"/>
              </w:rPr>
              <w:t>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投标</w:t>
            </w:r>
            <w:r>
              <w:rPr>
                <w:rFonts w:hint="eastAsia" w:ascii="仿宋" w:hAnsi="仿宋" w:eastAsia="仿宋" w:cs="仿宋"/>
                <w:b/>
                <w:bCs w:val="0"/>
                <w:color w:val="auto"/>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解密时间</w:t>
            </w:r>
          </w:p>
        </w:tc>
        <w:tc>
          <w:tcPr>
            <w:tcW w:w="6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开标时间后</w:t>
            </w:r>
            <w:r>
              <w:rPr>
                <w:rFonts w:hint="eastAsia" w:ascii="仿宋" w:hAnsi="仿宋" w:eastAsia="仿宋" w:cs="仿宋"/>
                <w:b/>
                <w:bCs w:val="0"/>
                <w:color w:val="auto"/>
                <w:sz w:val="24"/>
                <w:szCs w:val="24"/>
                <w:highlight w:val="none"/>
                <w:lang w:val="en-US" w:eastAsia="zh-CN"/>
              </w:rPr>
              <w:t>60分钟</w:t>
            </w:r>
            <w:r>
              <w:rPr>
                <w:rFonts w:hint="eastAsia" w:ascii="仿宋" w:hAnsi="仿宋" w:eastAsia="仿宋" w:cs="仿宋"/>
                <w:b/>
                <w:bCs w:val="0"/>
                <w:color w:val="auto"/>
                <w:sz w:val="24"/>
                <w:szCs w:val="24"/>
                <w:highlight w:val="none"/>
              </w:rPr>
              <w:t>内（</w:t>
            </w:r>
            <w:r>
              <w:rPr>
                <w:rFonts w:hint="eastAsia" w:ascii="仿宋" w:hAnsi="仿宋" w:eastAsia="仿宋" w:cs="仿宋"/>
                <w:b/>
                <w:bCs w:val="0"/>
                <w:color w:val="auto"/>
                <w:sz w:val="24"/>
                <w:szCs w:val="24"/>
                <w:highlight w:val="none"/>
                <w:lang w:val="en-US" w:eastAsia="zh-CN"/>
              </w:rPr>
              <w:t>2023年04月20日</w:t>
            </w:r>
            <w:r>
              <w:rPr>
                <w:rFonts w:hint="eastAsia" w:ascii="仿宋" w:hAnsi="仿宋" w:eastAsia="仿宋" w:cs="仿宋"/>
                <w:b/>
                <w:bCs w:val="0"/>
                <w:color w:val="auto"/>
                <w:sz w:val="24"/>
                <w:szCs w:val="24"/>
                <w:highlight w:val="none"/>
                <w:lang w:eastAsia="zh-CN"/>
              </w:rPr>
              <w:t>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00-12：00</w:t>
            </w:r>
            <w:r>
              <w:rPr>
                <w:rFonts w:hint="eastAsia" w:ascii="仿宋" w:hAnsi="仿宋" w:eastAsia="仿宋" w:cs="仿宋"/>
                <w:b/>
                <w:bCs w:val="0"/>
                <w:color w:val="auto"/>
                <w:sz w:val="24"/>
                <w:szCs w:val="24"/>
                <w:highlight w:val="none"/>
              </w:rPr>
              <w:t>前）供应商可以登录“政采云”平台，用“项目采购-开标评标”功能进行解密投标文件。若供应商在规定时间内（</w:t>
            </w:r>
            <w:r>
              <w:rPr>
                <w:rFonts w:hint="eastAsia" w:ascii="仿宋" w:hAnsi="仿宋" w:eastAsia="仿宋" w:cs="仿宋"/>
                <w:b/>
                <w:bCs w:val="0"/>
                <w:color w:val="auto"/>
                <w:sz w:val="24"/>
                <w:szCs w:val="24"/>
                <w:highlight w:val="none"/>
                <w:lang w:val="en-US" w:eastAsia="zh-CN"/>
              </w:rPr>
              <w:t>2023</w:t>
            </w:r>
            <w:r>
              <w:rPr>
                <w:rFonts w:hint="eastAsia" w:ascii="仿宋" w:hAnsi="仿宋" w:eastAsia="仿宋" w:cs="仿宋"/>
                <w:b/>
                <w:bCs w:val="0"/>
                <w:color w:val="auto"/>
                <w:sz w:val="24"/>
                <w:szCs w:val="24"/>
                <w:highlight w:val="none"/>
                <w:lang w:eastAsia="zh-CN"/>
              </w:rPr>
              <w:t>年</w:t>
            </w:r>
            <w:r>
              <w:rPr>
                <w:rFonts w:hint="eastAsia" w:ascii="仿宋" w:hAnsi="仿宋" w:eastAsia="仿宋" w:cs="仿宋"/>
                <w:b/>
                <w:bCs w:val="0"/>
                <w:color w:val="auto"/>
                <w:sz w:val="24"/>
                <w:szCs w:val="24"/>
                <w:highlight w:val="none"/>
                <w:lang w:val="en-US" w:eastAsia="zh-CN"/>
              </w:rPr>
              <w:t>04</w:t>
            </w:r>
            <w:r>
              <w:rPr>
                <w:rFonts w:hint="eastAsia" w:ascii="仿宋" w:hAnsi="仿宋" w:eastAsia="仿宋" w:cs="仿宋"/>
                <w:b/>
                <w:bCs w:val="0"/>
                <w:color w:val="auto"/>
                <w:sz w:val="24"/>
                <w:szCs w:val="24"/>
                <w:highlight w:val="none"/>
                <w:lang w:eastAsia="zh-CN"/>
              </w:rPr>
              <w:t>月</w:t>
            </w:r>
            <w:r>
              <w:rPr>
                <w:rFonts w:hint="eastAsia" w:ascii="仿宋" w:hAnsi="仿宋" w:eastAsia="仿宋" w:cs="仿宋"/>
                <w:b/>
                <w:bCs w:val="0"/>
                <w:color w:val="auto"/>
                <w:sz w:val="24"/>
                <w:szCs w:val="24"/>
                <w:highlight w:val="none"/>
                <w:lang w:val="en-US" w:eastAsia="zh-CN"/>
              </w:rPr>
              <w:t>20</w:t>
            </w:r>
            <w:r>
              <w:rPr>
                <w:rFonts w:hint="eastAsia" w:ascii="仿宋" w:hAnsi="仿宋" w:eastAsia="仿宋" w:cs="仿宋"/>
                <w:b/>
                <w:bCs w:val="0"/>
                <w:color w:val="auto"/>
                <w:sz w:val="24"/>
                <w:szCs w:val="24"/>
                <w:highlight w:val="none"/>
                <w:lang w:eastAsia="zh-CN"/>
              </w:rPr>
              <w:t>日</w:t>
            </w:r>
            <w:r>
              <w:rPr>
                <w:rFonts w:hint="eastAsia" w:ascii="仿宋" w:hAnsi="仿宋" w:eastAsia="仿宋" w:cs="仿宋"/>
                <w:b/>
                <w:bCs w:val="0"/>
                <w:color w:val="auto"/>
                <w:sz w:val="24"/>
                <w:szCs w:val="24"/>
                <w:highlight w:val="none"/>
                <w:lang w:eastAsia="zh-CN"/>
              </w:rPr>
              <w:t>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12</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00</w:t>
            </w:r>
            <w:r>
              <w:rPr>
                <w:rFonts w:hint="eastAsia" w:ascii="仿宋" w:hAnsi="仿宋" w:eastAsia="仿宋" w:cs="仿宋"/>
                <w:b/>
                <w:bCs w:val="0"/>
                <w:color w:val="auto"/>
                <w:sz w:val="24"/>
                <w:szCs w:val="24"/>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1947" w:type="dxa"/>
            <w:vAlign w:val="center"/>
          </w:tcPr>
          <w:p>
            <w:pPr>
              <w:keepNext w:val="0"/>
              <w:keepLines w:val="0"/>
              <w:widowControl/>
              <w:suppressLineNumbers w:val="0"/>
              <w:spacing w:line="240" w:lineRule="auto"/>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评标委员</w:t>
            </w:r>
          </w:p>
          <w:p>
            <w:pPr>
              <w:keepNext w:val="0"/>
              <w:keepLines w:val="0"/>
              <w:widowControl/>
              <w:suppressLineNumbers w:val="0"/>
              <w:spacing w:line="240" w:lineRule="auto"/>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val="en-US" w:eastAsia="zh-CN" w:bidi="ar"/>
              </w:rPr>
              <w:t>会的组成</w:t>
            </w:r>
          </w:p>
        </w:tc>
        <w:tc>
          <w:tcPr>
            <w:tcW w:w="6960" w:type="dxa"/>
            <w:vAlign w:val="center"/>
          </w:tcPr>
          <w:p>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评标委员会构成：5人或5人以上单数组成，业主专家1人；</w:t>
            </w:r>
          </w:p>
          <w:p>
            <w:pPr>
              <w:keepNext w:val="0"/>
              <w:keepLines w:val="0"/>
              <w:widowControl/>
              <w:suppressLineNumbers w:val="0"/>
              <w:spacing w:line="240" w:lineRule="auto"/>
              <w:jc w:val="left"/>
              <w:rPr>
                <w:rFonts w:hint="eastAsia" w:ascii="仿宋" w:hAnsi="仿宋" w:eastAsia="仿宋" w:cs="仿宋"/>
                <w:b/>
                <w:bCs w:val="0"/>
                <w:color w:val="auto"/>
                <w:sz w:val="24"/>
                <w:szCs w:val="24"/>
                <w:highlight w:val="none"/>
              </w:rPr>
            </w:pPr>
            <w:r>
              <w:rPr>
                <w:rFonts w:hint="eastAsia" w:ascii="仿宋" w:hAnsi="仿宋" w:eastAsia="仿宋" w:cs="仿宋"/>
                <w:color w:val="auto"/>
                <w:kern w:val="0"/>
                <w:sz w:val="24"/>
                <w:szCs w:val="24"/>
                <w:highlight w:val="none"/>
                <w:lang w:val="en-US" w:eastAsia="zh-CN" w:bidi="ar"/>
              </w:rPr>
              <w:t>评标专家确定方式：由招标代理在开标前 48 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报价</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应当包括货物的采购、供应、安装、运输</w:t>
            </w:r>
            <w:r>
              <w:rPr>
                <w:rFonts w:hint="eastAsia" w:ascii="仿宋" w:hAnsi="仿宋" w:eastAsia="仿宋" w:cs="仿宋"/>
                <w:color w:val="auto"/>
                <w:sz w:val="24"/>
                <w:szCs w:val="24"/>
                <w:highlight w:val="none"/>
                <w:lang w:val="en-US" w:eastAsia="zh-CN"/>
              </w:rPr>
              <w:t>装卸费</w:t>
            </w:r>
            <w:r>
              <w:rPr>
                <w:rFonts w:hint="eastAsia" w:ascii="仿宋" w:hAnsi="仿宋" w:eastAsia="仿宋" w:cs="仿宋"/>
                <w:color w:val="auto"/>
                <w:sz w:val="24"/>
                <w:szCs w:val="24"/>
                <w:highlight w:val="none"/>
                <w:lang w:eastAsia="zh-CN"/>
              </w:rPr>
              <w:t>、保险费、税费和相关售后服务等费用。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招标代理费</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本次招标代理服务费由中标</w:t>
            </w:r>
            <w:r>
              <w:rPr>
                <w:rFonts w:hint="eastAsia" w:ascii="仿宋" w:hAnsi="仿宋" w:eastAsia="仿宋" w:cs="仿宋"/>
                <w:bCs/>
                <w:color w:val="auto"/>
                <w:sz w:val="24"/>
                <w:szCs w:val="24"/>
                <w:highlight w:val="none"/>
                <w:lang w:eastAsia="zh-CN"/>
              </w:rPr>
              <w:t>企业</w:t>
            </w:r>
            <w:r>
              <w:rPr>
                <w:rFonts w:hint="eastAsia" w:ascii="仿宋" w:hAnsi="仿宋" w:eastAsia="仿宋" w:cs="仿宋"/>
                <w:bCs/>
                <w:color w:val="auto"/>
                <w:sz w:val="24"/>
                <w:szCs w:val="24"/>
                <w:highlight w:val="none"/>
              </w:rPr>
              <w:t>支付，</w:t>
            </w:r>
            <w:r>
              <w:rPr>
                <w:rFonts w:hint="eastAsia" w:ascii="仿宋" w:hAnsi="仿宋" w:eastAsia="仿宋" w:cs="仿宋"/>
                <w:bCs/>
                <w:color w:val="auto"/>
                <w:sz w:val="24"/>
                <w:szCs w:val="24"/>
                <w:highlight w:val="none"/>
                <w:lang w:eastAsia="zh-CN"/>
              </w:rPr>
              <w:t>按中标价：（100万以下按1.5%计取、100-500万按1.1%计取、500-1000万按0.8%计取、1000-5000万按0.5%计取，按差额定率累进法计算）。</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中标企业在领取中标通知书时一次性足额支付。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本项目评标办法</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不予退还保证金的情形</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有下列情形之一的，保证金不予退还：</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（1）供应商在提交投标文件截止时间后撤回投标文件的；</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（2）供应商在投标文件中提供虚假材料的；</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（3）除因不可抗力或招标文件认可的情形以外，成交供应商不与采购人签订合同的；</w:t>
            </w:r>
          </w:p>
          <w:p>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（4）供应商与采购人、其他供应商或者采购代理机构恶意串通的；</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履约保证金</w:t>
            </w:r>
          </w:p>
        </w:tc>
        <w:tc>
          <w:tcPr>
            <w:tcW w:w="696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1947"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p>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政策支持</w:t>
            </w:r>
          </w:p>
        </w:tc>
        <w:tc>
          <w:tcPr>
            <w:tcW w:w="6960" w:type="dxa"/>
            <w:vAlign w:val="top"/>
          </w:tcPr>
          <w:p>
            <w:pPr>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根据财政部、工业和信息化部印发的《政府采购促进中小企业发展管理办法》的规定，对于未预留份额专门面向中小企业的采购项目，以及预留份额项目中的非预留部分采购包，采购人、采购代理机构应当对符合规定的小微企业报价给予</w:t>
            </w:r>
            <w:r>
              <w:rPr>
                <w:rFonts w:hint="eastAsia" w:ascii="仿宋" w:hAnsi="仿宋" w:eastAsia="仿宋" w:cs="仿宋"/>
                <w:b/>
                <w:bCs w:val="0"/>
                <w:color w:val="auto"/>
                <w:kern w:val="2"/>
                <w:sz w:val="24"/>
                <w:szCs w:val="24"/>
                <w:highlight w:val="none"/>
                <w:lang w:val="en-US" w:eastAsia="zh-CN" w:bidi="ar-SA"/>
              </w:rPr>
              <w:t xml:space="preserve">10% </w:t>
            </w:r>
            <w:r>
              <w:rPr>
                <w:rFonts w:hint="eastAsia" w:ascii="仿宋" w:hAnsi="仿宋" w:eastAsia="仿宋" w:cs="仿宋"/>
                <w:b w:val="0"/>
                <w:bCs/>
                <w:color w:val="auto"/>
                <w:kern w:val="2"/>
                <w:sz w:val="24"/>
                <w:szCs w:val="24"/>
                <w:highlight w:val="none"/>
                <w:lang w:val="en-US" w:eastAsia="zh-CN" w:bidi="ar-SA"/>
              </w:rPr>
              <w:t>的扣除，用扣除后的价格参加评审。 （本项目专门面向中小企业采购）</w:t>
            </w:r>
          </w:p>
          <w:p>
            <w:pPr>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2、在政府采购活动中，监狱企业视同小型、微型企业，享受预留份额、评审中价格扣除等政府采购促进中小企业发展的政府采购政策。向监狱企业采购的金额，计入面向中小企业采购的统计数据。</w:t>
            </w:r>
          </w:p>
          <w:p>
            <w:pPr>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5"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947" w:type="dxa"/>
            <w:vAlign w:val="center"/>
          </w:tcPr>
          <w:p>
            <w:pPr>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补充说明</w:t>
            </w:r>
          </w:p>
        </w:tc>
        <w:tc>
          <w:tcPr>
            <w:tcW w:w="6960" w:type="dxa"/>
            <w:vAlign w:val="center"/>
          </w:tcPr>
          <w:p>
            <w:pPr>
              <w:keepNext w:val="0"/>
              <w:keepLines w:val="0"/>
              <w:pageBreakBefore w:val="0"/>
              <w:numPr>
                <w:ilvl w:val="0"/>
                <w:numId w:val="4"/>
              </w:numPr>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根据新财购 【2022】22号文件中关于“中小企业划型标准规定”，本次招标项目属于</w:t>
            </w:r>
            <w:r>
              <w:rPr>
                <w:rFonts w:hint="eastAsia" w:ascii="仿宋" w:hAnsi="仿宋" w:eastAsia="仿宋" w:cs="仿宋"/>
                <w:b/>
                <w:bCs w:val="0"/>
                <w:color w:val="auto"/>
                <w:sz w:val="24"/>
                <w:szCs w:val="24"/>
                <w:highlight w:val="yellow"/>
                <w:lang w:val="en-US" w:eastAsia="zh-CN"/>
              </w:rPr>
              <w:t>批发业</w:t>
            </w:r>
            <w:r>
              <w:rPr>
                <w:rFonts w:hint="eastAsia" w:ascii="仿宋" w:hAnsi="仿宋" w:eastAsia="仿宋" w:cs="仿宋"/>
                <w:b/>
                <w:bCs w:val="0"/>
                <w:color w:val="auto"/>
                <w:sz w:val="24"/>
                <w:szCs w:val="24"/>
                <w:highlight w:val="none"/>
                <w:lang w:val="en-US" w:eastAsia="zh-CN"/>
              </w:rPr>
              <w:t>。从业人员 200人 以下或营业收入 40000万元以下的为中小微型企业。其中,从业人员 20人及以上,且营业收入 5000万元及以上的为中型企业;从业人员 5人及以上,且营业收入 1000万 元及以上的为小型企业;从业人员5人 以下或营业收入1000万元以下的为微型企业。</w:t>
            </w:r>
          </w:p>
          <w:p>
            <w:pPr>
              <w:keepNext w:val="0"/>
              <w:keepLines w:val="0"/>
              <w:pageBreakBefore w:val="0"/>
              <w:numPr>
                <w:ilvl w:val="0"/>
                <w:numId w:val="0"/>
              </w:numPr>
              <w:kinsoku/>
              <w:wordWrap/>
              <w:overflowPunct/>
              <w:topLinePunct w:val="0"/>
              <w:autoSpaceDE/>
              <w:autoSpaceDN/>
              <w:bidi w:val="0"/>
              <w:adjustRightInd/>
              <w:snapToGrid/>
              <w:spacing w:line="340" w:lineRule="exact"/>
              <w:ind w:right="0" w:rightChars="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（特别提示：如项目涉及多种货物和多个制造商，投标人需从多个制造商处拿货则需提供所有关于该货物制造商的《中小微企业声明函》）；</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二、（1）所有投标人的报价高于采购预算额度视为无效报价（即作否决投标处理）。</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（3）更正补充公告请自行登录新疆政府采购网查看下载。</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（4）投标供应商制作投标文件的CA锁必须和开标解密的CA锁为同一把锁，在解密过程中因为CA锁不同而导致解密失败的，由投标供应商自行承担。</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并将其列入政府采购黑名单库。</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tc>
      </w:tr>
    </w:tbl>
    <w:p>
      <w:pPr>
        <w:spacing w:line="360" w:lineRule="auto"/>
        <w:jc w:val="center"/>
        <w:outlineLvl w:val="9"/>
        <w:rPr>
          <w:rFonts w:hint="eastAsia" w:ascii="仿宋" w:hAnsi="仿宋" w:eastAsia="仿宋" w:cs="仿宋"/>
          <w:b/>
          <w:color w:val="auto"/>
          <w:sz w:val="28"/>
          <w:szCs w:val="28"/>
          <w:highlight w:val="none"/>
        </w:rPr>
      </w:pPr>
      <w:bookmarkStart w:id="62" w:name="_Toc3877"/>
    </w:p>
    <w:bookmarkEnd w:id="62"/>
    <w:p>
      <w:pPr>
        <w:spacing w:line="360" w:lineRule="auto"/>
        <w:jc w:val="center"/>
        <w:outlineLvl w:val="1"/>
        <w:rPr>
          <w:rFonts w:hint="eastAsia" w:ascii="仿宋" w:hAnsi="仿宋" w:eastAsia="仿宋" w:cs="仿宋"/>
          <w:b/>
          <w:color w:val="auto"/>
          <w:sz w:val="28"/>
          <w:szCs w:val="28"/>
          <w:highlight w:val="none"/>
          <w:lang w:val="en-US" w:eastAsia="zh-CN"/>
        </w:rPr>
      </w:pPr>
      <w:bookmarkStart w:id="63" w:name="_Toc2805"/>
      <w:bookmarkStart w:id="64" w:name="_Toc13351"/>
    </w:p>
    <w:p>
      <w:pPr>
        <w:numPr>
          <w:ilvl w:val="0"/>
          <w:numId w:val="0"/>
        </w:numPr>
        <w:spacing w:line="360" w:lineRule="auto"/>
        <w:jc w:val="center"/>
        <w:outlineLvl w:val="1"/>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第一章   投标人</w:t>
      </w:r>
      <w:r>
        <w:rPr>
          <w:rFonts w:hint="eastAsia" w:ascii="仿宋" w:hAnsi="仿宋" w:eastAsia="仿宋" w:cs="仿宋"/>
          <w:b/>
          <w:bCs w:val="0"/>
          <w:color w:val="auto"/>
          <w:sz w:val="36"/>
          <w:szCs w:val="36"/>
          <w:highlight w:val="none"/>
        </w:rPr>
        <w:t>须知</w:t>
      </w:r>
    </w:p>
    <w:p>
      <w:pPr>
        <w:numPr>
          <w:ilvl w:val="0"/>
          <w:numId w:val="0"/>
        </w:num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 xml:space="preserve">  </w:t>
      </w:r>
      <w:bookmarkStart w:id="65" w:name="_Toc3855"/>
      <w:bookmarkStart w:id="66" w:name="_Toc20677"/>
      <w:r>
        <w:rPr>
          <w:rFonts w:hint="eastAsia" w:ascii="仿宋" w:hAnsi="仿宋" w:eastAsia="仿宋" w:cs="仿宋"/>
          <w:b/>
          <w:color w:val="auto"/>
          <w:sz w:val="28"/>
          <w:szCs w:val="28"/>
          <w:highlight w:val="none"/>
        </w:rPr>
        <w:t>总  则</w:t>
      </w:r>
      <w:bookmarkEnd w:id="65"/>
      <w:bookmarkEnd w:id="66"/>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1.1本招标文件仅适用于本次招标采购中所叙述项目的货物及服务采购。</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2、投标人资格要求：</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1.满足《中华人民共和国政府采购法》第二十二条规定；  </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2.落实政府采购政策需满足的资格要求：</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（1）根据财政部、工业和信息化部关于印发《政府采购促进中小企业发展管理办法》的通知(财库[2020]46号)；</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（2）本项目专门面向中小企业(含监狱企业、残疾人福利单位)采购；</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（3）具有有效经年检合格的“三证合一”营业执照；</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（4）法定代表人开标应附《法定代表人身份证明书》及身份证复印件，委托代理人开标应附《法定代表人授权委托书》及身份证复印件；</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（5）提供本单位缴纳的近三个月（近三个月是指2023年1月-3月）社保缴纳证明（社保缴费凭证，新成立不足三个月的公司以实际发生的为准）；</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6）投标人为生产厂家的需提供《农药登记证》、《农药标准证》、《农药生产许可证或者农药生产批准文件》原件；投标人为经销商的需提供《农药经营许可证》原件和生产厂家的《农药登记证》、《农药标准证》、《农药生产许可证或者农药生产批准文件》原件或复印件；</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（7）投标人须提供农药包装废弃物回收处理承诺书原件；</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（8）投标人需提供2022年度第三方审计机构出具的财务审计报告(会计周期不满一年的提供近三个月银行出具的资信证明,近三个月是指2023年1月-3月）和健全的财务会计制度；</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（9）提供税务部门出具近三个月（近三个月是指2023年1月-3月）依法缴纳税收的完税证明或报税材料（需含增值税、印花税等税种），新成立公司按实际发生提供税务机关出具的无欠税证明；</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val="0"/>
          <w:bCs/>
          <w:i w:val="0"/>
          <w:caps w:val="0"/>
          <w:color w:val="auto"/>
          <w:spacing w:val="0"/>
          <w:sz w:val="24"/>
          <w:szCs w:val="24"/>
          <w:highlight w:val="none"/>
          <w:shd w:val="clear" w:color="auto" w:fill="FFFFFF"/>
          <w:lang w:val="en-US" w:eastAsia="zh-CN"/>
        </w:rPr>
        <w:drawing>
          <wp:inline distT="0" distB="0" distL="114300" distR="114300">
            <wp:extent cx="190500" cy="142875"/>
            <wp:effectExtent l="0" t="0" r="0" b="9525"/>
            <wp:docPr id="16" name="图片 1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val="0"/>
          <w:bCs/>
          <w:i w:val="0"/>
          <w:caps w:val="0"/>
          <w:color w:val="auto"/>
          <w:spacing w:val="0"/>
          <w:sz w:val="24"/>
          <w:szCs w:val="24"/>
          <w:highlight w:val="none"/>
          <w:shd w:val="clear" w:color="auto" w:fill="FFFFFF"/>
          <w:lang w:val="en-US" w:eastAsia="zh-CN"/>
        </w:rPr>
        <w:t>http://wenshu.court.gov.cn/）”有行贿受贿犯罪记录的投标企业将拒绝其参与本次政府采购活动；</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（11）企业负责人为同一人或者存在直接控股、管理关系的不同供应商，不得参加同一合同项下的政府采购活动。否则，皆取消投标资格。</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3.本项目的特定资格要求：无</w:t>
      </w:r>
    </w:p>
    <w:p>
      <w:pPr>
        <w:spacing w:line="360" w:lineRule="auto"/>
        <w:ind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3、定义</w:t>
      </w:r>
    </w:p>
    <w:p>
      <w:pPr>
        <w:autoSpaceDE w:val="0"/>
        <w:autoSpaceDN w:val="0"/>
        <w:adjustRightInd w:val="0"/>
        <w:spacing w:line="360" w:lineRule="auto"/>
        <w:ind w:left="1092" w:leftChars="257" w:hanging="552"/>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3.1 “采购人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val="en-US" w:eastAsia="zh-CN"/>
        </w:rPr>
        <w:t xml:space="preserve"> 和田县林业和草原局</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“合格投标人”系指报名合格、购买了招标文件、提交了投标文件的投标人，中标后即为中标人，签订合同后即为卖方。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“招标机构”为</w:t>
      </w:r>
      <w:r>
        <w:rPr>
          <w:rFonts w:hint="eastAsia" w:ascii="仿宋" w:hAnsi="仿宋" w:eastAsia="仿宋" w:cs="仿宋"/>
          <w:color w:val="auto"/>
          <w:sz w:val="24"/>
          <w:szCs w:val="24"/>
          <w:highlight w:val="none"/>
          <w:lang w:val="en-US" w:eastAsia="zh-CN"/>
        </w:rPr>
        <w:t xml:space="preserve"> 新疆庆信达项目管理有限公司</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“货物”系指卖方按合同要求，须向买方提供的一切产品及其它技术资料和材料。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“服务”系指合同规定卖方须承担的技术协助、本地化开发、安装、调试和交付使用后免费维护期内应履行的义务及</w:t>
      </w:r>
      <w:r>
        <w:rPr>
          <w:rFonts w:hint="eastAsia" w:ascii="仿宋" w:hAnsi="仿宋" w:eastAsia="仿宋" w:cs="仿宋"/>
          <w:color w:val="auto"/>
          <w:sz w:val="24"/>
          <w:szCs w:val="24"/>
          <w:highlight w:val="none"/>
          <w:lang w:val="en-US" w:eastAsia="zh-CN"/>
        </w:rPr>
        <w:t>质量保证</w:t>
      </w:r>
      <w:r>
        <w:rPr>
          <w:rFonts w:hint="eastAsia" w:ascii="仿宋" w:hAnsi="仿宋" w:eastAsia="仿宋" w:cs="仿宋"/>
          <w:color w:val="auto"/>
          <w:sz w:val="24"/>
          <w:szCs w:val="24"/>
          <w:highlight w:val="none"/>
        </w:rPr>
        <w:t>服务等其他类似的义务。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“卖方”系指提供合同货物和服务的法人。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“买方”系指购买货物的单位。</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无论投标结果如何，投标人须自行承担所有与参加投标有关的全部费用。</w:t>
      </w:r>
    </w:p>
    <w:p>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67" w:name="_Toc1575"/>
      <w:bookmarkStart w:id="68" w:name="_Toc29853"/>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招标文件</w:t>
      </w:r>
      <w:bookmarkEnd w:id="67"/>
      <w:bookmarkEnd w:id="68"/>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招标文件用以阐明所招标的内容，招标投标程序及合同条款，包括：</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5.1.1  </w:t>
      </w:r>
      <w:r>
        <w:rPr>
          <w:rFonts w:hint="eastAsia" w:ascii="仿宋" w:hAnsi="仿宋" w:eastAsia="仿宋" w:cs="仿宋"/>
          <w:color w:val="auto"/>
          <w:sz w:val="24"/>
          <w:szCs w:val="24"/>
          <w:highlight w:val="none"/>
          <w:lang w:eastAsia="zh-CN"/>
        </w:rPr>
        <w:t>采购公</w:t>
      </w:r>
      <w:r>
        <w:rPr>
          <w:rFonts w:hint="eastAsia" w:ascii="仿宋" w:hAnsi="仿宋" w:eastAsia="仿宋" w:cs="仿宋"/>
          <w:color w:val="auto"/>
          <w:sz w:val="24"/>
          <w:szCs w:val="24"/>
          <w:highlight w:val="none"/>
        </w:rPr>
        <w:t>告</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投标人须知前附表</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5.1.3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5.1.4  </w:t>
      </w:r>
      <w:r>
        <w:rPr>
          <w:rFonts w:hint="eastAsia" w:ascii="仿宋" w:hAnsi="仿宋" w:eastAsia="仿宋" w:cs="仿宋"/>
          <w:color w:val="auto"/>
          <w:sz w:val="24"/>
          <w:szCs w:val="24"/>
          <w:highlight w:val="none"/>
          <w:lang w:val="en-US" w:eastAsia="zh-CN"/>
        </w:rPr>
        <w:t>评标办法及标准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5.1.5  </w:t>
      </w:r>
      <w:r>
        <w:rPr>
          <w:rFonts w:hint="eastAsia" w:ascii="仿宋" w:hAnsi="仿宋" w:eastAsia="仿宋" w:cs="仿宋"/>
          <w:color w:val="auto"/>
          <w:sz w:val="24"/>
          <w:szCs w:val="24"/>
          <w:highlight w:val="none"/>
          <w:lang w:val="en-US" w:eastAsia="zh-CN"/>
        </w:rPr>
        <w:t>采购需求、技术参数、规格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5.1.6  </w:t>
      </w:r>
      <w:r>
        <w:rPr>
          <w:rFonts w:hint="eastAsia" w:ascii="仿宋" w:hAnsi="仿宋" w:eastAsia="仿宋" w:cs="仿宋"/>
          <w:color w:val="auto"/>
          <w:sz w:val="24"/>
          <w:szCs w:val="24"/>
          <w:highlight w:val="none"/>
          <w:lang w:eastAsia="zh-CN"/>
        </w:rPr>
        <w:t>采购合同范本</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5.1.7  </w:t>
      </w:r>
      <w:r>
        <w:rPr>
          <w:rFonts w:hint="eastAsia" w:ascii="仿宋" w:hAnsi="仿宋" w:eastAsia="仿宋" w:cs="仿宋"/>
          <w:color w:val="auto"/>
          <w:sz w:val="24"/>
          <w:szCs w:val="24"/>
          <w:highlight w:val="none"/>
          <w:lang w:val="en-US" w:eastAsia="zh-CN"/>
        </w:rPr>
        <w:t>投标文件内容及格式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应认真阅读招标文件中所有的事项、格式、条款和规范等要求，从而对招标文件作出实质性响应。如果没有按照招标文件要求提交全部招标响应文件或资料，没有对招标文件作出实质性响应，其风险应由供应商自行承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5.3招标文件以中文编写。</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6、招标文件的澄清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供应商对招标文件有疑问的，可以向招标代理机构提出询问，招标代理机构将及时做出答复；</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6.2供应商对招标文件有质疑，须在招标响应文件递交截止时间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日以前，以书面形式向招标机构提出质疑；招标机构在收到书面质疑后尽快做出答复，并以书面形式通知质疑供应商。</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7、招标文件的修改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对招标文件进行必要的修改，招标代理机构将在投标截止时间</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日前以书面形式通知所有购买招标文件的供应商。该修改的内容为招标文件的组成部分；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供应商在规定的时间内未对招标文件提出澄清要求的，招标代理机构将视其为同意。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在投标截止时间前，招标机构可视具体情况延长招标截止时间，并将变更时间书面通知所有购买招标文件的供应商。</w:t>
      </w:r>
    </w:p>
    <w:p>
      <w:pPr>
        <w:pStyle w:val="86"/>
        <w:spacing w:line="360" w:lineRule="auto"/>
        <w:rPr>
          <w:rFonts w:hint="eastAsia" w:ascii="仿宋" w:hAnsi="仿宋" w:eastAsia="仿宋" w:cs="仿宋"/>
          <w:color w:val="auto"/>
          <w:sz w:val="28"/>
          <w:szCs w:val="28"/>
          <w:highlight w:val="none"/>
        </w:rPr>
      </w:pPr>
    </w:p>
    <w:p>
      <w:pPr>
        <w:spacing w:line="360" w:lineRule="auto"/>
        <w:ind w:firstLine="562" w:firstLineChars="200"/>
        <w:jc w:val="center"/>
        <w:outlineLvl w:val="2"/>
        <w:rPr>
          <w:rFonts w:hint="eastAsia" w:ascii="仿宋" w:hAnsi="仿宋" w:eastAsia="仿宋" w:cs="仿宋"/>
          <w:b/>
          <w:bCs/>
          <w:color w:val="auto"/>
          <w:sz w:val="28"/>
          <w:szCs w:val="28"/>
          <w:highlight w:val="none"/>
        </w:rPr>
      </w:pPr>
      <w:bookmarkStart w:id="69" w:name="_Toc24935"/>
      <w:bookmarkStart w:id="70" w:name="_Toc4675"/>
      <w:r>
        <w:rPr>
          <w:rFonts w:hint="eastAsia" w:ascii="仿宋" w:hAnsi="仿宋" w:eastAsia="仿宋" w:cs="仿宋"/>
          <w:b/>
          <w:bCs/>
          <w:color w:val="auto"/>
          <w:sz w:val="28"/>
          <w:szCs w:val="28"/>
          <w:highlight w:val="none"/>
        </w:rPr>
        <w:t>三、投标文件的编写</w:t>
      </w:r>
      <w:bookmarkEnd w:id="69"/>
      <w:bookmarkEnd w:id="70"/>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8．要求</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供应商应仔细阅读招标文件的所有内容，按招标文件的要求提供招标响应文件，并保证所提供的全部资料的真实性，以使其招标响应对招标文件作出实质性响应，否则，其招标可能被拒绝。</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9．招标语言</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9.2投标文件中使用的计量单位除招标文件中有特殊规定外，一律使用法定计量单位。</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10、投标文件的格式 </w:t>
      </w:r>
    </w:p>
    <w:p>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10.1投标人应按招标文件提供的格式及投标报价说明完整地填写所提供的产品、服务、数量及价格。</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numPr>
          <w:ilvl w:val="0"/>
          <w:numId w:val="5"/>
        </w:numPr>
        <w:spacing w:line="360" w:lineRule="auto"/>
        <w:ind w:left="481"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投标文件由以下部分构成</w:t>
      </w:r>
    </w:p>
    <w:p>
      <w:pPr>
        <w:spacing w:line="360"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本项目所涉投标文件格式请详见第</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章，未给出的格式请自拟。</w:t>
      </w:r>
    </w:p>
    <w:p>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投标文件由</w:t>
      </w:r>
      <w:r>
        <w:rPr>
          <w:rFonts w:hint="eastAsia" w:ascii="仿宋" w:hAnsi="仿宋" w:eastAsia="仿宋" w:cs="仿宋"/>
          <w:b/>
          <w:bCs/>
          <w:color w:val="auto"/>
          <w:sz w:val="24"/>
          <w:szCs w:val="24"/>
          <w:highlight w:val="none"/>
          <w:lang w:val="en-US" w:eastAsia="zh-CN"/>
        </w:rPr>
        <w:t>经济报价部分、</w:t>
      </w:r>
      <w:r>
        <w:rPr>
          <w:rFonts w:hint="eastAsia" w:ascii="仿宋" w:hAnsi="仿宋" w:eastAsia="仿宋" w:cs="仿宋"/>
          <w:b/>
          <w:bCs/>
          <w:color w:val="auto"/>
          <w:sz w:val="24"/>
          <w:szCs w:val="24"/>
          <w:highlight w:val="none"/>
        </w:rPr>
        <w:t>商务部分、技术部分其他部分组成主要包括</w:t>
      </w:r>
      <w:r>
        <w:rPr>
          <w:rFonts w:hint="eastAsia" w:ascii="仿宋" w:hAnsi="仿宋" w:eastAsia="仿宋" w:cs="仿宋"/>
          <w:b/>
          <w:bCs/>
          <w:color w:val="auto"/>
          <w:sz w:val="24"/>
          <w:szCs w:val="24"/>
          <w:highlight w:val="none"/>
          <w:lang w:val="en-US" w:eastAsia="zh-CN"/>
        </w:rPr>
        <w:t>：</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一、投 标 函</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二、投标文件真实性和不存在限制投标情形的声明</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三、开标一览表</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四、法定代表人身份证明、法定代表人授权委托书</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五、投标保证金汇款凭证</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六、商务条款偏离表</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七、本地化服务一览表</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八、近三年业绩及相关证明</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九、拟投入的项目组人员表</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十、售后服务承诺书</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十一、符合《政府采购法》第二十二条规定的条件</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十二、投标单位（供应商）承诺书</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十三、中小企业声明函</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十四、节能、环保产品证明（如有）</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十五、网站截图</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十六、应急保障方案</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十七、安全管理措施</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十八、供应商自行编写的技术文件</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十九、投标人认为需要提供的其他资料</w:t>
      </w:r>
    </w:p>
    <w:p>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rPr>
        <w:t>注：电子投标文件按政采云平台供应商电子招投标操作指南。建议根据招标文件合格供应商的资格要求、投标文件的编制及</w:t>
      </w:r>
      <w:r>
        <w:rPr>
          <w:rFonts w:hint="eastAsia" w:ascii="仿宋" w:hAnsi="仿宋" w:eastAsia="仿宋" w:cs="仿宋"/>
          <w:b/>
          <w:bCs/>
          <w:color w:val="auto"/>
          <w:sz w:val="24"/>
          <w:szCs w:val="24"/>
          <w:highlight w:val="none"/>
          <w:lang w:val="en-US" w:eastAsia="zh-CN"/>
        </w:rPr>
        <w:t>资格评审、响应性评审</w:t>
      </w:r>
      <w:r>
        <w:rPr>
          <w:rFonts w:hint="eastAsia" w:ascii="仿宋" w:hAnsi="仿宋" w:eastAsia="仿宋" w:cs="仿宋"/>
          <w:b/>
          <w:bCs/>
          <w:color w:val="auto"/>
          <w:sz w:val="24"/>
          <w:szCs w:val="24"/>
          <w:highlight w:val="none"/>
        </w:rPr>
        <w:t>等内容一一关联投标文件按统一格式、顺序编写。</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12、投标报价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（一）投标文件中开标一览表（报价表）内容与投标文件中相应内容不一致的，以开标一览表（报价表）为准；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（二）大写金额和小写金额不一致的，以大写金额为准；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（三）单价金额小数点或者百分比有明显错位的，以开标一览表的总价为准，并修改单价；</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（四）总价金额与单价汇总金额不一致的，以单价金额计算结果为准。</w:t>
      </w:r>
    </w:p>
    <w:p>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 供应商应在投标报价表中标明其提供的所有货物及其相关工作范围内所在费用的总价，不接受有任何选择性招标报价。</w:t>
      </w:r>
    </w:p>
    <w:p>
      <w:pPr>
        <w:pStyle w:val="20"/>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12.3</w:t>
      </w:r>
      <w:r>
        <w:rPr>
          <w:rFonts w:hint="eastAsia" w:ascii="仿宋" w:hAnsi="仿宋" w:eastAsia="仿宋" w:cs="仿宋"/>
          <w:color w:val="auto"/>
          <w:sz w:val="24"/>
          <w:szCs w:val="24"/>
          <w:highlight w:val="none"/>
        </w:rPr>
        <w:t>报价时应对下列几点特别注明：</w:t>
      </w:r>
    </w:p>
    <w:p>
      <w:pPr>
        <w:pStyle w:val="20"/>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12.3.1招标文件中特别要求的备品备件、易损件和专用工具的费用；</w:t>
      </w:r>
    </w:p>
    <w:p>
      <w:pPr>
        <w:pStyle w:val="20"/>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12.3.2招标文件中特别要求的</w:t>
      </w:r>
      <w:r>
        <w:rPr>
          <w:rFonts w:hint="eastAsia" w:ascii="仿宋" w:hAnsi="仿宋" w:eastAsia="仿宋" w:cs="仿宋"/>
          <w:color w:val="auto"/>
          <w:sz w:val="24"/>
          <w:szCs w:val="24"/>
          <w:highlight w:val="none"/>
          <w:lang w:eastAsia="zh-CN"/>
        </w:rPr>
        <w:t>货物的采购、供应、安装、运输</w:t>
      </w:r>
      <w:r>
        <w:rPr>
          <w:rFonts w:hint="eastAsia" w:ascii="仿宋" w:hAnsi="仿宋" w:eastAsia="仿宋" w:cs="仿宋"/>
          <w:color w:val="auto"/>
          <w:sz w:val="24"/>
          <w:szCs w:val="24"/>
          <w:highlight w:val="none"/>
          <w:lang w:val="en-US" w:eastAsia="zh-CN"/>
        </w:rPr>
        <w:t>装卸费</w:t>
      </w:r>
      <w:r>
        <w:rPr>
          <w:rFonts w:hint="eastAsia" w:ascii="仿宋" w:hAnsi="仿宋" w:eastAsia="仿宋" w:cs="仿宋"/>
          <w:color w:val="auto"/>
          <w:sz w:val="24"/>
          <w:szCs w:val="24"/>
          <w:highlight w:val="none"/>
          <w:lang w:eastAsia="zh-CN"/>
        </w:rPr>
        <w:t>、保险费、税费和相关售后服务</w:t>
      </w:r>
      <w:r>
        <w:rPr>
          <w:rFonts w:hint="eastAsia" w:ascii="仿宋" w:hAnsi="仿宋" w:eastAsia="仿宋" w:cs="仿宋"/>
          <w:color w:val="auto"/>
          <w:sz w:val="24"/>
          <w:szCs w:val="24"/>
          <w:highlight w:val="none"/>
        </w:rPr>
        <w:t>等费用及其它附带服务的全部费用；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12.3.3国内供货人提供在中华人民共和国制造的，或已在中华人民共和国境内的国外产地的已经</w:t>
      </w:r>
      <w:r>
        <w:rPr>
          <w:rStyle w:val="119"/>
          <w:rFonts w:hint="eastAsia" w:ascii="仿宋" w:hAnsi="仿宋" w:eastAsia="仿宋" w:cs="仿宋"/>
          <w:color w:val="auto"/>
          <w:sz w:val="24"/>
          <w:szCs w:val="24"/>
          <w:highlight w:val="none"/>
        </w:rPr>
        <w:t>进口的货物的国内投标，其货物的交货价，包括制造、组装该货物所使用的零部件及原材料已付的全部关税、销售税和其他税（其关税和其他税不分别填写，计入货价内即可）。</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算术性修正。算术性修正是指对招标响应文件的报价明细进行校核，并对其算术上和运算上的差错给予修正。修正的原则如下：</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当以数字表示的金额与文字表示的金额有差异时，以文字表示的金额为准；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当单价与数量相乘不等于合价时，以单价计算为准。如果单价有明显的小数点位置差错，应以标出的合价为准，同时对单价予以修正；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12.4.3 当各明细部分的价格累计不等于合价时，应以各明细的累计计数为准，修正合价。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按以上原则对算术性差错修正，应取得供应商的同意，并确认修正后最终招标报价。如果供应商拒绝确认，则其招标响应文件将不予以评审并按废标处理，没收其投标担保。</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13、投标人应逐条详细阅读招标文件有关要求，表明所提供的服务是否对招标文件做出实质性响应。</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14、投标有效期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投标</w:t>
      </w:r>
      <w:r>
        <w:rPr>
          <w:rFonts w:hint="eastAsia" w:ascii="仿宋" w:hAnsi="仿宋" w:eastAsia="仿宋" w:cs="仿宋"/>
          <w:color w:val="auto"/>
          <w:sz w:val="24"/>
          <w:szCs w:val="24"/>
          <w:highlight w:val="none"/>
          <w:lang w:eastAsia="zh-CN"/>
        </w:rPr>
        <w:t>有效期</w:t>
      </w:r>
      <w:r>
        <w:rPr>
          <w:rFonts w:hint="eastAsia" w:ascii="仿宋" w:hAnsi="仿宋" w:eastAsia="仿宋" w:cs="仿宋"/>
          <w:color w:val="auto"/>
          <w:sz w:val="24"/>
          <w:szCs w:val="24"/>
          <w:highlight w:val="none"/>
        </w:rPr>
        <w:t xml:space="preserve">从实际开标之日起 </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天内有效。有效期不足的投标文件将被拒绝。</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如遇特殊情况，在原投标有效期届满之前，招标人可与投标人协商延长投标有效期，并经投标人确认。</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14.3投标人可拒绝接受延期要求而不会导致投标保证金被没收。同意延长有效期的投标人需要相应延长投标保证金的有效期，但不能修改投标文件。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14.4中标人的投标文件自开标之日起至合同履行完毕止均应保持有效。</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15、投标文件的签署、递交、准备和解密时间要求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15.2投标人应于</w:t>
      </w:r>
      <w:r>
        <w:rPr>
          <w:rFonts w:hint="eastAsia" w:ascii="仿宋" w:hAnsi="仿宋" w:eastAsia="仿宋" w:cs="仿宋"/>
          <w:b/>
          <w:bCs/>
          <w:color w:val="auto"/>
          <w:sz w:val="24"/>
          <w:szCs w:val="24"/>
          <w:highlight w:val="none"/>
          <w:lang w:val="en-US" w:eastAsia="zh-CN"/>
        </w:rPr>
        <w:t>2023</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04</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20</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eastAsia="zh-CN"/>
        </w:rPr>
        <w:t>11:00时整</w:t>
      </w:r>
      <w:r>
        <w:rPr>
          <w:rFonts w:hint="eastAsia" w:ascii="仿宋" w:hAnsi="仿宋" w:eastAsia="仿宋" w:cs="仿宋"/>
          <w:b/>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15.3投标文件须由投标人在规定位置盖章并由法定代表人或法定代表人的授权委托人签署，投标人应写全称。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15.4投标文件不得涂改，若有修改错漏处，须加盖单位公章或者法定代表人或授权委托人签字或盖章。投标文件因字迹潦草或表达不清所引起的后果由投标人负责。</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15.5</w:t>
      </w:r>
      <w:r>
        <w:rPr>
          <w:rFonts w:hint="eastAsia" w:ascii="仿宋" w:hAnsi="仿宋" w:eastAsia="仿宋" w:cs="仿宋"/>
          <w:b/>
          <w:bCs/>
          <w:color w:val="auto"/>
          <w:sz w:val="24"/>
          <w:szCs w:val="24"/>
          <w:highlight w:val="none"/>
        </w:rPr>
        <w:t xml:space="preserve">、本项目实行网上投标，采用电子投标文件。若供应商参与投标，自行承担投标一切费用。 </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15.6</w:t>
      </w:r>
      <w:r>
        <w:rPr>
          <w:rFonts w:hint="eastAsia" w:ascii="仿宋" w:hAnsi="仿宋" w:eastAsia="仿宋" w:cs="仿宋"/>
          <w:b/>
          <w:bCs/>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15.8</w:t>
      </w:r>
      <w:r>
        <w:rPr>
          <w:rFonts w:hint="eastAsia" w:ascii="仿宋" w:hAnsi="仿宋" w:eastAsia="仿宋" w:cs="仿宋"/>
          <w:b/>
          <w:bCs/>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15.9开标时间后</w:t>
      </w:r>
      <w:r>
        <w:rPr>
          <w:rFonts w:hint="eastAsia" w:ascii="仿宋" w:hAnsi="仿宋" w:eastAsia="仿宋" w:cs="仿宋"/>
          <w:b/>
          <w:bCs/>
          <w:color w:val="auto"/>
          <w:sz w:val="24"/>
          <w:szCs w:val="24"/>
          <w:highlight w:val="none"/>
          <w:lang w:val="en-US" w:eastAsia="zh-CN"/>
        </w:rPr>
        <w:t>60</w:t>
      </w:r>
      <w:r>
        <w:rPr>
          <w:rFonts w:hint="eastAsia" w:ascii="仿宋" w:hAnsi="仿宋" w:eastAsia="仿宋" w:cs="仿宋"/>
          <w:b/>
          <w:bCs/>
          <w:color w:val="auto"/>
          <w:sz w:val="24"/>
          <w:szCs w:val="24"/>
          <w:highlight w:val="none"/>
        </w:rPr>
        <w:t>分钟内（</w:t>
      </w:r>
      <w:r>
        <w:rPr>
          <w:rFonts w:hint="eastAsia" w:ascii="仿宋" w:hAnsi="仿宋" w:eastAsia="仿宋" w:cs="仿宋"/>
          <w:b/>
          <w:bCs/>
          <w:color w:val="auto"/>
          <w:sz w:val="24"/>
          <w:szCs w:val="24"/>
          <w:highlight w:val="none"/>
          <w:lang w:val="en-US" w:eastAsia="zh-CN"/>
        </w:rPr>
        <w:t>2023</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04</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20</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eastAsia="zh-CN"/>
        </w:rPr>
        <w:t>上午</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前）供应商可以登录“政采云”平台，用“项目采购-开标评标”功能进行解密投标文件。若供应商在规定时间内（</w:t>
      </w:r>
      <w:r>
        <w:rPr>
          <w:rFonts w:hint="eastAsia" w:ascii="仿宋" w:hAnsi="仿宋" w:eastAsia="仿宋" w:cs="仿宋"/>
          <w:b/>
          <w:bCs/>
          <w:color w:val="auto"/>
          <w:sz w:val="24"/>
          <w:szCs w:val="24"/>
          <w:highlight w:val="none"/>
          <w:lang w:val="en-US" w:eastAsia="zh-CN"/>
        </w:rPr>
        <w:t>2023年04月20日</w:t>
      </w:r>
      <w:r>
        <w:rPr>
          <w:rFonts w:hint="eastAsia" w:ascii="仿宋" w:hAnsi="仿宋" w:eastAsia="仿宋" w:cs="仿宋"/>
          <w:b/>
          <w:bCs/>
          <w:color w:val="auto"/>
          <w:sz w:val="24"/>
          <w:szCs w:val="24"/>
          <w:highlight w:val="none"/>
          <w:lang w:val="en-US" w:eastAsia="zh-CN"/>
        </w:rPr>
        <w:t>上午12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前）未按时解密的，视为投标文件撤回。</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16、投标保证金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投标保证金数额</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8</w:t>
      </w:r>
      <w:r>
        <w:rPr>
          <w:rFonts w:hint="eastAsia" w:ascii="仿宋" w:hAnsi="仿宋" w:eastAsia="仿宋" w:cs="仿宋"/>
          <w:b/>
          <w:color w:val="auto"/>
          <w:sz w:val="24"/>
          <w:szCs w:val="24"/>
          <w:highlight w:val="none"/>
          <w:u w:val="single"/>
        </w:rPr>
        <w:t>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投标保证金用于应对本次招标因投标人违规、违约而产生的风险。</w:t>
      </w:r>
    </w:p>
    <w:p>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16.3 投标人必须于投标截止时间之前（</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8</w:t>
      </w:r>
      <w:r>
        <w:rPr>
          <w:rFonts w:hint="eastAsia" w:ascii="仿宋" w:hAnsi="仿宋" w:eastAsia="仿宋" w:cs="仿宋"/>
          <w:b/>
          <w:color w:val="auto"/>
          <w:sz w:val="24"/>
          <w:szCs w:val="24"/>
          <w:highlight w:val="none"/>
          <w:u w:val="single"/>
        </w:rPr>
        <w:t>条规定）</w:t>
      </w:r>
      <w:r>
        <w:rPr>
          <w:rFonts w:hint="eastAsia" w:ascii="仿宋" w:hAnsi="仿宋" w:eastAsia="仿宋" w:cs="仿宋"/>
          <w:color w:val="auto"/>
          <w:sz w:val="24"/>
          <w:szCs w:val="24"/>
          <w:highlight w:val="none"/>
        </w:rPr>
        <w:t>按将投标保证金交纳至规定的帐号，对未按要求提交投标保证金的投标书，招标机构将视为不响应投标予以拒绝。</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 投标保证金应以基本账户对公转账</w:t>
      </w:r>
      <w:r>
        <w:rPr>
          <w:rFonts w:hint="eastAsia" w:ascii="仿宋" w:hAnsi="仿宋" w:eastAsia="仿宋" w:cs="仿宋"/>
          <w:color w:val="auto"/>
          <w:sz w:val="24"/>
          <w:szCs w:val="24"/>
          <w:highlight w:val="none"/>
          <w:lang w:eastAsia="zh-CN"/>
        </w:rPr>
        <w:t>或保函形式</w:t>
      </w:r>
      <w:r>
        <w:rPr>
          <w:rFonts w:hint="eastAsia" w:ascii="仿宋" w:hAnsi="仿宋" w:eastAsia="仿宋" w:cs="仿宋"/>
          <w:color w:val="auto"/>
          <w:sz w:val="24"/>
          <w:szCs w:val="24"/>
          <w:highlight w:val="none"/>
        </w:rPr>
        <w:t>提交。</w:t>
      </w:r>
    </w:p>
    <w:p>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16.5在招标方规定的投标有效期满之前，招标方将以书面形式 发出《中标通知书》，《中标通知书》一经发出即发生法律效力。</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 发生以下情况投标保证金可能被没收：</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16.6.1 投标人在投标有效期内撤回投标的；</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16.6.2 中标人未能做到：中标后，无正当理由放弃中标资格。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16.6.3 投标人在投标过程中有违反有关法律法规行为的。</w:t>
      </w:r>
    </w:p>
    <w:p>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71" w:name="_Toc22171"/>
      <w:bookmarkStart w:id="72" w:name="_Toc22295"/>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投标文件的递交</w:t>
      </w:r>
      <w:bookmarkEnd w:id="71"/>
      <w:bookmarkEnd w:id="72"/>
    </w:p>
    <w:p>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17.1.投标文件的准备和解密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1、本项目实行网上投标，采用电子投标文件。若供应商参与投标，自行承担投标一切费用。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3、</w:t>
      </w:r>
      <w:r>
        <w:rPr>
          <w:rFonts w:hint="eastAsia" w:ascii="仿宋" w:hAnsi="仿宋" w:eastAsia="仿宋" w:cs="仿宋"/>
          <w:b/>
          <w:bCs/>
          <w:color w:val="auto"/>
          <w:kern w:val="0"/>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val="en-US" w:eastAsia="zh-CN"/>
        </w:rPr>
        <w:t xml:space="preserve">  17.</w:t>
      </w:r>
      <w:r>
        <w:rPr>
          <w:rFonts w:hint="eastAsia" w:ascii="仿宋" w:hAnsi="仿宋" w:eastAsia="仿宋" w:cs="仿宋"/>
          <w:b/>
          <w:bCs/>
          <w:color w:val="auto"/>
          <w:kern w:val="0"/>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5开标时间后60分钟内（2023年04月20日</w:t>
      </w:r>
      <w:r>
        <w:rPr>
          <w:rFonts w:hint="eastAsia" w:ascii="仿宋" w:hAnsi="仿宋" w:eastAsia="仿宋" w:cs="仿宋"/>
          <w:b/>
          <w:bCs/>
          <w:color w:val="auto"/>
          <w:kern w:val="0"/>
          <w:sz w:val="24"/>
          <w:szCs w:val="24"/>
          <w:highlight w:val="none"/>
          <w:lang w:val="en-US" w:eastAsia="zh-CN"/>
        </w:rPr>
        <w:t>上午11:00-12：00前）供应商可以登录“政采云”平台，用“项目采购-开标评标”功能进行解密投标文件。若供应商在规定时间内（2023年04月20日</w:t>
      </w:r>
      <w:r>
        <w:rPr>
          <w:rFonts w:hint="eastAsia" w:ascii="仿宋" w:hAnsi="仿宋" w:eastAsia="仿宋" w:cs="仿宋"/>
          <w:b/>
          <w:bCs/>
          <w:color w:val="auto"/>
          <w:kern w:val="0"/>
          <w:sz w:val="24"/>
          <w:szCs w:val="24"/>
          <w:highlight w:val="none"/>
          <w:lang w:val="en-US" w:eastAsia="zh-CN"/>
        </w:rPr>
        <w:t>上午12:00前）未按时解密的，视为投标文件撤回。</w:t>
      </w:r>
    </w:p>
    <w:p>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投标文件未按规定上传的，视为其自动放弃投标。</w:t>
      </w:r>
    </w:p>
    <w:p>
      <w:pPr>
        <w:keepNext w:val="0"/>
        <w:keepLines w:val="0"/>
        <w:pageBreakBefore w:val="0"/>
        <w:widowControl/>
        <w:shd w:val="clear" w:color="auto" w:fill="FFFFFF"/>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17.2</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color w:val="auto"/>
          <w:kern w:val="0"/>
          <w:sz w:val="24"/>
          <w:szCs w:val="24"/>
          <w:highlight w:val="none"/>
        </w:rPr>
        <w:t>投标文件的修改与撤回</w:t>
      </w:r>
    </w:p>
    <w:p>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17.2.1投标人在投标截止时间前，可以对所递交的投标文件进行补充、修改或者撤回，并书面通知采购人或者采购代理机构。补充、修改的内容应当按照招标文件要求签署、盖章</w:t>
      </w:r>
      <w:r>
        <w:rPr>
          <w:rFonts w:hint="eastAsia" w:ascii="仿宋" w:hAnsi="仿宋" w:eastAsia="仿宋" w:cs="仿宋"/>
          <w:color w:val="auto"/>
          <w:kern w:val="0"/>
          <w:sz w:val="24"/>
          <w:szCs w:val="24"/>
          <w:highlight w:val="none"/>
          <w:lang w:val="en-US" w:eastAsia="zh-CN"/>
        </w:rPr>
        <w:t>后</w:t>
      </w:r>
      <w:r>
        <w:rPr>
          <w:rFonts w:hint="eastAsia" w:ascii="仿宋" w:hAnsi="仿宋" w:eastAsia="仿宋" w:cs="仿宋"/>
          <w:color w:val="auto"/>
          <w:kern w:val="0"/>
          <w:sz w:val="24"/>
          <w:szCs w:val="24"/>
          <w:highlight w:val="none"/>
        </w:rPr>
        <w:t>，作为投标文件的组成部分。</w:t>
      </w:r>
    </w:p>
    <w:p>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17.2.2投标人在投标截止期后不得修改、撤回投标文件。</w:t>
      </w:r>
      <w:r>
        <w:rPr>
          <w:rFonts w:hint="eastAsia" w:ascii="仿宋" w:hAnsi="仿宋" w:eastAsia="仿宋" w:cs="仿宋"/>
          <w:b/>
          <w:color w:val="auto"/>
          <w:kern w:val="0"/>
          <w:sz w:val="24"/>
          <w:szCs w:val="24"/>
          <w:highlight w:val="none"/>
        </w:rPr>
        <w:t>投标人在投标截止期后修改投标文件的，其投标无效。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17.2.3若供应商在规定的时间内（“投标人须知前附表”的中规定）未能解密的，也将被视为供应商对其投标文件的撤回。</w:t>
      </w:r>
    </w:p>
    <w:p>
      <w:pPr>
        <w:numPr>
          <w:ilvl w:val="0"/>
          <w:numId w:val="0"/>
        </w:numPr>
        <w:spacing w:line="360" w:lineRule="auto"/>
        <w:jc w:val="center"/>
        <w:outlineLvl w:val="2"/>
        <w:rPr>
          <w:rFonts w:hint="eastAsia" w:ascii="仿宋" w:hAnsi="仿宋" w:eastAsia="仿宋" w:cs="仿宋"/>
          <w:b/>
          <w:color w:val="auto"/>
          <w:sz w:val="28"/>
          <w:szCs w:val="28"/>
          <w:highlight w:val="yellow"/>
        </w:rPr>
      </w:pPr>
      <w:bookmarkStart w:id="73" w:name="_Toc17234"/>
      <w:bookmarkStart w:id="74" w:name="_Toc18548"/>
      <w:r>
        <w:rPr>
          <w:rFonts w:hint="eastAsia" w:ascii="仿宋" w:hAnsi="仿宋" w:eastAsia="仿宋" w:cs="仿宋"/>
          <w:b/>
          <w:color w:val="auto"/>
          <w:sz w:val="28"/>
          <w:szCs w:val="28"/>
          <w:highlight w:val="none"/>
          <w:lang w:eastAsia="zh-CN"/>
        </w:rPr>
        <w:t>五、</w:t>
      </w:r>
      <w:r>
        <w:rPr>
          <w:rFonts w:hint="eastAsia" w:ascii="仿宋" w:hAnsi="仿宋" w:eastAsia="仿宋" w:cs="仿宋"/>
          <w:b/>
          <w:color w:val="auto"/>
          <w:sz w:val="28"/>
          <w:szCs w:val="28"/>
          <w:highlight w:val="none"/>
        </w:rPr>
        <w:t>开   标</w:t>
      </w:r>
      <w:bookmarkEnd w:id="73"/>
      <w:bookmarkEnd w:id="74"/>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kern w:val="0"/>
          <w:sz w:val="24"/>
          <w:szCs w:val="24"/>
          <w:highlight w:val="none"/>
        </w:rPr>
        <w:t>8</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开标</w:t>
      </w:r>
    </w:p>
    <w:p>
      <w:pPr>
        <w:spacing w:line="360" w:lineRule="auto"/>
        <w:rPr>
          <w:rFonts w:hint="eastAsia" w:ascii="仿宋" w:hAnsi="仿宋" w:eastAsia="仿宋" w:cs="仿宋"/>
          <w:b/>
          <w:bCs/>
          <w:color w:val="auto"/>
          <w:kern w:val="0"/>
          <w:sz w:val="24"/>
          <w:szCs w:val="24"/>
          <w:highlight w:val="none"/>
        </w:rPr>
      </w:pPr>
      <w:bookmarkStart w:id="75" w:name="_Toc11241"/>
      <w:bookmarkStart w:id="76" w:name="_Toc12791"/>
      <w:r>
        <w:rPr>
          <w:rFonts w:hint="eastAsia" w:ascii="仿宋" w:hAnsi="仿宋" w:eastAsia="仿宋" w:cs="仿宋"/>
          <w:b/>
          <w:bCs/>
          <w:color w:val="auto"/>
          <w:kern w:val="0"/>
          <w:sz w:val="24"/>
          <w:szCs w:val="24"/>
          <w:highlight w:val="none"/>
        </w:rPr>
        <w:t>18.1. 开标</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18.1.1 本次采用不见面方式网上开标。</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18.1.2开标由招标代理机构主持，招标人、投标人和有关方面代表参加。</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18.1.3开标时，由采购代理机构工作人员当众在不见面开标大厅解密，宣布投标人名称、投标价格和招标文件规定的需要宣布的其他内容。投标人不足3家的，不得开标。</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18.1.4开标时，投标报价以系统显示投标报价为准。 </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18.1.6投标人代表在开标过程中未提出异议的，视为认可本次开标及开标过程的全部事宜。</w:t>
      </w:r>
    </w:p>
    <w:p>
      <w:pPr>
        <w:numPr>
          <w:ilvl w:val="0"/>
          <w:numId w:val="0"/>
        </w:numPr>
        <w:spacing w:line="360" w:lineRule="auto"/>
        <w:jc w:val="center"/>
        <w:outlineLvl w:val="2"/>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eastAsia="zh-CN"/>
        </w:rPr>
        <w:t>六、</w:t>
      </w:r>
      <w:r>
        <w:rPr>
          <w:rFonts w:hint="eastAsia" w:ascii="仿宋" w:hAnsi="仿宋" w:eastAsia="仿宋" w:cs="仿宋"/>
          <w:b/>
          <w:bCs/>
          <w:color w:val="auto"/>
          <w:kern w:val="0"/>
          <w:sz w:val="28"/>
          <w:szCs w:val="28"/>
          <w:highlight w:val="none"/>
        </w:rPr>
        <w:t>评标、定标</w:t>
      </w:r>
      <w:bookmarkEnd w:id="75"/>
      <w:bookmarkEnd w:id="76"/>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19、评标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评标委员会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19.1.1 评标委员会或评标小组（以下简称评标委员会）的评标工作由招标单位负责组织，具体评标事务由评标委员会负责，并独立履行其法规规定的职责。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19.1.2 评标委员会由招标人和专家库中熟悉相关技术的专家组成，成员人数为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人以上（含</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的单数，其中熟悉相关技术方面的专家不得少于成员总数的三之二。评标委员会设负责人的，评标委员会负责人由评标委员会推举产生或者由招标人确定。评标委员会负责人与评标委员会的其他成员有同等的表决权。开标前随机抽取确定，并在招标结果确定前保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  评标委员会或评标小组负责具体的评标事务，并独立履行以下职责：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19.1.3.1 审查投标文件是否符合招标文件的要求，并作出评价；</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19.1.3.2 可以要求投标供应商对投标文件有关事项作出解释或澄清；</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19.1.3.3 推荐中标候选供应商名单，或者受招标人委托按照事先确定的最低价的评标办法直接确定中标人；</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19.1.3.4 向招标单位或者有关部门报告非法干预评标工作的行为。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评标委员会成员应当履行下列义务：</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.1 遵纪守法，客观、公正、廉洁地履行职责；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.2 按照招标文件规定的评标办法和评标标准进行评标，对评审意见承担个人责任；</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.3 对评标过程和结果，以及投标人的商业秘密保密；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.4 参与评标报告的起草；</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.5 配合财政部门的投诉处理工作；</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.6 配合招标单位答复投标供应商提出的质疑。</w:t>
      </w:r>
    </w:p>
    <w:p>
      <w:pPr>
        <w:spacing w:line="360"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19.2按国家计委等七部委颁发的《评标委员会和评标方法暂行规定》，结合本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特点，</w:t>
      </w:r>
      <w:r>
        <w:rPr>
          <w:rFonts w:hint="eastAsia" w:ascii="仿宋" w:hAnsi="仿宋" w:eastAsia="仿宋" w:cs="仿宋"/>
          <w:b/>
          <w:bCs/>
          <w:color w:val="auto"/>
          <w:kern w:val="0"/>
          <w:sz w:val="24"/>
          <w:szCs w:val="24"/>
          <w:highlight w:val="none"/>
        </w:rPr>
        <w:t>本项目采用综合评分法，综合评分因素的主要因素为价格、技术、财务状况、信誉、业绩、服务以及对招标文件的响应程度等。每一投标人的最终得分为所有评委评分的算数平均值。（总分100分：其中商务部分和技术部分占70分，投标报价占30分），最终合计得分最高的投标人作为第一中标候选人，以此类推确定第二、第三中标候选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评标的依据为招标文件和投标文件。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 评标过程的保密性。开标后，直到授予投标人合同为止，凡是属于审查、澄清、评价和比较的有关资料以及授标建议等均不得向投标人或其他无关的人员透露。</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 投标人在评标过程中所进行的试图影响评标结果、有悖于招标规则的活动，可能导致取消其中标资格。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与招标文件有重大偏离的投标文件将被拒绝。且此重大偏离在开标后不许修改。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评标委员会应当审查每一投标文件是否对招标文件提出的所有实质性要求和条件作出响应。未能在实质上响应招标的投标，将作废标处理。</w:t>
      </w:r>
    </w:p>
    <w:p>
      <w:pPr>
        <w:pStyle w:val="146"/>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bCs/>
          <w:color w:val="auto"/>
          <w:sz w:val="24"/>
          <w:szCs w:val="24"/>
          <w:highlight w:val="none"/>
        </w:rPr>
        <w:t>投标人资格审查和投标文件符合性审查</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.2投标人未通过资格审查的不得进入投标文件符合性审查；投标人未通过符合性审查的，不得进入投标文件的综合比较与评价。</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3如本项目使用最低评标价法，提供相同品牌相同规格类型产品的不同投标人以其中通过资格审查、符合性审查且报价最低的参加评标；报价相同的，由采购人或者采购人委托评标委员会按照招标文件中评标办法规定的方式确定 一个参加评标的投标人；未规定的采取随机抽取方式确定，</w:t>
      </w:r>
      <w:r>
        <w:rPr>
          <w:rFonts w:hint="eastAsia" w:ascii="仿宋" w:hAnsi="仿宋" w:eastAsia="仿宋" w:cs="仿宋"/>
          <w:b/>
          <w:bCs/>
          <w:color w:val="auto"/>
          <w:sz w:val="24"/>
          <w:szCs w:val="24"/>
          <w:highlight w:val="none"/>
        </w:rPr>
        <w:t>其他投标无效</w:t>
      </w:r>
      <w:r>
        <w:rPr>
          <w:rFonts w:hint="eastAsia" w:ascii="仿宋" w:hAnsi="仿宋" w:eastAsia="仿宋" w:cs="仿宋"/>
          <w:bCs/>
          <w:color w:val="auto"/>
          <w:sz w:val="24"/>
          <w:szCs w:val="24"/>
          <w:highlight w:val="none"/>
        </w:rPr>
        <w:t>。</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4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.5如一个分包内包含多种产品的，采购人或采购代理机构将在</w:t>
      </w:r>
      <w:r>
        <w:rPr>
          <w:rFonts w:hint="eastAsia" w:ascii="仿宋" w:hAnsi="仿宋" w:eastAsia="仿宋" w:cs="仿宋"/>
          <w:bCs/>
          <w:color w:val="auto"/>
          <w:sz w:val="24"/>
          <w:szCs w:val="24"/>
          <w:highlight w:val="none"/>
          <w:u w:val="single"/>
        </w:rPr>
        <w:t>投标人须知前附表</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中载明核心产品，多家投标人提供的所有核心产品品牌均相同的， 按相关条规定处理。</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rPr>
        <w:t>无效投标</w:t>
      </w:r>
      <w:r>
        <w:rPr>
          <w:rFonts w:hint="eastAsia" w:ascii="仿宋" w:hAnsi="仿宋" w:eastAsia="仿宋" w:cs="仿宋"/>
          <w:bCs/>
          <w:color w:val="auto"/>
          <w:sz w:val="24"/>
          <w:szCs w:val="24"/>
          <w:highlight w:val="none"/>
        </w:rPr>
        <w:t>被拒绝。</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.7</w:t>
      </w:r>
      <w:r>
        <w:rPr>
          <w:rFonts w:hint="eastAsia" w:ascii="仿宋" w:hAnsi="仿宋" w:eastAsia="仿宋" w:cs="仿宋"/>
          <w:color w:val="auto"/>
          <w:sz w:val="24"/>
          <w:szCs w:val="24"/>
          <w:highlight w:val="none"/>
        </w:rPr>
        <w:t>投标人不良信用记录以采购人或采购代理机构查询结果为准。</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资格审查详见投标人须知前附表载明的投标人资格证明文件、符合性审查标准详见第</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章</w:t>
      </w:r>
      <w:r>
        <w:rPr>
          <w:rFonts w:hint="eastAsia" w:ascii="仿宋" w:hAnsi="仿宋" w:eastAsia="仿宋" w:cs="仿宋"/>
          <w:b/>
          <w:color w:val="auto"/>
          <w:sz w:val="24"/>
          <w:szCs w:val="24"/>
          <w:highlight w:val="none"/>
          <w:lang w:val="en-US" w:eastAsia="zh-CN"/>
        </w:rPr>
        <w:t>评标办法及标准</w:t>
      </w:r>
      <w:r>
        <w:rPr>
          <w:rFonts w:hint="eastAsia" w:ascii="仿宋" w:hAnsi="仿宋" w:eastAsia="仿宋" w:cs="仿宋"/>
          <w:b/>
          <w:color w:val="auto"/>
          <w:sz w:val="24"/>
          <w:szCs w:val="24"/>
          <w:highlight w:val="none"/>
        </w:rPr>
        <w:t>。</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21、投标文件的澄清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评标委员会在评标过程中有权随时请投标人就投标文件中含混之处加以澄清或答疑。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投标人对要求澄清的问题应以书面形式明确答复，并应有法人授权代表的签署。</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投标人的澄清文件是投标文件的组成部分，并取代投标文件中被澄清的部分。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投标文件的澄清不得改变投标的实质内容。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如果投标人在投标文件中未对招标文件中的条款或参数要求提出偏离意见或澄清将视同投标人同意招标文件的全部或部分要求。</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22、定标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评标委员会有权选择和拒绝投标人中标，且无需向投标人进行任何有关评标的解释工作。</w:t>
      </w:r>
      <w:r>
        <w:rPr>
          <w:rFonts w:hint="eastAsia" w:ascii="仿宋" w:hAnsi="仿宋" w:eastAsia="仿宋" w:cs="仿宋"/>
          <w:sz w:val="24"/>
          <w:szCs w:val="24"/>
        </w:rPr>
        <w:t>在确定中标人之前，供应商试图在投标文件审查、澄清、比较和评标时对评标委员会、采购人和采购代理机构施加任何影响都可能导致其投标无效。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23、中标的标准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资格审查文件完整无缺；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已交纳投标保证金；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报价合理，承诺条件优惠；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投标文件与招标文件无重大偏离；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有较强的技术力量，能提供完善的技术服务；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 其他；</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24、中标通知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评标结束后，招标人将当众宣布评标结果，并在“新疆政府采购网”（网址：http://www.ccgp-xinjiang.gov.cn/）上予以公告。公告有效期1个工作日；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招标代理机构根据定标结果，在投标有效期届满前，以书面形式向中标单位发出中标通知书。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招标代理机构将定标结果及时通知未中标单位并退还投标保证金。无需解释落标原因。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招标人有权在定标之前拒绝任何有不正当行为或扰乱正常招标工作的投标人，由此对投标人造成的损失不负任何责任，同时对此无需做任何解释。</w:t>
      </w:r>
    </w:p>
    <w:p>
      <w:pPr>
        <w:widowControl/>
        <w:spacing w:line="360" w:lineRule="auto"/>
        <w:ind w:firstLine="236" w:firstLineChars="98"/>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 xml:space="preserve">  25、</w:t>
      </w:r>
      <w:r>
        <w:rPr>
          <w:rFonts w:hint="eastAsia" w:ascii="仿宋" w:hAnsi="仿宋" w:eastAsia="仿宋" w:cs="仿宋"/>
          <w:b/>
          <w:color w:val="auto"/>
          <w:sz w:val="24"/>
          <w:szCs w:val="24"/>
          <w:highlight w:val="none"/>
        </w:rPr>
        <w:t>付款方式</w:t>
      </w:r>
      <w:r>
        <w:rPr>
          <w:rFonts w:hint="eastAsia" w:ascii="仿宋" w:hAnsi="仿宋" w:eastAsia="仿宋" w:cs="仿宋"/>
          <w:b/>
          <w:color w:val="auto"/>
          <w:kern w:val="0"/>
          <w:sz w:val="24"/>
          <w:szCs w:val="24"/>
          <w:highlight w:val="none"/>
        </w:rPr>
        <w:t>：甲乙双方签订合同为准</w:t>
      </w:r>
      <w:r>
        <w:rPr>
          <w:rFonts w:hint="eastAsia" w:ascii="仿宋" w:hAnsi="仿宋" w:eastAsia="仿宋" w:cs="仿宋"/>
          <w:b/>
          <w:color w:val="auto"/>
          <w:sz w:val="24"/>
          <w:szCs w:val="24"/>
          <w:highlight w:val="none"/>
        </w:rPr>
        <w:t>。</w:t>
      </w:r>
    </w:p>
    <w:p>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77" w:name="_Toc4609"/>
      <w:bookmarkStart w:id="78" w:name="_Toc24055"/>
      <w:r>
        <w:rPr>
          <w:rFonts w:hint="eastAsia" w:ascii="仿宋" w:hAnsi="仿宋" w:eastAsia="仿宋" w:cs="仿宋"/>
          <w:b/>
          <w:color w:val="auto"/>
          <w:sz w:val="28"/>
          <w:szCs w:val="28"/>
          <w:highlight w:val="none"/>
          <w:lang w:eastAsia="zh-CN"/>
        </w:rPr>
        <w:t>七、</w:t>
      </w:r>
      <w:r>
        <w:rPr>
          <w:rFonts w:hint="eastAsia" w:ascii="仿宋" w:hAnsi="仿宋" w:eastAsia="仿宋" w:cs="仿宋"/>
          <w:b/>
          <w:color w:val="auto"/>
          <w:sz w:val="28"/>
          <w:szCs w:val="28"/>
          <w:highlight w:val="none"/>
        </w:rPr>
        <w:t>签定合同</w:t>
      </w:r>
      <w:bookmarkEnd w:id="77"/>
      <w:bookmarkEnd w:id="78"/>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26、签定合同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中标人依据《中标通知书》与采购人签订采购合同，签订时间为《中标通知书》发出之日起7个工作日内；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中标合同不得转让。合同分包需在投标文件中予以说明，并需经招标人同意。否则，招标人有权取消中标人的中标资格。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招标人如遇中标人违约，可从侯选中标人中重新选定中标人，并签定经济合同。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 合同的制订由招标人、中标人、招标代理机构三方参加，为确保合同双方的利益均等，由招标代理机构在合同制订过程中进行协调。</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26.5 合同需经招标人、中标人双方签字盖章后即生效。招标人、中标人亦可自愿申请公证。</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27、合同的组成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下列文件均为合同不可分割部分：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27.1.1 专用合同；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27.1.2 合同条款；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27.1.3 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27.1.4 乙方中标的投标文件；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27.1.5 招标文件；</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27.1.6 评标答疑记录。</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28、履约保证金</w:t>
      </w:r>
    </w:p>
    <w:p>
      <w:pPr>
        <w:pStyle w:val="14"/>
        <w:overflowPunct w:val="0"/>
        <w:spacing w:line="360" w:lineRule="auto"/>
        <w:ind w:firstLine="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28.1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r>
        <w:rPr>
          <w:rFonts w:hint="eastAsia" w:ascii="仿宋" w:hAnsi="仿宋" w:eastAsia="仿宋" w:cs="仿宋"/>
          <w:b/>
          <w:bCs/>
          <w:color w:val="auto"/>
          <w:sz w:val="24"/>
          <w:szCs w:val="24"/>
          <w:highlight w:val="none"/>
        </w:rPr>
        <w:t>。</w:t>
      </w:r>
    </w:p>
    <w:p>
      <w:pPr>
        <w:pStyle w:val="14"/>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履约保证金（无息）将在乙方履行完成合同所有义务后凭乙方的收款收据在五天内退返乙方。</w:t>
      </w:r>
    </w:p>
    <w:p>
      <w:pPr>
        <w:numPr>
          <w:ilvl w:val="0"/>
          <w:numId w:val="0"/>
        </w:numPr>
        <w:spacing w:line="360" w:lineRule="auto"/>
        <w:jc w:val="center"/>
        <w:outlineLvl w:val="2"/>
        <w:rPr>
          <w:rFonts w:hint="eastAsia" w:ascii="仿宋" w:hAnsi="仿宋" w:eastAsia="仿宋" w:cs="仿宋"/>
          <w:b/>
          <w:bCs w:val="0"/>
          <w:color w:val="auto"/>
          <w:sz w:val="28"/>
          <w:szCs w:val="28"/>
          <w:highlight w:val="none"/>
        </w:rPr>
      </w:pPr>
      <w:bookmarkStart w:id="79" w:name="_Toc28496"/>
      <w:bookmarkStart w:id="80" w:name="_Toc18703"/>
      <w:r>
        <w:rPr>
          <w:rFonts w:hint="eastAsia" w:ascii="仿宋" w:hAnsi="仿宋" w:eastAsia="仿宋" w:cs="仿宋"/>
          <w:b/>
          <w:bCs w:val="0"/>
          <w:color w:val="auto"/>
          <w:sz w:val="28"/>
          <w:szCs w:val="28"/>
          <w:highlight w:val="none"/>
          <w:lang w:eastAsia="zh-CN"/>
        </w:rPr>
        <w:t>八、</w:t>
      </w:r>
      <w:r>
        <w:rPr>
          <w:rFonts w:hint="eastAsia" w:ascii="仿宋" w:hAnsi="仿宋" w:eastAsia="仿宋" w:cs="仿宋"/>
          <w:b/>
          <w:bCs w:val="0"/>
          <w:color w:val="auto"/>
          <w:sz w:val="28"/>
          <w:szCs w:val="28"/>
          <w:highlight w:val="none"/>
        </w:rPr>
        <w:t>法律责任</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法律责任</w:t>
      </w:r>
    </w:p>
    <w:p>
      <w:pPr>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29.1</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（一）提供虚假材料谋取中标的；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（二）采取不正当手段诋毁、排挤其他投标人的；</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（三）与招标人、采购人、其他投标人恶意串通的；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（四）向招标人、采购人行贿或者提供其他不正当利益的； </w:t>
      </w:r>
    </w:p>
    <w:p>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（五）在招标过程中与招标人、采购人进行协商谈判、不按照招标文件、投标文件订立合同，或者与采购人另行订立背离合同实质性内容的协议的；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（六）拒绝有关部门监督检查或者提供虚假情况的。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投标人有前款第（一）至（五）项情形之一的，中标无效。 </w:t>
      </w:r>
    </w:p>
    <w:p>
      <w:pPr>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29.2</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（一）中标后无正当理由不与采购人签订合同的；</w:t>
      </w:r>
    </w:p>
    <w:p>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（二）将中标项目转让给他人，或者在投标文件中未说明，且未经招标人同意，将中标项目分包给他人的；</w:t>
      </w:r>
    </w:p>
    <w:p>
      <w:pPr>
        <w:pStyle w:val="20"/>
        <w:tabs>
          <w:tab w:val="left" w:pos="9214"/>
        </w:tabs>
        <w:spacing w:after="0"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（三）拒绝履行合同义务的。</w:t>
      </w:r>
    </w:p>
    <w:p>
      <w:pPr>
        <w:numPr>
          <w:ilvl w:val="0"/>
          <w:numId w:val="0"/>
        </w:numPr>
        <w:spacing w:line="360" w:lineRule="auto"/>
        <w:jc w:val="center"/>
        <w:outlineLvl w:val="2"/>
        <w:rPr>
          <w:rFonts w:hint="eastAsia" w:ascii="仿宋" w:hAnsi="仿宋" w:eastAsia="仿宋" w:cs="仿宋"/>
          <w:b/>
          <w:color w:val="auto"/>
          <w:sz w:val="28"/>
          <w:szCs w:val="28"/>
          <w:highlight w:val="none"/>
          <w:lang w:eastAsia="zh-CN"/>
        </w:rPr>
      </w:pPr>
    </w:p>
    <w:p>
      <w:pPr>
        <w:numPr>
          <w:ilvl w:val="0"/>
          <w:numId w:val="0"/>
        </w:num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特别提示</w:t>
      </w:r>
      <w:bookmarkEnd w:id="79"/>
      <w:bookmarkEnd w:id="80"/>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30、投标人应认真研读招标文件，充分考虑招标文件中的技术要求和合同条款后编制投标文件。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31、如招标文件中未提供的各类表格样式，投标人可另行设计表格样式，但力求内容完整，表达清晰、准确。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、本项目实行网上投标，采用电子投标文件。若供应商参与投标，自行承担投标一切费用。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、本招标文件是根据《中华人民共和国招标投标法》规定编制的，解释权属</w:t>
      </w:r>
      <w:r>
        <w:rPr>
          <w:rFonts w:hint="eastAsia" w:ascii="仿宋" w:hAnsi="仿宋" w:eastAsia="仿宋" w:cs="仿宋"/>
          <w:color w:val="auto"/>
          <w:sz w:val="24"/>
          <w:szCs w:val="24"/>
          <w:highlight w:val="none"/>
          <w:lang w:eastAsia="zh-CN"/>
        </w:rPr>
        <w:t>新疆庆信达项目管理有限公司</w:t>
      </w:r>
      <w:r>
        <w:rPr>
          <w:rFonts w:hint="eastAsia" w:ascii="仿宋" w:hAnsi="仿宋" w:eastAsia="仿宋" w:cs="仿宋"/>
          <w:color w:val="auto"/>
          <w:sz w:val="24"/>
          <w:szCs w:val="24"/>
          <w:highlight w:val="none"/>
        </w:rPr>
        <w:t>。</w:t>
      </w:r>
    </w:p>
    <w:p>
      <w:pPr>
        <w:spacing w:line="600" w:lineRule="auto"/>
        <w:jc w:val="center"/>
        <w:outlineLvl w:val="2"/>
        <w:rPr>
          <w:rFonts w:hint="eastAsia" w:ascii="仿宋" w:hAnsi="仿宋" w:eastAsia="仿宋" w:cs="仿宋"/>
          <w:b/>
          <w:color w:val="auto"/>
          <w:sz w:val="28"/>
          <w:szCs w:val="28"/>
          <w:highlight w:val="none"/>
        </w:rPr>
      </w:pPr>
      <w:bookmarkStart w:id="81" w:name="_Toc22021"/>
      <w:bookmarkStart w:id="82" w:name="_Toc15933"/>
      <w:r>
        <w:rPr>
          <w:rFonts w:hint="eastAsia" w:ascii="仿宋" w:hAnsi="仿宋" w:eastAsia="仿宋" w:cs="仿宋"/>
          <w:b/>
          <w:color w:val="auto"/>
          <w:sz w:val="28"/>
          <w:szCs w:val="28"/>
          <w:highlight w:val="none"/>
        </w:rPr>
        <w:t>十、招标失败条件</w:t>
      </w:r>
      <w:bookmarkEnd w:id="81"/>
      <w:bookmarkEnd w:id="82"/>
    </w:p>
    <w:p>
      <w:pPr>
        <w:pStyle w:val="24"/>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pPr>
        <w:pStyle w:val="24"/>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pPr>
        <w:pStyle w:val="24"/>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36.招标响应文件截止时间后，实际参与的供应商不足法定家数的；</w:t>
      </w:r>
    </w:p>
    <w:p>
      <w:pPr>
        <w:pStyle w:val="24"/>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pPr>
        <w:pStyle w:val="14"/>
        <w:overflowPunct w:val="0"/>
        <w:spacing w:line="360" w:lineRule="auto"/>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38.对招标文件作出实质性响应的供应商不足法定家数的；</w:t>
      </w:r>
    </w:p>
    <w:p>
      <w:pPr>
        <w:spacing w:line="360" w:lineRule="auto"/>
        <w:rPr>
          <w:rFonts w:hint="eastAsia" w:ascii="仿宋" w:hAnsi="仿宋" w:eastAsia="仿宋" w:cs="仿宋"/>
          <w:color w:val="auto"/>
          <w:highlight w:val="none"/>
        </w:rPr>
      </w:pPr>
    </w:p>
    <w:p>
      <w:pPr>
        <w:spacing w:line="360" w:lineRule="auto"/>
        <w:ind w:left="720"/>
        <w:jc w:val="center"/>
        <w:outlineLvl w:val="2"/>
        <w:rPr>
          <w:rFonts w:hint="eastAsia" w:ascii="仿宋" w:hAnsi="仿宋" w:eastAsia="仿宋" w:cs="仿宋"/>
          <w:b/>
          <w:color w:val="auto"/>
          <w:sz w:val="28"/>
          <w:szCs w:val="28"/>
          <w:highlight w:val="none"/>
        </w:rPr>
      </w:pPr>
    </w:p>
    <w:p>
      <w:pPr>
        <w:numPr>
          <w:ilvl w:val="0"/>
          <w:numId w:val="6"/>
        </w:numPr>
        <w:spacing w:line="720" w:lineRule="auto"/>
        <w:ind w:left="720"/>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质疑及答复</w:t>
      </w:r>
    </w:p>
    <w:p>
      <w:pPr>
        <w:pStyle w:val="20"/>
        <w:numPr>
          <w:ilvl w:val="0"/>
          <w:numId w:val="0"/>
        </w:numPr>
        <w:rPr>
          <w:rFonts w:hint="eastAsia"/>
        </w:rPr>
      </w:pPr>
    </w:p>
    <w:p>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39、质疑的提出</w:t>
      </w:r>
      <w:r>
        <w:rPr>
          <w:rFonts w:hint="eastAsia" w:ascii="仿宋" w:hAnsi="仿宋" w:eastAsia="仿宋" w:cs="仿宋"/>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 本采购文件中所称质疑及答复，是指参加本次采购活动的供应商对政府采购活动中的采购文件、采购过程和中标结果向采购方提出质疑，采购方答复质疑的行为。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 供应商认为采购文件、采购过程和中标结果使自己的权益受到损害的，可以在知道或者应知其权益受到损害之日起 7 个工作日内，以书面形式向采购方提出质疑。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39.2.1供应商应知其权益受到损害之日，是指：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39.3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39.5   提出质疑应当符合下列条件：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39.7 质疑人所提供的证明材料应当具有真实性、合法性以及与质疑事项的关联性和证明力，否则不能作为认定该质疑事项成立的依据。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39.8 质疑人提出质疑时应当提交质疑函。质疑函包括下列内容：</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39.9  质疑函采用实名制。质疑人为自然人的应当由本人签字，并附有效身份证明文件；质疑人为法人或者非法人组织的应当由法定代表人或者负责人签字并加盖公章，并附有效身份证明文件。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39.10 质疑人可以委托代理人进行质疑。代理人应当提交授权委托书。授权委托书应当载明委托代理的具体权限、期限和相关事项。</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40、质疑的审查和受理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 采购方在收到质疑函后应当及时审查是否符合质疑受理条件，对符合质疑受理条件的，及时予以受理。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对不符合质疑受理条件的，分别按照下列不同情形予以处理：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41、质疑的处理和答复</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按照《政府采购质疑和投诉办法（财政部94号令）》处理及答复质疑。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采购方受理质疑后，将及时把质疑函发送给被质疑人，并要求其在一定限期人提交书面答复，同时提供有关证据、依据和相关材料。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对于质疑事项中涉及的问题较多、情况比较复杂的，为了全面查清事实、取得充分的证据，采购方认为有必要时，可以进行调查取证或者组织质证。</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41.4对评审过程、中标结果提出质疑的，采购方可以组织原评审委员会协助答复质疑。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41.5质疑处理过程中，质疑人书面申请撤回质疑的，将终止质疑处理程序。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41.6质疑人拒绝配合采购方依法对质疑进行调查处理的，采购方将按质疑人自动撤回质疑处理；被质疑人拒绝配合采购方依法对质疑进行调查处理的，采购方将视同其认可质疑事项。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41.7 采购方将在正式受理质疑后 7 个工作日内作出答复，但处理质疑需要进行调查取证、组织专家评审、质疑人及被质疑人提交或补正材料等所需时间，不计算在质疑处理期限内。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 采购方经调查、论证、核实，认定质疑不能成立的，继续开展采购活动；认定质疑成立的，按照以下情况处理：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41.9 采购方将书面答复质疑，质疑答复包括下列内容：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（一）质疑人名称；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（四）告知质疑人依法投诉的权利；</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（五）质疑答复日期。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41.10 质疑人有下列行为之一的，属于虚假、恶意质疑，将由采购方建议财政部门将其列入不良行为记录名单，禁止其 1 至 3 年内参加政府采购活动：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（一）受理后发现投诉不符合法定受理条件；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（二）投诉事项缺乏事实依据，投诉事项不成立；</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（三）投诉人捏造事实或者提供虚假材料；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（四）投诉人以非法手段取得证明材料。证据来源的合法性存在明显疑问，投诉人无法证明其取得方式合法的，视为以非法手段取得证明材料。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（五）法律法规规定的其他违法情形。</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77"/>
        <w:spacing w:line="450" w:lineRule="exact"/>
        <w:jc w:val="center"/>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质疑函</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依据政府采购相关法规，我公司对</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的项目（项目编号：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）评审活动存在疑问，特提出质疑（详见下表）。</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我公司和本人对此质疑函内容的真实性负责，并愿意承担由此引起的相应处理和法律责任。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r>
        <w:rPr>
          <w:rFonts w:hint="eastAsia" w:ascii="仿宋" w:hAnsi="仿宋" w:eastAsia="仿宋" w:cs="仿宋"/>
          <w:color w:val="auto"/>
          <w:kern w:val="0"/>
          <w:sz w:val="24"/>
          <w:szCs w:val="24"/>
          <w:highlight w:val="none"/>
        </w:rPr>
        <w:tab/>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本项目授权委托人（签字并盖名章）：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公司地址：</w:t>
      </w:r>
      <w:r>
        <w:rPr>
          <w:rFonts w:hint="eastAsia" w:ascii="仿宋" w:hAnsi="仿宋" w:eastAsia="仿宋" w:cs="仿宋"/>
          <w:color w:val="auto"/>
          <w:kern w:val="0"/>
          <w:sz w:val="24"/>
          <w:szCs w:val="24"/>
          <w:highlight w:val="none"/>
        </w:rPr>
        <w:tab/>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邮编：</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质疑人（公章）</w:t>
      </w:r>
    </w:p>
    <w:p>
      <w:pPr>
        <w:spacing w:line="36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 xml:space="preserve">  月 </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日</w:t>
      </w:r>
    </w:p>
    <w:p>
      <w:pPr>
        <w:spacing w:line="360" w:lineRule="auto"/>
        <w:jc w:val="center"/>
        <w:rPr>
          <w:rFonts w:hint="eastAsia" w:ascii="仿宋" w:hAnsi="仿宋" w:eastAsia="仿宋" w:cs="仿宋"/>
          <w:color w:val="auto"/>
          <w:kern w:val="0"/>
          <w:sz w:val="24"/>
          <w:szCs w:val="24"/>
          <w:highlight w:val="none"/>
        </w:rPr>
      </w:pPr>
    </w:p>
    <w:p>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pPr>
        <w:spacing w:line="360" w:lineRule="auto"/>
        <w:jc w:val="center"/>
        <w:outlineLvl w:val="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质疑内容</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43"/>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823" w:type="dxa"/>
            <w:vMerge w:val="restart"/>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具体内容</w:t>
            </w: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top"/>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佐证材料：</w:t>
            </w:r>
          </w:p>
        </w:tc>
      </w:tr>
    </w:tbl>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3、“具体的质疑事项及事实依据”一栏填写不下时，质疑人可另附页（A4），但附纸要求加盖质疑人公章。</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4、与质疑事项有关的材料应与质疑函合并装订。</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5、质疑函一式三份。</w:t>
      </w:r>
    </w:p>
    <w:p>
      <w:pPr>
        <w:pStyle w:val="14"/>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63"/>
    <w:bookmarkEnd w:id="64"/>
    <w:p>
      <w:pPr>
        <w:keepNext w:val="0"/>
        <w:keepLines w:val="0"/>
        <w:widowControl/>
        <w:numPr>
          <w:ilvl w:val="0"/>
          <w:numId w:val="0"/>
        </w:numPr>
        <w:suppressLineNumbers w:val="0"/>
        <w:spacing w:line="360" w:lineRule="auto"/>
        <w:jc w:val="center"/>
        <w:rPr>
          <w:rFonts w:hint="eastAsia" w:ascii="仿宋" w:hAnsi="仿宋" w:eastAsia="仿宋" w:cs="仿宋"/>
          <w:b/>
          <w:bCs/>
          <w:color w:val="auto"/>
          <w:kern w:val="0"/>
          <w:sz w:val="36"/>
          <w:szCs w:val="36"/>
          <w:highlight w:val="none"/>
          <w:lang w:val="en-US" w:eastAsia="zh-CN" w:bidi="ar"/>
        </w:rPr>
      </w:pPr>
      <w:bookmarkStart w:id="83" w:name="_Toc23028"/>
      <w:bookmarkStart w:id="84" w:name="_Toc29710"/>
      <w:bookmarkStart w:id="85" w:name="_Toc20110"/>
      <w:bookmarkStart w:id="86" w:name="_Toc1354"/>
      <w:bookmarkStart w:id="87" w:name="_Toc6417"/>
      <w:r>
        <w:rPr>
          <w:rFonts w:hint="eastAsia" w:ascii="仿宋" w:hAnsi="仿宋" w:eastAsia="仿宋" w:cs="仿宋"/>
          <w:b/>
          <w:bCs/>
          <w:color w:val="auto"/>
          <w:kern w:val="0"/>
          <w:sz w:val="36"/>
          <w:szCs w:val="36"/>
          <w:highlight w:val="none"/>
          <w:lang w:val="en-US" w:eastAsia="zh-CN" w:bidi="ar"/>
        </w:rPr>
        <w:t>第二章  评标办法及标准</w:t>
      </w:r>
    </w:p>
    <w:tbl>
      <w:tblPr>
        <w:tblStyle w:val="43"/>
        <w:tblW w:w="9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05"/>
        <w:gridCol w:w="6907"/>
        <w:gridCol w:w="836"/>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540" w:type="dxa"/>
            <w:vMerge w:val="restart"/>
            <w:vAlign w:val="center"/>
          </w:tcPr>
          <w:p>
            <w:pPr>
              <w:pStyle w:val="140"/>
              <w:keepNext w:val="0"/>
              <w:keepLines w:val="0"/>
              <w:pageBreakBefore w:val="0"/>
              <w:widowControl w:val="0"/>
              <w:kinsoku/>
              <w:wordWrap/>
              <w:overflowPunct/>
              <w:topLinePunct w:val="0"/>
              <w:autoSpaceDE/>
              <w:autoSpaceDN/>
              <w:bidi w:val="0"/>
              <w:adjustRightInd/>
              <w:snapToGrid/>
              <w:spacing w:before="39" w:line="276" w:lineRule="auto"/>
              <w:ind w:left="219" w:right="211"/>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资格性评审</w:t>
            </w:r>
          </w:p>
        </w:tc>
        <w:tc>
          <w:tcPr>
            <w:tcW w:w="705" w:type="dxa"/>
            <w:vMerge w:val="restart"/>
            <w:vAlign w:val="center"/>
          </w:tcPr>
          <w:p>
            <w:pPr>
              <w:pStyle w:val="140"/>
              <w:keepNext w:val="0"/>
              <w:keepLines w:val="0"/>
              <w:pageBreakBefore w:val="0"/>
              <w:widowControl w:val="0"/>
              <w:kinsoku/>
              <w:wordWrap/>
              <w:overflowPunct/>
              <w:topLinePunct w:val="0"/>
              <w:autoSpaceDE/>
              <w:autoSpaceDN/>
              <w:bidi w:val="0"/>
              <w:adjustRightInd/>
              <w:snapToGrid/>
              <w:spacing w:before="39" w:line="276" w:lineRule="auto"/>
              <w:ind w:left="208" w:right="197"/>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907" w:type="dxa"/>
            <w:vMerge w:val="restart"/>
            <w:vAlign w:val="center"/>
          </w:tcPr>
          <w:p>
            <w:pPr>
              <w:pStyle w:val="140"/>
              <w:keepNext w:val="0"/>
              <w:keepLines w:val="0"/>
              <w:pageBreakBefore w:val="0"/>
              <w:widowControl w:val="0"/>
              <w:kinsoku/>
              <w:wordWrap/>
              <w:overflowPunct/>
              <w:topLinePunct w:val="0"/>
              <w:autoSpaceDE/>
              <w:autoSpaceDN/>
              <w:bidi w:val="0"/>
              <w:adjustRightInd/>
              <w:snapToGrid/>
              <w:spacing w:before="10" w:line="276" w:lineRule="auto"/>
              <w:jc w:val="center"/>
              <w:textAlignment w:val="auto"/>
              <w:rPr>
                <w:rFonts w:hint="eastAsia" w:ascii="仿宋" w:hAnsi="仿宋" w:eastAsia="仿宋" w:cs="仿宋"/>
                <w:b/>
                <w:color w:val="auto"/>
                <w:sz w:val="24"/>
                <w:szCs w:val="24"/>
                <w:highlight w:val="none"/>
              </w:rPr>
            </w:pPr>
          </w:p>
          <w:p>
            <w:pPr>
              <w:pStyle w:val="140"/>
              <w:keepNext w:val="0"/>
              <w:keepLines w:val="0"/>
              <w:pageBreakBefore w:val="0"/>
              <w:widowControl w:val="0"/>
              <w:kinsoku/>
              <w:wordWrap/>
              <w:overflowPunct/>
              <w:topLinePunct w:val="0"/>
              <w:autoSpaceDE/>
              <w:autoSpaceDN/>
              <w:bidi w:val="0"/>
              <w:adjustRightInd/>
              <w:snapToGrid/>
              <w:spacing w:before="1" w:line="276" w:lineRule="auto"/>
              <w:ind w:right="3083"/>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评审内容</w:t>
            </w:r>
          </w:p>
        </w:tc>
        <w:tc>
          <w:tcPr>
            <w:tcW w:w="1813" w:type="dxa"/>
            <w:gridSpan w:val="2"/>
            <w:vAlign w:val="center"/>
          </w:tcPr>
          <w:p>
            <w:pPr>
              <w:pStyle w:val="140"/>
              <w:keepNext w:val="0"/>
              <w:keepLines w:val="0"/>
              <w:pageBreakBefore w:val="0"/>
              <w:widowControl w:val="0"/>
              <w:kinsoku/>
              <w:wordWrap/>
              <w:overflowPunct/>
              <w:topLinePunct w:val="0"/>
              <w:autoSpaceDE/>
              <w:autoSpaceDN/>
              <w:bidi w:val="0"/>
              <w:adjustRightInd/>
              <w:snapToGrid/>
              <w:spacing w:before="1" w:line="276" w:lineRule="auto"/>
              <w:ind w:left="43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540" w:type="dxa"/>
            <w:vMerge w:val="continue"/>
            <w:vAlign w:val="center"/>
          </w:tcPr>
          <w:p>
            <w:pPr>
              <w:pStyle w:val="140"/>
              <w:keepNext w:val="0"/>
              <w:keepLines w:val="0"/>
              <w:pageBreakBefore w:val="0"/>
              <w:widowControl w:val="0"/>
              <w:kinsoku/>
              <w:wordWrap/>
              <w:overflowPunct/>
              <w:topLinePunct w:val="0"/>
              <w:autoSpaceDE/>
              <w:autoSpaceDN/>
              <w:bidi w:val="0"/>
              <w:adjustRightInd/>
              <w:snapToGrid/>
              <w:spacing w:before="39" w:line="276" w:lineRule="auto"/>
              <w:ind w:left="219" w:right="211"/>
              <w:jc w:val="center"/>
              <w:textAlignment w:val="auto"/>
              <w:rPr>
                <w:rFonts w:hint="eastAsia" w:ascii="仿宋" w:hAnsi="仿宋" w:eastAsia="仿宋" w:cs="仿宋"/>
                <w:color w:val="auto"/>
                <w:sz w:val="24"/>
                <w:szCs w:val="24"/>
                <w:highlight w:val="none"/>
              </w:rPr>
            </w:pPr>
          </w:p>
        </w:tc>
        <w:tc>
          <w:tcPr>
            <w:tcW w:w="705" w:type="dxa"/>
            <w:vMerge w:val="continue"/>
            <w:vAlign w:val="center"/>
          </w:tcPr>
          <w:p>
            <w:pPr>
              <w:pStyle w:val="140"/>
              <w:keepNext w:val="0"/>
              <w:keepLines w:val="0"/>
              <w:pageBreakBefore w:val="0"/>
              <w:widowControl w:val="0"/>
              <w:kinsoku/>
              <w:wordWrap/>
              <w:overflowPunct/>
              <w:topLinePunct w:val="0"/>
              <w:autoSpaceDE/>
              <w:autoSpaceDN/>
              <w:bidi w:val="0"/>
              <w:adjustRightInd/>
              <w:snapToGrid/>
              <w:spacing w:before="39" w:line="276" w:lineRule="auto"/>
              <w:ind w:left="208" w:right="197"/>
              <w:jc w:val="center"/>
              <w:textAlignment w:val="auto"/>
              <w:rPr>
                <w:rFonts w:hint="eastAsia" w:ascii="仿宋" w:hAnsi="仿宋" w:eastAsia="仿宋" w:cs="仿宋"/>
                <w:color w:val="auto"/>
                <w:sz w:val="24"/>
                <w:szCs w:val="24"/>
                <w:highlight w:val="none"/>
              </w:rPr>
            </w:pPr>
          </w:p>
        </w:tc>
        <w:tc>
          <w:tcPr>
            <w:tcW w:w="6907" w:type="dxa"/>
            <w:vMerge w:val="continue"/>
            <w:vAlign w:val="center"/>
          </w:tcPr>
          <w:p>
            <w:pPr>
              <w:pStyle w:val="140"/>
              <w:keepNext w:val="0"/>
              <w:keepLines w:val="0"/>
              <w:pageBreakBefore w:val="0"/>
              <w:widowControl w:val="0"/>
              <w:kinsoku/>
              <w:wordWrap/>
              <w:overflowPunct/>
              <w:topLinePunct w:val="0"/>
              <w:autoSpaceDE/>
              <w:autoSpaceDN/>
              <w:bidi w:val="0"/>
              <w:adjustRightInd/>
              <w:snapToGrid/>
              <w:spacing w:before="1" w:line="276" w:lineRule="auto"/>
              <w:ind w:right="3083"/>
              <w:jc w:val="center"/>
              <w:textAlignment w:val="auto"/>
              <w:rPr>
                <w:rFonts w:hint="eastAsia" w:ascii="仿宋" w:hAnsi="仿宋" w:eastAsia="仿宋" w:cs="仿宋"/>
                <w:color w:val="auto"/>
                <w:sz w:val="24"/>
                <w:szCs w:val="24"/>
                <w:highlight w:val="none"/>
              </w:rPr>
            </w:pP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before="124" w:line="276" w:lineRule="auto"/>
              <w:ind w:left="162"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before="124" w:line="276" w:lineRule="auto"/>
              <w:ind w:left="154"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1</w:t>
            </w:r>
          </w:p>
        </w:tc>
        <w:tc>
          <w:tcPr>
            <w:tcW w:w="6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outlineLvl w:val="9"/>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是否提供有效经年检合格的“三证合一”营业执照；</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2</w:t>
            </w:r>
          </w:p>
        </w:tc>
        <w:tc>
          <w:tcPr>
            <w:tcW w:w="6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outlineLvl w:val="9"/>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是否提供法定代表人身份证明书及法定代表人身份证复印件或法定代表人授权委托书及委托代理人身份证复印件；</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3</w:t>
            </w:r>
          </w:p>
        </w:tc>
        <w:tc>
          <w:tcPr>
            <w:tcW w:w="6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outlineLvl w:val="9"/>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是否提供本单位缴纳的近三个月（近三个月是指2023年1月-3月）社保缴纳证明（社保缴费凭证，新成立不足三个月的公司以实际发生的为准）；</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4</w:t>
            </w:r>
          </w:p>
        </w:tc>
        <w:tc>
          <w:tcPr>
            <w:tcW w:w="6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outlineLvl w:val="9"/>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投标人为生产厂家的提供《农药登记证》、《农药标准证》、《农药生产许可证或者农药生产批准文件》原件；投标人为经销商的提供《农药经营许可证》原件和生产厂家的《农药登记证》、《农药标准证》、《农药生产许可证或者农药生产批准文件》原件或复印件；</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5</w:t>
            </w:r>
          </w:p>
        </w:tc>
        <w:tc>
          <w:tcPr>
            <w:tcW w:w="6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outlineLvl w:val="9"/>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是否提供农药包装废弃物回收处理承诺书原件；</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6</w:t>
            </w:r>
          </w:p>
        </w:tc>
        <w:tc>
          <w:tcPr>
            <w:tcW w:w="6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outlineLvl w:val="9"/>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是否提供2022年度第三方审计机构出具的财务审计报告(会计周期不满一年的提供近三个月银行出具的资信证明,近三个月是指2023年1月-3月）和健全的财务会计制度；</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7</w:t>
            </w:r>
          </w:p>
        </w:tc>
        <w:tc>
          <w:tcPr>
            <w:tcW w:w="69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outlineLvl w:val="9"/>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是否提供税务部门出具近三个月（近三个月是指2023年1月-3月）依法缴纳税收的完税证明或报税材料（需含增值税、印花税等税种），新成立公司按实际发生提供税务机关出具的无欠税证明；</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8"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0"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8</w:t>
            </w:r>
          </w:p>
        </w:tc>
        <w:tc>
          <w:tcPr>
            <w:tcW w:w="6907" w:type="dxa"/>
            <w:vAlign w:val="center"/>
          </w:tcPr>
          <w:p>
            <w:pPr>
              <w:pStyle w:val="24"/>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drawing>
                <wp:inline distT="0" distB="0" distL="114300" distR="114300">
                  <wp:extent cx="190500" cy="142875"/>
                  <wp:effectExtent l="0" t="0" r="0" b="9525"/>
                  <wp:docPr id="19"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http://wenshu.court.gov.cn/）”有行贿受贿犯罪记录的投标企业将拒绝其参与本次政府采购活动；</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9</w:t>
            </w:r>
          </w:p>
        </w:tc>
        <w:tc>
          <w:tcPr>
            <w:tcW w:w="6907" w:type="dxa"/>
            <w:vAlign w:val="center"/>
          </w:tcPr>
          <w:p>
            <w:pPr>
              <w:pStyle w:val="140"/>
              <w:keepNext w:val="0"/>
              <w:keepLines w:val="0"/>
              <w:pageBreakBefore w:val="0"/>
              <w:widowControl w:val="0"/>
              <w:kinsoku/>
              <w:wordWrap/>
              <w:overflowPunct/>
              <w:topLinePunct w:val="0"/>
              <w:autoSpaceDE/>
              <w:autoSpaceDN/>
              <w:bidi w:val="0"/>
              <w:adjustRightInd/>
              <w:snapToGrid/>
              <w:spacing w:before="2" w:line="276" w:lineRule="auto"/>
              <w:ind w:left="107" w:leftChars="0"/>
              <w:jc w:val="left"/>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企业负责人为同一人或者存在直接控股、管理关系的不同供应商，不得参加同一合同项下的政府采购活动。否则，皆取消投标资格；</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58"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10</w:t>
            </w:r>
          </w:p>
        </w:tc>
        <w:tc>
          <w:tcPr>
            <w:tcW w:w="6907" w:type="dxa"/>
            <w:vAlign w:val="center"/>
          </w:tcPr>
          <w:p>
            <w:pPr>
              <w:pStyle w:val="140"/>
              <w:keepNext w:val="0"/>
              <w:keepLines w:val="0"/>
              <w:pageBreakBefore w:val="0"/>
              <w:widowControl w:val="0"/>
              <w:kinsoku/>
              <w:wordWrap/>
              <w:overflowPunct/>
              <w:topLinePunct w:val="0"/>
              <w:autoSpaceDE/>
              <w:autoSpaceDN/>
              <w:bidi w:val="0"/>
              <w:adjustRightInd/>
              <w:snapToGrid/>
              <w:spacing w:before="2" w:line="276" w:lineRule="auto"/>
              <w:ind w:left="107" w:leftChars="0"/>
              <w:jc w:val="left"/>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是否按照采购文件要求足额缴纳保证金；</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09"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11</w:t>
            </w:r>
          </w:p>
        </w:tc>
        <w:tc>
          <w:tcPr>
            <w:tcW w:w="6907" w:type="dxa"/>
            <w:vAlign w:val="center"/>
          </w:tcPr>
          <w:p>
            <w:pPr>
              <w:pStyle w:val="140"/>
              <w:keepNext w:val="0"/>
              <w:keepLines w:val="0"/>
              <w:pageBreakBefore w:val="0"/>
              <w:widowControl w:val="0"/>
              <w:kinsoku/>
              <w:wordWrap/>
              <w:overflowPunct/>
              <w:topLinePunct w:val="0"/>
              <w:autoSpaceDE/>
              <w:autoSpaceDN/>
              <w:bidi w:val="0"/>
              <w:adjustRightInd/>
              <w:snapToGrid/>
              <w:spacing w:before="109" w:line="276" w:lineRule="auto"/>
              <w:ind w:left="107"/>
              <w:jc w:val="left"/>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是否提供合格的《中小微企业声明函》；</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540" w:type="dxa"/>
            <w:vMerge w:val="restart"/>
            <w:vAlign w:val="center"/>
          </w:tcPr>
          <w:p>
            <w:pPr>
              <w:pStyle w:val="140"/>
              <w:keepNext w:val="0"/>
              <w:keepLines w:val="0"/>
              <w:pageBreakBefore w:val="0"/>
              <w:widowControl w:val="0"/>
              <w:kinsoku/>
              <w:wordWrap/>
              <w:overflowPunct/>
              <w:topLinePunct w:val="0"/>
              <w:autoSpaceDE/>
              <w:autoSpaceDN/>
              <w:bidi w:val="0"/>
              <w:adjustRightInd/>
              <w:snapToGrid/>
              <w:spacing w:line="276" w:lineRule="auto"/>
              <w:ind w:right="211"/>
              <w:jc w:val="righ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符合性评审</w:t>
            </w: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1" w:line="276" w:lineRule="auto"/>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p>
          <w:p>
            <w:pPr>
              <w:pStyle w:val="140"/>
              <w:keepNext w:val="0"/>
              <w:keepLines w:val="0"/>
              <w:pageBreakBefore w:val="0"/>
              <w:widowControl w:val="0"/>
              <w:kinsoku/>
              <w:wordWrap/>
              <w:overflowPunct/>
              <w:topLinePunct w:val="0"/>
              <w:autoSpaceDE/>
              <w:autoSpaceDN/>
              <w:bidi w:val="0"/>
              <w:adjustRightInd/>
              <w:snapToGrid/>
              <w:spacing w:line="276" w:lineRule="auto"/>
              <w:ind w:left="9"/>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1</w:t>
            </w:r>
          </w:p>
        </w:tc>
        <w:tc>
          <w:tcPr>
            <w:tcW w:w="6907" w:type="dxa"/>
            <w:vAlign w:val="center"/>
          </w:tcPr>
          <w:p>
            <w:pPr>
              <w:pStyle w:val="140"/>
              <w:keepNext w:val="0"/>
              <w:keepLines w:val="0"/>
              <w:pageBreakBefore w:val="0"/>
              <w:widowControl w:val="0"/>
              <w:kinsoku/>
              <w:wordWrap/>
              <w:overflowPunct/>
              <w:topLinePunct w:val="0"/>
              <w:autoSpaceDE/>
              <w:autoSpaceDN/>
              <w:bidi w:val="0"/>
              <w:adjustRightInd/>
              <w:snapToGrid/>
              <w:spacing w:before="1" w:line="276" w:lineRule="auto"/>
              <w:ind w:left="107" w:right="-29"/>
              <w:jc w:val="left"/>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投标文件是否有投标单位法定代表人或其委托代理人（签字或签章）和加盖了投标企业的公章；</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09" w:line="276" w:lineRule="auto"/>
              <w:ind w:left="107"/>
              <w:jc w:val="center"/>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2</w:t>
            </w:r>
          </w:p>
        </w:tc>
        <w:tc>
          <w:tcPr>
            <w:tcW w:w="6907" w:type="dxa"/>
            <w:vAlign w:val="center"/>
          </w:tcPr>
          <w:p>
            <w:pPr>
              <w:pStyle w:val="140"/>
              <w:keepNext w:val="0"/>
              <w:keepLines w:val="0"/>
              <w:pageBreakBefore w:val="0"/>
              <w:widowControl w:val="0"/>
              <w:kinsoku/>
              <w:wordWrap/>
              <w:overflowPunct/>
              <w:topLinePunct w:val="0"/>
              <w:autoSpaceDE/>
              <w:autoSpaceDN/>
              <w:bidi w:val="0"/>
              <w:adjustRightInd/>
              <w:snapToGrid/>
              <w:spacing w:before="109" w:line="276" w:lineRule="auto"/>
              <w:ind w:left="107"/>
              <w:jc w:val="left"/>
              <w:textAlignment w:val="auto"/>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pPr>
            <w:r>
              <w:rPr>
                <w:rFonts w:hint="eastAsia" w:ascii="仿宋" w:hAnsi="仿宋" w:eastAsia="仿宋" w:cs="仿宋"/>
                <w:b w:val="0"/>
                <w:bCs/>
                <w:i w:val="0"/>
                <w:caps w:val="0"/>
                <w:color w:val="auto"/>
                <w:spacing w:val="0"/>
                <w:kern w:val="2"/>
                <w:sz w:val="24"/>
                <w:szCs w:val="24"/>
                <w:highlight w:val="none"/>
                <w:shd w:val="clear" w:color="auto" w:fill="FFFFFF"/>
                <w:lang w:val="en-US" w:eastAsia="zh-CN" w:bidi="ar-SA"/>
              </w:rPr>
              <w:t>投标人是否对同一招标项目做出两个以上报价而未明确效力；</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47" w:line="276" w:lineRule="auto"/>
              <w:ind w:left="9" w:leftChars="0"/>
              <w:jc w:val="center"/>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z w:val="24"/>
                <w:szCs w:val="24"/>
                <w:highlight w:val="none"/>
                <w:lang w:val="en-US" w:eastAsia="zh-CN"/>
              </w:rPr>
              <w:t>3</w:t>
            </w:r>
          </w:p>
        </w:tc>
        <w:tc>
          <w:tcPr>
            <w:tcW w:w="690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2"/>
                <w:kern w:val="2"/>
                <w:sz w:val="24"/>
                <w:szCs w:val="24"/>
                <w:highlight w:val="none"/>
                <w:lang w:val="en-US" w:eastAsia="zh-CN" w:bidi="ar-SA"/>
              </w:rPr>
              <w:t>投标文件载明的技术规格、技术标准、货物包装方式、检验标准和方法等，不符合招标文件要求的；</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64" w:line="276" w:lineRule="auto"/>
              <w:ind w:left="9" w:leftChars="0"/>
              <w:jc w:val="center"/>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z w:val="24"/>
                <w:szCs w:val="24"/>
                <w:highlight w:val="none"/>
                <w:lang w:val="en-US" w:eastAsia="zh-CN"/>
              </w:rPr>
              <w:t>4</w:t>
            </w:r>
          </w:p>
        </w:tc>
        <w:tc>
          <w:tcPr>
            <w:tcW w:w="6907" w:type="dxa"/>
            <w:vAlign w:val="center"/>
          </w:tcPr>
          <w:p>
            <w:pPr>
              <w:pStyle w:val="140"/>
              <w:keepNext w:val="0"/>
              <w:keepLines w:val="0"/>
              <w:pageBreakBefore w:val="0"/>
              <w:widowControl w:val="0"/>
              <w:kinsoku/>
              <w:wordWrap/>
              <w:overflowPunct/>
              <w:topLinePunct w:val="0"/>
              <w:autoSpaceDE/>
              <w:autoSpaceDN/>
              <w:bidi w:val="0"/>
              <w:adjustRightInd/>
              <w:snapToGrid/>
              <w:spacing w:before="160" w:line="276" w:lineRule="auto"/>
              <w:jc w:val="left"/>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pacing w:val="-2"/>
                <w:sz w:val="24"/>
                <w:szCs w:val="24"/>
                <w:highlight w:val="none"/>
                <w:lang w:val="en-US" w:eastAsia="zh-CN"/>
              </w:rPr>
              <w:t>投标文件记载的招标项目合同履行期限是否超过招标文件规定的合同履行期限；</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64" w:line="276" w:lineRule="auto"/>
              <w:ind w:left="9"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90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4"/>
                <w:szCs w:val="24"/>
                <w:highlight w:val="none"/>
                <w:lang w:val="en-US" w:eastAsia="zh-CN" w:bidi="ar-SA"/>
              </w:rPr>
            </w:pPr>
            <w:r>
              <w:rPr>
                <w:rFonts w:hint="eastAsia" w:ascii="仿宋" w:hAnsi="仿宋" w:eastAsia="仿宋" w:cs="仿宋"/>
                <w:color w:val="auto"/>
                <w:spacing w:val="-2"/>
                <w:sz w:val="24"/>
                <w:szCs w:val="24"/>
                <w:highlight w:val="none"/>
                <w:lang w:val="en-US" w:eastAsia="zh-CN"/>
              </w:rPr>
              <w:t>是否承诺招标文件规定的投标有效期；</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64" w:line="276" w:lineRule="auto"/>
              <w:ind w:left="9"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0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4"/>
                <w:szCs w:val="24"/>
                <w:highlight w:val="none"/>
                <w:lang w:val="en-US" w:eastAsia="zh-CN" w:bidi="ar-SA"/>
              </w:rPr>
            </w:pPr>
            <w:r>
              <w:rPr>
                <w:rFonts w:hint="eastAsia" w:ascii="仿宋" w:hAnsi="仿宋" w:eastAsia="仿宋" w:cs="仿宋"/>
                <w:color w:val="auto"/>
                <w:spacing w:val="-2"/>
                <w:kern w:val="2"/>
                <w:sz w:val="24"/>
                <w:szCs w:val="24"/>
                <w:highlight w:val="none"/>
                <w:lang w:val="en-US" w:eastAsia="zh-CN" w:bidi="ar-SA"/>
              </w:rPr>
              <w:t>投标文件标明的响应或偏离与事实不符或伪造证明文件等虚假投标的；</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64" w:line="276" w:lineRule="auto"/>
              <w:ind w:left="9"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90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4"/>
                <w:szCs w:val="24"/>
                <w:highlight w:val="none"/>
                <w:lang w:val="en-US" w:eastAsia="zh-CN" w:bidi="ar-SA"/>
              </w:rPr>
            </w:pPr>
            <w:r>
              <w:rPr>
                <w:rFonts w:hint="eastAsia" w:ascii="仿宋" w:hAnsi="仿宋" w:eastAsia="仿宋" w:cs="仿宋"/>
                <w:color w:val="auto"/>
                <w:spacing w:val="-2"/>
                <w:sz w:val="24"/>
                <w:szCs w:val="24"/>
                <w:highlight w:val="none"/>
                <w:lang w:val="en-US" w:eastAsia="zh-CN"/>
              </w:rPr>
              <w:t>商务条款是否有偏离情况的；</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snapToGrid/>
              <w:spacing w:before="175" w:line="276" w:lineRule="auto"/>
              <w:ind w:left="9" w:leftChars="0"/>
              <w:jc w:val="center"/>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z w:val="24"/>
                <w:szCs w:val="24"/>
                <w:highlight w:val="none"/>
                <w:lang w:val="en-US" w:eastAsia="zh-CN"/>
              </w:rPr>
              <w:t>8</w:t>
            </w:r>
          </w:p>
        </w:tc>
        <w:tc>
          <w:tcPr>
            <w:tcW w:w="6907" w:type="dxa"/>
            <w:vAlign w:val="center"/>
          </w:tcPr>
          <w:p>
            <w:pPr>
              <w:pStyle w:val="140"/>
              <w:keepNext w:val="0"/>
              <w:keepLines w:val="0"/>
              <w:pageBreakBefore w:val="0"/>
              <w:widowControl w:val="0"/>
              <w:kinsoku/>
              <w:wordWrap/>
              <w:overflowPunct/>
              <w:topLinePunct w:val="0"/>
              <w:autoSpaceDE/>
              <w:autoSpaceDN/>
              <w:bidi w:val="0"/>
              <w:adjustRightInd/>
              <w:snapToGrid/>
              <w:spacing w:before="173" w:line="276" w:lineRule="auto"/>
              <w:ind w:left="107" w:leftChars="0"/>
              <w:jc w:val="left"/>
              <w:textAlignment w:val="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sz w:val="24"/>
                <w:szCs w:val="24"/>
                <w:highlight w:val="none"/>
              </w:rPr>
              <w:t>投标文件是否附有招标人不能接受的条件；</w:t>
            </w:r>
          </w:p>
        </w:tc>
        <w:tc>
          <w:tcPr>
            <w:tcW w:w="836"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c>
          <w:tcPr>
            <w:tcW w:w="977" w:type="dxa"/>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965" w:type="dxa"/>
            <w:gridSpan w:val="5"/>
            <w:vAlign w:val="center"/>
          </w:tcPr>
          <w:p>
            <w:pPr>
              <w:pStyle w:val="140"/>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以上有</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项不通过</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结论为不通过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初步评审通过的投标人进入下阶段评审</w:t>
            </w:r>
            <w:r>
              <w:rPr>
                <w:rFonts w:hint="eastAsia" w:ascii="仿宋" w:hAnsi="仿宋" w:eastAsia="仿宋" w:cs="仿宋"/>
                <w:color w:val="auto"/>
                <w:sz w:val="24"/>
                <w:szCs w:val="24"/>
                <w:highlight w:val="none"/>
                <w:lang w:eastAsia="zh-CN"/>
              </w:rPr>
              <w:t>。</w:t>
            </w:r>
          </w:p>
        </w:tc>
      </w:tr>
    </w:tbl>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5"/>
        <w:pageBreakBefore w:val="0"/>
        <w:kinsoku/>
        <w:wordWrap/>
        <w:overflowPunct/>
        <w:topLinePunct w:val="0"/>
        <w:bidi w:val="0"/>
        <w:spacing w:line="240" w:lineRule="auto"/>
        <w:jc w:val="center"/>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评分标准</w:t>
      </w:r>
    </w:p>
    <w:tbl>
      <w:tblPr>
        <w:tblStyle w:val="43"/>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95"/>
        <w:gridCol w:w="91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46" w:type="dxa"/>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1795" w:type="dxa"/>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评分因素</w:t>
            </w:r>
          </w:p>
        </w:tc>
        <w:tc>
          <w:tcPr>
            <w:tcW w:w="919" w:type="dxa"/>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分数</w:t>
            </w:r>
          </w:p>
        </w:tc>
        <w:tc>
          <w:tcPr>
            <w:tcW w:w="6095" w:type="dxa"/>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346" w:type="dxa"/>
            <w:noWrap w:val="0"/>
            <w:vAlign w:val="center"/>
          </w:tcPr>
          <w:p>
            <w:pPr>
              <w:pageBreakBefore w:val="0"/>
              <w:kinsoku/>
              <w:wordWrap/>
              <w:overflowPunct/>
              <w:topLinePunct w:val="0"/>
              <w:autoSpaceDE w:val="0"/>
              <w:autoSpaceDN w:val="0"/>
              <w:bidi w:val="0"/>
              <w:adjustRightInd w:val="0"/>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报价部分</w:t>
            </w:r>
          </w:p>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30分</w:t>
            </w:r>
          </w:p>
        </w:tc>
        <w:tc>
          <w:tcPr>
            <w:tcW w:w="1795" w:type="dxa"/>
            <w:noWrap w:val="0"/>
            <w:vAlign w:val="center"/>
          </w:tcPr>
          <w:p>
            <w:pPr>
              <w:pageBreakBefore w:val="0"/>
              <w:kinsoku/>
              <w:wordWrap/>
              <w:overflowPunct/>
              <w:topLinePunct w:val="0"/>
              <w:autoSpaceDE w:val="0"/>
              <w:autoSpaceDN w:val="0"/>
              <w:bidi w:val="0"/>
              <w:adjustRightInd w:val="0"/>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投标报价</w:t>
            </w:r>
          </w:p>
        </w:tc>
        <w:tc>
          <w:tcPr>
            <w:tcW w:w="919" w:type="dxa"/>
            <w:noWrap w:val="0"/>
            <w:vAlign w:val="center"/>
          </w:tcPr>
          <w:p>
            <w:pPr>
              <w:pageBreakBefore w:val="0"/>
              <w:kinsoku/>
              <w:wordWrap/>
              <w:overflowPunct/>
              <w:topLinePunct w:val="0"/>
              <w:autoSpaceDE w:val="0"/>
              <w:autoSpaceDN w:val="0"/>
              <w:bidi w:val="0"/>
              <w:adjustRightInd w:val="0"/>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30</w:t>
            </w:r>
          </w:p>
        </w:tc>
        <w:tc>
          <w:tcPr>
            <w:tcW w:w="6095" w:type="dxa"/>
            <w:noWrap w:val="0"/>
            <w:vAlign w:val="center"/>
          </w:tcPr>
          <w:p>
            <w:pPr>
              <w:pageBreakBefore w:val="0"/>
              <w:kinsoku/>
              <w:wordWrap/>
              <w:overflowPunct/>
              <w:topLinePunct w:val="0"/>
              <w:autoSpaceDE w:val="0"/>
              <w:autoSpaceDN w:val="0"/>
              <w:bidi w:val="0"/>
              <w:adjustRightInd w:val="0"/>
              <w:spacing w:line="240" w:lineRule="auto"/>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评标基准价=有效投标报价的最低值，有效投标报价等于基准值的得满分，投标报价得分=（评标基准价/投标报价）×30。有效投标报价为通过初步审查的供应商修正后的报价；修正后投标报价：评标委员会以报价一览表中投标报价为基础，对其进行算术修正，依据政府采购政策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346" w:type="dxa"/>
            <w:vMerge w:val="restart"/>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商务部分</w:t>
            </w:r>
          </w:p>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10分</w:t>
            </w:r>
          </w:p>
        </w:tc>
        <w:tc>
          <w:tcPr>
            <w:tcW w:w="1795" w:type="dxa"/>
            <w:noWrap w:val="0"/>
            <w:vAlign w:val="center"/>
          </w:tcPr>
          <w:p>
            <w:pPr>
              <w:pageBreakBefore w:val="0"/>
              <w:kinsoku/>
              <w:wordWrap/>
              <w:overflowPunct/>
              <w:topLinePunct w:val="0"/>
              <w:bidi w:val="0"/>
              <w:spacing w:line="240" w:lineRule="auto"/>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业绩</w:t>
            </w:r>
          </w:p>
        </w:tc>
        <w:tc>
          <w:tcPr>
            <w:tcW w:w="919" w:type="dxa"/>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5</w:t>
            </w:r>
          </w:p>
        </w:tc>
        <w:tc>
          <w:tcPr>
            <w:tcW w:w="6095" w:type="dxa"/>
            <w:noWrap w:val="0"/>
            <w:vAlign w:val="center"/>
          </w:tcPr>
          <w:p>
            <w:pPr>
              <w:pStyle w:val="30"/>
              <w:pageBreakBefore w:val="0"/>
              <w:pBdr>
                <w:bottom w:val="none" w:color="auto" w:sz="0" w:space="0"/>
              </w:pBdr>
              <w:kinsoku/>
              <w:wordWrap/>
              <w:overflowPunct/>
              <w:topLinePunct w:val="0"/>
              <w:bidi w:val="0"/>
              <w:spacing w:line="240" w:lineRule="auto"/>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要求投标人在投标文件中提供近三年</w:t>
            </w:r>
            <w:r>
              <w:rPr>
                <w:rFonts w:hint="eastAsia" w:ascii="仿宋" w:hAnsi="仿宋" w:eastAsia="仿宋" w:cs="仿宋"/>
                <w:b w:val="0"/>
                <w:bCs w:val="0"/>
                <w:color w:val="auto"/>
                <w:sz w:val="24"/>
                <w:szCs w:val="24"/>
                <w:highlight w:val="none"/>
                <w:lang w:val="en-US" w:eastAsia="zh-CN"/>
              </w:rPr>
              <w:t>(2020年、2021年、2022年）</w:t>
            </w:r>
            <w:r>
              <w:rPr>
                <w:rFonts w:hint="eastAsia" w:ascii="仿宋" w:hAnsi="仿宋" w:eastAsia="仿宋" w:cs="仿宋"/>
                <w:b w:val="0"/>
                <w:bCs w:val="0"/>
                <w:color w:val="auto"/>
                <w:sz w:val="24"/>
                <w:szCs w:val="24"/>
                <w:highlight w:val="none"/>
              </w:rPr>
              <w:t>内类似项目的正式采购合同或中标通知书或网上截图的中标公告。每提供一份项目业绩得</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最多得</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6" w:type="dxa"/>
            <w:vMerge w:val="continue"/>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1795" w:type="dxa"/>
            <w:noWrap w:val="0"/>
            <w:vAlign w:val="center"/>
          </w:tcPr>
          <w:p>
            <w:pPr>
              <w:autoSpaceDE w:val="0"/>
              <w:autoSpaceDN w:val="0"/>
              <w:adjustRightInd w:val="0"/>
              <w:spacing w:line="240" w:lineRule="auto"/>
              <w:jc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sz w:val="24"/>
                <w:szCs w:val="24"/>
                <w:highlight w:val="none"/>
                <w:lang w:eastAsia="zh-CN"/>
              </w:rPr>
              <w:t>相关登记内容范围</w:t>
            </w:r>
          </w:p>
        </w:tc>
        <w:tc>
          <w:tcPr>
            <w:tcW w:w="919" w:type="dxa"/>
            <w:noWrap w:val="0"/>
            <w:vAlign w:val="center"/>
          </w:tcPr>
          <w:p>
            <w:pPr>
              <w:autoSpaceDE w:val="0"/>
              <w:autoSpaceDN w:val="0"/>
              <w:adjustRightInd w:val="0"/>
              <w:spacing w:line="240" w:lineRule="auto"/>
              <w:jc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3</w:t>
            </w:r>
          </w:p>
        </w:tc>
        <w:tc>
          <w:tcPr>
            <w:tcW w:w="6095" w:type="dxa"/>
            <w:noWrap w:val="0"/>
            <w:vAlign w:val="center"/>
          </w:tcPr>
          <w:p>
            <w:pPr>
              <w:tabs>
                <w:tab w:val="left" w:pos="645"/>
              </w:tabs>
              <w:snapToGrid w:val="0"/>
              <w:spacing w:line="240" w:lineRule="auto"/>
              <w:jc w:val="left"/>
              <w:rPr>
                <w:rFonts w:hint="eastAsia" w:ascii="仿宋" w:hAnsi="仿宋" w:eastAsia="仿宋" w:cs="仿宋"/>
                <w:b w:val="0"/>
                <w:bCs w:val="0"/>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农业登记证登记内容范围内包含林木的得1分，有防治蚧壳虫的得2分，没有不得；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46" w:type="dxa"/>
            <w:vMerge w:val="continue"/>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1795" w:type="dxa"/>
            <w:noWrap w:val="0"/>
            <w:vAlign w:val="center"/>
          </w:tcPr>
          <w:p>
            <w:pPr>
              <w:autoSpaceDE w:val="0"/>
              <w:autoSpaceDN w:val="0"/>
              <w:adjustRightInd w:val="0"/>
              <w:spacing w:line="240" w:lineRule="auto"/>
              <w:jc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sz w:val="24"/>
                <w:szCs w:val="24"/>
                <w:highlight w:val="none"/>
                <w:lang w:val="zh-CN"/>
              </w:rPr>
              <w:t>标函质量</w:t>
            </w:r>
          </w:p>
        </w:tc>
        <w:tc>
          <w:tcPr>
            <w:tcW w:w="919" w:type="dxa"/>
            <w:noWrap w:val="0"/>
            <w:vAlign w:val="center"/>
          </w:tcPr>
          <w:p>
            <w:pPr>
              <w:autoSpaceDE w:val="0"/>
              <w:autoSpaceDN w:val="0"/>
              <w:adjustRightInd w:val="0"/>
              <w:spacing w:line="240" w:lineRule="auto"/>
              <w:jc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2</w:t>
            </w:r>
          </w:p>
        </w:tc>
        <w:tc>
          <w:tcPr>
            <w:tcW w:w="6095" w:type="dxa"/>
            <w:noWrap w:val="0"/>
            <w:vAlign w:val="center"/>
          </w:tcPr>
          <w:p>
            <w:pPr>
              <w:autoSpaceDE w:val="0"/>
              <w:autoSpaceDN w:val="0"/>
              <w:adjustRightInd w:val="0"/>
              <w:spacing w:line="24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z w:val="24"/>
                <w:szCs w:val="24"/>
                <w:highlight w:val="none"/>
                <w:lang w:val="zh-CN"/>
              </w:rPr>
              <w:t>投标文件的制作质量及完整性，根据标书的印刷、装订、目录、页码标识、错漏字、内容一致性等进行评分。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346" w:type="dxa"/>
            <w:vMerge w:val="restart"/>
            <w:noWrap w:val="0"/>
            <w:vAlign w:val="center"/>
          </w:tcPr>
          <w:p>
            <w:pPr>
              <w:pStyle w:val="37"/>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技术部分</w:t>
            </w:r>
          </w:p>
          <w:p>
            <w:pPr>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60分</w:t>
            </w:r>
          </w:p>
        </w:tc>
        <w:tc>
          <w:tcPr>
            <w:tcW w:w="1795" w:type="dxa"/>
            <w:noWrap w:val="0"/>
            <w:vAlign w:val="center"/>
          </w:tcPr>
          <w:p>
            <w:pPr>
              <w:tabs>
                <w:tab w:val="left" w:pos="645"/>
              </w:tabs>
              <w:snapToGrid w:val="0"/>
              <w:spacing w:line="240" w:lineRule="auto"/>
              <w:jc w:val="cente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 xml:space="preserve"> 技术参数 </w:t>
            </w:r>
          </w:p>
        </w:tc>
        <w:tc>
          <w:tcPr>
            <w:tcW w:w="919" w:type="dxa"/>
            <w:noWrap w:val="0"/>
            <w:vAlign w:val="center"/>
          </w:tcPr>
          <w:p>
            <w:pPr>
              <w:tabs>
                <w:tab w:val="left" w:pos="645"/>
              </w:tabs>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w:t>
            </w:r>
          </w:p>
        </w:tc>
        <w:tc>
          <w:tcPr>
            <w:tcW w:w="6095" w:type="dxa"/>
            <w:noWrap w:val="0"/>
            <w:vAlign w:val="center"/>
          </w:tcPr>
          <w:p>
            <w:pPr>
              <w:numPr>
                <w:ilvl w:val="0"/>
                <w:numId w:val="7"/>
              </w:numPr>
              <w:tabs>
                <w:tab w:val="left" w:pos="645"/>
              </w:tabs>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投标产品技术参数和配置完全满足要求的，得 20分；</w:t>
            </w:r>
          </w:p>
          <w:p>
            <w:pPr>
              <w:numPr>
                <w:ilvl w:val="0"/>
                <w:numId w:val="7"/>
              </w:numPr>
              <w:tabs>
                <w:tab w:val="left" w:pos="645"/>
              </w:tabs>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每有一项高于文件要求的加1分，加分最高得3分；</w:t>
            </w:r>
          </w:p>
          <w:p>
            <w:pPr>
              <w:tabs>
                <w:tab w:val="left" w:pos="645"/>
              </w:tabs>
              <w:snapToGrid w:val="0"/>
              <w:spacing w:line="240" w:lineRule="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此项评分以相关产品检验报告或彩页（或厂家公开发布的资料参数）或相关认证等资料为依据。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346" w:type="dxa"/>
            <w:vMerge w:val="continue"/>
            <w:noWrap w:val="0"/>
            <w:vAlign w:val="center"/>
          </w:tcPr>
          <w:p>
            <w:pPr>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1795" w:type="dxa"/>
            <w:noWrap w:val="0"/>
            <w:vAlign w:val="center"/>
          </w:tcPr>
          <w:p>
            <w:pPr>
              <w:spacing w:line="240" w:lineRule="auto"/>
              <w:jc w:val="cente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sz w:val="24"/>
                <w:szCs w:val="24"/>
                <w:highlight w:val="none"/>
              </w:rPr>
              <w:t>应急保障方案</w:t>
            </w:r>
          </w:p>
        </w:tc>
        <w:tc>
          <w:tcPr>
            <w:tcW w:w="919" w:type="dxa"/>
            <w:noWrap w:val="0"/>
            <w:vAlign w:val="center"/>
          </w:tcPr>
          <w:p>
            <w:pPr>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12</w:t>
            </w:r>
          </w:p>
        </w:tc>
        <w:tc>
          <w:tcPr>
            <w:tcW w:w="6095" w:type="dxa"/>
            <w:noWrap w:val="0"/>
            <w:vAlign w:val="center"/>
          </w:tcPr>
          <w:p>
            <w:pPr>
              <w:tabs>
                <w:tab w:val="left" w:pos="972"/>
              </w:tabs>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z w:val="24"/>
                <w:szCs w:val="24"/>
                <w:highlight w:val="none"/>
                <w:lang w:val="en-GB"/>
              </w:rPr>
              <w:t>供应商制定详细的应急预案，应急和保障机制健全，能够预见并有效应对各种突发事件，有明确的应急组织机构， 能落实到具体负责人</w:t>
            </w:r>
            <w:r>
              <w:rPr>
                <w:rFonts w:hint="eastAsia" w:ascii="仿宋" w:hAnsi="仿宋" w:eastAsia="仿宋" w:cs="仿宋"/>
                <w:sz w:val="24"/>
                <w:szCs w:val="24"/>
                <w:highlight w:val="none"/>
                <w:lang w:val="en-GB" w:eastAsia="zh-CN"/>
              </w:rPr>
              <w:t>的</w:t>
            </w:r>
            <w:r>
              <w:rPr>
                <w:rFonts w:hint="eastAsia" w:ascii="仿宋" w:hAnsi="仿宋" w:eastAsia="仿宋" w:cs="仿宋"/>
                <w:sz w:val="24"/>
                <w:szCs w:val="24"/>
                <w:highlight w:val="none"/>
                <w:lang w:val="en-GB"/>
              </w:rPr>
              <w:t xml:space="preserve">得 </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en-GB"/>
              </w:rPr>
              <w:t xml:space="preserve"> 分；制定较为详细的应急预案，应急和保障机制较为健全，能够预见并有效应对主要突发事件，有明确的组织机构</w:t>
            </w:r>
            <w:r>
              <w:rPr>
                <w:rFonts w:hint="eastAsia" w:ascii="仿宋" w:hAnsi="仿宋" w:eastAsia="仿宋" w:cs="仿宋"/>
                <w:sz w:val="24"/>
                <w:szCs w:val="24"/>
                <w:highlight w:val="none"/>
                <w:lang w:val="en-GB" w:eastAsia="zh-CN"/>
              </w:rPr>
              <w:t>的</w:t>
            </w:r>
            <w:r>
              <w:rPr>
                <w:rFonts w:hint="eastAsia" w:ascii="仿宋" w:hAnsi="仿宋" w:eastAsia="仿宋" w:cs="仿宋"/>
                <w:sz w:val="24"/>
                <w:szCs w:val="24"/>
                <w:highlight w:val="none"/>
                <w:lang w:val="en-GB"/>
              </w:rPr>
              <w:t>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en-GB"/>
              </w:rPr>
              <w:t xml:space="preserve"> 分；制定了应急预案，应急和保障机制不够健全，但没有设立具体组织和落实人员，能应对主要突发事件</w:t>
            </w:r>
            <w:r>
              <w:rPr>
                <w:rFonts w:hint="eastAsia" w:ascii="仿宋" w:hAnsi="仿宋" w:eastAsia="仿宋" w:cs="仿宋"/>
                <w:sz w:val="24"/>
                <w:szCs w:val="24"/>
                <w:highlight w:val="none"/>
                <w:lang w:val="en-GB" w:eastAsia="zh-CN"/>
              </w:rPr>
              <w:t>的</w:t>
            </w:r>
            <w:r>
              <w:rPr>
                <w:rFonts w:hint="eastAsia" w:ascii="仿宋" w:hAnsi="仿宋" w:eastAsia="仿宋" w:cs="仿宋"/>
                <w:sz w:val="24"/>
                <w:szCs w:val="24"/>
                <w:highlight w:val="none"/>
                <w:lang w:val="en-GB"/>
              </w:rPr>
              <w:t>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GB"/>
              </w:rPr>
              <w:t xml:space="preserve"> 分；其他不得分。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46" w:type="dxa"/>
            <w:vMerge w:val="continue"/>
            <w:noWrap w:val="0"/>
            <w:vAlign w:val="center"/>
          </w:tcPr>
          <w:p>
            <w:pPr>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1795" w:type="dxa"/>
            <w:noWrap w:val="0"/>
            <w:vAlign w:val="center"/>
          </w:tcPr>
          <w:p>
            <w:pPr>
              <w:spacing w:line="240" w:lineRule="auto"/>
              <w:jc w:val="cente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sz w:val="24"/>
                <w:szCs w:val="24"/>
                <w:highlight w:val="none"/>
              </w:rPr>
              <w:t xml:space="preserve">全管理措施 </w:t>
            </w:r>
          </w:p>
        </w:tc>
        <w:tc>
          <w:tcPr>
            <w:tcW w:w="919" w:type="dxa"/>
            <w:noWrap w:val="0"/>
            <w:vAlign w:val="center"/>
          </w:tcPr>
          <w:p>
            <w:pPr>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10</w:t>
            </w:r>
          </w:p>
        </w:tc>
        <w:tc>
          <w:tcPr>
            <w:tcW w:w="6095" w:type="dxa"/>
            <w:noWrap w:val="0"/>
            <w:vAlign w:val="center"/>
          </w:tcPr>
          <w:p>
            <w:p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z w:val="24"/>
                <w:szCs w:val="24"/>
                <w:highlight w:val="none"/>
              </w:rPr>
              <w:t xml:space="preserve">安全管理体系健全、管理人员岗位责任明确、各项安全教育制度健全有效措施计划编制合理完善的得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分；安全措施计划编制详细较为合理完善的得 </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分；措施计划编制笼统表达不清的得 </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分，不合理的得 </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1346" w:type="dxa"/>
            <w:vMerge w:val="continue"/>
            <w:noWrap w:val="0"/>
            <w:vAlign w:val="center"/>
          </w:tcPr>
          <w:p>
            <w:pPr>
              <w:pageBreakBefore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highlight w:val="none"/>
                <w:lang w:val="en-US" w:eastAsia="zh-CN"/>
              </w:rPr>
            </w:pPr>
          </w:p>
        </w:tc>
        <w:tc>
          <w:tcPr>
            <w:tcW w:w="1795" w:type="dxa"/>
            <w:noWrap w:val="0"/>
            <w:vAlign w:val="center"/>
          </w:tcPr>
          <w:p>
            <w:pPr>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售后服务</w:t>
            </w:r>
          </w:p>
          <w:p>
            <w:pPr>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计划、措</w:t>
            </w:r>
          </w:p>
          <w:p>
            <w:pPr>
              <w:autoSpaceDE w:val="0"/>
              <w:autoSpaceDN w:val="0"/>
              <w:adjustRightInd w:val="0"/>
              <w:spacing w:line="240" w:lineRule="auto"/>
              <w:jc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sz w:val="24"/>
                <w:szCs w:val="24"/>
                <w:highlight w:val="none"/>
              </w:rPr>
              <w:t>施、服务承诺</w:t>
            </w:r>
          </w:p>
        </w:tc>
        <w:tc>
          <w:tcPr>
            <w:tcW w:w="919" w:type="dxa"/>
            <w:noWrap w:val="0"/>
            <w:vAlign w:val="center"/>
          </w:tcPr>
          <w:p>
            <w:pPr>
              <w:autoSpaceDE w:val="0"/>
              <w:autoSpaceDN w:val="0"/>
              <w:adjustRightIn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15</w:t>
            </w:r>
          </w:p>
        </w:tc>
        <w:tc>
          <w:tcPr>
            <w:tcW w:w="6095" w:type="dxa"/>
            <w:noWrap w:val="0"/>
            <w:vAlign w:val="center"/>
          </w:tcPr>
          <w:p>
            <w:pPr>
              <w:autoSpaceDE w:val="0"/>
              <w:autoSpaceDN w:val="0"/>
              <w:adjustRightInd w:val="0"/>
              <w:spacing w:line="24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z w:val="24"/>
                <w:szCs w:val="24"/>
                <w:highlight w:val="none"/>
              </w:rPr>
              <w:t>针对该项目须有详尽的组织配送、验收、调换售后、</w:t>
            </w:r>
            <w:r>
              <w:rPr>
                <w:rFonts w:hint="eastAsia" w:ascii="仿宋" w:hAnsi="仿宋" w:eastAsia="仿宋" w:cs="仿宋"/>
                <w:sz w:val="24"/>
                <w:szCs w:val="24"/>
                <w:highlight w:val="none"/>
                <w:lang w:eastAsia="zh-CN"/>
              </w:rPr>
              <w:t>技术指导、</w:t>
            </w:r>
            <w:r>
              <w:rPr>
                <w:rFonts w:hint="eastAsia" w:ascii="仿宋" w:hAnsi="仿宋" w:eastAsia="仿宋" w:cs="仿宋"/>
                <w:sz w:val="24"/>
                <w:szCs w:val="24"/>
                <w:highlight w:val="none"/>
              </w:rPr>
              <w:t>服务时效响应时间</w:t>
            </w:r>
            <w:r>
              <w:rPr>
                <w:rFonts w:hint="eastAsia" w:ascii="仿宋" w:hAnsi="仿宋" w:eastAsia="仿宋" w:cs="仿宋"/>
                <w:sz w:val="24"/>
                <w:szCs w:val="24"/>
                <w:highlight w:val="none"/>
                <w:lang w:eastAsia="zh-CN"/>
              </w:rPr>
              <w:t>、废弃物回收</w:t>
            </w:r>
            <w:r>
              <w:rPr>
                <w:rFonts w:hint="eastAsia" w:ascii="仿宋" w:hAnsi="仿宋" w:eastAsia="仿宋" w:cs="仿宋"/>
                <w:sz w:val="24"/>
                <w:szCs w:val="24"/>
                <w:highlight w:val="none"/>
              </w:rPr>
              <w:t>等方面的服务计划、能力、措施、承诺，服务计划、措施、承诺得当合理，内容详尽的得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 xml:space="preserve"> 分；售后服务计划、措施、承诺符合实际采购需求，内容完整的得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分；售后服务计划、措施、承诺基本符合实际采购需求，内容不全面的得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分；售后服务计划不符合实际要求，不切合项目要求的得 1分；未提供和其他情况不得分。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155"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spacing w:line="248" w:lineRule="auto"/>
              <w:jc w:val="left"/>
              <w:textAlignment w:val="auto"/>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投标供应商需保证</w:t>
            </w:r>
            <w:r>
              <w:rPr>
                <w:rFonts w:hint="eastAsia" w:ascii="仿宋" w:hAnsi="仿宋" w:eastAsia="仿宋" w:cs="仿宋"/>
                <w:color w:val="auto"/>
                <w:kern w:val="2"/>
                <w:sz w:val="24"/>
                <w:szCs w:val="24"/>
                <w:lang w:val="en-US" w:eastAsia="zh-CN" w:bidi="ar-SA"/>
              </w:rPr>
              <w:t>以上各项</w:t>
            </w:r>
            <w:r>
              <w:rPr>
                <w:rFonts w:hint="eastAsia" w:ascii="仿宋" w:hAnsi="仿宋" w:eastAsia="仿宋" w:cs="仿宋"/>
                <w:color w:val="auto"/>
                <w:kern w:val="2"/>
                <w:sz w:val="24"/>
                <w:szCs w:val="24"/>
                <w:lang w:val="en-US" w:eastAsia="zh-CN" w:bidi="ar-SA"/>
              </w:rPr>
              <w:t>资料的真实性和有效性，如提供虚假、无效资料，一经查实立即取消投标资格，已成交的取消成交资格并追究相应的经济和法律责任。</w:t>
            </w:r>
          </w:p>
        </w:tc>
      </w:tr>
    </w:tbl>
    <w:p>
      <w:pPr>
        <w:numPr>
          <w:ilvl w:val="0"/>
          <w:numId w:val="0"/>
        </w:numPr>
        <w:jc w:val="center"/>
        <w:rPr>
          <w:rFonts w:hint="eastAsia" w:ascii="仿宋" w:hAnsi="仿宋" w:eastAsia="仿宋" w:cs="仿宋"/>
          <w:b/>
          <w:bCs/>
          <w:color w:val="auto"/>
          <w:sz w:val="36"/>
          <w:szCs w:val="56"/>
          <w:highlight w:val="none"/>
        </w:rPr>
      </w:pPr>
      <w:r>
        <w:rPr>
          <w:rFonts w:hint="eastAsia" w:ascii="仿宋" w:hAnsi="仿宋" w:eastAsia="仿宋" w:cs="仿宋"/>
          <w:b/>
          <w:bCs/>
          <w:color w:val="auto"/>
          <w:sz w:val="36"/>
          <w:szCs w:val="56"/>
          <w:highlight w:val="none"/>
          <w:lang w:val="en-US" w:eastAsia="zh-CN"/>
        </w:rPr>
        <w:t xml:space="preserve">第三章、 </w:t>
      </w:r>
      <w:r>
        <w:rPr>
          <w:rFonts w:hint="eastAsia" w:ascii="仿宋" w:hAnsi="仿宋" w:eastAsia="仿宋" w:cs="仿宋"/>
          <w:b/>
          <w:bCs/>
          <w:color w:val="auto"/>
          <w:sz w:val="36"/>
          <w:szCs w:val="56"/>
          <w:highlight w:val="none"/>
        </w:rPr>
        <w:t>采购需求、技术参数、规格</w:t>
      </w:r>
      <w:bookmarkEnd w:id="83"/>
      <w:bookmarkEnd w:id="84"/>
      <w:bookmarkEnd w:id="85"/>
      <w:bookmarkEnd w:id="86"/>
      <w:bookmarkEnd w:id="87"/>
      <w:bookmarkStart w:id="88" w:name="_Toc18832"/>
      <w:bookmarkStart w:id="89" w:name="_Toc28817"/>
      <w:bookmarkStart w:id="90" w:name="_Toc20061"/>
      <w:bookmarkStart w:id="91" w:name="_Toc11973"/>
      <w:bookmarkStart w:id="92" w:name="_Toc26060"/>
      <w:bookmarkStart w:id="93" w:name="_Toc19312"/>
      <w:bookmarkStart w:id="94" w:name="_Toc7241"/>
      <w:bookmarkStart w:id="95" w:name="_Toc13536"/>
      <w:bookmarkStart w:id="96" w:name="_Toc32237"/>
      <w:bookmarkStart w:id="97" w:name="_Toc25254"/>
      <w:bookmarkStart w:id="98" w:name="_Toc700"/>
      <w:bookmarkStart w:id="99" w:name="_Toc24194"/>
      <w:bookmarkStart w:id="100" w:name="_Toc19723"/>
    </w:p>
    <w:tbl>
      <w:tblPr>
        <w:tblStyle w:val="43"/>
        <w:tblpPr w:leftFromText="180" w:rightFromText="180" w:vertAnchor="text" w:horzAnchor="page" w:tblpXSpec="center" w:tblpY="404"/>
        <w:tblOverlap w:val="never"/>
        <w:tblW w:w="9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308"/>
        <w:gridCol w:w="4751"/>
        <w:gridCol w:w="1096"/>
        <w:gridCol w:w="1112"/>
        <w:gridCol w:w="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6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both"/>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130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名 称</w:t>
            </w:r>
          </w:p>
        </w:tc>
        <w:tc>
          <w:tcPr>
            <w:tcW w:w="47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规格型号及技术参数</w:t>
            </w:r>
          </w:p>
        </w:tc>
        <w:tc>
          <w:tcPr>
            <w:tcW w:w="1096"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计量单位</w:t>
            </w:r>
          </w:p>
        </w:tc>
        <w:tc>
          <w:tcPr>
            <w:tcW w:w="1112" w:type="dxa"/>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649" w:type="dxa"/>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jc w:val="center"/>
        </w:trPr>
        <w:tc>
          <w:tcPr>
            <w:tcW w:w="6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i w:val="0"/>
                <w:color w:val="000000"/>
                <w:kern w:val="0"/>
                <w:sz w:val="24"/>
                <w:szCs w:val="24"/>
                <w:u w:val="none"/>
                <w:lang w:val="en-US" w:eastAsia="zh-CN" w:bidi="ar"/>
              </w:rPr>
              <w:t>1</w:t>
            </w:r>
          </w:p>
        </w:tc>
        <w:tc>
          <w:tcPr>
            <w:tcW w:w="1308"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52.25%</w:t>
            </w:r>
            <w:r>
              <w:rPr>
                <w:rFonts w:hint="eastAsia" w:ascii="仿宋" w:hAnsi="仿宋" w:eastAsia="仿宋" w:cs="仿宋"/>
                <w:i w:val="0"/>
                <w:color w:val="000000"/>
                <w:sz w:val="24"/>
                <w:szCs w:val="24"/>
                <w:u w:val="none"/>
              </w:rPr>
              <w:t>高氯·毒死蜱</w:t>
            </w:r>
          </w:p>
        </w:tc>
        <w:tc>
          <w:tcPr>
            <w:tcW w:w="4751" w:type="dxa"/>
            <w:tcBorders>
              <w:tl2br w:val="nil"/>
              <w:tr2bl w:val="nil"/>
            </w:tcBorders>
            <w:noWrap w:val="0"/>
            <w:tcMar>
              <w:top w:w="15" w:type="dxa"/>
              <w:left w:w="15" w:type="dxa"/>
              <w:right w:w="15" w:type="dxa"/>
            </w:tcMar>
            <w:vAlign w:val="center"/>
          </w:tcPr>
          <w:p>
            <w:pPr>
              <w:keepNext w:val="0"/>
              <w:keepLines w:val="0"/>
              <w:widowControl/>
              <w:numPr>
                <w:ilvl w:val="0"/>
                <w:numId w:val="8"/>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有效成分：含量52.25%（高效氯氰菊酯含量2.25%，毒死蜱含量50%）；</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2、剂型：乳油；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3、规格：500克/瓶，20瓶/件；</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4、要求：2023年生产，保质期不少于两年</w:t>
            </w:r>
          </w:p>
        </w:tc>
        <w:tc>
          <w:tcPr>
            <w:tcW w:w="1096"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千克</w:t>
            </w:r>
          </w:p>
        </w:tc>
        <w:tc>
          <w:tcPr>
            <w:tcW w:w="1112" w:type="dxa"/>
            <w:tcBorders>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14200</w:t>
            </w:r>
          </w:p>
        </w:tc>
        <w:tc>
          <w:tcPr>
            <w:tcW w:w="649" w:type="dxa"/>
            <w:vMerge w:val="restart"/>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16" w:lineRule="auto"/>
              <w:jc w:val="left"/>
              <w:textAlignment w:val="center"/>
              <w:rPr>
                <w:rFonts w:hint="eastAsia" w:ascii="仿宋" w:hAnsi="仿宋" w:eastAsia="仿宋" w:cs="仿宋"/>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jc w:val="center"/>
        </w:trPr>
        <w:tc>
          <w:tcPr>
            <w:tcW w:w="6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i w:val="0"/>
                <w:color w:val="000000"/>
                <w:kern w:val="0"/>
                <w:sz w:val="24"/>
                <w:szCs w:val="24"/>
                <w:u w:val="none"/>
                <w:lang w:val="en-US" w:eastAsia="zh-CN" w:bidi="ar"/>
              </w:rPr>
              <w:t>2</w:t>
            </w:r>
          </w:p>
        </w:tc>
        <w:tc>
          <w:tcPr>
            <w:tcW w:w="1308"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29%石硫</w:t>
            </w:r>
          </w:p>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i w:val="0"/>
                <w:color w:val="000000"/>
                <w:sz w:val="24"/>
                <w:szCs w:val="24"/>
                <w:u w:val="none"/>
              </w:rPr>
              <w:t>合剂</w:t>
            </w:r>
          </w:p>
        </w:tc>
        <w:tc>
          <w:tcPr>
            <w:tcW w:w="4751" w:type="dxa"/>
            <w:tcBorders>
              <w:tl2br w:val="nil"/>
              <w:tr2bl w:val="nil"/>
            </w:tcBorders>
            <w:noWrap w:val="0"/>
            <w:tcMar>
              <w:top w:w="15" w:type="dxa"/>
              <w:left w:w="15" w:type="dxa"/>
              <w:right w:w="15" w:type="dxa"/>
            </w:tcMar>
            <w:vAlign w:val="center"/>
          </w:tcPr>
          <w:p>
            <w:pPr>
              <w:keepNext w:val="0"/>
              <w:keepLines w:val="0"/>
              <w:widowControl/>
              <w:numPr>
                <w:ilvl w:val="0"/>
                <w:numId w:val="9"/>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有效成分：含量29%；</w:t>
            </w:r>
          </w:p>
          <w:p>
            <w:pPr>
              <w:keepNext w:val="0"/>
              <w:keepLines w:val="0"/>
              <w:widowControl/>
              <w:numPr>
                <w:ilvl w:val="0"/>
                <w:numId w:val="9"/>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剂型：水剂；</w:t>
            </w:r>
          </w:p>
          <w:p>
            <w:pPr>
              <w:keepNext w:val="0"/>
              <w:keepLines w:val="0"/>
              <w:widowControl/>
              <w:numPr>
                <w:ilvl w:val="0"/>
                <w:numId w:val="9"/>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规格：20千克每桶；</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4、要求：2023年生产，保质期不少于两年</w:t>
            </w:r>
          </w:p>
        </w:tc>
        <w:tc>
          <w:tcPr>
            <w:tcW w:w="1096"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12" w:type="dxa"/>
            <w:tcBorders>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47</w:t>
            </w:r>
          </w:p>
        </w:tc>
        <w:tc>
          <w:tcPr>
            <w:tcW w:w="649" w:type="dxa"/>
            <w:vMerge w:val="continue"/>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仿宋" w:hAnsi="仿宋" w:eastAsia="仿宋" w:cs="仿宋"/>
                <w:i w:val="0"/>
                <w:color w:val="000000"/>
                <w:sz w:val="21"/>
                <w:szCs w:val="21"/>
                <w:u w:val="none"/>
              </w:rPr>
            </w:pPr>
          </w:p>
        </w:tc>
      </w:tr>
    </w:tbl>
    <w:p>
      <w:pPr>
        <w:spacing w:line="520" w:lineRule="exact"/>
        <w:ind w:firstLine="241" w:firstLineChars="100"/>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其他事项</w:t>
      </w:r>
    </w:p>
    <w:p>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1.运输配送货物所需的交通、储藏等设备、用具，必须保持安全、卫生，经常消毒，必须使用密封装载交通工具配送。</w:t>
      </w:r>
    </w:p>
    <w:p>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2.中标企业需无条件根据甲方需求配送至甲方指定点，并自行承担相应的装、卸费用；</w:t>
      </w:r>
    </w:p>
    <w:p>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3.免费为甲方提供相应的技术支持，如农药配比、技术培训等；</w:t>
      </w:r>
    </w:p>
    <w:p>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4.农药包装废弃物及时进行回收处理；</w:t>
      </w:r>
    </w:p>
    <w:p>
      <w:pPr>
        <w:spacing w:line="520" w:lineRule="exact"/>
        <w:ind w:firstLine="241" w:firstLineChars="100"/>
        <w:rPr>
          <w:rFonts w:hint="eastAsia" w:ascii="仿宋" w:hAnsi="仿宋" w:eastAsia="仿宋" w:cs="仿宋"/>
          <w:b/>
          <w:bCs/>
          <w:sz w:val="24"/>
          <w:lang w:val="en-US" w:eastAsia="zh-CN"/>
        </w:rPr>
      </w:pPr>
      <w:r>
        <w:rPr>
          <w:rFonts w:hint="eastAsia" w:ascii="仿宋" w:hAnsi="仿宋" w:eastAsia="仿宋" w:cs="仿宋"/>
          <w:b/>
          <w:bCs/>
          <w:sz w:val="24"/>
          <w:lang w:val="en-US" w:eastAsia="zh-CN"/>
        </w:rPr>
        <w:t>2、其他要求</w:t>
      </w:r>
    </w:p>
    <w:p>
      <w:pPr>
        <w:pStyle w:val="38"/>
        <w:shd w:val="clear" w:color="auto" w:fill="FDFEFF"/>
        <w:spacing w:before="0" w:beforeAutospacing="0" w:after="0" w:afterAutospacing="0" w:line="540" w:lineRule="exact"/>
        <w:ind w:firstLine="480" w:firstLineChars="200"/>
        <w:rPr>
          <w:rFonts w:hint="eastAsia" w:ascii="仿宋" w:hAnsi="仿宋" w:eastAsia="仿宋" w:cs="仿宋"/>
          <w:bCs/>
          <w:shd w:val="clear" w:color="auto" w:fill="FDFEFF"/>
        </w:rPr>
      </w:pPr>
      <w:r>
        <w:rPr>
          <w:rFonts w:hint="eastAsia" w:ascii="仿宋" w:hAnsi="仿宋" w:eastAsia="仿宋" w:cs="仿宋"/>
          <w:bCs/>
          <w:shd w:val="clear" w:color="auto" w:fill="FDFEFF"/>
        </w:rPr>
        <w:t>1</w:t>
      </w:r>
      <w:r>
        <w:rPr>
          <w:rFonts w:hint="eastAsia" w:ascii="仿宋" w:hAnsi="仿宋" w:eastAsia="仿宋" w:cs="仿宋"/>
          <w:bCs/>
          <w:shd w:val="clear" w:color="auto" w:fill="FDFEFF"/>
          <w:lang w:val="en-US" w:eastAsia="zh-CN"/>
        </w:rPr>
        <w:t>.</w:t>
      </w:r>
      <w:r>
        <w:rPr>
          <w:rFonts w:hint="eastAsia" w:ascii="仿宋" w:hAnsi="仿宋" w:eastAsia="仿宋" w:cs="仿宋"/>
          <w:bCs/>
          <w:shd w:val="clear" w:color="auto" w:fill="FDFEFF"/>
        </w:rPr>
        <w:t>所有中标供应商均不得转让或分包给他人，一经发现，取消其供货资格，由此产生的一切经济损失由中标供应商自行承担。</w:t>
      </w:r>
    </w:p>
    <w:p>
      <w:pPr>
        <w:pStyle w:val="38"/>
        <w:shd w:val="clear" w:color="auto" w:fill="FDFEFF"/>
        <w:spacing w:before="0" w:beforeAutospacing="0" w:after="0" w:afterAutospacing="0" w:line="540" w:lineRule="exact"/>
        <w:ind w:firstLine="480" w:firstLineChars="200"/>
        <w:rPr>
          <w:rFonts w:hint="eastAsia" w:ascii="仿宋" w:hAnsi="仿宋" w:eastAsia="仿宋" w:cs="仿宋"/>
          <w:bCs/>
          <w:shd w:val="clear" w:color="auto" w:fill="FDFEFF"/>
          <w:lang w:val="en-US" w:eastAsia="zh-CN"/>
        </w:rPr>
      </w:pPr>
      <w:r>
        <w:rPr>
          <w:rFonts w:hint="eastAsia" w:ascii="仿宋" w:hAnsi="仿宋" w:eastAsia="仿宋" w:cs="仿宋"/>
          <w:bCs/>
          <w:shd w:val="clear" w:color="auto" w:fill="FDFEFF"/>
          <w:lang w:val="en-US" w:eastAsia="zh-CN"/>
        </w:rPr>
        <w:t>2.招标文件未尽事宜，由采购人与中标供应商签订合同补充执行。</w:t>
      </w:r>
    </w:p>
    <w:p>
      <w:pPr>
        <w:pStyle w:val="38"/>
        <w:shd w:val="clear" w:color="auto" w:fill="FDFEFF"/>
        <w:spacing w:before="0" w:beforeAutospacing="0" w:after="0" w:afterAutospacing="0" w:line="540" w:lineRule="exact"/>
        <w:ind w:firstLine="480" w:firstLineChars="200"/>
        <w:rPr>
          <w:rFonts w:hint="eastAsia" w:ascii="仿宋" w:hAnsi="仿宋" w:eastAsia="仿宋" w:cs="仿宋"/>
          <w:bCs/>
          <w:shd w:val="clear" w:color="auto" w:fill="FDFEFF"/>
        </w:rPr>
      </w:pPr>
      <w:r>
        <w:rPr>
          <w:rFonts w:hint="eastAsia" w:ascii="仿宋" w:hAnsi="仿宋" w:eastAsia="仿宋" w:cs="仿宋"/>
          <w:bCs/>
          <w:shd w:val="clear" w:color="auto" w:fill="FDFEFF"/>
          <w:lang w:val="en-US" w:eastAsia="zh-CN"/>
        </w:rPr>
        <w:t>3.</w:t>
      </w:r>
      <w:r>
        <w:rPr>
          <w:rFonts w:hint="eastAsia" w:ascii="仿宋" w:hAnsi="仿宋" w:eastAsia="仿宋" w:cs="仿宋"/>
          <w:bCs/>
          <w:shd w:val="clear" w:color="auto" w:fill="FDFEFF"/>
        </w:rPr>
        <w:t>以上参数中</w:t>
      </w:r>
      <w:r>
        <w:rPr>
          <w:rFonts w:hint="eastAsia" w:ascii="仿宋" w:hAnsi="仿宋" w:eastAsia="仿宋" w:cs="仿宋"/>
          <w:bCs/>
          <w:shd w:val="clear" w:color="auto" w:fill="FDFEFF"/>
          <w:lang w:eastAsia="zh-CN"/>
        </w:rPr>
        <w:t>如有</w:t>
      </w:r>
      <w:r>
        <w:rPr>
          <w:rFonts w:hint="eastAsia" w:ascii="仿宋" w:hAnsi="仿宋" w:eastAsia="仿宋" w:cs="仿宋"/>
          <w:bCs/>
          <w:shd w:val="clear" w:color="auto" w:fill="FDFEFF"/>
        </w:rPr>
        <w:t>标明品牌的，此品牌仅供参考。</w:t>
      </w:r>
    </w:p>
    <w:p>
      <w:pPr>
        <w:spacing w:line="360" w:lineRule="auto"/>
        <w:ind w:firstLine="482" w:firstLineChars="200"/>
        <w:jc w:val="center"/>
        <w:outlineLvl w:val="0"/>
        <w:rPr>
          <w:rFonts w:hint="eastAsia" w:ascii="仿宋" w:hAnsi="仿宋" w:eastAsia="仿宋" w:cs="仿宋"/>
          <w:b/>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outlineLvl w:val="0"/>
        <w:rPr>
          <w:rFonts w:hint="eastAsia" w:ascii="仿宋" w:hAnsi="仿宋" w:eastAsia="仿宋" w:cs="仿宋"/>
          <w:b/>
          <w:bCs/>
          <w:color w:val="auto"/>
          <w:sz w:val="48"/>
          <w:szCs w:val="56"/>
          <w:highlight w:val="none"/>
        </w:rPr>
      </w:pPr>
    </w:p>
    <w:p>
      <w:pPr>
        <w:spacing w:line="360" w:lineRule="auto"/>
        <w:jc w:val="center"/>
        <w:outlineLvl w:val="0"/>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val="en-US" w:eastAsia="zh-CN"/>
        </w:rPr>
        <w:t>四</w:t>
      </w:r>
      <w:r>
        <w:rPr>
          <w:rFonts w:hint="eastAsia" w:ascii="仿宋" w:hAnsi="仿宋" w:eastAsia="仿宋" w:cs="仿宋"/>
          <w:b/>
          <w:bCs/>
          <w:color w:val="auto"/>
          <w:sz w:val="36"/>
          <w:szCs w:val="36"/>
          <w:highlight w:val="none"/>
        </w:rPr>
        <w:t xml:space="preserve">章   </w:t>
      </w:r>
      <w:bookmarkEnd w:id="88"/>
      <w:bookmarkEnd w:id="89"/>
      <w:r>
        <w:rPr>
          <w:rFonts w:hint="eastAsia" w:ascii="仿宋" w:hAnsi="仿宋" w:eastAsia="仿宋" w:cs="仿宋"/>
          <w:b/>
          <w:bCs/>
          <w:color w:val="auto"/>
          <w:sz w:val="36"/>
          <w:szCs w:val="36"/>
          <w:highlight w:val="none"/>
          <w:lang w:eastAsia="zh-CN"/>
        </w:rPr>
        <w:t>采购合同范本</w:t>
      </w:r>
      <w:r>
        <w:rPr>
          <w:rFonts w:hint="eastAsia" w:ascii="仿宋" w:hAnsi="仿宋" w:eastAsia="仿宋" w:cs="仿宋"/>
          <w:b/>
          <w:bCs/>
          <w:color w:val="auto"/>
          <w:sz w:val="36"/>
          <w:szCs w:val="36"/>
          <w:highlight w:val="none"/>
        </w:rPr>
        <w:t>（仅供参考）</w:t>
      </w:r>
      <w:bookmarkEnd w:id="90"/>
      <w:bookmarkEnd w:id="91"/>
      <w:bookmarkEnd w:id="92"/>
      <w:bookmarkEnd w:id="93"/>
      <w:bookmarkEnd w:id="94"/>
      <w:bookmarkEnd w:id="95"/>
      <w:bookmarkEnd w:id="96"/>
      <w:bookmarkEnd w:id="97"/>
      <w:bookmarkEnd w:id="98"/>
      <w:bookmarkEnd w:id="99"/>
      <w:bookmarkEnd w:id="100"/>
    </w:p>
    <w:p>
      <w:pPr>
        <w:widowControl/>
        <w:tabs>
          <w:tab w:val="left" w:pos="724"/>
        </w:tabs>
        <w:spacing w:line="460" w:lineRule="exact"/>
        <w:ind w:firstLine="480" w:firstLineChars="200"/>
        <w:jc w:val="left"/>
        <w:rPr>
          <w:rFonts w:hint="eastAsia" w:ascii="仿宋" w:hAnsi="仿宋" w:eastAsia="仿宋" w:cs="仿宋"/>
          <w:color w:val="auto"/>
          <w:sz w:val="24"/>
          <w:szCs w:val="24"/>
          <w:highlight w:val="none"/>
        </w:rPr>
      </w:pPr>
      <w:bookmarkStart w:id="101" w:name="_Toc29040"/>
      <w:bookmarkStart w:id="102" w:name="_Toc17546"/>
      <w:bookmarkStart w:id="103" w:name="_Toc381970843"/>
      <w:bookmarkStart w:id="104" w:name="_Toc25217"/>
    </w:p>
    <w:p>
      <w:pPr>
        <w:spacing w:line="360" w:lineRule="auto"/>
        <w:ind w:firstLine="480" w:firstLineChars="200"/>
        <w:rPr>
          <w:rFonts w:hint="eastAsia" w:ascii="仿宋" w:hAnsi="仿宋" w:eastAsia="仿宋" w:cs="仿宋"/>
          <w:sz w:val="24"/>
          <w:szCs w:val="24"/>
        </w:rPr>
      </w:pPr>
    </w:p>
    <w:p>
      <w:pPr>
        <w:spacing w:line="360" w:lineRule="auto"/>
        <w:ind w:firstLine="482" w:firstLineChars="200"/>
        <w:rPr>
          <w:rFonts w:hint="eastAsia" w:ascii="仿宋" w:hAnsi="仿宋" w:eastAsia="仿宋" w:cs="仿宋"/>
          <w:b/>
          <w:bCs/>
          <w:sz w:val="24"/>
          <w:szCs w:val="24"/>
        </w:rPr>
      </w:pP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一、合同格式：</w:t>
      </w:r>
    </w:p>
    <w:p>
      <w:pPr>
        <w:spacing w:line="360" w:lineRule="auto"/>
        <w:ind w:firstLine="482" w:firstLineChars="200"/>
        <w:rPr>
          <w:rFonts w:hint="eastAsia" w:ascii="仿宋" w:hAnsi="仿宋" w:eastAsia="仿宋" w:cs="仿宋"/>
          <w:b/>
          <w:bCs/>
          <w:sz w:val="24"/>
          <w:szCs w:val="24"/>
        </w:rPr>
      </w:pPr>
    </w:p>
    <w:p>
      <w:pPr>
        <w:pStyle w:val="20"/>
        <w:rPr>
          <w:rFonts w:hint="eastAsia" w:ascii="仿宋" w:hAnsi="仿宋" w:eastAsia="仿宋" w:cs="仿宋"/>
          <w:b/>
          <w:bCs/>
          <w:sz w:val="24"/>
          <w:szCs w:val="24"/>
        </w:rPr>
      </w:pPr>
    </w:p>
    <w:p>
      <w:pPr>
        <w:rPr>
          <w:rFonts w:hint="eastAsia" w:ascii="仿宋" w:hAnsi="仿宋" w:eastAsia="仿宋" w:cs="仿宋"/>
          <w:b/>
          <w:bCs/>
          <w:sz w:val="24"/>
          <w:szCs w:val="24"/>
        </w:rPr>
      </w:pPr>
    </w:p>
    <w:p>
      <w:pPr>
        <w:pStyle w:val="20"/>
        <w:rPr>
          <w:rFonts w:hint="eastAsia" w:ascii="仿宋" w:hAnsi="仿宋" w:eastAsia="仿宋" w:cs="仿宋"/>
          <w:b/>
          <w:bCs/>
          <w:sz w:val="24"/>
          <w:szCs w:val="24"/>
        </w:rPr>
      </w:pPr>
    </w:p>
    <w:p>
      <w:pPr>
        <w:rPr>
          <w:rFonts w:hint="eastAsia"/>
        </w:rPr>
      </w:pPr>
    </w:p>
    <w:p>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政府采购合同</w:t>
      </w:r>
    </w:p>
    <w:p>
      <w:pPr>
        <w:spacing w:line="360" w:lineRule="auto"/>
        <w:ind w:firstLine="482" w:firstLineChars="200"/>
        <w:rPr>
          <w:rFonts w:hint="eastAsia" w:ascii="仿宋" w:hAnsi="仿宋" w:eastAsia="仿宋" w:cs="仿宋"/>
          <w:b/>
          <w:bCs/>
          <w:sz w:val="24"/>
          <w:szCs w:val="24"/>
        </w:rPr>
      </w:pPr>
    </w:p>
    <w:p>
      <w:pPr>
        <w:pStyle w:val="5"/>
        <w:numPr>
          <w:ilvl w:val="0"/>
          <w:numId w:val="0"/>
        </w:numPr>
        <w:ind w:leftChars="0"/>
        <w:rPr>
          <w:rFonts w:hint="eastAsia" w:ascii="仿宋" w:hAnsi="仿宋" w:eastAsia="仿宋" w:cs="仿宋"/>
          <w:b/>
          <w:bCs/>
          <w:sz w:val="24"/>
          <w:szCs w:val="24"/>
        </w:rPr>
      </w:pPr>
    </w:p>
    <w:p>
      <w:pPr>
        <w:pStyle w:val="20"/>
        <w:rPr>
          <w:rFonts w:hint="eastAsia" w:ascii="仿宋" w:hAnsi="仿宋" w:eastAsia="仿宋" w:cs="仿宋"/>
          <w:b/>
          <w:bCs/>
          <w:sz w:val="24"/>
          <w:szCs w:val="24"/>
        </w:rPr>
      </w:pPr>
    </w:p>
    <w:p>
      <w:pPr>
        <w:rPr>
          <w:rFonts w:hint="eastAsia" w:ascii="仿宋" w:hAnsi="仿宋" w:eastAsia="仿宋" w:cs="仿宋"/>
          <w:b/>
          <w:bCs/>
          <w:sz w:val="24"/>
          <w:szCs w:val="24"/>
        </w:rPr>
      </w:pPr>
    </w:p>
    <w:p>
      <w:pPr>
        <w:pStyle w:val="20"/>
        <w:rPr>
          <w:rFonts w:hint="eastAsia"/>
        </w:rPr>
      </w:pPr>
    </w:p>
    <w:p>
      <w:pPr>
        <w:rPr>
          <w:rFonts w:hint="eastAsia" w:ascii="仿宋" w:hAnsi="仿宋" w:eastAsia="仿宋" w:cs="仿宋"/>
          <w:sz w:val="24"/>
          <w:szCs w:val="24"/>
        </w:rPr>
      </w:pPr>
    </w:p>
    <w:p>
      <w:pPr>
        <w:spacing w:line="360" w:lineRule="auto"/>
        <w:ind w:firstLine="482" w:firstLineChars="200"/>
        <w:rPr>
          <w:rFonts w:hint="eastAsia" w:ascii="仿宋" w:hAnsi="仿宋" w:eastAsia="仿宋" w:cs="仿宋"/>
          <w:b/>
          <w:bCs/>
          <w:sz w:val="24"/>
          <w:szCs w:val="24"/>
        </w:rPr>
      </w:pPr>
    </w:p>
    <w:p>
      <w:pPr>
        <w:spacing w:line="360" w:lineRule="auto"/>
        <w:ind w:firstLine="1205" w:firstLineChars="500"/>
        <w:jc w:val="left"/>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项目名称</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 xml:space="preserve"> </w:t>
      </w:r>
      <w:r>
        <w:rPr>
          <w:rFonts w:hint="eastAsia" w:ascii="仿宋" w:hAnsi="仿宋" w:eastAsia="仿宋" w:cs="仿宋"/>
          <w:b/>
          <w:bCs/>
          <w:sz w:val="24"/>
          <w:szCs w:val="24"/>
          <w:u w:val="single"/>
          <w:lang w:val="en-US" w:eastAsia="zh-CN"/>
        </w:rPr>
        <w:t xml:space="preserve">           </w:t>
      </w:r>
    </w:p>
    <w:p>
      <w:pPr>
        <w:spacing w:line="360" w:lineRule="auto"/>
        <w:ind w:firstLine="1205" w:firstLineChars="500"/>
        <w:jc w:val="left"/>
        <w:rPr>
          <w:rFonts w:hint="eastAsia" w:ascii="仿宋" w:hAnsi="仿宋" w:eastAsia="仿宋" w:cs="仿宋"/>
          <w:sz w:val="24"/>
          <w:szCs w:val="24"/>
          <w:u w:val="single"/>
          <w:lang w:val="en-US"/>
        </w:rPr>
      </w:pPr>
      <w:r>
        <w:rPr>
          <w:rFonts w:hint="eastAsia" w:ascii="仿宋" w:hAnsi="仿宋" w:eastAsia="仿宋" w:cs="仿宋"/>
          <w:b/>
          <w:bCs/>
          <w:sz w:val="24"/>
          <w:szCs w:val="24"/>
        </w:rPr>
        <w:t>项目编号:</w:t>
      </w:r>
      <w:r>
        <w:rPr>
          <w:rFonts w:hint="eastAsia" w:ascii="仿宋" w:hAnsi="仿宋" w:eastAsia="仿宋" w:cs="仿宋"/>
          <w:b/>
          <w:bCs/>
          <w:sz w:val="24"/>
          <w:szCs w:val="24"/>
          <w:u w:val="single"/>
          <w:lang w:val="en-US" w:eastAsia="zh-CN"/>
        </w:rPr>
        <w:t xml:space="preserve">            </w:t>
      </w:r>
    </w:p>
    <w:p>
      <w:pPr>
        <w:spacing w:line="360" w:lineRule="auto"/>
        <w:ind w:firstLine="1205" w:firstLineChars="500"/>
        <w:jc w:val="left"/>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合同编号:</w:t>
      </w:r>
      <w:r>
        <w:rPr>
          <w:rFonts w:hint="eastAsia" w:ascii="仿宋" w:hAnsi="仿宋" w:eastAsia="仿宋" w:cs="仿宋"/>
          <w:b/>
          <w:bCs/>
          <w:sz w:val="24"/>
          <w:szCs w:val="24"/>
          <w:u w:val="single"/>
          <w:lang w:val="en-US" w:eastAsia="zh-CN"/>
        </w:rPr>
        <w:t xml:space="preserve">            </w:t>
      </w:r>
    </w:p>
    <w:p>
      <w:pPr>
        <w:spacing w:line="360" w:lineRule="auto"/>
        <w:ind w:firstLine="482" w:firstLineChars="200"/>
        <w:jc w:val="left"/>
        <w:rPr>
          <w:rFonts w:hint="eastAsia" w:ascii="仿宋" w:hAnsi="仿宋" w:eastAsia="仿宋" w:cs="仿宋"/>
          <w:b/>
          <w:bCs/>
          <w:sz w:val="24"/>
          <w:szCs w:val="24"/>
        </w:rPr>
      </w:pPr>
    </w:p>
    <w:p>
      <w:pPr>
        <w:spacing w:line="360" w:lineRule="auto"/>
        <w:ind w:firstLine="482" w:firstLineChars="200"/>
        <w:jc w:val="left"/>
        <w:rPr>
          <w:rFonts w:hint="eastAsia" w:ascii="仿宋" w:hAnsi="仿宋" w:eastAsia="仿宋" w:cs="仿宋"/>
          <w:b/>
          <w:bCs/>
          <w:sz w:val="24"/>
          <w:szCs w:val="24"/>
        </w:rPr>
      </w:pPr>
    </w:p>
    <w:p>
      <w:pPr>
        <w:spacing w:line="360" w:lineRule="auto"/>
        <w:ind w:firstLine="482" w:firstLineChars="200"/>
        <w:jc w:val="left"/>
        <w:rPr>
          <w:rFonts w:hint="eastAsia" w:ascii="仿宋" w:hAnsi="仿宋" w:eastAsia="仿宋" w:cs="仿宋"/>
          <w:b/>
          <w:bCs/>
          <w:sz w:val="24"/>
          <w:szCs w:val="24"/>
        </w:rPr>
      </w:pPr>
    </w:p>
    <w:p>
      <w:pPr>
        <w:spacing w:line="360" w:lineRule="auto"/>
        <w:ind w:firstLine="482" w:firstLineChars="200"/>
        <w:jc w:val="left"/>
        <w:rPr>
          <w:rFonts w:hint="eastAsia" w:ascii="仿宋" w:hAnsi="仿宋" w:eastAsia="仿宋" w:cs="仿宋"/>
          <w:b/>
          <w:bCs/>
          <w:sz w:val="24"/>
          <w:szCs w:val="24"/>
        </w:rPr>
      </w:pPr>
    </w:p>
    <w:p>
      <w:pPr>
        <w:spacing w:line="360" w:lineRule="auto"/>
        <w:ind w:firstLine="1205" w:firstLineChars="500"/>
        <w:jc w:val="left"/>
        <w:rPr>
          <w:rFonts w:hint="eastAsia" w:ascii="仿宋" w:hAnsi="仿宋" w:eastAsia="仿宋" w:cs="仿宋"/>
          <w:b/>
          <w:bCs/>
          <w:sz w:val="24"/>
          <w:szCs w:val="24"/>
          <w:lang w:val="en-US"/>
        </w:rPr>
      </w:pPr>
      <w:r>
        <w:rPr>
          <w:rFonts w:hint="eastAsia" w:ascii="仿宋" w:hAnsi="仿宋" w:eastAsia="仿宋" w:cs="仿宋"/>
          <w:b/>
          <w:bCs/>
          <w:sz w:val="24"/>
          <w:szCs w:val="24"/>
        </w:rPr>
        <w:t>甲    方:</w:t>
      </w:r>
      <w:r>
        <w:rPr>
          <w:rFonts w:hint="eastAsia" w:ascii="仿宋" w:hAnsi="仿宋" w:eastAsia="仿宋" w:cs="仿宋"/>
          <w:b/>
          <w:bCs/>
          <w:sz w:val="24"/>
          <w:szCs w:val="24"/>
          <w:u w:val="single"/>
          <w:lang w:val="en-US" w:eastAsia="zh-CN"/>
        </w:rPr>
        <w:t xml:space="preserve">            </w:t>
      </w:r>
    </w:p>
    <w:p>
      <w:pPr>
        <w:spacing w:line="360" w:lineRule="auto"/>
        <w:ind w:firstLine="1205" w:firstLineChars="500"/>
        <w:jc w:val="left"/>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乙    方:</w:t>
      </w:r>
      <w:r>
        <w:rPr>
          <w:rFonts w:hint="eastAsia" w:ascii="仿宋" w:hAnsi="仿宋" w:eastAsia="仿宋" w:cs="仿宋"/>
          <w:b/>
          <w:bCs/>
          <w:sz w:val="24"/>
          <w:szCs w:val="24"/>
          <w:u w:val="single"/>
          <w:lang w:val="en-US" w:eastAsia="zh-CN"/>
        </w:rPr>
        <w:t xml:space="preserve">            </w:t>
      </w:r>
    </w:p>
    <w:p>
      <w:pPr>
        <w:spacing w:line="360" w:lineRule="auto"/>
        <w:ind w:firstLine="480" w:firstLineChars="200"/>
        <w:jc w:val="lef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（甲方）所需</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w:t>
      </w:r>
      <w:r>
        <w:rPr>
          <w:rFonts w:hint="eastAsia" w:ascii="仿宋" w:hAnsi="仿宋" w:eastAsia="仿宋" w:cs="仿宋"/>
          <w:sz w:val="24"/>
          <w:szCs w:val="24"/>
        </w:rPr>
        <w:t>项目名称)经{同供应商须知前附表}以</w:t>
      </w:r>
      <w:r>
        <w:rPr>
          <w:rFonts w:hint="eastAsia" w:ascii="仿宋" w:hAnsi="仿宋" w:eastAsia="仿宋" w:cs="仿宋"/>
          <w:sz w:val="24"/>
          <w:szCs w:val="24"/>
          <w:u w:val="single"/>
        </w:rPr>
        <w:t xml:space="preserve">              </w:t>
      </w:r>
      <w:r>
        <w:rPr>
          <w:rFonts w:hint="eastAsia" w:ascii="仿宋" w:hAnsi="仿宋" w:eastAsia="仿宋" w:cs="仿宋"/>
          <w:sz w:val="24"/>
          <w:szCs w:val="24"/>
        </w:rPr>
        <w:t>（项目编号）招标文件在国内以公开招标方式进行采购。经评标委员会确定</w:t>
      </w:r>
      <w:r>
        <w:rPr>
          <w:rFonts w:hint="eastAsia" w:ascii="仿宋" w:hAnsi="仿宋" w:eastAsia="仿宋" w:cs="仿宋"/>
          <w:sz w:val="24"/>
          <w:szCs w:val="24"/>
          <w:u w:val="single"/>
        </w:rPr>
        <w:t xml:space="preserve">         </w:t>
      </w:r>
      <w:r>
        <w:rPr>
          <w:rFonts w:hint="eastAsia" w:ascii="仿宋" w:hAnsi="仿宋" w:eastAsia="仿宋" w:cs="仿宋"/>
          <w:sz w:val="24"/>
          <w:szCs w:val="24"/>
        </w:rPr>
        <w:t>（乙方）为中标人。甲、乙双方根据《中华人民共和国政府采购法》、《中华人民共和国合同法》等相关法律以及本项目招标文件的规定，经平等协商达成合同如下：</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一、合同文件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本合同所附下列文件是构成本合同不可分割的部分：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（一）本项目招标文件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（二）中标人投标文件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（三）合同格式、合同条款</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（四）中标人在评标过程中做出的有关澄清、说明或者补正文件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（五）中标通知书</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（六）本合同附件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二、合同的范围和条件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本合同的范围和条件应与上述合同文件的规定相一致。</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三、货物、数量及规格</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本合同所提供的货物、数量及规格详见合同货物清单（同招标文件及投标文件中报价明细表，下同）。</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四、合同金额</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根据上述合同文件要求，合同金额为人民币 </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。（分项价格详见合同货物清单）。</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乙方开户单位：</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开户银行：                           帐号：</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五、付款途径</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国库集中支付   □甲方支付    □ 国库与甲方共同支付</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财政性资金</w:t>
      </w:r>
      <w:r>
        <w:rPr>
          <w:rFonts w:hint="eastAsia" w:ascii="仿宋" w:hAnsi="仿宋" w:eastAsia="仿宋" w:cs="仿宋"/>
          <w:sz w:val="24"/>
          <w:szCs w:val="24"/>
          <w:u w:val="single"/>
        </w:rPr>
        <w:t xml:space="preserve">       </w:t>
      </w:r>
      <w:r>
        <w:rPr>
          <w:rFonts w:hint="eastAsia" w:ascii="仿宋" w:hAnsi="仿宋" w:eastAsia="仿宋" w:cs="仿宋"/>
          <w:sz w:val="24"/>
          <w:szCs w:val="24"/>
        </w:rPr>
        <w:t>元          □ 自筹性资金</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属国库集中支付的财政性资金，甲方应按合同约定的付款期限，及时向财政部门报送资金支付申请，财政部门对支付申请审核无误后，将货款直接支付至乙方账户。</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六、付款方式</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付款方式：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七、交付日期、地点</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1、交付日期：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2、交付地点：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八、履约保证金</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履约保证金在项目交付验收合格无质量问题后，填写《项目验收单》和资金往来收款收据交采购人后20个工作日内退还。</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九、合同生效</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本合同经甲乙双方签字盖章，乙方提交履约保证金后生效。</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十、合同保存</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本合同一式五份，甲方一份，乙方一份，交易中心一份，甲方同级财政部门一份，采购代理一份。</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pStyle w:val="20"/>
        <w:rPr>
          <w:rFonts w:hint="eastAsia"/>
        </w:rPr>
      </w:pPr>
    </w:p>
    <w:p>
      <w:pPr>
        <w:spacing w:line="360" w:lineRule="auto"/>
        <w:ind w:firstLine="480" w:firstLineChars="200"/>
        <w:rPr>
          <w:rFonts w:hint="eastAsia" w:ascii="仿宋" w:hAnsi="仿宋" w:eastAsia="仿宋" w:cs="仿宋"/>
          <w:sz w:val="24"/>
          <w:szCs w:val="24"/>
        </w:rPr>
      </w:pP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甲    方：                            乙    方：</w:t>
      </w:r>
    </w:p>
    <w:p>
      <w:pPr>
        <w:spacing w:line="360" w:lineRule="auto"/>
        <w:rPr>
          <w:rFonts w:hint="eastAsia" w:ascii="仿宋" w:hAnsi="仿宋" w:eastAsia="仿宋" w:cs="仿宋"/>
          <w:sz w:val="24"/>
          <w:szCs w:val="24"/>
        </w:rPr>
      </w:pPr>
      <w:r>
        <w:rPr>
          <w:rFonts w:hint="eastAsia" w:ascii="仿宋" w:hAnsi="仿宋" w:eastAsia="仿宋" w:cs="仿宋"/>
          <w:sz w:val="24"/>
          <w:szCs w:val="24"/>
        </w:rPr>
        <w:t>单位名称(公章)：                      单位名称(公章)：</w:t>
      </w:r>
    </w:p>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法定代表人或授权代理人：（签字）       法定代表人或授权代理人：（签字）</w:t>
      </w:r>
    </w:p>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电    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    话：</w:t>
      </w:r>
    </w:p>
    <w:p>
      <w:pPr>
        <w:rPr>
          <w:rFonts w:hint="eastAsia"/>
        </w:rPr>
      </w:pPr>
    </w:p>
    <w:p>
      <w:pPr>
        <w:pStyle w:val="20"/>
        <w:rPr>
          <w:rFonts w:hint="eastAsia"/>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签订日期：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二、合同条款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在本项目中所需货物和服务由{同供应商须知前附表第3项}在国内进行公开招标，经评标委员会评定，确定乙方为中标人。甲乙双方根据《中华人民共和国政府采购法》、《中华人民共和国合同法》等相关法律法规以及本项目招标文件的规定，经平等协商达成合同如下： </w:t>
      </w:r>
      <w:bookmarkStart w:id="105" w:name="_Toc86202594"/>
      <w:bookmarkStart w:id="106" w:name="_Toc175644041"/>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一、定义</w:t>
      </w:r>
      <w:bookmarkEnd w:id="105"/>
      <w:bookmarkEnd w:id="10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除非另有特别解释或说明，在本合同及与本合同相关的，双方另行签署的其他文件（包括但不限于本合同的附件）中，下述词语均依如下定义进行解释：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1、“合同”指甲乙双方签署的，与本项目相关的协议、附件、附录和其他一切文件，还包括招标文件、投标文件中的相关内容及其有效补充文件。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2、“附件”是指与本合同的订立、履行有关的，经甲乙双方认可的，对本合同约定的内容进行细化、补充、修改、变更的文件、图纸、音像制品等资料。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3、“货物”指合同货物清单（附件1）（同投标文件中货物明细表，下同）中所规定的硬件、软件、安装材料、备件及专用器具、文件资料等内容。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5、“检验”指按照本合同约定的标准对合同货物进行的检测与查验。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6、“项目验收单”指甲、乙双方验收完成后由合同双方签署的最终验收确认书。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7、“技术资料”指安装、调试、使用、维修合同货物所应具备的产品使用说明书或使用指南、操作手册、维修指南、服务手册、电路图、产品演示等文件。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8、“保修期”指自验收单签署之日起，乙方免费对所卖给甲方货物更换整件或零部件，维修、保养及技术支持、产品升级并以自担费用方式保证项目正常运行的时期。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9、“第三人”是指本合同双方以外的任何中国境内、外的自然人、法人或其他经济组织。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10、“法律、法规”是指由中国有关部门制定的法律、行政法规、地方性法规、规章及其他规范性文件以及经全国人民代表大会常务委员会批准的中国缔结、参加的国际条（公）约的有关规定。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11、“招标文件”指采购代理机构发布的本项目招标文件。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12、“投标文件”指乙方按照本项目招标文件的要求编制和投递，并最终经采购代理机构接收的投标文件。</w:t>
      </w:r>
    </w:p>
    <w:p>
      <w:pPr>
        <w:spacing w:line="360" w:lineRule="auto"/>
        <w:ind w:firstLine="480" w:firstLineChars="200"/>
        <w:rPr>
          <w:rFonts w:hint="eastAsia" w:ascii="仿宋" w:hAnsi="仿宋" w:eastAsia="仿宋" w:cs="仿宋"/>
          <w:sz w:val="24"/>
          <w:szCs w:val="24"/>
        </w:rPr>
      </w:pPr>
      <w:bookmarkStart w:id="107" w:name="_Toc86202595"/>
      <w:bookmarkStart w:id="108" w:name="_Toc175644043"/>
      <w:r>
        <w:rPr>
          <w:rFonts w:hint="eastAsia" w:ascii="仿宋" w:hAnsi="仿宋" w:eastAsia="仿宋" w:cs="仿宋"/>
          <w:sz w:val="24"/>
          <w:szCs w:val="24"/>
        </w:rPr>
        <w:t>二、货物、数量及规格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本合同所提供的货物、数量及规格详见合同货物清单（同招标文件及投标文件中报价明细表）。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三、合同价格</w:t>
      </w:r>
      <w:bookmarkEnd w:id="107"/>
      <w:bookmarkEnd w:id="108"/>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1、合同金额详见合同格式。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3、合同货物详细目录及销售价格详见合同格式附件1合同货物清单（同投标文件中报价明细表）。</w:t>
      </w:r>
      <w:bookmarkStart w:id="109" w:name="_Toc86202596"/>
      <w:bookmarkStart w:id="110" w:name="_Toc175644044"/>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w:t>
      </w:r>
      <w:bookmarkEnd w:id="109"/>
      <w:bookmarkEnd w:id="110"/>
      <w:r>
        <w:rPr>
          <w:rFonts w:hint="eastAsia" w:ascii="仿宋" w:hAnsi="仿宋" w:eastAsia="仿宋" w:cs="仿宋"/>
          <w:sz w:val="24"/>
          <w:szCs w:val="24"/>
        </w:rPr>
        <w:t>付款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1、双方因本合同发生的一切费用均以人民币结算及支付。</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2、双方的帐户名称、开户银行及帐号以本合同提供的为准。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3、付款途径：按照招标文件第二部分“投标人须知前附表”第26项的规定。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4、付款方式：按照招标文件第二部分“投标人须知前附表”第27项的规定。</w:t>
      </w:r>
    </w:p>
    <w:p>
      <w:pPr>
        <w:spacing w:line="360" w:lineRule="auto"/>
        <w:ind w:firstLine="480" w:firstLineChars="200"/>
        <w:rPr>
          <w:rFonts w:hint="eastAsia" w:ascii="仿宋" w:hAnsi="仿宋" w:eastAsia="仿宋" w:cs="仿宋"/>
          <w:sz w:val="24"/>
          <w:szCs w:val="24"/>
        </w:rPr>
      </w:pPr>
      <w:bookmarkStart w:id="111" w:name="_Toc86202597"/>
      <w:r>
        <w:rPr>
          <w:rFonts w:hint="eastAsia" w:ascii="仿宋" w:hAnsi="仿宋" w:eastAsia="仿宋" w:cs="仿宋"/>
          <w:sz w:val="24"/>
          <w:szCs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6、甲方直接与乙方付款结算，采购代理机构不对其付款承担连带责任或任何其它责任，在任何情形下乙方亦只能直接向甲方追索而不应当向采购代理机构追索。</w:t>
      </w:r>
    </w:p>
    <w:p>
      <w:pPr>
        <w:spacing w:line="360" w:lineRule="auto"/>
        <w:ind w:firstLine="480" w:firstLineChars="200"/>
        <w:rPr>
          <w:rFonts w:hint="eastAsia" w:ascii="仿宋" w:hAnsi="仿宋" w:eastAsia="仿宋" w:cs="仿宋"/>
          <w:sz w:val="24"/>
          <w:szCs w:val="24"/>
        </w:rPr>
      </w:pPr>
      <w:bookmarkStart w:id="112" w:name="_Toc175644045"/>
      <w:r>
        <w:rPr>
          <w:rFonts w:hint="eastAsia" w:ascii="仿宋" w:hAnsi="仿宋" w:eastAsia="仿宋" w:cs="仿宋"/>
          <w:sz w:val="24"/>
          <w:szCs w:val="24"/>
        </w:rPr>
        <w:t>五、</w:t>
      </w:r>
      <w:bookmarkEnd w:id="111"/>
      <w:bookmarkEnd w:id="112"/>
      <w:r>
        <w:rPr>
          <w:rFonts w:hint="eastAsia" w:ascii="仿宋" w:hAnsi="仿宋" w:eastAsia="仿宋" w:cs="仿宋"/>
          <w:sz w:val="24"/>
          <w:szCs w:val="24"/>
        </w:rPr>
        <w:t>交付</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1、乙方负责办理运输和保险，将货物运抵交货地点。有关运输、保险和装卸等一切相关的费用由乙方承担。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2、货物应运至甲方指定地点，并卸至甲方指定位置，开箱清点及初步检验时双方应派人员参加。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3、所有货物运抵现场并且安装完毕经检验合格交付甲方，该日期为交付日期。双方签署交付收货单后为交付完毕。交付完毕货物所有权发生转移，此前货物毁坏的风险由乙方承担。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4、交付日期：按照招标文件第二部分“投标人须知前附表”第28项的规定。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5、交付地点</w:t>
      </w:r>
      <w:bookmarkStart w:id="113" w:name="_Toc86202598"/>
      <w:bookmarkStart w:id="114" w:name="_Toc175644046"/>
      <w:r>
        <w:rPr>
          <w:rFonts w:hint="eastAsia" w:ascii="仿宋" w:hAnsi="仿宋" w:eastAsia="仿宋" w:cs="仿宋"/>
          <w:sz w:val="24"/>
          <w:szCs w:val="24"/>
        </w:rPr>
        <w:t>：按照招标文件第二部分“投标人须知前附表”第29项的规定。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六、包装和标记</w:t>
      </w:r>
      <w:bookmarkEnd w:id="113"/>
      <w:bookmarkEnd w:id="114"/>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1、乙方交付的所有合同货物应具有适于运输的坚固包装，并且乙方应根据合同货物的不同特性和要求采取防潮、防雨、防锈、防震、防腐等保护措施，以确保合同货物安全无损地送达交货地点。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2、凡由于乙方对合同货物包装不善、标记不明、防护措施不当或在合同货物装箱前保管不良，致使合同货物遭到损坏或丢失，乙方应负责免费修理或更换，并承担由此给甲方造成的一切损失。</w:t>
      </w:r>
      <w:bookmarkStart w:id="115" w:name="_Toc86202599"/>
      <w:bookmarkStart w:id="116" w:name="_Toc175644047"/>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七、质量标准和检验</w:t>
      </w:r>
      <w:bookmarkEnd w:id="115"/>
      <w:r>
        <w:rPr>
          <w:rFonts w:hint="eastAsia" w:ascii="仿宋" w:hAnsi="仿宋" w:eastAsia="仿宋" w:cs="仿宋"/>
          <w:sz w:val="24"/>
          <w:szCs w:val="24"/>
        </w:rPr>
        <w:t>方式</w:t>
      </w:r>
      <w:bookmarkEnd w:id="11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1、乙方应保证提供给甲方的合同货物是货物生产厂商原造的，全新、未使用过的，是用一流的工艺和优质材料制造而成的，并完全符合本项目招标文件规定的质量、性能和规格的要求。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4、乙方应保证所提供的货物经正确安装、合理操作和维护保养在其使用寿命期内具有令甲方满意的性能，并对由于合同货物的设计、工艺或材料的缺陷而发生的任何故障负责。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6、甲方对合同货物的数量、规格和质量的检验，应依据本项目招标文件中的有关规定进行。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7、若检验时发现货物数量不足、规格与合同要求不符或开箱时虽然货物外包装完好无损，但箱内货物短缺或损伤，双方应签署书面形式证明，乙方应根据该证明及时补足或更换。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spacing w:line="360" w:lineRule="auto"/>
        <w:ind w:firstLine="480" w:firstLineChars="200"/>
        <w:rPr>
          <w:rFonts w:hint="eastAsia" w:ascii="仿宋" w:hAnsi="仿宋" w:eastAsia="仿宋" w:cs="仿宋"/>
          <w:sz w:val="24"/>
          <w:szCs w:val="24"/>
        </w:rPr>
      </w:pPr>
      <w:bookmarkStart w:id="117" w:name="_Toc86202601"/>
      <w:bookmarkStart w:id="118" w:name="_Toc175644048"/>
      <w:r>
        <w:rPr>
          <w:rFonts w:hint="eastAsia" w:ascii="仿宋" w:hAnsi="仿宋" w:eastAsia="仿宋" w:cs="仿宋"/>
          <w:sz w:val="24"/>
          <w:szCs w:val="24"/>
        </w:rPr>
        <w:t>八、技术服务和保修责任</w:t>
      </w:r>
      <w:bookmarkEnd w:id="117"/>
      <w:bookmarkEnd w:id="118"/>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对合同货物、服务的保修期按照招标文件第二部分“投标人须知前附表”第30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4、在免费保修期内，如果由于乙方更换、修理和续补货物或更换服务，而造成本合同不得不停止运行，保修期应依照停止运行的实际时间加以延长，如因此给甲方造成损失，乙方应负责赔偿。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7、若由于甲方提出增加并不涉及安全性的新功能而引起的软件升级，相关成本费由甲方承担，乙方不得赚取利润或拒绝、拖延。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8、若由于乙方增加并不涉及安全性的新功能引起软件升级，而且甲方愿意增加该新功能时，由双方协商解决。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spacing w:line="360" w:lineRule="auto"/>
        <w:ind w:firstLine="480" w:firstLineChars="200"/>
        <w:rPr>
          <w:rFonts w:hint="eastAsia" w:ascii="仿宋" w:hAnsi="仿宋" w:eastAsia="仿宋" w:cs="仿宋"/>
          <w:sz w:val="24"/>
          <w:szCs w:val="24"/>
        </w:rPr>
      </w:pPr>
      <w:bookmarkStart w:id="119" w:name="_Toc175644049"/>
      <w:bookmarkStart w:id="120" w:name="_Toc86202602"/>
      <w:r>
        <w:rPr>
          <w:rFonts w:hint="eastAsia" w:ascii="仿宋" w:hAnsi="仿宋" w:eastAsia="仿宋" w:cs="仿宋"/>
          <w:sz w:val="24"/>
          <w:szCs w:val="24"/>
        </w:rPr>
        <w:t>九、违约责任</w:t>
      </w:r>
      <w:bookmarkEnd w:id="119"/>
      <w:bookmarkEnd w:id="120"/>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1）在甲方同意延长的期限内交付全部货物、提供服务并承担由此给甲方造成的直接损失及甲方因此产生的对第三方的责任。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3）根据货物、服务低劣程度、损坏程度以及使甲方所遭受的损失及甲方因此产生的对第三方的责任，经双方商定降低货物、服务的价格或赔偿甲方所遭受的损失及甲方因此产生的对第三方的责任。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4）按合同规定的同种货币将甲方所退货物已支付的货款全部退还给甲方，并承担由此发生的直接损失和相关费用及甲方因此产生的对第三方的责任。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5）甲方有权部分或全部解除合同并要求乙方赔偿由此造成的损失及甲方因此产生的对第三方的责任。此时甲方可采取必要的补救措施，相关费用由乙方承担。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6）此外，上述情形下甲方为采取必要的补救措施或因防止损失扩大而支出的合理费用应由乙方承担。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4、除有另行约定外，甲方如延期付款，每逾期1日，按应付金额0.3‰支付违约金；乙方如延期交付，每延迟1日，按应交付货物总额0.3‰支付违约金。</w:t>
      </w:r>
    </w:p>
    <w:p>
      <w:pPr>
        <w:spacing w:line="360" w:lineRule="auto"/>
        <w:ind w:firstLine="480" w:firstLineChars="200"/>
        <w:rPr>
          <w:rFonts w:hint="eastAsia" w:ascii="仿宋" w:hAnsi="仿宋" w:eastAsia="仿宋" w:cs="仿宋"/>
          <w:sz w:val="24"/>
          <w:szCs w:val="24"/>
        </w:rPr>
      </w:pPr>
      <w:bookmarkStart w:id="121" w:name="_Toc86202603"/>
      <w:r>
        <w:rPr>
          <w:rFonts w:hint="eastAsia" w:ascii="仿宋" w:hAnsi="仿宋" w:eastAsia="仿宋" w:cs="仿宋"/>
          <w:sz w:val="24"/>
          <w:szCs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7、以上各项交付的违约金并不影响违约方履行合同的各项义务。</w:t>
      </w:r>
    </w:p>
    <w:p>
      <w:pPr>
        <w:spacing w:line="360" w:lineRule="auto"/>
        <w:ind w:firstLine="480" w:firstLineChars="200"/>
        <w:rPr>
          <w:rFonts w:hint="eastAsia" w:ascii="仿宋" w:hAnsi="仿宋" w:eastAsia="仿宋" w:cs="仿宋"/>
          <w:sz w:val="24"/>
          <w:szCs w:val="24"/>
        </w:rPr>
      </w:pPr>
      <w:bookmarkStart w:id="122" w:name="_Toc175644050"/>
      <w:r>
        <w:rPr>
          <w:rFonts w:hint="eastAsia" w:ascii="仿宋" w:hAnsi="仿宋" w:eastAsia="仿宋" w:cs="仿宋"/>
          <w:sz w:val="24"/>
          <w:szCs w:val="24"/>
        </w:rPr>
        <w:t>十、不可抗力</w:t>
      </w:r>
      <w:bookmarkEnd w:id="121"/>
      <w:bookmarkEnd w:id="122"/>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1、不可抗力指下列事件：战争、动乱、瘟疫、严重火灾、洪水、地震、风暴或其他自然灾害，以及本合同各方不可预见、不可防止并不能避免或克服的一切其他因素及事件。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4、合同各方应根据不可抗力对本合同履行的影响程度，协商确定是否终止本合同，或是继续履行本合同。</w:t>
      </w:r>
      <w:bookmarkStart w:id="123" w:name="_Toc175644051"/>
      <w:bookmarkStart w:id="124" w:name="_Toc86202604"/>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十一、联系方式</w:t>
      </w:r>
      <w:bookmarkEnd w:id="123"/>
      <w:bookmarkEnd w:id="124"/>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3、上述发出通知、回复的费用由发出一方承担。</w:t>
      </w:r>
    </w:p>
    <w:p>
      <w:pPr>
        <w:spacing w:line="360" w:lineRule="auto"/>
        <w:ind w:firstLine="480" w:firstLineChars="200"/>
        <w:rPr>
          <w:rFonts w:hint="eastAsia" w:ascii="仿宋" w:hAnsi="仿宋" w:eastAsia="仿宋" w:cs="仿宋"/>
          <w:sz w:val="24"/>
          <w:szCs w:val="24"/>
        </w:rPr>
      </w:pPr>
      <w:bookmarkStart w:id="125" w:name="_Toc86202605"/>
      <w:bookmarkStart w:id="126" w:name="_Toc175644052"/>
      <w:r>
        <w:rPr>
          <w:rFonts w:hint="eastAsia" w:ascii="仿宋" w:hAnsi="仿宋" w:eastAsia="仿宋" w:cs="仿宋"/>
          <w:sz w:val="24"/>
          <w:szCs w:val="24"/>
        </w:rPr>
        <w:t>十二、保密条款</w:t>
      </w:r>
      <w:bookmarkEnd w:id="125"/>
      <w:bookmarkEnd w:id="12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1、任何一方对其获知的本合同及附件中其他各方的商业秘密和国家秘密负有保密义务。</w:t>
      </w:r>
    </w:p>
    <w:p>
      <w:pPr>
        <w:spacing w:line="360" w:lineRule="auto"/>
        <w:ind w:firstLine="480" w:firstLineChars="200"/>
        <w:rPr>
          <w:rFonts w:hint="eastAsia" w:ascii="仿宋" w:hAnsi="仿宋" w:eastAsia="仿宋" w:cs="仿宋"/>
          <w:sz w:val="24"/>
          <w:szCs w:val="24"/>
        </w:rPr>
      </w:pPr>
      <w:bookmarkStart w:id="127" w:name="_Toc86202606"/>
      <w:r>
        <w:rPr>
          <w:rFonts w:hint="eastAsia" w:ascii="仿宋" w:hAnsi="仿宋" w:eastAsia="仿宋" w:cs="仿宋"/>
          <w:sz w:val="24"/>
          <w:szCs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spacing w:line="360" w:lineRule="auto"/>
        <w:ind w:firstLine="480" w:firstLineChars="200"/>
        <w:rPr>
          <w:rFonts w:hint="eastAsia" w:ascii="仿宋" w:hAnsi="仿宋" w:eastAsia="仿宋" w:cs="仿宋"/>
          <w:sz w:val="24"/>
          <w:szCs w:val="24"/>
        </w:rPr>
      </w:pPr>
      <w:bookmarkStart w:id="128" w:name="_Toc175644053"/>
      <w:r>
        <w:rPr>
          <w:rFonts w:hint="eastAsia" w:ascii="仿宋" w:hAnsi="仿宋" w:eastAsia="仿宋" w:cs="仿宋"/>
          <w:sz w:val="24"/>
          <w:szCs w:val="24"/>
        </w:rPr>
        <w:t>十三、合同的解释</w:t>
      </w:r>
      <w:bookmarkEnd w:id="127"/>
      <w:bookmarkEnd w:id="128"/>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1、任何一方对本合同及其附件的解释均应遵循诚实信用原则,依照本合同签订时有效的中国法律、法规以及通常的理解进行。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2、本合同标题仅供查阅方便，并非对本合同的诠释或解释；本合同中以日表述的时间期限均指自然日。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3、对本合同的任何解释均应以书面做出。</w:t>
      </w:r>
    </w:p>
    <w:p>
      <w:pPr>
        <w:spacing w:line="360" w:lineRule="auto"/>
        <w:ind w:firstLine="480" w:firstLineChars="200"/>
        <w:rPr>
          <w:rFonts w:hint="eastAsia" w:ascii="仿宋" w:hAnsi="仿宋" w:eastAsia="仿宋" w:cs="仿宋"/>
          <w:sz w:val="24"/>
          <w:szCs w:val="24"/>
        </w:rPr>
      </w:pPr>
      <w:bookmarkStart w:id="129" w:name="_Toc175644054"/>
      <w:bookmarkStart w:id="130" w:name="_Toc86202607"/>
      <w:r>
        <w:rPr>
          <w:rFonts w:hint="eastAsia" w:ascii="仿宋" w:hAnsi="仿宋" w:eastAsia="仿宋" w:cs="仿宋"/>
          <w:sz w:val="24"/>
          <w:szCs w:val="24"/>
        </w:rPr>
        <w:t>十四、合同的终止</w:t>
      </w:r>
      <w:bookmarkEnd w:id="129"/>
      <w:bookmarkEnd w:id="130"/>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1、本合同因下列原因而终止：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1）本合同正常履行完毕；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2）合同双方协议终止本合同的履行；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3）不可抗力事件导致本合同无法履行或履行不必要；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4）任何一方行使解除权，解除本合同。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2、对本合同终止有过错的一方应赔偿另一方因合同终止而受到的损失。对合同终止双方均无过错的，则各自承担所受到的损失。</w:t>
      </w:r>
    </w:p>
    <w:p>
      <w:pPr>
        <w:spacing w:line="360" w:lineRule="auto"/>
        <w:ind w:firstLine="480" w:firstLineChars="200"/>
        <w:rPr>
          <w:rFonts w:hint="eastAsia" w:ascii="仿宋" w:hAnsi="仿宋" w:eastAsia="仿宋" w:cs="仿宋"/>
          <w:sz w:val="24"/>
          <w:szCs w:val="24"/>
        </w:rPr>
      </w:pPr>
      <w:bookmarkStart w:id="131" w:name="_Toc175644055"/>
      <w:bookmarkStart w:id="132" w:name="_Toc86202608"/>
      <w:r>
        <w:rPr>
          <w:rFonts w:hint="eastAsia" w:ascii="仿宋" w:hAnsi="仿宋" w:eastAsia="仿宋" w:cs="仿宋"/>
          <w:sz w:val="24"/>
          <w:szCs w:val="24"/>
        </w:rPr>
        <w:t>十五、法律适用</w:t>
      </w:r>
      <w:bookmarkEnd w:id="131"/>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1、本合同及附件的订立、效力、解释、履行、争议的解决等适用本合同签订时有效的中华人民共和国法律、法规的有关规定。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spacing w:line="360" w:lineRule="auto"/>
        <w:ind w:firstLine="480" w:firstLineChars="200"/>
        <w:rPr>
          <w:rFonts w:hint="eastAsia" w:ascii="仿宋" w:hAnsi="仿宋" w:eastAsia="仿宋" w:cs="仿宋"/>
          <w:sz w:val="24"/>
          <w:szCs w:val="24"/>
        </w:rPr>
      </w:pPr>
      <w:bookmarkStart w:id="133" w:name="_Toc175644056"/>
      <w:r>
        <w:rPr>
          <w:rFonts w:hint="eastAsia" w:ascii="仿宋" w:hAnsi="仿宋" w:eastAsia="仿宋" w:cs="仿宋"/>
          <w:sz w:val="24"/>
          <w:szCs w:val="24"/>
        </w:rPr>
        <w:t>十六、权利的保留</w:t>
      </w:r>
      <w:bookmarkEnd w:id="132"/>
      <w:bookmarkEnd w:id="133"/>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spacing w:line="360" w:lineRule="auto"/>
        <w:ind w:firstLine="480" w:firstLineChars="200"/>
        <w:rPr>
          <w:rFonts w:hint="eastAsia" w:ascii="仿宋" w:hAnsi="仿宋" w:eastAsia="仿宋" w:cs="仿宋"/>
          <w:sz w:val="24"/>
          <w:szCs w:val="24"/>
        </w:rPr>
      </w:pPr>
      <w:bookmarkStart w:id="134" w:name="_Toc175644057"/>
      <w:bookmarkStart w:id="135" w:name="_Toc86202609"/>
      <w:r>
        <w:rPr>
          <w:rFonts w:hint="eastAsia" w:ascii="仿宋" w:hAnsi="仿宋" w:eastAsia="仿宋" w:cs="仿宋"/>
          <w:sz w:val="24"/>
          <w:szCs w:val="24"/>
        </w:rPr>
        <w:t>十七、争议的解决</w:t>
      </w:r>
      <w:bookmarkEnd w:id="134"/>
      <w:bookmarkEnd w:id="135"/>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双方应通过友好协商解决因解释﹑执行本合同所发生的和本合同有关的一切争议。如果经协商不能达成协议，可以采用以下方式解决（按照招标文件第二部分“投标人须知前附表”第31项的规定）：向甲方所在地人民法院起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3、在争议解决期间，除了诉讼或仲裁进行过程中正在解决的那部分问题外，合同其余部分应继续履行。</w:t>
      </w:r>
    </w:p>
    <w:p>
      <w:pPr>
        <w:spacing w:line="360" w:lineRule="auto"/>
        <w:ind w:firstLine="480" w:firstLineChars="200"/>
        <w:rPr>
          <w:rFonts w:hint="eastAsia" w:ascii="仿宋" w:hAnsi="仿宋" w:eastAsia="仿宋" w:cs="仿宋"/>
          <w:sz w:val="24"/>
          <w:szCs w:val="24"/>
        </w:rPr>
      </w:pPr>
      <w:bookmarkStart w:id="136" w:name="_Toc175644059"/>
      <w:bookmarkStart w:id="137" w:name="_Toc86202611"/>
      <w:r>
        <w:rPr>
          <w:rFonts w:hint="eastAsia" w:ascii="仿宋" w:hAnsi="仿宋" w:eastAsia="仿宋" w:cs="仿宋"/>
          <w:sz w:val="24"/>
          <w:szCs w:val="24"/>
        </w:rPr>
        <w:t>十八、合同的生效</w:t>
      </w:r>
      <w:bookmarkEnd w:id="136"/>
      <w:bookmarkEnd w:id="137"/>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本合同经甲乙双方法定代表人或授权代理人签字加盖单位公章，乙方按时、足额提交履约保证金，政府采购中心备案后生效。</w:t>
      </w:r>
    </w:p>
    <w:p>
      <w:pPr>
        <w:spacing w:line="360" w:lineRule="auto"/>
        <w:ind w:firstLine="480" w:firstLineChars="200"/>
        <w:rPr>
          <w:rFonts w:hint="eastAsia" w:ascii="仿宋" w:hAnsi="仿宋" w:eastAsia="仿宋" w:cs="仿宋"/>
          <w:sz w:val="24"/>
          <w:szCs w:val="24"/>
        </w:rPr>
      </w:pPr>
      <w:bookmarkStart w:id="138" w:name="_Toc86202612"/>
      <w:bookmarkStart w:id="139" w:name="_Toc175644060"/>
      <w:r>
        <w:rPr>
          <w:rFonts w:hint="eastAsia" w:ascii="仿宋" w:hAnsi="仿宋" w:eastAsia="仿宋" w:cs="仿宋"/>
          <w:sz w:val="24"/>
          <w:szCs w:val="24"/>
        </w:rPr>
        <w:t>十九、其他约定事项</w:t>
      </w:r>
      <w:bookmarkEnd w:id="138"/>
      <w:bookmarkEnd w:id="13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1、本合同中的附件均为本合同不可分割的部分，与本合同具有相同的法律效力。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3、本合同一式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份，具有同等法律效力。</w:t>
      </w:r>
    </w:p>
    <w:bookmarkEnd w:id="101"/>
    <w:bookmarkEnd w:id="102"/>
    <w:bookmarkEnd w:id="103"/>
    <w:bookmarkEnd w:id="104"/>
    <w:p>
      <w:pPr>
        <w:jc w:val="both"/>
        <w:rPr>
          <w:rFonts w:hint="eastAsia" w:ascii="仿宋" w:hAnsi="仿宋" w:eastAsia="仿宋" w:cs="仿宋"/>
          <w:b/>
          <w:color w:val="auto"/>
          <w:sz w:val="24"/>
          <w:szCs w:val="24"/>
          <w:highlight w:val="none"/>
        </w:rPr>
      </w:pPr>
    </w:p>
    <w:p>
      <w:pPr>
        <w:jc w:val="center"/>
        <w:rPr>
          <w:rFonts w:hint="eastAsia" w:ascii="仿宋" w:hAnsi="仿宋" w:eastAsia="仿宋" w:cs="仿宋"/>
          <w:color w:val="auto"/>
          <w:sz w:val="36"/>
          <w:szCs w:val="36"/>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val="en-US" w:eastAsia="zh-CN"/>
        </w:rPr>
        <w:t>五</w:t>
      </w:r>
      <w:r>
        <w:rPr>
          <w:rFonts w:hint="eastAsia" w:ascii="仿宋" w:hAnsi="仿宋" w:eastAsia="仿宋" w:cs="仿宋"/>
          <w:b/>
          <w:color w:val="auto"/>
          <w:sz w:val="36"/>
          <w:szCs w:val="36"/>
          <w:highlight w:val="none"/>
          <w:lang w:eastAsia="zh-CN"/>
        </w:rPr>
        <w:t>章</w:t>
      </w:r>
      <w:r>
        <w:rPr>
          <w:rFonts w:hint="eastAsia" w:ascii="仿宋" w:hAnsi="仿宋" w:eastAsia="仿宋" w:cs="仿宋"/>
          <w:b/>
          <w:color w:val="auto"/>
          <w:sz w:val="36"/>
          <w:szCs w:val="36"/>
          <w:highlight w:val="none"/>
        </w:rPr>
        <w:t xml:space="preserve">  投标文件内容及格式</w:t>
      </w:r>
    </w:p>
    <w:p>
      <w:pPr>
        <w:pStyle w:val="3"/>
        <w:numPr>
          <w:ilvl w:val="0"/>
          <w:numId w:val="0"/>
        </w:numPr>
        <w:ind w:leftChars="0"/>
        <w:jc w:val="right"/>
        <w:rPr>
          <w:rFonts w:hint="eastAsia" w:ascii="仿宋" w:hAnsi="仿宋" w:eastAsia="仿宋" w:cs="仿宋"/>
          <w:color w:val="auto"/>
          <w:highlight w:val="none"/>
        </w:rPr>
      </w:pPr>
      <w:r>
        <w:rPr>
          <w:rFonts w:hint="eastAsia" w:ascii="仿宋" w:hAnsi="仿宋" w:eastAsia="仿宋" w:cs="仿宋"/>
          <w:color w:val="auto"/>
          <w:sz w:val="28"/>
          <w:szCs w:val="28"/>
          <w:highlight w:val="none"/>
        </w:rPr>
        <w:t xml:space="preserve">                     </w:t>
      </w:r>
    </w:p>
    <w:tbl>
      <w:tblPr>
        <w:tblStyle w:val="43"/>
        <w:tblpPr w:leftFromText="180" w:rightFromText="180" w:vertAnchor="text" w:horzAnchor="page" w:tblpX="9165" w:tblpY="-969"/>
        <w:tblW w:w="1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9" w:type="dxa"/>
            <w:vAlign w:val="center"/>
          </w:tcPr>
          <w:p>
            <w:pPr>
              <w:pStyle w:val="2"/>
              <w:numPr>
                <w:ilvl w:val="0"/>
                <w:numId w:val="0"/>
              </w:numPr>
              <w:rPr>
                <w:rFonts w:hint="eastAsia"/>
                <w:sz w:val="28"/>
                <w:szCs w:val="28"/>
                <w:lang w:val="en-US" w:eastAsia="zh-CN"/>
              </w:rPr>
            </w:pPr>
            <w:r>
              <w:rPr>
                <w:rFonts w:hint="eastAsia"/>
                <w:b/>
                <w:bCs/>
                <w:sz w:val="28"/>
                <w:szCs w:val="28"/>
              </w:rPr>
              <w:t>正本</w:t>
            </w:r>
            <w:r>
              <w:rPr>
                <w:rFonts w:hint="eastAsia"/>
                <w:b/>
                <w:bCs/>
                <w:sz w:val="28"/>
                <w:szCs w:val="28"/>
                <w:lang w:val="en-US" w:eastAsia="zh-CN"/>
              </w:rPr>
              <w:t>/副本</w:t>
            </w:r>
          </w:p>
        </w:tc>
      </w:tr>
    </w:tbl>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（项目名称）</w:t>
      </w:r>
    </w:p>
    <w:p>
      <w:pPr>
        <w:spacing w:line="360" w:lineRule="auto"/>
        <w:ind w:firstLine="480" w:firstLineChars="200"/>
        <w:rPr>
          <w:rFonts w:hint="eastAsia" w:ascii="仿宋" w:hAnsi="仿宋" w:eastAsia="仿宋" w:cs="仿宋"/>
          <w:b w:val="0"/>
          <w:bCs w:val="0"/>
          <w:i/>
          <w:iCs/>
          <w:sz w:val="24"/>
          <w:szCs w:val="24"/>
          <w:u w:val="single"/>
        </w:rPr>
      </w:pPr>
    </w:p>
    <w:p>
      <w:pPr>
        <w:spacing w:line="360" w:lineRule="auto"/>
        <w:ind w:firstLine="1680" w:firstLineChars="700"/>
        <w:rPr>
          <w:rFonts w:hint="eastAsia" w:ascii="仿宋" w:hAnsi="仿宋" w:eastAsia="仿宋" w:cs="仿宋"/>
          <w:b w:val="0"/>
          <w:bCs w:val="0"/>
          <w:sz w:val="24"/>
          <w:szCs w:val="24"/>
        </w:rPr>
      </w:pPr>
      <w:r>
        <w:rPr>
          <w:rFonts w:hint="eastAsia" w:ascii="仿宋" w:hAnsi="仿宋" w:eastAsia="仿宋" w:cs="仿宋"/>
          <w:b w:val="0"/>
          <w:bCs w:val="0"/>
          <w:i/>
          <w:iCs/>
          <w:sz w:val="24"/>
          <w:szCs w:val="24"/>
          <w:u w:val="single"/>
        </w:rPr>
        <w:t xml:space="preserve">            </w:t>
      </w:r>
      <w:r>
        <w:rPr>
          <w:rFonts w:hint="eastAsia" w:ascii="仿宋" w:hAnsi="仿宋" w:eastAsia="仿宋" w:cs="仿宋"/>
          <w:b w:val="0"/>
          <w:bCs w:val="0"/>
          <w:i/>
          <w:iCs/>
          <w:sz w:val="24"/>
          <w:szCs w:val="24"/>
          <w:u w:val="single"/>
          <w:lang w:val="en-US" w:eastAsia="zh-CN"/>
        </w:rPr>
        <w:t xml:space="preserve">            </w:t>
      </w:r>
      <w:r>
        <w:rPr>
          <w:rFonts w:hint="eastAsia" w:ascii="仿宋" w:hAnsi="仿宋" w:eastAsia="仿宋" w:cs="仿宋"/>
          <w:b w:val="0"/>
          <w:bCs w:val="0"/>
          <w:i/>
          <w:iCs/>
          <w:sz w:val="24"/>
          <w:szCs w:val="24"/>
          <w:u w:val="single"/>
        </w:rPr>
        <w:t xml:space="preserve">  </w:t>
      </w:r>
      <w:r>
        <w:rPr>
          <w:rFonts w:hint="eastAsia" w:ascii="仿宋" w:hAnsi="仿宋" w:eastAsia="仿宋" w:cs="仿宋"/>
          <w:b w:val="0"/>
          <w:bCs w:val="0"/>
          <w:i/>
          <w:iCs/>
          <w:sz w:val="24"/>
          <w:szCs w:val="24"/>
          <w:u w:val="single"/>
          <w:lang w:val="en-US" w:eastAsia="zh-CN"/>
        </w:rPr>
        <w:t xml:space="preserve">   </w:t>
      </w:r>
      <w:r>
        <w:rPr>
          <w:rFonts w:hint="eastAsia" w:ascii="仿宋" w:hAnsi="仿宋" w:eastAsia="仿宋" w:cs="仿宋"/>
          <w:b w:val="0"/>
          <w:bCs w:val="0"/>
          <w:i/>
          <w:iCs/>
          <w:sz w:val="24"/>
          <w:szCs w:val="24"/>
          <w:u w:val="single"/>
        </w:rPr>
        <w:t xml:space="preserve">       </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项目编号</w:t>
      </w:r>
      <w:r>
        <w:rPr>
          <w:rFonts w:hint="eastAsia" w:ascii="仿宋" w:hAnsi="仿宋" w:eastAsia="仿宋" w:cs="仿宋"/>
          <w:b w:val="0"/>
          <w:bCs w:val="0"/>
          <w:sz w:val="24"/>
          <w:szCs w:val="24"/>
        </w:rPr>
        <w:t>）</w:t>
      </w:r>
    </w:p>
    <w:p>
      <w:pP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p>
    <w:p>
      <w:pPr>
        <w:rPr>
          <w:rFonts w:hint="eastAsia" w:ascii="仿宋" w:hAnsi="仿宋" w:eastAsia="仿宋" w:cs="仿宋"/>
          <w:color w:val="auto"/>
          <w:sz w:val="24"/>
          <w:highlight w:val="none"/>
          <w:u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  标  文  件</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rPr>
          <w:rFonts w:hint="eastAsia" w:ascii="仿宋" w:hAnsi="仿宋" w:eastAsia="仿宋" w:cs="仿宋"/>
          <w:color w:val="auto"/>
          <w:sz w:val="24"/>
          <w:szCs w:val="24"/>
          <w:highlight w:val="none"/>
        </w:rPr>
      </w:pPr>
      <w:r>
        <w:rPr>
          <w:rFonts w:hint="eastAsia" w:ascii="仿宋" w:hAnsi="仿宋" w:eastAsia="仿宋" w:cs="仿宋"/>
          <w:b/>
          <w:color w:val="auto"/>
          <w:highlight w:val="none"/>
        </w:rPr>
        <w:t xml:space="preserve">       </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（单位公章）</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jc w:val="left"/>
        <w:rPr>
          <w:rFonts w:hint="eastAsia" w:ascii="仿宋" w:hAnsi="仿宋" w:eastAsia="仿宋" w:cs="仿宋"/>
          <w:color w:val="auto"/>
          <w:sz w:val="24"/>
          <w:highlight w:val="none"/>
        </w:rPr>
      </w:pPr>
      <w:r>
        <w:rPr>
          <w:rFonts w:hint="eastAsia" w:ascii="仿宋" w:hAnsi="仿宋" w:eastAsia="仿宋" w:cs="仿宋"/>
          <w:color w:val="auto"/>
          <w:highlight w:val="none"/>
        </w:rPr>
        <w:br w:type="page"/>
      </w:r>
    </w:p>
    <w:p>
      <w:pPr>
        <w:spacing w:line="72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bookmarkStart w:id="140" w:name="_Toc23287"/>
      <w:bookmarkStart w:id="141" w:name="_Toc17339"/>
      <w:bookmarkStart w:id="142" w:name="_Toc8540"/>
      <w:bookmarkStart w:id="143" w:name="_Toc19403"/>
      <w:bookmarkStart w:id="144" w:name="_Toc22085"/>
      <w:r>
        <w:rPr>
          <w:rFonts w:hint="eastAsia" w:ascii="仿宋" w:hAnsi="仿宋" w:eastAsia="仿宋" w:cs="仿宋"/>
          <w:color w:val="auto"/>
          <w:sz w:val="24"/>
          <w:szCs w:val="24"/>
          <w:highlight w:val="none"/>
          <w:lang w:val="en-US" w:eastAsia="zh-CN"/>
        </w:rPr>
        <w:t>一、投 标 函</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五、投标保证金汇款凭证</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六、商务条款偏离表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七、本地化服务一览表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八、近三年业绩及相关证明</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九、拟投入的项目组人员表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十、售后服务承诺书</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十一、符合《政府采购法》第二十二条规定的条件</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十二、投标单位（供应商）承诺书</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十三、中小企业声明函</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十四、节能、环保产品证明（如有）</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十五、网站截图</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十六、应急保障方案</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十七、安全管理措施</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十八、供应商自行编写的技术文件</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十九、投标人认为需要提供的其他资料</w:t>
      </w:r>
    </w:p>
    <w:p>
      <w:pPr>
        <w:numPr>
          <w:ilvl w:val="0"/>
          <w:numId w:val="0"/>
        </w:numPr>
        <w:rPr>
          <w:rFonts w:hint="eastAsia" w:ascii="仿宋" w:hAnsi="仿宋" w:eastAsia="仿宋" w:cs="仿宋"/>
          <w:color w:val="auto"/>
          <w:sz w:val="28"/>
          <w:szCs w:val="28"/>
          <w:highlight w:val="none"/>
          <w:lang w:val="en-US" w:eastAsia="zh-CN"/>
        </w:rPr>
      </w:pPr>
    </w:p>
    <w:p>
      <w:pPr>
        <w:pStyle w:val="42"/>
        <w:ind w:left="0" w:leftChars="0" w:firstLine="0" w:firstLineChars="0"/>
        <w:rPr>
          <w:rFonts w:hint="eastAsia" w:ascii="仿宋" w:hAnsi="仿宋" w:eastAsia="仿宋" w:cs="仿宋"/>
          <w:color w:val="auto"/>
          <w:highlight w:val="none"/>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numPr>
          <w:ilvl w:val="0"/>
          <w:numId w:val="0"/>
        </w:num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 xml:space="preserve">投 标 </w:t>
      </w:r>
      <w:bookmarkEnd w:id="140"/>
      <w:bookmarkEnd w:id="141"/>
      <w:bookmarkEnd w:id="142"/>
      <w:bookmarkEnd w:id="143"/>
      <w:r>
        <w:rPr>
          <w:rFonts w:hint="eastAsia" w:ascii="仿宋" w:hAnsi="仿宋" w:eastAsia="仿宋" w:cs="仿宋"/>
          <w:b/>
          <w:bCs/>
          <w:color w:val="auto"/>
          <w:sz w:val="28"/>
          <w:szCs w:val="28"/>
          <w:highlight w:val="none"/>
          <w:lang w:val="en-US" w:eastAsia="zh-CN"/>
        </w:rPr>
        <w:t>函</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（招标单位）</w:t>
      </w:r>
      <w:r>
        <w:rPr>
          <w:rFonts w:hint="eastAsia" w:ascii="仿宋" w:hAnsi="仿宋" w:eastAsia="仿宋" w:cs="仿宋"/>
          <w:color w:val="auto"/>
          <w:sz w:val="24"/>
          <w:szCs w:val="24"/>
          <w:highlight w:val="none"/>
        </w:rPr>
        <w:t>：</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收到你们的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（招标文件编号）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（项目名称），经认真研究，我们决定参加投标。</w:t>
      </w:r>
    </w:p>
    <w:p>
      <w:pPr>
        <w:numPr>
          <w:ilvl w:val="0"/>
          <w:numId w:val="10"/>
        </w:numPr>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按照招标文件中的一切要求，提供招标</w:t>
      </w:r>
      <w:r>
        <w:rPr>
          <w:rFonts w:hint="eastAsia" w:ascii="仿宋" w:hAnsi="仿宋" w:eastAsia="仿宋" w:cs="仿宋"/>
          <w:color w:val="auto"/>
          <w:sz w:val="24"/>
          <w:szCs w:val="24"/>
          <w:highlight w:val="none"/>
          <w:lang w:eastAsia="zh-CN"/>
        </w:rPr>
        <w:t>货物的采购、供应、安装、运输装卸费、保险费、税费和相关售后服务等费用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元（用阿拉伯数字书写）人民币大写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，明细见投标报价表。</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如果我们的投标书被接受，我们将履行招标文件中规定的每一项义务和要求，按期、按质、按量完成交货。</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我们同意按招标文件的规定，本标书的有效期为开标后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我们愿意提供招标人在招标文件中要求的所有资料。</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我们认为你们有选择或拒绝任何投标者中标的权利。我们理解，最低报价不是中标的唯一条件。</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我们愿意按合同履行自己的全部责任。</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我们愿意遵守国家有关规定和招标文件中规定的收费标准，承付中标服务费。</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该项投标在开标后全过程中保持有效，不做任何更改和变动。</w:t>
      </w:r>
    </w:p>
    <w:p>
      <w:pPr>
        <w:numPr>
          <w:ilvl w:val="0"/>
          <w:numId w:val="10"/>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我们同意按招标文件规定，缴纳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元投标保证金。</w:t>
      </w:r>
    </w:p>
    <w:p>
      <w:pPr>
        <w:spacing w:line="440" w:lineRule="exact"/>
        <w:ind w:left="721" w:leftChars="229"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10我们保证投标文件中的所有证件和内容真实有效，否则我们愿意承担一切法律责任。</w:t>
      </w:r>
    </w:p>
    <w:p>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11、其他说明。</w:t>
      </w:r>
    </w:p>
    <w:p>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12、所有有关本标书的函电，请按下列地址联系：</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 xml:space="preserve">(单位公章) ：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spacing w:line="4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spacing w:line="440" w:lineRule="exact"/>
        <w:rPr>
          <w:rFonts w:hint="eastAsia" w:ascii="仿宋" w:hAnsi="仿宋" w:eastAsia="仿宋" w:cs="仿宋"/>
          <w:b/>
          <w:bCs/>
          <w:color w:val="auto"/>
          <w:sz w:val="30"/>
          <w:szCs w:val="30"/>
          <w:highlight w:val="none"/>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pStyle w:val="20"/>
        <w:rPr>
          <w:rFonts w:hint="eastAsia"/>
          <w:lang w:val="en-US" w:eastAsia="zh-CN"/>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numPr>
          <w:ilvl w:val="0"/>
          <w:numId w:val="11"/>
        </w:numPr>
        <w:spacing w:line="440" w:lineRule="exact"/>
        <w:ind w:left="0" w:leftChars="0"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投标文件真实性和不存在限制投标情形的声明</w:t>
      </w:r>
    </w:p>
    <w:p>
      <w:pPr>
        <w:pStyle w:val="20"/>
        <w:numPr>
          <w:ilvl w:val="0"/>
          <w:numId w:val="0"/>
        </w:numPr>
        <w:spacing w:line="240" w:lineRule="auto"/>
        <w:ind w:leftChars="0"/>
        <w:rPr>
          <w:rFonts w:hint="eastAsia"/>
        </w:rPr>
      </w:pPr>
    </w:p>
    <w:p>
      <w:pPr>
        <w:spacing w:line="200" w:lineRule="exact"/>
        <w:rPr>
          <w:rFonts w:hint="eastAsia" w:ascii="仿宋" w:hAnsi="仿宋" w:eastAsia="仿宋" w:cs="仿宋"/>
          <w:color w:val="auto"/>
          <w:highlight w:val="none"/>
        </w:rPr>
      </w:pPr>
    </w:p>
    <w:p>
      <w:pPr>
        <w:spacing w:line="60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（招标单位）：</w:t>
      </w:r>
    </w:p>
    <w:p>
      <w:pPr>
        <w:spacing w:line="60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我方在此声明，所递交的（项目名称）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的投标文件（包括有关资料、澄清）真实可信，不存在虚假（包括隐瞒）。我方近三年来在经营活动中没有重大违法记录。</w:t>
      </w:r>
    </w:p>
    <w:p>
      <w:pPr>
        <w:spacing w:line="60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我方承诺，如存在虚假投标行为，我方自愿承担</w:t>
      </w:r>
      <w:r>
        <w:rPr>
          <w:rFonts w:hint="eastAsia" w:ascii="仿宋" w:hAnsi="仿宋" w:eastAsia="仿宋" w:cs="仿宋"/>
          <w:color w:val="auto"/>
          <w:sz w:val="24"/>
          <w:szCs w:val="24"/>
          <w:highlight w:val="none"/>
          <w:lang w:val="en-US" w:eastAsia="zh-CN"/>
        </w:rPr>
        <w:t>一切法律</w:t>
      </w:r>
      <w:r>
        <w:rPr>
          <w:rFonts w:hint="eastAsia" w:ascii="仿宋" w:hAnsi="仿宋" w:eastAsia="仿宋" w:cs="仿宋"/>
          <w:color w:val="auto"/>
          <w:sz w:val="24"/>
          <w:szCs w:val="24"/>
          <w:highlight w:val="none"/>
        </w:rPr>
        <w:t>责任。</w:t>
      </w:r>
    </w:p>
    <w:p>
      <w:pPr>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ind w:firstLine="3360" w:firstLineChars="14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45" w:name="_Toc2775"/>
      <w:bookmarkStart w:id="146" w:name="_Toc7164"/>
      <w:bookmarkStart w:id="147" w:name="_Toc21183"/>
      <w:bookmarkStart w:id="148" w:name="_Toc21652"/>
      <w:bookmarkStart w:id="149" w:name="_Toc22822"/>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600" w:lineRule="auto"/>
        <w:jc w:val="both"/>
        <w:rPr>
          <w:rFonts w:hint="eastAsia" w:ascii="仿宋" w:hAnsi="仿宋" w:eastAsia="仿宋" w:cs="仿宋"/>
          <w:b/>
          <w:bCs/>
          <w:color w:val="auto"/>
          <w:sz w:val="28"/>
          <w:szCs w:val="28"/>
          <w:highlight w:val="none"/>
          <w:lang w:val="en-US" w:eastAsia="zh-CN"/>
        </w:rPr>
      </w:pPr>
    </w:p>
    <w:p>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三、开标</w:t>
      </w:r>
      <w:r>
        <w:rPr>
          <w:rFonts w:hint="eastAsia" w:ascii="仿宋" w:hAnsi="仿宋" w:eastAsia="仿宋" w:cs="仿宋"/>
          <w:b/>
          <w:bCs/>
          <w:color w:val="auto"/>
          <w:sz w:val="28"/>
          <w:szCs w:val="28"/>
          <w:highlight w:val="none"/>
        </w:rPr>
        <w:t>一览表</w:t>
      </w:r>
      <w:bookmarkEnd w:id="145"/>
      <w:bookmarkEnd w:id="146"/>
      <w:bookmarkEnd w:id="147"/>
      <w:bookmarkEnd w:id="148"/>
      <w:bookmarkEnd w:id="149"/>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2069"/>
        <w:gridCol w:w="5327"/>
        <w:gridCol w:w="9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7396"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容</w:t>
            </w: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069"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投标人名称</w:t>
            </w:r>
          </w:p>
        </w:tc>
        <w:tc>
          <w:tcPr>
            <w:tcW w:w="53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rPr>
            </w:pP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 xml:space="preserve">投 标 </w:t>
            </w:r>
            <w:r>
              <w:rPr>
                <w:rFonts w:hint="eastAsia" w:ascii="仿宋" w:hAnsi="仿宋" w:eastAsia="仿宋" w:cs="仿宋"/>
                <w:b w:val="0"/>
                <w:bCs/>
                <w:color w:val="auto"/>
                <w:sz w:val="24"/>
                <w:szCs w:val="24"/>
                <w:highlight w:val="none"/>
                <w:lang w:val="en-US" w:eastAsia="zh-CN"/>
              </w:rPr>
              <w:t>总 价</w:t>
            </w:r>
          </w:p>
          <w:p>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 计</w:t>
            </w:r>
          </w:p>
        </w:tc>
        <w:tc>
          <w:tcPr>
            <w:tcW w:w="53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小写：</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元</w:t>
            </w:r>
          </w:p>
          <w:p>
            <w:pPr>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lang w:val="en-US" w:eastAsia="zh-CN"/>
              </w:rPr>
              <w:t xml:space="preserve">                        </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val="0"/>
                <w:bCs/>
                <w:color w:val="auto"/>
                <w:sz w:val="24"/>
                <w:szCs w:val="24"/>
                <w:highlight w:val="none"/>
                <w:u w:val="single"/>
              </w:rPr>
            </w:pPr>
            <w:r>
              <w:rPr>
                <w:rFonts w:hint="eastAsia" w:ascii="仿宋" w:hAnsi="仿宋" w:eastAsia="仿宋" w:cs="仿宋"/>
                <w:sz w:val="24"/>
                <w:szCs w:val="24"/>
                <w:lang w:eastAsia="zh-CN"/>
              </w:rPr>
              <w:t>供货期</w:t>
            </w:r>
          </w:p>
        </w:tc>
        <w:tc>
          <w:tcPr>
            <w:tcW w:w="5327" w:type="dxa"/>
            <w:tcBorders>
              <w:top w:val="single" w:color="auto" w:sz="4" w:space="0"/>
              <w:left w:val="single" w:color="auto" w:sz="4" w:space="0"/>
              <w:bottom w:val="single" w:color="auto" w:sz="4" w:space="0"/>
              <w:right w:val="single" w:color="auto" w:sz="4" w:space="0"/>
            </w:tcBorders>
            <w:noWrap w:val="0"/>
            <w:vAlign w:val="top"/>
          </w:tcPr>
          <w:p>
            <w:pPr>
              <w:spacing w:line="480" w:lineRule="auto"/>
              <w:ind w:firstLine="480" w:firstLineChars="200"/>
              <w:rPr>
                <w:rFonts w:hint="eastAsia" w:ascii="仿宋" w:hAnsi="仿宋" w:eastAsia="仿宋" w:cs="仿宋"/>
                <w:b w:val="0"/>
                <w:bCs/>
                <w:color w:val="auto"/>
                <w:sz w:val="24"/>
                <w:szCs w:val="24"/>
                <w:highlight w:val="none"/>
                <w:u w:val="singl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仿宋" w:hAnsi="仿宋" w:eastAsia="仿宋" w:cs="仿宋"/>
                <w:b w:val="0"/>
                <w:bCs/>
                <w:color w:val="auto"/>
                <w:sz w:val="24"/>
                <w:szCs w:val="24"/>
                <w:highlight w:val="none"/>
                <w:u w:val="none"/>
                <w:lang w:eastAsia="zh-CN"/>
              </w:rPr>
            </w:pPr>
            <w:r>
              <w:rPr>
                <w:rFonts w:hint="eastAsia" w:ascii="仿宋" w:hAnsi="仿宋" w:eastAsia="仿宋" w:cs="仿宋"/>
                <w:sz w:val="24"/>
                <w:szCs w:val="24"/>
                <w:lang w:eastAsia="zh-CN"/>
              </w:rPr>
              <w:t>保质期</w:t>
            </w:r>
          </w:p>
        </w:tc>
        <w:tc>
          <w:tcPr>
            <w:tcW w:w="5327" w:type="dxa"/>
            <w:tcBorders>
              <w:top w:val="single" w:color="auto" w:sz="4" w:space="0"/>
              <w:left w:val="single" w:color="auto" w:sz="4" w:space="0"/>
              <w:bottom w:val="single" w:color="auto" w:sz="4" w:space="0"/>
              <w:right w:val="single" w:color="auto" w:sz="4" w:space="0"/>
            </w:tcBorders>
            <w:noWrap w:val="0"/>
            <w:vAlign w:val="top"/>
          </w:tcPr>
          <w:p>
            <w:pPr>
              <w:spacing w:line="480" w:lineRule="auto"/>
              <w:ind w:firstLine="480" w:firstLineChars="200"/>
              <w:rPr>
                <w:rFonts w:hint="eastAsia" w:ascii="仿宋" w:hAnsi="仿宋" w:eastAsia="仿宋" w:cs="仿宋"/>
                <w:b w:val="0"/>
                <w:bCs/>
                <w:color w:val="auto"/>
                <w:sz w:val="24"/>
                <w:szCs w:val="24"/>
                <w:highlight w:val="none"/>
                <w:u w:val="singl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5</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其他事项申明</w:t>
            </w:r>
          </w:p>
        </w:tc>
        <w:tc>
          <w:tcPr>
            <w:tcW w:w="532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r>
    </w:tbl>
    <w:p>
      <w:pPr>
        <w:spacing w:line="360" w:lineRule="auto"/>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lang w:val="en-US" w:eastAsia="zh-CN"/>
        </w:rPr>
        <w:t>1、报价货币为人民币。</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2、开标一览表中投标总报价大小应写一致，如不一致以大写为准。</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3、各投标企业总投标报价不得高于本项目采购预算价，超过本项目采购预算价的视为无效报价，作否决投标处理。</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4、投标报价必须包含货物、装卸、调试、技术支持、运输、保险、售后服务、培训及其它必需服务的报价。</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5、任何有选择或有条件的投标总价或明细表中某一项填写多个报价，均将导致投标被拒绝。</w:t>
      </w: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bookmarkStart w:id="150" w:name="_Toc21935"/>
      <w:bookmarkStart w:id="151" w:name="_Toc32601"/>
      <w:bookmarkStart w:id="152" w:name="_Toc4683"/>
      <w:bookmarkStart w:id="153" w:name="_Toc12987"/>
      <w:bookmarkStart w:id="154" w:name="_Toc4570"/>
      <w:r>
        <w:rPr>
          <w:rFonts w:hint="eastAsia" w:ascii="仿宋" w:hAnsi="仿宋" w:eastAsia="仿宋" w:cs="仿宋"/>
          <w:color w:val="auto"/>
          <w:sz w:val="24"/>
          <w:szCs w:val="24"/>
          <w:highlight w:val="none"/>
          <w:lang w:val="en-US" w:eastAsia="zh-CN"/>
        </w:rPr>
        <w:t xml:space="preserve">      投标人(单位公章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spacing w:line="360" w:lineRule="auto"/>
        <w:rPr>
          <w:rFonts w:hint="eastAsia" w:ascii="仿宋" w:hAnsi="仿宋" w:eastAsia="仿宋" w:cs="仿宋"/>
          <w:color w:val="auto"/>
          <w:sz w:val="24"/>
          <w:szCs w:val="24"/>
          <w:highlight w:val="none"/>
        </w:rPr>
      </w:pP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rPr>
          <w:rFonts w:hint="eastAsia" w:ascii="仿宋" w:hAnsi="仿宋" w:eastAsia="仿宋" w:cs="仿宋"/>
          <w:color w:val="auto"/>
          <w:sz w:val="24"/>
          <w:szCs w:val="24"/>
          <w:highlight w:val="none"/>
        </w:rPr>
      </w:pPr>
    </w:p>
    <w:p>
      <w:pPr>
        <w:spacing w:line="360" w:lineRule="auto"/>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spacing w:line="360" w:lineRule="auto"/>
        <w:rPr>
          <w:rFonts w:hint="eastAsia" w:ascii="仿宋" w:hAnsi="仿宋" w:eastAsia="仿宋" w:cs="仿宋"/>
          <w:color w:val="auto"/>
          <w:sz w:val="24"/>
          <w:highlight w:val="none"/>
        </w:rPr>
      </w:pPr>
    </w:p>
    <w:p>
      <w:pP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br w:type="page"/>
      </w:r>
    </w:p>
    <w:p>
      <w:pPr>
        <w:pStyle w:val="4"/>
        <w:jc w:val="cente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投标报价明细表</w:t>
      </w:r>
      <w:bookmarkEnd w:id="150"/>
      <w:bookmarkEnd w:id="151"/>
      <w:bookmarkEnd w:id="152"/>
      <w:bookmarkEnd w:id="153"/>
      <w:bookmarkEnd w:id="154"/>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Style w:val="14"/>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项目编号：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金额单位：元    </w:t>
      </w:r>
    </w:p>
    <w:tbl>
      <w:tblPr>
        <w:tblStyle w:val="43"/>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10"/>
        <w:gridCol w:w="1423"/>
        <w:gridCol w:w="954"/>
        <w:gridCol w:w="923"/>
        <w:gridCol w:w="1062"/>
        <w:gridCol w:w="147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1"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1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1423" w:type="dxa"/>
            <w:noWrap w:val="0"/>
            <w:vAlign w:val="center"/>
          </w:tcPr>
          <w:p>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规格及型号</w:t>
            </w:r>
          </w:p>
        </w:tc>
        <w:tc>
          <w:tcPr>
            <w:tcW w:w="954" w:type="dxa"/>
            <w:noWrap w:val="0"/>
            <w:vAlign w:val="center"/>
          </w:tcPr>
          <w:p>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单位</w:t>
            </w:r>
          </w:p>
        </w:tc>
        <w:tc>
          <w:tcPr>
            <w:tcW w:w="923"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062"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单价</w:t>
            </w:r>
          </w:p>
        </w:tc>
        <w:tc>
          <w:tcPr>
            <w:tcW w:w="14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品牌及产地</w:t>
            </w:r>
          </w:p>
        </w:tc>
        <w:tc>
          <w:tcPr>
            <w:tcW w:w="762"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ind w:left="218" w:leftChars="104" w:firstLine="0" w:firstLineChars="0"/>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bl>
    <w:p>
      <w:pPr>
        <w:spacing w:line="360" w:lineRule="auto"/>
        <w:ind w:firstLine="240" w:firstLineChars="100"/>
        <w:rPr>
          <w:rFonts w:hint="eastAsia" w:ascii="仿宋" w:hAnsi="仿宋" w:eastAsia="仿宋" w:cs="仿宋"/>
          <w:sz w:val="24"/>
          <w:szCs w:val="24"/>
        </w:rPr>
      </w:pPr>
      <w:r>
        <w:rPr>
          <w:rFonts w:hint="eastAsia" w:ascii="仿宋" w:hAnsi="仿宋" w:eastAsia="仿宋" w:cs="仿宋"/>
          <w:color w:val="auto"/>
          <w:sz w:val="24"/>
          <w:szCs w:val="24"/>
          <w:highlight w:val="none"/>
        </w:rPr>
        <w:t>（此表可延长）</w:t>
      </w:r>
    </w:p>
    <w:p>
      <w:pPr>
        <w:spacing w:line="360" w:lineRule="auto"/>
        <w:ind w:firstLine="241" w:firstLineChars="1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注：1、合计金额应为各分项价格之和。</w:t>
      </w:r>
    </w:p>
    <w:p>
      <w:pPr>
        <w:spacing w:line="360" w:lineRule="auto"/>
        <w:ind w:firstLine="723" w:firstLineChars="3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2、请各投标人根据投标方案，在本表中详细写明所有产品型号规格、主要技术参数、数量、投标报价、总价及品牌和产地。</w:t>
      </w:r>
    </w:p>
    <w:p>
      <w:pPr>
        <w:spacing w:line="360" w:lineRule="auto"/>
        <w:ind w:firstLine="723" w:firstLineChars="3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3、投标报价必须包含货物、安装、调试、技术支持、运输、保险、售后服务、培训及其它必需服务的报价。若为服务项目，请列明报价构成。</w:t>
      </w:r>
    </w:p>
    <w:p>
      <w:pPr>
        <w:spacing w:line="360" w:lineRule="auto"/>
        <w:ind w:firstLine="4080" w:firstLineChars="1700"/>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bookmarkStart w:id="155" w:name="_Toc329785083"/>
      <w:bookmarkStart w:id="156" w:name="_Toc248313661"/>
      <w:bookmarkStart w:id="157" w:name="_Toc6647"/>
      <w:bookmarkStart w:id="158" w:name="_Toc25282"/>
      <w:bookmarkStart w:id="159" w:name="_Toc22433"/>
      <w:bookmarkStart w:id="160" w:name="_Toc19324"/>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552" w:lineRule="auto"/>
        <w:ind w:firstLine="562" w:firstLineChars="200"/>
        <w:jc w:val="center"/>
        <w:textAlignment w:val="auto"/>
        <w:rPr>
          <w:rFonts w:hint="eastAsia" w:ascii="仿宋" w:hAnsi="仿宋" w:eastAsia="仿宋" w:cs="仿宋"/>
          <w:b/>
          <w:bCs/>
          <w:color w:val="auto"/>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52" w:lineRule="auto"/>
        <w:ind w:firstLine="562" w:firstLineChars="200"/>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四</w:t>
      </w:r>
      <w:r>
        <w:rPr>
          <w:rFonts w:hint="eastAsia" w:ascii="仿宋" w:hAnsi="仿宋" w:eastAsia="仿宋" w:cs="仿宋"/>
          <w:b/>
          <w:bCs/>
          <w:color w:val="auto"/>
          <w:kern w:val="0"/>
          <w:sz w:val="28"/>
          <w:szCs w:val="28"/>
          <w:highlight w:val="none"/>
        </w:rPr>
        <w:t>、法定代表人身份证明、法定代表人授权委托书</w:t>
      </w:r>
    </w:p>
    <w:p>
      <w:pPr>
        <w:tabs>
          <w:tab w:val="left" w:pos="1813"/>
        </w:tabs>
        <w:autoSpaceDE w:val="0"/>
        <w:autoSpaceDN w:val="0"/>
        <w:adjustRightInd w:val="0"/>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（一）法定代表人身份证明</w:t>
      </w:r>
    </w:p>
    <w:p>
      <w:pPr>
        <w:tabs>
          <w:tab w:val="left" w:pos="1813"/>
        </w:tabs>
        <w:autoSpaceDE w:val="0"/>
        <w:autoSpaceDN w:val="0"/>
        <w:adjustRightInd w:val="0"/>
        <w:spacing w:line="240" w:lineRule="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公司法定代表人，代表我公司办理一切社会公务事宜，具有法律效力。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附法定代表人基本情况：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43"/>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粘贴法定代表人身份证复印件（正面）</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粘贴法定代表人身份证复印件（反面）</w:t>
            </w:r>
          </w:p>
        </w:tc>
      </w:tr>
    </w:tbl>
    <w:p>
      <w:pPr>
        <w:shd w:val="clear" w:color="auto" w:fill="FFFFFF"/>
        <w:snapToGrid w:val="0"/>
        <w:spacing w:line="360" w:lineRule="auto"/>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tabs>
          <w:tab w:val="left" w:pos="1813"/>
        </w:tabs>
        <w:autoSpaceDE w:val="0"/>
        <w:autoSpaceDN w:val="0"/>
        <w:adjustRightInd w:val="0"/>
        <w:spacing w:line="240" w:lineRule="auto"/>
        <w:ind w:firstLine="6480" w:firstLineChars="2700"/>
        <w:rPr>
          <w:rFonts w:hint="eastAsia" w:ascii="仿宋" w:hAnsi="仿宋" w:eastAsia="仿宋" w:cs="仿宋"/>
          <w:color w:val="auto"/>
          <w:kern w:val="0"/>
          <w:sz w:val="24"/>
          <w:szCs w:val="24"/>
          <w:highlight w:val="none"/>
        </w:rPr>
      </w:pPr>
    </w:p>
    <w:p>
      <w:pPr>
        <w:tabs>
          <w:tab w:val="left" w:pos="1813"/>
        </w:tabs>
        <w:autoSpaceDE w:val="0"/>
        <w:autoSpaceDN w:val="0"/>
        <w:adjustRightInd w:val="0"/>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lang w:eastAsia="zh-CN"/>
        </w:rPr>
        <w:t>注：正面国徽、反面人像</w:t>
      </w:r>
      <w:r>
        <w:rPr>
          <w:rFonts w:hint="eastAsia" w:ascii="仿宋" w:hAnsi="仿宋" w:eastAsia="仿宋" w:cs="仿宋"/>
          <w:color w:val="auto"/>
          <w:kern w:val="0"/>
          <w:sz w:val="24"/>
          <w:szCs w:val="24"/>
          <w:highlight w:val="none"/>
        </w:rPr>
        <w:t xml:space="preserve">       </w:t>
      </w:r>
    </w:p>
    <w:bookmarkEnd w:id="155"/>
    <w:bookmarkEnd w:id="156"/>
    <w:p>
      <w:pPr>
        <w:numPr>
          <w:ilvl w:val="0"/>
          <w:numId w:val="12"/>
        </w:numPr>
        <w:tabs>
          <w:tab w:val="left" w:pos="1813"/>
        </w:tabs>
        <w:autoSpaceDE w:val="0"/>
        <w:autoSpaceDN w:val="0"/>
        <w:adjustRightInd w:val="0"/>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法定代表人授权委托书</w:t>
      </w:r>
    </w:p>
    <w:p>
      <w:pPr>
        <w:keepNext w:val="0"/>
        <w:keepLines w:val="0"/>
        <w:pageBreakBefore w:val="0"/>
        <w:widowControl w:val="0"/>
        <w:kinsoku/>
        <w:wordWrap/>
        <w:overflowPunct/>
        <w:topLinePunct w:val="0"/>
        <w:bidi w:val="0"/>
        <w:snapToGrid/>
        <w:spacing w:line="39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val="0"/>
        <w:autoSpaceDN w:val="0"/>
        <w:bidi w:val="0"/>
        <w:adjustRightInd w:val="0"/>
        <w:snapToGrid/>
        <w:spacing w:line="396" w:lineRule="auto"/>
        <w:ind w:firstLine="960" w:firstLineChars="4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本授权委托书声明：我系</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（投标人名称）的法定代表人，现授权委托</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（投标人名称）的</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none"/>
          <w:lang w:eastAsia="zh-CN"/>
        </w:rPr>
        <w:t>（授权委托人名称）</w:t>
      </w:r>
      <w:r>
        <w:rPr>
          <w:rFonts w:hint="eastAsia" w:ascii="仿宋" w:hAnsi="仿宋" w:eastAsia="仿宋" w:cs="仿宋"/>
          <w:bCs/>
          <w:kern w:val="0"/>
          <w:sz w:val="24"/>
          <w:szCs w:val="24"/>
        </w:rPr>
        <w:t>为我的代理人，以</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rPr>
        <w:t>（投标人名称）的名义参加招标项目的投标活动。代理人在参加整个招标投标活动所签署的一切文件和处理与之相关的一切事物，我均予承认。</w:t>
      </w:r>
    </w:p>
    <w:p>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代理人：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性别：</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年龄：</w:t>
      </w:r>
      <w:r>
        <w:rPr>
          <w:rFonts w:hint="eastAsia" w:ascii="仿宋" w:hAnsi="仿宋" w:eastAsia="仿宋" w:cs="仿宋"/>
          <w:bCs/>
          <w:kern w:val="0"/>
          <w:sz w:val="24"/>
          <w:szCs w:val="24"/>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rPr>
        <w:t>部  门：</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职务：</w:t>
      </w:r>
      <w:r>
        <w:rPr>
          <w:rFonts w:hint="eastAsia" w:ascii="仿宋" w:hAnsi="仿宋" w:eastAsia="仿宋" w:cs="仿宋"/>
          <w:bCs/>
          <w:kern w:val="0"/>
          <w:sz w:val="24"/>
          <w:szCs w:val="24"/>
          <w:u w:val="single"/>
        </w:rPr>
        <w:t xml:space="preserve">    </w:t>
      </w:r>
    </w:p>
    <w:p>
      <w:pPr>
        <w:keepNext w:val="0"/>
        <w:keepLines w:val="0"/>
        <w:pageBreakBefore w:val="0"/>
        <w:widowControl w:val="0"/>
        <w:kinsoku/>
        <w:wordWrap/>
        <w:overflowPunct/>
        <w:topLinePunct w:val="0"/>
        <w:bidi w:val="0"/>
        <w:snapToGrid/>
        <w:spacing w:line="396" w:lineRule="auto"/>
        <w:ind w:left="1260"/>
        <w:textAlignment w:val="auto"/>
        <w:rPr>
          <w:rFonts w:hint="eastAsia"/>
          <w:sz w:val="20"/>
          <w:szCs w:val="20"/>
        </w:rPr>
      </w:pPr>
      <w:r>
        <w:rPr>
          <w:rFonts w:hint="eastAsia" w:ascii="仿宋" w:hAnsi="仿宋" w:eastAsia="仿宋" w:cs="仿宋"/>
          <w:color w:val="auto"/>
          <w:sz w:val="24"/>
          <w:szCs w:val="24"/>
          <w:highlight w:val="none"/>
          <w:u w:val="none"/>
        </w:rPr>
        <w:t>本授权书自出具之日起生效。</w:t>
      </w:r>
    </w:p>
    <w:tbl>
      <w:tblPr>
        <w:tblStyle w:val="43"/>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center"/>
              <w:rPr>
                <w:rFonts w:hint="eastAsia" w:ascii="仿宋" w:hAnsi="仿宋" w:eastAsia="仿宋" w:cs="仿宋"/>
                <w:sz w:val="24"/>
                <w:szCs w:val="24"/>
              </w:rPr>
            </w:pPr>
          </w:p>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粘贴法定代表人身份证复印件（正面）</w:t>
            </w:r>
          </w:p>
        </w:tc>
        <w:tc>
          <w:tcPr>
            <w:tcW w:w="418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粘贴法定代表人身份证复印件（反面）</w:t>
            </w:r>
          </w:p>
        </w:tc>
      </w:tr>
    </w:tbl>
    <w:p>
      <w:pPr>
        <w:spacing w:line="240" w:lineRule="auto"/>
        <w:ind w:left="1260"/>
        <w:rPr>
          <w:rFonts w:hint="eastAsia" w:ascii="仿宋" w:hAnsi="仿宋" w:eastAsia="仿宋" w:cs="仿宋"/>
          <w:color w:val="auto"/>
          <w:sz w:val="24"/>
          <w:szCs w:val="24"/>
          <w:highlight w:val="none"/>
        </w:rPr>
      </w:pPr>
    </w:p>
    <w:tbl>
      <w:tblPr>
        <w:tblStyle w:val="43"/>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3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center"/>
              <w:rPr>
                <w:rFonts w:hint="eastAsia" w:ascii="仿宋" w:hAnsi="仿宋" w:eastAsia="仿宋" w:cs="仿宋"/>
                <w:sz w:val="24"/>
                <w:szCs w:val="24"/>
              </w:rPr>
            </w:pPr>
          </w:p>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粘贴授权委托人身份证复印件（正面）</w:t>
            </w:r>
          </w:p>
        </w:tc>
        <w:tc>
          <w:tcPr>
            <w:tcW w:w="417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粘贴授权委托人身份证复印件（反面）</w:t>
            </w:r>
          </w:p>
        </w:tc>
      </w:tr>
    </w:tbl>
    <w:p>
      <w:pPr>
        <w:pStyle w:val="20"/>
        <w:spacing w:line="240" w:lineRule="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授权委托人（签字）：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384" w:lineRule="auto"/>
        <w:ind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注：正面国徽、反面人像</w:t>
      </w:r>
    </w:p>
    <w:p>
      <w:pPr>
        <w:jc w:val="center"/>
        <w:rPr>
          <w:rFonts w:hint="eastAsia" w:ascii="仿宋" w:hAnsi="仿宋" w:eastAsia="仿宋" w:cs="仿宋"/>
          <w:b/>
          <w:bCs/>
          <w:color w:val="auto"/>
          <w:kern w:val="2"/>
          <w:sz w:val="28"/>
          <w:szCs w:val="28"/>
          <w:highlight w:val="none"/>
          <w:lang w:val="en-US" w:eastAsia="zh-CN" w:bidi="ar-SA"/>
        </w:rPr>
      </w:pPr>
    </w:p>
    <w:p>
      <w:pPr>
        <w:spacing w:line="72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五、投标保证金汇款凭证</w:t>
      </w:r>
    </w:p>
    <w:p>
      <w:pPr>
        <w:spacing w:line="72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（投标保证金汇款凭证，复印件加盖公章）</w:t>
      </w: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pStyle w:val="20"/>
        <w:tabs>
          <w:tab w:val="left" w:pos="9214"/>
        </w:tabs>
        <w:rPr>
          <w:rFonts w:hint="eastAsia" w:ascii="仿宋" w:hAnsi="仿宋" w:eastAsia="仿宋" w:cs="仿宋"/>
          <w:color w:val="auto"/>
          <w:highlight w:val="none"/>
          <w:lang w:val="en-US" w:eastAsia="zh-CN"/>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bookmarkEnd w:id="157"/>
    <w:bookmarkEnd w:id="158"/>
    <w:bookmarkEnd w:id="159"/>
    <w:bookmarkEnd w:id="160"/>
    <w:p>
      <w:pPr>
        <w:pStyle w:val="4"/>
        <w:jc w:val="center"/>
        <w:rPr>
          <w:rFonts w:hint="eastAsia" w:ascii="仿宋" w:hAnsi="仿宋" w:eastAsia="仿宋" w:cs="仿宋"/>
          <w:color w:val="auto"/>
          <w:sz w:val="28"/>
          <w:highlight w:val="none"/>
        </w:rPr>
      </w:pPr>
      <w:bookmarkStart w:id="161" w:name="_Toc27405"/>
      <w:bookmarkStart w:id="162" w:name="_Toc13218"/>
      <w:bookmarkStart w:id="163" w:name="_Toc14367"/>
      <w:bookmarkStart w:id="164" w:name="_Toc23111"/>
      <w:bookmarkStart w:id="165" w:name="_Toc23139"/>
      <w:r>
        <w:rPr>
          <w:rFonts w:hint="eastAsia" w:ascii="仿宋" w:hAnsi="仿宋" w:eastAsia="仿宋" w:cs="仿宋"/>
          <w:color w:val="auto"/>
          <w:sz w:val="28"/>
          <w:highlight w:val="none"/>
          <w:lang w:val="en-US" w:eastAsia="zh-CN"/>
        </w:rPr>
        <w:t>六、</w:t>
      </w:r>
      <w:r>
        <w:rPr>
          <w:rFonts w:hint="eastAsia" w:ascii="仿宋" w:hAnsi="仿宋" w:eastAsia="仿宋" w:cs="仿宋"/>
          <w:color w:val="auto"/>
          <w:sz w:val="28"/>
          <w:highlight w:val="none"/>
        </w:rPr>
        <w:t>商务条款偏离表</w:t>
      </w:r>
      <w:bookmarkEnd w:id="161"/>
      <w:bookmarkEnd w:id="162"/>
      <w:bookmarkEnd w:id="163"/>
      <w:bookmarkEnd w:id="164"/>
      <w:bookmarkEnd w:id="165"/>
    </w:p>
    <w:p>
      <w:pPr>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43"/>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5"/>
        <w:gridCol w:w="2177"/>
        <w:gridCol w:w="2215"/>
        <w:gridCol w:w="170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0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条目号</w:t>
            </w:r>
          </w:p>
        </w:tc>
        <w:tc>
          <w:tcPr>
            <w:tcW w:w="2177"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w:t>
            </w:r>
          </w:p>
        </w:tc>
        <w:tc>
          <w:tcPr>
            <w:tcW w:w="221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w:t>
            </w:r>
          </w:p>
        </w:tc>
        <w:tc>
          <w:tcPr>
            <w:tcW w:w="170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sz w:val="24"/>
                <w:szCs w:val="24"/>
              </w:rPr>
              <w:t>响应与偏离</w:t>
            </w:r>
          </w:p>
        </w:tc>
        <w:tc>
          <w:tcPr>
            <w:tcW w:w="1179"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：1、应与招标文件要求的实质性条款对应填写，如投标企业填写无偏离或此表空白，则视为完全响应招标文件。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2、本表如填写不完，可以续页。</w:t>
      </w: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360" w:lineRule="auto"/>
        <w:ind w:firstLine="4080" w:firstLineChars="1700"/>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pStyle w:val="20"/>
        <w:tabs>
          <w:tab w:val="left" w:pos="9214"/>
        </w:tabs>
        <w:rPr>
          <w:rFonts w:hint="eastAsia" w:ascii="仿宋" w:hAnsi="仿宋" w:eastAsia="仿宋" w:cs="仿宋"/>
          <w:color w:val="auto"/>
          <w:sz w:val="24"/>
          <w:szCs w:val="24"/>
          <w:highlight w:val="none"/>
        </w:rPr>
      </w:pPr>
    </w:p>
    <w:p>
      <w:pPr>
        <w:pStyle w:val="144"/>
        <w:spacing w:line="240" w:lineRule="auto"/>
        <w:jc w:val="both"/>
        <w:rPr>
          <w:rFonts w:hint="eastAsia" w:ascii="仿宋" w:hAnsi="仿宋" w:eastAsia="仿宋" w:cs="仿宋"/>
          <w:color w:val="auto"/>
          <w:kern w:val="2"/>
          <w:sz w:val="32"/>
          <w:szCs w:val="28"/>
          <w:highlight w:val="none"/>
        </w:rPr>
      </w:pPr>
    </w:p>
    <w:p>
      <w:pPr>
        <w:spacing w:line="360" w:lineRule="auto"/>
        <w:ind w:firstLine="281" w:firstLineChars="100"/>
        <w:jc w:val="center"/>
        <w:rPr>
          <w:rFonts w:hint="eastAsia" w:ascii="仿宋" w:hAnsi="仿宋" w:eastAsia="仿宋" w:cs="仿宋"/>
          <w:color w:val="auto"/>
          <w:sz w:val="28"/>
          <w:szCs w:val="28"/>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bCs/>
          <w:color w:val="auto"/>
          <w:sz w:val="28"/>
          <w:szCs w:val="28"/>
        </w:rPr>
        <w:t>本地化服务一览表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00" w:type="dxa"/>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w:t>
            </w:r>
          </w:p>
        </w:tc>
        <w:tc>
          <w:tcPr>
            <w:tcW w:w="7691" w:type="dxa"/>
            <w:gridSpan w:val="3"/>
            <w:noWrap w:val="0"/>
            <w:vAlign w:val="top"/>
          </w:tcPr>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本地化服务形式</w:t>
            </w:r>
          </w:p>
        </w:tc>
        <w:tc>
          <w:tcPr>
            <w:tcW w:w="7691" w:type="dxa"/>
            <w:gridSpan w:val="3"/>
            <w:noWrap w:val="0"/>
            <w:vAlign w:val="center"/>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在本地具有分支机构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在本地具有固定的合作伙伴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本地化服务地点及联系方式</w:t>
            </w:r>
          </w:p>
        </w:tc>
        <w:tc>
          <w:tcPr>
            <w:tcW w:w="2940" w:type="dxa"/>
            <w:noWrap w:val="0"/>
            <w:vAlign w:val="center"/>
          </w:tcPr>
          <w:p>
            <w:pPr>
              <w:spacing w:line="360" w:lineRule="auto"/>
              <w:ind w:firstLine="480" w:firstLineChars="200"/>
              <w:rPr>
                <w:rFonts w:hint="eastAsia" w:ascii="仿宋" w:hAnsi="仿宋" w:eastAsia="仿宋" w:cs="仿宋"/>
                <w:sz w:val="24"/>
                <w:szCs w:val="24"/>
              </w:rPr>
            </w:pPr>
          </w:p>
        </w:tc>
        <w:tc>
          <w:tcPr>
            <w:tcW w:w="21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负责人及联系方式（附身份证号码）</w:t>
            </w:r>
          </w:p>
        </w:tc>
        <w:tc>
          <w:tcPr>
            <w:tcW w:w="2571" w:type="dxa"/>
            <w:noWrap w:val="0"/>
            <w:vAlign w:val="top"/>
          </w:tcPr>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服务人员名单及联系方式（附身份证号码）：</w:t>
            </w:r>
          </w:p>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其他有关证明文件说明（如营业执照等）：</w:t>
            </w:r>
          </w:p>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备注：1、具有合作伙伴的应填写合作伙伴的相关资料，并提供双方的合作协议以及合作伙伴的营业执照等证明文件。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2、如供应商不能提供本地化服务，可不填报。</w:t>
            </w:r>
          </w:p>
        </w:tc>
      </w:tr>
    </w:tbl>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rPr>
      </w:pPr>
    </w:p>
    <w:p>
      <w:pPr>
        <w:pStyle w:val="20"/>
        <w:rPr>
          <w:rFonts w:hint="eastAsia"/>
        </w:rPr>
      </w:pPr>
    </w:p>
    <w:p>
      <w:pPr>
        <w:rPr>
          <w:rFonts w:hint="eastAsia"/>
        </w:rPr>
      </w:pPr>
    </w:p>
    <w:p>
      <w:pPr>
        <w:pStyle w:val="20"/>
        <w:rPr>
          <w:rFonts w:hint="eastAsia"/>
        </w:rPr>
      </w:pPr>
    </w:p>
    <w:p>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八、近三年业绩及相关证明</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43"/>
        <w:tblW w:w="10620" w:type="dxa"/>
        <w:jc w:val="center"/>
        <w:tblLayout w:type="fixed"/>
        <w:tblCellMar>
          <w:top w:w="0" w:type="dxa"/>
          <w:left w:w="108" w:type="dxa"/>
          <w:bottom w:w="0" w:type="dxa"/>
          <w:right w:w="108" w:type="dxa"/>
        </w:tblCellMar>
      </w:tblPr>
      <w:tblGrid>
        <w:gridCol w:w="708"/>
        <w:gridCol w:w="1596"/>
        <w:gridCol w:w="1700"/>
        <w:gridCol w:w="1615"/>
        <w:gridCol w:w="1258"/>
        <w:gridCol w:w="1823"/>
        <w:gridCol w:w="1200"/>
        <w:gridCol w:w="720"/>
      </w:tblGrid>
      <w:tr>
        <w:tblPrEx>
          <w:tblCellMar>
            <w:top w:w="0" w:type="dxa"/>
            <w:left w:w="108" w:type="dxa"/>
            <w:bottom w:w="0" w:type="dxa"/>
            <w:right w:w="108" w:type="dxa"/>
          </w:tblCellMar>
        </w:tblPrEx>
        <w:trPr>
          <w:trHeight w:val="943"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96"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sz w:val="24"/>
                <w:szCs w:val="24"/>
              </w:rPr>
              <w:t>项目名称</w:t>
            </w:r>
          </w:p>
        </w:tc>
        <w:tc>
          <w:tcPr>
            <w:tcW w:w="1700"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sz w:val="24"/>
                <w:szCs w:val="24"/>
              </w:rPr>
              <w:t>项目单位名称</w:t>
            </w:r>
          </w:p>
        </w:tc>
        <w:tc>
          <w:tcPr>
            <w:tcW w:w="1615"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w:t>
            </w:r>
          </w:p>
        </w:tc>
        <w:tc>
          <w:tcPr>
            <w:tcW w:w="1258"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tc>
        <w:tc>
          <w:tcPr>
            <w:tcW w:w="1823"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项目单位联系人及联系方式</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供货时间</w:t>
            </w:r>
          </w:p>
        </w:tc>
        <w:tc>
          <w:tcPr>
            <w:tcW w:w="720"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553"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以上业绩</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附相关证明材料</w:t>
      </w:r>
      <w:r>
        <w:rPr>
          <w:rFonts w:hint="eastAsia" w:ascii="仿宋" w:hAnsi="仿宋" w:eastAsia="仿宋" w:cs="仿宋"/>
          <w:color w:val="auto"/>
          <w:sz w:val="24"/>
          <w:szCs w:val="24"/>
          <w:highlight w:val="none"/>
          <w:lang w:eastAsia="zh-CN"/>
        </w:rPr>
        <w:t>（具体详见评标标准）</w:t>
      </w:r>
      <w:r>
        <w:rPr>
          <w:rFonts w:hint="eastAsia" w:ascii="仿宋" w:hAnsi="仿宋" w:eastAsia="仿宋" w:cs="仿宋"/>
          <w:color w:val="auto"/>
          <w:sz w:val="24"/>
          <w:szCs w:val="24"/>
          <w:highlight w:val="none"/>
        </w:rPr>
        <w:t>，否则专家在评审时将不予采信；</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2、</w:t>
      </w:r>
      <w:r>
        <w:rPr>
          <w:rFonts w:hint="eastAsia" w:ascii="仿宋" w:hAnsi="仿宋" w:eastAsia="仿宋" w:cs="仿宋"/>
          <w:sz w:val="24"/>
          <w:szCs w:val="24"/>
        </w:rPr>
        <w:t>项目内容请详细说明所承担的具体采购内容；</w:t>
      </w:r>
    </w:p>
    <w:p>
      <w:pPr>
        <w:spacing w:line="360" w:lineRule="auto"/>
        <w:jc w:val="both"/>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360" w:lineRule="auto"/>
        <w:ind w:firstLine="4080" w:firstLineChars="17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4"/>
        <w:numPr>
          <w:ilvl w:val="0"/>
          <w:numId w:val="0"/>
        </w:numPr>
        <w:spacing w:before="156" w:after="156" w:line="440" w:lineRule="exact"/>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九、拟投入的项目组人员表</w:t>
      </w:r>
    </w:p>
    <w:p>
      <w:pPr>
        <w:widowControl/>
        <w:spacing w:line="360" w:lineRule="auto"/>
        <w:ind w:firstLine="470" w:firstLineChars="196"/>
        <w:jc w:val="left"/>
        <w:rPr>
          <w:rFonts w:hint="eastAsia" w:ascii="宋体" w:hAnsi="宋体" w:cs="宋体"/>
          <w:sz w:val="24"/>
          <w:szCs w:val="24"/>
        </w:rPr>
      </w:pPr>
    </w:p>
    <w:p>
      <w:pPr>
        <w:pageBreakBefore w:val="0"/>
        <w:kinsoku/>
        <w:wordWrap/>
        <w:overflowPunct/>
        <w:topLinePunct w:val="0"/>
        <w:bidi w:val="0"/>
        <w:snapToGrid/>
        <w:spacing w:line="240" w:lineRule="auto"/>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投标人名称：          </w:t>
      </w:r>
    </w:p>
    <w:p>
      <w:pPr>
        <w:pageBreakBefore w:val="0"/>
        <w:kinsoku/>
        <w:wordWrap/>
        <w:overflowPunct/>
        <w:topLinePunct w:val="0"/>
        <w:bidi w:val="0"/>
        <w:snapToGrid/>
        <w:spacing w:line="24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p>
    <w:p>
      <w:pPr>
        <w:pageBreakBefore w:val="0"/>
        <w:kinsoku/>
        <w:wordWrap/>
        <w:overflowPunct/>
        <w:topLinePunct w:val="0"/>
        <w:bidi w:val="0"/>
        <w:snapToGrid/>
        <w:spacing w:line="240" w:lineRule="auto"/>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项目名称：                   </w:t>
      </w:r>
    </w:p>
    <w:tbl>
      <w:tblPr>
        <w:tblStyle w:val="43"/>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370"/>
        <w:gridCol w:w="2087"/>
        <w:gridCol w:w="2787"/>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在本项目中担任的工作</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bl>
    <w:p>
      <w:pPr>
        <w:numPr>
          <w:ilvl w:val="0"/>
          <w:numId w:val="0"/>
        </w:numPr>
        <w:spacing w:line="240" w:lineRule="auto"/>
        <w:jc w:val="cente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numPr>
          <w:ilvl w:val="0"/>
          <w:numId w:val="13"/>
        </w:numPr>
        <w:spacing w:line="720" w:lineRule="auto"/>
        <w:jc w:val="center"/>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售后服务承诺书</w:t>
      </w:r>
    </w:p>
    <w:p>
      <w:pPr>
        <w:pStyle w:val="20"/>
        <w:numPr>
          <w:ilvl w:val="0"/>
          <w:numId w:val="0"/>
        </w:numPr>
        <w:rPr>
          <w:rFonts w:hint="eastAsia"/>
          <w:lang w:val="en-US" w:eastAsia="zh-CN"/>
        </w:rPr>
      </w:pPr>
    </w:p>
    <w:p>
      <w:pPr>
        <w:pStyle w:val="59"/>
        <w:numPr>
          <w:ilvl w:val="0"/>
          <w:numId w:val="0"/>
        </w:numPr>
        <w:tabs>
          <w:tab w:val="left" w:pos="540"/>
          <w:tab w:val="left" w:pos="1080"/>
        </w:tabs>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（自行编写，具体详见评标标准，否则专家在评审时将不予采信）</w:t>
      </w:r>
    </w:p>
    <w:p>
      <w:pPr>
        <w:pStyle w:val="59"/>
        <w:numPr>
          <w:ilvl w:val="0"/>
          <w:numId w:val="0"/>
        </w:numPr>
        <w:tabs>
          <w:tab w:val="left" w:pos="540"/>
          <w:tab w:val="left" w:pos="1080"/>
        </w:tabs>
        <w:jc w:val="center"/>
        <w:rPr>
          <w:rFonts w:hint="eastAsia" w:ascii="仿宋" w:hAnsi="仿宋" w:eastAsia="仿宋" w:cs="仿宋"/>
          <w:b/>
          <w:bCs/>
          <w:color w:val="auto"/>
          <w:sz w:val="24"/>
          <w:szCs w:val="24"/>
          <w:highlight w:val="none"/>
          <w:lang w:val="en-US" w:eastAsia="zh-CN"/>
        </w:rPr>
      </w:pPr>
    </w:p>
    <w:p>
      <w:pPr>
        <w:pStyle w:val="59"/>
        <w:numPr>
          <w:ilvl w:val="0"/>
          <w:numId w:val="0"/>
        </w:numPr>
        <w:tabs>
          <w:tab w:val="left" w:pos="540"/>
          <w:tab w:val="left" w:pos="1080"/>
        </w:tabs>
        <w:jc w:val="both"/>
        <w:rPr>
          <w:rFonts w:hint="eastAsia" w:ascii="仿宋" w:hAnsi="仿宋" w:eastAsia="仿宋" w:cs="仿宋"/>
          <w:b/>
          <w:bCs/>
          <w:color w:val="auto"/>
          <w:sz w:val="24"/>
          <w:szCs w:val="24"/>
          <w:highlight w:val="none"/>
        </w:rPr>
      </w:pPr>
    </w:p>
    <w:p>
      <w:pPr>
        <w:spacing w:line="360" w:lineRule="auto"/>
        <w:ind w:firstLine="480" w:firstLineChars="200"/>
        <w:rPr>
          <w:rFonts w:hint="eastAsia" w:ascii="仿宋" w:hAnsi="仿宋" w:eastAsia="仿宋" w:cs="仿宋"/>
          <w:color w:val="auto"/>
          <w:sz w:val="24"/>
          <w:highlight w:val="none"/>
        </w:rPr>
      </w:pPr>
    </w:p>
    <w:p>
      <w:pPr>
        <w:pStyle w:val="41"/>
        <w:rPr>
          <w:rFonts w:hint="eastAsia" w:ascii="仿宋" w:hAnsi="仿宋" w:eastAsia="仿宋" w:cs="仿宋"/>
          <w:color w:val="auto"/>
          <w:highlight w:val="none"/>
        </w:rPr>
      </w:pPr>
    </w:p>
    <w:p>
      <w:pPr>
        <w:pStyle w:val="41"/>
        <w:rPr>
          <w:rFonts w:hint="eastAsia" w:ascii="仿宋" w:hAnsi="仿宋" w:eastAsia="仿宋" w:cs="仿宋"/>
          <w:color w:val="auto"/>
          <w:highlight w:val="none"/>
        </w:rPr>
      </w:pPr>
    </w:p>
    <w:p>
      <w:pPr>
        <w:pStyle w:val="41"/>
        <w:rPr>
          <w:rFonts w:hint="eastAsia" w:ascii="仿宋" w:hAnsi="仿宋" w:eastAsia="仿宋" w:cs="仿宋"/>
          <w:color w:val="auto"/>
          <w:highlight w:val="none"/>
        </w:rPr>
      </w:pPr>
    </w:p>
    <w:p>
      <w:pPr>
        <w:pStyle w:val="41"/>
        <w:rPr>
          <w:rFonts w:hint="eastAsia" w:ascii="仿宋" w:hAnsi="仿宋" w:eastAsia="仿宋" w:cs="仿宋"/>
          <w:color w:val="auto"/>
          <w:highlight w:val="none"/>
        </w:rPr>
      </w:pPr>
    </w:p>
    <w:p>
      <w:pPr>
        <w:spacing w:line="400" w:lineRule="exact"/>
        <w:jc w:val="both"/>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sectPr>
          <w:headerReference r:id="rId3" w:type="default"/>
          <w:footerReference r:id="rId4" w:type="default"/>
          <w:pgSz w:w="11905" w:h="16838"/>
          <w:pgMar w:top="1140" w:right="1202" w:bottom="1162" w:left="1219" w:header="851" w:footer="992" w:gutter="0"/>
          <w:cols w:space="720" w:num="1"/>
          <w:docGrid w:type="lines" w:linePitch="316" w:charSpace="0"/>
        </w:sectPr>
      </w:pPr>
    </w:p>
    <w:p>
      <w:pPr>
        <w:pStyle w:val="5"/>
        <w:spacing w:line="48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lang w:val="en-US" w:eastAsia="zh-CN"/>
        </w:rPr>
        <w:t>十一</w:t>
      </w:r>
      <w:bookmarkEnd w:id="144"/>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符合《政府采购法》第二十二条规定的条件</w:t>
      </w:r>
    </w:p>
    <w:p>
      <w:pPr>
        <w:numPr>
          <w:ilvl w:val="0"/>
          <w:numId w:val="0"/>
        </w:numPr>
        <w:spacing w:line="480" w:lineRule="auto"/>
        <w:ind w:firstLine="480" w:firstLineChars="200"/>
        <w:rPr>
          <w:rFonts w:hint="eastAsia" w:ascii="仿宋" w:hAnsi="仿宋" w:eastAsia="仿宋" w:cs="仿宋"/>
          <w:color w:val="auto"/>
          <w:sz w:val="24"/>
          <w:szCs w:val="24"/>
          <w:highlight w:val="none"/>
        </w:rPr>
      </w:pPr>
      <w:bookmarkStart w:id="166" w:name="_Toc5144"/>
      <w:bookmarkStart w:id="167" w:name="_Toc6014"/>
      <w:bookmarkStart w:id="168" w:name="_Toc26467"/>
      <w:bookmarkStart w:id="169" w:name="_Toc3862"/>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具有独立承担民事责任的能力</w:t>
      </w:r>
      <w:r>
        <w:rPr>
          <w:rFonts w:hint="eastAsia" w:ascii="仿宋" w:hAnsi="仿宋" w:eastAsia="仿宋" w:cs="仿宋"/>
          <w:color w:val="auto"/>
          <w:kern w:val="0"/>
          <w:sz w:val="24"/>
          <w:szCs w:val="24"/>
          <w:highlight w:val="none"/>
          <w:lang w:val="en-US" w:eastAsia="zh-CN"/>
        </w:rPr>
        <w:t>（注：提供有效经年检合格的“三证合一”营业执照）</w:t>
      </w:r>
    </w:p>
    <w:p>
      <w:pPr>
        <w:numPr>
          <w:ilvl w:val="0"/>
          <w:numId w:val="0"/>
        </w:numPr>
        <w:spacing w:line="48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val="en-US" w:eastAsia="zh-CN"/>
        </w:rPr>
        <w:t>（注：提供2022年度第三方审计机构出具的财务审计报告(会计周期不满一年的提供近三个月银行出具的资信证明,近三个月是指2023年1月-3月）和健全的财务会计制度）</w:t>
      </w:r>
    </w:p>
    <w:p>
      <w:pPr>
        <w:numPr>
          <w:ilvl w:val="0"/>
          <w:numId w:val="0"/>
        </w:numPr>
        <w:spacing w:line="480" w:lineRule="auto"/>
        <w:ind w:leftChars="0"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有依法缴纳税收</w:t>
      </w:r>
      <w:r>
        <w:rPr>
          <w:rFonts w:hint="eastAsia" w:ascii="仿宋" w:hAnsi="仿宋" w:eastAsia="仿宋" w:cs="仿宋"/>
          <w:color w:val="auto"/>
          <w:sz w:val="24"/>
          <w:szCs w:val="24"/>
          <w:highlight w:val="none"/>
          <w:lang w:val="en-US" w:eastAsia="zh-CN"/>
        </w:rPr>
        <w:t>的良好记录</w:t>
      </w:r>
      <w:r>
        <w:rPr>
          <w:rFonts w:hint="eastAsia" w:ascii="仿宋" w:hAnsi="仿宋" w:eastAsia="仿宋" w:cs="仿宋"/>
          <w:color w:val="auto"/>
          <w:kern w:val="0"/>
          <w:sz w:val="24"/>
          <w:szCs w:val="24"/>
          <w:highlight w:val="none"/>
          <w:lang w:val="en-US" w:eastAsia="zh-CN"/>
        </w:rPr>
        <w:t>（注：提供税务部门出具近三个月（近三个月是指2023年1月-3月）依法缴纳税收的完税证明或报税材料（需含增值税、印花税等税种），新成立公司按实际发生提供税务机关出具的无欠税证明）</w:t>
      </w:r>
    </w:p>
    <w:p>
      <w:pPr>
        <w:pStyle w:val="20"/>
        <w:spacing w:line="48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四）有社会保障资金的良好记录</w:t>
      </w:r>
      <w:r>
        <w:rPr>
          <w:rFonts w:hint="eastAsia" w:ascii="仿宋" w:hAnsi="仿宋" w:eastAsia="仿宋" w:cs="仿宋"/>
          <w:color w:val="auto"/>
          <w:kern w:val="0"/>
          <w:sz w:val="24"/>
          <w:szCs w:val="24"/>
          <w:highlight w:val="none"/>
          <w:lang w:val="en-US" w:eastAsia="zh-CN"/>
        </w:rPr>
        <w:t>（注：提供本单位缴纳的近三个月（近三个月是指2023年1月-3月）社保缴纳证明（社保缴费凭证，新成立不足三个月的公司以实际发生</w:t>
      </w:r>
      <w:r>
        <w:rPr>
          <w:rFonts w:hint="eastAsia" w:ascii="仿宋" w:hAnsi="仿宋" w:eastAsia="仿宋" w:cs="仿宋"/>
          <w:color w:val="auto"/>
          <w:sz w:val="24"/>
          <w:szCs w:val="24"/>
          <w:highlight w:val="none"/>
          <w:lang w:val="en-US" w:eastAsia="zh-CN"/>
        </w:rPr>
        <w:t>的为准）</w:t>
      </w:r>
    </w:p>
    <w:p>
      <w:pPr>
        <w:pStyle w:val="20"/>
        <w:spacing w:line="48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（五）投标保证金（投标保证金汇款凭证，复印件加盖公章）</w:t>
      </w:r>
    </w:p>
    <w:p>
      <w:pPr>
        <w:pStyle w:val="20"/>
        <w:spacing w:line="48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投标人为生产厂家的提供《农药登记证》、《农药标准证》、《农药生产许可证或者农药生产批准文件》原件；投标人为经销商的提供《农药经营许可证》原件和生产厂家的《农药登记证》、《农药标准证》、《农药生产许可证或者农药生产批准文件》原件或复印件</w:t>
      </w:r>
    </w:p>
    <w:p>
      <w:pPr>
        <w:pStyle w:val="20"/>
        <w:spacing w:line="48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（七）提供农药包装废弃物回收处理承诺书原件</w:t>
      </w:r>
    </w:p>
    <w:p>
      <w:pPr>
        <w:pStyle w:val="20"/>
        <w:spacing w:line="48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bookmarkEnd w:id="166"/>
    <w:bookmarkEnd w:id="167"/>
    <w:bookmarkEnd w:id="168"/>
    <w:bookmarkEnd w:id="169"/>
    <w:p>
      <w:pPr>
        <w:pStyle w:val="22"/>
        <w:numPr>
          <w:ilvl w:val="0"/>
          <w:numId w:val="0"/>
        </w:numPr>
        <w:spacing w:line="360" w:lineRule="auto"/>
        <w:ind w:leftChars="222"/>
        <w:jc w:val="center"/>
        <w:rPr>
          <w:rStyle w:val="142"/>
          <w:rFonts w:hint="eastAsia" w:ascii="仿宋" w:hAnsi="仿宋" w:eastAsia="仿宋" w:cs="仿宋"/>
          <w:bCs w:val="0"/>
          <w:color w:val="auto"/>
          <w:sz w:val="28"/>
          <w:szCs w:val="28"/>
          <w:highlight w:val="none"/>
        </w:rPr>
      </w:pPr>
      <w:r>
        <w:rPr>
          <w:rStyle w:val="142"/>
          <w:rFonts w:hint="eastAsia" w:ascii="仿宋" w:hAnsi="仿宋" w:eastAsia="仿宋" w:cs="仿宋"/>
          <w:bCs w:val="0"/>
          <w:color w:val="auto"/>
          <w:sz w:val="28"/>
          <w:szCs w:val="28"/>
          <w:highlight w:val="none"/>
          <w:lang w:eastAsia="zh-CN"/>
        </w:rPr>
        <w:t>十二、</w:t>
      </w:r>
      <w:r>
        <w:rPr>
          <w:rStyle w:val="142"/>
          <w:rFonts w:hint="eastAsia" w:ascii="仿宋" w:hAnsi="仿宋" w:eastAsia="仿宋" w:cs="仿宋"/>
          <w:bCs w:val="0"/>
          <w:color w:val="auto"/>
          <w:sz w:val="28"/>
          <w:szCs w:val="28"/>
          <w:highlight w:val="none"/>
        </w:rPr>
        <w:t>投标单位（供应商）承诺书</w:t>
      </w:r>
    </w:p>
    <w:p>
      <w:pPr>
        <w:pStyle w:val="22"/>
        <w:spacing w:line="360" w:lineRule="auto"/>
        <w:ind w:left="46" w:leftChars="22" w:firstLine="562" w:firstLineChars="200"/>
        <w:jc w:val="center"/>
        <w:rPr>
          <w:rFonts w:hint="eastAsia" w:ascii="仿宋" w:hAnsi="仿宋" w:eastAsia="仿宋" w:cs="仿宋"/>
          <w:color w:val="000000"/>
          <w:sz w:val="28"/>
          <w:szCs w:val="28"/>
        </w:rPr>
      </w:pPr>
      <w:bookmarkStart w:id="170" w:name="_Toc29266"/>
      <w:bookmarkStart w:id="171" w:name="_Toc8968"/>
      <w:bookmarkStart w:id="172" w:name="_Toc15248"/>
      <w:bookmarkStart w:id="173" w:name="_Toc5662"/>
      <w:r>
        <w:rPr>
          <w:rFonts w:hint="eastAsia" w:ascii="仿宋" w:hAnsi="仿宋" w:eastAsia="仿宋" w:cs="仿宋"/>
          <w:b/>
          <w:bCs/>
          <w:color w:val="000000"/>
          <w:sz w:val="28"/>
          <w:szCs w:val="28"/>
        </w:rPr>
        <w:t>承诺书（1）</w:t>
      </w:r>
    </w:p>
    <w:p>
      <w:pPr>
        <w:pStyle w:val="22"/>
        <w:keepNext w:val="0"/>
        <w:keepLines w:val="0"/>
        <w:pageBreakBefore w:val="0"/>
        <w:widowControl w:val="0"/>
        <w:kinsoku/>
        <w:wordWrap/>
        <w:overflowPunct/>
        <w:topLinePunct w:val="0"/>
        <w:autoSpaceDE/>
        <w:autoSpaceDN/>
        <w:bidi w:val="0"/>
        <w:adjustRightInd/>
        <w:snapToGrid/>
        <w:spacing w:line="432" w:lineRule="auto"/>
        <w:ind w:left="46" w:leftChars="22"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我公司承诺在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（项目编号、项目名称）</w:t>
      </w:r>
      <w:r>
        <w:rPr>
          <w:rFonts w:hint="eastAsia" w:ascii="仿宋" w:hAnsi="仿宋" w:eastAsia="仿宋" w:cs="仿宋"/>
          <w:color w:val="00000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22"/>
        <w:spacing w:line="480" w:lineRule="auto"/>
        <w:ind w:left="46" w:leftChars="22" w:firstLine="480" w:firstLineChars="200"/>
        <w:rPr>
          <w:rFonts w:hint="eastAsia" w:ascii="仿宋" w:hAnsi="仿宋" w:eastAsia="仿宋" w:cs="仿宋"/>
          <w:color w:val="000000"/>
          <w:sz w:val="24"/>
          <w:szCs w:val="24"/>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22"/>
        <w:spacing w:line="360" w:lineRule="auto"/>
        <w:ind w:left="0" w:leftChars="0" w:firstLine="0" w:firstLineChars="0"/>
        <w:jc w:val="both"/>
        <w:rPr>
          <w:rFonts w:hint="eastAsia" w:ascii="仿宋" w:hAnsi="仿宋" w:eastAsia="仿宋" w:cs="仿宋"/>
          <w:color w:val="000000"/>
          <w:sz w:val="28"/>
          <w:szCs w:val="28"/>
        </w:rPr>
      </w:pPr>
    </w:p>
    <w:p>
      <w:pPr>
        <w:pStyle w:val="22"/>
        <w:spacing w:line="240" w:lineRule="auto"/>
        <w:ind w:left="46" w:leftChars="22" w:firstLine="560" w:firstLineChars="200"/>
        <w:jc w:val="both"/>
        <w:rPr>
          <w:rFonts w:hint="eastAsia" w:ascii="仿宋" w:hAnsi="仿宋" w:eastAsia="仿宋" w:cs="仿宋"/>
          <w:color w:val="000000"/>
          <w:sz w:val="28"/>
          <w:szCs w:val="28"/>
        </w:rPr>
      </w:pPr>
    </w:p>
    <w:p>
      <w:pPr>
        <w:pStyle w:val="22"/>
        <w:spacing w:line="360" w:lineRule="auto"/>
        <w:ind w:left="46" w:leftChars="22" w:firstLine="562" w:firstLineChars="200"/>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承诺书（2）</w:t>
      </w:r>
    </w:p>
    <w:p>
      <w:pPr>
        <w:pStyle w:val="22"/>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我公司承诺在参加本次</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（项目编号、项目名称）</w:t>
      </w:r>
      <w:r>
        <w:rPr>
          <w:rFonts w:hint="eastAsia" w:ascii="仿宋" w:hAnsi="仿宋" w:eastAsia="仿宋" w:cs="仿宋"/>
          <w:color w:val="000000"/>
          <w:sz w:val="24"/>
          <w:szCs w:val="24"/>
        </w:rPr>
        <w:t xml:space="preserve">投标前三年内，无以下行为： </w:t>
      </w:r>
    </w:p>
    <w:p>
      <w:pPr>
        <w:pStyle w:val="22"/>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重大违法行为；</w:t>
      </w:r>
    </w:p>
    <w:p>
      <w:pPr>
        <w:pStyle w:val="22"/>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商业贿赂行为；</w:t>
      </w:r>
    </w:p>
    <w:p>
      <w:pPr>
        <w:pStyle w:val="22"/>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政府采购法《第七十七条》，列入不良行为记录名单的各种行为；</w:t>
      </w:r>
    </w:p>
    <w:p>
      <w:pPr>
        <w:pStyle w:val="22"/>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如有上述行为，我公司及项目参与人员自愿放弃本次项目的投标、报价资格，若为预中标、成交人，也自愿放弃中标、成交资格。</w:t>
      </w:r>
    </w:p>
    <w:p>
      <w:pPr>
        <w:pStyle w:val="22"/>
        <w:spacing w:line="480" w:lineRule="auto"/>
        <w:ind w:left="46" w:leftChars="22" w:firstLine="480" w:firstLineChars="200"/>
        <w:rPr>
          <w:rFonts w:hint="eastAsia" w:ascii="仿宋" w:hAnsi="仿宋" w:eastAsia="仿宋" w:cs="仿宋"/>
          <w:color w:val="000000"/>
          <w:sz w:val="24"/>
          <w:szCs w:val="24"/>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34"/>
        <w:spacing w:before="120" w:line="360" w:lineRule="auto"/>
        <w:jc w:val="center"/>
        <w:rPr>
          <w:rStyle w:val="142"/>
          <w:rFonts w:hint="eastAsia" w:ascii="仿宋" w:hAnsi="仿宋" w:eastAsia="仿宋" w:cs="仿宋"/>
          <w:bCs w:val="0"/>
          <w:color w:val="auto"/>
          <w:kern w:val="2"/>
          <w:sz w:val="28"/>
          <w:szCs w:val="28"/>
          <w:highlight w:val="none"/>
          <w:lang w:val="en-US" w:eastAsia="zh-CN" w:bidi="ar-SA"/>
        </w:rPr>
      </w:pPr>
      <w:r>
        <w:rPr>
          <w:rStyle w:val="142"/>
          <w:rFonts w:hint="eastAsia" w:ascii="仿宋" w:hAnsi="仿宋" w:eastAsia="仿宋" w:cs="仿宋"/>
          <w:bCs w:val="0"/>
          <w:color w:val="auto"/>
          <w:kern w:val="2"/>
          <w:sz w:val="28"/>
          <w:szCs w:val="28"/>
          <w:highlight w:val="none"/>
          <w:lang w:val="en-US" w:eastAsia="zh-CN" w:bidi="ar-SA"/>
        </w:rPr>
        <w:t>十三、中小企业声明函</w:t>
      </w:r>
      <w:bookmarkEnd w:id="170"/>
      <w:bookmarkEnd w:id="171"/>
      <w:bookmarkEnd w:id="172"/>
      <w:bookmarkEnd w:id="173"/>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center"/>
        <w:textAlignment w:val="auto"/>
        <w:outlineLvl w:val="0"/>
        <w:rPr>
          <w:rStyle w:val="131"/>
          <w:rFonts w:hint="eastAsia" w:ascii="仿宋" w:hAnsi="仿宋" w:eastAsia="仿宋" w:cs="仿宋"/>
          <w:b/>
          <w:bCs/>
          <w:color w:val="auto"/>
          <w:sz w:val="24"/>
          <w:szCs w:val="24"/>
          <w:highlight w:val="none"/>
          <w:lang w:val="zh-CN" w:eastAsia="zh-CN"/>
        </w:rPr>
      </w:pPr>
      <w:r>
        <w:rPr>
          <w:rStyle w:val="131"/>
          <w:rFonts w:hint="eastAsia" w:ascii="仿宋" w:hAnsi="仿宋" w:eastAsia="仿宋" w:cs="仿宋"/>
          <w:b/>
          <w:bCs/>
          <w:color w:val="auto"/>
          <w:sz w:val="24"/>
          <w:szCs w:val="24"/>
          <w:highlight w:val="none"/>
          <w:lang w:val="zh-CN" w:eastAsia="zh-CN"/>
        </w:rPr>
        <w:t>中小企业声明函（货物)</w:t>
      </w:r>
    </w:p>
    <w:p>
      <w:pPr>
        <w:pStyle w:val="20"/>
        <w:spacing w:line="360" w:lineRule="auto"/>
        <w:ind w:right="295" w:firstLine="969" w:firstLineChars="404"/>
        <w:jc w:val="both"/>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本公司（联合体）郑重声明，根据《政府采购促进中小企业发展管理办法》（财库〔2020〕[2020]46号）的规定，本公司（联合体）参加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（单位名称）的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（项目名称）采购活动，提供的货物全部由符合政策要求的中小企业制造。相关企业（含联合体中的中小企业、签订分包意向协议的中小企业）的具体情况如下：</w:t>
      </w:r>
    </w:p>
    <w:p>
      <w:pPr>
        <w:pStyle w:val="91"/>
        <w:numPr>
          <w:ilvl w:val="0"/>
          <w:numId w:val="0"/>
        </w:numPr>
        <w:tabs>
          <w:tab w:val="left" w:pos="1243"/>
        </w:tabs>
        <w:spacing w:before="0" w:after="0" w:line="360" w:lineRule="auto"/>
        <w:ind w:right="0" w:rightChars="0" w:firstLine="480" w:firstLineChars="200"/>
        <w:jc w:val="both"/>
        <w:rPr>
          <w:rFonts w:hint="eastAsia" w:ascii="仿宋" w:hAnsi="仿宋" w:eastAsia="仿宋" w:cs="仿宋"/>
          <w:sz w:val="24"/>
          <w:szCs w:val="24"/>
          <w:u w:val="single" w:color="000000"/>
          <w:lang w:val="zh-CN" w:eastAsia="zh-CN" w:bidi="zh-CN"/>
        </w:rPr>
      </w:pPr>
      <w:r>
        <w:rPr>
          <w:rFonts w:hint="eastAsia" w:ascii="仿宋" w:hAnsi="仿宋" w:eastAsia="仿宋" w:cs="仿宋"/>
          <w:sz w:val="24"/>
          <w:szCs w:val="24"/>
          <w:u w:val="single"/>
          <w:lang w:val="en-US" w:eastAsia="zh-CN" w:bidi="zh-CN"/>
        </w:rPr>
        <w:t>1.</w:t>
      </w:r>
      <w:r>
        <w:rPr>
          <w:rFonts w:hint="eastAsia" w:ascii="仿宋" w:hAnsi="仿宋" w:eastAsia="仿宋" w:cs="仿宋"/>
          <w:sz w:val="24"/>
          <w:szCs w:val="24"/>
          <w:u w:val="single"/>
          <w:lang w:val="zh-CN" w:eastAsia="zh-CN" w:bidi="zh-CN"/>
        </w:rPr>
        <w:t>（标的名称）</w:t>
      </w:r>
      <w:r>
        <w:rPr>
          <w:rFonts w:hint="eastAsia" w:ascii="仿宋" w:hAnsi="仿宋" w:eastAsia="仿宋" w:cs="仿宋"/>
          <w:spacing w:val="-60"/>
          <w:w w:val="99"/>
          <w:sz w:val="24"/>
          <w:szCs w:val="24"/>
          <w:u w:val="none"/>
        </w:rPr>
        <w:t>，</w:t>
      </w:r>
      <w:r>
        <w:rPr>
          <w:rFonts w:hint="eastAsia" w:ascii="仿宋" w:hAnsi="仿宋" w:eastAsia="仿宋" w:cs="仿宋"/>
          <w:kern w:val="2"/>
          <w:sz w:val="24"/>
          <w:szCs w:val="24"/>
          <w:lang w:val="en-US" w:eastAsia="zh-CN" w:bidi="ar-SA"/>
        </w:rPr>
        <w:t>属于</w:t>
      </w:r>
      <w:r>
        <w:rPr>
          <w:rFonts w:hint="eastAsia" w:ascii="仿宋" w:hAnsi="仿宋" w:eastAsia="仿宋" w:cs="仿宋"/>
          <w:b/>
          <w:bCs/>
          <w:kern w:val="2"/>
          <w:sz w:val="24"/>
          <w:szCs w:val="24"/>
          <w:u w:val="single"/>
          <w:lang w:val="en-US" w:eastAsia="zh-CN" w:bidi="ar-SA"/>
        </w:rPr>
        <w:t>（</w:t>
      </w:r>
      <w:r>
        <w:rPr>
          <w:rFonts w:hint="eastAsia" w:ascii="仿宋" w:hAnsi="仿宋" w:eastAsia="仿宋" w:cs="仿宋"/>
          <w:b/>
          <w:bCs/>
          <w:sz w:val="24"/>
          <w:szCs w:val="24"/>
          <w:u w:val="single" w:color="000000"/>
          <w:lang w:val="zh-CN" w:eastAsia="zh-CN" w:bidi="zh-CN"/>
        </w:rPr>
        <w:t>批发业</w:t>
      </w:r>
      <w:r>
        <w:rPr>
          <w:rFonts w:hint="eastAsia" w:ascii="仿宋" w:hAnsi="仿宋" w:eastAsia="仿宋" w:cs="仿宋"/>
          <w:b/>
          <w:bCs/>
          <w:kern w:val="2"/>
          <w:sz w:val="24"/>
          <w:szCs w:val="24"/>
          <w:u w:val="single"/>
          <w:lang w:val="zh-CN" w:eastAsia="zh-CN" w:bidi="ar-SA"/>
        </w:rPr>
        <w:t>）</w:t>
      </w:r>
      <w:r>
        <w:rPr>
          <w:rFonts w:hint="eastAsia" w:ascii="仿宋" w:hAnsi="仿宋" w:eastAsia="仿宋" w:cs="仿宋"/>
          <w:sz w:val="24"/>
          <w:szCs w:val="24"/>
          <w:u w:val="single"/>
          <w:lang w:val="zh-CN" w:eastAsia="zh-CN" w:bidi="zh-CN"/>
        </w:rPr>
        <w:t>；</w:t>
      </w:r>
      <w:r>
        <w:rPr>
          <w:rFonts w:hint="eastAsia" w:ascii="仿宋" w:hAnsi="仿宋" w:eastAsia="仿宋" w:cs="仿宋"/>
          <w:spacing w:val="7"/>
          <w:w w:val="99"/>
          <w:sz w:val="24"/>
          <w:szCs w:val="24"/>
          <w:lang w:eastAsia="zh-CN"/>
        </w:rPr>
        <w:t>制造商</w:t>
      </w:r>
      <w:r>
        <w:rPr>
          <w:rFonts w:hint="eastAsia" w:ascii="仿宋" w:hAnsi="仿宋" w:eastAsia="仿宋" w:cs="仿宋"/>
          <w:spacing w:val="-10"/>
          <w:w w:val="99"/>
          <w:sz w:val="24"/>
          <w:szCs w:val="24"/>
        </w:rPr>
        <w:t>为</w:t>
      </w:r>
      <w:r>
        <w:rPr>
          <w:rFonts w:hint="eastAsia" w:ascii="仿宋" w:hAnsi="仿宋" w:eastAsia="仿宋" w:cs="仿宋"/>
          <w:sz w:val="24"/>
          <w:szCs w:val="24"/>
          <w:u w:val="single" w:color="000000"/>
          <w:lang w:val="zh-CN" w:eastAsia="zh-CN" w:bidi="zh-CN"/>
        </w:rPr>
        <w:t>（企业名称），</w:t>
      </w:r>
      <w:r>
        <w:rPr>
          <w:rFonts w:hint="eastAsia" w:ascii="仿宋" w:hAnsi="仿宋" w:eastAsia="仿宋" w:cs="仿宋"/>
          <w:spacing w:val="5"/>
          <w:w w:val="99"/>
          <w:sz w:val="24"/>
          <w:szCs w:val="24"/>
        </w:rPr>
        <w:t>从</w:t>
      </w:r>
      <w:r>
        <w:rPr>
          <w:rFonts w:hint="eastAsia" w:ascii="仿宋" w:hAnsi="仿宋" w:eastAsia="仿宋" w:cs="仿宋"/>
          <w:spacing w:val="7"/>
          <w:w w:val="99"/>
          <w:sz w:val="24"/>
          <w:szCs w:val="24"/>
        </w:rPr>
        <w:t>业</w:t>
      </w:r>
      <w:r>
        <w:rPr>
          <w:rFonts w:hint="eastAsia" w:ascii="仿宋" w:hAnsi="仿宋" w:eastAsia="仿宋" w:cs="仿宋"/>
          <w:spacing w:val="5"/>
          <w:w w:val="99"/>
          <w:sz w:val="24"/>
          <w:szCs w:val="24"/>
        </w:rPr>
        <w:t>人</w:t>
      </w:r>
      <w:r>
        <w:rPr>
          <w:rFonts w:hint="eastAsia" w:ascii="仿宋" w:hAnsi="仿宋" w:eastAsia="仿宋" w:cs="仿宋"/>
          <w:spacing w:val="7"/>
          <w:w w:val="99"/>
          <w:sz w:val="24"/>
          <w:szCs w:val="24"/>
        </w:rPr>
        <w:t>员</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pacing w:val="7"/>
          <w:w w:val="99"/>
          <w:sz w:val="24"/>
          <w:szCs w:val="24"/>
        </w:rPr>
        <w:t>人</w:t>
      </w:r>
      <w:r>
        <w:rPr>
          <w:rFonts w:hint="eastAsia" w:ascii="仿宋" w:hAnsi="仿宋" w:eastAsia="仿宋" w:cs="仿宋"/>
          <w:spacing w:val="5"/>
          <w:w w:val="99"/>
          <w:sz w:val="24"/>
          <w:szCs w:val="24"/>
        </w:rPr>
        <w:t>，</w:t>
      </w:r>
      <w:r>
        <w:rPr>
          <w:rFonts w:hint="eastAsia" w:ascii="仿宋" w:hAnsi="仿宋" w:eastAsia="仿宋" w:cs="仿宋"/>
          <w:spacing w:val="7"/>
          <w:w w:val="99"/>
          <w:sz w:val="24"/>
          <w:szCs w:val="24"/>
        </w:rPr>
        <w:t>营</w:t>
      </w:r>
      <w:r>
        <w:rPr>
          <w:rFonts w:hint="eastAsia" w:ascii="仿宋" w:hAnsi="仿宋" w:eastAsia="仿宋" w:cs="仿宋"/>
          <w:w w:val="99"/>
          <w:sz w:val="24"/>
          <w:szCs w:val="24"/>
        </w:rPr>
        <w:t>业</w:t>
      </w:r>
      <w:r>
        <w:rPr>
          <w:rFonts w:hint="eastAsia" w:ascii="仿宋" w:hAnsi="仿宋" w:eastAsia="仿宋" w:cs="仿宋"/>
          <w:sz w:val="24"/>
          <w:szCs w:val="24"/>
        </w:rPr>
        <w:t>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"_bookmark0" </w:instrText>
      </w:r>
      <w:r>
        <w:rPr>
          <w:rFonts w:hint="eastAsia" w:ascii="仿宋" w:hAnsi="仿宋" w:eastAsia="仿宋" w:cs="仿宋"/>
          <w:sz w:val="24"/>
          <w:szCs w:val="24"/>
        </w:rPr>
        <w:fldChar w:fldCharType="separate"/>
      </w:r>
      <w:r>
        <w:rPr>
          <w:rFonts w:hint="eastAsia" w:ascii="仿宋" w:hAnsi="仿宋" w:eastAsia="仿宋" w:cs="仿宋"/>
          <w:position w:val="16"/>
          <w:sz w:val="24"/>
          <w:szCs w:val="24"/>
        </w:rPr>
        <w:t>1</w:t>
      </w:r>
      <w:r>
        <w:rPr>
          <w:rFonts w:hint="eastAsia" w:ascii="仿宋" w:hAnsi="仿宋" w:eastAsia="仿宋" w:cs="仿宋"/>
          <w:position w:val="16"/>
          <w:sz w:val="24"/>
          <w:szCs w:val="24"/>
        </w:rPr>
        <w:fldChar w:fldCharType="end"/>
      </w:r>
      <w:r>
        <w:rPr>
          <w:rFonts w:hint="eastAsia" w:ascii="仿宋" w:hAnsi="仿宋" w:eastAsia="仿宋" w:cs="仿宋"/>
          <w:sz w:val="24"/>
          <w:szCs w:val="24"/>
        </w:rPr>
        <w:t>，属</w:t>
      </w:r>
      <w:r>
        <w:rPr>
          <w:rFonts w:hint="eastAsia" w:ascii="仿宋" w:hAnsi="仿宋" w:eastAsia="仿宋" w:cs="仿宋"/>
          <w:spacing w:val="-15"/>
          <w:sz w:val="24"/>
          <w:szCs w:val="24"/>
        </w:rPr>
        <w:t>于</w:t>
      </w:r>
      <w:r>
        <w:rPr>
          <w:rFonts w:hint="eastAsia" w:ascii="仿宋" w:hAnsi="仿宋" w:eastAsia="仿宋" w:cs="仿宋"/>
          <w:sz w:val="24"/>
          <w:szCs w:val="24"/>
          <w:u w:val="single" w:color="000000"/>
          <w:lang w:val="zh-CN" w:eastAsia="zh-CN" w:bidi="zh-CN"/>
        </w:rPr>
        <w:t>（中型企业、小型企业、微型企业）；</w:t>
      </w:r>
    </w:p>
    <w:p>
      <w:pPr>
        <w:pStyle w:val="91"/>
        <w:numPr>
          <w:ilvl w:val="0"/>
          <w:numId w:val="0"/>
        </w:numPr>
        <w:tabs>
          <w:tab w:val="left" w:pos="1243"/>
          <w:tab w:val="left" w:pos="1806"/>
          <w:tab w:val="left" w:pos="5005"/>
          <w:tab w:val="left" w:pos="7213"/>
        </w:tabs>
        <w:spacing w:before="0" w:after="0" w:line="360" w:lineRule="auto"/>
        <w:ind w:right="138" w:rightChars="0" w:firstLine="480" w:firstLineChars="200"/>
        <w:jc w:val="both"/>
        <w:rPr>
          <w:rFonts w:hint="eastAsia" w:ascii="仿宋" w:hAnsi="仿宋" w:eastAsia="仿宋" w:cs="仿宋"/>
          <w:sz w:val="24"/>
          <w:szCs w:val="24"/>
          <w:u w:val="none"/>
        </w:rPr>
      </w:pPr>
      <w:r>
        <w:rPr>
          <w:rFonts w:hint="eastAsia" w:ascii="仿宋" w:hAnsi="仿宋" w:eastAsia="仿宋" w:cs="仿宋"/>
          <w:sz w:val="24"/>
          <w:szCs w:val="24"/>
          <w:u w:val="single"/>
          <w:lang w:val="en-US" w:eastAsia="zh-CN" w:bidi="zh-CN"/>
        </w:rPr>
        <w:t>2.（</w:t>
      </w:r>
      <w:r>
        <w:rPr>
          <w:rFonts w:hint="eastAsia" w:ascii="仿宋" w:hAnsi="仿宋" w:eastAsia="仿宋" w:cs="仿宋"/>
          <w:sz w:val="24"/>
          <w:szCs w:val="24"/>
          <w:u w:val="single"/>
          <w:lang w:val="zh-CN" w:eastAsia="zh-CN" w:bidi="zh-CN"/>
        </w:rPr>
        <w:t>标的名称）</w:t>
      </w:r>
      <w:r>
        <w:rPr>
          <w:rFonts w:hint="eastAsia" w:ascii="仿宋" w:hAnsi="仿宋" w:eastAsia="仿宋" w:cs="仿宋"/>
          <w:spacing w:val="-84"/>
          <w:w w:val="99"/>
          <w:sz w:val="24"/>
          <w:szCs w:val="24"/>
          <w:u w:val="none"/>
        </w:rPr>
        <w:t>，</w:t>
      </w:r>
      <w:r>
        <w:rPr>
          <w:rFonts w:hint="eastAsia" w:ascii="仿宋" w:hAnsi="仿宋" w:eastAsia="仿宋" w:cs="仿宋"/>
          <w:kern w:val="2"/>
          <w:sz w:val="24"/>
          <w:szCs w:val="24"/>
          <w:lang w:val="en-US" w:eastAsia="zh-CN" w:bidi="ar-SA"/>
        </w:rPr>
        <w:t>属于</w:t>
      </w:r>
      <w:r>
        <w:rPr>
          <w:rFonts w:hint="eastAsia" w:ascii="仿宋" w:hAnsi="仿宋" w:eastAsia="仿宋" w:cs="仿宋"/>
          <w:b/>
          <w:bCs/>
          <w:kern w:val="2"/>
          <w:sz w:val="24"/>
          <w:szCs w:val="24"/>
          <w:u w:val="single"/>
          <w:lang w:val="en-US" w:eastAsia="zh-CN" w:bidi="ar-SA"/>
        </w:rPr>
        <w:t>（</w:t>
      </w:r>
      <w:r>
        <w:rPr>
          <w:rFonts w:hint="eastAsia" w:ascii="仿宋" w:hAnsi="仿宋" w:eastAsia="仿宋" w:cs="仿宋"/>
          <w:b/>
          <w:bCs/>
          <w:sz w:val="24"/>
          <w:szCs w:val="24"/>
          <w:u w:val="single" w:color="000000"/>
          <w:lang w:val="zh-CN" w:eastAsia="zh-CN" w:bidi="zh-CN"/>
        </w:rPr>
        <w:t>批发业</w:t>
      </w:r>
      <w:r>
        <w:rPr>
          <w:rFonts w:hint="eastAsia" w:ascii="仿宋" w:hAnsi="仿宋" w:eastAsia="仿宋" w:cs="仿宋"/>
          <w:b/>
          <w:bCs/>
          <w:kern w:val="2"/>
          <w:sz w:val="24"/>
          <w:szCs w:val="24"/>
          <w:u w:val="single"/>
          <w:lang w:val="zh-CN" w:eastAsia="zh-CN" w:bidi="ar-SA"/>
        </w:rPr>
        <w:t>）</w:t>
      </w:r>
      <w:r>
        <w:rPr>
          <w:rFonts w:hint="eastAsia" w:ascii="仿宋" w:hAnsi="仿宋" w:eastAsia="仿宋" w:cs="仿宋"/>
          <w:sz w:val="24"/>
          <w:szCs w:val="24"/>
          <w:u w:val="single"/>
          <w:lang w:val="zh-CN" w:eastAsia="zh-CN" w:bidi="zh-CN"/>
        </w:rPr>
        <w:t>；</w:t>
      </w:r>
      <w:r>
        <w:rPr>
          <w:rFonts w:hint="eastAsia" w:ascii="仿宋" w:hAnsi="仿宋" w:eastAsia="仿宋" w:cs="仿宋"/>
          <w:spacing w:val="7"/>
          <w:w w:val="99"/>
          <w:sz w:val="24"/>
          <w:szCs w:val="24"/>
          <w:u w:val="none"/>
          <w:lang w:eastAsia="zh-CN"/>
        </w:rPr>
        <w:t>制造商</w:t>
      </w:r>
      <w:r>
        <w:rPr>
          <w:rFonts w:hint="eastAsia" w:ascii="仿宋" w:hAnsi="仿宋" w:eastAsia="仿宋" w:cs="仿宋"/>
          <w:spacing w:val="-10"/>
          <w:w w:val="99"/>
          <w:sz w:val="24"/>
          <w:szCs w:val="24"/>
          <w:u w:val="none"/>
        </w:rPr>
        <w:t>为</w:t>
      </w:r>
      <w:r>
        <w:rPr>
          <w:rFonts w:hint="eastAsia" w:ascii="仿宋" w:hAnsi="仿宋" w:eastAsia="仿宋" w:cs="仿宋"/>
          <w:sz w:val="24"/>
          <w:szCs w:val="24"/>
          <w:u w:val="single" w:color="000000"/>
          <w:lang w:val="zh-CN" w:eastAsia="zh-CN" w:bidi="zh-CN"/>
        </w:rPr>
        <w:t>（企业名称），</w:t>
      </w:r>
      <w:r>
        <w:rPr>
          <w:rFonts w:hint="eastAsia" w:ascii="仿宋" w:hAnsi="仿宋" w:eastAsia="仿宋" w:cs="仿宋"/>
          <w:spacing w:val="5"/>
          <w:w w:val="99"/>
          <w:sz w:val="24"/>
          <w:szCs w:val="24"/>
          <w:u w:val="none"/>
        </w:rPr>
        <w:t>从</w:t>
      </w:r>
      <w:r>
        <w:rPr>
          <w:rFonts w:hint="eastAsia" w:ascii="仿宋" w:hAnsi="仿宋" w:eastAsia="仿宋" w:cs="仿宋"/>
          <w:spacing w:val="7"/>
          <w:w w:val="99"/>
          <w:sz w:val="24"/>
          <w:szCs w:val="24"/>
          <w:u w:val="none"/>
        </w:rPr>
        <w:t>业</w:t>
      </w:r>
      <w:r>
        <w:rPr>
          <w:rFonts w:hint="eastAsia" w:ascii="仿宋" w:hAnsi="仿宋" w:eastAsia="仿宋" w:cs="仿宋"/>
          <w:spacing w:val="5"/>
          <w:w w:val="99"/>
          <w:sz w:val="24"/>
          <w:szCs w:val="24"/>
          <w:u w:val="none"/>
        </w:rPr>
        <w:t>人</w:t>
      </w:r>
      <w:r>
        <w:rPr>
          <w:rFonts w:hint="eastAsia" w:ascii="仿宋" w:hAnsi="仿宋" w:eastAsia="仿宋" w:cs="仿宋"/>
          <w:spacing w:val="7"/>
          <w:w w:val="99"/>
          <w:sz w:val="24"/>
          <w:szCs w:val="24"/>
          <w:u w:val="none"/>
        </w:rPr>
        <w:t>员</w:t>
      </w:r>
      <w:r>
        <w:rPr>
          <w:rFonts w:hint="eastAsia" w:ascii="仿宋" w:hAnsi="仿宋" w:eastAsia="仿宋" w:cs="仿宋"/>
          <w:w w:val="99"/>
          <w:sz w:val="24"/>
          <w:szCs w:val="24"/>
          <w:u w:val="single"/>
        </w:rPr>
        <w:t xml:space="preserve"> </w:t>
      </w:r>
      <w:r>
        <w:rPr>
          <w:rFonts w:hint="eastAsia" w:ascii="仿宋" w:hAnsi="仿宋" w:eastAsia="仿宋" w:cs="仿宋"/>
          <w:w w:val="99"/>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pacing w:val="7"/>
          <w:w w:val="99"/>
          <w:sz w:val="24"/>
          <w:szCs w:val="24"/>
          <w:u w:val="none"/>
        </w:rPr>
        <w:t>人</w:t>
      </w:r>
      <w:r>
        <w:rPr>
          <w:rFonts w:hint="eastAsia" w:ascii="仿宋" w:hAnsi="仿宋" w:eastAsia="仿宋" w:cs="仿宋"/>
          <w:spacing w:val="5"/>
          <w:w w:val="99"/>
          <w:sz w:val="24"/>
          <w:szCs w:val="24"/>
          <w:u w:val="none"/>
        </w:rPr>
        <w:t>，</w:t>
      </w:r>
      <w:r>
        <w:rPr>
          <w:rFonts w:hint="eastAsia" w:ascii="仿宋" w:hAnsi="仿宋" w:eastAsia="仿宋" w:cs="仿宋"/>
          <w:spacing w:val="7"/>
          <w:w w:val="99"/>
          <w:sz w:val="24"/>
          <w:szCs w:val="24"/>
          <w:u w:val="none"/>
        </w:rPr>
        <w:t>营</w:t>
      </w:r>
      <w:r>
        <w:rPr>
          <w:rFonts w:hint="eastAsia" w:ascii="仿宋" w:hAnsi="仿宋" w:eastAsia="仿宋" w:cs="仿宋"/>
          <w:w w:val="99"/>
          <w:sz w:val="24"/>
          <w:szCs w:val="24"/>
          <w:u w:val="none"/>
        </w:rPr>
        <w:t>业</w:t>
      </w:r>
      <w:r>
        <w:rPr>
          <w:rFonts w:hint="eastAsia" w:ascii="仿宋" w:hAnsi="仿宋" w:eastAsia="仿宋" w:cs="仿宋"/>
          <w:sz w:val="24"/>
          <w:szCs w:val="24"/>
          <w:u w:val="none"/>
        </w:rPr>
        <w:t>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none"/>
        </w:rPr>
        <w:t>万元，属</w:t>
      </w:r>
      <w:r>
        <w:rPr>
          <w:rFonts w:hint="eastAsia" w:ascii="仿宋" w:hAnsi="仿宋" w:eastAsia="仿宋" w:cs="仿宋"/>
          <w:spacing w:val="-12"/>
          <w:sz w:val="24"/>
          <w:szCs w:val="24"/>
          <w:u w:val="none"/>
        </w:rPr>
        <w:t>于</w:t>
      </w:r>
      <w:r>
        <w:rPr>
          <w:rFonts w:hint="eastAsia" w:ascii="仿宋" w:hAnsi="仿宋" w:eastAsia="仿宋" w:cs="仿宋"/>
          <w:sz w:val="24"/>
          <w:szCs w:val="24"/>
          <w:u w:val="single" w:color="000000"/>
          <w:lang w:val="zh-CN" w:eastAsia="zh-CN" w:bidi="zh-CN"/>
        </w:rPr>
        <w:t>（中型企业、小型企业、微型企业）；</w:t>
      </w:r>
    </w:p>
    <w:p>
      <w:pPr>
        <w:pStyle w:val="20"/>
        <w:spacing w:before="11" w:line="360" w:lineRule="auto"/>
        <w:ind w:left="860"/>
        <w:rPr>
          <w:rFonts w:hint="eastAsia" w:ascii="仿宋" w:hAnsi="仿宋" w:eastAsia="仿宋" w:cs="仿宋"/>
          <w:sz w:val="24"/>
          <w:szCs w:val="24"/>
        </w:rPr>
      </w:pPr>
      <w:r>
        <w:rPr>
          <w:rFonts w:hint="eastAsia" w:ascii="仿宋" w:hAnsi="仿宋" w:eastAsia="仿宋" w:cs="仿宋"/>
          <w:sz w:val="24"/>
          <w:szCs w:val="24"/>
        </w:rPr>
        <w:t>……</w:t>
      </w:r>
    </w:p>
    <w:p>
      <w:pPr>
        <w:pStyle w:val="20"/>
        <w:spacing w:before="108" w:line="360" w:lineRule="auto"/>
        <w:ind w:right="297" w:firstLine="645"/>
        <w:jc w:val="both"/>
        <w:rPr>
          <w:rFonts w:hint="eastAsia" w:ascii="仿宋" w:hAnsi="仿宋" w:eastAsia="仿宋" w:cs="仿宋"/>
          <w:sz w:val="24"/>
          <w:szCs w:val="24"/>
        </w:rPr>
      </w:pPr>
      <w:r>
        <w:rPr>
          <w:rFonts w:hint="eastAsia" w:ascii="仿宋" w:hAnsi="仿宋" w:eastAsia="仿宋" w:cs="仿宋"/>
          <w:spacing w:val="-5"/>
          <w:sz w:val="24"/>
          <w:szCs w:val="24"/>
        </w:rPr>
        <w:t>以上企业，不属于大企业的分支机构，不存在控股股东为大企业的情形，也不存在与大企业的负责人为同一人的情形。</w:t>
      </w:r>
    </w:p>
    <w:p>
      <w:pPr>
        <w:pStyle w:val="20"/>
        <w:spacing w:line="360" w:lineRule="auto"/>
        <w:ind w:right="255" w:firstLine="640"/>
        <w:rPr>
          <w:rFonts w:hint="default" w:ascii="仿宋" w:hAnsi="仿宋" w:eastAsia="仿宋" w:cs="仿宋"/>
          <w:sz w:val="24"/>
          <w:szCs w:val="24"/>
          <w:lang w:val="en-US" w:eastAsia="zh-CN"/>
        </w:rPr>
      </w:pPr>
      <w:r>
        <w:rPr>
          <w:rFonts w:hint="eastAsia" w:ascii="仿宋" w:hAnsi="仿宋" w:eastAsia="仿宋" w:cs="仿宋"/>
          <w:sz w:val="24"/>
          <w:szCs w:val="24"/>
        </w:rPr>
        <w:t>本企业对上述声明内容的真实性负责。如有虚假，将依法承担相应责任。</w:t>
      </w:r>
      <w:r>
        <w:rPr>
          <w:rFonts w:hint="eastAsia" w:ascii="仿宋" w:hAnsi="仿宋" w:eastAsia="仿宋" w:cs="仿宋"/>
          <w:sz w:val="24"/>
          <w:szCs w:val="24"/>
          <w:lang w:val="en-US" w:eastAsia="zh-CN"/>
        </w:rPr>
        <w:t xml:space="preserve">   </w:t>
      </w:r>
    </w:p>
    <w:p>
      <w:pPr>
        <w:pStyle w:val="20"/>
        <w:spacing w:before="29" w:line="360" w:lineRule="auto"/>
        <w:ind w:left="4060" w:right="2046"/>
        <w:rPr>
          <w:rFonts w:hint="eastAsia" w:ascii="仿宋" w:hAnsi="仿宋" w:eastAsia="仿宋" w:cs="仿宋"/>
          <w:sz w:val="24"/>
          <w:szCs w:val="24"/>
        </w:rPr>
      </w:pPr>
    </w:p>
    <w:p>
      <w:pPr>
        <w:pStyle w:val="20"/>
        <w:spacing w:before="29" w:line="480" w:lineRule="auto"/>
        <w:ind w:right="204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w:t>
      </w:r>
      <w:r>
        <w:rPr>
          <w:rFonts w:hint="eastAsia" w:ascii="仿宋" w:hAnsi="仿宋" w:eastAsia="仿宋" w:cs="仿宋"/>
          <w:sz w:val="24"/>
          <w:szCs w:val="24"/>
          <w:lang w:eastAsia="zh-CN"/>
        </w:rPr>
        <w:t>人</w:t>
      </w:r>
      <w:r>
        <w:rPr>
          <w:rFonts w:hint="eastAsia" w:ascii="仿宋" w:hAnsi="仿宋" w:eastAsia="仿宋" w:cs="仿宋"/>
          <w:sz w:val="24"/>
          <w:szCs w:val="24"/>
        </w:rPr>
        <w:t>（</w:t>
      </w:r>
      <w:r>
        <w:rPr>
          <w:rFonts w:hint="eastAsia" w:ascii="仿宋" w:hAnsi="仿宋" w:eastAsia="仿宋" w:cs="仿宋"/>
          <w:color w:val="auto"/>
          <w:sz w:val="24"/>
          <w:szCs w:val="24"/>
          <w:highlight w:val="none"/>
        </w:rPr>
        <w:t>单位公章</w:t>
      </w:r>
      <w:r>
        <w:rPr>
          <w:rFonts w:hint="eastAsia" w:ascii="仿宋" w:hAnsi="仿宋" w:eastAsia="仿宋" w:cs="仿宋"/>
          <w:sz w:val="24"/>
          <w:szCs w:val="24"/>
        </w:rPr>
        <w:t>）：</w:t>
      </w:r>
    </w:p>
    <w:p>
      <w:pPr>
        <w:pStyle w:val="20"/>
        <w:spacing w:before="29" w:line="360" w:lineRule="auto"/>
        <w:ind w:right="2046"/>
        <w:jc w:val="center"/>
        <w:rPr>
          <w:rFonts w:hint="eastAsia" w:ascii="仿宋" w:hAnsi="仿宋" w:eastAsia="仿宋" w:cs="仿宋"/>
          <w:spacing w:val="24"/>
          <w:sz w:val="24"/>
          <w:szCs w:val="24"/>
        </w:rPr>
      </w:pPr>
      <w:r>
        <w:rPr>
          <w:rFonts w:hint="eastAsia" w:ascii="仿宋" w:hAnsi="仿宋" w:eastAsia="仿宋" w:cs="仿宋"/>
          <w:spacing w:val="24"/>
          <w:sz w:val="24"/>
          <w:szCs w:val="24"/>
          <w:lang w:val="en-US" w:eastAsia="zh-CN"/>
        </w:rPr>
        <w:t xml:space="preserve">            </w:t>
      </w:r>
      <w:r>
        <w:rPr>
          <w:rFonts w:hint="eastAsia" w:ascii="仿宋" w:hAnsi="仿宋" w:eastAsia="仿宋" w:cs="仿宋"/>
          <w:spacing w:val="24"/>
          <w:sz w:val="24"/>
          <w:szCs w:val="24"/>
        </w:rPr>
        <w:t>年  月  日</w:t>
      </w:r>
    </w:p>
    <w:p>
      <w:pPr>
        <w:rPr>
          <w:rFonts w:hint="eastAsia"/>
          <w:sz w:val="24"/>
          <w:szCs w:val="24"/>
        </w:rPr>
      </w:pPr>
    </w:p>
    <w:p>
      <w:pPr>
        <w:rPr>
          <w:rFonts w:hint="eastAsia" w:ascii="仿宋" w:hAnsi="仿宋" w:eastAsia="仿宋" w:cs="仿宋"/>
          <w:sz w:val="24"/>
          <w:szCs w:val="24"/>
          <w:lang w:eastAsia="zh-CN"/>
        </w:rPr>
      </w:pPr>
    </w:p>
    <w:p>
      <w:pPr>
        <w:spacing w:before="94" w:line="360" w:lineRule="auto"/>
        <w:ind w:left="220" w:right="0" w:firstLine="0"/>
        <w:jc w:val="left"/>
        <w:rPr>
          <w:rFonts w:hint="eastAsia" w:ascii="仿宋" w:hAnsi="仿宋" w:eastAsia="仿宋" w:cs="仿宋"/>
          <w:sz w:val="24"/>
          <w:szCs w:val="24"/>
        </w:rPr>
      </w:pPr>
      <w:r>
        <w:rPr>
          <w:rFonts w:hint="eastAsia" w:ascii="仿宋" w:hAnsi="仿宋" w:eastAsia="仿宋" w:cs="仿宋"/>
          <w:position w:val="6"/>
          <w:sz w:val="24"/>
          <w:szCs w:val="24"/>
        </w:rPr>
        <w:t>1</w:t>
      </w:r>
      <w:bookmarkStart w:id="174" w:name="_bookmark0"/>
      <w:bookmarkEnd w:id="174"/>
      <w:r>
        <w:rPr>
          <w:rFonts w:hint="eastAsia" w:ascii="仿宋" w:hAnsi="仿宋" w:eastAsia="仿宋" w:cs="仿宋"/>
          <w:position w:val="6"/>
          <w:sz w:val="24"/>
          <w:szCs w:val="24"/>
        </w:rPr>
        <w:t xml:space="preserve"> </w:t>
      </w:r>
      <w:r>
        <w:rPr>
          <w:rFonts w:hint="eastAsia" w:ascii="仿宋" w:hAnsi="仿宋" w:eastAsia="仿宋" w:cs="仿宋"/>
          <w:sz w:val="24"/>
          <w:szCs w:val="24"/>
        </w:rPr>
        <w:t>从业人员、营业收入、资产总额填报上一年度数据，无上一年度数据的新成立企业可不填报。</w:t>
      </w:r>
    </w:p>
    <w:p>
      <w:pPr>
        <w:spacing w:before="94" w:line="360" w:lineRule="auto"/>
        <w:ind w:left="220"/>
        <w:jc w:val="left"/>
        <w:rPr>
          <w:rFonts w:hint="eastAsia" w:ascii="仿宋" w:hAnsi="仿宋" w:eastAsia="仿宋" w:cs="仿宋"/>
          <w:b/>
          <w:bCs/>
          <w:sz w:val="24"/>
          <w:szCs w:val="24"/>
        </w:rPr>
      </w:pPr>
      <w:r>
        <w:rPr>
          <w:rFonts w:hint="eastAsia" w:ascii="仿宋" w:hAnsi="仿宋" w:eastAsia="仿宋" w:cs="仿宋"/>
          <w:b/>
          <w:bCs/>
          <w:sz w:val="24"/>
          <w:szCs w:val="24"/>
        </w:rPr>
        <w:t>注：1、详细要求请参照</w:t>
      </w:r>
      <w:r>
        <w:rPr>
          <w:rFonts w:hint="eastAsia" w:ascii="仿宋" w:hAnsi="仿宋" w:eastAsia="仿宋" w:cs="仿宋"/>
          <w:b/>
          <w:bCs/>
          <w:spacing w:val="-2"/>
          <w:sz w:val="24"/>
          <w:szCs w:val="24"/>
        </w:rPr>
        <w:t>《政府采购促进中小企业发展管理办法</w:t>
      </w:r>
      <w:r>
        <w:rPr>
          <w:rFonts w:hint="eastAsia" w:ascii="仿宋" w:hAnsi="仿宋" w:eastAsia="仿宋" w:cs="仿宋"/>
          <w:b/>
          <w:bCs/>
          <w:spacing w:val="-18"/>
          <w:sz w:val="24"/>
          <w:szCs w:val="24"/>
        </w:rPr>
        <w:t>》</w:t>
      </w:r>
      <w:r>
        <w:rPr>
          <w:rFonts w:hint="eastAsia" w:ascii="仿宋" w:hAnsi="仿宋" w:eastAsia="仿宋" w:cs="仿宋"/>
          <w:b/>
          <w:bCs/>
          <w:sz w:val="24"/>
          <w:szCs w:val="24"/>
        </w:rPr>
        <w:t>（财库〔2020〕[2020]46号</w:t>
      </w:r>
      <w:r>
        <w:rPr>
          <w:rFonts w:hint="eastAsia" w:ascii="仿宋" w:hAnsi="仿宋" w:eastAsia="仿宋" w:cs="仿宋"/>
          <w:b/>
          <w:bCs/>
          <w:spacing w:val="5"/>
          <w:sz w:val="24"/>
          <w:szCs w:val="24"/>
        </w:rPr>
        <w:t>）</w:t>
      </w:r>
      <w:r>
        <w:rPr>
          <w:rFonts w:hint="eastAsia" w:ascii="仿宋" w:hAnsi="仿宋" w:eastAsia="仿宋" w:cs="仿宋"/>
          <w:b/>
          <w:bCs/>
          <w:sz w:val="24"/>
          <w:szCs w:val="24"/>
        </w:rPr>
        <w:t>的规定；</w:t>
      </w:r>
    </w:p>
    <w:p>
      <w:pPr>
        <w:spacing w:after="120"/>
        <w:ind w:left="420" w:leftChars="20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2、如项目涉及多种货物和多个制造商，投标人需从多个制造商处拿货则需提供所有关于该货物制造商的《中小微企业声明函》；</w:t>
      </w:r>
    </w:p>
    <w:p>
      <w:pPr>
        <w:jc w:val="center"/>
        <w:rPr>
          <w:rFonts w:hint="eastAsia" w:ascii="仿宋" w:hAnsi="仿宋" w:eastAsia="仿宋" w:cs="仿宋"/>
          <w:b/>
          <w:bCs/>
          <w:color w:val="000000"/>
          <w:sz w:val="24"/>
          <w:szCs w:val="24"/>
          <w:highlight w:val="none"/>
        </w:rPr>
      </w:pPr>
    </w:p>
    <w:p>
      <w:pPr>
        <w:spacing w:line="48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监狱企业声明函</w:t>
      </w:r>
      <w:r>
        <w:rPr>
          <w:rStyle w:val="131"/>
          <w:rFonts w:hint="eastAsia" w:ascii="仿宋" w:hAnsi="仿宋" w:eastAsia="仿宋" w:cs="仿宋"/>
          <w:b/>
          <w:bCs/>
          <w:color w:val="auto"/>
          <w:sz w:val="24"/>
          <w:szCs w:val="24"/>
          <w:highlight w:val="none"/>
          <w:lang w:val="zh-CN" w:eastAsia="zh-CN"/>
        </w:rPr>
        <w:t>（如是）</w:t>
      </w:r>
    </w:p>
    <w:p>
      <w:pPr>
        <w:spacing w:line="360" w:lineRule="auto"/>
        <w:ind w:left="0" w:leftChars="0" w:firstLine="660" w:firstLineChars="2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本公司郑重声明，根据《关于政府采购支持监狱企业发展有关问题的通知》（财库[2014]68号）的规定，本公司为监狱企业。即，本公司同时满足以下条件：</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2.本公司参加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项目（项目编号：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）采购活动时提供的是本企业的产品（包括由本企业承担的工程和提供的服务），或者提供的是其他监狱企业制造的产品。</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本公司对上述声明的真实性负责。如有虚假，将依法承担相应责任。</w:t>
      </w:r>
    </w:p>
    <w:p>
      <w:pPr>
        <w:spacing w:line="360" w:lineRule="auto"/>
        <w:ind w:left="0" w:leftChars="0" w:firstLine="420" w:firstLineChars="175"/>
        <w:rPr>
          <w:rFonts w:hint="eastAsia" w:ascii="仿宋" w:hAnsi="仿宋" w:eastAsia="仿宋" w:cs="仿宋"/>
          <w:color w:val="000000"/>
          <w:sz w:val="24"/>
          <w:szCs w:val="24"/>
          <w:highlight w:val="none"/>
        </w:rPr>
      </w:pP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附件：省级以上监狱管理局、戒毒管理局(含新疆生产建设兵团)出具的属于监狱企业的证明文件</w:t>
      </w: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rPr>
      </w:pPr>
    </w:p>
    <w:p>
      <w:pPr>
        <w:rPr>
          <w:rFonts w:hint="eastAsia" w:ascii="仿宋" w:hAnsi="仿宋" w:eastAsia="仿宋" w:cs="仿宋"/>
          <w:color w:val="000000"/>
          <w:sz w:val="24"/>
          <w:szCs w:val="24"/>
          <w:highlight w:val="none"/>
        </w:rPr>
      </w:pP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60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spacing w:line="600" w:lineRule="auto"/>
        <w:jc w:val="right"/>
        <w:rPr>
          <w:rFonts w:hint="eastAsia" w:ascii="仿宋" w:hAnsi="仿宋" w:eastAsia="仿宋" w:cs="仿宋"/>
          <w:color w:val="000000"/>
          <w:sz w:val="24"/>
          <w:szCs w:val="24"/>
          <w:highlight w:val="none"/>
        </w:rPr>
        <w:sectPr>
          <w:headerReference r:id="rId5" w:type="default"/>
          <w:footerReference r:id="rId6"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pPr>
        <w:spacing w:line="480" w:lineRule="auto"/>
        <w:jc w:val="center"/>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残疾人福利性单位声明函</w:t>
      </w:r>
      <w:r>
        <w:rPr>
          <w:rFonts w:hint="eastAsia" w:ascii="仿宋" w:hAnsi="仿宋" w:eastAsia="仿宋" w:cs="仿宋"/>
          <w:b/>
          <w:bCs/>
          <w:color w:val="000000"/>
          <w:sz w:val="24"/>
          <w:szCs w:val="24"/>
          <w:highlight w:val="none"/>
          <w:lang w:eastAsia="zh-CN"/>
        </w:rPr>
        <w:t>（如是）</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本单位郑重声明，根据《关于促进残疾人就业政府采购政策的通知》（财库[2017]141号）的规定，本单位为残疾人福利性单位。即，本单位同时满足以下条件：</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1.安置的残疾人占本单位在职职工人数的比例不低于25%（含25%），并且安置的残疾人人数不少于10人（含10人）；</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2.本单位依法与安置的每位残疾人签订了一年以上（含一年）的劳动合同或服务协议；</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3.本单位为安置的每位残疾人按月足额缴纳了基本养老保险、基本医疗保险、失业保险、工伤保险和生育保险等社会保险费；</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4.本单位通过银行等金融机构向安置的每位残疾人，按月支付了不低于单位所在区县适用的经省级人民政府批准的月最低工资标准的工资；</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5.本单位参加 项目（项目编号： ）采购活</w:t>
      </w:r>
    </w:p>
    <w:p>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动时提供的是本单位的产品（包括由本单位承担的工程和提供的服务），或者提供的是其他残疾人福利性单位制造的产品。</w:t>
      </w:r>
    </w:p>
    <w:p>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本公司对上述声明的真实性负责。如有虚假，将依法承担相应责任。</w:t>
      </w:r>
    </w:p>
    <w:p>
      <w:pPr>
        <w:spacing w:line="360" w:lineRule="auto"/>
        <w:ind w:left="0" w:leftChars="0" w:firstLine="420" w:firstLineChars="175"/>
        <w:rPr>
          <w:rFonts w:hint="eastAsia" w:ascii="仿宋" w:hAnsi="仿宋" w:eastAsia="仿宋" w:cs="仿宋"/>
          <w:color w:val="000000"/>
          <w:sz w:val="24"/>
          <w:szCs w:val="24"/>
          <w:highlight w:val="none"/>
        </w:rPr>
      </w:pPr>
    </w:p>
    <w:p>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附件：近三个月依法为安置残疾人缴纳社会保障资金的证明文件</w:t>
      </w:r>
    </w:p>
    <w:p>
      <w:pPr>
        <w:pStyle w:val="20"/>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rPr>
      </w:pPr>
    </w:p>
    <w:p>
      <w:pPr>
        <w:rPr>
          <w:rFonts w:hint="eastAsia"/>
        </w:rPr>
      </w:pPr>
    </w:p>
    <w:p>
      <w:pPr>
        <w:pStyle w:val="20"/>
        <w:rPr>
          <w:rFonts w:hint="eastAsia"/>
        </w:rPr>
      </w:pP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60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spacing w:line="600" w:lineRule="auto"/>
        <w:jc w:val="right"/>
        <w:rPr>
          <w:rFonts w:hint="eastAsia" w:ascii="仿宋" w:hAnsi="仿宋" w:eastAsia="仿宋" w:cs="仿宋"/>
          <w:color w:val="000000"/>
          <w:sz w:val="24"/>
          <w:szCs w:val="24"/>
          <w:highlight w:val="none"/>
        </w:rPr>
        <w:sectPr>
          <w:headerReference r:id="rId7" w:type="default"/>
          <w:footerReference r:id="rId8"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pPr>
        <w:numPr>
          <w:ilvl w:val="0"/>
          <w:numId w:val="0"/>
        </w:numPr>
        <w:spacing w:line="48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pacing w:val="6"/>
          <w:kern w:val="2"/>
          <w:sz w:val="28"/>
          <w:szCs w:val="28"/>
          <w:highlight w:val="none"/>
          <w:lang w:val="en-US" w:eastAsia="zh-CN" w:bidi="ar-SA"/>
        </w:rPr>
        <w:t>十四、节能、环保产品证明（如有）</w:t>
      </w:r>
    </w:p>
    <w:p>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按照政府采购的有关政策要求，在本项目的技术方案中，我单位采用了符合政策的节能产品、环保标志产品，主要产品与核心技术介绍说明如下：</w:t>
      </w:r>
    </w:p>
    <w:tbl>
      <w:tblPr>
        <w:tblStyle w:val="44"/>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47"/>
        <w:gridCol w:w="1841"/>
        <w:gridCol w:w="1813"/>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000" w:type="dxa"/>
            <w:noWrap w:val="0"/>
            <w:vAlign w:val="center"/>
          </w:tcPr>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类别</w:t>
            </w:r>
          </w:p>
        </w:tc>
        <w:tc>
          <w:tcPr>
            <w:tcW w:w="314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主要产品/技术名称</w:t>
            </w:r>
          </w:p>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（规格型号、注册商标）</w:t>
            </w:r>
          </w:p>
        </w:tc>
        <w:tc>
          <w:tcPr>
            <w:tcW w:w="1841" w:type="dxa"/>
            <w:noWrap w:val="0"/>
            <w:vAlign w:val="center"/>
          </w:tcPr>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制造商/开发商</w:t>
            </w:r>
          </w:p>
        </w:tc>
        <w:tc>
          <w:tcPr>
            <w:tcW w:w="1813" w:type="dxa"/>
            <w:noWrap w:val="0"/>
            <w:vAlign w:val="center"/>
          </w:tcPr>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认证证书编号</w:t>
            </w:r>
          </w:p>
        </w:tc>
        <w:tc>
          <w:tcPr>
            <w:tcW w:w="195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该产品报价占</w:t>
            </w:r>
          </w:p>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总报价比重</w:t>
            </w:r>
          </w:p>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0" w:type="dxa"/>
            <w:vMerge w:val="restart"/>
            <w:noWrap w:val="0"/>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节能</w:t>
            </w:r>
          </w:p>
          <w:p>
            <w:pP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产品</w:t>
            </w: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00" w:type="dxa"/>
            <w:vMerge w:val="restart"/>
            <w:noWrap w:val="0"/>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环保</w:t>
            </w:r>
          </w:p>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标志</w:t>
            </w:r>
          </w:p>
          <w:p>
            <w:pP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产品</w:t>
            </w: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0" w:type="dxa"/>
            <w:noWrap w:val="0"/>
            <w:vAlign w:val="center"/>
          </w:tcPr>
          <w:p>
            <w:pP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说明</w:t>
            </w: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 “节能产品、环保标志产品”是属于国家行业主管部门颁布的清单目录中的产品，须填写认证证书编号，并同时提供有效期内的证书复印件附后，同时提供下述文件（均为复印件，加盖报价</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（1）属于“节能产品政府采购清单”中品目的产品，提供“节能产品政府采购清单（第___期）”中投标产品所在清单页并加盖报价</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公章，节能清单在中国政府采购网（http：//www.ccgp.gov .cn/）、国家发展改革委网站（http://hzs.nd rc.gv.cn/）和中国质量认证中心网站（http://www.cqc.com.cn/）上发布；（2）属于“环境标志产品政府采购清单”中品目的产品，提供最新“环境标志产品政府采购清单”中投标产品所在清单页并加盖报价</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公章，清单在中国政府采购网（http://www.ccgp.gov.cn/）、国家环境保护总局网（http://www.sepa.gov.cn/）、中国绿色采购网（http://www.cgpn. cn/）上发布。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2、报价中“该产品报价占总报价比重”视作不变。</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5"/>
        <w:jc w:val="center"/>
        <w:rPr>
          <w:rFonts w:hint="eastAsia" w:ascii="仿宋" w:hAnsi="仿宋" w:eastAsia="仿宋" w:cs="仿宋"/>
          <w:b/>
          <w:bCs w:val="0"/>
          <w:color w:val="auto"/>
          <w:spacing w:val="6"/>
          <w:kern w:val="2"/>
          <w:sz w:val="28"/>
          <w:szCs w:val="28"/>
          <w:highlight w:val="none"/>
          <w:lang w:val="en-US" w:eastAsia="zh-CN" w:bidi="ar-SA"/>
        </w:rPr>
      </w:pPr>
      <w:r>
        <w:rPr>
          <w:rFonts w:hint="eastAsia" w:ascii="仿宋" w:hAnsi="仿宋" w:eastAsia="仿宋" w:cs="仿宋"/>
          <w:b/>
          <w:bCs w:val="0"/>
          <w:color w:val="auto"/>
          <w:spacing w:val="6"/>
          <w:kern w:val="2"/>
          <w:sz w:val="28"/>
          <w:szCs w:val="28"/>
          <w:highlight w:val="none"/>
          <w:lang w:val="en-US" w:eastAsia="zh-CN" w:bidi="ar-SA"/>
        </w:rPr>
        <w:t>十五、网站截图</w:t>
      </w:r>
    </w:p>
    <w:p>
      <w:pPr>
        <w:pStyle w:val="41"/>
        <w:keepNext w:val="0"/>
        <w:keepLines w:val="0"/>
        <w:pageBreakBefore w:val="0"/>
        <w:widowControl w:val="0"/>
        <w:kinsoku/>
        <w:wordWrap/>
        <w:overflowPunct/>
        <w:topLinePunct w:val="0"/>
        <w:autoSpaceDE/>
        <w:autoSpaceDN/>
        <w:bidi w:val="0"/>
        <w:adjustRightInd/>
        <w:snapToGrid/>
        <w:spacing w:line="600" w:lineRule="auto"/>
        <w:ind w:firstLine="1265" w:firstLineChars="500"/>
        <w:textAlignment w:val="auto"/>
        <w:rPr>
          <w:rFonts w:hint="eastAsia" w:ascii="仿宋" w:hAnsi="仿宋" w:eastAsia="仿宋" w:cs="仿宋"/>
          <w:b/>
          <w:color w:val="auto"/>
          <w:spacing w:val="6"/>
          <w:kern w:val="2"/>
          <w:sz w:val="24"/>
          <w:szCs w:val="24"/>
          <w:highlight w:val="none"/>
          <w:lang w:val="en-US" w:eastAsia="zh-CN" w:bidi="ar-SA"/>
        </w:rPr>
      </w:pPr>
      <w:r>
        <w:rPr>
          <w:rFonts w:hint="eastAsia" w:ascii="仿宋" w:hAnsi="仿宋" w:eastAsia="仿宋" w:cs="仿宋"/>
          <w:b/>
          <w:color w:val="auto"/>
          <w:spacing w:val="6"/>
          <w:kern w:val="2"/>
          <w:sz w:val="24"/>
          <w:szCs w:val="24"/>
          <w:highlight w:val="none"/>
          <w:lang w:val="en-US" w:eastAsia="zh-CN" w:bidi="ar-SA"/>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color w:val="auto"/>
          <w:spacing w:val="6"/>
          <w:kern w:val="2"/>
          <w:sz w:val="24"/>
          <w:szCs w:val="24"/>
          <w:highlight w:val="none"/>
          <w:lang w:val="en-US" w:eastAsia="zh-CN" w:bidi="ar-SA"/>
        </w:rPr>
        <w:drawing>
          <wp:inline distT="0" distB="0" distL="114300" distR="114300">
            <wp:extent cx="190500" cy="142875"/>
            <wp:effectExtent l="0" t="0" r="0" b="9525"/>
            <wp:docPr id="22" name="图片 1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color w:val="auto"/>
          <w:spacing w:val="6"/>
          <w:kern w:val="2"/>
          <w:sz w:val="24"/>
          <w:szCs w:val="24"/>
          <w:highlight w:val="none"/>
          <w:lang w:val="en-US" w:eastAsia="zh-CN" w:bidi="ar-SA"/>
        </w:rPr>
        <w:t>http://wenshu.court.gov.cn/）”有行贿受贿犯罪记录的投标企业将拒绝其参与本次政府采购活动。</w:t>
      </w:r>
    </w:p>
    <w:p>
      <w:pPr>
        <w:pStyle w:val="41"/>
        <w:rPr>
          <w:rFonts w:hint="eastAsia" w:ascii="仿宋" w:hAnsi="仿宋" w:eastAsia="仿宋" w:cs="仿宋"/>
          <w:b/>
          <w:color w:val="auto"/>
          <w:spacing w:val="6"/>
          <w:kern w:val="2"/>
          <w:sz w:val="28"/>
          <w:szCs w:val="28"/>
          <w:highlight w:val="none"/>
          <w:lang w:val="en-US" w:eastAsia="zh-CN" w:bidi="ar-SA"/>
        </w:rPr>
      </w:pPr>
    </w:p>
    <w:p>
      <w:pPr>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pStyle w:val="41"/>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4"/>
        <w:numPr>
          <w:ilvl w:val="0"/>
          <w:numId w:val="0"/>
        </w:numPr>
        <w:spacing w:before="156" w:after="156" w:line="240" w:lineRule="auto"/>
        <w:jc w:val="center"/>
        <w:rPr>
          <w:rFonts w:hint="eastAsia" w:ascii="仿宋" w:hAnsi="仿宋" w:eastAsia="仿宋" w:cs="仿宋"/>
          <w:b/>
          <w:bCs/>
          <w:color w:val="000000"/>
          <w:kern w:val="2"/>
          <w:sz w:val="24"/>
          <w:szCs w:val="24"/>
          <w:highlight w:val="none"/>
          <w:lang w:val="en-US" w:eastAsia="zh-CN" w:bidi="ar-SA"/>
        </w:rPr>
      </w:pPr>
    </w:p>
    <w:p>
      <w:pPr>
        <w:pStyle w:val="4"/>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十六、应急保障方案</w:t>
      </w:r>
    </w:p>
    <w:p>
      <w:pPr>
        <w:widowControl/>
        <w:spacing w:line="360" w:lineRule="auto"/>
        <w:ind w:firstLine="472" w:firstLineChars="196"/>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包括但不限于（</w:t>
      </w:r>
      <w:r>
        <w:rPr>
          <w:rFonts w:hint="eastAsia" w:ascii="仿宋" w:hAnsi="仿宋" w:eastAsia="仿宋" w:cs="仿宋"/>
          <w:sz w:val="24"/>
          <w:szCs w:val="24"/>
          <w:lang w:eastAsia="zh-CN"/>
        </w:rPr>
        <w:t>具体详见评标标准</w:t>
      </w:r>
      <w:r>
        <w:rPr>
          <w:rFonts w:hint="eastAsia" w:ascii="仿宋" w:hAnsi="仿宋" w:eastAsia="仿宋" w:cs="仿宋"/>
          <w:sz w:val="24"/>
          <w:szCs w:val="24"/>
        </w:rPr>
        <w:t>，否则</w:t>
      </w:r>
      <w:r>
        <w:rPr>
          <w:rFonts w:hint="eastAsia" w:ascii="仿宋" w:hAnsi="仿宋" w:eastAsia="仿宋" w:cs="仿宋"/>
          <w:sz w:val="24"/>
          <w:szCs w:val="24"/>
          <w:lang w:eastAsia="zh-CN"/>
        </w:rPr>
        <w:t>评审</w:t>
      </w:r>
      <w:r>
        <w:rPr>
          <w:rFonts w:hint="eastAsia" w:ascii="仿宋" w:hAnsi="仿宋" w:eastAsia="仿宋" w:cs="仿宋"/>
          <w:sz w:val="24"/>
          <w:szCs w:val="24"/>
        </w:rPr>
        <w:t>专家在评审时将不予采信</w:t>
      </w:r>
      <w:r>
        <w:rPr>
          <w:rFonts w:hint="eastAsia" w:ascii="仿宋" w:hAnsi="仿宋" w:eastAsia="仿宋" w:cs="仿宋"/>
          <w:b/>
          <w:bCs/>
          <w:sz w:val="24"/>
          <w:szCs w:val="24"/>
          <w:lang w:eastAsia="zh-CN"/>
        </w:rPr>
        <w:t>）</w:t>
      </w: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2"/>
        <w:spacing w:line="480" w:lineRule="auto"/>
        <w:jc w:val="center"/>
        <w:rPr>
          <w:rFonts w:hint="eastAsia" w:ascii="仿宋" w:hAnsi="仿宋" w:eastAsia="仿宋" w:cs="仿宋"/>
          <w:b/>
          <w:bCs/>
          <w:color w:val="000000"/>
          <w:kern w:val="2"/>
          <w:sz w:val="24"/>
          <w:szCs w:val="24"/>
          <w:highlight w:val="none"/>
          <w:lang w:val="en-US" w:eastAsia="zh-CN" w:bidi="ar-SA"/>
        </w:rPr>
      </w:pPr>
    </w:p>
    <w:p>
      <w:pPr>
        <w:pStyle w:val="4"/>
        <w:numPr>
          <w:ilvl w:val="0"/>
          <w:numId w:val="0"/>
        </w:numPr>
        <w:spacing w:before="156" w:after="156" w:line="480" w:lineRule="auto"/>
        <w:jc w:val="center"/>
        <w:rPr>
          <w:rFonts w:hint="eastAsia" w:ascii="仿宋" w:hAnsi="仿宋" w:eastAsia="仿宋" w:cs="仿宋"/>
          <w:b/>
          <w:bCs/>
          <w:sz w:val="28"/>
          <w:szCs w:val="28"/>
          <w:lang w:eastAsia="zh-CN"/>
        </w:rPr>
      </w:pPr>
      <w:r>
        <w:rPr>
          <w:rFonts w:hint="eastAsia" w:ascii="仿宋" w:hAnsi="仿宋" w:eastAsia="仿宋" w:cs="仿宋"/>
          <w:b/>
          <w:bCs/>
          <w:color w:val="000000"/>
          <w:kern w:val="2"/>
          <w:sz w:val="28"/>
          <w:szCs w:val="28"/>
          <w:highlight w:val="none"/>
          <w:lang w:val="en-US" w:eastAsia="zh-CN" w:bidi="ar-SA"/>
        </w:rPr>
        <w:t>十七、安全管理措施</w:t>
      </w:r>
    </w:p>
    <w:p>
      <w:pPr>
        <w:widowControl/>
        <w:spacing w:line="360" w:lineRule="auto"/>
        <w:ind w:firstLine="472" w:firstLineChars="196"/>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包括但不限于（具体详见评标标准，否则评审专家在评审时将不予采信）</w:t>
      </w:r>
    </w:p>
    <w:p>
      <w:pPr>
        <w:pStyle w:val="20"/>
        <w:rPr>
          <w:rFonts w:hint="eastAsia" w:ascii="仿宋" w:hAnsi="仿宋" w:eastAsia="仿宋" w:cs="仿宋"/>
          <w:b/>
          <w:bCs/>
          <w:sz w:val="24"/>
          <w:szCs w:val="24"/>
          <w:lang w:eastAsia="zh-CN"/>
        </w:rPr>
      </w:pPr>
    </w:p>
    <w:p>
      <w:pPr>
        <w:rPr>
          <w:rFonts w:hint="eastAsia" w:ascii="仿宋" w:hAnsi="仿宋" w:eastAsia="仿宋" w:cs="仿宋"/>
          <w:b/>
          <w:bCs/>
          <w:sz w:val="24"/>
          <w:szCs w:val="24"/>
          <w:lang w:eastAsia="zh-CN"/>
        </w:rPr>
      </w:pPr>
    </w:p>
    <w:p>
      <w:pPr>
        <w:pStyle w:val="20"/>
        <w:rPr>
          <w:rFonts w:hint="eastAsia"/>
          <w:lang w:eastAsia="zh-CN"/>
        </w:rPr>
      </w:pPr>
    </w:p>
    <w:p>
      <w:pPr>
        <w:rPr>
          <w:rFonts w:hint="eastAsia"/>
          <w:lang w:eastAsia="zh-CN"/>
        </w:rPr>
      </w:pPr>
    </w:p>
    <w:p>
      <w:pPr>
        <w:pStyle w:val="20"/>
        <w:rPr>
          <w:rFonts w:hint="eastAsia"/>
          <w:lang w:eastAsia="zh-CN"/>
        </w:rPr>
      </w:pPr>
    </w:p>
    <w:p>
      <w:pPr>
        <w:rPr>
          <w:rFonts w:hint="eastAsia"/>
          <w:lang w:eastAsia="zh-CN"/>
        </w:rPr>
      </w:pPr>
    </w:p>
    <w:p>
      <w:pPr>
        <w:pStyle w:val="20"/>
        <w:rPr>
          <w:rFonts w:hint="eastAsia"/>
          <w:lang w:eastAsia="zh-CN"/>
        </w:rPr>
      </w:pPr>
    </w:p>
    <w:p>
      <w:pPr>
        <w:rPr>
          <w:rFonts w:hint="eastAsia"/>
          <w:lang w:eastAsia="zh-CN"/>
        </w:rPr>
      </w:pPr>
    </w:p>
    <w:p>
      <w:pPr>
        <w:pStyle w:val="20"/>
        <w:rPr>
          <w:rFonts w:hint="eastAsia"/>
          <w:lang w:eastAsia="zh-CN"/>
        </w:rPr>
      </w:pPr>
    </w:p>
    <w:p>
      <w:pPr>
        <w:rPr>
          <w:rFonts w:hint="eastAsia"/>
          <w:lang w:eastAsia="zh-CN"/>
        </w:rPr>
      </w:pPr>
    </w:p>
    <w:p>
      <w:pPr>
        <w:pStyle w:val="20"/>
        <w:rPr>
          <w:rFonts w:hint="eastAsia"/>
          <w:lang w:eastAsia="zh-CN"/>
        </w:rPr>
      </w:pPr>
    </w:p>
    <w:p>
      <w:pPr>
        <w:rPr>
          <w:rFonts w:hint="eastAsia"/>
          <w:lang w:eastAsia="zh-CN"/>
        </w:rPr>
      </w:pPr>
    </w:p>
    <w:p>
      <w:pPr>
        <w:pStyle w:val="20"/>
        <w:rPr>
          <w:rFonts w:hint="eastAsia"/>
          <w:lang w:eastAsia="zh-CN"/>
        </w:rPr>
      </w:pPr>
    </w:p>
    <w:p>
      <w:pPr>
        <w:rPr>
          <w:rFonts w:hint="eastAsia"/>
          <w:lang w:eastAsia="zh-CN"/>
        </w:rPr>
      </w:pPr>
    </w:p>
    <w:p>
      <w:pPr>
        <w:pStyle w:val="20"/>
        <w:rPr>
          <w:rFonts w:hint="eastAsia"/>
          <w:lang w:eastAsia="zh-CN"/>
        </w:rPr>
      </w:pPr>
    </w:p>
    <w:p>
      <w:pPr>
        <w:rPr>
          <w:rFonts w:hint="eastAsia"/>
          <w:lang w:eastAsia="zh-CN"/>
        </w:rPr>
      </w:pPr>
    </w:p>
    <w:p>
      <w:pPr>
        <w:pStyle w:val="20"/>
        <w:rPr>
          <w:rFonts w:hint="eastAsia"/>
          <w:lang w:eastAsia="zh-CN"/>
        </w:rPr>
      </w:pPr>
    </w:p>
    <w:p>
      <w:pPr>
        <w:pStyle w:val="41"/>
        <w:jc w:val="both"/>
        <w:rPr>
          <w:rFonts w:hint="eastAsia" w:ascii="仿宋" w:hAnsi="仿宋" w:eastAsia="仿宋" w:cs="仿宋"/>
          <w:b/>
          <w:color w:val="auto"/>
          <w:spacing w:val="6"/>
          <w:kern w:val="2"/>
          <w:sz w:val="28"/>
          <w:szCs w:val="28"/>
          <w:highlight w:val="none"/>
          <w:lang w:val="en-US" w:eastAsia="zh-CN" w:bidi="ar-SA"/>
        </w:rPr>
      </w:pPr>
    </w:p>
    <w:p>
      <w:pPr>
        <w:pStyle w:val="4"/>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bookmarkStart w:id="175" w:name="_Toc480368440"/>
      <w:bookmarkStart w:id="176" w:name="_Toc12999"/>
      <w:bookmarkStart w:id="177" w:name="_Toc23806"/>
      <w:bookmarkStart w:id="178" w:name="_Toc16687"/>
      <w:bookmarkStart w:id="179" w:name="_Toc24887"/>
      <w:bookmarkStart w:id="180" w:name="_Toc20918"/>
      <w:bookmarkStart w:id="181" w:name="_Toc31830"/>
      <w:r>
        <w:rPr>
          <w:rFonts w:hint="eastAsia" w:ascii="仿宋" w:hAnsi="仿宋" w:eastAsia="仿宋" w:cs="仿宋"/>
          <w:b/>
          <w:bCs/>
          <w:color w:val="000000"/>
          <w:kern w:val="2"/>
          <w:sz w:val="28"/>
          <w:szCs w:val="28"/>
          <w:highlight w:val="none"/>
          <w:lang w:val="en-US" w:eastAsia="zh-CN" w:bidi="ar-SA"/>
        </w:rPr>
        <w:t>十八、供应商自行编写的技术文件</w:t>
      </w:r>
      <w:bookmarkEnd w:id="175"/>
    </w:p>
    <w:p>
      <w:pPr>
        <w:rPr>
          <w:rFonts w:hint="eastAsia"/>
          <w:lang w:val="en-US" w:eastAsia="zh-CN"/>
        </w:rPr>
      </w:pPr>
    </w:p>
    <w:p>
      <w:pPr>
        <w:pStyle w:val="5"/>
        <w:numPr>
          <w:ilvl w:val="0"/>
          <w:numId w:val="0"/>
        </w:numPr>
        <w:spacing w:line="24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包括但不限于（具体详见评标标准，否则评审专家在评审时将不予采信）：</w:t>
      </w:r>
    </w:p>
    <w:p>
      <w:p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投标人认为更有利于此次投标的其它资料；</w:t>
      </w: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lang w:val="en-US" w:eastAsia="zh-CN"/>
        </w:rPr>
      </w:pPr>
    </w:p>
    <w:p>
      <w:pPr>
        <w:pStyle w:val="4"/>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十九、投标人认为需要提供的其他资料</w:t>
      </w:r>
    </w:p>
    <w:p>
      <w:pPr>
        <w:pStyle w:val="53"/>
        <w:widowControl w:val="0"/>
        <w:numPr>
          <w:ilvl w:val="0"/>
          <w:numId w:val="0"/>
        </w:numPr>
        <w:adjustRightInd w:val="0"/>
        <w:jc w:val="center"/>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（投标人认为更有利于此次投标的其它资料，可在此附件中提交）</w:t>
      </w:r>
    </w:p>
    <w:p>
      <w:pPr>
        <w:rPr>
          <w:rFonts w:hint="eastAsia" w:ascii="仿宋" w:hAnsi="仿宋" w:eastAsia="仿宋" w:cs="仿宋"/>
          <w:b/>
          <w:bCs/>
          <w:color w:val="auto"/>
          <w:spacing w:val="60"/>
          <w:sz w:val="32"/>
          <w:szCs w:val="32"/>
          <w:highlight w:val="none"/>
        </w:rPr>
      </w:pPr>
      <w:r>
        <w:rPr>
          <w:rFonts w:hint="eastAsia" w:ascii="仿宋" w:hAnsi="仿宋" w:eastAsia="仿宋" w:cs="仿宋"/>
          <w:sz w:val="24"/>
          <w:szCs w:val="24"/>
        </w:rPr>
        <w:br w:type="page"/>
      </w:r>
    </w:p>
    <w:p>
      <w:pPr>
        <w:spacing w:line="60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pacing w:val="60"/>
          <w:sz w:val="32"/>
          <w:szCs w:val="32"/>
          <w:highlight w:val="none"/>
        </w:rPr>
        <w:t>注意事项</w:t>
      </w:r>
      <w:bookmarkEnd w:id="176"/>
      <w:bookmarkEnd w:id="177"/>
      <w:bookmarkEnd w:id="178"/>
      <w:bookmarkEnd w:id="179"/>
      <w:bookmarkEnd w:id="180"/>
      <w:bookmarkEnd w:id="181"/>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1、投标人对所附表格中要求的资料和询问应做出肯定的回答。</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2、招标文件的签字人应保证他所做的声明及对一切问题的回答的真实性和准确。</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文件将由招标人使用，并据此进行评价和判断，确定投标人的能力。</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4、投标人提交的文件将给予保密，但不退还。</w:t>
      </w:r>
    </w:p>
    <w:p>
      <w:pPr>
        <w:spacing w:line="240" w:lineRule="auto"/>
        <w:rPr>
          <w:rFonts w:hint="eastAsia" w:ascii="仿宋" w:hAnsi="仿宋" w:eastAsia="仿宋" w:cs="仿宋"/>
          <w:color w:val="auto"/>
          <w:sz w:val="20"/>
          <w:highlight w:val="none"/>
        </w:rPr>
      </w:pPr>
      <w:r>
        <w:rPr>
          <w:rFonts w:hint="eastAsia" w:ascii="仿宋" w:hAnsi="仿宋" w:eastAsia="仿宋" w:cs="仿宋"/>
          <w:color w:val="auto"/>
          <w:sz w:val="28"/>
          <w:szCs w:val="28"/>
          <w:highlight w:val="none"/>
        </w:rPr>
        <w:t xml:space="preserve">  </w:t>
      </w: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jc w:val="center"/>
        <w:rPr>
          <w:rFonts w:hint="eastAsia" w:ascii="仿宋" w:hAnsi="仿宋" w:eastAsia="仿宋" w:cs="仿宋"/>
          <w:b/>
          <w:bCs/>
          <w:color w:val="auto"/>
          <w:sz w:val="44"/>
          <w:szCs w:val="44"/>
          <w:highlight w:val="none"/>
        </w:rPr>
      </w:pPr>
    </w:p>
    <w:p>
      <w:pPr>
        <w:spacing w:line="380" w:lineRule="exact"/>
        <w:rPr>
          <w:rFonts w:hint="eastAsia" w:ascii="仿宋" w:hAnsi="仿宋" w:eastAsia="仿宋" w:cs="仿宋"/>
          <w:color w:val="auto"/>
          <w:sz w:val="28"/>
          <w:szCs w:val="28"/>
          <w:highlight w:val="none"/>
        </w:rPr>
      </w:pPr>
    </w:p>
    <w:sectPr>
      <w:headerReference r:id="rId9" w:type="default"/>
      <w:footerReference r:id="rId10"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p9xmRN4BAAC8AwAADgAA&#10;AAAAAAABACAAAAAiAQAAZHJzL2Uyb0RvYy54bWxQSwUGAAAAAAYABgBZAQAAcgU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IZtLvTAQAApQ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1LqLzTAQAApQ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6CC2A"/>
    <w:multiLevelType w:val="singleLevel"/>
    <w:tmpl w:val="BD96CC2A"/>
    <w:lvl w:ilvl="0" w:tentative="0">
      <w:start w:val="2"/>
      <w:numFmt w:val="chineseCounting"/>
      <w:suff w:val="nothing"/>
      <w:lvlText w:val="（%1）"/>
      <w:lvlJc w:val="left"/>
      <w:rPr>
        <w:rFonts w:hint="eastAsia"/>
      </w:rPr>
    </w:lvl>
  </w:abstractNum>
  <w:abstractNum w:abstractNumId="1">
    <w:nsid w:val="CE48D951"/>
    <w:multiLevelType w:val="singleLevel"/>
    <w:tmpl w:val="CE48D951"/>
    <w:lvl w:ilvl="0" w:tentative="0">
      <w:start w:val="1"/>
      <w:numFmt w:val="decimal"/>
      <w:pStyle w:val="76"/>
      <w:suff w:val="nothing"/>
      <w:lvlText w:val="%1、"/>
      <w:lvlJc w:val="left"/>
    </w:lvl>
  </w:abstractNum>
  <w:abstractNum w:abstractNumId="2">
    <w:nsid w:val="D7B87AE9"/>
    <w:multiLevelType w:val="singleLevel"/>
    <w:tmpl w:val="D7B87AE9"/>
    <w:lvl w:ilvl="0" w:tentative="0">
      <w:start w:val="1"/>
      <w:numFmt w:val="chineseCounting"/>
      <w:suff w:val="nothing"/>
      <w:lvlText w:val="%1、"/>
      <w:lvlJc w:val="left"/>
      <w:rPr>
        <w:rFonts w:hint="eastAsia"/>
      </w:rPr>
    </w:lvl>
  </w:abstractNum>
  <w:abstractNum w:abstractNumId="3">
    <w:nsid w:val="0000000C"/>
    <w:multiLevelType w:val="multilevel"/>
    <w:tmpl w:val="0000000C"/>
    <w:lvl w:ilvl="0" w:tentative="0">
      <w:start w:val="2"/>
      <w:numFmt w:val="decimal"/>
      <w:pStyle w:val="53"/>
      <w:suff w:val="nothing"/>
      <w:lvlText w:val="%1、"/>
      <w:lvlJc w:val="left"/>
    </w:lvl>
    <w:lvl w:ilvl="1" w:tentative="0">
      <w:start w:val="1"/>
      <w:numFmt w:val="decimal"/>
      <w:pStyle w:val="7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6"/>
      <w:lvlText w:val="%4)"/>
      <w:lvlJc w:val="left"/>
      <w:pPr>
        <w:tabs>
          <w:tab w:val="left" w:pos="1680"/>
        </w:tabs>
        <w:ind w:left="1680" w:hanging="420"/>
      </w:pPr>
      <w:rPr>
        <w:rFonts w:hint="default"/>
      </w:rPr>
    </w:lvl>
    <w:lvl w:ilvl="4" w:tentative="0">
      <w:start w:val="1"/>
      <w:numFmt w:val="lowerLetter"/>
      <w:pStyle w:val="7"/>
      <w:lvlText w:val="%5."/>
      <w:lvlJc w:val="left"/>
      <w:pPr>
        <w:tabs>
          <w:tab w:val="left" w:pos="2100"/>
        </w:tabs>
        <w:ind w:left="2100" w:hanging="420"/>
      </w:pPr>
      <w:rPr>
        <w:rFonts w:hint="default"/>
      </w:rPr>
    </w:lvl>
    <w:lvl w:ilvl="5" w:tentative="0">
      <w:start w:val="1"/>
      <w:numFmt w:val="lowerLetter"/>
      <w:pStyle w:val="8"/>
      <w:lvlText w:val="%6)"/>
      <w:lvlJc w:val="left"/>
      <w:pPr>
        <w:tabs>
          <w:tab w:val="left" w:pos="2520"/>
        </w:tabs>
        <w:ind w:left="2520" w:hanging="420"/>
      </w:pPr>
      <w:rPr>
        <w:rFonts w:hint="default"/>
      </w:rPr>
    </w:lvl>
    <w:lvl w:ilvl="6" w:tentative="0">
      <w:start w:val="1"/>
      <w:numFmt w:val="lowerRoman"/>
      <w:pStyle w:val="9"/>
      <w:lvlText w:val="%7."/>
      <w:lvlJc w:val="left"/>
      <w:pPr>
        <w:tabs>
          <w:tab w:val="left" w:pos="2940"/>
        </w:tabs>
        <w:ind w:left="2940" w:hanging="420"/>
      </w:pPr>
      <w:rPr>
        <w:rFonts w:hint="default"/>
      </w:rPr>
    </w:lvl>
    <w:lvl w:ilvl="7" w:tentative="0">
      <w:start w:val="1"/>
      <w:numFmt w:val="lowerRoman"/>
      <w:pStyle w:val="10"/>
      <w:lvlText w:val="%8)"/>
      <w:lvlJc w:val="left"/>
      <w:pPr>
        <w:tabs>
          <w:tab w:val="left" w:pos="3360"/>
        </w:tabs>
        <w:ind w:left="3360" w:hanging="420"/>
      </w:pPr>
      <w:rPr>
        <w:rFonts w:hint="default"/>
      </w:rPr>
    </w:lvl>
    <w:lvl w:ilvl="8" w:tentative="0">
      <w:start w:val="1"/>
      <w:numFmt w:val="lowerLetter"/>
      <w:pStyle w:val="11"/>
      <w:lvlText w:val="%9."/>
      <w:lvlJc w:val="left"/>
      <w:pPr>
        <w:tabs>
          <w:tab w:val="left" w:pos="3780"/>
        </w:tabs>
        <w:ind w:left="3780" w:hanging="420"/>
      </w:pPr>
      <w:rPr>
        <w:rFonts w:hint="default"/>
      </w:rPr>
    </w:lvl>
  </w:abstractNum>
  <w:abstractNum w:abstractNumId="4">
    <w:nsid w:val="0000001B"/>
    <w:multiLevelType w:val="singleLevel"/>
    <w:tmpl w:val="0000001B"/>
    <w:lvl w:ilvl="0" w:tentative="0">
      <w:start w:val="2"/>
      <w:numFmt w:val="chineseCounting"/>
      <w:suff w:val="nothing"/>
      <w:lvlText w:val="%1、"/>
      <w:lvlJc w:val="left"/>
    </w:lvl>
  </w:abstractNum>
  <w:abstractNum w:abstractNumId="5">
    <w:nsid w:val="0EDA69B7"/>
    <w:multiLevelType w:val="singleLevel"/>
    <w:tmpl w:val="0EDA69B7"/>
    <w:lvl w:ilvl="0" w:tentative="0">
      <w:start w:val="1"/>
      <w:numFmt w:val="decimal"/>
      <w:suff w:val="nothing"/>
      <w:lvlText w:val="%1、"/>
      <w:lvlJc w:val="left"/>
    </w:lvl>
  </w:abstractNum>
  <w:abstractNum w:abstractNumId="6">
    <w:nsid w:val="19C5E42D"/>
    <w:multiLevelType w:val="singleLevel"/>
    <w:tmpl w:val="19C5E42D"/>
    <w:lvl w:ilvl="0" w:tentative="0">
      <w:start w:val="1"/>
      <w:numFmt w:val="decimal"/>
      <w:pStyle w:val="13"/>
      <w:lvlText w:val="%1."/>
      <w:lvlJc w:val="left"/>
      <w:pPr>
        <w:tabs>
          <w:tab w:val="left" w:pos="360"/>
        </w:tabs>
        <w:ind w:left="360" w:hanging="360"/>
      </w:pPr>
    </w:lvl>
  </w:abstractNum>
  <w:abstractNum w:abstractNumId="7">
    <w:nsid w:val="3A3F27B8"/>
    <w:multiLevelType w:val="singleLevel"/>
    <w:tmpl w:val="3A3F27B8"/>
    <w:lvl w:ilvl="0" w:tentative="0">
      <w:start w:val="1"/>
      <w:numFmt w:val="decimal"/>
      <w:suff w:val="nothing"/>
      <w:lvlText w:val="%1、"/>
      <w:lvlJc w:val="left"/>
    </w:lvl>
  </w:abstractNum>
  <w:abstractNum w:abstractNumId="8">
    <w:nsid w:val="41E5A38C"/>
    <w:multiLevelType w:val="singleLevel"/>
    <w:tmpl w:val="41E5A38C"/>
    <w:lvl w:ilvl="0" w:tentative="0">
      <w:start w:val="11"/>
      <w:numFmt w:val="chineseCounting"/>
      <w:suff w:val="nothing"/>
      <w:lvlText w:val="%1、"/>
      <w:lvlJc w:val="left"/>
      <w:rPr>
        <w:rFonts w:hint="eastAsia"/>
      </w:rPr>
    </w:lvl>
  </w:abstractNum>
  <w:abstractNum w:abstractNumId="9">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A689802"/>
    <w:multiLevelType w:val="singleLevel"/>
    <w:tmpl w:val="5A689802"/>
    <w:lvl w:ilvl="0" w:tentative="0">
      <w:start w:val="10"/>
      <w:numFmt w:val="chineseCounting"/>
      <w:suff w:val="nothing"/>
      <w:lvlText w:val="%1、"/>
      <w:lvlJc w:val="left"/>
      <w:rPr>
        <w:rFonts w:hint="eastAsia"/>
      </w:rPr>
    </w:lvl>
  </w:abstractNum>
  <w:abstractNum w:abstractNumId="11">
    <w:nsid w:val="6CAAD70C"/>
    <w:multiLevelType w:val="singleLevel"/>
    <w:tmpl w:val="6CAAD70C"/>
    <w:lvl w:ilvl="0" w:tentative="0">
      <w:start w:val="11"/>
      <w:numFmt w:val="decimal"/>
      <w:suff w:val="nothing"/>
      <w:lvlText w:val="%1、"/>
      <w:lvlJc w:val="left"/>
      <w:pPr>
        <w:ind w:left="481" w:firstLine="0"/>
      </w:pPr>
    </w:lvl>
  </w:abstractNum>
  <w:abstractNum w:abstractNumId="12">
    <w:nsid w:val="75169EE5"/>
    <w:multiLevelType w:val="singleLevel"/>
    <w:tmpl w:val="75169EE5"/>
    <w:lvl w:ilvl="0" w:tentative="0">
      <w:start w:val="1"/>
      <w:numFmt w:val="decimal"/>
      <w:suff w:val="nothing"/>
      <w:lvlText w:val="%1、"/>
      <w:lvlJc w:val="left"/>
    </w:lvl>
  </w:abstractNum>
  <w:num w:numId="1">
    <w:abstractNumId w:val="3"/>
  </w:num>
  <w:num w:numId="2">
    <w:abstractNumId w:val="6"/>
  </w:num>
  <w:num w:numId="3">
    <w:abstractNumId w:val="1"/>
  </w:num>
  <w:num w:numId="4">
    <w:abstractNumId w:val="2"/>
  </w:num>
  <w:num w:numId="5">
    <w:abstractNumId w:val="11"/>
  </w:num>
  <w:num w:numId="6">
    <w:abstractNumId w:val="8"/>
  </w:num>
  <w:num w:numId="7">
    <w:abstractNumId w:val="12"/>
  </w:num>
  <w:num w:numId="8">
    <w:abstractNumId w:val="5"/>
  </w:num>
  <w:num w:numId="9">
    <w:abstractNumId w:val="7"/>
  </w:num>
  <w:num w:numId="10">
    <w:abstractNumId w:val="9"/>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ZmUwZjViN2Y4MmNjNTg5MTc4N2NlNTk2MmEwM2QifQ=="/>
  </w:docVars>
  <w:rsids>
    <w:rsidRoot w:val="00172A27"/>
    <w:rsid w:val="000F78F8"/>
    <w:rsid w:val="00164C33"/>
    <w:rsid w:val="002F5EFC"/>
    <w:rsid w:val="002F6D43"/>
    <w:rsid w:val="004852A3"/>
    <w:rsid w:val="006843FA"/>
    <w:rsid w:val="006A7838"/>
    <w:rsid w:val="00735ACC"/>
    <w:rsid w:val="0078578F"/>
    <w:rsid w:val="00842086"/>
    <w:rsid w:val="009D1D6B"/>
    <w:rsid w:val="00A54779"/>
    <w:rsid w:val="00B42D9D"/>
    <w:rsid w:val="00B71FBF"/>
    <w:rsid w:val="00C56DFF"/>
    <w:rsid w:val="00D41950"/>
    <w:rsid w:val="00D4336C"/>
    <w:rsid w:val="00D70EA7"/>
    <w:rsid w:val="00E3321F"/>
    <w:rsid w:val="00E77F2B"/>
    <w:rsid w:val="00E83F8F"/>
    <w:rsid w:val="00EF1595"/>
    <w:rsid w:val="00FD7FED"/>
    <w:rsid w:val="014673F9"/>
    <w:rsid w:val="017753C6"/>
    <w:rsid w:val="017F5739"/>
    <w:rsid w:val="01916D9E"/>
    <w:rsid w:val="01D10442"/>
    <w:rsid w:val="01DE5A0A"/>
    <w:rsid w:val="022A7A8C"/>
    <w:rsid w:val="024A0BA6"/>
    <w:rsid w:val="025678F5"/>
    <w:rsid w:val="02647AD4"/>
    <w:rsid w:val="02C1531D"/>
    <w:rsid w:val="03164A81"/>
    <w:rsid w:val="033A01A8"/>
    <w:rsid w:val="03793B97"/>
    <w:rsid w:val="03833451"/>
    <w:rsid w:val="03895ADE"/>
    <w:rsid w:val="03C61693"/>
    <w:rsid w:val="03CA7259"/>
    <w:rsid w:val="03D604BB"/>
    <w:rsid w:val="04257B1C"/>
    <w:rsid w:val="048C2C9E"/>
    <w:rsid w:val="04FD70C7"/>
    <w:rsid w:val="0510448D"/>
    <w:rsid w:val="05536562"/>
    <w:rsid w:val="055920B6"/>
    <w:rsid w:val="05621F2C"/>
    <w:rsid w:val="05692D56"/>
    <w:rsid w:val="05DC228D"/>
    <w:rsid w:val="060D148A"/>
    <w:rsid w:val="062B7991"/>
    <w:rsid w:val="06717375"/>
    <w:rsid w:val="06AF013D"/>
    <w:rsid w:val="06F9464B"/>
    <w:rsid w:val="07436C5F"/>
    <w:rsid w:val="07B25F62"/>
    <w:rsid w:val="07BA1167"/>
    <w:rsid w:val="07E01D22"/>
    <w:rsid w:val="07E15CC2"/>
    <w:rsid w:val="082F3FD3"/>
    <w:rsid w:val="08F5187D"/>
    <w:rsid w:val="091559BB"/>
    <w:rsid w:val="095C4021"/>
    <w:rsid w:val="097A4F8F"/>
    <w:rsid w:val="099A5D5B"/>
    <w:rsid w:val="09F758E1"/>
    <w:rsid w:val="0A035572"/>
    <w:rsid w:val="0A8214DE"/>
    <w:rsid w:val="0A932CCA"/>
    <w:rsid w:val="0A964AA8"/>
    <w:rsid w:val="0AB637A9"/>
    <w:rsid w:val="0AD1579D"/>
    <w:rsid w:val="0B410F8B"/>
    <w:rsid w:val="0B58238F"/>
    <w:rsid w:val="0B7E012E"/>
    <w:rsid w:val="0B8C1F3D"/>
    <w:rsid w:val="0BBA6113"/>
    <w:rsid w:val="0BD81D82"/>
    <w:rsid w:val="0C6243A4"/>
    <w:rsid w:val="0C70367A"/>
    <w:rsid w:val="0CC54204"/>
    <w:rsid w:val="0D3851A2"/>
    <w:rsid w:val="0D410B01"/>
    <w:rsid w:val="0DC54E21"/>
    <w:rsid w:val="0E187EE3"/>
    <w:rsid w:val="0E395338"/>
    <w:rsid w:val="0EAC48BD"/>
    <w:rsid w:val="0EBF3FBE"/>
    <w:rsid w:val="0F2A5FF8"/>
    <w:rsid w:val="0F2D4EC8"/>
    <w:rsid w:val="0F3B0774"/>
    <w:rsid w:val="0F597EC1"/>
    <w:rsid w:val="0F6D24C6"/>
    <w:rsid w:val="1046608D"/>
    <w:rsid w:val="105D6BCF"/>
    <w:rsid w:val="10824ED0"/>
    <w:rsid w:val="108B08F2"/>
    <w:rsid w:val="10907D37"/>
    <w:rsid w:val="11114205"/>
    <w:rsid w:val="1120496E"/>
    <w:rsid w:val="11693E13"/>
    <w:rsid w:val="11D9089D"/>
    <w:rsid w:val="11E93B5E"/>
    <w:rsid w:val="12723C85"/>
    <w:rsid w:val="12C246A7"/>
    <w:rsid w:val="131655CE"/>
    <w:rsid w:val="1320787A"/>
    <w:rsid w:val="134C2C02"/>
    <w:rsid w:val="13EA53A0"/>
    <w:rsid w:val="14710DC1"/>
    <w:rsid w:val="14754F4B"/>
    <w:rsid w:val="14D868FD"/>
    <w:rsid w:val="153F193C"/>
    <w:rsid w:val="15524BE4"/>
    <w:rsid w:val="15DB6150"/>
    <w:rsid w:val="162D6097"/>
    <w:rsid w:val="165E2C35"/>
    <w:rsid w:val="17292AE8"/>
    <w:rsid w:val="175B1B2C"/>
    <w:rsid w:val="178253FE"/>
    <w:rsid w:val="17842684"/>
    <w:rsid w:val="17A0586A"/>
    <w:rsid w:val="184F474B"/>
    <w:rsid w:val="1867248F"/>
    <w:rsid w:val="18725D99"/>
    <w:rsid w:val="189E2620"/>
    <w:rsid w:val="18D46954"/>
    <w:rsid w:val="191663F0"/>
    <w:rsid w:val="197163E1"/>
    <w:rsid w:val="19A253D3"/>
    <w:rsid w:val="19D40F30"/>
    <w:rsid w:val="1A094190"/>
    <w:rsid w:val="1A415875"/>
    <w:rsid w:val="1B2158C7"/>
    <w:rsid w:val="1C006EAF"/>
    <w:rsid w:val="1C190A99"/>
    <w:rsid w:val="1C206580"/>
    <w:rsid w:val="1C3D63ED"/>
    <w:rsid w:val="1C5D66E6"/>
    <w:rsid w:val="1CCB2A5A"/>
    <w:rsid w:val="1CD91ED5"/>
    <w:rsid w:val="1CE2284F"/>
    <w:rsid w:val="1CE27665"/>
    <w:rsid w:val="1D1F7314"/>
    <w:rsid w:val="1D985169"/>
    <w:rsid w:val="1DAA1CFA"/>
    <w:rsid w:val="1DF47391"/>
    <w:rsid w:val="1E046ED9"/>
    <w:rsid w:val="1E0B6D0F"/>
    <w:rsid w:val="1E436CBC"/>
    <w:rsid w:val="1E4F29BA"/>
    <w:rsid w:val="1E4F50EF"/>
    <w:rsid w:val="1E8C66EB"/>
    <w:rsid w:val="1E9637FD"/>
    <w:rsid w:val="1EBB7EAA"/>
    <w:rsid w:val="1F026509"/>
    <w:rsid w:val="1F771A4D"/>
    <w:rsid w:val="202265AF"/>
    <w:rsid w:val="20451F26"/>
    <w:rsid w:val="206705CC"/>
    <w:rsid w:val="207C716F"/>
    <w:rsid w:val="20A6633B"/>
    <w:rsid w:val="20D11B48"/>
    <w:rsid w:val="20F011EF"/>
    <w:rsid w:val="21310218"/>
    <w:rsid w:val="21A16738"/>
    <w:rsid w:val="21BA4918"/>
    <w:rsid w:val="21BB1762"/>
    <w:rsid w:val="21DC0A70"/>
    <w:rsid w:val="21DD2101"/>
    <w:rsid w:val="21E620E9"/>
    <w:rsid w:val="21FA7FF4"/>
    <w:rsid w:val="220215B6"/>
    <w:rsid w:val="22702D55"/>
    <w:rsid w:val="23915BF2"/>
    <w:rsid w:val="23AE6F3A"/>
    <w:rsid w:val="23F9781D"/>
    <w:rsid w:val="247B615F"/>
    <w:rsid w:val="248E4857"/>
    <w:rsid w:val="24ED1F1B"/>
    <w:rsid w:val="2567077F"/>
    <w:rsid w:val="259B4ADE"/>
    <w:rsid w:val="25BB2B7A"/>
    <w:rsid w:val="25ED53CE"/>
    <w:rsid w:val="262D4932"/>
    <w:rsid w:val="26360BC2"/>
    <w:rsid w:val="26527375"/>
    <w:rsid w:val="266542FD"/>
    <w:rsid w:val="26845B90"/>
    <w:rsid w:val="26955E2C"/>
    <w:rsid w:val="26A15028"/>
    <w:rsid w:val="26F70735"/>
    <w:rsid w:val="27585507"/>
    <w:rsid w:val="275E310C"/>
    <w:rsid w:val="27AB234F"/>
    <w:rsid w:val="27C54C43"/>
    <w:rsid w:val="27CB1478"/>
    <w:rsid w:val="27D677D0"/>
    <w:rsid w:val="27FE496D"/>
    <w:rsid w:val="281015F1"/>
    <w:rsid w:val="285D6E5B"/>
    <w:rsid w:val="28727659"/>
    <w:rsid w:val="28845CC2"/>
    <w:rsid w:val="28A702B9"/>
    <w:rsid w:val="28AA25E9"/>
    <w:rsid w:val="28BE3623"/>
    <w:rsid w:val="28C96735"/>
    <w:rsid w:val="28DB6EAA"/>
    <w:rsid w:val="296C4096"/>
    <w:rsid w:val="29A123BB"/>
    <w:rsid w:val="29B80F87"/>
    <w:rsid w:val="2A3558B4"/>
    <w:rsid w:val="2A613DB9"/>
    <w:rsid w:val="2AA8758A"/>
    <w:rsid w:val="2AAE6BCF"/>
    <w:rsid w:val="2AE06085"/>
    <w:rsid w:val="2B433BE2"/>
    <w:rsid w:val="2BC316BB"/>
    <w:rsid w:val="2C0078D2"/>
    <w:rsid w:val="2C2B5431"/>
    <w:rsid w:val="2C2C721C"/>
    <w:rsid w:val="2CDA0972"/>
    <w:rsid w:val="2D3F156A"/>
    <w:rsid w:val="2D4F7387"/>
    <w:rsid w:val="2D913ECB"/>
    <w:rsid w:val="2DC16D9B"/>
    <w:rsid w:val="2E231423"/>
    <w:rsid w:val="2E4B76EC"/>
    <w:rsid w:val="2EC51780"/>
    <w:rsid w:val="2EF56EA2"/>
    <w:rsid w:val="2F1D1D8E"/>
    <w:rsid w:val="2F2A04CA"/>
    <w:rsid w:val="2F4C12F7"/>
    <w:rsid w:val="2F52087C"/>
    <w:rsid w:val="2F570AD7"/>
    <w:rsid w:val="2F84708E"/>
    <w:rsid w:val="2F9D1627"/>
    <w:rsid w:val="2FA0650B"/>
    <w:rsid w:val="2FD76221"/>
    <w:rsid w:val="2FEA776D"/>
    <w:rsid w:val="300A4BE4"/>
    <w:rsid w:val="302225B6"/>
    <w:rsid w:val="302945C4"/>
    <w:rsid w:val="30384235"/>
    <w:rsid w:val="306758CD"/>
    <w:rsid w:val="30B240A1"/>
    <w:rsid w:val="30EB3AFB"/>
    <w:rsid w:val="30F465F9"/>
    <w:rsid w:val="30F9075B"/>
    <w:rsid w:val="31665252"/>
    <w:rsid w:val="317131A4"/>
    <w:rsid w:val="31CB168D"/>
    <w:rsid w:val="31D01CB1"/>
    <w:rsid w:val="31EB38F9"/>
    <w:rsid w:val="31F877A0"/>
    <w:rsid w:val="320B3E33"/>
    <w:rsid w:val="3256662F"/>
    <w:rsid w:val="32731930"/>
    <w:rsid w:val="329218B6"/>
    <w:rsid w:val="332E6D2C"/>
    <w:rsid w:val="33374CE0"/>
    <w:rsid w:val="33650BC1"/>
    <w:rsid w:val="33A9307D"/>
    <w:rsid w:val="33AD37C7"/>
    <w:rsid w:val="33F64849"/>
    <w:rsid w:val="34024F70"/>
    <w:rsid w:val="3405793E"/>
    <w:rsid w:val="341A69F5"/>
    <w:rsid w:val="342601B1"/>
    <w:rsid w:val="347C79C5"/>
    <w:rsid w:val="34D23D8F"/>
    <w:rsid w:val="34E17CC1"/>
    <w:rsid w:val="351C3972"/>
    <w:rsid w:val="357830FD"/>
    <w:rsid w:val="358A639D"/>
    <w:rsid w:val="35DD617F"/>
    <w:rsid w:val="36101977"/>
    <w:rsid w:val="363A12E4"/>
    <w:rsid w:val="365517B7"/>
    <w:rsid w:val="36722E94"/>
    <w:rsid w:val="3681127D"/>
    <w:rsid w:val="368C74AA"/>
    <w:rsid w:val="369A4AAB"/>
    <w:rsid w:val="36B63A76"/>
    <w:rsid w:val="36D16E9F"/>
    <w:rsid w:val="37180D0B"/>
    <w:rsid w:val="37352257"/>
    <w:rsid w:val="374C7D9F"/>
    <w:rsid w:val="374F4745"/>
    <w:rsid w:val="375A3AF3"/>
    <w:rsid w:val="37622048"/>
    <w:rsid w:val="381370C2"/>
    <w:rsid w:val="38C60AB9"/>
    <w:rsid w:val="38EE5DE8"/>
    <w:rsid w:val="38FA6EBF"/>
    <w:rsid w:val="39083B56"/>
    <w:rsid w:val="39492C1E"/>
    <w:rsid w:val="395E28CA"/>
    <w:rsid w:val="39DD53FD"/>
    <w:rsid w:val="3A05640B"/>
    <w:rsid w:val="3A34505A"/>
    <w:rsid w:val="3A442FE9"/>
    <w:rsid w:val="3A5969B4"/>
    <w:rsid w:val="3B634059"/>
    <w:rsid w:val="3B7F4C3A"/>
    <w:rsid w:val="3B887742"/>
    <w:rsid w:val="3B9628EE"/>
    <w:rsid w:val="3B9B23CA"/>
    <w:rsid w:val="3C3A012D"/>
    <w:rsid w:val="3C457305"/>
    <w:rsid w:val="3C5B7C42"/>
    <w:rsid w:val="3C621722"/>
    <w:rsid w:val="3CB31014"/>
    <w:rsid w:val="3CE17E80"/>
    <w:rsid w:val="3CF83553"/>
    <w:rsid w:val="3D2F72C4"/>
    <w:rsid w:val="3D3D6556"/>
    <w:rsid w:val="3DE758F0"/>
    <w:rsid w:val="3DF46EE2"/>
    <w:rsid w:val="3E0151D6"/>
    <w:rsid w:val="3E3B3C8A"/>
    <w:rsid w:val="3E5F0393"/>
    <w:rsid w:val="3EA70407"/>
    <w:rsid w:val="3EB267C9"/>
    <w:rsid w:val="3EDA5274"/>
    <w:rsid w:val="3F1D60A0"/>
    <w:rsid w:val="3F6E1C6A"/>
    <w:rsid w:val="3FA13A7E"/>
    <w:rsid w:val="3FB90913"/>
    <w:rsid w:val="3FC94073"/>
    <w:rsid w:val="403826DB"/>
    <w:rsid w:val="406946E9"/>
    <w:rsid w:val="41661607"/>
    <w:rsid w:val="41B164B6"/>
    <w:rsid w:val="41CF588A"/>
    <w:rsid w:val="41D628A7"/>
    <w:rsid w:val="41E24788"/>
    <w:rsid w:val="41EE08A5"/>
    <w:rsid w:val="420C2C04"/>
    <w:rsid w:val="427325F4"/>
    <w:rsid w:val="42882165"/>
    <w:rsid w:val="430C2C22"/>
    <w:rsid w:val="439E61FC"/>
    <w:rsid w:val="44213529"/>
    <w:rsid w:val="44BD7C24"/>
    <w:rsid w:val="44DD2EE3"/>
    <w:rsid w:val="450D65D4"/>
    <w:rsid w:val="455E4BA2"/>
    <w:rsid w:val="456071E7"/>
    <w:rsid w:val="45863910"/>
    <w:rsid w:val="459D123E"/>
    <w:rsid w:val="45DC5978"/>
    <w:rsid w:val="45EB3DD6"/>
    <w:rsid w:val="461C6256"/>
    <w:rsid w:val="46291EB8"/>
    <w:rsid w:val="462D5C7F"/>
    <w:rsid w:val="46325C58"/>
    <w:rsid w:val="46466F77"/>
    <w:rsid w:val="466149D1"/>
    <w:rsid w:val="467008B0"/>
    <w:rsid w:val="46A74B88"/>
    <w:rsid w:val="46B76B4B"/>
    <w:rsid w:val="46BA07E8"/>
    <w:rsid w:val="46E4489A"/>
    <w:rsid w:val="47304E59"/>
    <w:rsid w:val="47B944D6"/>
    <w:rsid w:val="47E44BEF"/>
    <w:rsid w:val="48690401"/>
    <w:rsid w:val="486D481D"/>
    <w:rsid w:val="48AC1460"/>
    <w:rsid w:val="48B40A50"/>
    <w:rsid w:val="48C87B66"/>
    <w:rsid w:val="48E716FF"/>
    <w:rsid w:val="49154F13"/>
    <w:rsid w:val="493731C3"/>
    <w:rsid w:val="496E2020"/>
    <w:rsid w:val="4971269F"/>
    <w:rsid w:val="498B2FA1"/>
    <w:rsid w:val="49C71CCA"/>
    <w:rsid w:val="49E13B64"/>
    <w:rsid w:val="4A1B7A43"/>
    <w:rsid w:val="4A2732E1"/>
    <w:rsid w:val="4A2951D7"/>
    <w:rsid w:val="4A4D0245"/>
    <w:rsid w:val="4A9D7E98"/>
    <w:rsid w:val="4AED40DB"/>
    <w:rsid w:val="4B037A9E"/>
    <w:rsid w:val="4B5931AB"/>
    <w:rsid w:val="4B9F73FC"/>
    <w:rsid w:val="4BA708E2"/>
    <w:rsid w:val="4C272F70"/>
    <w:rsid w:val="4C770388"/>
    <w:rsid w:val="4C863258"/>
    <w:rsid w:val="4CA014AC"/>
    <w:rsid w:val="4CD7475C"/>
    <w:rsid w:val="4D2F41FE"/>
    <w:rsid w:val="4D3105D5"/>
    <w:rsid w:val="4D790D7A"/>
    <w:rsid w:val="4D8773EE"/>
    <w:rsid w:val="4DB724AF"/>
    <w:rsid w:val="4DF32B56"/>
    <w:rsid w:val="4E37382D"/>
    <w:rsid w:val="4E627E3E"/>
    <w:rsid w:val="4E984E43"/>
    <w:rsid w:val="4F59232C"/>
    <w:rsid w:val="4F8B03CD"/>
    <w:rsid w:val="4FBF0985"/>
    <w:rsid w:val="4FF2658A"/>
    <w:rsid w:val="50646DBF"/>
    <w:rsid w:val="506C4329"/>
    <w:rsid w:val="512F2209"/>
    <w:rsid w:val="51681AE8"/>
    <w:rsid w:val="518728D1"/>
    <w:rsid w:val="519F6E1A"/>
    <w:rsid w:val="51A60DC3"/>
    <w:rsid w:val="52103A14"/>
    <w:rsid w:val="521C76E1"/>
    <w:rsid w:val="52BB5599"/>
    <w:rsid w:val="52E2398A"/>
    <w:rsid w:val="52F3391C"/>
    <w:rsid w:val="530E61AC"/>
    <w:rsid w:val="53151A46"/>
    <w:rsid w:val="531C15FC"/>
    <w:rsid w:val="53395CCF"/>
    <w:rsid w:val="53510116"/>
    <w:rsid w:val="53AD5812"/>
    <w:rsid w:val="541E5E06"/>
    <w:rsid w:val="545413CC"/>
    <w:rsid w:val="549C486F"/>
    <w:rsid w:val="54B47EFB"/>
    <w:rsid w:val="54DB0F18"/>
    <w:rsid w:val="55011C7A"/>
    <w:rsid w:val="55543AF1"/>
    <w:rsid w:val="55706241"/>
    <w:rsid w:val="559C6CBA"/>
    <w:rsid w:val="55A91602"/>
    <w:rsid w:val="55B94875"/>
    <w:rsid w:val="55D51B93"/>
    <w:rsid w:val="5719502F"/>
    <w:rsid w:val="578339E3"/>
    <w:rsid w:val="57C54D03"/>
    <w:rsid w:val="57E53B64"/>
    <w:rsid w:val="583409BB"/>
    <w:rsid w:val="583515C0"/>
    <w:rsid w:val="588F48D4"/>
    <w:rsid w:val="58AB7BD9"/>
    <w:rsid w:val="58AF759C"/>
    <w:rsid w:val="58E66A6D"/>
    <w:rsid w:val="597328A2"/>
    <w:rsid w:val="59DB079F"/>
    <w:rsid w:val="59E27009"/>
    <w:rsid w:val="59FA4317"/>
    <w:rsid w:val="5A6539D1"/>
    <w:rsid w:val="5A88315D"/>
    <w:rsid w:val="5AA2162F"/>
    <w:rsid w:val="5ADD5E18"/>
    <w:rsid w:val="5B212785"/>
    <w:rsid w:val="5BB500C9"/>
    <w:rsid w:val="5C2E0652"/>
    <w:rsid w:val="5C514CA0"/>
    <w:rsid w:val="5CA57B86"/>
    <w:rsid w:val="5CC77C96"/>
    <w:rsid w:val="5CF557A7"/>
    <w:rsid w:val="5D2327C3"/>
    <w:rsid w:val="5D523508"/>
    <w:rsid w:val="5D546753"/>
    <w:rsid w:val="5D6D7EF5"/>
    <w:rsid w:val="5DA930C5"/>
    <w:rsid w:val="5DFE458C"/>
    <w:rsid w:val="5E0A1538"/>
    <w:rsid w:val="5E2A239D"/>
    <w:rsid w:val="5E5B1E18"/>
    <w:rsid w:val="5F480A20"/>
    <w:rsid w:val="5F541A66"/>
    <w:rsid w:val="5F6A29B1"/>
    <w:rsid w:val="5FDF599A"/>
    <w:rsid w:val="5FE56811"/>
    <w:rsid w:val="5FF37A81"/>
    <w:rsid w:val="602C45FD"/>
    <w:rsid w:val="60795CBD"/>
    <w:rsid w:val="60F23855"/>
    <w:rsid w:val="60F47BEC"/>
    <w:rsid w:val="61816125"/>
    <w:rsid w:val="624806F1"/>
    <w:rsid w:val="629D0895"/>
    <w:rsid w:val="62C0222F"/>
    <w:rsid w:val="63443247"/>
    <w:rsid w:val="63CE5C30"/>
    <w:rsid w:val="63EA5A54"/>
    <w:rsid w:val="6415508D"/>
    <w:rsid w:val="644019DA"/>
    <w:rsid w:val="648038FA"/>
    <w:rsid w:val="658978B2"/>
    <w:rsid w:val="65EB6652"/>
    <w:rsid w:val="66212F88"/>
    <w:rsid w:val="66496768"/>
    <w:rsid w:val="66574FE9"/>
    <w:rsid w:val="669727FD"/>
    <w:rsid w:val="66C8233B"/>
    <w:rsid w:val="66F629D6"/>
    <w:rsid w:val="6744454D"/>
    <w:rsid w:val="67754838"/>
    <w:rsid w:val="67762C3A"/>
    <w:rsid w:val="677A4210"/>
    <w:rsid w:val="679B13E4"/>
    <w:rsid w:val="67F264CF"/>
    <w:rsid w:val="67FF6CD4"/>
    <w:rsid w:val="681A7E9D"/>
    <w:rsid w:val="691E5105"/>
    <w:rsid w:val="696B5AAD"/>
    <w:rsid w:val="69803202"/>
    <w:rsid w:val="69F60484"/>
    <w:rsid w:val="6A354541"/>
    <w:rsid w:val="6A6F5F93"/>
    <w:rsid w:val="6B453FD7"/>
    <w:rsid w:val="6B5B576C"/>
    <w:rsid w:val="6B707A3D"/>
    <w:rsid w:val="6B7B1A68"/>
    <w:rsid w:val="6BA537D6"/>
    <w:rsid w:val="6BB1273B"/>
    <w:rsid w:val="6BB85D17"/>
    <w:rsid w:val="6BC82C73"/>
    <w:rsid w:val="6C071FC4"/>
    <w:rsid w:val="6C2C7FB1"/>
    <w:rsid w:val="6C5B4CE2"/>
    <w:rsid w:val="6D535911"/>
    <w:rsid w:val="6D7878FB"/>
    <w:rsid w:val="6DBA6446"/>
    <w:rsid w:val="6DC64D96"/>
    <w:rsid w:val="6DE61BA4"/>
    <w:rsid w:val="6E7D3EAA"/>
    <w:rsid w:val="6EC47B07"/>
    <w:rsid w:val="6EEE1ED2"/>
    <w:rsid w:val="6EF9070E"/>
    <w:rsid w:val="6EFA2348"/>
    <w:rsid w:val="6EFC7DC4"/>
    <w:rsid w:val="6FBC32DD"/>
    <w:rsid w:val="6FC92611"/>
    <w:rsid w:val="6FEB70E8"/>
    <w:rsid w:val="70017D21"/>
    <w:rsid w:val="702678A4"/>
    <w:rsid w:val="70957B36"/>
    <w:rsid w:val="70BA2FFA"/>
    <w:rsid w:val="713A744C"/>
    <w:rsid w:val="7141561C"/>
    <w:rsid w:val="71465DA4"/>
    <w:rsid w:val="715A74D5"/>
    <w:rsid w:val="718E0763"/>
    <w:rsid w:val="71B50FA0"/>
    <w:rsid w:val="71D37FA9"/>
    <w:rsid w:val="723E5522"/>
    <w:rsid w:val="7268421C"/>
    <w:rsid w:val="72A82C84"/>
    <w:rsid w:val="72AA61C2"/>
    <w:rsid w:val="73050C51"/>
    <w:rsid w:val="733F6D56"/>
    <w:rsid w:val="73870838"/>
    <w:rsid w:val="739871D5"/>
    <w:rsid w:val="73F11288"/>
    <w:rsid w:val="73F23F7B"/>
    <w:rsid w:val="74067081"/>
    <w:rsid w:val="741C1C19"/>
    <w:rsid w:val="745E05AD"/>
    <w:rsid w:val="74835184"/>
    <w:rsid w:val="74A4132C"/>
    <w:rsid w:val="75787206"/>
    <w:rsid w:val="75A512B8"/>
    <w:rsid w:val="75BF77EE"/>
    <w:rsid w:val="75D70FF2"/>
    <w:rsid w:val="75F479B7"/>
    <w:rsid w:val="75FA1E0C"/>
    <w:rsid w:val="75FB3FF3"/>
    <w:rsid w:val="76186A30"/>
    <w:rsid w:val="762C31BE"/>
    <w:rsid w:val="7653467E"/>
    <w:rsid w:val="772B4ED2"/>
    <w:rsid w:val="77777E50"/>
    <w:rsid w:val="77E652C6"/>
    <w:rsid w:val="782563F5"/>
    <w:rsid w:val="78880F29"/>
    <w:rsid w:val="794723D1"/>
    <w:rsid w:val="7977267E"/>
    <w:rsid w:val="7AA6237E"/>
    <w:rsid w:val="7AB67AD9"/>
    <w:rsid w:val="7ACA6A91"/>
    <w:rsid w:val="7ACE1913"/>
    <w:rsid w:val="7B0E23F7"/>
    <w:rsid w:val="7B515EAC"/>
    <w:rsid w:val="7BAA251B"/>
    <w:rsid w:val="7C06770E"/>
    <w:rsid w:val="7C6F65A8"/>
    <w:rsid w:val="7C8E03A3"/>
    <w:rsid w:val="7C90112B"/>
    <w:rsid w:val="7C946125"/>
    <w:rsid w:val="7CC32006"/>
    <w:rsid w:val="7CD35C4B"/>
    <w:rsid w:val="7CD67A48"/>
    <w:rsid w:val="7CE017BB"/>
    <w:rsid w:val="7CE335DB"/>
    <w:rsid w:val="7D0664BA"/>
    <w:rsid w:val="7D2324BD"/>
    <w:rsid w:val="7DE61A14"/>
    <w:rsid w:val="7E0D5970"/>
    <w:rsid w:val="7E3566D4"/>
    <w:rsid w:val="7E367B16"/>
    <w:rsid w:val="7E3937A2"/>
    <w:rsid w:val="7E5A6E32"/>
    <w:rsid w:val="7E604E32"/>
    <w:rsid w:val="7EC34539"/>
    <w:rsid w:val="7F3103EC"/>
    <w:rsid w:val="7F5176FB"/>
    <w:rsid w:val="7FB97105"/>
    <w:rsid w:val="7FD65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31"/>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5">
    <w:name w:val="heading 3"/>
    <w:basedOn w:val="1"/>
    <w:next w:val="1"/>
    <w:link w:val="142"/>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link w:val="1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32"/>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0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9">
    <w:name w:val="heading 7"/>
    <w:basedOn w:val="1"/>
    <w:next w:val="1"/>
    <w:link w:val="133"/>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0">
    <w:name w:val="heading 8"/>
    <w:basedOn w:val="1"/>
    <w:next w:val="1"/>
    <w:link w:val="11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1">
    <w:name w:val="heading 9"/>
    <w:basedOn w:val="1"/>
    <w:next w:val="1"/>
    <w:link w:val="13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link w:val="46"/>
    <w:qFormat/>
    <w:uiPriority w:val="0"/>
    <w:rPr>
      <w:szCs w:val="21"/>
    </w:rPr>
  </w:style>
  <w:style w:type="table" w:default="1" w:styleId="4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3"/>
    <w:basedOn w:val="1"/>
    <w:qFormat/>
    <w:uiPriority w:val="0"/>
    <w:pPr>
      <w:ind w:left="100" w:leftChars="400" w:hanging="200" w:hangingChars="200"/>
    </w:pPr>
    <w:rPr>
      <w:szCs w:val="24"/>
    </w:rPr>
  </w:style>
  <w:style w:type="paragraph" w:styleId="13">
    <w:name w:val="List Number"/>
    <w:basedOn w:val="1"/>
    <w:qFormat/>
    <w:uiPriority w:val="0"/>
    <w:pPr>
      <w:numPr>
        <w:ilvl w:val="0"/>
        <w:numId w:val="2"/>
      </w:numPr>
    </w:pPr>
  </w:style>
  <w:style w:type="paragraph" w:styleId="14">
    <w:name w:val="Normal Indent"/>
    <w:basedOn w:val="1"/>
    <w:next w:val="1"/>
    <w:qFormat/>
    <w:uiPriority w:val="0"/>
    <w:pPr>
      <w:adjustRightInd w:val="0"/>
      <w:ind w:firstLine="420"/>
    </w:pPr>
    <w:rPr>
      <w:rFonts w:eastAsia="楷体_GB2312"/>
      <w:sz w:val="24"/>
      <w:lang w:val="en-US" w:eastAsia="zh-CN" w:bidi="ar-SA"/>
    </w:r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Document Map"/>
    <w:basedOn w:val="1"/>
    <w:link w:val="111"/>
    <w:qFormat/>
    <w:uiPriority w:val="0"/>
    <w:pPr>
      <w:shd w:val="clear" w:color="auto" w:fill="000080"/>
    </w:pPr>
    <w:rPr>
      <w:szCs w:val="24"/>
    </w:rPr>
  </w:style>
  <w:style w:type="paragraph" w:styleId="17">
    <w:name w:val="toa heading"/>
    <w:basedOn w:val="1"/>
    <w:next w:val="1"/>
    <w:qFormat/>
    <w:uiPriority w:val="0"/>
    <w:rPr>
      <w:rFonts w:ascii="Arial" w:hAnsi="Arial"/>
      <w:sz w:val="24"/>
    </w:rPr>
  </w:style>
  <w:style w:type="paragraph" w:styleId="18">
    <w:name w:val="annotation text"/>
    <w:basedOn w:val="1"/>
    <w:link w:val="94"/>
    <w:qFormat/>
    <w:uiPriority w:val="0"/>
    <w:pPr>
      <w:jc w:val="left"/>
    </w:pPr>
  </w:style>
  <w:style w:type="paragraph" w:styleId="19">
    <w:name w:val="Body Text 3"/>
    <w:basedOn w:val="1"/>
    <w:link w:val="134"/>
    <w:qFormat/>
    <w:uiPriority w:val="0"/>
    <w:pPr>
      <w:spacing w:after="120"/>
    </w:pPr>
    <w:rPr>
      <w:sz w:val="16"/>
      <w:szCs w:val="16"/>
    </w:rPr>
  </w:style>
  <w:style w:type="paragraph" w:styleId="20">
    <w:name w:val="Body Text"/>
    <w:basedOn w:val="1"/>
    <w:next w:val="1"/>
    <w:link w:val="125"/>
    <w:qFormat/>
    <w:uiPriority w:val="0"/>
    <w:pPr>
      <w:spacing w:after="120"/>
    </w:pPr>
    <w:rPr>
      <w:szCs w:val="24"/>
    </w:rPr>
  </w:style>
  <w:style w:type="paragraph" w:styleId="21">
    <w:name w:val="Body Text Indent"/>
    <w:basedOn w:val="1"/>
    <w:next w:val="2"/>
    <w:link w:val="118"/>
    <w:qFormat/>
    <w:uiPriority w:val="0"/>
    <w:pPr>
      <w:spacing w:line="360" w:lineRule="auto"/>
      <w:ind w:firstLine="560" w:firstLineChars="200"/>
    </w:pPr>
    <w:rPr>
      <w:sz w:val="28"/>
    </w:rPr>
  </w:style>
  <w:style w:type="paragraph" w:styleId="22">
    <w:name w:val="List 2"/>
    <w:basedOn w:val="1"/>
    <w:qFormat/>
    <w:uiPriority w:val="0"/>
    <w:pPr>
      <w:ind w:left="100" w:leftChars="200" w:hanging="200" w:hangingChars="2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next w:val="25"/>
    <w:link w:val="114"/>
    <w:qFormat/>
    <w:uiPriority w:val="0"/>
    <w:rPr>
      <w:rFonts w:ascii="宋体" w:hAnsi="Courier New"/>
    </w:rPr>
  </w:style>
  <w:style w:type="paragraph" w:styleId="25">
    <w:name w:val="index 7"/>
    <w:basedOn w:val="1"/>
    <w:next w:val="1"/>
    <w:qFormat/>
    <w:uiPriority w:val="0"/>
    <w:pPr>
      <w:ind w:left="1200" w:leftChars="1200"/>
    </w:pPr>
    <w:rPr>
      <w:szCs w:val="24"/>
    </w:rPr>
  </w:style>
  <w:style w:type="paragraph" w:styleId="26">
    <w:name w:val="Date"/>
    <w:basedOn w:val="1"/>
    <w:next w:val="1"/>
    <w:link w:val="128"/>
    <w:qFormat/>
    <w:uiPriority w:val="0"/>
    <w:pPr>
      <w:ind w:left="100" w:leftChars="2500"/>
    </w:pPr>
    <w:rPr>
      <w:szCs w:val="24"/>
    </w:rPr>
  </w:style>
  <w:style w:type="paragraph" w:styleId="27">
    <w:name w:val="Body Text Indent 2"/>
    <w:basedOn w:val="1"/>
    <w:link w:val="136"/>
    <w:qFormat/>
    <w:uiPriority w:val="0"/>
    <w:pPr>
      <w:spacing w:after="120" w:line="480" w:lineRule="auto"/>
      <w:ind w:left="420" w:leftChars="200"/>
    </w:pPr>
    <w:rPr>
      <w:szCs w:val="24"/>
    </w:rPr>
  </w:style>
  <w:style w:type="paragraph" w:styleId="28">
    <w:name w:val="Balloon Text"/>
    <w:basedOn w:val="1"/>
    <w:link w:val="135"/>
    <w:qFormat/>
    <w:uiPriority w:val="0"/>
    <w:rPr>
      <w:sz w:val="18"/>
      <w:szCs w:val="18"/>
    </w:rPr>
  </w:style>
  <w:style w:type="paragraph" w:styleId="29">
    <w:name w:val="footer"/>
    <w:basedOn w:val="1"/>
    <w:next w:val="1"/>
    <w:link w:val="112"/>
    <w:qFormat/>
    <w:uiPriority w:val="99"/>
    <w:pPr>
      <w:tabs>
        <w:tab w:val="center" w:pos="4153"/>
        <w:tab w:val="right" w:pos="8306"/>
      </w:tabs>
      <w:snapToGrid w:val="0"/>
      <w:jc w:val="left"/>
    </w:pPr>
    <w:rPr>
      <w:sz w:val="18"/>
      <w:szCs w:val="18"/>
    </w:rPr>
  </w:style>
  <w:style w:type="paragraph" w:styleId="30">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rPr>
      <w:szCs w:val="24"/>
    </w:rPr>
  </w:style>
  <w:style w:type="paragraph" w:styleId="32">
    <w:name w:val="Subtitle"/>
    <w:basedOn w:val="1"/>
    <w:next w:val="1"/>
    <w:link w:val="123"/>
    <w:qFormat/>
    <w:uiPriority w:val="0"/>
    <w:pPr>
      <w:spacing w:before="240" w:beforeLines="0" w:after="60" w:afterLines="0" w:line="312" w:lineRule="auto"/>
      <w:jc w:val="center"/>
      <w:outlineLvl w:val="1"/>
    </w:pPr>
    <w:rPr>
      <w:rFonts w:ascii="Cambria" w:hAnsi="Cambria"/>
      <w:b/>
      <w:bCs/>
      <w:kern w:val="28"/>
      <w:sz w:val="32"/>
      <w:szCs w:val="32"/>
    </w:rPr>
  </w:style>
  <w:style w:type="paragraph" w:styleId="33">
    <w:name w:val="List"/>
    <w:basedOn w:val="1"/>
    <w:qFormat/>
    <w:uiPriority w:val="0"/>
    <w:pPr>
      <w:spacing w:before="312" w:beforeLines="100" w:line="360" w:lineRule="auto"/>
      <w:jc w:val="center"/>
    </w:pPr>
    <w:rPr>
      <w:rFonts w:ascii="宋体" w:hAnsi="宋体"/>
      <w:b/>
      <w:sz w:val="28"/>
      <w:szCs w:val="24"/>
    </w:rPr>
  </w:style>
  <w:style w:type="paragraph" w:styleId="34">
    <w:name w:val="footnote text"/>
    <w:basedOn w:val="1"/>
    <w:link w:val="122"/>
    <w:qFormat/>
    <w:uiPriority w:val="0"/>
    <w:pPr>
      <w:adjustRightInd w:val="0"/>
      <w:spacing w:line="312" w:lineRule="atLeast"/>
      <w:textAlignment w:val="baseline"/>
    </w:pPr>
    <w:rPr>
      <w:kern w:val="0"/>
      <w:sz w:val="18"/>
    </w:rPr>
  </w:style>
  <w:style w:type="paragraph" w:styleId="35">
    <w:name w:val="Body Text Indent 3"/>
    <w:basedOn w:val="1"/>
    <w:link w:val="99"/>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6">
    <w:name w:val="toc 2"/>
    <w:basedOn w:val="1"/>
    <w:next w:val="1"/>
    <w:qFormat/>
    <w:uiPriority w:val="39"/>
    <w:pPr>
      <w:ind w:left="420" w:leftChars="200"/>
    </w:pPr>
    <w:rPr>
      <w:szCs w:val="24"/>
    </w:rPr>
  </w:style>
  <w:style w:type="paragraph" w:styleId="3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8">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39">
    <w:name w:val="Title"/>
    <w:basedOn w:val="1"/>
    <w:next w:val="1"/>
    <w:link w:val="127"/>
    <w:qFormat/>
    <w:uiPriority w:val="0"/>
    <w:pPr>
      <w:spacing w:before="240" w:after="60"/>
      <w:jc w:val="center"/>
      <w:outlineLvl w:val="0"/>
    </w:pPr>
    <w:rPr>
      <w:rFonts w:ascii="Cambria" w:hAnsi="Cambria"/>
      <w:b/>
      <w:bCs/>
      <w:sz w:val="32"/>
      <w:szCs w:val="32"/>
    </w:rPr>
  </w:style>
  <w:style w:type="paragraph" w:styleId="40">
    <w:name w:val="annotation subject"/>
    <w:basedOn w:val="18"/>
    <w:next w:val="18"/>
    <w:link w:val="107"/>
    <w:qFormat/>
    <w:uiPriority w:val="0"/>
    <w:rPr>
      <w:b/>
      <w:bCs/>
      <w:szCs w:val="24"/>
    </w:rPr>
  </w:style>
  <w:style w:type="paragraph" w:styleId="41">
    <w:name w:val="Body Text First Indent"/>
    <w:basedOn w:val="20"/>
    <w:qFormat/>
    <w:uiPriority w:val="0"/>
    <w:pPr>
      <w:tabs>
        <w:tab w:val="left" w:pos="9214"/>
      </w:tabs>
      <w:spacing w:after="0"/>
      <w:ind w:firstLine="200" w:firstLineChars="200"/>
    </w:pPr>
  </w:style>
  <w:style w:type="paragraph" w:styleId="42">
    <w:name w:val="Body Text First Indent 2"/>
    <w:basedOn w:val="21"/>
    <w:next w:val="1"/>
    <w:link w:val="117"/>
    <w:qFormat/>
    <w:uiPriority w:val="0"/>
    <w:pPr>
      <w:ind w:left="1588" w:leftChars="832" w:firstLine="433"/>
    </w:pPr>
    <w:rPr>
      <w:rFonts w:eastAsia="仿宋_GB2312"/>
      <w:spacing w:val="15"/>
      <w:kern w:val="10"/>
      <w:sz w:val="24"/>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Char Char Char Char"/>
    <w:basedOn w:val="1"/>
    <w:link w:val="45"/>
    <w:qFormat/>
    <w:uiPriority w:val="0"/>
    <w:rPr>
      <w:szCs w:val="21"/>
    </w:rPr>
  </w:style>
  <w:style w:type="character" w:styleId="47">
    <w:name w:val="Strong"/>
    <w:basedOn w:val="45"/>
    <w:qFormat/>
    <w:uiPriority w:val="0"/>
    <w:rPr>
      <w:b/>
      <w:bCs/>
    </w:rPr>
  </w:style>
  <w:style w:type="character" w:styleId="48">
    <w:name w:val="page number"/>
    <w:basedOn w:val="45"/>
    <w:qFormat/>
    <w:uiPriority w:val="0"/>
  </w:style>
  <w:style w:type="character" w:styleId="49">
    <w:name w:val="Emphasis"/>
    <w:basedOn w:val="45"/>
    <w:qFormat/>
    <w:uiPriority w:val="0"/>
    <w:rPr>
      <w:i/>
    </w:rPr>
  </w:style>
  <w:style w:type="character" w:styleId="50">
    <w:name w:val="Hyperlink"/>
    <w:basedOn w:val="45"/>
    <w:qFormat/>
    <w:uiPriority w:val="99"/>
    <w:rPr>
      <w:color w:val="0000FF"/>
      <w:u w:val="single"/>
    </w:rPr>
  </w:style>
  <w:style w:type="character" w:styleId="51">
    <w:name w:val="annotation reference"/>
    <w:qFormat/>
    <w:uiPriority w:val="0"/>
    <w:rPr>
      <w:sz w:val="21"/>
      <w:szCs w:val="21"/>
    </w:rPr>
  </w:style>
  <w:style w:type="paragraph" w:customStyle="1" w:styleId="52">
    <w:name w:val="文本正文"/>
    <w:basedOn w:val="1"/>
    <w:qFormat/>
    <w:uiPriority w:val="0"/>
    <w:pPr>
      <w:spacing w:afterLines="50"/>
      <w:ind w:firstLine="200" w:firstLineChars="200"/>
      <w:jc w:val="left"/>
    </w:pPr>
    <w:rPr>
      <w:rFonts w:ascii="Calibri" w:hAnsi="Calibri"/>
      <w:szCs w:val="22"/>
      <w:lang w:bidi="en-US"/>
    </w:rPr>
  </w:style>
  <w:style w:type="paragraph" w:customStyle="1" w:styleId="53">
    <w:name w:val="样式1"/>
    <w:basedOn w:val="17"/>
    <w:next w:val="6"/>
    <w:qFormat/>
    <w:uiPriority w:val="0"/>
    <w:pPr>
      <w:numPr>
        <w:ilvl w:val="0"/>
        <w:numId w:val="1"/>
      </w:numPr>
      <w:tabs>
        <w:tab w:val="left" w:pos="1110"/>
      </w:tabs>
      <w:adjustRightInd w:val="0"/>
      <w:textAlignment w:val="baseline"/>
    </w:pPr>
    <w:rPr>
      <w:rFonts w:ascii="宋体" w:hAnsi="宋体"/>
      <w:kern w:val="0"/>
      <w:szCs w:val="21"/>
    </w:rPr>
  </w:style>
  <w:style w:type="character" w:customStyle="1" w:styleId="54">
    <w:name w:val="标题 1 Char"/>
    <w:link w:val="3"/>
    <w:qFormat/>
    <w:uiPriority w:val="0"/>
    <w:rPr>
      <w:b/>
      <w:bCs/>
      <w:kern w:val="44"/>
      <w:sz w:val="44"/>
      <w:szCs w:val="44"/>
    </w:rPr>
  </w:style>
  <w:style w:type="paragraph" w:customStyle="1" w:styleId="55">
    <w:name w:val="_Style 5"/>
    <w:basedOn w:val="1"/>
    <w:qFormat/>
    <w:uiPriority w:val="0"/>
    <w:pPr>
      <w:tabs>
        <w:tab w:val="left" w:pos="360"/>
      </w:tabs>
      <w:ind w:firstLine="420" w:firstLineChars="150"/>
    </w:pPr>
    <w:rPr>
      <w:rFonts w:ascii="Arial" w:hAnsi="Arial" w:cs="Arial"/>
      <w:sz w:val="20"/>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58">
    <w:name w:val="Char Char Char Char Char Char"/>
    <w:basedOn w:val="16"/>
    <w:qFormat/>
    <w:uiPriority w:val="0"/>
    <w:rPr>
      <w:rFonts w:ascii="Tahoma" w:hAnsi="Tahoma"/>
      <w:sz w:val="24"/>
    </w:rPr>
  </w:style>
  <w:style w:type="paragraph" w:customStyle="1" w:styleId="59">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0">
    <w:name w:val="p16"/>
    <w:basedOn w:val="1"/>
    <w:qFormat/>
    <w:uiPriority w:val="0"/>
    <w:pPr>
      <w:widowControl/>
    </w:pPr>
    <w:rPr>
      <w:kern w:val="0"/>
      <w:szCs w:val="21"/>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3">
    <w:name w:val=" Char Char Char Char"/>
    <w:basedOn w:val="1"/>
    <w:qFormat/>
    <w:uiPriority w:val="0"/>
    <w:pPr>
      <w:tabs>
        <w:tab w:val="left" w:pos="360"/>
      </w:tabs>
      <w:ind w:firstLine="420" w:firstLineChars="150"/>
    </w:pPr>
    <w:rPr>
      <w:rFonts w:ascii="Arial" w:hAnsi="Arial" w:cs="Arial"/>
      <w:sz w:val="20"/>
    </w:rPr>
  </w:style>
  <w:style w:type="paragraph" w:customStyle="1" w:styleId="64">
    <w:name w:val="Plain Text1"/>
    <w:basedOn w:val="1"/>
    <w:qFormat/>
    <w:uiPriority w:val="99"/>
    <w:rPr>
      <w:rFonts w:ascii="宋体" w:hAnsi="Courier New"/>
    </w:rPr>
  </w:style>
  <w:style w:type="paragraph" w:customStyle="1" w:styleId="65">
    <w:name w:val="Char Char Char"/>
    <w:basedOn w:val="1"/>
    <w:qFormat/>
    <w:uiPriority w:val="0"/>
    <w:pPr>
      <w:widowControl/>
      <w:spacing w:after="160" w:line="240" w:lineRule="exact"/>
      <w:jc w:val="left"/>
    </w:pPr>
    <w:rPr>
      <w:szCs w:val="24"/>
    </w:rPr>
  </w:style>
  <w:style w:type="paragraph" w:customStyle="1" w:styleId="66">
    <w:name w:val="正文缩进1"/>
    <w:basedOn w:val="1"/>
    <w:qFormat/>
    <w:uiPriority w:val="0"/>
    <w:pPr>
      <w:autoSpaceDE w:val="0"/>
      <w:autoSpaceDN w:val="0"/>
      <w:adjustRightInd w:val="0"/>
      <w:ind w:firstLine="420"/>
    </w:pPr>
    <w:rPr>
      <w:rFonts w:ascii="宋体" w:hAnsi="Calibri"/>
      <w:szCs w:val="22"/>
    </w:rPr>
  </w:style>
  <w:style w:type="paragraph" w:customStyle="1" w:styleId="67">
    <w:name w:val="Normal"/>
    <w:qFormat/>
    <w:uiPriority w:val="0"/>
    <w:rPr>
      <w:rFonts w:ascii="Times New Roman" w:hAnsi="Times New Roman" w:eastAsia="Times New Roman" w:cs="Times New Roman"/>
      <w:sz w:val="24"/>
      <w:szCs w:val="24"/>
      <w:lang w:val="en-US" w:eastAsia="zh-CN" w:bidi="ar-SA"/>
    </w:rPr>
  </w:style>
  <w:style w:type="paragraph" w:customStyle="1" w:styleId="68">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69">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0">
    <w:name w:val="_Style 7"/>
    <w:basedOn w:val="1"/>
    <w:qFormat/>
    <w:uiPriority w:val="0"/>
    <w:pPr>
      <w:tabs>
        <w:tab w:val="left" w:pos="360"/>
      </w:tabs>
      <w:ind w:firstLine="420" w:firstLineChars="150"/>
    </w:pPr>
    <w:rPr>
      <w:rFonts w:ascii="Arial" w:hAnsi="Arial" w:cs="Arial"/>
      <w:sz w:val="20"/>
    </w:rPr>
  </w:style>
  <w:style w:type="paragraph" w:customStyle="1" w:styleId="71">
    <w:name w:val="_Style 11"/>
    <w:basedOn w:val="1"/>
    <w:qFormat/>
    <w:uiPriority w:val="0"/>
    <w:pPr>
      <w:tabs>
        <w:tab w:val="left" w:pos="360"/>
      </w:tabs>
      <w:ind w:firstLine="420" w:firstLineChars="150"/>
    </w:pPr>
    <w:rPr>
      <w:rFonts w:ascii="Arial" w:hAnsi="Arial" w:cs="Arial"/>
      <w:sz w:val="20"/>
    </w:rPr>
  </w:style>
  <w:style w:type="paragraph" w:customStyle="1" w:styleId="72">
    <w:name w:val="p15"/>
    <w:basedOn w:val="1"/>
    <w:qFormat/>
    <w:uiPriority w:val="0"/>
    <w:pPr>
      <w:widowControl/>
    </w:pPr>
    <w:rPr>
      <w:rFonts w:ascii="宋体" w:hAnsi="宋体" w:cs="宋体"/>
      <w:kern w:val="0"/>
      <w:szCs w:val="21"/>
    </w:rPr>
  </w:style>
  <w:style w:type="paragraph" w:customStyle="1" w:styleId="73">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4">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5">
    <w:name w:val="样式 标题 2 + 宋体 五号 非加粗 黑色"/>
    <w:basedOn w:val="4"/>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6">
    <w:name w:val="正文序号 1"/>
    <w:basedOn w:val="1"/>
    <w:qFormat/>
    <w:uiPriority w:val="0"/>
    <w:pPr>
      <w:numPr>
        <w:ilvl w:val="0"/>
        <w:numId w:val="3"/>
      </w:numPr>
      <w:tabs>
        <w:tab w:val="left" w:pos="502"/>
        <w:tab w:val="left" w:pos="839"/>
      </w:tabs>
      <w:spacing w:before="60"/>
    </w:pPr>
    <w:rPr>
      <w:szCs w:val="24"/>
    </w:rPr>
  </w:style>
  <w:style w:type="paragraph" w:customStyle="1" w:styleId="77">
    <w:name w:val="p0"/>
    <w:basedOn w:val="1"/>
    <w:qFormat/>
    <w:uiPriority w:val="0"/>
    <w:pPr>
      <w:widowControl/>
      <w:jc w:val="left"/>
    </w:pPr>
    <w:rPr>
      <w:kern w:val="0"/>
      <w:szCs w:val="21"/>
    </w:rPr>
  </w:style>
  <w:style w:type="paragraph" w:customStyle="1" w:styleId="78">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9">
    <w:name w:val="样式 标题 4 + 段前: 5 磅 段后: 5 磅 行距: 单倍行距"/>
    <w:basedOn w:val="6"/>
    <w:qFormat/>
    <w:uiPriority w:val="0"/>
    <w:pPr>
      <w:spacing w:before="100" w:after="100" w:line="240" w:lineRule="auto"/>
    </w:pPr>
    <w:rPr>
      <w:rFonts w:cs="宋体"/>
      <w:szCs w:val="20"/>
    </w:rPr>
  </w:style>
  <w:style w:type="paragraph" w:customStyle="1" w:styleId="80">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1">
    <w:name w:val="列出段落1"/>
    <w:basedOn w:val="1"/>
    <w:qFormat/>
    <w:uiPriority w:val="34"/>
    <w:pPr>
      <w:ind w:firstLine="420" w:firstLineChars="200"/>
    </w:p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4">
    <w:name w:val="表头文本"/>
    <w:basedOn w:val="1"/>
    <w:qFormat/>
    <w:uiPriority w:val="0"/>
    <w:pPr>
      <w:autoSpaceDE w:val="0"/>
      <w:autoSpaceDN w:val="0"/>
      <w:adjustRightInd w:val="0"/>
      <w:jc w:val="center"/>
    </w:pPr>
    <w:rPr>
      <w:b/>
      <w:kern w:val="0"/>
      <w:sz w:val="24"/>
    </w:rPr>
  </w:style>
  <w:style w:type="paragraph" w:customStyle="1" w:styleId="85">
    <w:name w:val="默认段落字体 Para Char Char Char Char Char Char Char Char Char Char Char Char Char Char Char Char"/>
    <w:basedOn w:val="1"/>
    <w:qFormat/>
    <w:uiPriority w:val="0"/>
    <w:rPr>
      <w:rFonts w:ascii="Tahoma" w:hAnsi="Tahoma"/>
      <w:sz w:val="24"/>
    </w:rPr>
  </w:style>
  <w:style w:type="paragraph" w:customStyle="1" w:styleId="8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样式2"/>
    <w:basedOn w:val="1"/>
    <w:qFormat/>
    <w:uiPriority w:val="0"/>
    <w:pPr>
      <w:spacing w:line="560" w:lineRule="exact"/>
      <w:ind w:firstLine="601"/>
    </w:pPr>
    <w:rPr>
      <w:rFonts w:eastAsia="宋体"/>
      <w:kern w:val="2"/>
      <w:sz w:val="28"/>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标题 3_0"/>
    <w:basedOn w:val="73"/>
    <w:next w:val="73"/>
    <w:link w:val="120"/>
    <w:qFormat/>
    <w:uiPriority w:val="0"/>
    <w:pPr>
      <w:autoSpaceDE w:val="0"/>
      <w:autoSpaceDN w:val="0"/>
      <w:adjustRightInd w:val="0"/>
      <w:spacing w:line="500" w:lineRule="exact"/>
      <w:jc w:val="center"/>
      <w:outlineLvl w:val="2"/>
    </w:pPr>
    <w:rPr>
      <w:rFonts w:ascii="宋体" w:hAnsi="宋体"/>
      <w:b/>
      <w:szCs w:val="28"/>
    </w:rPr>
  </w:style>
  <w:style w:type="paragraph" w:customStyle="1" w:styleId="90">
    <w:name w:val="附件正文"/>
    <w:basedOn w:val="1"/>
    <w:qFormat/>
    <w:uiPriority w:val="0"/>
    <w:pPr>
      <w:snapToGrid w:val="0"/>
      <w:spacing w:line="500" w:lineRule="exact"/>
      <w:ind w:firstLine="540" w:firstLineChars="225"/>
    </w:pPr>
    <w:rPr>
      <w:kern w:val="0"/>
      <w:sz w:val="24"/>
      <w:szCs w:val="24"/>
    </w:rPr>
  </w:style>
  <w:style w:type="paragraph" w:styleId="91">
    <w:name w:val="List Paragraph"/>
    <w:basedOn w:val="1"/>
    <w:qFormat/>
    <w:uiPriority w:val="0"/>
    <w:pPr>
      <w:ind w:firstLine="420" w:firstLineChars="200"/>
    </w:pPr>
    <w:rPr>
      <w:rFonts w:ascii="Calibri" w:hAnsi="Calibri"/>
      <w:szCs w:val="22"/>
    </w:rPr>
  </w:style>
  <w:style w:type="paragraph" w:customStyle="1" w:styleId="92">
    <w:name w:val="正文文字"/>
    <w:basedOn w:val="1"/>
    <w:link w:val="119"/>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3">
    <w:name w:val="WPSOffice手动目录 3"/>
    <w:qFormat/>
    <w:uiPriority w:val="0"/>
    <w:pPr>
      <w:ind w:leftChars="400"/>
    </w:pPr>
    <w:rPr>
      <w:rFonts w:ascii="Times New Roman" w:hAnsi="Times New Roman" w:eastAsia="宋体" w:cs="Times New Roman"/>
      <w:sz w:val="20"/>
      <w:szCs w:val="20"/>
    </w:rPr>
  </w:style>
  <w:style w:type="character" w:customStyle="1" w:styleId="94">
    <w:name w:val="批注文字 Char1"/>
    <w:basedOn w:val="45"/>
    <w:link w:val="18"/>
    <w:qFormat/>
    <w:uiPriority w:val="0"/>
    <w:rPr>
      <w:kern w:val="2"/>
      <w:sz w:val="21"/>
    </w:rPr>
  </w:style>
  <w:style w:type="character" w:customStyle="1" w:styleId="95">
    <w:name w:val="批注文字 Char"/>
    <w:qFormat/>
    <w:uiPriority w:val="0"/>
    <w:rPr>
      <w:rFonts w:eastAsia="宋体"/>
      <w:kern w:val="2"/>
      <w:sz w:val="21"/>
      <w:szCs w:val="24"/>
      <w:lang w:val="en-US" w:eastAsia="zh-CN" w:bidi="ar-SA"/>
    </w:rPr>
  </w:style>
  <w:style w:type="character" w:customStyle="1" w:styleId="96">
    <w:name w:val="font41"/>
    <w:basedOn w:val="45"/>
    <w:qFormat/>
    <w:uiPriority w:val="0"/>
    <w:rPr>
      <w:rFonts w:hint="eastAsia" w:ascii="宋体" w:hAnsi="宋体" w:eastAsia="宋体" w:cs="宋体"/>
      <w:color w:val="000000"/>
      <w:sz w:val="20"/>
      <w:szCs w:val="20"/>
      <w:u w:val="none"/>
    </w:rPr>
  </w:style>
  <w:style w:type="character" w:customStyle="1" w:styleId="97">
    <w:name w:val="font141"/>
    <w:basedOn w:val="45"/>
    <w:qFormat/>
    <w:uiPriority w:val="0"/>
    <w:rPr>
      <w:rFonts w:hint="eastAsia" w:ascii="宋体" w:hAnsi="宋体" w:eastAsia="宋体" w:cs="宋体"/>
      <w:color w:val="000000"/>
      <w:sz w:val="24"/>
      <w:szCs w:val="24"/>
      <w:u w:val="none"/>
    </w:rPr>
  </w:style>
  <w:style w:type="character" w:customStyle="1" w:styleId="98">
    <w:name w:val="font51"/>
    <w:basedOn w:val="45"/>
    <w:qFormat/>
    <w:uiPriority w:val="0"/>
    <w:rPr>
      <w:rFonts w:hint="eastAsia" w:ascii="宋体" w:hAnsi="宋体" w:eastAsia="宋体" w:cs="宋体"/>
      <w:color w:val="FF0000"/>
      <w:sz w:val="20"/>
      <w:szCs w:val="20"/>
      <w:u w:val="none"/>
    </w:rPr>
  </w:style>
  <w:style w:type="character" w:customStyle="1" w:styleId="99">
    <w:name w:val="正文文本缩进 3 Char"/>
    <w:basedOn w:val="45"/>
    <w:link w:val="35"/>
    <w:qFormat/>
    <w:uiPriority w:val="0"/>
    <w:rPr>
      <w:rFonts w:eastAsia="黑体"/>
      <w:b/>
      <w:bCs/>
      <w:kern w:val="2"/>
      <w:sz w:val="72"/>
      <w:szCs w:val="24"/>
    </w:rPr>
  </w:style>
  <w:style w:type="character" w:customStyle="1" w:styleId="100">
    <w:name w:val="HTML 预设格式 Char"/>
    <w:basedOn w:val="45"/>
    <w:link w:val="37"/>
    <w:qFormat/>
    <w:uiPriority w:val="0"/>
    <w:rPr>
      <w:rFonts w:ascii="宋体" w:hAnsi="宋体"/>
      <w:sz w:val="24"/>
      <w:szCs w:val="24"/>
    </w:rPr>
  </w:style>
  <w:style w:type="character" w:customStyle="1" w:styleId="101">
    <w:name w:val="font31"/>
    <w:basedOn w:val="45"/>
    <w:qFormat/>
    <w:uiPriority w:val="0"/>
    <w:rPr>
      <w:rFonts w:hint="eastAsia" w:ascii="宋体" w:hAnsi="宋体" w:eastAsia="宋体" w:cs="宋体"/>
      <w:color w:val="000000"/>
      <w:sz w:val="16"/>
      <w:szCs w:val="16"/>
      <w:u w:val="none"/>
    </w:rPr>
  </w:style>
  <w:style w:type="character" w:customStyle="1" w:styleId="102">
    <w:name w:val="标题 3 Char"/>
    <w:basedOn w:val="45"/>
    <w:link w:val="5"/>
    <w:qFormat/>
    <w:uiPriority w:val="0"/>
    <w:rPr>
      <w:b/>
      <w:bCs/>
      <w:kern w:val="2"/>
      <w:sz w:val="32"/>
      <w:szCs w:val="32"/>
    </w:rPr>
  </w:style>
  <w:style w:type="character" w:customStyle="1" w:styleId="103">
    <w:name w:val="正文文本缩进 Char"/>
    <w:qFormat/>
    <w:uiPriority w:val="0"/>
    <w:rPr>
      <w:rFonts w:eastAsia="宋体"/>
      <w:kern w:val="2"/>
      <w:sz w:val="24"/>
      <w:szCs w:val="24"/>
      <w:lang w:val="en-US" w:eastAsia="zh-CN" w:bidi="ar-SA"/>
    </w:rPr>
  </w:style>
  <w:style w:type="character" w:customStyle="1" w:styleId="104">
    <w:name w:val="font11"/>
    <w:basedOn w:val="45"/>
    <w:qFormat/>
    <w:uiPriority w:val="0"/>
    <w:rPr>
      <w:rFonts w:hint="eastAsia" w:ascii="宋体" w:hAnsi="宋体" w:eastAsia="宋体" w:cs="宋体"/>
      <w:color w:val="000000"/>
      <w:sz w:val="16"/>
      <w:szCs w:val="16"/>
      <w:u w:val="none"/>
    </w:rPr>
  </w:style>
  <w:style w:type="character" w:customStyle="1" w:styleId="105">
    <w:name w:val="font01"/>
    <w:basedOn w:val="45"/>
    <w:qFormat/>
    <w:uiPriority w:val="0"/>
    <w:rPr>
      <w:rFonts w:hint="eastAsia" w:ascii="宋体" w:hAnsi="宋体" w:eastAsia="宋体" w:cs="宋体"/>
      <w:color w:val="000000"/>
      <w:sz w:val="24"/>
      <w:szCs w:val="24"/>
      <w:u w:val="none"/>
    </w:rPr>
  </w:style>
  <w:style w:type="character" w:customStyle="1" w:styleId="106">
    <w:name w:val="正文文本 Char1"/>
    <w:basedOn w:val="45"/>
    <w:link w:val="20"/>
    <w:qFormat/>
    <w:uiPriority w:val="0"/>
    <w:rPr>
      <w:kern w:val="2"/>
      <w:sz w:val="21"/>
    </w:rPr>
  </w:style>
  <w:style w:type="character" w:customStyle="1" w:styleId="107">
    <w:name w:val="批注主题 Char"/>
    <w:basedOn w:val="94"/>
    <w:link w:val="40"/>
    <w:qFormat/>
    <w:uiPriority w:val="0"/>
  </w:style>
  <w:style w:type="character" w:customStyle="1" w:styleId="108">
    <w:name w:val="标题 6 Char"/>
    <w:basedOn w:val="45"/>
    <w:link w:val="8"/>
    <w:qFormat/>
    <w:uiPriority w:val="0"/>
    <w:rPr>
      <w:rFonts w:eastAsia="黑体"/>
      <w:b/>
      <w:bCs/>
      <w:sz w:val="24"/>
      <w:szCs w:val="24"/>
    </w:rPr>
  </w:style>
  <w:style w:type="character" w:customStyle="1" w:styleId="109">
    <w:name w:val="font151"/>
    <w:basedOn w:val="45"/>
    <w:qFormat/>
    <w:uiPriority w:val="0"/>
    <w:rPr>
      <w:rFonts w:hint="default" w:ascii="Times New Roman" w:hAnsi="Times New Roman" w:cs="Times New Roman"/>
      <w:color w:val="000000"/>
      <w:sz w:val="20"/>
      <w:szCs w:val="20"/>
      <w:u w:val="none"/>
    </w:rPr>
  </w:style>
  <w:style w:type="character" w:customStyle="1" w:styleId="110">
    <w:name w:val="font61"/>
    <w:basedOn w:val="45"/>
    <w:qFormat/>
    <w:uiPriority w:val="0"/>
    <w:rPr>
      <w:rFonts w:hint="eastAsia" w:ascii="微软雅黑" w:hAnsi="微软雅黑" w:eastAsia="微软雅黑" w:cs="微软雅黑"/>
      <w:color w:val="000000"/>
      <w:sz w:val="16"/>
      <w:szCs w:val="16"/>
      <w:u w:val="none"/>
    </w:rPr>
  </w:style>
  <w:style w:type="character" w:customStyle="1" w:styleId="111">
    <w:name w:val="文档结构图 Char"/>
    <w:basedOn w:val="45"/>
    <w:link w:val="16"/>
    <w:qFormat/>
    <w:uiPriority w:val="0"/>
    <w:rPr>
      <w:kern w:val="2"/>
      <w:sz w:val="21"/>
      <w:szCs w:val="24"/>
      <w:shd w:val="clear" w:color="auto" w:fill="000080"/>
    </w:rPr>
  </w:style>
  <w:style w:type="character" w:customStyle="1" w:styleId="112">
    <w:name w:val="页脚 Char"/>
    <w:link w:val="29"/>
    <w:qFormat/>
    <w:uiPriority w:val="99"/>
    <w:rPr>
      <w:kern w:val="2"/>
      <w:sz w:val="18"/>
      <w:szCs w:val="18"/>
    </w:rPr>
  </w:style>
  <w:style w:type="character" w:customStyle="1" w:styleId="113">
    <w:name w:val="标题 8 Char"/>
    <w:basedOn w:val="45"/>
    <w:link w:val="10"/>
    <w:qFormat/>
    <w:uiPriority w:val="0"/>
    <w:rPr>
      <w:rFonts w:eastAsia="黑体"/>
      <w:sz w:val="24"/>
      <w:szCs w:val="24"/>
    </w:rPr>
  </w:style>
  <w:style w:type="character" w:customStyle="1" w:styleId="114">
    <w:name w:val="纯文本 Char"/>
    <w:link w:val="24"/>
    <w:qFormat/>
    <w:uiPriority w:val="0"/>
    <w:rPr>
      <w:rFonts w:ascii="宋体" w:hAnsi="Courier New"/>
      <w:kern w:val="2"/>
      <w:sz w:val="21"/>
    </w:rPr>
  </w:style>
  <w:style w:type="character" w:customStyle="1" w:styleId="115">
    <w:name w:val="font112"/>
    <w:basedOn w:val="45"/>
    <w:qFormat/>
    <w:uiPriority w:val="0"/>
    <w:rPr>
      <w:rFonts w:hint="eastAsia" w:ascii="宋体" w:hAnsi="宋体" w:eastAsia="宋体" w:cs="宋体"/>
      <w:color w:val="000000"/>
      <w:sz w:val="16"/>
      <w:szCs w:val="16"/>
      <w:u w:val="none"/>
    </w:rPr>
  </w:style>
  <w:style w:type="character" w:customStyle="1" w:styleId="116">
    <w:name w:val="纯文本 Char1"/>
    <w:basedOn w:val="45"/>
    <w:qFormat/>
    <w:uiPriority w:val="0"/>
    <w:rPr>
      <w:rFonts w:eastAsia="宋体"/>
      <w:kern w:val="2"/>
      <w:sz w:val="24"/>
      <w:lang w:val="en-US" w:eastAsia="zh-CN" w:bidi="ar-SA"/>
    </w:rPr>
  </w:style>
  <w:style w:type="character" w:customStyle="1" w:styleId="117">
    <w:name w:val="正文首行缩进 2 Char"/>
    <w:basedOn w:val="118"/>
    <w:link w:val="42"/>
    <w:qFormat/>
    <w:uiPriority w:val="0"/>
  </w:style>
  <w:style w:type="character" w:customStyle="1" w:styleId="118">
    <w:name w:val="正文文本缩进 Char1"/>
    <w:basedOn w:val="45"/>
    <w:link w:val="21"/>
    <w:qFormat/>
    <w:uiPriority w:val="0"/>
    <w:rPr>
      <w:kern w:val="2"/>
      <w:sz w:val="28"/>
    </w:rPr>
  </w:style>
  <w:style w:type="character" w:customStyle="1" w:styleId="119">
    <w:name w:val="正文文字 Char1"/>
    <w:basedOn w:val="45"/>
    <w:link w:val="92"/>
    <w:qFormat/>
    <w:uiPriority w:val="0"/>
    <w:rPr>
      <w:rFonts w:ascii="宋体"/>
      <w:color w:val="000000"/>
      <w:kern w:val="0"/>
      <w:sz w:val="28"/>
      <w:u w:val="none" w:color="000000"/>
    </w:rPr>
  </w:style>
  <w:style w:type="character" w:customStyle="1" w:styleId="120">
    <w:name w:val="标题 3 Char_0"/>
    <w:link w:val="89"/>
    <w:qFormat/>
    <w:uiPriority w:val="0"/>
    <w:rPr>
      <w:rFonts w:ascii="宋体" w:hAnsi="宋体"/>
      <w:b/>
      <w:kern w:val="2"/>
      <w:sz w:val="28"/>
      <w:szCs w:val="28"/>
    </w:rPr>
  </w:style>
  <w:style w:type="character" w:customStyle="1" w:styleId="121">
    <w:name w:val="font21"/>
    <w:basedOn w:val="45"/>
    <w:qFormat/>
    <w:uiPriority w:val="0"/>
    <w:rPr>
      <w:rFonts w:hint="eastAsia" w:ascii="宋体" w:hAnsi="宋体" w:eastAsia="宋体" w:cs="宋体"/>
      <w:color w:val="000000"/>
      <w:sz w:val="22"/>
      <w:szCs w:val="22"/>
      <w:u w:val="none"/>
    </w:rPr>
  </w:style>
  <w:style w:type="character" w:customStyle="1" w:styleId="122">
    <w:name w:val="脚注文本 Char"/>
    <w:basedOn w:val="45"/>
    <w:link w:val="34"/>
    <w:qFormat/>
    <w:uiPriority w:val="0"/>
    <w:rPr>
      <w:sz w:val="18"/>
    </w:rPr>
  </w:style>
  <w:style w:type="character" w:customStyle="1" w:styleId="123">
    <w:name w:val="副标题 Char"/>
    <w:link w:val="32"/>
    <w:qFormat/>
    <w:uiPriority w:val="0"/>
    <w:rPr>
      <w:rFonts w:ascii="Cambria" w:hAnsi="Cambria" w:eastAsia="宋体"/>
      <w:b/>
      <w:bCs/>
      <w:kern w:val="28"/>
      <w:sz w:val="32"/>
      <w:szCs w:val="32"/>
      <w:lang w:val="en-US" w:eastAsia="zh-CN" w:bidi="ar-SA"/>
    </w:rPr>
  </w:style>
  <w:style w:type="character" w:customStyle="1" w:styleId="124">
    <w:name w:val=" Char Char3"/>
    <w:qFormat/>
    <w:uiPriority w:val="0"/>
    <w:rPr>
      <w:rFonts w:eastAsia="宋体"/>
      <w:kern w:val="2"/>
      <w:sz w:val="21"/>
      <w:szCs w:val="24"/>
      <w:lang w:val="en-US" w:eastAsia="zh-CN" w:bidi="ar-SA"/>
    </w:rPr>
  </w:style>
  <w:style w:type="character" w:customStyle="1" w:styleId="125">
    <w:name w:val="正文文本 Char"/>
    <w:link w:val="20"/>
    <w:qFormat/>
    <w:uiPriority w:val="0"/>
    <w:rPr>
      <w:kern w:val="2"/>
      <w:sz w:val="21"/>
      <w:szCs w:val="24"/>
    </w:rPr>
  </w:style>
  <w:style w:type="character" w:customStyle="1" w:styleId="126">
    <w:name w:val=" Char Char6"/>
    <w:qFormat/>
    <w:uiPriority w:val="0"/>
    <w:rPr>
      <w:rFonts w:eastAsia="宋体"/>
      <w:kern w:val="2"/>
      <w:sz w:val="21"/>
      <w:szCs w:val="24"/>
      <w:lang w:val="en-US" w:eastAsia="zh-CN" w:bidi="ar-SA"/>
    </w:rPr>
  </w:style>
  <w:style w:type="character" w:customStyle="1" w:styleId="127">
    <w:name w:val="标题 Char"/>
    <w:basedOn w:val="45"/>
    <w:link w:val="39"/>
    <w:qFormat/>
    <w:uiPriority w:val="0"/>
    <w:rPr>
      <w:rFonts w:ascii="Cambria" w:hAnsi="Cambria"/>
      <w:b/>
      <w:bCs/>
      <w:kern w:val="2"/>
      <w:sz w:val="32"/>
      <w:szCs w:val="32"/>
    </w:rPr>
  </w:style>
  <w:style w:type="character" w:customStyle="1" w:styleId="128">
    <w:name w:val="日期 Char"/>
    <w:basedOn w:val="45"/>
    <w:link w:val="26"/>
    <w:qFormat/>
    <w:uiPriority w:val="0"/>
    <w:rPr>
      <w:kern w:val="2"/>
      <w:sz w:val="21"/>
      <w:szCs w:val="24"/>
    </w:rPr>
  </w:style>
  <w:style w:type="character" w:customStyle="1" w:styleId="129">
    <w:name w:val="ca-1"/>
    <w:basedOn w:val="45"/>
    <w:qFormat/>
    <w:uiPriority w:val="0"/>
  </w:style>
  <w:style w:type="character" w:customStyle="1" w:styleId="130">
    <w:name w:val="font101"/>
    <w:basedOn w:val="45"/>
    <w:qFormat/>
    <w:uiPriority w:val="0"/>
    <w:rPr>
      <w:rFonts w:ascii="Arial Unicode MS" w:hAnsi="Arial Unicode MS" w:eastAsia="Arial Unicode MS" w:cs="Arial Unicode MS"/>
      <w:color w:val="000000"/>
      <w:sz w:val="16"/>
      <w:szCs w:val="16"/>
      <w:u w:val="none"/>
    </w:rPr>
  </w:style>
  <w:style w:type="character" w:customStyle="1" w:styleId="131">
    <w:name w:val="标题 2 Char"/>
    <w:link w:val="4"/>
    <w:qFormat/>
    <w:uiPriority w:val="0"/>
    <w:rPr>
      <w:rFonts w:ascii="Arial Black" w:hAnsi="Arial Black" w:eastAsia="黑体"/>
      <w:b/>
      <w:bCs/>
      <w:kern w:val="2"/>
      <w:sz w:val="32"/>
      <w:szCs w:val="32"/>
      <w:lang w:val="en-US" w:eastAsia="zh-CN" w:bidi="ar-SA"/>
    </w:rPr>
  </w:style>
  <w:style w:type="character" w:customStyle="1" w:styleId="132">
    <w:name w:val="标题 5 Char"/>
    <w:basedOn w:val="45"/>
    <w:link w:val="7"/>
    <w:qFormat/>
    <w:uiPriority w:val="0"/>
    <w:rPr>
      <w:b/>
      <w:bCs/>
      <w:sz w:val="28"/>
      <w:szCs w:val="28"/>
    </w:rPr>
  </w:style>
  <w:style w:type="character" w:customStyle="1" w:styleId="133">
    <w:name w:val="标题 7 Char"/>
    <w:basedOn w:val="45"/>
    <w:link w:val="9"/>
    <w:qFormat/>
    <w:uiPriority w:val="0"/>
    <w:rPr>
      <w:b/>
      <w:bCs/>
      <w:sz w:val="24"/>
      <w:szCs w:val="24"/>
    </w:rPr>
  </w:style>
  <w:style w:type="character" w:customStyle="1" w:styleId="134">
    <w:name w:val="正文文本 3 Char"/>
    <w:basedOn w:val="45"/>
    <w:link w:val="19"/>
    <w:qFormat/>
    <w:uiPriority w:val="0"/>
    <w:rPr>
      <w:kern w:val="2"/>
      <w:sz w:val="16"/>
      <w:szCs w:val="16"/>
    </w:rPr>
  </w:style>
  <w:style w:type="character" w:customStyle="1" w:styleId="135">
    <w:name w:val="批注框文本 Char"/>
    <w:basedOn w:val="45"/>
    <w:link w:val="28"/>
    <w:qFormat/>
    <w:uiPriority w:val="0"/>
    <w:rPr>
      <w:kern w:val="2"/>
      <w:sz w:val="18"/>
      <w:szCs w:val="18"/>
    </w:rPr>
  </w:style>
  <w:style w:type="character" w:customStyle="1" w:styleId="136">
    <w:name w:val="正文文本缩进 2 Char"/>
    <w:basedOn w:val="45"/>
    <w:link w:val="27"/>
    <w:qFormat/>
    <w:uiPriority w:val="0"/>
    <w:rPr>
      <w:kern w:val="2"/>
      <w:sz w:val="21"/>
      <w:szCs w:val="24"/>
    </w:rPr>
  </w:style>
  <w:style w:type="character" w:customStyle="1" w:styleId="137">
    <w:name w:val="标题 9 Char"/>
    <w:basedOn w:val="45"/>
    <w:link w:val="11"/>
    <w:qFormat/>
    <w:uiPriority w:val="0"/>
    <w:rPr>
      <w:rFonts w:eastAsia="黑体"/>
      <w:sz w:val="21"/>
      <w:szCs w:val="21"/>
    </w:rPr>
  </w:style>
  <w:style w:type="character" w:customStyle="1" w:styleId="138">
    <w:name w:val="标题 4 Char"/>
    <w:basedOn w:val="45"/>
    <w:link w:val="6"/>
    <w:qFormat/>
    <w:uiPriority w:val="0"/>
    <w:rPr>
      <w:rFonts w:eastAsia="黑体"/>
      <w:b/>
      <w:bCs/>
      <w:sz w:val="28"/>
      <w:szCs w:val="28"/>
    </w:rPr>
  </w:style>
  <w:style w:type="character" w:customStyle="1" w:styleId="139">
    <w:name w:val="font91"/>
    <w:basedOn w:val="45"/>
    <w:qFormat/>
    <w:uiPriority w:val="0"/>
    <w:rPr>
      <w:rFonts w:hint="eastAsia" w:ascii="宋体" w:hAnsi="宋体" w:eastAsia="宋体" w:cs="宋体"/>
      <w:b/>
      <w:color w:val="FF0000"/>
      <w:sz w:val="20"/>
      <w:szCs w:val="20"/>
      <w:u w:val="none"/>
    </w:rPr>
  </w:style>
  <w:style w:type="paragraph" w:customStyle="1" w:styleId="140">
    <w:name w:val="Table Paragraph"/>
    <w:basedOn w:val="1"/>
    <w:qFormat/>
    <w:uiPriority w:val="1"/>
    <w:rPr>
      <w:rFonts w:ascii="宋体" w:hAnsi="宋体" w:eastAsia="宋体" w:cs="宋体"/>
      <w:lang w:val="zh-CN" w:eastAsia="zh-CN" w:bidi="zh-CN"/>
    </w:rPr>
  </w:style>
  <w:style w:type="paragraph" w:customStyle="1" w:styleId="14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42">
    <w:name w:val="标题 3 字符"/>
    <w:basedOn w:val="45"/>
    <w:link w:val="5"/>
    <w:semiHidden/>
    <w:qFormat/>
    <w:locked/>
    <w:uiPriority w:val="99"/>
    <w:rPr>
      <w:rFonts w:cs="Times New Roman"/>
      <w:b/>
      <w:bCs/>
      <w:sz w:val="32"/>
      <w:szCs w:val="32"/>
    </w:rPr>
  </w:style>
  <w:style w:type="paragraph" w:customStyle="1" w:styleId="143">
    <w:name w:val="样式3"/>
    <w:basedOn w:val="24"/>
    <w:qFormat/>
    <w:uiPriority w:val="0"/>
    <w:pPr>
      <w:spacing w:line="0" w:lineRule="atLeast"/>
      <w:outlineLvl w:val="0"/>
    </w:pPr>
    <w:rPr>
      <w:sz w:val="28"/>
    </w:rPr>
  </w:style>
  <w:style w:type="paragraph" w:customStyle="1" w:styleId="144">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5">
    <w:name w:val="纯文本1"/>
    <w:basedOn w:val="1"/>
    <w:qFormat/>
    <w:uiPriority w:val="0"/>
    <w:rPr>
      <w:rFonts w:ascii="宋体" w:hAnsi="Courier New" w:eastAsia="宋体" w:cs="Times New Roman"/>
      <w:szCs w:val="22"/>
    </w:rPr>
  </w:style>
  <w:style w:type="paragraph" w:customStyle="1" w:styleId="146">
    <w:name w:val="无间隔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72</Pages>
  <Words>36302</Words>
  <Characters>38892</Characters>
  <Lines>227</Lines>
  <Paragraphs>64</Paragraphs>
  <TotalTime>3</TotalTime>
  <ScaleCrop>false</ScaleCrop>
  <LinksUpToDate>false</LinksUpToDate>
  <CharactersWithSpaces>41518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庆信达招标代理郑泽娟</cp:lastModifiedBy>
  <cp:lastPrinted>2023-01-14T06:28:00Z</cp:lastPrinted>
  <dcterms:modified xsi:type="dcterms:W3CDTF">2023-03-30T11:22:55Z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D5FCCFCB972B40048484C3A4AA0C38C6</vt:lpwstr>
  </property>
</Properties>
</file>