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p>
    <w:p>
      <w:pPr>
        <w:spacing w:line="240" w:lineRule="atLeast"/>
        <w:jc w:val="both"/>
        <w:rPr>
          <w:rFonts w:hint="eastAsia" w:ascii="微软雅黑" w:hAnsi="微软雅黑" w:eastAsia="微软雅黑" w:cs="微软雅黑"/>
          <w:b/>
          <w:color w:val="000000" w:themeColor="text1"/>
          <w:sz w:val="52"/>
          <w:szCs w:val="52"/>
          <w:highlight w:val="none"/>
          <w:lang w:eastAsia="zh-CN"/>
          <w14:textFill>
            <w14:solidFill>
              <w14:schemeClr w14:val="tx1"/>
            </w14:solidFill>
          </w14:textFill>
        </w:rPr>
      </w:pPr>
    </w:p>
    <w:p>
      <w:pPr>
        <w:spacing w:line="240" w:lineRule="atLeast"/>
        <w:jc w:val="center"/>
        <w:rPr>
          <w:rFonts w:hint="eastAsia" w:ascii="微软雅黑" w:hAnsi="微软雅黑" w:eastAsia="微软雅黑" w:cs="微软雅黑"/>
          <w:b/>
          <w:color w:val="000000" w:themeColor="text1"/>
          <w:sz w:val="52"/>
          <w:szCs w:val="52"/>
          <w:highlight w:val="none"/>
          <w:lang w:val="en-US" w:eastAsia="zh-CN"/>
          <w14:textFill>
            <w14:solidFill>
              <w14:schemeClr w14:val="tx1"/>
            </w14:solidFill>
          </w14:textFill>
        </w:rPr>
      </w:pPr>
      <w:r>
        <w:rPr>
          <w:rFonts w:hint="eastAsia" w:ascii="微软雅黑" w:hAnsi="微软雅黑" w:eastAsia="微软雅黑" w:cs="微软雅黑"/>
          <w:b/>
          <w:color w:val="000000" w:themeColor="text1"/>
          <w:sz w:val="52"/>
          <w:szCs w:val="52"/>
          <w:highlight w:val="none"/>
          <w:lang w:val="en-US" w:eastAsia="zh-CN"/>
          <w14:textFill>
            <w14:solidFill>
              <w14:schemeClr w14:val="tx1"/>
            </w14:solidFill>
          </w14:textFill>
        </w:rPr>
        <w:t>疏附县托克扎克镇3村中草药林下种植项目</w:t>
      </w:r>
    </w:p>
    <w:p>
      <w:pPr>
        <w:spacing w:line="240" w:lineRule="atLeast"/>
        <w:jc w:val="center"/>
        <w:rPr>
          <w:rFonts w:hint="eastAsia" w:ascii="微软雅黑" w:hAnsi="微软雅黑" w:eastAsia="微软雅黑" w:cs="微软雅黑"/>
          <w:b/>
          <w:color w:val="000000" w:themeColor="text1"/>
          <w:sz w:val="52"/>
          <w:szCs w:val="52"/>
          <w:highlight w:val="none"/>
          <w14:textFill>
            <w14:solidFill>
              <w14:schemeClr w14:val="tx1"/>
            </w14:solidFill>
          </w14:textFill>
        </w:rPr>
      </w:pPr>
    </w:p>
    <w:p>
      <w:pPr>
        <w:spacing w:line="240" w:lineRule="atLeast"/>
        <w:jc w:val="center"/>
        <w:rPr>
          <w:rFonts w:hint="eastAsia" w:ascii="微软雅黑" w:hAnsi="微软雅黑" w:eastAsia="微软雅黑" w:cs="微软雅黑"/>
          <w:bCs/>
          <w:color w:val="000000" w:themeColor="text1"/>
          <w:sz w:val="72"/>
          <w:szCs w:val="72"/>
          <w:highlight w:val="none"/>
          <w:lang w:eastAsia="zh-CN"/>
          <w14:textFill>
            <w14:solidFill>
              <w14:schemeClr w14:val="tx1"/>
            </w14:solidFill>
          </w14:textFill>
        </w:rPr>
      </w:pPr>
      <w:r>
        <w:rPr>
          <w:rFonts w:hint="eastAsia" w:ascii="微软雅黑" w:hAnsi="微软雅黑" w:eastAsia="微软雅黑" w:cs="微软雅黑"/>
          <w:b/>
          <w:color w:val="000000" w:themeColor="text1"/>
          <w:sz w:val="72"/>
          <w:szCs w:val="72"/>
          <w:highlight w:val="none"/>
          <w14:textFill>
            <w14:solidFill>
              <w14:schemeClr w14:val="tx1"/>
            </w14:solidFill>
          </w14:textFill>
        </w:rPr>
        <w:t>公开招标文件</w:t>
      </w:r>
    </w:p>
    <w:p>
      <w:pPr>
        <w:spacing w:line="240" w:lineRule="atLeast"/>
        <w:ind w:left="1080" w:leftChars="257" w:hanging="540"/>
        <w:jc w:val="center"/>
        <w:rPr>
          <w:rFonts w:hint="eastAsia" w:ascii="微软雅黑" w:hAnsi="微软雅黑" w:eastAsia="微软雅黑" w:cs="微软雅黑"/>
          <w:bCs/>
          <w:color w:val="000000" w:themeColor="text1"/>
          <w:sz w:val="52"/>
          <w:szCs w:val="5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Cs/>
          <w:color w:val="000000" w:themeColor="text1"/>
          <w:sz w:val="32"/>
          <w:szCs w:val="3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Cs/>
          <w:color w:val="000000" w:themeColor="text1"/>
          <w:sz w:val="32"/>
          <w:szCs w:val="32"/>
          <w:highlight w:val="none"/>
          <w14:textFill>
            <w14:solidFill>
              <w14:schemeClr w14:val="tx1"/>
            </w14:solidFill>
          </w14:textFill>
        </w:rPr>
        <w:t xml:space="preserve">（项目编号： </w:t>
      </w:r>
      <w:r>
        <w:rPr>
          <w:rFonts w:hint="eastAsia" w:ascii="微软雅黑" w:hAnsi="微软雅黑" w:eastAsia="微软雅黑" w:cs="微软雅黑"/>
          <w:bCs/>
          <w:color w:val="000000" w:themeColor="text1"/>
          <w:sz w:val="32"/>
          <w:szCs w:val="32"/>
          <w:highlight w:val="none"/>
          <w:lang w:val="en-US" w:eastAsia="zh-CN"/>
          <w14:textFill>
            <w14:solidFill>
              <w14:schemeClr w14:val="tx1"/>
            </w14:solidFill>
          </w14:textFill>
        </w:rPr>
        <w:t>XJLSJYSFX(GK)2023-10-2号</w:t>
      </w:r>
      <w:r>
        <w:rPr>
          <w:rFonts w:hint="eastAsia" w:ascii="微软雅黑" w:hAnsi="微软雅黑" w:eastAsia="微软雅黑" w:cs="微软雅黑"/>
          <w:bCs/>
          <w:color w:val="000000" w:themeColor="text1"/>
          <w:sz w:val="32"/>
          <w:szCs w:val="32"/>
          <w:highlight w:val="none"/>
          <w:lang w:eastAsia="zh-CN"/>
          <w14:textFill>
            <w14:solidFill>
              <w14:schemeClr w14:val="tx1"/>
            </w14:solidFill>
          </w14:textFill>
        </w:rPr>
        <w:t>）</w:t>
      </w:r>
    </w:p>
    <w:p>
      <w:pPr>
        <w:spacing w:line="240" w:lineRule="atLeast"/>
        <w:ind w:left="1080" w:leftChars="257" w:hanging="540"/>
        <w:jc w:val="center"/>
        <w:rPr>
          <w:rFonts w:hint="eastAsia" w:ascii="微软雅黑" w:hAnsi="微软雅黑" w:eastAsia="微软雅黑" w:cs="微软雅黑"/>
          <w:b/>
          <w:color w:val="000000" w:themeColor="text1"/>
          <w:sz w:val="36"/>
          <w:szCs w:val="36"/>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
          <w:color w:val="000000" w:themeColor="text1"/>
          <w:sz w:val="36"/>
          <w:szCs w:val="36"/>
          <w:highlight w:val="none"/>
          <w14:textFill>
            <w14:solidFill>
              <w14:schemeClr w14:val="tx1"/>
            </w14:solidFill>
          </w14:textFill>
        </w:rPr>
      </w:pPr>
      <w:r>
        <w:rPr>
          <w:rFonts w:hint="eastAsia" w:ascii="微软雅黑" w:hAnsi="微软雅黑" w:eastAsia="微软雅黑" w:cs="微软雅黑"/>
          <w:b/>
          <w:color w:val="000000" w:themeColor="text1"/>
          <w:sz w:val="36"/>
          <w:szCs w:val="36"/>
          <w:highlight w:val="none"/>
          <w14:textFill>
            <w14:solidFill>
              <w14:schemeClr w14:val="tx1"/>
            </w14:solidFill>
          </w14:textFill>
        </w:rPr>
        <w:t>第一册</w:t>
      </w:r>
    </w:p>
    <w:p>
      <w:pPr>
        <w:spacing w:line="240" w:lineRule="atLeast"/>
        <w:ind w:left="1080" w:leftChars="257" w:hanging="540"/>
        <w:jc w:val="center"/>
        <w:rPr>
          <w:rFonts w:hint="eastAsia" w:ascii="微软雅黑" w:hAnsi="微软雅黑" w:eastAsia="微软雅黑" w:cs="微软雅黑"/>
          <w:b/>
          <w:color w:val="000000" w:themeColor="text1"/>
          <w:sz w:val="52"/>
          <w:highlight w:val="none"/>
          <w14:textFill>
            <w14:solidFill>
              <w14:schemeClr w14:val="tx1"/>
            </w14:solidFill>
          </w14:textFill>
        </w:rPr>
      </w:pPr>
    </w:p>
    <w:p>
      <w:pPr>
        <w:spacing w:line="360" w:lineRule="auto"/>
        <w:jc w:val="left"/>
        <w:rPr>
          <w:rFonts w:hint="eastAsia" w:ascii="微软雅黑" w:hAnsi="微软雅黑" w:eastAsia="微软雅黑" w:cs="微软雅黑"/>
          <w:color w:val="000000" w:themeColor="text1"/>
          <w:sz w:val="28"/>
          <w:szCs w:val="28"/>
          <w:highlight w:val="none"/>
          <w14:textFill>
            <w14:solidFill>
              <w14:schemeClr w14:val="tx1"/>
            </w14:solidFill>
          </w14:textFill>
        </w:rPr>
      </w:pPr>
    </w:p>
    <w:p>
      <w:pPr>
        <w:spacing w:line="360" w:lineRule="auto"/>
        <w:ind w:firstLine="837" w:firstLineChars="299"/>
        <w:jc w:val="left"/>
        <w:rPr>
          <w:rFonts w:hint="default" w:ascii="微软雅黑" w:hAnsi="微软雅黑" w:eastAsia="微软雅黑" w:cs="微软雅黑"/>
          <w:color w:val="000000" w:themeColor="text1"/>
          <w:sz w:val="28"/>
          <w:szCs w:val="28"/>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采 购 人：</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疏附县托克扎克镇人民政府</w:t>
      </w:r>
    </w:p>
    <w:p>
      <w:pPr>
        <w:spacing w:line="600" w:lineRule="exact"/>
        <w:ind w:firstLine="837" w:firstLineChars="299"/>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采购机构：</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新疆龙盛建业工程项目管理有限公司</w:t>
      </w:r>
    </w:p>
    <w:p>
      <w:pPr>
        <w:spacing w:line="600" w:lineRule="exact"/>
        <w:ind w:firstLine="837" w:firstLineChars="299"/>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发出日期：</w:t>
      </w:r>
      <w:r>
        <w:rPr>
          <w:rFonts w:hint="eastAsia" w:ascii="微软雅黑" w:hAnsi="微软雅黑" w:eastAsia="微软雅黑" w:cs="微软雅黑"/>
          <w:color w:val="000000" w:themeColor="text1"/>
          <w:sz w:val="28"/>
          <w:szCs w:val="28"/>
          <w:highlight w:val="none"/>
          <w:u w:val="none"/>
          <w14:textFill>
            <w14:solidFill>
              <w14:schemeClr w14:val="tx1"/>
            </w14:solidFill>
          </w14:textFill>
        </w:rPr>
        <w:t>202</w:t>
      </w:r>
      <w:r>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28"/>
          <w:szCs w:val="28"/>
          <w:highlight w:val="none"/>
          <w:u w:val="none"/>
          <w14:textFill>
            <w14:solidFill>
              <w14:schemeClr w14:val="tx1"/>
            </w14:solidFill>
          </w14:textFill>
        </w:rPr>
        <w:t>年</w:t>
      </w:r>
      <w:r>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28"/>
          <w:szCs w:val="28"/>
          <w:highlight w:val="none"/>
          <w:u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t xml:space="preserve">  </w:t>
      </w:r>
    </w:p>
    <w:p>
      <w:pPr>
        <w:jc w:val="both"/>
        <w:rPr>
          <w:rFonts w:hint="eastAsia" w:ascii="微软雅黑" w:hAnsi="微软雅黑" w:eastAsia="微软雅黑" w:cs="微软雅黑"/>
          <w:b/>
          <w:bCs/>
          <w:color w:val="000000" w:themeColor="text1"/>
          <w:sz w:val="40"/>
          <w:szCs w:val="40"/>
          <w:highlight w:val="none"/>
          <w14:textFill>
            <w14:solidFill>
              <w14:schemeClr w14:val="tx1"/>
            </w14:solidFill>
          </w14:textFill>
        </w:rPr>
        <w:sectPr>
          <w:footerReference r:id="rId5" w:type="first"/>
          <w:headerReference r:id="rId3" w:type="default"/>
          <w:footerReference r:id="rId4" w:type="default"/>
          <w:pgSz w:w="11905" w:h="16838"/>
          <w:pgMar w:top="1440" w:right="1797" w:bottom="1440" w:left="1797" w:header="851" w:footer="992" w:gutter="0"/>
          <w:pgNumType w:fmt="decimal"/>
          <w:cols w:space="0" w:num="1"/>
          <w:rtlGutter w:val="0"/>
          <w:docGrid w:linePitch="312" w:charSpace="0"/>
        </w:sectPr>
      </w:pPr>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目录</w:t>
      </w:r>
    </w:p>
    <w:p>
      <w:pPr>
        <w:pStyle w:val="22"/>
        <w:tabs>
          <w:tab w:val="right" w:leader="dot" w:pos="8311"/>
        </w:tabs>
        <w:spacing w:line="360" w:lineRule="auto"/>
        <w:rPr>
          <w:rFonts w:hint="eastAsia" w:ascii="微软雅黑" w:hAnsi="微软雅黑" w:eastAsia="宋体" w:cs="微软雅黑"/>
          <w:szCs w:val="32"/>
          <w:highlight w:val="none"/>
          <w:lang w:val="en-US" w:eastAsia="zh-CN"/>
        </w:rPr>
      </w:pPr>
      <w:r>
        <w:rPr>
          <w:rFonts w:hint="eastAsia" w:ascii="微软雅黑" w:hAnsi="微软雅黑" w:eastAsia="微软雅黑" w:cs="微软雅黑"/>
          <w:szCs w:val="32"/>
          <w:highlight w:val="none"/>
        </w:rPr>
        <w:t xml:space="preserve">第1章  </w:t>
      </w:r>
      <w:r>
        <w:rPr>
          <w:rFonts w:hint="eastAsia" w:ascii="微软雅黑" w:hAnsi="微软雅黑" w:eastAsia="微软雅黑" w:cs="微软雅黑"/>
          <w:szCs w:val="32"/>
          <w:highlight w:val="none"/>
          <w:lang w:val="en-US" w:eastAsia="zh-CN"/>
        </w:rPr>
        <w:t xml:space="preserve"> </w:t>
      </w:r>
      <w:r>
        <w:rPr>
          <w:rFonts w:hint="eastAsia" w:ascii="微软雅黑" w:hAnsi="微软雅黑" w:eastAsia="微软雅黑" w:cs="微软雅黑"/>
          <w:szCs w:val="32"/>
          <w:highlight w:val="none"/>
        </w:rPr>
        <w:t>供应商须知</w:t>
      </w:r>
      <w:r>
        <w:tab/>
      </w:r>
      <w:r>
        <w:rPr>
          <w:rFonts w:hint="eastAsia"/>
          <w:lang w:val="en-US" w:eastAsia="zh-CN"/>
        </w:rPr>
        <w:t>1</w:t>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TOC \o "1-2" \h \u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_Toc31329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一   总 则</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_Toc31329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_Toc1394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二   招标文件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_Toc1394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_Toc12209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三   投标文件的编制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_Toc12209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_Toc15823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四   投标文件的递交</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_Toc15823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6</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_Toc24405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五   开标及评标</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_Toc24405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6</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_Toc32717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六   确定中标</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_Toc32717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11</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2"/>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_Toc17412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第2章   投标文件格式</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_Toc17412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17</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_Toc28418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第一部分 开标一览表及资格证明文件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_Toc28418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17</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_Toc568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  开标一览表</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_Toc568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18</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_Toc28851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 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须提供查询记录并加盖公章）；</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_Toc28851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19</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_Toc16094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  具有独立法人资格或是具有独立承担民事责任能力的其它组织（法人或者非法人组织的营业执照等证明文件扫描件）；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_Toc16094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19</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_Toc4535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4  法人投标须提供法人身份证明及法人身份证，被授权委托人须提供法人身份证明、授权委托书及身份证复印件；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_Toc4535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20</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_Toc656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5  投标单位提供本单位依法缴纳近三个月的社保证明和单位缴费个人明细表；</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_Toc656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22</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_Toc20364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6  提供税务部门出具近三个月（2023年1月-2023年3月）的完税证明，依法免缴的应提供依法免缴的相关证明文件和零申报报表，扫描件；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_Toc20364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22</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_Toc14068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7  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_Toc14068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22</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_Toc20181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8  投标保证金收据扫描件或银行转款证明扫描件或支票扫描件、汇票扫描件；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_Toc20181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23</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_Toc3618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9  参加政府采购活动前3年内在经营活动中没有重大违法记录的书面声明；</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_Toc3618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23</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_Toc8897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10  提供针对本次项目的反商业贿赂承诺书；</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_Toc8897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23</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_Toc31739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11  投标单位需提供有效的《林木种子生产经营许可证》及《植物检验检疫证》扫描件；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_Toc31739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23</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_Toc8825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12  本项目不接受联合体投标（提供非联合体投标承诺函，承诺函格式自拟）；</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_Toc8825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23</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_Toc29229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13  供应商可提供有利于投标的其他资格证明材料。</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_Toc29229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23</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_Toc26804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第二部分 商务及技术文件</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_Toc26804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24</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_Toc32045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1、投标书</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_Toc32045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25</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_Toc1202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2、投标分项报价表</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_Toc1202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26</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_Toc15687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3、货物说明一览表</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_Toc15687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27</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_Toc3149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4、技术规格偏离表</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_Toc3149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28</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_Toc16989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5、商务条款偏离表</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_Toc16989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29</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_Toc20087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6-1  中小企业声明函</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_Toc20087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30</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_Toc6203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6-2  残疾人福利性单位声明函</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_Toc6203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31</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_Toc17892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7、供应商关联单位的说明</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_Toc17892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32</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_Toc23673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8、供应商可提供有利于投标的其他资格证明材料</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_Toc23673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32</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3"/>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_Toc14522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9、投标文件格式范本</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_Toc14522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32</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2"/>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_Toc2023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第3章 投标邀请</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_Toc2023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35</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2"/>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_Toc26146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第4章 供应商须知资料表</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_Toc26146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39</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2"/>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_Toc2086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第5章 货物需求一览表及技术规格</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_Toc2086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44</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2"/>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_Toc7563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第6章  评标方法和标准</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_Toc7563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46</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2"/>
        <w:tabs>
          <w:tab w:val="right" w:leader="dot" w:pos="8311"/>
        </w:tabs>
        <w:spacing w:line="360" w:lineRule="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HYPERLINK \l _Toc15366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第7章 政府采购合同</w:t>
      </w:r>
      <w:r>
        <w:rPr>
          <w:rFonts w:hint="eastAsia" w:ascii="微软雅黑" w:hAnsi="微软雅黑" w:eastAsia="微软雅黑" w:cs="微软雅黑"/>
          <w:kern w:val="2"/>
          <w:sz w:val="21"/>
          <w:szCs w:val="32"/>
          <w:highlight w:val="none"/>
          <w:lang w:val="en-US" w:eastAsia="zh-CN" w:bidi="ar-SA"/>
        </w:rPr>
        <w:tab/>
      </w:r>
      <w:r>
        <w:rPr>
          <w:rFonts w:hint="eastAsia" w:ascii="微软雅黑" w:hAnsi="微软雅黑" w:eastAsia="微软雅黑" w:cs="微软雅黑"/>
          <w:kern w:val="2"/>
          <w:sz w:val="21"/>
          <w:szCs w:val="32"/>
          <w:highlight w:val="none"/>
          <w:lang w:val="en-US" w:eastAsia="zh-CN" w:bidi="ar-SA"/>
        </w:rPr>
        <w:fldChar w:fldCharType="begin"/>
      </w:r>
      <w:r>
        <w:rPr>
          <w:rFonts w:hint="eastAsia" w:ascii="微软雅黑" w:hAnsi="微软雅黑" w:eastAsia="微软雅黑" w:cs="微软雅黑"/>
          <w:kern w:val="2"/>
          <w:sz w:val="21"/>
          <w:szCs w:val="32"/>
          <w:highlight w:val="none"/>
          <w:lang w:val="en-US" w:eastAsia="zh-CN" w:bidi="ar-SA"/>
        </w:rPr>
        <w:instrText xml:space="preserve"> PAGEREF _Toc15366 </w:instrText>
      </w:r>
      <w:r>
        <w:rPr>
          <w:rFonts w:hint="eastAsia" w:ascii="微软雅黑" w:hAnsi="微软雅黑" w:eastAsia="微软雅黑" w:cs="微软雅黑"/>
          <w:kern w:val="2"/>
          <w:sz w:val="21"/>
          <w:szCs w:val="32"/>
          <w:highlight w:val="none"/>
          <w:lang w:val="en-US" w:eastAsia="zh-CN" w:bidi="ar-SA"/>
        </w:rPr>
        <w:fldChar w:fldCharType="separate"/>
      </w:r>
      <w:r>
        <w:rPr>
          <w:rFonts w:hint="eastAsia" w:ascii="微软雅黑" w:hAnsi="微软雅黑" w:eastAsia="微软雅黑" w:cs="微软雅黑"/>
          <w:kern w:val="2"/>
          <w:sz w:val="21"/>
          <w:szCs w:val="32"/>
          <w:highlight w:val="none"/>
          <w:lang w:val="en-US" w:eastAsia="zh-CN" w:bidi="ar-SA"/>
        </w:rPr>
        <w:t>59</w:t>
      </w:r>
      <w:r>
        <w:rPr>
          <w:rFonts w:hint="eastAsia" w:ascii="微软雅黑" w:hAnsi="微软雅黑" w:eastAsia="微软雅黑" w:cs="微软雅黑"/>
          <w:kern w:val="2"/>
          <w:sz w:val="21"/>
          <w:szCs w:val="32"/>
          <w:highlight w:val="none"/>
          <w:lang w:val="en-US" w:eastAsia="zh-CN" w:bidi="ar-SA"/>
        </w:rPr>
        <w:fldChar w:fldCharType="end"/>
      </w:r>
      <w:r>
        <w:rPr>
          <w:rFonts w:hint="eastAsia" w:ascii="微软雅黑" w:hAnsi="微软雅黑" w:eastAsia="微软雅黑" w:cs="微软雅黑"/>
          <w:kern w:val="2"/>
          <w:sz w:val="21"/>
          <w:szCs w:val="32"/>
          <w:highlight w:val="none"/>
          <w:lang w:val="en-US" w:eastAsia="zh-CN" w:bidi="ar-SA"/>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kern w:val="2"/>
          <w:sz w:val="21"/>
          <w:szCs w:val="32"/>
          <w:highlight w:val="none"/>
          <w:lang w:val="en-US" w:eastAsia="zh-CN" w:bidi="ar-SA"/>
        </w:rPr>
      </w:pPr>
      <w:r>
        <w:rPr>
          <w:rFonts w:hint="eastAsia" w:ascii="微软雅黑" w:hAnsi="微软雅黑" w:eastAsia="微软雅黑" w:cs="微软雅黑"/>
          <w:kern w:val="2"/>
          <w:sz w:val="21"/>
          <w:szCs w:val="32"/>
          <w:highlight w:val="none"/>
          <w:lang w:val="en-US" w:eastAsia="zh-CN" w:bidi="ar-SA"/>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000000" w:themeColor="text1"/>
          <w:sz w:val="32"/>
          <w:szCs w:val="32"/>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第1章  供应商须知</w:t>
      </w:r>
    </w:p>
    <w:p>
      <w:pPr>
        <w:pStyle w:val="4"/>
        <w:spacing w:before="0" w:line="240" w:lineRule="atLeast"/>
        <w:ind w:left="1080" w:leftChars="257" w:hanging="540"/>
        <w:rPr>
          <w:rFonts w:hint="eastAsia" w:ascii="微软雅黑" w:hAnsi="微软雅黑" w:eastAsia="微软雅黑" w:cs="微软雅黑"/>
          <w:color w:val="000000" w:themeColor="text1"/>
          <w:highlight w:val="none"/>
          <w14:textFill>
            <w14:solidFill>
              <w14:schemeClr w14:val="tx1"/>
            </w14:solidFill>
          </w14:textFill>
        </w:rPr>
      </w:pPr>
      <w:bookmarkStart w:id="0" w:name="_Toc216582805"/>
      <w:bookmarkStart w:id="1" w:name="_Toc515647757"/>
      <w:bookmarkStart w:id="2" w:name="_Toc520356143"/>
      <w:bookmarkStart w:id="3" w:name="_Toc21015"/>
      <w:bookmarkStart w:id="4" w:name="_Toc21215"/>
      <w:bookmarkStart w:id="5" w:name="_Toc5597"/>
      <w:bookmarkStart w:id="6" w:name="_Toc31329"/>
      <w:bookmarkStart w:id="7" w:name="_Toc16706"/>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一   </w:t>
      </w:r>
      <w:bookmarkEnd w:id="0"/>
      <w:bookmarkEnd w:id="1"/>
      <w:bookmarkEnd w:id="2"/>
      <w:r>
        <w:rPr>
          <w:rFonts w:hint="eastAsia" w:ascii="微软雅黑" w:hAnsi="微软雅黑" w:eastAsia="微软雅黑" w:cs="微软雅黑"/>
          <w:color w:val="000000" w:themeColor="text1"/>
          <w:sz w:val="28"/>
          <w:szCs w:val="28"/>
          <w:highlight w:val="none"/>
          <w14:textFill>
            <w14:solidFill>
              <w14:schemeClr w14:val="tx1"/>
            </w14:solidFill>
          </w14:textFill>
        </w:rPr>
        <w:t>总 则</w:t>
      </w:r>
      <w:bookmarkEnd w:id="3"/>
      <w:bookmarkEnd w:id="4"/>
      <w:bookmarkEnd w:id="5"/>
      <w:bookmarkEnd w:id="6"/>
      <w:bookmarkEnd w:id="7"/>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8" w:name="_Toc520356144"/>
      <w:bookmarkStart w:id="9" w:name="_Toc515647758"/>
      <w:bookmarkStart w:id="10" w:name="_Toc32189"/>
      <w:bookmarkStart w:id="11" w:name="_Toc1120"/>
      <w:bookmarkStart w:id="12" w:name="_Toc32623"/>
      <w:r>
        <w:rPr>
          <w:rFonts w:hint="eastAsia" w:ascii="微软雅黑" w:hAnsi="微软雅黑" w:eastAsia="微软雅黑" w:cs="微软雅黑"/>
          <w:color w:val="000000" w:themeColor="text1"/>
          <w:sz w:val="22"/>
          <w:szCs w:val="22"/>
          <w:highlight w:val="none"/>
          <w:u w:val="none"/>
          <w14:textFill>
            <w14:solidFill>
              <w14:schemeClr w14:val="tx1"/>
            </w14:solidFill>
          </w14:textFill>
        </w:rPr>
        <w:t>1.采购人、采购代理机构及</w:t>
      </w:r>
      <w:bookmarkEnd w:id="8"/>
      <w:bookmarkEnd w:id="9"/>
      <w:bookmarkEnd w:id="10"/>
      <w:bookmarkEnd w:id="11"/>
      <w:bookmarkEnd w:id="12"/>
      <w:r>
        <w:rPr>
          <w:rFonts w:hint="eastAsia" w:ascii="微软雅黑" w:hAnsi="微软雅黑" w:eastAsia="微软雅黑" w:cs="微软雅黑"/>
          <w:color w:val="000000" w:themeColor="text1"/>
          <w:sz w:val="22"/>
          <w:szCs w:val="22"/>
          <w:highlight w:val="none"/>
          <w:u w:val="none"/>
          <w14:textFill>
            <w14:solidFill>
              <w14:schemeClr w14:val="tx1"/>
            </w14:solidFill>
          </w14:textFill>
        </w:rPr>
        <w:t>供应商</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采购人：是指依法开展政府采购活动的国家机关、事业单位、团体组织。</w:t>
      </w:r>
    </w:p>
    <w:p>
      <w:pPr>
        <w:pageBreakBefore w:val="0"/>
        <w:tabs>
          <w:tab w:val="left" w:pos="0"/>
        </w:tabs>
        <w:kinsoku/>
        <w:wordWrap/>
        <w:overflowPunct/>
        <w:topLinePunct w:val="0"/>
        <w:bidi w:val="0"/>
        <w:spacing w:line="400" w:lineRule="exact"/>
        <w:ind w:left="9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本项目的采购人见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采购代理机构：是指在集中采购机构或从事采购代理业务的社会中介机构。本项目的采购代理机构见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numPr>
          <w:ilvl w:val="1"/>
          <w:numId w:val="2"/>
        </w:numPr>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供应商：是指向采购人提供货物、工程或者服务的法人、非法人组织或者自然人。 本项目的供应商及其投标货物须满足以下条件：</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在中华人民共和国境内注册，能够独立承担民事责任，有生产或供应能力的本国供应商。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1.3.3   以采购代理机构认可的方式获得了本项目的招标文件。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1.3.4   符合</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中规定的其他要求。</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1.3.5   若</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中写明允许采购进口产品，供应商应保证所投产品可履行合法报通关手续进入中国关境内。</w:t>
      </w:r>
    </w:p>
    <w:p>
      <w:pPr>
        <w:pageBreakBefore w:val="0"/>
        <w:kinsoku/>
        <w:wordWrap/>
        <w:overflowPunct/>
        <w:topLinePunct w:val="0"/>
        <w:bidi w:val="0"/>
        <w:spacing w:line="400" w:lineRule="exact"/>
        <w:ind w:left="899" w:leftChars="428"/>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若</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中未写明允许采购进口产品，如供应商所投产品为进口产品，其投标将被认定为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1.3.6  若</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中写明专门面向中小企业采购的，如供应商为非中小企业且所投产品为非中小企业产品，其投标将被认定为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     如</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中允许联合体投标，对联合体规定如下：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1.4.1   两个以上供应商可以组成一个投标联合体，以一个供应商的身份投标。</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1.4.2   联合体各方均应符合《中华人民共和国政府采购法》第二十二条规定的条件。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1.4.3   采购人根据采购项目对供应商的特殊要求，联合体中至少应当有一方符合相关规定。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1.4.4   联合体各方应签订共同投标协议，明确约定联合体各方承担的工作和相应的责任，并将共同投标协议连同作为投标文件第一部分的内容提交。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1.4.6  联合体中有同类资质的供应商按照联合体分工承担相同工作的，按照较低的资质等级确定联合体的资质等级。</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1.4.8   对联合体投标的其他资格要求见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1.5    单位负责人为同一人或者存在直接控股、管理关系的不同供应商，其相关投标将被认定为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供应商在投标过程中不得向采购人提供、给予任何有价值的物品，影响其正常决策行为。一经发现，其将被认定为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3" w:name="_Toc5286"/>
      <w:bookmarkStart w:id="14" w:name="_Toc12139"/>
      <w:bookmarkStart w:id="15" w:name="_Toc515647759"/>
      <w:bookmarkStart w:id="16" w:name="_Toc4067"/>
      <w:r>
        <w:rPr>
          <w:rFonts w:hint="eastAsia" w:ascii="微软雅黑" w:hAnsi="微软雅黑" w:eastAsia="微软雅黑" w:cs="微软雅黑"/>
          <w:color w:val="000000" w:themeColor="text1"/>
          <w:sz w:val="22"/>
          <w:szCs w:val="22"/>
          <w:highlight w:val="none"/>
          <w:u w:val="none"/>
          <w14:textFill>
            <w14:solidFill>
              <w14:schemeClr w14:val="tx1"/>
            </w14:solidFill>
          </w14:textFill>
        </w:rPr>
        <w:t>2.资金来源</w:t>
      </w:r>
      <w:bookmarkEnd w:id="13"/>
      <w:bookmarkEnd w:id="14"/>
      <w:bookmarkEnd w:id="15"/>
      <w:bookmarkEnd w:id="16"/>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本项目的采购人已获得足以支付本次招标后所签订的合同项下的资金（包括财政性资金和本项目采购中无法与财政性资金分割的非财政性资金）。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2.2    项目预算金额和分项或分包最高限价</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见供应商须知资料表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2.3    供应商报价超过招标文件规定的预算金额或者分项、分包最高限价的，其投标将被认定为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7" w:name="_Toc4840"/>
      <w:bookmarkStart w:id="18" w:name="_Toc520356145"/>
      <w:bookmarkStart w:id="19" w:name="_Toc15936"/>
      <w:bookmarkStart w:id="20" w:name="_Toc20526"/>
      <w:bookmarkStart w:id="21" w:name="_Toc515647760"/>
      <w:r>
        <w:rPr>
          <w:rFonts w:hint="eastAsia" w:ascii="微软雅黑" w:hAnsi="微软雅黑" w:eastAsia="微软雅黑" w:cs="微软雅黑"/>
          <w:color w:val="000000" w:themeColor="text1"/>
          <w:sz w:val="22"/>
          <w:szCs w:val="22"/>
          <w:highlight w:val="none"/>
          <w:u w:val="none"/>
          <w14:textFill>
            <w14:solidFill>
              <w14:schemeClr w14:val="tx1"/>
            </w14:solidFill>
          </w14:textFill>
        </w:rPr>
        <w:t>3.投标费用</w:t>
      </w:r>
      <w:bookmarkEnd w:id="17"/>
      <w:bookmarkEnd w:id="18"/>
      <w:bookmarkEnd w:id="19"/>
      <w:bookmarkEnd w:id="20"/>
      <w:bookmarkEnd w:id="2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不论投标的结果如何，供应商应承担所有与准备和参加投标有关的费用。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 w:name="_Toc6116"/>
      <w:bookmarkStart w:id="23" w:name="_Toc515647761"/>
      <w:bookmarkStart w:id="24" w:name="_Toc22810"/>
      <w:bookmarkStart w:id="25" w:name="_Toc4463"/>
      <w:r>
        <w:rPr>
          <w:rFonts w:hint="eastAsia" w:ascii="微软雅黑" w:hAnsi="微软雅黑" w:eastAsia="微软雅黑" w:cs="微软雅黑"/>
          <w:color w:val="000000" w:themeColor="text1"/>
          <w:sz w:val="22"/>
          <w:szCs w:val="22"/>
          <w:highlight w:val="none"/>
          <w:u w:val="none"/>
          <w14:textFill>
            <w14:solidFill>
              <w14:schemeClr w14:val="tx1"/>
            </w14:solidFill>
          </w14:textFill>
        </w:rPr>
        <w:t>4.适用法律</w:t>
      </w:r>
      <w:bookmarkEnd w:id="22"/>
      <w:bookmarkEnd w:id="23"/>
      <w:bookmarkEnd w:id="24"/>
      <w:bookmarkEnd w:id="2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6" w:name="_Toc520356146"/>
      <w:bookmarkStart w:id="27" w:name="_Toc4365"/>
      <w:bookmarkStart w:id="28" w:name="_Toc25381"/>
      <w:bookmarkStart w:id="29" w:name="_Toc515647762"/>
      <w:bookmarkStart w:id="30" w:name="_Toc1394"/>
      <w:bookmarkStart w:id="31" w:name="_Toc216582806"/>
      <w:bookmarkStart w:id="32" w:name="_Toc21566"/>
      <w:bookmarkStart w:id="33" w:name="_Toc6382"/>
      <w:r>
        <w:rPr>
          <w:rFonts w:hint="eastAsia" w:ascii="微软雅黑" w:hAnsi="微软雅黑" w:eastAsia="微软雅黑" w:cs="微软雅黑"/>
          <w:color w:val="000000" w:themeColor="text1"/>
          <w:sz w:val="22"/>
          <w:szCs w:val="22"/>
          <w:highlight w:val="none"/>
          <w14:textFill>
            <w14:solidFill>
              <w14:schemeClr w14:val="tx1"/>
            </w14:solidFill>
          </w14:textFill>
        </w:rPr>
        <w:t>二   招标文件</w:t>
      </w:r>
      <w:bookmarkEnd w:id="26"/>
      <w:bookmarkEnd w:id="27"/>
      <w:bookmarkEnd w:id="28"/>
      <w:bookmarkEnd w:id="29"/>
      <w:bookmarkEnd w:id="30"/>
      <w:bookmarkEnd w:id="31"/>
      <w:bookmarkEnd w:id="32"/>
      <w:bookmarkEnd w:id="33"/>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34" w:name="_Toc515647763"/>
      <w:bookmarkStart w:id="35" w:name="_Toc25743"/>
      <w:bookmarkStart w:id="36" w:name="_Toc520356147"/>
      <w:bookmarkStart w:id="37" w:name="_Toc14084"/>
      <w:bookmarkStart w:id="38" w:name="_Toc25000"/>
      <w:r>
        <w:rPr>
          <w:rFonts w:hint="eastAsia" w:ascii="微软雅黑" w:hAnsi="微软雅黑" w:eastAsia="微软雅黑" w:cs="微软雅黑"/>
          <w:color w:val="000000" w:themeColor="text1"/>
          <w:sz w:val="22"/>
          <w:szCs w:val="22"/>
          <w:highlight w:val="none"/>
          <w:u w:val="none"/>
          <w14:textFill>
            <w14:solidFill>
              <w14:schemeClr w14:val="tx1"/>
            </w14:solidFill>
          </w14:textFill>
        </w:rPr>
        <w:t>5.招标文件构成</w:t>
      </w:r>
      <w:bookmarkEnd w:id="34"/>
      <w:bookmarkEnd w:id="35"/>
      <w:bookmarkEnd w:id="36"/>
      <w:bookmarkEnd w:id="37"/>
      <w:bookmarkEnd w:id="3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招标文件分为三册共7章，内容如下：</w:t>
      </w:r>
    </w:p>
    <w:p>
      <w:pPr>
        <w:pageBreakBefore w:val="0"/>
        <w:kinsoku/>
        <w:wordWrap/>
        <w:overflowPunct/>
        <w:topLinePunct w:val="0"/>
        <w:bidi w:val="0"/>
        <w:spacing w:line="400" w:lineRule="exact"/>
        <w:ind w:left="1064" w:leftChars="428" w:hanging="165" w:hangingChars="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第一册</w:t>
      </w:r>
    </w:p>
    <w:p>
      <w:pPr>
        <w:pageBreakBefore w:val="0"/>
        <w:numPr>
          <w:ilvl w:val="0"/>
          <w:numId w:val="3"/>
        </w:numPr>
        <w:tabs>
          <w:tab w:val="left" w:pos="0"/>
        </w:tabs>
        <w:kinsoku/>
        <w:wordWrap/>
        <w:overflowPunct/>
        <w:topLinePunct w:val="0"/>
        <w:bidi w:val="0"/>
        <w:spacing w:line="400" w:lineRule="exact"/>
        <w:ind w:hanging="829"/>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供应商须知</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投标文件格式</w:t>
      </w:r>
    </w:p>
    <w:p>
      <w:pPr>
        <w:pageBreakBefore w:val="0"/>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第二册</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投标邀请</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供应商须知资料表</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货物需求一览表及技术规格</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评标方法和标准</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第三册</w:t>
      </w:r>
    </w:p>
    <w:p>
      <w:pPr>
        <w:pageBreakBefore w:val="0"/>
        <w:numPr>
          <w:ilvl w:val="0"/>
          <w:numId w:val="3"/>
        </w:numPr>
        <w:kinsoku/>
        <w:wordWrap/>
        <w:overflowPunct/>
        <w:topLinePunct w:val="0"/>
        <w:bidi w:val="0"/>
        <w:spacing w:line="400" w:lineRule="exact"/>
        <w:ind w:left="718" w:leftChars="342"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政府采购合同格式</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如本文件的前后内容不一致，以最后描述为准。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39" w:name="_Toc515904805"/>
      <w:bookmarkStart w:id="40" w:name="_Toc520356148"/>
      <w:bookmarkStart w:id="41" w:name="_Toc9232"/>
      <w:bookmarkStart w:id="42" w:name="_Toc26044"/>
      <w:bookmarkStart w:id="43" w:name="_Toc28810"/>
      <w:r>
        <w:rPr>
          <w:rFonts w:hint="eastAsia" w:ascii="微软雅黑" w:hAnsi="微软雅黑" w:eastAsia="微软雅黑" w:cs="微软雅黑"/>
          <w:color w:val="000000" w:themeColor="text1"/>
          <w:sz w:val="22"/>
          <w:szCs w:val="22"/>
          <w:highlight w:val="none"/>
          <w:u w:val="none"/>
          <w14:textFill>
            <w14:solidFill>
              <w14:schemeClr w14:val="tx1"/>
            </w14:solidFill>
          </w14:textFill>
        </w:rPr>
        <w:t>6.招标文件的澄清</w:t>
      </w:r>
      <w:bookmarkEnd w:id="39"/>
      <w:bookmarkEnd w:id="40"/>
      <w:r>
        <w:rPr>
          <w:rFonts w:hint="eastAsia" w:ascii="微软雅黑" w:hAnsi="微软雅黑" w:eastAsia="微软雅黑" w:cs="微软雅黑"/>
          <w:color w:val="000000" w:themeColor="text1"/>
          <w:sz w:val="22"/>
          <w:szCs w:val="22"/>
          <w:highlight w:val="none"/>
          <w:u w:val="none"/>
          <w14:textFill>
            <w14:solidFill>
              <w14:schemeClr w14:val="tx1"/>
            </w14:solidFill>
          </w14:textFill>
        </w:rPr>
        <w:t>与修改</w:t>
      </w:r>
      <w:bookmarkEnd w:id="41"/>
      <w:bookmarkEnd w:id="42"/>
      <w:bookmarkEnd w:id="43"/>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6.1    为了保证对招标文件的澄清和修改满足法律的时限要求，任何要求对招标文件进行澄清的供应商，均应在投标截止期十五日前，以书面形式将澄清要求通知采购人或采购代理机构。</w:t>
      </w:r>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44" w:name="_Ref467378678"/>
      <w:bookmarkStart w:id="45" w:name="_Toc515904806"/>
      <w:bookmarkStart w:id="46" w:name="_Toc520356149"/>
      <w:r>
        <w:rPr>
          <w:rFonts w:hint="eastAsia" w:ascii="微软雅黑" w:hAnsi="微软雅黑" w:eastAsia="微软雅黑" w:cs="微软雅黑"/>
          <w:color w:val="000000" w:themeColor="text1"/>
          <w:sz w:val="22"/>
          <w:szCs w:val="22"/>
          <w:highlight w:val="none"/>
          <w14:textFill>
            <w14:solidFill>
              <w14:schemeClr w14:val="tx1"/>
            </w14:solidFill>
          </w14:textFill>
        </w:rPr>
        <w:t>6.2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采购人可主动地或在解答供应商提出的澄清问题时对招标文件进行澄清或修改。采购代理机构将以发布澄清（更正）公告的方式，澄清或修改招标文件，澄清或修改内容作为招标文件的组成部分。</w:t>
      </w:r>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47" w:name="_Toc14569"/>
      <w:bookmarkStart w:id="48" w:name="_Toc17311"/>
      <w:bookmarkStart w:id="49" w:name="_Toc25635"/>
      <w:r>
        <w:rPr>
          <w:rFonts w:hint="eastAsia" w:ascii="微软雅黑" w:hAnsi="微软雅黑" w:eastAsia="微软雅黑" w:cs="微软雅黑"/>
          <w:color w:val="000000" w:themeColor="text1"/>
          <w:sz w:val="22"/>
          <w:szCs w:val="22"/>
          <w:highlight w:val="none"/>
          <w:u w:val="none"/>
          <w14:textFill>
            <w14:solidFill>
              <w14:schemeClr w14:val="tx1"/>
            </w14:solidFill>
          </w14:textFill>
        </w:rPr>
        <w:t>7</w:t>
      </w:r>
      <w:bookmarkEnd w:id="44"/>
      <w:bookmarkEnd w:id="45"/>
      <w:bookmarkEnd w:id="46"/>
      <w:r>
        <w:rPr>
          <w:rFonts w:hint="eastAsia" w:ascii="微软雅黑" w:hAnsi="微软雅黑" w:eastAsia="微软雅黑" w:cs="微软雅黑"/>
          <w:color w:val="000000" w:themeColor="text1"/>
          <w:sz w:val="22"/>
          <w:szCs w:val="22"/>
          <w:highlight w:val="none"/>
          <w:u w:val="none"/>
          <w14:textFill>
            <w14:solidFill>
              <w14:schemeClr w14:val="tx1"/>
            </w14:solidFill>
          </w14:textFill>
        </w:rPr>
        <w:t>.投标截止时间的顺延</w:t>
      </w:r>
      <w:bookmarkEnd w:id="47"/>
      <w:bookmarkEnd w:id="48"/>
      <w:bookmarkEnd w:id="4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为使供应商准备投标时有足够的时间对招标文件的澄清或者修改部分进行研究，采购人将依法决定是否顺延投标截止时间。</w:t>
      </w:r>
    </w:p>
    <w:p>
      <w:pPr>
        <w:pStyle w:val="4"/>
        <w:pageBreakBefore w:val="0"/>
        <w:tabs>
          <w:tab w:val="left" w:pos="900"/>
        </w:tabs>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50" w:name="_Toc516367020"/>
      <w:bookmarkStart w:id="51" w:name="_Toc515647766"/>
      <w:bookmarkStart w:id="52" w:name="_Toc216582807"/>
      <w:bookmarkStart w:id="53" w:name="_Toc20381"/>
      <w:bookmarkStart w:id="54" w:name="_Toc30808"/>
      <w:bookmarkStart w:id="55" w:name="_Toc520356150"/>
      <w:bookmarkStart w:id="56" w:name="_Toc7636"/>
      <w:bookmarkStart w:id="57" w:name="_Toc12209"/>
      <w:bookmarkStart w:id="58" w:name="_Toc23138"/>
      <w:r>
        <w:rPr>
          <w:rFonts w:hint="eastAsia" w:ascii="微软雅黑" w:hAnsi="微软雅黑" w:eastAsia="微软雅黑" w:cs="微软雅黑"/>
          <w:color w:val="000000" w:themeColor="text1"/>
          <w:sz w:val="22"/>
          <w:szCs w:val="22"/>
          <w:highlight w:val="none"/>
          <w14:textFill>
            <w14:solidFill>
              <w14:schemeClr w14:val="tx1"/>
            </w14:solidFill>
          </w14:textFill>
        </w:rPr>
        <w:t>三   投标文件</w:t>
      </w:r>
      <w:bookmarkEnd w:id="50"/>
      <w:r>
        <w:rPr>
          <w:rFonts w:hint="eastAsia" w:ascii="微软雅黑" w:hAnsi="微软雅黑" w:eastAsia="微软雅黑" w:cs="微软雅黑"/>
          <w:color w:val="000000" w:themeColor="text1"/>
          <w:sz w:val="22"/>
          <w:szCs w:val="22"/>
          <w:highlight w:val="none"/>
          <w14:textFill>
            <w14:solidFill>
              <w14:schemeClr w14:val="tx1"/>
            </w14:solidFill>
          </w14:textFill>
        </w:rPr>
        <w:t>的编制</w:t>
      </w:r>
      <w:bookmarkEnd w:id="51"/>
      <w:bookmarkEnd w:id="52"/>
      <w:bookmarkEnd w:id="53"/>
      <w:bookmarkEnd w:id="54"/>
      <w:bookmarkEnd w:id="55"/>
      <w:bookmarkEnd w:id="56"/>
      <w:bookmarkEnd w:id="57"/>
      <w:bookmarkEnd w:id="58"/>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59" w:name="_Toc30852"/>
      <w:bookmarkStart w:id="60" w:name="_Toc520356151"/>
      <w:bookmarkStart w:id="61" w:name="_Toc516367021"/>
      <w:bookmarkStart w:id="62" w:name="_Toc7786"/>
      <w:bookmarkStart w:id="63" w:name="_Toc3553"/>
      <w:bookmarkStart w:id="64" w:name="_Toc515647767"/>
      <w:r>
        <w:rPr>
          <w:rFonts w:hint="eastAsia" w:ascii="微软雅黑" w:hAnsi="微软雅黑" w:eastAsia="微软雅黑" w:cs="微软雅黑"/>
          <w:color w:val="000000" w:themeColor="text1"/>
          <w:sz w:val="22"/>
          <w:szCs w:val="22"/>
          <w:highlight w:val="none"/>
          <w:u w:val="none"/>
          <w14:textFill>
            <w14:solidFill>
              <w14:schemeClr w14:val="tx1"/>
            </w14:solidFill>
          </w14:textFill>
        </w:rPr>
        <w:t>8.</w:t>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投标范围及投标文件中标准和计量单位的使用</w:t>
      </w:r>
      <w:bookmarkEnd w:id="59"/>
      <w:bookmarkEnd w:id="60"/>
      <w:bookmarkEnd w:id="61"/>
      <w:bookmarkEnd w:id="62"/>
      <w:bookmarkEnd w:id="63"/>
      <w:bookmarkEnd w:id="6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项目有分包的，供应商可对招标文件其中某一个或几个分包货物进行投标，除非在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中另有规定。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8.2     供应商应当对所投分包招标文件中“</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货物需求</w:t>
      </w:r>
      <w:r>
        <w:rPr>
          <w:rFonts w:hint="eastAsia" w:ascii="微软雅黑" w:hAnsi="微软雅黑" w:eastAsia="微软雅黑" w:cs="微软雅黑"/>
          <w:color w:val="000000" w:themeColor="text1"/>
          <w:sz w:val="22"/>
          <w:szCs w:val="22"/>
          <w:highlight w:val="none"/>
          <w14:textFill>
            <w14:solidFill>
              <w14:schemeClr w14:val="tx1"/>
            </w14:solidFill>
          </w14:textFill>
        </w:rPr>
        <w:t>”所列的所有内容进行投标，如仅响应某一包中的部分内容，其该包投标将被认定为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8.3     无论招标文件第5章货物需求一览表及技术规格中是否要求，供应商所投货物均应符合国家强制性标准。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8.4     除招标文件中有特殊要求外，投标文件中所使用的计量单位，应采用中华人民共和国法定计量单位。</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65" w:name="_Ref467306676"/>
      <w:bookmarkStart w:id="66" w:name="_Toc516367022"/>
      <w:bookmarkStart w:id="67" w:name="_Ref467306195"/>
      <w:bookmarkStart w:id="68" w:name="_Toc32655"/>
      <w:bookmarkStart w:id="69" w:name="_Toc10364"/>
      <w:bookmarkStart w:id="70" w:name="_Toc520356152"/>
      <w:bookmarkStart w:id="71" w:name="_Toc28307"/>
      <w:bookmarkStart w:id="72" w:name="_Toc515647768"/>
      <w:r>
        <w:rPr>
          <w:rFonts w:hint="eastAsia" w:ascii="微软雅黑" w:hAnsi="微软雅黑" w:eastAsia="微软雅黑" w:cs="微软雅黑"/>
          <w:color w:val="000000" w:themeColor="text1"/>
          <w:sz w:val="22"/>
          <w:szCs w:val="22"/>
          <w:highlight w:val="none"/>
          <w:u w:val="none"/>
          <w14:textFill>
            <w14:solidFill>
              <w14:schemeClr w14:val="tx1"/>
            </w14:solidFill>
          </w14:textFill>
        </w:rPr>
        <w:t>9.投标文件</w:t>
      </w:r>
      <w:bookmarkEnd w:id="65"/>
      <w:bookmarkEnd w:id="66"/>
      <w:bookmarkEnd w:id="67"/>
      <w:r>
        <w:rPr>
          <w:rFonts w:hint="eastAsia" w:ascii="微软雅黑" w:hAnsi="微软雅黑" w:eastAsia="微软雅黑" w:cs="微软雅黑"/>
          <w:color w:val="000000" w:themeColor="text1"/>
          <w:sz w:val="22"/>
          <w:szCs w:val="22"/>
          <w:highlight w:val="none"/>
          <w:u w:val="none"/>
          <w14:textFill>
            <w14:solidFill>
              <w14:schemeClr w14:val="tx1"/>
            </w14:solidFill>
          </w14:textFill>
        </w:rPr>
        <w:t>构成</w:t>
      </w:r>
      <w:bookmarkEnd w:id="68"/>
      <w:bookmarkEnd w:id="69"/>
      <w:bookmarkEnd w:id="70"/>
      <w:bookmarkEnd w:id="71"/>
      <w:bookmarkEnd w:id="72"/>
    </w:p>
    <w:p>
      <w:pPr>
        <w:pageBreakBefore w:val="0"/>
        <w:tabs>
          <w:tab w:val="left" w:pos="900"/>
          <w:tab w:val="left" w:pos="5580"/>
        </w:tabs>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000000" w:themeColor="text1"/>
          <w:sz w:val="22"/>
          <w:szCs w:val="22"/>
          <w:highlight w:val="none"/>
          <w:u w:val="single"/>
          <w14:textFill>
            <w14:solidFill>
              <w14:schemeClr w14:val="tx1"/>
            </w14:solidFill>
          </w14:textFill>
        </w:rPr>
      </w:pPr>
      <w:bookmarkStart w:id="73" w:name="_Ref467052588"/>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9.1     </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供应商应完整地按招标文件提供的投标文件格式及要求</w:t>
      </w:r>
      <w:r>
        <w:rPr>
          <w:rFonts w:hint="eastAsia" w:ascii="微软雅黑" w:hAnsi="微软雅黑" w:eastAsia="微软雅黑" w:cs="微软雅黑"/>
          <w:color w:val="000000" w:themeColor="text1"/>
          <w:sz w:val="22"/>
          <w:szCs w:val="22"/>
          <w:highlight w:val="none"/>
          <w:u w:val="single"/>
          <w:lang w:eastAsia="zh-CN"/>
          <w14:textFill>
            <w14:solidFill>
              <w14:schemeClr w14:val="tx1"/>
            </w14:solidFill>
          </w14:textFill>
        </w:rPr>
        <w:t>编</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写投标文件，投标文件应包括“开标一览表及资格证明文件”和“商务及技术文件”两部分，两部分合订成一册递交。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9.2    上述文件应按照招标文件规定的格式填写、签署和盖章。</w:t>
      </w:r>
    </w:p>
    <w:bookmarkEnd w:id="73"/>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74" w:name="_Toc27659"/>
      <w:bookmarkStart w:id="75" w:name="_Toc4601"/>
      <w:bookmarkStart w:id="76" w:name="_Toc515647769"/>
      <w:bookmarkStart w:id="77" w:name="_Toc520356153"/>
      <w:bookmarkStart w:id="78" w:name="_Toc10379"/>
      <w:bookmarkStart w:id="79" w:name="_Toc516367023"/>
      <w:r>
        <w:rPr>
          <w:rFonts w:hint="eastAsia" w:ascii="微软雅黑" w:hAnsi="微软雅黑" w:eastAsia="微软雅黑" w:cs="微软雅黑"/>
          <w:color w:val="000000" w:themeColor="text1"/>
          <w:sz w:val="22"/>
          <w:szCs w:val="22"/>
          <w:highlight w:val="none"/>
          <w:u w:val="none"/>
          <w14:textFill>
            <w14:solidFill>
              <w14:schemeClr w14:val="tx1"/>
            </w14:solidFill>
          </w14:textFill>
        </w:rPr>
        <w:t>10.</w:t>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证明投标标的的合格性和符合招标文件规定的技术文件</w:t>
      </w:r>
      <w:bookmarkEnd w:id="74"/>
      <w:bookmarkEnd w:id="75"/>
      <w:bookmarkEnd w:id="76"/>
      <w:bookmarkEnd w:id="77"/>
      <w:bookmarkEnd w:id="78"/>
      <w:bookmarkEnd w:id="7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供应商应提交证明文件，证明其投标内容符合招标文件规定。该证明文件是投标文件的一部分。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80" w:name="_Ref467306244"/>
      <w:r>
        <w:rPr>
          <w:rFonts w:hint="eastAsia" w:ascii="微软雅黑" w:hAnsi="微软雅黑" w:eastAsia="微软雅黑" w:cs="微软雅黑"/>
          <w:color w:val="000000" w:themeColor="text1"/>
          <w:sz w:val="22"/>
          <w:szCs w:val="22"/>
          <w:highlight w:val="none"/>
          <w14:textFill>
            <w14:solidFill>
              <w14:schemeClr w14:val="tx1"/>
            </w14:solidFill>
          </w14:textFill>
        </w:rPr>
        <w:t>10.2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上款所述的证明文件，可以是文字资料、图纸和数据，</w:t>
      </w:r>
      <w:bookmarkEnd w:id="80"/>
      <w:r>
        <w:rPr>
          <w:rFonts w:hint="eastAsia" w:ascii="微软雅黑" w:hAnsi="微软雅黑" w:eastAsia="微软雅黑" w:cs="微软雅黑"/>
          <w:color w:val="000000" w:themeColor="text1"/>
          <w:sz w:val="22"/>
          <w:szCs w:val="22"/>
          <w:highlight w:val="none"/>
          <w14:textFill>
            <w14:solidFill>
              <w14:schemeClr w14:val="tx1"/>
            </w14:solidFill>
          </w14:textFill>
        </w:rPr>
        <w:t>它包括：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10.2.1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货物主要技术指标和性能的详细说明；</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10.2.2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货物从买方开始使用至招标文件规定的保质期内正常、连续地使用所必须的备件和专用工具清单，包括备件和专用工具的货源及现行价格；</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10.2.3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对照招标文件技术规格，逐条说明所提供货物及伴随的工程和服务已对招标文件的技术规格做出了实质性的响应，或申明与技术规格条文的偏差和例外。</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81" w:name="_Toc515647770"/>
      <w:bookmarkStart w:id="82" w:name="_Toc23231"/>
      <w:bookmarkStart w:id="83" w:name="_Toc28654"/>
      <w:bookmarkStart w:id="84" w:name="_Toc520356155"/>
      <w:bookmarkStart w:id="85" w:name="_Toc2248"/>
      <w:r>
        <w:rPr>
          <w:rFonts w:hint="eastAsia" w:ascii="微软雅黑" w:hAnsi="微软雅黑" w:eastAsia="微软雅黑" w:cs="微软雅黑"/>
          <w:color w:val="000000" w:themeColor="text1"/>
          <w:sz w:val="22"/>
          <w:szCs w:val="22"/>
          <w:highlight w:val="none"/>
          <w:u w:val="none"/>
          <w14:textFill>
            <w14:solidFill>
              <w14:schemeClr w14:val="tx1"/>
            </w14:solidFill>
          </w14:textFill>
        </w:rPr>
        <w:t>11.投标报价</w:t>
      </w:r>
      <w:bookmarkEnd w:id="81"/>
      <w:bookmarkEnd w:id="82"/>
      <w:bookmarkEnd w:id="83"/>
      <w:bookmarkEnd w:id="84"/>
      <w:bookmarkEnd w:id="8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供应商应在投标分项报价表上标明投标货物及相关服务的单价（如适用）和总价，并由法定代表人或其授权代表签署。</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投标分项报价表上的价格应按下列方式填写：</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11.3.1  投标货物（包括备品备件、专用工具等）的出厂价（包括已在中国国内的进口货物完税后的仓库交货价、展室交货价或货架交货价），投标货物安装、调试、检验、技术服务和培训等费用；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11.3.2  货物运至最终目的地的运输费和保险费用。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11.5</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每种货物只能有一个投标报价。采购人不接受具有附加条件的报价。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86" w:name="_Toc515647771"/>
      <w:bookmarkStart w:id="87" w:name="_Toc23985"/>
      <w:bookmarkStart w:id="88" w:name="_Toc17788"/>
      <w:bookmarkStart w:id="89" w:name="_Toc520356156"/>
      <w:bookmarkStart w:id="90" w:name="_Toc11514"/>
      <w:bookmarkStart w:id="91" w:name="_Ref467306513"/>
      <w:r>
        <w:rPr>
          <w:rFonts w:hint="eastAsia" w:ascii="微软雅黑" w:hAnsi="微软雅黑" w:eastAsia="微软雅黑" w:cs="微软雅黑"/>
          <w:color w:val="000000" w:themeColor="text1"/>
          <w:sz w:val="22"/>
          <w:szCs w:val="22"/>
          <w:highlight w:val="none"/>
          <w:u w:val="none"/>
          <w14:textFill>
            <w14:solidFill>
              <w14:schemeClr w14:val="tx1"/>
            </w14:solidFill>
          </w14:textFill>
        </w:rPr>
        <w:t>12.投标保证金</w:t>
      </w:r>
      <w:bookmarkEnd w:id="86"/>
      <w:bookmarkEnd w:id="87"/>
      <w:bookmarkEnd w:id="88"/>
      <w:bookmarkEnd w:id="89"/>
      <w:bookmarkEnd w:id="90"/>
      <w:bookmarkEnd w:id="9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92" w:name="_Ref467306302"/>
      <w:r>
        <w:rPr>
          <w:rFonts w:hint="eastAsia" w:ascii="微软雅黑" w:hAnsi="微软雅黑" w:eastAsia="微软雅黑" w:cs="微软雅黑"/>
          <w:color w:val="000000" w:themeColor="text1"/>
          <w:sz w:val="22"/>
          <w:szCs w:val="22"/>
          <w:highlight w:val="none"/>
          <w14:textFill>
            <w14:solidFill>
              <w14:schemeClr w14:val="tx1"/>
            </w14:solidFill>
          </w14:textFill>
        </w:rPr>
        <w:t>12.1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供应商应提交</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中规定的投标保证金</w:t>
      </w:r>
      <w:bookmarkEnd w:id="92"/>
      <w:r>
        <w:rPr>
          <w:rFonts w:hint="eastAsia" w:ascii="微软雅黑" w:hAnsi="微软雅黑" w:eastAsia="微软雅黑" w:cs="微软雅黑"/>
          <w:color w:val="000000" w:themeColor="text1"/>
          <w:sz w:val="22"/>
          <w:szCs w:val="22"/>
          <w:highlight w:val="none"/>
          <w14:textFill>
            <w14:solidFill>
              <w14:schemeClr w14:val="tx1"/>
            </w14:solidFill>
          </w14:textFill>
        </w:rPr>
        <w:t>，并作为其投标的一部分。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供应商存在下列情形的，投标保证金不予退还：</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（1）在投标有效期内，撤销投标的；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（2）中标后不按本须知第30条的规定与采购人签订合同的；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（3）中标后不按本须知第31条的规定提交履约保证金的；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（4）中标后不按本须知第32条的规定缴纳中标服务费的；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（5）存在其他违法违规行为的。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93" w:name="_Ref467306336"/>
      <w:r>
        <w:rPr>
          <w:rFonts w:hint="eastAsia" w:ascii="微软雅黑" w:hAnsi="微软雅黑" w:eastAsia="微软雅黑" w:cs="微软雅黑"/>
          <w:color w:val="000000" w:themeColor="text1"/>
          <w:sz w:val="22"/>
          <w:szCs w:val="22"/>
          <w:highlight w:val="none"/>
          <w14:textFill>
            <w14:solidFill>
              <w14:schemeClr w14:val="tx1"/>
            </w14:solidFill>
          </w14:textFill>
        </w:rPr>
        <w:t>12.3</w:t>
      </w:r>
      <w:r>
        <w:rPr>
          <w:rFonts w:hint="eastAsia" w:ascii="微软雅黑" w:hAnsi="微软雅黑" w:eastAsia="微软雅黑" w:cs="微软雅黑"/>
          <w:color w:val="000000" w:themeColor="text1"/>
          <w:sz w:val="22"/>
          <w:szCs w:val="22"/>
          <w:highlight w:val="none"/>
          <w14:textFill>
            <w14:solidFill>
              <w14:schemeClr w14:val="tx1"/>
            </w14:solidFill>
          </w14:textFill>
        </w:rPr>
        <w:tab/>
      </w:r>
      <w:bookmarkEnd w:id="93"/>
      <w:r>
        <w:rPr>
          <w:rFonts w:hint="eastAsia" w:ascii="微软雅黑" w:hAnsi="微软雅黑" w:eastAsia="微软雅黑" w:cs="微软雅黑"/>
          <w:color w:val="000000" w:themeColor="text1"/>
          <w:sz w:val="22"/>
          <w:szCs w:val="22"/>
          <w:highlight w:val="none"/>
          <w14:textFill>
            <w14:solidFill>
              <w14:schemeClr w14:val="tx1"/>
            </w14:solidFill>
          </w14:textFill>
        </w:rPr>
        <w:t>政府采购信用担保试点范围内的项目，接受符合财政部门规定的政府采购投标担保函原件。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供应商未按本须知第12.1和12.3条规定提交投标保证金的，其投标将被认定为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12.4.1  采用电汇形式的，一般可以实时入账。</w:t>
      </w:r>
    </w:p>
    <w:p>
      <w:pPr>
        <w:pageBreakBefore w:val="0"/>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12.5   联合体投标的，可以由联合体中的一方或者共同提交投标保证金。以一方名义提交投标保证金的，对联合体各方均具有约束力。</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投标保证金的退还</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12.6.1  中标人应在与采购人签订合同之日起5个工作日内，及时联系保证金收受机构办理投标保证金无息退还手续。</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12.6.2  未中标供应商的投标保证金将在中标通知书发出之日暨中标结果公告公布之日起5个工作日内无息退还。供应商应及时联系保证金收受机构办理退还投标保证金手续。</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12.6.3  政府采购投标担保函不予退回。</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12.7    因供应商自身原因导致无法及时退还的，采购人或采购代理机构将不承担相应责任。</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94" w:name="_Toc26580"/>
      <w:bookmarkStart w:id="95" w:name="_Toc515647772"/>
      <w:bookmarkStart w:id="96" w:name="_Toc23590"/>
      <w:bookmarkStart w:id="97" w:name="_Toc520356157"/>
      <w:bookmarkStart w:id="98" w:name="_Toc32569"/>
      <w:r>
        <w:rPr>
          <w:rFonts w:hint="eastAsia" w:ascii="微软雅黑" w:hAnsi="微软雅黑" w:eastAsia="微软雅黑" w:cs="微软雅黑"/>
          <w:color w:val="000000" w:themeColor="text1"/>
          <w:sz w:val="22"/>
          <w:szCs w:val="22"/>
          <w:highlight w:val="none"/>
          <w:u w:val="none"/>
          <w14:textFill>
            <w14:solidFill>
              <w14:schemeClr w14:val="tx1"/>
            </w14:solidFill>
          </w14:textFill>
        </w:rPr>
        <w:t>13.投标有效期</w:t>
      </w:r>
      <w:bookmarkEnd w:id="94"/>
      <w:bookmarkEnd w:id="95"/>
      <w:bookmarkEnd w:id="96"/>
      <w:bookmarkEnd w:id="97"/>
      <w:bookmarkEnd w:id="9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投标应在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中规定时间内保持有效。投标有效期不满足要求的投标，其投标将被认定为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lang w:eastAsia="zh-CN"/>
          <w14:textFill>
            <w14:solidFill>
              <w14:schemeClr w14:val="tx1"/>
            </w14:solidFill>
          </w14:textFill>
        </w:rPr>
      </w:pPr>
      <w:bookmarkStart w:id="99" w:name="_Toc520356158"/>
      <w:bookmarkStart w:id="100" w:name="_Toc515647773"/>
      <w:bookmarkStart w:id="101" w:name="_Toc17074"/>
      <w:bookmarkStart w:id="102" w:name="_Toc493"/>
      <w:bookmarkStart w:id="103" w:name="_Toc20503"/>
      <w:r>
        <w:rPr>
          <w:rFonts w:hint="eastAsia" w:ascii="微软雅黑" w:hAnsi="微软雅黑" w:eastAsia="微软雅黑" w:cs="微软雅黑"/>
          <w:color w:val="000000" w:themeColor="text1"/>
          <w:sz w:val="22"/>
          <w:szCs w:val="22"/>
          <w:highlight w:val="none"/>
          <w:u w:val="none"/>
          <w14:textFill>
            <w14:solidFill>
              <w14:schemeClr w14:val="tx1"/>
            </w14:solidFill>
          </w14:textFill>
        </w:rPr>
        <w:t>14.投标文件的签署</w:t>
      </w:r>
      <w:bookmarkEnd w:id="99"/>
      <w:r>
        <w:rPr>
          <w:rFonts w:hint="eastAsia" w:ascii="微软雅黑" w:hAnsi="微软雅黑" w:eastAsia="微软雅黑" w:cs="微软雅黑"/>
          <w:color w:val="000000" w:themeColor="text1"/>
          <w:sz w:val="22"/>
          <w:szCs w:val="22"/>
          <w:highlight w:val="none"/>
          <w:u w:val="none"/>
          <w14:textFill>
            <w14:solidFill>
              <w14:schemeClr w14:val="tx1"/>
            </w14:solidFill>
          </w14:textFill>
        </w:rPr>
        <w:t>及规定</w:t>
      </w:r>
      <w:bookmarkEnd w:id="100"/>
      <w:bookmarkEnd w:id="101"/>
      <w:bookmarkEnd w:id="102"/>
      <w:bookmarkEnd w:id="103"/>
      <w:r>
        <w:rPr>
          <w:rFonts w:hint="eastAsia" w:ascii="微软雅黑" w:hAnsi="微软雅黑" w:eastAsia="微软雅黑" w:cs="微软雅黑"/>
          <w:color w:val="000000" w:themeColor="text1"/>
          <w:sz w:val="22"/>
          <w:szCs w:val="22"/>
          <w:highlight w:val="none"/>
          <w:u w:val="none"/>
          <w:lang w:eastAsia="zh-CN"/>
          <w14:textFill>
            <w14:solidFill>
              <w14:schemeClr w14:val="tx1"/>
            </w14:solidFill>
          </w14:textFill>
        </w:rPr>
        <w:t>（后期邮寄的</w:t>
      </w:r>
      <w:r>
        <w:rPr>
          <w:rFonts w:hint="eastAsia" w:ascii="微软雅黑" w:hAnsi="微软雅黑" w:eastAsia="微软雅黑" w:cs="微软雅黑"/>
          <w:color w:val="000000" w:themeColor="text1"/>
          <w:sz w:val="22"/>
          <w:szCs w:val="22"/>
          <w:highlight w:val="none"/>
          <w:u w:val="none"/>
          <w:lang w:val="en-US" w:eastAsia="zh-CN"/>
          <w14:textFill>
            <w14:solidFill>
              <w14:schemeClr w14:val="tx1"/>
            </w14:solidFill>
          </w14:textFill>
        </w:rPr>
        <w:t>投标</w:t>
      </w:r>
      <w:r>
        <w:rPr>
          <w:rFonts w:hint="eastAsia" w:ascii="微软雅黑" w:hAnsi="微软雅黑" w:eastAsia="微软雅黑" w:cs="微软雅黑"/>
          <w:color w:val="000000" w:themeColor="text1"/>
          <w:sz w:val="22"/>
          <w:szCs w:val="22"/>
          <w:highlight w:val="none"/>
          <w:u w:val="none"/>
          <w:lang w:eastAsia="zh-CN"/>
          <w14:textFill>
            <w14:solidFill>
              <w14:schemeClr w14:val="tx1"/>
            </w14:solidFill>
          </w14:textFill>
        </w:rPr>
        <w:t>响应文件）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104" w:name="_Toc515647776"/>
      <w:bookmarkStart w:id="105" w:name="_Toc9840"/>
      <w:bookmarkStart w:id="106" w:name="_Toc520356161"/>
      <w:bookmarkStart w:id="107" w:name="_Toc12751"/>
      <w:r>
        <w:rPr>
          <w:rFonts w:hint="eastAsia" w:ascii="微软雅黑" w:hAnsi="微软雅黑" w:eastAsia="微软雅黑" w:cs="微软雅黑"/>
          <w:color w:val="000000" w:themeColor="text1"/>
          <w:sz w:val="22"/>
          <w:szCs w:val="22"/>
          <w:highlight w:val="none"/>
          <w14:textFill>
            <w14:solidFill>
              <w14:schemeClr w14:val="tx1"/>
            </w14:solidFill>
          </w14:textFill>
        </w:rPr>
        <w:t>14.1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供应商应按供应商须知资料表中的规定，准备和递交投标文件正本、副本、开标一览表和电子U盘，每份投标文件封皮须清楚地标明“正本”或“副本”。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14.2  投标文件的正本需打印或用不褪色墨水书写，并由供应商的法定代表人或经其正式委托代理人按招标文件规定在投标文件上签字或盖章</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w:t>
      </w:r>
      <w:r>
        <w:rPr>
          <w:rFonts w:hint="eastAsia" w:ascii="微软雅黑" w:hAnsi="微软雅黑" w:eastAsia="微软雅黑" w:cs="微软雅黑"/>
          <w:color w:val="000000" w:themeColor="text1"/>
          <w:sz w:val="22"/>
          <w:szCs w:val="22"/>
          <w:highlight w:val="none"/>
          <w14:textFill>
            <w14:solidFill>
              <w14:schemeClr w14:val="tx1"/>
            </w14:solidFill>
          </w14:textFill>
        </w:rPr>
        <w:t>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14.3    所有投标文件采用不可拆装的胶订方式装订，否则其投标文件将被认定为无效。</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投标文件因字迹潦草、表达不清或装订不当所引起的后果由供应商负责。</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108" w:name="_Toc17149"/>
      <w:bookmarkStart w:id="109" w:name="_Toc15823"/>
      <w:bookmarkStart w:id="110" w:name="_Toc16504"/>
      <w:r>
        <w:rPr>
          <w:rFonts w:hint="eastAsia" w:ascii="微软雅黑" w:hAnsi="微软雅黑" w:eastAsia="微软雅黑" w:cs="微软雅黑"/>
          <w:b/>
          <w:bCs/>
          <w:color w:val="000000" w:themeColor="text1"/>
          <w:sz w:val="22"/>
          <w:szCs w:val="22"/>
          <w:highlight w:val="none"/>
          <w14:textFill>
            <w14:solidFill>
              <w14:schemeClr w14:val="tx1"/>
            </w14:solidFill>
          </w14:textFill>
        </w:rPr>
        <w:t>四   投标文件的递交</w:t>
      </w:r>
      <w:bookmarkEnd w:id="108"/>
      <w:bookmarkEnd w:id="109"/>
      <w:bookmarkEnd w:id="110"/>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11" w:name="_Toc31822"/>
      <w:bookmarkStart w:id="112" w:name="_Toc32337"/>
      <w:bookmarkStart w:id="113" w:name="_Toc520356160"/>
      <w:bookmarkStart w:id="114" w:name="_Toc21645"/>
      <w:bookmarkStart w:id="115" w:name="_Toc28066_WPSOffice_Level2"/>
      <w:bookmarkStart w:id="116" w:name="_Toc25849_WPSOffice_Level2"/>
      <w:bookmarkStart w:id="117" w:name="_Toc515647775"/>
      <w:r>
        <w:rPr>
          <w:rFonts w:hint="eastAsia" w:ascii="微软雅黑" w:hAnsi="微软雅黑" w:eastAsia="微软雅黑" w:cs="微软雅黑"/>
          <w:color w:val="000000" w:themeColor="text1"/>
          <w:sz w:val="22"/>
          <w:szCs w:val="22"/>
          <w:highlight w:val="none"/>
          <w:u w:val="none"/>
          <w14:textFill>
            <w14:solidFill>
              <w14:schemeClr w14:val="tx1"/>
            </w14:solidFill>
          </w14:textFill>
        </w:rPr>
        <w:t>15.投标文件的密封和标记</w:t>
      </w:r>
      <w:bookmarkEnd w:id="111"/>
      <w:bookmarkEnd w:id="112"/>
      <w:bookmarkEnd w:id="113"/>
      <w:bookmarkEnd w:id="114"/>
      <w:bookmarkEnd w:id="115"/>
      <w:bookmarkEnd w:id="116"/>
      <w:bookmarkEnd w:id="117"/>
      <w:r>
        <w:rPr>
          <w:rFonts w:hint="eastAsia" w:ascii="微软雅黑" w:hAnsi="微软雅黑" w:eastAsia="微软雅黑" w:cs="微软雅黑"/>
          <w:color w:val="000000" w:themeColor="text1"/>
          <w:sz w:val="22"/>
          <w:szCs w:val="22"/>
          <w:highlight w:val="none"/>
          <w:u w:val="none"/>
          <w14:textFill>
            <w14:solidFill>
              <w14:schemeClr w14:val="tx1"/>
            </w14:solidFill>
          </w14:textFill>
        </w:rPr>
        <w:t>（后期邮寄的投标文件）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15.1   供应商应将投标文件第一部分和第二部分的内容合订成一册密封提交，并在封皮正面标明“投标文件”字样。</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投标文件正副本须</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密封在同一</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密封</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袋中</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15.2   所有包装封皮和信封上均应：</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（1）注明采购公告中指明的项目名称、项目编号、供应商名称的字样。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none"/>
          <w14:textFill>
            <w14:solidFill>
              <w14:schemeClr w14:val="tx1"/>
            </w14:solidFill>
          </w14:textFill>
        </w:rPr>
        <w:t>16.投标截止</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供应商须知资料表中</w:t>
      </w:r>
      <w:r>
        <w:rPr>
          <w:rFonts w:hint="eastAsia" w:ascii="微软雅黑" w:hAnsi="微软雅黑" w:eastAsia="微软雅黑" w:cs="微软雅黑"/>
          <w:color w:val="000000" w:themeColor="text1"/>
          <w:sz w:val="22"/>
          <w:szCs w:val="22"/>
          <w:highlight w:val="none"/>
          <w14:textFill>
            <w14:solidFill>
              <w14:schemeClr w14:val="tx1"/>
            </w14:solidFill>
          </w14:textFill>
        </w:rPr>
        <w:t>规定的截止时间前，将投标文件递交到招标公告中规定的地点。</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采购人和采购代理机构有权按本须知的规定，延迟投标截止时间。在此情况下，采购人、采购代理机构和供应商受投标截止时间制约的所有权利和义务均应延长至新的截止时间。</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采购人和采购代理机构将拒绝接收在投标截止时间后送达的投标文件。</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18" w:name="_Toc515647777"/>
      <w:bookmarkStart w:id="119" w:name="_Toc24275"/>
      <w:bookmarkStart w:id="120" w:name="_Toc32303"/>
      <w:bookmarkStart w:id="121" w:name="_Toc18537"/>
      <w:bookmarkStart w:id="122" w:name="_Toc520356162"/>
      <w:r>
        <w:rPr>
          <w:rFonts w:hint="eastAsia" w:ascii="微软雅黑" w:hAnsi="微软雅黑" w:eastAsia="微软雅黑" w:cs="微软雅黑"/>
          <w:color w:val="000000" w:themeColor="text1"/>
          <w:sz w:val="22"/>
          <w:szCs w:val="22"/>
          <w:highlight w:val="none"/>
          <w:u w:val="none"/>
          <w14:textFill>
            <w14:solidFill>
              <w14:schemeClr w14:val="tx1"/>
            </w14:solidFill>
          </w14:textFill>
        </w:rPr>
        <w:t>17.投标文件的接收、修改与撤回</w:t>
      </w:r>
      <w:bookmarkEnd w:id="118"/>
      <w:bookmarkEnd w:id="119"/>
      <w:bookmarkEnd w:id="120"/>
      <w:bookmarkEnd w:id="121"/>
      <w:bookmarkEnd w:id="122"/>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17.1</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在投标截止时间后送达的投标文件的，采购人和采购代理机构将拒绝接收。</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overflowPunct/>
        <w:topLinePunct w:val="0"/>
        <w:bidi w:val="0"/>
        <w:spacing w:line="400" w:lineRule="exact"/>
        <w:ind w:left="735" w:leftChars="350" w:firstLine="110" w:firstLineChars="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采购人和采购代理机构将予以接收，并视为投标文件的组成部分。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在投标截止期之后，采购人和采购代理机构不接受投标人主动对其投标文件做任何修改。</w:t>
      </w:r>
    </w:p>
    <w:p>
      <w:pPr>
        <w:pStyle w:val="27"/>
        <w:pageBreakBefore w:val="0"/>
        <w:kinsoku/>
        <w:wordWrap/>
        <w:overflowPunct/>
        <w:topLinePunct w:val="0"/>
        <w:bidi w:val="0"/>
        <w:spacing w:line="400" w:lineRule="exact"/>
        <w:ind w:firstLine="0" w:firstLineChars="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采购人和采购代理机构对所接收投标文件概不退回。</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123" w:name="_Toc28911"/>
      <w:bookmarkStart w:id="124" w:name="_Toc28398"/>
      <w:bookmarkStart w:id="125" w:name="_Toc216582809"/>
      <w:bookmarkStart w:id="126" w:name="_Toc515647778"/>
      <w:bookmarkStart w:id="127" w:name="_Toc520356163"/>
      <w:bookmarkStart w:id="128" w:name="_Toc12436"/>
      <w:bookmarkStart w:id="129" w:name="_Toc24405"/>
      <w:bookmarkStart w:id="130" w:name="_Toc28397"/>
      <w:r>
        <w:rPr>
          <w:rFonts w:hint="eastAsia" w:ascii="微软雅黑" w:hAnsi="微软雅黑" w:eastAsia="微软雅黑" w:cs="微软雅黑"/>
          <w:b/>
          <w:bCs/>
          <w:color w:val="000000" w:themeColor="text1"/>
          <w:sz w:val="22"/>
          <w:szCs w:val="22"/>
          <w:highlight w:val="none"/>
          <w14:textFill>
            <w14:solidFill>
              <w14:schemeClr w14:val="tx1"/>
            </w14:solidFill>
          </w14:textFill>
        </w:rPr>
        <w:t>五   开标及评标</w:t>
      </w:r>
      <w:bookmarkEnd w:id="123"/>
      <w:bookmarkEnd w:id="124"/>
      <w:bookmarkEnd w:id="125"/>
      <w:bookmarkEnd w:id="126"/>
      <w:bookmarkEnd w:id="127"/>
      <w:bookmarkEnd w:id="128"/>
      <w:bookmarkEnd w:id="129"/>
      <w:bookmarkEnd w:id="130"/>
      <w:bookmarkStart w:id="131" w:name="_Toc31842"/>
      <w:bookmarkStart w:id="132" w:name="_Toc7186"/>
      <w:bookmarkStart w:id="133" w:name="_Toc515647779"/>
      <w:bookmarkStart w:id="134" w:name="_Toc25345"/>
      <w:bookmarkStart w:id="135" w:name="_Toc520356164"/>
    </w:p>
    <w:p>
      <w:pPr>
        <w:pStyle w:val="5"/>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none"/>
          <w14:textFill>
            <w14:solidFill>
              <w14:schemeClr w14:val="tx1"/>
            </w14:solidFill>
          </w14:textFill>
        </w:rPr>
        <w:t>18.开标</w:t>
      </w:r>
      <w:bookmarkEnd w:id="131"/>
      <w:bookmarkEnd w:id="132"/>
      <w:bookmarkEnd w:id="133"/>
      <w:bookmarkEnd w:id="134"/>
      <w:bookmarkEnd w:id="135"/>
    </w:p>
    <w:p>
      <w:pPr>
        <w:pageBreakBefore w:val="0"/>
        <w:kinsoku/>
        <w:wordWrap/>
        <w:overflowPunct/>
        <w:topLinePunct w:val="0"/>
        <w:bidi w:val="0"/>
        <w:spacing w:line="400" w:lineRule="exact"/>
        <w:ind w:left="312" w:leftChars="44" w:hanging="220" w:hanging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18.1采购人和采购代理机构将按</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中规定的开标时间和地点组织公开开标并邀请所有供应商代表参加。供应商不足3家的，不得开标。</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18.2   开标时，由供应商或其推选的代表检查自己或所代表的投标文件的密封标记情况，经记录后，由采购人或采购代理机构当众拆封投标文件第一部分，宣读供应商名称、投标价格及招标文件规定的内容。对于供应商在投标截止期前递交的投标声明，在开标时当众宣读，评标时有效。未宣读投标价格、价格折扣等实质内容，评标时不予承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18.3    采购人或采购代理机构将对开标过程进行记录</w:t>
      </w:r>
      <w:bookmarkStart w:id="136" w:name="_Toc520356165"/>
      <w:r>
        <w:rPr>
          <w:rFonts w:hint="eastAsia" w:ascii="微软雅黑" w:hAnsi="微软雅黑" w:eastAsia="微软雅黑" w:cs="微软雅黑"/>
          <w:color w:val="000000" w:themeColor="text1"/>
          <w:sz w:val="22"/>
          <w:szCs w:val="22"/>
          <w:highlight w:val="none"/>
          <w14:textFill>
            <w14:solidFill>
              <w14:schemeClr w14:val="tx1"/>
            </w14:solidFill>
          </w14:textFill>
        </w:rPr>
        <w:t>，由参加开标的各供应商代表和相关工作人员签字确认，并存档备查。</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18.4    供应商代表对开标过程和开标记录有疑义，以及认为采购人、采购代理机构相关工作人员有需要回避的情形的，应当场提出询问或者回避申请。</w:t>
      </w:r>
      <w:bookmarkEnd w:id="136"/>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37" w:name="_Toc19296"/>
      <w:bookmarkStart w:id="138" w:name="_Toc21372"/>
      <w:bookmarkStart w:id="139" w:name="_Toc515647780"/>
      <w:bookmarkStart w:id="140" w:name="_Toc14136"/>
      <w:bookmarkStart w:id="141" w:name="_Toc18574"/>
      <w:r>
        <w:rPr>
          <w:rFonts w:hint="eastAsia" w:ascii="微软雅黑" w:hAnsi="微软雅黑" w:eastAsia="微软雅黑" w:cs="微软雅黑"/>
          <w:color w:val="000000" w:themeColor="text1"/>
          <w:sz w:val="22"/>
          <w:szCs w:val="22"/>
          <w:highlight w:val="none"/>
          <w:u w:val="none"/>
          <w14:textFill>
            <w14:solidFill>
              <w14:schemeClr w14:val="tx1"/>
            </w14:solidFill>
          </w14:textFill>
        </w:rPr>
        <w:t>19.资格审查及组建评标委员会</w:t>
      </w:r>
      <w:bookmarkEnd w:id="137"/>
      <w:bookmarkEnd w:id="138"/>
      <w:bookmarkEnd w:id="139"/>
      <w:bookmarkEnd w:id="140"/>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供应商</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资格证明材料</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1）具有独立法人资格或是具有独立承担民事责任能力的其它组织（法人或者非法人组织的营业执照等证明文件扫描件）</w:t>
      </w:r>
    </w:p>
    <w:p>
      <w:pPr>
        <w:pStyle w:val="8"/>
        <w:pageBreakBefore w:val="0"/>
        <w:kinsoku/>
        <w:wordWrap/>
        <w:overflowPunct/>
        <w:topLinePunct w:val="0"/>
        <w:bidi w:val="0"/>
        <w:spacing w:line="400" w:lineRule="exact"/>
        <w:jc w:val="both"/>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3）法人投标需提供法人身份证明及身份证复印件，被授权委托人需提供法人授权委托书及身份证复印件；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4)投标单位提供本单位依法缴纳近三个月（2023年1月-2023年3月）的社保证明和单位缴费个人明细表（社保证明可含：社保缴费凭证、社保缴费证明、社保缴费汇总单、依法缴纳社保的完税证明，扫描件）；</w:t>
      </w:r>
    </w:p>
    <w:p>
      <w:pPr>
        <w:pStyle w:val="8"/>
        <w:pageBreakBefore w:val="0"/>
        <w:kinsoku/>
        <w:wordWrap/>
        <w:overflowPunct/>
        <w:topLinePunct w:val="0"/>
        <w:bidi w:val="0"/>
        <w:spacing w:line="400" w:lineRule="exact"/>
        <w:textAlignment w:val="auto"/>
        <w:rPr>
          <w:rFonts w:hint="default"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5)提供税务部门出具近三个月（2023年1月-2023年3月）的完税证明，依法免缴的应提供依法免缴的相关证明文件和零申报报表，扫描件；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6)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7)投标保证金收据扫描件或银行转款证明扫描件或支票扫描件、汇票扫描件；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8）参与政府采购活动前3年内未被列入失信、重大税收违法案件、财政部门禁止参加政府采购活动的承诺书；</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9）提供针对本次项目的反商业贿赂承诺书。扫描件；</w:t>
      </w:r>
    </w:p>
    <w:p>
      <w:pPr>
        <w:pStyle w:val="8"/>
        <w:pageBreakBefore w:val="0"/>
        <w:kinsoku/>
        <w:wordWrap/>
        <w:overflowPunct/>
        <w:topLinePunct w:val="0"/>
        <w:bidi w:val="0"/>
        <w:spacing w:line="400" w:lineRule="exact"/>
        <w:textAlignment w:val="auto"/>
        <w:rPr>
          <w:rFonts w:hint="eastAsia"/>
          <w:lang w:val="en-US" w:eastAsia="zh-CN"/>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10）投标单位需提供有效的《林木种子生产经营许可证》及《植物检验检疫证》扫描件；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11）本项目不接受联合体投标（提供非联合体投标承诺函，承诺函格式自拟）；</w:t>
      </w:r>
    </w:p>
    <w:p>
      <w:pPr>
        <w:pStyle w:val="8"/>
        <w:pageBreakBefore w:val="0"/>
        <w:numPr>
          <w:ilvl w:val="0"/>
          <w:numId w:val="0"/>
        </w:numPr>
        <w:kinsoku/>
        <w:wordWrap/>
        <w:overflowPunct/>
        <w:topLinePunct w:val="0"/>
        <w:bidi w:val="0"/>
        <w:spacing w:line="400" w:lineRule="exact"/>
        <w:ind w:firstLine="220" w:firstLineChars="100"/>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2"/>
          <w:sz w:val="22"/>
          <w:szCs w:val="22"/>
          <w:highlight w:val="none"/>
          <w:lang w:val="en-US" w:eastAsia="zh-CN" w:bidi="ar-SA"/>
          <w14:textFill>
            <w14:solidFill>
              <w14:schemeClr w14:val="tx1"/>
            </w14:solidFill>
          </w14:textFill>
        </w:rPr>
        <w:t>提示：1、“</w:t>
      </w: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税务部门出具（2023年1月-2023年3月）的完税证明”：完税证明中“税种”非养老保险、医疗保险、失业保险、工伤保险和生育保险。请各投标供应商注意！</w:t>
      </w: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b/>
          <w:bCs w:val="0"/>
          <w:iCs/>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bidi="ar-SA"/>
          <w14:textFill>
            <w14:solidFill>
              <w14:schemeClr w14:val="tx1"/>
            </w14:solidFill>
          </w14:textFill>
        </w:rPr>
        <w:t>2、未通过资格审查的投标人不进入评标；通过资格审查的投标人少于不足三家的，不得评标。</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b/>
          <w:bCs/>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ind w:left="7" w:hanging="6" w:hangingChars="3"/>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以联合体形式参加投标的，联合体任何成员存在以上不良信用记录的，联合体投标将被认定为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8"/>
        <w:keepNext w:val="0"/>
        <w:keepLines w:val="0"/>
        <w:pageBreakBefore w:val="0"/>
        <w:widowControl w:val="0"/>
        <w:kinsoku/>
        <w:wordWrap/>
        <w:overflowPunct/>
        <w:topLinePunct w:val="0"/>
        <w:bidi w:val="0"/>
        <w:snapToGrid/>
        <w:spacing w:line="400" w:lineRule="exact"/>
        <w:ind w:left="779" w:hanging="778" w:hangingChars="354"/>
        <w:jc w:val="both"/>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pPr>
        <w:pStyle w:val="8"/>
        <w:keepNext w:val="0"/>
        <w:keepLines w:val="0"/>
        <w:pageBreakBefore w:val="0"/>
        <w:widowControl w:val="0"/>
        <w:kinsoku/>
        <w:wordWrap/>
        <w:overflowPunct/>
        <w:topLinePunct w:val="0"/>
        <w:bidi w:val="0"/>
        <w:snapToGrid/>
        <w:spacing w:line="400" w:lineRule="exact"/>
        <w:ind w:firstLine="660" w:firstLineChars="300"/>
        <w:jc w:val="both"/>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供应商自行提供的与网站信息不一致的其他证明材料亦不作为资格审查依据。</w:t>
      </w:r>
    </w:p>
    <w:p>
      <w:pPr>
        <w:spacing w:line="340" w:lineRule="exact"/>
        <w:ind w:left="850" w:hanging="778" w:hangingChars="354"/>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19.3   </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在政采云平台</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随机</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抽取</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5人，组成评标小组，</w:t>
      </w:r>
      <w:r>
        <w:rPr>
          <w:rFonts w:hint="eastAsia" w:ascii="微软雅黑" w:hAnsi="微软雅黑" w:eastAsia="微软雅黑" w:cs="微软雅黑"/>
          <w:b/>
          <w:bCs/>
          <w:color w:val="000000" w:themeColor="text1"/>
          <w:sz w:val="22"/>
          <w:szCs w:val="22"/>
          <w:highlight w:val="none"/>
          <w14:textFill>
            <w14:solidFill>
              <w14:schemeClr w14:val="tx1"/>
            </w14:solidFill>
          </w14:textFill>
        </w:rPr>
        <w:t>负责评标工作。本项目评标委员会由5人组成（其中业主</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0</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名、随机抽取专家</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w:t>
      </w:r>
    </w:p>
    <w:bookmarkEnd w:id="104"/>
    <w:bookmarkEnd w:id="105"/>
    <w:bookmarkEnd w:id="106"/>
    <w:bookmarkEnd w:id="107"/>
    <w:bookmarkEnd w:id="141"/>
    <w:p>
      <w:pPr>
        <w:pStyle w:val="5"/>
        <w:keepNext w:val="0"/>
        <w:keepLines w:val="0"/>
        <w:pageBreakBefore w:val="0"/>
        <w:widowControl w:val="0"/>
        <w:kinsoku/>
        <w:wordWrap/>
        <w:overflowPunct/>
        <w:topLinePunct w:val="0"/>
        <w:bidi w:val="0"/>
        <w:snapToGrid/>
        <w:spacing w:before="0" w:after="0" w:line="400" w:lineRule="exact"/>
        <w:textAlignment w:val="auto"/>
        <w:rPr>
          <w:rFonts w:hint="eastAsia" w:ascii="微软雅黑" w:hAnsi="微软雅黑" w:eastAsia="微软雅黑" w:cs="微软雅黑"/>
          <w:b w:val="0"/>
          <w:bCs w:val="0"/>
          <w:color w:val="000000" w:themeColor="text1"/>
          <w:sz w:val="22"/>
          <w:szCs w:val="22"/>
          <w:highlight w:val="none"/>
          <w:bdr w:val="single" w:color="auto" w:sz="4" w:space="0"/>
          <w14:textFill>
            <w14:solidFill>
              <w14:schemeClr w14:val="tx1"/>
            </w14:solidFill>
          </w14:textFill>
        </w:rPr>
      </w:pPr>
      <w:bookmarkStart w:id="142" w:name="_Toc520356166"/>
      <w:bookmarkStart w:id="143" w:name="_Toc25607"/>
      <w:bookmarkStart w:id="144" w:name="_Toc19949"/>
      <w:bookmarkStart w:id="145" w:name="_Toc28479"/>
      <w:bookmarkStart w:id="146" w:name="_Toc515647781"/>
      <w:r>
        <w:rPr>
          <w:rFonts w:hint="eastAsia" w:ascii="微软雅黑" w:hAnsi="微软雅黑" w:eastAsia="微软雅黑" w:cs="微软雅黑"/>
          <w:color w:val="000000" w:themeColor="text1"/>
          <w:sz w:val="22"/>
          <w:szCs w:val="22"/>
          <w:highlight w:val="none"/>
          <w:u w:val="none"/>
          <w14:textFill>
            <w14:solidFill>
              <w14:schemeClr w14:val="tx1"/>
            </w14:solidFill>
          </w14:textFill>
        </w:rPr>
        <w:t>20.投标文件</w:t>
      </w:r>
      <w:bookmarkEnd w:id="142"/>
      <w:r>
        <w:rPr>
          <w:rFonts w:hint="eastAsia" w:ascii="微软雅黑" w:hAnsi="微软雅黑" w:eastAsia="微软雅黑" w:cs="微软雅黑"/>
          <w:color w:val="000000" w:themeColor="text1"/>
          <w:sz w:val="22"/>
          <w:szCs w:val="22"/>
          <w:highlight w:val="none"/>
          <w:u w:val="none"/>
          <w14:textFill>
            <w14:solidFill>
              <w14:schemeClr w14:val="tx1"/>
            </w14:solidFill>
          </w14:textFill>
        </w:rPr>
        <w:t>符合性审查与澄清</w:t>
      </w:r>
      <w:bookmarkEnd w:id="143"/>
      <w:bookmarkEnd w:id="144"/>
      <w:bookmarkEnd w:id="145"/>
      <w:bookmarkEnd w:id="146"/>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20.1   符合性审查是指依据招标文件的规定，从投标文件的有效性和完整性对招标文件的响应程度进行审查，以确定是否对招标文件的实质性要求做出响应。</w:t>
      </w:r>
      <w:bookmarkStart w:id="147" w:name="_Hlt522424701"/>
      <w:bookmarkEnd w:id="147"/>
      <w:bookmarkStart w:id="148" w:name="_Toc520356167"/>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投标文件的澄清</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20.2.2  供应商的的澄清、说明或补正将作为投标文件的一部分。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20.3  投标文件报价出现前后不一致的，按照下列规定修正：</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（二）大写金额和小写金额不一致的，以大写金额为准；</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（三）单价金额小数点或者百分比有明显错位的，以开标一览表的总价为准，并修改单价；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（四）总价金额与按单价汇总金额不一致的，以单价金额计算结果为准。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ind w:firstLine="770" w:firstLine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对不同文字文本投标文件的解释发生异议的，以中文文本为准。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20.4   如一个分包内只有一种产品，不同供应商所投产品为同一品牌的，按如下方式处理：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49" w:name="_Toc28888"/>
      <w:bookmarkStart w:id="150" w:name="_Toc515647782"/>
      <w:bookmarkStart w:id="151" w:name="_Toc9469"/>
      <w:bookmarkStart w:id="152" w:name="_Toc6364"/>
      <w:r>
        <w:rPr>
          <w:rFonts w:hint="eastAsia" w:ascii="微软雅黑" w:hAnsi="微软雅黑" w:eastAsia="微软雅黑" w:cs="微软雅黑"/>
          <w:color w:val="000000" w:themeColor="text1"/>
          <w:sz w:val="22"/>
          <w:szCs w:val="22"/>
          <w:highlight w:val="none"/>
          <w:u w:val="none"/>
          <w14:textFill>
            <w14:solidFill>
              <w14:schemeClr w14:val="tx1"/>
            </w14:solidFill>
          </w14:textFill>
        </w:rPr>
        <w:t>21.投标偏离</w:t>
      </w:r>
      <w:bookmarkEnd w:id="149"/>
      <w:bookmarkEnd w:id="150"/>
      <w:bookmarkEnd w:id="151"/>
      <w:bookmarkEnd w:id="152"/>
    </w:p>
    <w:p>
      <w:pPr>
        <w:pageBreakBefore w:val="0"/>
        <w:kinsoku/>
        <w:wordWrap/>
        <w:overflowPunct/>
        <w:topLinePunct w:val="0"/>
        <w:bidi w:val="0"/>
        <w:spacing w:line="400" w:lineRule="exact"/>
        <w:ind w:left="795" w:leftChars="99" w:hanging="587" w:hangingChars="267"/>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评标委员会可以接受投标文件中不构成实质性偏离的不正规或不一致。</w:t>
      </w:r>
      <w:bookmarkStart w:id="153" w:name="_Toc515647783"/>
      <w:bookmarkStart w:id="154" w:name="_Toc4950"/>
      <w:bookmarkStart w:id="155" w:name="_Toc6092"/>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56" w:name="_Toc20254"/>
      <w:r>
        <w:rPr>
          <w:rFonts w:hint="eastAsia" w:ascii="微软雅黑" w:hAnsi="微软雅黑" w:eastAsia="微软雅黑" w:cs="微软雅黑"/>
          <w:color w:val="000000" w:themeColor="text1"/>
          <w:sz w:val="22"/>
          <w:szCs w:val="22"/>
          <w:highlight w:val="none"/>
          <w:u w:val="none"/>
          <w14:textFill>
            <w14:solidFill>
              <w14:schemeClr w14:val="tx1"/>
            </w14:solidFill>
          </w14:textFill>
        </w:rPr>
        <w:t>22.投标</w:t>
      </w:r>
      <w:bookmarkEnd w:id="153"/>
      <w:r>
        <w:rPr>
          <w:rFonts w:hint="eastAsia" w:ascii="微软雅黑" w:hAnsi="微软雅黑" w:eastAsia="微软雅黑" w:cs="微软雅黑"/>
          <w:color w:val="000000" w:themeColor="text1"/>
          <w:sz w:val="22"/>
          <w:szCs w:val="22"/>
          <w:highlight w:val="none"/>
          <w:u w:val="none"/>
          <w14:textFill>
            <w14:solidFill>
              <w14:schemeClr w14:val="tx1"/>
            </w14:solidFill>
          </w14:textFill>
        </w:rPr>
        <w:t>无效</w:t>
      </w:r>
      <w:bookmarkEnd w:id="154"/>
      <w:bookmarkEnd w:id="155"/>
      <w:bookmarkEnd w:id="156"/>
    </w:p>
    <w:p>
      <w:pPr>
        <w:pageBreakBefore w:val="0"/>
        <w:kinsoku/>
        <w:wordWrap/>
        <w:overflowPunct/>
        <w:topLinePunct w:val="0"/>
        <w:bidi w:val="0"/>
        <w:spacing w:line="400" w:lineRule="exact"/>
        <w:ind w:left="777" w:leftChars="-23"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。供应商不得通过修正或撤销不符合要求的偏离，从而使其投标成为实质上响应的投标。</w:t>
      </w:r>
    </w:p>
    <w:p>
      <w:pPr>
        <w:pageBreakBefore w:val="0"/>
        <w:kinsoku/>
        <w:wordWrap/>
        <w:overflowPunct/>
        <w:topLinePunct w:val="0"/>
        <w:bidi w:val="0"/>
        <w:spacing w:line="400" w:lineRule="exact"/>
        <w:ind w:left="792" w:leftChars="377"/>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评标委员会决定投标的响应性只根据招标文件要求、投标文件内容及财政主管部门指定相关信息发布媒体。</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22.2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b/>
          <w:bCs/>
          <w:color w:val="000000" w:themeColor="text1"/>
          <w:sz w:val="22"/>
          <w:szCs w:val="22"/>
          <w:highlight w:val="none"/>
          <w14:textFill>
            <w14:solidFill>
              <w14:schemeClr w14:val="tx1"/>
            </w14:solidFill>
          </w14:textFill>
        </w:rPr>
        <w:t>如发现下列情况之一的，其投标将被认定为投标无效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未按招标文件规定的形式和金额提交投标保证金的；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未按照招标文件规定要求签署、盖章的；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未满足招标文件中技术条款的实质性要求；</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与其他供应商串通投标，或者与招标人串通投标；</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属于招标文件规定的其他投标无效情形；</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评标委员会认为供应商的报价明显低于其他通过符合性检查供应商的报价，有可能影响履约的，且供应商未按照规定证明其报价合理性的；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投标文件含有采购人不能接受的附加条件的；</w:t>
      </w:r>
    </w:p>
    <w:p>
      <w:pPr>
        <w:pageBreakBefore w:val="0"/>
        <w:numPr>
          <w:ilvl w:val="0"/>
          <w:numId w:val="4"/>
        </w:numPr>
        <w:tabs>
          <w:tab w:val="left" w:pos="0"/>
        </w:tabs>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不符合法规和招标文件中规定的其他实质性要求的。</w:t>
      </w:r>
    </w:p>
    <w:p>
      <w:pPr>
        <w:pageBreakBefore w:val="0"/>
        <w:kinsoku/>
        <w:wordWrap/>
        <w:overflowPunct/>
        <w:topLinePunct w:val="0"/>
        <w:bidi w:val="0"/>
        <w:spacing w:line="400" w:lineRule="exact"/>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157" w:name="_Toc515647784"/>
      <w:bookmarkStart w:id="158" w:name="_Toc13652"/>
      <w:bookmarkStart w:id="159" w:name="_Toc22941"/>
      <w:bookmarkStart w:id="160" w:name="_Toc10960"/>
      <w:r>
        <w:rPr>
          <w:rFonts w:hint="eastAsia" w:ascii="微软雅黑" w:hAnsi="微软雅黑" w:eastAsia="微软雅黑" w:cs="微软雅黑"/>
          <w:b/>
          <w:bCs/>
          <w:color w:val="000000" w:themeColor="text1"/>
          <w:sz w:val="22"/>
          <w:szCs w:val="22"/>
          <w:highlight w:val="none"/>
          <w14:textFill>
            <w14:solidFill>
              <w14:schemeClr w14:val="tx1"/>
            </w14:solidFill>
          </w14:textFill>
        </w:rPr>
        <w:t>23.</w:t>
      </w:r>
      <w:bookmarkEnd w:id="148"/>
      <w:r>
        <w:rPr>
          <w:rFonts w:hint="eastAsia" w:ascii="微软雅黑" w:hAnsi="微软雅黑" w:eastAsia="微软雅黑" w:cs="微软雅黑"/>
          <w:b/>
          <w:bCs/>
          <w:color w:val="000000" w:themeColor="text1"/>
          <w:sz w:val="22"/>
          <w:szCs w:val="22"/>
          <w:highlight w:val="none"/>
          <w14:textFill>
            <w14:solidFill>
              <w14:schemeClr w14:val="tx1"/>
            </w14:solidFill>
          </w14:textFill>
        </w:rPr>
        <w:t>比较与评价</w:t>
      </w:r>
      <w:bookmarkEnd w:id="157"/>
      <w:bookmarkEnd w:id="158"/>
      <w:bookmarkEnd w:id="159"/>
      <w:bookmarkEnd w:id="160"/>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23.1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经符合性审查合格的投标文件，评标委员会将根据招标文件确定的评标方法和标准，对其技术部分和商务部分作进一步的比较和评价。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23.2  </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评标严格按照招标文件的要求和条件进行。根据实际情况，在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中规定采用下列评标方法，详细评标标准见招标文件第六章：</w:t>
      </w:r>
    </w:p>
    <w:p>
      <w:pPr>
        <w:pStyle w:val="16"/>
        <w:pageBreakBefore w:val="0"/>
        <w:kinsoku/>
        <w:wordWrap/>
        <w:overflowPunct/>
        <w:topLinePunct w:val="0"/>
        <w:bidi w:val="0"/>
        <w:spacing w:line="400" w:lineRule="exact"/>
        <w:ind w:left="898" w:leftChars="342"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（1） </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本项目采用</w:t>
      </w:r>
      <w:r>
        <w:rPr>
          <w:rFonts w:hint="eastAsia" w:ascii="微软雅黑" w:hAnsi="微软雅黑" w:eastAsia="微软雅黑" w:cs="微软雅黑"/>
          <w:color w:val="000000" w:themeColor="text1"/>
          <w:sz w:val="22"/>
          <w:szCs w:val="22"/>
          <w:highlight w:val="none"/>
          <w14:textFill>
            <w14:solidFill>
              <w14:schemeClr w14:val="tx1"/>
            </w14:solidFill>
          </w14:textFill>
        </w:rPr>
        <w:t>综合评分法，是指投标文件满足招标文件全部实质性要求，且按照评审因素的量化指标评审得分最高的供应商为中标候选人的评标方法。</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1" w:name="sendNo"/>
      <w:r>
        <w:rPr>
          <w:rFonts w:hint="eastAsia" w:ascii="微软雅黑" w:hAnsi="微软雅黑" w:eastAsia="微软雅黑" w:cs="微软雅黑"/>
          <w:b/>
          <w:bCs/>
          <w:color w:val="000000" w:themeColor="text1"/>
          <w:sz w:val="22"/>
          <w:szCs w:val="22"/>
          <w:highlight w:val="none"/>
          <w14:textFill>
            <w14:solidFill>
              <w14:schemeClr w14:val="tx1"/>
            </w14:solidFill>
          </w14:textFill>
        </w:rPr>
        <w:t>财库〔</w:t>
      </w:r>
      <w:bookmarkEnd w:id="161"/>
      <w:r>
        <w:rPr>
          <w:rFonts w:hint="eastAsia" w:ascii="微软雅黑" w:hAnsi="微软雅黑" w:eastAsia="微软雅黑" w:cs="微软雅黑"/>
          <w:b/>
          <w:bCs/>
          <w:color w:val="000000" w:themeColor="text1"/>
          <w:sz w:val="22"/>
          <w:szCs w:val="22"/>
          <w:highlight w:val="none"/>
          <w14:textFill>
            <w14:solidFill>
              <w14:schemeClr w14:val="tx1"/>
            </w14:solidFill>
          </w14:textFill>
        </w:rPr>
        <w:t>2017〕141号）</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、《关于进一步加大政府采购支持中小企业力度的通知》（财库〔2022〕19号）</w:t>
      </w:r>
      <w:r>
        <w:rPr>
          <w:rFonts w:hint="eastAsia" w:ascii="微软雅黑" w:hAnsi="微软雅黑" w:eastAsia="微软雅黑" w:cs="微软雅黑"/>
          <w:b/>
          <w:bCs/>
          <w:color w:val="000000" w:themeColor="text1"/>
          <w:sz w:val="22"/>
          <w:szCs w:val="22"/>
          <w:highlight w:val="none"/>
          <w14:textFill>
            <w14:solidFill>
              <w14:schemeClr w14:val="tx1"/>
            </w14:solidFill>
          </w14:textFill>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10%-20%</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后参与</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评标</w:t>
      </w:r>
      <w:r>
        <w:rPr>
          <w:rFonts w:hint="eastAsia" w:ascii="微软雅黑" w:hAnsi="微软雅黑" w:eastAsia="微软雅黑" w:cs="微软雅黑"/>
          <w:b/>
          <w:bCs/>
          <w:color w:val="000000" w:themeColor="text1"/>
          <w:sz w:val="22"/>
          <w:szCs w:val="22"/>
          <w:highlight w:val="none"/>
          <w14:textFill>
            <w14:solidFill>
              <w14:schemeClr w14:val="tx1"/>
            </w14:solidFill>
          </w14:textFill>
        </w:rPr>
        <w:t>。</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对于同时属于小微企业、监狱企业或残疾人福利性单位的，不重复进行报价扣除。</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000000" w:themeColor="text1"/>
          <w:sz w:val="22"/>
          <w:szCs w:val="22"/>
          <w:highlight w:val="none"/>
          <w14:textFill>
            <w14:solidFill>
              <w14:schemeClr w14:val="tx1"/>
            </w14:solidFill>
          </w14:textFill>
        </w:rPr>
        <w:t>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62" w:name="_Toc9378"/>
      <w:bookmarkStart w:id="163" w:name="_Toc20227"/>
      <w:bookmarkStart w:id="164" w:name="_Toc26143"/>
      <w:bookmarkStart w:id="165" w:name="_Toc515647785"/>
      <w:r>
        <w:rPr>
          <w:rFonts w:hint="eastAsia" w:ascii="微软雅黑" w:hAnsi="微软雅黑" w:eastAsia="微软雅黑" w:cs="微软雅黑"/>
          <w:color w:val="000000" w:themeColor="text1"/>
          <w:sz w:val="22"/>
          <w:szCs w:val="22"/>
          <w:highlight w:val="none"/>
          <w:u w:val="none"/>
          <w14:textFill>
            <w14:solidFill>
              <w14:schemeClr w14:val="tx1"/>
            </w14:solidFill>
          </w14:textFill>
        </w:rPr>
        <w:t>24.废标</w:t>
      </w:r>
      <w:bookmarkEnd w:id="162"/>
      <w:bookmarkEnd w:id="163"/>
      <w:bookmarkEnd w:id="164"/>
      <w:bookmarkEnd w:id="165"/>
    </w:p>
    <w:p>
      <w:pPr>
        <w:pageBreakBefore w:val="0"/>
        <w:kinsoku/>
        <w:wordWrap/>
        <w:overflowPunct/>
        <w:topLinePunct w:val="0"/>
        <w:bidi w:val="0"/>
        <w:spacing w:line="400" w:lineRule="exact"/>
        <w:ind w:left="893" w:leftChars="399" w:hanging="55" w:hangingChars="2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 xml:space="preserve">出现下列情形之一，将导致项目废标： </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ab/>
      </w:r>
      <w:r>
        <w:rPr>
          <w:rFonts w:hint="eastAsia" w:ascii="微软雅黑" w:hAnsi="微软雅黑" w:eastAsia="微软雅黑" w:cs="微软雅黑"/>
          <w:b/>
          <w:bCs/>
          <w:color w:val="000000" w:themeColor="text1"/>
          <w:sz w:val="22"/>
          <w:szCs w:val="22"/>
          <w:highlight w:val="none"/>
          <w14:textFill>
            <w14:solidFill>
              <w14:schemeClr w14:val="tx1"/>
            </w14:solidFill>
          </w14:textFill>
        </w:rPr>
        <w:t>（1）符合专业条件的供应商或者对招标文件做实质性响应的供应商不足三家；</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ab/>
      </w:r>
      <w:r>
        <w:rPr>
          <w:rFonts w:hint="eastAsia" w:ascii="微软雅黑" w:hAnsi="微软雅黑" w:eastAsia="微软雅黑" w:cs="微软雅黑"/>
          <w:b/>
          <w:bCs/>
          <w:color w:val="000000" w:themeColor="text1"/>
          <w:sz w:val="22"/>
          <w:szCs w:val="22"/>
          <w:highlight w:val="none"/>
          <w14:textFill>
            <w14:solidFill>
              <w14:schemeClr w14:val="tx1"/>
            </w14:solidFill>
          </w14:textFill>
        </w:rPr>
        <w:t>（2）出现影响采购公正的违法、违规行为的；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（3）供应商的报价均超过了采购预算，采购人不能支付的；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 xml:space="preserve">（4）因重大变故，采购任务取消的。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66" w:name="_Toc515647786"/>
      <w:bookmarkStart w:id="167" w:name="_Toc31289"/>
      <w:bookmarkStart w:id="168" w:name="_Toc29491"/>
      <w:bookmarkStart w:id="169" w:name="_Toc24972"/>
      <w:bookmarkStart w:id="170" w:name="_Toc520356169"/>
      <w:r>
        <w:rPr>
          <w:rFonts w:hint="eastAsia" w:ascii="微软雅黑" w:hAnsi="微软雅黑" w:eastAsia="微软雅黑" w:cs="微软雅黑"/>
          <w:color w:val="000000" w:themeColor="text1"/>
          <w:sz w:val="22"/>
          <w:szCs w:val="22"/>
          <w:highlight w:val="none"/>
          <w:u w:val="none"/>
          <w14:textFill>
            <w14:solidFill>
              <w14:schemeClr w14:val="tx1"/>
            </w14:solidFill>
          </w14:textFill>
        </w:rPr>
        <w:t>25.保密原则</w:t>
      </w:r>
      <w:bookmarkEnd w:id="166"/>
      <w:bookmarkEnd w:id="167"/>
      <w:bookmarkEnd w:id="168"/>
      <w:bookmarkEnd w:id="16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25.1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评标将在严格保密的情况下进行。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25.2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政府采购评审专家应当遵守评审工作纪律，不得泄露评审文件、评审情况和评审中获悉的商业秘密。</w:t>
      </w:r>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171" w:name="_Toc20578"/>
      <w:bookmarkStart w:id="172" w:name="_Toc216582810"/>
      <w:bookmarkStart w:id="173" w:name="_Toc32717"/>
      <w:bookmarkStart w:id="174" w:name="_Toc515647787"/>
      <w:bookmarkStart w:id="175" w:name="_Toc23904"/>
      <w:bookmarkStart w:id="176" w:name="_Toc30610"/>
      <w:bookmarkStart w:id="177" w:name="_Toc12143"/>
      <w:r>
        <w:rPr>
          <w:rFonts w:hint="eastAsia" w:ascii="微软雅黑" w:hAnsi="微软雅黑" w:eastAsia="微软雅黑" w:cs="微软雅黑"/>
          <w:b/>
          <w:bCs/>
          <w:color w:val="000000" w:themeColor="text1"/>
          <w:sz w:val="22"/>
          <w:szCs w:val="22"/>
          <w:highlight w:val="none"/>
          <w14:textFill>
            <w14:solidFill>
              <w14:schemeClr w14:val="tx1"/>
            </w14:solidFill>
          </w14:textFill>
        </w:rPr>
        <w:t xml:space="preserve">六   </w:t>
      </w:r>
      <w:bookmarkEnd w:id="170"/>
      <w:r>
        <w:rPr>
          <w:rFonts w:hint="eastAsia" w:ascii="微软雅黑" w:hAnsi="微软雅黑" w:eastAsia="微软雅黑" w:cs="微软雅黑"/>
          <w:b/>
          <w:bCs/>
          <w:color w:val="000000" w:themeColor="text1"/>
          <w:sz w:val="22"/>
          <w:szCs w:val="22"/>
          <w:highlight w:val="none"/>
          <w14:textFill>
            <w14:solidFill>
              <w14:schemeClr w14:val="tx1"/>
            </w14:solidFill>
          </w14:textFill>
        </w:rPr>
        <w:t>确定中标</w:t>
      </w:r>
      <w:bookmarkEnd w:id="171"/>
      <w:bookmarkEnd w:id="172"/>
      <w:bookmarkEnd w:id="173"/>
      <w:bookmarkEnd w:id="174"/>
      <w:bookmarkEnd w:id="175"/>
      <w:bookmarkEnd w:id="176"/>
      <w:bookmarkEnd w:id="177"/>
    </w:p>
    <w:p>
      <w:pPr>
        <w:pStyle w:val="8"/>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78" w:name="_Ref467307010"/>
      <w:bookmarkStart w:id="179" w:name="_Toc10050"/>
      <w:bookmarkStart w:id="180" w:name="_Toc515647788"/>
      <w:bookmarkStart w:id="181" w:name="_Toc520356170"/>
      <w:bookmarkStart w:id="182" w:name="_Toc23617"/>
      <w:bookmarkStart w:id="183" w:name="_Toc23762"/>
      <w:r>
        <w:rPr>
          <w:rFonts w:hint="eastAsia" w:ascii="微软雅黑" w:hAnsi="微软雅黑" w:eastAsia="微软雅黑" w:cs="微软雅黑"/>
          <w:color w:val="000000" w:themeColor="text1"/>
          <w:sz w:val="22"/>
          <w:szCs w:val="22"/>
          <w:highlight w:val="none"/>
          <w:u w:val="none"/>
          <w14:textFill>
            <w14:solidFill>
              <w14:schemeClr w14:val="tx1"/>
            </w14:solidFill>
          </w14:textFill>
        </w:rPr>
        <w:t>26.中标候选人的确定原则及标准</w:t>
      </w:r>
      <w:bookmarkEnd w:id="178"/>
      <w:bookmarkEnd w:id="179"/>
      <w:bookmarkEnd w:id="180"/>
      <w:bookmarkEnd w:id="181"/>
      <w:bookmarkEnd w:id="182"/>
      <w:bookmarkEnd w:id="18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对实质上响应招标文件的供应商按下列方法进行排序，确定投标候选人：</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184" w:name="_Toc520356171"/>
      <w:bookmarkStart w:id="185" w:name="_Toc515647789"/>
      <w:r>
        <w:rPr>
          <w:rFonts w:hint="eastAsia" w:ascii="微软雅黑" w:hAnsi="微软雅黑" w:eastAsia="微软雅黑" w:cs="微软雅黑"/>
          <w:color w:val="000000" w:themeColor="text1"/>
          <w:sz w:val="22"/>
          <w:szCs w:val="22"/>
          <w:highlight w:val="none"/>
          <w14:textFill>
            <w14:solidFill>
              <w14:schemeClr w14:val="tx1"/>
            </w14:solidFill>
          </w14:textFill>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（2）采用综合评分法的，评标结果按评审后得分由高到低顺序排列。得分相同的，按修正和扣除后的投标报价由低到高顺序排列。得分与投标报价均相同的处理方式详见招标文件第6章。</w:t>
      </w:r>
    </w:p>
    <w:p>
      <w:pPr>
        <w:pageBreakBefore w:val="0"/>
        <w:kinsoku/>
        <w:wordWrap/>
        <w:overflowPunct/>
        <w:topLinePunct w:val="0"/>
        <w:bidi w:val="0"/>
        <w:spacing w:line="400" w:lineRule="exact"/>
        <w:ind w:left="901"/>
        <w:textAlignment w:val="auto"/>
        <w:rPr>
          <w:rFonts w:hint="eastAsia" w:eastAsia="微软雅黑"/>
          <w:b/>
          <w:bCs/>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本项目采用综合评分法。</w:t>
      </w:r>
      <w:bookmarkStart w:id="186" w:name="_Toc9653"/>
      <w:bookmarkStart w:id="187" w:name="_Toc9286"/>
      <w:bookmarkStart w:id="188" w:name="_Toc23951"/>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none"/>
          <w14:textFill>
            <w14:solidFill>
              <w14:schemeClr w14:val="tx1"/>
            </w14:solidFill>
          </w14:textFill>
        </w:rPr>
        <w:t>2</w:t>
      </w:r>
      <w:bookmarkEnd w:id="184"/>
      <w:r>
        <w:rPr>
          <w:rFonts w:hint="eastAsia" w:ascii="微软雅黑" w:hAnsi="微软雅黑" w:eastAsia="微软雅黑" w:cs="微软雅黑"/>
          <w:color w:val="000000" w:themeColor="text1"/>
          <w:sz w:val="22"/>
          <w:szCs w:val="22"/>
          <w:highlight w:val="none"/>
          <w:u w:val="none"/>
          <w14:textFill>
            <w14:solidFill>
              <w14:schemeClr w14:val="tx1"/>
            </w14:solidFill>
          </w14:textFill>
        </w:rPr>
        <w:t>7.确定中标候选人和中标人</w:t>
      </w:r>
      <w:bookmarkEnd w:id="185"/>
      <w:bookmarkEnd w:id="186"/>
      <w:bookmarkEnd w:id="187"/>
      <w:bookmarkEnd w:id="18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评标委员会将根据评标标准，按</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供应商须知资料表中</w:t>
      </w:r>
      <w:r>
        <w:rPr>
          <w:rFonts w:hint="eastAsia" w:ascii="微软雅黑" w:hAnsi="微软雅黑" w:eastAsia="微软雅黑" w:cs="微软雅黑"/>
          <w:color w:val="000000" w:themeColor="text1"/>
          <w:sz w:val="22"/>
          <w:szCs w:val="22"/>
          <w:highlight w:val="none"/>
          <w14:textFill>
            <w14:solidFill>
              <w14:schemeClr w14:val="tx1"/>
            </w14:solidFill>
          </w14:textFill>
        </w:rPr>
        <w:t>规定数量推荐中标候选人；或根据采购人的委托，直接确定中标人。</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89" w:name="_Toc520356173"/>
      <w:bookmarkStart w:id="190" w:name="_Ref467306874"/>
      <w:bookmarkStart w:id="191" w:name="_Toc515647790"/>
      <w:bookmarkStart w:id="192" w:name="_Toc380"/>
      <w:bookmarkStart w:id="193" w:name="_Toc8389"/>
      <w:bookmarkStart w:id="194" w:name="_Toc28562"/>
      <w:r>
        <w:rPr>
          <w:rFonts w:hint="eastAsia" w:ascii="微软雅黑" w:hAnsi="微软雅黑" w:eastAsia="微软雅黑" w:cs="微软雅黑"/>
          <w:color w:val="000000" w:themeColor="text1"/>
          <w:sz w:val="22"/>
          <w:szCs w:val="22"/>
          <w:highlight w:val="none"/>
          <w:u w:val="none"/>
          <w14:textFill>
            <w14:solidFill>
              <w14:schemeClr w14:val="tx1"/>
            </w14:solidFill>
          </w14:textFill>
        </w:rPr>
        <w:t>28.</w:t>
      </w:r>
      <w:bookmarkEnd w:id="189"/>
      <w:bookmarkEnd w:id="190"/>
      <w:r>
        <w:rPr>
          <w:rFonts w:hint="eastAsia" w:ascii="微软雅黑" w:hAnsi="微软雅黑" w:eastAsia="微软雅黑" w:cs="微软雅黑"/>
          <w:color w:val="000000" w:themeColor="text1"/>
          <w:sz w:val="22"/>
          <w:szCs w:val="22"/>
          <w:highlight w:val="none"/>
          <w:u w:val="none"/>
          <w14:textFill>
            <w14:solidFill>
              <w14:schemeClr w14:val="tx1"/>
            </w14:solidFill>
          </w14:textFill>
        </w:rPr>
        <w:t>采购任务取消</w:t>
      </w:r>
      <w:bookmarkEnd w:id="191"/>
      <w:bookmarkEnd w:id="192"/>
      <w:bookmarkEnd w:id="193"/>
      <w:bookmarkEnd w:id="19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因重大变故采购任务取消时，采购人有权拒绝任何供应商中标，且对受影响的供应商不承担任何责任。</w:t>
      </w:r>
      <w:bookmarkStart w:id="195" w:name="_Toc520356174"/>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96" w:name="_Toc30170"/>
      <w:bookmarkStart w:id="197" w:name="_Toc515647791"/>
      <w:bookmarkStart w:id="198" w:name="_Toc8579"/>
      <w:bookmarkStart w:id="199" w:name="_Toc31099"/>
      <w:r>
        <w:rPr>
          <w:rFonts w:hint="eastAsia" w:ascii="微软雅黑" w:hAnsi="微软雅黑" w:eastAsia="微软雅黑" w:cs="微软雅黑"/>
          <w:color w:val="000000" w:themeColor="text1"/>
          <w:sz w:val="22"/>
          <w:szCs w:val="22"/>
          <w:highlight w:val="none"/>
          <w:u w:val="none"/>
          <w14:textFill>
            <w14:solidFill>
              <w14:schemeClr w14:val="tx1"/>
            </w14:solidFill>
          </w14:textFill>
        </w:rPr>
        <w:t>29.中标通知书</w:t>
      </w:r>
      <w:bookmarkEnd w:id="195"/>
      <w:r>
        <w:rPr>
          <w:rFonts w:hint="eastAsia" w:ascii="微软雅黑" w:hAnsi="微软雅黑" w:eastAsia="微软雅黑" w:cs="微软雅黑"/>
          <w:color w:val="000000" w:themeColor="text1"/>
          <w:sz w:val="22"/>
          <w:szCs w:val="22"/>
          <w:highlight w:val="none"/>
          <w:u w:val="none"/>
          <w14:textFill>
            <w14:solidFill>
              <w14:schemeClr w14:val="tx1"/>
            </w14:solidFill>
          </w14:textFill>
        </w:rPr>
        <w:t>和招标结果通知书</w:t>
      </w:r>
      <w:bookmarkEnd w:id="196"/>
      <w:bookmarkEnd w:id="197"/>
      <w:bookmarkEnd w:id="198"/>
      <w:bookmarkEnd w:id="19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29.1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在投标有效期内，中标人确定后，采购人或者采购代理机构发布中标公告，同时以书面形式向中标人发出中标通知书。</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29.2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中标通知书是合同的组成部分。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29.3    招标结果通知书和中标通知书同时发出。招标结果通知书中将告知未通过资格审查的供应商未通过的原因；采用综合评分法评审的，还将告知未中标人本人的评审得分和排序。</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00" w:name="_Ref467307062"/>
      <w:bookmarkStart w:id="201" w:name="_Ref467307204"/>
      <w:bookmarkStart w:id="202" w:name="_Toc790"/>
      <w:bookmarkStart w:id="203" w:name="_Ref467306377"/>
      <w:bookmarkStart w:id="204" w:name="_Toc15653"/>
      <w:bookmarkStart w:id="205" w:name="_Toc7779"/>
      <w:bookmarkStart w:id="206" w:name="_Toc515647792"/>
      <w:bookmarkStart w:id="207" w:name="_Ref467306978"/>
      <w:bookmarkStart w:id="208" w:name="_Toc520356175"/>
      <w:r>
        <w:rPr>
          <w:rFonts w:hint="eastAsia" w:ascii="微软雅黑" w:hAnsi="微软雅黑" w:eastAsia="微软雅黑" w:cs="微软雅黑"/>
          <w:color w:val="000000" w:themeColor="text1"/>
          <w:sz w:val="22"/>
          <w:szCs w:val="22"/>
          <w:highlight w:val="none"/>
          <w:u w:val="none"/>
          <w14:textFill>
            <w14:solidFill>
              <w14:schemeClr w14:val="tx1"/>
            </w14:solidFill>
          </w14:textFill>
        </w:rPr>
        <w:t>30.签订合同</w:t>
      </w:r>
      <w:bookmarkEnd w:id="200"/>
      <w:bookmarkEnd w:id="201"/>
      <w:bookmarkEnd w:id="202"/>
      <w:bookmarkEnd w:id="203"/>
      <w:bookmarkEnd w:id="204"/>
      <w:bookmarkEnd w:id="205"/>
      <w:bookmarkEnd w:id="206"/>
      <w:bookmarkEnd w:id="207"/>
      <w:bookmarkEnd w:id="20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30.1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中标人应当自发出中标通知书之日起</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2"/>
          <w:szCs w:val="22"/>
          <w:highlight w:val="none"/>
          <w14:textFill>
            <w14:solidFill>
              <w14:schemeClr w14:val="tx1"/>
            </w14:solidFill>
          </w14:textFill>
        </w:rPr>
        <w:t>日内，与采购人签订合同。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30.2</w:t>
      </w:r>
      <w:r>
        <w:rPr>
          <w:rFonts w:hint="eastAsia" w:ascii="微软雅黑" w:hAnsi="微软雅黑" w:eastAsia="微软雅黑" w:cs="微软雅黑"/>
          <w:color w:val="000000" w:themeColor="text1"/>
          <w:sz w:val="22"/>
          <w:szCs w:val="22"/>
          <w:highlight w:val="none"/>
          <w14:textFill>
            <w14:solidFill>
              <w14:schemeClr w14:val="tx1"/>
            </w14:solidFill>
          </w14:textFill>
        </w:rPr>
        <w:tab/>
      </w:r>
      <w:bookmarkStart w:id="209" w:name="_Ref467307090"/>
      <w:bookmarkStart w:id="210" w:name="_Toc520356176"/>
      <w:bookmarkStart w:id="211" w:name="_Ref467306425"/>
      <w:r>
        <w:rPr>
          <w:rFonts w:hint="eastAsia" w:ascii="微软雅黑" w:hAnsi="微软雅黑" w:eastAsia="微软雅黑" w:cs="微软雅黑"/>
          <w:color w:val="000000" w:themeColor="text1"/>
          <w:sz w:val="22"/>
          <w:szCs w:val="22"/>
          <w:highlight w:val="none"/>
          <w14:textFill>
            <w14:solidFill>
              <w14:schemeClr w14:val="tx1"/>
            </w14:solidFill>
          </w14:textFill>
        </w:rPr>
        <w:t>招标文件、中标人的投标文件及其澄清文件等，均为签订合同的依据。</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30.3   中标人拒绝与采购人签订合同的，采购人可以按照评审报告推荐的中标候选人名单排序，确定下一中标候选人为中标人，也可以重新开展政府采购活动。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12" w:name="_Toc515647793"/>
      <w:bookmarkStart w:id="213" w:name="_Toc14080"/>
      <w:bookmarkStart w:id="214" w:name="_Toc20240"/>
      <w:bookmarkStart w:id="215" w:name="_Toc22555"/>
      <w:r>
        <w:rPr>
          <w:rFonts w:hint="eastAsia" w:ascii="微软雅黑" w:hAnsi="微软雅黑" w:eastAsia="微软雅黑" w:cs="微软雅黑"/>
          <w:color w:val="000000" w:themeColor="text1"/>
          <w:sz w:val="22"/>
          <w:szCs w:val="22"/>
          <w:highlight w:val="none"/>
          <w14:textFill>
            <w14:solidFill>
              <w14:schemeClr w14:val="tx1"/>
            </w14:solidFill>
          </w14:textFill>
        </w:rPr>
        <w:t>31</w:t>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.履约保证金</w:t>
      </w:r>
      <w:bookmarkEnd w:id="209"/>
      <w:bookmarkEnd w:id="210"/>
      <w:bookmarkEnd w:id="211"/>
      <w:bookmarkEnd w:id="212"/>
      <w:bookmarkEnd w:id="213"/>
      <w:bookmarkEnd w:id="214"/>
      <w:bookmarkEnd w:id="21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31.1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中标人应按照</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规定向采购人缴纳履约保证金（如采用保函形式，格式见本章附件1）。</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31.2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政府采购利用担保试点范围内的项目，除31.1规定的情形外，中标人也可以按照财政部门的规定，向采购人提供合格的履约担保函（格式见本章附件2）。</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31.3   如果中标人没有按照上述履约保证金的规定执行，将视为放弃中标资格，中标人的投标保证金将不予退还。在此情况下，采购人可确定下一候选人为中标人，也可以重新开展采购活动。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16" w:name="_Toc515647794"/>
      <w:bookmarkStart w:id="217" w:name="_Toc8972"/>
      <w:bookmarkStart w:id="218" w:name="_Toc29408"/>
      <w:bookmarkStart w:id="219" w:name="_Toc3090"/>
      <w:r>
        <w:rPr>
          <w:rFonts w:hint="eastAsia" w:ascii="微软雅黑" w:hAnsi="微软雅黑" w:eastAsia="微软雅黑" w:cs="微软雅黑"/>
          <w:color w:val="000000" w:themeColor="text1"/>
          <w:sz w:val="22"/>
          <w:szCs w:val="22"/>
          <w:highlight w:val="none"/>
          <w:u w:val="none"/>
          <w14:textFill>
            <w14:solidFill>
              <w14:schemeClr w14:val="tx1"/>
            </w14:solidFill>
          </w14:textFill>
        </w:rPr>
        <w:t>32.中标服务费</w:t>
      </w:r>
      <w:bookmarkEnd w:id="216"/>
      <w:bookmarkEnd w:id="217"/>
      <w:bookmarkEnd w:id="218"/>
      <w:bookmarkEnd w:id="219"/>
    </w:p>
    <w:p>
      <w:pPr>
        <w:pageBreakBefore w:val="0"/>
        <w:kinsoku/>
        <w:wordWrap/>
        <w:overflowPunct/>
        <w:topLinePunct w:val="0"/>
        <w:bidi w:val="0"/>
        <w:spacing w:line="400" w:lineRule="exact"/>
        <w:ind w:left="805" w:leftChars="200" w:hanging="385" w:hangingChars="1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中标人须按照</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投标须知资料表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规定，向采购代理机构支付中标服务费。</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0" w:name="_Toc6923"/>
      <w:bookmarkStart w:id="221" w:name="_Toc7049"/>
      <w:bookmarkStart w:id="222" w:name="_Toc8524"/>
      <w:bookmarkStart w:id="223" w:name="_Toc515647795"/>
      <w:r>
        <w:rPr>
          <w:rFonts w:hint="eastAsia" w:ascii="微软雅黑" w:hAnsi="微软雅黑" w:eastAsia="微软雅黑" w:cs="微软雅黑"/>
          <w:color w:val="000000" w:themeColor="text1"/>
          <w:sz w:val="22"/>
          <w:szCs w:val="22"/>
          <w:highlight w:val="none"/>
          <w:u w:val="none"/>
          <w14:textFill>
            <w14:solidFill>
              <w14:schemeClr w14:val="tx1"/>
            </w14:solidFill>
          </w14:textFill>
        </w:rPr>
        <w:t>33.政府采购信用担保</w:t>
      </w:r>
      <w:bookmarkEnd w:id="220"/>
      <w:bookmarkEnd w:id="221"/>
      <w:bookmarkEnd w:id="222"/>
      <w:bookmarkEnd w:id="22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33.1   本项目是否属于信用担保试点范围见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   如属于政府采购信用担保试点范围内，中小型企业供应商可以自由按照财政部门的规定，采用投标担保、履约担保和融资担保。</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33.2.1 供应商递交的投标担保函和履约担保函应符合本招标文件的规定。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33.2.2 中标人可以采取融资担保的形式为政府采购项目履约进行融资。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33.2.3 合格的政府采购专业信用担保机构名单见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4" w:name="_Toc23999"/>
      <w:bookmarkStart w:id="225" w:name="_Toc2133"/>
      <w:bookmarkStart w:id="226" w:name="_Toc12709"/>
      <w:bookmarkStart w:id="227" w:name="_Toc515647796"/>
      <w:r>
        <w:rPr>
          <w:rFonts w:hint="eastAsia" w:ascii="微软雅黑" w:hAnsi="微软雅黑" w:eastAsia="微软雅黑" w:cs="微软雅黑"/>
          <w:color w:val="000000" w:themeColor="text1"/>
          <w:sz w:val="22"/>
          <w:szCs w:val="22"/>
          <w:highlight w:val="none"/>
          <w:u w:val="none"/>
          <w14:textFill>
            <w14:solidFill>
              <w14:schemeClr w14:val="tx1"/>
            </w14:solidFill>
          </w14:textFill>
        </w:rPr>
        <w:t>34.廉洁自律规定</w:t>
      </w:r>
      <w:bookmarkEnd w:id="224"/>
      <w:bookmarkEnd w:id="225"/>
      <w:bookmarkEnd w:id="226"/>
      <w:bookmarkEnd w:id="22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34.3   为强化采购代理机构内部监督机制，供应商可按</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供应商须知资料表中的</w:t>
      </w:r>
      <w:r>
        <w:rPr>
          <w:rFonts w:hint="eastAsia" w:ascii="微软雅黑" w:hAnsi="微软雅黑" w:eastAsia="微软雅黑" w:cs="微软雅黑"/>
          <w:color w:val="000000" w:themeColor="text1"/>
          <w:sz w:val="22"/>
          <w:szCs w:val="22"/>
          <w:highlight w:val="none"/>
          <w14:textFill>
            <w14:solidFill>
              <w14:schemeClr w14:val="tx1"/>
            </w14:solidFill>
          </w14:textFill>
        </w:rPr>
        <w:t>监督电话和邮箱，反映采购代理机构的廉洁自律等问题。</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8" w:name="_Toc25480"/>
      <w:bookmarkStart w:id="229" w:name="_Toc515647797"/>
      <w:bookmarkStart w:id="230" w:name="_Toc12865"/>
      <w:bookmarkStart w:id="231" w:name="_Toc11586"/>
      <w:r>
        <w:rPr>
          <w:rFonts w:hint="eastAsia" w:ascii="微软雅黑" w:hAnsi="微软雅黑" w:eastAsia="微软雅黑" w:cs="微软雅黑"/>
          <w:color w:val="000000" w:themeColor="text1"/>
          <w:sz w:val="22"/>
          <w:szCs w:val="22"/>
          <w:highlight w:val="none"/>
          <w:u w:val="none"/>
          <w14:textFill>
            <w14:solidFill>
              <w14:schemeClr w14:val="tx1"/>
            </w14:solidFill>
          </w14:textFill>
        </w:rPr>
        <w:t>35.人员回避</w:t>
      </w:r>
      <w:bookmarkEnd w:id="228"/>
      <w:bookmarkEnd w:id="229"/>
      <w:bookmarkEnd w:id="230"/>
      <w:bookmarkEnd w:id="23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36.质疑与接收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36.3    采购代理机构质疑函接收部门、联系电话和通讯地址, 见供应商须知资料表。</w:t>
      </w:r>
    </w:p>
    <w:p>
      <w:pPr>
        <w:pageBreakBefore w:val="0"/>
        <w:kinsoku/>
        <w:wordWrap/>
        <w:overflowPunct/>
        <w:topLinePunct w:val="0"/>
        <w:bidi w:val="0"/>
        <w:spacing w:line="400" w:lineRule="exact"/>
        <w:ind w:left="825" w:hanging="825" w:hangingChars="375"/>
        <w:jc w:val="left"/>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w:t>
      </w:r>
      <w:r>
        <w:rPr>
          <w:rFonts w:hint="eastAsia" w:ascii="微软雅黑" w:hAnsi="微软雅黑" w:eastAsia="微软雅黑" w:cs="微软雅黑"/>
          <w:b/>
          <w:bCs/>
          <w:color w:val="000000" w:themeColor="text1"/>
          <w:sz w:val="22"/>
          <w:szCs w:val="22"/>
          <w:highlight w:val="none"/>
          <w14:textFill>
            <w14:solidFill>
              <w14:schemeClr w14:val="tx1"/>
            </w14:solidFill>
          </w14:textFill>
        </w:rPr>
        <w:t>质疑的提出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37.1   本采购文件中所称质疑及答复，是指参加本次采购活动的供应商对政府采购活动中的采购文件、采购过程和中标结果向采购方提出质疑，采购方答复质疑的行为。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37.2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（一）对可以质疑的采购文件提出质疑的，为收到采购文件之日或者采购文件公告期限届满之日；</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（二）对采购过程提出质疑的，为各采购程序环节结束之日；</w:t>
      </w:r>
    </w:p>
    <w:p>
      <w:pPr>
        <w:pageBreakBefore w:val="0"/>
        <w:kinsoku/>
        <w:wordWrap/>
        <w:overflowPunct/>
        <w:topLinePunct w:val="0"/>
        <w:bidi w:val="0"/>
        <w:spacing w:line="400" w:lineRule="exact"/>
        <w:ind w:firstLine="660" w:firstLineChars="3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（三）对中标结果提出质疑的，为中标结果公告期限届满之日。</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37.3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37.5   提出质疑应当符合下列条件：</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（一）质疑主体应当符合有关规定；</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（二）在质疑法定期限内提出；</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（三）属于可以提出质疑的政府采购事项受理范围和本项目采购人的管辖权范围；</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（四）政府采购法律、法规、规章规定的其他条件。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37.7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37.8   质疑人提出质疑时应当提交质疑函。质疑函包括下列内容：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（一）提出质疑的质疑人的名称、地址、邮编、联系人及联系电话等；</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（二）质疑项目的名称、编号；</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（三）质疑事项；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（四）事实依据和证明材料；</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（五）法律依据；</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（六）提出质疑的日期。</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37.9   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37.10   质疑的审查和受理。采购方在收到质疑函后应当及时审查是否符合质疑受理条件，对符合质疑受理条件的，及时予以受理。</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37.11    对不符合质疑受理条件的，分别按照下列不同情形予以处理：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（二）质疑主体不符合有关规定的，告知质疑人不予受理；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（三）超过质疑法定期限提出质疑的，告知质疑人不予受理；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（四）对不属于可以提出质疑的政府采购事项提出质疑的，告知质疑人不予受理；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（五）质疑不属于本项目采购方管辖的，告知质疑人向有管辖权的采购人提出质疑；</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（六）质疑不符合其他条件的，告知质疑人不予受理。</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38.质疑的处理和答复</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38.1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38.2  对评审过程、中标结果提出质疑的，采购方可以组织原评审委员会协助答复质疑。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38.3  质疑处理过程中，质疑人书面申请撤回质疑的，将终止质疑处理程序。</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38.4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38.5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38.6  采购方将在正式受理质疑后7个工作日内作出答复。</w:t>
      </w:r>
    </w:p>
    <w:p>
      <w:pPr>
        <w:pStyle w:val="52"/>
        <w:pageBreakBefore w:val="0"/>
        <w:kinsoku/>
        <w:wordWrap/>
        <w:overflowPunct/>
        <w:topLinePunct w:val="0"/>
        <w:bidi w:val="0"/>
        <w:spacing w:line="400" w:lineRule="exact"/>
        <w:jc w:val="both"/>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32" w:name="_Toc19952"/>
      <w:bookmarkStart w:id="233" w:name="_Toc5437"/>
      <w:r>
        <w:rPr>
          <w:rFonts w:hint="eastAsia" w:ascii="微软雅黑" w:hAnsi="微软雅黑" w:eastAsia="微软雅黑" w:cs="微软雅黑"/>
          <w:color w:val="000000" w:themeColor="text1"/>
          <w:sz w:val="22"/>
          <w:szCs w:val="22"/>
          <w:highlight w:val="none"/>
          <w14:textFill>
            <w14:solidFill>
              <w14:schemeClr w14:val="tx1"/>
            </w14:solidFill>
          </w14:textFill>
        </w:rPr>
        <w:t>38.7  质疑答复应当包括下列内容：</w:t>
      </w:r>
      <w:bookmarkEnd w:id="232"/>
      <w:bookmarkEnd w:id="233"/>
    </w:p>
    <w:p>
      <w:pPr>
        <w:pStyle w:val="52"/>
        <w:pageBreakBefore w:val="0"/>
        <w:kinsoku/>
        <w:wordWrap/>
        <w:overflowPunct/>
        <w:topLinePunct w:val="0"/>
        <w:bidi w:val="0"/>
        <w:spacing w:line="400" w:lineRule="exact"/>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34" w:name="_Toc20779"/>
      <w:bookmarkStart w:id="235" w:name="_Toc7835"/>
      <w:r>
        <w:rPr>
          <w:rFonts w:hint="eastAsia" w:ascii="微软雅黑" w:hAnsi="微软雅黑" w:eastAsia="微软雅黑" w:cs="微软雅黑"/>
          <w:color w:val="000000" w:themeColor="text1"/>
          <w:sz w:val="22"/>
          <w:szCs w:val="22"/>
          <w:highlight w:val="none"/>
          <w14:textFill>
            <w14:solidFill>
              <w14:schemeClr w14:val="tx1"/>
            </w14:solidFill>
          </w14:textFill>
        </w:rPr>
        <w:t>（一）质疑人的姓名或者名称；</w:t>
      </w:r>
      <w:bookmarkEnd w:id="234"/>
      <w:bookmarkEnd w:id="235"/>
    </w:p>
    <w:p>
      <w:pPr>
        <w:pStyle w:val="52"/>
        <w:pageBreakBefore w:val="0"/>
        <w:kinsoku/>
        <w:wordWrap/>
        <w:overflowPunct/>
        <w:topLinePunct w:val="0"/>
        <w:bidi w:val="0"/>
        <w:spacing w:line="400" w:lineRule="exact"/>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36" w:name="_Toc11809"/>
      <w:bookmarkStart w:id="237" w:name="_Toc23268"/>
      <w:r>
        <w:rPr>
          <w:rFonts w:hint="eastAsia" w:ascii="微软雅黑" w:hAnsi="微软雅黑" w:eastAsia="微软雅黑" w:cs="微软雅黑"/>
          <w:color w:val="000000" w:themeColor="text1"/>
          <w:sz w:val="22"/>
          <w:szCs w:val="22"/>
          <w:highlight w:val="none"/>
          <w14:textFill>
            <w14:solidFill>
              <w14:schemeClr w14:val="tx1"/>
            </w14:solidFill>
          </w14:textFill>
        </w:rPr>
        <w:t>（二）收到质疑函的日期、质疑项目名称及编号；</w:t>
      </w:r>
      <w:bookmarkEnd w:id="236"/>
      <w:bookmarkEnd w:id="237"/>
    </w:p>
    <w:p>
      <w:pPr>
        <w:pStyle w:val="52"/>
        <w:pageBreakBefore w:val="0"/>
        <w:kinsoku/>
        <w:wordWrap/>
        <w:overflowPunct/>
        <w:topLinePunct w:val="0"/>
        <w:bidi w:val="0"/>
        <w:spacing w:line="400" w:lineRule="exact"/>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38" w:name="_Toc16188"/>
      <w:bookmarkStart w:id="239" w:name="_Toc15502"/>
      <w:r>
        <w:rPr>
          <w:rFonts w:hint="eastAsia" w:ascii="微软雅黑" w:hAnsi="微软雅黑" w:eastAsia="微软雅黑" w:cs="微软雅黑"/>
          <w:color w:val="000000" w:themeColor="text1"/>
          <w:sz w:val="22"/>
          <w:szCs w:val="22"/>
          <w:highlight w:val="none"/>
          <w14:textFill>
            <w14:solidFill>
              <w14:schemeClr w14:val="tx1"/>
            </w14:solidFill>
          </w14:textFill>
        </w:rPr>
        <w:t>（三）质疑事项、质疑答复的具体内容、事实依据和法律依据；</w:t>
      </w:r>
      <w:bookmarkEnd w:id="238"/>
      <w:bookmarkEnd w:id="239"/>
    </w:p>
    <w:p>
      <w:pPr>
        <w:pStyle w:val="52"/>
        <w:pageBreakBefore w:val="0"/>
        <w:kinsoku/>
        <w:wordWrap/>
        <w:overflowPunct/>
        <w:topLinePunct w:val="0"/>
        <w:bidi w:val="0"/>
        <w:spacing w:line="400" w:lineRule="exact"/>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40" w:name="_Toc4287"/>
      <w:bookmarkStart w:id="241" w:name="_Toc16421"/>
      <w:r>
        <w:rPr>
          <w:rFonts w:hint="eastAsia" w:ascii="微软雅黑" w:hAnsi="微软雅黑" w:eastAsia="微软雅黑" w:cs="微软雅黑"/>
          <w:color w:val="000000" w:themeColor="text1"/>
          <w:sz w:val="22"/>
          <w:szCs w:val="22"/>
          <w:highlight w:val="none"/>
          <w14:textFill>
            <w14:solidFill>
              <w14:schemeClr w14:val="tx1"/>
            </w14:solidFill>
          </w14:textFill>
        </w:rPr>
        <w:t>（四）告知质疑供应商依法投诉的权利；</w:t>
      </w:r>
      <w:bookmarkEnd w:id="240"/>
      <w:bookmarkEnd w:id="241"/>
    </w:p>
    <w:p>
      <w:pPr>
        <w:pStyle w:val="52"/>
        <w:pageBreakBefore w:val="0"/>
        <w:kinsoku/>
        <w:wordWrap/>
        <w:overflowPunct/>
        <w:topLinePunct w:val="0"/>
        <w:bidi w:val="0"/>
        <w:spacing w:line="400" w:lineRule="exact"/>
        <w:ind w:firstLine="880" w:firstLineChars="4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42" w:name="_Toc23600"/>
      <w:bookmarkStart w:id="243" w:name="_Toc5843"/>
      <w:r>
        <w:rPr>
          <w:rFonts w:hint="eastAsia" w:ascii="微软雅黑" w:hAnsi="微软雅黑" w:eastAsia="微软雅黑" w:cs="微软雅黑"/>
          <w:color w:val="000000" w:themeColor="text1"/>
          <w:sz w:val="22"/>
          <w:szCs w:val="22"/>
          <w:highlight w:val="none"/>
          <w14:textFill>
            <w14:solidFill>
              <w14:schemeClr w14:val="tx1"/>
            </w14:solidFill>
          </w14:textFill>
        </w:rPr>
        <w:t>（五）质疑答复人名称；</w:t>
      </w:r>
      <w:bookmarkEnd w:id="242"/>
      <w:bookmarkEnd w:id="243"/>
    </w:p>
    <w:p>
      <w:pPr>
        <w:pageBreakBefore w:val="0"/>
        <w:kinsoku/>
        <w:wordWrap/>
        <w:overflowPunct/>
        <w:topLinePunct w:val="0"/>
        <w:bidi w:val="0"/>
        <w:spacing w:line="400" w:lineRule="exact"/>
        <w:ind w:left="718" w:leftChars="342" w:firstLine="220" w:firstLineChars="1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（六）答复质疑的日期。</w:t>
      </w:r>
    </w:p>
    <w:p>
      <w:pPr>
        <w:pageBreakBefore w:val="0"/>
        <w:kinsoku/>
        <w:wordWrap/>
        <w:overflowPunct/>
        <w:topLinePunct w:val="0"/>
        <w:bidi w:val="0"/>
        <w:spacing w:line="400" w:lineRule="exact"/>
        <w:jc w:val="center"/>
        <w:textAlignment w:val="auto"/>
        <w:outlineLvl w:val="1"/>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244" w:name="_Toc12135"/>
      <w:bookmarkStart w:id="245" w:name="_Toc28257"/>
      <w:bookmarkStart w:id="246" w:name="_Toc25761"/>
      <w:bookmarkStart w:id="247" w:name="_Toc12854"/>
      <w:bookmarkStart w:id="248" w:name="_Toc29161"/>
      <w:bookmarkStart w:id="249" w:name="_Toc27626"/>
      <w:bookmarkStart w:id="250" w:name="_Toc32151"/>
      <w:bookmarkStart w:id="251" w:name="_Toc25296"/>
      <w:bookmarkStart w:id="252" w:name="_Toc11576"/>
      <w:bookmarkStart w:id="253" w:name="_Toc435"/>
      <w:bookmarkStart w:id="254" w:name="_Toc2251"/>
      <w:bookmarkStart w:id="255" w:name="_Toc16113"/>
      <w:bookmarkStart w:id="256" w:name="_Toc7782"/>
      <w:bookmarkStart w:id="257" w:name="_Toc9376"/>
      <w:bookmarkStart w:id="258" w:name="_Toc3750"/>
      <w:bookmarkStart w:id="259" w:name="_Toc15048"/>
      <w:bookmarkStart w:id="260" w:name="_Toc11563"/>
      <w:bookmarkStart w:id="261" w:name="_Toc4670"/>
      <w:bookmarkStart w:id="262" w:name="_Toc11739"/>
      <w:bookmarkStart w:id="263" w:name="_Toc2335"/>
      <w:bookmarkStart w:id="264" w:name="_Toc20927"/>
      <w:bookmarkStart w:id="265" w:name="_Toc7867"/>
      <w:bookmarkStart w:id="266" w:name="_Toc30870"/>
      <w:bookmarkStart w:id="267" w:name="_Toc2845"/>
      <w:r>
        <w:rPr>
          <w:rFonts w:hint="eastAsia" w:ascii="微软雅黑" w:hAnsi="微软雅黑" w:eastAsia="微软雅黑" w:cs="微软雅黑"/>
          <w:b/>
          <w:bCs/>
          <w:color w:val="000000" w:themeColor="text1"/>
          <w:sz w:val="22"/>
          <w:szCs w:val="22"/>
          <w:highlight w:val="none"/>
          <w14:textFill>
            <w14:solidFill>
              <w14:schemeClr w14:val="tx1"/>
            </w14:solidFill>
          </w14:textFill>
        </w:rPr>
        <w:t>质疑函范本</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68" w:name="_Toc24926"/>
      <w:bookmarkStart w:id="269" w:name="_Toc3356"/>
      <w:bookmarkStart w:id="270" w:name="_Toc20504"/>
      <w:bookmarkStart w:id="271" w:name="_Toc4348"/>
      <w:bookmarkStart w:id="272" w:name="_Toc28797"/>
      <w:bookmarkStart w:id="273" w:name="_Toc18345"/>
      <w:bookmarkStart w:id="274" w:name="_Toc13218"/>
      <w:bookmarkStart w:id="275" w:name="_Toc7044"/>
      <w:bookmarkStart w:id="276" w:name="_Toc7313"/>
      <w:bookmarkStart w:id="277" w:name="_Toc8620"/>
      <w:bookmarkStart w:id="278" w:name="_Toc24391"/>
      <w:bookmarkStart w:id="279" w:name="_Toc29534"/>
      <w:bookmarkStart w:id="280" w:name="_Toc25883"/>
      <w:bookmarkStart w:id="281" w:name="_Toc31020"/>
      <w:bookmarkStart w:id="282" w:name="_Toc23190"/>
      <w:bookmarkStart w:id="283" w:name="_Toc14896"/>
      <w:bookmarkStart w:id="284" w:name="_Toc3250"/>
      <w:bookmarkStart w:id="285" w:name="_Toc26321"/>
      <w:bookmarkStart w:id="286" w:name="_Toc9787"/>
      <w:bookmarkStart w:id="287" w:name="_Toc17271"/>
      <w:bookmarkStart w:id="288" w:name="_Toc21888"/>
      <w:bookmarkStart w:id="289" w:name="_Toc7517"/>
      <w:bookmarkStart w:id="290" w:name="_Toc9491"/>
      <w:bookmarkStart w:id="291" w:name="_Toc32439"/>
      <w:bookmarkStart w:id="292" w:name="_Toc6833"/>
      <w:r>
        <w:rPr>
          <w:rFonts w:hint="eastAsia" w:ascii="微软雅黑" w:hAnsi="微软雅黑" w:eastAsia="微软雅黑" w:cs="微软雅黑"/>
          <w:color w:val="000000" w:themeColor="text1"/>
          <w:sz w:val="22"/>
          <w:szCs w:val="22"/>
          <w:highlight w:val="none"/>
          <w14:textFill>
            <w14:solidFill>
              <w14:schemeClr w14:val="tx1"/>
            </w14:solidFill>
          </w14:textFill>
        </w:rPr>
        <w:t>一、质疑供应商基本信息</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质疑供应商：</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地址：</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邮编：</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联系人：</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联系电话：</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授权代表：</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联系电话：</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地址： </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邮编：</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93" w:name="_Toc14030"/>
      <w:bookmarkStart w:id="294" w:name="_Toc226"/>
      <w:bookmarkStart w:id="295" w:name="_Toc20123"/>
      <w:bookmarkStart w:id="296" w:name="_Toc13274"/>
      <w:bookmarkStart w:id="297" w:name="_Toc2978"/>
      <w:bookmarkStart w:id="298" w:name="_Toc27681"/>
      <w:bookmarkStart w:id="299" w:name="_Toc663"/>
      <w:bookmarkStart w:id="300" w:name="_Toc74"/>
      <w:bookmarkStart w:id="301" w:name="_Toc32083"/>
      <w:bookmarkStart w:id="302" w:name="_Toc30222"/>
      <w:bookmarkStart w:id="303" w:name="_Toc12179"/>
      <w:bookmarkStart w:id="304" w:name="_Toc31363"/>
      <w:bookmarkStart w:id="305" w:name="_Toc25142"/>
      <w:bookmarkStart w:id="306" w:name="_Toc32138"/>
      <w:bookmarkStart w:id="307" w:name="_Toc11512"/>
      <w:bookmarkStart w:id="308" w:name="_Toc21282"/>
      <w:bookmarkStart w:id="309" w:name="_Toc12957"/>
      <w:bookmarkStart w:id="310" w:name="_Toc13889"/>
      <w:bookmarkStart w:id="311" w:name="_Toc9221"/>
      <w:bookmarkStart w:id="312" w:name="_Toc4409"/>
      <w:bookmarkStart w:id="313" w:name="_Toc21544"/>
      <w:bookmarkStart w:id="314" w:name="_Toc21513"/>
      <w:bookmarkStart w:id="315" w:name="_Toc14797"/>
      <w:bookmarkStart w:id="316" w:name="_Toc31600"/>
      <w:bookmarkStart w:id="317" w:name="_Toc3694"/>
      <w:r>
        <w:rPr>
          <w:rFonts w:hint="eastAsia" w:ascii="微软雅黑" w:hAnsi="微软雅黑" w:eastAsia="微软雅黑" w:cs="微软雅黑"/>
          <w:color w:val="000000" w:themeColor="text1"/>
          <w:sz w:val="22"/>
          <w:szCs w:val="22"/>
          <w:highlight w:val="none"/>
          <w14:textFill>
            <w14:solidFill>
              <w14:schemeClr w14:val="tx1"/>
            </w14:solidFill>
          </w14:textFill>
        </w:rPr>
        <w:t>二、质疑项目基本情况</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质疑项目的名称：</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质疑项目的编号：</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2"/>
          <w:szCs w:val="22"/>
          <w:highlight w:val="none"/>
          <w14:textFill>
            <w14:solidFill>
              <w14:schemeClr w14:val="tx1"/>
            </w14:solidFill>
          </w14:textFill>
        </w:rPr>
        <w:t>：</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采购人名称：</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采购文件获取日期：</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318" w:name="_Toc21917"/>
      <w:bookmarkStart w:id="319" w:name="_Toc17103"/>
      <w:bookmarkStart w:id="320" w:name="_Toc4900"/>
      <w:bookmarkStart w:id="321" w:name="_Toc12111"/>
      <w:bookmarkStart w:id="322" w:name="_Toc21764"/>
      <w:bookmarkStart w:id="323" w:name="_Toc17475"/>
      <w:bookmarkStart w:id="324" w:name="_Toc3773"/>
      <w:bookmarkStart w:id="325" w:name="_Toc11812"/>
      <w:bookmarkStart w:id="326" w:name="_Toc1349"/>
      <w:bookmarkStart w:id="327" w:name="_Toc11713"/>
      <w:bookmarkStart w:id="328" w:name="_Toc4484"/>
      <w:bookmarkStart w:id="329" w:name="_Toc21644"/>
      <w:bookmarkStart w:id="330" w:name="_Toc25561"/>
      <w:bookmarkStart w:id="331" w:name="_Toc27984"/>
      <w:bookmarkStart w:id="332" w:name="_Toc31949"/>
      <w:bookmarkStart w:id="333" w:name="_Toc29141"/>
      <w:bookmarkStart w:id="334" w:name="_Toc29781"/>
      <w:bookmarkStart w:id="335" w:name="_Toc2701"/>
      <w:bookmarkStart w:id="336" w:name="_Toc12401"/>
      <w:bookmarkStart w:id="337" w:name="_Toc10982"/>
      <w:bookmarkStart w:id="338" w:name="_Toc17609"/>
      <w:bookmarkStart w:id="339" w:name="_Toc3665"/>
      <w:bookmarkStart w:id="340" w:name="_Toc28889"/>
      <w:bookmarkStart w:id="341" w:name="_Toc6588"/>
      <w:bookmarkStart w:id="342" w:name="_Toc4978"/>
      <w:r>
        <w:rPr>
          <w:rFonts w:hint="eastAsia" w:ascii="微软雅黑" w:hAnsi="微软雅黑" w:eastAsia="微软雅黑" w:cs="微软雅黑"/>
          <w:color w:val="000000" w:themeColor="text1"/>
          <w:sz w:val="22"/>
          <w:szCs w:val="22"/>
          <w:highlight w:val="none"/>
          <w14:textFill>
            <w14:solidFill>
              <w14:schemeClr w14:val="tx1"/>
            </w14:solidFill>
          </w14:textFill>
        </w:rPr>
        <w:t>三、质疑事项具体内容</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质疑事项1：</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事实依据：</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法律依据：</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质疑事项2</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343" w:name="_Toc19138"/>
      <w:bookmarkStart w:id="344" w:name="_Toc9732"/>
      <w:bookmarkStart w:id="345" w:name="_Toc17471"/>
      <w:bookmarkStart w:id="346" w:name="_Toc11711"/>
      <w:bookmarkStart w:id="347" w:name="_Toc4583"/>
      <w:bookmarkStart w:id="348" w:name="_Toc19830"/>
      <w:bookmarkStart w:id="349" w:name="_Toc20101"/>
      <w:bookmarkStart w:id="350" w:name="_Toc31962"/>
      <w:bookmarkStart w:id="351" w:name="_Toc20492"/>
      <w:bookmarkStart w:id="352" w:name="_Toc11725"/>
      <w:bookmarkStart w:id="353" w:name="_Toc15774"/>
      <w:bookmarkStart w:id="354" w:name="_Toc15359"/>
      <w:bookmarkStart w:id="355" w:name="_Toc23756"/>
      <w:bookmarkStart w:id="356" w:name="_Toc12953"/>
      <w:bookmarkStart w:id="357" w:name="_Toc17148"/>
      <w:bookmarkStart w:id="358" w:name="_Toc29909"/>
      <w:bookmarkStart w:id="359" w:name="_Toc13154"/>
      <w:bookmarkStart w:id="360" w:name="_Toc11900"/>
      <w:bookmarkStart w:id="361" w:name="_Toc14902"/>
      <w:bookmarkStart w:id="362" w:name="_Toc2037"/>
      <w:bookmarkStart w:id="363" w:name="_Toc8209"/>
      <w:bookmarkStart w:id="364" w:name="_Toc19561"/>
      <w:bookmarkStart w:id="365" w:name="_Toc25423"/>
      <w:bookmarkStart w:id="366" w:name="_Toc30785"/>
      <w:bookmarkStart w:id="367" w:name="_Toc14716"/>
      <w:r>
        <w:rPr>
          <w:rFonts w:hint="eastAsia" w:ascii="微软雅黑" w:hAnsi="微软雅黑" w:eastAsia="微软雅黑" w:cs="微软雅黑"/>
          <w:color w:val="000000" w:themeColor="text1"/>
          <w:sz w:val="22"/>
          <w:szCs w:val="22"/>
          <w:highlight w:val="none"/>
          <w14:textFill>
            <w14:solidFill>
              <w14:schemeClr w14:val="tx1"/>
            </w14:solidFill>
          </w14:textFill>
        </w:rPr>
        <w:t>四、与质疑事项相关的质疑请求</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请求：</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签字(签章)：                   公章：                      </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日期：    </w:t>
      </w:r>
    </w:p>
    <w:p>
      <w:pPr>
        <w:pageBreakBefore w:val="0"/>
        <w:kinsoku/>
        <w:wordWrap/>
        <w:overflowPunct/>
        <w:topLinePunct w:val="0"/>
        <w:bidi w:val="0"/>
        <w:spacing w:line="400" w:lineRule="exact"/>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质疑函制作说明：</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1.供应商提出质疑时，应提交质疑函和必要的证明材料。</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2.质疑供应商若委托代理人进行质疑的，质疑函应按要求列明“授权代表”的有关内容，并在附件中提交由质疑</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3.质疑供应商若对项目的某一分包进行质疑，质疑函中应列明具体分</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4.质疑函的质疑事项应具体、明确，并有必要的事实依据和法律依据。</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5.质疑函的质疑请求应与质疑事项相关。</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368" w:name="_Toc515647799"/>
      <w:bookmarkStart w:id="369" w:name="_Toc350"/>
      <w:bookmarkStart w:id="370" w:name="_Toc26168"/>
      <w:bookmarkStart w:id="371" w:name="_Toc9538"/>
      <w:bookmarkStart w:id="372" w:name="_Toc21748"/>
      <w:bookmarkStart w:id="373" w:name="_Toc22796"/>
      <w:bookmarkStart w:id="374" w:name="_Toc16186"/>
      <w:bookmarkStart w:id="375" w:name="_Toc18045"/>
    </w:p>
    <w:p>
      <w:pPr>
        <w:rPr>
          <w:rFonts w:hint="eastAsia" w:ascii="微软雅黑" w:hAnsi="微软雅黑" w:eastAsia="微软雅黑" w:cs="微软雅黑"/>
          <w:color w:val="000000" w:themeColor="text1"/>
          <w:sz w:val="22"/>
          <w:szCs w:val="22"/>
          <w:highlight w:val="none"/>
          <w14:textFill>
            <w14:solidFill>
              <w14:schemeClr w14:val="tx1"/>
            </w14:solidFill>
          </w14:textFill>
        </w:rPr>
      </w:pPr>
    </w:p>
    <w:bookmarkEnd w:id="368"/>
    <w:bookmarkEnd w:id="369"/>
    <w:bookmarkEnd w:id="370"/>
    <w:bookmarkEnd w:id="371"/>
    <w:bookmarkEnd w:id="372"/>
    <w:bookmarkEnd w:id="373"/>
    <w:bookmarkEnd w:id="374"/>
    <w:bookmarkEnd w:id="375"/>
    <w:p>
      <w:pPr>
        <w:pStyle w:val="3"/>
        <w:spacing w:before="0" w:after="0" w:line="240" w:lineRule="atLeast"/>
        <w:jc w:val="both"/>
        <w:rPr>
          <w:rFonts w:hint="eastAsia" w:ascii="微软雅黑" w:hAnsi="微软雅黑" w:eastAsia="微软雅黑" w:cs="微软雅黑"/>
          <w:color w:val="000000" w:themeColor="text1"/>
          <w:sz w:val="32"/>
          <w:szCs w:val="32"/>
          <w:highlight w:val="none"/>
          <w14:textFill>
            <w14:solidFill>
              <w14:schemeClr w14:val="tx1"/>
            </w14:solidFill>
          </w14:textFill>
        </w:rPr>
        <w:sectPr>
          <w:footerReference r:id="rId6" w:type="default"/>
          <w:pgSz w:w="11905" w:h="16838"/>
          <w:pgMar w:top="1440" w:right="1797" w:bottom="1440" w:left="1797" w:header="851" w:footer="992" w:gutter="0"/>
          <w:pgNumType w:fmt="decimal" w:start="1"/>
          <w:cols w:space="0" w:num="1"/>
          <w:rtlGutter w:val="0"/>
          <w:docGrid w:linePitch="312" w:charSpace="0"/>
        </w:sectPr>
      </w:pPr>
      <w:bookmarkStart w:id="376" w:name="_Toc702"/>
      <w:bookmarkStart w:id="377" w:name="_Toc728"/>
      <w:bookmarkStart w:id="378" w:name="_Toc29770"/>
      <w:bookmarkStart w:id="379" w:name="_Toc515647802"/>
      <w:bookmarkStart w:id="380" w:name="_Toc216582812"/>
    </w:p>
    <w:p>
      <w:pPr>
        <w:pStyle w:val="3"/>
        <w:spacing w:before="0" w:after="0" w:line="240" w:lineRule="atLeast"/>
        <w:jc w:val="center"/>
        <w:rPr>
          <w:rFonts w:hint="eastAsia" w:ascii="微软雅黑" w:hAnsi="微软雅黑" w:eastAsia="微软雅黑" w:cs="微软雅黑"/>
          <w:color w:val="000000" w:themeColor="text1"/>
          <w:sz w:val="48"/>
          <w:szCs w:val="48"/>
          <w:highlight w:val="none"/>
          <w14:textFill>
            <w14:solidFill>
              <w14:schemeClr w14:val="tx1"/>
            </w14:solidFill>
          </w14:textFill>
        </w:rPr>
      </w:pPr>
      <w:bookmarkStart w:id="381" w:name="_Toc17412"/>
      <w:r>
        <w:rPr>
          <w:rFonts w:hint="eastAsia" w:ascii="微软雅黑" w:hAnsi="微软雅黑" w:eastAsia="微软雅黑" w:cs="微软雅黑"/>
          <w:color w:val="000000" w:themeColor="text1"/>
          <w:sz w:val="32"/>
          <w:szCs w:val="32"/>
          <w:highlight w:val="none"/>
          <w14:textFill>
            <w14:solidFill>
              <w14:schemeClr w14:val="tx1"/>
            </w14:solidFill>
          </w14:textFill>
        </w:rPr>
        <w:t>第2章   投标文件格式</w:t>
      </w:r>
      <w:bookmarkEnd w:id="376"/>
      <w:bookmarkEnd w:id="377"/>
      <w:bookmarkEnd w:id="378"/>
      <w:bookmarkEnd w:id="379"/>
      <w:bookmarkEnd w:id="380"/>
      <w:bookmarkEnd w:id="381"/>
    </w:p>
    <w:p>
      <w:pPr>
        <w:pStyle w:val="4"/>
        <w:spacing w:before="0" w:line="240" w:lineRule="atLeast"/>
        <w:ind w:left="1080" w:leftChars="257" w:hanging="540"/>
        <w:rPr>
          <w:rFonts w:hint="eastAsia" w:ascii="微软雅黑" w:hAnsi="微软雅黑" w:eastAsia="微软雅黑" w:cs="微软雅黑"/>
          <w:color w:val="000000" w:themeColor="text1"/>
          <w:kern w:val="2"/>
          <w:sz w:val="24"/>
          <w:szCs w:val="24"/>
          <w:highlight w:val="none"/>
          <w14:textFill>
            <w14:solidFill>
              <w14:schemeClr w14:val="tx1"/>
            </w14:solidFill>
          </w14:textFill>
        </w:rPr>
      </w:pPr>
      <w:bookmarkStart w:id="382" w:name="_Toc22572"/>
      <w:bookmarkStart w:id="383" w:name="_Toc18974"/>
      <w:bookmarkStart w:id="384" w:name="_Toc515647803"/>
      <w:bookmarkStart w:id="385" w:name="_Toc18694"/>
      <w:bookmarkStart w:id="386" w:name="_Toc28418"/>
      <w:r>
        <w:rPr>
          <w:rFonts w:hint="eastAsia" w:ascii="微软雅黑" w:hAnsi="微软雅黑" w:eastAsia="微软雅黑" w:cs="微软雅黑"/>
          <w:color w:val="000000" w:themeColor="text1"/>
          <w:kern w:val="2"/>
          <w:sz w:val="24"/>
          <w:szCs w:val="24"/>
          <w:highlight w:val="none"/>
          <w14:textFill>
            <w14:solidFill>
              <w14:schemeClr w14:val="tx1"/>
            </w14:solidFill>
          </w14:textFill>
        </w:rPr>
        <w:t>第一部分 开标一览表及资格证明文件</w:t>
      </w:r>
      <w:bookmarkEnd w:id="382"/>
      <w:bookmarkEnd w:id="383"/>
      <w:bookmarkEnd w:id="384"/>
      <w:bookmarkEnd w:id="385"/>
      <w:bookmarkEnd w:id="386"/>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开标一览表；</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须提供查询记录并加盖公章）；</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3、具有独立法人资格或是具有独立承担民事责任能力的其它组织（法人或者非法人组织的营业执照等证明文件扫描件）；</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4、法人投标需提供法人身份证明及身份证复印件，被授权委托人需提供法人授权委托书及身份证复印件；</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5、投标单位提供本单位依法缴纳近三个月（2023年1月-2023年3月）的社保证明和单位缴费个人明细表（社保证明可含：社保缴费凭证、社保缴费证明、社保缴费汇总单、依法缴纳社保的完税证明，扫描件）；</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6、提供税务部门出具近三个月（2023年1月-2023年3月）的完税证明，依法免缴的应提供依法免缴的相关证明文件和零申报报表，扫描件；；</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8、投标保证金收据扫描件或银行转款证明扫描件或支票扫描件、汇票扫描件；</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9、参与政府采购活动前3年内未被列入失信、重大税收违法案件、财政部门禁止参加政府采购活动的承诺书；</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10、提供针对本次项目的反商业贿赂承诺书。</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11、投标单位需提供有效的《林木种子生产经营许可证》及《植物检验检疫证》扫描件；</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12、本项目不接受联合体投标（提供非联合体投标承诺函，承诺函格式自拟）；</w:t>
      </w:r>
    </w:p>
    <w:p>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13、供应商可提供有利于投标的其他资格证明材料。</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b/>
          <w:bCs/>
          <w:color w:val="000000" w:themeColor="text1"/>
          <w:highlight w:val="none"/>
          <w14:textFill>
            <w14:solidFill>
              <w14:schemeClr w14:val="tx1"/>
            </w14:solidFill>
          </w14:textFill>
        </w:rPr>
      </w:pPr>
      <w:bookmarkStart w:id="387" w:name="_Toc16568"/>
      <w:bookmarkStart w:id="388" w:name="_Toc15286"/>
      <w:bookmarkStart w:id="389" w:name="_Toc10957"/>
      <w:bookmarkStart w:id="390" w:name="_Toc515647804"/>
      <w:bookmarkStart w:id="391" w:name="_Toc30524"/>
    </w:p>
    <w:p>
      <w:pPr>
        <w:pStyle w:val="4"/>
        <w:spacing w:before="0" w:line="240" w:lineRule="atLeast"/>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392" w:name="_Toc5230"/>
      <w:bookmarkStart w:id="393" w:name="_Toc25917"/>
      <w:bookmarkStart w:id="394" w:name="_Toc8165"/>
      <w:bookmarkStart w:id="395" w:name="_Toc568"/>
      <w:bookmarkStart w:id="396" w:name="_Toc2679"/>
      <w:r>
        <w:rPr>
          <w:rFonts w:hint="eastAsia" w:ascii="微软雅黑" w:hAnsi="微软雅黑" w:eastAsia="微软雅黑" w:cs="微软雅黑"/>
          <w:b/>
          <w:bCs/>
          <w:color w:val="000000" w:themeColor="text1"/>
          <w:sz w:val="24"/>
          <w:szCs w:val="24"/>
          <w:highlight w:val="none"/>
          <w14:textFill>
            <w14:solidFill>
              <w14:schemeClr w14:val="tx1"/>
            </w14:solidFill>
          </w14:textFill>
        </w:rPr>
        <w:t>1  开标一览表</w:t>
      </w:r>
      <w:bookmarkEnd w:id="387"/>
      <w:bookmarkEnd w:id="388"/>
      <w:bookmarkEnd w:id="389"/>
      <w:bookmarkEnd w:id="390"/>
      <w:bookmarkEnd w:id="391"/>
      <w:bookmarkEnd w:id="392"/>
      <w:bookmarkEnd w:id="393"/>
      <w:bookmarkEnd w:id="394"/>
      <w:bookmarkEnd w:id="395"/>
      <w:bookmarkEnd w:id="396"/>
      <w:bookmarkStart w:id="397" w:name="_Hlt520356241"/>
      <w:bookmarkEnd w:id="397"/>
      <w:bookmarkStart w:id="398" w:name="_Toc494296984"/>
      <w:bookmarkStart w:id="399" w:name="_Toc480942349"/>
      <w:bookmarkStart w:id="400" w:name="_Ref467988698"/>
      <w:bookmarkStart w:id="401" w:name="_Toc520356217"/>
      <w:bookmarkStart w:id="402" w:name="_Toc216582813"/>
    </w:p>
    <w:p>
      <w:pPr>
        <w:pStyle w:val="8"/>
        <w:tabs>
          <w:tab w:val="left" w:pos="5580"/>
        </w:tabs>
        <w:spacing w:line="240" w:lineRule="atLeast"/>
        <w:ind w:left="1080" w:leftChars="257" w:hanging="540"/>
        <w:rPr>
          <w:rFonts w:hint="eastAsia" w:ascii="微软雅黑" w:hAnsi="微软雅黑" w:eastAsia="微软雅黑" w:cs="微软雅黑"/>
          <w:color w:val="000000" w:themeColor="text1"/>
          <w:highlight w:val="none"/>
          <w14:textFill>
            <w14:solidFill>
              <w14:schemeClr w14:val="tx1"/>
            </w14:solidFill>
          </w14:textFill>
        </w:rPr>
      </w:pPr>
    </w:p>
    <w:p>
      <w:pPr>
        <w:tabs>
          <w:tab w:val="left" w:pos="1800"/>
          <w:tab w:val="left" w:pos="5580"/>
        </w:tabs>
        <w:spacing w:line="240" w:lineRule="atLeast"/>
        <w:ind w:right="-867" w:rightChars="-41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p>
    <w:p>
      <w:pPr>
        <w:tabs>
          <w:tab w:val="left" w:pos="1800"/>
          <w:tab w:val="left" w:pos="5580"/>
        </w:tabs>
        <w:spacing w:line="240" w:lineRule="atLeast"/>
        <w:ind w:right="-867" w:rightChars="-413"/>
        <w:rPr>
          <w:rFonts w:hint="eastAsia" w:ascii="微软雅黑" w:hAnsi="微软雅黑" w:eastAsia="微软雅黑" w:cs="微软雅黑"/>
          <w:color w:val="000000" w:themeColor="text1"/>
          <w:sz w:val="24"/>
          <w:szCs w:val="24"/>
          <w:highlight w:val="none"/>
          <w14:textFill>
            <w14:solidFill>
              <w14:schemeClr w14:val="tx1"/>
            </w14:solidFill>
          </w14:textFill>
        </w:rPr>
      </w:pPr>
    </w:p>
    <w:p>
      <w:pPr>
        <w:tabs>
          <w:tab w:val="left" w:pos="1800"/>
          <w:tab w:val="left" w:pos="5580"/>
        </w:tabs>
        <w:spacing w:line="240" w:lineRule="atLeast"/>
        <w:ind w:right="-867" w:rightChars="-41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报价单位：人民币  </w:t>
      </w:r>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元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号：       </w:t>
      </w:r>
    </w:p>
    <w:tbl>
      <w:tblPr>
        <w:tblStyle w:val="28"/>
        <w:tblW w:w="9358" w:type="dxa"/>
        <w:tblInd w:w="2" w:type="dxa"/>
        <w:tblLayout w:type="fixed"/>
        <w:tblCellMar>
          <w:top w:w="0" w:type="dxa"/>
          <w:left w:w="0" w:type="dxa"/>
          <w:bottom w:w="0" w:type="dxa"/>
          <w:right w:w="0" w:type="dxa"/>
        </w:tblCellMar>
      </w:tblPr>
      <w:tblGrid>
        <w:gridCol w:w="1214"/>
        <w:gridCol w:w="2215"/>
        <w:gridCol w:w="1675"/>
        <w:gridCol w:w="1550"/>
        <w:gridCol w:w="1488"/>
        <w:gridCol w:w="1216"/>
      </w:tblGrid>
      <w:tr>
        <w:tblPrEx>
          <w:tblLayout w:type="fixed"/>
          <w:tblCellMar>
            <w:top w:w="0" w:type="dxa"/>
            <w:left w:w="0" w:type="dxa"/>
            <w:bottom w:w="0" w:type="dxa"/>
            <w:right w:w="0" w:type="dxa"/>
          </w:tblCellMar>
        </w:tblPrEx>
        <w:trPr>
          <w:trHeight w:val="631" w:hRule="atLeast"/>
        </w:trPr>
        <w:tc>
          <w:tcPr>
            <w:tcW w:w="1214"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货物内容</w:t>
            </w:r>
          </w:p>
        </w:tc>
        <w:tc>
          <w:tcPr>
            <w:tcW w:w="221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总报价</w:t>
            </w:r>
          </w:p>
        </w:tc>
        <w:tc>
          <w:tcPr>
            <w:tcW w:w="16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投标保证金</w:t>
            </w:r>
          </w:p>
        </w:tc>
        <w:tc>
          <w:tcPr>
            <w:tcW w:w="155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微软雅黑" w:hAnsi="微软雅黑" w:eastAsia="微软雅黑" w:cs="微软雅黑"/>
                <w:color w:val="000000" w:themeColor="text1"/>
                <w:sz w:val="24"/>
                <w:szCs w:val="24"/>
                <w:highlight w:val="none"/>
                <w:lang w:val="en-US"/>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播种期限</w:t>
            </w:r>
          </w:p>
        </w:tc>
        <w:tc>
          <w:tcPr>
            <w:tcW w:w="1488"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jc w:val="center"/>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管护期限</w:t>
            </w:r>
          </w:p>
        </w:tc>
        <w:tc>
          <w:tcPr>
            <w:tcW w:w="12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备注</w:t>
            </w:r>
          </w:p>
        </w:tc>
      </w:tr>
      <w:tr>
        <w:tblPrEx>
          <w:tblLayout w:type="fixed"/>
          <w:tblCellMar>
            <w:top w:w="0" w:type="dxa"/>
            <w:left w:w="0" w:type="dxa"/>
            <w:bottom w:w="0" w:type="dxa"/>
            <w:right w:w="0" w:type="dxa"/>
          </w:tblCellMar>
        </w:tblPrEx>
        <w:trPr>
          <w:cantSplit/>
          <w:trHeight w:val="1545" w:hRule="atLeast"/>
        </w:trPr>
        <w:tc>
          <w:tcPr>
            <w:tcW w:w="1214"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215"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大写：</w:t>
            </w:r>
          </w:p>
          <w:p>
            <w:pPr>
              <w:tabs>
                <w:tab w:val="left" w:pos="5580"/>
              </w:tabs>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小写：</w:t>
            </w:r>
          </w:p>
        </w:tc>
        <w:tc>
          <w:tcPr>
            <w:tcW w:w="167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50"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88"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16"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6"/>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p>
    <w:p>
      <w:pPr>
        <w:pStyle w:val="16"/>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供应商名称（公章）：</w:t>
      </w:r>
    </w:p>
    <w:p>
      <w:pPr>
        <w:pStyle w:val="16"/>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法定代表人或委托代理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人</w:t>
      </w:r>
      <w:r>
        <w:rPr>
          <w:rFonts w:hint="eastAsia" w:ascii="微软雅黑" w:hAnsi="微软雅黑" w:eastAsia="微软雅黑" w:cs="微软雅黑"/>
          <w:color w:val="000000" w:themeColor="text1"/>
          <w:sz w:val="24"/>
          <w:szCs w:val="24"/>
          <w:highlight w:val="none"/>
          <w14:textFill>
            <w14:solidFill>
              <w14:schemeClr w14:val="tx1"/>
            </w14:solidFill>
          </w14:textFill>
        </w:rPr>
        <w:t>(签字</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6"/>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注:1、此表应按供应商须知的规定装订密封。</w:t>
      </w:r>
    </w:p>
    <w:p>
      <w:pPr>
        <w:pStyle w:val="16"/>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此表中，每包的投标总价应和投标分项报价表的总价相一致。</w:t>
      </w:r>
    </w:p>
    <w:p>
      <w:pPr>
        <w:pStyle w:val="16"/>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此报价中包含运费、安装调试费、税费等一切与本项目相关的费用。</w:t>
      </w:r>
    </w:p>
    <w:p>
      <w:pPr>
        <w:pStyle w:val="16"/>
        <w:numPr>
          <w:ilvl w:val="0"/>
          <w:numId w:val="5"/>
        </w:numPr>
        <w:tabs>
          <w:tab w:val="left" w:pos="5580"/>
        </w:tabs>
        <w:spacing w:line="240" w:lineRule="atLeast"/>
        <w:ind w:left="1079" w:leftChars="428" w:hanging="180" w:hangingChars="7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、《关于进一步加大政府采购支持中小企业力度的通知》（财库〔2022〕19号）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10%-20%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后参与</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评</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。对于同时属于小微企业、监狱企业或残疾人福利性单位的，不重复进行</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投标</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报价扣除。</w:t>
      </w:r>
    </w:p>
    <w:bookmarkEnd w:id="398"/>
    <w:p>
      <w:pPr>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403" w:name="_Toc31862"/>
    </w:p>
    <w:p>
      <w:pP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rPr>
          <w:rFonts w:hint="eastAsia" w:ascii="微软雅黑" w:hAnsi="微软雅黑" w:eastAsia="微软雅黑" w:cs="微软雅黑"/>
          <w:color w:val="000000" w:themeColor="text1"/>
          <w:highlight w:val="none"/>
          <w14:textFill>
            <w14:solidFill>
              <w14:schemeClr w14:val="tx1"/>
            </w14:solidFill>
          </w14:textFill>
        </w:rPr>
      </w:pPr>
    </w:p>
    <w:bookmarkEnd w:id="403"/>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outlineLvl w:val="1"/>
        <w:rPr>
          <w:rFonts w:hint="eastAsia" w:ascii="微软雅黑" w:hAnsi="微软雅黑" w:eastAsia="微软雅黑" w:cs="微软雅黑"/>
          <w:b/>
          <w:bCs/>
          <w:color w:val="000000" w:themeColor="text1"/>
          <w:kern w:val="0"/>
          <w:highlight w:val="none"/>
          <w14:textFill>
            <w14:solidFill>
              <w14:schemeClr w14:val="tx1"/>
            </w14:solidFill>
          </w14:textFill>
        </w:rPr>
      </w:pPr>
      <w:bookmarkStart w:id="404" w:name="_Toc32348"/>
      <w:bookmarkStart w:id="405" w:name="_Toc28851"/>
      <w:r>
        <w:rPr>
          <w:rFonts w:hint="eastAsia" w:ascii="微软雅黑" w:hAnsi="微软雅黑" w:eastAsia="微软雅黑" w:cs="微软雅黑"/>
          <w:b/>
          <w:bCs/>
          <w:color w:val="000000" w:themeColor="text1"/>
          <w:highlight w:val="none"/>
          <w14:textFill>
            <w14:solidFill>
              <w14:schemeClr w14:val="tx1"/>
            </w14:solidFill>
          </w14:textFill>
        </w:rPr>
        <w:t xml:space="preserve">2 </w:t>
      </w:r>
      <w:bookmarkEnd w:id="404"/>
      <w:r>
        <w:rPr>
          <w:rFonts w:hint="eastAsia" w:ascii="微软雅黑" w:hAnsi="微软雅黑" w:eastAsia="微软雅黑" w:cs="微软雅黑"/>
          <w:b/>
          <w:bCs/>
          <w:color w:val="000000" w:themeColor="text1"/>
          <w:highlight w:val="none"/>
          <w:lang w:val="en-US" w:eastAsia="zh-CN"/>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须提供查询记录并加盖公章）</w:t>
      </w:r>
      <w:r>
        <w:rPr>
          <w:rFonts w:hint="eastAsia" w:ascii="微软雅黑" w:hAnsi="微软雅黑" w:eastAsia="微软雅黑" w:cs="微软雅黑"/>
          <w:b/>
          <w:bCs/>
          <w:color w:val="000000" w:themeColor="text1"/>
          <w:highlight w:val="none"/>
          <w14:textFill>
            <w14:solidFill>
              <w14:schemeClr w14:val="tx1"/>
            </w14:solidFill>
          </w14:textFill>
        </w:rPr>
        <w:t>；</w:t>
      </w:r>
      <w:bookmarkEnd w:id="405"/>
    </w:p>
    <w:p>
      <w:pPr>
        <w:pStyle w:val="16"/>
        <w:numPr>
          <w:ilvl w:val="0"/>
          <w:numId w:val="0"/>
        </w:numPr>
        <w:tabs>
          <w:tab w:val="left" w:pos="5580"/>
        </w:tabs>
        <w:spacing w:line="240" w:lineRule="atLeas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说明：</w:t>
      </w:r>
      <w:r>
        <w:rPr>
          <w:rFonts w:hint="eastAsia" w:ascii="微软雅黑" w:hAnsi="微软雅黑" w:eastAsia="微软雅黑" w:cs="微软雅黑"/>
          <w:color w:val="000000" w:themeColor="text1"/>
          <w:sz w:val="24"/>
          <w:szCs w:val="24"/>
          <w:highlight w:val="none"/>
          <w14:textFill>
            <w14:solidFill>
              <w14:schemeClr w14:val="tx1"/>
            </w14:solidFill>
          </w14:textFill>
        </w:rPr>
        <w:t>投标人必须满足《中华人民共和国政府采购法》第二十二条要求。</w:t>
      </w: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480" w:firstLineChars="200"/>
        <w:outlineLvl w:val="1"/>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bookmarkStart w:id="406" w:name="_Toc16094"/>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3  具有独立法人资格或是具有独立承担民事责任能力的其它组织（法人或者非法人组织的营业执照等证明文件扫描件）；</w:t>
      </w:r>
      <w:bookmarkEnd w:id="406"/>
    </w:p>
    <w:p>
      <w:pP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说明：1.提供有效的营业执照正本或副本，须上传扫描件并加盖本单位公章等证明文件。</w:t>
      </w:r>
    </w:p>
    <w:p>
      <w:pP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 xml:space="preserve">      2. 投标人为自然人的，应提供身份证明扫描件。</w:t>
      </w: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 xml:space="preserve">  3.联合体投标应提供联合体各方满足以上要求的证明文件。</w:t>
      </w: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adjustRightInd w:val="0"/>
        <w:snapToGrid w:val="0"/>
        <w:spacing w:before="240" w:beforeLines="100" w:after="240" w:afterLines="100" w:line="360" w:lineRule="auto"/>
        <w:ind w:firstLine="480" w:firstLineChars="200"/>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407" w:name="_Toc2848"/>
    </w:p>
    <w:p>
      <w:pPr>
        <w:pStyle w:val="11"/>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pStyle w:val="8"/>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pStyle w:val="8"/>
        <w:rPr>
          <w:rFonts w:hint="eastAsia"/>
          <w:color w:val="000000" w:themeColor="text1"/>
          <w:highlight w:val="none"/>
          <w14:textFill>
            <w14:solidFill>
              <w14:schemeClr w14:val="tx1"/>
            </w14:solidFill>
          </w14:textFill>
        </w:rPr>
      </w:pPr>
    </w:p>
    <w:p>
      <w:pPr>
        <w:pStyle w:val="9"/>
        <w:rPr>
          <w:rFonts w:hint="eastAsia"/>
          <w:color w:val="000000" w:themeColor="text1"/>
          <w:highlight w:val="none"/>
          <w14:textFill>
            <w14:solidFill>
              <w14:schemeClr w14:val="tx1"/>
            </w14:solidFill>
          </w14:textFill>
        </w:rPr>
      </w:pPr>
    </w:p>
    <w:p>
      <w:pPr>
        <w:adjustRightInd w:val="0"/>
        <w:snapToGrid w:val="0"/>
        <w:spacing w:before="240" w:beforeLines="100" w:after="240" w:afterLines="100" w:line="360" w:lineRule="auto"/>
        <w:ind w:firstLine="480" w:firstLineChars="200"/>
        <w:outlineLvl w:val="1"/>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408" w:name="_Toc4535"/>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 xml:space="preserve">  </w:t>
      </w:r>
      <w:bookmarkEnd w:id="407"/>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法人投标</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须</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提供法人身份证明</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及</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法人身份证，被授权委托人须提供法人身份证明、授权委托书及身份证复印件；</w:t>
      </w:r>
      <w:bookmarkEnd w:id="408"/>
    </w:p>
    <w:p>
      <w:pPr>
        <w:adjustRightInd w:val="0"/>
        <w:snapToGrid w:val="0"/>
        <w:spacing w:before="240" w:beforeLines="100" w:after="240" w:afterLines="100"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（一）法定代表人身份证</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同志，现任我单位</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职务，为法定代表人，特此证明。</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签发日期：                  单位：        </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附：代表人性别：            年龄：           身份证号码：</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联系电话：</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营业执照号码：              经济性质：</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说明：</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1、法定代表人为企业事业单位、国家机关、社会团体的主要行政负责人。</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2、内容必须填写真实、清楚、涂改无效，不得转让。</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3、将此证明书原件提交采购代理机构作为投标文件附件。</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LFDQqXnAQAA8AMAAA4AAABkcnMvZTJvRG9jLnhtbK1T247T&#10;MBB9R+IfLL/TpCktu1HTFdpSXhBUWviAqS+JJd9ke5v07xm7pbsLPKwQeXBm7JnjM2c867vJaHIU&#10;ISpnOzqf1ZQIyxxXtu/oj++7dzeUxASWg3ZWdPQkIr3bvH2zHn0rGjc4zUUgCGJjO/qODin5tqoi&#10;G4SBOHNeWDyULhhI6Ia+4gFGRDe6aup6VY0ucB8cEzHi7vZ8SDcFX0rB0jcpo0hEdxS5pbKGsh7y&#10;Wm3W0PYB/KDYhQb8AwsDyuKlV6gtJCCPQf0BZRQLLjqZZsyZykmpmCg1YDXz+rdqHgbwotSC4kR/&#10;lSn+P1j29bgPRHHsXd18oMSCwS6hvcrSjD62GPHg9+HiRTRznZMMJv+xAjIVOU9XOcWUCMPNZrFY&#10;rJolJQzP5sub9wt0EKd6Svchps/CGZKNjkrtxvsBQvqokwgWktifW1u0heOXmM75v/Iyhei04jul&#10;dXFCf7jXgRwBG74r3+XKF2HakrGjt8vCDvDdSQ0JiRqPSkTbl/teZMTnwHX5/gaciW0hDmcCBSGH&#10;QWsUVlSsQQD/ZDlJJ49SWxwLmskYwSnRAqcoWyUygdKviURBtUVdc7vODcpWmg4TwmTz4PgJ2/zo&#10;g+oH1HleqOcTfFalIZcRyO/2uV9AnwZ1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WTr11gAA&#10;AAgBAAAPAAAAAAAAAAEAIAAAACIAAABkcnMvZG93bnJldi54bWxQSwECFAAUAAAACACHTuJAsUNC&#10;pecBAADwAwAADgAAAAAAAAABACAAAAAlAQAAZHJzL2Uyb0RvYy54bWxQSwUGAAAAAAYABgBZAQAA&#10;f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v:textbox>
              </v:shape>
            </w:pict>
          </mc:Fallback>
        </mc:AlternateContent>
      </w:r>
      <w:r>
        <w:rPr>
          <w:rFonts w:hint="eastAsia" w:ascii="微软雅黑" w:hAnsi="微软雅黑" w:eastAsia="微软雅黑" w:cs="微软雅黑"/>
          <w:color w:val="000000" w:themeColor="text1"/>
          <w:sz w:val="22"/>
          <w:szCs w:val="22"/>
          <w:highlight w:val="none"/>
          <w14:textFill>
            <w14:solidFill>
              <w14:schemeClr w14:val="tx1"/>
            </w14:solidFill>
          </w14:textFill>
        </w:rPr>
        <mc:AlternateContent>
          <mc:Choice Requires="wps">
            <w:drawing>
              <wp:anchor distT="0" distB="0" distL="0" distR="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8"/>
                              <w:rPr>
                                <w:rFonts w:cs="Times New Roman"/>
                              </w:rPr>
                            </w:pPr>
                          </w:p>
                          <w:p>
                            <w:pPr>
                              <w:pStyle w:val="8"/>
                              <w:rPr>
                                <w:rFonts w:cs="Times New Roman"/>
                              </w:rPr>
                            </w:pPr>
                          </w:p>
                          <w:p>
                            <w:pPr>
                              <w:pStyle w:val="8"/>
                              <w:rPr>
                                <w:rFonts w:cs="Times New Roman"/>
                              </w:rPr>
                            </w:pPr>
                          </w:p>
                          <w:p>
                            <w:pPr>
                              <w:pStyle w:val="8"/>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3kz9o9AEAAA0EAAAOAAAAZHJzL2Uyb0RvYy54bWyt&#10;U9uO0zAQfUfiHyy/0ySVeiFqug+U8oJgxcIHTH1JjHyT7Tbp3zN2S3eX3QeESCRnbM+cnHPG3txN&#10;RpOTCFE529FmVlMiLHNc2b6jP77v360piQksB+2s6OhZRHq3fftmM/pWzN3gNBeBIIiN7eg7OqTk&#10;26qKbBAG4sx5YXFTumAg4TT0FQ8wIrrR1byul9XoAvfBMREjru4um3Rb8KUULH2VMopEdEeRWypj&#10;KOMhj9V2A20fwA+KXWnAP7AwoCz+9Aa1gwTkGNQLKKNYcNHJNGPOVE5KxUTRgGqa+g81DwN4UbSg&#10;OdHfbIr/D5Z9Od0Hojj2rp5jrywY7BLGq2zN6GOLGQ/+PlxnEcOsc5LB5C8qIFOx83yzU0yJMFyc&#10;L+v36wW6znCvWSxW9bwYXj2W+xDTJ+EMyUFHgzta/g2bVryE0+eYiqn8ygv4T0qk0diiE2jSLJfL&#10;whMRr8kY/cbMldFpxfdK6zIJ/eGDDgRLO7ovTxaJJc/StCVj5rteLZA64KGUGhKGxqNN0faF3LOS&#10;+BR5Xef3NeTMbAdxuDAoCDkN2qK7RIMA/tFyks4e+2DxztDMxghOiRZ4xXJUMhMo/TeZKE9bVJl7&#10;eelejtJ0mBAmhwfHz3gGjj6ofsAmNIV63sEzV+y53o98qJ/OC+jjLd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vY1/aAAAACQEAAA8AAAAAAAAAAQAgAAAAIgAAAGRycy9kb3ducmV2LnhtbFBL&#10;AQIUABQAAAAIAIdO4kA3kz9o9AEAAA0EAAAOAAAAAAAAAAEAIAAAACkBAABkcnMvZTJvRG9jLnht&#10;bFBLBQYAAAAABgAGAFkBAACPBQ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8"/>
                        <w:rPr>
                          <w:rFonts w:cs="Times New Roman"/>
                        </w:rPr>
                      </w:pPr>
                    </w:p>
                    <w:p>
                      <w:pPr>
                        <w:pStyle w:val="8"/>
                        <w:rPr>
                          <w:rFonts w:cs="Times New Roman"/>
                        </w:rPr>
                      </w:pPr>
                    </w:p>
                    <w:p>
                      <w:pPr>
                        <w:pStyle w:val="8"/>
                        <w:rPr>
                          <w:rFonts w:cs="Times New Roman"/>
                        </w:rPr>
                      </w:pPr>
                    </w:p>
                    <w:p>
                      <w:pPr>
                        <w:pStyle w:val="8"/>
                        <w:rPr>
                          <w:rFonts w:cs="Times New Roman"/>
                        </w:rPr>
                      </w:pPr>
                    </w:p>
                  </w:txbxContent>
                </v:textbox>
              </v:roundrect>
            </w:pict>
          </mc:Fallback>
        </mc:AlternateConten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autoSpaceDE w:val="0"/>
        <w:autoSpaceDN w:val="0"/>
        <w:adjustRightInd w:val="0"/>
        <w:spacing w:line="360" w:lineRule="auto"/>
        <w:ind w:right="246"/>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p>
      <w:pPr>
        <w:autoSpaceDE w:val="0"/>
        <w:autoSpaceDN w:val="0"/>
        <w:adjustRightInd w:val="0"/>
        <w:spacing w:line="360" w:lineRule="auto"/>
        <w:ind w:right="246" w:firstLine="719" w:firstLineChars="327"/>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供应商（公章）：</w:t>
      </w:r>
    </w:p>
    <w:p>
      <w:pPr>
        <w:adjustRightInd w:val="0"/>
        <w:snapToGrid w:val="0"/>
        <w:spacing w:line="360" w:lineRule="auto"/>
        <w:ind w:firstLine="719" w:firstLineChars="327"/>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法定代表人（</w:t>
      </w:r>
      <w:r>
        <w:rPr>
          <w:rFonts w:hint="eastAsia" w:ascii="微软雅黑" w:hAnsi="微软雅黑" w:eastAsia="微软雅黑" w:cs="微软雅黑"/>
          <w:color w:val="000000" w:themeColor="text1"/>
          <w:kern w:val="0"/>
          <w:sz w:val="22"/>
          <w:szCs w:val="22"/>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w:t>
      </w:r>
    </w:p>
    <w:p>
      <w:pPr>
        <w:adjustRightInd w:val="0"/>
        <w:snapToGrid w:val="0"/>
        <w:spacing w:line="360" w:lineRule="auto"/>
        <w:ind w:firstLine="719" w:firstLineChars="327"/>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日期：</w:t>
      </w:r>
      <w:bookmarkStart w:id="409" w:name="_Toc1083"/>
      <w:bookmarkStart w:id="410" w:name="_Toc515647807"/>
      <w:bookmarkStart w:id="411" w:name="_Toc22472"/>
    </w:p>
    <w:p>
      <w:pPr>
        <w:outlineLvl w:val="9"/>
        <w:rPr>
          <w:rFonts w:hint="eastAsia"/>
          <w:color w:val="000000" w:themeColor="text1"/>
          <w:highlight w:val="none"/>
          <w14:textFill>
            <w14:solidFill>
              <w14:schemeClr w14:val="tx1"/>
            </w14:solidFill>
          </w14:textFill>
        </w:rPr>
      </w:pPr>
    </w:p>
    <w:p>
      <w:pPr>
        <w:pStyle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spacing w:line="360" w:lineRule="auto"/>
        <w:rPr>
          <w:rFonts w:hint="eastAsia" w:ascii="微软雅黑" w:hAnsi="微软雅黑" w:eastAsia="微软雅黑" w:cs="微软雅黑"/>
          <w:b/>
          <w:bCs/>
          <w:color w:val="000000" w:themeColor="text1"/>
          <w:sz w:val="28"/>
          <w:szCs w:val="28"/>
          <w:highlight w:val="none"/>
          <w:u w:val="singl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（二）法定代表人授权委托书</w:t>
      </w:r>
      <w:bookmarkEnd w:id="409"/>
      <w:bookmarkEnd w:id="410"/>
      <w:bookmarkEnd w:id="411"/>
    </w:p>
    <w:p>
      <w:pPr>
        <w:spacing w:line="360" w:lineRule="auto"/>
        <w:ind w:firstLine="24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本授权书于           年     月     日签字生效,特此声明。</w:t>
      </w:r>
    </w:p>
    <w:p>
      <w:pPr>
        <w:pStyle w:val="16"/>
        <w:tabs>
          <w:tab w:val="left" w:pos="5580"/>
        </w:tabs>
        <w:spacing w:line="240" w:lineRule="atLeast"/>
        <w:ind w:left="-540" w:leftChars="-257" w:firstLine="900" w:firstLineChars="37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3360"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cs="宋体"/>
                              </w:rPr>
                              <w:t>授权委托人身份证复印件</w:t>
                            </w:r>
                          </w:p>
                          <w:p/>
                        </w:txbxContent>
                      </wps:txbx>
                      <wps:bodyPr upright="1"/>
                    </wps:wsp>
                  </a:graphicData>
                </a:graphic>
              </wp:anchor>
            </w:drawing>
          </mc:Choice>
          <mc:Fallback>
            <w:pict>
              <v:roundrect id="1028" o:spid="_x0000_s1026" o:spt="2" style="position:absolute;left:0pt;margin-left:239.3pt;margin-top:13.2pt;height:76.3pt;width:195.15pt;z-index:251663360;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YiInvMBAAAMBAAADgAAAGRycy9lMm9Eb2MueG1s&#10;rVPbjtMwEH1H4h8sv9Ok1W4vUdN9oJQXBCsWPmDqS2Lkm2y3Sf+esTfb3QUeECKRnLE9c3LmHHt7&#10;NxpNziJE5WxL57OaEmGZ48p2Lf3+7fBuTUlMYDloZ0VLLyLSu93bN9vBN2Lheqe5CARBbGwG39I+&#10;Jd9UVWS9MBBnzguLm9IFAwmnoat4gAHRja4Wdb2sBhe4D46JGHF1/7hJdwVfSsHSFymjSES3FLml&#10;MoYyHvNY7bbQdAF8r9hEA/6BhQFl8adXqD0kIKegfoMyigUXnUwz5kzlpFRMlB6wm3n9SzcPPXhR&#10;ekFxor/KFP8fLPt8vg9EcfSuXmwosWDQJYzXWZrBxwYzHvx9mGYRw9znKIPJX+yAjEXOy1VOMSbC&#10;cHFxs1rf1LeUMNzbLDfYYAatnqt9iOmjcIbkoKXBnSz/ip4VKeH8KaaiKZ9oAf9BiTQaHTqDJvPl&#10;crmaEKdkxH7CzJXRacUPSusyCd3xvQ4ES1t6KM9U/CpNWzKgArfrVWYOeCalhoSh8ahStF0h96ok&#10;vkRe1/n9E3JmtofYPzIoCDkNmtJ3iXoB/IPlJF082mDxytDMxghOiRZ4w3JUMhMo/TeZqIi2KHq2&#10;8tG8HKXxOCJMDo+OX/AInHxQXY8mzAv1vINHrrg1XY98pl/OC+jzJd7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MFn7jbAAAACgEAAA8AAAAAAAAAAQAgAAAAIgAAAGRycy9kb3ducmV2LnhtbFBL&#10;AQIUABQAAAAIAIdO4kBxiIie8wEAAAwEAAAOAAAAAAAAAAEAIAAAACoBAABkcnMvZTJvRG9jLnht&#10;bFBLBQYAAAAABgAGAFkBAACP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cs="宋体"/>
                        </w:rPr>
                        <w:t>授权委托人身份证复印件</w:t>
                      </w:r>
                    </w:p>
                    <w:p/>
                  </w:txbxContent>
                </v:textbox>
              </v:roundrect>
            </w:pict>
          </mc:Fallback>
        </mc:AlternateContent>
      </w: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4384"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4384;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P1WtdHpAQAA7wMAAA4AAABkcnMvZTJvRG9jLnhtbK1Ty27b&#10;MBC8F+g/ELzXkuW4aQTLQRHXvRStgTQfsOZDIsAXSMaS/75L2nGStoegqA7UktwdzsySq9vJaHIQ&#10;ISpnOzqf1ZQIyxxXtu/ow8/th0+UxASWg3ZWdPQoIr1dv3+3Gn0rGjc4zUUgCGJjO/qODin5tqoi&#10;G4SBOHNeWNyULhhIOA19xQOMiG501dT1x2p0gfvgmIgRVzenTbou+FIKln5IGUUiuqPILZUxlHGf&#10;x2q9grYP4AfFzjTgH1gYUBYPvUBtIAF5DOoPKKNYcNHJNGPOVE5KxUTRgGrm9W9q7gfwomhBc6K/&#10;2BT/Hyz7ftgFojj2rl6gQRYMdmleNzfZmtHHFjPu/S6cZxHDrHOSweQ/KiBTsfN4sVNMiTBcbBbz&#10;6+slgjLcu7lqFlfF7+q52oeYvgpnSA46KrUb7wYI6bNOIlhIYnfqbLEWDt9iQhpY/1SXGUSnFd8q&#10;rcsk9Ps7HcgBsN/b8mUdWPIqTVsyIqVls0RygNdOakgYGo9GRNuX815VxJfAdfn+BpyJbSAOJwIF&#10;IadBaxQqKtEggH+xnKSjR6ctvgqayRjBKdECH1GOSmYCpd+Sieq0RZG5W6f+5ChN+wlhcrh3/Ihd&#10;fvRB9QP6PC/U8w7equLO+QXka/tyXkCf3+n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82hA7W&#10;AAAACAEAAA8AAAAAAAAAAQAgAAAAIgAAAGRycy9kb3ducmV2LnhtbFBLAQIUABQAAAAIAIdO4kD9&#10;VrXR6QEAAO8DAAAOAAAAAAAAAAEAIAAAACUBAABkcnMvZTJvRG9jLnhtbFBLBQYAAAAABgAGAFkB&#10;AACA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v:textbox>
              </v:shape>
            </w:pict>
          </mc:Fallback>
        </mc:AlternateContent>
      </w: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5408"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0" o:spid="_x0000_s1026" o:spt="2" style="position:absolute;left:0pt;margin-left:237.65pt;margin-top:7.6pt;height:73.65pt;width:199.65pt;z-index:25166540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zuGg9+8BAAAMBAAADgAAAGRycy9lMm9Eb2MueG1s&#10;rVPbjtMwEH1H4h8sv9OkrdotUdN9oJQXBCsWPmDqS2Lkm2y3Sf+esTe0u8ADQiSSM+OZOTlzxt7e&#10;j0aTswhROdvS+aymRFjmuLJdS799PbzZUBITWA7aWdHSi4j0fvf61XbwjVi43mkuAkEQG5vBt7RP&#10;yTdVFVkvDMSZ88JiULpgIKEbuooHGBDd6GpR1+tqcIH74JiIEXf3T0G6K/hSCpY+SxlFIrqlyC2V&#10;NZT1mNdqt4WmC+B7xSYa8A8sDCiLP71C7SEBOQX1G5RRLLjoZJoxZyonpWKi9IDdzOtfunnswYvS&#10;C4oT/VWm+P9g2afzQyCK4+zq5ZwSCwanhHaRZvCxwYxH/xBQqOxFNHOfowwmf7EDMhY5L1c5xZgI&#10;w83FarnChxKGsbfL7GW9q1u1DzF9EM6QbLQ0uJPlX3BmRUo4f4ypaMonWsC/UyKNxgmdQZP5er2+&#10;mxCnZMT+iZkro9OKH5TWxQnd8Z0OBEtbeijPVPwiTVsyoAKrzV1mDngmpYaEpvGoUrRdIfeiJD5H&#10;3tT5/RNyZraH2D8xKAg5DZrSd7F6Afy95SRdPI7B4pWhmY0RnBIt8IZlq2QmUPpvMlERbVH02/Cy&#10;lcbjiDDZPDp+wSNw8kF1PQ5hXqjnCB65Mq3peuQz/dwvoLdLv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A0VntsAAAAKAQAADwAAAAAAAAABACAAAAAiAAAAZHJzL2Rvd25yZXYueG1sUEsBAhQA&#10;FAAAAAgAh07iQM7hoPfvAQAADAQAAA4AAAAAAAAAAQAgAAAAKgEAAGRycy9lMm9Eb2MueG1sUEsF&#10;BgAAAAAGAAYAWQEAAIsFAAAAAA==&#10;">
                <v:fill on="t" focussize="0,0"/>
                <v:stroke weight="1.25pt" color="#808080" joinstyle="round"/>
                <v:imagedata o:title=""/>
                <o:lock v:ext="edit" aspectratio="f"/>
                <v:textbo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v:textbox>
              </v:roundrect>
            </w:pict>
          </mc:Fallback>
        </mc:AlternateContent>
      </w: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1" o:spid="_x0000_s1026" o:spt="2" style="position:absolute;left:0pt;margin-left:-0.85pt;margin-top:2.35pt;height:80.7pt;width:201.2pt;z-index:25166643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7L1YZfQBAAANBAAADgAAAGRycy9lMm9Eb2MueG1srVNN&#10;j9MwEL0j8R8s32nSsO1GUdM9UMoFwYqFHzCN7cTIX7LdJv33jN3Q3YU9rBCJ5IztmZc379mbu0kr&#10;cuI+SGtaulyUlHDTWSZN39If3/fvakpCBMNAWcNbeuaB3m3fvtmMruGVHaxi3BMEMaEZXUuHGF1T&#10;FKEbuIawsI4b3BTWa4g49X3BPIyIrlVRleW6GK1nztuOh4Cru8sm3WZ8IXgXvwoReCSqpcgt5tHn&#10;8ZDGYruBpvfgBtnNNOAfWGiQBn96hdpBBHL08i8oLTtvgxVx0VldWCFkx3MP2M2y/KObhwEcz72g&#10;OMFdZQr/D7b7crr3RDL0rnxfUWJAo0sYL5M0owsNZjy4ez/PAoapz0l4nb7YAZmynOernHyKpMPF&#10;arVaVTeoeod7y7K6qes6oRaP5c6H+IlbTVLQUm+Phn1D07KWcPocYhaVzbyA/aREaIUWnUCR5Xq9&#10;vp0R52TE/o2ZKoNVku2lUnni+8MH5QmWtnSfn7n4WZoyZES+q/p2hdQBD6VQEDHUDmUKps/knpWE&#10;p8h1md6XkBOzHYThwiAjpDRoct85Gjiwj4aReHbog8E7QxMbzRkliuMVS1HOjCDVazJREWVQ9OTl&#10;xb0UxekwIUwKD5ad8QwcnZf9gCZk53M6nrns1nw/0qF+Os+gj7d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vgt72AAAAAgBAAAPAAAAAAAAAAEAIAAAACIAAABkcnMvZG93bnJldi54bWxQSwEC&#10;FAAUAAAACACHTuJA7L1YZfQBAAANBAAADgAAAAAAAAABACAAAAAnAQAAZHJzL2Uyb0RvYy54bWxQ&#10;SwUGAAAAAAYABgBZAQAAjQUAAAAA&#10;">
                <v:fill on="t" focussize="0,0"/>
                <v:stroke weight="1.25pt" color="#808080" joinstyle="round"/>
                <v:imagedata o:title=""/>
                <o:lock v:ext="edit" aspectratio="f"/>
                <v:textbox>
                  <w:txbxContent>
                    <w:p>
                      <w:pPr>
                        <w:jc w:val="center"/>
                        <w:rPr>
                          <w:rFonts w:hAnsi="宋体"/>
                        </w:rPr>
                      </w:pPr>
                    </w:p>
                    <w:p>
                      <w:pPr>
                        <w:rPr>
                          <w:rFonts w:hAnsi="宋体"/>
                        </w:rPr>
                      </w:pPr>
                    </w:p>
                    <w:p>
                      <w:pPr>
                        <w:jc w:val="both"/>
                      </w:pPr>
                      <w:r>
                        <w:rPr>
                          <w:rFonts w:hint="eastAsia" w:hAnsi="宋体" w:cs="宋体"/>
                        </w:rPr>
                        <w:t>法人身份证复印件</w:t>
                      </w:r>
                    </w:p>
                    <w:p/>
                  </w:txbxContent>
                </v:textbox>
              </v:roundrect>
            </w:pict>
          </mc:Fallback>
        </mc:AlternateContent>
      </w: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供应商（公章）;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法定代表人（</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身份证号码：</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委托代理人（</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详细通讯地址：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邮 政 编 码 ：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传　　　　真：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电　　　　话：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righ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年   月   日 </w:t>
      </w:r>
    </w:p>
    <w:p>
      <w:pPr>
        <w:outlineLvl w:val="9"/>
        <w:rPr>
          <w:rFonts w:hint="eastAsia"/>
        </w:rPr>
      </w:pPr>
    </w:p>
    <w:p>
      <w:pPr>
        <w:pStyle w:val="16"/>
        <w:tabs>
          <w:tab w:val="left" w:pos="5580"/>
        </w:tabs>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tabs>
          <w:tab w:val="left" w:pos="5580"/>
        </w:tabs>
        <w:spacing w:line="400" w:lineRule="atLeast"/>
        <w:ind w:firstLine="480" w:firstLineChars="200"/>
        <w:outlineLvl w:val="1"/>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pPr>
      <w:bookmarkStart w:id="412" w:name="_Toc286"/>
      <w:bookmarkStart w:id="413" w:name="_Toc656"/>
      <w:bookmarkStart w:id="414" w:name="_Toc32670"/>
      <w:bookmarkStart w:id="415" w:name="_Toc24428"/>
      <w:bookmarkStart w:id="416" w:name="_Toc515647811"/>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 xml:space="preserve">  </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投标单位提供本单位依法缴纳近三个月的社保证明和单位缴费个人明细表</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bookmarkEnd w:id="412"/>
      <w:bookmarkEnd w:id="413"/>
    </w:p>
    <w:p>
      <w:pPr>
        <w:pStyle w:val="27"/>
        <w:snapToGrid w:val="0"/>
        <w:ind w:firstLine="480"/>
        <w:textAlignment w:val="baseline"/>
        <w:outlineLvl w:val="9"/>
        <w:rPr>
          <w:rFonts w:hint="eastAsia" w:ascii="微软雅黑" w:hAnsi="微软雅黑" w:eastAsia="微软雅黑" w:cs="微软雅黑"/>
          <w:b w:val="0"/>
          <w:bCs/>
          <w:color w:val="000000" w:themeColor="text1"/>
          <w:kern w:val="0"/>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kern w:val="0"/>
          <w:highlight w:val="none"/>
          <w:lang w:val="en-US" w:eastAsia="zh-CN"/>
          <w14:textFill>
            <w14:solidFill>
              <w14:schemeClr w14:val="tx1"/>
            </w14:solidFill>
          </w14:textFill>
        </w:rPr>
        <w:t>说明：1.社保证明可含：社保缴费凭证、社保缴费证明、社保缴费汇总单、依法缴纳社保的完税证明，扫描件。</w:t>
      </w:r>
    </w:p>
    <w:p>
      <w:pPr>
        <w:pStyle w:val="27"/>
        <w:numPr>
          <w:ilvl w:val="0"/>
          <w:numId w:val="6"/>
        </w:numPr>
        <w:snapToGrid w:val="0"/>
        <w:ind w:firstLine="1200" w:firstLineChars="500"/>
        <w:textAlignment w:val="baseline"/>
        <w:outlineLvl w:val="9"/>
        <w:rPr>
          <w:rFonts w:hint="eastAsia" w:ascii="微软雅黑" w:hAnsi="微软雅黑" w:eastAsia="微软雅黑" w:cs="微软雅黑"/>
          <w:b w:val="0"/>
          <w:bCs/>
          <w:color w:val="000000" w:themeColor="text1"/>
          <w:kern w:val="0"/>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kern w:val="0"/>
          <w:highlight w:val="none"/>
          <w:lang w:val="en-US" w:eastAsia="zh-CN"/>
          <w14:textFill>
            <w14:solidFill>
              <w14:schemeClr w14:val="tx1"/>
            </w14:solidFill>
          </w14:textFill>
        </w:rPr>
        <w:t>社保是指（2023年1月-2023年3月）。</w:t>
      </w:r>
    </w:p>
    <w:p>
      <w:pPr>
        <w:pStyle w:val="8"/>
        <w:widowControl w:val="0"/>
        <w:numPr>
          <w:ilvl w:val="0"/>
          <w:numId w:val="0"/>
        </w:numPr>
        <w:autoSpaceDE w:val="0"/>
        <w:autoSpaceDN w:val="0"/>
        <w:adjustRightInd w:val="0"/>
        <w:jc w:val="left"/>
        <w:rPr>
          <w:rFonts w:hint="eastAsia"/>
        </w:rPr>
      </w:pPr>
    </w:p>
    <w:p>
      <w:pPr>
        <w:pStyle w:val="9"/>
        <w:rPr>
          <w:rFonts w:hint="eastAsia"/>
        </w:rPr>
      </w:pPr>
    </w:p>
    <w:p>
      <w:pPr>
        <w:tabs>
          <w:tab w:val="left" w:pos="5580"/>
        </w:tabs>
        <w:spacing w:line="400" w:lineRule="atLeast"/>
        <w:ind w:firstLine="480" w:firstLineChars="200"/>
        <w:outlineLvl w:val="1"/>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417" w:name="_Toc7218"/>
      <w:bookmarkStart w:id="418" w:name="_Toc20364"/>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 xml:space="preserve">  </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提供税务部门出具近三个月（2023年1月-2023年3月）的完税证明，依法免缴的应提供依法免缴的相关证明文件和零申报报表，扫描件</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w:t>
      </w:r>
      <w:bookmarkEnd w:id="417"/>
      <w:bookmarkEnd w:id="418"/>
    </w:p>
    <w:p>
      <w:pPr>
        <w:pStyle w:val="16"/>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pPr>
    </w:p>
    <w:p>
      <w:pPr>
        <w:pStyle w:val="16"/>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t>说明：1、新成立公司若无纳税记录，可开具无欠税证明或零申报报表。</w:t>
      </w:r>
    </w:p>
    <w:p>
      <w:pPr>
        <w:pStyle w:val="16"/>
        <w:numPr>
          <w:ilvl w:val="0"/>
          <w:numId w:val="7"/>
        </w:numPr>
        <w:tabs>
          <w:tab w:val="left" w:pos="5580"/>
        </w:tabs>
        <w:snapToGrid w:val="0"/>
        <w:spacing w:line="240" w:lineRule="atLeast"/>
        <w:textAlignment w:val="baseline"/>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t>完税证明中“税种”</w:t>
      </w:r>
      <w:r>
        <w:rPr>
          <w:rFonts w:hint="eastAsia" w:ascii="微软雅黑" w:hAnsi="微软雅黑" w:eastAsia="微软雅黑" w:cs="微软雅黑"/>
          <w:b/>
          <w:bCs w:val="0"/>
          <w:color w:val="000000" w:themeColor="text1"/>
          <w:kern w:val="0"/>
          <w:sz w:val="24"/>
          <w:highlight w:val="none"/>
          <w:lang w:val="en-US" w:eastAsia="zh-CN"/>
          <w14:textFill>
            <w14:solidFill>
              <w14:schemeClr w14:val="tx1"/>
            </w14:solidFill>
          </w14:textFill>
        </w:rPr>
        <w:t>非</w:t>
      </w:r>
      <w:r>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t>养老保险、医疗保险、失业保险、工伤保险和生育保险。</w:t>
      </w:r>
    </w:p>
    <w:p>
      <w:pPr>
        <w:pStyle w:val="16"/>
        <w:numPr>
          <w:ilvl w:val="0"/>
          <w:numId w:val="7"/>
        </w:numPr>
        <w:tabs>
          <w:tab w:val="left" w:pos="5580"/>
        </w:tabs>
        <w:snapToGrid w:val="0"/>
        <w:spacing w:line="240" w:lineRule="atLeast"/>
        <w:textAlignment w:val="baseline"/>
        <w:rPr>
          <w:rFonts w:hint="eastAsia" w:ascii="微软雅黑" w:hAnsi="微软雅黑" w:eastAsia="微软雅黑" w:cs="微软雅黑"/>
          <w:b w:val="0"/>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4"/>
          <w:highlight w:val="none"/>
          <w:lang w:val="en-US" w:eastAsia="zh-CN" w:bidi="ar-SA"/>
          <w14:textFill>
            <w14:solidFill>
              <w14:schemeClr w14:val="tx1"/>
            </w14:solidFill>
          </w14:textFill>
        </w:rPr>
        <w:t>完税是指（2023年1月-2023年3月）。</w:t>
      </w:r>
    </w:p>
    <w:p>
      <w:pPr>
        <w:pStyle w:val="16"/>
        <w:widowControl w:val="0"/>
        <w:numPr>
          <w:ilvl w:val="0"/>
          <w:numId w:val="0"/>
        </w:numPr>
        <w:tabs>
          <w:tab w:val="left" w:pos="5580"/>
        </w:tabs>
        <w:snapToGrid w:val="0"/>
        <w:spacing w:line="240" w:lineRule="atLeast"/>
        <w:jc w:val="both"/>
        <w:textAlignment w:val="baseline"/>
        <w:rPr>
          <w:rFonts w:hint="eastAsia" w:ascii="微软雅黑" w:hAnsi="微软雅黑" w:eastAsia="微软雅黑" w:cs="微软雅黑"/>
          <w:b w:val="0"/>
          <w:bCs/>
          <w:color w:val="000000" w:themeColor="text1"/>
          <w:kern w:val="0"/>
          <w:sz w:val="24"/>
          <w:szCs w:val="24"/>
          <w:highlight w:val="none"/>
          <w:lang w:val="en-US" w:eastAsia="zh-CN" w:bidi="ar-SA"/>
          <w14:textFill>
            <w14:solidFill>
              <w14:schemeClr w14:val="tx1"/>
            </w14:solidFill>
          </w14:textFill>
        </w:rPr>
      </w:pPr>
    </w:p>
    <w:p>
      <w:pPr>
        <w:pStyle w:val="16"/>
        <w:widowControl w:val="0"/>
        <w:numPr>
          <w:ilvl w:val="0"/>
          <w:numId w:val="0"/>
        </w:numPr>
        <w:tabs>
          <w:tab w:val="left" w:pos="5580"/>
        </w:tabs>
        <w:snapToGrid w:val="0"/>
        <w:spacing w:line="240" w:lineRule="atLeast"/>
        <w:jc w:val="both"/>
        <w:textAlignment w:val="baseline"/>
        <w:rPr>
          <w:rFonts w:hint="eastAsia" w:ascii="微软雅黑" w:hAnsi="微软雅黑" w:eastAsia="微软雅黑" w:cs="微软雅黑"/>
          <w:b w:val="0"/>
          <w:bCs/>
          <w:color w:val="000000" w:themeColor="text1"/>
          <w:kern w:val="0"/>
          <w:sz w:val="24"/>
          <w:szCs w:val="24"/>
          <w:highlight w:val="none"/>
          <w:lang w:val="en-US" w:eastAsia="zh-CN" w:bidi="ar-SA"/>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color w:val="000000" w:themeColor="text1"/>
          <w:highlight w:val="none"/>
          <w14:textFill>
            <w14:solidFill>
              <w14:schemeClr w14:val="tx1"/>
            </w14:solidFill>
          </w14:textFill>
        </w:rPr>
      </w:pPr>
      <w:bookmarkStart w:id="419" w:name="_Toc7678"/>
      <w:bookmarkStart w:id="420" w:name="_Toc14068"/>
      <w:r>
        <w:rPr>
          <w:rFonts w:hint="eastAsia" w:ascii="微软雅黑" w:hAnsi="微软雅黑" w:eastAsia="微软雅黑" w:cs="微软雅黑"/>
          <w:b/>
          <w:bCs/>
          <w:color w:val="000000" w:themeColor="text1"/>
          <w:kern w:val="0"/>
          <w:highlight w:val="none"/>
          <w:lang w:val="en-US" w:eastAsia="zh-CN"/>
          <w14:textFill>
            <w14:solidFill>
              <w14:schemeClr w14:val="tx1"/>
            </w14:solidFill>
          </w14:textFill>
        </w:rPr>
        <w:t>7</w:t>
      </w:r>
      <w:r>
        <w:rPr>
          <w:rFonts w:hint="eastAsia" w:ascii="微软雅黑" w:hAnsi="微软雅黑" w:eastAsia="微软雅黑" w:cs="微软雅黑"/>
          <w:b/>
          <w:bCs/>
          <w:color w:val="000000" w:themeColor="text1"/>
          <w:kern w:val="0"/>
          <w:highlight w:val="none"/>
          <w14:textFill>
            <w14:solidFill>
              <w14:schemeClr w14:val="tx1"/>
            </w14:solidFill>
          </w14:textFill>
        </w:rPr>
        <w:t xml:space="preserve">  </w:t>
      </w:r>
      <w:r>
        <w:rPr>
          <w:rFonts w:hint="eastAsia" w:ascii="微软雅黑" w:hAnsi="微软雅黑" w:eastAsia="微软雅黑" w:cs="微软雅黑"/>
          <w:b/>
          <w:bCs/>
          <w:color w:val="000000" w:themeColor="text1"/>
          <w:kern w:val="0"/>
          <w:highlight w:val="none"/>
          <w:lang w:val="en-US" w:eastAsia="zh-CN"/>
          <w14:textFill>
            <w14:solidFill>
              <w14:schemeClr w14:val="tx1"/>
            </w14:solidFill>
          </w14:textFill>
        </w:rPr>
        <w:t>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bookmarkEnd w:id="419"/>
      <w:bookmarkEnd w:id="420"/>
    </w:p>
    <w:p>
      <w:pPr>
        <w:tabs>
          <w:tab w:val="left" w:pos="5580"/>
        </w:tabs>
        <w:spacing w:line="240" w:lineRule="atLeast"/>
        <w:ind w:left="1080" w:leftChars="257" w:hanging="540"/>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说明：</w:t>
      </w:r>
    </w:p>
    <w:p>
      <w:pPr>
        <w:tabs>
          <w:tab w:val="left" w:pos="5580"/>
        </w:tabs>
        <w:spacing w:line="240" w:lineRule="atLeast"/>
        <w:ind w:left="540"/>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1、如提供本单位上年度经会计师事务所出具的完整审计报告复印件须加盖本单位章。</w:t>
      </w:r>
    </w:p>
    <w:p>
      <w:pPr>
        <w:pStyle w:val="8"/>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2、如果是联合体投标，联合体各方均需提供上述证明。</w:t>
      </w:r>
    </w:p>
    <w:p>
      <w:pPr>
        <w:pStyle w:val="9"/>
        <w:ind w:firstLine="480" w:firstLineChars="200"/>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3、近两年任意一年指2021年或2022年，近三个月是指招标公告发布前三个月。</w:t>
      </w:r>
    </w:p>
    <w:p>
      <w:pP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p>
    <w:p>
      <w:pPr>
        <w:outlineLvl w:val="9"/>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p>
    <w:p>
      <w:pP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p>
    <w:p>
      <w:pPr>
        <w:outlineLvl w:val="9"/>
        <w:rPr>
          <w:rFonts w:hint="default"/>
          <w:lang w:val="en-US"/>
        </w:rPr>
      </w:pPr>
    </w:p>
    <w:p>
      <w:pPr>
        <w:outlineLvl w:val="9"/>
        <w:rPr>
          <w:rFonts w:hint="default"/>
          <w:lang w:val="en-US"/>
        </w:rPr>
      </w:pPr>
    </w:p>
    <w:p>
      <w:pPr>
        <w:rPr>
          <w:rFonts w:hint="default"/>
          <w:lang w:val="en-US"/>
        </w:rPr>
      </w:pPr>
    </w:p>
    <w:p>
      <w:pPr>
        <w:pStyle w:val="8"/>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bookmarkStart w:id="421" w:name="_Toc20181"/>
      <w:bookmarkStart w:id="422" w:name="_Toc238"/>
      <w:r>
        <w:rPr>
          <w:rFonts w:hint="eastAsia" w:ascii="微软雅黑" w:hAnsi="微软雅黑" w:eastAsia="微软雅黑" w:cs="微软雅黑"/>
          <w:b/>
          <w:bCs/>
          <w:color w:val="000000" w:themeColor="text1"/>
          <w:highlight w:val="none"/>
          <w:lang w:val="en-US" w:eastAsia="zh-CN"/>
          <w14:textFill>
            <w14:solidFill>
              <w14:schemeClr w14:val="tx1"/>
            </w14:solidFill>
          </w14:textFill>
        </w:rPr>
        <w:t>8</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投标保证金收据扫描件或银行转款证明扫描件或支票扫描件、汇票扫描件；</w:t>
      </w:r>
      <w:bookmarkEnd w:id="421"/>
    </w:p>
    <w:p>
      <w:pPr>
        <w:pStyle w:val="8"/>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9"/>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rPr>
          <w:rFonts w:hint="eastAsia"/>
          <w:lang w:val="en-US" w:eastAsia="zh-CN"/>
        </w:rPr>
      </w:pPr>
    </w:p>
    <w:p>
      <w:pPr>
        <w:pStyle w:val="9"/>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rPr>
          <w:rFonts w:hint="eastAsia"/>
        </w:rPr>
      </w:pPr>
    </w:p>
    <w:p>
      <w:pPr>
        <w:pStyle w:val="27"/>
        <w:spacing w:line="400" w:lineRule="exact"/>
        <w:ind w:firstLine="482"/>
        <w:outlineLvl w:val="1"/>
        <w:rPr>
          <w:rFonts w:hint="eastAsia" w:ascii="微软雅黑" w:hAnsi="微软雅黑" w:eastAsia="微软雅黑" w:cs="微软雅黑"/>
          <w:color w:val="000000" w:themeColor="text1"/>
          <w:highlight w:val="none"/>
          <w14:textFill>
            <w14:solidFill>
              <w14:schemeClr w14:val="tx1"/>
            </w14:solidFill>
          </w14:textFill>
        </w:rPr>
      </w:pPr>
      <w:bookmarkStart w:id="423" w:name="_Toc3618"/>
      <w:r>
        <w:rPr>
          <w:rFonts w:hint="eastAsia" w:ascii="微软雅黑" w:hAnsi="微软雅黑" w:eastAsia="微软雅黑" w:cs="微软雅黑"/>
          <w:b/>
          <w:bCs/>
          <w:color w:val="000000" w:themeColor="text1"/>
          <w:highlight w:val="none"/>
          <w:lang w:val="en-US" w:eastAsia="zh-CN"/>
          <w14:textFill>
            <w14:solidFill>
              <w14:schemeClr w14:val="tx1"/>
            </w14:solidFill>
          </w14:textFill>
        </w:rPr>
        <w:t xml:space="preserve">9  </w:t>
      </w:r>
      <w:r>
        <w:rPr>
          <w:rFonts w:hint="eastAsia" w:ascii="微软雅黑" w:hAnsi="微软雅黑" w:eastAsia="微软雅黑" w:cs="微软雅黑"/>
          <w:b/>
          <w:bCs/>
          <w:color w:val="000000" w:themeColor="text1"/>
          <w:highlight w:val="none"/>
          <w14:textFill>
            <w14:solidFill>
              <w14:schemeClr w14:val="tx1"/>
            </w14:solidFill>
          </w14:textFill>
        </w:rPr>
        <w:t>参加政府采购活动前3年内在经营活动中没有重大违法记录的书面声明</w:t>
      </w:r>
      <w:r>
        <w:rPr>
          <w:rFonts w:hint="eastAsia" w:ascii="微软雅黑" w:hAnsi="微软雅黑" w:eastAsia="微软雅黑" w:cs="微软雅黑"/>
          <w:b/>
          <w:bCs/>
          <w:color w:val="000000" w:themeColor="text1"/>
          <w:kern w:val="0"/>
          <w:highlight w:val="none"/>
          <w14:textFill>
            <w14:solidFill>
              <w14:schemeClr w14:val="tx1"/>
            </w14:solidFill>
          </w14:textFill>
        </w:rPr>
        <w:t>；</w:t>
      </w:r>
      <w:bookmarkEnd w:id="422"/>
      <w:bookmarkEnd w:id="423"/>
    </w:p>
    <w:p>
      <w:pPr>
        <w:pStyle w:val="8"/>
        <w:ind w:left="0" w:leftChars="0" w:firstLine="720" w:firstLineChars="300"/>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说明：1.供应商应按照相关法规规定如实作出说明。</w:t>
      </w:r>
    </w:p>
    <w:p>
      <w:pPr>
        <w:pStyle w:val="9"/>
        <w:rPr>
          <w:rFonts w:hint="eastAsia" w:ascii="微软雅黑" w:hAnsi="微软雅黑" w:eastAsia="微软雅黑" w:cs="微软雅黑"/>
          <w:color w:val="000000" w:themeColor="text1"/>
          <w:highlight w:val="none"/>
          <w:lang w:val="en-US" w:eastAsia="zh-CN"/>
          <w14:textFill>
            <w14:solidFill>
              <w14:schemeClr w14:val="tx1"/>
            </w14:solidFill>
          </w14:textFill>
        </w:rPr>
      </w:pPr>
    </w:p>
    <w:p>
      <w:pPr>
        <w:rPr>
          <w:rFonts w:hint="eastAsia" w:ascii="微软雅黑" w:hAnsi="微软雅黑" w:eastAsia="微软雅黑" w:cs="微软雅黑"/>
          <w:color w:val="000000" w:themeColor="text1"/>
          <w:highlight w:val="none"/>
          <w:lang w:val="en-US" w:eastAsia="zh-CN"/>
          <w14:textFill>
            <w14:solidFill>
              <w14:schemeClr w14:val="tx1"/>
            </w14:solidFill>
          </w14:textFill>
        </w:rPr>
      </w:pPr>
    </w:p>
    <w:p>
      <w:pPr>
        <w:outlineLvl w:val="9"/>
        <w:rPr>
          <w:rFonts w:hint="eastAsia"/>
          <w:lang w:val="en-US" w:eastAsia="zh-CN"/>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bookmarkStart w:id="424" w:name="_Toc15061"/>
      <w:bookmarkStart w:id="425" w:name="_Toc8897"/>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10  提供针对本次项目的反商业贿赂承诺书；</w:t>
      </w:r>
      <w:bookmarkEnd w:id="424"/>
      <w:bookmarkEnd w:id="425"/>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bookmarkStart w:id="426" w:name="_Toc31739"/>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11  投标单位需提供有效的《林木种子生产经营许可证》及《植物检验检疫证》扫描件；</w:t>
      </w:r>
      <w:bookmarkEnd w:id="426"/>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bookmarkStart w:id="427" w:name="_Toc23290"/>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bookmarkStart w:id="428" w:name="_Toc8825"/>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12  本项目不接受联合体投标（提供非联合体投标承诺函，承诺函格式自拟）；</w:t>
      </w:r>
      <w:bookmarkEnd w:id="427"/>
      <w:bookmarkEnd w:id="428"/>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bookmarkStart w:id="429" w:name="_Toc14039"/>
      <w:bookmarkStart w:id="430" w:name="_Toc29229"/>
      <w:bookmarkStart w:id="431" w:name="_Toc3829"/>
      <w:bookmarkStart w:id="432" w:name="_Toc26152"/>
      <w:bookmarkStart w:id="433" w:name="_Toc28906"/>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13  供应商可提供有利于投标的其他资格证明材料</w:t>
      </w:r>
      <w:bookmarkEnd w:id="429"/>
      <w:r>
        <w:rPr>
          <w:rFonts w:hint="eastAsia" w:ascii="微软雅黑" w:hAnsi="微软雅黑" w:eastAsia="微软雅黑" w:cs="微软雅黑"/>
          <w:b/>
          <w:bCs/>
          <w:color w:val="000000" w:themeColor="text1"/>
          <w:highlight w:val="none"/>
          <w:lang w:val="en-US" w:eastAsia="zh-CN"/>
          <w14:textFill>
            <w14:solidFill>
              <w14:schemeClr w14:val="tx1"/>
            </w14:solidFill>
          </w14:textFill>
        </w:rPr>
        <w:t>。</w:t>
      </w:r>
      <w:bookmarkEnd w:id="430"/>
    </w:p>
    <w:p>
      <w:pPr>
        <w:pStyle w:val="8"/>
        <w:rPr>
          <w:rFonts w:hint="eastAsia" w:ascii="微软雅黑" w:hAnsi="微软雅黑" w:eastAsia="微软雅黑" w:cs="微软雅黑"/>
          <w:b/>
          <w:bCs/>
          <w:color w:val="000000" w:themeColor="text1"/>
          <w:highlight w:val="none"/>
          <w14:textFill>
            <w14:solidFill>
              <w14:schemeClr w14:val="tx1"/>
            </w14:solidFill>
          </w14:textFill>
        </w:rPr>
      </w:pPr>
    </w:p>
    <w:bookmarkEnd w:id="431"/>
    <w:bookmarkEnd w:id="432"/>
    <w:bookmarkEnd w:id="433"/>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bookmarkEnd w:id="414"/>
    <w:bookmarkEnd w:id="415"/>
    <w:bookmarkEnd w:id="416"/>
    <w:p>
      <w:pPr>
        <w:pStyle w:val="4"/>
        <w:numPr>
          <w:ilvl w:val="0"/>
          <w:numId w:val="8"/>
        </w:numPr>
        <w:spacing w:before="0" w:line="240" w:lineRule="atLeast"/>
        <w:ind w:left="1080" w:leftChars="257" w:hanging="540"/>
        <w:rPr>
          <w:rFonts w:hint="eastAsia" w:ascii="微软雅黑" w:hAnsi="微软雅黑" w:eastAsia="微软雅黑" w:cs="微软雅黑"/>
          <w:color w:val="000000" w:themeColor="text1"/>
          <w:kern w:val="2"/>
          <w:sz w:val="32"/>
          <w:szCs w:val="32"/>
          <w:highlight w:val="none"/>
          <w14:textFill>
            <w14:solidFill>
              <w14:schemeClr w14:val="tx1"/>
            </w14:solidFill>
          </w14:textFill>
        </w:rPr>
      </w:pPr>
      <w:bookmarkStart w:id="434" w:name="_Toc11180"/>
      <w:bookmarkStart w:id="435" w:name="_Toc30653"/>
      <w:bookmarkStart w:id="436" w:name="_Toc515647816"/>
      <w:bookmarkStart w:id="437" w:name="_Toc22967"/>
      <w:r>
        <w:rPr>
          <w:rFonts w:hint="eastAsia" w:ascii="微软雅黑" w:hAnsi="微软雅黑" w:eastAsia="微软雅黑" w:cs="微软雅黑"/>
          <w:color w:val="000000" w:themeColor="text1"/>
          <w:kern w:val="2"/>
          <w:sz w:val="32"/>
          <w:szCs w:val="32"/>
          <w:highlight w:val="none"/>
          <w14:textFill>
            <w14:solidFill>
              <w14:schemeClr w14:val="tx1"/>
            </w14:solidFill>
          </w14:textFill>
        </w:rPr>
        <w:t xml:space="preserve"> </w:t>
      </w:r>
      <w:bookmarkStart w:id="438" w:name="_Toc26804"/>
      <w:r>
        <w:rPr>
          <w:rFonts w:hint="eastAsia" w:ascii="微软雅黑" w:hAnsi="微软雅黑" w:eastAsia="微软雅黑" w:cs="微软雅黑"/>
          <w:color w:val="000000" w:themeColor="text1"/>
          <w:kern w:val="2"/>
          <w:sz w:val="32"/>
          <w:szCs w:val="32"/>
          <w:highlight w:val="none"/>
          <w14:textFill>
            <w14:solidFill>
              <w14:schemeClr w14:val="tx1"/>
            </w14:solidFill>
          </w14:textFill>
        </w:rPr>
        <w:t>商务及技术文件</w:t>
      </w:r>
      <w:bookmarkEnd w:id="434"/>
      <w:bookmarkEnd w:id="435"/>
      <w:bookmarkEnd w:id="436"/>
      <w:bookmarkEnd w:id="437"/>
      <w:bookmarkEnd w:id="438"/>
    </w:p>
    <w:p>
      <w:pPr>
        <w:pStyle w:val="16"/>
        <w:spacing w:line="500" w:lineRule="exact"/>
        <w:ind w:left="1079" w:leftChars="257" w:hanging="539"/>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投标书</w:t>
      </w:r>
    </w:p>
    <w:p>
      <w:pPr>
        <w:pStyle w:val="16"/>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投标分项报价表</w:t>
      </w:r>
    </w:p>
    <w:p>
      <w:pPr>
        <w:pStyle w:val="16"/>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货物说明一览表</w:t>
      </w:r>
    </w:p>
    <w:p>
      <w:pPr>
        <w:pStyle w:val="16"/>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4</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技术规格偏离表</w:t>
      </w:r>
    </w:p>
    <w:p>
      <w:pPr>
        <w:pStyle w:val="16"/>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5</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商务条款偏离表</w:t>
      </w:r>
    </w:p>
    <w:p>
      <w:pPr>
        <w:pStyle w:val="16"/>
        <w:spacing w:line="500" w:lineRule="exact"/>
        <w:ind w:left="311" w:leftChars="148" w:firstLine="228"/>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6-1中小企业声明函</w:t>
      </w:r>
    </w:p>
    <w:p>
      <w:pPr>
        <w:pStyle w:val="16"/>
        <w:spacing w:line="500" w:lineRule="exact"/>
        <w:ind w:left="311" w:leftChars="148" w:firstLine="228"/>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6-2残疾人福利性单位声明函</w:t>
      </w:r>
    </w:p>
    <w:p>
      <w:pPr>
        <w:pStyle w:val="16"/>
        <w:spacing w:line="500" w:lineRule="exact"/>
        <w:ind w:left="311" w:leftChars="148" w:firstLine="228"/>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7</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供应商关联单位的说明（格式自拟）</w:t>
      </w:r>
    </w:p>
    <w:p>
      <w:pPr>
        <w:pStyle w:val="16"/>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8</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供应商可提供有利于投标的其他资格证明材料</w:t>
      </w:r>
      <w:bookmarkStart w:id="439" w:name="_Toc14915"/>
      <w:bookmarkStart w:id="440" w:name="_Toc515647817"/>
      <w:bookmarkStart w:id="441" w:name="_Toc2041"/>
    </w:p>
    <w:p>
      <w:pPr>
        <w:pStyle w:val="16"/>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9</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投标文件格式范本</w:t>
      </w:r>
    </w:p>
    <w:p>
      <w:pPr>
        <w:pStyle w:val="16"/>
        <w:tabs>
          <w:tab w:val="left" w:pos="5580"/>
        </w:tabs>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6"/>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jc w:val="center"/>
        <w:outlineLvl w:val="1"/>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442" w:name="_Toc2305"/>
      <w:bookmarkStart w:id="443" w:name="_Toc12580"/>
      <w:bookmarkStart w:id="444" w:name="_Toc17344"/>
      <w:bookmarkStart w:id="445" w:name="_Toc27134"/>
      <w:bookmarkStart w:id="446" w:name="_Toc30408"/>
      <w:bookmarkStart w:id="447" w:name="_Toc28678"/>
      <w:bookmarkStart w:id="448" w:name="_Toc695"/>
      <w:bookmarkStart w:id="449" w:name="_Toc32045"/>
      <w:bookmarkStart w:id="450" w:name="_Toc30922"/>
      <w:r>
        <w:rPr>
          <w:rFonts w:hint="eastAsia" w:ascii="微软雅黑" w:hAnsi="微软雅黑" w:eastAsia="微软雅黑" w:cs="微软雅黑"/>
          <w:b/>
          <w:bCs/>
          <w:color w:val="000000" w:themeColor="text1"/>
          <w:sz w:val="24"/>
          <w:szCs w:val="24"/>
          <w:highlight w:val="none"/>
          <w14:textFill>
            <w14:solidFill>
              <w14:schemeClr w14:val="tx1"/>
            </w14:solidFill>
          </w14:textFill>
        </w:rPr>
        <w:t>1</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投标</w:t>
      </w:r>
      <w:bookmarkEnd w:id="399"/>
      <w:bookmarkEnd w:id="400"/>
      <w:r>
        <w:rPr>
          <w:rFonts w:hint="eastAsia" w:ascii="微软雅黑" w:hAnsi="微软雅黑" w:eastAsia="微软雅黑" w:cs="微软雅黑"/>
          <w:b/>
          <w:bCs/>
          <w:color w:val="000000" w:themeColor="text1"/>
          <w:sz w:val="24"/>
          <w:szCs w:val="24"/>
          <w:highlight w:val="none"/>
          <w14:textFill>
            <w14:solidFill>
              <w14:schemeClr w14:val="tx1"/>
            </w14:solidFill>
          </w14:textFill>
        </w:rPr>
        <w:t>书</w:t>
      </w:r>
      <w:bookmarkEnd w:id="401"/>
      <w:bookmarkEnd w:id="402"/>
      <w:bookmarkEnd w:id="439"/>
      <w:bookmarkEnd w:id="440"/>
      <w:bookmarkEnd w:id="441"/>
      <w:bookmarkEnd w:id="442"/>
      <w:bookmarkEnd w:id="443"/>
      <w:bookmarkEnd w:id="444"/>
      <w:bookmarkEnd w:id="445"/>
      <w:bookmarkEnd w:id="446"/>
      <w:bookmarkEnd w:id="447"/>
      <w:bookmarkEnd w:id="448"/>
      <w:bookmarkEnd w:id="449"/>
      <w:bookmarkEnd w:id="450"/>
    </w:p>
    <w:p>
      <w:pPr>
        <w:tabs>
          <w:tab w:val="left" w:pos="5580"/>
        </w:tabs>
        <w:spacing w:line="400" w:lineRule="atLeast"/>
        <w:ind w:left="1080" w:hanging="108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tabs>
          <w:tab w:val="left" w:pos="5580"/>
        </w:tabs>
        <w:spacing w:line="400" w:lineRule="atLeast"/>
        <w:ind w:left="2" w:leftChars="1"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根据贵方(</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项目名称</w:t>
      </w:r>
      <w:r>
        <w:rPr>
          <w:rFonts w:hint="eastAsia" w:ascii="微软雅黑" w:hAnsi="微软雅黑" w:eastAsia="微软雅黑" w:cs="微软雅黑"/>
          <w:i/>
          <w:iCs/>
          <w:color w:val="000000" w:themeColor="text1"/>
          <w:sz w:val="24"/>
          <w:szCs w:val="24"/>
          <w:highlight w:val="none"/>
          <w:u w:val="singl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)项目的投标邀请(</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项目编号</w:t>
      </w:r>
      <w:r>
        <w:rPr>
          <w:rFonts w:hint="eastAsia" w:ascii="微软雅黑" w:hAnsi="微软雅黑" w:eastAsia="微软雅黑" w:cs="微软雅黑"/>
          <w:color w:val="000000" w:themeColor="text1"/>
          <w:sz w:val="24"/>
          <w:szCs w:val="24"/>
          <w:highlight w:val="none"/>
          <w14:textFill>
            <w14:solidFill>
              <w14:schemeClr w14:val="tx1"/>
            </w14:solidFill>
          </w14:textFill>
        </w:rPr>
        <w:t>),签字代表(</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姓名、职务</w:t>
      </w:r>
      <w:r>
        <w:rPr>
          <w:rFonts w:hint="eastAsia" w:ascii="微软雅黑" w:hAnsi="微软雅黑" w:eastAsia="微软雅黑" w:cs="微软雅黑"/>
          <w:color w:val="000000" w:themeColor="text1"/>
          <w:sz w:val="24"/>
          <w:szCs w:val="24"/>
          <w:highlight w:val="none"/>
          <w14:textFill>
            <w14:solidFill>
              <w14:schemeClr w14:val="tx1"/>
            </w14:solidFill>
          </w14:textFill>
        </w:rPr>
        <w:t>)经正式授权并代表供应商（</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名称、地址</w:t>
      </w:r>
      <w:r>
        <w:rPr>
          <w:rFonts w:hint="eastAsia" w:ascii="微软雅黑" w:hAnsi="微软雅黑" w:eastAsia="微软雅黑" w:cs="微软雅黑"/>
          <w:color w:val="000000" w:themeColor="text1"/>
          <w:sz w:val="24"/>
          <w:szCs w:val="24"/>
          <w:highlight w:val="none"/>
          <w14:textFill>
            <w14:solidFill>
              <w14:schemeClr w14:val="tx1"/>
            </w14:solidFill>
          </w14:textFill>
        </w:rPr>
        <w:t>）提交下述文件正本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份、副本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份及电子文档</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份，并以</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形式出具的金额为人民币</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14:textFill>
            <w14:solidFill>
              <w14:schemeClr w14:val="tx1"/>
            </w14:solidFill>
          </w14:textFill>
        </w:rPr>
        <w:t>元的投标保证金。</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据此，签字代表宣布同意如下：</w:t>
      </w:r>
    </w:p>
    <w:p>
      <w:pPr>
        <w:pStyle w:val="16"/>
        <w:tabs>
          <w:tab w:val="left" w:pos="720"/>
          <w:tab w:val="left" w:pos="900"/>
        </w:tabs>
        <w:spacing w:line="400" w:lineRule="atLeast"/>
        <w:ind w:left="769" w:leftChars="257" w:hanging="229"/>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（1）附投标价格表中规定的应提供服务的投标总价为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（用文字和数字表示）</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（2）本投标有效期为自投标截止之日起</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90</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个日历日。</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（3）联合体中的大中型企业和其他自然人、法人或者非法人组织，与联合体中的小型、微型企业之间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存在、不存在）投资关系（如果是联合体的话）。</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（4）已详细审查全部招标文件，包括所有补充通知（如果有的话），完全理解并同意放弃对这方面有不明、误解和质疑的权力。</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（5）在规定的开标时间后，遵守招标文件中有关保证金的规定。</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（6）我方不是为本项目提供整体设计、规范编制或者项目管理、监理、检测等服务的供应商，我方不是采购代理机构的附属机构。</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（7）在领取中标通知书的同时按招标文件规定的形式，向贵方一次性支付中标服务费。</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（8）按照贵方可能要求，提供与其投标有关的一切数据或资料，完全理解贵方不一定接受最低价的投标或收到的任何投标。</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（9）按照招标文件的规定履行合同责任和义务。</w:t>
      </w:r>
    </w:p>
    <w:p>
      <w:pPr>
        <w:pStyle w:val="16"/>
        <w:tabs>
          <w:tab w:val="left" w:pos="5580"/>
        </w:tabs>
        <w:spacing w:line="400" w:lineRule="atLeast"/>
        <w:ind w:left="359" w:leftChars="68" w:hanging="216" w:hangingChars="9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与本投标有关的一切正式往来信函请寄：</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地址</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传真</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电话</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电子函件</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6"/>
        <w:tabs>
          <w:tab w:val="left" w:pos="5580"/>
        </w:tabs>
        <w:spacing w:line="400" w:lineRule="atLeast"/>
        <w:ind w:left="1080" w:leftChars="257" w:hanging="540"/>
        <w:rPr>
          <w:rFonts w:hint="default" w:ascii="微软雅黑" w:hAnsi="微软雅黑" w:eastAsia="微软雅黑" w:cs="微软雅黑"/>
          <w:color w:val="000000" w:themeColor="text1"/>
          <w:sz w:val="24"/>
          <w:szCs w:val="24"/>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 xml:space="preserve">                </w:t>
      </w:r>
    </w:p>
    <w:p>
      <w:pPr>
        <w:pStyle w:val="16"/>
        <w:tabs>
          <w:tab w:val="left" w:pos="5580"/>
        </w:tabs>
        <w:spacing w:line="400" w:lineRule="atLeast"/>
        <w:ind w:left="1080" w:leftChars="257" w:hanging="540"/>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供应商名称（公章）</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供应商开户银行（全称）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供应商银行帐号</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p>
    <w:p>
      <w:pPr>
        <w:pStyle w:val="16"/>
        <w:tabs>
          <w:tab w:val="left" w:pos="5580"/>
        </w:tabs>
        <w:spacing w:line="400" w:lineRule="atLeast"/>
        <w:ind w:left="1080" w:leftChars="257" w:hanging="540"/>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日期</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 xml:space="preserve">                      </w:t>
      </w:r>
    </w:p>
    <w:p>
      <w:pPr>
        <w:pStyle w:val="4"/>
        <w:spacing w:before="0"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br w:type="page"/>
      </w:r>
      <w:bookmarkStart w:id="451" w:name="_Toc23473"/>
      <w:bookmarkStart w:id="452" w:name="_Toc1266"/>
      <w:bookmarkStart w:id="453" w:name="_Toc19819"/>
      <w:bookmarkStart w:id="454" w:name="_Toc23851"/>
      <w:bookmarkStart w:id="455" w:name="_Toc19746"/>
      <w:bookmarkStart w:id="456" w:name="_Toc213"/>
      <w:bookmarkStart w:id="457" w:name="_Toc19539"/>
      <w:bookmarkStart w:id="458" w:name="_Toc30247"/>
      <w:bookmarkStart w:id="459" w:name="_Toc1202"/>
      <w:bookmarkStart w:id="460" w:name="_Toc4976"/>
      <w:bookmarkStart w:id="461" w:name="_Toc12429"/>
      <w:r>
        <w:rPr>
          <w:rFonts w:hint="eastAsia" w:ascii="微软雅黑" w:hAnsi="微软雅黑" w:eastAsia="微软雅黑" w:cs="微软雅黑"/>
          <w:b/>
          <w:bCs/>
          <w:color w:val="000000" w:themeColor="text1"/>
          <w:sz w:val="24"/>
          <w:szCs w:val="24"/>
          <w:highlight w:val="none"/>
          <w14:textFill>
            <w14:solidFill>
              <w14:schemeClr w14:val="tx1"/>
            </w14:solidFill>
          </w14:textFill>
        </w:rPr>
        <w:t>2</w:t>
      </w:r>
      <w:bookmarkEnd w:id="451"/>
      <w:bookmarkEnd w:id="452"/>
      <w:bookmarkEnd w:id="453"/>
      <w:bookmarkStart w:id="462" w:name="_Toc20897"/>
      <w:bookmarkStart w:id="463" w:name="_Toc1881"/>
      <w:bookmarkStart w:id="464" w:name="_Toc515647818"/>
      <w:bookmarkStart w:id="465" w:name="_Toc5101"/>
      <w:bookmarkStart w:id="466" w:name="_Toc216582815"/>
      <w:bookmarkStart w:id="467" w:name="_Toc22563"/>
      <w:bookmarkStart w:id="468" w:name="_Toc216582817"/>
      <w:bookmarkStart w:id="469" w:name="_Toc28959"/>
      <w:bookmarkStart w:id="470" w:name="_Toc515647820"/>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投标分项报价表</w:t>
      </w:r>
      <w:bookmarkEnd w:id="454"/>
      <w:bookmarkEnd w:id="455"/>
      <w:bookmarkEnd w:id="456"/>
      <w:bookmarkEnd w:id="457"/>
      <w:bookmarkEnd w:id="458"/>
      <w:bookmarkEnd w:id="459"/>
      <w:bookmarkEnd w:id="460"/>
      <w:bookmarkEnd w:id="461"/>
      <w:bookmarkEnd w:id="462"/>
      <w:bookmarkEnd w:id="463"/>
      <w:bookmarkEnd w:id="464"/>
      <w:bookmarkEnd w:id="465"/>
      <w:bookmarkEnd w:id="466"/>
    </w:p>
    <w:p>
      <w:pPr>
        <w:pStyle w:val="16"/>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 　 　             报价单位</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人民币万元</w:t>
      </w:r>
    </w:p>
    <w:p>
      <w:pPr>
        <w:pStyle w:val="16"/>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9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841"/>
        <w:gridCol w:w="1713"/>
        <w:gridCol w:w="1075"/>
        <w:gridCol w:w="1497"/>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754" w:type="dxa"/>
            <w:noWrap/>
            <w:vAlign w:val="center"/>
          </w:tcPr>
          <w:p>
            <w:pPr>
              <w:pStyle w:val="16"/>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336"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名称</w:t>
            </w:r>
          </w:p>
        </w:tc>
        <w:tc>
          <w:tcPr>
            <w:tcW w:w="1841"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型号和规格</w:t>
            </w:r>
          </w:p>
        </w:tc>
        <w:tc>
          <w:tcPr>
            <w:tcW w:w="1713"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数量</w:t>
            </w:r>
          </w:p>
        </w:tc>
        <w:tc>
          <w:tcPr>
            <w:tcW w:w="1075"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单位</w:t>
            </w:r>
          </w:p>
        </w:tc>
        <w:tc>
          <w:tcPr>
            <w:tcW w:w="1497"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单价</w:t>
            </w:r>
          </w:p>
        </w:tc>
        <w:tc>
          <w:tcPr>
            <w:tcW w:w="843"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总价</w:t>
            </w:r>
          </w:p>
        </w:tc>
        <w:tc>
          <w:tcPr>
            <w:tcW w:w="801"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754" w:type="dxa"/>
            <w:noWrap/>
            <w:vAlign w:val="center"/>
          </w:tcPr>
          <w:p>
            <w:pPr>
              <w:pStyle w:val="16"/>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p>
        </w:tc>
        <w:tc>
          <w:tcPr>
            <w:tcW w:w="1336"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货物名称</w:t>
            </w:r>
          </w:p>
        </w:tc>
        <w:tc>
          <w:tcPr>
            <w:tcW w:w="1841"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3"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075"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97"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43"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01"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754" w:type="dxa"/>
            <w:noWrap/>
            <w:vAlign w:val="center"/>
          </w:tcPr>
          <w:p>
            <w:pPr>
              <w:pStyle w:val="16"/>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1336" w:type="dxa"/>
            <w:noWrap/>
            <w:vAlign w:val="center"/>
          </w:tcPr>
          <w:p>
            <w:pPr>
              <w:pStyle w:val="16"/>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技术服务</w:t>
            </w:r>
          </w:p>
        </w:tc>
        <w:tc>
          <w:tcPr>
            <w:tcW w:w="1841"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3"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075"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97"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43"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01" w:type="dxa"/>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216" w:type="dxa"/>
            <w:gridSpan w:val="6"/>
            <w:noWrap/>
            <w:vAlign w:val="center"/>
          </w:tcPr>
          <w:p>
            <w:pPr>
              <w:pStyle w:val="16"/>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总价：</w:t>
            </w:r>
          </w:p>
        </w:tc>
        <w:tc>
          <w:tcPr>
            <w:tcW w:w="1644" w:type="dxa"/>
            <w:gridSpan w:val="2"/>
            <w:noWrap/>
            <w:vAlign w:val="center"/>
          </w:tcPr>
          <w:p>
            <w:pPr>
              <w:pStyle w:val="16"/>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6"/>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6"/>
        <w:tabs>
          <w:tab w:val="left" w:pos="537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p>
      <w:pPr>
        <w:pStyle w:val="16"/>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注:1.如果供应商认为需要，每种</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货物</w:t>
      </w:r>
      <w:r>
        <w:rPr>
          <w:rFonts w:hint="eastAsia" w:ascii="微软雅黑" w:hAnsi="微软雅黑" w:eastAsia="微软雅黑" w:cs="微软雅黑"/>
          <w:color w:val="000000" w:themeColor="text1"/>
          <w:sz w:val="24"/>
          <w:szCs w:val="24"/>
          <w:highlight w:val="none"/>
          <w14:textFill>
            <w14:solidFill>
              <w14:schemeClr w14:val="tx1"/>
            </w14:solidFill>
          </w14:textFill>
        </w:rPr>
        <w:t>内容填写一份该表。</w:t>
      </w:r>
    </w:p>
    <w:p>
      <w:pPr>
        <w:pStyle w:val="16"/>
        <w:spacing w:line="400" w:lineRule="atLeast"/>
        <w:ind w:left="1079" w:leftChars="428" w:hanging="180" w:hangingChars="7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2.如果按单价计算的结果与总价不一致,以单价为准修正总价。</w:t>
      </w:r>
    </w:p>
    <w:p>
      <w:pPr>
        <w:pStyle w:val="16"/>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3.如果不提供详细分项报价将视为没有实质性响应招标文件。</w:t>
      </w:r>
    </w:p>
    <w:p>
      <w:pPr>
        <w:pStyle w:val="16"/>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4.上述各项的详细分项报价，应另页描述。</w:t>
      </w:r>
    </w:p>
    <w:p>
      <w:pPr>
        <w:pStyle w:val="16"/>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5.如果开标一览表（报价表）内容与投标文件中明细表内容不一致的，以开标一览表（报价表）内容为准。</w:t>
      </w:r>
    </w:p>
    <w:p>
      <w:pPr>
        <w:pStyle w:val="16"/>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6"/>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6"/>
        <w:spacing w:line="240" w:lineRule="atLeast"/>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4"/>
        <w:spacing w:before="0" w:line="240" w:lineRule="atLeast"/>
        <w:ind w:firstLine="2731" w:firstLineChars="1300"/>
        <w:jc w:val="both"/>
        <w:rPr>
          <w:rFonts w:hint="eastAsia" w:ascii="微软雅黑" w:hAnsi="微软雅黑" w:eastAsia="微软雅黑" w:cs="微软雅黑"/>
          <w:b/>
          <w:bCs/>
          <w:color w:val="000000" w:themeColor="text1"/>
          <w:sz w:val="21"/>
          <w:szCs w:val="21"/>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bookmarkStart w:id="471" w:name="_Toc28817"/>
      <w:bookmarkStart w:id="472" w:name="_Toc28800"/>
      <w:bookmarkStart w:id="473" w:name="_Toc21726"/>
      <w:bookmarkStart w:id="474" w:name="_Toc11211"/>
      <w:bookmarkStart w:id="475" w:name="_Toc15861"/>
      <w:bookmarkStart w:id="476" w:name="_Toc11577"/>
      <w:bookmarkStart w:id="477" w:name="_Toc31515"/>
    </w:p>
    <w:p>
      <w:pPr>
        <w:pStyle w:val="4"/>
        <w:spacing w:before="0" w:line="240" w:lineRule="atLeast"/>
        <w:ind w:firstLine="2731" w:firstLineChars="1300"/>
        <w:jc w:val="both"/>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478" w:name="_Toc15687"/>
      <w:r>
        <w:rPr>
          <w:rFonts w:hint="eastAsia" w:ascii="微软雅黑" w:hAnsi="微软雅黑" w:eastAsia="微软雅黑" w:cs="微软雅黑"/>
          <w:b/>
          <w:bCs/>
          <w:color w:val="000000" w:themeColor="text1"/>
          <w:sz w:val="21"/>
          <w:szCs w:val="21"/>
          <w:highlight w:val="none"/>
          <w14:textFill>
            <w14:solidFill>
              <w14:schemeClr w14:val="tx1"/>
            </w14:solidFill>
          </w14:textFill>
        </w:rPr>
        <w:t>3</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货物说明一览表</w:t>
      </w:r>
      <w:bookmarkEnd w:id="471"/>
      <w:bookmarkEnd w:id="472"/>
      <w:bookmarkEnd w:id="473"/>
      <w:bookmarkEnd w:id="474"/>
      <w:bookmarkEnd w:id="475"/>
      <w:bookmarkEnd w:id="476"/>
      <w:bookmarkEnd w:id="477"/>
      <w:bookmarkEnd w:id="478"/>
    </w:p>
    <w:p>
      <w:pPr>
        <w:pStyle w:val="16"/>
        <w:spacing w:line="240" w:lineRule="atLeast"/>
        <w:jc w:val="left"/>
        <w:rPr>
          <w:rFonts w:hint="eastAsia" w:ascii="微软雅黑" w:hAnsi="微软雅黑" w:eastAsia="微软雅黑" w:cs="微软雅黑"/>
          <w:color w:val="000000" w:themeColor="text1"/>
          <w:highlight w:val="none"/>
          <w14:textFill>
            <w14:solidFill>
              <w14:schemeClr w14:val="tx1"/>
            </w14:solidFill>
          </w14:textFill>
        </w:rPr>
      </w:pPr>
    </w:p>
    <w:p>
      <w:pPr>
        <w:pStyle w:val="16"/>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9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0"/>
        <w:gridCol w:w="1400"/>
        <w:gridCol w:w="1296"/>
        <w:gridCol w:w="1505"/>
        <w:gridCol w:w="171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1083"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序号</w:t>
            </w:r>
          </w:p>
        </w:tc>
        <w:tc>
          <w:tcPr>
            <w:tcW w:w="1300"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货物名称</w:t>
            </w:r>
          </w:p>
        </w:tc>
        <w:tc>
          <w:tcPr>
            <w:tcW w:w="1400"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规格型号</w:t>
            </w:r>
          </w:p>
        </w:tc>
        <w:tc>
          <w:tcPr>
            <w:tcW w:w="1296" w:type="dxa"/>
            <w:vAlign w:val="center"/>
          </w:tcPr>
          <w:p>
            <w:pPr>
              <w:widowControl/>
              <w:spacing w:line="400" w:lineRule="exact"/>
              <w:jc w:val="center"/>
              <w:textAlignment w:val="cente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t>数量</w:t>
            </w:r>
          </w:p>
        </w:tc>
        <w:tc>
          <w:tcPr>
            <w:tcW w:w="1505" w:type="dxa"/>
            <w:vAlign w:val="center"/>
          </w:tcPr>
          <w:p>
            <w:pPr>
              <w:widowControl/>
              <w:spacing w:line="400" w:lineRule="exact"/>
              <w:jc w:val="center"/>
              <w:textAlignment w:val="center"/>
              <w:rPr>
                <w:rFonts w:hint="eastAsia" w:ascii="微软雅黑" w:hAnsi="微软雅黑" w:eastAsia="微软雅黑" w:cs="微软雅黑"/>
                <w:color w:val="000000" w:themeColor="text1"/>
                <w:kern w:val="0"/>
                <w:sz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t>播种期限</w:t>
            </w:r>
          </w:p>
        </w:tc>
        <w:tc>
          <w:tcPr>
            <w:tcW w:w="1717"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t>播种</w:t>
            </w:r>
            <w:r>
              <w:rPr>
                <w:rFonts w:hint="eastAsia" w:ascii="微软雅黑" w:hAnsi="微软雅黑" w:eastAsia="微软雅黑" w:cs="微软雅黑"/>
                <w:color w:val="000000" w:themeColor="text1"/>
                <w:kern w:val="0"/>
                <w:sz w:val="24"/>
                <w:highlight w:val="none"/>
                <w14:textFill>
                  <w14:solidFill>
                    <w14:schemeClr w14:val="tx1"/>
                  </w14:solidFill>
                </w14:textFill>
              </w:rPr>
              <w:t>地点</w:t>
            </w:r>
          </w:p>
        </w:tc>
        <w:tc>
          <w:tcPr>
            <w:tcW w:w="956" w:type="dxa"/>
            <w:vAlign w:val="center"/>
          </w:tcPr>
          <w:p>
            <w:pPr>
              <w:widowControl/>
              <w:spacing w:line="400" w:lineRule="exact"/>
              <w:jc w:val="center"/>
              <w:textAlignment w:val="center"/>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83"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83"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83"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83"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83"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83"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083"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6"/>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pPr>
        <w:pStyle w:val="16"/>
        <w:tabs>
          <w:tab w:val="left" w:pos="537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p>
      <w:pPr>
        <w:pStyle w:val="16"/>
        <w:spacing w:line="240" w:lineRule="atLeast"/>
        <w:ind w:left="1080" w:leftChars="257" w:hanging="540"/>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 各项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货物</w:t>
      </w:r>
      <w:r>
        <w:rPr>
          <w:rFonts w:hint="eastAsia" w:ascii="微软雅黑" w:hAnsi="微软雅黑" w:eastAsia="微软雅黑" w:cs="微软雅黑"/>
          <w:color w:val="000000" w:themeColor="text1"/>
          <w:sz w:val="24"/>
          <w:szCs w:val="24"/>
          <w:highlight w:val="none"/>
          <w14:textFill>
            <w14:solidFill>
              <w14:schemeClr w14:val="tx1"/>
            </w14:solidFill>
          </w14:textFill>
        </w:rPr>
        <w:t>详细技术性能应另页描述。</w:t>
      </w:r>
    </w:p>
    <w:p>
      <w:pPr>
        <w:pStyle w:val="16"/>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6"/>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6"/>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6"/>
        <w:spacing w:line="240" w:lineRule="atLeast"/>
        <w:ind w:left="1080" w:leftChars="257" w:hanging="540"/>
        <w:jc w:val="center"/>
        <w:outlineLvl w:val="1"/>
        <w:rPr>
          <w:rFonts w:hint="eastAsia" w:ascii="微软雅黑" w:hAnsi="微软雅黑" w:eastAsia="微软雅黑" w:cs="微软雅黑"/>
          <w:b/>
          <w:bCs/>
          <w:color w:val="000000" w:themeColor="text1"/>
          <w:sz w:val="24"/>
          <w:szCs w:val="24"/>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bookmarkStart w:id="479" w:name="_Toc23542"/>
      <w:bookmarkStart w:id="480" w:name="_Toc26490"/>
      <w:bookmarkStart w:id="481" w:name="_Toc13229"/>
      <w:bookmarkStart w:id="482" w:name="_Toc13093"/>
      <w:bookmarkStart w:id="483" w:name="_Toc28414"/>
      <w:bookmarkStart w:id="484" w:name="_Toc32666"/>
      <w:bookmarkStart w:id="485" w:name="_Toc3537"/>
    </w:p>
    <w:p>
      <w:pPr>
        <w:pStyle w:val="16"/>
        <w:spacing w:line="240" w:lineRule="atLeast"/>
        <w:ind w:left="1080" w:leftChars="257" w:hanging="540"/>
        <w:jc w:val="center"/>
        <w:outlineLvl w:val="1"/>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486" w:name="_Toc3149"/>
      <w:r>
        <w:rPr>
          <w:rFonts w:hint="eastAsia" w:ascii="微软雅黑" w:hAnsi="微软雅黑" w:eastAsia="微软雅黑" w:cs="微软雅黑"/>
          <w:b/>
          <w:bCs/>
          <w:color w:val="000000" w:themeColor="text1"/>
          <w:sz w:val="24"/>
          <w:szCs w:val="24"/>
          <w:highlight w:val="none"/>
          <w14:textFill>
            <w14:solidFill>
              <w14:schemeClr w14:val="tx1"/>
            </w14:solidFill>
          </w14:textFill>
        </w:rPr>
        <w:t>4</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技术规格偏离表</w:t>
      </w:r>
      <w:bookmarkEnd w:id="479"/>
      <w:bookmarkEnd w:id="480"/>
      <w:bookmarkEnd w:id="481"/>
      <w:bookmarkEnd w:id="482"/>
      <w:bookmarkEnd w:id="483"/>
      <w:bookmarkEnd w:id="484"/>
      <w:bookmarkEnd w:id="485"/>
      <w:bookmarkEnd w:id="486"/>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75" w:type="dxa"/>
            <w:vAlign w:val="center"/>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330" w:type="dxa"/>
            <w:vAlign w:val="center"/>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货物名称</w:t>
            </w:r>
          </w:p>
        </w:tc>
        <w:tc>
          <w:tcPr>
            <w:tcW w:w="2472" w:type="dxa"/>
            <w:vAlign w:val="center"/>
          </w:tcPr>
          <w:p>
            <w:pPr>
              <w:pStyle w:val="16"/>
              <w:spacing w:line="240" w:lineRule="atLeast"/>
              <w:ind w:left="269" w:leftChars="128"/>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招标文件条款号</w:t>
            </w:r>
          </w:p>
        </w:tc>
        <w:tc>
          <w:tcPr>
            <w:tcW w:w="1331" w:type="dxa"/>
            <w:vAlign w:val="center"/>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招标规格</w:t>
            </w:r>
          </w:p>
        </w:tc>
        <w:tc>
          <w:tcPr>
            <w:tcW w:w="1331" w:type="dxa"/>
            <w:vAlign w:val="center"/>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投标规格</w:t>
            </w:r>
          </w:p>
        </w:tc>
        <w:tc>
          <w:tcPr>
            <w:tcW w:w="950" w:type="dxa"/>
            <w:vAlign w:val="center"/>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偏离</w:t>
            </w:r>
          </w:p>
        </w:tc>
        <w:tc>
          <w:tcPr>
            <w:tcW w:w="951" w:type="dxa"/>
            <w:vAlign w:val="center"/>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6"/>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6"/>
        <w:tabs>
          <w:tab w:val="left" w:pos="5370"/>
        </w:tabs>
        <w:spacing w:line="240" w:lineRule="atLeast"/>
        <w:ind w:left="1080" w:leftChars="257" w:hanging="540"/>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bookmarkEnd w:id="467"/>
    <w:bookmarkEnd w:id="468"/>
    <w:bookmarkEnd w:id="469"/>
    <w:bookmarkEnd w:id="470"/>
    <w:p>
      <w:pPr>
        <w:spacing w:line="240" w:lineRule="atLeast"/>
        <w:ind w:firstLine="2310" w:firstLineChars="1100"/>
        <w:rPr>
          <w:rFonts w:hint="eastAsia" w:ascii="微软雅黑" w:hAnsi="微软雅黑" w:eastAsia="微软雅黑" w:cs="微软雅黑"/>
          <w:color w:val="000000" w:themeColor="text1"/>
          <w:highlight w:val="none"/>
          <w14:textFill>
            <w14:solidFill>
              <w14:schemeClr w14:val="tx1"/>
            </w14:solidFill>
          </w14:textFill>
        </w:rPr>
      </w:pPr>
      <w:bookmarkStart w:id="487" w:name="_Toc1980"/>
      <w:bookmarkStart w:id="488" w:name="_Toc216582818"/>
      <w:bookmarkStart w:id="489" w:name="_Toc31439"/>
      <w:bookmarkStart w:id="490" w:name="_Toc515647821"/>
      <w:bookmarkStart w:id="491" w:name="_Toc23"/>
    </w:p>
    <w:p>
      <w:pPr>
        <w:spacing w:line="240" w:lineRule="atLeast"/>
        <w:ind w:firstLine="2310" w:firstLineChars="1100"/>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bookmarkEnd w:id="487"/>
    <w:bookmarkEnd w:id="488"/>
    <w:bookmarkEnd w:id="489"/>
    <w:bookmarkEnd w:id="490"/>
    <w:bookmarkEnd w:id="491"/>
    <w:p>
      <w:pPr>
        <w:pStyle w:val="4"/>
        <w:spacing w:before="0" w:line="240" w:lineRule="atLeast"/>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pPr>
      <w:bookmarkStart w:id="492" w:name="_Toc22640"/>
      <w:bookmarkStart w:id="493" w:name="_Toc29782"/>
      <w:bookmarkStart w:id="494" w:name="_Toc14878"/>
      <w:bookmarkStart w:id="495" w:name="_Toc7965"/>
      <w:bookmarkStart w:id="496" w:name="_Toc24526"/>
      <w:bookmarkStart w:id="497" w:name="_Toc28566"/>
      <w:bookmarkStart w:id="498" w:name="_Toc1896"/>
      <w:bookmarkStart w:id="499" w:name="_Toc16989"/>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5</w:t>
      </w:r>
      <w:r>
        <w:rPr>
          <w:rFonts w:hint="eastAsia" w:ascii="微软雅黑" w:hAnsi="微软雅黑" w:eastAsia="微软雅黑" w:cs="微软雅黑"/>
          <w:b/>
          <w:bCs/>
          <w:color w:val="000000" w:themeColor="text1"/>
          <w:kern w:val="2"/>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商务条款偏离表</w:t>
      </w:r>
      <w:bookmarkEnd w:id="492"/>
      <w:bookmarkEnd w:id="493"/>
      <w:bookmarkEnd w:id="494"/>
      <w:bookmarkEnd w:id="495"/>
      <w:bookmarkEnd w:id="496"/>
      <w:bookmarkEnd w:id="497"/>
      <w:bookmarkEnd w:id="498"/>
      <w:bookmarkEnd w:id="499"/>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8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926" w:type="dxa"/>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招标文件条款号</w:t>
            </w:r>
          </w:p>
        </w:tc>
        <w:tc>
          <w:tcPr>
            <w:tcW w:w="2380" w:type="dxa"/>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招标文件的商务条款</w:t>
            </w:r>
          </w:p>
        </w:tc>
        <w:tc>
          <w:tcPr>
            <w:tcW w:w="2380" w:type="dxa"/>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投标文件的商务条款</w:t>
            </w:r>
          </w:p>
        </w:tc>
        <w:tc>
          <w:tcPr>
            <w:tcW w:w="957" w:type="dxa"/>
          </w:tcPr>
          <w:p>
            <w:pPr>
              <w:pStyle w:val="16"/>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895"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6"/>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6"/>
        <w:tabs>
          <w:tab w:val="left" w:pos="5370"/>
        </w:tabs>
        <w:spacing w:line="240" w:lineRule="atLeast"/>
        <w:ind w:left="1080" w:leftChars="257" w:hanging="54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p>
      <w:pPr>
        <w:pStyle w:val="16"/>
        <w:spacing w:line="240" w:lineRule="atLeast"/>
        <w:ind w:left="1080" w:leftChars="257" w:hanging="54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br w:type="page"/>
      </w:r>
    </w:p>
    <w:p>
      <w:pPr>
        <w:pStyle w:val="4"/>
        <w:spacing w:before="0" w:line="240" w:lineRule="atLeas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500" w:name="_Hlt520273973"/>
      <w:bookmarkEnd w:id="500"/>
      <w:bookmarkStart w:id="501" w:name="_Hlt520350957"/>
      <w:bookmarkEnd w:id="501"/>
      <w:bookmarkStart w:id="502" w:name="_Hlt520271212"/>
      <w:bookmarkEnd w:id="502"/>
      <w:bookmarkStart w:id="503" w:name="_Hlt520274911"/>
      <w:bookmarkEnd w:id="503"/>
      <w:bookmarkStart w:id="504" w:name="_Hlt520343000"/>
      <w:bookmarkEnd w:id="504"/>
      <w:bookmarkStart w:id="505" w:name="_Hlt520274407"/>
      <w:bookmarkEnd w:id="505"/>
      <w:bookmarkStart w:id="506" w:name="_Hlt520343392"/>
      <w:bookmarkEnd w:id="506"/>
      <w:bookmarkStart w:id="507" w:name="_Hlt520350918"/>
      <w:bookmarkEnd w:id="507"/>
      <w:bookmarkStart w:id="508" w:name="_Hlt520274393"/>
      <w:bookmarkEnd w:id="508"/>
      <w:bookmarkStart w:id="509" w:name="_Hlt520274065"/>
      <w:bookmarkEnd w:id="509"/>
      <w:bookmarkStart w:id="510" w:name="_Hlt520273711"/>
      <w:bookmarkEnd w:id="510"/>
      <w:bookmarkStart w:id="511" w:name="_Toc4073"/>
      <w:bookmarkStart w:id="512" w:name="_Toc3844"/>
      <w:bookmarkStart w:id="513" w:name="_Toc6881"/>
      <w:bookmarkStart w:id="514" w:name="_Toc515647823"/>
      <w:bookmarkStart w:id="515" w:name="_Toc21482"/>
      <w:bookmarkStart w:id="516" w:name="_Toc16929"/>
      <w:bookmarkStart w:id="517" w:name="_Toc10079"/>
      <w:bookmarkStart w:id="518" w:name="_Toc18923"/>
      <w:bookmarkStart w:id="519" w:name="_Toc8638"/>
      <w:bookmarkStart w:id="520" w:name="_Toc10725"/>
      <w:bookmarkStart w:id="521" w:name="_Toc15213"/>
      <w:bookmarkStart w:id="522" w:name="_Toc13462"/>
      <w:bookmarkStart w:id="523" w:name="_Toc17820"/>
      <w:bookmarkStart w:id="524" w:name="_Toc21312"/>
      <w:bookmarkStart w:id="525" w:name="_Toc20087"/>
      <w:r>
        <w:rPr>
          <w:rFonts w:hint="eastAsia" w:ascii="微软雅黑" w:hAnsi="微软雅黑" w:eastAsia="微软雅黑" w:cs="微软雅黑"/>
          <w:b/>
          <w:bCs/>
          <w:color w:val="000000" w:themeColor="text1"/>
          <w:kern w:val="2"/>
          <w:sz w:val="22"/>
          <w:szCs w:val="22"/>
          <w:highlight w:val="none"/>
          <w14:textFill>
            <w14:solidFill>
              <w14:schemeClr w14:val="tx1"/>
            </w14:solidFill>
          </w14:textFill>
        </w:rPr>
        <w:t xml:space="preserve">6-1  </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微软雅黑" w:hAnsi="微软雅黑" w:eastAsia="微软雅黑" w:cs="微软雅黑"/>
          <w:b/>
          <w:bCs/>
          <w:color w:val="000000" w:themeColor="text1"/>
          <w:sz w:val="22"/>
          <w:szCs w:val="22"/>
          <w:highlight w:val="none"/>
          <w14:textFill>
            <w14:solidFill>
              <w14:schemeClr w14:val="tx1"/>
            </w14:solidFill>
          </w14:textFill>
        </w:rPr>
        <w:t>中小企业声明函</w:t>
      </w:r>
      <w:bookmarkEnd w:id="525"/>
    </w:p>
    <w:p>
      <w:pPr>
        <w:spacing w:line="240" w:lineRule="atLeast"/>
        <w:ind w:left="1080" w:leftChars="257" w:hanging="540"/>
        <w:jc w:val="center"/>
        <w:rPr>
          <w:rFonts w:hint="eastAsia" w:ascii="微软雅黑" w:hAnsi="微软雅黑" w:eastAsia="微软雅黑" w:cs="微软雅黑"/>
          <w:b/>
          <w:bCs/>
          <w:color w:val="000000" w:themeColor="text1"/>
          <w:kern w:val="0"/>
          <w:sz w:val="22"/>
          <w:szCs w:val="22"/>
          <w:highlight w:val="none"/>
          <w14:textFill>
            <w14:solidFill>
              <w14:schemeClr w14:val="tx1"/>
            </w14:solidFill>
          </w14:textFill>
        </w:rPr>
      </w:pP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val="en-US" w:eastAsia="zh-CN"/>
          <w14:textFill>
            <w14:solidFill>
              <w14:schemeClr w14:val="tx1"/>
            </w14:solidFill>
          </w14:textFill>
        </w:rPr>
        <w:t>1、</w:t>
      </w:r>
      <w:r>
        <w:rPr>
          <w:rFonts w:hint="eastAsia" w:ascii="微软雅黑" w:hAnsi="微软雅黑" w:eastAsia="微软雅黑" w:cs="微软雅黑"/>
          <w:color w:val="000000" w:themeColor="text1"/>
          <w:highlight w:val="none"/>
          <w14:textFill>
            <w14:solidFill>
              <w14:schemeClr w14:val="tx1"/>
            </w14:solidFill>
          </w14:textFill>
        </w:rPr>
        <w:t xml:space="preserve">（ 标 的 名 称 ） ， 属 于 （ 采 购 文 件 中 明 确 的 所 属 行 业 ） 行业；制造商为（企业名称），从业人员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人，营业收入为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万元，资产总额为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万元</w:t>
      </w:r>
      <w:r>
        <w:rPr>
          <w:rFonts w:hint="eastAsia" w:ascii="微软雅黑" w:hAnsi="微软雅黑" w:eastAsia="微软雅黑" w:cs="微软雅黑"/>
          <w:color w:val="000000" w:themeColor="text1"/>
          <w:highlight w:val="none"/>
          <w14:textFill>
            <w14:solidFill>
              <w14:schemeClr w14:val="tx1"/>
            </w14:solidFill>
          </w14:textFill>
        </w:rPr>
        <w:fldChar w:fldCharType="begin"/>
      </w:r>
      <w:r>
        <w:rPr>
          <w:rFonts w:hint="eastAsia" w:ascii="微软雅黑" w:hAnsi="微软雅黑" w:eastAsia="微软雅黑" w:cs="微软雅黑"/>
          <w:color w:val="000000" w:themeColor="text1"/>
          <w:highlight w:val="none"/>
          <w14:textFill>
            <w14:solidFill>
              <w14:schemeClr w14:val="tx1"/>
            </w14:solidFill>
          </w14:textFill>
        </w:rPr>
        <w:instrText xml:space="preserve"> HYPERLINK \l "_bookmark0" </w:instrText>
      </w:r>
      <w:r>
        <w:rPr>
          <w:rFonts w:hint="eastAsia" w:ascii="微软雅黑" w:hAnsi="微软雅黑" w:eastAsia="微软雅黑" w:cs="微软雅黑"/>
          <w:color w:val="000000" w:themeColor="text1"/>
          <w:highlight w:val="none"/>
          <w14:textFill>
            <w14:solidFill>
              <w14:schemeClr w14:val="tx1"/>
            </w14:solidFill>
          </w14:textFill>
        </w:rPr>
        <w:fldChar w:fldCharType="separate"/>
      </w:r>
      <w:r>
        <w:rPr>
          <w:rFonts w:hint="eastAsia" w:ascii="微软雅黑" w:hAnsi="微软雅黑" w:eastAsia="微软雅黑" w:cs="微软雅黑"/>
          <w:color w:val="000000" w:themeColor="text1"/>
          <w:highlight w:val="none"/>
          <w14:textFill>
            <w14:solidFill>
              <w14:schemeClr w14:val="tx1"/>
            </w14:solidFill>
          </w14:textFill>
        </w:rPr>
        <w:t>1</w:t>
      </w:r>
      <w:r>
        <w:rPr>
          <w:rFonts w:hint="eastAsia" w:ascii="微软雅黑" w:hAnsi="微软雅黑" w:eastAsia="微软雅黑" w:cs="微软雅黑"/>
          <w:color w:val="000000" w:themeColor="text1"/>
          <w:highlight w:val="none"/>
          <w14:textFill>
            <w14:solidFill>
              <w14:schemeClr w14:val="tx1"/>
            </w14:solidFill>
          </w14:textFill>
        </w:rPr>
        <w:fldChar w:fldCharType="end"/>
      </w:r>
      <w:r>
        <w:rPr>
          <w:rFonts w:hint="eastAsia" w:ascii="微软雅黑" w:hAnsi="微软雅黑" w:eastAsia="微软雅黑" w:cs="微软雅黑"/>
          <w:color w:val="000000" w:themeColor="text1"/>
          <w:highlight w:val="none"/>
          <w14:textFill>
            <w14:solidFill>
              <w14:schemeClr w14:val="tx1"/>
            </w14:solidFill>
          </w14:textFill>
        </w:rPr>
        <w:t>，属于（中型企业、小型企业、微型企业）；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2、</w:t>
      </w:r>
      <w:r>
        <w:rPr>
          <w:rFonts w:hint="eastAsia" w:ascii="微软雅黑" w:hAnsi="微软雅黑" w:eastAsia="微软雅黑" w:cs="微软雅黑"/>
          <w:color w:val="000000" w:themeColor="text1"/>
          <w:highlight w:val="none"/>
          <w14:textFill>
            <w14:solidFill>
              <w14:schemeClr w14:val="tx1"/>
            </w14:solidFill>
          </w14:textFill>
        </w:rPr>
        <w:t xml:space="preserve">（ 标 的 名 称 ） ， 属 于 （ 采 购 文 件 中 明 确 的 所 属 行 业 ） 行业；制造商为（企业名称），从业人员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人，营业收入为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万元，资产总额为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本企业对上述声明内容的真实性负责。如有虚假，将依法承担相应责任。</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企业名称（盖章）：日期：</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p>
    <w:p>
      <w:pPr>
        <w:spacing w:line="240" w:lineRule="atLeast"/>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注：</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须附从业人员、营业收入、资产总额填报上一年度数据，无上一年度数据的新成立企业可不填报。</w:t>
      </w:r>
    </w:p>
    <w:p>
      <w:pPr>
        <w:spacing w:line="240" w:lineRule="atLeas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 xml:space="preserve">   </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 xml:space="preserve">2、潜在投标企业属于中小微企业的，应在投标文件中提供‘’中小企业声明函”如果未提供或提供的“中小企业声明函”，供应商将承担由此造成的一切不利后果。             </w:t>
      </w:r>
    </w:p>
    <w:p>
      <w:pPr>
        <w:widowControl/>
        <w:spacing w:before="100" w:beforeAutospacing="1" w:after="100" w:afterAutospacing="1" w:line="330" w:lineRule="atLeast"/>
        <w:ind w:firstLine="420"/>
        <w:jc w:val="left"/>
        <w:rPr>
          <w:rFonts w:hint="eastAsia" w:ascii="微软雅黑" w:hAnsi="微软雅黑" w:eastAsia="微软雅黑" w:cs="微软雅黑"/>
          <w:color w:val="000000" w:themeColor="text1"/>
          <w:highlight w:val="none"/>
          <w14:textFill>
            <w14:solidFill>
              <w14:schemeClr w14:val="tx1"/>
            </w14:solidFill>
          </w14:textFill>
        </w:rPr>
      </w:pPr>
    </w:p>
    <w:p>
      <w:pPr>
        <w:pStyle w:val="4"/>
        <w:spacing w:before="0" w:line="240" w:lineRule="atLeast"/>
        <w:jc w:val="center"/>
        <w:rPr>
          <w:rFonts w:hint="eastAsia" w:ascii="微软雅黑" w:hAnsi="微软雅黑" w:eastAsia="微软雅黑" w:cs="微软雅黑"/>
          <w:color w:val="000000" w:themeColor="text1"/>
          <w:kern w:val="2"/>
          <w:sz w:val="24"/>
          <w:szCs w:val="24"/>
          <w:highlight w:val="none"/>
          <w14:textFill>
            <w14:solidFill>
              <w14:schemeClr w14:val="tx1"/>
            </w14:solidFill>
          </w14:textFill>
        </w:rPr>
      </w:pPr>
      <w:bookmarkStart w:id="526" w:name="_Toc2709"/>
      <w:bookmarkStart w:id="527" w:name="_Toc12060"/>
      <w:bookmarkStart w:id="528" w:name="_Toc11803"/>
      <w:bookmarkStart w:id="529" w:name="_Toc18860"/>
      <w:bookmarkStart w:id="530" w:name="_Toc12692"/>
      <w:bookmarkStart w:id="531" w:name="_Toc7018"/>
      <w:bookmarkStart w:id="532" w:name="_Toc29115"/>
      <w:bookmarkStart w:id="533" w:name="_Toc752"/>
      <w:bookmarkStart w:id="534" w:name="_Toc26643"/>
      <w:bookmarkStart w:id="535" w:name="_Toc10977"/>
      <w:bookmarkStart w:id="536" w:name="_Toc4543"/>
      <w:bookmarkStart w:id="537" w:name="_Toc515647824"/>
      <w:bookmarkStart w:id="538" w:name="_Toc5609"/>
      <w:bookmarkStart w:id="539" w:name="_Toc28055"/>
      <w:bookmarkStart w:id="540" w:name="_Toc6203"/>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 xml:space="preserve">6-2  </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1" w:name="_Toc4244"/>
      <w:bookmarkStart w:id="542" w:name="_Toc26931"/>
      <w:bookmarkStart w:id="543" w:name="_Toc24860"/>
      <w:bookmarkStart w:id="544" w:name="_Toc15294"/>
      <w:bookmarkStart w:id="545" w:name="_Toc32586"/>
      <w:bookmarkStart w:id="546" w:name="_Toc732"/>
      <w:bookmarkStart w:id="547" w:name="_Toc13947"/>
      <w:bookmarkStart w:id="548" w:name="_Toc3420"/>
      <w:bookmarkStart w:id="549" w:name="_Toc515647825"/>
      <w:bookmarkStart w:id="550" w:name="_Toc14454"/>
      <w:bookmarkStart w:id="551" w:name="_Toc23068"/>
      <w:bookmarkStart w:id="552" w:name="_Toc19284"/>
      <w:bookmarkStart w:id="553" w:name="_Toc30849"/>
      <w:bookmarkStart w:id="554" w:name="_Toc2621"/>
      <w:bookmarkStart w:id="555" w:name="OLE_LINK13"/>
      <w:bookmarkStart w:id="556" w:name="OLE_LINK14"/>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残疾人福利性单位声明函</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bookmarkEnd w:id="555"/>
    <w:bookmarkEnd w:id="556"/>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firstLine="567"/>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本单位对上述声明的真实性负责。如有虚假，将依法承担相应责任。</w:t>
      </w: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残疾人福利性单位名称（公章）：</w:t>
      </w: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日  期：</w:t>
      </w: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4"/>
        <w:spacing w:before="0" w:line="240" w:lineRule="atLeast"/>
        <w:ind w:left="1080" w:leftChars="257" w:hanging="540"/>
        <w:jc w:val="left"/>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pPr>
      <w:bookmarkStart w:id="557" w:name="_Toc2304"/>
      <w:bookmarkStart w:id="558" w:name="_Toc30795"/>
      <w:bookmarkStart w:id="559" w:name="_Toc6004"/>
      <w:bookmarkStart w:id="560" w:name="_Toc11868"/>
      <w:bookmarkStart w:id="561" w:name="_Toc17892"/>
      <w:bookmarkStart w:id="562" w:name="_Toc6009"/>
      <w:bookmarkStart w:id="563" w:name="_Toc28099"/>
      <w:bookmarkStart w:id="564" w:name="_Toc26133"/>
      <w:bookmarkStart w:id="565" w:name="_Toc515647827"/>
      <w:bookmarkStart w:id="566" w:name="_Toc22378"/>
      <w:bookmarkStart w:id="567" w:name="_Toc5568"/>
      <w:bookmarkStart w:id="568" w:name="_Toc19223"/>
      <w:bookmarkStart w:id="569" w:name="_Toc30946"/>
      <w:bookmarkStart w:id="570" w:name="_Toc22561"/>
      <w:bookmarkStart w:id="571" w:name="_Toc5527"/>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7</w:t>
      </w:r>
      <w:r>
        <w:rPr>
          <w:rFonts w:hint="eastAsia" w:ascii="微软雅黑" w:hAnsi="微软雅黑" w:eastAsia="微软雅黑" w:cs="微软雅黑"/>
          <w:b/>
          <w:bCs/>
          <w:color w:val="000000" w:themeColor="text1"/>
          <w:kern w:val="2"/>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供应商关联单位的说明</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pStyle w:val="8"/>
        <w:jc w:val="center"/>
        <w:rPr>
          <w:rFonts w:hint="eastAsia" w:ascii="微软雅黑" w:hAnsi="微软雅黑" w:eastAsia="微软雅黑" w:cs="微软雅黑"/>
          <w:color w:val="000000" w:themeColor="text1"/>
          <w:kern w:val="2"/>
          <w:highlight w:val="none"/>
          <w14:textFill>
            <w14:solidFill>
              <w14:schemeClr w14:val="tx1"/>
            </w14:solidFill>
          </w14:textFill>
        </w:rPr>
      </w:pPr>
    </w:p>
    <w:p>
      <w:pPr>
        <w:pStyle w:val="8"/>
        <w:ind w:firstLine="480" w:firstLineChars="200"/>
        <w:rPr>
          <w:rFonts w:hint="eastAsia" w:ascii="微软雅黑" w:hAnsi="微软雅黑" w:eastAsia="微软雅黑" w:cs="微软雅黑"/>
          <w:color w:val="000000" w:themeColor="text1"/>
          <w:kern w:val="2"/>
          <w:highlight w:val="none"/>
          <w14:textFill>
            <w14:solidFill>
              <w14:schemeClr w14:val="tx1"/>
            </w14:solidFill>
          </w14:textFill>
        </w:rPr>
      </w:pPr>
      <w:r>
        <w:rPr>
          <w:rFonts w:hint="eastAsia" w:ascii="微软雅黑" w:hAnsi="微软雅黑" w:eastAsia="微软雅黑" w:cs="微软雅黑"/>
          <w:color w:val="000000" w:themeColor="text1"/>
          <w:kern w:val="2"/>
          <w:highlight w:val="none"/>
          <w14:textFill>
            <w14:solidFill>
              <w14:schemeClr w14:val="tx1"/>
            </w14:solidFill>
          </w14:textFill>
        </w:rPr>
        <w:t>说明：供应商应当如实披露与本单位存在下列关联关系的单位名称：</w:t>
      </w:r>
    </w:p>
    <w:p>
      <w:pPr>
        <w:pStyle w:val="8"/>
        <w:ind w:firstLine="480" w:firstLineChars="200"/>
        <w:rPr>
          <w:rFonts w:hint="eastAsia" w:ascii="微软雅黑" w:hAnsi="微软雅黑" w:eastAsia="微软雅黑" w:cs="微软雅黑"/>
          <w:color w:val="000000" w:themeColor="text1"/>
          <w:kern w:val="2"/>
          <w:highlight w:val="none"/>
          <w:lang w:eastAsia="zh-CN"/>
          <w14:textFill>
            <w14:solidFill>
              <w14:schemeClr w14:val="tx1"/>
            </w14:solidFill>
          </w14:textFill>
        </w:rPr>
      </w:pPr>
      <w:r>
        <w:rPr>
          <w:rFonts w:hint="eastAsia" w:ascii="微软雅黑" w:hAnsi="微软雅黑" w:eastAsia="微软雅黑" w:cs="微软雅黑"/>
          <w:color w:val="000000" w:themeColor="text1"/>
          <w:kern w:val="2"/>
          <w:highlight w:val="none"/>
          <w14:textFill>
            <w14:solidFill>
              <w14:schemeClr w14:val="tx1"/>
            </w14:solidFill>
          </w14:textFill>
        </w:rPr>
        <w:t>（1）与供应商单位负责人为同一人的其他单位；</w:t>
      </w:r>
    </w:p>
    <w:p>
      <w:pPr>
        <w:pStyle w:val="8"/>
        <w:ind w:firstLine="480" w:firstLineChars="200"/>
        <w:rPr>
          <w:rFonts w:hint="eastAsia" w:ascii="微软雅黑" w:hAnsi="微软雅黑" w:eastAsia="微软雅黑" w:cs="微软雅黑"/>
          <w:color w:val="000000" w:themeColor="text1"/>
          <w:kern w:val="2"/>
          <w:highlight w:val="none"/>
          <w14:textFill>
            <w14:solidFill>
              <w14:schemeClr w14:val="tx1"/>
            </w14:solidFill>
          </w14:textFill>
        </w:rPr>
      </w:pPr>
      <w:r>
        <w:rPr>
          <w:rFonts w:hint="eastAsia" w:ascii="微软雅黑" w:hAnsi="微软雅黑" w:eastAsia="微软雅黑" w:cs="微软雅黑"/>
          <w:color w:val="000000" w:themeColor="text1"/>
          <w:kern w:val="2"/>
          <w:highlight w:val="none"/>
          <w14:textFill>
            <w14:solidFill>
              <w14:schemeClr w14:val="tx1"/>
            </w14:solidFill>
          </w14:textFill>
        </w:rPr>
        <w:t xml:space="preserve">    （2）与供应商存在直接控股、管理关系的其他单位。</w:t>
      </w: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4"/>
        <w:spacing w:before="0" w:line="240" w:lineRule="atLeast"/>
        <w:ind w:left="1080" w:leftChars="257" w:hanging="540"/>
        <w:jc w:val="left"/>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pPr>
      <w:bookmarkStart w:id="572" w:name="_Toc515647828"/>
      <w:bookmarkStart w:id="573" w:name="_Toc7414"/>
      <w:bookmarkStart w:id="574" w:name="_Toc29367"/>
      <w:bookmarkStart w:id="575" w:name="_Toc10352"/>
      <w:bookmarkStart w:id="576" w:name="_Toc17333"/>
      <w:bookmarkStart w:id="577" w:name="_Toc12486"/>
      <w:bookmarkStart w:id="578" w:name="_Toc25126"/>
      <w:bookmarkStart w:id="579" w:name="_Toc15535"/>
      <w:bookmarkStart w:id="580" w:name="_Toc31226"/>
      <w:bookmarkStart w:id="581" w:name="_Toc23673"/>
      <w:bookmarkStart w:id="582" w:name="_Toc7966"/>
      <w:bookmarkStart w:id="583" w:name="_Toc6932"/>
      <w:bookmarkStart w:id="584" w:name="_Toc20015"/>
      <w:bookmarkStart w:id="585" w:name="_Toc17843"/>
      <w:bookmarkStart w:id="586" w:name="_Toc23897"/>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8</w:t>
      </w:r>
      <w:bookmarkEnd w:id="572"/>
      <w:bookmarkEnd w:id="573"/>
      <w:bookmarkEnd w:id="574"/>
      <w:bookmarkEnd w:id="575"/>
      <w:bookmarkEnd w:id="576"/>
      <w:bookmarkStart w:id="587" w:name="_Toc27058"/>
      <w:r>
        <w:rPr>
          <w:rFonts w:hint="eastAsia" w:ascii="微软雅黑" w:hAnsi="微软雅黑" w:eastAsia="微软雅黑" w:cs="微软雅黑"/>
          <w:b/>
          <w:bCs/>
          <w:color w:val="000000" w:themeColor="text1"/>
          <w:kern w:val="2"/>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供应商可提供有利于投标的其他资格证明材料</w:t>
      </w:r>
      <w:bookmarkEnd w:id="577"/>
      <w:bookmarkEnd w:id="578"/>
      <w:bookmarkEnd w:id="579"/>
      <w:bookmarkEnd w:id="580"/>
      <w:bookmarkEnd w:id="581"/>
      <w:bookmarkEnd w:id="582"/>
      <w:bookmarkEnd w:id="583"/>
      <w:bookmarkEnd w:id="584"/>
      <w:bookmarkEnd w:id="585"/>
      <w:bookmarkEnd w:id="586"/>
      <w:bookmarkEnd w:id="587"/>
    </w:p>
    <w:p>
      <w:pPr>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outlineLvl w:val="9"/>
        <w:rPr>
          <w:rFonts w:hint="eastAsia" w:ascii="微软雅黑" w:hAnsi="微软雅黑" w:eastAsia="微软雅黑" w:cs="微软雅黑"/>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spacing w:line="240" w:lineRule="atLeast"/>
        <w:ind w:left="1080" w:leftChars="257" w:hanging="540"/>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588" w:name="_Toc2969"/>
      <w:bookmarkStart w:id="589" w:name="_Toc17701"/>
      <w:bookmarkStart w:id="590" w:name="_Toc16684"/>
      <w:bookmarkStart w:id="591" w:name="_Toc23424"/>
      <w:bookmarkStart w:id="592" w:name="_Toc19009"/>
      <w:bookmarkStart w:id="593" w:name="_Toc25807"/>
      <w:bookmarkStart w:id="594" w:name="_Toc31381"/>
    </w:p>
    <w:p>
      <w:pPr>
        <w:spacing w:line="240" w:lineRule="atLeast"/>
        <w:ind w:left="1080" w:leftChars="257" w:hanging="540"/>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spacing w:line="240" w:lineRule="atLeast"/>
        <w:ind w:left="1080" w:leftChars="257" w:hanging="540"/>
        <w:outlineLvl w:val="1"/>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595" w:name="_Toc14522"/>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9</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投标文件格式范本</w:t>
      </w:r>
      <w:bookmarkEnd w:id="588"/>
      <w:bookmarkEnd w:id="589"/>
      <w:bookmarkEnd w:id="590"/>
      <w:bookmarkEnd w:id="591"/>
      <w:bookmarkEnd w:id="592"/>
      <w:bookmarkEnd w:id="593"/>
      <w:bookmarkEnd w:id="594"/>
      <w:bookmarkEnd w:id="595"/>
    </w:p>
    <w:tbl>
      <w:tblPr>
        <w:tblStyle w:val="28"/>
        <w:tblpPr w:leftFromText="180" w:rightFromText="180" w:vertAnchor="text" w:horzAnchor="page" w:tblpX="1380" w:tblpY="440"/>
        <w:tblOverlap w:val="never"/>
        <w:tblW w:w="88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88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Ex>
        <w:trPr>
          <w:trHeight w:val="12833" w:hRule="atLeast"/>
        </w:trPr>
        <w:tc>
          <w:tcPr>
            <w:tcW w:w="8820" w:type="dxa"/>
            <w:shd w:val="clear" w:color="auto" w:fill="FCFEEA"/>
          </w:tcPr>
          <w:p>
            <w:pPr>
              <w:pStyle w:val="11"/>
              <w:jc w:val="center"/>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xml:space="preserve">                                              （正本</w:t>
            </w: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或</w:t>
            </w:r>
            <w:r>
              <w:rPr>
                <w:rFonts w:hint="eastAsia" w:ascii="微软雅黑" w:hAnsi="微软雅黑" w:eastAsia="微软雅黑" w:cs="微软雅黑"/>
                <w:b/>
                <w:bCs/>
                <w:color w:val="000000" w:themeColor="text1"/>
                <w:sz w:val="28"/>
                <w:szCs w:val="28"/>
                <w:highlight w:val="none"/>
                <w14:textFill>
                  <w14:solidFill>
                    <w14:schemeClr w14:val="tx1"/>
                  </w14:solidFill>
                </w14:textFill>
              </w:rPr>
              <w:t>副本）</w:t>
            </w:r>
          </w:p>
          <w:p>
            <w:pPr>
              <w:pStyle w:val="11"/>
              <w:ind w:firstLine="4202" w:firstLineChars="150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pStyle w:val="11"/>
              <w:ind w:firstLine="4202" w:firstLineChars="150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pStyle w:val="11"/>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pStyle w:val="11"/>
              <w:ind w:firstLine="2521" w:firstLineChars="900"/>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 *** *** ***   项目</w:t>
            </w:r>
          </w:p>
          <w:p>
            <w:pPr>
              <w:pStyle w:val="11"/>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p>
          <w:p>
            <w:pPr>
              <w:pStyle w:val="11"/>
              <w:ind w:firstLine="3152" w:firstLineChars="1500"/>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 xml:space="preserve">编号＊＊＊＊＊＊   </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包号</w:t>
            </w:r>
            <w:r>
              <w:rPr>
                <w:rFonts w:hint="eastAsia" w:ascii="微软雅黑" w:hAnsi="微软雅黑" w:eastAsia="微软雅黑" w:cs="微软雅黑"/>
                <w:b/>
                <w:bCs/>
                <w:color w:val="000000" w:themeColor="text1"/>
                <w:sz w:val="21"/>
                <w:szCs w:val="21"/>
                <w:highlight w:val="none"/>
                <w14:textFill>
                  <w14:solidFill>
                    <w14:schemeClr w14:val="tx1"/>
                  </w14:solidFill>
                </w14:textFill>
              </w:rPr>
              <w:t>＊＊＊＊＊</w:t>
            </w:r>
          </w:p>
          <w:p>
            <w:pPr>
              <w:pStyle w:val="11"/>
              <w:jc w:val="center"/>
              <w:rPr>
                <w:rFonts w:hint="eastAsia" w:ascii="微软雅黑" w:hAnsi="微软雅黑" w:eastAsia="微软雅黑" w:cs="微软雅黑"/>
                <w:b/>
                <w:bCs/>
                <w:color w:val="000000" w:themeColor="text1"/>
                <w:sz w:val="48"/>
                <w:szCs w:val="48"/>
                <w:highlight w:val="none"/>
                <w14:textFill>
                  <w14:solidFill>
                    <w14:schemeClr w14:val="tx1"/>
                  </w14:solidFill>
                </w14:textFill>
              </w:rPr>
            </w:pPr>
          </w:p>
          <w:p>
            <w:pPr>
              <w:pStyle w:val="11"/>
              <w:jc w:val="center"/>
              <w:rPr>
                <w:rFonts w:hint="eastAsia" w:ascii="微软雅黑" w:hAnsi="微软雅黑" w:eastAsia="微软雅黑" w:cs="微软雅黑"/>
                <w:b/>
                <w:bCs/>
                <w:color w:val="000000" w:themeColor="text1"/>
                <w:sz w:val="48"/>
                <w:szCs w:val="48"/>
                <w:highlight w:val="none"/>
                <w14:textFill>
                  <w14:solidFill>
                    <w14:schemeClr w14:val="tx1"/>
                  </w14:solidFill>
                </w14:textFill>
              </w:rPr>
            </w:pPr>
            <w:r>
              <w:rPr>
                <w:rFonts w:hint="eastAsia" w:ascii="微软雅黑" w:hAnsi="微软雅黑" w:eastAsia="微软雅黑" w:cs="微软雅黑"/>
                <w:b/>
                <w:bCs/>
                <w:color w:val="000000" w:themeColor="text1"/>
                <w:sz w:val="48"/>
                <w:szCs w:val="48"/>
                <w:highlight w:val="none"/>
                <w14:textFill>
                  <w14:solidFill>
                    <w14:schemeClr w14:val="tx1"/>
                  </w14:solidFill>
                </w14:textFill>
              </w:rPr>
              <w:t>投 标 文 件</w:t>
            </w:r>
          </w:p>
          <w:p>
            <w:pPr>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pStyle w:val="8"/>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pStyle w:val="8"/>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360" w:lineRule="auto"/>
              <w:ind w:left="176" w:leftChars="84" w:firstLine="840" w:firstLineChars="4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投 标 单位：</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highlight w:val="none"/>
                <w14:textFill>
                  <w14:solidFill>
                    <w14:schemeClr w14:val="tx1"/>
                  </w14:solidFill>
                </w14:textFill>
              </w:rPr>
              <w:t>（公章）</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项目名称：</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项目编号：</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（包号）</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联 系 人：</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840" w:firstLineChars="4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    话：</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地    址  ：  </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960" w:firstLineChars="4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jc w:val="center"/>
              <w:rPr>
                <w:rFonts w:hint="eastAsia" w:ascii="微软雅黑" w:hAnsi="微软雅黑" w:eastAsia="微软雅黑" w:cs="微软雅黑"/>
                <w:b/>
                <w:bCs/>
                <w:color w:val="000000" w:themeColor="text1"/>
                <w:highlight w:val="none"/>
                <w14:textFill>
                  <w14:solidFill>
                    <w14:schemeClr w14:val="tx1"/>
                  </w14:solidFill>
                </w14:textFill>
              </w:rPr>
            </w:pPr>
          </w:p>
          <w:p>
            <w:pPr>
              <w:jc w:val="center"/>
              <w:rPr>
                <w:rFonts w:hint="eastAsia" w:ascii="微软雅黑" w:hAnsi="微软雅黑" w:eastAsia="微软雅黑" w:cs="微软雅黑"/>
                <w:b/>
                <w:bCs/>
                <w:color w:val="000000" w:themeColor="text1"/>
                <w:highlight w:val="none"/>
                <w14:textFill>
                  <w14:solidFill>
                    <w14:schemeClr w14:val="tx1"/>
                  </w14:solidFill>
                </w14:textFill>
              </w:rPr>
            </w:pPr>
          </w:p>
          <w:p>
            <w:pPr>
              <w:jc w:val="center"/>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注：   在2022年   月  日 *午   之前不得启封</w:t>
            </w:r>
          </w:p>
          <w:p>
            <w:pPr>
              <w:jc w:val="center"/>
              <w:rPr>
                <w:rFonts w:hint="eastAsia" w:ascii="微软雅黑" w:hAnsi="微软雅黑" w:eastAsia="微软雅黑" w:cs="微软雅黑"/>
                <w:b/>
                <w:bCs/>
                <w:color w:val="000000" w:themeColor="text1"/>
                <w:highlight w:val="none"/>
                <w14:textFill>
                  <w14:solidFill>
                    <w14:schemeClr w14:val="tx1"/>
                  </w14:solidFill>
                </w14:textFill>
              </w:rPr>
            </w:pPr>
          </w:p>
        </w:tc>
      </w:tr>
    </w:tbl>
    <w:p>
      <w:pPr>
        <w:spacing w:line="240" w:lineRule="atLeast"/>
        <w:rPr>
          <w:rFonts w:hint="eastAsia" w:ascii="微软雅黑" w:hAnsi="微软雅黑" w:eastAsia="微软雅黑" w:cs="微软雅黑"/>
          <w:b/>
          <w:bCs/>
          <w:color w:val="000000" w:themeColor="text1"/>
          <w:sz w:val="30"/>
          <w:szCs w:val="30"/>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br w:type="page"/>
      </w: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p>
    <w:p>
      <w:pPr>
        <w:outlineLvl w:val="9"/>
        <w:rPr>
          <w:rFonts w:hint="eastAsia" w:ascii="微软雅黑" w:hAnsi="微软雅黑" w:eastAsia="微软雅黑" w:cs="微软雅黑"/>
          <w:b/>
          <w:bCs/>
          <w:color w:val="000000" w:themeColor="text1"/>
          <w:sz w:val="44"/>
          <w:szCs w:val="44"/>
          <w:highlight w:val="none"/>
          <w14:textFill>
            <w14:solidFill>
              <w14:schemeClr w14:val="tx1"/>
            </w14:solidFill>
          </w14:textFill>
        </w:rPr>
      </w:pPr>
    </w:p>
    <w:p>
      <w:pPr>
        <w:pStyle w:val="8"/>
        <w:rPr>
          <w:rFonts w:hint="eastAsia" w:ascii="微软雅黑" w:hAnsi="微软雅黑" w:eastAsia="微软雅黑" w:cs="微软雅黑"/>
          <w:color w:val="000000" w:themeColor="text1"/>
          <w:highlight w:val="none"/>
          <w14:textFill>
            <w14:solidFill>
              <w14:schemeClr w14:val="tx1"/>
            </w14:solidFill>
          </w14:textFill>
        </w:rPr>
      </w:pPr>
    </w:p>
    <w:p>
      <w:pPr>
        <w:pStyle w:val="8"/>
        <w:rPr>
          <w:rFonts w:hint="eastAsia" w:ascii="微软雅黑" w:hAnsi="微软雅黑" w:eastAsia="微软雅黑" w:cs="微软雅黑"/>
          <w:color w:val="000000" w:themeColor="text1"/>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t>疏附县托克扎克镇3村中草药林下种植项目</w:t>
      </w: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招 标 文 件</w:t>
      </w:r>
    </w:p>
    <w:p>
      <w:pPr>
        <w:spacing w:line="240" w:lineRule="atLeast"/>
        <w:jc w:val="center"/>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40"/>
          <w:szCs w:val="40"/>
          <w:highlight w:val="none"/>
          <w14:textFill>
            <w14:solidFill>
              <w14:schemeClr w14:val="tx1"/>
            </w14:solidFill>
          </w14:textFill>
        </w:rPr>
        <w:t>项目编号：</w:t>
      </w:r>
      <w:r>
        <w:rPr>
          <w:rFonts w:hint="eastAsia" w:ascii="微软雅黑" w:hAnsi="微软雅黑" w:eastAsia="微软雅黑" w:cs="微软雅黑"/>
          <w:b/>
          <w:bCs/>
          <w:color w:val="000000" w:themeColor="text1"/>
          <w:sz w:val="40"/>
          <w:szCs w:val="40"/>
          <w:highlight w:val="none"/>
          <w:lang w:val="en-US" w:eastAsia="zh-CN"/>
          <w14:textFill>
            <w14:solidFill>
              <w14:schemeClr w14:val="tx1"/>
            </w14:solidFill>
          </w14:textFill>
        </w:rPr>
        <w:t>XJLSJYSFX(GK)2023-10-2号</w:t>
      </w: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第 二 册</w:t>
      </w: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 xml:space="preserve">  </w:t>
      </w:r>
    </w:p>
    <w:p>
      <w:pPr>
        <w:spacing w:line="240" w:lineRule="atLeast"/>
        <w:ind w:left="1080" w:leftChars="257" w:hanging="54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spacing w:line="240" w:lineRule="atLeast"/>
        <w:ind w:left="1080" w:leftChars="257" w:hanging="54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spacing w:line="240" w:lineRule="atLeast"/>
        <w:ind w:left="1080" w:leftChars="257" w:hanging="54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spacing w:line="240" w:lineRule="atLeast"/>
        <w:jc w:val="both"/>
        <w:rPr>
          <w:rFonts w:hint="eastAsia" w:ascii="微软雅黑" w:hAnsi="微软雅黑" w:eastAsia="微软雅黑" w:cs="微软雅黑"/>
          <w:b/>
          <w:bCs/>
          <w:color w:val="000000" w:themeColor="text1"/>
          <w:sz w:val="52"/>
          <w:szCs w:val="52"/>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pStyle w:val="2"/>
        <w:rPr>
          <w:rFonts w:hint="eastAsia"/>
        </w:rPr>
      </w:pPr>
    </w:p>
    <w:p>
      <w:pPr>
        <w:pStyle w:val="3"/>
        <w:numPr>
          <w:ilvl w:val="0"/>
          <w:numId w:val="9"/>
        </w:numPr>
        <w:tabs>
          <w:tab w:val="left" w:pos="0"/>
        </w:tabs>
        <w:spacing w:before="0" w:after="0" w:line="500" w:lineRule="exact"/>
        <w:rPr>
          <w:rFonts w:hint="eastAsia" w:ascii="微软雅黑" w:hAnsi="微软雅黑" w:eastAsia="微软雅黑" w:cs="微软雅黑"/>
          <w:color w:val="000000" w:themeColor="text1"/>
          <w:highlight w:val="none"/>
          <w14:textFill>
            <w14:solidFill>
              <w14:schemeClr w14:val="tx1"/>
            </w14:solidFill>
          </w14:textFill>
        </w:rPr>
      </w:pPr>
      <w:bookmarkStart w:id="596" w:name="_Toc507399902"/>
      <w:bookmarkStart w:id="597" w:name="_Toc16370"/>
      <w:bookmarkStart w:id="598" w:name="_Toc219175634"/>
      <w:bookmarkStart w:id="599" w:name="_Toc515647829"/>
      <w:bookmarkStart w:id="600" w:name="_Toc29715"/>
      <w:bookmarkStart w:id="601" w:name="_Toc218935350"/>
      <w:bookmarkStart w:id="602" w:name="_Toc216582822"/>
      <w:bookmarkStart w:id="603" w:name="_Toc28765"/>
      <w:bookmarkStart w:id="604" w:name="_Toc30980"/>
      <w:bookmarkStart w:id="605" w:name="_Toc216582823"/>
      <w:bookmarkStart w:id="606" w:name="_Toc10488"/>
      <w:bookmarkStart w:id="607" w:name="_Toc507399903"/>
      <w:bookmarkStart w:id="608" w:name="_Toc5272"/>
      <w:bookmarkStart w:id="609" w:name="_Toc31583"/>
      <w:bookmarkStart w:id="610" w:name="_Toc515647830"/>
      <w:bookmarkStart w:id="611" w:name="_Toc512937850"/>
      <w:r>
        <w:rPr>
          <w:rFonts w:hint="eastAsia" w:ascii="微软雅黑" w:hAnsi="微软雅黑" w:eastAsia="微软雅黑" w:cs="微软雅黑"/>
          <w:color w:val="000000" w:themeColor="text1"/>
          <w:highlight w:val="none"/>
          <w14:textFill>
            <w14:solidFill>
              <w14:schemeClr w14:val="tx1"/>
            </w14:solidFill>
          </w14:textFill>
        </w:rPr>
        <w:t xml:space="preserve"> </w:t>
      </w:r>
      <w:bookmarkStart w:id="612" w:name="_Toc2023"/>
      <w:r>
        <w:rPr>
          <w:rFonts w:hint="eastAsia" w:ascii="微软雅黑" w:hAnsi="微软雅黑" w:eastAsia="微软雅黑" w:cs="微软雅黑"/>
          <w:color w:val="000000" w:themeColor="text1"/>
          <w:highlight w:val="none"/>
          <w14:textFill>
            <w14:solidFill>
              <w14:schemeClr w14:val="tx1"/>
            </w14:solidFill>
          </w14:textFill>
        </w:rPr>
        <w:t>投标邀请</w:t>
      </w:r>
      <w:bookmarkEnd w:id="596"/>
      <w:bookmarkEnd w:id="597"/>
      <w:bookmarkEnd w:id="598"/>
      <w:bookmarkEnd w:id="599"/>
      <w:bookmarkEnd w:id="600"/>
      <w:bookmarkEnd w:id="601"/>
      <w:bookmarkEnd w:id="602"/>
      <w:bookmarkEnd w:id="603"/>
      <w:bookmarkEnd w:id="612"/>
    </w:p>
    <w:bookmarkEnd w:id="604"/>
    <w:p>
      <w:pPr>
        <w:pStyle w:val="3"/>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b/>
          <w:color w:val="000000" w:themeColor="text1"/>
          <w:sz w:val="36"/>
          <w:szCs w:val="30"/>
          <w:highlight w:val="none"/>
          <w:lang w:eastAsia="zh-CN"/>
          <w14:textFill>
            <w14:solidFill>
              <w14:schemeClr w14:val="tx1"/>
            </w14:solidFill>
          </w14:textFill>
        </w:rPr>
      </w:pPr>
      <w:bookmarkStart w:id="613" w:name="_Toc25282"/>
      <w:bookmarkStart w:id="614" w:name="_Toc10812"/>
      <w:r>
        <w:rPr>
          <w:rFonts w:hint="eastAsia" w:ascii="微软雅黑" w:hAnsi="微软雅黑" w:eastAsia="微软雅黑" w:cs="微软雅黑"/>
          <w:b/>
          <w:color w:val="000000" w:themeColor="text1"/>
          <w:sz w:val="36"/>
          <w:szCs w:val="30"/>
          <w:highlight w:val="none"/>
          <w:lang w:eastAsia="zh-CN"/>
          <w14:textFill>
            <w14:solidFill>
              <w14:schemeClr w14:val="tx1"/>
            </w14:solidFill>
          </w14:textFill>
        </w:rPr>
        <w:t>疏附县托克扎克镇3村中草药林下种植项目</w:t>
      </w:r>
      <w:bookmarkEnd w:id="613"/>
    </w:p>
    <w:p>
      <w:pPr>
        <w:pStyle w:val="3"/>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i w:val="0"/>
          <w:iCs w:val="0"/>
          <w:caps w:val="0"/>
          <w:color w:val="000000" w:themeColor="text1"/>
          <w:spacing w:val="0"/>
          <w:sz w:val="27"/>
          <w:szCs w:val="27"/>
          <w:highlight w:val="none"/>
          <w:vertAlign w:val="baseline"/>
          <w14:textFill>
            <w14:solidFill>
              <w14:schemeClr w14:val="tx1"/>
            </w14:solidFill>
          </w14:textFill>
        </w:rPr>
      </w:pPr>
      <w:bookmarkStart w:id="615" w:name="_Toc14301"/>
      <w:bookmarkStart w:id="616" w:name="_Toc23675"/>
      <w:r>
        <w:rPr>
          <w:rFonts w:hint="eastAsia" w:ascii="微软雅黑" w:hAnsi="微软雅黑" w:eastAsia="微软雅黑" w:cs="微软雅黑"/>
          <w:b/>
          <w:color w:val="000000" w:themeColor="text1"/>
          <w:sz w:val="36"/>
          <w:szCs w:val="30"/>
          <w:highlight w:val="none"/>
          <w:lang w:eastAsia="zh-CN"/>
          <w14:textFill>
            <w14:solidFill>
              <w14:schemeClr w14:val="tx1"/>
            </w14:solidFill>
          </w14:textFill>
        </w:rPr>
        <w:t>公开招标公告</w:t>
      </w:r>
      <w:bookmarkEnd w:id="614"/>
      <w:bookmarkEnd w:id="615"/>
      <w:bookmarkEnd w:id="616"/>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7" w:type="dxa"/>
          </w:tcPr>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left="0" w:right="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项目概况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right="0"/>
              <w:textAlignment w:val="auto"/>
              <w:rPr>
                <w:rFonts w:hint="eastAsia" w:ascii="微软雅黑" w:hAnsi="微软雅黑" w:eastAsia="微软雅黑" w:cs="微软雅黑"/>
                <w:i w:val="0"/>
                <w:iCs w:val="0"/>
                <w:caps w:val="0"/>
                <w:color w:val="000000" w:themeColor="text1"/>
                <w:spacing w:val="0"/>
                <w:sz w:val="24"/>
                <w:szCs w:val="24"/>
                <w:highlight w:val="none"/>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疏附县托克扎克镇3村中草药林下种植项目</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的潜在供应商应在政采云平台（https://www.zcygov.cn/） </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获</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取采购文件，并于</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04月24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xml:space="preserve">（北京时间）前提交响应文件。  </w:t>
            </w:r>
          </w:p>
        </w:tc>
      </w:tr>
    </w:tbl>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jc w:val="left"/>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Style w:val="31"/>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一、项目基本情况</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xml:space="preserve">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项目编号：</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XJLSJYSFX(GK)2023-10-2号</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 2、</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项目名称：</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疏附县托克扎克镇3村中草药林下种植项目</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采购方式：</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公开招标</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预算金额（元）：</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300万元</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采购需求：</w:t>
      </w:r>
      <w:r>
        <w:rPr>
          <w:rFonts w:hint="eastAsia" w:ascii="微软雅黑" w:hAnsi="微软雅黑" w:eastAsia="微软雅黑" w:cs="微软雅黑"/>
          <w:i w:val="0"/>
          <w:iCs w:val="0"/>
          <w:caps w:val="0"/>
          <w:color w:val="auto"/>
          <w:spacing w:val="0"/>
          <w:sz w:val="24"/>
          <w:szCs w:val="24"/>
          <w:highlight w:val="none"/>
          <w:lang w:val="en-US" w:eastAsia="zh-CN"/>
        </w:rPr>
        <w:t>建设1500亩林下中草药种植基地等（具体数量及规格要求详见招标文件）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6、资金来源：乡村振兴链接资金</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240" w:firstLineChars="1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本项目（否）接受联合体投标。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二、申请人的资格要求：</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1）具有独立法人资格或是具有独立承担民事责任能力的其它组织（</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法人或者非法人组织的营业执照等证明文件</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jc w:val="both"/>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（在《政府采购投标及履约承诺函》中作出声明）。</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法人投标需提供法人身份证明及身份证复印件，被授权委托人需提供法人授权委托书及身份证复印件；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投标单位提供本单位依法缴纳近三个月（202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月）的社保证明和单位缴费个人明细表（社保证明可含：社保缴费凭证、社保缴费证明、社保缴费汇总单、依法缴纳社保的完税证明，</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提供税务部门出具近三个月（202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月）的完税证明，依法免缴的应提供依法免缴的相关证明文件和零申报报表，</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具有良好的商业信誉和健全的财务会计制度（会计事务所出具的</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2021-2022年度任意一年</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的年度财务审计报告书扫描件或影印件；新办企业</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（营业执照所标注的成立日期距本项目开标日期一年内为新办企业）</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提供银行资信证明扫描件或影印件）；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7)</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投标保证金收据扫描件或银行转款证明扫描件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或支票</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、汇票</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8)参与政府采购活动前3年内未被列入失信、重大税收违法案件、财政部门禁止参加政府采购活动的承诺书；</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9)提供针对本次项目的反商业贿赂承诺书。</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10)投标单位需提供有效的《林木种子生产经营许可证》及《植物检验检疫证》扫描件；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11)本项目不接受联合体投标（提供非联合体投标承诺函，承诺函格式自拟）；</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三、获取采购文件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时间：202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04</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03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日至202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04</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bookmarkStart w:id="1750" w:name="_GoBack"/>
      <w:bookmarkEnd w:id="1750"/>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日，每天上午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0至1</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0，下午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15:3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0至</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19:00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（北京时间，法定节假日除外）</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地点：</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政采云平台（https://www.zcygov.cn/）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（1）线上获取（登录政府采购云平台 → 项目采购 → 获取招标文件）。（2）供应商获取招标文件前应注册成为政府采购云平台正式供应商。</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四、</w:t>
      </w: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投标</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文件提交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截止时间：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地点：</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政采云平台（https://www.zcygov.cn/）</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五、</w:t>
      </w: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投标</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文件开启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开启时间：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地点：</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政采云平台（https://www.zcygov.cn/）</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六、公告期限</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自本公告发布之日起</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个工作日。</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七、其他补充事宜</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特别提示：</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1、超过200</w:t>
      </w:r>
      <w:r>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Style w:val="35"/>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八、凡对本次招标提出询问，请按以下方式联系</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1.采购人信息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名 称：疏附县托克扎克镇人民政府</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联系人：杜凯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联系方式</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：0998-3252696</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2.采购代理机构信息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17" w:name="_Toc11627"/>
      <w:bookmarkStart w:id="618" w:name="_Toc17272"/>
      <w:bookmarkStart w:id="619" w:name="_Toc24709"/>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名    称：</w:t>
      </w:r>
      <w:bookmarkEnd w:id="617"/>
      <w:bookmarkEnd w:id="618"/>
      <w:bookmarkEnd w:id="619"/>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新疆龙盛建业工程项目管理有限公司</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20" w:name="_Toc7142"/>
      <w:bookmarkStart w:id="621" w:name="_Toc21793"/>
      <w:bookmarkStart w:id="622" w:name="_Toc31217"/>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地　　址：</w:t>
      </w:r>
      <w:bookmarkEnd w:id="620"/>
      <w:bookmarkEnd w:id="621"/>
      <w:bookmarkEnd w:id="622"/>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新疆喀什地区疏附县疆南昆仑农批市场44幢04号商铺</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23" w:name="_Toc9618"/>
      <w:bookmarkStart w:id="624" w:name="_Toc9353"/>
      <w:bookmarkStart w:id="625" w:name="_Toc21494"/>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联 系 人：</w:t>
      </w:r>
      <w:bookmarkEnd w:id="623"/>
      <w:bookmarkEnd w:id="624"/>
      <w:bookmarkEnd w:id="625"/>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徐春生</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26" w:name="_Toc9066"/>
      <w:bookmarkStart w:id="627" w:name="_Toc6311"/>
      <w:bookmarkStart w:id="628" w:name="_Toc18984"/>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联系电话：</w:t>
      </w:r>
      <w:bookmarkEnd w:id="626"/>
      <w:bookmarkEnd w:id="627"/>
      <w:bookmarkEnd w:id="628"/>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19609980001</w:t>
      </w:r>
    </w:p>
    <w:p>
      <w:pPr>
        <w:outlineLvl w:val="9"/>
        <w:rPr>
          <w:color w:val="000000" w:themeColor="text1"/>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rPr>
          <w:color w:val="000000" w:themeColor="text1"/>
          <w:highlight w:val="none"/>
          <w14:textFill>
            <w14:solidFill>
              <w14:schemeClr w14:val="tx1"/>
            </w14:solidFill>
          </w14:textFill>
        </w:rPr>
      </w:pPr>
    </w:p>
    <w:p>
      <w:pPr>
        <w:pStyle w:val="3"/>
        <w:numPr>
          <w:ilvl w:val="0"/>
          <w:numId w:val="9"/>
        </w:numPr>
        <w:tabs>
          <w:tab w:val="left" w:pos="0"/>
        </w:tabs>
        <w:spacing w:before="0" w:after="0" w:line="240" w:lineRule="atLeast"/>
        <w:rPr>
          <w:rFonts w:hint="eastAsia" w:ascii="微软雅黑" w:hAnsi="微软雅黑" w:eastAsia="微软雅黑" w:cs="微软雅黑"/>
          <w:color w:val="000000" w:themeColor="text1"/>
          <w:highlight w:val="none"/>
          <w14:textFill>
            <w14:solidFill>
              <w14:schemeClr w14:val="tx1"/>
            </w14:solidFill>
          </w14:textFill>
        </w:rPr>
      </w:pPr>
      <w:bookmarkStart w:id="629" w:name="_Toc26146"/>
      <w:r>
        <w:rPr>
          <w:rFonts w:hint="eastAsia" w:ascii="微软雅黑" w:hAnsi="微软雅黑" w:eastAsia="微软雅黑" w:cs="微软雅黑"/>
          <w:color w:val="000000" w:themeColor="text1"/>
          <w:highlight w:val="none"/>
          <w14:textFill>
            <w14:solidFill>
              <w14:schemeClr w14:val="tx1"/>
            </w14:solidFill>
          </w14:textFill>
        </w:rPr>
        <w:t>供应商须知资料表</w:t>
      </w:r>
      <w:bookmarkEnd w:id="605"/>
      <w:bookmarkEnd w:id="606"/>
      <w:bookmarkEnd w:id="607"/>
      <w:bookmarkEnd w:id="608"/>
      <w:bookmarkEnd w:id="609"/>
      <w:bookmarkEnd w:id="610"/>
      <w:bookmarkEnd w:id="629"/>
    </w:p>
    <w:bookmarkEnd w:id="611"/>
    <w:p>
      <w:pPr>
        <w:spacing w:line="240" w:lineRule="atLeast"/>
        <w:ind w:firstLine="360" w:firstLineChars="15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本表是本招标项目的具体资料，是对供应商须知的具体补充和修改，如有矛盾，应以本资料表为准。</w:t>
      </w:r>
    </w:p>
    <w:tbl>
      <w:tblPr>
        <w:tblStyle w:val="28"/>
        <w:tblW w:w="8699" w:type="dxa"/>
        <w:tblInd w:w="-4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4"/>
        <w:gridCol w:w="7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20" w:hRule="atLeast"/>
        </w:trPr>
        <w:tc>
          <w:tcPr>
            <w:tcW w:w="854"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条款号</w:t>
            </w:r>
          </w:p>
        </w:tc>
        <w:tc>
          <w:tcPr>
            <w:tcW w:w="7845"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ind w:left="1080" w:leftChars="257" w:hanging="540"/>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44"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u w:val="none"/>
                <w:lang w:val="en-US"/>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14:textFill>
                  <w14:solidFill>
                    <w14:schemeClr w14:val="tx1"/>
                  </w14:solidFill>
                </w14:textFill>
              </w:rPr>
              <w:t>采购人：</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疏附县托克扎克镇人民政府</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14:textFill>
                  <w14:solidFill>
                    <w14:schemeClr w14:val="tx1"/>
                  </w14:solidFill>
                </w14:textFill>
              </w:rPr>
              <w:t>联系人：</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杜凯</w:t>
            </w:r>
            <w:r>
              <w:rPr>
                <w:rFonts w:hint="eastAsia" w:ascii="微软雅黑" w:hAnsi="微软雅黑" w:eastAsia="微软雅黑" w:cs="微软雅黑"/>
                <w:color w:val="000000" w:themeColor="text1"/>
                <w:sz w:val="24"/>
                <w:szCs w:val="24"/>
                <w:highlight w:val="none"/>
                <w:u w:val="none"/>
                <w14:textFill>
                  <w14:solidFill>
                    <w14:schemeClr w14:val="tx1"/>
                  </w14:solidFill>
                </w14:textFill>
              </w:rPr>
              <w:t xml:space="preserve">      联系电话：</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13179816211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47"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w:t>
            </w:r>
          </w:p>
        </w:tc>
        <w:tc>
          <w:tcPr>
            <w:tcW w:w="7845" w:type="dxa"/>
            <w:vAlign w:val="center"/>
          </w:tcPr>
          <w:p>
            <w:pPr>
              <w:rPr>
                <w:rFonts w:hint="default" w:ascii="微软雅黑" w:hAnsi="微软雅黑" w:eastAsia="微软雅黑" w:cs="微软雅黑"/>
                <w:color w:val="000000" w:themeColor="text1"/>
                <w:sz w:val="24"/>
                <w:highlight w:val="none"/>
                <w:lang w:val="en-US"/>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采购代理机构：</w:t>
            </w:r>
            <w:r>
              <w:rPr>
                <w:rFonts w:hint="eastAsia" w:ascii="微软雅黑" w:hAnsi="微软雅黑" w:eastAsia="微软雅黑" w:cs="微软雅黑"/>
                <w:b w:val="0"/>
                <w:bCs/>
                <w:color w:val="000000" w:themeColor="text1"/>
                <w:kern w:val="2"/>
                <w:sz w:val="24"/>
                <w:szCs w:val="24"/>
                <w:highlight w:val="none"/>
                <w:u w:val="none"/>
                <w:lang w:val="en-US" w:eastAsia="zh-CN" w:bidi="ar-SA"/>
                <w14:textFill>
                  <w14:solidFill>
                    <w14:schemeClr w14:val="tx1"/>
                  </w14:solidFill>
                </w14:textFill>
              </w:rPr>
              <w:t>新疆龙盛建业工程项目管理有限公司</w:t>
            </w:r>
          </w:p>
          <w:p>
            <w:pPr>
              <w:rPr>
                <w:rFonts w:ascii="微软雅黑" w:hAnsi="微软雅黑" w:eastAsia="微软雅黑" w:cs="微软雅黑"/>
                <w:color w:val="000000" w:themeColor="text1"/>
                <w:sz w:val="24"/>
                <w:highlight w:val="none"/>
                <w:u w:val="singl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地址：</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新疆喀什地区疏附县疆南昆仑农批市场44幢04号商铺</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联系人：</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徐春生</w:t>
            </w:r>
            <w:r>
              <w:rPr>
                <w:rFonts w:hint="eastAsia" w:ascii="微软雅黑" w:hAnsi="微软雅黑" w:eastAsia="微软雅黑" w:cs="微软雅黑"/>
                <w:color w:val="000000" w:themeColor="text1"/>
                <w:sz w:val="24"/>
                <w:highlight w:val="none"/>
                <w14:textFill>
                  <w14:solidFill>
                    <w14:schemeClr w14:val="tx1"/>
                  </w14:solidFill>
                </w14:textFill>
              </w:rPr>
              <w:t xml:space="preserve">         联系电话：</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19609980001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2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1.3.4</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合格供应商的其他资格要求：</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1）具有独立法人资格或是具有独立承担民事责任能力的其它组织（法人或者非法人组织的营业执照等证明文件扫描件）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3）法人投标需提供法人身份证明及身份证复印件，被授权委托人需提供法人授权委托书及身份证复印件；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4)投标单位提供本单位依法缴纳近三个月（2023年1月-2023年3月）的社保证明和单位缴费个人明细表（社保证明可含：社保缴费凭证、社保缴费证明、社保缴费汇总单、依法缴纳社保的完税证明，扫描件）；</w:t>
            </w:r>
          </w:p>
          <w:p>
            <w:pPr>
              <w:snapToGrid w:val="0"/>
              <w:spacing w:line="300" w:lineRule="exact"/>
              <w:rPr>
                <w:rFonts w:hint="default"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5)提供税务部门出具近三个月（2023年1月-2023年3月）的完税证明，依法免缴的应提供依法免缴的相关证明文件和零申报报表，扫描件；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6)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7)投标保证金收据扫描件或银行转款证明扫描件或支票扫描件、汇票扫描件；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8)参与政府采购活动前3年内未被列入失信、重大税收违法案件、财政部门禁止参加政府采购活动的书面声明；</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9)提供针对本次项目的反商业贿赂承诺书。</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10)投标单位需提供有效的《林木种子生产经营许可证》及《植物检验检疫证》扫描件；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11)本项目不接受联合体投标（提供非联合体投标承诺函，承诺函格式自拟）；</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提示：1、“税务部门出具的（</w:t>
            </w: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2023年1月-2023年3月）</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的完税证明”：完税证明中“税种”非养老保险、医疗保险、失业保险、工伤保险和生育保险。请各投标供应商注意！</w:t>
            </w:r>
          </w:p>
          <w:p>
            <w:pPr>
              <w:ind w:firstLine="240" w:firstLineChars="1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bidi="ar-SA"/>
                <w14:textFill>
                  <w14:solidFill>
                    <w14:schemeClr w14:val="tx1"/>
                  </w14:solidFill>
                </w14:textFill>
              </w:rPr>
              <w:t>2、未通过资格审查的投标人不进入评标；通过资格审查的投标人少于不足三家的，不得评标。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5"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1.3.5   </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是否允许采购进口产品：</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否</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1.3.6</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是否为专门面向中小企业采购：</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否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是否允许联合体投标：</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否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23"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1.4.8</w:t>
            </w:r>
          </w:p>
        </w:tc>
        <w:tc>
          <w:tcPr>
            <w:tcW w:w="7845" w:type="dxa"/>
            <w:shd w:val="clear" w:color="auto" w:fill="auto"/>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w:t>
            </w:r>
          </w:p>
        </w:tc>
        <w:tc>
          <w:tcPr>
            <w:tcW w:w="7845" w:type="dxa"/>
            <w:shd w:val="clear" w:color="auto" w:fill="auto"/>
            <w:vAlign w:val="center"/>
          </w:tcPr>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default" w:eastAsia="微软雅黑"/>
                <w:color w:val="000000" w:themeColor="text1"/>
                <w:highlight w:val="none"/>
                <w:lang w:val="en-US" w:eastAsia="zh-CN"/>
                <w14:textFill>
                  <w14:solidFill>
                    <w14:schemeClr w14:val="tx1"/>
                  </w14:solidFill>
                </w14:textFill>
              </w:rPr>
            </w:pPr>
            <w:r>
              <w:rPr>
                <w:rFonts w:hint="eastAsia" w:eastAsia="微软雅黑"/>
                <w:b/>
                <w:bCs/>
                <w:color w:val="000000" w:themeColor="text1"/>
                <w:highlight w:val="none"/>
                <w:lang w:val="en-US" w:eastAsia="zh-CN"/>
                <w14:textFill>
                  <w14:solidFill>
                    <w14:schemeClr w14:val="tx1"/>
                  </w14:solidFill>
                </w14:textFill>
              </w:rPr>
              <w:t>预算金额：</w:t>
            </w: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300</w:t>
            </w:r>
            <w:r>
              <w:rPr>
                <w:rFonts w:hint="eastAsia" w:eastAsia="微软雅黑"/>
                <w:b/>
                <w:bCs/>
                <w:color w:val="000000" w:themeColor="text1"/>
                <w:highlight w:val="none"/>
                <w:lang w:val="en-US" w:eastAsia="zh-CN"/>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64"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投标保证金形式：</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sym w:font="Wingdings 2" w:char="00A3"/>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保函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sym w:font="Wingdings 2" w:char="00A3"/>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电汇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支票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投标保证金金额：</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50000元 （伍万元整）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（按照分包预算金额2%以内的整数计算）</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保证金收款人：</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单位名称：新疆龙盛建业工程项目管理有限公司</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开户行： 中信银行乌鲁木齐河北路支行</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账号：8113701013500157465</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联系人：徐春生   联系电话：19609980001</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（电汇时请在汇款备注栏注明项目名称，并注明是投标保证金，否则视为无效投标保证金。） </w:t>
            </w:r>
            <w:r>
              <w:rPr>
                <w:rFonts w:hint="eastAsia" w:ascii="微软雅黑" w:hAnsi="微软雅黑" w:eastAsia="微软雅黑" w:cs="微软雅黑"/>
                <w:b/>
                <w:bCs/>
                <w:color w:val="00B0F0"/>
                <w:sz w:val="24"/>
                <w:u w:val="single"/>
              </w:rPr>
              <w:t>到账截止时间：202</w:t>
            </w:r>
            <w:r>
              <w:rPr>
                <w:rFonts w:hint="eastAsia" w:ascii="微软雅黑" w:hAnsi="微软雅黑" w:eastAsia="微软雅黑" w:cs="微软雅黑"/>
                <w:b/>
                <w:bCs/>
                <w:color w:val="00B0F0"/>
                <w:sz w:val="24"/>
                <w:u w:val="single"/>
                <w:lang w:val="en-US" w:eastAsia="zh-CN"/>
              </w:rPr>
              <w:t>3</w:t>
            </w:r>
            <w:r>
              <w:rPr>
                <w:rFonts w:hint="eastAsia" w:ascii="微软雅黑" w:hAnsi="微软雅黑" w:eastAsia="微软雅黑" w:cs="微软雅黑"/>
                <w:b/>
                <w:bCs/>
                <w:color w:val="00B0F0"/>
                <w:sz w:val="24"/>
                <w:u w:val="single"/>
              </w:rPr>
              <w:t>年</w:t>
            </w:r>
            <w:r>
              <w:rPr>
                <w:rFonts w:hint="eastAsia" w:ascii="微软雅黑" w:hAnsi="微软雅黑" w:eastAsia="微软雅黑" w:cs="微软雅黑"/>
                <w:b/>
                <w:bCs/>
                <w:color w:val="00B0F0"/>
                <w:sz w:val="24"/>
                <w:u w:val="single"/>
                <w:lang w:val="en-US" w:eastAsia="zh-CN"/>
              </w:rPr>
              <w:t>4</w:t>
            </w:r>
            <w:r>
              <w:rPr>
                <w:rFonts w:hint="eastAsia" w:ascii="微软雅黑" w:hAnsi="微软雅黑" w:eastAsia="微软雅黑" w:cs="微软雅黑"/>
                <w:b/>
                <w:bCs/>
                <w:color w:val="00B0F0"/>
                <w:sz w:val="24"/>
                <w:u w:val="single"/>
              </w:rPr>
              <w:t>月</w:t>
            </w:r>
            <w:r>
              <w:rPr>
                <w:rFonts w:hint="eastAsia" w:ascii="微软雅黑" w:hAnsi="微软雅黑" w:eastAsia="微软雅黑" w:cs="微软雅黑"/>
                <w:b/>
                <w:bCs/>
                <w:color w:val="00B0F0"/>
                <w:sz w:val="24"/>
                <w:u w:val="single"/>
                <w:lang w:val="en-US" w:eastAsia="zh-CN"/>
              </w:rPr>
              <w:t>23</w:t>
            </w:r>
            <w:r>
              <w:rPr>
                <w:rFonts w:hint="eastAsia" w:ascii="微软雅黑" w:hAnsi="微软雅黑" w:eastAsia="微软雅黑" w:cs="微软雅黑"/>
                <w:b/>
                <w:bCs/>
                <w:color w:val="00B0F0"/>
                <w:sz w:val="24"/>
                <w:u w:val="single"/>
              </w:rPr>
              <w:t>日</w:t>
            </w:r>
            <w:r>
              <w:rPr>
                <w:rFonts w:hint="eastAsia" w:ascii="微软雅黑" w:hAnsi="微软雅黑" w:eastAsia="微软雅黑" w:cs="微软雅黑"/>
                <w:b/>
                <w:bCs/>
                <w:color w:val="00B0F0"/>
                <w:sz w:val="24"/>
                <w:u w:val="single"/>
                <w:lang w:val="en-US" w:eastAsia="zh-CN"/>
              </w:rPr>
              <w:t>18</w:t>
            </w:r>
            <w:r>
              <w:rPr>
                <w:rFonts w:hint="eastAsia" w:ascii="微软雅黑" w:hAnsi="微软雅黑" w:eastAsia="微软雅黑" w:cs="微软雅黑"/>
                <w:b/>
                <w:bCs/>
                <w:color w:val="00B0F0"/>
                <w:sz w:val="24"/>
                <w:u w:val="single"/>
              </w:rPr>
              <w:t>:00（北京时间）。</w:t>
            </w:r>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A:缴纳保证金要求：供应商向银行办理保证金汇（转）款时，应在用途栏（备注栏）注明项目名称及</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（如有），并注明是投标保证金字样，如填写字数有要求可简写项目名称与</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（如有），由于未按要求注明信息而导致的一切后果由供应商自行承担。</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B：退保证金：</w:t>
            </w:r>
          </w:p>
          <w:p>
            <w:pPr>
              <w:keepNext w:val="0"/>
              <w:keepLines w:val="0"/>
              <w:pageBreakBefore w:val="0"/>
              <w:widowControl w:val="0"/>
              <w:numPr>
                <w:ilvl w:val="0"/>
                <w:numId w:val="10"/>
              </w:numPr>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未中标供应商的投标保证金：中标公告公示期结束后</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，未中标供应商</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须在5个工作日内将纸质版投标文件送至或邮寄至代理机构</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备案</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，投标文件收到后将在当日或次日</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原账户</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退回投标保证金</w:t>
            </w:r>
            <w:r>
              <w:rPr>
                <w:rFonts w:hint="eastAsia" w:ascii="微软雅黑" w:hAnsi="微软雅黑" w:eastAsia="微软雅黑" w:cs="微软雅黑"/>
                <w:b/>
                <w:bCs/>
                <w:color w:val="000000" w:themeColor="text1"/>
                <w:sz w:val="24"/>
                <w:szCs w:val="24"/>
                <w:highlight w:val="none"/>
                <w14:textFill>
                  <w14:solidFill>
                    <w14:schemeClr w14:val="tx1"/>
                  </w14:solidFill>
                </w14:textFill>
              </w:rPr>
              <w:t>，供应商不需办理任何手续。</w:t>
            </w:r>
          </w:p>
          <w:p>
            <w:pPr>
              <w:keepNext w:val="0"/>
              <w:keepLines w:val="0"/>
              <w:pageBreakBefore w:val="0"/>
              <w:widowControl w:val="0"/>
              <w:numPr>
                <w:ilvl w:val="0"/>
                <w:numId w:val="0"/>
              </w:numPr>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（2）中标供应商的保证金</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中标公告公示期结束后，中标供应商须在5个工作日内将纸质版投标文件送至或邮寄至代理机构备案，并</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在</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30日内与</w:t>
            </w:r>
            <w:r>
              <w:rPr>
                <w:rFonts w:hint="eastAsia" w:ascii="微软雅黑" w:hAnsi="微软雅黑" w:eastAsia="微软雅黑" w:cs="微软雅黑"/>
                <w:b/>
                <w:bCs/>
                <w:color w:val="000000" w:themeColor="text1"/>
                <w:sz w:val="24"/>
                <w:szCs w:val="24"/>
                <w:highlight w:val="none"/>
                <w14:textFill>
                  <w14:solidFill>
                    <w14:schemeClr w14:val="tx1"/>
                  </w14:solidFill>
                </w14:textFill>
              </w:rPr>
              <w:t>采购人签订</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采购</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合同，</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将采购</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合同扫描件</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发送至2547371718@qq.com邮箱</w:t>
            </w:r>
            <w:r>
              <w:rPr>
                <w:rFonts w:hint="eastAsia" w:ascii="微软雅黑" w:hAnsi="微软雅黑" w:eastAsia="微软雅黑" w:cs="微软雅黑"/>
                <w:b/>
                <w:bCs/>
                <w:color w:val="000000" w:themeColor="text1"/>
                <w:sz w:val="24"/>
                <w:szCs w:val="24"/>
                <w:highlight w:val="none"/>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采购合同收到货</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投标有效期：</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90</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14:textFill>
                  <w14:solidFill>
                    <w14:schemeClr w14:val="tx1"/>
                  </w14:solidFill>
                </w14:textFill>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63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14.1</w:t>
            </w:r>
          </w:p>
        </w:tc>
        <w:tc>
          <w:tcPr>
            <w:tcW w:w="7845" w:type="dxa"/>
            <w:vAlign w:val="center"/>
          </w:tcPr>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（2）本项目实行网上投标，采用电子投标文件(供应商须使用CA加密设备通过政采云电子投标客户端制作投标文件)。若供应商参与投标，自行承担投标一切费用。</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（8）各供应商</w:t>
            </w:r>
            <w:r>
              <w:rPr>
                <w:rFonts w:hint="eastAsia" w:ascii="微软雅黑" w:hAnsi="微软雅黑" w:eastAsia="微软雅黑" w:cs="微软雅黑"/>
                <w:color w:val="000000" w:themeColor="text1"/>
                <w:highlight w:val="none"/>
                <w14:textFill>
                  <w14:solidFill>
                    <w14:schemeClr w14:val="tx1"/>
                  </w14:solidFill>
                </w14:textFill>
              </w:rPr>
              <w:t>须在投标截止时间前完成在系统上递交电子</w:t>
            </w:r>
            <w:r>
              <w:rPr>
                <w:rFonts w:hint="eastAsia" w:ascii="微软雅黑" w:hAnsi="微软雅黑" w:eastAsia="微软雅黑" w:cs="微软雅黑"/>
                <w:color w:val="000000" w:themeColor="text1"/>
                <w:highlight w:val="none"/>
                <w:lang w:val="en-US"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投标供应商</w:t>
            </w:r>
            <w:r>
              <w:rPr>
                <w:rFonts w:hint="eastAsia" w:ascii="微软雅黑" w:hAnsi="微软雅黑" w:eastAsia="微软雅黑" w:cs="微软雅黑"/>
                <w:color w:val="000000" w:themeColor="text1"/>
                <w:highlight w:val="none"/>
                <w14:textFill>
                  <w14:solidFill>
                    <w14:schemeClr w14:val="tx1"/>
                  </w14:solidFill>
                </w14:textFill>
              </w:rPr>
              <w:t>的电子</w:t>
            </w:r>
            <w:r>
              <w:rPr>
                <w:rFonts w:hint="eastAsia" w:ascii="微软雅黑" w:hAnsi="微软雅黑" w:eastAsia="微软雅黑" w:cs="微软雅黑"/>
                <w:color w:val="000000" w:themeColor="text1"/>
                <w:highlight w:val="none"/>
                <w:lang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000000" w:themeColor="text1"/>
                <w:highlight w:val="none"/>
                <w:lang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eastAsia="zh-CN"/>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9</w:t>
            </w:r>
            <w:r>
              <w:rPr>
                <w:rFonts w:hint="eastAsia" w:ascii="微软雅黑" w:hAnsi="微软雅黑" w:eastAsia="微软雅黑" w:cs="微软雅黑"/>
                <w:color w:val="000000" w:themeColor="text1"/>
                <w:highlight w:val="none"/>
                <w:lang w:eastAsia="zh-CN"/>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pPr>
              <w:pStyle w:val="8"/>
              <w:keepNext w:val="0"/>
              <w:keepLines w:val="0"/>
              <w:pageBreakBefore w:val="0"/>
              <w:widowControl w:val="0"/>
              <w:kinsoku/>
              <w:wordWrap/>
              <w:overflowPunct/>
              <w:topLinePunct w:val="0"/>
              <w:bidi w:val="0"/>
              <w:snapToGrid/>
              <w:spacing w:line="360" w:lineRule="exact"/>
              <w:jc w:val="both"/>
              <w:textAlignment w:val="auto"/>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（10）</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所有投标供应商应在中标公告公示期结束后5个工作日内将纸质版投标文件送至或邮寄至代理机构备案，纸质版投标文件</w:t>
            </w:r>
            <w:r>
              <w:rPr>
                <w:rFonts w:hint="eastAsia" w:ascii="微软雅黑" w:hAnsi="微软雅黑" w:eastAsia="微软雅黑" w:cs="微软雅黑"/>
                <w:b/>
                <w:bCs/>
                <w:color w:val="000000" w:themeColor="text1"/>
                <w:highlight w:val="none"/>
                <w14:textFill>
                  <w14:solidFill>
                    <w14:schemeClr w14:val="tx1"/>
                  </w14:solidFill>
                </w14:textFill>
              </w:rPr>
              <w:t>包括“</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开标一览表</w:t>
            </w:r>
            <w:r>
              <w:rPr>
                <w:rFonts w:hint="eastAsia" w:ascii="微软雅黑" w:hAnsi="微软雅黑" w:eastAsia="微软雅黑" w:cs="微软雅黑"/>
                <w:b/>
                <w:bCs/>
                <w:color w:val="000000" w:themeColor="text1"/>
                <w:highlight w:val="none"/>
                <w14:textFill>
                  <w14:solidFill>
                    <w14:schemeClr w14:val="tx1"/>
                  </w14:solidFill>
                </w14:textFill>
              </w:rPr>
              <w:t>及资格证明文件”和“商务及技术文件”两部分，两部分合订成一册递交。</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未按时递交纸质版投标文件的将影响投标保证金退还。</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递交数量</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微软雅黑" w:hAnsi="微软雅黑" w:eastAsia="微软雅黑" w:cs="微软雅黑"/>
                <w:color w:val="000000" w:themeColor="text1"/>
                <w:highlight w:val="none"/>
                <w14:textFill>
                  <w14:solidFill>
                    <w14:schemeClr w14:val="tx1"/>
                  </w14:solidFill>
                </w14:textFill>
              </w:rPr>
              <w:t>正本：壹份、副本：</w:t>
            </w:r>
            <w:r>
              <w:rPr>
                <w:rFonts w:hint="eastAsia" w:ascii="微软雅黑" w:hAnsi="微软雅黑" w:eastAsia="微软雅黑" w:cs="微软雅黑"/>
                <w:color w:val="000000" w:themeColor="text1"/>
                <w:highlight w:val="none"/>
                <w:lang w:val="en-US" w:eastAsia="zh-CN"/>
                <w14:textFill>
                  <w14:solidFill>
                    <w14:schemeClr w14:val="tx1"/>
                  </w14:solidFill>
                </w14:textFill>
              </w:rPr>
              <w:t>贰份</w:t>
            </w:r>
            <w:r>
              <w:rPr>
                <w:rFonts w:hint="eastAsia" w:ascii="微软雅黑" w:hAnsi="微软雅黑" w:eastAsia="微软雅黑" w:cs="微软雅黑"/>
                <w:color w:val="000000" w:themeColor="text1"/>
                <w:highlight w:val="none"/>
                <w14:textFill>
                  <w14:solidFill>
                    <w14:schemeClr w14:val="tx1"/>
                  </w14:solidFill>
                </w14:textFill>
              </w:rPr>
              <w:t>；电子文档1份</w:t>
            </w:r>
            <w:r>
              <w:rPr>
                <w:rFonts w:hint="eastAsia" w:ascii="微软雅黑" w:hAnsi="微软雅黑" w:eastAsia="微软雅黑" w:cs="微软雅黑"/>
                <w:color w:val="000000" w:themeColor="text1"/>
                <w:highlight w:val="none"/>
                <w:lang w:eastAsia="zh-CN"/>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以正本为准，副本可以是正本的复印件）</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bookmarkStart w:id="630" w:name="_Toc14647"/>
            <w:r>
              <w:rPr>
                <w:rFonts w:hint="eastAsia" w:ascii="微软雅黑" w:hAnsi="微软雅黑" w:eastAsia="微软雅黑" w:cs="微软雅黑"/>
                <w:b/>
                <w:bCs/>
                <w:color w:val="000000" w:themeColor="text1"/>
                <w:highlight w:val="none"/>
                <w:lang w:val="en-US" w:eastAsia="zh-CN"/>
                <w14:textFill>
                  <w14:solidFill>
                    <w14:schemeClr w14:val="tx1"/>
                  </w14:solidFill>
                </w14:textFill>
              </w:rPr>
              <w:t>纸质投标文件</w:t>
            </w:r>
            <w:r>
              <w:rPr>
                <w:rFonts w:hint="eastAsia" w:ascii="微软雅黑" w:hAnsi="微软雅黑" w:eastAsia="微软雅黑" w:cs="微软雅黑"/>
                <w:b/>
                <w:bCs/>
                <w:color w:val="000000" w:themeColor="text1"/>
                <w:highlight w:val="none"/>
                <w14:textFill>
                  <w14:solidFill>
                    <w14:schemeClr w14:val="tx1"/>
                  </w14:solidFill>
                </w14:textFill>
              </w:rPr>
              <w:t>的签署及规定</w:t>
            </w:r>
            <w:r>
              <w:rPr>
                <w:rFonts w:hint="eastAsia" w:ascii="微软雅黑" w:hAnsi="微软雅黑" w:eastAsia="微软雅黑" w:cs="微软雅黑"/>
                <w:b/>
                <w:bCs/>
                <w:color w:val="000000" w:themeColor="text1"/>
                <w:highlight w:val="none"/>
                <w:lang w:eastAsia="zh-CN"/>
                <w14:textFill>
                  <w14:solidFill>
                    <w14:schemeClr w14:val="tx1"/>
                  </w14:solidFill>
                </w14:textFill>
              </w:rPr>
              <w:t>：</w:t>
            </w:r>
            <w:bookmarkEnd w:id="630"/>
            <w:r>
              <w:rPr>
                <w:rFonts w:hint="eastAsia" w:ascii="微软雅黑" w:hAnsi="微软雅黑" w:eastAsia="微软雅黑" w:cs="微软雅黑"/>
                <w:color w:val="000000" w:themeColor="text1"/>
                <w:highlight w:val="none"/>
                <w:lang w:val="en-US"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的正</w:t>
            </w:r>
            <w:r>
              <w:rPr>
                <w:rFonts w:hint="eastAsia" w:ascii="微软雅黑" w:hAnsi="微软雅黑" w:eastAsia="微软雅黑" w:cs="微软雅黑"/>
                <w:color w:val="000000" w:themeColor="text1"/>
                <w:highlight w:val="none"/>
                <w:lang w:val="en-US" w:eastAsia="zh-CN"/>
                <w14:textFill>
                  <w14:solidFill>
                    <w14:schemeClr w14:val="tx1"/>
                  </w14:solidFill>
                </w14:textFill>
              </w:rPr>
              <w:t>副本</w:t>
            </w:r>
            <w:r>
              <w:rPr>
                <w:rFonts w:hint="eastAsia" w:ascii="微软雅黑" w:hAnsi="微软雅黑" w:eastAsia="微软雅黑" w:cs="微软雅黑"/>
                <w:color w:val="000000" w:themeColor="text1"/>
                <w:highlight w:val="none"/>
                <w14:textFill>
                  <w14:solidFill>
                    <w14:schemeClr w14:val="tx1"/>
                  </w14:solidFill>
                </w14:textFill>
              </w:rPr>
              <w:t>需打印或用不褪色墨水书写，并由</w:t>
            </w:r>
            <w:r>
              <w:rPr>
                <w:rFonts w:hint="eastAsia" w:ascii="微软雅黑" w:hAnsi="微软雅黑" w:eastAsia="微软雅黑" w:cs="微软雅黑"/>
                <w:color w:val="000000" w:themeColor="text1"/>
                <w:highlight w:val="none"/>
                <w:lang w:eastAsia="zh-CN"/>
                <w14:textFill>
                  <w14:solidFill>
                    <w14:schemeClr w14:val="tx1"/>
                  </w14:solidFill>
                </w14:textFill>
              </w:rPr>
              <w:t>供应</w:t>
            </w:r>
            <w:r>
              <w:rPr>
                <w:rFonts w:hint="eastAsia" w:ascii="微软雅黑" w:hAnsi="微软雅黑" w:eastAsia="微软雅黑" w:cs="微软雅黑"/>
                <w:color w:val="000000" w:themeColor="text1"/>
                <w:highlight w:val="none"/>
                <w:lang w:val="en-US" w:eastAsia="zh-CN"/>
                <w14:textFill>
                  <w14:solidFill>
                    <w14:schemeClr w14:val="tx1"/>
                  </w14:solidFill>
                </w14:textFill>
              </w:rPr>
              <w:t>商的法定代表人或经其正式委托代理人按招标文件规定在投标文件上签字或盖章，并加盖单位印章。</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（11）解密时长为30分钟。</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（12）须供应商提供备份的投标文件,后缀为.bfbs。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投标截止时间：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0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18.1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开标时间：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24</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开标地点：</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49"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21</w:t>
            </w:r>
          </w:p>
        </w:tc>
        <w:tc>
          <w:tcPr>
            <w:tcW w:w="7845" w:type="dxa"/>
            <w:vAlign w:val="center"/>
          </w:tcPr>
          <w:p>
            <w:pPr>
              <w:keepNext w:val="0"/>
              <w:keepLines w:val="0"/>
              <w:widowControl/>
              <w:suppressLineNumbers w:val="0"/>
              <w:jc w:val="left"/>
              <w:rPr>
                <w:rFonts w:hint="default" w:ascii="微软雅黑" w:hAnsi="微软雅黑" w:eastAsia="微软雅黑" w:cs="微软雅黑"/>
                <w:color w:val="000000" w:themeColor="text1"/>
                <w:sz w:val="24"/>
                <w:szCs w:val="24"/>
                <w:highlight w:val="none"/>
                <w:lang w:val="en-US"/>
                <w14:textFill>
                  <w14:solidFill>
                    <w14:schemeClr w14:val="tx1"/>
                  </w14:solidFill>
                </w14:textFill>
              </w:rPr>
            </w:pPr>
            <w:r>
              <w:rPr>
                <w:rFonts w:ascii="微软雅黑" w:hAnsi="微软雅黑" w:eastAsia="微软雅黑" w:cs="微软雅黑"/>
                <w:color w:val="000000"/>
                <w:kern w:val="0"/>
                <w:sz w:val="24"/>
                <w:szCs w:val="24"/>
                <w:lang w:val="en-US" w:eastAsia="zh-CN" w:bidi="ar"/>
              </w:rPr>
              <w:t>本项目的</w:t>
            </w:r>
            <w:r>
              <w:rPr>
                <w:rFonts w:hint="eastAsia" w:ascii="微软雅黑" w:hAnsi="微软雅黑" w:eastAsia="微软雅黑" w:cs="微软雅黑"/>
                <w:color w:val="000000"/>
                <w:kern w:val="0"/>
                <w:sz w:val="24"/>
                <w:szCs w:val="24"/>
                <w:lang w:val="en-US" w:eastAsia="zh-CN" w:bidi="ar"/>
              </w:rPr>
              <w:t>播种</w:t>
            </w:r>
            <w:r>
              <w:rPr>
                <w:rFonts w:ascii="微软雅黑" w:hAnsi="微软雅黑" w:eastAsia="微软雅黑" w:cs="微软雅黑"/>
                <w:color w:val="000000"/>
                <w:kern w:val="0"/>
                <w:sz w:val="24"/>
                <w:szCs w:val="24"/>
                <w:lang w:val="en-US" w:eastAsia="zh-CN" w:bidi="ar"/>
              </w:rPr>
              <w:t>期限：</w:t>
            </w:r>
            <w:r>
              <w:rPr>
                <w:rFonts w:ascii="微软雅黑" w:hAnsi="微软雅黑" w:eastAsia="微软雅黑" w:cs="微软雅黑"/>
                <w:color w:val="000000"/>
                <w:kern w:val="0"/>
                <w:sz w:val="24"/>
                <w:szCs w:val="24"/>
                <w:u w:val="single"/>
                <w:lang w:val="en-US" w:eastAsia="zh-CN" w:bidi="ar"/>
              </w:rPr>
              <w:t>自合同签订之日起</w:t>
            </w:r>
            <w:r>
              <w:rPr>
                <w:rFonts w:hint="eastAsia" w:ascii="微软雅黑" w:hAnsi="微软雅黑" w:eastAsia="微软雅黑" w:cs="微软雅黑"/>
                <w:color w:val="000000"/>
                <w:kern w:val="0"/>
                <w:sz w:val="24"/>
                <w:szCs w:val="24"/>
                <w:u w:val="single"/>
                <w:lang w:val="en-US" w:eastAsia="zh-CN" w:bidi="ar"/>
              </w:rPr>
              <w:t xml:space="preserve">5日内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23.2</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评标方法：适用</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综合评分法　</w:t>
            </w:r>
            <w:r>
              <w:rPr>
                <w:rFonts w:hint="eastAsia" w:ascii="微软雅黑" w:hAnsi="微软雅黑" w:eastAsia="微软雅黑" w:cs="微软雅黑"/>
                <w:color w:val="000000" w:themeColor="text1"/>
                <w:sz w:val="24"/>
                <w:szCs w:val="24"/>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推荐中标候选供应商的数量：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8"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招标人是否委托评标委员会直接确定中标人：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否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11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31.1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履约保证金金额：合同总价的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（不得超过政府采购合同金额的10%）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履约保证金形式：□保函  □电汇  □支票   ☑对公转账</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提交履约保证金的时间：签订合同前 </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5  </w:t>
            </w:r>
            <w:r>
              <w:rPr>
                <w:rFonts w:hint="eastAsia" w:ascii="微软雅黑" w:hAnsi="微软雅黑" w:eastAsia="微软雅黑" w:cs="微软雅黑"/>
                <w:color w:val="000000" w:themeColor="text1"/>
                <w:sz w:val="24"/>
                <w:szCs w:val="24"/>
                <w:highlight w:val="none"/>
                <w14:textFill>
                  <w14:solidFill>
                    <w14:schemeClr w14:val="tx1"/>
                  </w14:solidFill>
                </w14:textFill>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733"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32</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中标服务费：根据发改委价格[2015]299文件</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auto"/>
                <w:sz w:val="24"/>
                <w:szCs w:val="24"/>
                <w:highlight w:val="none"/>
                <w:lang w:val="en-US" w:eastAsia="zh-CN"/>
              </w:rPr>
              <w:t>本项目服务费按照差额定律累进计费方式计算收取。</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标准如下：</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成交金额100万元以下的部分,货物类采购费率1.50%,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成交金额100万元至500万元的部分,货物类采购费率1.10%,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成交金额500万元至1000万元的部分,货物类采购费率0.80%。</w:t>
            </w:r>
          </w:p>
          <w:p>
            <w:pPr>
              <w:keepNext w:val="0"/>
              <w:keepLines w:val="0"/>
              <w:pageBreakBefore w:val="0"/>
              <w:widowControl w:val="0"/>
              <w:kinsoku/>
              <w:wordWrap/>
              <w:overflowPunct/>
              <w:topLinePunct w:val="0"/>
              <w:bidi w:val="0"/>
              <w:snapToGrid/>
              <w:spacing w:line="360" w:lineRule="exact"/>
              <w:textAlignment w:val="auto"/>
              <w:rPr>
                <w:rFonts w:hint="default" w:eastAsia="微软雅黑"/>
                <w:b/>
                <w:bCs/>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（由</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中标</w:t>
            </w:r>
            <w:r>
              <w:rPr>
                <w:rFonts w:hint="eastAsia" w:ascii="微软雅黑" w:hAnsi="微软雅黑" w:eastAsia="微软雅黑" w:cs="微软雅黑"/>
                <w:b/>
                <w:bCs/>
                <w:color w:val="000000" w:themeColor="text1"/>
                <w:sz w:val="24"/>
                <w:szCs w:val="24"/>
                <w:highlight w:val="none"/>
                <w14:textFill>
                  <w14:solidFill>
                    <w14:schemeClr w14:val="tx1"/>
                  </w14:solidFill>
                </w14:textFill>
              </w:rPr>
              <w:t>供应商支付</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支付形式：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支付时间：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1"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33.1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本项目是否属于信用担保试点范围：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否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bl>
    <w:p>
      <w:pPr>
        <w:pStyle w:val="8"/>
        <w:ind w:left="0" w:leftChars="0" w:firstLine="0" w:firstLineChars="0"/>
        <w:jc w:val="cente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rPr>
          <w:rFonts w:hint="eastAsia"/>
          <w:color w:val="000000" w:themeColor="text1"/>
          <w:highlight w:val="none"/>
          <w:lang w:eastAsia="zh-CN"/>
          <w14:textFill>
            <w14:solidFill>
              <w14:schemeClr w14:val="tx1"/>
            </w14:solidFill>
          </w14:textFill>
        </w:rPr>
      </w:pPr>
    </w:p>
    <w:p>
      <w:pPr>
        <w:pStyle w:val="8"/>
        <w:ind w:left="0" w:leftChars="0" w:firstLine="0" w:firstLineChars="0"/>
        <w:jc w:val="cente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资格审查表</w:t>
      </w:r>
    </w:p>
    <w:tbl>
      <w:tblPr>
        <w:tblStyle w:val="29"/>
        <w:tblW w:w="14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136"/>
        <w:gridCol w:w="2555"/>
        <w:gridCol w:w="898"/>
        <w:gridCol w:w="1396"/>
        <w:gridCol w:w="1070"/>
        <w:gridCol w:w="1552"/>
        <w:gridCol w:w="810"/>
        <w:gridCol w:w="750"/>
        <w:gridCol w:w="482"/>
        <w:gridCol w:w="700"/>
        <w:gridCol w:w="689"/>
        <w:gridCol w:w="42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447"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1349" w:type="dxa"/>
            <w:gridSpan w:val="1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jc w:val="center"/>
              <w:textAlignment w:val="auto"/>
              <w:outlineLvl w:val="9"/>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t>审查项目</w:t>
            </w:r>
          </w:p>
        </w:tc>
        <w:tc>
          <w:tcPr>
            <w:tcW w:w="689"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jc w:val="both"/>
              <w:textAlignment w:val="auto"/>
              <w:outlineLvl w:val="9"/>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pPr>
          </w:p>
        </w:tc>
        <w:tc>
          <w:tcPr>
            <w:tcW w:w="425"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jc w:val="both"/>
              <w:textAlignment w:val="auto"/>
              <w:outlineLvl w:val="9"/>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t>结论</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jc w:val="both"/>
              <w:textAlignment w:val="auto"/>
              <w:outlineLvl w:val="9"/>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1" w:hRule="atLeast"/>
          <w:jc w:val="center"/>
        </w:trPr>
        <w:tc>
          <w:tcPr>
            <w:tcW w:w="447"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color w:val="000000" w:themeColor="text1"/>
                <w:highlight w:val="none"/>
                <w:u w:val="none"/>
                <w:vertAlign w:val="baseline"/>
                <w:lang w:val="en-US" w:eastAsia="zh-CN"/>
                <w14:textFill>
                  <w14:solidFill>
                    <w14:schemeClr w14:val="tx1"/>
                  </w14:solidFill>
                </w14:textFill>
              </w:rPr>
              <w:t>供应商</w:t>
            </w:r>
          </w:p>
        </w:tc>
        <w:tc>
          <w:tcPr>
            <w:tcW w:w="113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具有独立法人资格或是具有独立承担民事责任能力的其它组织（法人或者非法人组织的营业执照等证明文件扫描件）</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p>
        </w:tc>
        <w:tc>
          <w:tcPr>
            <w:tcW w:w="255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tc>
        <w:tc>
          <w:tcPr>
            <w:tcW w:w="898"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法人投标需提供法人身份证明及身份证复印件，被授权委托人需提供法人授权委托书及身份证复印件；</w:t>
            </w:r>
          </w:p>
        </w:tc>
        <w:tc>
          <w:tcPr>
            <w:tcW w:w="139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投标单位提供本单位依法缴纳近三个月（2023年1月-2023年3月）的社保证明和单位缴费个人明细表（社保证明可含：社保缴费凭证、社保缴费证明、社保缴费汇总单、依法缴纳社保的完税证明，扫描件）；</w:t>
            </w:r>
          </w:p>
        </w:tc>
        <w:tc>
          <w:tcPr>
            <w:tcW w:w="107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提供税务部门出具近三个月（2023年1月-2023年3月）的完税证明，依法免缴的应提供依法免缴的相关证明文件和零申报报表，扫描件；</w:t>
            </w:r>
          </w:p>
        </w:tc>
        <w:tc>
          <w:tcPr>
            <w:tcW w:w="155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tc>
        <w:tc>
          <w:tcPr>
            <w:tcW w:w="81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投标保证金收据扫描件或银行转款证明扫描件或支票扫描件、汇票扫描件；</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p>
        </w:tc>
        <w:tc>
          <w:tcPr>
            <w:tcW w:w="75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参加政府采购活动前3年内在经营活动中没有重大违法记录的书面声明</w:t>
            </w:r>
          </w:p>
        </w:tc>
        <w:tc>
          <w:tcPr>
            <w:tcW w:w="48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提供针对本次项目的反商业贿赂承诺书</w:t>
            </w:r>
          </w:p>
        </w:tc>
        <w:tc>
          <w:tcPr>
            <w:tcW w:w="70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投标单位需提供有效的《林木种子生产经营许可证》及《植物检验检疫证》扫描件；</w:t>
            </w:r>
          </w:p>
        </w:tc>
        <w:tc>
          <w:tcPr>
            <w:tcW w:w="689"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本项目不接受联合体投标（提供非联合体投标承诺函，承诺函格式自拟）；</w:t>
            </w:r>
          </w:p>
        </w:tc>
        <w:tc>
          <w:tcPr>
            <w:tcW w:w="425"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p>
        </w:tc>
        <w:tc>
          <w:tcPr>
            <w:tcW w:w="140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44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13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255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98"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39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07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55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1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75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48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70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689"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42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40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4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13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255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98"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39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07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55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1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75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48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70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689"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42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40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r>
    </w:tbl>
    <w:p>
      <w:pPr>
        <w:pStyle w:val="8"/>
        <w:numPr>
          <w:ilvl w:val="0"/>
          <w:numId w:val="0"/>
        </w:numPr>
        <w:ind w:firstLine="240" w:firstLineChars="100"/>
        <w:rPr>
          <w:rFonts w:hint="eastAsia" w:ascii="微软雅黑" w:hAnsi="微软雅黑" w:eastAsia="微软雅黑" w:cs="微软雅黑"/>
          <w:b/>
          <w:bCs/>
          <w:color w:val="000000" w:themeColor="text1"/>
          <w:szCs w:val="24"/>
          <w:highlight w:val="none"/>
          <w14:textFill>
            <w14:solidFill>
              <w14:schemeClr w14:val="tx1"/>
            </w14:solidFill>
          </w14:textFill>
        </w:rPr>
      </w:pPr>
      <w:r>
        <w:rPr>
          <w:rFonts w:hint="eastAsia" w:ascii="微软雅黑" w:hAnsi="微软雅黑" w:eastAsia="微软雅黑" w:cs="微软雅黑"/>
          <w:color w:val="000000" w:themeColor="text1"/>
          <w:highlight w:val="none"/>
          <w:lang w:eastAsia="zh-CN"/>
          <w14:textFill>
            <w14:solidFill>
              <w14:schemeClr w14:val="tx1"/>
            </w14:solidFill>
          </w14:textFill>
        </w:rPr>
        <w:t>提示：</w:t>
      </w:r>
      <w:r>
        <w:rPr>
          <w:rFonts w:hint="eastAsia" w:ascii="微软雅黑" w:hAnsi="微软雅黑" w:eastAsia="微软雅黑" w:cs="微软雅黑"/>
          <w:b/>
          <w:bCs/>
          <w:color w:val="000000" w:themeColor="text1"/>
          <w:kern w:val="2"/>
          <w:sz w:val="22"/>
          <w:szCs w:val="22"/>
          <w:highlight w:val="none"/>
          <w:lang w:val="en-US" w:eastAsia="zh-CN" w:bidi="ar-SA"/>
          <w14:textFill>
            <w14:solidFill>
              <w14:schemeClr w14:val="tx1"/>
            </w14:solidFill>
          </w14:textFill>
        </w:rPr>
        <w:t>提示：1、“税务部门出具（2023年1月-2023年3月）的完税证明”：完税证明中“税种”非养老保险、医疗保险、失业保险、工伤保险和生育保险。请各投标供应商注意！</w:t>
      </w:r>
    </w:p>
    <w:p>
      <w:pPr>
        <w:pStyle w:val="5"/>
        <w:rPr>
          <w:rFonts w:hint="eastAsia" w:ascii="微软雅黑" w:hAnsi="微软雅黑" w:eastAsia="微软雅黑" w:cs="微软雅黑"/>
          <w:color w:val="000000" w:themeColor="text1"/>
          <w:highlight w:val="none"/>
          <w:lang w:eastAsia="zh-CN"/>
          <w14:textFill>
            <w14:solidFill>
              <w14:schemeClr w14:val="tx1"/>
            </w14:solidFill>
          </w14:textFill>
        </w:rPr>
        <w:sectPr>
          <w:pgSz w:w="16838" w:h="11905" w:orient="landscape"/>
          <w:pgMar w:top="1417" w:right="1440" w:bottom="1417" w:left="1440" w:header="851" w:footer="992" w:gutter="0"/>
          <w:pgNumType w:fmt="decimal"/>
          <w:cols w:space="0" w:num="1"/>
          <w:rtlGutter w:val="0"/>
          <w:docGrid w:linePitch="312" w:charSpace="0"/>
        </w:sectPr>
      </w:pPr>
    </w:p>
    <w:p>
      <w:pPr>
        <w:numPr>
          <w:ilvl w:val="0"/>
          <w:numId w:val="9"/>
        </w:numPr>
        <w:spacing w:line="400" w:lineRule="exact"/>
        <w:ind w:left="0" w:leftChars="0" w:firstLine="0" w:firstLineChars="0"/>
        <w:jc w:val="center"/>
        <w:outlineLvl w:val="0"/>
        <w:rPr>
          <w:rFonts w:hint="eastAsia" w:ascii="微软雅黑" w:hAnsi="微软雅黑" w:eastAsia="微软雅黑" w:cs="微软雅黑"/>
          <w:b/>
          <w:bCs/>
          <w:color w:val="000000" w:themeColor="text1"/>
          <w:kern w:val="44"/>
          <w:sz w:val="28"/>
          <w:szCs w:val="28"/>
          <w:highlight w:val="none"/>
          <w14:textFill>
            <w14:solidFill>
              <w14:schemeClr w14:val="tx1"/>
            </w14:solidFill>
          </w14:textFill>
        </w:rPr>
      </w:pPr>
      <w:bookmarkStart w:id="631" w:name="_Toc2086"/>
      <w:r>
        <w:rPr>
          <w:rFonts w:hint="eastAsia" w:ascii="微软雅黑" w:hAnsi="微软雅黑" w:eastAsia="微软雅黑" w:cs="微软雅黑"/>
          <w:b/>
          <w:bCs/>
          <w:color w:val="000000" w:themeColor="text1"/>
          <w:kern w:val="44"/>
          <w:sz w:val="28"/>
          <w:szCs w:val="28"/>
          <w:highlight w:val="none"/>
          <w14:textFill>
            <w14:solidFill>
              <w14:schemeClr w14:val="tx1"/>
            </w14:solidFill>
          </w14:textFill>
        </w:rPr>
        <w:t>货物需求一览表及技术规格</w:t>
      </w:r>
      <w:bookmarkEnd w:id="631"/>
    </w:p>
    <w:p>
      <w:pPr>
        <w:pStyle w:val="2"/>
        <w:numPr>
          <w:ilvl w:val="0"/>
          <w:numId w:val="11"/>
        </w:numPr>
        <w:outlineLvl w:val="0"/>
        <w:rPr>
          <w:rFonts w:hint="default" w:ascii="宋体" w:hAnsi="宋体" w:eastAsia="宋体"/>
          <w:b/>
          <w:color w:val="auto"/>
          <w:szCs w:val="21"/>
          <w:lang w:val="en-US"/>
        </w:rPr>
      </w:pPr>
      <w:bookmarkStart w:id="632" w:name="_Toc8685"/>
      <w:bookmarkStart w:id="633" w:name="_Toc28656"/>
      <w:bookmarkStart w:id="634" w:name="_Toc507399907"/>
      <w:bookmarkStart w:id="635" w:name="_Toc216582826"/>
      <w:bookmarkStart w:id="636" w:name="_Toc219175639"/>
      <w:bookmarkStart w:id="637" w:name="_Toc218935355"/>
      <w:bookmarkStart w:id="638" w:name="_Toc7971"/>
      <w:bookmarkStart w:id="639" w:name="_Toc32647"/>
      <w:bookmarkStart w:id="640" w:name="_Toc11259"/>
      <w:bookmarkStart w:id="641" w:name="_Toc51564783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采购需求</w:t>
      </w:r>
      <w:bookmarkEnd w:id="632"/>
      <w:bookmarkEnd w:id="633"/>
    </w:p>
    <w:tbl>
      <w:tblPr>
        <w:tblStyle w:val="29"/>
        <w:tblW w:w="1015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75"/>
        <w:gridCol w:w="6453"/>
        <w:gridCol w:w="91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44" w:type="dxa"/>
            <w:vAlign w:val="center"/>
          </w:tcPr>
          <w:p>
            <w:pPr>
              <w:widowControl w:val="0"/>
              <w:numPr>
                <w:ilvl w:val="0"/>
                <w:numId w:val="0"/>
              </w:numPr>
              <w:jc w:val="center"/>
              <w:rPr>
                <w:rFonts w:hint="default" w:ascii="Times New Roman" w:hAnsi="Times New Roman" w:eastAsia="Times New Roman" w:cs="Times New Roman"/>
                <w:lang w:val="en-US" w:eastAsia="zh-CN"/>
              </w:rPr>
            </w:pPr>
            <w:r>
              <w:rPr>
                <w:rFonts w:hint="eastAsia" w:ascii="宋体" w:hAnsi="宋体" w:eastAsia="宋体" w:cs="宋体"/>
                <w:b/>
                <w:bCs w:val="0"/>
                <w:color w:val="000000"/>
                <w:kern w:val="0"/>
                <w:sz w:val="24"/>
                <w:szCs w:val="24"/>
                <w:lang w:val="en-US" w:eastAsia="zh-CN" w:bidi="ar"/>
              </w:rPr>
              <w:t>序号</w:t>
            </w:r>
          </w:p>
        </w:tc>
        <w:tc>
          <w:tcPr>
            <w:tcW w:w="1375" w:type="dxa"/>
            <w:vAlign w:val="center"/>
          </w:tcPr>
          <w:p>
            <w:pPr>
              <w:widowControl w:val="0"/>
              <w:numPr>
                <w:ilvl w:val="0"/>
                <w:numId w:val="0"/>
              </w:numPr>
              <w:jc w:val="cente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项目名称</w:t>
            </w:r>
          </w:p>
        </w:tc>
        <w:tc>
          <w:tcPr>
            <w:tcW w:w="6453" w:type="dxa"/>
            <w:vAlign w:val="center"/>
          </w:tcPr>
          <w:p>
            <w:pPr>
              <w:widowControl w:val="0"/>
              <w:numPr>
                <w:ilvl w:val="0"/>
                <w:numId w:val="0"/>
              </w:numPr>
              <w:jc w:val="center"/>
              <w:rPr>
                <w:rFonts w:hint="eastAsia" w:ascii="Times New Roman" w:hAnsi="Times New Roman" w:eastAsia="宋体" w:cs="Times New Roman"/>
                <w:lang w:val="en-US" w:eastAsia="zh-CN"/>
              </w:rPr>
            </w:pPr>
            <w:r>
              <w:rPr>
                <w:rFonts w:hint="eastAsia" w:ascii="宋体" w:hAnsi="宋体" w:eastAsia="宋体" w:cs="宋体"/>
                <w:b/>
                <w:bCs w:val="0"/>
                <w:color w:val="000000"/>
                <w:kern w:val="0"/>
                <w:sz w:val="24"/>
                <w:szCs w:val="24"/>
                <w:lang w:bidi="ar"/>
              </w:rPr>
              <w:t>技术规格</w:t>
            </w:r>
            <w:r>
              <w:rPr>
                <w:rFonts w:hint="eastAsia" w:ascii="宋体" w:hAnsi="宋体" w:eastAsia="宋体" w:cs="宋体"/>
                <w:b/>
                <w:bCs w:val="0"/>
                <w:color w:val="000000"/>
                <w:kern w:val="0"/>
                <w:sz w:val="24"/>
                <w:szCs w:val="24"/>
                <w:lang w:val="en-US" w:eastAsia="zh-CN" w:bidi="ar"/>
              </w:rPr>
              <w:t>需求参数</w:t>
            </w:r>
          </w:p>
        </w:tc>
        <w:tc>
          <w:tcPr>
            <w:tcW w:w="913" w:type="dxa"/>
            <w:vAlign w:val="center"/>
          </w:tcPr>
          <w:p>
            <w:pPr>
              <w:widowControl w:val="0"/>
              <w:numPr>
                <w:ilvl w:val="0"/>
                <w:numId w:val="0"/>
              </w:numPr>
              <w:jc w:val="center"/>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数量</w:t>
            </w:r>
          </w:p>
        </w:tc>
        <w:tc>
          <w:tcPr>
            <w:tcW w:w="670" w:type="dxa"/>
            <w:vAlign w:val="center"/>
          </w:tcPr>
          <w:p>
            <w:pPr>
              <w:widowControl w:val="0"/>
              <w:numPr>
                <w:ilvl w:val="0"/>
                <w:numId w:val="0"/>
              </w:numPr>
              <w:jc w:val="cente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widowControl w:val="0"/>
              <w:numPr>
                <w:ilvl w:val="0"/>
                <w:numId w:val="0"/>
              </w:numPr>
              <w:jc w:val="center"/>
              <w:rPr>
                <w:rFonts w:hint="default" w:ascii="Times New Roman" w:hAnsi="Times New Roman" w:eastAsia="Times New Roman" w:cs="Times New Roman"/>
                <w:color w:val="auto"/>
                <w:lang w:val="en-US" w:eastAsia="zh-CN"/>
              </w:rPr>
            </w:pPr>
            <w:r>
              <w:rPr>
                <w:rFonts w:hint="eastAsia" w:ascii="Times New Roman" w:hAnsi="Times New Roman" w:eastAsia="Times New Roman" w:cs="Times New Roman"/>
                <w:color w:val="auto"/>
                <w:lang w:val="en-US" w:eastAsia="zh-CN"/>
              </w:rPr>
              <w:t>1</w:t>
            </w:r>
          </w:p>
        </w:tc>
        <w:tc>
          <w:tcPr>
            <w:tcW w:w="1375" w:type="dxa"/>
            <w:vAlign w:val="center"/>
          </w:tcPr>
          <w:p>
            <w:pPr>
              <w:widowControl w:val="0"/>
              <w:numPr>
                <w:ilvl w:val="0"/>
                <w:numId w:val="0"/>
              </w:numPr>
              <w:jc w:val="center"/>
              <w:rPr>
                <w:rFonts w:hint="eastAsia" w:ascii="Times New Roman" w:hAnsi="Times New Roman" w:eastAsia="Times New Roman" w:cs="Times New Roman"/>
                <w:color w:val="auto"/>
                <w:lang w:val="en-US" w:eastAsia="zh-CN"/>
              </w:rPr>
            </w:pPr>
            <w:r>
              <w:rPr>
                <w:rFonts w:hint="eastAsia" w:ascii="Times New Roman" w:hAnsi="Times New Roman" w:eastAsia="宋体" w:cs="Times New Roman"/>
                <w:lang w:val="en-US" w:eastAsia="zh-CN"/>
              </w:rPr>
              <w:t>疏附县托克扎克镇3村中草药林下种植项目</w:t>
            </w:r>
          </w:p>
        </w:tc>
        <w:tc>
          <w:tcPr>
            <w:tcW w:w="6453" w:type="dxa"/>
            <w:vAlign w:val="center"/>
          </w:tcPr>
          <w:p>
            <w:pPr>
              <w:widowControl w:val="0"/>
              <w:numPr>
                <w:ilvl w:val="0"/>
                <w:numId w:val="0"/>
              </w:numPr>
              <w:jc w:val="both"/>
              <w:rPr>
                <w:rFonts w:hint="eastAsia"/>
                <w:lang w:val="en-US" w:eastAsia="zh-CN"/>
              </w:rPr>
            </w:pPr>
            <w:r>
              <w:rPr>
                <w:rFonts w:hint="eastAsia"/>
                <w:lang w:val="en-US" w:eastAsia="zh-CN"/>
              </w:rPr>
              <w:t xml:space="preserve">种植板蓝根林 </w:t>
            </w:r>
          </w:p>
          <w:p>
            <w:pPr>
              <w:widowControl w:val="0"/>
              <w:numPr>
                <w:ilvl w:val="0"/>
                <w:numId w:val="0"/>
              </w:numPr>
              <w:jc w:val="both"/>
              <w:rPr>
                <w:rFonts w:hint="eastAsia"/>
                <w:lang w:val="en-US" w:eastAsia="zh-CN"/>
              </w:rPr>
            </w:pPr>
            <w:r>
              <w:rPr>
                <w:rFonts w:hint="eastAsia"/>
                <w:lang w:val="en-US" w:eastAsia="zh-CN"/>
              </w:rPr>
              <w:t>1、品种：优质合格上等品质小籽板蓝根种子；</w:t>
            </w:r>
          </w:p>
          <w:p>
            <w:pPr>
              <w:widowControl w:val="0"/>
              <w:numPr>
                <w:ilvl w:val="0"/>
                <w:numId w:val="0"/>
              </w:numPr>
              <w:jc w:val="both"/>
              <w:rPr>
                <w:rFonts w:hint="eastAsia"/>
                <w:lang w:val="en-US" w:eastAsia="zh-CN"/>
              </w:rPr>
            </w:pPr>
            <w:r>
              <w:rPr>
                <w:rFonts w:hint="eastAsia"/>
                <w:lang w:val="en-US" w:eastAsia="zh-CN"/>
              </w:rPr>
              <w:t xml:space="preserve">2、种子数量：≥3-5kg； </w:t>
            </w:r>
          </w:p>
          <w:p>
            <w:pPr>
              <w:widowControl w:val="0"/>
              <w:numPr>
                <w:ilvl w:val="0"/>
                <w:numId w:val="0"/>
              </w:numPr>
              <w:jc w:val="both"/>
              <w:rPr>
                <w:rFonts w:hint="eastAsia"/>
                <w:lang w:val="en-US" w:eastAsia="zh-CN"/>
              </w:rPr>
            </w:pPr>
            <w:r>
              <w:rPr>
                <w:rFonts w:hint="eastAsia"/>
                <w:lang w:val="en-US" w:eastAsia="zh-CN"/>
              </w:rPr>
              <w:t>3、播种及收割方式：采用全机器播种及收割（包工包料包日常管护包技术培训）。</w:t>
            </w:r>
          </w:p>
          <w:p>
            <w:pPr>
              <w:widowControl w:val="0"/>
              <w:numPr>
                <w:ilvl w:val="0"/>
                <w:numId w:val="0"/>
              </w:numPr>
              <w:jc w:val="both"/>
              <w:rPr>
                <w:rFonts w:hint="default"/>
                <w:lang w:val="en-US" w:eastAsia="zh-CN"/>
              </w:rPr>
            </w:pPr>
            <w:r>
              <w:rPr>
                <w:rFonts w:hint="eastAsia"/>
                <w:lang w:val="en-US" w:eastAsia="zh-CN"/>
              </w:rPr>
              <w:t>4、种植出苗成活率：≥95％。</w:t>
            </w:r>
          </w:p>
          <w:p>
            <w:pPr>
              <w:widowControl w:val="0"/>
              <w:numPr>
                <w:ilvl w:val="0"/>
                <w:numId w:val="0"/>
              </w:numPr>
              <w:jc w:val="both"/>
              <w:rPr>
                <w:rFonts w:hint="eastAsia"/>
                <w:lang w:val="en-US" w:eastAsia="zh-CN"/>
              </w:rPr>
            </w:pPr>
            <w:r>
              <w:rPr>
                <w:rFonts w:hint="eastAsia"/>
                <w:lang w:val="en-US" w:eastAsia="zh-CN"/>
              </w:rPr>
              <w:t>5、地膜规格：1丝厚度、宽度1.45米以上，黑色地膜；</w:t>
            </w:r>
          </w:p>
          <w:p>
            <w:pPr>
              <w:widowControl w:val="0"/>
              <w:numPr>
                <w:ilvl w:val="0"/>
                <w:numId w:val="0"/>
              </w:numPr>
              <w:jc w:val="both"/>
              <w:rPr>
                <w:rFonts w:hint="eastAsia"/>
                <w:lang w:val="en-US" w:eastAsia="zh-CN"/>
              </w:rPr>
            </w:pPr>
            <w:r>
              <w:rPr>
                <w:rFonts w:hint="eastAsia"/>
                <w:lang w:val="en-US" w:eastAsia="zh-CN"/>
              </w:rPr>
              <w:t>6、种植规格：一行地膜种植六行小籽板蓝根；</w:t>
            </w:r>
          </w:p>
          <w:p>
            <w:pPr>
              <w:pStyle w:val="2"/>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7、滴灌带铺设安装：根据种植规格铺设安装滴灌带；</w:t>
            </w:r>
          </w:p>
          <w:p>
            <w:pPr>
              <w:widowControl w:val="0"/>
              <w:numPr>
                <w:ilvl w:val="0"/>
                <w:numId w:val="0"/>
              </w:numPr>
              <w:jc w:val="left"/>
              <w:rPr>
                <w:rFonts w:hint="eastAsia"/>
                <w:lang w:val="en-US" w:eastAsia="zh-CN"/>
              </w:rPr>
            </w:pPr>
            <w:r>
              <w:rPr>
                <w:rFonts w:hint="eastAsia"/>
                <w:lang w:val="en-US" w:eastAsia="zh-CN"/>
              </w:rPr>
              <w:t>8、每亩产量：≥150kg；</w:t>
            </w:r>
          </w:p>
          <w:p>
            <w:pPr>
              <w:widowControl w:val="0"/>
              <w:numPr>
                <w:ilvl w:val="0"/>
                <w:numId w:val="0"/>
              </w:numPr>
              <w:jc w:val="left"/>
              <w:rPr>
                <w:rFonts w:hint="eastAsia"/>
                <w:lang w:val="en-US" w:eastAsia="zh-CN"/>
              </w:rPr>
            </w:pPr>
            <w:r>
              <w:rPr>
                <w:rFonts w:hint="eastAsia"/>
                <w:lang w:val="en-US" w:eastAsia="zh-CN"/>
              </w:rPr>
              <w:t>9、部分林园中间套种两行，中草药不能有药物残留，种植前封闭中草药，收割之前要把叶打掉；</w:t>
            </w:r>
          </w:p>
          <w:p>
            <w:pPr>
              <w:widowControl w:val="0"/>
              <w:numPr>
                <w:ilvl w:val="0"/>
                <w:numId w:val="0"/>
              </w:numPr>
              <w:jc w:val="left"/>
              <w:rPr>
                <w:rFonts w:hint="eastAsia"/>
                <w:lang w:val="en-US" w:eastAsia="zh-CN"/>
              </w:rPr>
            </w:pPr>
            <w:r>
              <w:rPr>
                <w:rFonts w:hint="eastAsia"/>
                <w:lang w:val="en-US" w:eastAsia="zh-CN"/>
              </w:rPr>
              <w:t>10、施肥次数：≥三次（肥料以复合肥及生物菌肥）</w:t>
            </w:r>
          </w:p>
          <w:p>
            <w:pPr>
              <w:widowControl w:val="0"/>
              <w:numPr>
                <w:ilvl w:val="0"/>
                <w:numId w:val="0"/>
              </w:numPr>
              <w:jc w:val="left"/>
              <w:rPr>
                <w:rFonts w:hint="eastAsia"/>
                <w:lang w:val="en-US" w:eastAsia="zh-CN"/>
              </w:rPr>
            </w:pPr>
            <w:r>
              <w:rPr>
                <w:rFonts w:hint="eastAsia"/>
                <w:lang w:val="en-US" w:eastAsia="zh-CN"/>
              </w:rPr>
              <w:t>11、种植之前要求土地犁平拔 深翻为主。</w:t>
            </w:r>
          </w:p>
          <w:p>
            <w:pPr>
              <w:widowControl w:val="0"/>
              <w:numPr>
                <w:ilvl w:val="0"/>
                <w:numId w:val="0"/>
              </w:numPr>
              <w:jc w:val="both"/>
              <w:rPr>
                <w:rFonts w:hint="eastAsia" w:ascii="Times New Roman" w:hAnsi="Times New Roman" w:eastAsia="Times New Roman" w:cs="Times New Roman"/>
                <w:color w:val="auto"/>
                <w:lang w:val="en-US" w:eastAsia="zh-CN"/>
              </w:rPr>
            </w:pPr>
            <w:r>
              <w:rPr>
                <w:rFonts w:hint="eastAsia"/>
                <w:lang w:val="en-US" w:eastAsia="zh-CN"/>
              </w:rPr>
              <w:t>12、管护期为8个月以上，其中包含：种植，收割，养护，除草，松土，浇水，施肥，打药</w:t>
            </w:r>
            <w:r>
              <w:rPr>
                <w:rFonts w:hint="eastAsia" w:ascii="Times New Roman" w:hAnsi="Times New Roman" w:eastAsia="Times New Roman" w:cs="Times New Roman"/>
                <w:color w:val="auto"/>
                <w:lang w:val="en-US" w:eastAsia="zh-CN"/>
              </w:rPr>
              <w:t>。</w:t>
            </w:r>
          </w:p>
        </w:tc>
        <w:tc>
          <w:tcPr>
            <w:tcW w:w="913" w:type="dxa"/>
            <w:vAlign w:val="center"/>
          </w:tcPr>
          <w:p>
            <w:pPr>
              <w:widowControl w:val="0"/>
              <w:numPr>
                <w:ilvl w:val="0"/>
                <w:numId w:val="0"/>
              </w:numPr>
              <w:jc w:val="both"/>
              <w:rPr>
                <w:rFonts w:hint="default"/>
                <w:lang w:val="en-US" w:eastAsia="zh-CN"/>
              </w:rPr>
            </w:pPr>
            <w:r>
              <w:rPr>
                <w:rFonts w:hint="eastAsia"/>
                <w:lang w:val="en-US" w:eastAsia="zh-CN"/>
              </w:rPr>
              <w:t>1500亩</w:t>
            </w:r>
          </w:p>
        </w:tc>
        <w:tc>
          <w:tcPr>
            <w:tcW w:w="670" w:type="dxa"/>
            <w:vAlign w:val="center"/>
          </w:tcPr>
          <w:p>
            <w:pPr>
              <w:widowControl w:val="0"/>
              <w:jc w:val="both"/>
              <w:rPr>
                <w:rFonts w:hint="eastAsia" w:eastAsia="宋体"/>
                <w:b/>
                <w:bCs/>
                <w:color w:val="auto"/>
                <w:sz w:val="40"/>
                <w:szCs w:val="40"/>
                <w:vertAlign w:val="baseline"/>
                <w:lang w:eastAsia="zh-CN"/>
              </w:rPr>
            </w:pPr>
          </w:p>
        </w:tc>
      </w:tr>
    </w:tbl>
    <w:p>
      <w:pPr>
        <w:pStyle w:val="4"/>
        <w:rPr>
          <w:rFonts w:hint="default"/>
          <w:lang w:val="en-US"/>
        </w:rPr>
        <w:sectPr>
          <w:footerReference r:id="rId8" w:type="first"/>
          <w:footerReference r:id="rId7" w:type="default"/>
          <w:pgSz w:w="11906" w:h="16838"/>
          <w:pgMar w:top="1440" w:right="1797" w:bottom="1440" w:left="1797" w:header="851" w:footer="992" w:gutter="0"/>
          <w:pgNumType w:fmt="decimal"/>
          <w:cols w:space="720" w:num="1"/>
          <w:titlePg/>
          <w:docGrid w:type="linesAndChars" w:linePitch="312" w:charSpace="0"/>
        </w:sectPr>
      </w:pPr>
    </w:p>
    <w:p>
      <w:pPr>
        <w:keepNext w:val="0"/>
        <w:keepLines w:val="0"/>
        <w:pageBreakBefore w:val="0"/>
        <w:kinsoku/>
        <w:wordWrap/>
        <w:overflowPunct/>
        <w:topLinePunct w:val="0"/>
        <w:bidi w:val="0"/>
        <w:spacing w:line="440" w:lineRule="exact"/>
        <w:outlineLvl w:val="0"/>
        <w:rPr>
          <w:rFonts w:hint="eastAsia" w:ascii="宋体" w:hAnsi="宋体" w:eastAsia="宋体" w:cs="宋体"/>
          <w:b/>
          <w:sz w:val="28"/>
          <w:szCs w:val="28"/>
        </w:rPr>
      </w:pPr>
      <w:bookmarkStart w:id="642" w:name="_Toc6390"/>
      <w:bookmarkStart w:id="643" w:name="_Toc5106"/>
      <w:r>
        <w:rPr>
          <w:rFonts w:hint="eastAsia" w:ascii="宋体" w:hAnsi="宋体" w:eastAsia="宋体" w:cs="宋体"/>
          <w:b/>
          <w:bCs/>
          <w:color w:val="000000" w:themeColor="text1"/>
          <w:sz w:val="24"/>
          <w:szCs w:val="24"/>
          <w:highlight w:val="none"/>
          <w14:textFill>
            <w14:solidFill>
              <w14:schemeClr w14:val="tx1"/>
            </w14:solidFill>
          </w14:textFill>
        </w:rPr>
        <w:t>二、项目其他要求：</w:t>
      </w:r>
      <w:bookmarkEnd w:id="642"/>
      <w:bookmarkEnd w:id="643"/>
    </w:p>
    <w:p>
      <w:pPr>
        <w:spacing w:line="288" w:lineRule="auto"/>
        <w:jc w:val="center"/>
        <w:rPr>
          <w:rFonts w:hint="eastAsia" w:ascii="仿宋" w:hAnsi="仿宋" w:eastAsia="仿宋" w:cs="仿宋"/>
          <w:sz w:val="28"/>
          <w:szCs w:val="28"/>
        </w:rPr>
      </w:pPr>
      <w:r>
        <w:rPr>
          <w:rFonts w:hint="eastAsia" w:ascii="仿宋" w:hAnsi="仿宋" w:eastAsia="仿宋" w:cs="仿宋"/>
          <w:b/>
          <w:sz w:val="28"/>
          <w:szCs w:val="28"/>
        </w:rPr>
        <w:t>技术规格及要求</w:t>
      </w:r>
    </w:p>
    <w:p>
      <w:pPr>
        <w:spacing w:line="288" w:lineRule="auto"/>
        <w:jc w:val="center"/>
        <w:rPr>
          <w:rFonts w:hint="eastAsia" w:ascii="仿宋" w:hAnsi="仿宋" w:eastAsia="仿宋" w:cs="仿宋"/>
          <w:b/>
          <w:sz w:val="28"/>
          <w:szCs w:val="28"/>
        </w:rPr>
      </w:pPr>
      <w:r>
        <w:rPr>
          <w:rFonts w:hint="eastAsia" w:ascii="仿宋" w:hAnsi="仿宋" w:eastAsia="仿宋" w:cs="仿宋"/>
          <w:b/>
          <w:sz w:val="28"/>
          <w:szCs w:val="28"/>
        </w:rPr>
        <w:t>说　　明</w:t>
      </w:r>
    </w:p>
    <w:p>
      <w:pPr>
        <w:snapToGrid w:val="0"/>
        <w:spacing w:line="380" w:lineRule="exact"/>
        <w:ind w:firstLine="422" w:firstLineChars="200"/>
        <w:textAlignment w:val="center"/>
        <w:rPr>
          <w:rFonts w:hint="eastAsia" w:ascii="Times New Roman" w:hAnsi="Times New Roman" w:eastAsia="宋体" w:cs="仿宋_GB2312"/>
          <w:b/>
          <w:bCs/>
          <w:szCs w:val="21"/>
        </w:rPr>
      </w:pPr>
      <w:r>
        <w:rPr>
          <w:rFonts w:hint="eastAsia" w:ascii="Times New Roman" w:hAnsi="Times New Roman" w:eastAsia="宋体" w:cs="仿宋_GB2312"/>
          <w:b/>
          <w:bCs/>
          <w:szCs w:val="21"/>
        </w:rPr>
        <w:t>1、报价要求</w:t>
      </w:r>
    </w:p>
    <w:p>
      <w:pPr>
        <w:snapToGrid w:val="0"/>
        <w:spacing w:line="380" w:lineRule="exact"/>
        <w:ind w:firstLine="420" w:firstLineChars="200"/>
        <w:textAlignment w:val="center"/>
        <w:rPr>
          <w:rFonts w:hint="eastAsia" w:ascii="Times New Roman" w:hAnsi="Times New Roman" w:eastAsia="宋体" w:cs="仿宋_GB2312"/>
          <w:szCs w:val="21"/>
          <w:lang w:val="en-US" w:eastAsia="zh-CN"/>
        </w:rPr>
      </w:pPr>
      <w:r>
        <w:rPr>
          <w:rFonts w:hint="eastAsia" w:ascii="Times New Roman" w:hAnsi="Times New Roman" w:eastAsia="宋体" w:cs="仿宋_GB2312"/>
          <w:szCs w:val="21"/>
          <w:lang w:val="en-US" w:eastAsia="zh-CN"/>
        </w:rPr>
        <w:t>投标或响应总价必须是完成该项目的一切费用总和，包括投标或响应费、设备费、运输费、装卸费、保险费、技术培训费、设备安装费、调试费、检测费、国家规定的各项税费等。</w:t>
      </w:r>
    </w:p>
    <w:p>
      <w:pPr>
        <w:snapToGrid w:val="0"/>
        <w:spacing w:line="380" w:lineRule="exact"/>
        <w:ind w:firstLine="420" w:firstLineChars="200"/>
        <w:textAlignment w:val="center"/>
        <w:rPr>
          <w:rFonts w:hint="eastAsia" w:eastAsia="宋体" w:cs="仿宋_GB2312"/>
          <w:szCs w:val="21"/>
        </w:rPr>
      </w:pPr>
      <w:r>
        <w:rPr>
          <w:rFonts w:hint="eastAsia" w:eastAsia="宋体" w:cs="仿宋_GB2312"/>
          <w:szCs w:val="21"/>
        </w:rPr>
        <w:t>投标商在制作投标文件时，根据自己所投货物实际指标来撰写响应于招标文件要求的指标。</w:t>
      </w:r>
    </w:p>
    <w:p>
      <w:pPr>
        <w:snapToGrid w:val="0"/>
        <w:spacing w:line="380" w:lineRule="exact"/>
        <w:ind w:firstLine="422" w:firstLineChars="200"/>
        <w:textAlignment w:val="center"/>
        <w:rPr>
          <w:rFonts w:hint="eastAsia" w:ascii="Times New Roman" w:hAnsi="Times New Roman" w:eastAsia="宋体" w:cs="仿宋_GB2312"/>
          <w:szCs w:val="21"/>
          <w:lang w:val="en-US" w:eastAsia="zh-CN"/>
        </w:rPr>
      </w:pPr>
      <w:r>
        <w:rPr>
          <w:rFonts w:hint="eastAsia" w:eastAsia="宋体" w:cs="仿宋_GB2312"/>
          <w:b/>
          <w:bCs/>
          <w:szCs w:val="21"/>
        </w:rPr>
        <w:t>2、主要产品：</w:t>
      </w:r>
      <w:r>
        <w:rPr>
          <w:rFonts w:hint="eastAsia"/>
          <w:lang w:val="en-US" w:eastAsia="zh-CN"/>
        </w:rPr>
        <w:t>种植板蓝根林（详见采购参数需求）</w:t>
      </w:r>
    </w:p>
    <w:p>
      <w:pPr>
        <w:snapToGrid w:val="0"/>
        <w:spacing w:line="380" w:lineRule="exact"/>
        <w:ind w:firstLine="422" w:firstLineChars="200"/>
        <w:textAlignment w:val="center"/>
        <w:rPr>
          <w:rFonts w:hint="eastAsia" w:ascii="Times New Roman" w:hAnsi="Times New Roman" w:eastAsia="宋体" w:cs="仿宋_GB2312"/>
          <w:color w:val="FF0000"/>
          <w:szCs w:val="21"/>
          <w:lang w:val="en-US" w:eastAsia="zh-CN"/>
        </w:rPr>
      </w:pPr>
      <w:r>
        <w:rPr>
          <w:rFonts w:hint="eastAsia" w:ascii="Times New Roman" w:hAnsi="Times New Roman" w:eastAsia="宋体" w:cs="仿宋_GB2312"/>
          <w:b/>
          <w:bCs/>
          <w:szCs w:val="21"/>
          <w:lang w:val="en-US" w:eastAsia="zh-CN"/>
        </w:rPr>
        <w:t>3、</w:t>
      </w:r>
      <w:r>
        <w:rPr>
          <w:rFonts w:hint="eastAsia" w:cs="仿宋_GB2312"/>
          <w:b/>
          <w:bCs/>
          <w:szCs w:val="21"/>
          <w:lang w:val="en-US" w:eastAsia="zh-CN"/>
        </w:rPr>
        <w:t>播种期限</w:t>
      </w:r>
      <w:r>
        <w:rPr>
          <w:rFonts w:hint="eastAsia" w:ascii="Times New Roman" w:hAnsi="Times New Roman" w:eastAsia="宋体" w:cs="仿宋_GB2312"/>
          <w:b/>
          <w:bCs/>
          <w:szCs w:val="21"/>
          <w:lang w:val="en-US" w:eastAsia="zh-CN"/>
        </w:rPr>
        <w:t>：</w:t>
      </w:r>
      <w:r>
        <w:rPr>
          <w:rFonts w:hint="eastAsia" w:ascii="Times New Roman" w:hAnsi="Times New Roman" w:eastAsia="宋体" w:cs="仿宋_GB2312"/>
          <w:szCs w:val="21"/>
          <w:lang w:val="en-US" w:eastAsia="zh-CN"/>
        </w:rPr>
        <w:t>签订合同后</w:t>
      </w:r>
      <w:r>
        <w:rPr>
          <w:rFonts w:hint="eastAsia" w:cs="仿宋_GB2312"/>
          <w:szCs w:val="21"/>
          <w:lang w:val="en-US" w:eastAsia="zh-CN"/>
        </w:rPr>
        <w:t>5</w:t>
      </w:r>
      <w:r>
        <w:rPr>
          <w:rFonts w:hint="eastAsia" w:ascii="Times New Roman" w:hAnsi="Times New Roman" w:eastAsia="宋体" w:cs="仿宋_GB2312"/>
          <w:szCs w:val="21"/>
          <w:lang w:val="en-US" w:eastAsia="zh-CN"/>
        </w:rPr>
        <w:t>日内完成</w:t>
      </w:r>
      <w:r>
        <w:rPr>
          <w:rFonts w:hint="eastAsia" w:cs="仿宋_GB2312"/>
          <w:szCs w:val="21"/>
          <w:lang w:val="en-US" w:eastAsia="zh-CN"/>
        </w:rPr>
        <w:t>播种</w:t>
      </w:r>
    </w:p>
    <w:p>
      <w:pPr>
        <w:snapToGrid w:val="0"/>
        <w:spacing w:line="380" w:lineRule="exact"/>
        <w:ind w:firstLine="422" w:firstLineChars="200"/>
        <w:textAlignment w:val="center"/>
        <w:rPr>
          <w:rFonts w:hint="eastAsia" w:ascii="Times New Roman" w:hAnsi="Times New Roman" w:eastAsia="宋体" w:cs="仿宋_GB2312"/>
          <w:szCs w:val="21"/>
          <w:lang w:eastAsia="zh-CN"/>
        </w:rPr>
      </w:pPr>
      <w:r>
        <w:rPr>
          <w:rFonts w:hint="eastAsia" w:ascii="Times New Roman" w:hAnsi="Times New Roman" w:eastAsia="宋体" w:cs="仿宋_GB2312"/>
          <w:b/>
          <w:bCs/>
          <w:szCs w:val="21"/>
          <w:lang w:val="en-US" w:eastAsia="zh-CN"/>
        </w:rPr>
        <w:t>4、</w:t>
      </w:r>
      <w:r>
        <w:rPr>
          <w:rFonts w:hint="eastAsia" w:cs="仿宋_GB2312"/>
          <w:b/>
          <w:bCs/>
          <w:szCs w:val="21"/>
          <w:lang w:val="en-US" w:eastAsia="zh-CN"/>
        </w:rPr>
        <w:t>管护</w:t>
      </w:r>
      <w:r>
        <w:rPr>
          <w:rFonts w:hint="eastAsia" w:ascii="Times New Roman" w:hAnsi="Times New Roman" w:eastAsia="宋体" w:cs="仿宋_GB2312"/>
          <w:b/>
          <w:bCs/>
          <w:szCs w:val="21"/>
          <w:lang w:val="en-US" w:eastAsia="zh-CN"/>
        </w:rPr>
        <w:t>期:</w:t>
      </w:r>
      <w:r>
        <w:rPr>
          <w:rFonts w:hint="eastAsia" w:ascii="Times New Roman" w:hAnsi="Times New Roman" w:eastAsia="宋体" w:cs="仿宋_GB2312"/>
          <w:szCs w:val="21"/>
          <w:lang w:val="en-US" w:eastAsia="zh-CN"/>
        </w:rPr>
        <w:t>8个月以上（其中包含种植，收割，养护，除草，松土，浇水，施肥，打药）</w:t>
      </w:r>
    </w:p>
    <w:p>
      <w:pPr>
        <w:snapToGrid w:val="0"/>
        <w:spacing w:line="380" w:lineRule="exact"/>
        <w:ind w:firstLine="422" w:firstLineChars="200"/>
        <w:textAlignment w:val="center"/>
        <w:rPr>
          <w:rFonts w:hint="eastAsia" w:cs="仿宋_GB2312"/>
          <w:szCs w:val="21"/>
          <w:lang w:eastAsia="zh-CN"/>
        </w:rPr>
      </w:pPr>
      <w:r>
        <w:rPr>
          <w:rFonts w:hint="eastAsia" w:ascii="Times New Roman" w:hAnsi="Times New Roman" w:eastAsia="宋体" w:cs="仿宋_GB2312"/>
          <w:b/>
          <w:bCs/>
          <w:szCs w:val="21"/>
          <w:lang w:val="en-US" w:eastAsia="zh-CN"/>
        </w:rPr>
        <w:t>5、</w:t>
      </w:r>
      <w:r>
        <w:rPr>
          <w:rFonts w:hint="eastAsia" w:cs="仿宋_GB2312"/>
          <w:b/>
          <w:bCs/>
          <w:szCs w:val="21"/>
          <w:lang w:val="en-US" w:eastAsia="zh-CN"/>
        </w:rPr>
        <w:t>播种</w:t>
      </w:r>
      <w:r>
        <w:rPr>
          <w:rFonts w:hint="eastAsia" w:ascii="Times New Roman" w:hAnsi="Times New Roman" w:eastAsia="宋体" w:cs="仿宋_GB2312"/>
          <w:b/>
          <w:bCs/>
          <w:szCs w:val="21"/>
          <w:lang w:val="en-US" w:eastAsia="zh-CN"/>
        </w:rPr>
        <w:t>地点：</w:t>
      </w:r>
      <w:r>
        <w:rPr>
          <w:rFonts w:hint="eastAsia" w:cs="仿宋_GB2312"/>
          <w:szCs w:val="21"/>
          <w:lang w:val="en-US" w:eastAsia="zh-CN"/>
        </w:rPr>
        <w:t>指定地点</w:t>
      </w:r>
    </w:p>
    <w:p>
      <w:pPr>
        <w:snapToGrid w:val="0"/>
        <w:spacing w:line="380" w:lineRule="exact"/>
        <w:ind w:firstLine="422" w:firstLineChars="200"/>
        <w:textAlignment w:val="center"/>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b/>
          <w:bCs/>
          <w:kern w:val="2"/>
          <w:sz w:val="21"/>
          <w:szCs w:val="21"/>
          <w:lang w:val="en-US" w:eastAsia="zh-CN" w:bidi="ar-SA"/>
        </w:rPr>
        <w:t>6、付款方式：（以实际发生播种数量为准）</w:t>
      </w:r>
      <w:r>
        <w:rPr>
          <w:rFonts w:hint="eastAsia" w:ascii="Times New Roman" w:hAnsi="Times New Roman" w:eastAsia="宋体" w:cs="仿宋_GB2312"/>
          <w:kern w:val="2"/>
          <w:sz w:val="21"/>
          <w:szCs w:val="21"/>
          <w:lang w:val="en-US" w:eastAsia="zh-CN" w:bidi="ar-SA"/>
        </w:rPr>
        <w:t>具体付款方式按合同约定为准</w:t>
      </w:r>
    </w:p>
    <w:p>
      <w:pPr>
        <w:snapToGrid w:val="0"/>
        <w:spacing w:line="380" w:lineRule="exact"/>
        <w:ind w:firstLine="422" w:firstLineChars="200"/>
        <w:textAlignment w:val="center"/>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b/>
          <w:bCs/>
          <w:szCs w:val="21"/>
          <w:lang w:val="en-US" w:eastAsia="zh-CN"/>
        </w:rPr>
        <w:t>7、验收方式：</w:t>
      </w:r>
      <w:r>
        <w:rPr>
          <w:rFonts w:hint="eastAsia" w:ascii="Times New Roman" w:hAnsi="Times New Roman" w:eastAsia="宋体" w:cs="仿宋_GB2312"/>
          <w:kern w:val="2"/>
          <w:sz w:val="21"/>
          <w:szCs w:val="21"/>
          <w:lang w:val="en-US" w:eastAsia="zh-CN" w:bidi="ar-SA"/>
        </w:rPr>
        <w:t>由疏附县托克扎克镇人民政府组织验收</w:t>
      </w:r>
    </w:p>
    <w:p>
      <w:pPr>
        <w:keepNext w:val="0"/>
        <w:keepLines w:val="0"/>
        <w:widowControl/>
        <w:suppressLineNumbers w:val="0"/>
        <w:ind w:firstLine="422" w:firstLineChars="200"/>
        <w:jc w:val="left"/>
        <w:rPr>
          <w:rFonts w:hint="eastAsia" w:ascii="Times New Roman" w:hAnsi="Times New Roman" w:eastAsia="宋体" w:cs="仿宋_GB2312"/>
          <w:b/>
          <w:bCs/>
          <w:kern w:val="2"/>
          <w:sz w:val="21"/>
          <w:szCs w:val="21"/>
          <w:lang w:val="en-US" w:eastAsia="zh-CN" w:bidi="ar-SA"/>
        </w:rPr>
      </w:pPr>
      <w:r>
        <w:rPr>
          <w:rFonts w:hint="eastAsia" w:ascii="Times New Roman" w:hAnsi="Times New Roman" w:eastAsia="宋体" w:cs="仿宋_GB2312"/>
          <w:b/>
          <w:bCs/>
          <w:kern w:val="2"/>
          <w:sz w:val="21"/>
          <w:szCs w:val="21"/>
          <w:lang w:val="en-US" w:eastAsia="zh-CN" w:bidi="ar-SA"/>
        </w:rPr>
        <w:t>8、其他要求：</w:t>
      </w:r>
    </w:p>
    <w:p>
      <w:pPr>
        <w:snapToGrid w:val="0"/>
        <w:spacing w:line="380" w:lineRule="exact"/>
        <w:ind w:firstLine="420" w:firstLineChars="200"/>
        <w:textAlignment w:val="center"/>
        <w:rPr>
          <w:rFonts w:hint="eastAsia" w:ascii="Times New Roman" w:hAnsi="Times New Roman" w:eastAsia="宋体" w:cs="仿宋_GB2312"/>
          <w:szCs w:val="21"/>
          <w:lang w:val="en-US" w:eastAsia="zh-CN"/>
        </w:rPr>
      </w:pPr>
      <w:r>
        <w:rPr>
          <w:rFonts w:hint="eastAsia" w:ascii="Times New Roman" w:hAnsi="Times New Roman" w:eastAsia="宋体" w:cs="仿宋_GB2312"/>
          <w:szCs w:val="21"/>
          <w:lang w:val="en-US" w:eastAsia="zh-CN"/>
        </w:rPr>
        <w:t xml:space="preserve">1.应急方案：供应商针对问题播种期间及管护期间的问题遇到突发安全事件、恶劣天气等情况的应急处理。 </w:t>
      </w:r>
    </w:p>
    <w:p>
      <w:pPr>
        <w:snapToGrid w:val="0"/>
        <w:spacing w:line="380" w:lineRule="exact"/>
        <w:ind w:firstLine="420" w:firstLineChars="200"/>
        <w:textAlignment w:val="center"/>
        <w:rPr>
          <w:rFonts w:hint="default" w:ascii="Times New Roman" w:hAnsi="Times New Roman" w:eastAsia="宋体" w:cs="仿宋_GB2312"/>
          <w:szCs w:val="21"/>
          <w:lang w:val="en-US" w:eastAsia="zh-CN"/>
        </w:rPr>
      </w:pPr>
      <w:r>
        <w:rPr>
          <w:rFonts w:hint="eastAsia" w:ascii="Times New Roman" w:hAnsi="Times New Roman" w:eastAsia="宋体" w:cs="仿宋_GB2312"/>
          <w:szCs w:val="21"/>
          <w:lang w:val="en-US" w:eastAsia="zh-CN"/>
        </w:rPr>
        <w:t xml:space="preserve">2.实施方案：实施过程务实情况等（组织管理、场所设备设施、播种管理、管护期管理，设施等情况)。 </w:t>
      </w:r>
    </w:p>
    <w:p>
      <w:pPr>
        <w:snapToGrid w:val="0"/>
        <w:spacing w:line="380" w:lineRule="exact"/>
        <w:ind w:firstLine="420" w:firstLineChars="200"/>
        <w:textAlignment w:val="center"/>
        <w:rPr>
          <w:rFonts w:hint="eastAsia" w:ascii="Times New Roman" w:hAnsi="Times New Roman" w:eastAsia="宋体" w:cs="仿宋_GB2312"/>
          <w:szCs w:val="21"/>
          <w:lang w:val="en-US" w:eastAsia="zh-CN"/>
        </w:rPr>
      </w:pPr>
      <w:r>
        <w:rPr>
          <w:rFonts w:hint="eastAsia" w:ascii="Times New Roman" w:hAnsi="Times New Roman" w:eastAsia="宋体" w:cs="仿宋_GB2312"/>
          <w:szCs w:val="21"/>
          <w:lang w:val="en-US" w:eastAsia="zh-CN"/>
        </w:rPr>
        <w:t>3.售后服务：根据项目需求提供售前、售中及售后计划书（包含进度计划安排、售后服务 响应时间、针对服务中出现产品各项问题的解决办法等、项目售后服务组织措施等、售后 服务专线（联系人及联系电话）、快捷方便、清晰可靠等）。</w:t>
      </w:r>
    </w:p>
    <w:p>
      <w:pPr>
        <w:snapToGrid w:val="0"/>
        <w:spacing w:line="380" w:lineRule="exact"/>
        <w:ind w:firstLine="420" w:firstLineChars="200"/>
        <w:textAlignment w:val="center"/>
        <w:rPr>
          <w:rFonts w:hint="default" w:ascii="Times New Roman" w:hAnsi="Times New Roman" w:eastAsia="宋体" w:cs="仿宋_GB2312"/>
          <w:szCs w:val="21"/>
          <w:lang w:val="en-US" w:eastAsia="zh-CN"/>
        </w:rPr>
        <w:sectPr>
          <w:headerReference r:id="rId9" w:type="default"/>
          <w:footerReference r:id="rId10" w:type="default"/>
          <w:pgSz w:w="11905" w:h="16838"/>
          <w:pgMar w:top="1440" w:right="1080" w:bottom="1440" w:left="1080" w:header="851" w:footer="992" w:gutter="0"/>
          <w:pgNumType w:fmt="decimal"/>
          <w:cols w:space="0" w:num="1"/>
          <w:rtlGutter w:val="0"/>
          <w:docGrid w:linePitch="462" w:charSpace="0"/>
        </w:sectPr>
      </w:pPr>
    </w:p>
    <w:p>
      <w:pPr>
        <w:jc w:val="center"/>
        <w:rPr>
          <w:rFonts w:hint="eastAsia" w:ascii="微软雅黑" w:hAnsi="微软雅黑" w:eastAsia="微软雅黑" w:cs="微软雅黑"/>
          <w:color w:val="000000" w:themeColor="text1"/>
          <w:sz w:val="32"/>
          <w:szCs w:val="32"/>
          <w:highlight w:val="none"/>
          <w14:textFill>
            <w14:solidFill>
              <w14:schemeClr w14:val="tx1"/>
            </w14:solidFill>
          </w14:textFill>
        </w:rPr>
      </w:pPr>
      <w:bookmarkStart w:id="644" w:name="_Toc7563"/>
      <w:r>
        <w:rPr>
          <w:rStyle w:val="38"/>
          <w:rFonts w:hint="eastAsia" w:ascii="微软雅黑" w:hAnsi="微软雅黑" w:eastAsia="微软雅黑" w:cs="微软雅黑"/>
          <w:color w:val="000000" w:themeColor="text1"/>
          <w:sz w:val="32"/>
          <w:szCs w:val="32"/>
          <w:highlight w:val="none"/>
          <w14:textFill>
            <w14:solidFill>
              <w14:schemeClr w14:val="tx1"/>
            </w14:solidFill>
          </w14:textFill>
        </w:rPr>
        <w:t>第6章  评标方法和标准</w:t>
      </w:r>
      <w:bookmarkEnd w:id="634"/>
      <w:bookmarkEnd w:id="635"/>
      <w:bookmarkEnd w:id="636"/>
      <w:bookmarkEnd w:id="637"/>
      <w:bookmarkEnd w:id="638"/>
      <w:bookmarkEnd w:id="639"/>
      <w:bookmarkEnd w:id="640"/>
      <w:bookmarkEnd w:id="641"/>
      <w:bookmarkEnd w:id="644"/>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本项目将按照招标文件第一章供应商须知中“五 开标及评标”、“六 确定中标”及本章的规定评标。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注：1.投标无效的情形：</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（1）单位负责人为同一人或者存在直接控股、管理关系的不同供应商，其相关投标将被认定为投标无效。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（2）若供应商须知资料表中未写明允许采购进口产品，如供应商所投产品为进口产品，其投标将被认定为投标无效。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（3）为本项目提供过整体设计、规范编制或者项目管理、监理、检测等服务的供应商，不得再参加本项目上述服务以外的其他采购活动。否则其投标将被认定为投标无效。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供应商在投标过程中不得向采购人提供、给予任何有价值的物品，影响其正常决策行为。一经发现，其将被认定为投标无效。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（4）供应商报价超过招标文件规定的预算金额或者分项、分包最高限价的，其投标将被认定为投标无效。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供应商应认真阅读招标文件所有的事项、格式、条款和技术规范等。如供应商没有按照招标文件要求提交全部资料，或者投标文件没有对招标文件在各方面都做出实质性响应，可能导致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（6）供应商应当对所投分包招标文件中“货物需求”所列的所有内容进行投标，如仅响应某一包中的部分内容，其该包投标将被认定为投标无效。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（7）供应商未按本须知第12.1和12.3条规定提交投标保证金的，其投标将被认定为投标无效。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（9）供应商所报的各分项投标单价在合同履行过程中是固定不变的，不得以任何理由予以变更。任何包含价格调整要求的投标，其投标将被认定为投标无效。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（10）投标应在供应商须知资料表中规定时间内保持有效。投标有效期不满足要求的投标，其投标将被认定为投标无效。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（11）所有投标文件采用不可拆装的胶订方式装订，否则其投标将被认定为投标无效。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（12）采购人或采购代理机构将在开标前1个工作日至投标截止后1小时的期间内查询供应商的信用记录。供应商存在不良信用记录的，其投标将被认定为投标无效。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（15）如发现下列情况之一的，其投标将被认定为投标无效：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2.根据《政府采购促进中小企业发展管理办法》（财库[2020]46号）、《财政部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、《关于进一步加大政府采购支持中小企业力度的通知》（财库〔2022〕19号）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10%-20%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后参与</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。对于同时属于小微企业、监狱企业或残疾人福利性单位的，不重复进行投标报价扣除。</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3.联合协议中约定，</w:t>
      </w:r>
      <w:r>
        <w:rPr>
          <w:rFonts w:hint="eastAsia" w:ascii="微软雅黑" w:hAnsi="微软雅黑" w:eastAsia="微软雅黑" w:cs="微软雅黑"/>
          <w:color w:val="000000" w:themeColor="text1"/>
          <w:sz w:val="24"/>
          <w:szCs w:val="24"/>
          <w:highlight w:val="none"/>
          <w14:textFill>
            <w14:solidFill>
              <w14:schemeClr w14:val="tx1"/>
            </w14:solidFill>
          </w14:textFill>
        </w:rPr>
        <w:t>小型、微型企业和监狱企业的协议合同金额占到联合体协议合同总金额</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40</w:t>
      </w:r>
      <w:r>
        <w:rPr>
          <w:rFonts w:hint="eastAsia" w:ascii="微软雅黑" w:hAnsi="微软雅黑" w:eastAsia="微软雅黑" w:cs="微软雅黑"/>
          <w:color w:val="000000" w:themeColor="text1"/>
          <w:sz w:val="24"/>
          <w:szCs w:val="24"/>
          <w:highlight w:val="none"/>
          <w14:textFill>
            <w14:solidFill>
              <w14:schemeClr w14:val="tx1"/>
            </w14:solidFill>
          </w14:textFill>
        </w:rPr>
        <w:t>%以上的，可给予联合体</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4%~6%</w:t>
      </w:r>
      <w:r>
        <w:rPr>
          <w:rFonts w:hint="eastAsia" w:ascii="微软雅黑" w:hAnsi="微软雅黑" w:eastAsia="微软雅黑" w:cs="微软雅黑"/>
          <w:color w:val="000000" w:themeColor="text1"/>
          <w:sz w:val="24"/>
          <w:szCs w:val="24"/>
          <w:highlight w:val="none"/>
          <w14:textFill>
            <w14:solidFill>
              <w14:schemeClr w14:val="tx1"/>
            </w14:solidFill>
          </w14:textFill>
        </w:rPr>
        <w:t>的价格扣除。（本项目不适用）</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联合体各方均为小型、微型企业和监狱企业的，联合体视同为小型、微型企业和监狱企业。</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4.供应商所投产品如被列入财政部与国家主管部门颁发的节能产品目录或环境标志产品目录或无线局域网产品目录，</w:t>
      </w:r>
      <w:r>
        <w:rPr>
          <w:rFonts w:hint="eastAsia" w:ascii="微软雅黑" w:hAnsi="微软雅黑" w:eastAsia="微软雅黑" w:cs="微软雅黑"/>
          <w:color w:val="000000" w:themeColor="text1"/>
          <w:sz w:val="24"/>
          <w:szCs w:val="24"/>
          <w:highlight w:val="none"/>
          <w14:textFill>
            <w14:solidFill>
              <w14:schemeClr w14:val="tx1"/>
            </w14:solidFill>
          </w14:textFill>
        </w:rPr>
        <w:t>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5.如采购人所采购产品为政府强制采购的节能产品，供应商所投产品的品牌及型号必须为清单中有效期内产品并提供证明文件，否则其投标将被认定为投标无效。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6.对创新产品或创新性企业的优惠措施为：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       </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7.开标：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（1）供应商按照须知资料表中规定的开标时间和地点，在规定时间内上传投标文件。</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（2）在开标前，工作人员收取所有参会人员的手机，主持人宣读开标纪律。</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（3）开标时，由代理机构对供应商的投标文件进行解密，</w:t>
      </w:r>
      <w:r>
        <w:rPr>
          <w:rFonts w:hint="eastAsia" w:ascii="微软雅黑" w:hAnsi="微软雅黑" w:eastAsia="微软雅黑" w:cs="微软雅黑"/>
          <w:b/>
          <w:bCs/>
          <w:color w:val="000000" w:themeColor="text1"/>
          <w:sz w:val="24"/>
          <w:szCs w:val="24"/>
          <w:highlight w:val="none"/>
          <w14:textFill>
            <w14:solidFill>
              <w14:schemeClr w14:val="tx1"/>
            </w14:solidFill>
          </w14:textFill>
        </w:rPr>
        <w:t>解密时间为30分钟。</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（4）由代理机构开启报价，所有投标供应商签字确认。</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（5）采购人或采购代理机构登录政采云平台对投标供应商的资格证明材料进行审查。</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8.评标：</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（1）评标办法：</w:t>
      </w:r>
      <w:r>
        <w:rPr>
          <w:rFonts w:hint="eastAsia" w:ascii="微软雅黑" w:hAnsi="微软雅黑" w:eastAsia="微软雅黑" w:cs="微软雅黑"/>
          <w:b/>
          <w:bCs w:val="0"/>
          <w:color w:val="000000" w:themeColor="text1"/>
          <w:sz w:val="24"/>
          <w:szCs w:val="24"/>
          <w:highlight w:val="none"/>
          <w:lang w:val="en-US" w:eastAsia="zh-CN"/>
          <w14:textFill>
            <w14:solidFill>
              <w14:schemeClr w14:val="tx1"/>
            </w14:solidFill>
          </w14:textFill>
        </w:rPr>
        <w:t>本项目</w:t>
      </w:r>
      <w:r>
        <w:rPr>
          <w:rFonts w:hint="eastAsia" w:ascii="微软雅黑" w:hAnsi="微软雅黑" w:eastAsia="微软雅黑" w:cs="微软雅黑"/>
          <w:b/>
          <w:bCs w:val="0"/>
          <w:color w:val="000000" w:themeColor="text1"/>
          <w:sz w:val="24"/>
          <w:szCs w:val="24"/>
          <w:highlight w:val="none"/>
          <w14:textFill>
            <w14:solidFill>
              <w14:schemeClr w14:val="tx1"/>
            </w14:solidFill>
          </w14:textFill>
        </w:rPr>
        <w:t>采用综合评分法</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lang w:val="en-US" w:eastAsia="zh-CN"/>
          <w14:textFill>
            <w14:solidFill>
              <w14:schemeClr w14:val="tx1"/>
            </w14:solidFill>
          </w14:textFill>
        </w:rPr>
        <w:t>供应商的</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投标文件满足招标文件全部实质性要求，且按照</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因素的量化指标</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得分最高的投标人为中标候选人的评标方法。</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lang w:val="en-US" w:eastAsia="zh-CN"/>
          <w14:textFill>
            <w14:solidFill>
              <w14:schemeClr w14:val="tx1"/>
            </w14:solidFill>
          </w14:textFill>
        </w:rPr>
        <w:t>具体评分细则详见综合评分表</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（2）评标专家来源：《中华人民共和国政府采购法》、《中华人民共和国政府采购法实施条例》及本项目本级和上级财政部门的有关规定依法在政采云平台随机抽取5人，组成评标小组，负责评标工作。</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（其中业主</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0</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名、随机抽取专家</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w:t>
      </w:r>
    </w:p>
    <w:p>
      <w:pPr>
        <w:pStyle w:val="8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val="0"/>
          <w:i w:val="0"/>
          <w:caps w:val="0"/>
          <w:color w:val="000000" w:themeColor="text1"/>
          <w:spacing w:val="0"/>
          <w:w w:val="100"/>
          <w:sz w:val="24"/>
          <w:szCs w:val="24"/>
          <w:highlight w:val="none"/>
          <w:lang w:val="en-US" w:eastAsia="zh-CN"/>
          <w14:textFill>
            <w14:solidFill>
              <w14:schemeClr w14:val="tx1"/>
            </w14:solidFill>
          </w14:textFill>
        </w:rPr>
        <w:t>（3）</w:t>
      </w: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评标前</w:t>
      </w:r>
      <w:r>
        <w:rPr>
          <w:rFonts w:hint="eastAsia" w:ascii="微软雅黑" w:hAnsi="微软雅黑" w:eastAsia="微软雅黑" w:cs="微软雅黑"/>
          <w:b w:val="0"/>
          <w:i w:val="0"/>
          <w:caps w:val="0"/>
          <w:color w:val="000000" w:themeColor="text1"/>
          <w:spacing w:val="0"/>
          <w:w w:val="100"/>
          <w:sz w:val="24"/>
          <w:szCs w:val="24"/>
          <w:highlight w:val="none"/>
          <w:lang w:val="en-US" w:eastAsia="zh-CN"/>
          <w14:textFill>
            <w14:solidFill>
              <w14:schemeClr w14:val="tx1"/>
            </w14:solidFill>
          </w14:textFill>
        </w:rPr>
        <w:t>，工作人员收取所有参会人员的手机，主持人宣读评标纪律。</w:t>
      </w:r>
    </w:p>
    <w:p>
      <w:pPr>
        <w:pStyle w:val="82"/>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（4）本次评标工作纪律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①</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评</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委员会成员要严格遵守</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时间，主动出具身份证明，遵守</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工作纪律和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回避的相关规定。在</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工作开始前，将手机等通讯工具或相关电子设备交由采购人或采购代理机构统一保管，拒不上交的，采购人或采购代理机构可以拒绝其参加</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工作并向财政部门报告。</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②</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委员会成员和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工作有关人员不得干预或者影响正常</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工作，不得明示或者暗示其倾向性、引导性意见，不得修改或细化采购文件确定的</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程序、</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方法、</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因素和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标准，不得接受供应商主动提出的澄清和解释，不得征询采购人代表的倾向性意见，不得协商评分，不得记录、复制或带走任何</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资料。</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结果汇总完成后，采购人、采购代理机构和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委员会均不得修改</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结果或者要求重新</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，但资格性检查认定错误、分值汇总计算错误、分项评分超出评分标准范围、客观分评分不一致、经</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委员会一致认定评分畸高、畸低的情形除外。出现上述除外情形的，</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委员会应当现场修改</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结果，并在</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报告中明确记载。</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4"/>
          <w:szCs w:val="24"/>
          <w:highlight w:val="none"/>
          <w14:textFill>
            <w14:solidFill>
              <w14:schemeClr w14:val="tx1"/>
            </w14:solidFill>
          </w14:textFill>
        </w:rPr>
        <w:t>评标专家</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与供应商有下列利害关系之一的人员，应当回避</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1）参加采购活动前3年内与供应商存在劳动关系；</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2）参加采购活动前3年内担任供应商的董事、监事；</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3）参加采购活动前3年内是供应商的控股股东或者实际控制人；</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4）与供应商的法定代表人或者负责人有夫妻、直系血亲、三代以内旁系血亲或者近姻亲关系。</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240" w:firstLineChars="100"/>
        <w:jc w:val="both"/>
        <w:textAlignment w:val="baseline"/>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（6）保密要求：</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采购人、采购代理机构确保</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评标</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活动在严格保密的情况下进行。在采购结果确定前，采购人、采购代理机构对</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评标</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委员会名单保密。</w:t>
      </w:r>
      <w:r>
        <w:rPr>
          <w:rFonts w:hint="eastAsia" w:ascii="微软雅黑" w:hAnsi="微软雅黑" w:eastAsia="微软雅黑" w:cs="微软雅黑"/>
          <w:color w:val="000000" w:themeColor="text1"/>
          <w:sz w:val="24"/>
          <w:szCs w:val="24"/>
          <w:highlight w:val="none"/>
          <w14:textFill>
            <w14:solidFill>
              <w14:schemeClr w14:val="tx1"/>
            </w14:solidFill>
          </w14:textFill>
        </w:rPr>
        <w:t>与评标工作无关的人员不得进入评标现场</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标。有关人员须对评标情况以及在评标过程中获悉的国家秘密、商业秘密负有保密责任</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）采购人或采购代理机构依据法律法规和招标文件中规定的内容，对投标人的投标文件进行资格性审查。</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highlight w:val="none"/>
          <w14:textFill>
            <w14:solidFill>
              <w14:schemeClr w14:val="tx1"/>
            </w14:solidFill>
          </w14:textFill>
        </w:rPr>
        <w:t>）未通过资格审查的投标人不进入评标；通过资格审查的投标人少于不足三家的，不得评标。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）符合性审查是指依据招标文件的规定，从投标文件的有效性和完整性对招标文件的响应程度进行审查，以确定是否对招标文件的实质性要求做出响应。</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14:textFill>
            <w14:solidFill>
              <w14:schemeClr w14:val="tx1"/>
            </w14:solidFill>
          </w14:textFill>
        </w:rPr>
        <w:t>）经符合性审查合格的投标文件，评标委员会将根据招标文件确定的评标方法和标准，对其技术部分和商务部分作进一步的比较和评价。</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w:t>
      </w:r>
      <w:r>
        <w:rPr>
          <w:rFonts w:hint="eastAsia" w:ascii="微软雅黑" w:hAnsi="微软雅黑" w:eastAsia="微软雅黑" w:cs="微软雅黑"/>
          <w:color w:val="000000" w:themeColor="text1"/>
          <w:sz w:val="24"/>
          <w:szCs w:val="24"/>
          <w:highlight w:val="none"/>
          <w14:textFill>
            <w14:solidFill>
              <w14:schemeClr w14:val="tx1"/>
            </w14:solidFill>
          </w14:textFill>
        </w:rPr>
        <w:t>）评标严格按照招标文件的要求和条件进行：综合评分法，是指投标文件满足招标文件全部实质性要求，且按照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因素的量化指标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得分最高的投标人为中标候选人的评标方法。</w:t>
      </w:r>
    </w:p>
    <w:p>
      <w:pPr>
        <w:pStyle w:val="11"/>
        <w:keepNext w:val="0"/>
        <w:keepLines w:val="0"/>
        <w:pageBreakBefore w:val="0"/>
        <w:widowControl w:val="0"/>
        <w:tabs>
          <w:tab w:val="clear" w:pos="567"/>
        </w:tabs>
        <w:kinsoku/>
        <w:wordWrap/>
        <w:overflowPunct/>
        <w:topLinePunct w:val="0"/>
        <w:autoSpaceDE/>
        <w:autoSpaceDN/>
        <w:bidi w:val="0"/>
        <w:adjustRightInd/>
        <w:snapToGrid/>
        <w:spacing w:before="0" w:line="480" w:lineRule="exact"/>
        <w:ind w:firstLine="540" w:firstLineChars="225"/>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同品牌处理办法：</w:t>
      </w:r>
      <w:r>
        <w:rPr>
          <w:rFonts w:hint="eastAsia" w:ascii="微软雅黑" w:hAnsi="微软雅黑" w:eastAsia="微软雅黑" w:cs="微软雅黑"/>
          <w:color w:val="000000" w:themeColor="text1"/>
          <w:sz w:val="24"/>
          <w:szCs w:val="24"/>
          <w:highlight w:val="none"/>
          <w14:textFill>
            <w14:solidFill>
              <w14:schemeClr w14:val="tx1"/>
            </w14:solidFill>
          </w14:textFill>
        </w:rPr>
        <w:t>提供相同品牌产品且通过资格审查、符合性审查的不同供应商参加同一合同项下投标的，按一家供应商计算，</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后得分最高的同品牌供应商获得中标人推荐资格;</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highlight w:val="none"/>
          <w:lang w:val="en-US" w:eastAsia="zh-CN" w:bidi="ar-SA"/>
          <w14:textFill>
            <w14:solidFill>
              <w14:schemeClr w14:val="tx1"/>
            </w14:solidFill>
          </w14:textFill>
        </w:rPr>
        <w:t>9.答疑：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1）在评标过程中，评标委员会在评审过程中发现供应商所提交的投标文件中存在含义不明确、同类问题表述不一致或者有明显文字和计算错误的内容，评标委员会应当以书面形式要求供应商作出必要的澄清、说明或者补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（2）供应商的澄清、说明或者补正应当采用书面形式，并加盖公章，或者由法定代表人或其授权的代表签字。供应商的澄清、说明或者补正不得超出投标文件的范围或者改变投标文件的实质性内容。</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1</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.定标：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（1）评标委员会推荐中标候选供应商的数量为3家。采购人不委托评标委员会直接确定中标人。</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（2）采购代理机构在评标结束后2个工作日内将评标报告送采购人。</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（3）采购人应当自收到评标报告之日起５个工作日内，在评标报告确定的中标候选人名单中按顺序确定中标人。中标候选人并列的，按照中标候选人并列时的处理方式：评标结果按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后得分由高到低顺序排列。得分相同的，按投标报价由低到高顺序排列。得分且投标报价相同的并列。投标文件满足招标文件全部实质性要求，且按照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因素的量化指标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得分最高的供应商为排名第一的中标候选人。</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（4）采购人在收到评标报告5个工作日内未按评标报告推荐的中标候选人顺序确定中标人，又不能说明合法理由的，视同按评标报告推荐的顺序确定排名第一的中标候选人为中标人。</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spacing w:line="300" w:lineRule="auto"/>
        <w:jc w:val="center"/>
        <w:outlineLvl w:val="9"/>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645" w:name="_Toc13711"/>
      <w:bookmarkStart w:id="646" w:name="_Toc28942"/>
      <w:bookmarkStart w:id="647" w:name="_Toc14552"/>
      <w:bookmarkStart w:id="648" w:name="_Toc13647"/>
      <w:bookmarkStart w:id="649" w:name="_Toc25224"/>
      <w:bookmarkStart w:id="650" w:name="_Toc21250"/>
      <w:bookmarkStart w:id="651" w:name="_Toc32167"/>
      <w:bookmarkStart w:id="652" w:name="_Toc1545"/>
      <w:bookmarkStart w:id="653" w:name="_Toc25776"/>
      <w:bookmarkStart w:id="654" w:name="_Toc18687"/>
      <w:bookmarkStart w:id="655" w:name="_Toc3470"/>
      <w:bookmarkStart w:id="656" w:name="_Toc12438"/>
      <w:bookmarkStart w:id="657" w:name="_Toc18194"/>
      <w:bookmarkStart w:id="658" w:name="_Toc22779"/>
      <w:bookmarkStart w:id="659" w:name="_Toc26572"/>
      <w:bookmarkStart w:id="660" w:name="_Toc1126"/>
      <w:bookmarkStart w:id="661" w:name="_Toc15389"/>
      <w:bookmarkStart w:id="662" w:name="_Toc7251"/>
      <w:bookmarkStart w:id="663" w:name="_Toc19633"/>
      <w:bookmarkStart w:id="664" w:name="_Toc12716"/>
      <w:bookmarkStart w:id="665" w:name="_Toc27829"/>
    </w:p>
    <w:p>
      <w:pPr>
        <w:spacing w:line="300" w:lineRule="auto"/>
        <w:jc w:val="center"/>
        <w:outlineLvl w:val="9"/>
        <w:rPr>
          <w:rFonts w:hint="eastAsia" w:ascii="微软雅黑" w:hAnsi="微软雅黑" w:eastAsia="微软雅黑" w:cs="微软雅黑"/>
          <w:b/>
          <w:bCs/>
          <w:color w:val="000000" w:themeColor="text1"/>
          <w:sz w:val="22"/>
          <w:szCs w:val="22"/>
          <w:highlight w:val="none"/>
          <w14:textFill>
            <w14:solidFill>
              <w14:schemeClr w14:val="tx1"/>
            </w14:solidFill>
          </w14:textFill>
        </w:rPr>
      </w:pPr>
    </w:p>
    <w:p>
      <w:pPr>
        <w:spacing w:line="300" w:lineRule="auto"/>
        <w:jc w:val="center"/>
        <w:outlineLvl w:val="9"/>
        <w:rPr>
          <w:rFonts w:hint="eastAsia" w:ascii="微软雅黑" w:hAnsi="微软雅黑" w:eastAsia="微软雅黑" w:cs="微软雅黑"/>
          <w:b/>
          <w:bCs/>
          <w:color w:val="000000" w:themeColor="text1"/>
          <w:sz w:val="22"/>
          <w:szCs w:val="22"/>
          <w:highlight w:val="none"/>
          <w14:textFill>
            <w14:solidFill>
              <w14:schemeClr w14:val="tx1"/>
            </w14:solidFill>
          </w14:textFill>
        </w:rPr>
      </w:pPr>
    </w:p>
    <w:p>
      <w:pPr>
        <w:spacing w:line="300" w:lineRule="auto"/>
        <w:jc w:val="center"/>
        <w:outlineLvl w:val="0"/>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666" w:name="_Toc29581"/>
      <w:bookmarkStart w:id="667" w:name="_Toc14837"/>
      <w:r>
        <w:rPr>
          <w:rFonts w:hint="eastAsia" w:ascii="微软雅黑" w:hAnsi="微软雅黑" w:eastAsia="微软雅黑" w:cs="微软雅黑"/>
          <w:b/>
          <w:bCs/>
          <w:color w:val="000000" w:themeColor="text1"/>
          <w:sz w:val="22"/>
          <w:szCs w:val="22"/>
          <w:highlight w:val="none"/>
          <w14:textFill>
            <w14:solidFill>
              <w14:schemeClr w14:val="tx1"/>
            </w14:solidFill>
          </w14:textFill>
        </w:rPr>
        <w:t>初步评审—资格性审查表</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tbl>
      <w:tblPr>
        <w:tblStyle w:val="28"/>
        <w:tblpPr w:leftFromText="180" w:rightFromText="180" w:vertAnchor="text" w:horzAnchor="page" w:tblpXSpec="center" w:tblpY="234"/>
        <w:tblOverlap w:val="never"/>
        <w:tblW w:w="9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745"/>
        <w:gridCol w:w="788"/>
        <w:gridCol w:w="717"/>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28" w:type="dxa"/>
            <w:vMerge w:val="restart"/>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序号</w:t>
            </w:r>
          </w:p>
        </w:tc>
        <w:tc>
          <w:tcPr>
            <w:tcW w:w="6745" w:type="dxa"/>
            <w:vMerge w:val="restart"/>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评审内容</w:t>
            </w:r>
          </w:p>
        </w:tc>
        <w:tc>
          <w:tcPr>
            <w:tcW w:w="2322" w:type="dxa"/>
            <w:gridSpan w:val="3"/>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628" w:type="dxa"/>
            <w:vMerge w:val="continue"/>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p>
        </w:tc>
        <w:tc>
          <w:tcPr>
            <w:tcW w:w="6745" w:type="dxa"/>
            <w:vMerge w:val="continue"/>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p>
        </w:tc>
        <w:tc>
          <w:tcPr>
            <w:tcW w:w="788" w:type="dxa"/>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是否</w:t>
            </w:r>
          </w:p>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合格</w:t>
            </w:r>
          </w:p>
        </w:tc>
        <w:tc>
          <w:tcPr>
            <w:tcW w:w="717" w:type="dxa"/>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是否</w:t>
            </w:r>
          </w:p>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合格</w:t>
            </w:r>
          </w:p>
        </w:tc>
        <w:tc>
          <w:tcPr>
            <w:tcW w:w="817" w:type="dxa"/>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是否</w:t>
            </w:r>
          </w:p>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具有独立法人资格或是具有独立承担民事责任能力的其它组织（法人或者非法人组织的营业执照等证明文件扫描件）</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法人投标需提供法人身份证明及身份证复印件，被授权委托人需提供法人授权委托书及身份证复印件；</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4</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投标单位提供本单位依法缴纳近三个月（2023年1月-2023年3月）的社保证明和单位缴费个人明细表（社保证明可含：社保缴费凭证、社保缴费证明、社保缴费汇总单、依法缴纳社保的完税证明，扫描件）；</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提供税务部门出具近三个月（2023年1月-2023年3月）的完税证明，依法免缴的应提供依法免缴的相关证明文件和零申报报表，扫描件；</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7</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投标保证金收据扫描件或银行转款证明扫描件或支票扫描件、汇票扫描件；</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参加政府采购活动前3年内在经营活动中没有重大违法记录的书面声明；</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9</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提供针对本次项目的反商业贿赂承诺书</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default" w:ascii="微软雅黑" w:hAnsi="微软雅黑" w:eastAsia="微软雅黑" w:cs="微软雅黑"/>
                <w:color w:val="000000" w:themeColor="text1"/>
                <w:sz w:val="22"/>
                <w:szCs w:val="22"/>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10</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投标单位需提供有效的《林木种子生产经营许可证》及《植物检验检疫证》扫描件；</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1</w:t>
            </w: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本项目不接受联合体投标（提供非联合体投标承诺函，承诺函格式自拟）；</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62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674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结论</w:t>
            </w:r>
          </w:p>
        </w:tc>
        <w:tc>
          <w:tcPr>
            <w:tcW w:w="78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7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bl>
    <w:p>
      <w:pPr>
        <w:spacing w:line="30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说明：（1）上述各项中用“</w:t>
      </w:r>
      <w:r>
        <w:rPr>
          <w:rFonts w:hint="eastAsia" w:ascii="微软雅黑" w:hAnsi="微软雅黑" w:eastAsia="微软雅黑" w:cs="微软雅黑"/>
          <w:color w:val="000000" w:themeColor="text1"/>
          <w:highlight w:val="none"/>
          <w:lang w:val="en-US" w:eastAsia="zh-CN"/>
          <w14:textFill>
            <w14:solidFill>
              <w14:schemeClr w14:val="tx1"/>
            </w14:solidFill>
          </w14:textFill>
        </w:rPr>
        <w:t>合格</w:t>
      </w:r>
      <w:r>
        <w:rPr>
          <w:rFonts w:hint="eastAsia" w:ascii="微软雅黑" w:hAnsi="微软雅黑" w:eastAsia="微软雅黑" w:cs="微软雅黑"/>
          <w:color w:val="000000" w:themeColor="text1"/>
          <w:highlight w:val="none"/>
          <w14:textFill>
            <w14:solidFill>
              <w14:schemeClr w14:val="tx1"/>
            </w14:solidFill>
          </w14:textFill>
        </w:rPr>
        <w:t>”表示通过，“</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”表示不通过；</w:t>
      </w:r>
    </w:p>
    <w:p>
      <w:pPr>
        <w:spacing w:line="30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（2）上述各项中如有一项为“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”，则结论为“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不通过</w:t>
      </w:r>
      <w:r>
        <w:rPr>
          <w:rFonts w:hint="eastAsia" w:ascii="微软雅黑" w:hAnsi="微软雅黑" w:eastAsia="微软雅黑" w:cs="微软雅黑"/>
          <w:color w:val="000000" w:themeColor="text1"/>
          <w:highlight w:val="none"/>
          <w14:textFill>
            <w14:solidFill>
              <w14:schemeClr w14:val="tx1"/>
            </w14:solidFill>
          </w14:textFill>
        </w:rPr>
        <w:t>”，表示该投标文件中存在重大偏差，不能通过初步评审；评委对某一分项评审认为不合格时，必须要写明原因。</w:t>
      </w:r>
    </w:p>
    <w:p>
      <w:pPr>
        <w:spacing w:line="300" w:lineRule="auto"/>
        <w:ind w:left="6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（3）投标文件最终合格与否，以所有评委的评审意见中少数服从多数为原则定论。</w:t>
      </w:r>
    </w:p>
    <w:p>
      <w:pPr>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未通过资格审查的供应商不进入评标；通过资格审查的供应商少于不足三家的，不得评标。</w:t>
      </w:r>
    </w:p>
    <w:p>
      <w:pPr>
        <w:outlineLvl w:val="9"/>
        <w:rPr>
          <w:rFonts w:hint="eastAsia"/>
          <w:color w:val="000000" w:themeColor="text1"/>
          <w:highlight w:val="none"/>
          <w14:textFill>
            <w14:solidFill>
              <w14:schemeClr w14:val="tx1"/>
            </w14:solidFill>
          </w14:textFill>
        </w:rPr>
      </w:pPr>
    </w:p>
    <w:p>
      <w:pPr>
        <w:pStyle w:val="8"/>
        <w:spacing w:line="300" w:lineRule="auto"/>
        <w:ind w:firstLine="0"/>
        <w:jc w:val="center"/>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668" w:name="_Toc20635"/>
      <w:bookmarkStart w:id="669" w:name="_Toc12096"/>
      <w:bookmarkStart w:id="670" w:name="_Toc19523"/>
      <w:bookmarkStart w:id="671" w:name="_Toc946"/>
      <w:bookmarkStart w:id="672" w:name="_Toc22718"/>
      <w:bookmarkStart w:id="673" w:name="_Toc14391"/>
      <w:bookmarkStart w:id="674" w:name="_Toc11822"/>
      <w:bookmarkStart w:id="675" w:name="_Toc8014"/>
      <w:bookmarkStart w:id="676" w:name="_Toc8628"/>
      <w:bookmarkStart w:id="677" w:name="_Toc8771"/>
      <w:bookmarkStart w:id="678" w:name="_Toc7343"/>
      <w:bookmarkStart w:id="679" w:name="_Toc1293"/>
      <w:bookmarkStart w:id="680" w:name="_Toc4255"/>
      <w:bookmarkStart w:id="681" w:name="_Toc21232"/>
      <w:bookmarkStart w:id="682" w:name="_Toc23770"/>
      <w:bookmarkStart w:id="683" w:name="_Toc28345"/>
      <w:bookmarkStart w:id="684" w:name="_Toc24305"/>
      <w:bookmarkStart w:id="685" w:name="_Toc70"/>
      <w:bookmarkStart w:id="686" w:name="_Toc11241"/>
      <w:bookmarkStart w:id="687" w:name="_Toc11487"/>
      <w:bookmarkStart w:id="688" w:name="_Toc29061"/>
    </w:p>
    <w:p>
      <w:pPr>
        <w:pStyle w:val="8"/>
        <w:spacing w:line="300" w:lineRule="auto"/>
        <w:ind w:firstLine="0"/>
        <w:jc w:val="center"/>
        <w:outlineLvl w:val="0"/>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689" w:name="_Toc18962"/>
      <w:bookmarkStart w:id="690" w:name="_Toc5960"/>
      <w:r>
        <w:rPr>
          <w:rFonts w:hint="eastAsia" w:ascii="微软雅黑" w:hAnsi="微软雅黑" w:eastAsia="微软雅黑" w:cs="微软雅黑"/>
          <w:b/>
          <w:bCs/>
          <w:color w:val="000000" w:themeColor="text1"/>
          <w:sz w:val="21"/>
          <w:szCs w:val="21"/>
          <w:highlight w:val="none"/>
          <w14:textFill>
            <w14:solidFill>
              <w14:schemeClr w14:val="tx1"/>
            </w14:solidFill>
          </w14:textFill>
        </w:rPr>
        <w:t>初步评审—符合性审查表</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tbl>
      <w:tblPr>
        <w:tblStyle w:val="28"/>
        <w:tblpPr w:leftFromText="180" w:rightFromText="180" w:vertAnchor="text" w:horzAnchor="page" w:tblpXSpec="center" w:tblpY="262"/>
        <w:tblOverlap w:val="never"/>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评审内容</w:t>
            </w:r>
          </w:p>
        </w:tc>
        <w:tc>
          <w:tcPr>
            <w:tcW w:w="1637" w:type="dxa"/>
            <w:vAlign w:val="center"/>
          </w:tcPr>
          <w:p>
            <w:pPr>
              <w:spacing w:line="300" w:lineRule="auto"/>
              <w:jc w:val="center"/>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序号</w:t>
            </w:r>
          </w:p>
        </w:tc>
        <w:tc>
          <w:tcPr>
            <w:tcW w:w="6755"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c>
          <w:tcPr>
            <w:tcW w:w="1637" w:type="dxa"/>
            <w:vAlign w:val="center"/>
          </w:tcPr>
          <w:p>
            <w:pPr>
              <w:spacing w:line="300" w:lineRule="auto"/>
              <w:jc w:val="center"/>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各供应商投标报价未高于预算金额</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评标委员会认为供应商的报价无明显低于其他通过符合性审查供应商的报价的，供应商的报价不存在异常一致并成规律性的，其报价合理</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3</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投标文件按照招标文件的规定编制、标记及签署盖章的，法定代表人或其授权代表签字（章）和加盖供应商公章的（</w:t>
            </w:r>
            <w:r>
              <w:rPr>
                <w:rFonts w:hint="eastAsia" w:ascii="微软雅黑" w:hAnsi="微软雅黑" w:eastAsia="微软雅黑" w:cs="微软雅黑"/>
                <w:color w:val="000000" w:themeColor="text1"/>
                <w:spacing w:val="-2"/>
                <w:sz w:val="22"/>
                <w:szCs w:val="22"/>
                <w:highlight w:val="none"/>
                <w:lang w:val="en-US" w:eastAsia="zh-CN"/>
                <w14:textFill>
                  <w14:solidFill>
                    <w14:schemeClr w14:val="tx1"/>
                  </w14:solidFill>
                </w14:textFill>
              </w:rPr>
              <w:t>所上传投标文件的</w:t>
            </w: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印章和签字不能为复印件）</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4</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按招标文件规定的格式填写，内容齐全</w:t>
            </w:r>
            <w:r>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t>；</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5</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没有采购人不能接受的附加条件的</w:t>
            </w:r>
            <w:r>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t>；</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6</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b/>
                <w:bCs/>
                <w:color w:val="000000" w:themeColor="text1"/>
                <w:spacing w:val="-2"/>
                <w:sz w:val="22"/>
                <w:szCs w:val="22"/>
                <w:highlight w:val="none"/>
                <w14:textFill>
                  <w14:solidFill>
                    <w14:schemeClr w14:val="tx1"/>
                  </w14:solidFill>
                </w14:textFill>
              </w:rPr>
              <w:t>符合招标文件中规定的其他实质性要求</w:t>
            </w:r>
            <w:r>
              <w:rPr>
                <w:rFonts w:hint="eastAsia" w:ascii="微软雅黑" w:hAnsi="微软雅黑" w:eastAsia="微软雅黑" w:cs="微软雅黑"/>
                <w:b/>
                <w:bCs/>
                <w:color w:val="000000" w:themeColor="text1"/>
                <w:spacing w:val="-2"/>
                <w:sz w:val="22"/>
                <w:szCs w:val="22"/>
                <w:highlight w:val="none"/>
                <w:lang w:eastAsia="zh-CN"/>
                <w14:textFill>
                  <w14:solidFill>
                    <w14:schemeClr w14:val="tx1"/>
                  </w14:solidFill>
                </w14:textFill>
              </w:rPr>
              <w:t>；</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7</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不同供应商的投标文件没有错漏一致的情况</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8</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供应商附有详细地址、联系人、电话标明的</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88" w:firstLineChars="180"/>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结论：</w:t>
            </w:r>
          </w:p>
        </w:tc>
        <w:tc>
          <w:tcPr>
            <w:tcW w:w="1637" w:type="dxa"/>
            <w:vAlign w:val="center"/>
          </w:tcPr>
          <w:p>
            <w:pPr>
              <w:spacing w:line="300" w:lineRule="auto"/>
              <w:ind w:firstLine="388" w:firstLineChars="180"/>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bl>
    <w:p>
      <w:pPr>
        <w:spacing w:line="300" w:lineRule="auto"/>
        <w:rPr>
          <w:rFonts w:hint="eastAsia" w:ascii="微软雅黑" w:hAnsi="微软雅黑" w:eastAsia="微软雅黑" w:cs="微软雅黑"/>
          <w:color w:val="000000" w:themeColor="text1"/>
          <w:highlight w:val="none"/>
          <w14:textFill>
            <w14:solidFill>
              <w14:schemeClr w14:val="tx1"/>
            </w14:solidFill>
          </w14:textFill>
        </w:rPr>
      </w:pPr>
    </w:p>
    <w:p>
      <w:pPr>
        <w:spacing w:line="300" w:lineRule="auto"/>
        <w:ind w:left="6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说明：</w:t>
      </w:r>
    </w:p>
    <w:p>
      <w:pPr>
        <w:spacing w:line="300" w:lineRule="auto"/>
        <w:ind w:left="6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（1）上述各项中用“</w:t>
      </w:r>
      <w:r>
        <w:rPr>
          <w:rFonts w:hint="eastAsia" w:ascii="微软雅黑" w:hAnsi="微软雅黑" w:eastAsia="微软雅黑" w:cs="微软雅黑"/>
          <w:color w:val="000000" w:themeColor="text1"/>
          <w:highlight w:val="none"/>
          <w:lang w:val="en-US" w:eastAsia="zh-CN"/>
          <w14:textFill>
            <w14:solidFill>
              <w14:schemeClr w14:val="tx1"/>
            </w14:solidFill>
          </w14:textFill>
        </w:rPr>
        <w:t>合格</w:t>
      </w:r>
      <w:r>
        <w:rPr>
          <w:rFonts w:hint="eastAsia" w:ascii="微软雅黑" w:hAnsi="微软雅黑" w:eastAsia="微软雅黑" w:cs="微软雅黑"/>
          <w:color w:val="000000" w:themeColor="text1"/>
          <w:highlight w:val="none"/>
          <w14:textFill>
            <w14:solidFill>
              <w14:schemeClr w14:val="tx1"/>
            </w14:solidFill>
          </w14:textFill>
        </w:rPr>
        <w:t>”表示</w:t>
      </w:r>
      <w:r>
        <w:rPr>
          <w:rFonts w:hint="eastAsia" w:ascii="微软雅黑" w:hAnsi="微软雅黑" w:eastAsia="微软雅黑" w:cs="微软雅黑"/>
          <w:color w:val="000000" w:themeColor="text1"/>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”表示不</w:t>
      </w:r>
      <w:r>
        <w:rPr>
          <w:rFonts w:hint="eastAsia" w:ascii="微软雅黑" w:hAnsi="微软雅黑" w:eastAsia="微软雅黑" w:cs="微软雅黑"/>
          <w:color w:val="000000" w:themeColor="text1"/>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highlight w:val="none"/>
          <w14:textFill>
            <w14:solidFill>
              <w14:schemeClr w14:val="tx1"/>
            </w14:solidFill>
          </w14:textFill>
        </w:rPr>
        <w:t>；</w:t>
      </w:r>
    </w:p>
    <w:p>
      <w:pPr>
        <w:spacing w:line="300" w:lineRule="auto"/>
        <w:ind w:left="689" w:leftChars="28"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（2）上述各项中如有一项为“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”，则结论为“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不通过</w:t>
      </w:r>
      <w:r>
        <w:rPr>
          <w:rFonts w:hint="eastAsia" w:ascii="微软雅黑" w:hAnsi="微软雅黑" w:eastAsia="微软雅黑" w:cs="微软雅黑"/>
          <w:color w:val="000000" w:themeColor="text1"/>
          <w:highlight w:val="none"/>
          <w14:textFill>
            <w14:solidFill>
              <w14:schemeClr w14:val="tx1"/>
            </w14:solidFill>
          </w14:textFill>
        </w:rPr>
        <w:t>”，表示该投标文件中存在重大偏差，不能通过初步评审；评委对某一分项评审认为不合格时，必须要写明原因。</w:t>
      </w:r>
    </w:p>
    <w:p>
      <w:pPr>
        <w:pStyle w:val="8"/>
        <w:spacing w:line="300" w:lineRule="auto"/>
        <w:ind w:firstLine="0"/>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（3）投标文件最终合格与否，以所有评委的评审意见中少数服从多数为原则定论。</w:t>
      </w:r>
    </w:p>
    <w:p>
      <w:pPr>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未通过符合性审查的供应商不进入评标；通过符合性审查的供应商少于不足三家的，不得评标。</w:t>
      </w: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9"/>
        <w:rPr>
          <w:rFonts w:hint="eastAsia" w:ascii="微软雅黑" w:hAnsi="微软雅黑" w:eastAsia="微软雅黑" w:cs="微软雅黑"/>
          <w:b/>
          <w:bCs/>
          <w:color w:val="000000" w:themeColor="text1"/>
          <w:highlight w:val="none"/>
          <w14:textFill>
            <w14:solidFill>
              <w14:schemeClr w14:val="tx1"/>
            </w14:solidFill>
          </w14:textFill>
        </w:rPr>
      </w:pPr>
    </w:p>
    <w:p>
      <w:pPr>
        <w:rPr>
          <w:rFonts w:hint="eastAsia" w:ascii="微软雅黑" w:hAnsi="微软雅黑" w:eastAsia="微软雅黑" w:cs="微软雅黑"/>
          <w:b/>
          <w:bCs/>
          <w:color w:val="000000" w:themeColor="text1"/>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tbl>
      <w:tblPr>
        <w:tblStyle w:val="28"/>
        <w:tblW w:w="8840" w:type="dxa"/>
        <w:jc w:val="center"/>
        <w:tblInd w:w="0" w:type="dxa"/>
        <w:tblLayout w:type="fixed"/>
        <w:tblCellMar>
          <w:top w:w="0" w:type="dxa"/>
          <w:left w:w="108" w:type="dxa"/>
          <w:bottom w:w="0" w:type="dxa"/>
          <w:right w:w="108" w:type="dxa"/>
        </w:tblCellMar>
      </w:tblPr>
      <w:tblGrid>
        <w:gridCol w:w="2924"/>
        <w:gridCol w:w="4481"/>
        <w:gridCol w:w="478"/>
        <w:gridCol w:w="438"/>
        <w:gridCol w:w="519"/>
      </w:tblGrid>
      <w:tr>
        <w:tblPrEx>
          <w:tblLayout w:type="fixed"/>
          <w:tblCellMar>
            <w:top w:w="0" w:type="dxa"/>
            <w:left w:w="108" w:type="dxa"/>
            <w:bottom w:w="0" w:type="dxa"/>
            <w:right w:w="108" w:type="dxa"/>
          </w:tblCellMar>
        </w:tblPrEx>
        <w:trPr>
          <w:trHeight w:val="582" w:hRule="atLeast"/>
          <w:jc w:val="center"/>
        </w:trPr>
        <w:tc>
          <w:tcPr>
            <w:tcW w:w="884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bCs/>
                <w:color w:val="000000" w:themeColor="text1"/>
                <w:kern w:val="0"/>
                <w:sz w:val="32"/>
                <w:szCs w:val="32"/>
                <w:highlight w:val="none"/>
                <w14:textFill>
                  <w14:solidFill>
                    <w14:schemeClr w14:val="tx1"/>
                  </w14:solidFill>
                </w14:textFill>
              </w:rPr>
              <w:t>商务符合性审查表</w:t>
            </w:r>
          </w:p>
        </w:tc>
      </w:tr>
      <w:tr>
        <w:tblPrEx>
          <w:tblLayout w:type="fixed"/>
          <w:tblCellMar>
            <w:top w:w="0" w:type="dxa"/>
            <w:left w:w="108" w:type="dxa"/>
            <w:bottom w:w="0" w:type="dxa"/>
            <w:right w:w="108" w:type="dxa"/>
          </w:tblCellMar>
        </w:tblPrEx>
        <w:trPr>
          <w:trHeight w:val="759"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审查事项</w:t>
            </w:r>
          </w:p>
        </w:tc>
        <w:tc>
          <w:tcPr>
            <w:tcW w:w="143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供应商名称及审查情况</w:t>
            </w: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招标文件条款（供应商须知、供应商须知资料表条款号）</w:t>
            </w:r>
          </w:p>
        </w:tc>
        <w:tc>
          <w:tcPr>
            <w:tcW w:w="448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本项目要求</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368"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中小企业投标要求（1.3.6）</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本项目</w:t>
            </w:r>
            <w:r>
              <w:rPr>
                <w:rFonts w:hint="eastAsia" w:ascii="微软雅黑" w:hAnsi="微软雅黑" w:eastAsia="微软雅黑" w:cs="微软雅黑"/>
                <w:i/>
                <w:iCs/>
                <w:color w:val="000000" w:themeColor="text1"/>
                <w:kern w:val="0"/>
                <w:sz w:val="22"/>
                <w:szCs w:val="22"/>
                <w:highlight w:val="none"/>
                <w:u w:val="single"/>
                <w14:textFill>
                  <w14:solidFill>
                    <w14:schemeClr w14:val="tx1"/>
                  </w14:solidFill>
                </w14:textFill>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10"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联合体投标规（1.4）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本项目</w:t>
            </w:r>
            <w:r>
              <w:rPr>
                <w:rFonts w:hint="eastAsia" w:ascii="微软雅黑" w:hAnsi="微软雅黑" w:eastAsia="微软雅黑" w:cs="微软雅黑"/>
                <w:i/>
                <w:iCs/>
                <w:color w:val="000000" w:themeColor="text1"/>
                <w:kern w:val="0"/>
                <w:sz w:val="22"/>
                <w:szCs w:val="22"/>
                <w:highlight w:val="none"/>
                <w:u w:val="single"/>
                <w14:textFill>
                  <w14:solidFill>
                    <w14:schemeClr w14:val="tx1"/>
                  </w14:solidFill>
                </w14:textFill>
              </w:rPr>
              <w:t>不接受</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联合体投标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供应商的关联（1.5）</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在同一标包内，单位负责人为非同一人或者不存在直接控股、管理关系的不同供应商。</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未发现影响采购人决策行为（1.5）</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供应商在投标过程中未向采购人提供、给予任何有价值的物品，影响其正常决策行为。</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满足投标范围的完整性要求（8.1）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供应商对所投分包招标文件中所列的所有内容进行投标。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未包含价格调整要求（11.4）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供应商所报的各分项投标报价在合同履行过程中是固定不变的，不得以任何理由予以变更。</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46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投标保证金（12.1）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符合招标文件要求</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51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投标有效期满足要求（13.1）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自提交投标文件截止之日起</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u w:val="single"/>
                <w:lang w:val="en-US" w:eastAsia="zh-CN"/>
                <w14:textFill>
                  <w14:solidFill>
                    <w14:schemeClr w14:val="tx1"/>
                  </w14:solidFill>
                </w14:textFill>
              </w:rPr>
              <w:t>90</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日</w:t>
            </w:r>
            <w:r>
              <w:rPr>
                <w:rFonts w:hint="eastAsia" w:ascii="微软雅黑" w:hAnsi="微软雅黑" w:eastAsia="微软雅黑" w:cs="微软雅黑"/>
                <w:color w:val="000000" w:themeColor="text1"/>
                <w:sz w:val="22"/>
                <w:szCs w:val="22"/>
                <w:highlight w:val="none"/>
                <w14:textFill>
                  <w14:solidFill>
                    <w14:schemeClr w14:val="tx1"/>
                  </w14:solidFill>
                </w14:textFill>
              </w:rPr>
              <w:t>历日</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57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投标文件的装订方式（14.3）</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所有投标文件采用不可拆装的胶订方式装订</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77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投标文件的签署和盖章符合要求（14.2、14.4）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按照招标文件规定要求签署、盖章。</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接受价格的算术修正（20.3）</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投标文件报价出现前后不一致的，应按照招标文件规定的顺序修正。修正后的报价经供应商确认后产生约束力。</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符合强制采购节能产品要求（20.6）</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本项目</w:t>
            </w:r>
            <w:r>
              <w:rPr>
                <w:rFonts w:hint="eastAsia" w:ascii="微软雅黑" w:hAnsi="微软雅黑" w:eastAsia="微软雅黑" w:cs="微软雅黑"/>
                <w:i/>
                <w:iCs/>
                <w:color w:val="000000" w:themeColor="text1"/>
                <w:kern w:val="0"/>
                <w:sz w:val="22"/>
                <w:szCs w:val="22"/>
                <w:highlight w:val="none"/>
                <w:u w:val="single"/>
                <w:lang w:val="en-US" w:eastAsia="zh-CN"/>
                <w14:textFill>
                  <w14:solidFill>
                    <w14:schemeClr w14:val="tx1"/>
                  </w14:solidFill>
                </w14:textFill>
              </w:rPr>
              <w:t>不</w:t>
            </w:r>
            <w:r>
              <w:rPr>
                <w:rFonts w:hint="eastAsia" w:ascii="微软雅黑" w:hAnsi="微软雅黑" w:eastAsia="微软雅黑" w:cs="微软雅黑"/>
                <w:i/>
                <w:iCs/>
                <w:color w:val="000000" w:themeColor="text1"/>
                <w:kern w:val="0"/>
                <w:sz w:val="22"/>
                <w:szCs w:val="22"/>
                <w:highlight w:val="none"/>
                <w:u w:val="single"/>
                <w14:textFill>
                  <w14:solidFill>
                    <w14:schemeClr w14:val="tx1"/>
                  </w14:solidFill>
                </w14:textFill>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未发现串通投标（22.2）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未与其他供应商串通投标，或者与招标人串通投标。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报价说明可以接受（22.2）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供应商的报价明显低于其他通过符合性检查供应商的报价，有可能影响履约的，供应商能按照规定证明其报价合理性。</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无采购人不能接受的附加条件（22.2）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投标文件未含有采购人不能接受的附加条件。</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378"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结论</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bl>
    <w:tbl>
      <w:tblPr>
        <w:tblStyle w:val="28"/>
        <w:tblpPr w:leftFromText="180" w:rightFromText="180" w:vertAnchor="text" w:horzAnchor="page" w:tblpX="1710" w:tblpY="596"/>
        <w:tblOverlap w:val="never"/>
        <w:tblW w:w="8646" w:type="dxa"/>
        <w:tblInd w:w="0" w:type="dxa"/>
        <w:tblLayout w:type="fixed"/>
        <w:tblCellMar>
          <w:top w:w="0" w:type="dxa"/>
          <w:left w:w="108" w:type="dxa"/>
          <w:bottom w:w="0" w:type="dxa"/>
          <w:right w:w="108" w:type="dxa"/>
        </w:tblCellMar>
      </w:tblPr>
      <w:tblGrid>
        <w:gridCol w:w="890"/>
        <w:gridCol w:w="1937"/>
        <w:gridCol w:w="5025"/>
        <w:gridCol w:w="794"/>
      </w:tblGrid>
      <w:tr>
        <w:tblPrEx>
          <w:tblLayout w:type="fixed"/>
          <w:tblCellMar>
            <w:top w:w="0" w:type="dxa"/>
            <w:left w:w="108" w:type="dxa"/>
            <w:bottom w:w="0" w:type="dxa"/>
            <w:right w:w="108" w:type="dxa"/>
          </w:tblCellMar>
        </w:tblPrEx>
        <w:trPr>
          <w:trHeight w:val="557" w:hRule="atLeast"/>
        </w:trPr>
        <w:tc>
          <w:tcPr>
            <w:tcW w:w="864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eastAsia="宋体"/>
                <w:b/>
                <w:bCs/>
                <w:color w:val="000000"/>
                <w:kern w:val="0"/>
                <w:sz w:val="18"/>
                <w:szCs w:val="18"/>
                <w:lang w:eastAsia="zh-CN"/>
              </w:rPr>
            </w:pPr>
            <w:bookmarkStart w:id="691" w:name="_Toc27374"/>
            <w:bookmarkStart w:id="692" w:name="_Toc16427"/>
            <w:bookmarkStart w:id="693" w:name="_Toc20854"/>
            <w:bookmarkStart w:id="694" w:name="_Toc21397"/>
            <w:bookmarkStart w:id="695" w:name="_Toc21588"/>
            <w:bookmarkStart w:id="696" w:name="_Toc20321"/>
            <w:bookmarkStart w:id="697" w:name="_Toc5580"/>
            <w:bookmarkStart w:id="698" w:name="_Toc11428"/>
            <w:bookmarkStart w:id="699" w:name="_Toc997"/>
            <w:bookmarkStart w:id="700" w:name="_Toc8709"/>
            <w:bookmarkStart w:id="701" w:name="_Toc2497"/>
            <w:bookmarkStart w:id="702" w:name="_Toc10296"/>
            <w:bookmarkStart w:id="703" w:name="_Toc11667"/>
            <w:bookmarkStart w:id="704" w:name="_Toc14344"/>
            <w:bookmarkStart w:id="705" w:name="_Toc14078"/>
            <w:bookmarkStart w:id="706" w:name="_Toc18037"/>
            <w:bookmarkStart w:id="707" w:name="_Toc29605"/>
            <w:bookmarkStart w:id="708" w:name="_Toc30135"/>
            <w:bookmarkStart w:id="709" w:name="_Toc25236"/>
            <w:bookmarkStart w:id="710" w:name="_Toc507399904"/>
            <w:r>
              <w:rPr>
                <w:rFonts w:hint="eastAsia" w:ascii="宋体"/>
                <w:b/>
                <w:bCs/>
                <w:color w:val="000000"/>
                <w:kern w:val="0"/>
                <w:sz w:val="30"/>
                <w:szCs w:val="30"/>
                <w:lang w:eastAsia="zh-CN"/>
              </w:rPr>
              <w:t>评分标准</w:t>
            </w:r>
          </w:p>
        </w:tc>
      </w:tr>
      <w:tr>
        <w:tblPrEx>
          <w:tblLayout w:type="fixed"/>
          <w:tblCellMar>
            <w:top w:w="0" w:type="dxa"/>
            <w:left w:w="108" w:type="dxa"/>
            <w:bottom w:w="0" w:type="dxa"/>
            <w:right w:w="108" w:type="dxa"/>
          </w:tblCellMar>
        </w:tblPrEx>
        <w:trPr>
          <w:trHeight w:val="194" w:hRule="atLeast"/>
        </w:trPr>
        <w:tc>
          <w:tcPr>
            <w:tcW w:w="282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lang w:val="en-US" w:eastAsia="zh-CN" w:bidi="ar-SA"/>
              </w:rPr>
            </w:pPr>
            <w:r>
              <w:rPr>
                <w:rFonts w:hint="eastAsia" w:ascii="宋体" w:hAnsi="宋体" w:cs="宋体"/>
                <w:b/>
                <w:bCs/>
                <w:color w:val="000000"/>
                <w:kern w:val="0"/>
                <w:sz w:val="18"/>
                <w:szCs w:val="18"/>
              </w:rPr>
              <w:t>考核项目</w:t>
            </w:r>
          </w:p>
        </w:tc>
        <w:tc>
          <w:tcPr>
            <w:tcW w:w="50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lang w:val="en-US" w:eastAsia="zh-CN" w:bidi="ar-SA"/>
              </w:rPr>
            </w:pPr>
            <w:r>
              <w:rPr>
                <w:rFonts w:hint="eastAsia" w:ascii="宋体" w:hAnsi="宋体" w:cs="宋体"/>
                <w:b/>
                <w:bCs/>
                <w:color w:val="000000"/>
                <w:kern w:val="0"/>
                <w:sz w:val="18"/>
                <w:szCs w:val="18"/>
              </w:rPr>
              <w:t>评分标准</w:t>
            </w:r>
          </w:p>
        </w:tc>
        <w:tc>
          <w:tcPr>
            <w:tcW w:w="79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lang w:val="en-US" w:eastAsia="zh-CN" w:bidi="ar-SA"/>
              </w:rPr>
            </w:pPr>
            <w:r>
              <w:rPr>
                <w:rFonts w:hint="eastAsia" w:ascii="宋体" w:hAnsi="宋体" w:cs="宋体"/>
                <w:b/>
                <w:bCs/>
                <w:color w:val="000000"/>
                <w:kern w:val="0"/>
                <w:sz w:val="18"/>
                <w:szCs w:val="18"/>
              </w:rPr>
              <w:t>权重分配　</w:t>
            </w:r>
          </w:p>
        </w:tc>
      </w:tr>
      <w:tr>
        <w:tblPrEx>
          <w:tblLayout w:type="fixed"/>
          <w:tblCellMar>
            <w:top w:w="0" w:type="dxa"/>
            <w:left w:w="108" w:type="dxa"/>
            <w:bottom w:w="0" w:type="dxa"/>
            <w:right w:w="108" w:type="dxa"/>
          </w:tblCellMar>
        </w:tblPrEx>
        <w:trPr>
          <w:trHeight w:val="1035"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价格部分（</w:t>
            </w:r>
            <w:r>
              <w:rPr>
                <w:rFonts w:ascii="宋体" w:hAnsi="宋体" w:cs="宋体"/>
                <w:color w:val="000000"/>
                <w:kern w:val="0"/>
                <w:sz w:val="18"/>
                <w:szCs w:val="18"/>
              </w:rPr>
              <w:t>30</w:t>
            </w:r>
            <w:r>
              <w:rPr>
                <w:rFonts w:hint="eastAsia" w:ascii="宋体" w:hAnsi="宋体" w:cs="宋体"/>
                <w:color w:val="000000"/>
                <w:kern w:val="0"/>
                <w:sz w:val="18"/>
                <w:szCs w:val="18"/>
              </w:rPr>
              <w:t>分）</w:t>
            </w:r>
          </w:p>
        </w:tc>
        <w:tc>
          <w:tcPr>
            <w:tcW w:w="6962" w:type="dxa"/>
            <w:gridSpan w:val="2"/>
            <w:tcBorders>
              <w:top w:val="single" w:color="auto" w:sz="4" w:space="0"/>
              <w:left w:val="nil"/>
              <w:bottom w:val="single" w:color="auto" w:sz="4" w:space="0"/>
              <w:right w:val="single" w:color="auto" w:sz="4" w:space="0"/>
            </w:tcBorders>
            <w:noWrap w:val="0"/>
            <w:vAlign w:val="center"/>
          </w:tcPr>
          <w:p>
            <w:pPr>
              <w:widowControl/>
              <w:jc w:val="left"/>
            </w:pPr>
            <w:r>
              <w:rPr>
                <w:rFonts w:hint="eastAsia" w:ascii="宋体" w:hAnsi="宋体" w:eastAsia="宋体" w:cs="宋体"/>
                <w:color w:val="000000"/>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计算分数时四舍五入取小数点后两位,分数最高不超过30分。</w:t>
            </w:r>
          </w:p>
        </w:tc>
        <w:tc>
          <w:tcPr>
            <w:tcW w:w="794" w:type="dxa"/>
            <w:tcBorders>
              <w:top w:val="nil"/>
              <w:left w:val="nil"/>
              <w:bottom w:val="single" w:color="auto" w:sz="4" w:space="0"/>
              <w:right w:val="single" w:color="auto" w:sz="4" w:space="0"/>
            </w:tcBorders>
            <w:noWrap w:val="0"/>
            <w:vAlign w:val="center"/>
          </w:tcPr>
          <w:p>
            <w:pPr>
              <w:widowControl/>
              <w:jc w:val="center"/>
              <w:rPr>
                <w:rFonts w:hint="eastAsia" w:ascii="宋体" w:eastAsia="宋体"/>
                <w:color w:val="000000"/>
                <w:kern w:val="0"/>
                <w:sz w:val="28"/>
                <w:szCs w:val="28"/>
                <w:lang w:val="en-US" w:eastAsia="zh-CN"/>
              </w:rPr>
            </w:pPr>
            <w:r>
              <w:rPr>
                <w:rFonts w:hint="eastAsia" w:ascii="宋体"/>
                <w:color w:val="000000"/>
                <w:kern w:val="0"/>
                <w:sz w:val="28"/>
                <w:szCs w:val="28"/>
                <w:lang w:val="en-US" w:eastAsia="zh-CN"/>
              </w:rPr>
              <w:t>30分</w:t>
            </w:r>
          </w:p>
        </w:tc>
      </w:tr>
      <w:tr>
        <w:tblPrEx>
          <w:tblLayout w:type="fixed"/>
          <w:tblCellMar>
            <w:top w:w="0" w:type="dxa"/>
            <w:left w:w="108" w:type="dxa"/>
            <w:bottom w:w="0" w:type="dxa"/>
            <w:right w:w="108" w:type="dxa"/>
          </w:tblCellMar>
        </w:tblPrEx>
        <w:trPr>
          <w:trHeight w:val="90" w:hRule="atLeast"/>
        </w:trPr>
        <w:tc>
          <w:tcPr>
            <w:tcW w:w="8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技术部分（</w:t>
            </w:r>
            <w:r>
              <w:rPr>
                <w:rFonts w:hint="eastAsia" w:ascii="宋体" w:hAnsi="宋体" w:cs="宋体"/>
                <w:color w:val="000000"/>
                <w:kern w:val="0"/>
                <w:sz w:val="18"/>
                <w:szCs w:val="18"/>
                <w:lang w:val="en-US" w:eastAsia="zh-CN"/>
              </w:rPr>
              <w:t>60</w:t>
            </w:r>
            <w:r>
              <w:rPr>
                <w:rFonts w:hint="eastAsia" w:ascii="宋体" w:hAnsi="宋体" w:cs="宋体"/>
                <w:color w:val="000000"/>
                <w:kern w:val="0"/>
                <w:sz w:val="18"/>
                <w:szCs w:val="18"/>
              </w:rPr>
              <w:t>分）</w:t>
            </w:r>
          </w:p>
        </w:tc>
        <w:tc>
          <w:tcPr>
            <w:tcW w:w="1937"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eastAsia="Times New Roman" w:cs="宋体"/>
                <w:color w:val="000000"/>
                <w:kern w:val="0"/>
                <w:sz w:val="18"/>
                <w:szCs w:val="18"/>
                <w:lang w:eastAsia="zh-CN"/>
              </w:rPr>
              <w:t>技术</w:t>
            </w:r>
            <w:r>
              <w:rPr>
                <w:rFonts w:hint="eastAsia" w:ascii="宋体" w:hAnsi="宋体" w:eastAsia="Times New Roman" w:cs="宋体"/>
                <w:color w:val="000000"/>
                <w:kern w:val="0"/>
                <w:sz w:val="18"/>
                <w:szCs w:val="18"/>
                <w:lang w:val="en-US" w:eastAsia="zh-CN"/>
              </w:rPr>
              <w:t>规格</w:t>
            </w:r>
            <w:r>
              <w:rPr>
                <w:rFonts w:hint="eastAsia" w:ascii="宋体" w:hAnsi="宋体" w:eastAsia="Times New Roman" w:cs="宋体"/>
                <w:color w:val="000000"/>
                <w:kern w:val="0"/>
                <w:sz w:val="18"/>
                <w:szCs w:val="18"/>
                <w:lang w:eastAsia="zh-CN"/>
              </w:rPr>
              <w:t>要求的响应程度（</w:t>
            </w:r>
            <w:r>
              <w:rPr>
                <w:rFonts w:hint="eastAsia" w:ascii="宋体" w:hAnsi="宋体" w:cs="宋体"/>
                <w:color w:val="000000"/>
                <w:kern w:val="0"/>
                <w:sz w:val="18"/>
                <w:szCs w:val="18"/>
                <w:lang w:val="en-US" w:eastAsia="zh-CN"/>
              </w:rPr>
              <w:t>10</w:t>
            </w:r>
            <w:r>
              <w:rPr>
                <w:rFonts w:hint="eastAsia" w:ascii="宋体" w:hAnsi="宋体" w:eastAsia="Times New Roman" w:cs="宋体"/>
                <w:color w:val="000000"/>
                <w:kern w:val="0"/>
                <w:sz w:val="18"/>
                <w:szCs w:val="18"/>
                <w:lang w:eastAsia="zh-CN"/>
              </w:rPr>
              <w:t>分）</w:t>
            </w:r>
          </w:p>
        </w:tc>
        <w:tc>
          <w:tcPr>
            <w:tcW w:w="5025"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eastAsia="Times New Roman" w:cs="宋体"/>
                <w:color w:val="000000"/>
                <w:kern w:val="0"/>
                <w:sz w:val="18"/>
                <w:szCs w:val="18"/>
                <w:lang w:val="en-US" w:eastAsia="zh-CN"/>
              </w:rPr>
              <w:t>满足招标文件中技术参数要求得</w:t>
            </w:r>
            <w:r>
              <w:rPr>
                <w:rFonts w:hint="eastAsia" w:ascii="宋体" w:hAnsi="宋体" w:cs="宋体"/>
                <w:color w:val="000000"/>
                <w:kern w:val="0"/>
                <w:sz w:val="18"/>
                <w:szCs w:val="18"/>
                <w:lang w:val="en-US" w:eastAsia="zh-CN"/>
              </w:rPr>
              <w:t>7</w:t>
            </w:r>
            <w:r>
              <w:rPr>
                <w:rFonts w:hint="eastAsia" w:ascii="宋体" w:hAnsi="宋体" w:eastAsia="Times New Roman" w:cs="宋体"/>
                <w:color w:val="000000"/>
                <w:kern w:val="0"/>
                <w:sz w:val="18"/>
                <w:szCs w:val="18"/>
                <w:lang w:val="en-US" w:eastAsia="zh-CN"/>
              </w:rPr>
              <w:t>分，优于招标文件中主要技术参数要求的酌情加分，技术规格参数一项正偏离得1分，累计</w:t>
            </w:r>
            <w:r>
              <w:rPr>
                <w:rFonts w:hint="eastAsia" w:ascii="宋体" w:hAnsi="宋体" w:cs="宋体"/>
                <w:color w:val="000000"/>
                <w:kern w:val="0"/>
                <w:sz w:val="18"/>
                <w:szCs w:val="18"/>
                <w:lang w:val="en-US" w:eastAsia="zh-CN"/>
              </w:rPr>
              <w:t>3</w:t>
            </w:r>
            <w:r>
              <w:rPr>
                <w:rFonts w:hint="eastAsia" w:ascii="宋体" w:hAnsi="宋体" w:eastAsia="Times New Roman" w:cs="宋体"/>
                <w:color w:val="000000"/>
                <w:kern w:val="0"/>
                <w:sz w:val="18"/>
                <w:szCs w:val="18"/>
                <w:lang w:val="en-US" w:eastAsia="zh-CN"/>
              </w:rPr>
              <w:t>分；</w:t>
            </w:r>
          </w:p>
        </w:tc>
        <w:tc>
          <w:tcPr>
            <w:tcW w:w="794" w:type="dxa"/>
            <w:vMerge w:val="restart"/>
            <w:tcBorders>
              <w:top w:val="nil"/>
              <w:left w:val="nil"/>
              <w:right w:val="single" w:color="auto" w:sz="4" w:space="0"/>
            </w:tcBorders>
            <w:noWrap w:val="0"/>
            <w:vAlign w:val="top"/>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center"/>
              <w:rPr>
                <w:rFonts w:hint="eastAsia" w:ascii="宋体" w:hAnsi="宋体" w:cs="宋体"/>
                <w:color w:val="000000"/>
                <w:kern w:val="0"/>
                <w:sz w:val="28"/>
                <w:szCs w:val="28"/>
                <w:lang w:val="en-US" w:eastAsia="zh-CN"/>
              </w:rPr>
            </w:pPr>
          </w:p>
          <w:p>
            <w:pPr>
              <w:widowControl/>
              <w:jc w:val="left"/>
              <w:rPr>
                <w:rFonts w:hint="eastAsia" w:ascii="宋体" w:hAnsi="宋体" w:eastAsia="宋体" w:cs="宋体"/>
                <w:color w:val="000000"/>
                <w:kern w:val="0"/>
                <w:sz w:val="18"/>
                <w:szCs w:val="18"/>
                <w:lang w:val="en-US" w:eastAsia="zh-CN"/>
              </w:rPr>
            </w:pPr>
          </w:p>
          <w:p>
            <w:pPr>
              <w:widowControl/>
              <w:jc w:val="left"/>
              <w:rPr>
                <w:rFonts w:hint="default" w:ascii="宋体" w:hAnsi="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60分</w:t>
            </w:r>
          </w:p>
        </w:tc>
      </w:tr>
      <w:tr>
        <w:tblPrEx>
          <w:tblLayout w:type="fixed"/>
          <w:tblCellMar>
            <w:top w:w="0" w:type="dxa"/>
            <w:left w:w="108" w:type="dxa"/>
            <w:bottom w:w="0" w:type="dxa"/>
            <w:right w:w="108" w:type="dxa"/>
          </w:tblCellMar>
        </w:tblPrEx>
        <w:trPr>
          <w:trHeight w:val="1305" w:hRule="atLeast"/>
        </w:trPr>
        <w:tc>
          <w:tcPr>
            <w:tcW w:w="89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19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项目</w:t>
            </w:r>
            <w:r>
              <w:rPr>
                <w:rFonts w:hint="eastAsia" w:ascii="宋体" w:hAnsi="宋体" w:cs="宋体"/>
                <w:color w:val="000000"/>
                <w:kern w:val="0"/>
                <w:sz w:val="18"/>
                <w:szCs w:val="18"/>
                <w:lang w:val="en-US" w:eastAsia="zh-CN"/>
              </w:rPr>
              <w:t>实施进度</w:t>
            </w:r>
            <w:r>
              <w:rPr>
                <w:rFonts w:hint="eastAsia" w:ascii="宋体" w:hAnsi="宋体" w:cs="宋体"/>
                <w:color w:val="000000"/>
                <w:kern w:val="0"/>
                <w:sz w:val="18"/>
                <w:szCs w:val="18"/>
                <w:lang w:eastAsia="zh-CN"/>
              </w:rPr>
              <w:t>计划</w:t>
            </w:r>
            <w:r>
              <w:rPr>
                <w:rFonts w:hint="eastAsia" w:ascii="宋体" w:hAnsi="宋体" w:cs="宋体"/>
                <w:color w:val="000000"/>
                <w:kern w:val="0"/>
                <w:sz w:val="18"/>
                <w:szCs w:val="18"/>
                <w:lang w:val="en-US" w:eastAsia="zh-CN"/>
              </w:rPr>
              <w:t>方案</w:t>
            </w:r>
          </w:p>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(10分）</w:t>
            </w:r>
          </w:p>
        </w:tc>
        <w:tc>
          <w:tcPr>
            <w:tcW w:w="5025"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针对本项目（1500亩）种植，收割，养护，除草，松土，浇水，施肥，打药，运输工作时间进度计划说明，投标人对本项目工作时间进度计划的安排及说明的合理性、有效性、科学性、紧密程度及采购人要求等情况进行综合评分，</w:t>
            </w:r>
            <w:r>
              <w:rPr>
                <w:rFonts w:hint="eastAsia" w:ascii="宋体" w:hAnsi="宋体" w:cs="宋体"/>
                <w:color w:val="auto"/>
                <w:kern w:val="0"/>
                <w:sz w:val="18"/>
                <w:szCs w:val="18"/>
                <w:lang w:val="en-US" w:eastAsia="zh-CN"/>
              </w:rPr>
              <w:t>详细得8-10；一般得4-7分；较差得1-3分。</w:t>
            </w:r>
          </w:p>
        </w:tc>
        <w:tc>
          <w:tcPr>
            <w:tcW w:w="794" w:type="dxa"/>
            <w:vMerge w:val="continue"/>
            <w:tcBorders>
              <w:left w:val="nil"/>
              <w:right w:val="single" w:color="auto" w:sz="4" w:space="0"/>
            </w:tcBorders>
            <w:noWrap w:val="0"/>
            <w:vAlign w:val="top"/>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8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1937"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lang w:val="en-US" w:eastAsia="zh-CN"/>
              </w:rPr>
              <w:t>项目</w:t>
            </w:r>
            <w:r>
              <w:rPr>
                <w:rFonts w:hint="eastAsia" w:ascii="宋体" w:hAnsi="宋体" w:cs="宋体"/>
                <w:color w:val="000000"/>
                <w:kern w:val="0"/>
                <w:sz w:val="18"/>
                <w:szCs w:val="18"/>
                <w:lang w:eastAsia="zh-CN"/>
              </w:rPr>
              <w:t>应急预案</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5025" w:type="dxa"/>
            <w:tcBorders>
              <w:top w:val="nil"/>
              <w:left w:val="nil"/>
              <w:bottom w:val="single" w:color="auto" w:sz="4" w:space="0"/>
              <w:right w:val="single" w:color="auto" w:sz="4" w:space="0"/>
            </w:tcBorders>
            <w:noWrap w:val="0"/>
            <w:vAlign w:val="center"/>
          </w:tcPr>
          <w:p>
            <w:pPr>
              <w:widowControl/>
              <w:jc w:val="left"/>
              <w:rPr>
                <w:rFonts w:hint="default" w:ascii="宋体" w:eastAsia="宋体"/>
                <w:color w:val="000000"/>
                <w:kern w:val="0"/>
                <w:sz w:val="18"/>
                <w:szCs w:val="18"/>
                <w:lang w:val="en-US" w:eastAsia="zh-CN"/>
              </w:rPr>
            </w:pPr>
            <w:r>
              <w:rPr>
                <w:rFonts w:hint="eastAsia" w:ascii="宋体" w:hAnsi="宋体" w:cs="宋体"/>
                <w:color w:val="000000"/>
                <w:kern w:val="0"/>
                <w:sz w:val="18"/>
                <w:szCs w:val="18"/>
                <w:lang w:eastAsia="zh-CN"/>
              </w:rPr>
              <w:t>针对本项目</w:t>
            </w:r>
            <w:r>
              <w:rPr>
                <w:rFonts w:hint="eastAsia" w:ascii="宋体" w:hAnsi="宋体" w:cs="宋体"/>
                <w:color w:val="000000"/>
                <w:kern w:val="0"/>
                <w:sz w:val="18"/>
                <w:szCs w:val="18"/>
                <w:lang w:val="en-US" w:eastAsia="zh-CN"/>
              </w:rPr>
              <w:t>（1500亩）种植，收割，养护，除草，松土，浇水，施肥，打药，运输</w:t>
            </w:r>
            <w:r>
              <w:rPr>
                <w:rFonts w:hint="eastAsia" w:ascii="宋体" w:hAnsi="宋体" w:cs="宋体"/>
                <w:color w:val="000000"/>
                <w:kern w:val="0"/>
                <w:sz w:val="18"/>
                <w:szCs w:val="18"/>
                <w:lang w:eastAsia="zh-CN"/>
              </w:rPr>
              <w:t>制定合理完善的应急预案及应急措施，对重大事件和节假日有科学合理的管理方案及措施，由评委进行综合评价。应急预案及管理方案完</w:t>
            </w:r>
            <w:r>
              <w:rPr>
                <w:rFonts w:hint="eastAsia" w:ascii="宋体" w:hAnsi="宋体" w:cs="宋体"/>
                <w:color w:val="auto"/>
                <w:kern w:val="0"/>
                <w:sz w:val="18"/>
                <w:szCs w:val="18"/>
                <w:lang w:eastAsia="zh-CN"/>
              </w:rPr>
              <w:t>善的得</w:t>
            </w:r>
            <w:r>
              <w:rPr>
                <w:rFonts w:hint="eastAsia" w:ascii="宋体" w:hAnsi="宋体" w:cs="宋体"/>
                <w:color w:val="auto"/>
                <w:kern w:val="0"/>
                <w:sz w:val="18"/>
                <w:szCs w:val="18"/>
                <w:lang w:val="en-US" w:eastAsia="zh-CN"/>
              </w:rPr>
              <w:t>4-5分，一般得2-3分，较差得1分，不提供不得分。</w:t>
            </w:r>
          </w:p>
        </w:tc>
        <w:tc>
          <w:tcPr>
            <w:tcW w:w="794"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Layout w:type="fixed"/>
          <w:tblCellMar>
            <w:top w:w="0" w:type="dxa"/>
            <w:left w:w="108" w:type="dxa"/>
            <w:bottom w:w="0" w:type="dxa"/>
            <w:right w:w="108" w:type="dxa"/>
          </w:tblCellMar>
        </w:tblPrEx>
        <w:trPr>
          <w:trHeight w:val="1505" w:hRule="atLeast"/>
        </w:trPr>
        <w:tc>
          <w:tcPr>
            <w:tcW w:w="8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Times New Roman" w:cs="宋体"/>
                <w:color w:val="000000"/>
                <w:kern w:val="0"/>
                <w:sz w:val="18"/>
                <w:szCs w:val="18"/>
                <w:lang w:eastAsia="zh-CN"/>
              </w:rPr>
            </w:pPr>
            <w:r>
              <w:rPr>
                <w:rFonts w:hint="eastAsia" w:ascii="宋体" w:hAnsi="宋体" w:eastAsia="Times New Roman" w:cs="宋体"/>
                <w:color w:val="000000"/>
                <w:kern w:val="0"/>
                <w:sz w:val="18"/>
                <w:szCs w:val="18"/>
                <w:lang w:eastAsia="zh-CN"/>
              </w:rPr>
              <w:t>保证措施及售后服务</w:t>
            </w:r>
          </w:p>
          <w:p>
            <w:pPr>
              <w:widowControl/>
              <w:jc w:val="center"/>
              <w:rPr>
                <w:rFonts w:ascii="宋体"/>
                <w:color w:val="000000"/>
                <w:kern w:val="0"/>
                <w:sz w:val="18"/>
                <w:szCs w:val="18"/>
              </w:rPr>
            </w:pPr>
            <w:r>
              <w:rPr>
                <w:rFonts w:hint="eastAsia" w:ascii="宋体" w:hAnsi="宋体" w:eastAsia="Times New Roman" w:cs="宋体"/>
                <w:color w:val="000000"/>
                <w:kern w:val="0"/>
                <w:sz w:val="18"/>
                <w:szCs w:val="18"/>
                <w:lang w:eastAsia="zh-CN"/>
              </w:rPr>
              <w:t>（</w:t>
            </w:r>
            <w:r>
              <w:rPr>
                <w:rFonts w:hint="eastAsia" w:ascii="宋体" w:hAnsi="宋体" w:eastAsia="Times New Roman" w:cs="宋体"/>
                <w:color w:val="000000"/>
                <w:kern w:val="0"/>
                <w:sz w:val="18"/>
                <w:szCs w:val="18"/>
                <w:lang w:val="en-US" w:eastAsia="zh-CN"/>
              </w:rPr>
              <w:t>10</w:t>
            </w:r>
            <w:r>
              <w:rPr>
                <w:rFonts w:hint="eastAsia" w:ascii="宋体" w:hAnsi="宋体" w:eastAsia="Times New Roman" w:cs="宋体"/>
                <w:color w:val="000000"/>
                <w:kern w:val="0"/>
                <w:sz w:val="18"/>
                <w:szCs w:val="18"/>
                <w:lang w:eastAsia="zh-CN"/>
              </w:rPr>
              <w:t>分）：</w:t>
            </w:r>
          </w:p>
        </w:tc>
        <w:tc>
          <w:tcPr>
            <w:tcW w:w="50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Times New Roman" w:cs="宋体"/>
                <w:color w:val="000000"/>
                <w:kern w:val="0"/>
                <w:sz w:val="18"/>
                <w:szCs w:val="18"/>
                <w:lang w:eastAsia="zh-CN"/>
              </w:rPr>
            </w:pPr>
            <w:r>
              <w:rPr>
                <w:rFonts w:hint="eastAsia" w:ascii="宋体" w:hAnsi="宋体" w:eastAsia="Times New Roman" w:cs="宋体"/>
                <w:color w:val="000000"/>
                <w:kern w:val="0"/>
                <w:sz w:val="18"/>
                <w:szCs w:val="18"/>
                <w:lang w:eastAsia="zh-CN"/>
              </w:rPr>
              <w:t>由投标人针对本项目提供</w:t>
            </w:r>
          </w:p>
          <w:p>
            <w:pPr>
              <w:widowControl/>
              <w:jc w:val="left"/>
              <w:rPr>
                <w:rFonts w:hint="eastAsia" w:ascii="宋体" w:hAnsi="宋体" w:eastAsia="Times New Roman" w:cs="宋体"/>
                <w:color w:val="000000"/>
                <w:kern w:val="0"/>
                <w:sz w:val="18"/>
                <w:szCs w:val="18"/>
                <w:lang w:val="en-US" w:eastAsia="zh-CN"/>
              </w:rPr>
            </w:pPr>
            <w:r>
              <w:rPr>
                <w:rFonts w:hint="eastAsia" w:ascii="宋体" w:hAnsi="宋体" w:eastAsia="Times New Roman" w:cs="宋体"/>
                <w:color w:val="000000"/>
                <w:kern w:val="0"/>
                <w:sz w:val="18"/>
                <w:szCs w:val="18"/>
                <w:lang w:val="en-US" w:eastAsia="zh-CN"/>
              </w:rPr>
              <w:t>（1）服务承诺：接到故障电话后2小时内能抵达现场并解除故障得</w:t>
            </w:r>
            <w:r>
              <w:rPr>
                <w:rFonts w:hint="eastAsia" w:ascii="宋体" w:hAnsi="宋体" w:cs="宋体"/>
                <w:color w:val="000000"/>
                <w:kern w:val="0"/>
                <w:sz w:val="18"/>
                <w:szCs w:val="18"/>
                <w:lang w:val="en-US" w:eastAsia="zh-CN"/>
              </w:rPr>
              <w:t>3</w:t>
            </w:r>
            <w:r>
              <w:rPr>
                <w:rFonts w:hint="eastAsia" w:ascii="宋体" w:hAnsi="宋体" w:eastAsia="Times New Roman" w:cs="宋体"/>
                <w:color w:val="000000"/>
                <w:kern w:val="0"/>
                <w:sz w:val="18"/>
                <w:szCs w:val="18"/>
                <w:lang w:val="en-US" w:eastAsia="zh-CN"/>
              </w:rPr>
              <w:t>分；4小时内抵达现场并解除故障得</w:t>
            </w:r>
            <w:r>
              <w:rPr>
                <w:rFonts w:hint="eastAsia" w:ascii="宋体" w:hAnsi="宋体" w:cs="宋体"/>
                <w:color w:val="000000"/>
                <w:kern w:val="0"/>
                <w:sz w:val="18"/>
                <w:szCs w:val="18"/>
                <w:lang w:val="en-US" w:eastAsia="zh-CN"/>
              </w:rPr>
              <w:t>2</w:t>
            </w:r>
            <w:r>
              <w:rPr>
                <w:rFonts w:hint="eastAsia" w:ascii="宋体" w:hAnsi="宋体" w:eastAsia="Times New Roman" w:cs="宋体"/>
                <w:color w:val="000000"/>
                <w:kern w:val="0"/>
                <w:sz w:val="18"/>
                <w:szCs w:val="18"/>
                <w:lang w:val="en-US" w:eastAsia="zh-CN"/>
              </w:rPr>
              <w:t>分；6小时内抵达现场并解除故障得</w:t>
            </w:r>
            <w:r>
              <w:rPr>
                <w:rFonts w:hint="eastAsia" w:ascii="宋体" w:hAnsi="宋体" w:cs="宋体"/>
                <w:color w:val="000000"/>
                <w:kern w:val="0"/>
                <w:sz w:val="18"/>
                <w:szCs w:val="18"/>
                <w:lang w:val="en-US" w:eastAsia="zh-CN"/>
              </w:rPr>
              <w:t>1</w:t>
            </w:r>
            <w:r>
              <w:rPr>
                <w:rFonts w:hint="eastAsia" w:ascii="宋体" w:hAnsi="宋体" w:eastAsia="Times New Roman" w:cs="宋体"/>
                <w:color w:val="000000"/>
                <w:kern w:val="0"/>
                <w:sz w:val="18"/>
                <w:szCs w:val="18"/>
                <w:lang w:val="en-US" w:eastAsia="zh-CN"/>
              </w:rPr>
              <w:t>分；其余情形不得分；（满分</w:t>
            </w:r>
            <w:r>
              <w:rPr>
                <w:rFonts w:hint="eastAsia" w:ascii="宋体" w:hAnsi="宋体" w:cs="宋体"/>
                <w:color w:val="000000"/>
                <w:kern w:val="0"/>
                <w:sz w:val="18"/>
                <w:szCs w:val="18"/>
                <w:lang w:val="en-US" w:eastAsia="zh-CN"/>
              </w:rPr>
              <w:t>3</w:t>
            </w:r>
            <w:r>
              <w:rPr>
                <w:rFonts w:hint="eastAsia" w:ascii="宋体" w:hAnsi="宋体" w:eastAsia="Times New Roman" w:cs="宋体"/>
                <w:color w:val="000000"/>
                <w:kern w:val="0"/>
                <w:sz w:val="18"/>
                <w:szCs w:val="18"/>
                <w:lang w:val="en-US" w:eastAsia="zh-CN"/>
              </w:rPr>
              <w:t>分）</w:t>
            </w:r>
          </w:p>
          <w:p>
            <w:pPr>
              <w:widowControl/>
              <w:jc w:val="left"/>
              <w:rPr>
                <w:rFonts w:hint="eastAsia" w:ascii="宋体" w:hAnsi="宋体" w:eastAsia="Times New Roman" w:cs="宋体"/>
                <w:color w:val="000000"/>
                <w:kern w:val="0"/>
                <w:sz w:val="18"/>
                <w:szCs w:val="18"/>
                <w:lang w:val="en-US" w:eastAsia="zh-CN"/>
              </w:rPr>
            </w:pPr>
            <w:r>
              <w:rPr>
                <w:rFonts w:hint="eastAsia" w:ascii="宋体" w:hAnsi="宋体" w:eastAsia="Times New Roman" w:cs="宋体"/>
                <w:color w:val="000000"/>
                <w:kern w:val="0"/>
                <w:sz w:val="18"/>
                <w:szCs w:val="18"/>
                <w:lang w:val="en-US" w:eastAsia="zh-CN"/>
              </w:rPr>
              <w:t>（</w:t>
            </w:r>
            <w:r>
              <w:rPr>
                <w:rFonts w:hint="eastAsia" w:ascii="宋体" w:hAnsi="宋体" w:cs="宋体"/>
                <w:color w:val="000000"/>
                <w:kern w:val="0"/>
                <w:sz w:val="18"/>
                <w:szCs w:val="18"/>
                <w:lang w:val="en-US" w:eastAsia="zh-CN"/>
              </w:rPr>
              <w:t>2</w:t>
            </w:r>
            <w:r>
              <w:rPr>
                <w:rFonts w:hint="eastAsia" w:ascii="宋体" w:hAnsi="宋体" w:eastAsia="Times New Roman" w:cs="宋体"/>
                <w:color w:val="000000"/>
                <w:kern w:val="0"/>
                <w:sz w:val="18"/>
                <w:szCs w:val="18"/>
                <w:lang w:val="en-US" w:eastAsia="zh-CN"/>
              </w:rPr>
              <w:t>）管护期：优于招标文件要求，即：超过招标文件要求的质保期2个月的得</w:t>
            </w:r>
            <w:r>
              <w:rPr>
                <w:rFonts w:hint="eastAsia" w:ascii="宋体" w:hAnsi="宋体" w:cs="宋体"/>
                <w:color w:val="000000"/>
                <w:kern w:val="0"/>
                <w:sz w:val="18"/>
                <w:szCs w:val="18"/>
                <w:lang w:val="en-US" w:eastAsia="zh-CN"/>
              </w:rPr>
              <w:t>3</w:t>
            </w:r>
            <w:r>
              <w:rPr>
                <w:rFonts w:hint="eastAsia" w:ascii="宋体" w:hAnsi="宋体" w:eastAsia="Times New Roman" w:cs="宋体"/>
                <w:color w:val="000000"/>
                <w:kern w:val="0"/>
                <w:sz w:val="18"/>
                <w:szCs w:val="18"/>
                <w:lang w:val="en-US" w:eastAsia="zh-CN"/>
              </w:rPr>
              <w:t>分，超过招标文件要求的质保期1个月的得</w:t>
            </w:r>
            <w:r>
              <w:rPr>
                <w:rFonts w:hint="eastAsia" w:ascii="宋体" w:hAnsi="宋体" w:cs="宋体"/>
                <w:color w:val="000000"/>
                <w:kern w:val="0"/>
                <w:sz w:val="18"/>
                <w:szCs w:val="18"/>
                <w:lang w:val="en-US" w:eastAsia="zh-CN"/>
              </w:rPr>
              <w:t>2</w:t>
            </w:r>
            <w:r>
              <w:rPr>
                <w:rFonts w:hint="eastAsia" w:ascii="宋体" w:hAnsi="宋体" w:eastAsia="Times New Roman" w:cs="宋体"/>
                <w:color w:val="000000"/>
                <w:kern w:val="0"/>
                <w:sz w:val="18"/>
                <w:szCs w:val="18"/>
                <w:lang w:val="en-US" w:eastAsia="zh-CN"/>
              </w:rPr>
              <w:t>分，满足招标文件要求质保的得</w:t>
            </w:r>
            <w:r>
              <w:rPr>
                <w:rFonts w:hint="eastAsia" w:ascii="宋体" w:hAnsi="宋体" w:cs="宋体"/>
                <w:color w:val="000000"/>
                <w:kern w:val="0"/>
                <w:sz w:val="18"/>
                <w:szCs w:val="18"/>
                <w:lang w:val="en-US" w:eastAsia="zh-CN"/>
              </w:rPr>
              <w:t>1</w:t>
            </w:r>
            <w:r>
              <w:rPr>
                <w:rFonts w:hint="eastAsia" w:ascii="宋体" w:hAnsi="宋体" w:eastAsia="Times New Roman" w:cs="宋体"/>
                <w:color w:val="000000"/>
                <w:kern w:val="0"/>
                <w:sz w:val="18"/>
                <w:szCs w:val="18"/>
                <w:lang w:val="en-US" w:eastAsia="zh-CN"/>
              </w:rPr>
              <w:t>分，不满足采购单位免费质保期要求的为无效投标；（满分</w:t>
            </w:r>
            <w:r>
              <w:rPr>
                <w:rFonts w:hint="eastAsia" w:ascii="宋体" w:hAnsi="宋体" w:cs="宋体"/>
                <w:color w:val="000000"/>
                <w:kern w:val="0"/>
                <w:sz w:val="18"/>
                <w:szCs w:val="18"/>
                <w:lang w:val="en-US" w:eastAsia="zh-CN"/>
              </w:rPr>
              <w:t>3</w:t>
            </w:r>
            <w:r>
              <w:rPr>
                <w:rFonts w:hint="eastAsia" w:ascii="宋体" w:hAnsi="宋体" w:eastAsia="Times New Roman" w:cs="宋体"/>
                <w:color w:val="000000"/>
                <w:kern w:val="0"/>
                <w:sz w:val="18"/>
                <w:szCs w:val="18"/>
                <w:lang w:val="en-US" w:eastAsia="zh-CN"/>
              </w:rPr>
              <w:t>分）</w:t>
            </w:r>
          </w:p>
          <w:p>
            <w:pPr>
              <w:widowControl/>
              <w:jc w:val="left"/>
              <w:rPr>
                <w:rFonts w:hint="eastAsia" w:ascii="宋体" w:hAnsi="宋体" w:eastAsia="Times New Roman" w:cs="宋体"/>
                <w:color w:val="000000"/>
                <w:kern w:val="0"/>
                <w:sz w:val="18"/>
                <w:szCs w:val="18"/>
                <w:lang w:val="en-US" w:eastAsia="zh-CN"/>
              </w:rPr>
            </w:pPr>
            <w:r>
              <w:rPr>
                <w:rFonts w:hint="eastAsia" w:ascii="宋体" w:hAnsi="宋体" w:eastAsia="Times New Roman" w:cs="宋体"/>
                <w:color w:val="000000"/>
                <w:kern w:val="0"/>
                <w:sz w:val="18"/>
                <w:szCs w:val="18"/>
                <w:lang w:val="en-US" w:eastAsia="zh-CN"/>
              </w:rPr>
              <w:t>（</w:t>
            </w:r>
            <w:r>
              <w:rPr>
                <w:rFonts w:hint="eastAsia" w:ascii="宋体" w:hAnsi="宋体" w:cs="宋体"/>
                <w:color w:val="000000"/>
                <w:kern w:val="0"/>
                <w:sz w:val="18"/>
                <w:szCs w:val="18"/>
                <w:lang w:val="en-US" w:eastAsia="zh-CN"/>
              </w:rPr>
              <w:t>3</w:t>
            </w:r>
            <w:r>
              <w:rPr>
                <w:rFonts w:hint="eastAsia" w:ascii="宋体" w:hAnsi="宋体" w:eastAsia="Times New Roman" w:cs="宋体"/>
                <w:color w:val="000000"/>
                <w:kern w:val="0"/>
                <w:sz w:val="18"/>
                <w:szCs w:val="18"/>
                <w:lang w:val="en-US" w:eastAsia="zh-CN"/>
              </w:rPr>
              <w:t>）货物包退包换承诺，综合评分，范围0-</w:t>
            </w:r>
            <w:r>
              <w:rPr>
                <w:rFonts w:hint="eastAsia" w:ascii="宋体" w:hAnsi="宋体" w:cs="宋体"/>
                <w:color w:val="000000"/>
                <w:kern w:val="0"/>
                <w:sz w:val="18"/>
                <w:szCs w:val="18"/>
                <w:lang w:val="en-US" w:eastAsia="zh-CN"/>
              </w:rPr>
              <w:t>2</w:t>
            </w:r>
            <w:r>
              <w:rPr>
                <w:rFonts w:hint="eastAsia" w:ascii="宋体" w:hAnsi="宋体" w:eastAsia="Times New Roman" w:cs="宋体"/>
                <w:color w:val="000000"/>
                <w:kern w:val="0"/>
                <w:sz w:val="18"/>
                <w:szCs w:val="18"/>
                <w:lang w:val="en-US" w:eastAsia="zh-CN"/>
              </w:rPr>
              <w:t>分（满分</w:t>
            </w:r>
            <w:r>
              <w:rPr>
                <w:rFonts w:hint="eastAsia" w:ascii="宋体" w:hAnsi="宋体" w:cs="宋体"/>
                <w:color w:val="000000"/>
                <w:kern w:val="0"/>
                <w:sz w:val="18"/>
                <w:szCs w:val="18"/>
                <w:lang w:val="en-US" w:eastAsia="zh-CN"/>
              </w:rPr>
              <w:t>2</w:t>
            </w:r>
            <w:r>
              <w:rPr>
                <w:rFonts w:hint="eastAsia" w:ascii="宋体" w:hAnsi="宋体" w:eastAsia="Times New Roman" w:cs="宋体"/>
                <w:color w:val="000000"/>
                <w:kern w:val="0"/>
                <w:sz w:val="18"/>
                <w:szCs w:val="18"/>
                <w:lang w:val="en-US" w:eastAsia="zh-CN"/>
              </w:rPr>
              <w:t>分）；</w:t>
            </w:r>
          </w:p>
          <w:p>
            <w:pPr>
              <w:widowControl/>
              <w:jc w:val="left"/>
              <w:rPr>
                <w:rFonts w:hint="default" w:ascii="宋体" w:eastAsia="宋体"/>
                <w:color w:val="000000"/>
                <w:kern w:val="0"/>
                <w:sz w:val="18"/>
                <w:szCs w:val="18"/>
                <w:lang w:val="en-US" w:eastAsia="zh-CN"/>
              </w:rPr>
            </w:pPr>
            <w:r>
              <w:rPr>
                <w:rFonts w:hint="eastAsia" w:ascii="宋体" w:hAnsi="宋体" w:eastAsia="Times New Roman" w:cs="宋体"/>
                <w:color w:val="000000"/>
                <w:kern w:val="0"/>
                <w:sz w:val="18"/>
                <w:szCs w:val="18"/>
                <w:lang w:val="en-US" w:eastAsia="zh-CN"/>
              </w:rPr>
              <w:t>（</w:t>
            </w:r>
            <w:r>
              <w:rPr>
                <w:rFonts w:hint="eastAsia" w:ascii="宋体" w:hAnsi="宋体" w:cs="宋体"/>
                <w:color w:val="000000"/>
                <w:kern w:val="0"/>
                <w:sz w:val="18"/>
                <w:szCs w:val="18"/>
                <w:lang w:val="en-US" w:eastAsia="zh-CN"/>
              </w:rPr>
              <w:t>4</w:t>
            </w:r>
            <w:r>
              <w:rPr>
                <w:rFonts w:hint="eastAsia" w:ascii="宋体" w:hAnsi="宋体" w:eastAsia="Times New Roman" w:cs="宋体"/>
                <w:color w:val="000000"/>
                <w:kern w:val="0"/>
                <w:sz w:val="18"/>
                <w:szCs w:val="18"/>
                <w:lang w:val="en-US" w:eastAsia="zh-CN"/>
              </w:rPr>
              <w:t>）违约处罚承诺，综合评分，范围0-</w:t>
            </w:r>
            <w:r>
              <w:rPr>
                <w:rFonts w:hint="eastAsia" w:ascii="宋体" w:hAnsi="宋体" w:cs="宋体"/>
                <w:color w:val="000000"/>
                <w:kern w:val="0"/>
                <w:sz w:val="18"/>
                <w:szCs w:val="18"/>
                <w:lang w:val="en-US" w:eastAsia="zh-CN"/>
              </w:rPr>
              <w:t>2</w:t>
            </w:r>
            <w:r>
              <w:rPr>
                <w:rFonts w:hint="eastAsia" w:ascii="宋体" w:hAnsi="宋体" w:eastAsia="Times New Roman" w:cs="宋体"/>
                <w:color w:val="000000"/>
                <w:kern w:val="0"/>
                <w:sz w:val="18"/>
                <w:szCs w:val="18"/>
                <w:lang w:val="en-US" w:eastAsia="zh-CN"/>
              </w:rPr>
              <w:t>分（满分</w:t>
            </w:r>
            <w:r>
              <w:rPr>
                <w:rFonts w:hint="eastAsia" w:ascii="宋体" w:hAnsi="宋体" w:cs="宋体"/>
                <w:color w:val="000000"/>
                <w:kern w:val="0"/>
                <w:sz w:val="18"/>
                <w:szCs w:val="18"/>
                <w:lang w:val="en-US" w:eastAsia="zh-CN"/>
              </w:rPr>
              <w:t>2</w:t>
            </w:r>
            <w:r>
              <w:rPr>
                <w:rFonts w:hint="eastAsia" w:ascii="宋体" w:hAnsi="宋体" w:eastAsia="Times New Roman" w:cs="宋体"/>
                <w:color w:val="000000"/>
                <w:kern w:val="0"/>
                <w:sz w:val="18"/>
                <w:szCs w:val="18"/>
                <w:lang w:val="en-US" w:eastAsia="zh-CN"/>
              </w:rPr>
              <w:t>分）。</w:t>
            </w:r>
          </w:p>
        </w:tc>
        <w:tc>
          <w:tcPr>
            <w:tcW w:w="794"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Layout w:type="fixed"/>
          <w:tblCellMar>
            <w:top w:w="0" w:type="dxa"/>
            <w:left w:w="108" w:type="dxa"/>
            <w:bottom w:w="0" w:type="dxa"/>
            <w:right w:w="108" w:type="dxa"/>
          </w:tblCellMar>
        </w:tblPrEx>
        <w:trPr>
          <w:trHeight w:val="813" w:hRule="atLeast"/>
        </w:trPr>
        <w:tc>
          <w:tcPr>
            <w:tcW w:w="8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19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日常管护服务</w:t>
            </w:r>
          </w:p>
          <w:p>
            <w:pPr>
              <w:widowControl/>
              <w:jc w:val="center"/>
              <w:rPr>
                <w:rFonts w:hint="eastAsia" w:ascii="宋体" w:hAnsi="宋体" w:eastAsia="Times New Roman" w:cs="宋体"/>
                <w:color w:val="000000"/>
                <w:kern w:val="0"/>
                <w:sz w:val="18"/>
                <w:szCs w:val="18"/>
                <w:lang w:val="en-US" w:eastAsia="zh-CN"/>
              </w:rPr>
            </w:pPr>
            <w:r>
              <w:rPr>
                <w:rFonts w:hint="eastAsia" w:ascii="宋体" w:hAnsi="宋体" w:eastAsia="Times New Roman" w:cs="宋体"/>
                <w:color w:val="000000"/>
                <w:kern w:val="0"/>
                <w:sz w:val="18"/>
                <w:szCs w:val="18"/>
                <w:lang w:val="en-US" w:eastAsia="zh-CN"/>
              </w:rPr>
              <w:t>（5分）</w:t>
            </w:r>
          </w:p>
        </w:tc>
        <w:tc>
          <w:tcPr>
            <w:tcW w:w="5025" w:type="dxa"/>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Times New Roman" w:cs="宋体"/>
                <w:color w:val="000000"/>
                <w:kern w:val="0"/>
                <w:sz w:val="18"/>
                <w:szCs w:val="18"/>
                <w:lang w:val="en-US" w:eastAsia="zh-CN"/>
              </w:rPr>
            </w:pPr>
            <w:r>
              <w:rPr>
                <w:rFonts w:hint="eastAsia" w:ascii="宋体" w:hAnsi="宋体" w:cs="宋体"/>
                <w:color w:val="000000"/>
                <w:kern w:val="0"/>
                <w:sz w:val="18"/>
                <w:szCs w:val="18"/>
                <w:lang w:val="en-US" w:eastAsia="zh-CN"/>
              </w:rPr>
              <w:t>在项目实施中能提供7x24小时服务长期随时随地响应“叫应”服务的（可提供办公场所租赁证明或产权证明和照片的得5分，不提供得1分）</w:t>
            </w:r>
          </w:p>
        </w:tc>
        <w:tc>
          <w:tcPr>
            <w:tcW w:w="794"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Layout w:type="fixed"/>
          <w:tblCellMar>
            <w:top w:w="0" w:type="dxa"/>
            <w:left w:w="108" w:type="dxa"/>
            <w:bottom w:w="0" w:type="dxa"/>
            <w:right w:w="108" w:type="dxa"/>
          </w:tblCellMar>
        </w:tblPrEx>
        <w:trPr>
          <w:trHeight w:val="779" w:hRule="atLeast"/>
        </w:trPr>
        <w:tc>
          <w:tcPr>
            <w:tcW w:w="8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19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Times New Roman" w:cs="宋体"/>
                <w:color w:val="000000"/>
                <w:kern w:val="0"/>
                <w:sz w:val="18"/>
                <w:szCs w:val="18"/>
                <w:lang w:val="en-US" w:eastAsia="zh-CN"/>
              </w:rPr>
            </w:pPr>
            <w:r>
              <w:rPr>
                <w:rFonts w:hint="eastAsia" w:ascii="宋体" w:hAnsi="宋体" w:eastAsia="Times New Roman" w:cs="宋体"/>
                <w:color w:val="000000"/>
                <w:kern w:val="0"/>
                <w:sz w:val="18"/>
                <w:szCs w:val="18"/>
                <w:lang w:val="en-US" w:eastAsia="zh-CN"/>
              </w:rPr>
              <w:t>专业技术人员配备</w:t>
            </w:r>
          </w:p>
          <w:p>
            <w:pPr>
              <w:widowControl/>
              <w:jc w:val="center"/>
              <w:rPr>
                <w:rFonts w:hint="eastAsia" w:ascii="宋体" w:hAnsi="宋体" w:eastAsia="Times New Roman" w:cs="宋体"/>
                <w:color w:val="000000"/>
                <w:kern w:val="0"/>
                <w:sz w:val="18"/>
                <w:szCs w:val="18"/>
                <w:lang w:eastAsia="zh-CN"/>
              </w:rPr>
            </w:pPr>
            <w:r>
              <w:rPr>
                <w:rFonts w:hint="eastAsia" w:ascii="宋体" w:hAnsi="宋体" w:eastAsia="Times New Roman" w:cs="宋体"/>
                <w:color w:val="000000"/>
                <w:kern w:val="0"/>
                <w:sz w:val="18"/>
                <w:szCs w:val="18"/>
                <w:lang w:eastAsia="zh-CN"/>
              </w:rPr>
              <w:t>（</w:t>
            </w:r>
            <w:r>
              <w:rPr>
                <w:rFonts w:hint="eastAsia" w:ascii="宋体" w:hAnsi="宋体" w:eastAsia="Times New Roman" w:cs="宋体"/>
                <w:color w:val="000000"/>
                <w:kern w:val="0"/>
                <w:sz w:val="18"/>
                <w:szCs w:val="18"/>
                <w:lang w:val="en-US" w:eastAsia="zh-CN"/>
              </w:rPr>
              <w:t>10</w:t>
            </w:r>
            <w:r>
              <w:rPr>
                <w:rFonts w:hint="eastAsia" w:ascii="宋体" w:hAnsi="宋体" w:eastAsia="Times New Roman" w:cs="宋体"/>
                <w:color w:val="000000"/>
                <w:kern w:val="0"/>
                <w:sz w:val="18"/>
                <w:szCs w:val="18"/>
                <w:lang w:eastAsia="zh-CN"/>
              </w:rPr>
              <w:t>分）</w:t>
            </w:r>
          </w:p>
        </w:tc>
        <w:tc>
          <w:tcPr>
            <w:tcW w:w="5025" w:type="dxa"/>
            <w:tcBorders>
              <w:top w:val="nil"/>
              <w:left w:val="nil"/>
              <w:bottom w:val="single" w:color="auto" w:sz="4" w:space="0"/>
              <w:right w:val="single" w:color="auto" w:sz="4" w:space="0"/>
            </w:tcBorders>
            <w:noWrap w:val="0"/>
            <w:vAlign w:val="center"/>
          </w:tcPr>
          <w:p>
            <w:pPr>
              <w:widowControl/>
              <w:jc w:val="left"/>
              <w:rPr>
                <w:rFonts w:hint="default" w:ascii="宋体" w:hAnsi="宋体" w:eastAsia="Times New Roman" w:cs="宋体"/>
                <w:color w:val="000000"/>
                <w:kern w:val="0"/>
                <w:sz w:val="18"/>
                <w:szCs w:val="18"/>
                <w:lang w:val="en-US" w:eastAsia="zh-CN"/>
              </w:rPr>
            </w:pPr>
            <w:r>
              <w:rPr>
                <w:rFonts w:hint="eastAsia" w:ascii="宋体" w:hAnsi="宋体" w:eastAsia="Times New Roman" w:cs="宋体"/>
                <w:color w:val="000000"/>
                <w:kern w:val="0"/>
                <w:sz w:val="18"/>
                <w:szCs w:val="18"/>
                <w:lang w:eastAsia="zh-CN"/>
              </w:rPr>
              <w:t>专业技术人员配备，提供</w:t>
            </w:r>
            <w:r>
              <w:rPr>
                <w:rFonts w:hint="eastAsia" w:ascii="宋体" w:hAnsi="宋体" w:eastAsia="Times New Roman" w:cs="宋体"/>
                <w:color w:val="000000"/>
                <w:kern w:val="0"/>
                <w:sz w:val="18"/>
                <w:szCs w:val="18"/>
                <w:lang w:val="en-US" w:eastAsia="zh-CN"/>
              </w:rPr>
              <w:t>农业相关</w:t>
            </w:r>
            <w:r>
              <w:rPr>
                <w:rFonts w:hint="eastAsia" w:ascii="宋体" w:hAnsi="宋体" w:eastAsia="Times New Roman" w:cs="宋体"/>
                <w:color w:val="000000"/>
                <w:kern w:val="0"/>
                <w:sz w:val="18"/>
                <w:szCs w:val="18"/>
                <w:lang w:eastAsia="zh-CN"/>
              </w:rPr>
              <w:t>高级职称</w:t>
            </w:r>
            <w:r>
              <w:rPr>
                <w:rFonts w:hint="eastAsia" w:ascii="宋体" w:hAnsi="宋体" w:cs="宋体"/>
                <w:color w:val="000000"/>
                <w:kern w:val="0"/>
                <w:sz w:val="18"/>
                <w:szCs w:val="18"/>
                <w:lang w:val="en-US" w:eastAsia="zh-CN"/>
              </w:rPr>
              <w:t>每提供一个得1分</w:t>
            </w:r>
            <w:r>
              <w:rPr>
                <w:rFonts w:hint="eastAsia" w:ascii="宋体" w:hAnsi="宋体" w:eastAsia="Times New Roman" w:cs="宋体"/>
                <w:color w:val="000000"/>
                <w:kern w:val="0"/>
                <w:sz w:val="18"/>
                <w:szCs w:val="18"/>
                <w:lang w:val="en-US" w:eastAsia="zh-CN"/>
              </w:rPr>
              <w:t>最高10分</w:t>
            </w:r>
            <w:r>
              <w:rPr>
                <w:rFonts w:hint="eastAsia" w:ascii="宋体" w:hAnsi="宋体" w:eastAsia="Times New Roman" w:cs="宋体"/>
                <w:color w:val="000000"/>
                <w:kern w:val="0"/>
                <w:sz w:val="18"/>
                <w:szCs w:val="18"/>
                <w:lang w:eastAsia="zh-CN"/>
              </w:rPr>
              <w:t>；中级职称</w:t>
            </w:r>
            <w:r>
              <w:rPr>
                <w:rFonts w:hint="eastAsia" w:ascii="宋体" w:hAnsi="宋体" w:cs="宋体"/>
                <w:color w:val="000000"/>
                <w:kern w:val="0"/>
                <w:sz w:val="18"/>
                <w:szCs w:val="18"/>
                <w:lang w:val="en-US" w:eastAsia="zh-CN"/>
              </w:rPr>
              <w:t>每提供一个得</w:t>
            </w:r>
            <w:r>
              <w:rPr>
                <w:rFonts w:hint="eastAsia" w:ascii="宋体" w:hAnsi="宋体" w:eastAsia="Times New Roman" w:cs="宋体"/>
                <w:color w:val="000000"/>
                <w:kern w:val="0"/>
                <w:sz w:val="18"/>
                <w:szCs w:val="18"/>
                <w:lang w:val="en-US" w:eastAsia="zh-CN"/>
              </w:rPr>
              <w:t>0.5</w:t>
            </w:r>
            <w:r>
              <w:rPr>
                <w:rFonts w:hint="eastAsia" w:ascii="宋体" w:hAnsi="宋体" w:eastAsia="Times New Roman" w:cs="宋体"/>
                <w:color w:val="000000"/>
                <w:kern w:val="0"/>
                <w:sz w:val="18"/>
                <w:szCs w:val="18"/>
                <w:lang w:eastAsia="zh-CN"/>
              </w:rPr>
              <w:t>分</w:t>
            </w:r>
            <w:r>
              <w:rPr>
                <w:rFonts w:hint="eastAsia" w:ascii="宋体" w:hAnsi="宋体" w:eastAsia="Times New Roman" w:cs="宋体"/>
                <w:color w:val="000000"/>
                <w:kern w:val="0"/>
                <w:sz w:val="18"/>
                <w:szCs w:val="18"/>
                <w:lang w:val="en-US" w:eastAsia="zh-CN"/>
              </w:rPr>
              <w:t>最高6分，提供人员证件。满分10分。</w:t>
            </w:r>
          </w:p>
        </w:tc>
        <w:tc>
          <w:tcPr>
            <w:tcW w:w="794" w:type="dxa"/>
            <w:vMerge w:val="continue"/>
            <w:tcBorders>
              <w:left w:val="nil"/>
              <w:right w:val="single" w:color="auto" w:sz="4" w:space="0"/>
            </w:tcBorders>
            <w:noWrap w:val="0"/>
            <w:vAlign w:val="top"/>
          </w:tcPr>
          <w:p>
            <w:pPr>
              <w:widowControl/>
              <w:jc w:val="center"/>
              <w:rPr>
                <w:rFonts w:ascii="宋体"/>
                <w:color w:val="000000"/>
                <w:kern w:val="0"/>
                <w:sz w:val="18"/>
                <w:szCs w:val="18"/>
              </w:rPr>
            </w:pPr>
          </w:p>
        </w:tc>
      </w:tr>
      <w:tr>
        <w:tblPrEx>
          <w:tblLayout w:type="fixed"/>
          <w:tblCellMar>
            <w:top w:w="0" w:type="dxa"/>
            <w:left w:w="108" w:type="dxa"/>
            <w:bottom w:w="0" w:type="dxa"/>
            <w:right w:w="108" w:type="dxa"/>
          </w:tblCellMar>
        </w:tblPrEx>
        <w:trPr>
          <w:trHeight w:val="699" w:hRule="atLeast"/>
        </w:trPr>
        <w:tc>
          <w:tcPr>
            <w:tcW w:w="8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19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项目投入的设施设备</w:t>
            </w:r>
          </w:p>
          <w:p>
            <w:pPr>
              <w:widowControl/>
              <w:jc w:val="center"/>
              <w:rPr>
                <w:rFonts w:ascii="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lang w:eastAsia="zh-CN"/>
              </w:rPr>
              <w:t>分</w:t>
            </w:r>
            <w:r>
              <w:rPr>
                <w:rFonts w:hint="eastAsia" w:ascii="宋体" w:hAnsi="宋体" w:cs="宋体"/>
                <w:color w:val="000000"/>
                <w:kern w:val="0"/>
                <w:sz w:val="18"/>
                <w:szCs w:val="18"/>
              </w:rPr>
              <w:t>）</w:t>
            </w:r>
          </w:p>
        </w:tc>
        <w:tc>
          <w:tcPr>
            <w:tcW w:w="502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投标人对本项目实施过程中机械化作业的方案</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如提供1台大型农机得2分，提供1台小型农机得1分，不提供不得分，（提供农机照片及行驶证照片，租赁合同或产权证明）</w:t>
            </w:r>
            <w:r>
              <w:rPr>
                <w:rFonts w:hint="eastAsia" w:ascii="宋体" w:hAnsi="宋体" w:cs="宋体"/>
                <w:color w:val="000000"/>
                <w:kern w:val="0"/>
                <w:sz w:val="18"/>
                <w:szCs w:val="18"/>
                <w:lang w:eastAsia="zh-CN"/>
              </w:rPr>
              <w:t>。</w:t>
            </w:r>
          </w:p>
        </w:tc>
        <w:tc>
          <w:tcPr>
            <w:tcW w:w="794" w:type="dxa"/>
            <w:vMerge w:val="continue"/>
            <w:tcBorders>
              <w:left w:val="nil"/>
              <w:bottom w:val="single" w:color="auto" w:sz="4" w:space="0"/>
              <w:right w:val="single" w:color="auto" w:sz="4" w:space="0"/>
            </w:tcBorders>
            <w:noWrap w:val="0"/>
            <w:vAlign w:val="top"/>
          </w:tcPr>
          <w:p>
            <w:pPr>
              <w:widowControl/>
              <w:jc w:val="left"/>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797" w:hRule="atLeast"/>
        </w:trPr>
        <w:tc>
          <w:tcPr>
            <w:tcW w:w="8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商务部分（</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1937"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lang w:eastAsia="zh-CN"/>
              </w:rPr>
              <w:t>业绩</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分）</w:t>
            </w:r>
          </w:p>
        </w:tc>
        <w:tc>
          <w:tcPr>
            <w:tcW w:w="5025"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eastAsia="Times New Roman" w:cs="宋体"/>
                <w:color w:val="000000"/>
                <w:kern w:val="0"/>
                <w:sz w:val="18"/>
                <w:szCs w:val="18"/>
                <w:lang w:val="en-US" w:eastAsia="zh-CN"/>
              </w:rPr>
              <w:t>投标单位提供近三年类似项目</w:t>
            </w:r>
            <w:r>
              <w:rPr>
                <w:rFonts w:hint="eastAsia" w:ascii="宋体" w:hAnsi="宋体" w:cs="宋体"/>
                <w:color w:val="000000"/>
                <w:kern w:val="0"/>
                <w:sz w:val="18"/>
                <w:szCs w:val="18"/>
                <w:lang w:val="en-US" w:eastAsia="zh-CN"/>
              </w:rPr>
              <w:t>业绩</w:t>
            </w:r>
            <w:r>
              <w:rPr>
                <w:rFonts w:hint="eastAsia" w:ascii="宋体" w:hAnsi="宋体" w:eastAsia="Times New Roman" w:cs="宋体"/>
                <w:color w:val="000000"/>
                <w:kern w:val="0"/>
                <w:sz w:val="18"/>
                <w:szCs w:val="18"/>
                <w:lang w:val="en-US" w:eastAsia="zh-CN"/>
              </w:rPr>
              <w:t>（评审依据：提供一个</w:t>
            </w:r>
            <w:r>
              <w:rPr>
                <w:rFonts w:hint="eastAsia" w:ascii="宋体" w:hAnsi="宋体" w:cs="宋体"/>
                <w:color w:val="000000"/>
                <w:kern w:val="0"/>
                <w:sz w:val="18"/>
                <w:szCs w:val="18"/>
                <w:lang w:val="en-US" w:eastAsia="zh-CN"/>
              </w:rPr>
              <w:t>政府</w:t>
            </w:r>
            <w:r>
              <w:rPr>
                <w:rFonts w:hint="eastAsia" w:ascii="宋体" w:hAnsi="宋体" w:eastAsia="Times New Roman" w:cs="宋体"/>
                <w:color w:val="000000"/>
                <w:kern w:val="0"/>
                <w:sz w:val="18"/>
                <w:szCs w:val="18"/>
                <w:lang w:val="en-US" w:eastAsia="zh-CN"/>
              </w:rPr>
              <w:t>采购合同</w:t>
            </w:r>
            <w:r>
              <w:rPr>
                <w:rFonts w:hint="eastAsia" w:ascii="宋体" w:hAnsi="宋体" w:cs="宋体"/>
                <w:color w:val="000000"/>
                <w:kern w:val="0"/>
                <w:sz w:val="18"/>
                <w:szCs w:val="18"/>
                <w:lang w:val="en-US" w:eastAsia="zh-CN"/>
              </w:rPr>
              <w:t>及中标通知书</w:t>
            </w:r>
            <w:r>
              <w:rPr>
                <w:rFonts w:hint="eastAsia" w:ascii="宋体" w:hAnsi="宋体" w:eastAsia="Times New Roman" w:cs="宋体"/>
                <w:color w:val="000000"/>
                <w:kern w:val="0"/>
                <w:sz w:val="18"/>
                <w:szCs w:val="18"/>
                <w:lang w:val="en-US" w:eastAsia="zh-CN"/>
              </w:rPr>
              <w:t>得</w:t>
            </w:r>
            <w:r>
              <w:rPr>
                <w:rFonts w:hint="eastAsia" w:ascii="宋体" w:hAnsi="宋体" w:cs="宋体"/>
                <w:color w:val="000000"/>
                <w:kern w:val="0"/>
                <w:sz w:val="18"/>
                <w:szCs w:val="18"/>
                <w:lang w:val="en-US" w:eastAsia="zh-CN"/>
              </w:rPr>
              <w:t>4</w:t>
            </w:r>
            <w:r>
              <w:rPr>
                <w:rFonts w:hint="eastAsia" w:ascii="宋体" w:hAnsi="宋体" w:eastAsia="Times New Roman" w:cs="宋体"/>
                <w:color w:val="000000"/>
                <w:kern w:val="0"/>
                <w:sz w:val="18"/>
                <w:szCs w:val="18"/>
                <w:lang w:val="en-US" w:eastAsia="zh-CN"/>
              </w:rPr>
              <w:t>分</w:t>
            </w:r>
            <w:r>
              <w:rPr>
                <w:rFonts w:hint="eastAsia" w:ascii="宋体" w:hAnsi="宋体" w:cs="宋体"/>
                <w:color w:val="000000"/>
                <w:kern w:val="0"/>
                <w:sz w:val="18"/>
                <w:szCs w:val="18"/>
                <w:lang w:val="en-US" w:eastAsia="zh-CN"/>
              </w:rPr>
              <w:t>，满分8分或提供相关有效</w:t>
            </w:r>
            <w:r>
              <w:rPr>
                <w:rFonts w:hint="eastAsia" w:ascii="宋体" w:hAnsi="宋体" w:eastAsia="Times New Roman" w:cs="宋体"/>
                <w:color w:val="000000"/>
                <w:kern w:val="0"/>
                <w:sz w:val="18"/>
                <w:szCs w:val="18"/>
                <w:lang w:val="en-US" w:eastAsia="zh-CN"/>
              </w:rPr>
              <w:t>采购合同</w:t>
            </w:r>
            <w:r>
              <w:rPr>
                <w:rFonts w:hint="eastAsia" w:ascii="宋体" w:hAnsi="宋体" w:cs="宋体"/>
                <w:color w:val="000000"/>
                <w:kern w:val="0"/>
                <w:sz w:val="18"/>
                <w:szCs w:val="18"/>
                <w:lang w:val="en-US" w:eastAsia="zh-CN"/>
              </w:rPr>
              <w:t>的2分，</w:t>
            </w:r>
            <w:r>
              <w:rPr>
                <w:rFonts w:hint="eastAsia" w:ascii="宋体" w:hAnsi="宋体" w:eastAsia="Times New Roman" w:cs="宋体"/>
                <w:color w:val="000000"/>
                <w:kern w:val="0"/>
                <w:sz w:val="18"/>
                <w:szCs w:val="18"/>
                <w:lang w:val="en-US" w:eastAsia="zh-CN"/>
              </w:rPr>
              <w:t>满分</w:t>
            </w:r>
            <w:r>
              <w:rPr>
                <w:rFonts w:hint="eastAsia" w:ascii="宋体" w:hAnsi="宋体" w:cs="宋体"/>
                <w:color w:val="000000"/>
                <w:kern w:val="0"/>
                <w:sz w:val="18"/>
                <w:szCs w:val="18"/>
                <w:lang w:val="en-US" w:eastAsia="zh-CN"/>
              </w:rPr>
              <w:t>4</w:t>
            </w:r>
            <w:r>
              <w:rPr>
                <w:rFonts w:hint="eastAsia" w:ascii="宋体" w:hAnsi="宋体" w:eastAsia="Times New Roman" w:cs="宋体"/>
                <w:color w:val="000000"/>
                <w:kern w:val="0"/>
                <w:sz w:val="18"/>
                <w:szCs w:val="18"/>
                <w:lang w:val="en-US" w:eastAsia="zh-CN"/>
              </w:rPr>
              <w:t>分）</w:t>
            </w:r>
          </w:p>
        </w:tc>
        <w:tc>
          <w:tcPr>
            <w:tcW w:w="794" w:type="dxa"/>
            <w:vMerge w:val="restart"/>
            <w:tcBorders>
              <w:top w:val="nil"/>
              <w:left w:val="nil"/>
              <w:right w:val="single" w:color="auto" w:sz="4" w:space="0"/>
            </w:tcBorders>
            <w:noWrap w:val="0"/>
            <w:vAlign w:val="top"/>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p>
            <w:pPr>
              <w:widowControl/>
              <w:jc w:val="center"/>
              <w:rPr>
                <w:rFonts w:ascii="宋体"/>
                <w:color w:val="000000"/>
                <w:kern w:val="0"/>
                <w:sz w:val="18"/>
                <w:szCs w:val="18"/>
              </w:rPr>
            </w:pPr>
            <w:r>
              <w:rPr>
                <w:rFonts w:hint="eastAsia" w:ascii="宋体" w:hAnsi="宋体" w:cs="宋体"/>
                <w:color w:val="000000"/>
                <w:kern w:val="0"/>
                <w:sz w:val="18"/>
                <w:szCs w:val="18"/>
              </w:rPr>
              <w:t>　</w:t>
            </w:r>
          </w:p>
          <w:p>
            <w:pPr>
              <w:widowControl/>
              <w:jc w:val="both"/>
              <w:rPr>
                <w:rFonts w:hint="eastAsia" w:ascii="宋体" w:hAnsi="宋体" w:cs="宋体"/>
                <w:color w:val="000000"/>
                <w:kern w:val="0"/>
                <w:sz w:val="28"/>
                <w:szCs w:val="28"/>
                <w:lang w:val="en-US" w:eastAsia="zh-CN"/>
              </w:rPr>
            </w:pPr>
          </w:p>
          <w:p>
            <w:pPr>
              <w:widowControl/>
              <w:jc w:val="center"/>
              <w:rPr>
                <w:rFonts w:ascii="宋体"/>
                <w:color w:val="000000"/>
                <w:kern w:val="0"/>
                <w:sz w:val="18"/>
                <w:szCs w:val="18"/>
              </w:rPr>
            </w:pPr>
            <w:r>
              <w:rPr>
                <w:rFonts w:hint="eastAsia" w:ascii="宋体" w:hAnsi="宋体" w:eastAsia="宋体" w:cs="宋体"/>
                <w:color w:val="000000"/>
                <w:kern w:val="0"/>
                <w:sz w:val="18"/>
                <w:szCs w:val="18"/>
                <w:lang w:val="en-US" w:eastAsia="zh-CN"/>
              </w:rPr>
              <w:t>10分</w:t>
            </w:r>
            <w:r>
              <w:rPr>
                <w:rFonts w:hint="eastAsia" w:ascii="宋体" w:hAnsi="宋体" w:eastAsia="宋体" w:cs="宋体"/>
                <w:color w:val="000000"/>
                <w:kern w:val="0"/>
                <w:sz w:val="18"/>
                <w:szCs w:val="18"/>
                <w:lang w:eastAsia="zh-CN"/>
              </w:rPr>
              <w:t>　</w:t>
            </w:r>
          </w:p>
        </w:tc>
      </w:tr>
      <w:tr>
        <w:tblPrEx>
          <w:tblLayout w:type="fixed"/>
          <w:tblCellMar>
            <w:top w:w="0" w:type="dxa"/>
            <w:left w:w="108" w:type="dxa"/>
            <w:bottom w:w="0" w:type="dxa"/>
            <w:right w:w="108" w:type="dxa"/>
          </w:tblCellMar>
        </w:tblPrEx>
        <w:trPr>
          <w:trHeight w:val="720" w:hRule="atLeast"/>
        </w:trPr>
        <w:tc>
          <w:tcPr>
            <w:tcW w:w="8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1937"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投标文件编制质量和响应程度（</w:t>
            </w:r>
            <w:r>
              <w:rPr>
                <w:rFonts w:hint="eastAsia" w:ascii="宋体" w:hAnsi="宋体" w:eastAsia="宋体" w:cs="宋体"/>
                <w:color w:val="000000"/>
                <w:kern w:val="0"/>
                <w:sz w:val="18"/>
                <w:szCs w:val="18"/>
                <w:lang w:val="en-US" w:eastAsia="zh-CN"/>
              </w:rPr>
              <w:t>2</w:t>
            </w:r>
            <w:r>
              <w:rPr>
                <w:rFonts w:hint="eastAsia" w:ascii="宋体" w:hAnsi="宋体" w:cs="宋体"/>
                <w:color w:val="000000"/>
                <w:kern w:val="0"/>
                <w:sz w:val="18"/>
                <w:szCs w:val="18"/>
              </w:rPr>
              <w:t>分）</w:t>
            </w:r>
          </w:p>
        </w:tc>
        <w:tc>
          <w:tcPr>
            <w:tcW w:w="5025"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rPr>
              <w:t>根据投标文件内容完整度和编制质量，由评委进行评议并在</w:t>
            </w:r>
            <w:r>
              <w:rPr>
                <w:rFonts w:ascii="宋体" w:hAnsi="宋体" w:cs="宋体"/>
                <w:color w:val="000000"/>
                <w:kern w:val="0"/>
                <w:sz w:val="18"/>
                <w:szCs w:val="18"/>
              </w:rPr>
              <w:t>0-</w:t>
            </w:r>
            <w:r>
              <w:rPr>
                <w:rFonts w:hint="eastAsia" w:ascii="宋体" w:hAnsi="宋体" w:eastAsia="宋体" w:cs="宋体"/>
                <w:color w:val="000000"/>
                <w:kern w:val="0"/>
                <w:sz w:val="18"/>
                <w:szCs w:val="18"/>
                <w:lang w:val="en-US" w:eastAsia="zh-CN"/>
              </w:rPr>
              <w:t>2</w:t>
            </w:r>
            <w:r>
              <w:rPr>
                <w:rFonts w:hint="eastAsia" w:ascii="宋体" w:hAnsi="宋体" w:cs="宋体"/>
                <w:color w:val="000000"/>
                <w:kern w:val="0"/>
                <w:sz w:val="18"/>
                <w:szCs w:val="18"/>
              </w:rPr>
              <w:t>分之间进行评分</w:t>
            </w:r>
          </w:p>
        </w:tc>
        <w:tc>
          <w:tcPr>
            <w:tcW w:w="794" w:type="dxa"/>
            <w:vMerge w:val="continue"/>
            <w:tcBorders>
              <w:left w:val="nil"/>
              <w:bottom w:val="single" w:color="auto" w:sz="4" w:space="0"/>
              <w:right w:val="single" w:color="auto" w:sz="4" w:space="0"/>
            </w:tcBorders>
            <w:noWrap w:val="0"/>
            <w:vAlign w:val="top"/>
          </w:tcPr>
          <w:p>
            <w:pPr>
              <w:widowControl/>
              <w:jc w:val="center"/>
              <w:rPr>
                <w:rFonts w:ascii="宋体"/>
                <w:color w:val="000000"/>
                <w:kern w:val="0"/>
                <w:sz w:val="18"/>
                <w:szCs w:val="18"/>
              </w:rPr>
            </w:pPr>
          </w:p>
        </w:tc>
      </w:tr>
    </w:tbl>
    <w:p>
      <w:pPr>
        <w:pStyle w:val="2"/>
        <w:rPr>
          <w:rFonts w:hint="eastAsia"/>
        </w:rPr>
      </w:pPr>
    </w:p>
    <w:p>
      <w:pPr>
        <w:spacing w:line="240" w:lineRule="atLeast"/>
        <w:jc w:val="center"/>
        <w:outlineLvl w:val="9"/>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spacing w:line="240" w:lineRule="atLeast"/>
        <w:jc w:val="center"/>
        <w:outlineLvl w:val="0"/>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7"/>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7"/>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rPr>
          <w:rFonts w:hint="eastAsia"/>
        </w:rPr>
      </w:pPr>
    </w:p>
    <w:p>
      <w:pPr>
        <w:spacing w:line="240" w:lineRule="atLeast"/>
        <w:jc w:val="center"/>
        <w:outlineLvl w:val="0"/>
        <w:rPr>
          <w:rFonts w:hint="eastAsia" w:ascii="微软雅黑" w:hAnsi="微软雅黑" w:eastAsia="微软雅黑" w:cs="微软雅黑"/>
          <w:b/>
          <w:bCs/>
          <w:color w:val="000000" w:themeColor="text1"/>
          <w:sz w:val="40"/>
          <w:szCs w:val="40"/>
          <w:highlight w:val="none"/>
          <w14:textFill>
            <w14:solidFill>
              <w14:schemeClr w14:val="tx1"/>
            </w14:solidFill>
          </w14:textFill>
        </w:rPr>
      </w:pPr>
      <w:bookmarkStart w:id="711" w:name="_Toc5225"/>
    </w:p>
    <w:p>
      <w:pPr>
        <w:spacing w:line="240" w:lineRule="atLeast"/>
        <w:jc w:val="center"/>
        <w:outlineLvl w:val="0"/>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spacing w:line="240" w:lineRule="atLeast"/>
        <w:jc w:val="center"/>
        <w:outlineLvl w:val="0"/>
        <w:rPr>
          <w:rFonts w:hint="eastAsia" w:ascii="微软雅黑" w:hAnsi="微软雅黑" w:eastAsia="微软雅黑" w:cs="微软雅黑"/>
          <w:b/>
          <w:bCs/>
          <w:color w:val="000000" w:themeColor="text1"/>
          <w:sz w:val="40"/>
          <w:szCs w:val="40"/>
          <w:highlight w:val="none"/>
          <w14:textFill>
            <w14:solidFill>
              <w14:schemeClr w14:val="tx1"/>
            </w14:solidFill>
          </w14:textFill>
        </w:rPr>
      </w:pPr>
    </w:p>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1"/>
    <w:p>
      <w:pPr>
        <w:spacing w:line="240" w:lineRule="atLeast"/>
        <w:jc w:val="center"/>
        <w:outlineLvl w:val="0"/>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
          <w:bCs/>
          <w:color w:val="000000" w:themeColor="text1"/>
          <w:sz w:val="52"/>
          <w:szCs w:val="5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
          <w:bCs/>
          <w:color w:val="000000" w:themeColor="text1"/>
          <w:sz w:val="52"/>
          <w:szCs w:val="52"/>
          <w:highlight w:val="none"/>
          <w14:textFill>
            <w14:solidFill>
              <w14:schemeClr w14:val="tx1"/>
            </w14:solidFill>
          </w14:textFill>
        </w:rPr>
      </w:pPr>
    </w:p>
    <w:p>
      <w:pPr>
        <w:spacing w:line="240" w:lineRule="atLeast"/>
        <w:rPr>
          <w:rFonts w:hint="eastAsia" w:ascii="微软雅黑" w:hAnsi="微软雅黑" w:eastAsia="微软雅黑" w:cs="微软雅黑"/>
          <w:b/>
          <w:bCs/>
          <w:color w:val="000000" w:themeColor="text1"/>
          <w:sz w:val="52"/>
          <w:szCs w:val="52"/>
          <w:highlight w:val="none"/>
          <w14:textFill>
            <w14:solidFill>
              <w14:schemeClr w14:val="tx1"/>
            </w14:solidFill>
          </w14:textFill>
        </w:rPr>
        <w:sectPr>
          <w:pgSz w:w="11905" w:h="16838"/>
          <w:pgMar w:top="1440" w:right="1080" w:bottom="1440" w:left="1080" w:header="851" w:footer="992" w:gutter="0"/>
          <w:pgNumType w:fmt="decimal"/>
          <w:cols w:space="0" w:num="1"/>
          <w:rtlGutter w:val="0"/>
          <w:docGrid w:linePitch="462" w:charSpace="0"/>
        </w:sectPr>
      </w:pPr>
    </w:p>
    <w:bookmarkEnd w:id="710"/>
    <w:p>
      <w:pPr>
        <w:pStyle w:val="3"/>
        <w:rPr>
          <w:rFonts w:hint="eastAsia" w:ascii="微软雅黑" w:hAnsi="微软雅黑" w:eastAsia="微软雅黑" w:cs="微软雅黑"/>
          <w:b/>
          <w:bCs/>
          <w:color w:val="000000" w:themeColor="text1"/>
          <w:sz w:val="40"/>
          <w:szCs w:val="40"/>
          <w:highlight w:val="none"/>
          <w14:textFill>
            <w14:solidFill>
              <w14:schemeClr w14:val="tx1"/>
            </w14:solidFill>
          </w14:textFill>
        </w:rPr>
      </w:pPr>
      <w:bookmarkStart w:id="712" w:name="_Toc4796"/>
      <w:bookmarkStart w:id="713" w:name="_Toc6865"/>
      <w:bookmarkStart w:id="714" w:name="_Toc515647833"/>
      <w:bookmarkStart w:id="715" w:name="_Toc12089"/>
    </w:p>
    <w:p>
      <w:pPr>
        <w:pStyle w:val="3"/>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3"/>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3"/>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3"/>
        <w:rPr>
          <w:rFonts w:hint="eastAsia" w:ascii="微软雅黑" w:hAnsi="微软雅黑" w:eastAsia="微软雅黑" w:cs="微软雅黑"/>
          <w:color w:val="000000" w:themeColor="text1"/>
          <w:highlight w:val="none"/>
          <w14:textFill>
            <w14:solidFill>
              <w14:schemeClr w14:val="tx1"/>
            </w14:solidFill>
          </w14:textFill>
        </w:rPr>
        <w:sectPr>
          <w:footerReference r:id="rId11" w:type="default"/>
          <w:pgSz w:w="11905" w:h="16838"/>
          <w:pgMar w:top="1440" w:right="1797" w:bottom="1440" w:left="1797" w:header="851" w:footer="992" w:gutter="0"/>
          <w:pgNumType w:fmt="decimal"/>
          <w:cols w:space="0" w:num="1"/>
          <w:rtlGutter w:val="0"/>
          <w:docGrid w:linePitch="462" w:charSpace="0"/>
        </w:sectPr>
      </w:pPr>
      <w:bookmarkStart w:id="716" w:name="_Toc28626"/>
      <w:r>
        <w:rPr>
          <w:rFonts w:hint="eastAsia" w:ascii="微软雅黑" w:hAnsi="微软雅黑" w:eastAsia="微软雅黑" w:cs="微软雅黑"/>
          <w:b/>
          <w:bCs/>
          <w:color w:val="000000" w:themeColor="text1"/>
          <w:sz w:val="40"/>
          <w:szCs w:val="40"/>
          <w:highlight w:val="none"/>
          <w14:textFill>
            <w14:solidFill>
              <w14:schemeClr w14:val="tx1"/>
            </w14:solidFill>
          </w14:textFill>
        </w:rPr>
        <w:t>第三 册</w:t>
      </w:r>
      <w:bookmarkEnd w:id="716"/>
    </w:p>
    <w:p>
      <w:pPr>
        <w:pStyle w:val="3"/>
        <w:rPr>
          <w:rFonts w:hint="eastAsia" w:ascii="微软雅黑" w:hAnsi="微软雅黑" w:eastAsia="微软雅黑" w:cs="微软雅黑"/>
          <w:color w:val="000000" w:themeColor="text1"/>
          <w:highlight w:val="none"/>
          <w14:textFill>
            <w14:solidFill>
              <w14:schemeClr w14:val="tx1"/>
            </w14:solidFill>
          </w14:textFill>
        </w:rPr>
      </w:pPr>
      <w:bookmarkStart w:id="717" w:name="_Toc15366"/>
      <w:r>
        <w:rPr>
          <w:rFonts w:hint="eastAsia" w:ascii="微软雅黑" w:hAnsi="微软雅黑" w:eastAsia="微软雅黑" w:cs="微软雅黑"/>
          <w:color w:val="000000" w:themeColor="text1"/>
          <w:highlight w:val="none"/>
          <w14:textFill>
            <w14:solidFill>
              <w14:schemeClr w14:val="tx1"/>
            </w14:solidFill>
          </w14:textFill>
        </w:rPr>
        <w:t>第7章 政府采购合同</w:t>
      </w:r>
      <w:bookmarkEnd w:id="712"/>
      <w:bookmarkEnd w:id="713"/>
      <w:bookmarkEnd w:id="714"/>
      <w:bookmarkEnd w:id="715"/>
      <w:bookmarkEnd w:id="717"/>
      <w:bookmarkStart w:id="718" w:name="_Hlt487972895"/>
      <w:bookmarkEnd w:id="718"/>
      <w:bookmarkStart w:id="719" w:name="_Toc216513788"/>
      <w:bookmarkStart w:id="720" w:name="_Toc487900382"/>
    </w:p>
    <w:bookmarkEnd w:id="719"/>
    <w:bookmarkEnd w:id="720"/>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合同编号：   </w:t>
      </w:r>
      <w:r>
        <w:rPr>
          <w:rFonts w:hint="eastAsia" w:ascii="微软雅黑" w:hAnsi="微软雅黑" w:eastAsia="微软雅黑" w:cs="微软雅黑"/>
          <w:color w:val="000000" w:themeColor="text1"/>
          <w:highlight w:val="none"/>
          <w14:textFill>
            <w14:solidFill>
              <w14:schemeClr w14:val="tx1"/>
            </w14:solidFill>
          </w14:textFill>
        </w:rPr>
        <w:t xml:space="preserve">        </w:t>
      </w: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spacing w:line="500" w:lineRule="exac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政府采购合同参考范本</w:t>
      </w:r>
    </w:p>
    <w:p>
      <w:pPr>
        <w:spacing w:line="500" w:lineRule="exact"/>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（货物类）</w:t>
      </w: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36"/>
        <w:spacing w:line="360" w:lineRule="exact"/>
        <w:ind w:firstLine="0"/>
        <w:jc w:val="center"/>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第一部分 合同书</w:t>
      </w:r>
    </w:p>
    <w:p>
      <w:pPr>
        <w:rPr>
          <w:rFonts w:hint="eastAsia" w:ascii="微软雅黑" w:hAnsi="微软雅黑" w:eastAsia="微软雅黑" w:cs="微软雅黑"/>
          <w:color w:val="000000" w:themeColor="text1"/>
          <w:highlight w:val="none"/>
          <w14:textFill>
            <w14:solidFill>
              <w14:schemeClr w14:val="tx1"/>
            </w14:solidFill>
          </w14:textFill>
        </w:rPr>
      </w:pPr>
    </w:p>
    <w:p>
      <w:pPr>
        <w:spacing w:before="120" w:line="360" w:lineRule="exact"/>
        <w:ind w:left="96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项目名称：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53"/>
        <w:spacing w:before="120" w:line="360" w:lineRule="exact"/>
        <w:rPr>
          <w:rFonts w:hint="eastAsia" w:ascii="微软雅黑" w:hAnsi="微软雅黑" w:eastAsia="微软雅黑" w:cs="微软雅黑"/>
          <w:color w:val="000000" w:themeColor="text1"/>
          <w:highlight w:val="none"/>
          <w14:textFill>
            <w14:solidFill>
              <w14:schemeClr w14:val="tx1"/>
            </w14:solidFill>
          </w14:textFill>
        </w:rPr>
      </w:pPr>
    </w:p>
    <w:p>
      <w:pPr>
        <w:pStyle w:val="53"/>
        <w:spacing w:before="120" w:line="360" w:lineRule="exact"/>
        <w:rPr>
          <w:rFonts w:hint="eastAsia" w:ascii="微软雅黑" w:hAnsi="微软雅黑" w:eastAsia="微软雅黑" w:cs="微软雅黑"/>
          <w:color w:val="000000" w:themeColor="text1"/>
          <w:highlight w:val="none"/>
          <w14:textFill>
            <w14:solidFill>
              <w14:schemeClr w14:val="tx1"/>
            </w14:solidFill>
          </w14:textFill>
        </w:rPr>
      </w:pPr>
    </w:p>
    <w:p>
      <w:pPr>
        <w:spacing w:line="360" w:lineRule="exact"/>
        <w:rPr>
          <w:rFonts w:hint="eastAsia" w:ascii="微软雅黑" w:hAnsi="微软雅黑" w:eastAsia="微软雅黑" w:cs="微软雅黑"/>
          <w:color w:val="000000" w:themeColor="text1"/>
          <w:highlight w:val="none"/>
          <w14:textFill>
            <w14:solidFill>
              <w14:schemeClr w14:val="tx1"/>
            </w14:solidFill>
          </w14:textFill>
        </w:rPr>
      </w:pPr>
    </w:p>
    <w:p>
      <w:pPr>
        <w:spacing w:before="120" w:line="360" w:lineRule="exact"/>
        <w:ind w:left="96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甲方：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spacing w:before="120" w:line="36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before="120" w:line="360" w:lineRule="exact"/>
        <w:ind w:left="96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乙方：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spacing w:before="120" w:line="36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before="120" w:line="360" w:lineRule="exact"/>
        <w:ind w:firstLine="960" w:firstLineChars="40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签订地：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spacing w:before="120" w:line="36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before="120" w:line="360" w:lineRule="exact"/>
        <w:ind w:firstLine="960" w:firstLineChars="40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签订日期：</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月</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日</w:t>
      </w:r>
    </w:p>
    <w:p>
      <w:pPr>
        <w:autoSpaceDE w:val="0"/>
        <w:autoSpaceDN w:val="0"/>
        <w:adjustRightInd w:val="0"/>
        <w:spacing w:line="360" w:lineRule="exact"/>
        <w:ind w:firstLine="640"/>
        <w:jc w:val="center"/>
        <w:rPr>
          <w:rFonts w:hint="eastAsia" w:ascii="微软雅黑" w:hAnsi="微软雅黑" w:eastAsia="微软雅黑" w:cs="微软雅黑"/>
          <w:color w:val="000000" w:themeColor="text1"/>
          <w:sz w:val="24"/>
          <w:szCs w:val="24"/>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462" w:charSpace="0"/>
        </w:sectPr>
      </w:pP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721" w:name="_Toc24059"/>
      <w:bookmarkStart w:id="722" w:name="_Toc2232"/>
      <w:bookmarkStart w:id="723" w:name="_Toc1846"/>
      <w:bookmarkStart w:id="724" w:name="_Toc2659"/>
      <w:bookmarkStart w:id="725" w:name="_Toc3029"/>
      <w:bookmarkStart w:id="726" w:name="_Toc26721"/>
      <w:r>
        <w:rPr>
          <w:rFonts w:hint="eastAsia" w:ascii="微软雅黑" w:hAnsi="微软雅黑" w:eastAsia="微软雅黑" w:cs="微软雅黑"/>
          <w:color w:val="000000" w:themeColor="text1"/>
          <w:sz w:val="24"/>
          <w:szCs w:val="24"/>
          <w:highlight w:val="none"/>
          <w:u w:val="singl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u w:val="singl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月</w:t>
      </w:r>
      <w:r>
        <w:rPr>
          <w:rFonts w:hint="eastAsia" w:ascii="微软雅黑" w:hAnsi="微软雅黑" w:eastAsia="微软雅黑" w:cs="微软雅黑"/>
          <w:color w:val="000000" w:themeColor="text1"/>
          <w:sz w:val="24"/>
          <w:szCs w:val="24"/>
          <w:highlight w:val="none"/>
          <w:u w:val="singl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日</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（采购人名称）   </w:t>
      </w:r>
      <w:r>
        <w:rPr>
          <w:rFonts w:hint="eastAsia" w:ascii="微软雅黑" w:hAnsi="微软雅黑" w:eastAsia="微软雅黑" w:cs="微软雅黑"/>
          <w:color w:val="000000" w:themeColor="text1"/>
          <w:sz w:val="24"/>
          <w:szCs w:val="24"/>
          <w:highlight w:val="none"/>
          <w14:textFill>
            <w14:solidFill>
              <w14:schemeClr w14:val="tx1"/>
            </w14:solidFill>
          </w14:textFill>
        </w:rPr>
        <w:t>以</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（政府采购方式）  </w:t>
      </w:r>
      <w:r>
        <w:rPr>
          <w:rFonts w:hint="eastAsia" w:ascii="微软雅黑" w:hAnsi="微软雅黑" w:eastAsia="微软雅黑" w:cs="微软雅黑"/>
          <w:color w:val="000000" w:themeColor="text1"/>
          <w:sz w:val="24"/>
          <w:szCs w:val="24"/>
          <w:highlight w:val="none"/>
          <w14:textFill>
            <w14:solidFill>
              <w14:schemeClr w14:val="tx1"/>
            </w14:solidFill>
          </w14:textFill>
        </w:rPr>
        <w:t>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（同前页项目名称）   </w:t>
      </w:r>
      <w:r>
        <w:rPr>
          <w:rFonts w:hint="eastAsia" w:ascii="微软雅黑" w:hAnsi="微软雅黑" w:eastAsia="微软雅黑" w:cs="微软雅黑"/>
          <w:color w:val="000000" w:themeColor="text1"/>
          <w:sz w:val="24"/>
          <w:szCs w:val="24"/>
          <w:highlight w:val="none"/>
          <w14:textFill>
            <w14:solidFill>
              <w14:schemeClr w14:val="tx1"/>
            </w14:solidFill>
          </w14:textFill>
        </w:rPr>
        <w:t>项目进行了采购。经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（相关评定主体名称）   </w:t>
      </w:r>
      <w:r>
        <w:rPr>
          <w:rFonts w:hint="eastAsia" w:ascii="微软雅黑" w:hAnsi="微软雅黑" w:eastAsia="微软雅黑" w:cs="微软雅黑"/>
          <w:color w:val="000000" w:themeColor="text1"/>
          <w:sz w:val="24"/>
          <w:szCs w:val="24"/>
          <w:highlight w:val="none"/>
          <w14:textFill>
            <w14:solidFill>
              <w14:schemeClr w14:val="tx1"/>
            </w14:solidFill>
          </w14:textFill>
        </w:rPr>
        <w:t>评定，</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（中标供应商名称）</w:t>
      </w:r>
      <w:r>
        <w:rPr>
          <w:rFonts w:hint="eastAsia" w:ascii="微软雅黑" w:hAnsi="微软雅黑" w:eastAsia="微软雅黑" w:cs="微软雅黑"/>
          <w:color w:val="000000" w:themeColor="text1"/>
          <w:sz w:val="24"/>
          <w:szCs w:val="24"/>
          <w:highlight w:val="none"/>
          <w14:textFill>
            <w14:solidFill>
              <w14:schemeClr w14:val="tx1"/>
            </w14:solidFill>
          </w14:textFill>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（采购人名称）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(以下简称：甲方)和</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（中标供应商名称）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(以下简称：乙方)协商一致，约定以下合同</w:t>
      </w:r>
      <w:r>
        <w:rPr>
          <w:rFonts w:hint="eastAsia" w:ascii="微软雅黑" w:hAnsi="微软雅黑" w:eastAsia="微软雅黑" w:cs="微软雅黑"/>
          <w:color w:val="000000" w:themeColor="text1"/>
          <w:sz w:val="24"/>
          <w:szCs w:val="24"/>
          <w:highlight w:val="none"/>
          <w14:textFill>
            <w14:solidFill>
              <w14:schemeClr w14:val="tx1"/>
            </w14:solidFill>
          </w14:textFill>
        </w:rPr>
        <w:t>条款，以兹共同遵守、全面履行。</w:t>
      </w:r>
    </w:p>
    <w:bookmarkEnd w:id="721"/>
    <w:bookmarkEnd w:id="722"/>
    <w:bookmarkEnd w:id="723"/>
    <w:bookmarkEnd w:id="724"/>
    <w:bookmarkEnd w:id="725"/>
    <w:bookmarkEnd w:id="726"/>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727" w:name="_Toc24443"/>
      <w:bookmarkStart w:id="728" w:name="_Toc25352"/>
      <w:bookmarkStart w:id="729" w:name="_Toc21386"/>
      <w:bookmarkStart w:id="730" w:name="_Toc27963"/>
      <w:bookmarkStart w:id="731" w:name="_Toc29481"/>
      <w:bookmarkStart w:id="732" w:name="_Toc1740"/>
      <w:bookmarkStart w:id="733" w:name="_Toc30575"/>
      <w:bookmarkStart w:id="734" w:name="_Toc10455"/>
      <w:bookmarkStart w:id="735" w:name="_Toc2992"/>
      <w:bookmarkStart w:id="736" w:name="_Toc416"/>
      <w:bookmarkStart w:id="737" w:name="_Toc28090"/>
      <w:bookmarkStart w:id="738" w:name="_Toc29751"/>
      <w:bookmarkStart w:id="739" w:name="_Toc4751"/>
      <w:bookmarkStart w:id="740" w:name="_Toc24186"/>
      <w:bookmarkStart w:id="741" w:name="_Toc14766"/>
      <w:bookmarkStart w:id="742" w:name="_Toc31438"/>
      <w:bookmarkStart w:id="743" w:name="_Toc18247"/>
      <w:bookmarkStart w:id="744" w:name="_Toc4498"/>
      <w:bookmarkStart w:id="745" w:name="_Toc14986"/>
      <w:bookmarkStart w:id="746" w:name="_Toc27428"/>
      <w:bookmarkStart w:id="747" w:name="_Toc2048"/>
      <w:bookmarkStart w:id="748" w:name="_Toc1060"/>
      <w:bookmarkStart w:id="749" w:name="_Toc15812"/>
      <w:bookmarkStart w:id="750" w:name="_Toc967"/>
      <w:bookmarkStart w:id="751" w:name="_Toc16137"/>
      <w:bookmarkStart w:id="752" w:name="_Toc6038"/>
      <w:r>
        <w:rPr>
          <w:rFonts w:hint="eastAsia" w:ascii="微软雅黑" w:hAnsi="微软雅黑" w:eastAsia="微软雅黑" w:cs="微软雅黑"/>
          <w:b/>
          <w:bCs/>
          <w:color w:val="000000" w:themeColor="text1"/>
          <w:sz w:val="24"/>
          <w:szCs w:val="24"/>
          <w:highlight w:val="none"/>
          <w14:textFill>
            <w14:solidFill>
              <w14:schemeClr w14:val="tx1"/>
            </w14:solidFill>
          </w14:textFill>
        </w:rPr>
        <w:t>1.1 合同组成部分</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1.1.1 本合同及其补充合同、变更协议；</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1.1.2 中标通知书；</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1.1.3 投标文件（含澄清或者说明文件）；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1.1.4 招标文件（含澄清或者修改文件）；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1.1.5 其他相关采购文件。</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753" w:name="_Toc8631"/>
      <w:bookmarkStart w:id="754" w:name="_Toc2579"/>
      <w:bookmarkStart w:id="755" w:name="_Toc7977"/>
      <w:bookmarkStart w:id="756" w:name="_Toc14235"/>
      <w:bookmarkStart w:id="757" w:name="_Toc24300"/>
      <w:bookmarkStart w:id="758" w:name="_Toc25735"/>
      <w:bookmarkStart w:id="759" w:name="_Toc15345"/>
      <w:bookmarkStart w:id="760" w:name="_Toc21217"/>
      <w:bookmarkStart w:id="761" w:name="_Toc17543"/>
      <w:bookmarkStart w:id="762" w:name="_Toc25402"/>
      <w:bookmarkStart w:id="763" w:name="_Toc31638"/>
      <w:bookmarkStart w:id="764" w:name="_Toc16695"/>
      <w:bookmarkStart w:id="765" w:name="_Toc9006"/>
      <w:bookmarkStart w:id="766" w:name="_Toc21295"/>
      <w:bookmarkStart w:id="767" w:name="_Toc31632"/>
      <w:bookmarkStart w:id="768" w:name="_Toc27126"/>
      <w:bookmarkStart w:id="769" w:name="_Toc32674"/>
      <w:bookmarkStart w:id="770" w:name="_Toc21149"/>
      <w:bookmarkStart w:id="771" w:name="_Toc13138"/>
      <w:bookmarkStart w:id="772" w:name="_Toc11238"/>
      <w:bookmarkStart w:id="773" w:name="_Toc1446"/>
      <w:bookmarkStart w:id="774" w:name="_Toc10465"/>
      <w:bookmarkStart w:id="775" w:name="_Toc19432"/>
      <w:bookmarkStart w:id="776" w:name="_Toc27318"/>
      <w:bookmarkStart w:id="777" w:name="_Toc4735"/>
      <w:bookmarkStart w:id="778" w:name="_Toc24564"/>
      <w:bookmarkStart w:id="779" w:name="_Toc18558"/>
      <w:bookmarkStart w:id="780" w:name="_Toc5906"/>
      <w:bookmarkStart w:id="781" w:name="_Toc19593"/>
      <w:bookmarkStart w:id="782" w:name="_Toc24413"/>
      <w:bookmarkStart w:id="783" w:name="_Toc1636"/>
      <w:bookmarkStart w:id="784" w:name="_Toc21690"/>
      <w:r>
        <w:rPr>
          <w:rFonts w:hint="eastAsia" w:ascii="微软雅黑" w:hAnsi="微软雅黑" w:eastAsia="微软雅黑" w:cs="微软雅黑"/>
          <w:b/>
          <w:bCs/>
          <w:color w:val="000000" w:themeColor="text1"/>
          <w:sz w:val="24"/>
          <w:szCs w:val="24"/>
          <w:highlight w:val="none"/>
          <w14:textFill>
            <w14:solidFill>
              <w14:schemeClr w14:val="tx1"/>
            </w14:solidFill>
          </w14:textFill>
        </w:rPr>
        <w:t>1.2 货物</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1.2.1 货物名称：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1.2.2 货物数量：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1.2.3 货物质量：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785" w:name="_Toc12266"/>
      <w:bookmarkStart w:id="786" w:name="_Toc21040"/>
      <w:bookmarkStart w:id="787" w:name="_Toc11045"/>
      <w:bookmarkStart w:id="788" w:name="_Toc10942"/>
      <w:bookmarkStart w:id="789" w:name="_Toc633"/>
      <w:bookmarkStart w:id="790" w:name="_Toc23292"/>
      <w:bookmarkStart w:id="791" w:name="_Toc29540"/>
      <w:bookmarkStart w:id="792" w:name="_Toc2897"/>
      <w:bookmarkStart w:id="793" w:name="_Toc7263"/>
      <w:bookmarkStart w:id="794" w:name="_Toc31994"/>
      <w:bookmarkStart w:id="795" w:name="_Toc9579"/>
      <w:bookmarkStart w:id="796" w:name="_Toc9364"/>
      <w:bookmarkStart w:id="797" w:name="_Toc6581"/>
      <w:bookmarkStart w:id="798" w:name="_Toc21631"/>
      <w:bookmarkStart w:id="799" w:name="_Toc27282"/>
      <w:bookmarkStart w:id="800" w:name="_Toc18883"/>
      <w:bookmarkStart w:id="801" w:name="_Toc8386"/>
      <w:bookmarkStart w:id="802" w:name="_Toc9586"/>
      <w:bookmarkStart w:id="803" w:name="_Toc21551"/>
      <w:bookmarkStart w:id="804" w:name="_Toc30667"/>
      <w:bookmarkStart w:id="805" w:name="_Toc1528"/>
      <w:bookmarkStart w:id="806" w:name="_Toc19682"/>
      <w:bookmarkStart w:id="807" w:name="_Toc13898"/>
      <w:bookmarkStart w:id="808" w:name="_Toc26967"/>
      <w:bookmarkStart w:id="809" w:name="_Toc30755"/>
      <w:bookmarkStart w:id="810" w:name="_Toc25368"/>
      <w:bookmarkStart w:id="811" w:name="_Toc1267"/>
      <w:bookmarkStart w:id="812" w:name="_Toc3756"/>
      <w:bookmarkStart w:id="813" w:name="_Toc16998"/>
      <w:bookmarkStart w:id="814" w:name="_Toc11463"/>
      <w:bookmarkStart w:id="815" w:name="_Toc9271"/>
      <w:bookmarkStart w:id="816" w:name="_Toc21561"/>
      <w:r>
        <w:rPr>
          <w:rFonts w:hint="eastAsia" w:ascii="微软雅黑" w:hAnsi="微软雅黑" w:eastAsia="微软雅黑" w:cs="微软雅黑"/>
          <w:b/>
          <w:bCs/>
          <w:color w:val="000000" w:themeColor="text1"/>
          <w:sz w:val="24"/>
          <w:szCs w:val="24"/>
          <w:highlight w:val="none"/>
          <w14:textFill>
            <w14:solidFill>
              <w14:schemeClr w14:val="tx1"/>
            </w14:solidFill>
          </w14:textFill>
        </w:rPr>
        <w:t>1.3 价款</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本合同总价为：￥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元（大写：</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元人民币）。</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分项价格：</w:t>
      </w:r>
    </w:p>
    <w:tbl>
      <w:tblPr>
        <w:tblStyle w:val="28"/>
        <w:tblW w:w="7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319" w:type="dxa"/>
            <w:vAlign w:val="center"/>
          </w:tcPr>
          <w:p>
            <w:pPr>
              <w:pStyle w:val="54"/>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序号</w:t>
            </w:r>
          </w:p>
        </w:tc>
        <w:tc>
          <w:tcPr>
            <w:tcW w:w="3738"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分项名称</w:t>
            </w:r>
          </w:p>
        </w:tc>
        <w:tc>
          <w:tcPr>
            <w:tcW w:w="2803" w:type="dxa"/>
            <w:vAlign w:val="center"/>
          </w:tcPr>
          <w:p>
            <w:pPr>
              <w:pStyle w:val="54"/>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319"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3738"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2803"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319"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3738"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2803"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5057" w:type="dxa"/>
            <w:gridSpan w:val="2"/>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总价</w:t>
            </w:r>
          </w:p>
        </w:tc>
        <w:tc>
          <w:tcPr>
            <w:tcW w:w="2803"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r>
    </w:tbl>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817" w:name="_Toc10086"/>
      <w:bookmarkStart w:id="818" w:name="_Toc29742"/>
      <w:bookmarkStart w:id="819" w:name="_Toc21977"/>
      <w:bookmarkStart w:id="820" w:name="_Toc27654"/>
      <w:bookmarkStart w:id="821" w:name="_Toc4585"/>
      <w:bookmarkStart w:id="822" w:name="_Toc21854"/>
      <w:bookmarkStart w:id="823" w:name="_Toc26112"/>
      <w:bookmarkStart w:id="824" w:name="_Toc5736"/>
      <w:bookmarkStart w:id="825" w:name="_Toc19093"/>
      <w:bookmarkStart w:id="826" w:name="_Toc27811"/>
      <w:bookmarkStart w:id="827" w:name="_Toc26470"/>
      <w:bookmarkStart w:id="828" w:name="_Toc21349"/>
      <w:bookmarkStart w:id="829" w:name="_Toc21104"/>
      <w:bookmarkStart w:id="830" w:name="_Toc30437"/>
      <w:bookmarkStart w:id="831" w:name="_Toc2285"/>
      <w:bookmarkStart w:id="832" w:name="_Toc673"/>
      <w:bookmarkStart w:id="833" w:name="_Toc7087"/>
      <w:bookmarkStart w:id="834" w:name="_Toc22618"/>
      <w:bookmarkStart w:id="835" w:name="_Toc17184"/>
      <w:bookmarkStart w:id="836" w:name="_Toc30643"/>
      <w:bookmarkStart w:id="837" w:name="_Toc7458"/>
      <w:bookmarkStart w:id="838" w:name="_Toc7801"/>
      <w:bookmarkStart w:id="839" w:name="_Toc8933"/>
      <w:bookmarkStart w:id="840" w:name="_Toc15747"/>
      <w:bookmarkStart w:id="841" w:name="_Toc10340"/>
      <w:bookmarkStart w:id="842" w:name="_Toc28773"/>
      <w:bookmarkStart w:id="843" w:name="_Toc24781"/>
      <w:bookmarkStart w:id="844" w:name="_Toc1814"/>
      <w:bookmarkStart w:id="845" w:name="_Toc44"/>
      <w:bookmarkStart w:id="846" w:name="_Toc30507"/>
      <w:bookmarkStart w:id="847" w:name="_Toc27817"/>
      <w:r>
        <w:rPr>
          <w:rFonts w:hint="eastAsia" w:ascii="微软雅黑" w:hAnsi="微软雅黑" w:eastAsia="微软雅黑" w:cs="微软雅黑"/>
          <w:b/>
          <w:bCs/>
          <w:color w:val="000000" w:themeColor="text1"/>
          <w:sz w:val="24"/>
          <w:szCs w:val="24"/>
          <w:highlight w:val="none"/>
          <w14:textFill>
            <w14:solidFill>
              <w14:schemeClr w14:val="tx1"/>
            </w14:solidFill>
          </w14:textFill>
        </w:rPr>
        <w:t>1.4 付款方式和发票开具方式</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1.4.1 付款方式：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1.4.2 发票开具方式：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848" w:name="_Toc26187"/>
      <w:bookmarkStart w:id="849" w:name="_Toc19978"/>
      <w:bookmarkStart w:id="850" w:name="_Toc13703"/>
      <w:bookmarkStart w:id="851" w:name="_Toc13284"/>
      <w:bookmarkStart w:id="852" w:name="_Toc2083"/>
      <w:bookmarkStart w:id="853" w:name="_Toc6388"/>
      <w:bookmarkStart w:id="854" w:name="_Toc31210"/>
      <w:bookmarkStart w:id="855" w:name="_Toc2852"/>
      <w:bookmarkStart w:id="856" w:name="_Toc23862"/>
      <w:bookmarkStart w:id="857" w:name="_Toc32641"/>
      <w:bookmarkStart w:id="858" w:name="_Toc17179"/>
      <w:bookmarkStart w:id="859" w:name="_Toc17448"/>
      <w:bookmarkStart w:id="860" w:name="_Toc4058"/>
      <w:bookmarkStart w:id="861" w:name="_Toc2519"/>
      <w:bookmarkStart w:id="862" w:name="_Toc9478"/>
      <w:bookmarkStart w:id="863" w:name="_Toc1964"/>
      <w:bookmarkStart w:id="864" w:name="_Toc10276"/>
      <w:bookmarkStart w:id="865" w:name="_Toc4501"/>
      <w:bookmarkStart w:id="866" w:name="_Toc4377"/>
      <w:bookmarkStart w:id="867" w:name="_Toc30894"/>
      <w:bookmarkStart w:id="868" w:name="_Toc11682"/>
      <w:bookmarkStart w:id="869" w:name="_Toc30447"/>
      <w:bookmarkStart w:id="870" w:name="_Toc25278"/>
      <w:bookmarkStart w:id="871" w:name="_Toc29386"/>
      <w:bookmarkStart w:id="872" w:name="_Toc19304"/>
      <w:bookmarkStart w:id="873" w:name="_Toc32071"/>
      <w:bookmarkStart w:id="874" w:name="_Toc25427"/>
      <w:bookmarkStart w:id="875" w:name="_Toc22861"/>
      <w:bookmarkStart w:id="876" w:name="_Toc30563"/>
      <w:bookmarkStart w:id="877" w:name="_Toc2750"/>
      <w:bookmarkStart w:id="878" w:name="_Toc2846"/>
      <w:bookmarkStart w:id="879" w:name="_Toc16823"/>
      <w:r>
        <w:rPr>
          <w:rFonts w:hint="eastAsia" w:ascii="微软雅黑" w:hAnsi="微软雅黑" w:eastAsia="微软雅黑" w:cs="微软雅黑"/>
          <w:b/>
          <w:bCs/>
          <w:color w:val="000000" w:themeColor="text1"/>
          <w:sz w:val="24"/>
          <w:szCs w:val="24"/>
          <w:highlight w:val="none"/>
          <w14:textFill>
            <w14:solidFill>
              <w14:schemeClr w14:val="tx1"/>
            </w14:solidFill>
          </w14:textFill>
        </w:rPr>
        <w:t>1.5 货物交付期限、地点和方式</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1.5.1 交付期限：</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1.5.2 交付地点：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1.5.3 交付方式：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880" w:name="_Toc1892"/>
      <w:bookmarkStart w:id="881" w:name="_Toc13569"/>
      <w:bookmarkStart w:id="882" w:name="_Toc12629"/>
      <w:bookmarkStart w:id="883" w:name="_Toc21406"/>
      <w:bookmarkStart w:id="884" w:name="_Toc11237"/>
      <w:bookmarkStart w:id="885" w:name="_Toc15865"/>
      <w:bookmarkStart w:id="886" w:name="_Toc12679"/>
      <w:bookmarkStart w:id="887" w:name="_Toc27250"/>
      <w:bookmarkStart w:id="888" w:name="_Toc19554"/>
      <w:bookmarkStart w:id="889" w:name="_Toc8569"/>
      <w:bookmarkStart w:id="890" w:name="_Toc6841"/>
      <w:bookmarkStart w:id="891" w:name="_Toc30591"/>
      <w:bookmarkStart w:id="892" w:name="_Toc12424"/>
      <w:bookmarkStart w:id="893" w:name="_Toc10320"/>
      <w:bookmarkStart w:id="894" w:name="_Toc25443"/>
      <w:bookmarkStart w:id="895" w:name="_Toc17642"/>
      <w:bookmarkStart w:id="896" w:name="_Toc27319"/>
      <w:bookmarkStart w:id="897" w:name="_Toc1835"/>
      <w:bookmarkStart w:id="898" w:name="_Toc27247"/>
      <w:bookmarkStart w:id="899" w:name="_Toc7088"/>
      <w:bookmarkStart w:id="900" w:name="_Toc10321"/>
      <w:bookmarkStart w:id="901" w:name="_Toc28455"/>
      <w:bookmarkStart w:id="902" w:name="_Toc4190"/>
      <w:bookmarkStart w:id="903" w:name="_Toc29769"/>
      <w:bookmarkStart w:id="904" w:name="_Toc12753"/>
      <w:bookmarkStart w:id="905" w:name="_Toc32339"/>
      <w:bookmarkStart w:id="906" w:name="_Toc8754"/>
      <w:bookmarkStart w:id="907" w:name="_Toc12988"/>
      <w:bookmarkStart w:id="908" w:name="_Toc26850"/>
      <w:bookmarkStart w:id="909" w:name="_Toc13854"/>
      <w:bookmarkStart w:id="910" w:name="_Toc21423"/>
      <w:bookmarkStart w:id="911" w:name="_Toc29903"/>
      <w:r>
        <w:rPr>
          <w:rFonts w:hint="eastAsia" w:ascii="微软雅黑" w:hAnsi="微软雅黑" w:eastAsia="微软雅黑" w:cs="微软雅黑"/>
          <w:b/>
          <w:bCs/>
          <w:color w:val="000000" w:themeColor="text1"/>
          <w:sz w:val="24"/>
          <w:szCs w:val="24"/>
          <w:highlight w:val="none"/>
          <w14:textFill>
            <w14:solidFill>
              <w14:schemeClr w14:val="tx1"/>
            </w14:solidFill>
          </w14:textFill>
        </w:rPr>
        <w:t>1.6 违约责任</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%计算，最高限额为本合同总价的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%计算，最高限额为本合同总价的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912" w:name="_Toc15746"/>
      <w:bookmarkStart w:id="913" w:name="_Toc23654"/>
      <w:bookmarkStart w:id="914" w:name="_Toc19011"/>
      <w:bookmarkStart w:id="915" w:name="_Toc20610"/>
      <w:bookmarkStart w:id="916" w:name="_Toc8966"/>
      <w:bookmarkStart w:id="917" w:name="_Toc16021"/>
      <w:bookmarkStart w:id="918" w:name="_Toc7216"/>
      <w:bookmarkStart w:id="919" w:name="_Toc24393"/>
      <w:bookmarkStart w:id="920" w:name="_Toc9202"/>
      <w:bookmarkStart w:id="921" w:name="_Toc22341"/>
      <w:bookmarkStart w:id="922" w:name="_Toc29755"/>
      <w:bookmarkStart w:id="923" w:name="_Toc29338"/>
      <w:bookmarkStart w:id="924" w:name="_Toc21643"/>
      <w:bookmarkStart w:id="925" w:name="_Toc20497"/>
      <w:bookmarkStart w:id="926" w:name="_Toc15583"/>
      <w:bookmarkStart w:id="927" w:name="_Toc6344"/>
      <w:bookmarkStart w:id="928" w:name="_Toc12021"/>
      <w:bookmarkStart w:id="929" w:name="_Toc18652"/>
      <w:bookmarkStart w:id="930" w:name="_Toc7404"/>
      <w:bookmarkStart w:id="931" w:name="_Toc3403"/>
      <w:bookmarkStart w:id="932" w:name="_Toc24352"/>
      <w:bookmarkStart w:id="933" w:name="_Toc31145"/>
      <w:bookmarkStart w:id="934" w:name="_Toc8914"/>
      <w:bookmarkStart w:id="935" w:name="_Toc16341"/>
      <w:bookmarkStart w:id="936" w:name="_Toc13430"/>
      <w:bookmarkStart w:id="937" w:name="_Toc19374"/>
      <w:bookmarkStart w:id="938" w:name="_Toc27762"/>
      <w:bookmarkStart w:id="939" w:name="_Toc12178"/>
      <w:bookmarkStart w:id="940" w:name="_Toc5482"/>
      <w:bookmarkStart w:id="941" w:name="_Toc27927"/>
      <w:bookmarkStart w:id="942" w:name="_Toc28375"/>
      <w:bookmarkStart w:id="943" w:name="_Toc25915"/>
      <w:r>
        <w:rPr>
          <w:rFonts w:hint="eastAsia" w:ascii="微软雅黑" w:hAnsi="微软雅黑" w:eastAsia="微软雅黑" w:cs="微软雅黑"/>
          <w:b/>
          <w:bCs/>
          <w:color w:val="000000" w:themeColor="text1"/>
          <w:sz w:val="24"/>
          <w:szCs w:val="24"/>
          <w:highlight w:val="none"/>
          <w14:textFill>
            <w14:solidFill>
              <w14:schemeClr w14:val="tx1"/>
            </w14:solidFill>
          </w14:textFill>
        </w:rPr>
        <w:t>1.7 合同争议的解决</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种方式解决：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1.7.1 将争议提交</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仲裁委员会依申请仲裁时其现行有效的仲裁规则裁决；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1.7.2 向</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000000" w:themeColor="text1"/>
          <w:sz w:val="24"/>
          <w:szCs w:val="24"/>
          <w:highlight w:val="none"/>
          <w14:textFill>
            <w14:solidFill>
              <w14:schemeClr w14:val="tx1"/>
            </w14:solidFill>
          </w14:textFill>
        </w:rPr>
        <w:t>人民法院起诉。</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944" w:name="_Toc17760"/>
      <w:bookmarkStart w:id="945" w:name="_Toc6411"/>
      <w:bookmarkStart w:id="946" w:name="_Toc9329"/>
      <w:bookmarkStart w:id="947" w:name="_Toc6964"/>
      <w:bookmarkStart w:id="948" w:name="_Toc29292"/>
      <w:bookmarkStart w:id="949" w:name="_Toc496"/>
      <w:bookmarkStart w:id="950" w:name="_Toc26231"/>
      <w:bookmarkStart w:id="951" w:name="_Toc12946"/>
      <w:bookmarkStart w:id="952" w:name="_Toc16410"/>
      <w:bookmarkStart w:id="953" w:name="_Toc30260"/>
      <w:bookmarkStart w:id="954" w:name="_Toc14796"/>
      <w:bookmarkStart w:id="955" w:name="_Toc4516"/>
      <w:bookmarkStart w:id="956" w:name="_Toc20305"/>
      <w:bookmarkStart w:id="957" w:name="_Toc10043"/>
      <w:bookmarkStart w:id="958" w:name="_Toc20192"/>
      <w:bookmarkStart w:id="959" w:name="_Toc17113"/>
      <w:bookmarkStart w:id="960" w:name="_Toc2894"/>
      <w:bookmarkStart w:id="961" w:name="_Toc2901"/>
      <w:bookmarkStart w:id="962" w:name="_Toc8564"/>
      <w:bookmarkStart w:id="963" w:name="_Toc5982"/>
      <w:bookmarkStart w:id="964" w:name="_Toc32578"/>
      <w:bookmarkStart w:id="965" w:name="_Toc28520"/>
      <w:bookmarkStart w:id="966" w:name="_Toc10255"/>
      <w:bookmarkStart w:id="967" w:name="_Toc15322"/>
      <w:bookmarkStart w:id="968" w:name="_Toc7245"/>
      <w:bookmarkStart w:id="969" w:name="_Toc10429"/>
      <w:bookmarkStart w:id="970" w:name="_Toc5077"/>
      <w:bookmarkStart w:id="971" w:name="_Toc1647"/>
      <w:bookmarkStart w:id="972" w:name="_Toc8975"/>
      <w:bookmarkStart w:id="973" w:name="_Toc11173"/>
      <w:bookmarkStart w:id="974" w:name="_Toc518"/>
      <w:bookmarkStart w:id="975" w:name="_Toc29586"/>
      <w:r>
        <w:rPr>
          <w:rFonts w:hint="eastAsia" w:ascii="微软雅黑" w:hAnsi="微软雅黑" w:eastAsia="微软雅黑" w:cs="微软雅黑"/>
          <w:b/>
          <w:bCs/>
          <w:color w:val="000000" w:themeColor="text1"/>
          <w:sz w:val="24"/>
          <w:szCs w:val="24"/>
          <w:highlight w:val="none"/>
          <w14:textFill>
            <w14:solidFill>
              <w14:schemeClr w14:val="tx1"/>
            </w14:solidFill>
          </w14:textFill>
        </w:rPr>
        <w:t>1.8 合同生效</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zh-CN"/>
          <w14:textFill>
            <w14:solidFill>
              <w14:schemeClr w14:val="tx1"/>
            </w14:solidFill>
          </w14:textFill>
        </w:rPr>
        <w:t>甲方</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highlight w:val="none"/>
          <w:lang w:val="zh-CN"/>
          <w14:textFill>
            <w14:solidFill>
              <w14:schemeClr w14:val="tx1"/>
            </w14:solidFill>
          </w14:textFill>
        </w:rPr>
        <w:t xml:space="preserve">      乙方</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住所：                                   住所：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法定代表人或                             法定代表人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联系人：                                 联系人：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约定送达地址：                           约定送达地址：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邮政编码：                               邮政编码：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电话:                                    电话: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传真:                                    传真:</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电子邮箱：                               电子邮箱：</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开户银行：                               开户银行：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开户名称：                               开户名称：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开户账号：</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开户账号：</w:t>
      </w:r>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000000" w:themeColor="text1"/>
          <w:highlight w:val="none"/>
          <w14:textFill>
            <w14:solidFill>
              <w14:schemeClr w14:val="tx1"/>
            </w14:solidFill>
          </w14:textFill>
        </w:rPr>
      </w:pPr>
      <w:bookmarkStart w:id="976" w:name="_Toc331685783"/>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000000" w:themeColor="text1"/>
          <w:highlight w:val="none"/>
          <w14:textFill>
            <w14:solidFill>
              <w14:schemeClr w14:val="tx1"/>
            </w14:solidFill>
          </w14:textFill>
        </w:rPr>
      </w:pPr>
    </w:p>
    <w:p>
      <w:pPr>
        <w:pStyle w:val="36"/>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第二部分 合同一般条款</w:t>
      </w:r>
      <w:bookmarkEnd w:id="976"/>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977" w:name="_Toc25689"/>
      <w:bookmarkStart w:id="978" w:name="_Toc20709"/>
      <w:bookmarkStart w:id="979" w:name="_Ref467379225"/>
      <w:bookmarkStart w:id="980" w:name="_Toc32624"/>
      <w:bookmarkStart w:id="981" w:name="_Ref467379094"/>
      <w:bookmarkStart w:id="982" w:name="_Toc28865"/>
      <w:bookmarkStart w:id="983" w:name="_Ref467379101"/>
      <w:bookmarkStart w:id="984" w:name="_Toc26415"/>
      <w:bookmarkStart w:id="985" w:name="_Toc28763"/>
      <w:bookmarkStart w:id="986" w:name="_Toc26015"/>
      <w:bookmarkStart w:id="987" w:name="_Toc23997"/>
      <w:bookmarkStart w:id="988" w:name="_Ref467378463"/>
      <w:bookmarkStart w:id="989" w:name="_Toc259093669"/>
      <w:bookmarkStart w:id="990" w:name="_Toc510"/>
      <w:bookmarkStart w:id="991" w:name="_Toc2034"/>
      <w:bookmarkStart w:id="992" w:name="_Toc487900349"/>
      <w:bookmarkStart w:id="993" w:name="_Toc2854"/>
      <w:bookmarkStart w:id="994" w:name="_Toc4945"/>
      <w:bookmarkStart w:id="995" w:name="_Toc3091"/>
      <w:bookmarkStart w:id="996" w:name="_Ref467379195"/>
      <w:bookmarkStart w:id="997" w:name="_Ref467379214"/>
      <w:bookmarkStart w:id="998" w:name="_Toc20160"/>
      <w:bookmarkStart w:id="999" w:name="_Toc16917"/>
      <w:bookmarkStart w:id="1000" w:name="_Toc5579"/>
      <w:bookmarkStart w:id="1001" w:name="_Toc18089"/>
      <w:bookmarkStart w:id="1002" w:name="_Ref467379205"/>
      <w:bookmarkStart w:id="1003" w:name="_Toc17718"/>
      <w:bookmarkStart w:id="1004" w:name="_Toc21840"/>
      <w:bookmarkStart w:id="1005" w:name="_Ref467378499"/>
      <w:bookmarkStart w:id="1006" w:name="_Ref467378404"/>
      <w:bookmarkStart w:id="1007" w:name="_Toc25060"/>
      <w:bookmarkStart w:id="1008" w:name="_Toc25554"/>
      <w:bookmarkStart w:id="1009" w:name="_Toc279701240"/>
      <w:bookmarkStart w:id="1010" w:name="_Toc19614"/>
      <w:bookmarkStart w:id="1011" w:name="_Toc30332"/>
      <w:bookmarkStart w:id="1012" w:name="_Ref467379109"/>
      <w:bookmarkStart w:id="1013" w:name="_Toc28547"/>
      <w:bookmarkStart w:id="1014" w:name="_Toc29659"/>
      <w:bookmarkStart w:id="1015" w:name="_Toc26936"/>
      <w:bookmarkStart w:id="1016" w:name="_Toc10572"/>
      <w:bookmarkStart w:id="1017" w:name="_Toc31417"/>
      <w:bookmarkStart w:id="1018" w:name="_Toc10245"/>
      <w:bookmarkStart w:id="1019" w:name="_Toc25035"/>
      <w:bookmarkStart w:id="1020" w:name="_Toc15647"/>
      <w:bookmarkStart w:id="1021" w:name="_Toc14827"/>
      <w:r>
        <w:rPr>
          <w:rFonts w:hint="eastAsia" w:ascii="微软雅黑" w:hAnsi="微软雅黑" w:eastAsia="微软雅黑" w:cs="微软雅黑"/>
          <w:b/>
          <w:bCs/>
          <w:color w:val="000000" w:themeColor="text1"/>
          <w:sz w:val="24"/>
          <w:szCs w:val="24"/>
          <w:highlight w:val="none"/>
          <w14:textFill>
            <w14:solidFill>
              <w14:schemeClr w14:val="tx1"/>
            </w14:solidFill>
          </w14:textFill>
        </w:rPr>
        <w:t>2.1 定义</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本合同中的下列词语应按以下内容进行解释：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022" w:name="_Ref467378840"/>
      <w:r>
        <w:rPr>
          <w:rFonts w:hint="eastAsia" w:ascii="微软雅黑" w:hAnsi="微软雅黑" w:eastAsia="微软雅黑" w:cs="微软雅黑"/>
          <w:color w:val="000000" w:themeColor="text1"/>
          <w:sz w:val="24"/>
          <w:szCs w:val="24"/>
          <w:highlight w:val="none"/>
          <w14:textFill>
            <w14:solidFill>
              <w14:schemeClr w14:val="tx1"/>
            </w14:solidFill>
          </w14:textFill>
        </w:rPr>
        <w:t>2.1.4 “甲方”系指与中标供应商签署合同的采购人</w:t>
      </w:r>
      <w:bookmarkEnd w:id="1022"/>
      <w:r>
        <w:rPr>
          <w:rFonts w:hint="eastAsia" w:ascii="微软雅黑" w:hAnsi="微软雅黑" w:eastAsia="微软雅黑" w:cs="微软雅黑"/>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023" w:name="_Ref467379400"/>
      <w:r>
        <w:rPr>
          <w:rFonts w:hint="eastAsia" w:ascii="微软雅黑" w:hAnsi="微软雅黑" w:eastAsia="微软雅黑" w:cs="微软雅黑"/>
          <w:color w:val="000000" w:themeColor="text1"/>
          <w:sz w:val="24"/>
          <w:szCs w:val="24"/>
          <w:highlight w:val="none"/>
          <w14:textFill>
            <w14:solidFill>
              <w14:schemeClr w14:val="tx1"/>
            </w14:solidFill>
          </w14:textFill>
        </w:rPr>
        <w:t>2.1.5 “乙方”系指根据合同约定交付货物的中标供应商</w:t>
      </w:r>
      <w:bookmarkEnd w:id="1023"/>
      <w:r>
        <w:rPr>
          <w:rFonts w:hint="eastAsia" w:ascii="微软雅黑" w:hAnsi="微软雅黑" w:eastAsia="微软雅黑" w:cs="微软雅黑"/>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024" w:name="_Ref467379436"/>
      <w:r>
        <w:rPr>
          <w:rFonts w:hint="eastAsia" w:ascii="微软雅黑" w:hAnsi="微软雅黑" w:eastAsia="微软雅黑" w:cs="微软雅黑"/>
          <w:color w:val="000000" w:themeColor="text1"/>
          <w:sz w:val="24"/>
          <w:szCs w:val="24"/>
          <w:highlight w:val="none"/>
          <w14:textFill>
            <w14:solidFill>
              <w14:schemeClr w14:val="tx1"/>
            </w14:solidFill>
          </w14:textFill>
        </w:rPr>
        <w:t>2.1.6 “现场”系指合同约定货物将要运至或者安装的地点。</w:t>
      </w:r>
      <w:bookmarkEnd w:id="1024"/>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025" w:name="_Toc23689"/>
      <w:bookmarkStart w:id="1026" w:name="_Toc487900350"/>
      <w:bookmarkStart w:id="1027" w:name="_Toc8687"/>
      <w:bookmarkStart w:id="1028" w:name="_Toc1352"/>
      <w:bookmarkStart w:id="1029" w:name="_Toc29206"/>
      <w:bookmarkStart w:id="1030" w:name="_Toc7416"/>
      <w:bookmarkStart w:id="1031" w:name="_Toc259093670"/>
      <w:bookmarkStart w:id="1032" w:name="_Toc25336"/>
      <w:bookmarkStart w:id="1033" w:name="_Toc25269"/>
      <w:bookmarkStart w:id="1034" w:name="_Toc23702"/>
      <w:bookmarkStart w:id="1035" w:name="_Toc24523"/>
      <w:bookmarkStart w:id="1036" w:name="_Toc1183"/>
      <w:bookmarkStart w:id="1037" w:name="_Toc5592"/>
      <w:bookmarkStart w:id="1038" w:name="_Toc22104"/>
      <w:bookmarkStart w:id="1039" w:name="_Toc19892"/>
      <w:bookmarkStart w:id="1040" w:name="_Toc15285"/>
      <w:bookmarkStart w:id="1041" w:name="_Toc3949"/>
      <w:bookmarkStart w:id="1042" w:name="_Toc25266"/>
      <w:bookmarkStart w:id="1043" w:name="_Toc24322"/>
      <w:bookmarkStart w:id="1044" w:name="_Toc3193"/>
      <w:bookmarkStart w:id="1045" w:name="_Toc24792"/>
      <w:bookmarkStart w:id="1046" w:name="_Toc32504"/>
      <w:bookmarkStart w:id="1047" w:name="_Toc15269"/>
      <w:bookmarkStart w:id="1048" w:name="_Toc31414"/>
      <w:bookmarkStart w:id="1049" w:name="_Toc13336"/>
      <w:bookmarkStart w:id="1050" w:name="_Toc11142"/>
      <w:bookmarkStart w:id="1051" w:name="_Toc279701241"/>
      <w:bookmarkStart w:id="1052" w:name="_Toc16029"/>
      <w:bookmarkStart w:id="1053" w:name="_Toc1447"/>
      <w:bookmarkStart w:id="1054" w:name="_Toc22122"/>
      <w:bookmarkStart w:id="1055" w:name="_Toc1221"/>
      <w:bookmarkStart w:id="1056" w:name="_Toc22769"/>
      <w:bookmarkStart w:id="1057" w:name="_Toc27635"/>
      <w:bookmarkStart w:id="1058" w:name="_Toc7048"/>
      <w:bookmarkStart w:id="1059" w:name="_Toc17151"/>
      <w:r>
        <w:rPr>
          <w:rFonts w:hint="eastAsia" w:ascii="微软雅黑" w:hAnsi="微软雅黑" w:eastAsia="微软雅黑" w:cs="微软雅黑"/>
          <w:b/>
          <w:bCs/>
          <w:color w:val="000000" w:themeColor="text1"/>
          <w:sz w:val="24"/>
          <w:szCs w:val="24"/>
          <w:highlight w:val="none"/>
          <w14:textFill>
            <w14:solidFill>
              <w14:schemeClr w14:val="tx1"/>
            </w14:solidFill>
          </w14:textFill>
        </w:rPr>
        <w:t>2.2 技术规范</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060" w:name="_Toc6121"/>
      <w:bookmarkStart w:id="1061" w:name="_Toc31634"/>
      <w:bookmarkStart w:id="1062" w:name="_Toc18842"/>
      <w:bookmarkStart w:id="1063" w:name="_Toc20130"/>
      <w:bookmarkStart w:id="1064" w:name="_Toc6835"/>
      <w:bookmarkStart w:id="1065" w:name="_Toc864"/>
      <w:bookmarkStart w:id="1066" w:name="_Toc10461"/>
      <w:bookmarkStart w:id="1067" w:name="_Toc15733"/>
      <w:bookmarkStart w:id="1068" w:name="_Toc27853"/>
      <w:bookmarkStart w:id="1069" w:name="_Toc4029"/>
      <w:bookmarkStart w:id="1070" w:name="_Toc975"/>
      <w:bookmarkStart w:id="1071" w:name="_Toc9829"/>
      <w:bookmarkStart w:id="1072" w:name="_Toc4277"/>
      <w:bookmarkStart w:id="1073" w:name="_Toc18758"/>
      <w:bookmarkStart w:id="1074" w:name="_Toc17383"/>
      <w:bookmarkStart w:id="1075" w:name="_Toc487900351"/>
      <w:bookmarkStart w:id="1076" w:name="_Toc1649"/>
      <w:bookmarkStart w:id="1077" w:name="_Toc259093671"/>
      <w:bookmarkStart w:id="1078" w:name="_Toc22279"/>
      <w:bookmarkStart w:id="1079" w:name="_Toc24537"/>
      <w:bookmarkStart w:id="1080" w:name="_Toc4916"/>
      <w:bookmarkStart w:id="1081" w:name="_Toc7722"/>
      <w:bookmarkStart w:id="1082" w:name="_Toc28662"/>
      <w:bookmarkStart w:id="1083" w:name="_Toc26928"/>
      <w:bookmarkStart w:id="1084" w:name="_Toc32048"/>
      <w:bookmarkStart w:id="1085" w:name="_Toc28946"/>
      <w:bookmarkStart w:id="1086" w:name="_Toc14632"/>
      <w:bookmarkStart w:id="1087" w:name="_Toc30552"/>
      <w:bookmarkStart w:id="1088" w:name="_Toc3854"/>
      <w:bookmarkStart w:id="1089" w:name="_Toc279701242"/>
      <w:bookmarkStart w:id="1090" w:name="_Toc30700"/>
      <w:bookmarkStart w:id="1091" w:name="_Toc988"/>
      <w:bookmarkStart w:id="1092" w:name="_Toc23791"/>
      <w:bookmarkStart w:id="1093" w:name="_Toc23649"/>
      <w:bookmarkStart w:id="1094" w:name="_Toc843"/>
      <w:r>
        <w:rPr>
          <w:rFonts w:hint="eastAsia" w:ascii="微软雅黑" w:hAnsi="微软雅黑" w:eastAsia="微软雅黑" w:cs="微软雅黑"/>
          <w:b/>
          <w:bCs/>
          <w:color w:val="000000" w:themeColor="text1"/>
          <w:sz w:val="24"/>
          <w:szCs w:val="24"/>
          <w:highlight w:val="none"/>
          <w14:textFill>
            <w14:solidFill>
              <w14:schemeClr w14:val="tx1"/>
            </w14:solidFill>
          </w14:textFill>
        </w:rPr>
        <w:t>2.3 知识产权</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2.3.2具有知识产权的计算机软件等货物的知识产权归属，详见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095" w:name="_Toc455"/>
      <w:bookmarkStart w:id="1096" w:name="_Toc25749"/>
      <w:bookmarkStart w:id="1097" w:name="_Toc9470"/>
      <w:bookmarkStart w:id="1098" w:name="_Toc28170"/>
      <w:bookmarkStart w:id="1099" w:name="_Toc21468"/>
      <w:bookmarkStart w:id="1100" w:name="_Toc23105"/>
      <w:bookmarkStart w:id="1101" w:name="_Toc6781"/>
      <w:bookmarkStart w:id="1102" w:name="_Toc18554"/>
      <w:bookmarkStart w:id="1103" w:name="_Toc17080"/>
      <w:bookmarkStart w:id="1104" w:name="_Toc1945"/>
      <w:bookmarkStart w:id="1105" w:name="_Toc8795"/>
      <w:bookmarkStart w:id="1106" w:name="_Toc13341"/>
      <w:bookmarkStart w:id="1107" w:name="_Toc25767"/>
      <w:bookmarkStart w:id="1108" w:name="_Toc26731"/>
      <w:bookmarkStart w:id="1109" w:name="_Toc12219"/>
      <w:bookmarkStart w:id="1110" w:name="_Toc20620"/>
      <w:bookmarkStart w:id="1111" w:name="_Toc3486"/>
      <w:bookmarkStart w:id="1112" w:name="_Toc24384"/>
      <w:bookmarkStart w:id="1113" w:name="_Toc10970"/>
      <w:bookmarkStart w:id="1114" w:name="_Toc12874"/>
      <w:bookmarkStart w:id="1115" w:name="_Toc28419"/>
      <w:bookmarkStart w:id="1116" w:name="_Toc10397"/>
      <w:bookmarkStart w:id="1117" w:name="_Toc5395"/>
      <w:bookmarkStart w:id="1118" w:name="_Toc1877"/>
      <w:bookmarkStart w:id="1119" w:name="_Toc9172"/>
      <w:bookmarkStart w:id="1120" w:name="_Toc19638"/>
      <w:bookmarkStart w:id="1121" w:name="_Toc2585"/>
      <w:bookmarkStart w:id="1122" w:name="_Toc4194"/>
      <w:bookmarkStart w:id="1123" w:name="_Toc28714"/>
      <w:bookmarkStart w:id="1124" w:name="_Toc29149"/>
      <w:bookmarkStart w:id="1125" w:name="_Toc10546"/>
      <w:bookmarkStart w:id="1126" w:name="_Toc11932"/>
      <w:r>
        <w:rPr>
          <w:rFonts w:hint="eastAsia" w:ascii="微软雅黑" w:hAnsi="微软雅黑" w:eastAsia="微软雅黑" w:cs="微软雅黑"/>
          <w:b/>
          <w:bCs/>
          <w:color w:val="000000" w:themeColor="text1"/>
          <w:sz w:val="24"/>
          <w:szCs w:val="24"/>
          <w:highlight w:val="none"/>
          <w14:textFill>
            <w14:solidFill>
              <w14:schemeClr w14:val="tx1"/>
            </w14:solidFill>
          </w14:textFill>
        </w:rPr>
        <w:t>2.4 包装和装运</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2.4.1除</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2.4.2 装运货物的要求和通知，详见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127" w:name="_Toc259093674"/>
      <w:bookmarkStart w:id="1128" w:name="_Ref467378591"/>
      <w:bookmarkStart w:id="1129" w:name="_Toc487900354"/>
      <w:bookmarkStart w:id="1130" w:name="_Ref467379542"/>
      <w:bookmarkStart w:id="1131" w:name="_Ref467378541"/>
      <w:bookmarkStart w:id="1132" w:name="_Ref467379536"/>
      <w:bookmarkStart w:id="1133" w:name="_Ref467379527"/>
      <w:bookmarkStart w:id="1134" w:name="_Toc279701245"/>
      <w:bookmarkStart w:id="1135" w:name="_Toc18307"/>
      <w:bookmarkStart w:id="1136" w:name="_Toc20866"/>
      <w:bookmarkStart w:id="1137" w:name="_Toc31437"/>
      <w:bookmarkStart w:id="1138" w:name="_Toc12428"/>
      <w:bookmarkStart w:id="1139" w:name="_Toc28937"/>
      <w:bookmarkStart w:id="1140" w:name="_Toc4831"/>
      <w:bookmarkStart w:id="1141" w:name="_Toc18515"/>
      <w:bookmarkStart w:id="1142" w:name="_Toc21198"/>
      <w:bookmarkStart w:id="1143" w:name="_Toc28998"/>
      <w:bookmarkStart w:id="1144" w:name="_Toc14170"/>
      <w:bookmarkStart w:id="1145" w:name="_Toc30272"/>
      <w:bookmarkStart w:id="1146" w:name="_Toc2039"/>
      <w:bookmarkStart w:id="1147" w:name="_Toc31359"/>
      <w:bookmarkStart w:id="1148" w:name="_Toc24935"/>
      <w:bookmarkStart w:id="1149" w:name="_Toc530"/>
      <w:bookmarkStart w:id="1150" w:name="_Toc10209"/>
      <w:bookmarkStart w:id="1151" w:name="_Toc30291"/>
      <w:bookmarkStart w:id="1152" w:name="_Toc28324"/>
      <w:bookmarkStart w:id="1153" w:name="_Toc2815"/>
      <w:bookmarkStart w:id="1154" w:name="_Toc7379"/>
      <w:bookmarkStart w:id="1155" w:name="_Toc21410"/>
      <w:bookmarkStart w:id="1156" w:name="_Toc19074"/>
      <w:bookmarkStart w:id="1157" w:name="_Toc15512"/>
      <w:bookmarkStart w:id="1158" w:name="_Toc26182"/>
      <w:bookmarkStart w:id="1159" w:name="_Toc24299"/>
      <w:bookmarkStart w:id="1160" w:name="_Toc1580"/>
      <w:bookmarkStart w:id="1161" w:name="_Toc14100"/>
      <w:bookmarkStart w:id="1162" w:name="_Toc7299"/>
      <w:bookmarkStart w:id="1163" w:name="_Toc30516"/>
      <w:bookmarkStart w:id="1164" w:name="_Toc8552"/>
      <w:bookmarkStart w:id="1165" w:name="_Toc3012"/>
      <w:bookmarkStart w:id="1166" w:name="_Toc5927"/>
      <w:r>
        <w:rPr>
          <w:rFonts w:hint="eastAsia" w:ascii="微软雅黑" w:hAnsi="微软雅黑" w:eastAsia="微软雅黑" w:cs="微软雅黑"/>
          <w:b/>
          <w:bCs/>
          <w:color w:val="000000" w:themeColor="text1"/>
          <w:sz w:val="24"/>
          <w:szCs w:val="24"/>
          <w:highlight w:val="none"/>
          <w14:textFill>
            <w14:solidFill>
              <w14:schemeClr w14:val="tx1"/>
            </w14:solidFill>
          </w14:textFill>
        </w:rPr>
        <w:t>2.</w:t>
      </w:r>
      <w:bookmarkEnd w:id="1127"/>
      <w:bookmarkEnd w:id="1128"/>
      <w:bookmarkEnd w:id="1129"/>
      <w:bookmarkEnd w:id="1130"/>
      <w:bookmarkEnd w:id="1131"/>
      <w:bookmarkEnd w:id="1132"/>
      <w:bookmarkEnd w:id="1133"/>
      <w:bookmarkEnd w:id="1134"/>
      <w:r>
        <w:rPr>
          <w:rFonts w:hint="eastAsia" w:ascii="微软雅黑" w:hAnsi="微软雅黑" w:eastAsia="微软雅黑" w:cs="微软雅黑"/>
          <w:b/>
          <w:bCs/>
          <w:color w:val="000000" w:themeColor="text1"/>
          <w:sz w:val="24"/>
          <w:szCs w:val="24"/>
          <w:highlight w:val="none"/>
          <w14:textFill>
            <w14:solidFill>
              <w14:schemeClr w14:val="tx1"/>
            </w14:solidFill>
          </w14:textFill>
        </w:rPr>
        <w:t>5 履约检查和问题反馈</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167" w:name="_Ref467379657"/>
      <w:r>
        <w:rPr>
          <w:rFonts w:hint="eastAsia" w:ascii="微软雅黑" w:hAnsi="微软雅黑" w:eastAsia="微软雅黑" w:cs="微软雅黑"/>
          <w:color w:val="000000" w:themeColor="text1"/>
          <w:sz w:val="24"/>
          <w:szCs w:val="24"/>
          <w:highlight w:val="none"/>
          <w14:textFill>
            <w14:solidFill>
              <w14:schemeClr w14:val="tx1"/>
            </w14:solidFill>
          </w14:textFill>
        </w:rPr>
        <w:t>2.5.1</w:t>
      </w:r>
      <w:bookmarkEnd w:id="1167"/>
      <w:bookmarkStart w:id="1168" w:name="_Toc186431854"/>
      <w:bookmarkStart w:id="1169" w:name="_Ref467379793"/>
      <w:bookmarkStart w:id="1170" w:name="_Toc259093676"/>
      <w:bookmarkStart w:id="1171" w:name="_Toc487900357"/>
      <w:bookmarkStart w:id="1172" w:name="_Toc279701247"/>
      <w:bookmarkStart w:id="1173" w:name="_Ref467379807"/>
      <w:r>
        <w:rPr>
          <w:rFonts w:hint="eastAsia" w:ascii="微软雅黑" w:hAnsi="微软雅黑" w:eastAsia="微软雅黑" w:cs="微软雅黑"/>
          <w:color w:val="000000" w:themeColor="text1"/>
          <w:sz w:val="24"/>
          <w:szCs w:val="24"/>
          <w:highlight w:val="none"/>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168"/>
      <w:bookmarkStart w:id="1174" w:name="_Toc186431855"/>
      <w:r>
        <w:rPr>
          <w:rFonts w:hint="eastAsia" w:ascii="微软雅黑" w:hAnsi="微软雅黑" w:eastAsia="微软雅黑" w:cs="微软雅黑"/>
          <w:color w:val="000000" w:themeColor="text1"/>
          <w:sz w:val="24"/>
          <w:szCs w:val="24"/>
          <w:highlight w:val="none"/>
          <w14:textFill>
            <w14:solidFill>
              <w14:schemeClr w14:val="tx1"/>
            </w14:solidFill>
          </w14:textFill>
        </w:rPr>
        <w:t>。</w:t>
      </w:r>
    </w:p>
    <w:bookmarkEnd w:id="1174"/>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175" w:name="_Toc28451"/>
      <w:bookmarkStart w:id="1176" w:name="_Toc22499"/>
      <w:bookmarkStart w:id="1177" w:name="_Toc19219"/>
      <w:bookmarkStart w:id="1178" w:name="_Toc31564"/>
      <w:bookmarkStart w:id="1179" w:name="_Toc5363"/>
      <w:bookmarkStart w:id="1180" w:name="_Toc234"/>
      <w:bookmarkStart w:id="1181" w:name="_Toc10470"/>
      <w:bookmarkStart w:id="1182" w:name="_Toc3518"/>
      <w:bookmarkStart w:id="1183" w:name="_Toc26298"/>
      <w:bookmarkStart w:id="1184" w:name="_Toc26232"/>
      <w:bookmarkStart w:id="1185" w:name="_Toc12025"/>
      <w:bookmarkStart w:id="1186" w:name="_Toc582"/>
      <w:bookmarkStart w:id="1187" w:name="_Toc7836"/>
      <w:bookmarkStart w:id="1188" w:name="_Toc12360"/>
      <w:bookmarkStart w:id="1189" w:name="_Toc27802"/>
      <w:bookmarkStart w:id="1190" w:name="_Toc5304"/>
      <w:bookmarkStart w:id="1191" w:name="_Toc2067"/>
      <w:bookmarkStart w:id="1192" w:name="_Toc15854"/>
      <w:bookmarkStart w:id="1193" w:name="_Toc23261"/>
      <w:bookmarkStart w:id="1194" w:name="_Toc12377"/>
      <w:bookmarkStart w:id="1195" w:name="_Toc9092"/>
      <w:bookmarkStart w:id="1196" w:name="_Toc10704"/>
      <w:bookmarkStart w:id="1197" w:name="_Toc11522"/>
      <w:bookmarkStart w:id="1198" w:name="_Toc28142"/>
      <w:bookmarkStart w:id="1199" w:name="_Toc10980"/>
      <w:bookmarkStart w:id="1200" w:name="_Toc17283"/>
      <w:bookmarkStart w:id="1201" w:name="_Toc26245"/>
      <w:bookmarkStart w:id="1202" w:name="_Toc30354"/>
      <w:bookmarkStart w:id="1203" w:name="_Toc8058"/>
      <w:bookmarkStart w:id="1204" w:name="_Toc11824"/>
      <w:bookmarkStart w:id="1205" w:name="_Toc31520"/>
      <w:bookmarkStart w:id="1206" w:name="_Toc18294"/>
      <w:r>
        <w:rPr>
          <w:rFonts w:hint="eastAsia" w:ascii="微软雅黑" w:hAnsi="微软雅黑" w:eastAsia="微软雅黑" w:cs="微软雅黑"/>
          <w:b/>
          <w:bCs/>
          <w:color w:val="000000" w:themeColor="text1"/>
          <w:sz w:val="24"/>
          <w:szCs w:val="24"/>
          <w:highlight w:val="none"/>
          <w14:textFill>
            <w14:solidFill>
              <w14:schemeClr w14:val="tx1"/>
            </w14:solidFill>
          </w14:textFill>
        </w:rPr>
        <w:t>2.6 结算方式和付款条件</w:t>
      </w:r>
      <w:bookmarkEnd w:id="1169"/>
      <w:bookmarkEnd w:id="1170"/>
      <w:bookmarkEnd w:id="1171"/>
      <w:bookmarkEnd w:id="1172"/>
      <w:bookmarkEnd w:id="1173"/>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207" w:name="_Ref467379923"/>
      <w:bookmarkStart w:id="1208" w:name="_Toc259093677"/>
      <w:bookmarkStart w:id="1209" w:name="_Toc487900358"/>
      <w:bookmarkStart w:id="1210" w:name="_Ref467379852"/>
      <w:bookmarkStart w:id="1211" w:name="_Ref467379863"/>
      <w:bookmarkStart w:id="1212" w:name="_Toc279701248"/>
      <w:bookmarkStart w:id="1213" w:name="_Toc10114"/>
      <w:bookmarkStart w:id="1214" w:name="_Toc6635"/>
      <w:bookmarkStart w:id="1215" w:name="_Toc1200"/>
      <w:bookmarkStart w:id="1216" w:name="_Toc14939"/>
      <w:bookmarkStart w:id="1217" w:name="_Toc22229"/>
      <w:bookmarkStart w:id="1218" w:name="_Toc14491"/>
      <w:bookmarkStart w:id="1219" w:name="_Toc17607"/>
      <w:bookmarkStart w:id="1220" w:name="_Toc28781"/>
      <w:bookmarkStart w:id="1221" w:name="_Toc17136"/>
      <w:bookmarkStart w:id="1222" w:name="_Toc31305"/>
      <w:bookmarkStart w:id="1223" w:name="_Toc1646"/>
      <w:bookmarkStart w:id="1224" w:name="_Toc25277"/>
      <w:bookmarkStart w:id="1225" w:name="_Toc29030"/>
      <w:bookmarkStart w:id="1226" w:name="_Toc29616"/>
      <w:bookmarkStart w:id="1227" w:name="_Toc3333"/>
      <w:bookmarkStart w:id="1228" w:name="_Toc17051"/>
      <w:bookmarkStart w:id="1229" w:name="_Toc11615"/>
      <w:bookmarkStart w:id="1230" w:name="_Toc31128"/>
      <w:bookmarkStart w:id="1231" w:name="_Toc774"/>
      <w:bookmarkStart w:id="1232" w:name="_Toc24083"/>
      <w:bookmarkStart w:id="1233" w:name="_Toc11236"/>
      <w:bookmarkStart w:id="1234" w:name="_Toc3225"/>
      <w:bookmarkStart w:id="1235" w:name="_Toc8272"/>
      <w:bookmarkStart w:id="1236" w:name="_Toc23170"/>
      <w:bookmarkStart w:id="1237" w:name="_Toc12608"/>
      <w:bookmarkStart w:id="1238" w:name="_Toc16110"/>
      <w:bookmarkStart w:id="1239" w:name="_Toc14432"/>
      <w:bookmarkStart w:id="1240" w:name="_Toc13023"/>
      <w:bookmarkStart w:id="1241" w:name="_Toc31971"/>
      <w:bookmarkStart w:id="1242" w:name="_Toc9845"/>
      <w:bookmarkStart w:id="1243" w:name="_Toc7000"/>
      <w:bookmarkStart w:id="1244" w:name="_Toc21394"/>
      <w:r>
        <w:rPr>
          <w:rFonts w:hint="eastAsia" w:ascii="微软雅黑" w:hAnsi="微软雅黑" w:eastAsia="微软雅黑" w:cs="微软雅黑"/>
          <w:b/>
          <w:bCs/>
          <w:color w:val="000000" w:themeColor="text1"/>
          <w:sz w:val="24"/>
          <w:szCs w:val="24"/>
          <w:highlight w:val="none"/>
          <w14:textFill>
            <w14:solidFill>
              <w14:schemeClr w14:val="tx1"/>
            </w14:solidFill>
          </w14:textFill>
        </w:rPr>
        <w:t>2.7 技术资料</w:t>
      </w:r>
      <w:bookmarkEnd w:id="1207"/>
      <w:bookmarkEnd w:id="1208"/>
      <w:bookmarkEnd w:id="1209"/>
      <w:bookmarkEnd w:id="1210"/>
      <w:bookmarkEnd w:id="1211"/>
      <w:bookmarkEnd w:id="1212"/>
      <w:r>
        <w:rPr>
          <w:rFonts w:hint="eastAsia" w:ascii="微软雅黑" w:hAnsi="微软雅黑" w:eastAsia="微软雅黑" w:cs="微软雅黑"/>
          <w:b/>
          <w:bCs/>
          <w:color w:val="000000" w:themeColor="text1"/>
          <w:sz w:val="24"/>
          <w:szCs w:val="24"/>
          <w:highlight w:val="none"/>
          <w14:textFill>
            <w14:solidFill>
              <w14:schemeClr w14:val="tx1"/>
            </w14:solidFill>
          </w14:textFill>
        </w:rPr>
        <w:t>和保密义务</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2.7.2 乙方有义务妥善保管和保护由甲方提供的前款信息和资料等；</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245" w:name="_Toc18551"/>
      <w:bookmarkStart w:id="1246" w:name="_Toc18231"/>
      <w:bookmarkStart w:id="1247" w:name="_Toc4779"/>
      <w:bookmarkStart w:id="1248" w:name="_Toc25676"/>
      <w:bookmarkStart w:id="1249" w:name="_Toc30167"/>
      <w:bookmarkStart w:id="1250" w:name="_Toc11328"/>
      <w:bookmarkStart w:id="1251" w:name="_Toc24654"/>
      <w:bookmarkStart w:id="1252" w:name="_Toc9561"/>
      <w:bookmarkStart w:id="1253" w:name="_Toc122"/>
      <w:bookmarkStart w:id="1254" w:name="_Toc11530"/>
      <w:bookmarkStart w:id="1255" w:name="_Toc7860"/>
      <w:bookmarkStart w:id="1256" w:name="_Toc21267"/>
      <w:bookmarkStart w:id="1257" w:name="_Toc3282"/>
      <w:bookmarkStart w:id="1258" w:name="_Toc5200"/>
      <w:bookmarkStart w:id="1259" w:name="_Toc14045"/>
      <w:bookmarkStart w:id="1260" w:name="_Toc5556"/>
      <w:bookmarkStart w:id="1261" w:name="_Toc19659"/>
      <w:bookmarkStart w:id="1262" w:name="_Toc20641"/>
      <w:bookmarkStart w:id="1263" w:name="_Toc31496"/>
      <w:bookmarkStart w:id="1264" w:name="_Toc30503"/>
      <w:bookmarkStart w:id="1265" w:name="_Toc3156"/>
      <w:bookmarkStart w:id="1266" w:name="_Toc7771"/>
      <w:bookmarkStart w:id="1267" w:name="_Toc23081"/>
      <w:bookmarkStart w:id="1268" w:name="_Toc26425"/>
      <w:bookmarkStart w:id="1269" w:name="_Toc16190"/>
      <w:bookmarkStart w:id="1270" w:name="_Toc30477"/>
      <w:bookmarkStart w:id="1271" w:name="_Toc8288"/>
      <w:bookmarkStart w:id="1272" w:name="_Toc10326"/>
      <w:bookmarkStart w:id="1273" w:name="_Toc27453"/>
      <w:bookmarkStart w:id="1274" w:name="_Toc6506"/>
      <w:r>
        <w:rPr>
          <w:rFonts w:hint="eastAsia" w:ascii="微软雅黑" w:hAnsi="微软雅黑" w:eastAsia="微软雅黑" w:cs="微软雅黑"/>
          <w:b/>
          <w:bCs/>
          <w:color w:val="000000" w:themeColor="text1"/>
          <w:sz w:val="24"/>
          <w:szCs w:val="24"/>
          <w:highlight w:val="none"/>
          <w14:textFill>
            <w14:solidFill>
              <w14:schemeClr w14:val="tx1"/>
            </w14:solidFill>
          </w14:textFill>
        </w:rPr>
        <w:t>2.8 质量保证</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2.8.1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275" w:name="_Toc27806"/>
      <w:bookmarkStart w:id="1276" w:name="_Toc7569"/>
      <w:bookmarkStart w:id="1277" w:name="_Toc28147"/>
      <w:bookmarkStart w:id="1278" w:name="_Toc15929"/>
      <w:bookmarkStart w:id="1279" w:name="_Toc10150"/>
      <w:bookmarkStart w:id="1280" w:name="_Toc14663"/>
      <w:bookmarkStart w:id="1281" w:name="_Toc13410"/>
      <w:bookmarkStart w:id="1282" w:name="_Toc13812"/>
      <w:bookmarkStart w:id="1283" w:name="_Toc17497"/>
      <w:bookmarkStart w:id="1284" w:name="_Toc20747"/>
      <w:bookmarkStart w:id="1285" w:name="_Toc25529"/>
      <w:bookmarkStart w:id="1286" w:name="_Toc17030"/>
      <w:bookmarkStart w:id="1287" w:name="_Toc31920"/>
      <w:bookmarkStart w:id="1288" w:name="_Toc22016"/>
      <w:bookmarkStart w:id="1289" w:name="_Toc27234"/>
      <w:bookmarkStart w:id="1290" w:name="_Toc27238"/>
      <w:bookmarkStart w:id="1291" w:name="_Toc17244"/>
      <w:bookmarkStart w:id="1292" w:name="_Toc14596"/>
      <w:bookmarkStart w:id="1293" w:name="_Toc21330"/>
      <w:bookmarkStart w:id="1294" w:name="_Toc22833"/>
      <w:bookmarkStart w:id="1295" w:name="_Toc801"/>
      <w:bookmarkStart w:id="1296" w:name="_Toc21019"/>
      <w:bookmarkStart w:id="1297" w:name="_Toc23172"/>
      <w:bookmarkStart w:id="1298" w:name="_Toc15408"/>
      <w:bookmarkStart w:id="1299" w:name="_Toc812"/>
      <w:bookmarkStart w:id="1300" w:name="_Toc12408"/>
      <w:bookmarkStart w:id="1301" w:name="_Toc12966"/>
      <w:bookmarkStart w:id="1302" w:name="_Toc3300"/>
      <w:bookmarkStart w:id="1303" w:name="_Toc12010"/>
      <w:bookmarkStart w:id="1304" w:name="_Toc26555"/>
      <w:bookmarkStart w:id="1305" w:name="_Toc279701252"/>
      <w:bookmarkStart w:id="1306" w:name="_Toc487900362"/>
      <w:bookmarkStart w:id="1307" w:name="_Toc259093681"/>
      <w:r>
        <w:rPr>
          <w:rFonts w:hint="eastAsia" w:ascii="微软雅黑" w:hAnsi="微软雅黑" w:eastAsia="微软雅黑" w:cs="微软雅黑"/>
          <w:b/>
          <w:bCs/>
          <w:color w:val="000000" w:themeColor="text1"/>
          <w:sz w:val="24"/>
          <w:szCs w:val="24"/>
          <w:highlight w:val="none"/>
          <w14:textFill>
            <w14:solidFill>
              <w14:schemeClr w14:val="tx1"/>
            </w14:solidFill>
          </w14:textFill>
        </w:rPr>
        <w:t>2.9 货物的风险负担</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货物或者在途货物或者交付给第一承运人后的货物毁损、灭失的风险负担详见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308" w:name="_Toc20938"/>
      <w:bookmarkStart w:id="1309" w:name="_Toc25663"/>
      <w:bookmarkStart w:id="1310" w:name="_Toc14055"/>
      <w:bookmarkStart w:id="1311" w:name="_Toc10676"/>
      <w:bookmarkStart w:id="1312" w:name="_Toc15616"/>
      <w:bookmarkStart w:id="1313" w:name="_Toc2"/>
      <w:bookmarkStart w:id="1314" w:name="_Toc17699"/>
      <w:bookmarkStart w:id="1315" w:name="_Toc1299"/>
      <w:bookmarkStart w:id="1316" w:name="_Toc15112"/>
      <w:bookmarkStart w:id="1317" w:name="_Toc29837"/>
      <w:bookmarkStart w:id="1318" w:name="_Toc19684"/>
      <w:bookmarkStart w:id="1319" w:name="_Toc1494"/>
      <w:bookmarkStart w:id="1320" w:name="_Toc7986"/>
      <w:bookmarkStart w:id="1321" w:name="_Toc26567"/>
      <w:bookmarkStart w:id="1322" w:name="_Toc15972"/>
      <w:bookmarkStart w:id="1323" w:name="_Toc6602"/>
      <w:bookmarkStart w:id="1324" w:name="_Toc15310"/>
      <w:bookmarkStart w:id="1325" w:name="_Toc5876"/>
      <w:bookmarkStart w:id="1326" w:name="_Toc22674"/>
      <w:bookmarkStart w:id="1327" w:name="_Toc20457"/>
      <w:bookmarkStart w:id="1328" w:name="_Toc5196"/>
      <w:bookmarkStart w:id="1329" w:name="_Toc17615"/>
      <w:bookmarkStart w:id="1330" w:name="_Toc15465"/>
      <w:bookmarkStart w:id="1331" w:name="_Toc17555"/>
      <w:bookmarkStart w:id="1332" w:name="_Toc566"/>
      <w:bookmarkStart w:id="1333" w:name="_Toc29192"/>
      <w:bookmarkStart w:id="1334" w:name="_Toc11963"/>
      <w:bookmarkStart w:id="1335" w:name="_Toc16001"/>
      <w:bookmarkStart w:id="1336" w:name="_Toc14698"/>
      <w:bookmarkStart w:id="1337" w:name="_Toc24830"/>
      <w:r>
        <w:rPr>
          <w:rFonts w:hint="eastAsia" w:ascii="微软雅黑" w:hAnsi="微软雅黑" w:eastAsia="微软雅黑" w:cs="微软雅黑"/>
          <w:b/>
          <w:bCs/>
          <w:color w:val="000000" w:themeColor="text1"/>
          <w:sz w:val="24"/>
          <w:szCs w:val="24"/>
          <w:highlight w:val="none"/>
          <w14:textFill>
            <w14:solidFill>
              <w14:schemeClr w14:val="tx1"/>
            </w14:solidFill>
          </w14:textFill>
        </w:rPr>
        <w:t>2.10 延迟交货</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338" w:name="_Toc23198"/>
      <w:bookmarkStart w:id="1339" w:name="_Toc17237"/>
      <w:bookmarkStart w:id="1340" w:name="_Toc19951"/>
      <w:bookmarkStart w:id="1341" w:name="_Toc9194"/>
      <w:bookmarkStart w:id="1342" w:name="_Toc9706"/>
      <w:bookmarkStart w:id="1343" w:name="_Toc14851"/>
      <w:bookmarkStart w:id="1344" w:name="_Toc507"/>
      <w:bookmarkStart w:id="1345" w:name="_Toc20266"/>
      <w:bookmarkStart w:id="1346" w:name="_Toc7444"/>
      <w:bookmarkStart w:id="1347" w:name="_Toc18704"/>
      <w:bookmarkStart w:id="1348" w:name="_Toc16528"/>
      <w:bookmarkStart w:id="1349" w:name="_Toc7502"/>
      <w:bookmarkStart w:id="1350" w:name="_Toc31403"/>
      <w:bookmarkStart w:id="1351" w:name="_Toc8126"/>
      <w:bookmarkStart w:id="1352" w:name="_Toc3064"/>
      <w:bookmarkStart w:id="1353" w:name="_Toc15143"/>
      <w:bookmarkStart w:id="1354" w:name="_Toc29075"/>
      <w:bookmarkStart w:id="1355" w:name="_Toc10956"/>
      <w:bookmarkStart w:id="1356" w:name="_Toc19434"/>
      <w:bookmarkStart w:id="1357" w:name="_Toc26357"/>
      <w:bookmarkStart w:id="1358" w:name="_Toc21567"/>
      <w:bookmarkStart w:id="1359" w:name="_Toc9229"/>
      <w:bookmarkStart w:id="1360" w:name="_Toc4551"/>
      <w:bookmarkStart w:id="1361" w:name="_Toc16810"/>
      <w:bookmarkStart w:id="1362" w:name="_Toc8441"/>
      <w:bookmarkStart w:id="1363" w:name="_Toc4586"/>
      <w:bookmarkStart w:id="1364" w:name="_Toc12175"/>
      <w:bookmarkStart w:id="1365" w:name="_Toc25717"/>
      <w:bookmarkStart w:id="1366" w:name="_Toc26004"/>
      <w:bookmarkStart w:id="1367" w:name="_Toc2860"/>
      <w:bookmarkStart w:id="1368" w:name="_Toc487900364"/>
      <w:bookmarkStart w:id="1369" w:name="_Toc279701254"/>
      <w:bookmarkStart w:id="1370" w:name="_Toc259093683"/>
      <w:bookmarkStart w:id="1371" w:name="_Ref467378121"/>
      <w:r>
        <w:rPr>
          <w:rFonts w:hint="eastAsia" w:ascii="微软雅黑" w:hAnsi="微软雅黑" w:eastAsia="微软雅黑" w:cs="微软雅黑"/>
          <w:b/>
          <w:bCs/>
          <w:color w:val="000000" w:themeColor="text1"/>
          <w:sz w:val="24"/>
          <w:szCs w:val="24"/>
          <w:highlight w:val="none"/>
          <w14:textFill>
            <w14:solidFill>
              <w14:schemeClr w14:val="tx1"/>
            </w14:solidFill>
          </w14:textFill>
        </w:rPr>
        <w:t>2.11 合同变更</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1372" w:name="_Toc279701259"/>
      <w:bookmarkStart w:id="1373" w:name="_Toc487900369"/>
      <w:bookmarkStart w:id="1374" w:name="_Toc259093688"/>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375" w:name="_Toc11626"/>
      <w:bookmarkStart w:id="1376" w:name="_Toc17486"/>
      <w:bookmarkStart w:id="1377" w:name="_Toc2157"/>
      <w:bookmarkStart w:id="1378" w:name="_Toc3062"/>
      <w:bookmarkStart w:id="1379" w:name="_Toc22955"/>
      <w:bookmarkStart w:id="1380" w:name="_Toc29045"/>
      <w:bookmarkStart w:id="1381" w:name="_Toc10537"/>
      <w:bookmarkStart w:id="1382" w:name="_Toc3825"/>
      <w:bookmarkStart w:id="1383" w:name="_Toc24850"/>
      <w:bookmarkStart w:id="1384" w:name="_Toc32003"/>
      <w:bookmarkStart w:id="1385" w:name="_Toc23079"/>
      <w:bookmarkStart w:id="1386" w:name="_Toc30397"/>
      <w:bookmarkStart w:id="1387" w:name="_Toc12164"/>
      <w:bookmarkStart w:id="1388" w:name="_Toc24511"/>
      <w:bookmarkStart w:id="1389" w:name="_Toc15237"/>
      <w:bookmarkStart w:id="1390" w:name="_Toc14895"/>
      <w:bookmarkStart w:id="1391" w:name="_Toc8679"/>
      <w:bookmarkStart w:id="1392" w:name="_Toc26864"/>
      <w:bookmarkStart w:id="1393" w:name="_Toc27772"/>
      <w:bookmarkStart w:id="1394" w:name="_Toc25508"/>
      <w:bookmarkStart w:id="1395" w:name="_Toc19380"/>
      <w:bookmarkStart w:id="1396" w:name="_Toc10366"/>
      <w:bookmarkStart w:id="1397" w:name="_Toc21753"/>
      <w:bookmarkStart w:id="1398" w:name="_Toc32581"/>
      <w:bookmarkStart w:id="1399" w:name="_Toc3931"/>
      <w:bookmarkStart w:id="1400" w:name="_Toc6051"/>
      <w:bookmarkStart w:id="1401" w:name="_Toc30520"/>
      <w:bookmarkStart w:id="1402" w:name="_Toc26224"/>
      <w:bookmarkStart w:id="1403" w:name="_Toc3928"/>
      <w:bookmarkStart w:id="1404" w:name="_Toc32309"/>
      <w:bookmarkStart w:id="1405" w:name="_Toc18316"/>
      <w:bookmarkStart w:id="1406" w:name="_Toc31419"/>
      <w:r>
        <w:rPr>
          <w:rFonts w:hint="eastAsia" w:ascii="微软雅黑" w:hAnsi="微软雅黑" w:eastAsia="微软雅黑" w:cs="微软雅黑"/>
          <w:b/>
          <w:bCs/>
          <w:color w:val="000000" w:themeColor="text1"/>
          <w:sz w:val="24"/>
          <w:szCs w:val="24"/>
          <w:highlight w:val="none"/>
          <w14:textFill>
            <w14:solidFill>
              <w14:schemeClr w14:val="tx1"/>
            </w14:solidFill>
          </w14:textFill>
        </w:rPr>
        <w:t>2.12 合同转让</w:t>
      </w:r>
      <w:bookmarkEnd w:id="1372"/>
      <w:bookmarkEnd w:id="1373"/>
      <w:bookmarkEnd w:id="1374"/>
      <w:r>
        <w:rPr>
          <w:rFonts w:hint="eastAsia" w:ascii="微软雅黑" w:hAnsi="微软雅黑" w:eastAsia="微软雅黑" w:cs="微软雅黑"/>
          <w:b/>
          <w:bCs/>
          <w:color w:val="000000" w:themeColor="text1"/>
          <w:sz w:val="24"/>
          <w:szCs w:val="24"/>
          <w:highlight w:val="none"/>
          <w14:textFill>
            <w14:solidFill>
              <w14:schemeClr w14:val="tx1"/>
            </w14:solidFill>
          </w14:textFill>
        </w:rPr>
        <w:t>和分包</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407" w:name="_Toc8114"/>
      <w:bookmarkStart w:id="1408" w:name="_Toc16508"/>
      <w:bookmarkStart w:id="1409" w:name="_Toc10688"/>
      <w:bookmarkStart w:id="1410" w:name="_Toc12165"/>
      <w:bookmarkStart w:id="1411" w:name="_Toc3533"/>
      <w:bookmarkStart w:id="1412" w:name="_Toc32426"/>
      <w:bookmarkStart w:id="1413" w:name="_Toc24741"/>
      <w:bookmarkStart w:id="1414" w:name="_Toc12809"/>
      <w:bookmarkStart w:id="1415" w:name="_Toc32580"/>
      <w:bookmarkStart w:id="1416" w:name="_Toc14066"/>
      <w:bookmarkStart w:id="1417" w:name="_Toc14752"/>
      <w:bookmarkStart w:id="1418" w:name="_Toc7077"/>
      <w:bookmarkStart w:id="1419" w:name="_Toc3177"/>
      <w:bookmarkStart w:id="1420" w:name="_Toc13557"/>
      <w:bookmarkStart w:id="1421" w:name="_Toc2586"/>
      <w:bookmarkStart w:id="1422" w:name="_Toc15741"/>
      <w:bookmarkStart w:id="1423" w:name="_Toc17498"/>
      <w:bookmarkStart w:id="1424" w:name="_Toc6414"/>
      <w:bookmarkStart w:id="1425" w:name="_Toc5484"/>
      <w:bookmarkStart w:id="1426" w:name="_Toc4097"/>
      <w:bookmarkStart w:id="1427" w:name="_Toc31984"/>
      <w:bookmarkStart w:id="1428" w:name="_Toc32515"/>
      <w:bookmarkStart w:id="1429" w:name="_Toc22326"/>
      <w:bookmarkStart w:id="1430" w:name="_Toc11104"/>
      <w:bookmarkStart w:id="1431" w:name="_Toc9783"/>
      <w:bookmarkStart w:id="1432" w:name="_Toc13566"/>
      <w:bookmarkStart w:id="1433" w:name="_Toc16893"/>
      <w:bookmarkStart w:id="1434" w:name="_Toc18272"/>
      <w:bookmarkStart w:id="1435" w:name="_Toc14564"/>
      <w:bookmarkStart w:id="1436" w:name="_Toc19750"/>
      <w:bookmarkStart w:id="1437" w:name="_Toc19407"/>
      <w:bookmarkStart w:id="1438" w:name="_Toc4540"/>
      <w:r>
        <w:rPr>
          <w:rFonts w:hint="eastAsia" w:ascii="微软雅黑" w:hAnsi="微软雅黑" w:eastAsia="微软雅黑" w:cs="微软雅黑"/>
          <w:b/>
          <w:bCs/>
          <w:color w:val="000000" w:themeColor="text1"/>
          <w:sz w:val="24"/>
          <w:szCs w:val="24"/>
          <w:highlight w:val="none"/>
          <w14:textFill>
            <w14:solidFill>
              <w14:schemeClr w14:val="tx1"/>
            </w14:solidFill>
          </w14:textFill>
        </w:rPr>
        <w:t>2.13 不可抗力</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2.13.2 因不可抗力致使不能实现合同目的的，当事人可以解除合同；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2.13.3 因不可抗力致使合同有变更必要的，双方当事人应在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约定时间内以书面形式变更合同；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2.13.4受不可抗力影响的一方在不可抗力发生后，应在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约定时间内以书面形式通知对方当事人，并在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约定时间内，将有关部门出具的证明文件送达对方当事人。</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439" w:name="_Toc22812"/>
      <w:bookmarkStart w:id="1440" w:name="_Toc20375"/>
      <w:bookmarkStart w:id="1441" w:name="_Toc19677"/>
      <w:bookmarkStart w:id="1442" w:name="_Toc32764"/>
      <w:bookmarkStart w:id="1443" w:name="_Toc6676"/>
      <w:bookmarkStart w:id="1444" w:name="_Toc7175"/>
      <w:bookmarkStart w:id="1445" w:name="_Toc259093684"/>
      <w:bookmarkStart w:id="1446" w:name="_Toc279701255"/>
      <w:bookmarkStart w:id="1447" w:name="_Toc4006"/>
      <w:bookmarkStart w:id="1448" w:name="_Toc11423"/>
      <w:bookmarkStart w:id="1449" w:name="_Toc689"/>
      <w:bookmarkStart w:id="1450" w:name="_Toc11875"/>
      <w:bookmarkStart w:id="1451" w:name="_Toc28340"/>
      <w:bookmarkStart w:id="1452" w:name="_Toc7145"/>
      <w:bookmarkStart w:id="1453" w:name="_Toc12959"/>
      <w:bookmarkStart w:id="1454" w:name="_Toc26085"/>
      <w:bookmarkStart w:id="1455" w:name="_Toc5884"/>
      <w:bookmarkStart w:id="1456" w:name="_Toc28117"/>
      <w:bookmarkStart w:id="1457" w:name="_Toc6969"/>
      <w:bookmarkStart w:id="1458" w:name="_Toc13910"/>
      <w:bookmarkStart w:id="1459" w:name="_Toc6047"/>
      <w:bookmarkStart w:id="1460" w:name="_Toc31597"/>
      <w:bookmarkStart w:id="1461" w:name="_Toc16229"/>
      <w:bookmarkStart w:id="1462" w:name="_Toc24010"/>
      <w:bookmarkStart w:id="1463" w:name="_Toc6288"/>
      <w:bookmarkStart w:id="1464" w:name="_Toc25124"/>
      <w:bookmarkStart w:id="1465" w:name="_Toc11876"/>
      <w:bookmarkStart w:id="1466" w:name="_Toc16506"/>
      <w:bookmarkStart w:id="1467" w:name="_Toc13151"/>
      <w:bookmarkStart w:id="1468" w:name="_Toc28198"/>
      <w:bookmarkStart w:id="1469" w:name="_Toc10528"/>
      <w:bookmarkStart w:id="1470" w:name="_Toc30676"/>
      <w:bookmarkStart w:id="1471" w:name="_Toc1957"/>
      <w:bookmarkStart w:id="1472" w:name="_Toc487900365"/>
      <w:bookmarkStart w:id="1473" w:name="_Toc1584"/>
      <w:r>
        <w:rPr>
          <w:rFonts w:hint="eastAsia" w:ascii="微软雅黑" w:hAnsi="微软雅黑" w:eastAsia="微软雅黑" w:cs="微软雅黑"/>
          <w:b/>
          <w:bCs/>
          <w:color w:val="000000" w:themeColor="text1"/>
          <w:sz w:val="24"/>
          <w:szCs w:val="24"/>
          <w:highlight w:val="none"/>
          <w14:textFill>
            <w14:solidFill>
              <w14:schemeClr w14:val="tx1"/>
            </w14:solidFill>
          </w14:textFill>
        </w:rPr>
        <w:t>2.14 税费</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与合同有关的一切税费，均按照中华人民共和国法律的相关规定。</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474" w:name="_Toc23872"/>
      <w:bookmarkStart w:id="1475" w:name="_Toc7117"/>
      <w:bookmarkStart w:id="1476" w:name="_Toc29993"/>
      <w:bookmarkStart w:id="1477" w:name="_Toc27541"/>
      <w:bookmarkStart w:id="1478" w:name="_Toc22239"/>
      <w:bookmarkStart w:id="1479" w:name="_Toc15256"/>
      <w:bookmarkStart w:id="1480" w:name="_Toc25055"/>
      <w:bookmarkStart w:id="1481" w:name="_Toc23266"/>
      <w:bookmarkStart w:id="1482" w:name="_Toc12141"/>
      <w:bookmarkStart w:id="1483" w:name="_Toc25260"/>
      <w:bookmarkStart w:id="1484" w:name="_Toc4812"/>
      <w:bookmarkStart w:id="1485" w:name="_Toc487900368"/>
      <w:bookmarkStart w:id="1486" w:name="_Toc14403"/>
      <w:bookmarkStart w:id="1487" w:name="_Toc7102"/>
      <w:bookmarkStart w:id="1488" w:name="_Toc29869"/>
      <w:bookmarkStart w:id="1489" w:name="_Toc18401"/>
      <w:bookmarkStart w:id="1490" w:name="_Toc8934"/>
      <w:bookmarkStart w:id="1491" w:name="_Toc23510"/>
      <w:bookmarkStart w:id="1492" w:name="_Toc20594"/>
      <w:bookmarkStart w:id="1493" w:name="_Toc515"/>
      <w:bookmarkStart w:id="1494" w:name="_Toc259093687"/>
      <w:bookmarkStart w:id="1495" w:name="_Toc17523"/>
      <w:bookmarkStart w:id="1496" w:name="_Toc16959"/>
      <w:bookmarkStart w:id="1497" w:name="_Toc13488"/>
      <w:bookmarkStart w:id="1498" w:name="_Toc15527"/>
      <w:bookmarkStart w:id="1499" w:name="_Toc13626"/>
      <w:bookmarkStart w:id="1500" w:name="_Toc8298"/>
      <w:bookmarkStart w:id="1501" w:name="_Toc26719"/>
      <w:bookmarkStart w:id="1502" w:name="_Toc25845"/>
      <w:bookmarkStart w:id="1503" w:name="_Toc24862"/>
      <w:bookmarkStart w:id="1504" w:name="_Toc27714"/>
      <w:bookmarkStart w:id="1505" w:name="_Toc21290"/>
      <w:bookmarkStart w:id="1506" w:name="_Toc279701258"/>
      <w:bookmarkStart w:id="1507" w:name="_Toc11308"/>
      <w:bookmarkStart w:id="1508" w:name="_Toc8496"/>
      <w:r>
        <w:rPr>
          <w:rFonts w:hint="eastAsia" w:ascii="微软雅黑" w:hAnsi="微软雅黑" w:eastAsia="微软雅黑" w:cs="微软雅黑"/>
          <w:b/>
          <w:bCs/>
          <w:color w:val="000000" w:themeColor="text1"/>
          <w:sz w:val="24"/>
          <w:szCs w:val="24"/>
          <w:highlight w:val="none"/>
          <w14:textFill>
            <w14:solidFill>
              <w14:schemeClr w14:val="tx1"/>
            </w14:solidFill>
          </w14:textFill>
        </w:rPr>
        <w:t>2.15 乙方破产</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509" w:name="_Toc15445"/>
      <w:bookmarkStart w:id="1510" w:name="_Toc16990"/>
      <w:bookmarkStart w:id="1511" w:name="_Toc29333"/>
      <w:bookmarkStart w:id="1512" w:name="_Toc32508"/>
      <w:bookmarkStart w:id="1513" w:name="_Toc31639"/>
      <w:bookmarkStart w:id="1514" w:name="_Toc23040"/>
      <w:bookmarkStart w:id="1515" w:name="_Toc1942"/>
      <w:bookmarkStart w:id="1516" w:name="_Toc30362"/>
      <w:bookmarkStart w:id="1517" w:name="_Toc23355"/>
      <w:bookmarkStart w:id="1518" w:name="_Toc9893"/>
      <w:bookmarkStart w:id="1519" w:name="_Toc15605"/>
      <w:bookmarkStart w:id="1520" w:name="_Toc15387"/>
      <w:bookmarkStart w:id="1521" w:name="_Toc32399"/>
      <w:bookmarkStart w:id="1522" w:name="_Toc3991"/>
      <w:bookmarkStart w:id="1523" w:name="_Toc4013"/>
      <w:bookmarkStart w:id="1524" w:name="_Toc1303"/>
      <w:bookmarkStart w:id="1525" w:name="_Toc24066"/>
      <w:bookmarkStart w:id="1526" w:name="_Toc9318"/>
      <w:bookmarkStart w:id="1527" w:name="_Toc4227"/>
      <w:bookmarkStart w:id="1528" w:name="_Toc24867"/>
      <w:bookmarkStart w:id="1529" w:name="_Toc6134"/>
      <w:bookmarkStart w:id="1530" w:name="_Toc12420"/>
      <w:bookmarkStart w:id="1531" w:name="_Toc21321"/>
      <w:bookmarkStart w:id="1532" w:name="_Toc29764"/>
      <w:bookmarkStart w:id="1533" w:name="_Toc110"/>
      <w:bookmarkStart w:id="1534" w:name="_Toc25273"/>
      <w:bookmarkStart w:id="1535" w:name="_Toc26255"/>
      <w:bookmarkStart w:id="1536" w:name="_Toc24976"/>
      <w:bookmarkStart w:id="1537" w:name="_Toc12838"/>
      <w:bookmarkStart w:id="1538" w:name="_Toc818"/>
      <w:bookmarkStart w:id="1539" w:name="_Toc12606"/>
      <w:bookmarkStart w:id="1540" w:name="_Toc27106"/>
      <w:r>
        <w:rPr>
          <w:rFonts w:hint="eastAsia" w:ascii="微软雅黑" w:hAnsi="微软雅黑" w:eastAsia="微软雅黑" w:cs="微软雅黑"/>
          <w:b/>
          <w:bCs/>
          <w:color w:val="000000" w:themeColor="text1"/>
          <w:sz w:val="24"/>
          <w:szCs w:val="24"/>
          <w:highlight w:val="none"/>
          <w14:textFill>
            <w14:solidFill>
              <w14:schemeClr w14:val="tx1"/>
            </w14:solidFill>
          </w14:textFill>
        </w:rPr>
        <w:t>2.16 合同中止、终止</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2.16.1 双方当事人不得擅自中止或者终止合同；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541" w:name="_Toc14890"/>
      <w:bookmarkStart w:id="1542" w:name="_Toc11637"/>
      <w:bookmarkStart w:id="1543" w:name="_Toc31577"/>
      <w:bookmarkStart w:id="1544" w:name="_Toc25710"/>
      <w:bookmarkStart w:id="1545" w:name="_Toc26464"/>
      <w:bookmarkStart w:id="1546" w:name="_Toc14563"/>
      <w:bookmarkStart w:id="1547" w:name="_Toc19755"/>
      <w:bookmarkStart w:id="1548" w:name="_Toc11658"/>
      <w:bookmarkStart w:id="1549" w:name="_Toc24731"/>
      <w:bookmarkStart w:id="1550" w:name="_Toc25183"/>
      <w:bookmarkStart w:id="1551" w:name="_Toc21636"/>
      <w:bookmarkStart w:id="1552" w:name="_Toc29952"/>
      <w:bookmarkStart w:id="1553" w:name="_Toc1125"/>
      <w:bookmarkStart w:id="1554" w:name="_Toc25516"/>
      <w:bookmarkStart w:id="1555" w:name="_Toc30958"/>
      <w:bookmarkStart w:id="1556" w:name="_Toc30133"/>
      <w:bookmarkStart w:id="1557" w:name="_Toc13150"/>
      <w:bookmarkStart w:id="1558" w:name="_Toc30476"/>
      <w:bookmarkStart w:id="1559" w:name="_Toc13848"/>
      <w:bookmarkStart w:id="1560" w:name="_Toc6704"/>
      <w:bookmarkStart w:id="1561" w:name="_Toc28047"/>
      <w:bookmarkStart w:id="1562" w:name="_Toc4111"/>
      <w:bookmarkStart w:id="1563" w:name="_Toc25230"/>
      <w:bookmarkStart w:id="1564" w:name="_Toc6656"/>
      <w:bookmarkStart w:id="1565" w:name="_Toc2491"/>
      <w:bookmarkStart w:id="1566" w:name="_Toc26299"/>
      <w:bookmarkStart w:id="1567" w:name="_Toc6596"/>
      <w:bookmarkStart w:id="1568" w:name="_Toc5648"/>
      <w:bookmarkStart w:id="1569" w:name="_Toc25358"/>
      <w:bookmarkStart w:id="1570" w:name="_Toc28303"/>
      <w:bookmarkStart w:id="1571" w:name="_Toc23870"/>
      <w:bookmarkStart w:id="1572" w:name="_Toc20145"/>
      <w:r>
        <w:rPr>
          <w:rFonts w:hint="eastAsia" w:ascii="微软雅黑" w:hAnsi="微软雅黑" w:eastAsia="微软雅黑" w:cs="微软雅黑"/>
          <w:b/>
          <w:bCs/>
          <w:color w:val="000000" w:themeColor="text1"/>
          <w:sz w:val="24"/>
          <w:szCs w:val="24"/>
          <w:highlight w:val="none"/>
          <w14:textFill>
            <w14:solidFill>
              <w14:schemeClr w14:val="tx1"/>
            </w14:solidFill>
          </w14:textFill>
        </w:rPr>
        <w:t>2.17 检验和验收</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约定时间内组织验收，并可依法邀请相关方参加，验收应出具验收书。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2.17.3 检验和验收标准、程序等具体内容以及前述验收书的效力详见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i/>
          <w:iCs/>
          <w:color w:val="000000" w:themeColor="text1"/>
          <w:sz w:val="24"/>
          <w:szCs w:val="24"/>
          <w:highlight w:val="none"/>
          <w14:textFill>
            <w14:solidFill>
              <w14:schemeClr w14:val="tx1"/>
            </w14:solidFill>
          </w14:textFill>
        </w:rPr>
        <w:t>。</w:t>
      </w:r>
    </w:p>
    <w:bookmarkEnd w:id="1368"/>
    <w:bookmarkEnd w:id="1369"/>
    <w:bookmarkEnd w:id="1370"/>
    <w:bookmarkEnd w:id="1371"/>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573" w:name="_Toc279701261"/>
      <w:bookmarkStart w:id="1574" w:name="_Toc259093690"/>
      <w:bookmarkStart w:id="1575" w:name="_Toc487900371"/>
      <w:bookmarkStart w:id="1576" w:name="_Toc14665"/>
      <w:bookmarkStart w:id="1577" w:name="_Toc25182"/>
      <w:bookmarkStart w:id="1578" w:name="_Toc15037"/>
      <w:bookmarkStart w:id="1579" w:name="_Toc7660"/>
      <w:bookmarkStart w:id="1580" w:name="_Toc22021"/>
      <w:bookmarkStart w:id="1581" w:name="_Toc13220"/>
      <w:bookmarkStart w:id="1582" w:name="_Toc324"/>
      <w:bookmarkStart w:id="1583" w:name="_Toc12493"/>
      <w:bookmarkStart w:id="1584" w:name="_Toc31945"/>
      <w:bookmarkStart w:id="1585" w:name="_Toc8096"/>
      <w:bookmarkStart w:id="1586" w:name="_Toc25692"/>
      <w:bookmarkStart w:id="1587" w:name="_Toc10130"/>
      <w:bookmarkStart w:id="1588" w:name="_Toc7113"/>
      <w:bookmarkStart w:id="1589" w:name="_Toc8125"/>
      <w:bookmarkStart w:id="1590" w:name="_Toc12804"/>
      <w:bookmarkStart w:id="1591" w:name="_Toc4983"/>
      <w:bookmarkStart w:id="1592" w:name="_Toc27621"/>
      <w:bookmarkStart w:id="1593" w:name="_Toc11284"/>
      <w:bookmarkStart w:id="1594" w:name="_Toc29267"/>
      <w:bookmarkStart w:id="1595" w:name="_Toc26823"/>
      <w:bookmarkStart w:id="1596" w:name="_Toc9266"/>
      <w:bookmarkStart w:id="1597" w:name="_Toc26892"/>
      <w:bookmarkStart w:id="1598" w:name="_Toc725"/>
      <w:bookmarkStart w:id="1599" w:name="_Toc14242"/>
      <w:bookmarkStart w:id="1600" w:name="_Toc7641"/>
      <w:bookmarkStart w:id="1601" w:name="_Toc17270"/>
      <w:bookmarkStart w:id="1602" w:name="_Toc17313"/>
      <w:bookmarkStart w:id="1603" w:name="_Toc1874"/>
      <w:bookmarkStart w:id="1604" w:name="_Toc20557"/>
      <w:bookmarkStart w:id="1605" w:name="_Toc28373"/>
      <w:bookmarkStart w:id="1606" w:name="_Toc23633"/>
      <w:bookmarkStart w:id="1607" w:name="_Toc19604"/>
      <w:r>
        <w:rPr>
          <w:rFonts w:hint="eastAsia" w:ascii="微软雅黑" w:hAnsi="微软雅黑" w:eastAsia="微软雅黑" w:cs="微软雅黑"/>
          <w:b/>
          <w:bCs/>
          <w:color w:val="000000" w:themeColor="text1"/>
          <w:sz w:val="24"/>
          <w:szCs w:val="24"/>
          <w:highlight w:val="none"/>
          <w14:textFill>
            <w14:solidFill>
              <w14:schemeClr w14:val="tx1"/>
            </w14:solidFill>
          </w14:textFill>
        </w:rPr>
        <w:t>2.18 通知</w:t>
      </w:r>
      <w:bookmarkEnd w:id="1573"/>
      <w:bookmarkEnd w:id="1574"/>
      <w:bookmarkEnd w:id="1575"/>
      <w:r>
        <w:rPr>
          <w:rFonts w:hint="eastAsia" w:ascii="微软雅黑" w:hAnsi="微软雅黑" w:eastAsia="微软雅黑" w:cs="微软雅黑"/>
          <w:b/>
          <w:bCs/>
          <w:color w:val="000000" w:themeColor="text1"/>
          <w:sz w:val="24"/>
          <w:szCs w:val="24"/>
          <w:highlight w:val="none"/>
          <w14:textFill>
            <w14:solidFill>
              <w14:schemeClr w14:val="tx1"/>
            </w14:solidFill>
          </w14:textFill>
        </w:rPr>
        <w:t>和送达</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608" w:name="_Toc3135"/>
      <w:bookmarkStart w:id="1609" w:name="_Toc6698"/>
      <w:bookmarkStart w:id="1610" w:name="_Toc487900372"/>
      <w:bookmarkStart w:id="1611" w:name="_Toc279701262"/>
      <w:bookmarkStart w:id="1612" w:name="_Toc259093691"/>
      <w:r>
        <w:rPr>
          <w:rFonts w:hint="eastAsia" w:ascii="微软雅黑" w:hAnsi="微软雅黑" w:eastAsia="微软雅黑" w:cs="微软雅黑"/>
          <w:color w:val="000000" w:themeColor="text1"/>
          <w:sz w:val="24"/>
          <w:szCs w:val="24"/>
          <w:highlight w:val="none"/>
          <w14:textFill>
            <w14:solidFill>
              <w14:schemeClr w14:val="tx1"/>
            </w14:solidFill>
          </w14:textFill>
        </w:rPr>
        <w:t>2.18.1 任何一方因履行合同而以合同第一部分尾部所列明的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发出的所有通知、文件、材料，均视为已向对方当事人送达；任何一方变更上述送达方式或者地址的，应于</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个工作日内书面通知对方当事人，在对方当事人收到有关变更通知之前，变更前的约定送达方式或者地址仍视为有效。</w:t>
      </w:r>
      <w:bookmarkEnd w:id="1608"/>
      <w:bookmarkEnd w:id="160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613" w:name="_Toc23128"/>
      <w:bookmarkStart w:id="1614" w:name="_Toc23294"/>
      <w:r>
        <w:rPr>
          <w:rFonts w:hint="eastAsia" w:ascii="微软雅黑" w:hAnsi="微软雅黑" w:eastAsia="微软雅黑" w:cs="微软雅黑"/>
          <w:color w:val="000000" w:themeColor="text1"/>
          <w:sz w:val="24"/>
          <w:szCs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13"/>
      <w:bookmarkEnd w:id="1614"/>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615" w:name="_Toc25392"/>
      <w:bookmarkStart w:id="1616" w:name="_Toc4241"/>
      <w:bookmarkStart w:id="1617" w:name="_Toc14810"/>
      <w:bookmarkStart w:id="1618" w:name="_Toc7224"/>
      <w:bookmarkStart w:id="1619" w:name="_Toc4747"/>
      <w:bookmarkStart w:id="1620" w:name="_Toc4355"/>
      <w:bookmarkStart w:id="1621" w:name="_Toc2100"/>
      <w:bookmarkStart w:id="1622" w:name="_Toc32386"/>
      <w:bookmarkStart w:id="1623" w:name="_Toc30497"/>
      <w:bookmarkStart w:id="1624" w:name="_Toc11892"/>
      <w:bookmarkStart w:id="1625" w:name="_Toc10932"/>
      <w:bookmarkStart w:id="1626" w:name="_Toc30599"/>
      <w:bookmarkStart w:id="1627" w:name="_Toc27038"/>
      <w:bookmarkStart w:id="1628" w:name="_Toc12722"/>
      <w:bookmarkStart w:id="1629" w:name="_Toc5141"/>
      <w:bookmarkStart w:id="1630" w:name="_Toc7942"/>
      <w:bookmarkStart w:id="1631" w:name="_Toc21923"/>
      <w:bookmarkStart w:id="1632" w:name="_Toc9371"/>
      <w:bookmarkStart w:id="1633" w:name="_Toc20837"/>
      <w:bookmarkStart w:id="1634" w:name="_Toc31861"/>
      <w:bookmarkStart w:id="1635" w:name="_Toc12721"/>
      <w:bookmarkStart w:id="1636" w:name="_Toc29312"/>
      <w:bookmarkStart w:id="1637" w:name="_Toc20914"/>
      <w:bookmarkStart w:id="1638" w:name="_Toc15273"/>
      <w:bookmarkStart w:id="1639" w:name="_Toc27399"/>
      <w:bookmarkStart w:id="1640" w:name="_Toc24265"/>
      <w:bookmarkStart w:id="1641" w:name="_Toc18621"/>
      <w:bookmarkStart w:id="1642" w:name="_Toc21464"/>
      <w:bookmarkStart w:id="1643" w:name="_Toc2623"/>
      <w:bookmarkStart w:id="1644" w:name="_Toc20309"/>
      <w:bookmarkStart w:id="1645" w:name="_Toc18540"/>
      <w:bookmarkStart w:id="1646" w:name="_Toc7277"/>
      <w:r>
        <w:rPr>
          <w:rFonts w:hint="eastAsia" w:ascii="微软雅黑" w:hAnsi="微软雅黑" w:eastAsia="微软雅黑" w:cs="微软雅黑"/>
          <w:b/>
          <w:bCs/>
          <w:color w:val="000000" w:themeColor="text1"/>
          <w:sz w:val="24"/>
          <w:szCs w:val="24"/>
          <w:highlight w:val="none"/>
          <w14:textFill>
            <w14:solidFill>
              <w14:schemeClr w14:val="tx1"/>
            </w14:solidFill>
          </w14:textFill>
        </w:rPr>
        <w:t>2.19 计量单位</w:t>
      </w:r>
      <w:bookmarkEnd w:id="1610"/>
      <w:bookmarkEnd w:id="1611"/>
      <w:bookmarkEnd w:id="1612"/>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除技术规范中另有规定外,合同的计量单位均使用国家法定计量单位。</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647" w:name="_Toc17294"/>
      <w:bookmarkStart w:id="1648" w:name="_Toc32236"/>
      <w:bookmarkStart w:id="1649" w:name="_Toc16663"/>
      <w:bookmarkStart w:id="1650" w:name="_Toc15288"/>
      <w:bookmarkStart w:id="1651" w:name="_Toc259093692"/>
      <w:bookmarkStart w:id="1652" w:name="_Toc15589"/>
      <w:bookmarkStart w:id="1653" w:name="_Toc17517"/>
      <w:bookmarkStart w:id="1654" w:name="_Toc20921"/>
      <w:bookmarkStart w:id="1655" w:name="_Toc18634"/>
      <w:bookmarkStart w:id="1656" w:name="_Toc28784"/>
      <w:bookmarkStart w:id="1657" w:name="_Toc10830"/>
      <w:bookmarkStart w:id="1658" w:name="_Toc8919"/>
      <w:bookmarkStart w:id="1659" w:name="_Toc279701263"/>
      <w:bookmarkStart w:id="1660" w:name="_Toc10330"/>
      <w:bookmarkStart w:id="1661" w:name="_Toc16880"/>
      <w:bookmarkStart w:id="1662" w:name="_Toc487900373"/>
      <w:bookmarkStart w:id="1663" w:name="_Toc9626"/>
      <w:bookmarkStart w:id="1664" w:name="_Toc6555"/>
      <w:bookmarkStart w:id="1665" w:name="_Toc13514"/>
      <w:bookmarkStart w:id="1666" w:name="_Toc12582"/>
      <w:bookmarkStart w:id="1667" w:name="_Toc18567"/>
      <w:bookmarkStart w:id="1668" w:name="_Toc15261"/>
      <w:bookmarkStart w:id="1669" w:name="_Toc5796"/>
      <w:bookmarkStart w:id="1670" w:name="_Toc9178"/>
      <w:bookmarkStart w:id="1671" w:name="_Toc13131"/>
      <w:bookmarkStart w:id="1672" w:name="_Toc15868"/>
      <w:bookmarkStart w:id="1673" w:name="_Toc15428"/>
      <w:bookmarkStart w:id="1674" w:name="_Toc19154"/>
      <w:bookmarkStart w:id="1675" w:name="_Toc13041"/>
      <w:bookmarkStart w:id="1676" w:name="_Toc12773"/>
      <w:bookmarkStart w:id="1677" w:name="_Toc1728"/>
      <w:bookmarkStart w:id="1678" w:name="_Toc20624"/>
      <w:bookmarkStart w:id="1679" w:name="_Toc11130"/>
      <w:bookmarkStart w:id="1680" w:name="_Toc27589"/>
      <w:bookmarkStart w:id="1681" w:name="_Toc32583"/>
      <w:r>
        <w:rPr>
          <w:rFonts w:hint="eastAsia" w:ascii="微软雅黑" w:hAnsi="微软雅黑" w:eastAsia="微软雅黑" w:cs="微软雅黑"/>
          <w:b/>
          <w:bCs/>
          <w:color w:val="000000" w:themeColor="text1"/>
          <w:sz w:val="24"/>
          <w:szCs w:val="24"/>
          <w:highlight w:val="none"/>
          <w14:textFill>
            <w14:solidFill>
              <w14:schemeClr w14:val="tx1"/>
            </w14:solidFill>
          </w14:textFill>
        </w:rPr>
        <w:t>2.20 合同使用的文字和适用的法律</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2.20.1 合同使用汉语书就、变更和解释；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2.20.2 合同适用中华人民共和国法律。</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682" w:name="_Toc26372"/>
      <w:bookmarkStart w:id="1683" w:name="_Toc13925"/>
      <w:bookmarkStart w:id="1684" w:name="_Toc22858"/>
      <w:bookmarkStart w:id="1685" w:name="_Toc25551"/>
      <w:bookmarkStart w:id="1686" w:name="_Toc3838"/>
      <w:bookmarkStart w:id="1687" w:name="_Toc16176"/>
      <w:bookmarkStart w:id="1688" w:name="_Toc7541"/>
      <w:bookmarkStart w:id="1689" w:name="_Toc3148"/>
      <w:bookmarkStart w:id="1690" w:name="_Toc30675"/>
      <w:bookmarkStart w:id="1691" w:name="_Toc31790"/>
      <w:bookmarkStart w:id="1692" w:name="_Toc5571"/>
      <w:bookmarkStart w:id="1693" w:name="_Toc20231"/>
      <w:bookmarkStart w:id="1694" w:name="_Toc8602"/>
      <w:bookmarkStart w:id="1695" w:name="_Toc1670"/>
      <w:bookmarkStart w:id="1696" w:name="_Toc14308"/>
      <w:bookmarkStart w:id="1697" w:name="_Toc14964"/>
      <w:bookmarkStart w:id="1698" w:name="_Toc18845"/>
      <w:bookmarkStart w:id="1699" w:name="_Toc29073"/>
      <w:bookmarkStart w:id="1700" w:name="_Toc16778"/>
      <w:bookmarkStart w:id="1701" w:name="_Toc11628"/>
      <w:bookmarkStart w:id="1702" w:name="_Toc32497"/>
      <w:bookmarkStart w:id="1703" w:name="_Toc28767"/>
      <w:bookmarkStart w:id="1704" w:name="_Toc15434"/>
      <w:bookmarkStart w:id="1705" w:name="_Toc30511"/>
      <w:bookmarkStart w:id="1706" w:name="_Toc31421"/>
      <w:bookmarkStart w:id="1707" w:name="_Toc12004"/>
      <w:bookmarkStart w:id="1708" w:name="_Toc5000"/>
      <w:bookmarkStart w:id="1709" w:name="_Toc279701264"/>
      <w:bookmarkStart w:id="1710" w:name="_Toc16673"/>
      <w:bookmarkStart w:id="1711" w:name="_Toc9739"/>
      <w:bookmarkStart w:id="1712" w:name="_Toc638"/>
      <w:bookmarkStart w:id="1713" w:name="_Toc26526"/>
      <w:bookmarkStart w:id="1714" w:name="_Toc259093693"/>
      <w:bookmarkStart w:id="1715" w:name="_Toc6864"/>
      <w:bookmarkStart w:id="1716" w:name="_Toc487900374"/>
      <w:r>
        <w:rPr>
          <w:rFonts w:hint="eastAsia" w:ascii="微软雅黑" w:hAnsi="微软雅黑" w:eastAsia="微软雅黑" w:cs="微软雅黑"/>
          <w:b/>
          <w:bCs/>
          <w:color w:val="000000" w:themeColor="text1"/>
          <w:sz w:val="24"/>
          <w:szCs w:val="24"/>
          <w:highlight w:val="none"/>
          <w14:textFill>
            <w14:solidFill>
              <w14:schemeClr w14:val="tx1"/>
            </w14:solidFill>
          </w14:textFill>
        </w:rPr>
        <w:t>2.21 履约保证金</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2.21.1 采购文件要求乙方提交履约保证金的，乙方应按</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2.21.2  履约保证金在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约定期间内或者货物质量保证期内不予退还或者应完全有效，前述约定期间届满或者货物质量保证期届满之日起</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个工作日内，甲方应将履约保证金退还乙方；</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16"/>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717" w:name="_Toc26595"/>
      <w:bookmarkStart w:id="1718" w:name="_Toc20802"/>
      <w:bookmarkStart w:id="1719" w:name="_Toc8495"/>
      <w:bookmarkStart w:id="1720" w:name="_Toc2720"/>
      <w:bookmarkStart w:id="1721" w:name="_Toc10801"/>
      <w:bookmarkStart w:id="1722" w:name="_Toc30847"/>
      <w:bookmarkStart w:id="1723" w:name="_Toc30496"/>
      <w:bookmarkStart w:id="1724" w:name="_Toc19890"/>
      <w:bookmarkStart w:id="1725" w:name="_Toc28525"/>
      <w:bookmarkStart w:id="1726" w:name="_Toc16450"/>
      <w:bookmarkStart w:id="1727" w:name="_Toc27563"/>
      <w:bookmarkStart w:id="1728" w:name="_Toc11103"/>
      <w:bookmarkStart w:id="1729" w:name="_Toc12034"/>
      <w:bookmarkStart w:id="1730" w:name="_Toc3595"/>
      <w:bookmarkStart w:id="1731" w:name="_Toc14217"/>
      <w:bookmarkStart w:id="1732" w:name="_Toc14001"/>
      <w:bookmarkStart w:id="1733" w:name="_Toc28555"/>
      <w:bookmarkStart w:id="1734" w:name="_Toc24807"/>
      <w:bookmarkStart w:id="1735" w:name="_Toc23163"/>
      <w:bookmarkStart w:id="1736" w:name="_Toc25691"/>
      <w:bookmarkStart w:id="1737" w:name="_Toc6885"/>
      <w:bookmarkStart w:id="1738" w:name="_Toc22821"/>
      <w:bookmarkStart w:id="1739" w:name="_Toc16431"/>
      <w:bookmarkStart w:id="1740" w:name="_Toc17310"/>
      <w:bookmarkStart w:id="1741" w:name="_Toc22496"/>
      <w:bookmarkStart w:id="1742" w:name="_Toc21924"/>
      <w:bookmarkStart w:id="1743" w:name="_Toc32754"/>
      <w:bookmarkStart w:id="1744" w:name="_Toc8867"/>
      <w:bookmarkStart w:id="1745" w:name="_Toc32408"/>
      <w:bookmarkStart w:id="1746" w:name="_Toc24006"/>
      <w:bookmarkStart w:id="1747" w:name="_Toc6325"/>
      <w:bookmarkStart w:id="1748" w:name="_Toc21772"/>
      <w:r>
        <w:rPr>
          <w:rFonts w:hint="eastAsia" w:ascii="微软雅黑" w:hAnsi="微软雅黑" w:eastAsia="微软雅黑" w:cs="微软雅黑"/>
          <w:b/>
          <w:bCs/>
          <w:color w:val="000000" w:themeColor="text1"/>
          <w:sz w:val="24"/>
          <w:szCs w:val="24"/>
          <w:highlight w:val="none"/>
          <w14:textFill>
            <w14:solidFill>
              <w14:schemeClr w14:val="tx1"/>
            </w14:solidFill>
          </w14:textFill>
        </w:rPr>
        <w:t>2.22 合同份数</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合同份数按</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规定，每份均具有同等法律效力。</w:t>
      </w:r>
      <w:bookmarkStart w:id="1749" w:name="_Toc331685784"/>
    </w:p>
    <w:p>
      <w:pPr>
        <w:pStyle w:val="36"/>
        <w:keepNext w:val="0"/>
        <w:keepLines w:val="0"/>
        <w:pageBreakBefore w:val="0"/>
        <w:kinsoku/>
        <w:wordWrap/>
        <w:overflowPunct/>
        <w:topLinePunct w:val="0"/>
        <w:bidi w:val="0"/>
        <w:snapToGrid/>
        <w:spacing w:line="400" w:lineRule="exact"/>
        <w:ind w:firstLine="0"/>
        <w:jc w:val="center"/>
        <w:textAlignment w:val="auto"/>
        <w:rPr>
          <w:rFonts w:hint="eastAsia" w:ascii="微软雅黑" w:hAnsi="微软雅黑" w:eastAsia="微软雅黑" w:cs="微软雅黑"/>
          <w:b/>
          <w:bCs/>
          <w:color w:val="000000" w:themeColor="text1"/>
          <w:highlight w:val="none"/>
          <w14:textFill>
            <w14:solidFill>
              <w14:schemeClr w14:val="tx1"/>
            </w14:solidFill>
          </w14:textFill>
        </w:rPr>
      </w:pPr>
    </w:p>
    <w:p>
      <w:pPr>
        <w:pStyle w:val="36"/>
        <w:keepNext w:val="0"/>
        <w:keepLines w:val="0"/>
        <w:pageBreakBefore w:val="0"/>
        <w:kinsoku/>
        <w:wordWrap/>
        <w:overflowPunct/>
        <w:topLinePunct w:val="0"/>
        <w:bidi w:val="0"/>
        <w:snapToGrid/>
        <w:spacing w:line="400" w:lineRule="exact"/>
        <w:ind w:firstLine="0"/>
        <w:jc w:val="center"/>
        <w:textAlignment w:val="auto"/>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第三部分  合同专用条款</w:t>
      </w:r>
      <w:bookmarkEnd w:id="174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条款号</w:t>
            </w:r>
          </w:p>
        </w:tc>
        <w:tc>
          <w:tcPr>
            <w:tcW w:w="7633" w:type="dxa"/>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8"/>
        <w:keepNext w:val="0"/>
        <w:keepLines w:val="0"/>
        <w:pageBreakBefore w:val="0"/>
        <w:kinsoku/>
        <w:wordWrap/>
        <w:overflowPunct/>
        <w:topLinePunct w:val="0"/>
        <w:bidi w:val="0"/>
        <w:snapToGrid/>
        <w:spacing w:line="400" w:lineRule="exact"/>
        <w:ind w:firstLine="0"/>
        <w:textAlignment w:val="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 </w:t>
      </w:r>
    </w:p>
    <w:p>
      <w:pPr>
        <w:rPr>
          <w:rFonts w:hint="eastAsia" w:ascii="微软雅黑" w:hAnsi="微软雅黑" w:eastAsia="微软雅黑" w:cs="微软雅黑"/>
          <w:color w:val="000000" w:themeColor="text1"/>
          <w:highlight w:val="none"/>
          <w14:textFill>
            <w14:solidFill>
              <w14:schemeClr w14:val="tx1"/>
            </w14:solidFill>
          </w14:textFill>
        </w:rPr>
      </w:pPr>
    </w:p>
    <w:sectPr>
      <w:headerReference r:id="rId12" w:type="default"/>
      <w:footerReference r:id="rId13" w:type="default"/>
      <w:pgSz w:w="11905"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SimSun;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eastAsia="宋体" w:cs="Times New Roman"/>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eastAsia="宋体" w:cs="Times New Roman"/>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eastAsia="宋体" w:cs="Times New Roman"/>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eastAsia="宋体" w:cs="Times New Roman"/>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59</w:t>
                    </w:r>
                    <w:r>
                      <w:fldChar w:fldCharType="end"/>
                    </w:r>
                  </w:p>
                </w:txbxContent>
              </v:textbox>
            </v:shape>
          </w:pict>
        </mc:Fallback>
      </mc:AlternateContent>
    </w:r>
  </w:p>
  <w:p>
    <w:pPr>
      <w:pStyle w:val="19"/>
      <w:ind w:right="360"/>
      <w:jc w:val="center"/>
      <w:rPr>
        <w:rFonts w:hint="eastAsia" w:eastAsia="宋体" w:cs="Times New Roman"/>
        <w:lang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eastAsia="宋体" w:cs="Times New Roman"/>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left" w:pos="6202"/>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DF8957"/>
    <w:multiLevelType w:val="singleLevel"/>
    <w:tmpl w:val="C2DF8957"/>
    <w:lvl w:ilvl="0" w:tentative="0">
      <w:start w:val="1"/>
      <w:numFmt w:val="chineseCounting"/>
      <w:suff w:val="nothing"/>
      <w:lvlText w:val="%1、"/>
      <w:lvlJc w:val="left"/>
      <w:rPr>
        <w:rFonts w:hint="eastAsia"/>
      </w:rPr>
    </w:lvl>
  </w:abstractNum>
  <w:abstractNum w:abstractNumId="1">
    <w:nsid w:val="DC3670AA"/>
    <w:multiLevelType w:val="singleLevel"/>
    <w:tmpl w:val="DC3670AA"/>
    <w:lvl w:ilvl="0" w:tentative="0">
      <w:start w:val="1"/>
      <w:numFmt w:val="decimal"/>
      <w:suff w:val="nothing"/>
      <w:lvlText w:val="（%1）"/>
      <w:lvlJc w:val="left"/>
    </w:lvl>
  </w:abstractNum>
  <w:abstractNum w:abstractNumId="2">
    <w:nsid w:val="DF61DB45"/>
    <w:multiLevelType w:val="singleLevel"/>
    <w:tmpl w:val="DF61DB45"/>
    <w:lvl w:ilvl="0" w:tentative="0">
      <w:start w:val="2"/>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00000004"/>
    <w:multiLevelType w:val="multilevel"/>
    <w:tmpl w:val="00000004"/>
    <w:lvl w:ilvl="0" w:tentative="0">
      <w:start w:val="1"/>
      <w:numFmt w:val="decimal"/>
      <w:lvlText w:val="%1"/>
      <w:lvlJc w:val="left"/>
      <w:pPr>
        <w:ind w:left="432" w:hanging="432"/>
      </w:pPr>
    </w:lvl>
    <w:lvl w:ilvl="1" w:tentative="0">
      <w:start w:val="1"/>
      <w:numFmt w:val="decimal"/>
      <w:pStyle w:val="51"/>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00000005"/>
    <w:multiLevelType w:val="multilevel"/>
    <w:tmpl w:val="00000005"/>
    <w:lvl w:ilvl="0" w:tentative="0">
      <w:start w:val="2"/>
      <w:numFmt w:val="chineseCounting"/>
      <w:suff w:val="space"/>
      <w:lvlText w:val="第%1部分"/>
      <w:lvlJc w:val="left"/>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6"/>
    <w:multiLevelType w:val="multilevel"/>
    <w:tmpl w:val="00000006"/>
    <w:lvl w:ilvl="0" w:tentative="0">
      <w:start w:val="3"/>
      <w:numFmt w:val="decimal"/>
      <w:suff w:val="space"/>
      <w:lvlText w:val="第%1章"/>
      <w:lvlJc w:val="left"/>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00000007"/>
    <w:multiLevelType w:val="singleLevel"/>
    <w:tmpl w:val="00000007"/>
    <w:lvl w:ilvl="0" w:tentative="0">
      <w:start w:val="2"/>
      <w:numFmt w:val="decimal"/>
      <w:suff w:val="nothing"/>
      <w:lvlText w:val="%1、"/>
      <w:lvlJc w:val="left"/>
    </w:lvl>
  </w:abstractNum>
  <w:abstractNum w:abstractNumId="10">
    <w:nsid w:val="44D4453A"/>
    <w:multiLevelType w:val="singleLevel"/>
    <w:tmpl w:val="44D4453A"/>
    <w:lvl w:ilvl="0" w:tentative="0">
      <w:start w:val="2"/>
      <w:numFmt w:val="decimal"/>
      <w:lvlText w:val="%1."/>
      <w:lvlJc w:val="left"/>
      <w:pPr>
        <w:tabs>
          <w:tab w:val="left" w:pos="312"/>
        </w:tabs>
      </w:pPr>
    </w:lvl>
  </w:abstractNum>
  <w:num w:numId="1">
    <w:abstractNumId w:val="6"/>
  </w:num>
  <w:num w:numId="2">
    <w:abstractNumId w:val="4"/>
  </w:num>
  <w:num w:numId="3">
    <w:abstractNumId w:val="5"/>
  </w:num>
  <w:num w:numId="4">
    <w:abstractNumId w:val="3"/>
  </w:num>
  <w:num w:numId="5">
    <w:abstractNumId w:val="9"/>
  </w:num>
  <w:num w:numId="6">
    <w:abstractNumId w:val="10"/>
  </w:num>
  <w:num w:numId="7">
    <w:abstractNumId w:val="2"/>
  </w:num>
  <w:num w:numId="8">
    <w:abstractNumId w:val="7"/>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N2ViMGJiZjhjOTA0MDZmZWJkODYwNzdlMjdmNGIifQ=="/>
  </w:docVars>
  <w:rsids>
    <w:rsidRoot w:val="009E3562"/>
    <w:rsid w:val="00005227"/>
    <w:rsid w:val="00192D87"/>
    <w:rsid w:val="001A2968"/>
    <w:rsid w:val="00295551"/>
    <w:rsid w:val="00343638"/>
    <w:rsid w:val="00370F52"/>
    <w:rsid w:val="005F0884"/>
    <w:rsid w:val="0091476F"/>
    <w:rsid w:val="009E3562"/>
    <w:rsid w:val="00C71A2A"/>
    <w:rsid w:val="00CF5F16"/>
    <w:rsid w:val="00EA7B92"/>
    <w:rsid w:val="00F90906"/>
    <w:rsid w:val="015139C2"/>
    <w:rsid w:val="01576085"/>
    <w:rsid w:val="018F4C90"/>
    <w:rsid w:val="01DF215D"/>
    <w:rsid w:val="0250093A"/>
    <w:rsid w:val="027D7DB2"/>
    <w:rsid w:val="02890B17"/>
    <w:rsid w:val="02E94832"/>
    <w:rsid w:val="02FC6355"/>
    <w:rsid w:val="03870314"/>
    <w:rsid w:val="03D6122D"/>
    <w:rsid w:val="03F948B5"/>
    <w:rsid w:val="04144940"/>
    <w:rsid w:val="04814D63"/>
    <w:rsid w:val="04D04C03"/>
    <w:rsid w:val="054C0A87"/>
    <w:rsid w:val="056728BF"/>
    <w:rsid w:val="057F6DC9"/>
    <w:rsid w:val="06295921"/>
    <w:rsid w:val="06427327"/>
    <w:rsid w:val="06626C3B"/>
    <w:rsid w:val="06C34665"/>
    <w:rsid w:val="07346D3B"/>
    <w:rsid w:val="07AD102A"/>
    <w:rsid w:val="08674B68"/>
    <w:rsid w:val="089C7A4F"/>
    <w:rsid w:val="08CF2B0E"/>
    <w:rsid w:val="08E051AF"/>
    <w:rsid w:val="09802CAB"/>
    <w:rsid w:val="09DC639D"/>
    <w:rsid w:val="0A710906"/>
    <w:rsid w:val="0AA23046"/>
    <w:rsid w:val="0AA25F3E"/>
    <w:rsid w:val="0AAB1187"/>
    <w:rsid w:val="0ABB2743"/>
    <w:rsid w:val="0B001FFB"/>
    <w:rsid w:val="0B5C7E51"/>
    <w:rsid w:val="0B9776CB"/>
    <w:rsid w:val="0C2423A5"/>
    <w:rsid w:val="0C5E1E2E"/>
    <w:rsid w:val="0C885D90"/>
    <w:rsid w:val="0CD013BE"/>
    <w:rsid w:val="0CE1125A"/>
    <w:rsid w:val="0D4955C8"/>
    <w:rsid w:val="0D590500"/>
    <w:rsid w:val="0D620B5F"/>
    <w:rsid w:val="0D714E77"/>
    <w:rsid w:val="0DAC718C"/>
    <w:rsid w:val="0DDA54E4"/>
    <w:rsid w:val="0E701472"/>
    <w:rsid w:val="0EC27D1A"/>
    <w:rsid w:val="0EF81A51"/>
    <w:rsid w:val="0F852ED5"/>
    <w:rsid w:val="0F915F0B"/>
    <w:rsid w:val="0FA979D6"/>
    <w:rsid w:val="0FC131F2"/>
    <w:rsid w:val="0FD92567"/>
    <w:rsid w:val="10515172"/>
    <w:rsid w:val="106C0B1D"/>
    <w:rsid w:val="10853D99"/>
    <w:rsid w:val="10C35769"/>
    <w:rsid w:val="10F31B71"/>
    <w:rsid w:val="11167C0B"/>
    <w:rsid w:val="113203A8"/>
    <w:rsid w:val="11B85885"/>
    <w:rsid w:val="11BF7BAA"/>
    <w:rsid w:val="12590F79"/>
    <w:rsid w:val="127C427C"/>
    <w:rsid w:val="12AB4B7C"/>
    <w:rsid w:val="136C4530"/>
    <w:rsid w:val="142676D5"/>
    <w:rsid w:val="14425626"/>
    <w:rsid w:val="145036D2"/>
    <w:rsid w:val="147A4287"/>
    <w:rsid w:val="14AA3FB4"/>
    <w:rsid w:val="157B3678"/>
    <w:rsid w:val="15F174F4"/>
    <w:rsid w:val="169842AD"/>
    <w:rsid w:val="16DA6555"/>
    <w:rsid w:val="170D12E4"/>
    <w:rsid w:val="17183EC8"/>
    <w:rsid w:val="174D6D27"/>
    <w:rsid w:val="177F71E9"/>
    <w:rsid w:val="17A16E37"/>
    <w:rsid w:val="17B70CD6"/>
    <w:rsid w:val="18000173"/>
    <w:rsid w:val="18A112AB"/>
    <w:rsid w:val="18F9373F"/>
    <w:rsid w:val="19464ECF"/>
    <w:rsid w:val="19AC425C"/>
    <w:rsid w:val="1A247436"/>
    <w:rsid w:val="1A2A20F6"/>
    <w:rsid w:val="1A683196"/>
    <w:rsid w:val="1ACE7386"/>
    <w:rsid w:val="1AE33019"/>
    <w:rsid w:val="1B0943CF"/>
    <w:rsid w:val="1B1F6599"/>
    <w:rsid w:val="1B41108E"/>
    <w:rsid w:val="1BA65FD2"/>
    <w:rsid w:val="1BA70E62"/>
    <w:rsid w:val="1BD46449"/>
    <w:rsid w:val="1BF86C40"/>
    <w:rsid w:val="1C16002F"/>
    <w:rsid w:val="1D1B04E9"/>
    <w:rsid w:val="1D1B55EF"/>
    <w:rsid w:val="1D3F320D"/>
    <w:rsid w:val="1D521E73"/>
    <w:rsid w:val="1D6848BB"/>
    <w:rsid w:val="1E3F1AF9"/>
    <w:rsid w:val="1E4638FF"/>
    <w:rsid w:val="1E904780"/>
    <w:rsid w:val="1EAE650C"/>
    <w:rsid w:val="1ED60FA2"/>
    <w:rsid w:val="1F28633A"/>
    <w:rsid w:val="1F2D6C6D"/>
    <w:rsid w:val="1F54471C"/>
    <w:rsid w:val="1F5B5969"/>
    <w:rsid w:val="1F691AD6"/>
    <w:rsid w:val="1FBF0E43"/>
    <w:rsid w:val="1FF13FC9"/>
    <w:rsid w:val="200C346C"/>
    <w:rsid w:val="2012202A"/>
    <w:rsid w:val="205D1405"/>
    <w:rsid w:val="20C462AC"/>
    <w:rsid w:val="210A47C4"/>
    <w:rsid w:val="211F1E50"/>
    <w:rsid w:val="212B46A7"/>
    <w:rsid w:val="215D163E"/>
    <w:rsid w:val="21785D96"/>
    <w:rsid w:val="21861BE1"/>
    <w:rsid w:val="218A6C15"/>
    <w:rsid w:val="21A46D1F"/>
    <w:rsid w:val="21DD3C67"/>
    <w:rsid w:val="226C414C"/>
    <w:rsid w:val="227C7DB0"/>
    <w:rsid w:val="22E374E9"/>
    <w:rsid w:val="23473B40"/>
    <w:rsid w:val="24731CA2"/>
    <w:rsid w:val="24785781"/>
    <w:rsid w:val="24835AAE"/>
    <w:rsid w:val="24910197"/>
    <w:rsid w:val="24B816AA"/>
    <w:rsid w:val="24C446EB"/>
    <w:rsid w:val="256C2605"/>
    <w:rsid w:val="25AB07BE"/>
    <w:rsid w:val="25BC57A4"/>
    <w:rsid w:val="25C02408"/>
    <w:rsid w:val="25C662F0"/>
    <w:rsid w:val="261B419B"/>
    <w:rsid w:val="26720A84"/>
    <w:rsid w:val="26920BFA"/>
    <w:rsid w:val="26A45A66"/>
    <w:rsid w:val="26B27891"/>
    <w:rsid w:val="26C33638"/>
    <w:rsid w:val="26D7485F"/>
    <w:rsid w:val="26E208D5"/>
    <w:rsid w:val="271A33B1"/>
    <w:rsid w:val="276A23F6"/>
    <w:rsid w:val="27C43035"/>
    <w:rsid w:val="27E10833"/>
    <w:rsid w:val="27ED7221"/>
    <w:rsid w:val="286A45E6"/>
    <w:rsid w:val="28C71961"/>
    <w:rsid w:val="28D13F35"/>
    <w:rsid w:val="294E705B"/>
    <w:rsid w:val="296D02FE"/>
    <w:rsid w:val="29A547A1"/>
    <w:rsid w:val="29E206D6"/>
    <w:rsid w:val="2A737D5F"/>
    <w:rsid w:val="2A9E18CF"/>
    <w:rsid w:val="2AB1389D"/>
    <w:rsid w:val="2AF8432B"/>
    <w:rsid w:val="2AFD56B7"/>
    <w:rsid w:val="2B42718D"/>
    <w:rsid w:val="2B473E11"/>
    <w:rsid w:val="2BA76EDC"/>
    <w:rsid w:val="2BDA24ED"/>
    <w:rsid w:val="2C0548D3"/>
    <w:rsid w:val="2C2E232E"/>
    <w:rsid w:val="2C5B1C91"/>
    <w:rsid w:val="2C773904"/>
    <w:rsid w:val="2C9A2A5D"/>
    <w:rsid w:val="2CE30D90"/>
    <w:rsid w:val="2D2263A5"/>
    <w:rsid w:val="2D4259F2"/>
    <w:rsid w:val="2D5978E6"/>
    <w:rsid w:val="2D7A31B7"/>
    <w:rsid w:val="2DB16EB6"/>
    <w:rsid w:val="2DEA08B9"/>
    <w:rsid w:val="2DF06959"/>
    <w:rsid w:val="2E5C3FC8"/>
    <w:rsid w:val="2ECB48AC"/>
    <w:rsid w:val="2EDA2C3C"/>
    <w:rsid w:val="2F080E4C"/>
    <w:rsid w:val="2FAB5D78"/>
    <w:rsid w:val="30332B06"/>
    <w:rsid w:val="305F519B"/>
    <w:rsid w:val="30816B47"/>
    <w:rsid w:val="309B5E73"/>
    <w:rsid w:val="30D970F4"/>
    <w:rsid w:val="312D43C1"/>
    <w:rsid w:val="31567137"/>
    <w:rsid w:val="31631A21"/>
    <w:rsid w:val="31923D9C"/>
    <w:rsid w:val="31CD3300"/>
    <w:rsid w:val="31D46B78"/>
    <w:rsid w:val="322602DB"/>
    <w:rsid w:val="3238199A"/>
    <w:rsid w:val="32A468C7"/>
    <w:rsid w:val="33161F7E"/>
    <w:rsid w:val="332A1ECC"/>
    <w:rsid w:val="33542A8B"/>
    <w:rsid w:val="337E053C"/>
    <w:rsid w:val="33A819B6"/>
    <w:rsid w:val="33C76B74"/>
    <w:rsid w:val="347546FF"/>
    <w:rsid w:val="348E2A01"/>
    <w:rsid w:val="34D5148D"/>
    <w:rsid w:val="34F77BF5"/>
    <w:rsid w:val="34F82605"/>
    <w:rsid w:val="35074A1D"/>
    <w:rsid w:val="36160D32"/>
    <w:rsid w:val="365433E3"/>
    <w:rsid w:val="3655409D"/>
    <w:rsid w:val="366C6D72"/>
    <w:rsid w:val="367E17E2"/>
    <w:rsid w:val="36A24542"/>
    <w:rsid w:val="36C54E3E"/>
    <w:rsid w:val="37307C06"/>
    <w:rsid w:val="37AA6F86"/>
    <w:rsid w:val="37B10DBF"/>
    <w:rsid w:val="37D57B6F"/>
    <w:rsid w:val="37E30714"/>
    <w:rsid w:val="37EA1B02"/>
    <w:rsid w:val="38440D4F"/>
    <w:rsid w:val="38B95F6F"/>
    <w:rsid w:val="390A7133"/>
    <w:rsid w:val="39447F64"/>
    <w:rsid w:val="39493501"/>
    <w:rsid w:val="394E1896"/>
    <w:rsid w:val="39565AB7"/>
    <w:rsid w:val="39A52687"/>
    <w:rsid w:val="39AD2802"/>
    <w:rsid w:val="39C63892"/>
    <w:rsid w:val="39CC339E"/>
    <w:rsid w:val="3A136AC4"/>
    <w:rsid w:val="3A7C2944"/>
    <w:rsid w:val="3A825089"/>
    <w:rsid w:val="3AB30EA3"/>
    <w:rsid w:val="3B3111D6"/>
    <w:rsid w:val="3B3534BD"/>
    <w:rsid w:val="3B7035CE"/>
    <w:rsid w:val="3BD52D04"/>
    <w:rsid w:val="3BF051DE"/>
    <w:rsid w:val="3C39455E"/>
    <w:rsid w:val="3C774D93"/>
    <w:rsid w:val="3CD712D4"/>
    <w:rsid w:val="3CEB5B57"/>
    <w:rsid w:val="3CF3708A"/>
    <w:rsid w:val="3D4049CD"/>
    <w:rsid w:val="3DAE02C2"/>
    <w:rsid w:val="3DB021B2"/>
    <w:rsid w:val="3DC542F7"/>
    <w:rsid w:val="3DDF4E6B"/>
    <w:rsid w:val="3E104487"/>
    <w:rsid w:val="3E3068D7"/>
    <w:rsid w:val="3E3909F2"/>
    <w:rsid w:val="3E3935EE"/>
    <w:rsid w:val="3E5A3CE1"/>
    <w:rsid w:val="3E9D6408"/>
    <w:rsid w:val="3EB92D70"/>
    <w:rsid w:val="3F0E5E15"/>
    <w:rsid w:val="3F1D4625"/>
    <w:rsid w:val="3F3506CB"/>
    <w:rsid w:val="3FAB163D"/>
    <w:rsid w:val="40075C59"/>
    <w:rsid w:val="4024470B"/>
    <w:rsid w:val="4062685E"/>
    <w:rsid w:val="40B22A86"/>
    <w:rsid w:val="40BB3B4D"/>
    <w:rsid w:val="4135116F"/>
    <w:rsid w:val="41540B2E"/>
    <w:rsid w:val="415D5357"/>
    <w:rsid w:val="41887598"/>
    <w:rsid w:val="41C01E85"/>
    <w:rsid w:val="41EE7295"/>
    <w:rsid w:val="41FB36A0"/>
    <w:rsid w:val="4221518F"/>
    <w:rsid w:val="42753441"/>
    <w:rsid w:val="43064C45"/>
    <w:rsid w:val="43364990"/>
    <w:rsid w:val="433A140F"/>
    <w:rsid w:val="435A0517"/>
    <w:rsid w:val="43F619AE"/>
    <w:rsid w:val="43FF7CCC"/>
    <w:rsid w:val="44BA6EFA"/>
    <w:rsid w:val="45444809"/>
    <w:rsid w:val="454D712B"/>
    <w:rsid w:val="45505AB1"/>
    <w:rsid w:val="45890463"/>
    <w:rsid w:val="45C647A2"/>
    <w:rsid w:val="45D72F87"/>
    <w:rsid w:val="45E5704A"/>
    <w:rsid w:val="45EE5D64"/>
    <w:rsid w:val="46270F3A"/>
    <w:rsid w:val="463F2E10"/>
    <w:rsid w:val="466D60A8"/>
    <w:rsid w:val="46BC4D06"/>
    <w:rsid w:val="475A75DA"/>
    <w:rsid w:val="476B0337"/>
    <w:rsid w:val="48145DD7"/>
    <w:rsid w:val="494A555C"/>
    <w:rsid w:val="49740D11"/>
    <w:rsid w:val="497A134E"/>
    <w:rsid w:val="497C01C9"/>
    <w:rsid w:val="49857991"/>
    <w:rsid w:val="49E70113"/>
    <w:rsid w:val="4A653DFE"/>
    <w:rsid w:val="4B230F7F"/>
    <w:rsid w:val="4B3B18FD"/>
    <w:rsid w:val="4B4546C2"/>
    <w:rsid w:val="4B775925"/>
    <w:rsid w:val="4BD47F04"/>
    <w:rsid w:val="4C2957E8"/>
    <w:rsid w:val="4CC76612"/>
    <w:rsid w:val="4CF31F9B"/>
    <w:rsid w:val="4CF44D67"/>
    <w:rsid w:val="4CFA3B7A"/>
    <w:rsid w:val="4D7C0647"/>
    <w:rsid w:val="4D7C530C"/>
    <w:rsid w:val="4DA727EE"/>
    <w:rsid w:val="4DE07676"/>
    <w:rsid w:val="4DFA15AC"/>
    <w:rsid w:val="4E3C476F"/>
    <w:rsid w:val="4E58551B"/>
    <w:rsid w:val="4EE44B34"/>
    <w:rsid w:val="4F7C44A6"/>
    <w:rsid w:val="4FA72771"/>
    <w:rsid w:val="4FBF20BC"/>
    <w:rsid w:val="4FD23C92"/>
    <w:rsid w:val="50043E9A"/>
    <w:rsid w:val="506955BC"/>
    <w:rsid w:val="5084320D"/>
    <w:rsid w:val="50F86FCF"/>
    <w:rsid w:val="517570AB"/>
    <w:rsid w:val="51922CE9"/>
    <w:rsid w:val="51D569BB"/>
    <w:rsid w:val="52467C77"/>
    <w:rsid w:val="533D65C8"/>
    <w:rsid w:val="536B2631"/>
    <w:rsid w:val="540C2BB9"/>
    <w:rsid w:val="540F33E4"/>
    <w:rsid w:val="54104C1C"/>
    <w:rsid w:val="541903E8"/>
    <w:rsid w:val="559B2B89"/>
    <w:rsid w:val="55CA71B9"/>
    <w:rsid w:val="55CB1251"/>
    <w:rsid w:val="55DF5E59"/>
    <w:rsid w:val="57362868"/>
    <w:rsid w:val="57825F9E"/>
    <w:rsid w:val="579E5991"/>
    <w:rsid w:val="5813309A"/>
    <w:rsid w:val="58313DF7"/>
    <w:rsid w:val="58357612"/>
    <w:rsid w:val="586D5BF2"/>
    <w:rsid w:val="58B86286"/>
    <w:rsid w:val="58F42B1B"/>
    <w:rsid w:val="595124C8"/>
    <w:rsid w:val="599B2597"/>
    <w:rsid w:val="5A8A05E6"/>
    <w:rsid w:val="5AC316C5"/>
    <w:rsid w:val="5ADA57C9"/>
    <w:rsid w:val="5AE64A95"/>
    <w:rsid w:val="5B37559B"/>
    <w:rsid w:val="5B6360D8"/>
    <w:rsid w:val="5B7E79F8"/>
    <w:rsid w:val="5B977B3E"/>
    <w:rsid w:val="5BBE3726"/>
    <w:rsid w:val="5BC50F0C"/>
    <w:rsid w:val="5BD479D9"/>
    <w:rsid w:val="5BD54C15"/>
    <w:rsid w:val="5BDE39BF"/>
    <w:rsid w:val="5BED655E"/>
    <w:rsid w:val="5C594399"/>
    <w:rsid w:val="5C5C5033"/>
    <w:rsid w:val="5C970359"/>
    <w:rsid w:val="5D21480B"/>
    <w:rsid w:val="5D4A6D8C"/>
    <w:rsid w:val="5D50269A"/>
    <w:rsid w:val="5D5615C2"/>
    <w:rsid w:val="5D6D4FFA"/>
    <w:rsid w:val="5E781EA8"/>
    <w:rsid w:val="5E7975CE"/>
    <w:rsid w:val="5FE34CE5"/>
    <w:rsid w:val="602B1D4B"/>
    <w:rsid w:val="60314360"/>
    <w:rsid w:val="603A28A6"/>
    <w:rsid w:val="6045450E"/>
    <w:rsid w:val="60655BC8"/>
    <w:rsid w:val="60C443F1"/>
    <w:rsid w:val="61EC6E71"/>
    <w:rsid w:val="62623041"/>
    <w:rsid w:val="62F73A40"/>
    <w:rsid w:val="630B65D4"/>
    <w:rsid w:val="63404E3C"/>
    <w:rsid w:val="634C24C3"/>
    <w:rsid w:val="636619A6"/>
    <w:rsid w:val="63683A9F"/>
    <w:rsid w:val="641960BC"/>
    <w:rsid w:val="64403ED8"/>
    <w:rsid w:val="64421BCC"/>
    <w:rsid w:val="64581217"/>
    <w:rsid w:val="64B92960"/>
    <w:rsid w:val="64DA64D4"/>
    <w:rsid w:val="64DF4596"/>
    <w:rsid w:val="64E21E2A"/>
    <w:rsid w:val="651C031C"/>
    <w:rsid w:val="65685739"/>
    <w:rsid w:val="65CB604B"/>
    <w:rsid w:val="65CD0D2C"/>
    <w:rsid w:val="65E55410"/>
    <w:rsid w:val="6621033E"/>
    <w:rsid w:val="66B03AB8"/>
    <w:rsid w:val="66EB4947"/>
    <w:rsid w:val="670342B7"/>
    <w:rsid w:val="672C3CCB"/>
    <w:rsid w:val="67306E97"/>
    <w:rsid w:val="673803E9"/>
    <w:rsid w:val="673B1886"/>
    <w:rsid w:val="67DE1B6A"/>
    <w:rsid w:val="68110D0F"/>
    <w:rsid w:val="69303AFB"/>
    <w:rsid w:val="69617D6C"/>
    <w:rsid w:val="699B3A79"/>
    <w:rsid w:val="69ED78DB"/>
    <w:rsid w:val="6A880126"/>
    <w:rsid w:val="6ACB77BB"/>
    <w:rsid w:val="6AED1F2C"/>
    <w:rsid w:val="6B1D10B5"/>
    <w:rsid w:val="6B715133"/>
    <w:rsid w:val="6B7E6624"/>
    <w:rsid w:val="6B9E0C55"/>
    <w:rsid w:val="6BBC674B"/>
    <w:rsid w:val="6BBD3420"/>
    <w:rsid w:val="6BF410AC"/>
    <w:rsid w:val="6C76202F"/>
    <w:rsid w:val="6C876B6C"/>
    <w:rsid w:val="6C894229"/>
    <w:rsid w:val="6CAD51ED"/>
    <w:rsid w:val="6CC009D0"/>
    <w:rsid w:val="6CCA3E19"/>
    <w:rsid w:val="6CFC3CA5"/>
    <w:rsid w:val="6D465A44"/>
    <w:rsid w:val="6D492E60"/>
    <w:rsid w:val="6DFA3429"/>
    <w:rsid w:val="6E267689"/>
    <w:rsid w:val="6E7973B3"/>
    <w:rsid w:val="6E8403F6"/>
    <w:rsid w:val="6E841887"/>
    <w:rsid w:val="6E9206DD"/>
    <w:rsid w:val="6F267B88"/>
    <w:rsid w:val="6FD32E86"/>
    <w:rsid w:val="70855382"/>
    <w:rsid w:val="70A3417B"/>
    <w:rsid w:val="70B7739F"/>
    <w:rsid w:val="70E7131E"/>
    <w:rsid w:val="711B4AA0"/>
    <w:rsid w:val="712F4EED"/>
    <w:rsid w:val="71CA0A17"/>
    <w:rsid w:val="7202642B"/>
    <w:rsid w:val="72145E3A"/>
    <w:rsid w:val="72360220"/>
    <w:rsid w:val="728D0BDD"/>
    <w:rsid w:val="737364B4"/>
    <w:rsid w:val="73824B1D"/>
    <w:rsid w:val="738E04AD"/>
    <w:rsid w:val="740909E8"/>
    <w:rsid w:val="7426743E"/>
    <w:rsid w:val="74CE61C9"/>
    <w:rsid w:val="750278D7"/>
    <w:rsid w:val="75340B91"/>
    <w:rsid w:val="75667113"/>
    <w:rsid w:val="757A50EF"/>
    <w:rsid w:val="758B119A"/>
    <w:rsid w:val="75C30938"/>
    <w:rsid w:val="75E67159"/>
    <w:rsid w:val="761B0991"/>
    <w:rsid w:val="76364D93"/>
    <w:rsid w:val="763C357C"/>
    <w:rsid w:val="766A4BC9"/>
    <w:rsid w:val="76FC1F1B"/>
    <w:rsid w:val="777D5F77"/>
    <w:rsid w:val="77E70419"/>
    <w:rsid w:val="784352B7"/>
    <w:rsid w:val="78501572"/>
    <w:rsid w:val="787F376C"/>
    <w:rsid w:val="78FA022F"/>
    <w:rsid w:val="78FD6A86"/>
    <w:rsid w:val="791C4226"/>
    <w:rsid w:val="794C77CC"/>
    <w:rsid w:val="7A0C2F65"/>
    <w:rsid w:val="7A1A45DD"/>
    <w:rsid w:val="7A4A706D"/>
    <w:rsid w:val="7A736940"/>
    <w:rsid w:val="7A98418F"/>
    <w:rsid w:val="7AC77031"/>
    <w:rsid w:val="7B0A7CBC"/>
    <w:rsid w:val="7B1A486E"/>
    <w:rsid w:val="7B224FB2"/>
    <w:rsid w:val="7B8E7EEC"/>
    <w:rsid w:val="7BA26033"/>
    <w:rsid w:val="7C084414"/>
    <w:rsid w:val="7C800FB1"/>
    <w:rsid w:val="7CEB65C0"/>
    <w:rsid w:val="7D137721"/>
    <w:rsid w:val="7D3923AB"/>
    <w:rsid w:val="7D7171F6"/>
    <w:rsid w:val="7D8501F0"/>
    <w:rsid w:val="7D8A0907"/>
    <w:rsid w:val="7DA119B4"/>
    <w:rsid w:val="7DAF065D"/>
    <w:rsid w:val="7DB677E5"/>
    <w:rsid w:val="7DCD1E14"/>
    <w:rsid w:val="7E354D13"/>
    <w:rsid w:val="7E635CC6"/>
    <w:rsid w:val="7EC74E4B"/>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5"/>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8"/>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4">
    <w:name w:val="heading 2"/>
    <w:basedOn w:val="1"/>
    <w:next w:val="1"/>
    <w:link w:val="39"/>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5">
    <w:name w:val="heading 3"/>
    <w:basedOn w:val="1"/>
    <w:next w:val="1"/>
    <w:link w:val="40"/>
    <w:qFormat/>
    <w:uiPriority w:val="99"/>
    <w:pPr>
      <w:spacing w:before="360" w:after="120"/>
      <w:jc w:val="left"/>
      <w:outlineLvl w:val="2"/>
    </w:pPr>
    <w:rPr>
      <w:rFonts w:ascii="宋体" w:cs="宋体"/>
      <w:b/>
      <w:bCs/>
      <w:sz w:val="24"/>
      <w:szCs w:val="24"/>
      <w:u w:val="single"/>
    </w:rPr>
  </w:style>
  <w:style w:type="paragraph" w:styleId="6">
    <w:name w:val="heading 4"/>
    <w:basedOn w:val="1"/>
    <w:next w:val="1"/>
    <w:link w:val="41"/>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7">
    <w:name w:val="heading 5"/>
    <w:basedOn w:val="1"/>
    <w:next w:val="1"/>
    <w:link w:val="42"/>
    <w:qFormat/>
    <w:uiPriority w:val="99"/>
    <w:pPr>
      <w:keepNext/>
      <w:keepLines/>
      <w:spacing w:line="372"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link w:val="48"/>
    <w:qFormat/>
    <w:uiPriority w:val="99"/>
    <w:pPr>
      <w:snapToGrid w:val="0"/>
      <w:jc w:val="left"/>
    </w:pPr>
    <w:rPr>
      <w:sz w:val="18"/>
      <w:szCs w:val="18"/>
    </w:rPr>
  </w:style>
  <w:style w:type="paragraph" w:styleId="8">
    <w:name w:val="Normal Indent"/>
    <w:basedOn w:val="1"/>
    <w:next w:val="9"/>
    <w:qFormat/>
    <w:uiPriority w:val="99"/>
    <w:pPr>
      <w:autoSpaceDE w:val="0"/>
      <w:autoSpaceDN w:val="0"/>
      <w:adjustRightInd w:val="0"/>
      <w:ind w:firstLine="420"/>
      <w:jc w:val="left"/>
    </w:pPr>
    <w:rPr>
      <w:rFonts w:ascii="宋体" w:cs="宋体"/>
      <w:kern w:val="0"/>
      <w:sz w:val="24"/>
      <w:szCs w:val="24"/>
    </w:rPr>
  </w:style>
  <w:style w:type="paragraph" w:styleId="9">
    <w:name w:val="toa heading"/>
    <w:basedOn w:val="1"/>
    <w:next w:val="1"/>
    <w:qFormat/>
    <w:uiPriority w:val="99"/>
    <w:pPr>
      <w:spacing w:before="120"/>
    </w:pPr>
    <w:rPr>
      <w:rFonts w:ascii="Cambria" w:hAnsi="Cambria" w:cs="Cambria"/>
      <w:sz w:val="24"/>
      <w:szCs w:val="24"/>
    </w:rPr>
  </w:style>
  <w:style w:type="paragraph" w:styleId="10">
    <w:name w:val="annotation text"/>
    <w:basedOn w:val="1"/>
    <w:qFormat/>
    <w:uiPriority w:val="0"/>
    <w:rPr>
      <w:sz w:val="20"/>
      <w:szCs w:val="20"/>
    </w:rPr>
  </w:style>
  <w:style w:type="paragraph" w:styleId="11">
    <w:name w:val="Body Text"/>
    <w:basedOn w:val="1"/>
    <w:next w:val="1"/>
    <w:link w:val="43"/>
    <w:qFormat/>
    <w:uiPriority w:val="99"/>
    <w:pPr>
      <w:tabs>
        <w:tab w:val="left" w:pos="567"/>
      </w:tabs>
      <w:spacing w:before="120" w:line="22" w:lineRule="atLeast"/>
    </w:pPr>
    <w:rPr>
      <w:rFonts w:ascii="宋体" w:hAnsi="宋体" w:cs="宋体"/>
      <w:sz w:val="24"/>
      <w:szCs w:val="24"/>
    </w:rPr>
  </w:style>
  <w:style w:type="paragraph" w:styleId="12">
    <w:name w:val="Body Text Indent"/>
    <w:basedOn w:val="1"/>
    <w:next w:val="13"/>
    <w:link w:val="44"/>
    <w:qFormat/>
    <w:uiPriority w:val="99"/>
    <w:pPr>
      <w:spacing w:line="360" w:lineRule="auto"/>
      <w:ind w:firstLine="570"/>
    </w:pPr>
    <w:rPr>
      <w:sz w:val="24"/>
      <w:szCs w:val="24"/>
    </w:rPr>
  </w:style>
  <w:style w:type="paragraph" w:styleId="13">
    <w:name w:val="toc 5"/>
    <w:basedOn w:val="1"/>
    <w:next w:val="1"/>
    <w:qFormat/>
    <w:uiPriority w:val="0"/>
    <w:pPr>
      <w:ind w:left="840"/>
    </w:pPr>
    <w:rPr>
      <w:rFonts w:ascii="Calibri" w:hAnsi="Calibri"/>
      <w:sz w:val="18"/>
      <w:szCs w:val="18"/>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99"/>
    <w:pPr>
      <w:ind w:left="840" w:leftChars="400"/>
    </w:pPr>
  </w:style>
  <w:style w:type="paragraph" w:styleId="16">
    <w:name w:val="Plain Text"/>
    <w:basedOn w:val="1"/>
    <w:link w:val="45"/>
    <w:qFormat/>
    <w:uiPriority w:val="99"/>
    <w:rPr>
      <w:rFonts w:ascii="宋体" w:hAnsi="Courier New" w:cs="宋体"/>
    </w:rPr>
  </w:style>
  <w:style w:type="paragraph" w:styleId="17">
    <w:name w:val="Date"/>
    <w:basedOn w:val="1"/>
    <w:next w:val="1"/>
    <w:qFormat/>
    <w:uiPriority w:val="0"/>
    <w:rPr>
      <w:szCs w:val="20"/>
    </w:rPr>
  </w:style>
  <w:style w:type="paragraph" w:styleId="18">
    <w:name w:val="Body Text Indent 2"/>
    <w:basedOn w:val="1"/>
    <w:qFormat/>
    <w:uiPriority w:val="0"/>
    <w:pPr>
      <w:spacing w:line="520" w:lineRule="atLeast"/>
      <w:ind w:firstLine="420" w:firstLineChars="200"/>
    </w:pPr>
    <w:rPr>
      <w:rFonts w:ascii="Times New Roman" w:hAnsi="Times New Roman" w:cs="Times New Roman"/>
      <w:szCs w:val="24"/>
    </w:rPr>
  </w:style>
  <w:style w:type="paragraph" w:styleId="19">
    <w:name w:val="footer"/>
    <w:basedOn w:val="1"/>
    <w:link w:val="46"/>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99"/>
  </w:style>
  <w:style w:type="paragraph" w:styleId="23">
    <w:name w:val="toc 2"/>
    <w:basedOn w:val="1"/>
    <w:next w:val="1"/>
    <w:qFormat/>
    <w:uiPriority w:val="99"/>
    <w:pPr>
      <w:ind w:left="420" w:leftChars="200"/>
    </w:pPr>
  </w:style>
  <w:style w:type="paragraph" w:styleId="24">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25">
    <w:name w:val="Title"/>
    <w:basedOn w:val="14"/>
    <w:next w:val="1"/>
    <w:qFormat/>
    <w:uiPriority w:val="10"/>
    <w:pPr>
      <w:spacing w:before="240" w:after="60"/>
      <w:jc w:val="center"/>
      <w:outlineLvl w:val="0"/>
    </w:pPr>
    <w:rPr>
      <w:rFonts w:ascii="Cambria" w:hAnsi="Cambria" w:eastAsia="宋体" w:cs="Times New Roman"/>
      <w:b/>
      <w:bCs/>
      <w:sz w:val="32"/>
      <w:szCs w:val="32"/>
    </w:rPr>
  </w:style>
  <w:style w:type="paragraph" w:styleId="26">
    <w:name w:val="Body Text First Indent"/>
    <w:basedOn w:val="11"/>
    <w:next w:val="1"/>
    <w:link w:val="49"/>
    <w:qFormat/>
    <w:uiPriority w:val="99"/>
    <w:pPr>
      <w:autoSpaceDE w:val="0"/>
      <w:autoSpaceDN w:val="0"/>
      <w:adjustRightInd w:val="0"/>
      <w:spacing w:line="312" w:lineRule="atLeast"/>
      <w:ind w:firstLine="420"/>
    </w:pPr>
    <w:rPr>
      <w:kern w:val="0"/>
    </w:rPr>
  </w:style>
  <w:style w:type="paragraph" w:styleId="27">
    <w:name w:val="Body Text First Indent 2"/>
    <w:basedOn w:val="12"/>
    <w:next w:val="1"/>
    <w:link w:val="50"/>
    <w:qFormat/>
    <w:uiPriority w:val="99"/>
    <w:pPr>
      <w:ind w:firstLine="420" w:firstLineChars="200"/>
    </w:p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22"/>
    <w:rPr>
      <w:b/>
    </w:rPr>
  </w:style>
  <w:style w:type="character" w:styleId="32">
    <w:name w:val="page number"/>
    <w:basedOn w:val="30"/>
    <w:qFormat/>
    <w:uiPriority w:val="99"/>
    <w:rPr>
      <w:rFonts w:ascii="Times New Roman" w:hAnsi="Times New Roman" w:eastAsia="宋体" w:cs="Times New Roman"/>
    </w:rPr>
  </w:style>
  <w:style w:type="character" w:styleId="33">
    <w:name w:val="Hyperlink"/>
    <w:basedOn w:val="30"/>
    <w:qFormat/>
    <w:uiPriority w:val="99"/>
    <w:rPr>
      <w:color w:val="0000FF"/>
      <w:u w:val="single"/>
    </w:rPr>
  </w:style>
  <w:style w:type="character" w:styleId="34">
    <w:name w:val="annotation reference"/>
    <w:qFormat/>
    <w:uiPriority w:val="0"/>
    <w:rPr>
      <w:sz w:val="16"/>
      <w:szCs w:val="16"/>
    </w:rPr>
  </w:style>
  <w:style w:type="character" w:styleId="35">
    <w:name w:val="HTML Sample"/>
    <w:basedOn w:val="30"/>
    <w:semiHidden/>
    <w:unhideWhenUsed/>
    <w:qFormat/>
    <w:uiPriority w:val="99"/>
    <w:rPr>
      <w:rFonts w:ascii="Courier New" w:hAnsi="Courier New"/>
    </w:rPr>
  </w:style>
  <w:style w:type="paragraph" w:customStyle="1" w:styleId="36">
    <w:name w:val="正文缩进1"/>
    <w:basedOn w:val="1"/>
    <w:next w:val="12"/>
    <w:qFormat/>
    <w:uiPriority w:val="99"/>
    <w:pPr>
      <w:autoSpaceDE w:val="0"/>
      <w:autoSpaceDN w:val="0"/>
      <w:adjustRightInd w:val="0"/>
      <w:ind w:firstLine="420"/>
      <w:jc w:val="left"/>
    </w:pPr>
    <w:rPr>
      <w:rFonts w:ascii="宋体" w:cs="宋体"/>
      <w:kern w:val="0"/>
      <w:sz w:val="24"/>
      <w:szCs w:val="24"/>
    </w:rPr>
  </w:style>
  <w:style w:type="character" w:customStyle="1" w:styleId="37">
    <w:name w:val="默认段落字体1"/>
    <w:qFormat/>
    <w:uiPriority w:val="99"/>
  </w:style>
  <w:style w:type="character" w:customStyle="1" w:styleId="38">
    <w:name w:val="标题 1 字符"/>
    <w:basedOn w:val="30"/>
    <w:link w:val="3"/>
    <w:qFormat/>
    <w:uiPriority w:val="99"/>
    <w:rPr>
      <w:rFonts w:ascii="宋体" w:hAnsi="Times New Roman" w:eastAsia="宋体" w:cs="宋体"/>
      <w:b/>
      <w:bCs/>
      <w:kern w:val="44"/>
      <w:sz w:val="20"/>
      <w:szCs w:val="20"/>
    </w:rPr>
  </w:style>
  <w:style w:type="character" w:customStyle="1" w:styleId="39">
    <w:name w:val="标题 2 字符"/>
    <w:basedOn w:val="30"/>
    <w:link w:val="4"/>
    <w:qFormat/>
    <w:uiPriority w:val="99"/>
    <w:rPr>
      <w:rFonts w:ascii="Cambria" w:hAnsi="Cambria" w:eastAsia="宋体" w:cs="Cambria"/>
      <w:b/>
      <w:bCs/>
      <w:sz w:val="32"/>
      <w:szCs w:val="32"/>
    </w:rPr>
  </w:style>
  <w:style w:type="character" w:customStyle="1" w:styleId="40">
    <w:name w:val="标题 3 字符"/>
    <w:basedOn w:val="30"/>
    <w:link w:val="5"/>
    <w:qFormat/>
    <w:uiPriority w:val="99"/>
    <w:rPr>
      <w:b/>
      <w:bCs/>
      <w:sz w:val="32"/>
      <w:szCs w:val="32"/>
    </w:rPr>
  </w:style>
  <w:style w:type="character" w:customStyle="1" w:styleId="41">
    <w:name w:val="标题 4 字符"/>
    <w:basedOn w:val="30"/>
    <w:link w:val="6"/>
    <w:qFormat/>
    <w:uiPriority w:val="99"/>
    <w:rPr>
      <w:rFonts w:ascii="Cambria" w:hAnsi="Cambria" w:eastAsia="宋体" w:cs="Cambria"/>
      <w:b/>
      <w:bCs/>
      <w:sz w:val="28"/>
      <w:szCs w:val="28"/>
    </w:rPr>
  </w:style>
  <w:style w:type="character" w:customStyle="1" w:styleId="42">
    <w:name w:val="标题 5 字符"/>
    <w:basedOn w:val="30"/>
    <w:link w:val="7"/>
    <w:qFormat/>
    <w:uiPriority w:val="99"/>
    <w:rPr>
      <w:b/>
      <w:bCs/>
      <w:sz w:val="28"/>
      <w:szCs w:val="28"/>
    </w:rPr>
  </w:style>
  <w:style w:type="character" w:customStyle="1" w:styleId="43">
    <w:name w:val="正文文本 字符"/>
    <w:basedOn w:val="30"/>
    <w:link w:val="11"/>
    <w:qFormat/>
    <w:uiPriority w:val="99"/>
    <w:rPr>
      <w:sz w:val="21"/>
      <w:szCs w:val="21"/>
    </w:rPr>
  </w:style>
  <w:style w:type="character" w:customStyle="1" w:styleId="44">
    <w:name w:val="正文文本缩进 字符"/>
    <w:basedOn w:val="30"/>
    <w:link w:val="12"/>
    <w:qFormat/>
    <w:uiPriority w:val="99"/>
    <w:rPr>
      <w:sz w:val="21"/>
      <w:szCs w:val="21"/>
    </w:rPr>
  </w:style>
  <w:style w:type="character" w:customStyle="1" w:styleId="45">
    <w:name w:val="纯文本 字符"/>
    <w:basedOn w:val="30"/>
    <w:link w:val="16"/>
    <w:qFormat/>
    <w:uiPriority w:val="99"/>
    <w:rPr>
      <w:rFonts w:ascii="宋体" w:hAnsi="Courier New" w:cs="宋体"/>
      <w:sz w:val="21"/>
      <w:szCs w:val="21"/>
    </w:rPr>
  </w:style>
  <w:style w:type="character" w:customStyle="1" w:styleId="46">
    <w:name w:val="页脚 字符"/>
    <w:basedOn w:val="30"/>
    <w:link w:val="19"/>
    <w:qFormat/>
    <w:uiPriority w:val="99"/>
    <w:rPr>
      <w:sz w:val="18"/>
      <w:szCs w:val="18"/>
    </w:rPr>
  </w:style>
  <w:style w:type="character" w:customStyle="1" w:styleId="47">
    <w:name w:val="页眉 字符"/>
    <w:basedOn w:val="30"/>
    <w:link w:val="21"/>
    <w:qFormat/>
    <w:uiPriority w:val="99"/>
    <w:rPr>
      <w:sz w:val="18"/>
      <w:szCs w:val="18"/>
    </w:rPr>
  </w:style>
  <w:style w:type="character" w:customStyle="1" w:styleId="48">
    <w:name w:val="脚注文本 字符"/>
    <w:basedOn w:val="30"/>
    <w:link w:val="2"/>
    <w:qFormat/>
    <w:uiPriority w:val="99"/>
    <w:rPr>
      <w:sz w:val="18"/>
      <w:szCs w:val="18"/>
    </w:rPr>
  </w:style>
  <w:style w:type="character" w:customStyle="1" w:styleId="49">
    <w:name w:val="正文文本首行缩进 字符"/>
    <w:basedOn w:val="43"/>
    <w:link w:val="26"/>
    <w:qFormat/>
    <w:uiPriority w:val="99"/>
    <w:rPr>
      <w:sz w:val="21"/>
      <w:szCs w:val="21"/>
    </w:rPr>
  </w:style>
  <w:style w:type="character" w:customStyle="1" w:styleId="50">
    <w:name w:val="正文文本首行缩进 2 字符"/>
    <w:basedOn w:val="44"/>
    <w:link w:val="27"/>
    <w:qFormat/>
    <w:uiPriority w:val="99"/>
    <w:rPr>
      <w:sz w:val="21"/>
      <w:szCs w:val="21"/>
    </w:rPr>
  </w:style>
  <w:style w:type="paragraph" w:customStyle="1" w:styleId="51">
    <w:name w:val="Heading2"/>
    <w:basedOn w:val="1"/>
    <w:next w:val="1"/>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2">
    <w:name w:val="Default"/>
    <w:basedOn w:val="25"/>
    <w:next w:val="3"/>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3">
    <w:name w:val="索引 11"/>
    <w:basedOn w:val="1"/>
    <w:next w:val="1"/>
    <w:qFormat/>
    <w:uiPriority w:val="99"/>
    <w:pPr>
      <w:spacing w:line="360" w:lineRule="auto"/>
    </w:pPr>
    <w:rPr>
      <w:rFonts w:ascii="仿宋_GB2312" w:eastAsia="仿宋_GB2312" w:cs="仿宋_GB2312"/>
      <w:sz w:val="24"/>
      <w:szCs w:val="24"/>
    </w:rPr>
  </w:style>
  <w:style w:type="paragraph" w:customStyle="1" w:styleId="54">
    <w:name w:val="纯文本1"/>
    <w:basedOn w:val="1"/>
    <w:qFormat/>
    <w:uiPriority w:val="99"/>
    <w:rPr>
      <w:rFonts w:ascii="宋体" w:hAnsi="Courier New" w:cs="宋体"/>
      <w:kern w:val="0"/>
      <w:sz w:val="20"/>
      <w:szCs w:val="20"/>
    </w:rPr>
  </w:style>
  <w:style w:type="character" w:customStyle="1" w:styleId="55">
    <w:name w:val="NormalCharacter"/>
    <w:link w:val="1"/>
    <w:qFormat/>
    <w:uiPriority w:val="99"/>
    <w:rPr>
      <w:rFonts w:ascii="Times New Roman" w:hAnsi="Times New Roman" w:eastAsia="宋体" w:cs="Times New Roman"/>
      <w:kern w:val="2"/>
      <w:sz w:val="21"/>
      <w:szCs w:val="21"/>
      <w:lang w:val="en-US" w:eastAsia="zh-CN" w:bidi="ar-SA"/>
    </w:rPr>
  </w:style>
  <w:style w:type="paragraph" w:customStyle="1" w:styleId="56">
    <w:name w:val="UserStyle_44"/>
    <w:basedOn w:val="1"/>
    <w:qFormat/>
    <w:uiPriority w:val="99"/>
    <w:pPr>
      <w:spacing w:before="120" w:after="120" w:line="360" w:lineRule="auto"/>
      <w:jc w:val="center"/>
    </w:pPr>
    <w:rPr>
      <w:rFonts w:eastAsia="仿宋_GB2312"/>
      <w:b/>
      <w:bCs/>
      <w:sz w:val="24"/>
      <w:szCs w:val="24"/>
    </w:rPr>
  </w:style>
  <w:style w:type="paragraph" w:customStyle="1" w:styleId="57">
    <w:name w:val="NormalIndent"/>
    <w:basedOn w:val="1"/>
    <w:qFormat/>
    <w:uiPriority w:val="99"/>
    <w:pPr>
      <w:ind w:firstLine="420"/>
      <w:jc w:val="left"/>
    </w:pPr>
    <w:rPr>
      <w:rFonts w:ascii="宋体" w:cs="宋体"/>
      <w:kern w:val="0"/>
      <w:sz w:val="24"/>
      <w:szCs w:val="24"/>
    </w:rPr>
  </w:style>
  <w:style w:type="paragraph" w:customStyle="1" w:styleId="58">
    <w:name w:val="图例"/>
    <w:basedOn w:val="1"/>
    <w:qFormat/>
    <w:uiPriority w:val="99"/>
    <w:pPr>
      <w:spacing w:before="120" w:after="120" w:line="360" w:lineRule="auto"/>
      <w:jc w:val="center"/>
    </w:pPr>
    <w:rPr>
      <w:rFonts w:eastAsia="仿宋_GB2312"/>
      <w:b/>
      <w:bCs/>
      <w:sz w:val="24"/>
      <w:szCs w:val="24"/>
    </w:rPr>
  </w:style>
  <w:style w:type="character" w:customStyle="1" w:styleId="59">
    <w:name w:val="font11"/>
    <w:basedOn w:val="30"/>
    <w:qFormat/>
    <w:uiPriority w:val="99"/>
    <w:rPr>
      <w:rFonts w:ascii="宋体" w:hAnsi="宋体" w:eastAsia="宋体" w:cs="宋体"/>
      <w:color w:val="FF0000"/>
      <w:sz w:val="16"/>
      <w:szCs w:val="16"/>
      <w:u w:val="none"/>
    </w:rPr>
  </w:style>
  <w:style w:type="character" w:customStyle="1" w:styleId="60">
    <w:name w:val="font21"/>
    <w:basedOn w:val="30"/>
    <w:qFormat/>
    <w:uiPriority w:val="99"/>
    <w:rPr>
      <w:rFonts w:ascii="宋体" w:hAnsi="宋体" w:eastAsia="宋体" w:cs="宋体"/>
      <w:color w:val="000000"/>
      <w:sz w:val="16"/>
      <w:szCs w:val="16"/>
      <w:u w:val="none"/>
    </w:rPr>
  </w:style>
  <w:style w:type="character" w:customStyle="1" w:styleId="61">
    <w:name w:val="style23"/>
    <w:basedOn w:val="30"/>
    <w:qFormat/>
    <w:uiPriority w:val="99"/>
  </w:style>
  <w:style w:type="paragraph" w:customStyle="1" w:styleId="62">
    <w:name w:val="表格文字"/>
    <w:basedOn w:val="1"/>
    <w:qFormat/>
    <w:uiPriority w:val="99"/>
    <w:pPr>
      <w:spacing w:before="25" w:after="25"/>
      <w:jc w:val="left"/>
    </w:pPr>
    <w:rPr>
      <w:spacing w:val="10"/>
      <w:kern w:val="0"/>
      <w:sz w:val="24"/>
      <w:szCs w:val="24"/>
    </w:rPr>
  </w:style>
  <w:style w:type="paragraph" w:styleId="63">
    <w:name w:val="List Paragraph"/>
    <w:basedOn w:val="1"/>
    <w:qFormat/>
    <w:uiPriority w:val="99"/>
    <w:pPr>
      <w:ind w:firstLine="420" w:firstLineChars="200"/>
    </w:pPr>
  </w:style>
  <w:style w:type="character" w:customStyle="1" w:styleId="64">
    <w:name w:val="font01"/>
    <w:basedOn w:val="30"/>
    <w:qFormat/>
    <w:uiPriority w:val="99"/>
    <w:rPr>
      <w:rFonts w:ascii="宋体" w:hAnsi="宋体" w:eastAsia="宋体" w:cs="宋体"/>
      <w:color w:val="000000"/>
      <w:sz w:val="22"/>
      <w:szCs w:val="22"/>
      <w:u w:val="none"/>
    </w:rPr>
  </w:style>
  <w:style w:type="character" w:customStyle="1" w:styleId="65">
    <w:name w:val="font71"/>
    <w:basedOn w:val="30"/>
    <w:qFormat/>
    <w:uiPriority w:val="99"/>
    <w:rPr>
      <w:rFonts w:ascii="Arial" w:hAnsi="Arial" w:cs="Arial"/>
      <w:color w:val="000000"/>
      <w:sz w:val="22"/>
      <w:szCs w:val="22"/>
      <w:u w:val="none"/>
    </w:rPr>
  </w:style>
  <w:style w:type="character" w:customStyle="1" w:styleId="66">
    <w:name w:val="font81"/>
    <w:basedOn w:val="30"/>
    <w:qFormat/>
    <w:uiPriority w:val="99"/>
    <w:rPr>
      <w:rFonts w:ascii="Calibri" w:hAnsi="Calibri" w:cs="Calibri"/>
      <w:color w:val="000000"/>
      <w:sz w:val="22"/>
      <w:szCs w:val="22"/>
      <w:u w:val="none"/>
    </w:rPr>
  </w:style>
  <w:style w:type="character" w:customStyle="1" w:styleId="67">
    <w:name w:val="font91"/>
    <w:basedOn w:val="30"/>
    <w:qFormat/>
    <w:uiPriority w:val="99"/>
    <w:rPr>
      <w:rFonts w:ascii="宋体" w:hAnsi="宋体" w:eastAsia="宋体" w:cs="宋体"/>
      <w:color w:val="FF0000"/>
      <w:sz w:val="22"/>
      <w:szCs w:val="22"/>
      <w:u w:val="none"/>
    </w:rPr>
  </w:style>
  <w:style w:type="paragraph" w:customStyle="1" w:styleId="68">
    <w:name w:val="样式 首行缩进:  2 字符"/>
    <w:basedOn w:val="1"/>
    <w:qFormat/>
    <w:uiPriority w:val="99"/>
    <w:pPr>
      <w:spacing w:line="360" w:lineRule="auto"/>
      <w:ind w:firstLine="480" w:firstLineChars="200"/>
      <w:jc w:val="left"/>
    </w:pPr>
    <w:rPr>
      <w:rFonts w:ascii="宋体" w:hAnsi="宋体" w:cs="宋体"/>
      <w:color w:val="000000"/>
      <w:sz w:val="24"/>
      <w:szCs w:val="24"/>
    </w:rPr>
  </w:style>
  <w:style w:type="table" w:customStyle="1" w:styleId="69">
    <w:name w:val="Table Normal1"/>
    <w:qFormat/>
    <w:uiPriority w:val="99"/>
    <w:tblPr>
      <w:tblLayout w:type="fixed"/>
      <w:tblCellMar>
        <w:top w:w="0" w:type="dxa"/>
        <w:left w:w="0" w:type="dxa"/>
        <w:bottom w:w="0" w:type="dxa"/>
        <w:right w:w="0" w:type="dxa"/>
      </w:tblCellMar>
    </w:tblPr>
  </w:style>
  <w:style w:type="character" w:customStyle="1" w:styleId="70">
    <w:name w:val="font31"/>
    <w:basedOn w:val="30"/>
    <w:qFormat/>
    <w:uiPriority w:val="99"/>
    <w:rPr>
      <w:rFonts w:ascii="宋体" w:hAnsi="宋体" w:eastAsia="宋体" w:cs="宋体"/>
      <w:color w:val="000000"/>
      <w:sz w:val="22"/>
      <w:szCs w:val="22"/>
      <w:u w:val="none"/>
    </w:rPr>
  </w:style>
  <w:style w:type="character" w:customStyle="1" w:styleId="71">
    <w:name w:val="font101"/>
    <w:basedOn w:val="30"/>
    <w:qFormat/>
    <w:uiPriority w:val="99"/>
    <w:rPr>
      <w:rFonts w:ascii="Calibri" w:hAnsi="Calibri" w:cs="Calibri"/>
      <w:color w:val="000000"/>
      <w:sz w:val="22"/>
      <w:szCs w:val="22"/>
      <w:u w:val="none"/>
    </w:rPr>
  </w:style>
  <w:style w:type="character" w:customStyle="1" w:styleId="72">
    <w:name w:val="font41"/>
    <w:basedOn w:val="30"/>
    <w:qFormat/>
    <w:uiPriority w:val="99"/>
    <w:rPr>
      <w:rFonts w:ascii="宋体" w:hAnsi="宋体" w:eastAsia="宋体" w:cs="宋体"/>
      <w:color w:val="000000"/>
      <w:sz w:val="22"/>
      <w:szCs w:val="22"/>
      <w:u w:val="none"/>
    </w:rPr>
  </w:style>
  <w:style w:type="character" w:customStyle="1" w:styleId="73">
    <w:name w:val="font51"/>
    <w:basedOn w:val="30"/>
    <w:qFormat/>
    <w:uiPriority w:val="99"/>
    <w:rPr>
      <w:rFonts w:ascii="宋体" w:hAnsi="宋体" w:eastAsia="宋体" w:cs="宋体"/>
      <w:color w:val="000000"/>
      <w:sz w:val="22"/>
      <w:szCs w:val="22"/>
      <w:u w:val="none"/>
    </w:rPr>
  </w:style>
  <w:style w:type="character" w:customStyle="1" w:styleId="74">
    <w:name w:val="font61"/>
    <w:basedOn w:val="30"/>
    <w:qFormat/>
    <w:uiPriority w:val="99"/>
    <w:rPr>
      <w:rFonts w:ascii="宋体" w:hAnsi="宋体" w:eastAsia="宋体" w:cs="宋体"/>
      <w:color w:val="000000"/>
      <w:sz w:val="22"/>
      <w:szCs w:val="22"/>
      <w:u w:val="none"/>
      <w:vertAlign w:val="superscript"/>
    </w:rPr>
  </w:style>
  <w:style w:type="paragraph" w:customStyle="1" w:styleId="75">
    <w:name w:val="列出段落1"/>
    <w:basedOn w:val="1"/>
    <w:qFormat/>
    <w:uiPriority w:val="99"/>
    <w:pPr>
      <w:ind w:firstLine="420" w:firstLineChars="200"/>
    </w:pPr>
  </w:style>
  <w:style w:type="paragraph" w:customStyle="1" w:styleId="76">
    <w:name w:val="正文1"/>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7">
    <w:name w:val="正文文本 21"/>
    <w:basedOn w:val="76"/>
    <w:qFormat/>
    <w:uiPriority w:val="0"/>
    <w:rPr>
      <w:rFonts w:ascii="SimSun;宋体" w:hAnsi="SimSun;宋体"/>
      <w:color w:val="000000"/>
      <w:sz w:val="28"/>
    </w:rPr>
  </w:style>
  <w:style w:type="paragraph" w:customStyle="1" w:styleId="78">
    <w:name w:val="列出段落11"/>
    <w:basedOn w:val="1"/>
    <w:next w:val="75"/>
    <w:qFormat/>
    <w:uiPriority w:val="34"/>
    <w:pPr>
      <w:ind w:firstLine="420" w:firstLineChars="200"/>
    </w:pPr>
  </w:style>
  <w:style w:type="character" w:customStyle="1" w:styleId="79">
    <w:name w:val="明显参考1"/>
    <w:basedOn w:val="30"/>
    <w:qFormat/>
    <w:uiPriority w:val="32"/>
    <w:rPr>
      <w:b/>
      <w:bCs/>
      <w:smallCaps/>
      <w:color w:val="C0504D"/>
      <w:spacing w:val="5"/>
      <w:u w:val="single"/>
    </w:rPr>
  </w:style>
  <w:style w:type="paragraph" w:customStyle="1" w:styleId="80">
    <w:name w:val="列表段落1"/>
    <w:basedOn w:val="1"/>
    <w:qFormat/>
    <w:uiPriority w:val="34"/>
    <w:pPr>
      <w:ind w:firstLine="420" w:firstLineChars="200"/>
    </w:pPr>
  </w:style>
  <w:style w:type="paragraph" w:customStyle="1" w:styleId="81">
    <w:name w:val="_Style 5"/>
    <w:basedOn w:val="1"/>
    <w:next w:val="63"/>
    <w:qFormat/>
    <w:uiPriority w:val="34"/>
    <w:pPr>
      <w:ind w:firstLine="420" w:firstLineChars="200"/>
    </w:pPr>
  </w:style>
  <w:style w:type="paragraph" w:customStyle="1" w:styleId="82">
    <w:name w:val="List Paragraph1"/>
    <w:basedOn w:val="1"/>
    <w:qFormat/>
    <w:uiPriority w:val="0"/>
    <w:pPr>
      <w:ind w:firstLine="420" w:firstLineChars="200"/>
    </w:pPr>
  </w:style>
  <w:style w:type="paragraph" w:customStyle="1" w:styleId="83">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84">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85">
    <w:name w:val="Anrede1IhrZeichen"/>
    <w:qFormat/>
    <w:uiPriority w:val="0"/>
    <w:rPr>
      <w:rFonts w:ascii="Arial" w:hAnsi="Arial"/>
      <w:sz w:val="20"/>
    </w:rPr>
  </w:style>
  <w:style w:type="paragraph" w:customStyle="1" w:styleId="86">
    <w:name w:val="样式1"/>
    <w:basedOn w:val="4"/>
    <w:qFormat/>
    <w:uiPriority w:val="0"/>
    <w:pPr>
      <w:spacing w:before="100" w:beforeAutospacing="1" w:after="100" w:afterAutospacing="1"/>
      <w:ind w:left="1710" w:right="100" w:rightChars="100"/>
    </w:pPr>
    <w:rPr>
      <w:sz w:val="21"/>
    </w:rPr>
  </w:style>
  <w:style w:type="paragraph" w:customStyle="1" w:styleId="87">
    <w:name w:val="_Style 1"/>
    <w:basedOn w:val="1"/>
    <w:qFormat/>
    <w:uiPriority w:val="99"/>
    <w:pPr>
      <w:ind w:firstLine="420" w:firstLineChars="200"/>
    </w:pPr>
  </w:style>
  <w:style w:type="paragraph" w:customStyle="1" w:styleId="88">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89">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0">
    <w:name w:val="Body text|1"/>
    <w:basedOn w:val="1"/>
    <w:qFormat/>
    <w:uiPriority w:val="0"/>
    <w:pPr>
      <w:spacing w:line="276" w:lineRule="auto"/>
    </w:pPr>
    <w:rPr>
      <w:sz w:val="19"/>
      <w:szCs w:val="19"/>
    </w:rPr>
  </w:style>
  <w:style w:type="paragraph" w:customStyle="1" w:styleId="91">
    <w:name w:val="Body text|2"/>
    <w:basedOn w:val="1"/>
    <w:qFormat/>
    <w:uiPriority w:val="0"/>
    <w:pPr>
      <w:spacing w:line="314" w:lineRule="exact"/>
    </w:pPr>
    <w:rPr>
      <w:rFonts w:ascii="宋体" w:hAnsi="宋体" w:eastAsia="宋体" w:cs="宋体"/>
      <w:sz w:val="20"/>
      <w:szCs w:val="20"/>
      <w:lang w:val="zh-TW" w:eastAsia="zh-TW" w:bidi="zh-TW"/>
    </w:rPr>
  </w:style>
  <w:style w:type="paragraph" w:customStyle="1" w:styleId="92">
    <w:name w:val="WPS Plain"/>
    <w:qFormat/>
    <w:uiPriority w:val="0"/>
    <w:rPr>
      <w:rFonts w:ascii="Times New Roman" w:hAnsi="Times New Roman" w:eastAsia="宋体" w:cs="Times New Roman"/>
      <w:sz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68</Pages>
  <Words>43047</Words>
  <Characters>47032</Characters>
  <Lines>465</Lines>
  <Paragraphs>131</Paragraphs>
  <TotalTime>48</TotalTime>
  <ScaleCrop>false</ScaleCrop>
  <LinksUpToDate>false</LinksUpToDate>
  <CharactersWithSpaces>51487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花</cp:lastModifiedBy>
  <cp:lastPrinted>2023-03-27T09:59:00Z</cp:lastPrinted>
  <dcterms:modified xsi:type="dcterms:W3CDTF">2023-03-31T11:37:24Z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A9380949E7AD4D078DC1A1E1D7A2B6B2_13</vt:lpwstr>
  </property>
</Properties>
</file>