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ind w:left="0" w:leftChars="0" w:firstLine="0" w:firstLineChars="0"/>
        <w:jc w:val="center"/>
        <w:rPr>
          <w:rFonts w:hint="eastAsia" w:ascii="仿宋_GB2312" w:eastAsia="仿宋_GB2312" w:cs="仿宋_GB2312"/>
          <w:b/>
          <w:bCs/>
          <w:color w:val="auto"/>
          <w:spacing w:val="-17"/>
          <w:sz w:val="52"/>
          <w:szCs w:val="52"/>
          <w:highlight w:val="none"/>
          <w:lang w:val="en-US" w:eastAsia="zh-CN"/>
        </w:rPr>
      </w:pPr>
    </w:p>
    <w:p>
      <w:pPr>
        <w:spacing w:line="600" w:lineRule="exact"/>
        <w:ind w:left="0" w:leftChars="0" w:firstLine="0" w:firstLineChars="0"/>
        <w:jc w:val="center"/>
        <w:rPr>
          <w:rFonts w:hint="eastAsia" w:ascii="仿宋_GB2312" w:eastAsia="仿宋_GB2312" w:cs="仿宋_GB2312"/>
          <w:b/>
          <w:bCs/>
          <w:color w:val="auto"/>
          <w:spacing w:val="-17"/>
          <w:sz w:val="52"/>
          <w:szCs w:val="52"/>
          <w:highlight w:val="none"/>
          <w:lang w:val="en-US" w:eastAsia="zh-CN"/>
        </w:rPr>
      </w:pPr>
    </w:p>
    <w:p>
      <w:pPr>
        <w:spacing w:line="600" w:lineRule="exact"/>
        <w:ind w:left="0" w:leftChars="0" w:firstLine="0" w:firstLineChars="0"/>
        <w:jc w:val="center"/>
        <w:outlineLvl w:val="9"/>
        <w:rPr>
          <w:rFonts w:ascii="仿宋_GB2312" w:hAnsi="仿宋_GB2312" w:eastAsia="仿宋_GB2312" w:cs="仿宋_GB2312"/>
          <w:b/>
          <w:bCs/>
          <w:color w:val="auto"/>
          <w:sz w:val="36"/>
          <w:szCs w:val="36"/>
          <w:highlight w:val="none"/>
          <w:lang w:eastAsia="zh-CN"/>
        </w:rPr>
      </w:pPr>
      <w:r>
        <w:rPr>
          <w:rFonts w:hint="eastAsia" w:ascii="仿宋_GB2312" w:eastAsia="仿宋_GB2312" w:cs="仿宋_GB2312"/>
          <w:b/>
          <w:bCs/>
          <w:color w:val="auto"/>
          <w:spacing w:val="-17"/>
          <w:sz w:val="52"/>
          <w:szCs w:val="52"/>
          <w:highlight w:val="none"/>
          <w:lang w:val="en-US" w:eastAsia="zh-CN"/>
        </w:rPr>
        <w:t>2022年轮台县国土变更与卫片执法项目</w:t>
      </w:r>
    </w:p>
    <w:p>
      <w:pPr>
        <w:pStyle w:val="6"/>
        <w:outlineLvl w:val="9"/>
        <w:rPr>
          <w:rFonts w:hint="eastAsia"/>
          <w:highlight w:val="none"/>
          <w:lang w:eastAsia="zh-CN"/>
        </w:rPr>
      </w:pPr>
    </w:p>
    <w:p>
      <w:pPr>
        <w:tabs>
          <w:tab w:val="left" w:pos="6595"/>
        </w:tabs>
        <w:spacing w:line="600" w:lineRule="exact"/>
        <w:ind w:firstLine="1446" w:firstLineChars="400"/>
        <w:jc w:val="both"/>
        <w:outlineLvl w:val="9"/>
        <w:rPr>
          <w:rFonts w:ascii="仿宋_GB2312" w:hAnsi="仿宋_GB2312" w:eastAsia="仿宋_GB2312" w:cs="仿宋_GB2312"/>
          <w:b/>
          <w:bCs/>
          <w:color w:val="auto"/>
          <w:sz w:val="36"/>
          <w:szCs w:val="36"/>
          <w:highlight w:val="none"/>
          <w:lang w:eastAsia="zh-CN"/>
        </w:rPr>
      </w:pPr>
      <w:r>
        <w:rPr>
          <w:rFonts w:hint="eastAsia" w:ascii="仿宋_GB2312" w:hAnsi="仿宋_GB2312" w:eastAsia="仿宋_GB2312" w:cs="仿宋_GB2312"/>
          <w:b/>
          <w:bCs/>
          <w:color w:val="auto"/>
          <w:sz w:val="36"/>
          <w:szCs w:val="36"/>
          <w:highlight w:val="none"/>
          <w:lang w:eastAsia="zh-CN"/>
        </w:rPr>
        <w:tab/>
      </w:r>
    </w:p>
    <w:p>
      <w:pPr>
        <w:spacing w:line="600" w:lineRule="exact"/>
        <w:ind w:firstLine="1446" w:firstLineChars="400"/>
        <w:jc w:val="both"/>
        <w:outlineLvl w:val="9"/>
        <w:rPr>
          <w:rFonts w:ascii="仿宋_GB2312" w:hAnsi="仿宋_GB2312" w:eastAsia="仿宋_GB2312" w:cs="仿宋_GB2312"/>
          <w:b/>
          <w:bCs/>
          <w:color w:val="auto"/>
          <w:sz w:val="36"/>
          <w:szCs w:val="36"/>
          <w:highlight w:val="none"/>
          <w:lang w:eastAsia="zh-CN"/>
        </w:rPr>
      </w:pPr>
    </w:p>
    <w:p>
      <w:pPr>
        <w:pStyle w:val="6"/>
        <w:outlineLvl w:val="9"/>
        <w:rPr>
          <w:highlight w:val="none"/>
          <w:lang w:eastAsia="zh-CN"/>
        </w:rPr>
      </w:pPr>
    </w:p>
    <w:p>
      <w:pPr>
        <w:spacing w:line="600" w:lineRule="exact"/>
        <w:ind w:firstLine="1446" w:firstLineChars="400"/>
        <w:jc w:val="both"/>
        <w:outlineLvl w:val="9"/>
        <w:rPr>
          <w:rFonts w:ascii="仿宋_GB2312" w:hAnsi="仿宋_GB2312" w:eastAsia="仿宋_GB2312" w:cs="仿宋_GB2312"/>
          <w:b/>
          <w:bCs/>
          <w:color w:val="auto"/>
          <w:sz w:val="36"/>
          <w:szCs w:val="36"/>
          <w:highlight w:val="none"/>
          <w:lang w:eastAsia="zh-CN"/>
        </w:rPr>
      </w:pPr>
    </w:p>
    <w:p>
      <w:pPr>
        <w:pStyle w:val="6"/>
        <w:outlineLvl w:val="9"/>
        <w:rPr>
          <w:highlight w:val="none"/>
          <w:lang w:eastAsia="zh-CN"/>
        </w:rPr>
      </w:pPr>
    </w:p>
    <w:p>
      <w:pPr>
        <w:pStyle w:val="6"/>
        <w:outlineLvl w:val="9"/>
        <w:rPr>
          <w:highlight w:val="none"/>
          <w:lang w:eastAsia="zh-CN"/>
        </w:rPr>
      </w:pPr>
    </w:p>
    <w:p>
      <w:pPr>
        <w:spacing w:line="600" w:lineRule="exact"/>
        <w:ind w:firstLine="3253" w:firstLineChars="900"/>
        <w:jc w:val="both"/>
        <w:outlineLvl w:val="9"/>
        <w:rPr>
          <w:rFonts w:ascii="仿宋_GB2312" w:hAnsi="仿宋_GB2312" w:eastAsia="仿宋_GB2312" w:cs="仿宋_GB2312"/>
          <w:b/>
          <w:bCs/>
          <w:color w:val="auto"/>
          <w:sz w:val="36"/>
          <w:szCs w:val="36"/>
          <w:highlight w:val="none"/>
          <w:lang w:eastAsia="zh-CN"/>
        </w:rPr>
      </w:pPr>
    </w:p>
    <w:p>
      <w:pPr>
        <w:jc w:val="center"/>
        <w:outlineLvl w:val="9"/>
        <w:rPr>
          <w:rFonts w:ascii="仿宋_GB2312" w:hAnsi="仿宋_GB2312" w:eastAsia="仿宋_GB2312" w:cs="仿宋_GB2312"/>
          <w:b/>
          <w:bCs/>
          <w:color w:val="auto"/>
          <w:sz w:val="72"/>
          <w:szCs w:val="72"/>
          <w:highlight w:val="none"/>
          <w:lang w:eastAsia="zh-CN"/>
        </w:rPr>
      </w:pPr>
      <w:r>
        <w:rPr>
          <w:rFonts w:hint="eastAsia" w:ascii="仿宋_GB2312" w:hAnsi="仿宋_GB2312" w:eastAsia="仿宋_GB2312" w:cs="仿宋_GB2312"/>
          <w:b/>
          <w:bCs/>
          <w:color w:val="auto"/>
          <w:sz w:val="72"/>
          <w:szCs w:val="72"/>
          <w:highlight w:val="none"/>
          <w:lang w:val="en-US" w:eastAsia="zh-CN"/>
        </w:rPr>
        <w:t>竞争性磋商</w:t>
      </w:r>
      <w:r>
        <w:rPr>
          <w:rFonts w:hint="eastAsia" w:ascii="仿宋_GB2312" w:hAnsi="仿宋_GB2312" w:eastAsia="仿宋_GB2312" w:cs="仿宋_GB2312"/>
          <w:b/>
          <w:bCs/>
          <w:color w:val="auto"/>
          <w:sz w:val="72"/>
          <w:szCs w:val="72"/>
          <w:highlight w:val="none"/>
          <w:lang w:eastAsia="zh-CN"/>
        </w:rPr>
        <w:t>文件</w:t>
      </w:r>
    </w:p>
    <w:p>
      <w:pPr>
        <w:spacing w:line="600" w:lineRule="exact"/>
        <w:jc w:val="center"/>
        <w:outlineLvl w:val="9"/>
        <w:rPr>
          <w:rFonts w:hint="default" w:ascii="仿宋_GB2312" w:hAnsi="仿宋_GB2312" w:eastAsia="仿宋_GB2312" w:cs="仿宋_GB2312"/>
          <w:b/>
          <w:bCs/>
          <w:color w:val="auto"/>
          <w:sz w:val="36"/>
          <w:szCs w:val="36"/>
          <w:highlight w:val="none"/>
          <w:lang w:val="en-US" w:eastAsia="zh-CN"/>
        </w:rPr>
      </w:pPr>
      <w:r>
        <w:rPr>
          <w:rFonts w:hint="eastAsia" w:ascii="仿宋_GB2312" w:hAnsi="仿宋_GB2312" w:eastAsia="仿宋_GB2312" w:cs="仿宋_GB2312"/>
          <w:b/>
          <w:bCs/>
          <w:color w:val="auto"/>
          <w:sz w:val="36"/>
          <w:szCs w:val="36"/>
          <w:highlight w:val="none"/>
          <w:lang w:val="en-US" w:eastAsia="zh-CN"/>
        </w:rPr>
        <w:t>项目</w:t>
      </w:r>
      <w:r>
        <w:rPr>
          <w:rFonts w:hint="eastAsia" w:ascii="仿宋_GB2312" w:hAnsi="仿宋_GB2312" w:eastAsia="仿宋_GB2312" w:cs="仿宋_GB2312"/>
          <w:b/>
          <w:bCs/>
          <w:color w:val="auto"/>
          <w:sz w:val="36"/>
          <w:szCs w:val="36"/>
          <w:highlight w:val="none"/>
          <w:lang w:eastAsia="zh-CN"/>
        </w:rPr>
        <w:t>编号</w:t>
      </w:r>
      <w:r>
        <w:rPr>
          <w:rFonts w:hint="eastAsia" w:ascii="仿宋_GB2312" w:hAnsi="仿宋_GB2312" w:eastAsia="仿宋_GB2312" w:cs="仿宋_GB2312"/>
          <w:b/>
          <w:bCs/>
          <w:color w:val="000000" w:themeColor="text1"/>
          <w:sz w:val="36"/>
          <w:szCs w:val="36"/>
          <w:highlight w:val="none"/>
          <w:lang w:eastAsia="zh-CN"/>
          <w14:textFill>
            <w14:solidFill>
              <w14:schemeClr w14:val="tx1"/>
            </w14:solidFill>
          </w14:textFill>
        </w:rPr>
        <w:t>：XJJY-2023CG001</w:t>
      </w:r>
    </w:p>
    <w:p>
      <w:pPr>
        <w:spacing w:line="600" w:lineRule="exact"/>
        <w:ind w:firstLine="3253" w:firstLineChars="900"/>
        <w:jc w:val="both"/>
        <w:outlineLvl w:val="9"/>
        <w:rPr>
          <w:rFonts w:ascii="仿宋_GB2312" w:hAnsi="仿宋_GB2312" w:eastAsia="仿宋_GB2312" w:cs="仿宋_GB2312"/>
          <w:b/>
          <w:bCs/>
          <w:color w:val="auto"/>
          <w:sz w:val="36"/>
          <w:szCs w:val="36"/>
          <w:highlight w:val="none"/>
          <w:lang w:eastAsia="zh-CN"/>
        </w:rPr>
      </w:pPr>
    </w:p>
    <w:p>
      <w:pPr>
        <w:spacing w:line="600" w:lineRule="exact"/>
        <w:ind w:firstLine="3253" w:firstLineChars="900"/>
        <w:jc w:val="both"/>
        <w:outlineLvl w:val="9"/>
        <w:rPr>
          <w:rFonts w:ascii="仿宋_GB2312" w:hAnsi="仿宋_GB2312" w:eastAsia="仿宋_GB2312" w:cs="仿宋_GB2312"/>
          <w:b/>
          <w:bCs/>
          <w:color w:val="auto"/>
          <w:sz w:val="36"/>
          <w:szCs w:val="36"/>
          <w:highlight w:val="none"/>
          <w:lang w:eastAsia="zh-CN"/>
        </w:rPr>
      </w:pPr>
    </w:p>
    <w:p>
      <w:pPr>
        <w:spacing w:line="600" w:lineRule="exact"/>
        <w:ind w:firstLine="3253" w:firstLineChars="900"/>
        <w:jc w:val="both"/>
        <w:outlineLvl w:val="9"/>
        <w:rPr>
          <w:rFonts w:ascii="仿宋_GB2312" w:hAnsi="仿宋_GB2312" w:eastAsia="仿宋_GB2312" w:cs="仿宋_GB2312"/>
          <w:b/>
          <w:bCs/>
          <w:color w:val="auto"/>
          <w:sz w:val="36"/>
          <w:szCs w:val="36"/>
          <w:highlight w:val="none"/>
          <w:lang w:eastAsia="zh-CN"/>
        </w:rPr>
      </w:pPr>
    </w:p>
    <w:p>
      <w:pPr>
        <w:spacing w:line="600" w:lineRule="exact"/>
        <w:ind w:firstLine="3253" w:firstLineChars="900"/>
        <w:jc w:val="both"/>
        <w:outlineLvl w:val="9"/>
        <w:rPr>
          <w:rFonts w:ascii="仿宋_GB2312" w:hAnsi="仿宋_GB2312" w:eastAsia="仿宋_GB2312" w:cs="仿宋_GB2312"/>
          <w:b/>
          <w:bCs/>
          <w:color w:val="auto"/>
          <w:sz w:val="36"/>
          <w:szCs w:val="36"/>
          <w:highlight w:val="none"/>
          <w:lang w:eastAsia="zh-CN"/>
        </w:rPr>
      </w:pPr>
    </w:p>
    <w:p>
      <w:pPr>
        <w:pStyle w:val="6"/>
        <w:outlineLvl w:val="9"/>
        <w:rPr>
          <w:highlight w:val="none"/>
          <w:lang w:eastAsia="zh-CN"/>
        </w:rPr>
      </w:pPr>
    </w:p>
    <w:p>
      <w:pPr>
        <w:spacing w:line="600" w:lineRule="exact"/>
        <w:ind w:firstLine="1920" w:firstLineChars="600"/>
        <w:jc w:val="both"/>
        <w:outlineLvl w:val="9"/>
        <w:rPr>
          <w:rFonts w:ascii="仿宋_GB2312" w:hAnsi="仿宋_GB2312" w:eastAsia="仿宋_GB2312" w:cs="仿宋_GB2312"/>
          <w:color w:val="auto"/>
          <w:sz w:val="32"/>
          <w:szCs w:val="32"/>
          <w:highlight w:val="none"/>
          <w:lang w:eastAsia="zh-CN"/>
        </w:rPr>
      </w:pPr>
    </w:p>
    <w:p>
      <w:pPr>
        <w:spacing w:before="240" w:line="360" w:lineRule="auto"/>
        <w:jc w:val="center"/>
        <w:outlineLvl w:val="9"/>
        <w:rPr>
          <w:rFonts w:hint="eastAsia" w:ascii="仿宋_GB2312" w:eastAsia="仿宋_GB2312" w:cs="仿宋_GB2312"/>
          <w:color w:val="auto"/>
          <w:sz w:val="36"/>
          <w:szCs w:val="36"/>
          <w:highlight w:val="none"/>
          <w:lang w:bidi="ar-SA"/>
        </w:rPr>
      </w:pPr>
      <w:r>
        <w:rPr>
          <w:rFonts w:hint="eastAsia" w:ascii="仿宋_GB2312" w:eastAsia="仿宋_GB2312" w:cs="仿宋_GB2312"/>
          <w:color w:val="auto"/>
          <w:sz w:val="36"/>
          <w:szCs w:val="36"/>
          <w:highlight w:val="none"/>
          <w:lang w:val="en-US" w:eastAsia="zh-CN" w:bidi="ar-SA"/>
        </w:rPr>
        <w:t xml:space="preserve">     </w:t>
      </w:r>
      <w:r>
        <w:rPr>
          <w:rFonts w:hint="eastAsia" w:ascii="仿宋_GB2312" w:eastAsia="仿宋_GB2312" w:cs="仿宋_GB2312"/>
          <w:color w:val="auto"/>
          <w:sz w:val="36"/>
          <w:szCs w:val="36"/>
          <w:highlight w:val="none"/>
          <w:lang w:bidi="ar-SA"/>
        </w:rPr>
        <w:t>新疆玖一建设项目管理咨询有限公司</w:t>
      </w:r>
    </w:p>
    <w:p>
      <w:pPr>
        <w:spacing w:line="600" w:lineRule="exact"/>
        <w:ind w:firstLine="720" w:firstLineChars="200"/>
        <w:jc w:val="center"/>
        <w:outlineLvl w:val="9"/>
        <w:rPr>
          <w:rFonts w:hint="eastAsia" w:ascii="仿宋_GB2312" w:eastAsia="仿宋_GB2312" w:cs="仿宋_GB2312"/>
          <w:color w:val="auto"/>
          <w:sz w:val="36"/>
          <w:szCs w:val="36"/>
          <w:highlight w:val="none"/>
          <w:lang w:bidi="ar-SA"/>
        </w:rPr>
      </w:pPr>
    </w:p>
    <w:p>
      <w:pPr>
        <w:spacing w:line="600" w:lineRule="exact"/>
        <w:ind w:left="0" w:leftChars="0" w:firstLine="0" w:firstLineChars="0"/>
        <w:jc w:val="center"/>
        <w:outlineLvl w:val="9"/>
        <w:rPr>
          <w:rFonts w:hint="eastAsia" w:ascii="仿宋_GB2312" w:eastAsia="仿宋_GB2312" w:cs="仿宋_GB2312"/>
          <w:color w:val="auto"/>
          <w:sz w:val="36"/>
          <w:szCs w:val="36"/>
          <w:highlight w:val="none"/>
          <w:lang w:bidi="ar-SA"/>
        </w:rPr>
      </w:pPr>
      <w:r>
        <w:rPr>
          <w:rFonts w:hint="eastAsia" w:ascii="仿宋_GB2312" w:eastAsia="仿宋_GB2312" w:cs="仿宋_GB2312"/>
          <w:color w:val="auto"/>
          <w:sz w:val="36"/>
          <w:szCs w:val="36"/>
          <w:highlight w:val="none"/>
          <w:lang w:bidi="ar-SA"/>
        </w:rPr>
        <w:t>20</w:t>
      </w:r>
      <w:r>
        <w:rPr>
          <w:rFonts w:hint="eastAsia" w:ascii="仿宋_GB2312" w:eastAsia="仿宋_GB2312" w:cs="仿宋_GB2312"/>
          <w:color w:val="auto"/>
          <w:sz w:val="36"/>
          <w:szCs w:val="36"/>
          <w:highlight w:val="none"/>
          <w:lang w:val="en-US" w:eastAsia="zh-CN" w:bidi="ar-SA"/>
        </w:rPr>
        <w:t>23</w:t>
      </w:r>
      <w:r>
        <w:rPr>
          <w:rFonts w:hint="eastAsia" w:ascii="仿宋_GB2312" w:eastAsia="仿宋_GB2312" w:cs="仿宋_GB2312"/>
          <w:color w:val="auto"/>
          <w:sz w:val="36"/>
          <w:szCs w:val="36"/>
          <w:highlight w:val="none"/>
          <w:lang w:bidi="ar-SA"/>
        </w:rPr>
        <w:t>年</w:t>
      </w:r>
      <w:r>
        <w:rPr>
          <w:rFonts w:hint="eastAsia" w:ascii="仿宋_GB2312" w:eastAsia="仿宋_GB2312" w:cs="仿宋_GB2312"/>
          <w:color w:val="auto"/>
          <w:sz w:val="36"/>
          <w:szCs w:val="36"/>
          <w:highlight w:val="none"/>
          <w:lang w:val="en-US" w:eastAsia="zh-CN" w:bidi="ar-SA"/>
        </w:rPr>
        <w:t>4</w:t>
      </w:r>
      <w:r>
        <w:rPr>
          <w:rFonts w:hint="eastAsia" w:ascii="仿宋_GB2312" w:eastAsia="仿宋_GB2312" w:cs="仿宋_GB2312"/>
          <w:color w:val="auto"/>
          <w:sz w:val="36"/>
          <w:szCs w:val="36"/>
          <w:highlight w:val="none"/>
          <w:lang w:bidi="ar-SA"/>
        </w:rPr>
        <w:t>月</w:t>
      </w:r>
    </w:p>
    <w:p>
      <w:pPr>
        <w:outlineLvl w:val="9"/>
        <w:rPr>
          <w:highlight w:val="none"/>
          <w:lang w:eastAsia="zh-CN"/>
        </w:rPr>
        <w:sectPr>
          <w:headerReference r:id="rId3" w:type="default"/>
          <w:pgSz w:w="11906" w:h="16838"/>
          <w:pgMar w:top="1418" w:right="1531" w:bottom="1418" w:left="1554" w:header="720" w:footer="720" w:gutter="0"/>
          <w:pgNumType w:start="1"/>
          <w:cols w:space="720" w:num="1"/>
          <w:docGrid w:type="lines" w:linePitch="312" w:charSpace="0"/>
        </w:sectPr>
      </w:pPr>
    </w:p>
    <w:p>
      <w:pPr>
        <w:rPr>
          <w:highlight w:val="none"/>
          <w:lang w:eastAsia="zh-CN"/>
        </w:rPr>
      </w:pPr>
    </w:p>
    <w:sdt>
      <w:sdtPr>
        <w:rPr>
          <w:rFonts w:ascii="宋体" w:hAnsi="宋体" w:eastAsia="宋体" w:cs="Times New Roman"/>
          <w:kern w:val="2"/>
          <w:sz w:val="36"/>
          <w:szCs w:val="36"/>
          <w:highlight w:val="none"/>
          <w:lang w:val="en-US" w:eastAsia="zh-CN" w:bidi="ar-SA"/>
        </w:rPr>
        <w:id w:val="147456281"/>
        <w15:color w:val="DBDBDB"/>
        <w:docPartObj>
          <w:docPartGallery w:val="Table of Contents"/>
          <w:docPartUnique/>
        </w:docPartObj>
      </w:sdtPr>
      <w:sdtEndPr>
        <w:rPr>
          <w:rFonts w:hint="eastAsia" w:ascii="仿宋" w:hAnsi="仿宋" w:eastAsia="仿宋" w:cs="仿宋"/>
          <w:b/>
          <w:kern w:val="2"/>
          <w:sz w:val="21"/>
          <w:szCs w:val="21"/>
          <w:highlight w:val="none"/>
          <w:lang w:val="en-US" w:eastAsia="zh-CN" w:bidi="ar-SA"/>
        </w:rPr>
      </w:sdtEndPr>
      <w:sdtContent>
        <w:p>
          <w:pPr>
            <w:spacing w:before="0" w:beforeLines="0" w:after="0" w:afterLines="0" w:line="240" w:lineRule="auto"/>
            <w:ind w:left="0" w:leftChars="0" w:right="0" w:rightChars="0" w:firstLine="0" w:firstLineChars="0"/>
            <w:jc w:val="center"/>
            <w:rPr>
              <w:rFonts w:ascii="宋体" w:hAnsi="宋体" w:eastAsia="宋体"/>
              <w:b/>
              <w:bCs/>
              <w:sz w:val="36"/>
              <w:szCs w:val="36"/>
              <w:highlight w:val="none"/>
            </w:rPr>
          </w:pPr>
          <w:r>
            <w:rPr>
              <w:rFonts w:ascii="宋体" w:hAnsi="宋体" w:eastAsia="宋体"/>
              <w:b/>
              <w:bCs/>
              <w:sz w:val="36"/>
              <w:szCs w:val="36"/>
              <w:highlight w:val="none"/>
            </w:rPr>
            <w:t>目录</w:t>
          </w:r>
        </w:p>
        <w:p>
          <w:pPr>
            <w:pStyle w:val="2"/>
            <w:rPr>
              <w:highlight w:val="none"/>
            </w:rPr>
          </w:pPr>
        </w:p>
        <w:p>
          <w:pPr>
            <w:pStyle w:val="19"/>
            <w:tabs>
              <w:tab w:val="right" w:leader="dot" w:pos="8821"/>
            </w:tabs>
            <w:rPr>
              <w:rFonts w:hint="eastAsia" w:ascii="宋体" w:hAnsi="宋体" w:eastAsia="宋体" w:cs="宋体"/>
              <w:sz w:val="28"/>
              <w:szCs w:val="28"/>
              <w:highlight w:val="none"/>
            </w:rPr>
          </w:pPr>
          <w:r>
            <w:rPr>
              <w:rFonts w:hint="eastAsia" w:ascii="仿宋" w:hAnsi="仿宋" w:eastAsia="仿宋" w:cs="仿宋"/>
              <w:highlight w:val="none"/>
            </w:rPr>
            <w:fldChar w:fldCharType="begin"/>
          </w:r>
          <w:r>
            <w:rPr>
              <w:rFonts w:hint="eastAsia" w:ascii="仿宋" w:hAnsi="仿宋" w:eastAsia="仿宋" w:cs="仿宋"/>
              <w:highlight w:val="none"/>
            </w:rPr>
            <w:instrText xml:space="preserve">TOC \o "1-2" \h \u </w:instrText>
          </w:r>
          <w:r>
            <w:rPr>
              <w:rFonts w:hint="eastAsia" w:ascii="仿宋" w:hAnsi="仿宋" w:eastAsia="仿宋" w:cs="仿宋"/>
              <w:highlight w:val="none"/>
            </w:rPr>
            <w:fldChar w:fldCharType="separate"/>
          </w:r>
          <w:r>
            <w:rPr>
              <w:rFonts w:hint="eastAsia" w:ascii="宋体" w:hAnsi="宋体" w:eastAsia="宋体" w:cs="宋体"/>
              <w:sz w:val="28"/>
              <w:szCs w:val="28"/>
              <w:highlight w:val="none"/>
            </w:rPr>
            <w:fldChar w:fldCharType="begin"/>
          </w:r>
          <w:r>
            <w:rPr>
              <w:rFonts w:hint="eastAsia" w:ascii="宋体" w:hAnsi="宋体" w:eastAsia="宋体" w:cs="宋体"/>
              <w:sz w:val="28"/>
              <w:szCs w:val="28"/>
              <w:highlight w:val="none"/>
            </w:rPr>
            <w:instrText xml:space="preserve"> HYPERLINK \l _Toc30190 </w:instrText>
          </w:r>
          <w:r>
            <w:rPr>
              <w:rFonts w:hint="eastAsia" w:ascii="宋体" w:hAnsi="宋体" w:eastAsia="宋体" w:cs="宋体"/>
              <w:sz w:val="28"/>
              <w:szCs w:val="28"/>
              <w:highlight w:val="none"/>
            </w:rPr>
            <w:fldChar w:fldCharType="separate"/>
          </w:r>
          <w:r>
            <w:rPr>
              <w:rFonts w:hint="eastAsia" w:ascii="宋体" w:hAnsi="宋体" w:eastAsia="宋体" w:cs="宋体"/>
              <w:sz w:val="28"/>
              <w:szCs w:val="28"/>
              <w:highlight w:val="none"/>
              <w:lang w:val="en-US" w:eastAsia="zh-CN"/>
            </w:rPr>
            <w:t xml:space="preserve">第一章 </w:t>
          </w:r>
          <w:r>
            <w:rPr>
              <w:rFonts w:hint="eastAsia" w:ascii="宋体" w:hAnsi="宋体" w:eastAsia="宋体" w:cs="宋体"/>
              <w:sz w:val="28"/>
              <w:szCs w:val="28"/>
              <w:highlight w:val="none"/>
            </w:rPr>
            <w:t>磋商公告</w:t>
          </w:r>
          <w:r>
            <w:rPr>
              <w:rFonts w:hint="eastAsia" w:ascii="宋体" w:hAnsi="宋体" w:eastAsia="宋体" w:cs="宋体"/>
              <w:sz w:val="28"/>
              <w:szCs w:val="28"/>
              <w:highlight w:val="none"/>
            </w:rPr>
            <w:tab/>
          </w:r>
          <w:r>
            <w:rPr>
              <w:rFonts w:hint="eastAsia" w:ascii="宋体" w:hAnsi="宋体" w:eastAsia="宋体" w:cs="宋体"/>
              <w:sz w:val="28"/>
              <w:szCs w:val="28"/>
              <w:highlight w:val="none"/>
            </w:rPr>
            <w:fldChar w:fldCharType="begin"/>
          </w:r>
          <w:r>
            <w:rPr>
              <w:rFonts w:hint="eastAsia" w:ascii="宋体" w:hAnsi="宋体" w:eastAsia="宋体" w:cs="宋体"/>
              <w:sz w:val="28"/>
              <w:szCs w:val="28"/>
              <w:highlight w:val="none"/>
            </w:rPr>
            <w:instrText xml:space="preserve"> PAGEREF _Toc30190 \h </w:instrText>
          </w:r>
          <w:r>
            <w:rPr>
              <w:rFonts w:hint="eastAsia" w:ascii="宋体" w:hAnsi="宋体" w:eastAsia="宋体" w:cs="宋体"/>
              <w:sz w:val="28"/>
              <w:szCs w:val="28"/>
              <w:highlight w:val="none"/>
            </w:rPr>
            <w:fldChar w:fldCharType="separate"/>
          </w:r>
          <w:r>
            <w:rPr>
              <w:rFonts w:hint="eastAsia" w:ascii="宋体" w:hAnsi="宋体" w:eastAsia="宋体" w:cs="宋体"/>
              <w:sz w:val="28"/>
              <w:szCs w:val="28"/>
              <w:highlight w:val="none"/>
            </w:rPr>
            <w:t>1</w:t>
          </w:r>
          <w:r>
            <w:rPr>
              <w:rFonts w:hint="eastAsia" w:ascii="宋体" w:hAnsi="宋体" w:eastAsia="宋体" w:cs="宋体"/>
              <w:sz w:val="28"/>
              <w:szCs w:val="28"/>
              <w:highlight w:val="none"/>
            </w:rPr>
            <w:fldChar w:fldCharType="end"/>
          </w:r>
          <w:r>
            <w:rPr>
              <w:rFonts w:hint="eastAsia" w:ascii="宋体" w:hAnsi="宋体" w:eastAsia="宋体" w:cs="宋体"/>
              <w:sz w:val="28"/>
              <w:szCs w:val="28"/>
              <w:highlight w:val="none"/>
            </w:rPr>
            <w:fldChar w:fldCharType="end"/>
          </w:r>
        </w:p>
        <w:p>
          <w:pPr>
            <w:pStyle w:val="19"/>
            <w:tabs>
              <w:tab w:val="right" w:leader="dot" w:pos="8821"/>
            </w:tabs>
            <w:rPr>
              <w:rFonts w:hint="eastAsia" w:ascii="宋体" w:hAnsi="宋体" w:eastAsia="宋体" w:cs="宋体"/>
              <w:sz w:val="28"/>
              <w:szCs w:val="28"/>
              <w:highlight w:val="none"/>
            </w:rPr>
          </w:pPr>
          <w:r>
            <w:rPr>
              <w:rFonts w:hint="eastAsia" w:ascii="宋体" w:hAnsi="宋体" w:eastAsia="宋体" w:cs="宋体"/>
              <w:sz w:val="28"/>
              <w:szCs w:val="28"/>
              <w:highlight w:val="none"/>
            </w:rPr>
            <w:fldChar w:fldCharType="begin"/>
          </w:r>
          <w:r>
            <w:rPr>
              <w:rFonts w:hint="eastAsia" w:ascii="宋体" w:hAnsi="宋体" w:eastAsia="宋体" w:cs="宋体"/>
              <w:sz w:val="28"/>
              <w:szCs w:val="28"/>
              <w:highlight w:val="none"/>
            </w:rPr>
            <w:instrText xml:space="preserve"> HYPERLINK \l _Toc30563 </w:instrText>
          </w:r>
          <w:r>
            <w:rPr>
              <w:rFonts w:hint="eastAsia" w:ascii="宋体" w:hAnsi="宋体" w:eastAsia="宋体" w:cs="宋体"/>
              <w:sz w:val="28"/>
              <w:szCs w:val="28"/>
              <w:highlight w:val="none"/>
            </w:rPr>
            <w:fldChar w:fldCharType="separate"/>
          </w:r>
          <w:r>
            <w:rPr>
              <w:rFonts w:hint="eastAsia" w:ascii="宋体" w:hAnsi="宋体" w:eastAsia="宋体" w:cs="宋体"/>
              <w:sz w:val="28"/>
              <w:szCs w:val="28"/>
              <w:highlight w:val="none"/>
              <w:lang w:val="en-US" w:eastAsia="zh-CN"/>
            </w:rPr>
            <w:t>第二章 供应商须知</w:t>
          </w:r>
          <w:r>
            <w:rPr>
              <w:rFonts w:hint="eastAsia" w:ascii="宋体" w:hAnsi="宋体" w:eastAsia="宋体" w:cs="宋体"/>
              <w:sz w:val="28"/>
              <w:szCs w:val="28"/>
              <w:highlight w:val="none"/>
            </w:rPr>
            <w:tab/>
          </w:r>
          <w:r>
            <w:rPr>
              <w:rFonts w:hint="eastAsia" w:ascii="宋体" w:hAnsi="宋体" w:eastAsia="宋体" w:cs="宋体"/>
              <w:sz w:val="28"/>
              <w:szCs w:val="28"/>
              <w:highlight w:val="none"/>
            </w:rPr>
            <w:fldChar w:fldCharType="begin"/>
          </w:r>
          <w:r>
            <w:rPr>
              <w:rFonts w:hint="eastAsia" w:ascii="宋体" w:hAnsi="宋体" w:eastAsia="宋体" w:cs="宋体"/>
              <w:sz w:val="28"/>
              <w:szCs w:val="28"/>
              <w:highlight w:val="none"/>
            </w:rPr>
            <w:instrText xml:space="preserve"> PAGEREF _Toc30563 \h </w:instrText>
          </w:r>
          <w:r>
            <w:rPr>
              <w:rFonts w:hint="eastAsia" w:ascii="宋体" w:hAnsi="宋体" w:eastAsia="宋体" w:cs="宋体"/>
              <w:sz w:val="28"/>
              <w:szCs w:val="28"/>
              <w:highlight w:val="none"/>
            </w:rPr>
            <w:fldChar w:fldCharType="separate"/>
          </w:r>
          <w:r>
            <w:rPr>
              <w:rFonts w:hint="eastAsia" w:ascii="宋体" w:hAnsi="宋体" w:eastAsia="宋体" w:cs="宋体"/>
              <w:sz w:val="28"/>
              <w:szCs w:val="28"/>
              <w:highlight w:val="none"/>
            </w:rPr>
            <w:t>5</w:t>
          </w:r>
          <w:r>
            <w:rPr>
              <w:rFonts w:hint="eastAsia" w:ascii="宋体" w:hAnsi="宋体" w:eastAsia="宋体" w:cs="宋体"/>
              <w:sz w:val="28"/>
              <w:szCs w:val="28"/>
              <w:highlight w:val="none"/>
            </w:rPr>
            <w:fldChar w:fldCharType="end"/>
          </w:r>
          <w:r>
            <w:rPr>
              <w:rFonts w:hint="eastAsia" w:ascii="宋体" w:hAnsi="宋体" w:eastAsia="宋体" w:cs="宋体"/>
              <w:sz w:val="28"/>
              <w:szCs w:val="28"/>
              <w:highlight w:val="none"/>
            </w:rPr>
            <w:fldChar w:fldCharType="end"/>
          </w:r>
        </w:p>
        <w:p>
          <w:pPr>
            <w:pStyle w:val="19"/>
            <w:tabs>
              <w:tab w:val="right" w:leader="dot" w:pos="8821"/>
            </w:tabs>
            <w:rPr>
              <w:rFonts w:hint="eastAsia" w:ascii="宋体" w:hAnsi="宋体" w:eastAsia="宋体" w:cs="宋体"/>
              <w:sz w:val="28"/>
              <w:szCs w:val="28"/>
              <w:highlight w:val="none"/>
            </w:rPr>
          </w:pPr>
          <w:r>
            <w:rPr>
              <w:rFonts w:hint="eastAsia" w:ascii="宋体" w:hAnsi="宋体" w:eastAsia="宋体" w:cs="宋体"/>
              <w:sz w:val="28"/>
              <w:szCs w:val="28"/>
              <w:highlight w:val="none"/>
            </w:rPr>
            <w:fldChar w:fldCharType="begin"/>
          </w:r>
          <w:r>
            <w:rPr>
              <w:rFonts w:hint="eastAsia" w:ascii="宋体" w:hAnsi="宋体" w:eastAsia="宋体" w:cs="宋体"/>
              <w:sz w:val="28"/>
              <w:szCs w:val="28"/>
              <w:highlight w:val="none"/>
            </w:rPr>
            <w:instrText xml:space="preserve"> HYPERLINK \l _Toc13589 </w:instrText>
          </w:r>
          <w:r>
            <w:rPr>
              <w:rFonts w:hint="eastAsia" w:ascii="宋体" w:hAnsi="宋体" w:eastAsia="宋体" w:cs="宋体"/>
              <w:sz w:val="28"/>
              <w:szCs w:val="28"/>
              <w:highlight w:val="none"/>
            </w:rPr>
            <w:fldChar w:fldCharType="separate"/>
          </w:r>
          <w:r>
            <w:rPr>
              <w:rFonts w:hint="eastAsia" w:ascii="宋体" w:hAnsi="宋体" w:eastAsia="宋体" w:cs="宋体"/>
              <w:sz w:val="28"/>
              <w:szCs w:val="28"/>
              <w:highlight w:val="none"/>
              <w:lang w:val="en-US" w:eastAsia="zh-CN"/>
            </w:rPr>
            <w:t>第三章 合同条款</w:t>
          </w:r>
          <w:r>
            <w:rPr>
              <w:rFonts w:hint="eastAsia" w:ascii="宋体" w:hAnsi="宋体" w:eastAsia="宋体" w:cs="宋体"/>
              <w:sz w:val="28"/>
              <w:szCs w:val="28"/>
              <w:highlight w:val="none"/>
            </w:rPr>
            <w:tab/>
          </w:r>
          <w:r>
            <w:rPr>
              <w:rFonts w:hint="eastAsia" w:ascii="宋体" w:hAnsi="宋体" w:eastAsia="宋体" w:cs="宋体"/>
              <w:sz w:val="28"/>
              <w:szCs w:val="28"/>
              <w:highlight w:val="none"/>
            </w:rPr>
            <w:fldChar w:fldCharType="begin"/>
          </w:r>
          <w:r>
            <w:rPr>
              <w:rFonts w:hint="eastAsia" w:ascii="宋体" w:hAnsi="宋体" w:eastAsia="宋体" w:cs="宋体"/>
              <w:sz w:val="28"/>
              <w:szCs w:val="28"/>
              <w:highlight w:val="none"/>
            </w:rPr>
            <w:instrText xml:space="preserve"> PAGEREF _Toc13589 \h </w:instrText>
          </w:r>
          <w:r>
            <w:rPr>
              <w:rFonts w:hint="eastAsia" w:ascii="宋体" w:hAnsi="宋体" w:eastAsia="宋体" w:cs="宋体"/>
              <w:sz w:val="28"/>
              <w:szCs w:val="28"/>
              <w:highlight w:val="none"/>
            </w:rPr>
            <w:fldChar w:fldCharType="separate"/>
          </w:r>
          <w:r>
            <w:rPr>
              <w:rFonts w:hint="eastAsia" w:ascii="宋体" w:hAnsi="宋体" w:eastAsia="宋体" w:cs="宋体"/>
              <w:sz w:val="28"/>
              <w:szCs w:val="28"/>
              <w:highlight w:val="none"/>
            </w:rPr>
            <w:t>26</w:t>
          </w:r>
          <w:r>
            <w:rPr>
              <w:rFonts w:hint="eastAsia" w:ascii="宋体" w:hAnsi="宋体" w:eastAsia="宋体" w:cs="宋体"/>
              <w:sz w:val="28"/>
              <w:szCs w:val="28"/>
              <w:highlight w:val="none"/>
            </w:rPr>
            <w:fldChar w:fldCharType="end"/>
          </w:r>
          <w:r>
            <w:rPr>
              <w:rFonts w:hint="eastAsia" w:ascii="宋体" w:hAnsi="宋体" w:eastAsia="宋体" w:cs="宋体"/>
              <w:sz w:val="28"/>
              <w:szCs w:val="28"/>
              <w:highlight w:val="none"/>
            </w:rPr>
            <w:fldChar w:fldCharType="end"/>
          </w:r>
        </w:p>
        <w:p>
          <w:pPr>
            <w:pStyle w:val="19"/>
            <w:tabs>
              <w:tab w:val="right" w:leader="dot" w:pos="8821"/>
            </w:tabs>
            <w:rPr>
              <w:rFonts w:hint="eastAsia" w:ascii="宋体" w:hAnsi="宋体" w:eastAsia="宋体" w:cs="宋体"/>
              <w:sz w:val="28"/>
              <w:szCs w:val="28"/>
              <w:highlight w:val="none"/>
            </w:rPr>
          </w:pPr>
          <w:r>
            <w:rPr>
              <w:rFonts w:hint="eastAsia" w:ascii="宋体" w:hAnsi="宋体" w:eastAsia="宋体" w:cs="宋体"/>
              <w:sz w:val="28"/>
              <w:szCs w:val="28"/>
              <w:highlight w:val="none"/>
            </w:rPr>
            <w:fldChar w:fldCharType="begin"/>
          </w:r>
          <w:r>
            <w:rPr>
              <w:rFonts w:hint="eastAsia" w:ascii="宋体" w:hAnsi="宋体" w:eastAsia="宋体" w:cs="宋体"/>
              <w:sz w:val="28"/>
              <w:szCs w:val="28"/>
              <w:highlight w:val="none"/>
            </w:rPr>
            <w:instrText xml:space="preserve"> HYPERLINK \l _Toc23271 </w:instrText>
          </w:r>
          <w:r>
            <w:rPr>
              <w:rFonts w:hint="eastAsia" w:ascii="宋体" w:hAnsi="宋体" w:eastAsia="宋体" w:cs="宋体"/>
              <w:sz w:val="28"/>
              <w:szCs w:val="28"/>
              <w:highlight w:val="none"/>
            </w:rPr>
            <w:fldChar w:fldCharType="separate"/>
          </w:r>
          <w:r>
            <w:rPr>
              <w:rFonts w:hint="eastAsia" w:ascii="宋体" w:hAnsi="宋体" w:eastAsia="宋体" w:cs="宋体"/>
              <w:kern w:val="44"/>
              <w:sz w:val="28"/>
              <w:szCs w:val="28"/>
              <w:highlight w:val="none"/>
              <w:lang w:val="en-US" w:eastAsia="zh-CN" w:bidi="ar-SA"/>
            </w:rPr>
            <w:t xml:space="preserve">第四章 </w:t>
          </w:r>
          <w:r>
            <w:rPr>
              <w:rFonts w:hint="eastAsia" w:ascii="宋体" w:hAnsi="宋体" w:eastAsia="宋体" w:cs="宋体"/>
              <w:kern w:val="44"/>
              <w:sz w:val="28"/>
              <w:szCs w:val="28"/>
              <w:highlight w:val="none"/>
              <w:lang w:val="en-US" w:eastAsia="zh-CN" w:bidi="ar-SA"/>
            </w:rPr>
            <w:t>采购需求</w:t>
          </w:r>
          <w:r>
            <w:rPr>
              <w:rFonts w:hint="eastAsia" w:ascii="宋体" w:hAnsi="宋体" w:eastAsia="宋体" w:cs="宋体"/>
              <w:sz w:val="28"/>
              <w:szCs w:val="28"/>
              <w:highlight w:val="none"/>
            </w:rPr>
            <w:tab/>
          </w:r>
          <w:r>
            <w:rPr>
              <w:rFonts w:hint="eastAsia" w:ascii="宋体" w:hAnsi="宋体" w:eastAsia="宋体" w:cs="宋体"/>
              <w:sz w:val="28"/>
              <w:szCs w:val="28"/>
              <w:highlight w:val="none"/>
            </w:rPr>
            <w:fldChar w:fldCharType="begin"/>
          </w:r>
          <w:r>
            <w:rPr>
              <w:rFonts w:hint="eastAsia" w:ascii="宋体" w:hAnsi="宋体" w:eastAsia="宋体" w:cs="宋体"/>
              <w:sz w:val="28"/>
              <w:szCs w:val="28"/>
              <w:highlight w:val="none"/>
            </w:rPr>
            <w:instrText xml:space="preserve"> PAGEREF _Toc23271 \h </w:instrText>
          </w:r>
          <w:r>
            <w:rPr>
              <w:rFonts w:hint="eastAsia" w:ascii="宋体" w:hAnsi="宋体" w:eastAsia="宋体" w:cs="宋体"/>
              <w:sz w:val="28"/>
              <w:szCs w:val="28"/>
              <w:highlight w:val="none"/>
            </w:rPr>
            <w:fldChar w:fldCharType="separate"/>
          </w:r>
          <w:r>
            <w:rPr>
              <w:rFonts w:hint="eastAsia" w:ascii="宋体" w:hAnsi="宋体" w:eastAsia="宋体" w:cs="宋体"/>
              <w:sz w:val="28"/>
              <w:szCs w:val="28"/>
              <w:highlight w:val="none"/>
            </w:rPr>
            <w:t>30</w:t>
          </w:r>
          <w:r>
            <w:rPr>
              <w:rFonts w:hint="eastAsia" w:ascii="宋体" w:hAnsi="宋体" w:eastAsia="宋体" w:cs="宋体"/>
              <w:sz w:val="28"/>
              <w:szCs w:val="28"/>
              <w:highlight w:val="none"/>
            </w:rPr>
            <w:fldChar w:fldCharType="end"/>
          </w:r>
          <w:r>
            <w:rPr>
              <w:rFonts w:hint="eastAsia" w:ascii="宋体" w:hAnsi="宋体" w:eastAsia="宋体" w:cs="宋体"/>
              <w:sz w:val="28"/>
              <w:szCs w:val="28"/>
              <w:highlight w:val="none"/>
            </w:rPr>
            <w:fldChar w:fldCharType="end"/>
          </w:r>
        </w:p>
        <w:p>
          <w:pPr>
            <w:pStyle w:val="19"/>
            <w:tabs>
              <w:tab w:val="right" w:leader="dot" w:pos="8821"/>
            </w:tabs>
            <w:rPr>
              <w:rFonts w:hint="eastAsia" w:ascii="宋体" w:hAnsi="宋体" w:eastAsia="宋体" w:cs="宋体"/>
              <w:sz w:val="28"/>
              <w:szCs w:val="28"/>
              <w:highlight w:val="none"/>
            </w:rPr>
          </w:pPr>
          <w:r>
            <w:rPr>
              <w:rFonts w:hint="eastAsia" w:ascii="宋体" w:hAnsi="宋体" w:eastAsia="宋体" w:cs="宋体"/>
              <w:sz w:val="28"/>
              <w:szCs w:val="28"/>
              <w:highlight w:val="none"/>
            </w:rPr>
            <w:fldChar w:fldCharType="begin"/>
          </w:r>
          <w:r>
            <w:rPr>
              <w:rFonts w:hint="eastAsia" w:ascii="宋体" w:hAnsi="宋体" w:eastAsia="宋体" w:cs="宋体"/>
              <w:sz w:val="28"/>
              <w:szCs w:val="28"/>
              <w:highlight w:val="none"/>
            </w:rPr>
            <w:instrText xml:space="preserve"> HYPERLINK \l _Toc14817 </w:instrText>
          </w:r>
          <w:r>
            <w:rPr>
              <w:rFonts w:hint="eastAsia" w:ascii="宋体" w:hAnsi="宋体" w:eastAsia="宋体" w:cs="宋体"/>
              <w:sz w:val="28"/>
              <w:szCs w:val="28"/>
              <w:highlight w:val="none"/>
            </w:rPr>
            <w:fldChar w:fldCharType="separate"/>
          </w:r>
          <w:r>
            <w:rPr>
              <w:rFonts w:hint="eastAsia" w:ascii="宋体" w:hAnsi="宋体" w:eastAsia="宋体" w:cs="宋体"/>
              <w:bCs w:val="0"/>
              <w:kern w:val="44"/>
              <w:sz w:val="28"/>
              <w:szCs w:val="28"/>
              <w:highlight w:val="none"/>
              <w:lang w:val="en-US" w:eastAsia="zh-CN" w:bidi="ar-SA"/>
            </w:rPr>
            <w:t>第五章 响应文件格式</w:t>
          </w:r>
          <w:r>
            <w:rPr>
              <w:rFonts w:hint="eastAsia" w:ascii="宋体" w:hAnsi="宋体" w:eastAsia="宋体" w:cs="宋体"/>
              <w:sz w:val="28"/>
              <w:szCs w:val="28"/>
              <w:highlight w:val="none"/>
            </w:rPr>
            <w:tab/>
          </w:r>
          <w:r>
            <w:rPr>
              <w:rFonts w:hint="eastAsia" w:ascii="宋体" w:hAnsi="宋体" w:eastAsia="宋体" w:cs="宋体"/>
              <w:sz w:val="28"/>
              <w:szCs w:val="28"/>
              <w:highlight w:val="none"/>
            </w:rPr>
            <w:fldChar w:fldCharType="begin"/>
          </w:r>
          <w:r>
            <w:rPr>
              <w:rFonts w:hint="eastAsia" w:ascii="宋体" w:hAnsi="宋体" w:eastAsia="宋体" w:cs="宋体"/>
              <w:sz w:val="28"/>
              <w:szCs w:val="28"/>
              <w:highlight w:val="none"/>
            </w:rPr>
            <w:instrText xml:space="preserve"> PAGEREF _Toc14817 \h </w:instrText>
          </w:r>
          <w:r>
            <w:rPr>
              <w:rFonts w:hint="eastAsia" w:ascii="宋体" w:hAnsi="宋体" w:eastAsia="宋体" w:cs="宋体"/>
              <w:sz w:val="28"/>
              <w:szCs w:val="28"/>
              <w:highlight w:val="none"/>
            </w:rPr>
            <w:fldChar w:fldCharType="separate"/>
          </w:r>
          <w:r>
            <w:rPr>
              <w:rFonts w:hint="eastAsia" w:ascii="宋体" w:hAnsi="宋体" w:eastAsia="宋体" w:cs="宋体"/>
              <w:sz w:val="28"/>
              <w:szCs w:val="28"/>
              <w:highlight w:val="none"/>
            </w:rPr>
            <w:t>31</w:t>
          </w:r>
          <w:r>
            <w:rPr>
              <w:rFonts w:hint="eastAsia" w:ascii="宋体" w:hAnsi="宋体" w:eastAsia="宋体" w:cs="宋体"/>
              <w:sz w:val="28"/>
              <w:szCs w:val="28"/>
              <w:highlight w:val="none"/>
            </w:rPr>
            <w:fldChar w:fldCharType="end"/>
          </w:r>
          <w:r>
            <w:rPr>
              <w:rFonts w:hint="eastAsia" w:ascii="宋体" w:hAnsi="宋体" w:eastAsia="宋体" w:cs="宋体"/>
              <w:sz w:val="28"/>
              <w:szCs w:val="28"/>
              <w:highlight w:val="none"/>
            </w:rPr>
            <w:fldChar w:fldCharType="end"/>
          </w:r>
        </w:p>
        <w:p>
          <w:pPr>
            <w:tabs>
              <w:tab w:val="left" w:pos="0"/>
            </w:tabs>
            <w:autoSpaceDE w:val="0"/>
            <w:autoSpaceDN w:val="0"/>
            <w:adjustRightInd w:val="0"/>
            <w:spacing w:before="0" w:after="0" w:line="360" w:lineRule="auto"/>
            <w:jc w:val="center"/>
            <w:outlineLvl w:val="9"/>
            <w:rPr>
              <w:rFonts w:hint="eastAsia" w:ascii="仿宋" w:hAnsi="仿宋" w:eastAsia="仿宋" w:cs="仿宋"/>
              <w:highlight w:val="none"/>
            </w:rPr>
          </w:pPr>
          <w:r>
            <w:rPr>
              <w:rFonts w:hint="eastAsia" w:ascii="仿宋" w:hAnsi="仿宋" w:eastAsia="仿宋" w:cs="仿宋"/>
              <w:highlight w:val="none"/>
            </w:rPr>
            <w:fldChar w:fldCharType="end"/>
          </w:r>
        </w:p>
      </w:sdtContent>
    </w:sdt>
    <w:p>
      <w:pPr>
        <w:tabs>
          <w:tab w:val="left" w:pos="0"/>
        </w:tabs>
        <w:autoSpaceDE w:val="0"/>
        <w:autoSpaceDN w:val="0"/>
        <w:adjustRightInd w:val="0"/>
        <w:spacing w:before="0" w:after="0" w:line="360" w:lineRule="auto"/>
        <w:jc w:val="center"/>
        <w:outlineLvl w:val="9"/>
        <w:rPr>
          <w:rFonts w:hint="eastAsia" w:ascii="仿宋" w:hAnsi="仿宋" w:eastAsia="仿宋" w:cs="仿宋"/>
          <w:highlight w:val="none"/>
        </w:rPr>
      </w:pPr>
    </w:p>
    <w:p>
      <w:pPr>
        <w:tabs>
          <w:tab w:val="left" w:pos="0"/>
        </w:tabs>
        <w:autoSpaceDE w:val="0"/>
        <w:autoSpaceDN w:val="0"/>
        <w:adjustRightInd w:val="0"/>
        <w:spacing w:before="0" w:after="0" w:line="360" w:lineRule="auto"/>
        <w:jc w:val="center"/>
        <w:outlineLvl w:val="9"/>
        <w:rPr>
          <w:rFonts w:hint="eastAsia" w:ascii="仿宋" w:hAnsi="仿宋" w:eastAsia="仿宋" w:cs="仿宋"/>
          <w:highlight w:val="none"/>
        </w:rPr>
      </w:pPr>
    </w:p>
    <w:p>
      <w:pPr>
        <w:tabs>
          <w:tab w:val="left" w:pos="0"/>
        </w:tabs>
        <w:autoSpaceDE w:val="0"/>
        <w:autoSpaceDN w:val="0"/>
        <w:adjustRightInd w:val="0"/>
        <w:spacing w:before="0" w:after="0" w:line="360" w:lineRule="auto"/>
        <w:jc w:val="center"/>
        <w:outlineLvl w:val="9"/>
        <w:rPr>
          <w:rFonts w:hint="eastAsia" w:ascii="仿宋" w:hAnsi="仿宋" w:eastAsia="仿宋" w:cs="仿宋"/>
          <w:highlight w:val="none"/>
        </w:rPr>
      </w:pPr>
    </w:p>
    <w:p>
      <w:pPr>
        <w:tabs>
          <w:tab w:val="left" w:pos="0"/>
        </w:tabs>
        <w:autoSpaceDE w:val="0"/>
        <w:autoSpaceDN w:val="0"/>
        <w:adjustRightInd w:val="0"/>
        <w:spacing w:before="0" w:after="0" w:line="360" w:lineRule="auto"/>
        <w:jc w:val="center"/>
        <w:outlineLvl w:val="9"/>
        <w:rPr>
          <w:rFonts w:hint="eastAsia" w:ascii="仿宋" w:hAnsi="仿宋" w:eastAsia="仿宋" w:cs="仿宋"/>
          <w:highlight w:val="none"/>
        </w:rPr>
      </w:pPr>
    </w:p>
    <w:p>
      <w:pPr>
        <w:rPr>
          <w:rFonts w:hint="eastAsia"/>
          <w:highlight w:val="none"/>
        </w:rPr>
      </w:pPr>
    </w:p>
    <w:p>
      <w:pPr>
        <w:tabs>
          <w:tab w:val="left" w:pos="0"/>
        </w:tabs>
        <w:autoSpaceDE w:val="0"/>
        <w:autoSpaceDN w:val="0"/>
        <w:adjustRightInd w:val="0"/>
        <w:spacing w:before="0" w:after="0" w:line="360" w:lineRule="auto"/>
        <w:jc w:val="center"/>
        <w:outlineLvl w:val="9"/>
        <w:rPr>
          <w:rFonts w:hint="eastAsia" w:ascii="仿宋" w:hAnsi="仿宋" w:eastAsia="仿宋" w:cs="仿宋"/>
          <w:highlight w:val="none"/>
        </w:rPr>
      </w:pPr>
    </w:p>
    <w:p>
      <w:pPr>
        <w:pStyle w:val="3"/>
        <w:outlineLvl w:val="9"/>
        <w:rPr>
          <w:rFonts w:hint="eastAsia" w:ascii="仿宋" w:hAnsi="仿宋" w:eastAsia="仿宋" w:cs="仿宋"/>
          <w:highlight w:val="none"/>
        </w:rPr>
      </w:pPr>
    </w:p>
    <w:p>
      <w:pPr>
        <w:rPr>
          <w:rFonts w:hint="eastAsia" w:ascii="仿宋" w:hAnsi="仿宋" w:eastAsia="仿宋" w:cs="仿宋"/>
          <w:highlight w:val="none"/>
        </w:rPr>
      </w:pPr>
    </w:p>
    <w:p>
      <w:pPr>
        <w:pStyle w:val="3"/>
        <w:outlineLvl w:val="9"/>
        <w:rPr>
          <w:rFonts w:hint="eastAsia"/>
          <w:highlight w:val="none"/>
        </w:rPr>
      </w:pPr>
    </w:p>
    <w:p>
      <w:pPr>
        <w:tabs>
          <w:tab w:val="left" w:pos="0"/>
        </w:tabs>
        <w:autoSpaceDE w:val="0"/>
        <w:autoSpaceDN w:val="0"/>
        <w:adjustRightInd w:val="0"/>
        <w:spacing w:before="0" w:after="0" w:line="360" w:lineRule="auto"/>
        <w:jc w:val="center"/>
        <w:outlineLvl w:val="9"/>
        <w:rPr>
          <w:rFonts w:hint="eastAsia" w:ascii="仿宋" w:hAnsi="仿宋" w:eastAsia="仿宋" w:cs="仿宋"/>
          <w:highlight w:val="none"/>
        </w:rPr>
      </w:pPr>
    </w:p>
    <w:p>
      <w:pPr>
        <w:rPr>
          <w:rFonts w:hint="eastAsia" w:ascii="仿宋" w:hAnsi="仿宋" w:eastAsia="仿宋" w:cs="仿宋"/>
          <w:highlight w:val="none"/>
        </w:rPr>
      </w:pPr>
    </w:p>
    <w:p>
      <w:pPr>
        <w:outlineLvl w:val="9"/>
        <w:rPr>
          <w:rFonts w:hint="eastAsia" w:ascii="仿宋" w:hAnsi="仿宋" w:eastAsia="仿宋" w:cs="仿宋"/>
          <w:highlight w:val="none"/>
        </w:rPr>
      </w:pPr>
    </w:p>
    <w:p>
      <w:pPr>
        <w:outlineLvl w:val="9"/>
        <w:rPr>
          <w:rFonts w:hint="eastAsia"/>
          <w:highlight w:val="none"/>
        </w:rPr>
        <w:sectPr>
          <w:footerReference r:id="rId4" w:type="default"/>
          <w:pgSz w:w="11906" w:h="16838"/>
          <w:pgMar w:top="1418" w:right="1531" w:bottom="1418" w:left="1554" w:header="720" w:footer="720" w:gutter="0"/>
          <w:pgNumType w:start="1"/>
          <w:cols w:space="720" w:num="1"/>
          <w:docGrid w:type="lines" w:linePitch="312" w:charSpace="0"/>
        </w:sectPr>
      </w:pPr>
    </w:p>
    <w:p>
      <w:pPr>
        <w:pStyle w:val="3"/>
        <w:tabs>
          <w:tab w:val="left" w:pos="0"/>
        </w:tabs>
        <w:autoSpaceDE w:val="0"/>
        <w:autoSpaceDN w:val="0"/>
        <w:adjustRightInd w:val="0"/>
        <w:spacing w:before="0" w:after="0" w:line="360" w:lineRule="auto"/>
        <w:jc w:val="center"/>
        <w:rPr>
          <w:rFonts w:hint="eastAsia" w:ascii="宋体" w:hAnsi="宋体" w:eastAsia="宋体" w:cs="宋体"/>
          <w:highlight w:val="none"/>
        </w:rPr>
      </w:pPr>
      <w:bookmarkStart w:id="0" w:name="_Toc30190"/>
      <w:r>
        <w:rPr>
          <w:rFonts w:hint="eastAsia" w:ascii="宋体" w:hAnsi="宋体" w:eastAsia="宋体" w:cs="宋体"/>
          <w:highlight w:val="none"/>
          <w:lang w:val="en-US" w:eastAsia="zh-CN"/>
        </w:rPr>
        <w:t xml:space="preserve">第一章 </w:t>
      </w:r>
      <w:r>
        <w:rPr>
          <w:rFonts w:hint="eastAsia" w:ascii="宋体" w:hAnsi="宋体" w:eastAsia="宋体" w:cs="宋体"/>
          <w:highlight w:val="none"/>
        </w:rPr>
        <w:t>磋商公告</w:t>
      </w:r>
      <w:bookmarkEnd w:id="0"/>
    </w:p>
    <w:p>
      <w:pPr>
        <w:rPr>
          <w:rFonts w:hint="eastAsia" w:ascii="宋体" w:hAnsi="宋体" w:eastAsia="宋体" w:cs="宋体"/>
          <w:highlight w:val="none"/>
        </w:rPr>
      </w:pPr>
    </w:p>
    <w:p>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val="0"/>
        <w:spacing w:line="360" w:lineRule="auto"/>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项目概况</w:t>
      </w:r>
    </w:p>
    <w:p>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val="0"/>
        <w:spacing w:line="360" w:lineRule="auto"/>
        <w:ind w:firstLine="560" w:firstLineChars="200"/>
        <w:textAlignment w:val="auto"/>
        <w:rPr>
          <w:rFonts w:hint="eastAsia" w:ascii="宋体" w:hAnsi="宋体" w:eastAsia="宋体" w:cs="宋体"/>
          <w:sz w:val="28"/>
          <w:szCs w:val="28"/>
          <w:highlight w:val="none"/>
        </w:rPr>
      </w:pPr>
      <w:r>
        <w:rPr>
          <w:rFonts w:hint="eastAsia" w:ascii="宋体" w:hAnsi="宋体" w:eastAsia="宋体" w:cs="宋体"/>
          <w:i w:val="0"/>
          <w:iCs w:val="0"/>
          <w:sz w:val="28"/>
          <w:szCs w:val="28"/>
          <w:highlight w:val="none"/>
          <w:u w:val="single"/>
          <w:lang w:eastAsia="zh-CN"/>
        </w:rPr>
        <w:t>2022年轮台县国土变更与卫片执法</w:t>
      </w:r>
      <w:r>
        <w:rPr>
          <w:rFonts w:hint="eastAsia" w:ascii="宋体" w:hAnsi="宋体" w:eastAsia="宋体" w:cs="宋体"/>
          <w:i w:val="0"/>
          <w:iCs w:val="0"/>
          <w:sz w:val="28"/>
          <w:szCs w:val="28"/>
          <w:highlight w:val="none"/>
        </w:rPr>
        <w:t>项目的潜在供应商应在</w:t>
      </w:r>
      <w:r>
        <w:rPr>
          <w:rFonts w:hint="eastAsia" w:ascii="宋体" w:hAnsi="宋体" w:eastAsia="宋体" w:cs="宋体"/>
          <w:i w:val="0"/>
          <w:iCs w:val="0"/>
          <w:sz w:val="28"/>
          <w:szCs w:val="28"/>
          <w:highlight w:val="none"/>
          <w:u w:val="single"/>
        </w:rPr>
        <w:t>新疆政府采购网</w:t>
      </w:r>
      <w:r>
        <w:rPr>
          <w:rFonts w:hint="eastAsia" w:ascii="宋体" w:hAnsi="宋体" w:eastAsia="宋体" w:cs="宋体"/>
          <w:sz w:val="28"/>
          <w:szCs w:val="28"/>
          <w:highlight w:val="none"/>
        </w:rPr>
        <w:t>获取</w:t>
      </w:r>
      <w:r>
        <w:rPr>
          <w:rFonts w:hint="eastAsia" w:ascii="宋体" w:hAnsi="宋体" w:eastAsia="宋体" w:cs="宋体"/>
          <w:sz w:val="28"/>
          <w:szCs w:val="28"/>
          <w:highlight w:val="none"/>
          <w:lang w:val="en-US" w:eastAsia="zh-CN"/>
        </w:rPr>
        <w:t>竞争性磋商</w:t>
      </w:r>
      <w:r>
        <w:rPr>
          <w:rFonts w:hint="eastAsia" w:ascii="宋体" w:hAnsi="宋体" w:eastAsia="宋体" w:cs="宋体"/>
          <w:sz w:val="28"/>
          <w:szCs w:val="28"/>
          <w:highlight w:val="none"/>
        </w:rPr>
        <w:t>文件，并于</w:t>
      </w:r>
      <w:r>
        <w:rPr>
          <w:rFonts w:hint="eastAsia" w:ascii="宋体" w:hAnsi="宋体" w:eastAsia="宋体" w:cs="宋体"/>
          <w:sz w:val="28"/>
          <w:szCs w:val="28"/>
          <w:highlight w:val="none"/>
          <w:u w:val="single"/>
          <w:lang w:val="en-US" w:eastAsia="zh-CN"/>
        </w:rPr>
        <w:t>2023</w:t>
      </w:r>
      <w:r>
        <w:rPr>
          <w:rFonts w:hint="eastAsia" w:ascii="宋体" w:hAnsi="宋体" w:eastAsia="宋体" w:cs="宋体"/>
          <w:bCs/>
          <w:sz w:val="28"/>
          <w:szCs w:val="28"/>
          <w:highlight w:val="none"/>
          <w:u w:val="single"/>
        </w:rPr>
        <w:t>年</w:t>
      </w:r>
      <w:r>
        <w:rPr>
          <w:rFonts w:hint="eastAsia" w:ascii="宋体" w:hAnsi="宋体" w:eastAsia="宋体" w:cs="宋体"/>
          <w:bCs/>
          <w:sz w:val="28"/>
          <w:szCs w:val="28"/>
          <w:highlight w:val="none"/>
          <w:u w:val="single"/>
          <w:lang w:val="en-US" w:eastAsia="zh-CN"/>
        </w:rPr>
        <w:t>4月</w:t>
      </w:r>
      <w:r>
        <w:rPr>
          <w:rFonts w:hint="eastAsia" w:ascii="宋体" w:hAnsi="宋体" w:cs="宋体"/>
          <w:bCs/>
          <w:sz w:val="28"/>
          <w:szCs w:val="28"/>
          <w:highlight w:val="none"/>
          <w:u w:val="single"/>
          <w:lang w:val="en-US" w:eastAsia="zh-CN"/>
        </w:rPr>
        <w:t>21日</w:t>
      </w:r>
      <w:r>
        <w:rPr>
          <w:rFonts w:hint="eastAsia" w:ascii="宋体" w:hAnsi="宋体" w:eastAsia="宋体" w:cs="宋体"/>
          <w:bCs/>
          <w:sz w:val="28"/>
          <w:szCs w:val="28"/>
          <w:highlight w:val="none"/>
          <w:u w:val="single"/>
          <w:lang w:val="en-US" w:eastAsia="zh-CN"/>
        </w:rPr>
        <w:t>11点00分</w:t>
      </w:r>
      <w:r>
        <w:rPr>
          <w:rFonts w:hint="eastAsia" w:ascii="宋体" w:hAnsi="宋体" w:eastAsia="宋体" w:cs="宋体"/>
          <w:bCs/>
          <w:sz w:val="28"/>
          <w:szCs w:val="28"/>
          <w:highlight w:val="none"/>
        </w:rPr>
        <w:t>（北京时间）前提交响应文件</w:t>
      </w:r>
      <w:r>
        <w:rPr>
          <w:rFonts w:hint="eastAsia" w:ascii="宋体" w:hAnsi="宋体" w:eastAsia="宋体" w:cs="宋体"/>
          <w:sz w:val="28"/>
          <w:szCs w:val="28"/>
          <w:highlight w:val="none"/>
        </w:rPr>
        <w:t>。</w:t>
      </w:r>
    </w:p>
    <w:p>
      <w:pPr>
        <w:keepNext w:val="0"/>
        <w:keepLines w:val="0"/>
        <w:pageBreakBefore w:val="0"/>
        <w:widowControl w:val="0"/>
        <w:kinsoku/>
        <w:wordWrap/>
        <w:overflowPunct/>
        <w:topLinePunct w:val="0"/>
        <w:autoSpaceDE/>
        <w:autoSpaceDN/>
        <w:bidi w:val="0"/>
        <w:adjustRightInd/>
        <w:snapToGrid/>
        <w:spacing w:line="480" w:lineRule="exact"/>
        <w:textAlignment w:val="auto"/>
        <w:outlineLvl w:val="1"/>
        <w:rPr>
          <w:rFonts w:hint="eastAsia" w:ascii="宋体" w:hAnsi="宋体" w:eastAsia="宋体" w:cs="宋体"/>
          <w:b/>
          <w:bCs/>
          <w:kern w:val="0"/>
          <w:sz w:val="28"/>
          <w:szCs w:val="28"/>
          <w:highlight w:val="none"/>
        </w:rPr>
      </w:pPr>
      <w:bookmarkStart w:id="1" w:name="_Toc27859"/>
      <w:bookmarkStart w:id="2" w:name="_Toc35393629"/>
      <w:bookmarkStart w:id="3" w:name="_Toc28359012"/>
      <w:bookmarkStart w:id="4" w:name="_Toc3167"/>
      <w:bookmarkStart w:id="5" w:name="_Toc35393798"/>
      <w:bookmarkStart w:id="6" w:name="_Toc28359089"/>
      <w:r>
        <w:rPr>
          <w:rFonts w:hint="eastAsia" w:ascii="宋体" w:hAnsi="宋体" w:eastAsia="宋体" w:cs="宋体"/>
          <w:b/>
          <w:bCs/>
          <w:kern w:val="0"/>
          <w:sz w:val="28"/>
          <w:szCs w:val="28"/>
          <w:highlight w:val="none"/>
        </w:rPr>
        <w:t>一、项目基本情况</w:t>
      </w:r>
      <w:bookmarkEnd w:id="1"/>
      <w:bookmarkEnd w:id="2"/>
      <w:bookmarkEnd w:id="3"/>
      <w:bookmarkEnd w:id="4"/>
      <w:bookmarkEnd w:id="5"/>
      <w:bookmarkEnd w:id="6"/>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宋体" w:hAnsi="宋体" w:eastAsia="宋体" w:cs="宋体"/>
          <w:kern w:val="0"/>
          <w:sz w:val="28"/>
          <w:szCs w:val="28"/>
          <w:highlight w:val="none"/>
          <w:lang w:val="en-US" w:eastAsia="zh-CN"/>
        </w:rPr>
      </w:pPr>
      <w:r>
        <w:rPr>
          <w:rFonts w:hint="eastAsia" w:ascii="宋体" w:hAnsi="宋体" w:eastAsia="宋体" w:cs="宋体"/>
          <w:kern w:val="0"/>
          <w:sz w:val="28"/>
          <w:szCs w:val="28"/>
          <w:highlight w:val="none"/>
        </w:rPr>
        <w:t>项目编号：</w:t>
      </w:r>
      <w:r>
        <w:rPr>
          <w:rFonts w:hint="eastAsia" w:ascii="宋体" w:hAnsi="宋体" w:eastAsia="宋体" w:cs="宋体"/>
          <w:kern w:val="0"/>
          <w:sz w:val="28"/>
          <w:szCs w:val="28"/>
          <w:highlight w:val="none"/>
          <w:lang w:val="en-US" w:eastAsia="zh-CN"/>
        </w:rPr>
        <w:t>XJJY-2023CG001</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宋体" w:hAnsi="宋体" w:eastAsia="宋体" w:cs="宋体"/>
          <w:kern w:val="0"/>
          <w:sz w:val="28"/>
          <w:szCs w:val="28"/>
          <w:highlight w:val="none"/>
          <w:lang w:eastAsia="zh-CN"/>
        </w:rPr>
      </w:pPr>
      <w:r>
        <w:rPr>
          <w:rFonts w:hint="eastAsia" w:ascii="宋体" w:hAnsi="宋体" w:eastAsia="宋体" w:cs="宋体"/>
          <w:kern w:val="0"/>
          <w:sz w:val="28"/>
          <w:szCs w:val="28"/>
          <w:highlight w:val="none"/>
        </w:rPr>
        <w:t>项目名称：</w:t>
      </w:r>
      <w:r>
        <w:rPr>
          <w:rFonts w:hint="eastAsia" w:ascii="宋体" w:hAnsi="宋体" w:eastAsia="宋体" w:cs="宋体"/>
          <w:kern w:val="0"/>
          <w:sz w:val="28"/>
          <w:szCs w:val="28"/>
          <w:highlight w:val="none"/>
          <w:lang w:eastAsia="zh-CN"/>
        </w:rPr>
        <w:t>2022年轮台县国土变更与卫片执法项目</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宋体" w:hAnsi="宋体" w:eastAsia="宋体" w:cs="宋体"/>
          <w:kern w:val="0"/>
          <w:sz w:val="28"/>
          <w:szCs w:val="28"/>
          <w:highlight w:val="none"/>
        </w:rPr>
      </w:pPr>
      <w:r>
        <w:rPr>
          <w:rFonts w:hint="eastAsia" w:ascii="宋体" w:hAnsi="宋体" w:eastAsia="宋体" w:cs="宋体"/>
          <w:kern w:val="0"/>
          <w:sz w:val="28"/>
          <w:szCs w:val="28"/>
          <w:highlight w:val="none"/>
        </w:rPr>
        <w:t xml:space="preserve">采购方式：□竞争性谈判 </w:t>
      </w:r>
      <w:r>
        <w:rPr>
          <w:rFonts w:hint="eastAsia" w:ascii="宋体" w:hAnsi="宋体" w:eastAsia="宋体" w:cs="宋体"/>
          <w:kern w:val="0"/>
          <w:sz w:val="28"/>
          <w:szCs w:val="28"/>
          <w:highlight w:val="none"/>
          <w:lang w:eastAsia="zh-CN"/>
        </w:rPr>
        <w:t>☑</w:t>
      </w:r>
      <w:r>
        <w:rPr>
          <w:rFonts w:hint="eastAsia" w:ascii="宋体" w:hAnsi="宋体" w:eastAsia="宋体" w:cs="宋体"/>
          <w:kern w:val="0"/>
          <w:sz w:val="28"/>
          <w:szCs w:val="28"/>
          <w:highlight w:val="none"/>
        </w:rPr>
        <w:t>竞争性磋商 □询价</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宋体" w:hAnsi="宋体" w:eastAsia="宋体" w:cs="宋体"/>
          <w:kern w:val="0"/>
          <w:sz w:val="28"/>
          <w:szCs w:val="28"/>
          <w:highlight w:val="none"/>
        </w:rPr>
      </w:pPr>
      <w:r>
        <w:rPr>
          <w:rFonts w:hint="eastAsia" w:ascii="宋体" w:hAnsi="宋体" w:eastAsia="宋体" w:cs="宋体"/>
          <w:kern w:val="0"/>
          <w:sz w:val="28"/>
          <w:szCs w:val="28"/>
          <w:highlight w:val="none"/>
        </w:rPr>
        <w:t>预算金额：</w:t>
      </w:r>
      <w:r>
        <w:rPr>
          <w:rFonts w:hint="eastAsia" w:ascii="宋体" w:hAnsi="宋体" w:cs="宋体"/>
          <w:kern w:val="0"/>
          <w:sz w:val="28"/>
          <w:szCs w:val="28"/>
          <w:highlight w:val="none"/>
          <w:lang w:val="en-US" w:eastAsia="zh-CN"/>
        </w:rPr>
        <w:t>72万</w:t>
      </w:r>
      <w:r>
        <w:rPr>
          <w:rFonts w:hint="eastAsia" w:ascii="宋体" w:hAnsi="宋体" w:eastAsia="宋体" w:cs="宋体"/>
          <w:kern w:val="0"/>
          <w:sz w:val="28"/>
          <w:szCs w:val="28"/>
          <w:highlight w:val="none"/>
        </w:rPr>
        <w:t>元</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宋体" w:hAnsi="宋体" w:eastAsia="宋体" w:cs="宋体"/>
          <w:kern w:val="0"/>
          <w:sz w:val="28"/>
          <w:szCs w:val="28"/>
          <w:highlight w:val="none"/>
          <w:lang w:val="en-US" w:eastAsia="zh-CN"/>
        </w:rPr>
      </w:pPr>
      <w:r>
        <w:rPr>
          <w:rFonts w:hint="eastAsia" w:ascii="宋体" w:hAnsi="宋体" w:eastAsia="宋体" w:cs="宋体"/>
          <w:kern w:val="0"/>
          <w:sz w:val="28"/>
          <w:szCs w:val="28"/>
          <w:highlight w:val="none"/>
        </w:rPr>
        <w:t>最高限价（如有）：</w:t>
      </w:r>
      <w:r>
        <w:rPr>
          <w:rFonts w:hint="eastAsia" w:ascii="宋体" w:hAnsi="宋体" w:cs="宋体"/>
          <w:kern w:val="0"/>
          <w:sz w:val="28"/>
          <w:szCs w:val="28"/>
          <w:highlight w:val="none"/>
          <w:lang w:val="en-US" w:eastAsia="zh-CN"/>
        </w:rPr>
        <w:t>72万</w:t>
      </w:r>
      <w:r>
        <w:rPr>
          <w:rFonts w:hint="eastAsia" w:ascii="宋体" w:hAnsi="宋体" w:eastAsia="宋体" w:cs="宋体"/>
          <w:kern w:val="0"/>
          <w:sz w:val="28"/>
          <w:szCs w:val="28"/>
          <w:highlight w:val="none"/>
          <w:lang w:val="en-US" w:eastAsia="zh-CN"/>
        </w:rPr>
        <w:t>元</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宋体" w:hAnsi="宋体" w:eastAsia="宋体" w:cs="宋体"/>
          <w:kern w:val="0"/>
          <w:sz w:val="28"/>
          <w:szCs w:val="28"/>
          <w:highlight w:val="none"/>
          <w:lang w:val="en-US" w:eastAsia="zh-CN"/>
        </w:rPr>
      </w:pPr>
      <w:r>
        <w:rPr>
          <w:rFonts w:hint="eastAsia" w:ascii="宋体" w:hAnsi="宋体" w:eastAsia="宋体" w:cs="宋体"/>
          <w:kern w:val="0"/>
          <w:sz w:val="28"/>
          <w:szCs w:val="28"/>
          <w:highlight w:val="none"/>
        </w:rPr>
        <w:t>采购需求：通过科学、有效地组织实施2022年轮台县国土变更调查与卫片执法工作，全面查清轮台县土地资源和利用状况。实施最严格的耕地保护制度，加强和改善宏观调控提供依据，促进经济社会全面协调可持续发展。早发现、早制止、严查处各类自然资源违法行为，维护自然资源管理秩序，坚决遏制新增乱占耕地建房，严格保护耕地和矿产资源，尤其是重点保护永久基本农田、可以长期稳定利用耕地和稀土等战略性矿种。从执法角度评估自然资源管理秩序，压实党委政府责任，督促整改落实，消除违法状态。检验自然资源执法工作成效，推动落实严格规范公正文明执法。以卫片执法工作为抓手构建跨部门执法工作平台，推动落实自然资源执法共同责任机制，</w:t>
      </w:r>
      <w:r>
        <w:rPr>
          <w:rFonts w:hint="eastAsia" w:ascii="宋体" w:hAnsi="宋体" w:cs="宋体"/>
          <w:kern w:val="0"/>
          <w:sz w:val="28"/>
          <w:szCs w:val="28"/>
          <w:highlight w:val="none"/>
          <w:lang w:eastAsia="zh-CN"/>
        </w:rPr>
        <w:t>形成工作合力</w:t>
      </w:r>
      <w:r>
        <w:rPr>
          <w:rFonts w:hint="eastAsia" w:ascii="宋体" w:hAnsi="宋体" w:eastAsia="宋体" w:cs="宋体"/>
          <w:kern w:val="0"/>
          <w:sz w:val="28"/>
          <w:szCs w:val="28"/>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宋体" w:hAnsi="宋体" w:eastAsia="宋体" w:cs="宋体"/>
          <w:kern w:val="0"/>
          <w:sz w:val="28"/>
          <w:szCs w:val="28"/>
          <w:highlight w:val="none"/>
          <w:lang w:eastAsia="zh-CN"/>
        </w:rPr>
      </w:pPr>
      <w:r>
        <w:rPr>
          <w:rFonts w:hint="eastAsia" w:ascii="宋体" w:hAnsi="宋体" w:eastAsia="宋体" w:cs="宋体"/>
          <w:kern w:val="0"/>
          <w:sz w:val="28"/>
          <w:szCs w:val="28"/>
          <w:highlight w:val="none"/>
        </w:rPr>
        <w:t>合同履行期限：</w:t>
      </w:r>
      <w:r>
        <w:rPr>
          <w:rFonts w:hint="eastAsia" w:ascii="宋体" w:hAnsi="宋体" w:eastAsia="宋体" w:cs="宋体"/>
          <w:kern w:val="0"/>
          <w:sz w:val="28"/>
          <w:szCs w:val="28"/>
          <w:highlight w:val="none"/>
          <w:lang w:val="en-US" w:eastAsia="zh-CN"/>
        </w:rPr>
        <w:t>自合同签订之日起80日历天</w:t>
      </w:r>
      <w:r>
        <w:rPr>
          <w:rFonts w:hint="eastAsia" w:ascii="宋体" w:hAnsi="宋体" w:eastAsia="宋体" w:cs="宋体"/>
          <w:kern w:val="0"/>
          <w:sz w:val="28"/>
          <w:szCs w:val="28"/>
          <w:highlight w:val="none"/>
          <w:lang w:eastAsia="zh-CN"/>
        </w:rPr>
        <w:t>。</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宋体" w:hAnsi="宋体" w:eastAsia="宋体" w:cs="宋体"/>
          <w:kern w:val="0"/>
          <w:sz w:val="28"/>
          <w:szCs w:val="28"/>
          <w:highlight w:val="none"/>
        </w:rPr>
      </w:pPr>
      <w:r>
        <w:rPr>
          <w:rFonts w:hint="eastAsia" w:ascii="宋体" w:hAnsi="宋体" w:eastAsia="宋体" w:cs="宋体"/>
          <w:kern w:val="0"/>
          <w:sz w:val="28"/>
          <w:szCs w:val="28"/>
          <w:highlight w:val="none"/>
        </w:rPr>
        <w:t>本项目</w:t>
      </w:r>
      <w:r>
        <w:rPr>
          <w:rFonts w:hint="eastAsia" w:ascii="宋体" w:hAnsi="宋体" w:eastAsia="宋体" w:cs="宋体"/>
          <w:kern w:val="0"/>
          <w:sz w:val="28"/>
          <w:szCs w:val="28"/>
          <w:highlight w:val="none"/>
          <w:lang w:val="en-US" w:eastAsia="zh-CN"/>
        </w:rPr>
        <w:t>不</w:t>
      </w:r>
      <w:r>
        <w:rPr>
          <w:rFonts w:hint="eastAsia" w:ascii="宋体" w:hAnsi="宋体" w:eastAsia="宋体" w:cs="宋体"/>
          <w:kern w:val="0"/>
          <w:sz w:val="28"/>
          <w:szCs w:val="28"/>
          <w:highlight w:val="none"/>
        </w:rPr>
        <w:t>接受联合体。</w:t>
      </w:r>
    </w:p>
    <w:p>
      <w:pPr>
        <w:keepNext w:val="0"/>
        <w:keepLines w:val="0"/>
        <w:pageBreakBefore w:val="0"/>
        <w:widowControl w:val="0"/>
        <w:kinsoku/>
        <w:wordWrap/>
        <w:overflowPunct/>
        <w:topLinePunct w:val="0"/>
        <w:autoSpaceDE/>
        <w:autoSpaceDN/>
        <w:bidi w:val="0"/>
        <w:adjustRightInd/>
        <w:snapToGrid/>
        <w:spacing w:line="480" w:lineRule="exact"/>
        <w:textAlignment w:val="auto"/>
        <w:outlineLvl w:val="1"/>
        <w:rPr>
          <w:rFonts w:hint="eastAsia" w:ascii="宋体" w:hAnsi="宋体" w:eastAsia="宋体" w:cs="宋体"/>
          <w:b/>
          <w:bCs/>
          <w:kern w:val="0"/>
          <w:sz w:val="28"/>
          <w:szCs w:val="28"/>
          <w:highlight w:val="none"/>
        </w:rPr>
      </w:pPr>
      <w:bookmarkStart w:id="7" w:name="_Toc21597"/>
      <w:bookmarkStart w:id="8" w:name="_Toc28359013"/>
      <w:bookmarkStart w:id="9" w:name="_Toc30646"/>
      <w:bookmarkStart w:id="10" w:name="_Toc35393630"/>
      <w:bookmarkStart w:id="11" w:name="_Toc28359090"/>
      <w:bookmarkStart w:id="12" w:name="_Toc35393799"/>
      <w:r>
        <w:rPr>
          <w:rFonts w:hint="eastAsia" w:ascii="宋体" w:hAnsi="宋体" w:eastAsia="宋体" w:cs="宋体"/>
          <w:b/>
          <w:bCs/>
          <w:kern w:val="0"/>
          <w:sz w:val="28"/>
          <w:szCs w:val="28"/>
          <w:highlight w:val="none"/>
        </w:rPr>
        <w:t>二、申请人的资格要求：</w:t>
      </w:r>
      <w:bookmarkEnd w:id="7"/>
      <w:bookmarkEnd w:id="8"/>
      <w:bookmarkEnd w:id="9"/>
      <w:bookmarkEnd w:id="10"/>
      <w:bookmarkEnd w:id="11"/>
      <w:bookmarkEnd w:id="12"/>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宋体" w:hAnsi="宋体" w:eastAsia="宋体" w:cs="宋体"/>
          <w:kern w:val="0"/>
          <w:sz w:val="28"/>
          <w:szCs w:val="28"/>
          <w:highlight w:val="none"/>
        </w:rPr>
      </w:pPr>
      <w:r>
        <w:rPr>
          <w:rFonts w:hint="eastAsia" w:ascii="宋体" w:hAnsi="宋体" w:eastAsia="宋体" w:cs="宋体"/>
          <w:kern w:val="0"/>
          <w:sz w:val="28"/>
          <w:szCs w:val="28"/>
          <w:highlight w:val="none"/>
        </w:rPr>
        <w:t>1.满足《中华人民共和国政府采购法》第二十二条规定；</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宋体" w:hAnsi="宋体" w:eastAsia="宋体" w:cs="宋体"/>
          <w:kern w:val="0"/>
          <w:sz w:val="28"/>
          <w:szCs w:val="28"/>
          <w:highlight w:val="none"/>
          <w:lang w:eastAsia="zh-CN"/>
        </w:rPr>
      </w:pPr>
      <w:bookmarkStart w:id="13" w:name="_Toc28359091"/>
      <w:bookmarkStart w:id="14" w:name="_Toc28359014"/>
      <w:r>
        <w:rPr>
          <w:rFonts w:hint="eastAsia" w:ascii="宋体" w:hAnsi="宋体" w:eastAsia="宋体" w:cs="宋体"/>
          <w:kern w:val="0"/>
          <w:sz w:val="28"/>
          <w:szCs w:val="28"/>
          <w:highlight w:val="none"/>
        </w:rPr>
        <w:t>2.落实政府采购政策需满足的资格要求：</w:t>
      </w:r>
      <w:r>
        <w:rPr>
          <w:rFonts w:hint="eastAsia" w:ascii="宋体" w:hAnsi="宋体" w:eastAsia="宋体" w:cs="宋体"/>
          <w:kern w:val="0"/>
          <w:sz w:val="28"/>
          <w:szCs w:val="28"/>
          <w:highlight w:val="none"/>
          <w:u w:val="single"/>
          <w:lang w:val="en-US" w:eastAsia="zh-CN"/>
        </w:rPr>
        <w:t>此项目专门面向中小企业</w:t>
      </w:r>
      <w:r>
        <w:rPr>
          <w:rFonts w:hint="eastAsia" w:ascii="宋体" w:hAnsi="宋体" w:eastAsia="宋体" w:cs="宋体"/>
          <w:kern w:val="0"/>
          <w:sz w:val="28"/>
          <w:szCs w:val="28"/>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宋体" w:hAnsi="宋体" w:eastAsia="宋体" w:cs="宋体"/>
          <w:kern w:val="0"/>
          <w:sz w:val="28"/>
          <w:szCs w:val="28"/>
          <w:highlight w:val="none"/>
          <w:u w:val="single"/>
        </w:rPr>
      </w:pPr>
      <w:r>
        <w:rPr>
          <w:rFonts w:hint="eastAsia" w:ascii="宋体" w:hAnsi="宋体" w:eastAsia="宋体" w:cs="宋体"/>
          <w:kern w:val="0"/>
          <w:sz w:val="28"/>
          <w:szCs w:val="28"/>
          <w:highlight w:val="none"/>
        </w:rPr>
        <w:t>3.本项目的特定资格要求：</w:t>
      </w:r>
      <w:r>
        <w:rPr>
          <w:rFonts w:hint="eastAsia" w:ascii="宋体" w:hAnsi="宋体" w:eastAsia="宋体" w:cs="宋体"/>
          <w:kern w:val="0"/>
          <w:sz w:val="28"/>
          <w:szCs w:val="28"/>
          <w:highlight w:val="none"/>
          <w:u w:val="single"/>
          <w:lang w:eastAsia="zh-CN"/>
        </w:rPr>
        <w:t>（</w:t>
      </w:r>
      <w:r>
        <w:rPr>
          <w:rFonts w:hint="eastAsia" w:ascii="宋体" w:hAnsi="宋体" w:eastAsia="宋体" w:cs="宋体"/>
          <w:kern w:val="0"/>
          <w:sz w:val="28"/>
          <w:szCs w:val="28"/>
          <w:highlight w:val="none"/>
          <w:u w:val="single"/>
          <w:lang w:val="en-US" w:eastAsia="zh-CN"/>
        </w:rPr>
        <w:t>1</w:t>
      </w:r>
      <w:r>
        <w:rPr>
          <w:rFonts w:hint="eastAsia" w:ascii="宋体" w:hAnsi="宋体" w:eastAsia="宋体" w:cs="宋体"/>
          <w:kern w:val="0"/>
          <w:sz w:val="28"/>
          <w:szCs w:val="28"/>
          <w:highlight w:val="none"/>
          <w:u w:val="single"/>
          <w:lang w:eastAsia="zh-CN"/>
        </w:rPr>
        <w:t>）</w:t>
      </w:r>
      <w:r>
        <w:rPr>
          <w:rFonts w:hint="eastAsia" w:ascii="宋体" w:hAnsi="宋体" w:eastAsia="宋体" w:cs="宋体"/>
          <w:kern w:val="0"/>
          <w:sz w:val="28"/>
          <w:szCs w:val="28"/>
          <w:highlight w:val="none"/>
          <w:u w:val="single"/>
        </w:rPr>
        <w:t>供应商必须是中华人民共和国境内注册的，具有独立法人资格；</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宋体" w:hAnsi="宋体" w:eastAsia="宋体" w:cs="宋体"/>
          <w:kern w:val="0"/>
          <w:sz w:val="28"/>
          <w:szCs w:val="28"/>
          <w:highlight w:val="none"/>
          <w:u w:val="single"/>
        </w:rPr>
      </w:pPr>
      <w:r>
        <w:rPr>
          <w:rFonts w:hint="eastAsia" w:ascii="宋体" w:hAnsi="宋体" w:eastAsia="宋体" w:cs="宋体"/>
          <w:kern w:val="0"/>
          <w:sz w:val="28"/>
          <w:szCs w:val="28"/>
          <w:highlight w:val="none"/>
          <w:u w:val="single"/>
        </w:rPr>
        <w:t>（</w:t>
      </w:r>
      <w:r>
        <w:rPr>
          <w:rFonts w:hint="eastAsia" w:ascii="宋体" w:hAnsi="宋体" w:eastAsia="宋体" w:cs="宋体"/>
          <w:kern w:val="0"/>
          <w:sz w:val="28"/>
          <w:szCs w:val="28"/>
          <w:highlight w:val="none"/>
          <w:u w:val="single"/>
          <w:lang w:val="en-US" w:eastAsia="zh-CN"/>
        </w:rPr>
        <w:t>2</w:t>
      </w:r>
      <w:r>
        <w:rPr>
          <w:rFonts w:hint="eastAsia" w:ascii="宋体" w:hAnsi="宋体" w:eastAsia="宋体" w:cs="宋体"/>
          <w:kern w:val="0"/>
          <w:sz w:val="28"/>
          <w:szCs w:val="28"/>
          <w:highlight w:val="none"/>
          <w:u w:val="single"/>
        </w:rPr>
        <w:t>）供应商须</w:t>
      </w:r>
      <w:r>
        <w:rPr>
          <w:rFonts w:hint="eastAsia" w:ascii="宋体" w:hAnsi="宋体" w:eastAsia="宋体" w:cs="宋体"/>
          <w:kern w:val="0"/>
          <w:sz w:val="28"/>
          <w:szCs w:val="28"/>
          <w:highlight w:val="none"/>
          <w:u w:val="single"/>
          <w:lang w:eastAsia="zh-CN"/>
        </w:rPr>
        <w:t>具</w:t>
      </w:r>
      <w:r>
        <w:rPr>
          <w:rFonts w:hint="eastAsia" w:ascii="宋体" w:hAnsi="宋体" w:eastAsia="宋体" w:cs="宋体"/>
          <w:kern w:val="0"/>
          <w:sz w:val="28"/>
          <w:szCs w:val="28"/>
          <w:highlight w:val="none"/>
          <w:u w:val="single"/>
          <w:lang w:val="en-US" w:eastAsia="zh-CN"/>
        </w:rPr>
        <w:t>备</w:t>
      </w:r>
      <w:r>
        <w:rPr>
          <w:rFonts w:hint="eastAsia" w:ascii="宋体" w:hAnsi="宋体" w:eastAsia="宋体" w:cs="宋体"/>
          <w:kern w:val="0"/>
          <w:sz w:val="28"/>
          <w:szCs w:val="28"/>
          <w:highlight w:val="none"/>
          <w:u w:val="single"/>
          <w:lang w:eastAsia="zh-CN"/>
        </w:rPr>
        <w:t>测绘乙级（含乙级）以上资质证书</w:t>
      </w:r>
      <w:r>
        <w:rPr>
          <w:rFonts w:hint="eastAsia" w:ascii="宋体" w:hAnsi="宋体" w:eastAsia="宋体" w:cs="宋体"/>
          <w:kern w:val="0"/>
          <w:sz w:val="28"/>
          <w:szCs w:val="28"/>
          <w:highlight w:val="none"/>
          <w:u w:val="single"/>
        </w:rPr>
        <w:t>；</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宋体" w:hAnsi="宋体" w:eastAsia="宋体" w:cs="宋体"/>
          <w:kern w:val="0"/>
          <w:sz w:val="28"/>
          <w:szCs w:val="28"/>
          <w:highlight w:val="none"/>
          <w:u w:val="single"/>
        </w:rPr>
      </w:pPr>
      <w:r>
        <w:rPr>
          <w:rFonts w:hint="eastAsia" w:ascii="宋体" w:hAnsi="宋体" w:eastAsia="宋体" w:cs="宋体"/>
          <w:kern w:val="0"/>
          <w:sz w:val="28"/>
          <w:szCs w:val="28"/>
          <w:highlight w:val="none"/>
          <w:u w:val="single"/>
        </w:rPr>
        <w:t>（</w:t>
      </w:r>
      <w:r>
        <w:rPr>
          <w:rFonts w:hint="eastAsia" w:ascii="宋体" w:hAnsi="宋体" w:eastAsia="宋体" w:cs="宋体"/>
          <w:kern w:val="0"/>
          <w:sz w:val="28"/>
          <w:szCs w:val="28"/>
          <w:highlight w:val="none"/>
          <w:u w:val="single"/>
          <w:lang w:val="en-US" w:eastAsia="zh-CN"/>
        </w:rPr>
        <w:t>3</w:t>
      </w:r>
      <w:r>
        <w:rPr>
          <w:rFonts w:hint="eastAsia" w:ascii="宋体" w:hAnsi="宋体" w:eastAsia="宋体" w:cs="宋体"/>
          <w:kern w:val="0"/>
          <w:sz w:val="28"/>
          <w:szCs w:val="28"/>
          <w:highlight w:val="none"/>
          <w:u w:val="single"/>
        </w:rPr>
        <w:t>）项目负责人须</w:t>
      </w:r>
      <w:r>
        <w:rPr>
          <w:rFonts w:hint="eastAsia" w:ascii="宋体" w:hAnsi="宋体" w:eastAsia="宋体" w:cs="宋体"/>
          <w:kern w:val="0"/>
          <w:sz w:val="28"/>
          <w:szCs w:val="28"/>
          <w:highlight w:val="none"/>
          <w:u w:val="single"/>
          <w:lang w:eastAsia="zh-CN"/>
        </w:rPr>
        <w:t>具备</w:t>
      </w:r>
      <w:r>
        <w:rPr>
          <w:rFonts w:hint="eastAsia" w:ascii="宋体" w:hAnsi="宋体" w:cs="宋体"/>
          <w:kern w:val="0"/>
          <w:sz w:val="28"/>
          <w:szCs w:val="28"/>
          <w:highlight w:val="none"/>
          <w:u w:val="single"/>
          <w:lang w:eastAsia="zh-CN"/>
        </w:rPr>
        <w:t>测绘类专业高级职称证书</w:t>
      </w:r>
      <w:r>
        <w:rPr>
          <w:rFonts w:hint="eastAsia" w:ascii="宋体" w:hAnsi="宋体" w:eastAsia="宋体" w:cs="宋体"/>
          <w:kern w:val="0"/>
          <w:sz w:val="28"/>
          <w:szCs w:val="28"/>
          <w:highlight w:val="none"/>
          <w:u w:val="single"/>
        </w:rPr>
        <w:t>；</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宋体" w:hAnsi="宋体" w:eastAsia="宋体" w:cs="宋体"/>
          <w:kern w:val="0"/>
          <w:sz w:val="28"/>
          <w:szCs w:val="28"/>
          <w:highlight w:val="none"/>
          <w:u w:val="single"/>
        </w:rPr>
      </w:pPr>
      <w:r>
        <w:rPr>
          <w:rFonts w:hint="eastAsia" w:ascii="宋体" w:hAnsi="宋体" w:eastAsia="宋体" w:cs="宋体"/>
          <w:kern w:val="0"/>
          <w:sz w:val="28"/>
          <w:szCs w:val="28"/>
          <w:highlight w:val="none"/>
          <w:u w:val="single"/>
        </w:rPr>
        <w:t>（</w:t>
      </w:r>
      <w:r>
        <w:rPr>
          <w:rFonts w:hint="eastAsia" w:ascii="宋体" w:hAnsi="宋体" w:eastAsia="宋体" w:cs="宋体"/>
          <w:kern w:val="0"/>
          <w:sz w:val="28"/>
          <w:szCs w:val="28"/>
          <w:highlight w:val="none"/>
          <w:u w:val="single"/>
          <w:lang w:val="en-US" w:eastAsia="zh-CN"/>
        </w:rPr>
        <w:t>4</w:t>
      </w:r>
      <w:r>
        <w:rPr>
          <w:rFonts w:hint="eastAsia" w:ascii="宋体" w:hAnsi="宋体" w:eastAsia="宋体" w:cs="宋体"/>
          <w:kern w:val="0"/>
          <w:sz w:val="28"/>
          <w:szCs w:val="28"/>
          <w:highlight w:val="none"/>
          <w:u w:val="single"/>
        </w:rPr>
        <w:t>）在“信用中国”或“中国执行信息公开网”网站被列入失信被执行人、重大税收违法案件当事人名单，在中国政府采购网被列入严重违法失信行为记录名单的（尚在处罚期内的），将拒绝其参加本次采购活动。（</w:t>
      </w:r>
      <w:r>
        <w:rPr>
          <w:rFonts w:hint="eastAsia" w:ascii="宋体" w:hAnsi="宋体" w:eastAsia="宋体" w:cs="宋体"/>
          <w:kern w:val="0"/>
          <w:sz w:val="28"/>
          <w:szCs w:val="28"/>
          <w:highlight w:val="none"/>
          <w:u w:val="single"/>
          <w:lang w:val="en-US" w:eastAsia="zh-CN"/>
        </w:rPr>
        <w:t>提供</w:t>
      </w:r>
      <w:r>
        <w:rPr>
          <w:rFonts w:hint="eastAsia" w:ascii="宋体" w:hAnsi="宋体" w:eastAsia="宋体" w:cs="宋体"/>
          <w:kern w:val="0"/>
          <w:sz w:val="28"/>
          <w:szCs w:val="28"/>
          <w:highlight w:val="none"/>
          <w:u w:val="single"/>
        </w:rPr>
        <w:t>查询</w:t>
      </w:r>
      <w:r>
        <w:rPr>
          <w:rFonts w:hint="eastAsia" w:ascii="宋体" w:hAnsi="宋体" w:eastAsia="宋体" w:cs="宋体"/>
          <w:kern w:val="0"/>
          <w:sz w:val="28"/>
          <w:szCs w:val="28"/>
          <w:highlight w:val="none"/>
          <w:u w:val="single"/>
          <w:lang w:val="en-US" w:eastAsia="zh-CN"/>
        </w:rPr>
        <w:t>截图时间为公告发布之日至报名结束之日止</w:t>
      </w:r>
      <w:r>
        <w:rPr>
          <w:rFonts w:hint="eastAsia" w:ascii="宋体" w:hAnsi="宋体" w:eastAsia="宋体" w:cs="宋体"/>
          <w:kern w:val="0"/>
          <w:sz w:val="28"/>
          <w:szCs w:val="28"/>
          <w:highlight w:val="none"/>
          <w:u w:val="single"/>
        </w:rPr>
        <w:t>）；</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宋体" w:hAnsi="宋体" w:eastAsia="宋体" w:cs="宋体"/>
          <w:kern w:val="0"/>
          <w:sz w:val="28"/>
          <w:szCs w:val="28"/>
          <w:highlight w:val="none"/>
          <w:u w:val="single"/>
          <w:lang w:eastAsia="zh-CN"/>
        </w:rPr>
      </w:pPr>
      <w:r>
        <w:rPr>
          <w:rFonts w:hint="eastAsia" w:ascii="宋体" w:hAnsi="宋体" w:eastAsia="宋体" w:cs="宋体"/>
          <w:kern w:val="0"/>
          <w:sz w:val="28"/>
          <w:szCs w:val="28"/>
          <w:highlight w:val="none"/>
          <w:u w:val="single"/>
        </w:rPr>
        <w:t>（</w:t>
      </w:r>
      <w:r>
        <w:rPr>
          <w:rFonts w:hint="eastAsia" w:ascii="宋体" w:hAnsi="宋体" w:eastAsia="宋体" w:cs="宋体"/>
          <w:kern w:val="0"/>
          <w:sz w:val="28"/>
          <w:szCs w:val="28"/>
          <w:highlight w:val="none"/>
          <w:u w:val="single"/>
          <w:lang w:val="en-US" w:eastAsia="zh-CN"/>
        </w:rPr>
        <w:t>5</w:t>
      </w:r>
      <w:r>
        <w:rPr>
          <w:rFonts w:hint="eastAsia" w:ascii="宋体" w:hAnsi="宋体" w:eastAsia="宋体" w:cs="宋体"/>
          <w:kern w:val="0"/>
          <w:sz w:val="28"/>
          <w:szCs w:val="28"/>
          <w:highlight w:val="none"/>
          <w:u w:val="single"/>
        </w:rPr>
        <w:t>）参加政府采购活动前三年内，在经营活动中没有重大违法记录</w:t>
      </w:r>
      <w:r>
        <w:rPr>
          <w:rFonts w:hint="eastAsia" w:ascii="宋体" w:hAnsi="宋体" w:eastAsia="宋体" w:cs="宋体"/>
          <w:kern w:val="0"/>
          <w:sz w:val="28"/>
          <w:szCs w:val="28"/>
          <w:highlight w:val="none"/>
          <w:u w:val="single"/>
          <w:lang w:eastAsia="zh-CN"/>
        </w:rPr>
        <w:t>。</w:t>
      </w:r>
    </w:p>
    <w:p>
      <w:pPr>
        <w:keepNext w:val="0"/>
        <w:keepLines w:val="0"/>
        <w:pageBreakBefore w:val="0"/>
        <w:widowControl w:val="0"/>
        <w:kinsoku/>
        <w:wordWrap/>
        <w:overflowPunct/>
        <w:topLinePunct w:val="0"/>
        <w:autoSpaceDE/>
        <w:autoSpaceDN/>
        <w:bidi w:val="0"/>
        <w:adjustRightInd/>
        <w:snapToGrid/>
        <w:spacing w:line="480" w:lineRule="exact"/>
        <w:textAlignment w:val="auto"/>
        <w:outlineLvl w:val="1"/>
        <w:rPr>
          <w:rFonts w:hint="eastAsia" w:ascii="宋体" w:hAnsi="宋体" w:eastAsia="宋体" w:cs="宋体"/>
          <w:b/>
          <w:bCs/>
          <w:kern w:val="0"/>
          <w:sz w:val="28"/>
          <w:szCs w:val="28"/>
          <w:highlight w:val="none"/>
          <w:lang w:eastAsia="zh-CN"/>
        </w:rPr>
      </w:pPr>
      <w:bookmarkStart w:id="15" w:name="_Toc24268"/>
      <w:bookmarkStart w:id="16" w:name="_Toc35393631"/>
      <w:bookmarkStart w:id="17" w:name="_Toc35393800"/>
      <w:bookmarkStart w:id="18" w:name="_Toc28891"/>
      <w:r>
        <w:rPr>
          <w:rFonts w:hint="eastAsia" w:ascii="宋体" w:hAnsi="宋体" w:eastAsia="宋体" w:cs="宋体"/>
          <w:b/>
          <w:bCs/>
          <w:kern w:val="0"/>
          <w:sz w:val="28"/>
          <w:szCs w:val="28"/>
          <w:highlight w:val="none"/>
        </w:rPr>
        <w:t>三、获取</w:t>
      </w:r>
      <w:bookmarkEnd w:id="13"/>
      <w:bookmarkEnd w:id="14"/>
      <w:bookmarkEnd w:id="15"/>
      <w:bookmarkEnd w:id="16"/>
      <w:bookmarkEnd w:id="17"/>
      <w:r>
        <w:rPr>
          <w:rFonts w:hint="eastAsia" w:ascii="宋体" w:hAnsi="宋体" w:eastAsia="宋体" w:cs="宋体"/>
          <w:b/>
          <w:bCs/>
          <w:kern w:val="0"/>
          <w:sz w:val="28"/>
          <w:szCs w:val="28"/>
          <w:highlight w:val="none"/>
          <w:lang w:eastAsia="zh-CN"/>
        </w:rPr>
        <w:t>磋商文件</w:t>
      </w:r>
      <w:bookmarkEnd w:id="18"/>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宋体" w:hAnsi="宋体" w:eastAsia="宋体" w:cs="宋体"/>
          <w:kern w:val="0"/>
          <w:sz w:val="28"/>
          <w:szCs w:val="28"/>
          <w:highlight w:val="none"/>
        </w:rPr>
      </w:pPr>
      <w:r>
        <w:rPr>
          <w:rFonts w:hint="eastAsia" w:ascii="宋体" w:hAnsi="宋体" w:eastAsia="宋体" w:cs="宋体"/>
          <w:color w:val="000000" w:themeColor="text1"/>
          <w:kern w:val="0"/>
          <w:sz w:val="28"/>
          <w:szCs w:val="28"/>
          <w:highlight w:val="none"/>
          <w14:textFill>
            <w14:solidFill>
              <w14:schemeClr w14:val="tx1"/>
            </w14:solidFill>
          </w14:textFill>
        </w:rPr>
        <w:t>时间：</w:t>
      </w:r>
      <w:r>
        <w:rPr>
          <w:rFonts w:hint="eastAsia" w:ascii="宋体" w:hAnsi="宋体" w:eastAsia="宋体" w:cs="宋体"/>
          <w:color w:val="000000" w:themeColor="text1"/>
          <w:kern w:val="0"/>
          <w:sz w:val="28"/>
          <w:szCs w:val="28"/>
          <w:highlight w:val="none"/>
          <w:lang w:val="en-US" w:eastAsia="zh-CN"/>
          <w14:textFill>
            <w14:solidFill>
              <w14:schemeClr w14:val="tx1"/>
            </w14:solidFill>
          </w14:textFill>
        </w:rPr>
        <w:t>2023</w:t>
      </w:r>
      <w:r>
        <w:rPr>
          <w:rFonts w:hint="eastAsia" w:ascii="宋体" w:hAnsi="宋体" w:eastAsia="宋体" w:cs="宋体"/>
          <w:color w:val="000000" w:themeColor="text1"/>
          <w:kern w:val="0"/>
          <w:sz w:val="28"/>
          <w:szCs w:val="28"/>
          <w:highlight w:val="none"/>
          <w14:textFill>
            <w14:solidFill>
              <w14:schemeClr w14:val="tx1"/>
            </w14:solidFill>
          </w14:textFill>
        </w:rPr>
        <w:t>年</w:t>
      </w:r>
      <w:r>
        <w:rPr>
          <w:rFonts w:hint="eastAsia" w:ascii="宋体" w:hAnsi="宋体" w:cs="宋体"/>
          <w:color w:val="000000" w:themeColor="text1"/>
          <w:kern w:val="0"/>
          <w:sz w:val="28"/>
          <w:szCs w:val="28"/>
          <w:highlight w:val="none"/>
          <w:lang w:val="en-US" w:eastAsia="zh-CN"/>
          <w14:textFill>
            <w14:solidFill>
              <w14:schemeClr w14:val="tx1"/>
            </w14:solidFill>
          </w14:textFill>
        </w:rPr>
        <w:t>4</w:t>
      </w:r>
      <w:r>
        <w:rPr>
          <w:rFonts w:hint="eastAsia" w:ascii="宋体" w:hAnsi="宋体" w:eastAsia="宋体" w:cs="宋体"/>
          <w:color w:val="000000" w:themeColor="text1"/>
          <w:kern w:val="0"/>
          <w:sz w:val="28"/>
          <w:szCs w:val="28"/>
          <w:highlight w:val="none"/>
          <w14:textFill>
            <w14:solidFill>
              <w14:schemeClr w14:val="tx1"/>
            </w14:solidFill>
          </w14:textFill>
        </w:rPr>
        <w:t>月</w:t>
      </w:r>
      <w:r>
        <w:rPr>
          <w:rFonts w:hint="eastAsia" w:ascii="宋体" w:hAnsi="宋体" w:cs="宋体"/>
          <w:color w:val="000000" w:themeColor="text1"/>
          <w:kern w:val="0"/>
          <w:sz w:val="28"/>
          <w:szCs w:val="28"/>
          <w:highlight w:val="none"/>
          <w:lang w:val="en-US" w:eastAsia="zh-CN"/>
          <w14:textFill>
            <w14:solidFill>
              <w14:schemeClr w14:val="tx1"/>
            </w14:solidFill>
          </w14:textFill>
        </w:rPr>
        <w:t>11</w:t>
      </w:r>
      <w:r>
        <w:rPr>
          <w:rFonts w:hint="eastAsia" w:ascii="宋体" w:hAnsi="宋体" w:eastAsia="宋体" w:cs="宋体"/>
          <w:color w:val="000000" w:themeColor="text1"/>
          <w:kern w:val="0"/>
          <w:sz w:val="28"/>
          <w:szCs w:val="28"/>
          <w:highlight w:val="none"/>
          <w14:textFill>
            <w14:solidFill>
              <w14:schemeClr w14:val="tx1"/>
            </w14:solidFill>
          </w14:textFill>
        </w:rPr>
        <w:t>日至</w:t>
      </w:r>
      <w:r>
        <w:rPr>
          <w:rFonts w:hint="eastAsia" w:ascii="宋体" w:hAnsi="宋体" w:eastAsia="宋体" w:cs="宋体"/>
          <w:color w:val="000000" w:themeColor="text1"/>
          <w:kern w:val="0"/>
          <w:sz w:val="28"/>
          <w:szCs w:val="28"/>
          <w:highlight w:val="none"/>
          <w:lang w:val="en-US" w:eastAsia="zh-CN"/>
          <w14:textFill>
            <w14:solidFill>
              <w14:schemeClr w14:val="tx1"/>
            </w14:solidFill>
          </w14:textFill>
        </w:rPr>
        <w:t>2023</w:t>
      </w:r>
      <w:r>
        <w:rPr>
          <w:rFonts w:hint="eastAsia" w:ascii="宋体" w:hAnsi="宋体" w:eastAsia="宋体" w:cs="宋体"/>
          <w:color w:val="000000" w:themeColor="text1"/>
          <w:kern w:val="0"/>
          <w:sz w:val="28"/>
          <w:szCs w:val="28"/>
          <w:highlight w:val="none"/>
          <w14:textFill>
            <w14:solidFill>
              <w14:schemeClr w14:val="tx1"/>
            </w14:solidFill>
          </w14:textFill>
        </w:rPr>
        <w:t>年</w:t>
      </w:r>
      <w:r>
        <w:rPr>
          <w:rFonts w:hint="eastAsia" w:ascii="宋体" w:hAnsi="宋体" w:cs="宋体"/>
          <w:color w:val="000000" w:themeColor="text1"/>
          <w:kern w:val="0"/>
          <w:sz w:val="28"/>
          <w:szCs w:val="28"/>
          <w:highlight w:val="none"/>
          <w:lang w:val="en-US" w:eastAsia="zh-CN"/>
          <w14:textFill>
            <w14:solidFill>
              <w14:schemeClr w14:val="tx1"/>
            </w14:solidFill>
          </w14:textFill>
        </w:rPr>
        <w:t>4</w:t>
      </w:r>
      <w:r>
        <w:rPr>
          <w:rFonts w:hint="eastAsia" w:ascii="宋体" w:hAnsi="宋体" w:eastAsia="宋体" w:cs="宋体"/>
          <w:color w:val="000000" w:themeColor="text1"/>
          <w:kern w:val="0"/>
          <w:sz w:val="28"/>
          <w:szCs w:val="28"/>
          <w:highlight w:val="none"/>
          <w14:textFill>
            <w14:solidFill>
              <w14:schemeClr w14:val="tx1"/>
            </w14:solidFill>
          </w14:textFill>
        </w:rPr>
        <w:t>月</w:t>
      </w:r>
      <w:r>
        <w:rPr>
          <w:rFonts w:hint="eastAsia" w:ascii="宋体" w:hAnsi="宋体" w:cs="宋体"/>
          <w:color w:val="000000" w:themeColor="text1"/>
          <w:kern w:val="0"/>
          <w:sz w:val="28"/>
          <w:szCs w:val="28"/>
          <w:highlight w:val="none"/>
          <w:lang w:val="en-US" w:eastAsia="zh-CN"/>
          <w14:textFill>
            <w14:solidFill>
              <w14:schemeClr w14:val="tx1"/>
            </w14:solidFill>
          </w14:textFill>
        </w:rPr>
        <w:t>18</w:t>
      </w:r>
      <w:r>
        <w:rPr>
          <w:rFonts w:hint="eastAsia" w:ascii="宋体" w:hAnsi="宋体" w:eastAsia="宋体" w:cs="宋体"/>
          <w:color w:val="000000" w:themeColor="text1"/>
          <w:kern w:val="0"/>
          <w:sz w:val="28"/>
          <w:szCs w:val="28"/>
          <w:highlight w:val="none"/>
          <w14:textFill>
            <w14:solidFill>
              <w14:schemeClr w14:val="tx1"/>
            </w14:solidFill>
          </w14:textFill>
        </w:rPr>
        <w:t>日，每天上午</w:t>
      </w:r>
      <w:r>
        <w:rPr>
          <w:rFonts w:hint="eastAsia" w:ascii="宋体" w:hAnsi="宋体" w:eastAsia="宋体" w:cs="宋体"/>
          <w:color w:val="000000" w:themeColor="text1"/>
          <w:kern w:val="0"/>
          <w:sz w:val="28"/>
          <w:szCs w:val="28"/>
          <w:highlight w:val="none"/>
          <w:lang w:val="en-US" w:eastAsia="zh-CN"/>
          <w14:textFill>
            <w14:solidFill>
              <w14:schemeClr w14:val="tx1"/>
            </w14:solidFill>
          </w14:textFill>
        </w:rPr>
        <w:t>10时00分</w:t>
      </w:r>
      <w:r>
        <w:rPr>
          <w:rFonts w:hint="eastAsia" w:ascii="宋体" w:hAnsi="宋体" w:eastAsia="宋体" w:cs="宋体"/>
          <w:color w:val="000000" w:themeColor="text1"/>
          <w:kern w:val="0"/>
          <w:sz w:val="28"/>
          <w:szCs w:val="28"/>
          <w:highlight w:val="none"/>
          <w14:textFill>
            <w14:solidFill>
              <w14:schemeClr w14:val="tx1"/>
            </w14:solidFill>
          </w14:textFill>
        </w:rPr>
        <w:t>至</w:t>
      </w:r>
      <w:r>
        <w:rPr>
          <w:rFonts w:hint="eastAsia" w:ascii="宋体" w:hAnsi="宋体" w:eastAsia="宋体" w:cs="宋体"/>
          <w:color w:val="000000" w:themeColor="text1"/>
          <w:kern w:val="0"/>
          <w:sz w:val="28"/>
          <w:szCs w:val="28"/>
          <w:highlight w:val="none"/>
          <w:lang w:val="en-US" w:eastAsia="zh-CN"/>
          <w14:textFill>
            <w14:solidFill>
              <w14:schemeClr w14:val="tx1"/>
            </w14:solidFill>
          </w14:textFill>
        </w:rPr>
        <w:t>13时30分</w:t>
      </w:r>
      <w:r>
        <w:rPr>
          <w:rFonts w:hint="eastAsia" w:ascii="宋体" w:hAnsi="宋体" w:eastAsia="宋体" w:cs="宋体"/>
          <w:color w:val="000000" w:themeColor="text1"/>
          <w:kern w:val="0"/>
          <w:sz w:val="28"/>
          <w:szCs w:val="28"/>
          <w:highlight w:val="none"/>
          <w14:textFill>
            <w14:solidFill>
              <w14:schemeClr w14:val="tx1"/>
            </w14:solidFill>
          </w14:textFill>
        </w:rPr>
        <w:t>，下午</w:t>
      </w:r>
      <w:r>
        <w:rPr>
          <w:rFonts w:hint="eastAsia" w:ascii="宋体" w:hAnsi="宋体" w:eastAsia="宋体" w:cs="宋体"/>
          <w:color w:val="000000" w:themeColor="text1"/>
          <w:kern w:val="0"/>
          <w:sz w:val="28"/>
          <w:szCs w:val="28"/>
          <w:highlight w:val="none"/>
          <w:lang w:val="en-US" w:eastAsia="zh-CN"/>
          <w14:textFill>
            <w14:solidFill>
              <w14:schemeClr w14:val="tx1"/>
            </w14:solidFill>
          </w14:textFill>
        </w:rPr>
        <w:t>15时30分</w:t>
      </w:r>
      <w:r>
        <w:rPr>
          <w:rFonts w:hint="eastAsia" w:ascii="宋体" w:hAnsi="宋体" w:eastAsia="宋体" w:cs="宋体"/>
          <w:color w:val="000000" w:themeColor="text1"/>
          <w:kern w:val="0"/>
          <w:sz w:val="28"/>
          <w:szCs w:val="28"/>
          <w:highlight w:val="none"/>
          <w14:textFill>
            <w14:solidFill>
              <w14:schemeClr w14:val="tx1"/>
            </w14:solidFill>
          </w14:textFill>
        </w:rPr>
        <w:t>至</w:t>
      </w:r>
      <w:r>
        <w:rPr>
          <w:rFonts w:hint="eastAsia" w:ascii="宋体" w:hAnsi="宋体" w:eastAsia="宋体" w:cs="宋体"/>
          <w:color w:val="000000" w:themeColor="text1"/>
          <w:kern w:val="0"/>
          <w:sz w:val="28"/>
          <w:szCs w:val="28"/>
          <w:highlight w:val="none"/>
          <w:lang w:val="en-US" w:eastAsia="zh-CN"/>
          <w14:textFill>
            <w14:solidFill>
              <w14:schemeClr w14:val="tx1"/>
            </w14:solidFill>
          </w14:textFill>
        </w:rPr>
        <w:t>19时00分</w:t>
      </w:r>
      <w:r>
        <w:rPr>
          <w:rFonts w:hint="eastAsia" w:ascii="宋体" w:hAnsi="宋体" w:eastAsia="宋体" w:cs="宋体"/>
          <w:kern w:val="0"/>
          <w:sz w:val="28"/>
          <w:szCs w:val="28"/>
          <w:highlight w:val="none"/>
        </w:rPr>
        <w:t>（北京时间，法定节假日除外）</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宋体" w:hAnsi="宋体" w:eastAsia="宋体" w:cs="宋体"/>
          <w:kern w:val="0"/>
          <w:sz w:val="28"/>
          <w:szCs w:val="28"/>
          <w:highlight w:val="none"/>
        </w:rPr>
      </w:pPr>
      <w:r>
        <w:rPr>
          <w:rFonts w:hint="eastAsia" w:ascii="宋体" w:hAnsi="宋体" w:eastAsia="宋体" w:cs="宋体"/>
          <w:kern w:val="0"/>
          <w:sz w:val="28"/>
          <w:szCs w:val="28"/>
          <w:highlight w:val="none"/>
        </w:rPr>
        <w:t>地点：政府云平台线上获取</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宋体" w:hAnsi="宋体" w:eastAsia="宋体" w:cs="宋体"/>
          <w:kern w:val="0"/>
          <w:sz w:val="28"/>
          <w:szCs w:val="28"/>
          <w:highlight w:val="none"/>
          <w:lang w:val="en-US" w:eastAsia="zh-CN"/>
        </w:rPr>
      </w:pPr>
      <w:r>
        <w:rPr>
          <w:rFonts w:hint="eastAsia" w:ascii="宋体" w:hAnsi="宋体" w:eastAsia="宋体" w:cs="宋体"/>
          <w:kern w:val="0"/>
          <w:sz w:val="28"/>
          <w:szCs w:val="28"/>
          <w:highlight w:val="none"/>
        </w:rPr>
        <w:t>方式：供应商登录政采云平台（http://www.ccgp-xinjiang.gov.cn/）在线申请获取招标文件（进入“项目采购”应用，在获取</w:t>
      </w:r>
      <w:r>
        <w:rPr>
          <w:rFonts w:hint="eastAsia" w:ascii="宋体" w:hAnsi="宋体" w:cs="宋体"/>
          <w:kern w:val="0"/>
          <w:sz w:val="28"/>
          <w:szCs w:val="28"/>
          <w:highlight w:val="none"/>
          <w:lang w:eastAsia="zh-CN"/>
        </w:rPr>
        <w:t>磋商文件</w:t>
      </w:r>
      <w:r>
        <w:rPr>
          <w:rFonts w:hint="eastAsia" w:ascii="宋体" w:hAnsi="宋体" w:eastAsia="宋体" w:cs="宋体"/>
          <w:kern w:val="0"/>
          <w:sz w:val="28"/>
          <w:szCs w:val="28"/>
          <w:highlight w:val="none"/>
        </w:rPr>
        <w:t>菜单中选择项目，申请获取</w:t>
      </w:r>
      <w:r>
        <w:rPr>
          <w:rFonts w:hint="eastAsia" w:ascii="宋体" w:hAnsi="宋体" w:cs="宋体"/>
          <w:kern w:val="0"/>
          <w:sz w:val="28"/>
          <w:szCs w:val="28"/>
          <w:highlight w:val="none"/>
          <w:lang w:eastAsia="zh-CN"/>
        </w:rPr>
        <w:t>磋商文件</w:t>
      </w:r>
      <w:r>
        <w:rPr>
          <w:rFonts w:hint="eastAsia" w:ascii="宋体" w:hAnsi="宋体" w:eastAsia="宋体" w:cs="宋体"/>
          <w:kern w:val="0"/>
          <w:sz w:val="28"/>
          <w:szCs w:val="28"/>
          <w:highlight w:val="none"/>
        </w:rPr>
        <w:t>）。凡有意参与的供应商，在政采云平台报名时，在附件中上传以下资料加盖公章的彩色扫描件：营业执照副本、法定代表人授权书或法人资格证明、测绘乙级（含乙级）以上资质证书、“信用中国”网站（www.creditchina.gov.cn）、中国政府采购网（www.ccgp.gov.cn）信用信息查询记录（查询时间为公告发布之日至报名结束之日止），务必将以上资料形成1个PDF文件并加盖公章提交，否则将被退回。</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宋体" w:hAnsi="宋体" w:eastAsia="宋体" w:cs="宋体"/>
          <w:kern w:val="0"/>
          <w:sz w:val="28"/>
          <w:szCs w:val="28"/>
          <w:highlight w:val="none"/>
          <w:lang w:val="en-US" w:eastAsia="zh-CN"/>
        </w:rPr>
      </w:pPr>
      <w:r>
        <w:rPr>
          <w:rFonts w:hint="eastAsia" w:ascii="宋体" w:hAnsi="宋体" w:eastAsia="宋体" w:cs="宋体"/>
          <w:kern w:val="0"/>
          <w:sz w:val="28"/>
          <w:szCs w:val="28"/>
          <w:highlight w:val="none"/>
        </w:rPr>
        <w:t>售价：</w:t>
      </w:r>
      <w:r>
        <w:rPr>
          <w:rFonts w:hint="eastAsia" w:ascii="宋体" w:hAnsi="宋体" w:eastAsia="宋体" w:cs="宋体"/>
          <w:kern w:val="0"/>
          <w:sz w:val="28"/>
          <w:szCs w:val="28"/>
          <w:highlight w:val="none"/>
          <w:lang w:val="en-US" w:eastAsia="zh-CN"/>
        </w:rPr>
        <w:t>0元。</w:t>
      </w:r>
    </w:p>
    <w:p>
      <w:pPr>
        <w:keepNext w:val="0"/>
        <w:keepLines w:val="0"/>
        <w:pageBreakBefore w:val="0"/>
        <w:widowControl w:val="0"/>
        <w:kinsoku/>
        <w:wordWrap/>
        <w:overflowPunct/>
        <w:topLinePunct w:val="0"/>
        <w:autoSpaceDE/>
        <w:autoSpaceDN/>
        <w:bidi w:val="0"/>
        <w:adjustRightInd/>
        <w:snapToGrid/>
        <w:spacing w:line="480" w:lineRule="exact"/>
        <w:textAlignment w:val="auto"/>
        <w:outlineLvl w:val="1"/>
        <w:rPr>
          <w:rFonts w:hint="eastAsia" w:ascii="宋体" w:hAnsi="宋体" w:eastAsia="宋体" w:cs="宋体"/>
          <w:b/>
          <w:bCs/>
          <w:kern w:val="0"/>
          <w:sz w:val="28"/>
          <w:szCs w:val="28"/>
          <w:highlight w:val="none"/>
        </w:rPr>
      </w:pPr>
      <w:bookmarkStart w:id="19" w:name="_Toc35393632"/>
      <w:bookmarkStart w:id="20" w:name="_Toc35393801"/>
      <w:bookmarkStart w:id="21" w:name="_Toc14014"/>
      <w:bookmarkStart w:id="22" w:name="_Toc28359015"/>
      <w:bookmarkStart w:id="23" w:name="_Toc15020"/>
      <w:bookmarkStart w:id="24" w:name="_Toc28359092"/>
      <w:r>
        <w:rPr>
          <w:rFonts w:hint="eastAsia" w:ascii="宋体" w:hAnsi="宋体" w:eastAsia="宋体" w:cs="宋体"/>
          <w:b/>
          <w:bCs/>
          <w:kern w:val="0"/>
          <w:sz w:val="28"/>
          <w:szCs w:val="28"/>
          <w:highlight w:val="none"/>
        </w:rPr>
        <w:t>四、响应文件提交</w:t>
      </w:r>
      <w:bookmarkEnd w:id="19"/>
      <w:bookmarkEnd w:id="20"/>
      <w:bookmarkEnd w:id="21"/>
      <w:bookmarkEnd w:id="22"/>
      <w:bookmarkEnd w:id="23"/>
      <w:bookmarkEnd w:id="24"/>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宋体" w:hAnsi="宋体" w:eastAsia="宋体" w:cs="宋体"/>
          <w:kern w:val="0"/>
          <w:sz w:val="28"/>
          <w:szCs w:val="28"/>
          <w:highlight w:val="none"/>
          <w:lang w:val="en-US" w:eastAsia="zh-CN"/>
        </w:rPr>
      </w:pPr>
      <w:r>
        <w:rPr>
          <w:rFonts w:hint="eastAsia" w:ascii="宋体" w:hAnsi="宋体" w:eastAsia="宋体" w:cs="宋体"/>
          <w:kern w:val="0"/>
          <w:sz w:val="28"/>
          <w:szCs w:val="28"/>
          <w:highlight w:val="none"/>
        </w:rPr>
        <w:t>截止时间：</w:t>
      </w:r>
      <w:r>
        <w:rPr>
          <w:rFonts w:hint="eastAsia" w:ascii="宋体" w:hAnsi="宋体" w:eastAsia="宋体" w:cs="宋体"/>
          <w:kern w:val="0"/>
          <w:sz w:val="28"/>
          <w:szCs w:val="28"/>
          <w:highlight w:val="none"/>
          <w:lang w:val="en-US" w:eastAsia="zh-CN"/>
        </w:rPr>
        <w:t>2023</w:t>
      </w:r>
      <w:r>
        <w:rPr>
          <w:rFonts w:hint="eastAsia" w:ascii="宋体" w:hAnsi="宋体" w:eastAsia="宋体" w:cs="宋体"/>
          <w:kern w:val="0"/>
          <w:sz w:val="28"/>
          <w:szCs w:val="28"/>
          <w:highlight w:val="none"/>
        </w:rPr>
        <w:t>年</w:t>
      </w:r>
      <w:r>
        <w:rPr>
          <w:rFonts w:hint="eastAsia" w:ascii="宋体" w:hAnsi="宋体" w:eastAsia="宋体" w:cs="宋体"/>
          <w:kern w:val="0"/>
          <w:sz w:val="28"/>
          <w:szCs w:val="28"/>
          <w:highlight w:val="none"/>
          <w:lang w:val="en-US" w:eastAsia="zh-CN"/>
        </w:rPr>
        <w:t>4月</w:t>
      </w:r>
      <w:r>
        <w:rPr>
          <w:rFonts w:hint="eastAsia" w:ascii="宋体" w:hAnsi="宋体" w:cs="宋体"/>
          <w:kern w:val="0"/>
          <w:sz w:val="28"/>
          <w:szCs w:val="28"/>
          <w:highlight w:val="none"/>
          <w:lang w:val="en-US" w:eastAsia="zh-CN"/>
        </w:rPr>
        <w:t>21日</w:t>
      </w:r>
      <w:r>
        <w:rPr>
          <w:rFonts w:hint="eastAsia" w:ascii="宋体" w:hAnsi="宋体" w:eastAsia="宋体" w:cs="宋体"/>
          <w:kern w:val="0"/>
          <w:sz w:val="28"/>
          <w:szCs w:val="28"/>
          <w:highlight w:val="none"/>
          <w:lang w:val="en-US" w:eastAsia="zh-CN"/>
        </w:rPr>
        <w:t>11点00分</w:t>
      </w:r>
      <w:r>
        <w:rPr>
          <w:rFonts w:hint="eastAsia" w:ascii="宋体" w:hAnsi="宋体" w:eastAsia="宋体" w:cs="宋体"/>
          <w:kern w:val="0"/>
          <w:sz w:val="28"/>
          <w:szCs w:val="28"/>
          <w:highlight w:val="none"/>
        </w:rPr>
        <w:t>（北京时间）</w:t>
      </w:r>
      <w:r>
        <w:rPr>
          <w:rFonts w:hint="eastAsia" w:ascii="宋体" w:hAnsi="宋体" w:eastAsia="宋体" w:cs="宋体"/>
          <w:kern w:val="0"/>
          <w:sz w:val="28"/>
          <w:szCs w:val="28"/>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宋体" w:hAnsi="宋体" w:eastAsia="宋体" w:cs="宋体"/>
          <w:kern w:val="0"/>
          <w:sz w:val="28"/>
          <w:szCs w:val="28"/>
          <w:highlight w:val="none"/>
        </w:rPr>
      </w:pPr>
      <w:r>
        <w:rPr>
          <w:rFonts w:hint="eastAsia" w:ascii="宋体" w:hAnsi="宋体" w:eastAsia="宋体" w:cs="宋体"/>
          <w:kern w:val="0"/>
          <w:sz w:val="28"/>
          <w:szCs w:val="28"/>
          <w:highlight w:val="none"/>
        </w:rPr>
        <w:t>地点：政采云平台（http://www.ccgp-xinjiang.gov.cn/）</w:t>
      </w:r>
      <w:r>
        <w:rPr>
          <w:rFonts w:hint="eastAsia" w:ascii="宋体" w:hAnsi="宋体" w:eastAsia="宋体" w:cs="宋体"/>
          <w:kern w:val="0"/>
          <w:sz w:val="28"/>
          <w:szCs w:val="28"/>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480" w:lineRule="exact"/>
        <w:textAlignment w:val="auto"/>
        <w:outlineLvl w:val="1"/>
        <w:rPr>
          <w:rFonts w:hint="eastAsia" w:ascii="宋体" w:hAnsi="宋体" w:eastAsia="宋体" w:cs="宋体"/>
          <w:b/>
          <w:bCs/>
          <w:kern w:val="0"/>
          <w:sz w:val="28"/>
          <w:szCs w:val="28"/>
          <w:highlight w:val="none"/>
        </w:rPr>
      </w:pPr>
      <w:bookmarkStart w:id="25" w:name="_Toc28359016"/>
      <w:bookmarkStart w:id="26" w:name="_Toc18763"/>
      <w:bookmarkStart w:id="27" w:name="_Toc35393633"/>
      <w:bookmarkStart w:id="28" w:name="_Toc35393802"/>
      <w:bookmarkStart w:id="29" w:name="_Toc23031"/>
      <w:bookmarkStart w:id="30" w:name="_Toc28359093"/>
      <w:r>
        <w:rPr>
          <w:rFonts w:hint="eastAsia" w:ascii="宋体" w:hAnsi="宋体" w:eastAsia="宋体" w:cs="宋体"/>
          <w:b/>
          <w:bCs/>
          <w:kern w:val="0"/>
          <w:sz w:val="28"/>
          <w:szCs w:val="28"/>
          <w:highlight w:val="none"/>
        </w:rPr>
        <w:t>五、开启</w:t>
      </w:r>
      <w:bookmarkEnd w:id="25"/>
      <w:bookmarkEnd w:id="26"/>
      <w:bookmarkEnd w:id="27"/>
      <w:bookmarkEnd w:id="28"/>
      <w:bookmarkEnd w:id="29"/>
      <w:bookmarkEnd w:id="30"/>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宋体" w:hAnsi="宋体" w:eastAsia="宋体" w:cs="宋体"/>
          <w:kern w:val="0"/>
          <w:sz w:val="28"/>
          <w:szCs w:val="28"/>
          <w:highlight w:val="none"/>
        </w:rPr>
      </w:pPr>
      <w:r>
        <w:rPr>
          <w:rFonts w:hint="eastAsia" w:ascii="宋体" w:hAnsi="宋体" w:eastAsia="宋体" w:cs="宋体"/>
          <w:kern w:val="0"/>
          <w:sz w:val="28"/>
          <w:szCs w:val="28"/>
          <w:highlight w:val="none"/>
        </w:rPr>
        <w:t>时间：</w:t>
      </w:r>
      <w:r>
        <w:rPr>
          <w:rFonts w:hint="eastAsia" w:ascii="宋体" w:hAnsi="宋体" w:eastAsia="宋体" w:cs="宋体"/>
          <w:kern w:val="0"/>
          <w:sz w:val="28"/>
          <w:szCs w:val="28"/>
          <w:highlight w:val="none"/>
          <w:lang w:val="en-US" w:eastAsia="zh-CN"/>
        </w:rPr>
        <w:t>2023</w:t>
      </w:r>
      <w:r>
        <w:rPr>
          <w:rFonts w:hint="eastAsia" w:ascii="宋体" w:hAnsi="宋体" w:eastAsia="宋体" w:cs="宋体"/>
          <w:kern w:val="0"/>
          <w:sz w:val="28"/>
          <w:szCs w:val="28"/>
          <w:highlight w:val="none"/>
        </w:rPr>
        <w:t>年</w:t>
      </w:r>
      <w:r>
        <w:rPr>
          <w:rFonts w:hint="eastAsia" w:ascii="宋体" w:hAnsi="宋体" w:eastAsia="宋体" w:cs="宋体"/>
          <w:kern w:val="0"/>
          <w:sz w:val="28"/>
          <w:szCs w:val="28"/>
          <w:highlight w:val="none"/>
          <w:lang w:val="en-US" w:eastAsia="zh-CN"/>
        </w:rPr>
        <w:t>4月</w:t>
      </w:r>
      <w:r>
        <w:rPr>
          <w:rFonts w:hint="eastAsia" w:ascii="宋体" w:hAnsi="宋体" w:cs="宋体"/>
          <w:kern w:val="0"/>
          <w:sz w:val="28"/>
          <w:szCs w:val="28"/>
          <w:highlight w:val="none"/>
          <w:lang w:val="en-US" w:eastAsia="zh-CN"/>
        </w:rPr>
        <w:t>21日</w:t>
      </w:r>
      <w:r>
        <w:rPr>
          <w:rFonts w:hint="eastAsia" w:ascii="宋体" w:hAnsi="宋体" w:eastAsia="宋体" w:cs="宋体"/>
          <w:kern w:val="0"/>
          <w:sz w:val="28"/>
          <w:szCs w:val="28"/>
          <w:highlight w:val="none"/>
          <w:lang w:val="en-US" w:eastAsia="zh-CN"/>
        </w:rPr>
        <w:t>11点00分</w:t>
      </w:r>
      <w:r>
        <w:rPr>
          <w:rFonts w:hint="eastAsia" w:ascii="宋体" w:hAnsi="宋体" w:eastAsia="宋体" w:cs="宋体"/>
          <w:kern w:val="0"/>
          <w:sz w:val="28"/>
          <w:szCs w:val="28"/>
          <w:highlight w:val="none"/>
        </w:rPr>
        <w:t>（北京时间）</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宋体" w:hAnsi="宋体" w:eastAsia="宋体" w:cs="宋体"/>
          <w:kern w:val="0"/>
          <w:sz w:val="28"/>
          <w:szCs w:val="28"/>
          <w:highlight w:val="none"/>
          <w:lang w:val="en-US" w:eastAsia="zh-CN"/>
        </w:rPr>
      </w:pPr>
      <w:r>
        <w:rPr>
          <w:rFonts w:hint="eastAsia" w:ascii="宋体" w:hAnsi="宋体" w:eastAsia="宋体" w:cs="宋体"/>
          <w:kern w:val="0"/>
          <w:sz w:val="28"/>
          <w:szCs w:val="28"/>
          <w:highlight w:val="none"/>
        </w:rPr>
        <w:t>地点：政采云平台（http://www.ccgp-xinjiang.gov.cn/）</w:t>
      </w:r>
      <w:r>
        <w:rPr>
          <w:rFonts w:hint="eastAsia" w:ascii="宋体" w:hAnsi="宋体" w:eastAsia="宋体" w:cs="宋体"/>
          <w:kern w:val="0"/>
          <w:sz w:val="28"/>
          <w:szCs w:val="28"/>
          <w:highlight w:val="none"/>
          <w:lang w:eastAsia="zh-CN"/>
        </w:rPr>
        <w:t>。</w:t>
      </w:r>
    </w:p>
    <w:p>
      <w:pPr>
        <w:keepNext w:val="0"/>
        <w:keepLines w:val="0"/>
        <w:pageBreakBefore w:val="0"/>
        <w:widowControl w:val="0"/>
        <w:kinsoku/>
        <w:wordWrap/>
        <w:overflowPunct/>
        <w:topLinePunct w:val="0"/>
        <w:autoSpaceDE/>
        <w:autoSpaceDN/>
        <w:bidi w:val="0"/>
        <w:adjustRightInd/>
        <w:snapToGrid/>
        <w:spacing w:line="480" w:lineRule="exact"/>
        <w:textAlignment w:val="auto"/>
        <w:outlineLvl w:val="1"/>
        <w:rPr>
          <w:rFonts w:hint="eastAsia" w:ascii="宋体" w:hAnsi="宋体" w:eastAsia="宋体" w:cs="宋体"/>
          <w:b/>
          <w:bCs/>
          <w:kern w:val="0"/>
          <w:sz w:val="28"/>
          <w:szCs w:val="28"/>
          <w:highlight w:val="none"/>
        </w:rPr>
      </w:pPr>
      <w:bookmarkStart w:id="31" w:name="_Toc15207"/>
      <w:bookmarkStart w:id="32" w:name="_Toc35393803"/>
      <w:bookmarkStart w:id="33" w:name="_Toc28359094"/>
      <w:bookmarkStart w:id="34" w:name="_Toc28359017"/>
      <w:bookmarkStart w:id="35" w:name="_Toc35393634"/>
      <w:bookmarkStart w:id="36" w:name="_Toc14089"/>
      <w:r>
        <w:rPr>
          <w:rFonts w:hint="eastAsia" w:ascii="宋体" w:hAnsi="宋体" w:eastAsia="宋体" w:cs="宋体"/>
          <w:b/>
          <w:bCs/>
          <w:kern w:val="0"/>
          <w:sz w:val="28"/>
          <w:szCs w:val="28"/>
          <w:highlight w:val="none"/>
        </w:rPr>
        <w:t>六、公告期限</w:t>
      </w:r>
      <w:bookmarkEnd w:id="31"/>
      <w:bookmarkEnd w:id="32"/>
      <w:bookmarkEnd w:id="33"/>
      <w:bookmarkEnd w:id="34"/>
      <w:bookmarkEnd w:id="35"/>
      <w:bookmarkEnd w:id="36"/>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宋体" w:hAnsi="宋体" w:eastAsia="宋体" w:cs="宋体"/>
          <w:kern w:val="0"/>
          <w:sz w:val="28"/>
          <w:szCs w:val="28"/>
          <w:highlight w:val="none"/>
        </w:rPr>
      </w:pPr>
      <w:r>
        <w:rPr>
          <w:rFonts w:hint="eastAsia" w:ascii="宋体" w:hAnsi="宋体" w:eastAsia="宋体" w:cs="宋体"/>
          <w:kern w:val="0"/>
          <w:sz w:val="28"/>
          <w:szCs w:val="28"/>
          <w:highlight w:val="none"/>
        </w:rPr>
        <w:t>自本公告发布之日起</w:t>
      </w:r>
      <w:r>
        <w:rPr>
          <w:rFonts w:hint="eastAsia" w:ascii="宋体" w:hAnsi="宋体" w:eastAsia="宋体" w:cs="宋体"/>
          <w:kern w:val="0"/>
          <w:sz w:val="28"/>
          <w:szCs w:val="28"/>
          <w:highlight w:val="none"/>
          <w:lang w:val="en-US" w:eastAsia="zh-CN"/>
        </w:rPr>
        <w:t>5</w:t>
      </w:r>
      <w:r>
        <w:rPr>
          <w:rFonts w:hint="eastAsia" w:ascii="宋体" w:hAnsi="宋体" w:eastAsia="宋体" w:cs="宋体"/>
          <w:kern w:val="0"/>
          <w:sz w:val="28"/>
          <w:szCs w:val="28"/>
          <w:highlight w:val="none"/>
        </w:rPr>
        <w:t>个工作日。</w:t>
      </w:r>
    </w:p>
    <w:p>
      <w:pPr>
        <w:keepNext w:val="0"/>
        <w:keepLines w:val="0"/>
        <w:pageBreakBefore w:val="0"/>
        <w:widowControl w:val="0"/>
        <w:kinsoku/>
        <w:wordWrap/>
        <w:overflowPunct/>
        <w:topLinePunct w:val="0"/>
        <w:autoSpaceDE/>
        <w:autoSpaceDN/>
        <w:bidi w:val="0"/>
        <w:adjustRightInd/>
        <w:snapToGrid/>
        <w:spacing w:line="480" w:lineRule="exact"/>
        <w:textAlignment w:val="auto"/>
        <w:outlineLvl w:val="1"/>
        <w:rPr>
          <w:rFonts w:hint="eastAsia" w:ascii="宋体" w:hAnsi="宋体" w:eastAsia="宋体" w:cs="宋体"/>
          <w:b/>
          <w:bCs/>
          <w:kern w:val="0"/>
          <w:sz w:val="28"/>
          <w:szCs w:val="28"/>
          <w:highlight w:val="none"/>
        </w:rPr>
      </w:pPr>
      <w:bookmarkStart w:id="37" w:name="_Toc9372"/>
      <w:r>
        <w:rPr>
          <w:rFonts w:hint="eastAsia" w:ascii="宋体" w:hAnsi="宋体" w:eastAsia="宋体" w:cs="宋体"/>
          <w:b/>
          <w:bCs/>
          <w:kern w:val="0"/>
          <w:sz w:val="28"/>
          <w:szCs w:val="28"/>
          <w:highlight w:val="none"/>
        </w:rPr>
        <w:t>七、其他补充事宜</w:t>
      </w:r>
      <w:bookmarkEnd w:id="37"/>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宋体" w:hAnsi="宋体" w:eastAsia="宋体" w:cs="宋体"/>
          <w:kern w:val="0"/>
          <w:sz w:val="28"/>
          <w:szCs w:val="28"/>
          <w:highlight w:val="none"/>
        </w:rPr>
      </w:pPr>
      <w:r>
        <w:rPr>
          <w:rFonts w:hint="eastAsia" w:ascii="宋体" w:hAnsi="宋体" w:eastAsia="宋体" w:cs="宋体"/>
          <w:kern w:val="0"/>
          <w:sz w:val="28"/>
          <w:szCs w:val="28"/>
          <w:highlight w:val="none"/>
        </w:rPr>
        <w:t>1.本次采购采用电子交易方式，电子交易平台为“政府采购云平台（http://www.ccgp-xinjiang.gov.cn/）”。供应商参与本项目电子交易活动前，应注册成为政府采购云平台供应商。编制电子响应文件前还需申领CA证书并绑定帐号。供应商应充分考虑完成平台注册、申领CA证书等所需的时间。因未注册入库、未办理CA数字证书等原因造成无法投标或投标失败等后果由供应商自行承担。</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宋体" w:hAnsi="宋体" w:eastAsia="宋体" w:cs="宋体"/>
          <w:kern w:val="0"/>
          <w:sz w:val="28"/>
          <w:szCs w:val="28"/>
          <w:highlight w:val="none"/>
        </w:rPr>
      </w:pPr>
      <w:r>
        <w:rPr>
          <w:rFonts w:hint="eastAsia" w:ascii="宋体" w:hAnsi="宋体" w:eastAsia="宋体" w:cs="宋体"/>
          <w:kern w:val="0"/>
          <w:sz w:val="28"/>
          <w:szCs w:val="28"/>
          <w:highlight w:val="none"/>
        </w:rPr>
        <w:t>2.供应商将政采云电子交易客户端下载、安装完成后，可通过账号密码或CA登录客户端进行响应文件制作。在使用政采云投标客户端时，建议使用WIN7及以上操作系统。客户端请至新疆政府采购网（www.ccgp-xinjiang.gov.cn）下载专区查看，如有问题可拨打政采云客户服务热线400-881-7190进行咨询。</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宋体" w:hAnsi="宋体" w:eastAsia="宋体" w:cs="宋体"/>
          <w:kern w:val="0"/>
          <w:sz w:val="28"/>
          <w:szCs w:val="28"/>
          <w:highlight w:val="none"/>
        </w:rPr>
      </w:pPr>
      <w:r>
        <w:rPr>
          <w:rFonts w:hint="eastAsia" w:ascii="宋体" w:hAnsi="宋体" w:eastAsia="宋体" w:cs="宋体"/>
          <w:kern w:val="0"/>
          <w:sz w:val="28"/>
          <w:szCs w:val="28"/>
          <w:highlight w:val="none"/>
        </w:rPr>
        <w:t>3.加密的电子响应文件（.jmbs格式）应在响应文件递交截止时间前通过政采云平台上传完成。逾期上传或者未上传指定地点的响应文件，采购人不予受理。</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宋体" w:hAnsi="宋体" w:eastAsia="宋体" w:cs="宋体"/>
          <w:kern w:val="0"/>
          <w:sz w:val="28"/>
          <w:szCs w:val="28"/>
          <w:highlight w:val="none"/>
        </w:rPr>
      </w:pPr>
      <w:r>
        <w:rPr>
          <w:rFonts w:hint="eastAsia" w:ascii="宋体" w:hAnsi="宋体" w:eastAsia="宋体" w:cs="宋体"/>
          <w:kern w:val="0"/>
          <w:sz w:val="28"/>
          <w:szCs w:val="28"/>
          <w:highlight w:val="none"/>
        </w:rPr>
        <w:t>4.响应文件开启当日，供应商无需到达开标现场，仅需通过政采云平台“不见面”开标大厅完成远程解密、开标唱标、询标澄清、在线多轮报价、结果公布等交互环节。供应商必须使用能正确解密响应文件的“CA锁”在规定的时间内完成远程解密，因供应商因未能解密、解密失败或解密超时，视为供应商撤销其响应文件。</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宋体" w:hAnsi="宋体" w:eastAsia="宋体" w:cs="宋体"/>
          <w:kern w:val="0"/>
          <w:sz w:val="28"/>
          <w:szCs w:val="28"/>
          <w:highlight w:val="none"/>
        </w:rPr>
      </w:pPr>
      <w:r>
        <w:rPr>
          <w:rFonts w:hint="eastAsia" w:ascii="宋体" w:hAnsi="宋体" w:eastAsia="宋体" w:cs="宋体"/>
          <w:kern w:val="0"/>
          <w:sz w:val="28"/>
          <w:szCs w:val="28"/>
          <w:highlight w:val="none"/>
        </w:rPr>
        <w:t>5.单位负责人为同一人或者存在直接控股、管理关系的不同供应商，不得参加同一合同项下的政府采购活动。</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宋体" w:hAnsi="宋体" w:eastAsia="宋体" w:cs="宋体"/>
          <w:kern w:val="0"/>
          <w:sz w:val="28"/>
          <w:szCs w:val="28"/>
          <w:highlight w:val="none"/>
        </w:rPr>
      </w:pPr>
      <w:r>
        <w:rPr>
          <w:rFonts w:hint="eastAsia" w:ascii="宋体" w:hAnsi="宋体" w:eastAsia="宋体" w:cs="宋体"/>
          <w:kern w:val="0"/>
          <w:sz w:val="28"/>
          <w:szCs w:val="28"/>
          <w:highlight w:val="none"/>
        </w:rPr>
        <w:t>6.有关本次采购的事项若存在变动或修改，敬请及时关注新疆政府采购网发布的澄清变更公告，网址为“http://www.ccgp-xinjiang.gov.cn”。</w:t>
      </w:r>
    </w:p>
    <w:p>
      <w:pPr>
        <w:keepNext w:val="0"/>
        <w:keepLines w:val="0"/>
        <w:pageBreakBefore w:val="0"/>
        <w:widowControl w:val="0"/>
        <w:kinsoku/>
        <w:wordWrap/>
        <w:overflowPunct/>
        <w:topLinePunct w:val="0"/>
        <w:autoSpaceDE/>
        <w:autoSpaceDN/>
        <w:bidi w:val="0"/>
        <w:adjustRightInd/>
        <w:snapToGrid/>
        <w:spacing w:line="480" w:lineRule="exact"/>
        <w:textAlignment w:val="auto"/>
        <w:outlineLvl w:val="1"/>
        <w:rPr>
          <w:rFonts w:hint="eastAsia" w:ascii="宋体" w:hAnsi="宋体" w:eastAsia="宋体" w:cs="宋体"/>
          <w:b/>
          <w:bCs/>
          <w:kern w:val="0"/>
          <w:sz w:val="28"/>
          <w:szCs w:val="28"/>
          <w:highlight w:val="none"/>
        </w:rPr>
      </w:pPr>
      <w:bookmarkStart w:id="38" w:name="_Toc7698"/>
      <w:r>
        <w:rPr>
          <w:rFonts w:hint="eastAsia" w:ascii="宋体" w:hAnsi="宋体" w:eastAsia="宋体" w:cs="宋体"/>
          <w:b/>
          <w:bCs/>
          <w:kern w:val="0"/>
          <w:sz w:val="28"/>
          <w:szCs w:val="28"/>
          <w:highlight w:val="none"/>
        </w:rPr>
        <w:t>八、凡对本次采购提出询问，请按以下方式联系</w:t>
      </w:r>
      <w:bookmarkEnd w:id="38"/>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宋体" w:hAnsi="宋体" w:eastAsia="宋体" w:cs="宋体"/>
          <w:kern w:val="0"/>
          <w:sz w:val="28"/>
          <w:szCs w:val="28"/>
          <w:highlight w:val="none"/>
        </w:rPr>
      </w:pPr>
      <w:r>
        <w:rPr>
          <w:rFonts w:hint="eastAsia" w:ascii="宋体" w:hAnsi="宋体" w:eastAsia="宋体" w:cs="宋体"/>
          <w:kern w:val="0"/>
          <w:sz w:val="28"/>
          <w:szCs w:val="28"/>
          <w:highlight w:val="none"/>
        </w:rPr>
        <w:t>1.采购人信息</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宋体" w:hAnsi="宋体" w:eastAsia="宋体" w:cs="宋体"/>
          <w:kern w:val="0"/>
          <w:sz w:val="28"/>
          <w:szCs w:val="28"/>
          <w:highlight w:val="none"/>
          <w:lang w:eastAsia="zh-CN"/>
        </w:rPr>
      </w:pPr>
      <w:r>
        <w:rPr>
          <w:rFonts w:hint="eastAsia" w:ascii="宋体" w:hAnsi="宋体" w:eastAsia="宋体" w:cs="宋体"/>
          <w:kern w:val="0"/>
          <w:sz w:val="28"/>
          <w:szCs w:val="28"/>
          <w:highlight w:val="none"/>
        </w:rPr>
        <w:t>名    称：</w:t>
      </w:r>
      <w:r>
        <w:rPr>
          <w:rFonts w:hint="eastAsia" w:ascii="宋体" w:hAnsi="宋体" w:cs="宋体"/>
          <w:kern w:val="0"/>
          <w:sz w:val="28"/>
          <w:szCs w:val="28"/>
          <w:highlight w:val="none"/>
          <w:lang w:eastAsia="zh-CN"/>
        </w:rPr>
        <w:t>新疆轮台县自然资源局</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宋体" w:hAnsi="宋体" w:eastAsia="宋体" w:cs="宋体"/>
          <w:kern w:val="0"/>
          <w:sz w:val="28"/>
          <w:szCs w:val="28"/>
          <w:highlight w:val="none"/>
          <w:lang w:val="en-US" w:eastAsia="zh-CN"/>
        </w:rPr>
      </w:pPr>
      <w:r>
        <w:rPr>
          <w:rFonts w:hint="eastAsia" w:ascii="宋体" w:hAnsi="宋体" w:eastAsia="宋体" w:cs="宋体"/>
          <w:kern w:val="0"/>
          <w:sz w:val="28"/>
          <w:szCs w:val="28"/>
          <w:highlight w:val="none"/>
        </w:rPr>
        <w:t>地    址：</w:t>
      </w:r>
      <w:r>
        <w:rPr>
          <w:rFonts w:hint="eastAsia" w:ascii="宋体" w:hAnsi="宋体" w:eastAsia="宋体" w:cs="宋体"/>
          <w:kern w:val="0"/>
          <w:sz w:val="28"/>
          <w:szCs w:val="28"/>
          <w:highlight w:val="none"/>
          <w:lang w:val="en-US" w:eastAsia="zh-CN"/>
        </w:rPr>
        <w:t>巴音郭楞蒙古自治州轮台县</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宋体" w:hAnsi="宋体" w:eastAsia="宋体" w:cs="宋体"/>
          <w:kern w:val="0"/>
          <w:sz w:val="28"/>
          <w:szCs w:val="28"/>
          <w:highlight w:val="none"/>
        </w:rPr>
      </w:pPr>
      <w:r>
        <w:rPr>
          <w:rFonts w:hint="eastAsia" w:ascii="宋体" w:hAnsi="宋体" w:eastAsia="宋体" w:cs="宋体"/>
          <w:kern w:val="0"/>
          <w:sz w:val="28"/>
          <w:szCs w:val="28"/>
          <w:highlight w:val="none"/>
        </w:rPr>
        <w:t>联系方式：</w:t>
      </w:r>
      <w:r>
        <w:rPr>
          <w:rFonts w:hint="eastAsia" w:ascii="宋体" w:hAnsi="宋体" w:eastAsia="宋体" w:cs="宋体"/>
          <w:kern w:val="0"/>
          <w:sz w:val="28"/>
          <w:szCs w:val="28"/>
          <w:highlight w:val="none"/>
          <w:lang w:val="en-US" w:eastAsia="zh-CN"/>
        </w:rPr>
        <w:t>13040455159</w:t>
      </w:r>
      <w:r>
        <w:rPr>
          <w:rFonts w:hint="eastAsia" w:ascii="宋体" w:hAnsi="宋体" w:eastAsia="宋体" w:cs="宋体"/>
          <w:kern w:val="0"/>
          <w:sz w:val="28"/>
          <w:szCs w:val="28"/>
          <w:highlight w:val="none"/>
        </w:rPr>
        <w:t xml:space="preserve"> </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宋体" w:hAnsi="宋体" w:eastAsia="宋体" w:cs="宋体"/>
          <w:kern w:val="0"/>
          <w:sz w:val="28"/>
          <w:szCs w:val="28"/>
          <w:highlight w:val="none"/>
        </w:rPr>
      </w:pPr>
      <w:r>
        <w:rPr>
          <w:rFonts w:hint="eastAsia" w:ascii="宋体" w:hAnsi="宋体" w:eastAsia="宋体" w:cs="宋体"/>
          <w:kern w:val="0"/>
          <w:sz w:val="28"/>
          <w:szCs w:val="28"/>
          <w:highlight w:val="none"/>
        </w:rPr>
        <w:t>2.采购代理机构信息</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宋体" w:hAnsi="宋体" w:eastAsia="宋体" w:cs="宋体"/>
          <w:kern w:val="0"/>
          <w:sz w:val="28"/>
          <w:szCs w:val="28"/>
          <w:highlight w:val="none"/>
        </w:rPr>
      </w:pPr>
      <w:r>
        <w:rPr>
          <w:rFonts w:hint="eastAsia" w:ascii="宋体" w:hAnsi="宋体" w:eastAsia="宋体" w:cs="宋体"/>
          <w:kern w:val="0"/>
          <w:sz w:val="28"/>
          <w:szCs w:val="28"/>
          <w:highlight w:val="none"/>
        </w:rPr>
        <w:t>名    称：新疆玖一建设项目管理咨询有限公司</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宋体" w:hAnsi="宋体" w:eastAsia="宋体" w:cs="宋体"/>
          <w:kern w:val="0"/>
          <w:sz w:val="28"/>
          <w:szCs w:val="28"/>
          <w:highlight w:val="none"/>
        </w:rPr>
      </w:pPr>
      <w:r>
        <w:rPr>
          <w:rFonts w:hint="eastAsia" w:ascii="宋体" w:hAnsi="宋体" w:eastAsia="宋体" w:cs="宋体"/>
          <w:kern w:val="0"/>
          <w:sz w:val="28"/>
          <w:szCs w:val="28"/>
          <w:highlight w:val="none"/>
        </w:rPr>
        <w:t>地　　址：新疆乌鲁木齐新市区（高新区）北京南路 223 号康源财富综合楼18楼办公 3-4</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宋体" w:hAnsi="宋体" w:eastAsia="宋体" w:cs="宋体"/>
          <w:kern w:val="0"/>
          <w:sz w:val="28"/>
          <w:szCs w:val="28"/>
          <w:highlight w:val="none"/>
        </w:rPr>
      </w:pPr>
      <w:r>
        <w:rPr>
          <w:rFonts w:hint="eastAsia" w:ascii="宋体" w:hAnsi="宋体" w:eastAsia="宋体" w:cs="宋体"/>
          <w:kern w:val="0"/>
          <w:sz w:val="28"/>
          <w:szCs w:val="28"/>
          <w:highlight w:val="none"/>
        </w:rPr>
        <w:t>联系方式：0991-3836791</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宋体" w:hAnsi="宋体" w:eastAsia="宋体" w:cs="宋体"/>
          <w:kern w:val="0"/>
          <w:sz w:val="28"/>
          <w:szCs w:val="28"/>
          <w:highlight w:val="none"/>
        </w:rPr>
      </w:pPr>
      <w:r>
        <w:rPr>
          <w:rFonts w:hint="eastAsia" w:ascii="宋体" w:hAnsi="宋体" w:eastAsia="宋体" w:cs="宋体"/>
          <w:kern w:val="0"/>
          <w:sz w:val="28"/>
          <w:szCs w:val="28"/>
          <w:highlight w:val="none"/>
        </w:rPr>
        <w:t>3.项目联系方式</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宋体" w:hAnsi="宋体" w:eastAsia="宋体" w:cs="宋体"/>
          <w:kern w:val="0"/>
          <w:sz w:val="28"/>
          <w:szCs w:val="28"/>
          <w:highlight w:val="none"/>
        </w:rPr>
      </w:pPr>
      <w:r>
        <w:rPr>
          <w:rFonts w:hint="eastAsia" w:ascii="宋体" w:hAnsi="宋体" w:eastAsia="宋体" w:cs="宋体"/>
          <w:kern w:val="0"/>
          <w:sz w:val="28"/>
          <w:szCs w:val="28"/>
          <w:highlight w:val="none"/>
        </w:rPr>
        <w:t>项目联系人：王荣荣</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宋体" w:hAnsi="宋体" w:eastAsia="宋体" w:cs="宋体"/>
          <w:kern w:val="0"/>
          <w:sz w:val="28"/>
          <w:szCs w:val="28"/>
          <w:highlight w:val="none"/>
          <w:lang w:val="en-US" w:eastAsia="zh-CN"/>
        </w:rPr>
      </w:pPr>
      <w:r>
        <w:rPr>
          <w:rFonts w:hint="eastAsia" w:ascii="宋体" w:hAnsi="宋体" w:eastAsia="宋体" w:cs="宋体"/>
          <w:kern w:val="0"/>
          <w:sz w:val="28"/>
          <w:szCs w:val="28"/>
          <w:highlight w:val="none"/>
        </w:rPr>
        <w:t>电　　 话：1</w:t>
      </w:r>
      <w:r>
        <w:rPr>
          <w:rFonts w:hint="eastAsia" w:ascii="宋体" w:hAnsi="宋体" w:eastAsia="宋体" w:cs="宋体"/>
          <w:kern w:val="0"/>
          <w:sz w:val="28"/>
          <w:szCs w:val="28"/>
          <w:highlight w:val="none"/>
          <w:lang w:val="en-US" w:eastAsia="zh-CN"/>
        </w:rPr>
        <w:t>5559318005</w:t>
      </w:r>
    </w:p>
    <w:p>
      <w:pPr>
        <w:pStyle w:val="9"/>
        <w:rPr>
          <w:rFonts w:hint="eastAsia" w:ascii="宋体" w:hAnsi="宋体" w:eastAsia="宋体" w:cs="宋体"/>
          <w:kern w:val="0"/>
          <w:sz w:val="28"/>
          <w:szCs w:val="28"/>
          <w:highlight w:val="none"/>
          <w:lang w:val="en-US" w:eastAsia="zh-CN"/>
        </w:rPr>
      </w:pPr>
    </w:p>
    <w:p>
      <w:pPr>
        <w:rPr>
          <w:rFonts w:hint="eastAsia" w:ascii="宋体" w:hAnsi="宋体" w:eastAsia="宋体" w:cs="宋体"/>
          <w:kern w:val="0"/>
          <w:sz w:val="28"/>
          <w:szCs w:val="28"/>
          <w:highlight w:val="none"/>
          <w:lang w:val="en-US" w:eastAsia="zh-CN"/>
        </w:rPr>
      </w:pPr>
    </w:p>
    <w:p>
      <w:pPr>
        <w:pStyle w:val="9"/>
        <w:rPr>
          <w:rFonts w:hint="eastAsia" w:ascii="宋体" w:hAnsi="宋体" w:eastAsia="宋体" w:cs="宋体"/>
          <w:kern w:val="0"/>
          <w:sz w:val="28"/>
          <w:szCs w:val="28"/>
          <w:highlight w:val="none"/>
          <w:lang w:val="en-US" w:eastAsia="zh-CN"/>
        </w:rPr>
      </w:pPr>
    </w:p>
    <w:p>
      <w:pPr>
        <w:rPr>
          <w:rFonts w:hint="eastAsia" w:ascii="宋体" w:hAnsi="宋体" w:eastAsia="宋体" w:cs="宋体"/>
          <w:kern w:val="0"/>
          <w:sz w:val="28"/>
          <w:szCs w:val="28"/>
          <w:highlight w:val="none"/>
          <w:lang w:val="en-US" w:eastAsia="zh-CN"/>
        </w:rPr>
      </w:pPr>
    </w:p>
    <w:p>
      <w:pPr>
        <w:pStyle w:val="9"/>
        <w:rPr>
          <w:rFonts w:hint="eastAsia" w:ascii="宋体" w:hAnsi="宋体" w:eastAsia="宋体" w:cs="宋体"/>
          <w:kern w:val="0"/>
          <w:sz w:val="28"/>
          <w:szCs w:val="28"/>
          <w:highlight w:val="none"/>
          <w:lang w:val="en-US" w:eastAsia="zh-CN"/>
        </w:rPr>
      </w:pPr>
    </w:p>
    <w:p>
      <w:pPr>
        <w:rPr>
          <w:rFonts w:hint="eastAsia" w:ascii="宋体" w:hAnsi="宋体" w:eastAsia="宋体" w:cs="宋体"/>
          <w:kern w:val="0"/>
          <w:sz w:val="28"/>
          <w:szCs w:val="28"/>
          <w:highlight w:val="none"/>
          <w:lang w:val="en-US" w:eastAsia="zh-CN"/>
        </w:rPr>
      </w:pPr>
    </w:p>
    <w:p>
      <w:pPr>
        <w:pStyle w:val="9"/>
        <w:rPr>
          <w:rFonts w:hint="eastAsia" w:ascii="宋体" w:hAnsi="宋体" w:eastAsia="宋体" w:cs="宋体"/>
          <w:kern w:val="0"/>
          <w:sz w:val="28"/>
          <w:szCs w:val="28"/>
          <w:highlight w:val="none"/>
          <w:lang w:val="en-US" w:eastAsia="zh-CN"/>
        </w:rPr>
      </w:pPr>
    </w:p>
    <w:p>
      <w:pPr>
        <w:rPr>
          <w:rFonts w:hint="eastAsia" w:ascii="宋体" w:hAnsi="宋体" w:eastAsia="宋体" w:cs="宋体"/>
          <w:kern w:val="0"/>
          <w:sz w:val="28"/>
          <w:szCs w:val="28"/>
          <w:highlight w:val="none"/>
          <w:lang w:val="en-US" w:eastAsia="zh-CN"/>
        </w:rPr>
      </w:pPr>
    </w:p>
    <w:p>
      <w:pPr>
        <w:pStyle w:val="9"/>
        <w:rPr>
          <w:rFonts w:hint="eastAsia" w:ascii="宋体" w:hAnsi="宋体" w:eastAsia="宋体" w:cs="宋体"/>
          <w:kern w:val="0"/>
          <w:sz w:val="28"/>
          <w:szCs w:val="28"/>
          <w:highlight w:val="none"/>
          <w:lang w:val="en-US" w:eastAsia="zh-CN"/>
        </w:rPr>
      </w:pPr>
    </w:p>
    <w:p>
      <w:pPr>
        <w:rPr>
          <w:rFonts w:hint="eastAsia" w:ascii="宋体" w:hAnsi="宋体" w:eastAsia="宋体" w:cs="宋体"/>
          <w:kern w:val="0"/>
          <w:sz w:val="28"/>
          <w:szCs w:val="28"/>
          <w:highlight w:val="none"/>
          <w:lang w:val="en-US" w:eastAsia="zh-CN"/>
        </w:rPr>
      </w:pPr>
    </w:p>
    <w:p>
      <w:pPr>
        <w:pStyle w:val="9"/>
        <w:rPr>
          <w:rFonts w:hint="eastAsia" w:ascii="宋体" w:hAnsi="宋体" w:eastAsia="宋体" w:cs="宋体"/>
          <w:kern w:val="0"/>
          <w:sz w:val="28"/>
          <w:szCs w:val="28"/>
          <w:highlight w:val="none"/>
          <w:lang w:val="en-US" w:eastAsia="zh-CN"/>
        </w:rPr>
      </w:pPr>
    </w:p>
    <w:p>
      <w:pPr>
        <w:rPr>
          <w:rFonts w:hint="eastAsia" w:ascii="宋体" w:hAnsi="宋体" w:eastAsia="宋体" w:cs="宋体"/>
          <w:kern w:val="0"/>
          <w:sz w:val="28"/>
          <w:szCs w:val="28"/>
          <w:highlight w:val="none"/>
          <w:lang w:val="en-US" w:eastAsia="zh-CN"/>
        </w:rPr>
      </w:pPr>
    </w:p>
    <w:p>
      <w:pPr>
        <w:pStyle w:val="9"/>
        <w:rPr>
          <w:rFonts w:hint="eastAsia" w:ascii="宋体" w:hAnsi="宋体" w:eastAsia="宋体" w:cs="宋体"/>
          <w:kern w:val="0"/>
          <w:sz w:val="28"/>
          <w:szCs w:val="28"/>
          <w:highlight w:val="none"/>
          <w:lang w:val="en-US" w:eastAsia="zh-CN"/>
        </w:rPr>
      </w:pPr>
    </w:p>
    <w:p>
      <w:pPr>
        <w:rPr>
          <w:rFonts w:hint="eastAsia" w:ascii="宋体" w:hAnsi="宋体" w:eastAsia="宋体" w:cs="宋体"/>
          <w:kern w:val="0"/>
          <w:sz w:val="28"/>
          <w:szCs w:val="28"/>
          <w:highlight w:val="none"/>
          <w:lang w:val="en-US" w:eastAsia="zh-CN"/>
        </w:rPr>
      </w:pPr>
    </w:p>
    <w:p>
      <w:pPr>
        <w:pStyle w:val="2"/>
        <w:rPr>
          <w:rFonts w:hint="eastAsia" w:ascii="宋体" w:hAnsi="宋体" w:eastAsia="宋体" w:cs="宋体"/>
          <w:kern w:val="0"/>
          <w:sz w:val="28"/>
          <w:szCs w:val="28"/>
          <w:highlight w:val="none"/>
          <w:lang w:val="en-US" w:eastAsia="zh-CN"/>
        </w:rPr>
      </w:pPr>
    </w:p>
    <w:p>
      <w:pPr>
        <w:pStyle w:val="2"/>
        <w:rPr>
          <w:rFonts w:hint="eastAsia" w:ascii="宋体" w:hAnsi="宋体" w:eastAsia="宋体" w:cs="宋体"/>
          <w:kern w:val="0"/>
          <w:sz w:val="28"/>
          <w:szCs w:val="28"/>
          <w:highlight w:val="none"/>
          <w:lang w:val="en-US" w:eastAsia="zh-CN"/>
        </w:rPr>
      </w:pPr>
    </w:p>
    <w:p>
      <w:pPr>
        <w:rPr>
          <w:rFonts w:hint="eastAsia" w:ascii="宋体" w:hAnsi="宋体" w:eastAsia="宋体" w:cs="宋体"/>
          <w:kern w:val="0"/>
          <w:sz w:val="28"/>
          <w:szCs w:val="28"/>
          <w:highlight w:val="none"/>
          <w:lang w:val="en-US" w:eastAsia="zh-CN"/>
        </w:rPr>
      </w:pPr>
    </w:p>
    <w:p>
      <w:pPr>
        <w:pStyle w:val="9"/>
        <w:rPr>
          <w:rFonts w:hint="eastAsia" w:ascii="宋体" w:hAnsi="宋体" w:eastAsia="宋体" w:cs="宋体"/>
          <w:kern w:val="0"/>
          <w:sz w:val="28"/>
          <w:szCs w:val="28"/>
          <w:highlight w:val="none"/>
          <w:lang w:val="en-US" w:eastAsia="zh-CN"/>
        </w:rPr>
      </w:pPr>
    </w:p>
    <w:p>
      <w:pPr>
        <w:rPr>
          <w:rFonts w:hint="eastAsia" w:ascii="宋体" w:hAnsi="宋体" w:eastAsia="宋体" w:cs="宋体"/>
          <w:kern w:val="0"/>
          <w:sz w:val="28"/>
          <w:szCs w:val="28"/>
          <w:highlight w:val="none"/>
          <w:lang w:val="en-US" w:eastAsia="zh-CN"/>
        </w:rPr>
      </w:pPr>
    </w:p>
    <w:p>
      <w:pPr>
        <w:pStyle w:val="9"/>
        <w:rPr>
          <w:rFonts w:hint="eastAsia" w:ascii="宋体" w:hAnsi="宋体" w:eastAsia="宋体" w:cs="宋体"/>
          <w:kern w:val="0"/>
          <w:sz w:val="28"/>
          <w:szCs w:val="28"/>
          <w:highlight w:val="none"/>
          <w:lang w:val="en-US" w:eastAsia="zh-CN"/>
        </w:rPr>
      </w:pPr>
    </w:p>
    <w:p>
      <w:pPr>
        <w:rPr>
          <w:rFonts w:hint="eastAsia" w:ascii="宋体" w:hAnsi="宋体" w:eastAsia="宋体" w:cs="宋体"/>
          <w:kern w:val="0"/>
          <w:sz w:val="28"/>
          <w:szCs w:val="28"/>
          <w:highlight w:val="none"/>
          <w:lang w:val="en-US" w:eastAsia="zh-CN"/>
        </w:rPr>
      </w:pPr>
    </w:p>
    <w:p>
      <w:pPr>
        <w:pStyle w:val="9"/>
        <w:rPr>
          <w:rFonts w:hint="eastAsia" w:ascii="宋体" w:hAnsi="宋体" w:eastAsia="宋体" w:cs="宋体"/>
          <w:kern w:val="0"/>
          <w:sz w:val="28"/>
          <w:szCs w:val="28"/>
          <w:highlight w:val="none"/>
          <w:lang w:val="en-US" w:eastAsia="zh-CN"/>
        </w:rPr>
      </w:pPr>
    </w:p>
    <w:p>
      <w:pPr>
        <w:rPr>
          <w:rFonts w:hint="eastAsia"/>
          <w:highlight w:val="none"/>
          <w:lang w:val="en-US" w:eastAsia="zh-CN"/>
        </w:rPr>
      </w:pPr>
    </w:p>
    <w:p>
      <w:pPr>
        <w:pStyle w:val="3"/>
        <w:tabs>
          <w:tab w:val="left" w:pos="0"/>
        </w:tabs>
        <w:autoSpaceDE w:val="0"/>
        <w:autoSpaceDN w:val="0"/>
        <w:adjustRightInd w:val="0"/>
        <w:spacing w:before="0" w:after="0" w:line="360" w:lineRule="auto"/>
        <w:jc w:val="center"/>
        <w:rPr>
          <w:rFonts w:hint="eastAsia" w:ascii="宋体" w:hAnsi="宋体" w:eastAsia="宋体" w:cs="宋体"/>
          <w:highlight w:val="none"/>
          <w:lang w:val="en-US" w:eastAsia="zh-CN"/>
        </w:rPr>
      </w:pPr>
      <w:bookmarkStart w:id="39" w:name="_Toc21551"/>
      <w:bookmarkStart w:id="40" w:name="_Toc30563"/>
      <w:r>
        <w:rPr>
          <w:rFonts w:hint="eastAsia" w:ascii="宋体" w:hAnsi="宋体" w:eastAsia="宋体" w:cs="宋体"/>
          <w:highlight w:val="none"/>
          <w:lang w:val="en-US" w:eastAsia="zh-CN"/>
        </w:rPr>
        <w:t xml:space="preserve">第二章 </w:t>
      </w:r>
      <w:r>
        <w:rPr>
          <w:rFonts w:hint="eastAsia" w:ascii="宋体" w:hAnsi="宋体" w:cs="宋体"/>
          <w:highlight w:val="none"/>
          <w:lang w:val="en-US" w:eastAsia="zh-CN"/>
        </w:rPr>
        <w:t>供应商</w:t>
      </w:r>
      <w:r>
        <w:rPr>
          <w:rFonts w:hint="eastAsia" w:ascii="宋体" w:hAnsi="宋体" w:eastAsia="宋体" w:cs="宋体"/>
          <w:highlight w:val="none"/>
          <w:lang w:val="en-US" w:eastAsia="zh-CN"/>
        </w:rPr>
        <w:t>须知</w:t>
      </w:r>
      <w:bookmarkEnd w:id="39"/>
      <w:bookmarkEnd w:id="40"/>
    </w:p>
    <w:p>
      <w:pPr>
        <w:pStyle w:val="30"/>
        <w:spacing w:line="420" w:lineRule="exact"/>
        <w:jc w:val="center"/>
        <w:rPr>
          <w:rFonts w:ascii="宋体" w:hAnsi="宋体"/>
          <w:b/>
          <w:sz w:val="32"/>
          <w:szCs w:val="32"/>
          <w:highlight w:val="none"/>
        </w:rPr>
      </w:pPr>
      <w:bookmarkStart w:id="41" w:name="_Toc17216785"/>
      <w:r>
        <w:rPr>
          <w:rFonts w:hint="eastAsia" w:ascii="宋体" w:hAnsi="宋体"/>
          <w:b/>
          <w:sz w:val="32"/>
          <w:szCs w:val="32"/>
          <w:highlight w:val="none"/>
        </w:rPr>
        <w:t>一、投标须知前附表</w:t>
      </w:r>
      <w:bookmarkEnd w:id="41"/>
    </w:p>
    <w:tbl>
      <w:tblPr>
        <w:tblStyle w:val="25"/>
        <w:tblW w:w="981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73"/>
        <w:gridCol w:w="1956"/>
        <w:gridCol w:w="728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7" w:hRule="atLeast"/>
          <w:jc w:val="center"/>
        </w:trPr>
        <w:tc>
          <w:tcPr>
            <w:tcW w:w="573" w:type="dxa"/>
            <w:tcBorders>
              <w:top w:val="single" w:color="auto" w:sz="4" w:space="0"/>
              <w:left w:val="single" w:color="auto" w:sz="4" w:space="0"/>
              <w:bottom w:val="single" w:color="auto" w:sz="4" w:space="0"/>
              <w:right w:val="single" w:color="auto" w:sz="4" w:space="0"/>
            </w:tcBorders>
            <w:noWrap w:val="0"/>
            <w:vAlign w:val="center"/>
          </w:tcPr>
          <w:p>
            <w:pPr>
              <w:spacing w:line="420" w:lineRule="exact"/>
              <w:ind w:right="-358"/>
              <w:rPr>
                <w:rFonts w:hint="eastAsia" w:ascii="宋体" w:hAnsi="宋体" w:eastAsia="宋体" w:cs="宋体"/>
                <w:sz w:val="24"/>
                <w:szCs w:val="24"/>
                <w:highlight w:val="none"/>
              </w:rPr>
            </w:pPr>
            <w:r>
              <w:rPr>
                <w:rFonts w:hint="eastAsia" w:ascii="宋体" w:hAnsi="宋体" w:eastAsia="宋体" w:cs="宋体"/>
                <w:sz w:val="24"/>
                <w:szCs w:val="24"/>
                <w:highlight w:val="none"/>
              </w:rPr>
              <w:t>项号</w:t>
            </w:r>
          </w:p>
        </w:tc>
        <w:tc>
          <w:tcPr>
            <w:tcW w:w="1956" w:type="dxa"/>
            <w:tcBorders>
              <w:top w:val="single" w:color="auto" w:sz="4" w:space="0"/>
              <w:left w:val="single" w:color="auto" w:sz="4" w:space="0"/>
              <w:bottom w:val="single" w:color="auto" w:sz="4" w:space="0"/>
              <w:right w:val="single" w:color="auto" w:sz="4" w:space="0"/>
            </w:tcBorders>
            <w:noWrap w:val="0"/>
            <w:vAlign w:val="center"/>
          </w:tcPr>
          <w:p>
            <w:pPr>
              <w:spacing w:line="42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内    容</w:t>
            </w:r>
          </w:p>
        </w:tc>
        <w:tc>
          <w:tcPr>
            <w:tcW w:w="7289" w:type="dxa"/>
            <w:tcBorders>
              <w:top w:val="single" w:color="auto" w:sz="4" w:space="0"/>
              <w:left w:val="single" w:color="auto" w:sz="4" w:space="0"/>
              <w:bottom w:val="single" w:color="auto" w:sz="4" w:space="0"/>
              <w:right w:val="single" w:color="auto" w:sz="4" w:space="0"/>
            </w:tcBorders>
            <w:noWrap w:val="0"/>
            <w:vAlign w:val="center"/>
          </w:tcPr>
          <w:p>
            <w:pPr>
              <w:tabs>
                <w:tab w:val="left" w:pos="1180"/>
              </w:tabs>
              <w:spacing w:line="42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说明与要求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23" w:hRule="atLeast"/>
          <w:jc w:val="center"/>
        </w:trPr>
        <w:tc>
          <w:tcPr>
            <w:tcW w:w="573"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c>
          <w:tcPr>
            <w:tcW w:w="195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采购人</w:t>
            </w:r>
          </w:p>
        </w:tc>
        <w:tc>
          <w:tcPr>
            <w:tcW w:w="7289" w:type="dxa"/>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hint="eastAsia" w:ascii="宋体" w:hAnsi="宋体" w:eastAsia="宋体" w:cs="宋体"/>
                <w:spacing w:val="10"/>
                <w:sz w:val="24"/>
                <w:szCs w:val="24"/>
                <w:highlight w:val="none"/>
                <w:lang w:val="en-US" w:eastAsia="zh-CN"/>
              </w:rPr>
            </w:pPr>
            <w:r>
              <w:rPr>
                <w:rFonts w:hint="eastAsia" w:ascii="宋体" w:hAnsi="宋体" w:eastAsia="宋体" w:cs="宋体"/>
                <w:sz w:val="24"/>
                <w:szCs w:val="24"/>
                <w:highlight w:val="none"/>
              </w:rPr>
              <w:t>采购人：</w:t>
            </w:r>
            <w:r>
              <w:rPr>
                <w:rFonts w:hint="eastAsia" w:ascii="宋体" w:hAnsi="宋体" w:cs="宋体"/>
                <w:spacing w:val="10"/>
                <w:sz w:val="24"/>
                <w:szCs w:val="24"/>
                <w:highlight w:val="none"/>
                <w:lang w:val="en-US" w:eastAsia="zh-CN"/>
              </w:rPr>
              <w:t>新疆轮台县自然资源局</w:t>
            </w:r>
          </w:p>
          <w:p>
            <w:pPr>
              <w:spacing w:line="400" w:lineRule="exact"/>
              <w:rPr>
                <w:rFonts w:hint="eastAsia" w:ascii="宋体" w:hAnsi="宋体" w:eastAsia="宋体" w:cs="宋体"/>
                <w:spacing w:val="10"/>
                <w:sz w:val="24"/>
                <w:szCs w:val="24"/>
                <w:highlight w:val="none"/>
              </w:rPr>
            </w:pPr>
            <w:r>
              <w:rPr>
                <w:rFonts w:hint="eastAsia" w:ascii="宋体" w:hAnsi="宋体" w:eastAsia="宋体" w:cs="宋体"/>
                <w:sz w:val="24"/>
                <w:szCs w:val="24"/>
                <w:highlight w:val="none"/>
              </w:rPr>
              <w:t>地址：</w:t>
            </w:r>
            <w:r>
              <w:rPr>
                <w:rFonts w:hint="eastAsia" w:ascii="宋体" w:hAnsi="宋体" w:eastAsia="宋体" w:cs="宋体"/>
                <w:spacing w:val="10"/>
                <w:sz w:val="24"/>
                <w:szCs w:val="24"/>
                <w:highlight w:val="none"/>
                <w:lang w:val="en-US" w:eastAsia="zh-CN"/>
              </w:rPr>
              <w:t>巴音郭楞蒙古自治州轮台县</w:t>
            </w:r>
          </w:p>
          <w:p>
            <w:pPr>
              <w:spacing w:line="430" w:lineRule="exact"/>
              <w:rPr>
                <w:rFonts w:hint="eastAsia" w:ascii="宋体" w:hAnsi="宋体" w:eastAsia="宋体" w:cs="宋体"/>
                <w:spacing w:val="10"/>
                <w:sz w:val="24"/>
                <w:szCs w:val="24"/>
                <w:highlight w:val="none"/>
              </w:rPr>
            </w:pPr>
            <w:r>
              <w:rPr>
                <w:rFonts w:hint="eastAsia" w:ascii="宋体" w:hAnsi="宋体" w:eastAsia="宋体" w:cs="宋体"/>
                <w:spacing w:val="10"/>
                <w:sz w:val="24"/>
                <w:szCs w:val="24"/>
                <w:highlight w:val="none"/>
              </w:rPr>
              <w:t>联系人：</w:t>
            </w:r>
            <w:r>
              <w:rPr>
                <w:rFonts w:hint="eastAsia" w:ascii="宋体" w:hAnsi="宋体" w:eastAsia="宋体" w:cs="宋体"/>
                <w:spacing w:val="10"/>
                <w:sz w:val="24"/>
                <w:szCs w:val="24"/>
                <w:highlight w:val="none"/>
                <w:lang w:val="en-US" w:eastAsia="zh-CN"/>
              </w:rPr>
              <w:t>麦主任</w:t>
            </w:r>
            <w:r>
              <w:rPr>
                <w:rFonts w:hint="eastAsia" w:ascii="宋体" w:hAnsi="宋体" w:eastAsia="宋体" w:cs="宋体"/>
                <w:spacing w:val="10"/>
                <w:sz w:val="24"/>
                <w:szCs w:val="24"/>
                <w:highlight w:val="none"/>
              </w:rPr>
              <w:t xml:space="preserve">  </w:t>
            </w:r>
          </w:p>
          <w:p>
            <w:pPr>
              <w:spacing w:line="430" w:lineRule="exact"/>
              <w:rPr>
                <w:rFonts w:hint="eastAsia" w:ascii="宋体" w:hAnsi="宋体" w:eastAsia="宋体" w:cs="宋体"/>
                <w:color w:val="FF0000"/>
                <w:spacing w:val="10"/>
                <w:sz w:val="24"/>
                <w:szCs w:val="24"/>
                <w:highlight w:val="none"/>
              </w:rPr>
            </w:pPr>
            <w:r>
              <w:rPr>
                <w:rFonts w:hint="eastAsia" w:ascii="宋体" w:hAnsi="宋体" w:eastAsia="宋体" w:cs="宋体"/>
                <w:spacing w:val="10"/>
                <w:sz w:val="24"/>
                <w:szCs w:val="24"/>
                <w:highlight w:val="none"/>
              </w:rPr>
              <w:t>联系电话：13040455159</w:t>
            </w:r>
            <w:r>
              <w:rPr>
                <w:rFonts w:hint="eastAsia" w:ascii="宋体" w:hAnsi="宋体" w:eastAsia="宋体" w:cs="宋体"/>
                <w:color w:val="FF0000"/>
                <w:spacing w:val="10"/>
                <w:sz w:val="24"/>
                <w:szCs w:val="24"/>
                <w:highlight w:val="none"/>
              </w:rPr>
              <w:t xml:space="preserve"> </w:t>
            </w:r>
            <w:r>
              <w:rPr>
                <w:rFonts w:hint="eastAsia" w:ascii="宋体" w:hAnsi="宋体" w:eastAsia="宋体" w:cs="宋体"/>
                <w:color w:val="FF0000"/>
                <w:spacing w:val="10"/>
                <w:sz w:val="24"/>
                <w:szCs w:val="24"/>
                <w:highlight w:val="none"/>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82" w:hRule="atLeast"/>
          <w:jc w:val="center"/>
        </w:trPr>
        <w:tc>
          <w:tcPr>
            <w:tcW w:w="573"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2</w:t>
            </w:r>
          </w:p>
        </w:tc>
        <w:tc>
          <w:tcPr>
            <w:tcW w:w="195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采购代理机构</w:t>
            </w:r>
          </w:p>
        </w:tc>
        <w:tc>
          <w:tcPr>
            <w:tcW w:w="7289"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采购代理机构：新疆玖一建设项目管理咨询有限公司</w:t>
            </w:r>
          </w:p>
          <w:p>
            <w:pPr>
              <w:spacing w:line="400" w:lineRule="exact"/>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地址：乌鲁木齐市新市区北京南路223号康源财富中心18楼</w:t>
            </w:r>
          </w:p>
          <w:p>
            <w:pPr>
              <w:spacing w:line="400" w:lineRule="exact"/>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rPr>
              <w:t>联系人：</w:t>
            </w:r>
            <w:r>
              <w:rPr>
                <w:rFonts w:hint="eastAsia" w:ascii="宋体" w:hAnsi="宋体" w:eastAsia="宋体" w:cs="宋体"/>
                <w:spacing w:val="10"/>
                <w:sz w:val="24"/>
                <w:szCs w:val="24"/>
                <w:highlight w:val="none"/>
                <w:lang w:val="en-US" w:eastAsia="zh-CN"/>
              </w:rPr>
              <w:t>王荣荣</w:t>
            </w:r>
          </w:p>
          <w:p>
            <w:pPr>
              <w:spacing w:line="400" w:lineRule="exact"/>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rPr>
              <w:t>联系电话：</w:t>
            </w:r>
            <w:r>
              <w:rPr>
                <w:rFonts w:hint="eastAsia" w:ascii="宋体" w:hAnsi="宋体" w:eastAsia="宋体" w:cs="宋体"/>
                <w:color w:val="000000"/>
                <w:sz w:val="24"/>
                <w:szCs w:val="24"/>
                <w:highlight w:val="none"/>
                <w:lang w:val="en-US" w:eastAsia="zh-CN"/>
              </w:rPr>
              <w:t>15559318005</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24" w:hRule="atLeast"/>
          <w:jc w:val="center"/>
        </w:trPr>
        <w:tc>
          <w:tcPr>
            <w:tcW w:w="573"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3</w:t>
            </w:r>
          </w:p>
        </w:tc>
        <w:tc>
          <w:tcPr>
            <w:tcW w:w="195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项目名称及</w:t>
            </w:r>
          </w:p>
          <w:p>
            <w:pPr>
              <w:spacing w:line="400" w:lineRule="exact"/>
              <w:jc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项目编号</w:t>
            </w:r>
          </w:p>
        </w:tc>
        <w:tc>
          <w:tcPr>
            <w:tcW w:w="7289"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left"/>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rPr>
              <w:t>项目名称：</w:t>
            </w:r>
            <w:r>
              <w:rPr>
                <w:rFonts w:hint="eastAsia" w:ascii="宋体" w:hAnsi="宋体" w:eastAsia="宋体" w:cs="宋体"/>
                <w:spacing w:val="10"/>
                <w:sz w:val="24"/>
                <w:szCs w:val="24"/>
                <w:highlight w:val="none"/>
                <w:lang w:eastAsia="zh-CN"/>
              </w:rPr>
              <w:t>2022年轮台县国土变更与卫片执法项目</w:t>
            </w:r>
          </w:p>
          <w:p>
            <w:pPr>
              <w:spacing w:line="400" w:lineRule="exact"/>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lang w:eastAsia="zh-CN"/>
              </w:rPr>
              <w:t>项目编号</w:t>
            </w: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eastAsia="zh-CN"/>
              </w:rPr>
              <w:t>XJJY-2023CG001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7" w:hRule="atLeast"/>
          <w:jc w:val="center"/>
        </w:trPr>
        <w:tc>
          <w:tcPr>
            <w:tcW w:w="573"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4</w:t>
            </w:r>
          </w:p>
        </w:tc>
        <w:tc>
          <w:tcPr>
            <w:tcW w:w="195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项目服务地点</w:t>
            </w:r>
          </w:p>
        </w:tc>
        <w:tc>
          <w:tcPr>
            <w:tcW w:w="7289"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left"/>
              <w:rPr>
                <w:rFonts w:hint="eastAsia" w:ascii="宋体" w:hAnsi="宋体" w:eastAsia="宋体" w:cs="宋体"/>
                <w:color w:val="FF0000"/>
                <w:sz w:val="24"/>
                <w:szCs w:val="24"/>
                <w:highlight w:val="none"/>
                <w:lang w:val="en-US" w:eastAsia="zh-CN"/>
              </w:rPr>
            </w:pPr>
            <w:r>
              <w:rPr>
                <w:rFonts w:hint="eastAsia" w:ascii="宋体" w:hAnsi="宋体" w:eastAsia="宋体" w:cs="宋体"/>
                <w:sz w:val="24"/>
                <w:szCs w:val="24"/>
                <w:highlight w:val="none"/>
                <w:lang w:val="en-US" w:eastAsia="zh-CN"/>
              </w:rPr>
              <w:t>采购人指定地点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81" w:hRule="atLeast"/>
          <w:jc w:val="center"/>
        </w:trPr>
        <w:tc>
          <w:tcPr>
            <w:tcW w:w="573"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5</w:t>
            </w:r>
          </w:p>
        </w:tc>
        <w:tc>
          <w:tcPr>
            <w:tcW w:w="195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eastAsia="宋体" w:cs="宋体"/>
                <w:sz w:val="24"/>
                <w:szCs w:val="24"/>
                <w:highlight w:val="none"/>
              </w:rPr>
            </w:pPr>
            <w:r>
              <w:rPr>
                <w:rFonts w:hint="eastAsia" w:ascii="宋体" w:hAnsi="宋体" w:eastAsia="宋体" w:cs="宋体"/>
                <w:color w:val="000000"/>
                <w:spacing w:val="10"/>
                <w:sz w:val="24"/>
                <w:szCs w:val="24"/>
                <w:highlight w:val="none"/>
              </w:rPr>
              <w:t>采购内容和范围</w:t>
            </w:r>
          </w:p>
        </w:tc>
        <w:tc>
          <w:tcPr>
            <w:tcW w:w="7289" w:type="dxa"/>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hint="eastAsia" w:ascii="宋体" w:hAnsi="宋体" w:eastAsia="宋体" w:cs="宋体"/>
                <w:color w:val="FF0000"/>
                <w:spacing w:val="10"/>
                <w:sz w:val="24"/>
                <w:szCs w:val="24"/>
                <w:highlight w:val="none"/>
              </w:rPr>
            </w:pPr>
            <w:r>
              <w:rPr>
                <w:rFonts w:hint="eastAsia" w:ascii="宋体" w:hAnsi="宋体" w:cs="宋体"/>
                <w:spacing w:val="10"/>
                <w:sz w:val="24"/>
                <w:szCs w:val="24"/>
                <w:highlight w:val="none"/>
                <w:lang w:eastAsia="zh-CN"/>
              </w:rPr>
              <w:t>通过科学、有效地组织实施2022年轮台县国土变更调查与卫片执法工作，全面查清轮台县土地资源和利用状况。实施最严格的耕地保护制度，加强和改善宏观调控提供依据，促进经济社会全面协调可持续发展。早发现、早制止、严查处各类自然资源违法行为，维护自然资源管理秩序，坚决遏制新增乱占耕地建房，严格保护耕地和矿产资源，尤其是重点保护永久基本农田、可以长期稳定利用耕地和稀土等战略性矿种。从执法角度评估自然资源管理秩序，压实党委政府责任，督促整改落实，消除违法状态。检验自然资源执法工作成效，推动落实严格规范公正文明执法。以卫片执法工作为抓手构建跨部门执法工作平台，推动落实自然资源执法共同责任机制，形成工作合力。</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4" w:hRule="atLeast"/>
          <w:jc w:val="center"/>
        </w:trPr>
        <w:tc>
          <w:tcPr>
            <w:tcW w:w="573"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6</w:t>
            </w:r>
          </w:p>
        </w:tc>
        <w:tc>
          <w:tcPr>
            <w:tcW w:w="195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资金来源</w:t>
            </w:r>
          </w:p>
        </w:tc>
        <w:tc>
          <w:tcPr>
            <w:tcW w:w="7289"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财政资金</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62" w:hRule="atLeast"/>
          <w:jc w:val="center"/>
        </w:trPr>
        <w:tc>
          <w:tcPr>
            <w:tcW w:w="573"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7</w:t>
            </w:r>
          </w:p>
        </w:tc>
        <w:tc>
          <w:tcPr>
            <w:tcW w:w="195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供应商资质条件</w:t>
            </w:r>
          </w:p>
        </w:tc>
        <w:tc>
          <w:tcPr>
            <w:tcW w:w="7289" w:type="dxa"/>
            <w:tcBorders>
              <w:top w:val="single" w:color="auto" w:sz="4" w:space="0"/>
              <w:left w:val="single" w:color="auto" w:sz="4" w:space="0"/>
              <w:bottom w:val="single" w:color="auto" w:sz="4" w:space="0"/>
              <w:right w:val="single" w:color="auto" w:sz="4" w:space="0"/>
            </w:tcBorders>
            <w:noWrap w:val="0"/>
            <w:vAlign w:val="top"/>
          </w:tcPr>
          <w:p>
            <w:pPr>
              <w:widowControl/>
              <w:spacing w:line="400" w:lineRule="exact"/>
              <w:ind w:right="-97" w:rightChars="-46"/>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1.满足《中华人民共和国政府采购法》第二十二条规定；</w:t>
            </w:r>
          </w:p>
          <w:p>
            <w:pPr>
              <w:widowControl/>
              <w:spacing w:line="400" w:lineRule="exact"/>
              <w:ind w:right="-97" w:rightChars="-46"/>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2.落实政府采购政策需满足的资格要求：此项目专门面向中小企业。</w:t>
            </w:r>
          </w:p>
          <w:p>
            <w:pPr>
              <w:widowControl/>
              <w:spacing w:line="400" w:lineRule="exact"/>
              <w:ind w:right="-97" w:rightChars="-46"/>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3.本项目的特定资格要求：（1）供应商必须是中华人民共和国境内注册的，具有独立法人资格；</w:t>
            </w:r>
          </w:p>
          <w:p>
            <w:pPr>
              <w:widowControl/>
              <w:spacing w:line="400" w:lineRule="exact"/>
              <w:ind w:right="-97" w:rightChars="-46"/>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（2）供应商须具备测绘乙级（含乙级）以上资质证书；</w:t>
            </w:r>
          </w:p>
          <w:p>
            <w:pPr>
              <w:widowControl/>
              <w:spacing w:line="400" w:lineRule="exact"/>
              <w:ind w:right="-97" w:rightChars="-46"/>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（3）项目负责人须具备</w:t>
            </w:r>
            <w:r>
              <w:rPr>
                <w:rFonts w:hint="eastAsia" w:ascii="宋体" w:hAnsi="宋体" w:cs="宋体"/>
                <w:sz w:val="24"/>
                <w:szCs w:val="24"/>
                <w:highlight w:val="none"/>
                <w:lang w:val="en-US" w:eastAsia="zh-CN"/>
              </w:rPr>
              <w:t>测绘类专业高级职称证书</w:t>
            </w:r>
            <w:r>
              <w:rPr>
                <w:rFonts w:hint="eastAsia" w:ascii="宋体" w:hAnsi="宋体" w:eastAsia="宋体" w:cs="宋体"/>
                <w:sz w:val="24"/>
                <w:szCs w:val="24"/>
                <w:highlight w:val="none"/>
                <w:lang w:val="en-US" w:eastAsia="zh-CN"/>
              </w:rPr>
              <w:t>；</w:t>
            </w:r>
          </w:p>
          <w:p>
            <w:pPr>
              <w:widowControl/>
              <w:spacing w:line="400" w:lineRule="exact"/>
              <w:ind w:right="-97" w:rightChars="-46"/>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没有处于被责令停业，投标资格被取消，财产被接管、冻结、破产状态，财务状况良好并提供近两年经审计的财务报表；在“信用中国”或“中国执行信息公开网”网站被列入失信被执行人、重大税收违法案件当事人名单，在中国政府采购网被列入严重违法失信行为记录名单的（尚在处罚期内的），将拒绝其参加本次采购活动。（提供查询截图时间为公告发布之日至报名结束之日止）；</w:t>
            </w:r>
          </w:p>
          <w:p>
            <w:pPr>
              <w:widowControl/>
              <w:spacing w:line="400" w:lineRule="exact"/>
              <w:ind w:right="-97" w:rightChars="-46"/>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（5）参加政府采购活动前三年内，在经营活动中没有重大违法记录。</w:t>
            </w:r>
          </w:p>
          <w:p>
            <w:pPr>
              <w:widowControl/>
              <w:spacing w:line="400" w:lineRule="exact"/>
              <w:ind w:right="-97" w:rightChars="-46"/>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4.本项目不接受联合体招标。</w:t>
            </w:r>
          </w:p>
          <w:p>
            <w:pPr>
              <w:widowControl/>
              <w:spacing w:line="400" w:lineRule="exact"/>
              <w:ind w:right="-97" w:rightChars="-46"/>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本项目为电子招投标，需要使用CA加密设备，供应商可通过新疆数字证书认证中心官网（https://www.xjca.com.cn/）或下载“新疆政务通”APP自行进行申领。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5" w:hRule="atLeast"/>
          <w:jc w:val="center"/>
        </w:trPr>
        <w:tc>
          <w:tcPr>
            <w:tcW w:w="573"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ind w:right="-97" w:rightChars="-46"/>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8</w:t>
            </w:r>
          </w:p>
        </w:tc>
        <w:tc>
          <w:tcPr>
            <w:tcW w:w="1956"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ind w:left="0" w:leftChars="0" w:right="-97" w:rightChars="-46"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服务期限</w:t>
            </w:r>
          </w:p>
        </w:tc>
        <w:tc>
          <w:tcPr>
            <w:tcW w:w="7289"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ind w:right="-97" w:rightChars="-46"/>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自合同签订之日起80日历天</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5" w:hRule="atLeast"/>
          <w:jc w:val="center"/>
        </w:trPr>
        <w:tc>
          <w:tcPr>
            <w:tcW w:w="573"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9</w:t>
            </w:r>
          </w:p>
        </w:tc>
        <w:tc>
          <w:tcPr>
            <w:tcW w:w="195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资格审查方式</w:t>
            </w:r>
          </w:p>
        </w:tc>
        <w:tc>
          <w:tcPr>
            <w:tcW w:w="7289" w:type="dxa"/>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资格后审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5" w:hRule="atLeast"/>
          <w:jc w:val="center"/>
        </w:trPr>
        <w:tc>
          <w:tcPr>
            <w:tcW w:w="573"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10</w:t>
            </w:r>
          </w:p>
        </w:tc>
        <w:tc>
          <w:tcPr>
            <w:tcW w:w="195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是否接受联合体投标</w:t>
            </w:r>
          </w:p>
        </w:tc>
        <w:tc>
          <w:tcPr>
            <w:tcW w:w="7289"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☑不接受</w:t>
            </w:r>
          </w:p>
          <w:p>
            <w:pPr>
              <w:spacing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eq \o\ac(□)</w:instrTex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t>接受。</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4" w:hRule="atLeast"/>
          <w:jc w:val="center"/>
        </w:trPr>
        <w:tc>
          <w:tcPr>
            <w:tcW w:w="573"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11</w:t>
            </w:r>
          </w:p>
        </w:tc>
        <w:tc>
          <w:tcPr>
            <w:tcW w:w="195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踏勘现场</w:t>
            </w:r>
          </w:p>
        </w:tc>
        <w:tc>
          <w:tcPr>
            <w:tcW w:w="7289" w:type="dxa"/>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不组织，由</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自行踏勘。</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12" w:hRule="atLeast"/>
          <w:jc w:val="center"/>
        </w:trPr>
        <w:tc>
          <w:tcPr>
            <w:tcW w:w="573"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12</w:t>
            </w:r>
          </w:p>
        </w:tc>
        <w:tc>
          <w:tcPr>
            <w:tcW w:w="195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要求澄清</w:t>
            </w:r>
            <w:r>
              <w:rPr>
                <w:rFonts w:hint="eastAsia" w:ascii="宋体" w:hAnsi="宋体" w:eastAsia="宋体" w:cs="宋体"/>
                <w:sz w:val="24"/>
                <w:szCs w:val="24"/>
                <w:highlight w:val="none"/>
                <w:lang w:val="en-US" w:eastAsia="zh-CN"/>
              </w:rPr>
              <w:t>磋商</w:t>
            </w:r>
            <w:r>
              <w:rPr>
                <w:rFonts w:hint="eastAsia" w:ascii="宋体" w:hAnsi="宋体" w:eastAsia="宋体" w:cs="宋体"/>
                <w:sz w:val="24"/>
                <w:szCs w:val="24"/>
                <w:highlight w:val="none"/>
              </w:rPr>
              <w:t>文件的截止时间</w:t>
            </w:r>
          </w:p>
        </w:tc>
        <w:tc>
          <w:tcPr>
            <w:tcW w:w="7289" w:type="dxa"/>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磋商截止时间3日前</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将问题以书面形式提交招标代理人</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不在澄清期限内提出，采购人有权不予答复，或答复后投标截止时间由采购人确定是否顺延。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5" w:hRule="atLeast"/>
          <w:jc w:val="center"/>
        </w:trPr>
        <w:tc>
          <w:tcPr>
            <w:tcW w:w="573"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13</w:t>
            </w:r>
          </w:p>
        </w:tc>
        <w:tc>
          <w:tcPr>
            <w:tcW w:w="195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磋商</w:t>
            </w:r>
            <w:r>
              <w:rPr>
                <w:rFonts w:hint="eastAsia" w:ascii="宋体" w:hAnsi="宋体" w:eastAsia="宋体" w:cs="宋体"/>
                <w:sz w:val="24"/>
                <w:szCs w:val="24"/>
                <w:highlight w:val="none"/>
              </w:rPr>
              <w:t>截止时间</w:t>
            </w:r>
          </w:p>
        </w:tc>
        <w:tc>
          <w:tcPr>
            <w:tcW w:w="7289" w:type="dxa"/>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hint="eastAsia" w:ascii="宋体" w:hAnsi="宋体" w:eastAsia="宋体" w:cs="宋体"/>
                <w:b/>
                <w:color w:val="0000FF"/>
                <w:sz w:val="24"/>
                <w:szCs w:val="24"/>
                <w:highlight w:val="none"/>
              </w:rPr>
            </w:pPr>
            <w:r>
              <w:rPr>
                <w:rFonts w:hint="eastAsia" w:ascii="宋体" w:hAnsi="宋体" w:eastAsia="宋体" w:cs="宋体"/>
                <w:b/>
                <w:bCs/>
                <w:sz w:val="24"/>
                <w:szCs w:val="24"/>
                <w:highlight w:val="none"/>
              </w:rPr>
              <w:t>202</w:t>
            </w:r>
            <w:r>
              <w:rPr>
                <w:rFonts w:hint="eastAsia" w:ascii="宋体" w:hAnsi="宋体" w:eastAsia="宋体" w:cs="宋体"/>
                <w:b/>
                <w:bCs/>
                <w:sz w:val="24"/>
                <w:szCs w:val="24"/>
                <w:highlight w:val="none"/>
                <w:lang w:val="en-US" w:eastAsia="zh-CN"/>
              </w:rPr>
              <w:t>3</w:t>
            </w:r>
            <w:r>
              <w:rPr>
                <w:rFonts w:hint="eastAsia" w:ascii="宋体" w:hAnsi="宋体" w:eastAsia="宋体" w:cs="宋体"/>
                <w:b/>
                <w:bCs/>
                <w:sz w:val="24"/>
                <w:szCs w:val="24"/>
                <w:highlight w:val="none"/>
              </w:rPr>
              <w:t>年</w:t>
            </w:r>
            <w:r>
              <w:rPr>
                <w:rFonts w:hint="eastAsia" w:ascii="宋体" w:hAnsi="宋体" w:eastAsia="宋体" w:cs="宋体"/>
                <w:b/>
                <w:bCs/>
                <w:sz w:val="24"/>
                <w:szCs w:val="24"/>
                <w:highlight w:val="none"/>
                <w:lang w:val="en-US" w:eastAsia="zh-CN"/>
              </w:rPr>
              <w:t>4</w:t>
            </w:r>
            <w:r>
              <w:rPr>
                <w:rFonts w:hint="eastAsia" w:ascii="宋体" w:hAnsi="宋体" w:eastAsia="宋体" w:cs="宋体"/>
                <w:b/>
                <w:bCs/>
                <w:sz w:val="24"/>
                <w:szCs w:val="24"/>
                <w:highlight w:val="none"/>
              </w:rPr>
              <w:t>月</w:t>
            </w:r>
            <w:r>
              <w:rPr>
                <w:rFonts w:hint="eastAsia" w:ascii="宋体" w:hAnsi="宋体" w:cs="宋体"/>
                <w:b/>
                <w:bCs/>
                <w:sz w:val="24"/>
                <w:szCs w:val="24"/>
                <w:highlight w:val="none"/>
                <w:lang w:val="en-US" w:eastAsia="zh-CN"/>
              </w:rPr>
              <w:t>21日</w:t>
            </w:r>
            <w:r>
              <w:rPr>
                <w:rFonts w:hint="eastAsia" w:ascii="宋体" w:hAnsi="宋体" w:eastAsia="宋体" w:cs="宋体"/>
                <w:b/>
                <w:bCs/>
                <w:sz w:val="24"/>
                <w:szCs w:val="24"/>
                <w:highlight w:val="none"/>
              </w:rPr>
              <w:t>1</w:t>
            </w:r>
            <w:r>
              <w:rPr>
                <w:rFonts w:hint="eastAsia" w:ascii="宋体" w:hAnsi="宋体" w:eastAsia="宋体" w:cs="宋体"/>
                <w:b/>
                <w:bCs/>
                <w:sz w:val="24"/>
                <w:szCs w:val="24"/>
                <w:highlight w:val="none"/>
                <w:lang w:val="en-US" w:eastAsia="zh-CN"/>
              </w:rPr>
              <w:t>1</w:t>
            </w:r>
            <w:r>
              <w:rPr>
                <w:rFonts w:hint="eastAsia" w:ascii="宋体" w:hAnsi="宋体" w:eastAsia="宋体" w:cs="宋体"/>
                <w:b/>
                <w:bCs/>
                <w:sz w:val="24"/>
                <w:szCs w:val="24"/>
                <w:highlight w:val="none"/>
              </w:rPr>
              <w:t>:</w:t>
            </w:r>
            <w:r>
              <w:rPr>
                <w:rFonts w:hint="eastAsia" w:ascii="宋体" w:hAnsi="宋体" w:eastAsia="宋体" w:cs="宋体"/>
                <w:b/>
                <w:bCs/>
                <w:sz w:val="24"/>
                <w:szCs w:val="24"/>
                <w:highlight w:val="none"/>
                <w:lang w:val="en-US" w:eastAsia="zh-CN"/>
              </w:rPr>
              <w:t>0</w:t>
            </w:r>
            <w:r>
              <w:rPr>
                <w:rFonts w:hint="eastAsia" w:ascii="宋体" w:hAnsi="宋体" w:eastAsia="宋体" w:cs="宋体"/>
                <w:b/>
                <w:bCs/>
                <w:sz w:val="24"/>
                <w:szCs w:val="24"/>
                <w:highlight w:val="none"/>
              </w:rPr>
              <w:t>0（北京时间)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70" w:hRule="atLeast"/>
          <w:jc w:val="center"/>
        </w:trPr>
        <w:tc>
          <w:tcPr>
            <w:tcW w:w="573"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14</w:t>
            </w:r>
          </w:p>
        </w:tc>
        <w:tc>
          <w:tcPr>
            <w:tcW w:w="195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供应商确认收到澄清的方式</w:t>
            </w:r>
          </w:p>
        </w:tc>
        <w:tc>
          <w:tcPr>
            <w:tcW w:w="7289" w:type="dxa"/>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不需要确认。澄清文件在采购公告发布的同一媒介上发布之日起，视为投标供应商已收到该澄清。投标供应商未及时关注采购人在网站上发布的澄清文件造成的损失，由投标供应商自行负责。</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51" w:hRule="atLeast"/>
          <w:jc w:val="center"/>
        </w:trPr>
        <w:tc>
          <w:tcPr>
            <w:tcW w:w="573"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15</w:t>
            </w:r>
          </w:p>
        </w:tc>
        <w:tc>
          <w:tcPr>
            <w:tcW w:w="195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澄清发布方式</w:t>
            </w:r>
          </w:p>
        </w:tc>
        <w:tc>
          <w:tcPr>
            <w:tcW w:w="7289" w:type="dxa"/>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在采购公告发布的同一媒介上发布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573"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16</w:t>
            </w:r>
          </w:p>
        </w:tc>
        <w:tc>
          <w:tcPr>
            <w:tcW w:w="195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投标报价</w:t>
            </w:r>
          </w:p>
        </w:tc>
        <w:tc>
          <w:tcPr>
            <w:tcW w:w="7289" w:type="dxa"/>
            <w:tcBorders>
              <w:top w:val="single" w:color="auto" w:sz="4" w:space="0"/>
              <w:left w:val="single" w:color="auto" w:sz="4" w:space="0"/>
              <w:bottom w:val="single" w:color="auto" w:sz="4" w:space="0"/>
              <w:right w:val="single" w:color="auto" w:sz="4" w:space="0"/>
            </w:tcBorders>
            <w:noWrap w:val="0"/>
            <w:vAlign w:val="center"/>
          </w:tcPr>
          <w:p>
            <w:pPr>
              <w:spacing w:line="44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（1）采购预算：</w:t>
            </w:r>
            <w:r>
              <w:rPr>
                <w:rFonts w:hint="eastAsia" w:ascii="宋体" w:hAnsi="宋体" w:cs="宋体"/>
                <w:sz w:val="24"/>
                <w:szCs w:val="24"/>
                <w:highlight w:val="none"/>
                <w:lang w:val="en-US" w:eastAsia="zh-CN"/>
              </w:rPr>
              <w:t>72万</w:t>
            </w:r>
            <w:r>
              <w:rPr>
                <w:rFonts w:hint="eastAsia" w:ascii="宋体" w:hAnsi="宋体" w:eastAsia="宋体" w:cs="宋体"/>
                <w:sz w:val="24"/>
                <w:szCs w:val="24"/>
                <w:highlight w:val="none"/>
                <w:lang w:val="en-US" w:eastAsia="zh-CN"/>
              </w:rPr>
              <w:t>元</w:t>
            </w:r>
            <w:r>
              <w:rPr>
                <w:rFonts w:hint="eastAsia" w:ascii="宋体" w:hAnsi="宋体" w:eastAsia="宋体" w:cs="宋体"/>
                <w:sz w:val="24"/>
                <w:szCs w:val="24"/>
                <w:highlight w:val="none"/>
              </w:rPr>
              <w:t>。</w:t>
            </w:r>
          </w:p>
          <w:p>
            <w:pPr>
              <w:spacing w:line="44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（2）最高限价：</w:t>
            </w:r>
            <w:r>
              <w:rPr>
                <w:rFonts w:hint="eastAsia" w:ascii="宋体" w:hAnsi="宋体" w:cs="宋体"/>
                <w:sz w:val="24"/>
                <w:szCs w:val="24"/>
                <w:highlight w:val="none"/>
                <w:lang w:val="en-US" w:eastAsia="zh-CN"/>
              </w:rPr>
              <w:t>72万</w:t>
            </w:r>
            <w:r>
              <w:rPr>
                <w:rFonts w:hint="eastAsia" w:ascii="宋体" w:hAnsi="宋体" w:eastAsia="宋体" w:cs="宋体"/>
                <w:sz w:val="24"/>
                <w:szCs w:val="24"/>
                <w:highlight w:val="none"/>
                <w:lang w:val="en-US" w:eastAsia="zh-CN"/>
              </w:rPr>
              <w:t>元</w:t>
            </w:r>
            <w:r>
              <w:rPr>
                <w:rFonts w:hint="eastAsia" w:ascii="宋体" w:hAnsi="宋体" w:eastAsia="宋体" w:cs="宋体"/>
                <w:sz w:val="24"/>
                <w:szCs w:val="24"/>
                <w:highlight w:val="none"/>
              </w:rPr>
              <w:t>，投标报价不得高于最高限价，否则</w:t>
            </w:r>
            <w:r>
              <w:rPr>
                <w:rFonts w:hint="eastAsia" w:ascii="宋体" w:hAnsi="宋体" w:eastAsia="宋体" w:cs="宋体"/>
                <w:sz w:val="24"/>
                <w:szCs w:val="24"/>
                <w:highlight w:val="none"/>
                <w:lang w:eastAsia="zh-CN"/>
              </w:rPr>
              <w:t>响应文件</w:t>
            </w:r>
            <w:r>
              <w:rPr>
                <w:rFonts w:hint="eastAsia" w:ascii="宋体" w:hAnsi="宋体" w:eastAsia="宋体" w:cs="宋体"/>
                <w:sz w:val="24"/>
                <w:szCs w:val="24"/>
                <w:highlight w:val="none"/>
              </w:rPr>
              <w:t>将被拒绝。</w:t>
            </w:r>
          </w:p>
          <w:p>
            <w:pPr>
              <w:spacing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（3）</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应依据</w:t>
            </w:r>
            <w:r>
              <w:rPr>
                <w:rFonts w:hint="eastAsia" w:ascii="宋体" w:hAnsi="宋体" w:eastAsia="宋体" w:cs="宋体"/>
                <w:sz w:val="24"/>
                <w:szCs w:val="24"/>
                <w:highlight w:val="none"/>
                <w:lang w:eastAsia="zh-CN"/>
              </w:rPr>
              <w:t>磋商文件</w:t>
            </w:r>
            <w:r>
              <w:rPr>
                <w:rFonts w:hint="eastAsia" w:ascii="宋体" w:hAnsi="宋体" w:eastAsia="宋体" w:cs="宋体"/>
                <w:sz w:val="24"/>
                <w:szCs w:val="24"/>
                <w:highlight w:val="none"/>
              </w:rPr>
              <w:t>结合自身情况对完成本项目所需的服务内容进行综合报价，投标报价为</w:t>
            </w:r>
            <w:r>
              <w:rPr>
                <w:rFonts w:hint="eastAsia" w:ascii="宋体" w:hAnsi="宋体" w:eastAsia="宋体" w:cs="宋体"/>
                <w:sz w:val="24"/>
                <w:szCs w:val="24"/>
                <w:highlight w:val="none"/>
                <w:lang w:eastAsia="zh-CN"/>
              </w:rPr>
              <w:t>采购范围</w:t>
            </w:r>
            <w:r>
              <w:rPr>
                <w:rFonts w:hint="eastAsia" w:ascii="宋体" w:hAnsi="宋体" w:eastAsia="宋体" w:cs="宋体"/>
                <w:sz w:val="24"/>
                <w:szCs w:val="24"/>
                <w:highlight w:val="none"/>
              </w:rPr>
              <w:t>内</w:t>
            </w:r>
            <w:r>
              <w:rPr>
                <w:rFonts w:hint="eastAsia" w:ascii="宋体" w:hAnsi="宋体" w:eastAsia="宋体" w:cs="宋体"/>
                <w:sz w:val="24"/>
                <w:szCs w:val="24"/>
                <w:highlight w:val="none"/>
                <w:lang w:val="en-US" w:eastAsia="zh-CN"/>
              </w:rPr>
              <w:t>的</w:t>
            </w:r>
            <w:r>
              <w:rPr>
                <w:rFonts w:hint="eastAsia" w:ascii="宋体" w:hAnsi="宋体" w:eastAsia="宋体" w:cs="宋体"/>
                <w:sz w:val="24"/>
                <w:szCs w:val="24"/>
                <w:highlight w:val="none"/>
              </w:rPr>
              <w:t>总价，不受市场价格及政策性价格的调整而增减。</w:t>
            </w:r>
          </w:p>
          <w:p>
            <w:pPr>
              <w:spacing w:line="44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（4）采购人不接受具有附加条件的报价。</w:t>
            </w:r>
          </w:p>
          <w:p>
            <w:pPr>
              <w:spacing w:line="44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（5）投标报价超出最高限价或被评委一致认定为不合理低价的投标报价将做无效标处理。</w:t>
            </w:r>
          </w:p>
          <w:p>
            <w:pPr>
              <w:spacing w:line="440" w:lineRule="exact"/>
              <w:rPr>
                <w:rFonts w:hint="eastAsia"/>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本项目采用二轮报价，即</w:t>
            </w:r>
            <w:r>
              <w:rPr>
                <w:rFonts w:hint="eastAsia" w:ascii="宋体" w:hAnsi="宋体" w:eastAsia="宋体" w:cs="宋体"/>
                <w:sz w:val="24"/>
                <w:szCs w:val="24"/>
                <w:highlight w:val="none"/>
                <w:lang w:val="en-US" w:eastAsia="zh-CN"/>
              </w:rPr>
              <w:t>响应文件</w:t>
            </w:r>
            <w:r>
              <w:rPr>
                <w:rFonts w:hint="eastAsia" w:ascii="宋体" w:hAnsi="宋体" w:eastAsia="宋体" w:cs="宋体"/>
                <w:sz w:val="24"/>
                <w:szCs w:val="24"/>
                <w:highlight w:val="none"/>
              </w:rPr>
              <w:t>内报价为第一轮报价，现场报价为第二轮报价。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7" w:hRule="atLeast"/>
          <w:jc w:val="center"/>
        </w:trPr>
        <w:tc>
          <w:tcPr>
            <w:tcW w:w="573"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17</w:t>
            </w:r>
          </w:p>
        </w:tc>
        <w:tc>
          <w:tcPr>
            <w:tcW w:w="195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磋商</w:t>
            </w:r>
            <w:r>
              <w:rPr>
                <w:rFonts w:hint="eastAsia" w:ascii="宋体" w:hAnsi="宋体" w:eastAsia="宋体" w:cs="宋体"/>
                <w:sz w:val="24"/>
                <w:szCs w:val="24"/>
                <w:highlight w:val="none"/>
              </w:rPr>
              <w:t>有效期</w:t>
            </w:r>
          </w:p>
        </w:tc>
        <w:tc>
          <w:tcPr>
            <w:tcW w:w="7289" w:type="dxa"/>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磋商截止之日起30日历天</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25" w:hRule="atLeast"/>
          <w:jc w:val="center"/>
        </w:trPr>
        <w:tc>
          <w:tcPr>
            <w:tcW w:w="573"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18</w:t>
            </w:r>
          </w:p>
        </w:tc>
        <w:tc>
          <w:tcPr>
            <w:tcW w:w="195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投标保证金</w:t>
            </w:r>
          </w:p>
        </w:tc>
        <w:tc>
          <w:tcPr>
            <w:tcW w:w="7289" w:type="dxa"/>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hint="eastAsia" w:ascii="宋体" w:hAnsi="宋体" w:eastAsia="宋体" w:cs="宋体"/>
                <w:color w:val="000000"/>
                <w:kern w:val="0"/>
                <w:sz w:val="24"/>
                <w:szCs w:val="24"/>
                <w:highlight w:val="none"/>
                <w:shd w:val="clear" w:color="auto" w:fill="FFFFFF"/>
                <w:lang w:bidi="ar"/>
              </w:rPr>
            </w:pPr>
            <w:r>
              <w:rPr>
                <w:rFonts w:hint="eastAsia" w:ascii="宋体" w:hAnsi="宋体" w:eastAsia="宋体" w:cs="宋体"/>
                <w:sz w:val="24"/>
                <w:szCs w:val="24"/>
                <w:highlight w:val="none"/>
              </w:rPr>
              <w:t>投标保证金的形式：</w:t>
            </w:r>
            <w:r>
              <w:rPr>
                <w:rFonts w:hint="eastAsia" w:ascii="宋体" w:hAnsi="宋体" w:eastAsia="宋体" w:cs="宋体"/>
                <w:sz w:val="24"/>
                <w:szCs w:val="24"/>
                <w:highlight w:val="none"/>
                <w:lang w:val="en-US" w:eastAsia="zh-CN"/>
              </w:rPr>
              <w:t>电汇、支票、汇票、本票或者金融机构、担保机构出具的保函等非现金方式缴纳</w:t>
            </w:r>
            <w:r>
              <w:rPr>
                <w:rFonts w:hint="eastAsia" w:ascii="宋体" w:hAnsi="宋体" w:eastAsia="宋体" w:cs="宋体"/>
                <w:color w:val="000000"/>
                <w:sz w:val="24"/>
                <w:szCs w:val="24"/>
                <w:highlight w:val="none"/>
              </w:rPr>
              <w:t>。</w:t>
            </w:r>
          </w:p>
          <w:p>
            <w:pPr>
              <w:spacing w:line="400" w:lineRule="exact"/>
              <w:rPr>
                <w:rFonts w:hint="eastAsia" w:ascii="宋体" w:hAnsi="宋体" w:eastAsia="宋体" w:cs="宋体"/>
                <w:b/>
                <w:color w:val="000000"/>
                <w:sz w:val="24"/>
                <w:szCs w:val="24"/>
                <w:highlight w:val="none"/>
              </w:rPr>
            </w:pPr>
            <w:r>
              <w:rPr>
                <w:rFonts w:hint="eastAsia" w:ascii="宋体" w:hAnsi="宋体" w:eastAsia="宋体" w:cs="宋体"/>
                <w:color w:val="000000"/>
                <w:sz w:val="24"/>
                <w:szCs w:val="24"/>
                <w:highlight w:val="none"/>
              </w:rPr>
              <w:t>投标保证金的金额：</w:t>
            </w:r>
            <w:r>
              <w:rPr>
                <w:rFonts w:hint="eastAsia" w:ascii="宋体" w:hAnsi="宋体" w:eastAsia="宋体" w:cs="宋体"/>
                <w:b/>
                <w:color w:val="000000"/>
                <w:sz w:val="24"/>
                <w:szCs w:val="24"/>
                <w:highlight w:val="none"/>
              </w:rPr>
              <w:t>人民币</w:t>
            </w:r>
            <w:r>
              <w:rPr>
                <w:rFonts w:hint="eastAsia" w:ascii="宋体" w:hAnsi="宋体" w:eastAsia="宋体" w:cs="宋体"/>
                <w:b/>
                <w:color w:val="000000"/>
                <w:sz w:val="24"/>
                <w:szCs w:val="24"/>
                <w:highlight w:val="none"/>
                <w:lang w:val="en-US" w:eastAsia="zh-CN"/>
              </w:rPr>
              <w:t>壹</w:t>
            </w:r>
            <w:r>
              <w:rPr>
                <w:rFonts w:hint="eastAsia" w:ascii="宋体" w:hAnsi="宋体" w:eastAsia="宋体" w:cs="宋体"/>
                <w:b/>
                <w:color w:val="000000"/>
                <w:sz w:val="24"/>
                <w:szCs w:val="24"/>
                <w:highlight w:val="none"/>
              </w:rPr>
              <w:t>万元整（￥</w:t>
            </w:r>
            <w:r>
              <w:rPr>
                <w:rFonts w:hint="eastAsia" w:ascii="宋体" w:hAnsi="宋体" w:eastAsia="宋体" w:cs="宋体"/>
                <w:b/>
                <w:color w:val="000000"/>
                <w:sz w:val="24"/>
                <w:szCs w:val="24"/>
                <w:highlight w:val="none"/>
                <w:lang w:val="en-US" w:eastAsia="zh-CN"/>
              </w:rPr>
              <w:t>1</w:t>
            </w:r>
            <w:r>
              <w:rPr>
                <w:rFonts w:hint="eastAsia" w:ascii="宋体" w:hAnsi="宋体" w:eastAsia="宋体" w:cs="宋体"/>
                <w:b/>
                <w:color w:val="000000"/>
                <w:sz w:val="24"/>
                <w:szCs w:val="24"/>
                <w:highlight w:val="none"/>
              </w:rPr>
              <w:t>0000元）</w:t>
            </w:r>
          </w:p>
          <w:p>
            <w:pPr>
              <w:spacing w:line="400" w:lineRule="exact"/>
              <w:rPr>
                <w:rFonts w:hint="eastAsia" w:ascii="宋体" w:hAnsi="宋体" w:eastAsia="宋体" w:cs="宋体"/>
                <w:b/>
                <w:bCs/>
                <w:sz w:val="24"/>
                <w:szCs w:val="24"/>
                <w:highlight w:val="none"/>
              </w:rPr>
            </w:pPr>
            <w:r>
              <w:rPr>
                <w:rFonts w:hint="eastAsia" w:ascii="宋体" w:hAnsi="宋体" w:eastAsia="宋体" w:cs="宋体"/>
                <w:sz w:val="24"/>
                <w:szCs w:val="24"/>
                <w:highlight w:val="none"/>
              </w:rPr>
              <w:t>递交方式：投标保证金必须从投标供应商的基本账户汇到</w:t>
            </w:r>
            <w:r>
              <w:rPr>
                <w:rFonts w:hint="eastAsia" w:ascii="宋体" w:hAnsi="宋体" w:eastAsia="宋体" w:cs="宋体"/>
                <w:spacing w:val="10"/>
                <w:sz w:val="24"/>
                <w:szCs w:val="24"/>
                <w:highlight w:val="none"/>
                <w:lang w:val="en-US" w:eastAsia="zh-CN"/>
              </w:rPr>
              <w:t>以下</w:t>
            </w:r>
            <w:r>
              <w:rPr>
                <w:rFonts w:hint="eastAsia" w:ascii="宋体" w:hAnsi="宋体" w:eastAsia="宋体" w:cs="宋体"/>
                <w:sz w:val="24"/>
                <w:szCs w:val="24"/>
                <w:highlight w:val="none"/>
              </w:rPr>
              <w:t>账户，</w:t>
            </w:r>
            <w:r>
              <w:rPr>
                <w:rFonts w:hint="eastAsia" w:ascii="宋体" w:hAnsi="宋体" w:eastAsia="宋体" w:cs="宋体"/>
                <w:b/>
                <w:bCs/>
                <w:sz w:val="24"/>
                <w:szCs w:val="24"/>
                <w:highlight w:val="none"/>
              </w:rPr>
              <w:t>汇款注明投标项目名称，否则其投标将被拒绝：</w:t>
            </w:r>
          </w:p>
          <w:p>
            <w:pPr>
              <w:spacing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开户名称：新疆玖一建设项目管理咨询有限公司</w:t>
            </w:r>
          </w:p>
          <w:p>
            <w:pPr>
              <w:spacing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开户银行：交通银行股份有限公司乌鲁木齐北京路支行</w:t>
            </w:r>
          </w:p>
          <w:p>
            <w:pPr>
              <w:spacing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开户账号：651100849018150166953</w:t>
            </w:r>
          </w:p>
          <w:p>
            <w:pPr>
              <w:spacing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行号：3018 8100 0219</w:t>
            </w:r>
          </w:p>
          <w:p>
            <w:pPr>
              <w:spacing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保证金缴纳时应注明：</w:t>
            </w:r>
            <w:r>
              <w:rPr>
                <w:rFonts w:hint="eastAsia" w:ascii="宋体" w:hAnsi="宋体" w:eastAsia="宋体" w:cs="宋体"/>
                <w:sz w:val="24"/>
                <w:szCs w:val="24"/>
                <w:highlight w:val="none"/>
                <w:lang w:eastAsia="zh-CN"/>
              </w:rPr>
              <w:t>2022年轮台县国土变更与卫片执法项目</w:t>
            </w:r>
            <w:r>
              <w:rPr>
                <w:rFonts w:hint="eastAsia" w:ascii="宋体" w:hAnsi="宋体" w:eastAsia="宋体" w:cs="宋体"/>
                <w:sz w:val="24"/>
                <w:szCs w:val="24"/>
                <w:highlight w:val="none"/>
              </w:rPr>
              <w:t>投标保证金</w:t>
            </w:r>
          </w:p>
          <w:p>
            <w:pPr>
              <w:spacing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投标保证金递交截止时间：投标截止时间前，以到帐为准。</w:t>
            </w:r>
          </w:p>
          <w:p>
            <w:pPr>
              <w:spacing w:line="400" w:lineRule="exact"/>
              <w:rPr>
                <w:rFonts w:hint="eastAsia" w:ascii="宋体" w:hAnsi="宋体" w:eastAsia="宋体" w:cs="宋体"/>
                <w:b/>
                <w:color w:val="FF0000"/>
                <w:sz w:val="24"/>
                <w:szCs w:val="24"/>
                <w:highlight w:val="none"/>
              </w:rPr>
            </w:pPr>
            <w:r>
              <w:rPr>
                <w:rFonts w:hint="eastAsia" w:ascii="宋体" w:hAnsi="宋体" w:eastAsia="宋体" w:cs="宋体"/>
                <w:b/>
                <w:color w:val="000000"/>
                <w:sz w:val="24"/>
                <w:szCs w:val="24"/>
                <w:highlight w:val="none"/>
              </w:rPr>
              <w:t>【备注：在开标时查验投标保证金凭证，未按时足额缴纳保证金的，其</w:t>
            </w:r>
            <w:r>
              <w:rPr>
                <w:rFonts w:hint="eastAsia" w:ascii="宋体" w:hAnsi="宋体" w:eastAsia="宋体" w:cs="宋体"/>
                <w:b/>
                <w:color w:val="000000"/>
                <w:sz w:val="24"/>
                <w:szCs w:val="24"/>
                <w:highlight w:val="none"/>
                <w:lang w:eastAsia="zh-CN"/>
              </w:rPr>
              <w:t>响应文件</w:t>
            </w:r>
            <w:r>
              <w:rPr>
                <w:rFonts w:hint="eastAsia" w:ascii="宋体" w:hAnsi="宋体" w:eastAsia="宋体" w:cs="宋体"/>
                <w:b/>
                <w:color w:val="000000"/>
                <w:sz w:val="24"/>
                <w:szCs w:val="24"/>
                <w:highlight w:val="none"/>
              </w:rPr>
              <w:t>将被拒绝】。</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573"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19</w:t>
            </w:r>
          </w:p>
        </w:tc>
        <w:tc>
          <w:tcPr>
            <w:tcW w:w="195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递交</w:t>
            </w:r>
            <w:r>
              <w:rPr>
                <w:rFonts w:hint="eastAsia" w:ascii="宋体" w:hAnsi="宋体" w:eastAsia="宋体" w:cs="宋体"/>
                <w:sz w:val="24"/>
                <w:szCs w:val="24"/>
                <w:highlight w:val="none"/>
                <w:lang w:eastAsia="zh-CN"/>
              </w:rPr>
              <w:t>响应文件</w:t>
            </w:r>
            <w:r>
              <w:rPr>
                <w:rFonts w:hint="eastAsia" w:ascii="宋体" w:hAnsi="宋体" w:eastAsia="宋体" w:cs="宋体"/>
                <w:sz w:val="24"/>
                <w:szCs w:val="24"/>
                <w:highlight w:val="none"/>
              </w:rPr>
              <w:t>时间及地点</w:t>
            </w:r>
          </w:p>
        </w:tc>
        <w:tc>
          <w:tcPr>
            <w:tcW w:w="7289" w:type="dxa"/>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hint="eastAsia" w:ascii="宋体" w:hAnsi="宋体" w:eastAsia="宋体" w:cs="宋体"/>
                <w:b/>
                <w:sz w:val="24"/>
                <w:szCs w:val="24"/>
                <w:highlight w:val="none"/>
              </w:rPr>
            </w:pPr>
            <w:r>
              <w:rPr>
                <w:rFonts w:hint="eastAsia" w:ascii="宋体" w:hAnsi="宋体" w:eastAsia="宋体" w:cs="宋体"/>
                <w:sz w:val="24"/>
                <w:szCs w:val="24"/>
                <w:highlight w:val="none"/>
              </w:rPr>
              <w:t>时间：各</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应在</w:t>
            </w:r>
            <w:r>
              <w:rPr>
                <w:rFonts w:hint="eastAsia" w:ascii="宋体" w:hAnsi="宋体" w:eastAsia="宋体" w:cs="宋体"/>
                <w:sz w:val="24"/>
                <w:szCs w:val="24"/>
                <w:highlight w:val="none"/>
                <w:lang w:eastAsia="zh-CN"/>
              </w:rPr>
              <w:t>响应文件</w:t>
            </w:r>
            <w:r>
              <w:rPr>
                <w:rFonts w:hint="eastAsia" w:ascii="宋体" w:hAnsi="宋体" w:eastAsia="宋体" w:cs="宋体"/>
                <w:sz w:val="24"/>
                <w:szCs w:val="24"/>
                <w:highlight w:val="none"/>
              </w:rPr>
              <w:t>提交截</w:t>
            </w:r>
            <w:r>
              <w:rPr>
                <w:rFonts w:hint="eastAsia" w:ascii="宋体" w:hAnsi="宋体" w:eastAsia="宋体" w:cs="宋体"/>
                <w:color w:val="000000"/>
                <w:sz w:val="24"/>
                <w:szCs w:val="24"/>
                <w:highlight w:val="none"/>
              </w:rPr>
              <w:t>止时间前，</w:t>
            </w:r>
            <w:r>
              <w:rPr>
                <w:rFonts w:hint="eastAsia" w:ascii="宋体" w:hAnsi="宋体" w:eastAsia="宋体" w:cs="宋体"/>
                <w:b/>
                <w:color w:val="0000FF"/>
                <w:sz w:val="24"/>
                <w:szCs w:val="24"/>
                <w:highlight w:val="none"/>
              </w:rPr>
              <w:t>即202</w:t>
            </w:r>
            <w:r>
              <w:rPr>
                <w:rFonts w:hint="eastAsia" w:ascii="宋体" w:hAnsi="宋体" w:eastAsia="宋体" w:cs="宋体"/>
                <w:b/>
                <w:color w:val="0000FF"/>
                <w:sz w:val="24"/>
                <w:szCs w:val="24"/>
                <w:highlight w:val="none"/>
                <w:lang w:val="en-US" w:eastAsia="zh-CN"/>
              </w:rPr>
              <w:t>3</w:t>
            </w:r>
            <w:r>
              <w:rPr>
                <w:rFonts w:hint="eastAsia" w:ascii="宋体" w:hAnsi="宋体" w:eastAsia="宋体" w:cs="宋体"/>
                <w:b/>
                <w:color w:val="0000FF"/>
                <w:sz w:val="24"/>
                <w:szCs w:val="24"/>
                <w:highlight w:val="none"/>
              </w:rPr>
              <w:t>年</w:t>
            </w:r>
            <w:r>
              <w:rPr>
                <w:rFonts w:hint="eastAsia" w:ascii="宋体" w:hAnsi="宋体" w:eastAsia="宋体" w:cs="宋体"/>
                <w:b/>
                <w:color w:val="0000FF"/>
                <w:sz w:val="24"/>
                <w:szCs w:val="24"/>
                <w:highlight w:val="none"/>
                <w:lang w:val="en-US" w:eastAsia="zh-CN"/>
              </w:rPr>
              <w:t>4</w:t>
            </w:r>
            <w:r>
              <w:rPr>
                <w:rFonts w:hint="eastAsia" w:ascii="宋体" w:hAnsi="宋体" w:eastAsia="宋体" w:cs="宋体"/>
                <w:b/>
                <w:color w:val="0000FF"/>
                <w:sz w:val="24"/>
                <w:szCs w:val="24"/>
                <w:highlight w:val="none"/>
              </w:rPr>
              <w:t>月</w:t>
            </w:r>
            <w:r>
              <w:rPr>
                <w:rFonts w:hint="eastAsia" w:ascii="宋体" w:hAnsi="宋体" w:cs="宋体"/>
                <w:b/>
                <w:color w:val="0000FF"/>
                <w:sz w:val="24"/>
                <w:szCs w:val="24"/>
                <w:highlight w:val="none"/>
                <w:lang w:val="en-US" w:eastAsia="zh-CN"/>
              </w:rPr>
              <w:t>21日</w:t>
            </w:r>
            <w:r>
              <w:rPr>
                <w:rFonts w:hint="eastAsia" w:ascii="宋体" w:hAnsi="宋体" w:eastAsia="宋体" w:cs="宋体"/>
                <w:b/>
                <w:color w:val="0000FF"/>
                <w:sz w:val="24"/>
                <w:szCs w:val="24"/>
                <w:highlight w:val="none"/>
              </w:rPr>
              <w:t xml:space="preserve"> </w:t>
            </w:r>
            <w:r>
              <w:rPr>
                <w:rFonts w:hint="eastAsia" w:ascii="宋体" w:hAnsi="宋体" w:eastAsia="宋体" w:cs="宋体"/>
                <w:b/>
                <w:color w:val="0000FF"/>
                <w:sz w:val="24"/>
                <w:szCs w:val="24"/>
                <w:highlight w:val="none"/>
                <w:lang w:val="en-US" w:eastAsia="zh-CN"/>
              </w:rPr>
              <w:t>11:00</w:t>
            </w:r>
            <w:r>
              <w:rPr>
                <w:rFonts w:hint="eastAsia" w:ascii="宋体" w:hAnsi="宋体" w:eastAsia="宋体" w:cs="宋体"/>
                <w:b/>
                <w:color w:val="0000FF"/>
                <w:sz w:val="24"/>
                <w:szCs w:val="24"/>
                <w:highlight w:val="none"/>
              </w:rPr>
              <w:t>（北京时间)。</w:t>
            </w:r>
            <w:r>
              <w:rPr>
                <w:rFonts w:hint="eastAsia" w:ascii="宋体" w:hAnsi="宋体" w:eastAsia="宋体" w:cs="宋体"/>
                <w:b/>
                <w:sz w:val="24"/>
                <w:szCs w:val="24"/>
                <w:highlight w:val="none"/>
              </w:rPr>
              <w:t>若逾时，届时其投标将被拒绝。</w:t>
            </w:r>
          </w:p>
          <w:p>
            <w:pPr>
              <w:keepNext w:val="0"/>
              <w:keepLines w:val="0"/>
              <w:pageBreakBefore w:val="0"/>
              <w:widowControl w:val="0"/>
              <w:kinsoku/>
              <w:wordWrap w:val="0"/>
              <w:overflowPunct/>
              <w:topLinePunct w:val="0"/>
              <w:autoSpaceDE/>
              <w:autoSpaceDN/>
              <w:bidi w:val="0"/>
              <w:adjustRightInd/>
              <w:snapToGrid/>
              <w:spacing w:line="400"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地点：通过“政采云”平台（http://www.ccgp-xinjiang.gov.cn/）上传加密的电子</w:t>
            </w:r>
            <w:r>
              <w:rPr>
                <w:rFonts w:hint="eastAsia" w:ascii="宋体" w:hAnsi="宋体" w:eastAsia="宋体" w:cs="宋体"/>
                <w:sz w:val="24"/>
                <w:szCs w:val="24"/>
                <w:highlight w:val="none"/>
                <w:lang w:eastAsia="zh-CN"/>
              </w:rPr>
              <w:t>响应文件</w:t>
            </w:r>
            <w:r>
              <w:rPr>
                <w:rFonts w:hint="eastAsia" w:ascii="宋体" w:hAnsi="宋体" w:eastAsia="宋体" w:cs="宋体"/>
                <w:sz w:val="24"/>
                <w:szCs w:val="24"/>
                <w:highlight w:val="none"/>
              </w:rPr>
              <w:t>。</w:t>
            </w:r>
          </w:p>
          <w:p>
            <w:pPr>
              <w:spacing w:line="400" w:lineRule="exact"/>
              <w:ind w:firstLine="360" w:firstLineChars="150"/>
              <w:rPr>
                <w:rFonts w:hint="eastAsia" w:ascii="宋体" w:hAnsi="宋体" w:eastAsia="宋体" w:cs="宋体"/>
                <w:sz w:val="24"/>
                <w:szCs w:val="24"/>
                <w:highlight w:val="none"/>
              </w:rPr>
            </w:pPr>
            <w:r>
              <w:rPr>
                <w:rFonts w:hint="eastAsia" w:ascii="宋体" w:hAnsi="宋体" w:eastAsia="宋体" w:cs="宋体"/>
                <w:sz w:val="24"/>
                <w:szCs w:val="24"/>
                <w:highlight w:val="none"/>
              </w:rPr>
              <w:t>请各</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按照本项目招标文件和政采云平台的要求编制、加密传输</w:t>
            </w:r>
            <w:r>
              <w:rPr>
                <w:rFonts w:hint="eastAsia" w:ascii="宋体" w:hAnsi="宋体" w:eastAsia="宋体" w:cs="宋体"/>
                <w:sz w:val="24"/>
                <w:szCs w:val="24"/>
                <w:highlight w:val="none"/>
                <w:lang w:eastAsia="zh-CN"/>
              </w:rPr>
              <w:t>响应文件</w:t>
            </w:r>
            <w:r>
              <w:rPr>
                <w:rFonts w:hint="eastAsia" w:ascii="宋体" w:hAnsi="宋体" w:eastAsia="宋体" w:cs="宋体"/>
                <w:sz w:val="24"/>
                <w:szCs w:val="24"/>
                <w:highlight w:val="none"/>
              </w:rPr>
              <w:t>，上传前务必认真检查上传电子</w:t>
            </w:r>
            <w:r>
              <w:rPr>
                <w:rFonts w:hint="eastAsia" w:ascii="宋体" w:hAnsi="宋体" w:eastAsia="宋体" w:cs="宋体"/>
                <w:sz w:val="24"/>
                <w:szCs w:val="24"/>
                <w:highlight w:val="none"/>
                <w:lang w:eastAsia="zh-CN"/>
              </w:rPr>
              <w:t>响应文件</w:t>
            </w:r>
            <w:r>
              <w:rPr>
                <w:rFonts w:hint="eastAsia" w:ascii="宋体" w:hAnsi="宋体" w:eastAsia="宋体" w:cs="宋体"/>
                <w:sz w:val="24"/>
                <w:szCs w:val="24"/>
                <w:highlight w:val="none"/>
              </w:rPr>
              <w:t>是否完整、正确。</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在使用系统进行投标的过程中遇到涉及平台使用的任何问题，可致电政采云平台技术支持热线咨询，联系方式：400-881-7190。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573"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20</w:t>
            </w:r>
          </w:p>
        </w:tc>
        <w:tc>
          <w:tcPr>
            <w:tcW w:w="1956" w:type="dxa"/>
            <w:tcBorders>
              <w:top w:val="single" w:color="auto" w:sz="4" w:space="0"/>
              <w:left w:val="single" w:color="auto" w:sz="4" w:space="0"/>
              <w:bottom w:val="single" w:color="auto" w:sz="4" w:space="0"/>
              <w:right w:val="single" w:color="auto" w:sz="4" w:space="0"/>
            </w:tcBorders>
            <w:noWrap w:val="0"/>
            <w:vAlign w:val="center"/>
          </w:tcPr>
          <w:p>
            <w:pPr>
              <w:pStyle w:val="15"/>
              <w:spacing w:line="40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响应文件</w:t>
            </w:r>
            <w:r>
              <w:rPr>
                <w:rFonts w:hint="eastAsia" w:ascii="宋体" w:hAnsi="宋体" w:eastAsia="宋体" w:cs="宋体"/>
                <w:sz w:val="24"/>
                <w:szCs w:val="24"/>
                <w:highlight w:val="none"/>
              </w:rPr>
              <w:t>开启时间及地点</w:t>
            </w:r>
          </w:p>
        </w:tc>
        <w:tc>
          <w:tcPr>
            <w:tcW w:w="7289" w:type="dxa"/>
            <w:tcBorders>
              <w:top w:val="single" w:color="auto" w:sz="4" w:space="0"/>
              <w:left w:val="single" w:color="auto" w:sz="4" w:space="0"/>
              <w:bottom w:val="single" w:color="auto" w:sz="4" w:space="0"/>
              <w:right w:val="single" w:color="auto" w:sz="4" w:space="0"/>
            </w:tcBorders>
            <w:noWrap w:val="0"/>
            <w:vAlign w:val="center"/>
          </w:tcPr>
          <w:p>
            <w:pPr>
              <w:pStyle w:val="15"/>
              <w:spacing w:line="400" w:lineRule="exact"/>
              <w:rPr>
                <w:rFonts w:hint="eastAsia" w:ascii="宋体" w:hAnsi="宋体" w:eastAsia="宋体" w:cs="宋体"/>
                <w:b/>
                <w:sz w:val="24"/>
                <w:szCs w:val="24"/>
                <w:highlight w:val="none"/>
              </w:rPr>
            </w:pPr>
            <w:r>
              <w:rPr>
                <w:rFonts w:hint="eastAsia" w:ascii="宋体" w:hAnsi="宋体" w:eastAsia="宋体" w:cs="宋体"/>
                <w:b/>
                <w:sz w:val="24"/>
                <w:szCs w:val="24"/>
                <w:highlight w:val="none"/>
              </w:rPr>
              <w:t>时间：</w:t>
            </w:r>
            <w:r>
              <w:rPr>
                <w:rFonts w:hint="eastAsia" w:ascii="宋体" w:hAnsi="宋体" w:eastAsia="宋体" w:cs="宋体"/>
                <w:b/>
                <w:color w:val="0000FF"/>
                <w:sz w:val="24"/>
                <w:szCs w:val="24"/>
                <w:highlight w:val="none"/>
              </w:rPr>
              <w:t>202</w:t>
            </w:r>
            <w:r>
              <w:rPr>
                <w:rFonts w:hint="eastAsia" w:ascii="宋体" w:hAnsi="宋体" w:eastAsia="宋体" w:cs="宋体"/>
                <w:b/>
                <w:color w:val="0000FF"/>
                <w:sz w:val="24"/>
                <w:szCs w:val="24"/>
                <w:highlight w:val="none"/>
                <w:lang w:val="en-US" w:eastAsia="zh-CN"/>
              </w:rPr>
              <w:t>3</w:t>
            </w:r>
            <w:r>
              <w:rPr>
                <w:rFonts w:hint="eastAsia" w:ascii="宋体" w:hAnsi="宋体" w:eastAsia="宋体" w:cs="宋体"/>
                <w:b/>
                <w:color w:val="0000FF"/>
                <w:sz w:val="24"/>
                <w:szCs w:val="24"/>
                <w:highlight w:val="none"/>
              </w:rPr>
              <w:t>年</w:t>
            </w:r>
            <w:r>
              <w:rPr>
                <w:rFonts w:hint="eastAsia" w:ascii="宋体" w:hAnsi="宋体" w:eastAsia="宋体" w:cs="宋体"/>
                <w:b/>
                <w:color w:val="0000FF"/>
                <w:sz w:val="24"/>
                <w:szCs w:val="24"/>
                <w:highlight w:val="none"/>
                <w:lang w:val="en-US" w:eastAsia="zh-CN"/>
              </w:rPr>
              <w:t>4</w:t>
            </w:r>
            <w:r>
              <w:rPr>
                <w:rFonts w:hint="eastAsia" w:ascii="宋体" w:hAnsi="宋体" w:eastAsia="宋体" w:cs="宋体"/>
                <w:b/>
                <w:color w:val="0000FF"/>
                <w:sz w:val="24"/>
                <w:szCs w:val="24"/>
                <w:highlight w:val="none"/>
              </w:rPr>
              <w:t>月</w:t>
            </w:r>
            <w:r>
              <w:rPr>
                <w:rFonts w:hint="eastAsia" w:hAnsi="宋体" w:eastAsia="宋体" w:cs="宋体"/>
                <w:b/>
                <w:color w:val="0000FF"/>
                <w:sz w:val="24"/>
                <w:szCs w:val="24"/>
                <w:highlight w:val="none"/>
                <w:lang w:val="en-US" w:eastAsia="zh-CN"/>
              </w:rPr>
              <w:t>21日</w:t>
            </w:r>
            <w:r>
              <w:rPr>
                <w:rFonts w:hint="eastAsia" w:ascii="宋体" w:hAnsi="宋体" w:eastAsia="宋体" w:cs="宋体"/>
                <w:b/>
                <w:color w:val="0000FF"/>
                <w:sz w:val="24"/>
                <w:szCs w:val="24"/>
                <w:highlight w:val="none"/>
              </w:rPr>
              <w:t>1</w:t>
            </w:r>
            <w:r>
              <w:rPr>
                <w:rFonts w:hint="eastAsia" w:ascii="宋体" w:hAnsi="宋体" w:eastAsia="宋体" w:cs="宋体"/>
                <w:b/>
                <w:color w:val="0000FF"/>
                <w:sz w:val="24"/>
                <w:szCs w:val="24"/>
                <w:highlight w:val="none"/>
                <w:lang w:val="en-US" w:eastAsia="zh-CN"/>
              </w:rPr>
              <w:t>1</w:t>
            </w:r>
            <w:r>
              <w:rPr>
                <w:rFonts w:hint="eastAsia" w:ascii="宋体" w:hAnsi="宋体" w:eastAsia="宋体" w:cs="宋体"/>
                <w:b/>
                <w:color w:val="0000FF"/>
                <w:sz w:val="24"/>
                <w:szCs w:val="24"/>
                <w:highlight w:val="none"/>
              </w:rPr>
              <w:t>:</w:t>
            </w:r>
            <w:r>
              <w:rPr>
                <w:rFonts w:hint="eastAsia" w:ascii="宋体" w:hAnsi="宋体" w:eastAsia="宋体" w:cs="宋体"/>
                <w:b/>
                <w:color w:val="0000FF"/>
                <w:sz w:val="24"/>
                <w:szCs w:val="24"/>
                <w:highlight w:val="none"/>
                <w:lang w:val="en-US" w:eastAsia="zh-CN"/>
              </w:rPr>
              <w:t>0</w:t>
            </w:r>
            <w:r>
              <w:rPr>
                <w:rFonts w:hint="eastAsia" w:ascii="宋体" w:hAnsi="宋体" w:eastAsia="宋体" w:cs="宋体"/>
                <w:b/>
                <w:color w:val="0000FF"/>
                <w:sz w:val="24"/>
                <w:szCs w:val="24"/>
                <w:highlight w:val="none"/>
              </w:rPr>
              <w:t>0（北京时间)</w:t>
            </w:r>
            <w:r>
              <w:rPr>
                <w:rFonts w:hint="eastAsia" w:ascii="宋体" w:hAnsi="宋体" w:eastAsia="宋体" w:cs="宋体"/>
                <w:b/>
                <w:sz w:val="24"/>
                <w:szCs w:val="24"/>
                <w:highlight w:val="none"/>
              </w:rPr>
              <w:t>。若逾时，届时其投标将被拒绝。</w:t>
            </w:r>
          </w:p>
          <w:p>
            <w:pPr>
              <w:pStyle w:val="15"/>
              <w:spacing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地点：“政采云”平台（</w:t>
            </w:r>
            <w:r>
              <w:rPr>
                <w:rFonts w:hint="eastAsia" w:ascii="宋体" w:hAnsi="宋体" w:eastAsia="宋体" w:cs="宋体"/>
                <w:sz w:val="24"/>
                <w:szCs w:val="24"/>
                <w:highlight w:val="none"/>
                <w:lang w:eastAsia="zh-CN"/>
              </w:rPr>
              <w:t>http://www.ccgp-xinjiang.gov.cn/</w:t>
            </w:r>
            <w:r>
              <w:rPr>
                <w:rFonts w:hint="eastAsia" w:ascii="宋体" w:hAnsi="宋体" w:eastAsia="宋体" w:cs="宋体"/>
                <w:sz w:val="24"/>
                <w:szCs w:val="24"/>
                <w:highlight w:val="none"/>
              </w:rPr>
              <w:t>）线上开标。</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5" w:hRule="atLeast"/>
          <w:jc w:val="center"/>
        </w:trPr>
        <w:tc>
          <w:tcPr>
            <w:tcW w:w="573"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21</w:t>
            </w:r>
          </w:p>
        </w:tc>
        <w:tc>
          <w:tcPr>
            <w:tcW w:w="1956" w:type="dxa"/>
            <w:tcBorders>
              <w:top w:val="single" w:color="auto" w:sz="4" w:space="0"/>
              <w:left w:val="single" w:color="auto" w:sz="4" w:space="0"/>
              <w:bottom w:val="single" w:color="auto" w:sz="4" w:space="0"/>
              <w:right w:val="single" w:color="auto" w:sz="4" w:space="0"/>
            </w:tcBorders>
            <w:noWrap w:val="0"/>
            <w:vAlign w:val="center"/>
          </w:tcPr>
          <w:p>
            <w:pPr>
              <w:pStyle w:val="15"/>
              <w:spacing w:line="40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响应文件</w:t>
            </w:r>
            <w:r>
              <w:rPr>
                <w:rFonts w:hint="eastAsia" w:ascii="宋体" w:hAnsi="宋体" w:eastAsia="宋体" w:cs="宋体"/>
                <w:sz w:val="24"/>
                <w:szCs w:val="24"/>
                <w:highlight w:val="none"/>
              </w:rPr>
              <w:t>的解密</w:t>
            </w:r>
          </w:p>
        </w:tc>
        <w:tc>
          <w:tcPr>
            <w:tcW w:w="7289"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left"/>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rPr>
              <w:t>本项目采用全流程不见面电子开评标，</w:t>
            </w:r>
            <w:r>
              <w:rPr>
                <w:rFonts w:hint="eastAsia" w:ascii="宋体" w:hAnsi="宋体" w:eastAsia="宋体" w:cs="宋体"/>
                <w:color w:val="000000"/>
                <w:kern w:val="0"/>
                <w:sz w:val="24"/>
                <w:szCs w:val="24"/>
                <w:highlight w:val="none"/>
                <w:lang w:eastAsia="zh-CN"/>
              </w:rPr>
              <w:t>供应商</w:t>
            </w:r>
            <w:r>
              <w:rPr>
                <w:rFonts w:hint="eastAsia" w:ascii="宋体" w:hAnsi="宋体" w:eastAsia="宋体" w:cs="宋体"/>
                <w:color w:val="000000"/>
                <w:kern w:val="0"/>
                <w:sz w:val="24"/>
                <w:szCs w:val="24"/>
                <w:highlight w:val="none"/>
              </w:rPr>
              <w:t>无需到开标现场解密，通过政采云平台在线响应，并保持电话畅通。开标时发出解密指令后30分钟内，</w:t>
            </w:r>
            <w:r>
              <w:rPr>
                <w:rFonts w:hint="eastAsia" w:ascii="宋体" w:hAnsi="宋体" w:eastAsia="宋体" w:cs="宋体"/>
                <w:color w:val="000000"/>
                <w:kern w:val="0"/>
                <w:sz w:val="24"/>
                <w:szCs w:val="24"/>
                <w:highlight w:val="none"/>
                <w:lang w:eastAsia="zh-CN"/>
              </w:rPr>
              <w:t>供应商</w:t>
            </w:r>
            <w:r>
              <w:rPr>
                <w:rFonts w:hint="eastAsia" w:ascii="宋体" w:hAnsi="宋体" w:eastAsia="宋体" w:cs="宋体"/>
                <w:color w:val="000000"/>
                <w:kern w:val="0"/>
                <w:sz w:val="24"/>
                <w:szCs w:val="24"/>
                <w:highlight w:val="none"/>
              </w:rPr>
              <w:t>可以登录“政采云”平台，用“项目采购-开标评标”功能进行解密</w:t>
            </w:r>
            <w:r>
              <w:rPr>
                <w:rFonts w:hint="eastAsia" w:ascii="宋体" w:hAnsi="宋体" w:eastAsia="宋体" w:cs="宋体"/>
                <w:color w:val="000000"/>
                <w:kern w:val="0"/>
                <w:sz w:val="24"/>
                <w:szCs w:val="24"/>
                <w:highlight w:val="none"/>
                <w:lang w:eastAsia="zh-CN"/>
              </w:rPr>
              <w:t>响应文件</w:t>
            </w:r>
            <w:r>
              <w:rPr>
                <w:rFonts w:hint="eastAsia" w:ascii="宋体" w:hAnsi="宋体" w:eastAsia="宋体" w:cs="宋体"/>
                <w:color w:val="000000"/>
                <w:kern w:val="0"/>
                <w:sz w:val="24"/>
                <w:szCs w:val="24"/>
                <w:highlight w:val="none"/>
              </w:rPr>
              <w:t>。若</w:t>
            </w:r>
            <w:r>
              <w:rPr>
                <w:rFonts w:hint="eastAsia" w:ascii="宋体" w:hAnsi="宋体" w:eastAsia="宋体" w:cs="宋体"/>
                <w:color w:val="000000"/>
                <w:kern w:val="0"/>
                <w:sz w:val="24"/>
                <w:szCs w:val="24"/>
                <w:highlight w:val="none"/>
                <w:lang w:eastAsia="zh-CN"/>
              </w:rPr>
              <w:t>供应商</w:t>
            </w:r>
            <w:r>
              <w:rPr>
                <w:rFonts w:hint="eastAsia" w:ascii="宋体" w:hAnsi="宋体" w:eastAsia="宋体" w:cs="宋体"/>
                <w:color w:val="000000"/>
                <w:kern w:val="0"/>
                <w:sz w:val="24"/>
                <w:szCs w:val="24"/>
                <w:highlight w:val="none"/>
              </w:rPr>
              <w:t>在规定时间内未按时解密的，或解密失败又未提交备份文件的，视为</w:t>
            </w:r>
            <w:r>
              <w:rPr>
                <w:rFonts w:hint="eastAsia" w:ascii="宋体" w:hAnsi="宋体" w:eastAsia="宋体" w:cs="宋体"/>
                <w:color w:val="000000"/>
                <w:kern w:val="0"/>
                <w:sz w:val="24"/>
                <w:szCs w:val="24"/>
                <w:highlight w:val="none"/>
                <w:lang w:eastAsia="zh-CN"/>
              </w:rPr>
              <w:t>响应文件</w:t>
            </w:r>
            <w:r>
              <w:rPr>
                <w:rFonts w:hint="eastAsia" w:ascii="宋体" w:hAnsi="宋体" w:eastAsia="宋体" w:cs="宋体"/>
                <w:color w:val="000000"/>
                <w:kern w:val="0"/>
                <w:sz w:val="24"/>
                <w:szCs w:val="24"/>
                <w:highlight w:val="none"/>
              </w:rPr>
              <w:t>撤回。</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5" w:hRule="atLeast"/>
          <w:jc w:val="center"/>
        </w:trPr>
        <w:tc>
          <w:tcPr>
            <w:tcW w:w="573"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22</w:t>
            </w:r>
          </w:p>
        </w:tc>
        <w:tc>
          <w:tcPr>
            <w:tcW w:w="1956" w:type="dxa"/>
            <w:tcBorders>
              <w:top w:val="single" w:color="auto" w:sz="4" w:space="0"/>
              <w:left w:val="single" w:color="auto" w:sz="4" w:space="0"/>
              <w:bottom w:val="single" w:color="auto" w:sz="4" w:space="0"/>
              <w:right w:val="single" w:color="auto" w:sz="4" w:space="0"/>
            </w:tcBorders>
            <w:noWrap w:val="0"/>
            <w:vAlign w:val="center"/>
          </w:tcPr>
          <w:p>
            <w:pPr>
              <w:pStyle w:val="15"/>
              <w:spacing w:line="40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投标报价确认时间要求</w:t>
            </w:r>
          </w:p>
        </w:tc>
        <w:tc>
          <w:tcPr>
            <w:tcW w:w="7289" w:type="dxa"/>
            <w:tcBorders>
              <w:top w:val="single" w:color="auto" w:sz="4" w:space="0"/>
              <w:left w:val="single" w:color="auto" w:sz="4" w:space="0"/>
              <w:bottom w:val="single" w:color="auto" w:sz="4" w:space="0"/>
              <w:right w:val="single" w:color="auto" w:sz="4" w:space="0"/>
            </w:tcBorders>
            <w:noWrap w:val="0"/>
            <w:vAlign w:val="center"/>
          </w:tcPr>
          <w:p>
            <w:pPr>
              <w:pStyle w:val="15"/>
              <w:spacing w:line="400" w:lineRule="exact"/>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本项目采用全流程不见面电子开评标，投标报价确认时间为15分钟，</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须在发出报价确认的指令15分钟内在政采云平台在线确认报价。若逾期未在线确认报价，系统将会进行下一步操作，则视同确认报价。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5" w:hRule="atLeast"/>
          <w:jc w:val="center"/>
        </w:trPr>
        <w:tc>
          <w:tcPr>
            <w:tcW w:w="573"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23</w:t>
            </w:r>
          </w:p>
        </w:tc>
        <w:tc>
          <w:tcPr>
            <w:tcW w:w="195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ind w:firstLine="480" w:firstLineChars="200"/>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rPr>
              <w:t>投标前准备</w:t>
            </w:r>
          </w:p>
        </w:tc>
        <w:tc>
          <w:tcPr>
            <w:tcW w:w="7289" w:type="dxa"/>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1、本项目实行网上投标，采用加密电子</w:t>
            </w:r>
            <w:r>
              <w:rPr>
                <w:rFonts w:hint="eastAsia" w:ascii="宋体" w:hAnsi="宋体" w:eastAsia="宋体" w:cs="宋体"/>
                <w:color w:val="000000"/>
                <w:kern w:val="0"/>
                <w:sz w:val="24"/>
                <w:szCs w:val="24"/>
                <w:highlight w:val="none"/>
                <w:lang w:eastAsia="zh-CN"/>
              </w:rPr>
              <w:t>响应文件</w:t>
            </w:r>
            <w:r>
              <w:rPr>
                <w:rFonts w:hint="eastAsia" w:ascii="宋体" w:hAnsi="宋体" w:eastAsia="宋体" w:cs="宋体"/>
                <w:color w:val="000000"/>
                <w:kern w:val="0"/>
                <w:sz w:val="24"/>
                <w:szCs w:val="24"/>
                <w:highlight w:val="none"/>
              </w:rPr>
              <w:t>。若</w:t>
            </w:r>
            <w:r>
              <w:rPr>
                <w:rFonts w:hint="eastAsia" w:ascii="宋体" w:hAnsi="宋体" w:eastAsia="宋体" w:cs="宋体"/>
                <w:color w:val="000000"/>
                <w:kern w:val="0"/>
                <w:sz w:val="24"/>
                <w:szCs w:val="24"/>
                <w:highlight w:val="none"/>
                <w:lang w:eastAsia="zh-CN"/>
              </w:rPr>
              <w:t>供应商</w:t>
            </w:r>
            <w:r>
              <w:rPr>
                <w:rFonts w:hint="eastAsia" w:ascii="宋体" w:hAnsi="宋体" w:eastAsia="宋体" w:cs="宋体"/>
                <w:color w:val="000000"/>
                <w:kern w:val="0"/>
                <w:sz w:val="24"/>
                <w:szCs w:val="24"/>
                <w:highlight w:val="none"/>
              </w:rPr>
              <w:t>参与投标，自行承担投标一切费用。</w:t>
            </w:r>
          </w:p>
          <w:p>
            <w:pPr>
              <w:spacing w:line="400" w:lineRule="exac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2、各</w:t>
            </w:r>
            <w:r>
              <w:rPr>
                <w:rFonts w:hint="eastAsia" w:ascii="宋体" w:hAnsi="宋体" w:eastAsia="宋体" w:cs="宋体"/>
                <w:color w:val="000000"/>
                <w:kern w:val="0"/>
                <w:sz w:val="24"/>
                <w:szCs w:val="24"/>
                <w:highlight w:val="none"/>
                <w:lang w:eastAsia="zh-CN"/>
              </w:rPr>
              <w:t>供应商</w:t>
            </w:r>
            <w:r>
              <w:rPr>
                <w:rFonts w:hint="eastAsia" w:ascii="宋体" w:hAnsi="宋体" w:eastAsia="宋体" w:cs="宋体"/>
                <w:color w:val="000000"/>
                <w:kern w:val="0"/>
                <w:sz w:val="24"/>
                <w:szCs w:val="24"/>
                <w:highlight w:val="none"/>
              </w:rPr>
              <w:t>在开标前应确保成为新疆维吾尔自治区政府采购网正式注册入库供应商，并完成CA数字证书申领。因未注册入库、未办理CA数字证书等原因造成无法投标或投标失败等后果由</w:t>
            </w:r>
            <w:r>
              <w:rPr>
                <w:rFonts w:hint="eastAsia" w:ascii="宋体" w:hAnsi="宋体" w:eastAsia="宋体" w:cs="宋体"/>
                <w:color w:val="000000"/>
                <w:kern w:val="0"/>
                <w:sz w:val="24"/>
                <w:szCs w:val="24"/>
                <w:highlight w:val="none"/>
                <w:lang w:eastAsia="zh-CN"/>
              </w:rPr>
              <w:t>供应商</w:t>
            </w:r>
            <w:r>
              <w:rPr>
                <w:rFonts w:hint="eastAsia" w:ascii="宋体" w:hAnsi="宋体" w:eastAsia="宋体" w:cs="宋体"/>
                <w:color w:val="000000"/>
                <w:kern w:val="0"/>
                <w:sz w:val="24"/>
                <w:szCs w:val="24"/>
                <w:highlight w:val="none"/>
              </w:rPr>
              <w:t>自行承担。</w:t>
            </w:r>
          </w:p>
          <w:p>
            <w:pPr>
              <w:spacing w:line="400" w:lineRule="exact"/>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rPr>
              <w:t>3、</w:t>
            </w:r>
            <w:r>
              <w:rPr>
                <w:rFonts w:hint="eastAsia" w:ascii="宋体" w:hAnsi="宋体" w:eastAsia="宋体" w:cs="宋体"/>
                <w:color w:val="000000"/>
                <w:kern w:val="0"/>
                <w:sz w:val="24"/>
                <w:szCs w:val="24"/>
                <w:highlight w:val="none"/>
                <w:lang w:eastAsia="zh-CN"/>
              </w:rPr>
              <w:t>供应商</w:t>
            </w:r>
            <w:r>
              <w:rPr>
                <w:rFonts w:hint="eastAsia" w:ascii="宋体" w:hAnsi="宋体" w:eastAsia="宋体" w:cs="宋体"/>
                <w:color w:val="000000"/>
                <w:kern w:val="0"/>
                <w:sz w:val="24"/>
                <w:szCs w:val="24"/>
                <w:highlight w:val="none"/>
              </w:rPr>
              <w:t>将政采云电子交易客户端下载、安装完成后，可通过账号密码或CA登录客户端进行</w:t>
            </w:r>
            <w:r>
              <w:rPr>
                <w:rFonts w:hint="eastAsia" w:ascii="宋体" w:hAnsi="宋体" w:eastAsia="宋体" w:cs="宋体"/>
                <w:color w:val="000000"/>
                <w:kern w:val="0"/>
                <w:sz w:val="24"/>
                <w:szCs w:val="24"/>
                <w:highlight w:val="none"/>
                <w:lang w:eastAsia="zh-CN"/>
              </w:rPr>
              <w:t>响应文件</w:t>
            </w:r>
            <w:r>
              <w:rPr>
                <w:rFonts w:hint="eastAsia" w:ascii="宋体" w:hAnsi="宋体" w:eastAsia="宋体" w:cs="宋体"/>
                <w:color w:val="000000"/>
                <w:kern w:val="0"/>
                <w:sz w:val="24"/>
                <w:szCs w:val="24"/>
                <w:highlight w:val="none"/>
              </w:rPr>
              <w:t>制作。在使用政采云投标客户端时，建议使用WIN7及以上操作系统。客户端请至新疆政府采购网（</w:t>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HYPERLINK "http://www.ccgp-xinjiang.gov.cn/"</w:instrText>
            </w:r>
            <w:r>
              <w:rPr>
                <w:rFonts w:hint="eastAsia" w:ascii="宋体" w:hAnsi="宋体" w:eastAsia="宋体" w:cs="宋体"/>
                <w:sz w:val="24"/>
                <w:szCs w:val="24"/>
                <w:highlight w:val="none"/>
              </w:rPr>
              <w:fldChar w:fldCharType="separate"/>
            </w:r>
            <w:r>
              <w:rPr>
                <w:rFonts w:hint="eastAsia" w:ascii="宋体" w:hAnsi="宋体" w:eastAsia="宋体" w:cs="宋体"/>
                <w:color w:val="000000"/>
                <w:kern w:val="0"/>
                <w:sz w:val="24"/>
                <w:szCs w:val="24"/>
                <w:highlight w:val="none"/>
              </w:rPr>
              <w:t>http://www.ccgp-xinjiang.gov.cn/</w:t>
            </w:r>
            <w:r>
              <w:rPr>
                <w:rFonts w:hint="eastAsia" w:ascii="宋体" w:hAnsi="宋体" w:eastAsia="宋体" w:cs="宋体"/>
                <w:sz w:val="24"/>
                <w:szCs w:val="24"/>
                <w:highlight w:val="none"/>
              </w:rPr>
              <w:fldChar w:fldCharType="end"/>
            </w:r>
            <w:r>
              <w:rPr>
                <w:rFonts w:hint="eastAsia" w:ascii="宋体" w:hAnsi="宋体" w:eastAsia="宋体" w:cs="宋体"/>
                <w:color w:val="000000"/>
                <w:kern w:val="0"/>
                <w:sz w:val="24"/>
                <w:szCs w:val="24"/>
                <w:highlight w:val="none"/>
              </w:rPr>
              <w:t>）下载专区查看，如有问题可拨打政采云客户服务热线400-881-7190进行咨询。</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5" w:hRule="atLeast"/>
          <w:jc w:val="center"/>
        </w:trPr>
        <w:tc>
          <w:tcPr>
            <w:tcW w:w="573"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24</w:t>
            </w:r>
          </w:p>
        </w:tc>
        <w:tc>
          <w:tcPr>
            <w:tcW w:w="195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eastAsia="zh-CN"/>
              </w:rPr>
              <w:t>响应文件</w:t>
            </w:r>
            <w:r>
              <w:rPr>
                <w:rFonts w:hint="eastAsia" w:ascii="宋体" w:hAnsi="宋体" w:eastAsia="宋体" w:cs="宋体"/>
                <w:color w:val="000000"/>
                <w:kern w:val="0"/>
                <w:sz w:val="24"/>
                <w:szCs w:val="24"/>
                <w:highlight w:val="none"/>
              </w:rPr>
              <w:t>数量及制作要求</w:t>
            </w:r>
          </w:p>
        </w:tc>
        <w:tc>
          <w:tcPr>
            <w:tcW w:w="7289" w:type="dxa"/>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1、</w:t>
            </w:r>
            <w:r>
              <w:rPr>
                <w:rFonts w:hint="eastAsia" w:ascii="宋体" w:hAnsi="宋体" w:eastAsia="宋体" w:cs="宋体"/>
                <w:color w:val="000000"/>
                <w:kern w:val="0"/>
                <w:sz w:val="24"/>
                <w:szCs w:val="24"/>
                <w:highlight w:val="none"/>
                <w:lang w:eastAsia="zh-CN"/>
              </w:rPr>
              <w:t>供应商</w:t>
            </w:r>
            <w:r>
              <w:rPr>
                <w:rFonts w:hint="eastAsia" w:ascii="宋体" w:hAnsi="宋体" w:eastAsia="宋体" w:cs="宋体"/>
                <w:sz w:val="24"/>
                <w:szCs w:val="24"/>
                <w:highlight w:val="none"/>
              </w:rPr>
              <w:t>投标时须提供：加密的电子</w:t>
            </w:r>
            <w:r>
              <w:rPr>
                <w:rFonts w:hint="eastAsia" w:ascii="宋体" w:hAnsi="宋体" w:eastAsia="宋体" w:cs="宋体"/>
                <w:sz w:val="24"/>
                <w:szCs w:val="24"/>
                <w:highlight w:val="none"/>
                <w:lang w:eastAsia="zh-CN"/>
              </w:rPr>
              <w:t>响应文件</w:t>
            </w:r>
            <w:r>
              <w:rPr>
                <w:rFonts w:hint="eastAsia" w:ascii="宋体" w:hAnsi="宋体" w:eastAsia="宋体" w:cs="宋体"/>
                <w:sz w:val="24"/>
                <w:szCs w:val="24"/>
                <w:highlight w:val="none"/>
              </w:rPr>
              <w:t>壹份（*.jmb 格式），按政采云平台供应商项目采购-电子招投标操作指南(www.zcygov.cn)及本招标文件要求编制、提交。</w:t>
            </w:r>
          </w:p>
          <w:p>
            <w:pPr>
              <w:spacing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2、公示期满后，</w:t>
            </w:r>
            <w:r>
              <w:rPr>
                <w:rFonts w:hint="eastAsia" w:ascii="宋体" w:hAnsi="宋体" w:eastAsia="宋体" w:cs="宋体"/>
                <w:sz w:val="24"/>
                <w:szCs w:val="24"/>
                <w:highlight w:val="none"/>
                <w:lang w:val="en-US" w:eastAsia="zh-CN"/>
              </w:rPr>
              <w:t>中标单位</w:t>
            </w:r>
            <w:r>
              <w:rPr>
                <w:rFonts w:hint="eastAsia" w:ascii="宋体" w:hAnsi="宋体" w:eastAsia="宋体" w:cs="宋体"/>
                <w:sz w:val="24"/>
                <w:szCs w:val="24"/>
                <w:highlight w:val="none"/>
              </w:rPr>
              <w:t>另行提交纸质版</w:t>
            </w:r>
            <w:r>
              <w:rPr>
                <w:rFonts w:hint="eastAsia" w:ascii="宋体" w:hAnsi="宋体" w:eastAsia="宋体" w:cs="宋体"/>
                <w:sz w:val="24"/>
                <w:szCs w:val="24"/>
                <w:highlight w:val="none"/>
                <w:lang w:eastAsia="zh-CN"/>
              </w:rPr>
              <w:t>响应文件</w:t>
            </w:r>
            <w:r>
              <w:rPr>
                <w:rFonts w:hint="eastAsia" w:ascii="宋体" w:hAnsi="宋体" w:eastAsia="宋体" w:cs="宋体"/>
                <w:sz w:val="24"/>
                <w:szCs w:val="24"/>
                <w:highlight w:val="none"/>
              </w:rPr>
              <w:t>（正本一份、副本</w:t>
            </w:r>
            <w:r>
              <w:rPr>
                <w:rFonts w:hint="eastAsia" w:ascii="宋体" w:hAnsi="宋体" w:eastAsia="宋体" w:cs="宋体"/>
                <w:sz w:val="24"/>
                <w:szCs w:val="24"/>
                <w:highlight w:val="none"/>
                <w:lang w:val="en-US" w:eastAsia="zh-CN"/>
              </w:rPr>
              <w:t>二</w:t>
            </w:r>
            <w:r>
              <w:rPr>
                <w:rFonts w:hint="eastAsia" w:ascii="宋体" w:hAnsi="宋体" w:eastAsia="宋体" w:cs="宋体"/>
                <w:sz w:val="24"/>
                <w:szCs w:val="24"/>
                <w:highlight w:val="none"/>
              </w:rPr>
              <w:t>份）</w:t>
            </w:r>
            <w:r>
              <w:rPr>
                <w:rFonts w:hint="eastAsia" w:ascii="宋体" w:hAnsi="宋体" w:eastAsia="宋体" w:cs="宋体"/>
                <w:sz w:val="24"/>
                <w:szCs w:val="24"/>
                <w:highlight w:val="none"/>
                <w:lang w:val="en-US" w:eastAsia="zh-CN"/>
              </w:rPr>
              <w:t>和电子版一份</w:t>
            </w:r>
            <w:r>
              <w:rPr>
                <w:rFonts w:hint="eastAsia" w:ascii="宋体" w:hAnsi="宋体" w:eastAsia="宋体" w:cs="宋体"/>
                <w:sz w:val="24"/>
                <w:szCs w:val="24"/>
                <w:highlight w:val="none"/>
              </w:rPr>
              <w:t>。须与电子版</w:t>
            </w:r>
            <w:r>
              <w:rPr>
                <w:rFonts w:hint="eastAsia" w:ascii="宋体" w:hAnsi="宋体" w:eastAsia="宋体" w:cs="宋体"/>
                <w:sz w:val="24"/>
                <w:szCs w:val="24"/>
                <w:highlight w:val="none"/>
                <w:lang w:eastAsia="zh-CN"/>
              </w:rPr>
              <w:t>响应文件</w:t>
            </w:r>
            <w:r>
              <w:rPr>
                <w:rFonts w:hint="eastAsia" w:ascii="宋体" w:hAnsi="宋体" w:eastAsia="宋体" w:cs="宋体"/>
                <w:sz w:val="24"/>
                <w:szCs w:val="24"/>
                <w:highlight w:val="none"/>
              </w:rPr>
              <w:t>内容一致，纸质</w:t>
            </w:r>
            <w:r>
              <w:rPr>
                <w:rFonts w:hint="eastAsia" w:ascii="宋体" w:hAnsi="宋体" w:eastAsia="宋体" w:cs="宋体"/>
                <w:sz w:val="24"/>
                <w:szCs w:val="24"/>
                <w:highlight w:val="none"/>
                <w:lang w:eastAsia="zh-CN"/>
              </w:rPr>
              <w:t>响应文件</w:t>
            </w:r>
            <w:r>
              <w:rPr>
                <w:rFonts w:hint="eastAsia" w:ascii="宋体" w:hAnsi="宋体" w:eastAsia="宋体" w:cs="宋体"/>
                <w:sz w:val="24"/>
                <w:szCs w:val="24"/>
                <w:highlight w:val="none"/>
              </w:rPr>
              <w:t>需留存备案将一律不予退还。</w:t>
            </w:r>
          </w:p>
          <w:p>
            <w:pPr>
              <w:spacing w:line="40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3、纸质版标书邮寄地址及收件人：乌鲁木齐市新市区北京南路223号康源财富中心18楼</w:t>
            </w:r>
            <w:r>
              <w:rPr>
                <w:rFonts w:hint="eastAsia" w:ascii="宋体" w:hAnsi="宋体" w:cs="宋体"/>
                <w:sz w:val="24"/>
                <w:szCs w:val="24"/>
                <w:highlight w:val="none"/>
                <w:lang w:eastAsia="zh-CN"/>
              </w:rPr>
              <w:t>，</w:t>
            </w:r>
            <w:r>
              <w:rPr>
                <w:rFonts w:hint="eastAsia" w:ascii="宋体" w:hAnsi="宋体" w:eastAsia="宋体" w:cs="宋体"/>
                <w:sz w:val="24"/>
                <w:szCs w:val="24"/>
                <w:highlight w:val="none"/>
              </w:rPr>
              <w:t>收件人：</w:t>
            </w:r>
            <w:r>
              <w:rPr>
                <w:rFonts w:hint="eastAsia" w:ascii="宋体" w:hAnsi="宋体" w:eastAsia="宋体" w:cs="宋体"/>
                <w:sz w:val="24"/>
                <w:szCs w:val="24"/>
                <w:highlight w:val="none"/>
                <w:lang w:val="en-US" w:eastAsia="zh-CN"/>
              </w:rPr>
              <w:t>王荣荣</w:t>
            </w:r>
            <w:r>
              <w:rPr>
                <w:rFonts w:hint="eastAsia" w:ascii="宋体" w:hAnsi="宋体" w:eastAsia="宋体" w:cs="宋体"/>
                <w:sz w:val="24"/>
                <w:szCs w:val="24"/>
                <w:highlight w:val="none"/>
              </w:rPr>
              <w:t xml:space="preserve">  </w:t>
            </w:r>
            <w:r>
              <w:rPr>
                <w:rFonts w:hint="eastAsia" w:ascii="宋体" w:hAnsi="宋体" w:eastAsia="宋体" w:cs="宋体"/>
                <w:sz w:val="24"/>
                <w:szCs w:val="24"/>
                <w:highlight w:val="none"/>
                <w:lang w:val="en-US" w:eastAsia="zh-CN"/>
              </w:rPr>
              <w:t>15559318005</w:t>
            </w:r>
          </w:p>
          <w:p>
            <w:pPr>
              <w:spacing w:line="400" w:lineRule="exact"/>
              <w:rPr>
                <w:rFonts w:hint="eastAsia" w:ascii="宋体" w:hAnsi="宋体" w:eastAsia="宋体" w:cs="宋体"/>
                <w:b/>
                <w:bCs/>
                <w:sz w:val="24"/>
                <w:szCs w:val="24"/>
                <w:highlight w:val="none"/>
              </w:rPr>
            </w:pPr>
            <w:r>
              <w:rPr>
                <w:rFonts w:hint="eastAsia" w:ascii="宋体" w:hAnsi="宋体" w:eastAsia="宋体" w:cs="宋体"/>
                <w:b/>
                <w:bCs/>
                <w:color w:val="000000"/>
                <w:kern w:val="0"/>
                <w:sz w:val="24"/>
                <w:szCs w:val="24"/>
                <w:highlight w:val="none"/>
              </w:rPr>
              <w:t>不接受到付件。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5" w:hRule="atLeast"/>
          <w:jc w:val="center"/>
        </w:trPr>
        <w:tc>
          <w:tcPr>
            <w:tcW w:w="573"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25</w:t>
            </w:r>
          </w:p>
        </w:tc>
        <w:tc>
          <w:tcPr>
            <w:tcW w:w="1956" w:type="dxa"/>
            <w:tcBorders>
              <w:top w:val="single" w:color="auto" w:sz="4" w:space="0"/>
              <w:left w:val="single" w:color="auto" w:sz="4" w:space="0"/>
              <w:bottom w:val="single" w:color="auto" w:sz="4" w:space="0"/>
              <w:right w:val="single" w:color="auto" w:sz="4" w:space="0"/>
            </w:tcBorders>
            <w:noWrap w:val="0"/>
            <w:vAlign w:val="center"/>
          </w:tcPr>
          <w:p>
            <w:pPr>
              <w:pStyle w:val="15"/>
              <w:spacing w:line="400" w:lineRule="exact"/>
              <w:jc w:val="center"/>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eastAsia="zh-CN"/>
              </w:rPr>
              <w:t>响应文件</w:t>
            </w:r>
            <w:r>
              <w:rPr>
                <w:rFonts w:hint="eastAsia" w:ascii="宋体" w:hAnsi="宋体" w:eastAsia="宋体" w:cs="宋体"/>
                <w:color w:val="000000"/>
                <w:kern w:val="0"/>
                <w:sz w:val="24"/>
                <w:szCs w:val="24"/>
                <w:highlight w:val="none"/>
              </w:rPr>
              <w:t>签字、盖章要求</w:t>
            </w:r>
          </w:p>
        </w:tc>
        <w:tc>
          <w:tcPr>
            <w:tcW w:w="7289" w:type="dxa"/>
            <w:tcBorders>
              <w:top w:val="single" w:color="auto" w:sz="4" w:space="0"/>
              <w:left w:val="single" w:color="auto" w:sz="4" w:space="0"/>
              <w:bottom w:val="single" w:color="auto" w:sz="4" w:space="0"/>
              <w:right w:val="single" w:color="auto" w:sz="4" w:space="0"/>
            </w:tcBorders>
            <w:noWrap w:val="0"/>
            <w:vAlign w:val="center"/>
          </w:tcPr>
          <w:p>
            <w:pPr>
              <w:pStyle w:val="31"/>
              <w:spacing w:line="400" w:lineRule="exact"/>
              <w:jc w:val="both"/>
              <w:rPr>
                <w:rFonts w:hint="eastAsia" w:ascii="宋体" w:hAnsi="宋体" w:eastAsia="宋体" w:cs="宋体"/>
                <w:sz w:val="24"/>
                <w:szCs w:val="24"/>
                <w:highlight w:val="none"/>
              </w:rPr>
            </w:pPr>
            <w:r>
              <w:rPr>
                <w:rFonts w:hint="eastAsia" w:ascii="宋体" w:hAnsi="宋体" w:eastAsia="宋体" w:cs="宋体"/>
                <w:color w:val="000000"/>
                <w:sz w:val="24"/>
                <w:szCs w:val="24"/>
                <w:highlight w:val="none"/>
              </w:rPr>
              <w:t>上传的电子</w:t>
            </w:r>
            <w:r>
              <w:rPr>
                <w:rFonts w:hint="eastAsia" w:cs="宋体"/>
                <w:color w:val="000000"/>
                <w:sz w:val="24"/>
                <w:szCs w:val="24"/>
                <w:highlight w:val="none"/>
                <w:lang w:eastAsia="zh-CN"/>
              </w:rPr>
              <w:t>响应文件</w:t>
            </w:r>
            <w:r>
              <w:rPr>
                <w:rFonts w:hint="eastAsia" w:ascii="宋体" w:hAnsi="宋体" w:eastAsia="宋体" w:cs="宋体"/>
                <w:color w:val="000000"/>
                <w:sz w:val="24"/>
                <w:szCs w:val="24"/>
                <w:highlight w:val="none"/>
              </w:rPr>
              <w:t>的盖章可采用CA锁电子签章进行，如办理了法人电子锁，法人签字也可以进行电子签章。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5" w:hRule="atLeast"/>
          <w:jc w:val="center"/>
        </w:trPr>
        <w:tc>
          <w:tcPr>
            <w:tcW w:w="573"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26</w:t>
            </w:r>
          </w:p>
        </w:tc>
        <w:tc>
          <w:tcPr>
            <w:tcW w:w="1956" w:type="dxa"/>
            <w:tcBorders>
              <w:top w:val="single" w:color="auto" w:sz="4" w:space="0"/>
              <w:left w:val="single" w:color="auto" w:sz="4" w:space="0"/>
              <w:bottom w:val="single" w:color="auto" w:sz="4" w:space="0"/>
              <w:right w:val="single" w:color="auto" w:sz="4" w:space="0"/>
            </w:tcBorders>
            <w:noWrap w:val="0"/>
            <w:vAlign w:val="center"/>
          </w:tcPr>
          <w:p>
            <w:pPr>
              <w:pStyle w:val="15"/>
              <w:spacing w:line="400" w:lineRule="exact"/>
              <w:jc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付款方式</w:t>
            </w:r>
          </w:p>
        </w:tc>
        <w:tc>
          <w:tcPr>
            <w:tcW w:w="7289" w:type="dxa"/>
            <w:tcBorders>
              <w:top w:val="single" w:color="auto" w:sz="4" w:space="0"/>
              <w:left w:val="single" w:color="auto" w:sz="4" w:space="0"/>
              <w:bottom w:val="single" w:color="auto" w:sz="4" w:space="0"/>
              <w:right w:val="single" w:color="auto" w:sz="4" w:space="0"/>
            </w:tcBorders>
            <w:noWrap w:val="0"/>
            <w:vAlign w:val="center"/>
          </w:tcPr>
          <w:p>
            <w:pPr>
              <w:pStyle w:val="15"/>
              <w:spacing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（1）合同双方盖章签字后7个工作日内，甲方按照项目费用总额的70%向乙方支付定金。合同双方履行后，定金转为进度款。</w:t>
            </w:r>
          </w:p>
          <w:p>
            <w:pPr>
              <w:pStyle w:val="15"/>
              <w:spacing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（2）乙方提交项目最终成果后7个工作日内，甲应向乙方支付剩余技术服务费用。具体以双方协商为准。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5" w:hRule="atLeast"/>
          <w:jc w:val="center"/>
        </w:trPr>
        <w:tc>
          <w:tcPr>
            <w:tcW w:w="573"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27</w:t>
            </w:r>
          </w:p>
        </w:tc>
        <w:tc>
          <w:tcPr>
            <w:tcW w:w="195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评</w:t>
            </w:r>
            <w:r>
              <w:rPr>
                <w:rFonts w:hint="eastAsia" w:ascii="宋体" w:hAnsi="宋体" w:eastAsia="宋体" w:cs="宋体"/>
                <w:sz w:val="24"/>
                <w:szCs w:val="24"/>
                <w:highlight w:val="none"/>
                <w:lang w:val="en-US" w:eastAsia="zh-CN"/>
              </w:rPr>
              <w:t>审方</w:t>
            </w:r>
            <w:r>
              <w:rPr>
                <w:rFonts w:hint="eastAsia" w:ascii="宋体" w:hAnsi="宋体" w:eastAsia="宋体" w:cs="宋体"/>
                <w:sz w:val="24"/>
                <w:szCs w:val="24"/>
                <w:highlight w:val="none"/>
              </w:rPr>
              <w:t>法</w:t>
            </w:r>
          </w:p>
        </w:tc>
        <w:tc>
          <w:tcPr>
            <w:tcW w:w="728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napToGrid w:val="0"/>
              <w:spacing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竞争性磋商，在满足采购方所需提供服务的基础上进行综合评标，汇总得分由高到低的顺序确定中标候选人。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5" w:hRule="atLeast"/>
          <w:jc w:val="center"/>
        </w:trPr>
        <w:tc>
          <w:tcPr>
            <w:tcW w:w="573"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28</w:t>
            </w:r>
          </w:p>
        </w:tc>
        <w:tc>
          <w:tcPr>
            <w:tcW w:w="195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履约保证金</w:t>
            </w:r>
          </w:p>
        </w:tc>
        <w:tc>
          <w:tcPr>
            <w:tcW w:w="728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napToGrid w:val="0"/>
              <w:spacing w:line="400" w:lineRule="exact"/>
              <w:rPr>
                <w:rFonts w:hint="eastAsia" w:ascii="宋体" w:hAnsi="宋体" w:eastAsia="宋体" w:cs="宋体"/>
                <w:color w:val="FF0000"/>
                <w:sz w:val="24"/>
                <w:szCs w:val="24"/>
                <w:highlight w:val="none"/>
                <w:lang w:val="en-US" w:eastAsia="zh-CN"/>
              </w:rPr>
            </w:pPr>
            <w:r>
              <w:rPr>
                <w:rFonts w:hint="eastAsia" w:ascii="宋体" w:hAnsi="宋体" w:eastAsia="宋体" w:cs="宋体"/>
                <w:sz w:val="24"/>
                <w:szCs w:val="24"/>
                <w:highlight w:val="none"/>
                <w:lang w:val="en-US" w:eastAsia="zh-CN"/>
              </w:rPr>
              <w:t>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473" w:hRule="atLeast"/>
          <w:jc w:val="center"/>
        </w:trPr>
        <w:tc>
          <w:tcPr>
            <w:tcW w:w="573"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29</w:t>
            </w:r>
          </w:p>
        </w:tc>
        <w:tc>
          <w:tcPr>
            <w:tcW w:w="1956" w:type="dxa"/>
            <w:tcBorders>
              <w:top w:val="single" w:color="auto" w:sz="4" w:space="0"/>
              <w:left w:val="single" w:color="auto" w:sz="4" w:space="0"/>
              <w:bottom w:val="single" w:color="auto" w:sz="4" w:space="0"/>
              <w:right w:val="single" w:color="auto" w:sz="4" w:space="0"/>
            </w:tcBorders>
            <w:noWrap w:val="0"/>
            <w:vAlign w:val="center"/>
          </w:tcPr>
          <w:p>
            <w:pPr>
              <w:pStyle w:val="9"/>
              <w:spacing w:line="40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供应商</w:t>
            </w:r>
            <w:r>
              <w:rPr>
                <w:rFonts w:hint="eastAsia" w:ascii="宋体" w:hAnsi="宋体" w:eastAsia="宋体" w:cs="宋体"/>
                <w:sz w:val="24"/>
                <w:szCs w:val="24"/>
                <w:highlight w:val="none"/>
              </w:rPr>
              <w:t>不得存在下列情形之一</w:t>
            </w:r>
          </w:p>
        </w:tc>
        <w:tc>
          <w:tcPr>
            <w:tcW w:w="728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napToGrid w:val="0"/>
              <w:spacing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（1）与</w:t>
            </w:r>
            <w:r>
              <w:rPr>
                <w:rFonts w:hint="eastAsia" w:ascii="宋体" w:hAnsi="宋体" w:eastAsia="宋体" w:cs="宋体"/>
                <w:sz w:val="24"/>
                <w:szCs w:val="24"/>
                <w:highlight w:val="none"/>
                <w:lang w:eastAsia="zh-CN"/>
              </w:rPr>
              <w:t>采购人</w:t>
            </w:r>
            <w:r>
              <w:rPr>
                <w:rFonts w:hint="eastAsia" w:ascii="宋体" w:hAnsi="宋体" w:eastAsia="宋体" w:cs="宋体"/>
                <w:sz w:val="24"/>
                <w:szCs w:val="24"/>
                <w:highlight w:val="none"/>
              </w:rPr>
              <w:t>存在利害关系且可能影响招标公正性；</w:t>
            </w:r>
          </w:p>
          <w:p>
            <w:pPr>
              <w:keepNext w:val="0"/>
              <w:keepLines w:val="0"/>
              <w:pageBreakBefore w:val="0"/>
              <w:widowControl/>
              <w:kinsoku/>
              <w:wordWrap/>
              <w:overflowPunct/>
              <w:topLinePunct w:val="0"/>
              <w:autoSpaceDE/>
              <w:autoSpaceDN/>
              <w:bidi w:val="0"/>
              <w:snapToGrid w:val="0"/>
              <w:spacing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（2）与本招标项目的其他</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为同一个单位负责人；</w:t>
            </w:r>
          </w:p>
          <w:p>
            <w:pPr>
              <w:keepNext w:val="0"/>
              <w:keepLines w:val="0"/>
              <w:pageBreakBefore w:val="0"/>
              <w:widowControl/>
              <w:kinsoku/>
              <w:wordWrap/>
              <w:overflowPunct/>
              <w:topLinePunct w:val="0"/>
              <w:autoSpaceDE/>
              <w:autoSpaceDN/>
              <w:bidi w:val="0"/>
              <w:snapToGrid w:val="0"/>
              <w:spacing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（3）与本招标项目的其他</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存在控股、管理关系；</w:t>
            </w:r>
          </w:p>
          <w:p>
            <w:pPr>
              <w:keepNext w:val="0"/>
              <w:keepLines w:val="0"/>
              <w:pageBreakBefore w:val="0"/>
              <w:widowControl/>
              <w:kinsoku/>
              <w:wordWrap/>
              <w:overflowPunct/>
              <w:topLinePunct w:val="0"/>
              <w:autoSpaceDE/>
              <w:autoSpaceDN/>
              <w:bidi w:val="0"/>
              <w:snapToGrid w:val="0"/>
              <w:spacing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（4）被依法暂停或者取消投标资格；</w:t>
            </w:r>
          </w:p>
          <w:p>
            <w:pPr>
              <w:keepNext w:val="0"/>
              <w:keepLines w:val="0"/>
              <w:pageBreakBefore w:val="0"/>
              <w:widowControl/>
              <w:kinsoku/>
              <w:wordWrap/>
              <w:overflowPunct/>
              <w:topLinePunct w:val="0"/>
              <w:autoSpaceDE/>
              <w:autoSpaceDN/>
              <w:bidi w:val="0"/>
              <w:snapToGrid w:val="0"/>
              <w:spacing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（5）被责令停产停业、暂扣或者吊销许可证、暂扣或者吊销执照；</w:t>
            </w:r>
          </w:p>
          <w:p>
            <w:pPr>
              <w:keepNext w:val="0"/>
              <w:keepLines w:val="0"/>
              <w:pageBreakBefore w:val="0"/>
              <w:widowControl/>
              <w:kinsoku/>
              <w:wordWrap/>
              <w:overflowPunct/>
              <w:topLinePunct w:val="0"/>
              <w:autoSpaceDE/>
              <w:autoSpaceDN/>
              <w:bidi w:val="0"/>
              <w:snapToGrid w:val="0"/>
              <w:spacing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（6）进入清算程序，或被宣告破产，或其他丧失履约能力的情形；</w:t>
            </w:r>
          </w:p>
          <w:p>
            <w:pPr>
              <w:keepNext w:val="0"/>
              <w:keepLines w:val="0"/>
              <w:pageBreakBefore w:val="0"/>
              <w:widowControl/>
              <w:kinsoku/>
              <w:wordWrap/>
              <w:overflowPunct/>
              <w:topLinePunct w:val="0"/>
              <w:autoSpaceDE/>
              <w:autoSpaceDN/>
              <w:bidi w:val="0"/>
              <w:snapToGrid w:val="0"/>
              <w:spacing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（7）被工商行政管理机关在全国企业信用信息公示系统中列入严重违法失信企业名单；</w:t>
            </w:r>
          </w:p>
          <w:p>
            <w:pPr>
              <w:keepNext w:val="0"/>
              <w:keepLines w:val="0"/>
              <w:pageBreakBefore w:val="0"/>
              <w:widowControl/>
              <w:kinsoku/>
              <w:wordWrap/>
              <w:overflowPunct/>
              <w:topLinePunct w:val="0"/>
              <w:autoSpaceDE/>
              <w:autoSpaceDN/>
              <w:bidi w:val="0"/>
              <w:snapToGrid w:val="0"/>
              <w:spacing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（8）被最高人民法院在“信用中国”网站（www.creditchina.gov.cn）或各级信用信息共享平台中列入失信被执行人名单；</w:t>
            </w:r>
          </w:p>
          <w:p>
            <w:pPr>
              <w:keepNext w:val="0"/>
              <w:keepLines w:val="0"/>
              <w:pageBreakBefore w:val="0"/>
              <w:widowControl/>
              <w:kinsoku/>
              <w:wordWrap/>
              <w:overflowPunct/>
              <w:topLinePunct w:val="0"/>
              <w:autoSpaceDE/>
              <w:autoSpaceDN/>
              <w:bidi w:val="0"/>
              <w:snapToGrid w:val="0"/>
              <w:spacing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（9）在近三年内</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或其法定代表人、拟委任的项目负责人有行贿犯罪行为的；</w:t>
            </w:r>
          </w:p>
          <w:p>
            <w:pPr>
              <w:keepNext w:val="0"/>
              <w:keepLines w:val="0"/>
              <w:pageBreakBefore w:val="0"/>
              <w:widowControl/>
              <w:kinsoku/>
              <w:wordWrap/>
              <w:overflowPunct/>
              <w:topLinePunct w:val="0"/>
              <w:autoSpaceDE/>
              <w:autoSpaceDN/>
              <w:bidi w:val="0"/>
              <w:snapToGrid w:val="0"/>
              <w:spacing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（10）法律法规或</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须知前附表规定的其他情形。</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6" w:hRule="atLeast"/>
          <w:jc w:val="center"/>
        </w:trPr>
        <w:tc>
          <w:tcPr>
            <w:tcW w:w="573"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30</w:t>
            </w:r>
          </w:p>
        </w:tc>
        <w:tc>
          <w:tcPr>
            <w:tcW w:w="1956" w:type="dxa"/>
            <w:tcBorders>
              <w:top w:val="single" w:color="auto" w:sz="4" w:space="0"/>
              <w:left w:val="single" w:color="auto" w:sz="4" w:space="0"/>
              <w:bottom w:val="single" w:color="auto" w:sz="4" w:space="0"/>
              <w:right w:val="single" w:color="auto" w:sz="4" w:space="0"/>
            </w:tcBorders>
            <w:noWrap w:val="0"/>
            <w:vAlign w:val="center"/>
          </w:tcPr>
          <w:p>
            <w:pPr>
              <w:pStyle w:val="9"/>
              <w:spacing w:line="40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知识产权</w:t>
            </w:r>
          </w:p>
        </w:tc>
        <w:tc>
          <w:tcPr>
            <w:tcW w:w="728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napToGrid w:val="0"/>
              <w:spacing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（1）</w:t>
            </w:r>
            <w:r>
              <w:rPr>
                <w:rFonts w:hint="eastAsia" w:ascii="宋体" w:hAnsi="宋体" w:eastAsia="宋体" w:cs="宋体"/>
                <w:color w:val="000000"/>
                <w:kern w:val="0"/>
                <w:sz w:val="24"/>
                <w:szCs w:val="24"/>
                <w:highlight w:val="none"/>
                <w:lang w:eastAsia="zh-CN"/>
              </w:rPr>
              <w:t>供应商</w:t>
            </w:r>
            <w:r>
              <w:rPr>
                <w:rFonts w:hint="eastAsia" w:ascii="宋体" w:hAnsi="宋体" w:eastAsia="宋体" w:cs="宋体"/>
                <w:sz w:val="24"/>
                <w:szCs w:val="24"/>
                <w:highlight w:val="none"/>
              </w:rPr>
              <w:t>须保证，采购人在中华人民共和国境内使用投标设施设备、资料、技术、服务或其任何一部分时，享有不受限制的无偿使用权，不会产生因第三方提出侵犯其专利权、商标权或其它知识产权而引起的法律或经济纠纷。如</w:t>
            </w:r>
            <w:r>
              <w:rPr>
                <w:rFonts w:hint="eastAsia" w:ascii="宋体" w:hAnsi="宋体" w:eastAsia="宋体" w:cs="宋体"/>
                <w:color w:val="000000"/>
                <w:kern w:val="0"/>
                <w:sz w:val="24"/>
                <w:szCs w:val="24"/>
                <w:highlight w:val="none"/>
                <w:lang w:eastAsia="zh-CN"/>
              </w:rPr>
              <w:t>供应商</w:t>
            </w:r>
            <w:r>
              <w:rPr>
                <w:rFonts w:hint="eastAsia" w:ascii="宋体" w:hAnsi="宋体" w:eastAsia="宋体" w:cs="宋体"/>
                <w:sz w:val="24"/>
                <w:szCs w:val="24"/>
                <w:highlight w:val="none"/>
              </w:rPr>
              <w:t>不拥有相应的知识产权，则在投标报价中必须包括合法获取该知识产权的一切相关费用。如因此导致采购人损失的，</w:t>
            </w:r>
            <w:r>
              <w:rPr>
                <w:rFonts w:hint="eastAsia" w:ascii="宋体" w:hAnsi="宋体" w:eastAsia="宋体" w:cs="宋体"/>
                <w:color w:val="000000"/>
                <w:kern w:val="0"/>
                <w:sz w:val="24"/>
                <w:szCs w:val="24"/>
                <w:highlight w:val="none"/>
                <w:lang w:eastAsia="zh-CN"/>
              </w:rPr>
              <w:t>供应商</w:t>
            </w:r>
            <w:r>
              <w:rPr>
                <w:rFonts w:hint="eastAsia" w:ascii="宋体" w:hAnsi="宋体" w:eastAsia="宋体" w:cs="宋体"/>
                <w:sz w:val="24"/>
                <w:szCs w:val="24"/>
                <w:highlight w:val="none"/>
              </w:rPr>
              <w:t>须承担全部赔偿责任。</w:t>
            </w:r>
          </w:p>
          <w:p>
            <w:pPr>
              <w:keepNext w:val="0"/>
              <w:keepLines w:val="0"/>
              <w:pageBreakBefore w:val="0"/>
              <w:widowControl/>
              <w:kinsoku/>
              <w:wordWrap/>
              <w:overflowPunct/>
              <w:topLinePunct w:val="0"/>
              <w:autoSpaceDE/>
              <w:autoSpaceDN/>
              <w:bidi w:val="0"/>
              <w:snapToGrid w:val="0"/>
              <w:spacing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（2）</w:t>
            </w:r>
            <w:r>
              <w:rPr>
                <w:rFonts w:hint="eastAsia" w:ascii="宋体" w:hAnsi="宋体" w:eastAsia="宋体" w:cs="宋体"/>
                <w:color w:val="000000"/>
                <w:kern w:val="0"/>
                <w:sz w:val="24"/>
                <w:szCs w:val="24"/>
                <w:highlight w:val="none"/>
                <w:lang w:eastAsia="zh-CN"/>
              </w:rPr>
              <w:t>供应商</w:t>
            </w:r>
            <w:r>
              <w:rPr>
                <w:rFonts w:hint="eastAsia" w:ascii="宋体" w:hAnsi="宋体" w:eastAsia="宋体" w:cs="宋体"/>
                <w:sz w:val="24"/>
                <w:szCs w:val="24"/>
                <w:highlight w:val="none"/>
              </w:rPr>
              <w:t>如欲在项目实施过程中采用自有知识成果，须在</w:t>
            </w:r>
            <w:r>
              <w:rPr>
                <w:rFonts w:hint="eastAsia" w:ascii="宋体" w:hAnsi="宋体" w:eastAsia="宋体" w:cs="宋体"/>
                <w:sz w:val="24"/>
                <w:szCs w:val="24"/>
                <w:highlight w:val="none"/>
                <w:lang w:eastAsia="zh-CN"/>
              </w:rPr>
              <w:t>响应文件</w:t>
            </w:r>
            <w:r>
              <w:rPr>
                <w:rFonts w:hint="eastAsia" w:ascii="宋体" w:hAnsi="宋体" w:eastAsia="宋体" w:cs="宋体"/>
                <w:sz w:val="24"/>
                <w:szCs w:val="24"/>
                <w:highlight w:val="none"/>
              </w:rPr>
              <w:t>中声明，并提供相关知识产权证明文件。使用该知识成果后，</w:t>
            </w:r>
            <w:r>
              <w:rPr>
                <w:rFonts w:hint="eastAsia" w:ascii="宋体" w:hAnsi="宋体" w:eastAsia="宋体" w:cs="宋体"/>
                <w:color w:val="000000"/>
                <w:kern w:val="0"/>
                <w:sz w:val="24"/>
                <w:szCs w:val="24"/>
                <w:highlight w:val="none"/>
                <w:lang w:eastAsia="zh-CN"/>
              </w:rPr>
              <w:t>供应商</w:t>
            </w:r>
            <w:r>
              <w:rPr>
                <w:rFonts w:hint="eastAsia" w:ascii="宋体" w:hAnsi="宋体" w:eastAsia="宋体" w:cs="宋体"/>
                <w:sz w:val="24"/>
                <w:szCs w:val="24"/>
                <w:highlight w:val="none"/>
              </w:rPr>
              <w:t>须提供开发接口和开发手册等技术文档。</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7" w:hRule="atLeast"/>
          <w:jc w:val="center"/>
        </w:trPr>
        <w:tc>
          <w:tcPr>
            <w:tcW w:w="573"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31</w:t>
            </w:r>
          </w:p>
        </w:tc>
        <w:tc>
          <w:tcPr>
            <w:tcW w:w="1956" w:type="dxa"/>
            <w:tcBorders>
              <w:top w:val="single" w:color="auto" w:sz="4" w:space="0"/>
              <w:left w:val="single" w:color="auto" w:sz="4" w:space="0"/>
              <w:bottom w:val="single" w:color="auto" w:sz="4" w:space="0"/>
              <w:right w:val="single" w:color="auto" w:sz="4" w:space="0"/>
            </w:tcBorders>
            <w:noWrap w:val="0"/>
            <w:vAlign w:val="center"/>
          </w:tcPr>
          <w:p>
            <w:pPr>
              <w:pStyle w:val="9"/>
              <w:spacing w:line="40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政府采购支持政策</w:t>
            </w:r>
          </w:p>
        </w:tc>
        <w:tc>
          <w:tcPr>
            <w:tcW w:w="728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napToGrid w:val="0"/>
              <w:spacing w:line="400" w:lineRule="exac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（1）财政部、国家发展改革委、生态环境部、市场监管总局《关于调整优化节能产品、环境标志产品政府采购执行机制的通知》（财库[2019]9号文）； </w:t>
            </w:r>
          </w:p>
          <w:p>
            <w:pPr>
              <w:keepNext w:val="0"/>
              <w:keepLines w:val="0"/>
              <w:pageBreakBefore w:val="0"/>
              <w:widowControl/>
              <w:kinsoku/>
              <w:wordWrap/>
              <w:overflowPunct/>
              <w:topLinePunct w:val="0"/>
              <w:autoSpaceDE/>
              <w:autoSpaceDN/>
              <w:bidi w:val="0"/>
              <w:snapToGrid w:val="0"/>
              <w:spacing w:line="400" w:lineRule="exac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（2）财政部、生态环境部《关于印发环境标志产品政府采购品目清单的通知》（财库[2019]18号文）； </w:t>
            </w:r>
          </w:p>
          <w:p>
            <w:pPr>
              <w:keepNext w:val="0"/>
              <w:keepLines w:val="0"/>
              <w:pageBreakBefore w:val="0"/>
              <w:widowControl/>
              <w:kinsoku/>
              <w:wordWrap/>
              <w:overflowPunct/>
              <w:topLinePunct w:val="0"/>
              <w:autoSpaceDE/>
              <w:autoSpaceDN/>
              <w:bidi w:val="0"/>
              <w:snapToGrid w:val="0"/>
              <w:spacing w:line="400" w:lineRule="exac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（3）财政部、发展改革委《关于印发节能产品政府采购品目清单的通知》（财库[2019]19号文）； </w:t>
            </w:r>
          </w:p>
          <w:p>
            <w:pPr>
              <w:keepNext w:val="0"/>
              <w:keepLines w:val="0"/>
              <w:pageBreakBefore w:val="0"/>
              <w:widowControl/>
              <w:kinsoku/>
              <w:wordWrap/>
              <w:overflowPunct/>
              <w:topLinePunct w:val="0"/>
              <w:autoSpaceDE/>
              <w:autoSpaceDN/>
              <w:bidi w:val="0"/>
              <w:snapToGrid w:val="0"/>
              <w:spacing w:line="400" w:lineRule="exac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（4）市场监管总局《市场监管总局关于发布参与实施政府采购节能产品、环境标志产品认证机构名录的公告》（2019年第16号）； </w:t>
            </w:r>
          </w:p>
          <w:p>
            <w:pPr>
              <w:keepNext w:val="0"/>
              <w:keepLines w:val="0"/>
              <w:pageBreakBefore w:val="0"/>
              <w:widowControl/>
              <w:kinsoku/>
              <w:wordWrap/>
              <w:overflowPunct/>
              <w:topLinePunct w:val="0"/>
              <w:autoSpaceDE/>
              <w:autoSpaceDN/>
              <w:bidi w:val="0"/>
              <w:snapToGrid w:val="0"/>
              <w:spacing w:line="400" w:lineRule="exac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（5）财政部、工业和信息化部《关于印发《政府采购促进中小企业展暂行办法》的通知》（财库[2011]181号文）； </w:t>
            </w:r>
          </w:p>
          <w:p>
            <w:pPr>
              <w:keepNext w:val="0"/>
              <w:keepLines w:val="0"/>
              <w:pageBreakBefore w:val="0"/>
              <w:widowControl/>
              <w:kinsoku/>
              <w:wordWrap/>
              <w:overflowPunct/>
              <w:topLinePunct w:val="0"/>
              <w:autoSpaceDE/>
              <w:autoSpaceDN/>
              <w:bidi w:val="0"/>
              <w:snapToGrid w:val="0"/>
              <w:spacing w:line="400" w:lineRule="exac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（6）财政部、民政部、中国残疾人联合会《关于促进残疾人就业政府采购政策的通知》（财库[2017]141号）； </w:t>
            </w:r>
          </w:p>
          <w:p>
            <w:pPr>
              <w:keepNext w:val="0"/>
              <w:keepLines w:val="0"/>
              <w:pageBreakBefore w:val="0"/>
              <w:widowControl/>
              <w:kinsoku/>
              <w:wordWrap/>
              <w:overflowPunct/>
              <w:topLinePunct w:val="0"/>
              <w:autoSpaceDE/>
              <w:autoSpaceDN/>
              <w:bidi w:val="0"/>
              <w:snapToGrid w:val="0"/>
              <w:spacing w:line="400" w:lineRule="exact"/>
              <w:rPr>
                <w:rFonts w:hint="eastAsia" w:ascii="宋体" w:hAnsi="宋体" w:eastAsia="宋体" w:cs="宋体"/>
                <w:sz w:val="24"/>
                <w:szCs w:val="24"/>
                <w:highlight w:val="none"/>
              </w:rPr>
            </w:pPr>
            <w:r>
              <w:rPr>
                <w:rFonts w:hint="eastAsia" w:ascii="宋体" w:hAnsi="宋体" w:eastAsia="宋体" w:cs="宋体"/>
                <w:color w:val="000000"/>
                <w:sz w:val="24"/>
                <w:szCs w:val="24"/>
                <w:highlight w:val="none"/>
              </w:rPr>
              <w:t>( 7）财政部、司法部《关于政府采购支持监狱企业发展有关问题的通知》（财库[2014]68号文）。（中小企业优惠、监狱企业、节能产品、环境标志产品等）。</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573"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32</w:t>
            </w:r>
          </w:p>
        </w:tc>
        <w:tc>
          <w:tcPr>
            <w:tcW w:w="1956" w:type="dxa"/>
            <w:tcBorders>
              <w:top w:val="single" w:color="auto" w:sz="4" w:space="0"/>
              <w:left w:val="single" w:color="auto" w:sz="4" w:space="0"/>
              <w:bottom w:val="single" w:color="auto" w:sz="4" w:space="0"/>
              <w:right w:val="single" w:color="auto" w:sz="4" w:space="0"/>
            </w:tcBorders>
            <w:noWrap w:val="0"/>
            <w:vAlign w:val="center"/>
          </w:tcPr>
          <w:p>
            <w:pPr>
              <w:pStyle w:val="15"/>
              <w:spacing w:line="400" w:lineRule="exact"/>
              <w:jc w:val="center"/>
              <w:rPr>
                <w:rFonts w:hint="eastAsia" w:ascii="宋体" w:hAnsi="宋体" w:eastAsia="宋体" w:cs="宋体"/>
                <w:sz w:val="24"/>
                <w:szCs w:val="24"/>
                <w:highlight w:val="none"/>
              </w:rPr>
            </w:pPr>
            <w:r>
              <w:rPr>
                <w:rFonts w:hint="eastAsia" w:ascii="宋体" w:hAnsi="宋体" w:eastAsia="宋体" w:cs="宋体"/>
                <w:kern w:val="2"/>
                <w:sz w:val="24"/>
                <w:szCs w:val="24"/>
                <w:highlight w:val="none"/>
                <w:lang w:val="en-US" w:eastAsia="zh-CN" w:bidi="ar-SA"/>
              </w:rPr>
              <w:t>质疑须知</w:t>
            </w:r>
          </w:p>
        </w:tc>
        <w:tc>
          <w:tcPr>
            <w:tcW w:w="728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val="0"/>
              <w:spacing w:line="400"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.供应商认为</w:t>
            </w:r>
            <w:r>
              <w:rPr>
                <w:rFonts w:hint="eastAsia" w:ascii="宋体" w:hAnsi="宋体" w:eastAsia="宋体" w:cs="宋体"/>
                <w:sz w:val="24"/>
                <w:szCs w:val="24"/>
                <w:highlight w:val="none"/>
                <w:lang w:eastAsia="zh-CN"/>
              </w:rPr>
              <w:t>磋商文件</w:t>
            </w:r>
            <w:r>
              <w:rPr>
                <w:rFonts w:hint="eastAsia" w:ascii="宋体" w:hAnsi="宋体" w:eastAsia="宋体" w:cs="宋体"/>
                <w:sz w:val="24"/>
                <w:szCs w:val="24"/>
                <w:highlight w:val="none"/>
              </w:rPr>
              <w:t>、采购过程、中标或者成交结果使自己的权益受到损害的，可以在知道或者应知其权益受到损害之日起7个工作日内，以书面形式向采购人、采购代理机构提出质疑。</w:t>
            </w:r>
          </w:p>
          <w:p>
            <w:pPr>
              <w:keepNext w:val="0"/>
              <w:keepLines w:val="0"/>
              <w:pageBreakBefore w:val="0"/>
              <w:kinsoku/>
              <w:wordWrap/>
              <w:overflowPunct/>
              <w:topLinePunct w:val="0"/>
              <w:autoSpaceDE/>
              <w:autoSpaceDN/>
              <w:bidi w:val="0"/>
              <w:adjustRightInd/>
              <w:snapToGrid w:val="0"/>
              <w:spacing w:line="400"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2.提出质疑的供应商（以下简称质疑供应商）应当是参与所质疑项目采购活动的供应商。</w:t>
            </w:r>
          </w:p>
          <w:p>
            <w:pPr>
              <w:keepNext w:val="0"/>
              <w:keepLines w:val="0"/>
              <w:pageBreakBefore w:val="0"/>
              <w:kinsoku/>
              <w:wordWrap/>
              <w:overflowPunct/>
              <w:topLinePunct w:val="0"/>
              <w:autoSpaceDE/>
              <w:autoSpaceDN/>
              <w:bidi w:val="0"/>
              <w:adjustRightInd/>
              <w:snapToGrid w:val="0"/>
              <w:spacing w:line="400"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3.质疑函应当包括下列内容：</w:t>
            </w:r>
          </w:p>
          <w:p>
            <w:pPr>
              <w:keepNext w:val="0"/>
              <w:keepLines w:val="0"/>
              <w:pageBreakBefore w:val="0"/>
              <w:kinsoku/>
              <w:wordWrap/>
              <w:overflowPunct/>
              <w:topLinePunct w:val="0"/>
              <w:autoSpaceDE/>
              <w:autoSpaceDN/>
              <w:bidi w:val="0"/>
              <w:adjustRightInd/>
              <w:snapToGrid w:val="0"/>
              <w:spacing w:line="400"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（一）供应商的姓名或者名称、地址、邮编、联系人及联系电话；</w:t>
            </w:r>
          </w:p>
          <w:p>
            <w:pPr>
              <w:keepNext w:val="0"/>
              <w:keepLines w:val="0"/>
              <w:pageBreakBefore w:val="0"/>
              <w:kinsoku/>
              <w:wordWrap/>
              <w:overflowPunct/>
              <w:topLinePunct w:val="0"/>
              <w:autoSpaceDE/>
              <w:autoSpaceDN/>
              <w:bidi w:val="0"/>
              <w:adjustRightInd/>
              <w:snapToGrid w:val="0"/>
              <w:spacing w:line="400"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（二）质疑项目的名称、编号；</w:t>
            </w:r>
          </w:p>
          <w:p>
            <w:pPr>
              <w:keepNext w:val="0"/>
              <w:keepLines w:val="0"/>
              <w:pageBreakBefore w:val="0"/>
              <w:kinsoku/>
              <w:wordWrap/>
              <w:overflowPunct/>
              <w:topLinePunct w:val="0"/>
              <w:autoSpaceDE/>
              <w:autoSpaceDN/>
              <w:bidi w:val="0"/>
              <w:adjustRightInd/>
              <w:snapToGrid w:val="0"/>
              <w:spacing w:line="400"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（三）具体、明确的质疑事项和与质疑事项相关的请求；</w:t>
            </w:r>
          </w:p>
          <w:p>
            <w:pPr>
              <w:keepNext w:val="0"/>
              <w:keepLines w:val="0"/>
              <w:pageBreakBefore w:val="0"/>
              <w:kinsoku/>
              <w:wordWrap/>
              <w:overflowPunct/>
              <w:topLinePunct w:val="0"/>
              <w:autoSpaceDE/>
              <w:autoSpaceDN/>
              <w:bidi w:val="0"/>
              <w:adjustRightInd/>
              <w:snapToGrid w:val="0"/>
              <w:spacing w:line="400"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（四）事实依据；</w:t>
            </w:r>
          </w:p>
          <w:p>
            <w:pPr>
              <w:keepNext w:val="0"/>
              <w:keepLines w:val="0"/>
              <w:pageBreakBefore w:val="0"/>
              <w:kinsoku/>
              <w:wordWrap/>
              <w:overflowPunct/>
              <w:topLinePunct w:val="0"/>
              <w:autoSpaceDE/>
              <w:autoSpaceDN/>
              <w:bidi w:val="0"/>
              <w:adjustRightInd/>
              <w:snapToGrid w:val="0"/>
              <w:spacing w:line="400"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（五）必要的法律依据；</w:t>
            </w:r>
          </w:p>
          <w:p>
            <w:pPr>
              <w:keepNext w:val="0"/>
              <w:keepLines w:val="0"/>
              <w:pageBreakBefore w:val="0"/>
              <w:kinsoku/>
              <w:wordWrap/>
              <w:overflowPunct/>
              <w:topLinePunct w:val="0"/>
              <w:autoSpaceDE/>
              <w:autoSpaceDN/>
              <w:bidi w:val="0"/>
              <w:adjustRightInd/>
              <w:snapToGrid w:val="0"/>
              <w:spacing w:line="400"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（六）提出质疑的日期。</w:t>
            </w:r>
          </w:p>
          <w:p>
            <w:pPr>
              <w:pStyle w:val="32"/>
              <w:keepNext w:val="0"/>
              <w:keepLines w:val="0"/>
              <w:pageBreakBefore w:val="0"/>
              <w:kinsoku/>
              <w:wordWrap/>
              <w:overflowPunct/>
              <w:topLinePunct w:val="0"/>
              <w:autoSpaceDE/>
              <w:autoSpaceDN/>
              <w:bidi w:val="0"/>
              <w:adjustRightInd/>
              <w:snapToGrid w:val="0"/>
              <w:spacing w:before="0" w:after="0" w:line="400" w:lineRule="exact"/>
              <w:jc w:val="left"/>
              <w:textAlignment w:val="auto"/>
              <w:rPr>
                <w:rFonts w:hint="eastAsia" w:ascii="宋体" w:hAnsi="宋体" w:eastAsia="宋体" w:cs="宋体"/>
                <w:kern w:val="2"/>
                <w:sz w:val="24"/>
                <w:szCs w:val="24"/>
                <w:highlight w:val="none"/>
                <w:lang w:val="en-US" w:eastAsia="zh-CN"/>
              </w:rPr>
            </w:pP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.供应商为自然人的，质疑函应当由本人签字；供应商为法人或者其他组织的，质疑函应当由法定代表人或者其授权代表签字并加盖公章。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573"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33</w:t>
            </w:r>
          </w:p>
        </w:tc>
        <w:tc>
          <w:tcPr>
            <w:tcW w:w="1956" w:type="dxa"/>
            <w:tcBorders>
              <w:top w:val="single" w:color="auto" w:sz="4" w:space="0"/>
              <w:left w:val="single" w:color="auto" w:sz="4" w:space="0"/>
              <w:bottom w:val="single" w:color="auto" w:sz="4" w:space="0"/>
              <w:right w:val="single" w:color="auto" w:sz="4" w:space="0"/>
            </w:tcBorders>
            <w:noWrap w:val="0"/>
            <w:vAlign w:val="center"/>
          </w:tcPr>
          <w:p>
            <w:pPr>
              <w:pStyle w:val="15"/>
              <w:spacing w:line="40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代理服务费</w:t>
            </w:r>
          </w:p>
        </w:tc>
        <w:tc>
          <w:tcPr>
            <w:tcW w:w="728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400" w:lineRule="exact"/>
              <w:textAlignment w:val="baseline"/>
              <w:rPr>
                <w:rFonts w:hint="eastAsia" w:ascii="宋体" w:hAnsi="宋体" w:eastAsia="宋体" w:cs="宋体"/>
                <w:color w:val="000000"/>
                <w:spacing w:val="-1"/>
                <w:sz w:val="24"/>
                <w:szCs w:val="24"/>
                <w:highlight w:val="none"/>
              </w:rPr>
            </w:pPr>
            <w:r>
              <w:rPr>
                <w:rFonts w:hint="eastAsia" w:ascii="宋体" w:hAnsi="宋体" w:eastAsia="宋体" w:cs="宋体"/>
                <w:color w:val="000000"/>
                <w:spacing w:val="-1"/>
                <w:sz w:val="24"/>
                <w:szCs w:val="24"/>
                <w:highlight w:val="none"/>
              </w:rPr>
              <w:t>代理服务费按合同约定由中标</w:t>
            </w:r>
            <w:r>
              <w:rPr>
                <w:rFonts w:hint="eastAsia" w:ascii="宋体" w:hAnsi="宋体" w:eastAsia="宋体" w:cs="宋体"/>
                <w:color w:val="000000"/>
                <w:spacing w:val="-1"/>
                <w:sz w:val="24"/>
                <w:szCs w:val="24"/>
                <w:highlight w:val="none"/>
                <w:lang w:val="en-US" w:eastAsia="zh-CN"/>
              </w:rPr>
              <w:t>单位</w:t>
            </w:r>
            <w:r>
              <w:rPr>
                <w:rFonts w:hint="eastAsia" w:ascii="宋体" w:hAnsi="宋体" w:eastAsia="宋体" w:cs="宋体"/>
                <w:color w:val="000000"/>
                <w:spacing w:val="-1"/>
                <w:sz w:val="24"/>
                <w:szCs w:val="24"/>
                <w:highlight w:val="none"/>
              </w:rPr>
              <w:t>向招标代理机构支付，依据计价格[2002]1980号）、发改价格〔2015〕299号文件，招标代理服务收费按差额定率累进法计算后计取：</w:t>
            </w:r>
          </w:p>
          <w:p>
            <w:pPr>
              <w:keepNext w:val="0"/>
              <w:keepLines w:val="0"/>
              <w:pageBreakBefore w:val="0"/>
              <w:kinsoku/>
              <w:wordWrap/>
              <w:overflowPunct/>
              <w:topLinePunct w:val="0"/>
              <w:autoSpaceDE/>
              <w:autoSpaceDN/>
              <w:bidi w:val="0"/>
              <w:adjustRightInd w:val="0"/>
              <w:snapToGrid w:val="0"/>
              <w:spacing w:line="400" w:lineRule="exact"/>
              <w:textAlignment w:val="baseline"/>
              <w:rPr>
                <w:rFonts w:hint="eastAsia" w:ascii="宋体" w:hAnsi="宋体" w:eastAsia="宋体" w:cs="宋体"/>
                <w:color w:val="000000"/>
                <w:spacing w:val="-1"/>
                <w:sz w:val="24"/>
                <w:szCs w:val="24"/>
                <w:highlight w:val="none"/>
              </w:rPr>
            </w:pPr>
            <w:r>
              <w:rPr>
                <w:rFonts w:hint="eastAsia" w:ascii="宋体" w:hAnsi="宋体" w:eastAsia="宋体" w:cs="宋体"/>
                <w:color w:val="000000"/>
                <w:spacing w:val="-1"/>
                <w:sz w:val="24"/>
                <w:szCs w:val="24"/>
                <w:highlight w:val="none"/>
              </w:rPr>
              <w:t xml:space="preserve">中标金额100万元以下的部分,服务类采购费率1.5% </w:t>
            </w:r>
          </w:p>
          <w:p>
            <w:pPr>
              <w:keepNext w:val="0"/>
              <w:keepLines w:val="0"/>
              <w:pageBreakBefore w:val="0"/>
              <w:kinsoku/>
              <w:wordWrap/>
              <w:overflowPunct/>
              <w:topLinePunct w:val="0"/>
              <w:autoSpaceDE/>
              <w:autoSpaceDN/>
              <w:bidi w:val="0"/>
              <w:adjustRightInd w:val="0"/>
              <w:snapToGrid w:val="0"/>
              <w:spacing w:line="400" w:lineRule="exact"/>
              <w:textAlignment w:val="baseline"/>
              <w:rPr>
                <w:rFonts w:hint="eastAsia" w:ascii="宋体" w:hAnsi="宋体" w:eastAsia="宋体" w:cs="宋体"/>
                <w:color w:val="FF0000"/>
                <w:sz w:val="24"/>
                <w:szCs w:val="24"/>
                <w:highlight w:val="none"/>
              </w:rPr>
            </w:pPr>
            <w:r>
              <w:rPr>
                <w:rFonts w:hint="eastAsia" w:ascii="宋体" w:hAnsi="宋体" w:eastAsia="宋体" w:cs="宋体"/>
                <w:color w:val="000000"/>
                <w:spacing w:val="-1"/>
                <w:sz w:val="24"/>
                <w:szCs w:val="24"/>
                <w:highlight w:val="none"/>
              </w:rPr>
              <w:t>中标金额100-500万元的部分,服务类采购费率0.8%</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573"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eastAsia="宋体" w:cs="宋体"/>
                <w:sz w:val="24"/>
                <w:szCs w:val="24"/>
                <w:highlight w:val="none"/>
              </w:rPr>
            </w:pPr>
          </w:p>
        </w:tc>
        <w:tc>
          <w:tcPr>
            <w:tcW w:w="195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场地费</w:t>
            </w:r>
          </w:p>
        </w:tc>
        <w:tc>
          <w:tcPr>
            <w:tcW w:w="728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napToGrid w:val="0"/>
              <w:spacing w:line="400" w:lineRule="exact"/>
              <w:rPr>
                <w:rFonts w:hint="eastAsia" w:ascii="宋体" w:hAnsi="宋体" w:eastAsia="宋体" w:cs="宋体"/>
                <w:color w:val="000000"/>
                <w:spacing w:val="-1"/>
                <w:sz w:val="24"/>
                <w:szCs w:val="24"/>
                <w:highlight w:val="none"/>
              </w:rPr>
            </w:pPr>
            <w:r>
              <w:rPr>
                <w:rFonts w:hint="eastAsia" w:ascii="宋体" w:hAnsi="宋体" w:eastAsia="宋体" w:cs="宋体"/>
                <w:sz w:val="24"/>
                <w:szCs w:val="24"/>
                <w:highlight w:val="none"/>
                <w:lang w:val="en-US" w:eastAsia="zh-CN"/>
              </w:rPr>
              <w:t>提交响应文件的供应商每家交500元场地费。</w:t>
            </w:r>
          </w:p>
        </w:tc>
      </w:tr>
    </w:tbl>
    <w:p>
      <w:pPr>
        <w:jc w:val="center"/>
        <w:rPr>
          <w:rFonts w:hint="eastAsia" w:ascii="宋体" w:hAnsi="宋体" w:eastAsia="宋体" w:cs="宋体"/>
          <w:b/>
          <w:i w:val="0"/>
          <w:iCs w:val="0"/>
          <w:color w:val="auto"/>
          <w:sz w:val="32"/>
          <w:szCs w:val="32"/>
          <w:highlight w:val="none"/>
          <w:lang w:val="en-US" w:eastAsia="zh-CN"/>
        </w:rPr>
      </w:pPr>
    </w:p>
    <w:p>
      <w:pPr>
        <w:jc w:val="center"/>
        <w:rPr>
          <w:rFonts w:hint="eastAsia" w:ascii="宋体" w:hAnsi="宋体" w:eastAsia="宋体" w:cs="宋体"/>
          <w:b/>
          <w:i w:val="0"/>
          <w:iCs w:val="0"/>
          <w:color w:val="auto"/>
          <w:sz w:val="32"/>
          <w:szCs w:val="32"/>
          <w:highlight w:val="none"/>
          <w:lang w:val="en-US" w:eastAsia="zh-CN"/>
        </w:rPr>
      </w:pPr>
    </w:p>
    <w:p>
      <w:pPr>
        <w:jc w:val="center"/>
        <w:rPr>
          <w:rFonts w:hint="eastAsia" w:ascii="宋体" w:hAnsi="宋体" w:eastAsia="宋体" w:cs="宋体"/>
          <w:b/>
          <w:i w:val="0"/>
          <w:iCs w:val="0"/>
          <w:color w:val="auto"/>
          <w:sz w:val="32"/>
          <w:szCs w:val="32"/>
          <w:highlight w:val="none"/>
          <w:lang w:val="en-US" w:eastAsia="zh-CN"/>
        </w:rPr>
      </w:pPr>
    </w:p>
    <w:p>
      <w:pPr>
        <w:jc w:val="center"/>
        <w:rPr>
          <w:rFonts w:hint="eastAsia" w:ascii="宋体" w:hAnsi="宋体" w:eastAsia="宋体" w:cs="宋体"/>
          <w:b/>
          <w:i w:val="0"/>
          <w:iCs w:val="0"/>
          <w:color w:val="auto"/>
          <w:sz w:val="32"/>
          <w:szCs w:val="32"/>
          <w:highlight w:val="none"/>
          <w:lang w:val="en-US" w:eastAsia="zh-CN"/>
        </w:rPr>
      </w:pPr>
    </w:p>
    <w:p>
      <w:pPr>
        <w:jc w:val="center"/>
        <w:rPr>
          <w:rFonts w:hint="eastAsia" w:ascii="宋体" w:hAnsi="宋体" w:eastAsia="宋体" w:cs="宋体"/>
          <w:b/>
          <w:i w:val="0"/>
          <w:iCs w:val="0"/>
          <w:color w:val="auto"/>
          <w:sz w:val="32"/>
          <w:szCs w:val="32"/>
          <w:highlight w:val="none"/>
        </w:rPr>
      </w:pPr>
      <w:r>
        <w:rPr>
          <w:rFonts w:hint="eastAsia" w:ascii="宋体" w:hAnsi="宋体" w:eastAsia="宋体" w:cs="宋体"/>
          <w:b/>
          <w:i w:val="0"/>
          <w:iCs w:val="0"/>
          <w:color w:val="auto"/>
          <w:sz w:val="32"/>
          <w:szCs w:val="32"/>
          <w:highlight w:val="none"/>
          <w:lang w:val="en-US" w:eastAsia="zh-CN"/>
        </w:rPr>
        <w:t>二</w:t>
      </w:r>
      <w:r>
        <w:rPr>
          <w:rFonts w:hint="eastAsia" w:ascii="宋体" w:hAnsi="宋体" w:eastAsia="宋体" w:cs="宋体"/>
          <w:b/>
          <w:i w:val="0"/>
          <w:iCs w:val="0"/>
          <w:color w:val="auto"/>
          <w:sz w:val="32"/>
          <w:szCs w:val="32"/>
          <w:highlight w:val="none"/>
        </w:rPr>
        <w:t>、投标须知</w:t>
      </w:r>
    </w:p>
    <w:p>
      <w:pPr>
        <w:pStyle w:val="33"/>
        <w:numPr>
          <w:ilvl w:val="0"/>
          <w:numId w:val="0"/>
        </w:numPr>
        <w:ind w:leftChars="0"/>
        <w:jc w:val="center"/>
        <w:outlineLvl w:val="9"/>
        <w:rPr>
          <w:rFonts w:hint="eastAsia"/>
          <w:b/>
          <w:bCs/>
          <w:color w:val="auto"/>
          <w:sz w:val="28"/>
          <w:szCs w:val="21"/>
          <w:highlight w:val="none"/>
        </w:rPr>
      </w:pPr>
      <w:bookmarkStart w:id="42" w:name="_Toc415483391"/>
      <w:r>
        <w:rPr>
          <w:rFonts w:hint="eastAsia"/>
          <w:b/>
          <w:bCs/>
          <w:color w:val="auto"/>
          <w:sz w:val="28"/>
          <w:szCs w:val="21"/>
          <w:highlight w:val="none"/>
          <w:lang w:eastAsia="zh-CN"/>
        </w:rPr>
        <w:t>一</w:t>
      </w:r>
      <w:r>
        <w:rPr>
          <w:rFonts w:hint="eastAsia"/>
          <w:b/>
          <w:bCs/>
          <w:color w:val="auto"/>
          <w:sz w:val="28"/>
          <w:szCs w:val="21"/>
          <w:highlight w:val="none"/>
        </w:rPr>
        <w:t>、总则</w:t>
      </w:r>
    </w:p>
    <w:p>
      <w:pPr>
        <w:pStyle w:val="34"/>
        <w:spacing w:line="360" w:lineRule="auto"/>
        <w:ind w:firstLine="567"/>
        <w:jc w:val="both"/>
        <w:outlineLvl w:val="1"/>
        <w:rPr>
          <w:rFonts w:hint="eastAsia" w:ascii="宋体" w:hAnsi="宋体" w:eastAsia="宋体" w:cs="宋体"/>
          <w:i w:val="0"/>
          <w:iCs w:val="0"/>
          <w:color w:val="auto"/>
          <w:kern w:val="2"/>
          <w:sz w:val="24"/>
          <w:szCs w:val="24"/>
          <w:highlight w:val="none"/>
          <w:lang w:val="en-US" w:eastAsia="zh-CN" w:bidi="ar-SA"/>
        </w:rPr>
      </w:pPr>
      <w:bookmarkStart w:id="43" w:name="_Toc11144"/>
      <w:r>
        <w:rPr>
          <w:rFonts w:hint="eastAsia" w:ascii="宋体" w:hAnsi="宋体" w:eastAsia="宋体" w:cs="宋体"/>
          <w:i w:val="0"/>
          <w:iCs w:val="0"/>
          <w:color w:val="auto"/>
          <w:kern w:val="2"/>
          <w:sz w:val="24"/>
          <w:szCs w:val="24"/>
          <w:highlight w:val="none"/>
          <w:lang w:val="en-US" w:eastAsia="zh-CN" w:bidi="ar-SA"/>
        </w:rPr>
        <w:t>1. 合格的</w:t>
      </w:r>
      <w:r>
        <w:rPr>
          <w:rFonts w:hint="eastAsia" w:ascii="宋体" w:hAnsi="宋体" w:cs="宋体"/>
          <w:i w:val="0"/>
          <w:iCs w:val="0"/>
          <w:color w:val="auto"/>
          <w:kern w:val="2"/>
          <w:sz w:val="24"/>
          <w:szCs w:val="24"/>
          <w:highlight w:val="none"/>
          <w:lang w:val="en-US" w:eastAsia="zh-CN" w:bidi="ar-SA"/>
        </w:rPr>
        <w:t>供应商</w:t>
      </w:r>
      <w:bookmarkEnd w:id="43"/>
    </w:p>
    <w:p>
      <w:pPr>
        <w:pStyle w:val="34"/>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1.1 符合《中华人民共和国政府采购法》第二十二条规定的条件，具备独立承担民事责任能力的在中华人民共和国境内注册的，有承担本次招标采购项目能力的及符合条件的法人或其他组织。</w:t>
      </w:r>
    </w:p>
    <w:p>
      <w:pPr>
        <w:pStyle w:val="34"/>
        <w:spacing w:line="360" w:lineRule="auto"/>
        <w:ind w:firstLine="567"/>
        <w:jc w:val="both"/>
        <w:rPr>
          <w:rFonts w:hint="default"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1.2 有效的营业执照、资质证书；</w:t>
      </w:r>
    </w:p>
    <w:p>
      <w:pPr>
        <w:pStyle w:val="34"/>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 xml:space="preserve">1.3 </w:t>
      </w:r>
      <w:r>
        <w:rPr>
          <w:rFonts w:hint="eastAsia" w:ascii="宋体" w:hAnsi="宋体" w:cs="宋体"/>
          <w:i w:val="0"/>
          <w:iCs w:val="0"/>
          <w:color w:val="auto"/>
          <w:kern w:val="2"/>
          <w:sz w:val="24"/>
          <w:szCs w:val="24"/>
          <w:highlight w:val="none"/>
          <w:lang w:val="en-US" w:eastAsia="zh-CN" w:bidi="ar-SA"/>
        </w:rPr>
        <w:t>供应商</w:t>
      </w:r>
      <w:r>
        <w:rPr>
          <w:rFonts w:hint="eastAsia" w:ascii="宋体" w:hAnsi="宋体" w:eastAsia="宋体" w:cs="宋体"/>
          <w:i w:val="0"/>
          <w:iCs w:val="0"/>
          <w:color w:val="auto"/>
          <w:kern w:val="2"/>
          <w:sz w:val="24"/>
          <w:szCs w:val="24"/>
          <w:highlight w:val="none"/>
          <w:lang w:val="en-US" w:eastAsia="zh-CN" w:bidi="ar-SA"/>
        </w:rPr>
        <w:t>在本次招标活动中，必须遵循《中华人民共和国招标投标法》、《中华人民共和国招标投标法实施条例》、《政府采购货物和服务招标投标管理办法》（财政部87号令）等相关法律法规的规定。</w:t>
      </w:r>
    </w:p>
    <w:p>
      <w:pPr>
        <w:pStyle w:val="34"/>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 xml:space="preserve">1.4  </w:t>
      </w:r>
      <w:r>
        <w:rPr>
          <w:rFonts w:hint="eastAsia" w:ascii="宋体" w:hAnsi="宋体" w:cs="宋体"/>
          <w:i w:val="0"/>
          <w:iCs w:val="0"/>
          <w:color w:val="auto"/>
          <w:kern w:val="2"/>
          <w:sz w:val="24"/>
          <w:szCs w:val="24"/>
          <w:highlight w:val="none"/>
          <w:lang w:val="en-US" w:eastAsia="zh-CN" w:bidi="ar-SA"/>
        </w:rPr>
        <w:t>供应商</w:t>
      </w:r>
      <w:r>
        <w:rPr>
          <w:rFonts w:hint="eastAsia" w:ascii="宋体" w:hAnsi="宋体" w:eastAsia="宋体" w:cs="宋体"/>
          <w:i w:val="0"/>
          <w:iCs w:val="0"/>
          <w:color w:val="auto"/>
          <w:kern w:val="2"/>
          <w:sz w:val="24"/>
          <w:szCs w:val="24"/>
          <w:highlight w:val="none"/>
          <w:lang w:val="en-US" w:eastAsia="zh-CN" w:bidi="ar-SA"/>
        </w:rPr>
        <w:t>参加政府采购活动近三年内无违法违规记录和法律诉讼纠纷，需提供书面声明。</w:t>
      </w:r>
    </w:p>
    <w:p>
      <w:pPr>
        <w:pStyle w:val="34"/>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1.5  为保证政府采购活动公平、公正、诚实信用，</w:t>
      </w:r>
      <w:r>
        <w:rPr>
          <w:rFonts w:hint="eastAsia" w:ascii="宋体" w:hAnsi="宋体" w:cs="宋体"/>
          <w:i w:val="0"/>
          <w:iCs w:val="0"/>
          <w:color w:val="auto"/>
          <w:kern w:val="2"/>
          <w:sz w:val="24"/>
          <w:szCs w:val="24"/>
          <w:highlight w:val="none"/>
          <w:lang w:val="en-US" w:eastAsia="zh-CN" w:bidi="ar-SA"/>
        </w:rPr>
        <w:t>供应商</w:t>
      </w:r>
      <w:r>
        <w:rPr>
          <w:rFonts w:hint="eastAsia" w:ascii="宋体" w:hAnsi="宋体" w:eastAsia="宋体" w:cs="宋体"/>
          <w:i w:val="0"/>
          <w:iCs w:val="0"/>
          <w:color w:val="auto"/>
          <w:kern w:val="2"/>
          <w:sz w:val="24"/>
          <w:szCs w:val="24"/>
          <w:highlight w:val="none"/>
          <w:lang w:val="en-US" w:eastAsia="zh-CN" w:bidi="ar-SA"/>
        </w:rPr>
        <w:t>提供的材料及技术参数应真实有效，响应文件内提供书面诚信投标承诺书。</w:t>
      </w:r>
    </w:p>
    <w:p>
      <w:pPr>
        <w:pStyle w:val="34"/>
        <w:spacing w:line="360" w:lineRule="auto"/>
        <w:ind w:firstLine="567"/>
        <w:jc w:val="both"/>
        <w:rPr>
          <w:rFonts w:hint="default"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1.6  为保证本次招标活动公平竞争，杜绝任何形式的商业贿赂行为，</w:t>
      </w:r>
      <w:r>
        <w:rPr>
          <w:rFonts w:hint="eastAsia" w:ascii="宋体" w:hAnsi="宋体" w:eastAsia="宋体" w:cs="宋体"/>
          <w:color w:val="auto"/>
          <w:sz w:val="24"/>
          <w:highlight w:val="none"/>
          <w:lang w:eastAsia="zh-CN"/>
        </w:rPr>
        <w:t>响应文件</w:t>
      </w:r>
      <w:r>
        <w:rPr>
          <w:rFonts w:hint="eastAsia" w:ascii="宋体" w:hAnsi="宋体" w:eastAsia="宋体" w:cs="宋体"/>
          <w:i w:val="0"/>
          <w:iCs w:val="0"/>
          <w:color w:val="auto"/>
          <w:kern w:val="2"/>
          <w:sz w:val="24"/>
          <w:szCs w:val="24"/>
          <w:highlight w:val="none"/>
          <w:lang w:val="en-US" w:eastAsia="zh-CN" w:bidi="ar-SA"/>
        </w:rPr>
        <w:t>内必须提供反商业贿赂承诺书。</w:t>
      </w:r>
    </w:p>
    <w:p>
      <w:pPr>
        <w:pStyle w:val="34"/>
        <w:spacing w:line="360" w:lineRule="auto"/>
        <w:ind w:left="561" w:leftChars="267" w:firstLine="2" w:firstLineChars="1"/>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1.</w:t>
      </w:r>
      <w:r>
        <w:rPr>
          <w:rFonts w:hint="eastAsia" w:ascii="宋体" w:hAnsi="宋体" w:cs="宋体"/>
          <w:i w:val="0"/>
          <w:iCs w:val="0"/>
          <w:color w:val="auto"/>
          <w:kern w:val="2"/>
          <w:sz w:val="24"/>
          <w:szCs w:val="24"/>
          <w:highlight w:val="none"/>
          <w:lang w:val="en-US" w:eastAsia="zh-CN" w:bidi="ar-SA"/>
        </w:rPr>
        <w:t>7</w:t>
      </w:r>
      <w:r>
        <w:rPr>
          <w:rFonts w:hint="eastAsia" w:ascii="宋体" w:hAnsi="宋体" w:eastAsia="宋体" w:cs="宋体"/>
          <w:i w:val="0"/>
          <w:iCs w:val="0"/>
          <w:color w:val="auto"/>
          <w:kern w:val="2"/>
          <w:sz w:val="24"/>
          <w:szCs w:val="24"/>
          <w:highlight w:val="none"/>
          <w:lang w:val="en-US" w:eastAsia="zh-CN" w:bidi="ar-SA"/>
        </w:rPr>
        <w:t xml:space="preserve">  不符合以上条款规定的</w:t>
      </w:r>
      <w:r>
        <w:rPr>
          <w:rFonts w:hint="eastAsia" w:ascii="宋体" w:hAnsi="宋体" w:cs="宋体"/>
          <w:i w:val="0"/>
          <w:iCs w:val="0"/>
          <w:color w:val="auto"/>
          <w:kern w:val="2"/>
          <w:sz w:val="24"/>
          <w:szCs w:val="24"/>
          <w:highlight w:val="none"/>
          <w:lang w:val="en-US" w:eastAsia="zh-CN" w:bidi="ar-SA"/>
        </w:rPr>
        <w:t>供应商</w:t>
      </w:r>
      <w:r>
        <w:rPr>
          <w:rFonts w:hint="eastAsia" w:ascii="宋体" w:hAnsi="宋体" w:eastAsia="宋体" w:cs="宋体"/>
          <w:i w:val="0"/>
          <w:iCs w:val="0"/>
          <w:color w:val="auto"/>
          <w:kern w:val="2"/>
          <w:sz w:val="24"/>
          <w:szCs w:val="24"/>
          <w:highlight w:val="none"/>
          <w:lang w:val="en-US" w:eastAsia="zh-CN" w:bidi="ar-SA"/>
        </w:rPr>
        <w:t>，其投标无效。</w:t>
      </w:r>
    </w:p>
    <w:p>
      <w:pPr>
        <w:pStyle w:val="34"/>
        <w:spacing w:line="360" w:lineRule="auto"/>
        <w:ind w:left="561" w:leftChars="267" w:firstLine="2" w:firstLineChars="1"/>
        <w:jc w:val="both"/>
        <w:outlineLvl w:val="1"/>
        <w:rPr>
          <w:rFonts w:hint="eastAsia" w:ascii="宋体" w:hAnsi="宋体" w:eastAsia="宋体" w:cs="宋体"/>
          <w:i w:val="0"/>
          <w:iCs w:val="0"/>
          <w:color w:val="auto"/>
          <w:kern w:val="2"/>
          <w:sz w:val="24"/>
          <w:szCs w:val="24"/>
          <w:highlight w:val="none"/>
          <w:lang w:val="en-US" w:eastAsia="zh-CN" w:bidi="ar-SA"/>
        </w:rPr>
      </w:pPr>
      <w:bookmarkStart w:id="44" w:name="_Toc23359"/>
      <w:r>
        <w:rPr>
          <w:rFonts w:hint="eastAsia" w:ascii="宋体" w:hAnsi="宋体" w:eastAsia="宋体" w:cs="宋体"/>
          <w:i w:val="0"/>
          <w:iCs w:val="0"/>
          <w:color w:val="auto"/>
          <w:kern w:val="2"/>
          <w:sz w:val="24"/>
          <w:szCs w:val="24"/>
          <w:highlight w:val="none"/>
          <w:lang w:val="en-US" w:eastAsia="zh-CN" w:bidi="ar-SA"/>
        </w:rPr>
        <w:t>2. 定义</w:t>
      </w:r>
      <w:bookmarkEnd w:id="44"/>
    </w:p>
    <w:p>
      <w:pPr>
        <w:pStyle w:val="34"/>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2.1“采购代理机构”系指</w:t>
      </w:r>
      <w:r>
        <w:rPr>
          <w:rFonts w:hint="eastAsia" w:ascii="宋体" w:hAnsi="宋体" w:cs="宋体"/>
          <w:i w:val="0"/>
          <w:iCs w:val="0"/>
          <w:color w:val="auto"/>
          <w:kern w:val="2"/>
          <w:sz w:val="24"/>
          <w:szCs w:val="24"/>
          <w:highlight w:val="none"/>
          <w:lang w:val="en-US" w:eastAsia="zh-CN" w:bidi="ar-SA"/>
        </w:rPr>
        <w:t>新疆乾泽辰工程咨询服务有限公司</w:t>
      </w:r>
      <w:r>
        <w:rPr>
          <w:rFonts w:hint="eastAsia" w:ascii="宋体" w:hAnsi="宋体" w:eastAsia="宋体" w:cs="宋体"/>
          <w:i w:val="0"/>
          <w:iCs w:val="0"/>
          <w:color w:val="auto"/>
          <w:kern w:val="2"/>
          <w:sz w:val="24"/>
          <w:szCs w:val="24"/>
          <w:highlight w:val="none"/>
          <w:lang w:val="en-US" w:eastAsia="zh-CN" w:bidi="ar-SA"/>
        </w:rPr>
        <w:t>。</w:t>
      </w:r>
    </w:p>
    <w:p>
      <w:pPr>
        <w:pStyle w:val="34"/>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2.2“</w:t>
      </w:r>
      <w:r>
        <w:rPr>
          <w:rFonts w:hint="eastAsia" w:ascii="宋体" w:hAnsi="宋体" w:cs="宋体"/>
          <w:i w:val="0"/>
          <w:iCs w:val="0"/>
          <w:color w:val="auto"/>
          <w:kern w:val="2"/>
          <w:sz w:val="24"/>
          <w:szCs w:val="24"/>
          <w:highlight w:val="none"/>
          <w:lang w:val="en-US" w:eastAsia="zh-CN" w:bidi="ar-SA"/>
        </w:rPr>
        <w:t>供应商</w:t>
      </w:r>
      <w:r>
        <w:rPr>
          <w:rFonts w:hint="eastAsia" w:ascii="宋体" w:hAnsi="宋体" w:eastAsia="宋体" w:cs="宋体"/>
          <w:i w:val="0"/>
          <w:iCs w:val="0"/>
          <w:color w:val="auto"/>
          <w:kern w:val="2"/>
          <w:sz w:val="24"/>
          <w:szCs w:val="24"/>
          <w:highlight w:val="none"/>
          <w:lang w:val="en-US" w:eastAsia="zh-CN" w:bidi="ar-SA"/>
        </w:rPr>
        <w:t>”系指向采购代理机构提交响应文件的</w:t>
      </w:r>
      <w:r>
        <w:rPr>
          <w:rFonts w:hint="eastAsia" w:ascii="宋体" w:hAnsi="宋体" w:cs="宋体"/>
          <w:i w:val="0"/>
          <w:iCs w:val="0"/>
          <w:color w:val="auto"/>
          <w:kern w:val="2"/>
          <w:sz w:val="24"/>
          <w:szCs w:val="24"/>
          <w:highlight w:val="none"/>
          <w:lang w:val="en-US" w:eastAsia="zh-CN" w:bidi="ar-SA"/>
        </w:rPr>
        <w:t>施工</w:t>
      </w:r>
      <w:r>
        <w:rPr>
          <w:rFonts w:hint="eastAsia" w:ascii="宋体" w:hAnsi="宋体" w:eastAsia="宋体" w:cs="宋体"/>
          <w:i w:val="0"/>
          <w:iCs w:val="0"/>
          <w:color w:val="auto"/>
          <w:kern w:val="2"/>
          <w:sz w:val="24"/>
          <w:szCs w:val="24"/>
          <w:highlight w:val="none"/>
          <w:lang w:val="en-US" w:eastAsia="zh-CN" w:bidi="ar-SA"/>
        </w:rPr>
        <w:t>供应商或货物制造商或代理商。</w:t>
      </w:r>
    </w:p>
    <w:p>
      <w:pPr>
        <w:pStyle w:val="34"/>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2.3“货物”系指卖方按合同要求，须向买方提供的设计文件、货物、机械、材料、备品、手册及其他技术资料和材料。详见《政府采购品目分类目录》(财库[2013]189号)。</w:t>
      </w:r>
    </w:p>
    <w:p>
      <w:pPr>
        <w:pStyle w:val="34"/>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2.4“服务”系指按合同规定卖方须承担的运输、装卸、安装调试、技术协助、培训和交付使用后保修期内应履行的义务及售后服务等其他类似的义务。</w:t>
      </w:r>
    </w:p>
    <w:p>
      <w:pPr>
        <w:pStyle w:val="34"/>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2.5“卖方”系指提供合同货物和服务的经济实体。本次招标指中标人。</w:t>
      </w:r>
    </w:p>
    <w:p>
      <w:pPr>
        <w:pStyle w:val="34"/>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2.6“买方”系指购买货物和服务的单位，即为本次招标的采购人。</w:t>
      </w:r>
    </w:p>
    <w:p>
      <w:pPr>
        <w:pStyle w:val="34"/>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2.7“节能产品”或者“环保产品”是指财政部发布最新一期的《节能产品政府采购清单》或者《环境标志产品政府采购清单》的产品，可在中国政府采购网(www.ccgp.gov.cn)查询。</w:t>
      </w:r>
    </w:p>
    <w:p>
      <w:pPr>
        <w:pStyle w:val="34"/>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2.8“进口产品”是指通过中国海关报关验放进入中国境内且产自关境外的产品，详见《关于政府采购进口产品管理有关问题的通知》(财库[2007]119号)及《关于政府采购进口产品管理有关问题的通知》（财办库（2008）248号）。</w:t>
      </w:r>
    </w:p>
    <w:p>
      <w:pPr>
        <w:pStyle w:val="34"/>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2.9 “语言文字”招标响应文件使用的语言文字为中文。专用术语使用外文的，应附有中文注释。</w:t>
      </w:r>
    </w:p>
    <w:p>
      <w:pPr>
        <w:pStyle w:val="34"/>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2.10“计量单位”所有计量均采用中华人民共和国法定计量单位。</w:t>
      </w:r>
    </w:p>
    <w:p>
      <w:pPr>
        <w:pStyle w:val="34"/>
        <w:spacing w:line="360" w:lineRule="auto"/>
        <w:ind w:firstLine="567"/>
        <w:jc w:val="both"/>
        <w:outlineLvl w:val="1"/>
        <w:rPr>
          <w:rFonts w:hint="eastAsia" w:ascii="宋体" w:hAnsi="宋体" w:eastAsia="宋体" w:cs="宋体"/>
          <w:i w:val="0"/>
          <w:iCs w:val="0"/>
          <w:color w:val="auto"/>
          <w:kern w:val="2"/>
          <w:sz w:val="24"/>
          <w:szCs w:val="24"/>
          <w:highlight w:val="none"/>
          <w:lang w:val="en-US" w:eastAsia="zh-CN" w:bidi="ar-SA"/>
        </w:rPr>
      </w:pPr>
      <w:bookmarkStart w:id="45" w:name="_Toc596"/>
      <w:r>
        <w:rPr>
          <w:rFonts w:hint="eastAsia" w:ascii="宋体" w:hAnsi="宋体" w:eastAsia="宋体" w:cs="宋体"/>
          <w:i w:val="0"/>
          <w:iCs w:val="0"/>
          <w:color w:val="auto"/>
          <w:kern w:val="2"/>
          <w:sz w:val="24"/>
          <w:szCs w:val="24"/>
          <w:highlight w:val="none"/>
          <w:lang w:val="en-US" w:eastAsia="zh-CN" w:bidi="ar-SA"/>
        </w:rPr>
        <w:t>3. 其他要求</w:t>
      </w:r>
      <w:bookmarkEnd w:id="45"/>
    </w:p>
    <w:p>
      <w:pPr>
        <w:pStyle w:val="34"/>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3.1 投标费用</w:t>
      </w:r>
    </w:p>
    <w:p>
      <w:pPr>
        <w:pStyle w:val="34"/>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cs="宋体"/>
          <w:i w:val="0"/>
          <w:iCs w:val="0"/>
          <w:color w:val="auto"/>
          <w:kern w:val="2"/>
          <w:sz w:val="24"/>
          <w:szCs w:val="24"/>
          <w:highlight w:val="none"/>
          <w:lang w:val="en-US" w:eastAsia="zh-CN" w:bidi="ar-SA"/>
        </w:rPr>
        <w:t>供应商</w:t>
      </w:r>
      <w:r>
        <w:rPr>
          <w:rFonts w:hint="eastAsia" w:ascii="宋体" w:hAnsi="宋体" w:eastAsia="宋体" w:cs="宋体"/>
          <w:i w:val="0"/>
          <w:iCs w:val="0"/>
          <w:color w:val="auto"/>
          <w:kern w:val="2"/>
          <w:sz w:val="24"/>
          <w:szCs w:val="24"/>
          <w:highlight w:val="none"/>
          <w:lang w:val="en-US" w:eastAsia="zh-CN" w:bidi="ar-SA"/>
        </w:rPr>
        <w:t xml:space="preserve">应自行承担所有与本次招标投标有关的费用，而不论投标的结果如何。 </w:t>
      </w:r>
    </w:p>
    <w:p>
      <w:pPr>
        <w:pStyle w:val="34"/>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3.2 采购进口产品</w:t>
      </w:r>
    </w:p>
    <w:p>
      <w:pPr>
        <w:pStyle w:val="34"/>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3.2.1 除</w:t>
      </w:r>
      <w:r>
        <w:rPr>
          <w:rFonts w:hint="eastAsia" w:ascii="宋体" w:hAnsi="宋体" w:cs="宋体"/>
          <w:i w:val="0"/>
          <w:iCs w:val="0"/>
          <w:color w:val="auto"/>
          <w:kern w:val="2"/>
          <w:sz w:val="24"/>
          <w:szCs w:val="24"/>
          <w:highlight w:val="none"/>
          <w:lang w:val="en-US" w:eastAsia="zh-CN" w:bidi="ar-SA"/>
        </w:rPr>
        <w:t>供应商</w:t>
      </w:r>
      <w:r>
        <w:rPr>
          <w:rFonts w:hint="eastAsia" w:ascii="宋体" w:hAnsi="宋体" w:eastAsia="宋体" w:cs="宋体"/>
          <w:i w:val="0"/>
          <w:iCs w:val="0"/>
          <w:color w:val="auto"/>
          <w:kern w:val="2"/>
          <w:sz w:val="24"/>
          <w:szCs w:val="24"/>
          <w:highlight w:val="none"/>
          <w:lang w:val="en-US" w:eastAsia="zh-CN" w:bidi="ar-SA"/>
        </w:rPr>
        <w:t>须知前附表另有规定外，本项目拒绝进口产品参加招标采购活动。</w:t>
      </w:r>
    </w:p>
    <w:p>
      <w:pPr>
        <w:pStyle w:val="34"/>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3.2.2 本章第4.1款规定同意购买进口产品的，本项目采购活动不限制满足竞争性磋商文件要求的国内产品参与招标。</w:t>
      </w:r>
    </w:p>
    <w:p>
      <w:pPr>
        <w:pStyle w:val="34"/>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 xml:space="preserve">3.3 政府采购政策支持 </w:t>
      </w:r>
    </w:p>
    <w:p>
      <w:pPr>
        <w:pStyle w:val="34"/>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3.3.1 产品符合政府采购强制采购政策的，实行强制采购；符合政府采购优先采购政策的，产品享受节能产品、环境标志产品优惠(由供应商在报价文件中选择并填报，评审时进行价格优惠)；供应商享受支持中小企业发展政策优惠的，可以与同时享受节能产品、环境标志产品产品优惠累加优惠。财政部门关于政府采购强制采购、优先采购的政策规定可在中国政府采购网(www.ccgp.gov.cn)查询。本项目价格扣除比例见</w:t>
      </w:r>
      <w:r>
        <w:rPr>
          <w:rFonts w:hint="eastAsia" w:ascii="宋体" w:hAnsi="宋体" w:cs="宋体"/>
          <w:i w:val="0"/>
          <w:iCs w:val="0"/>
          <w:color w:val="auto"/>
          <w:kern w:val="2"/>
          <w:sz w:val="24"/>
          <w:szCs w:val="24"/>
          <w:highlight w:val="none"/>
          <w:lang w:val="en-US" w:eastAsia="zh-CN" w:bidi="ar-SA"/>
        </w:rPr>
        <w:t>供应商</w:t>
      </w:r>
      <w:r>
        <w:rPr>
          <w:rFonts w:hint="eastAsia" w:ascii="宋体" w:hAnsi="宋体" w:eastAsia="宋体" w:cs="宋体"/>
          <w:i w:val="0"/>
          <w:iCs w:val="0"/>
          <w:color w:val="auto"/>
          <w:kern w:val="2"/>
          <w:sz w:val="24"/>
          <w:szCs w:val="24"/>
          <w:highlight w:val="none"/>
          <w:lang w:val="en-US" w:eastAsia="zh-CN" w:bidi="ar-SA"/>
        </w:rPr>
        <w:t>须知前附表。</w:t>
      </w:r>
    </w:p>
    <w:p>
      <w:pPr>
        <w:pStyle w:val="34"/>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3.3.2 同一项目中部分产品属于优先采购政策的，评审时只对该部分产品的报价实行价格优惠。</w:t>
      </w:r>
    </w:p>
    <w:p>
      <w:pPr>
        <w:pStyle w:val="34"/>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3.3.3 为推进政府采购诚信体系建设，供应商在签署相关承诺，提供相关信息前，应认真阅读财政部门相关政策规定。</w:t>
      </w:r>
    </w:p>
    <w:p>
      <w:pPr>
        <w:pStyle w:val="34"/>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二、竞争性磋商文件</w:t>
      </w:r>
    </w:p>
    <w:p>
      <w:pPr>
        <w:pStyle w:val="34"/>
        <w:spacing w:line="360" w:lineRule="auto"/>
        <w:ind w:firstLine="567"/>
        <w:jc w:val="both"/>
        <w:outlineLvl w:val="1"/>
        <w:rPr>
          <w:rFonts w:hint="eastAsia" w:ascii="宋体" w:hAnsi="宋体" w:eastAsia="宋体" w:cs="宋体"/>
          <w:i w:val="0"/>
          <w:iCs w:val="0"/>
          <w:color w:val="auto"/>
          <w:kern w:val="2"/>
          <w:sz w:val="24"/>
          <w:szCs w:val="24"/>
          <w:highlight w:val="none"/>
          <w:lang w:val="en-US" w:eastAsia="zh-CN" w:bidi="ar-SA"/>
        </w:rPr>
      </w:pPr>
      <w:bookmarkStart w:id="46" w:name="_Toc23124"/>
      <w:r>
        <w:rPr>
          <w:rFonts w:hint="eastAsia" w:ascii="宋体" w:hAnsi="宋体" w:eastAsia="宋体" w:cs="宋体"/>
          <w:i w:val="0"/>
          <w:iCs w:val="0"/>
          <w:color w:val="auto"/>
          <w:kern w:val="2"/>
          <w:sz w:val="24"/>
          <w:szCs w:val="24"/>
          <w:highlight w:val="none"/>
          <w:lang w:val="en-US" w:eastAsia="zh-CN" w:bidi="ar-SA"/>
        </w:rPr>
        <w:t>4. 竞争性磋商文件</w:t>
      </w:r>
      <w:bookmarkEnd w:id="46"/>
    </w:p>
    <w:p>
      <w:pPr>
        <w:pStyle w:val="34"/>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4.1 竞争性磋商文件用以阐明所需</w:t>
      </w:r>
      <w:r>
        <w:rPr>
          <w:rFonts w:hint="eastAsia" w:ascii="宋体" w:hAnsi="宋体" w:cs="宋体"/>
          <w:i w:val="0"/>
          <w:iCs w:val="0"/>
          <w:color w:val="auto"/>
          <w:kern w:val="2"/>
          <w:sz w:val="24"/>
          <w:szCs w:val="24"/>
          <w:highlight w:val="none"/>
          <w:lang w:val="en-US" w:eastAsia="zh-CN" w:bidi="ar-SA"/>
        </w:rPr>
        <w:t>工程、</w:t>
      </w:r>
      <w:r>
        <w:rPr>
          <w:rFonts w:hint="eastAsia" w:ascii="宋体" w:hAnsi="宋体" w:eastAsia="宋体" w:cs="宋体"/>
          <w:i w:val="0"/>
          <w:iCs w:val="0"/>
          <w:color w:val="auto"/>
          <w:kern w:val="2"/>
          <w:sz w:val="24"/>
          <w:szCs w:val="24"/>
          <w:highlight w:val="none"/>
          <w:lang w:val="en-US" w:eastAsia="zh-CN" w:bidi="ar-SA"/>
        </w:rPr>
        <w:t>货物或服务、招标投标程序和合同条款。包括：</w:t>
      </w:r>
    </w:p>
    <w:p>
      <w:pPr>
        <w:pStyle w:val="34"/>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4.1.1 招标公告</w:t>
      </w:r>
    </w:p>
    <w:p>
      <w:pPr>
        <w:pStyle w:val="34"/>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 xml:space="preserve">4.1.2 </w:t>
      </w:r>
      <w:r>
        <w:rPr>
          <w:rFonts w:hint="eastAsia" w:ascii="宋体" w:hAnsi="宋体" w:cs="宋体"/>
          <w:i w:val="0"/>
          <w:iCs w:val="0"/>
          <w:color w:val="auto"/>
          <w:kern w:val="2"/>
          <w:sz w:val="24"/>
          <w:szCs w:val="24"/>
          <w:highlight w:val="none"/>
          <w:lang w:val="en-US" w:eastAsia="zh-CN" w:bidi="ar-SA"/>
        </w:rPr>
        <w:t>供应商</w:t>
      </w:r>
      <w:r>
        <w:rPr>
          <w:rFonts w:hint="eastAsia" w:ascii="宋体" w:hAnsi="宋体" w:eastAsia="宋体" w:cs="宋体"/>
          <w:i w:val="0"/>
          <w:iCs w:val="0"/>
          <w:color w:val="auto"/>
          <w:kern w:val="2"/>
          <w:sz w:val="24"/>
          <w:szCs w:val="24"/>
          <w:highlight w:val="none"/>
          <w:lang w:val="en-US" w:eastAsia="zh-CN" w:bidi="ar-SA"/>
        </w:rPr>
        <w:t>须知</w:t>
      </w:r>
    </w:p>
    <w:p>
      <w:pPr>
        <w:pStyle w:val="34"/>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4.1.3 合同条款及格式</w:t>
      </w:r>
    </w:p>
    <w:p>
      <w:pPr>
        <w:pStyle w:val="34"/>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4.1.4 采购需求</w:t>
      </w:r>
    </w:p>
    <w:p>
      <w:pPr>
        <w:pStyle w:val="34"/>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4.1.5 响应文件格式</w:t>
      </w:r>
    </w:p>
    <w:p>
      <w:pPr>
        <w:pStyle w:val="34"/>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4.1.6 其他资料</w:t>
      </w:r>
    </w:p>
    <w:p>
      <w:pPr>
        <w:pStyle w:val="34"/>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 xml:space="preserve">4.2 </w:t>
      </w:r>
      <w:r>
        <w:rPr>
          <w:rFonts w:hint="eastAsia" w:ascii="宋体" w:hAnsi="宋体" w:cs="宋体"/>
          <w:i w:val="0"/>
          <w:iCs w:val="0"/>
          <w:color w:val="auto"/>
          <w:kern w:val="2"/>
          <w:sz w:val="24"/>
          <w:szCs w:val="24"/>
          <w:highlight w:val="none"/>
          <w:lang w:val="en-US" w:eastAsia="zh-CN" w:bidi="ar-SA"/>
        </w:rPr>
        <w:t>供应商</w:t>
      </w:r>
      <w:r>
        <w:rPr>
          <w:rFonts w:hint="eastAsia" w:ascii="宋体" w:hAnsi="宋体" w:eastAsia="宋体" w:cs="宋体"/>
          <w:i w:val="0"/>
          <w:iCs w:val="0"/>
          <w:color w:val="auto"/>
          <w:kern w:val="2"/>
          <w:sz w:val="24"/>
          <w:szCs w:val="24"/>
          <w:highlight w:val="none"/>
          <w:lang w:val="en-US" w:eastAsia="zh-CN" w:bidi="ar-SA"/>
        </w:rPr>
        <w:t>应认真阅读竞争性磋商文件中所有的事项、格式、条款和规范等要求。如果没有按照竞争性磋商文件要求提交全部资料或者响应文件没有对竞争性磋商文件做出实质性响应，其投标将被拒绝。</w:t>
      </w:r>
    </w:p>
    <w:p>
      <w:pPr>
        <w:pStyle w:val="34"/>
        <w:spacing w:line="360" w:lineRule="auto"/>
        <w:ind w:firstLine="567"/>
        <w:jc w:val="both"/>
        <w:outlineLvl w:val="1"/>
        <w:rPr>
          <w:rFonts w:hint="eastAsia" w:ascii="宋体" w:hAnsi="宋体" w:eastAsia="宋体" w:cs="宋体"/>
          <w:i w:val="0"/>
          <w:iCs w:val="0"/>
          <w:color w:val="auto"/>
          <w:kern w:val="2"/>
          <w:sz w:val="24"/>
          <w:szCs w:val="24"/>
          <w:highlight w:val="none"/>
          <w:lang w:val="en-US" w:eastAsia="zh-CN" w:bidi="ar-SA"/>
        </w:rPr>
      </w:pPr>
      <w:bookmarkStart w:id="47" w:name="_Toc23241"/>
      <w:r>
        <w:rPr>
          <w:rFonts w:hint="eastAsia" w:ascii="宋体" w:hAnsi="宋体" w:eastAsia="宋体" w:cs="宋体"/>
          <w:i w:val="0"/>
          <w:iCs w:val="0"/>
          <w:color w:val="auto"/>
          <w:kern w:val="2"/>
          <w:sz w:val="24"/>
          <w:szCs w:val="24"/>
          <w:highlight w:val="none"/>
          <w:lang w:val="en-US" w:eastAsia="zh-CN" w:bidi="ar-SA"/>
        </w:rPr>
        <w:t>5. 竞争性磋商文件的澄清和修改</w:t>
      </w:r>
      <w:bookmarkEnd w:id="47"/>
    </w:p>
    <w:p>
      <w:pPr>
        <w:pStyle w:val="34"/>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 xml:space="preserve">5.1 </w:t>
      </w:r>
      <w:r>
        <w:rPr>
          <w:rFonts w:hint="eastAsia" w:ascii="宋体" w:hAnsi="宋体" w:cs="宋体"/>
          <w:i w:val="0"/>
          <w:iCs w:val="0"/>
          <w:color w:val="auto"/>
          <w:kern w:val="2"/>
          <w:sz w:val="24"/>
          <w:szCs w:val="24"/>
          <w:highlight w:val="none"/>
          <w:lang w:val="en-US" w:eastAsia="zh-CN" w:bidi="ar-SA"/>
        </w:rPr>
        <w:t>采购人</w:t>
      </w:r>
      <w:r>
        <w:rPr>
          <w:rFonts w:hint="eastAsia" w:ascii="宋体" w:hAnsi="宋体" w:eastAsia="宋体" w:cs="宋体"/>
          <w:i w:val="0"/>
          <w:iCs w:val="0"/>
          <w:color w:val="auto"/>
          <w:kern w:val="2"/>
          <w:sz w:val="24"/>
          <w:szCs w:val="24"/>
          <w:highlight w:val="none"/>
          <w:lang w:val="en-US" w:eastAsia="zh-CN" w:bidi="ar-SA"/>
        </w:rPr>
        <w:t>如需对已发出的竞争性磋商文件进行必要澄清或者修改的，招标代理机构将在竞争性磋商文件要求提交响应文件截止时间15日前，以书面形式通知所有获取竞争性磋商文件的</w:t>
      </w:r>
      <w:r>
        <w:rPr>
          <w:rFonts w:hint="eastAsia" w:ascii="宋体" w:hAnsi="宋体" w:cs="宋体"/>
          <w:i w:val="0"/>
          <w:iCs w:val="0"/>
          <w:color w:val="auto"/>
          <w:kern w:val="2"/>
          <w:sz w:val="24"/>
          <w:szCs w:val="24"/>
          <w:highlight w:val="none"/>
          <w:lang w:val="en-US" w:eastAsia="zh-CN" w:bidi="ar-SA"/>
        </w:rPr>
        <w:t>供应商</w:t>
      </w:r>
      <w:r>
        <w:rPr>
          <w:rFonts w:hint="eastAsia" w:ascii="宋体" w:hAnsi="宋体" w:eastAsia="宋体" w:cs="宋体"/>
          <w:i w:val="0"/>
          <w:iCs w:val="0"/>
          <w:color w:val="auto"/>
          <w:kern w:val="2"/>
          <w:sz w:val="24"/>
          <w:szCs w:val="24"/>
          <w:highlight w:val="none"/>
          <w:lang w:val="en-US" w:eastAsia="zh-CN" w:bidi="ar-SA"/>
        </w:rPr>
        <w:t>。该澄清或者修改的内容为竞争性磋商文件的组成部分。</w:t>
      </w:r>
    </w:p>
    <w:p>
      <w:pPr>
        <w:pStyle w:val="34"/>
        <w:spacing w:line="360" w:lineRule="auto"/>
        <w:ind w:firstLine="567"/>
        <w:jc w:val="both"/>
        <w:outlineLvl w:val="1"/>
        <w:rPr>
          <w:rFonts w:hint="eastAsia" w:ascii="宋体" w:hAnsi="宋体" w:eastAsia="宋体" w:cs="宋体"/>
          <w:i w:val="0"/>
          <w:iCs w:val="0"/>
          <w:color w:val="auto"/>
          <w:kern w:val="2"/>
          <w:sz w:val="24"/>
          <w:szCs w:val="24"/>
          <w:highlight w:val="none"/>
          <w:lang w:val="en-US" w:eastAsia="zh-CN" w:bidi="ar-SA"/>
        </w:rPr>
      </w:pPr>
      <w:bookmarkStart w:id="48" w:name="_Toc12155"/>
      <w:r>
        <w:rPr>
          <w:rFonts w:hint="eastAsia" w:ascii="宋体" w:hAnsi="宋体" w:eastAsia="宋体" w:cs="宋体"/>
          <w:i w:val="0"/>
          <w:iCs w:val="0"/>
          <w:color w:val="auto"/>
          <w:kern w:val="2"/>
          <w:sz w:val="24"/>
          <w:szCs w:val="24"/>
          <w:highlight w:val="none"/>
          <w:lang w:val="en-US" w:eastAsia="zh-CN" w:bidi="ar-SA"/>
        </w:rPr>
        <w:t>6. 延长开标时间</w:t>
      </w:r>
      <w:bookmarkEnd w:id="48"/>
    </w:p>
    <w:p>
      <w:pPr>
        <w:pStyle w:val="34"/>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cs="宋体"/>
          <w:i w:val="0"/>
          <w:iCs w:val="0"/>
          <w:color w:val="auto"/>
          <w:kern w:val="2"/>
          <w:sz w:val="24"/>
          <w:szCs w:val="24"/>
          <w:highlight w:val="none"/>
          <w:lang w:val="en-US" w:eastAsia="zh-CN" w:bidi="ar-SA"/>
        </w:rPr>
        <w:t>采购人</w:t>
      </w:r>
      <w:r>
        <w:rPr>
          <w:rFonts w:hint="eastAsia" w:ascii="宋体" w:hAnsi="宋体" w:eastAsia="宋体" w:cs="宋体"/>
          <w:i w:val="0"/>
          <w:iCs w:val="0"/>
          <w:color w:val="auto"/>
          <w:kern w:val="2"/>
          <w:sz w:val="24"/>
          <w:szCs w:val="24"/>
          <w:highlight w:val="none"/>
          <w:lang w:val="en-US" w:eastAsia="zh-CN" w:bidi="ar-SA"/>
        </w:rPr>
        <w:t>视采购具体情况如需延长投标截止时间和开标时间，招标代理机构将在竞争性磋商文件要求提交响应文件的截止时间3日前，将变更时间书面通知所有获取竞争性磋商文件的</w:t>
      </w:r>
      <w:r>
        <w:rPr>
          <w:rFonts w:hint="eastAsia" w:ascii="宋体" w:hAnsi="宋体" w:cs="宋体"/>
          <w:i w:val="0"/>
          <w:iCs w:val="0"/>
          <w:color w:val="auto"/>
          <w:kern w:val="2"/>
          <w:sz w:val="24"/>
          <w:szCs w:val="24"/>
          <w:highlight w:val="none"/>
          <w:lang w:val="en-US" w:eastAsia="zh-CN" w:bidi="ar-SA"/>
        </w:rPr>
        <w:t>供应商</w:t>
      </w:r>
      <w:r>
        <w:rPr>
          <w:rFonts w:hint="eastAsia" w:ascii="宋体" w:hAnsi="宋体" w:eastAsia="宋体" w:cs="宋体"/>
          <w:i w:val="0"/>
          <w:iCs w:val="0"/>
          <w:color w:val="auto"/>
          <w:kern w:val="2"/>
          <w:sz w:val="24"/>
          <w:szCs w:val="24"/>
          <w:highlight w:val="none"/>
          <w:lang w:val="en-US" w:eastAsia="zh-CN" w:bidi="ar-SA"/>
        </w:rPr>
        <w:t>。</w:t>
      </w:r>
    </w:p>
    <w:p>
      <w:pPr>
        <w:pStyle w:val="34"/>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三、响应文件的编制</w:t>
      </w:r>
    </w:p>
    <w:p>
      <w:pPr>
        <w:pStyle w:val="34"/>
        <w:spacing w:line="360" w:lineRule="auto"/>
        <w:ind w:firstLine="567"/>
        <w:jc w:val="both"/>
        <w:outlineLvl w:val="1"/>
        <w:rPr>
          <w:rFonts w:hint="eastAsia" w:ascii="宋体" w:hAnsi="宋体" w:eastAsia="宋体" w:cs="宋体"/>
          <w:i w:val="0"/>
          <w:iCs w:val="0"/>
          <w:color w:val="auto"/>
          <w:kern w:val="2"/>
          <w:sz w:val="24"/>
          <w:szCs w:val="24"/>
          <w:highlight w:val="none"/>
          <w:lang w:val="en-US" w:eastAsia="zh-CN" w:bidi="ar-SA"/>
        </w:rPr>
      </w:pPr>
      <w:bookmarkStart w:id="49" w:name="_Toc8420"/>
      <w:r>
        <w:rPr>
          <w:rFonts w:hint="eastAsia" w:ascii="宋体" w:hAnsi="宋体" w:eastAsia="宋体" w:cs="宋体"/>
          <w:i w:val="0"/>
          <w:iCs w:val="0"/>
          <w:color w:val="auto"/>
          <w:kern w:val="2"/>
          <w:sz w:val="24"/>
          <w:szCs w:val="24"/>
          <w:highlight w:val="none"/>
          <w:lang w:val="en-US" w:eastAsia="zh-CN" w:bidi="ar-SA"/>
        </w:rPr>
        <w:t>7. 响应文件的编写</w:t>
      </w:r>
      <w:bookmarkEnd w:id="49"/>
    </w:p>
    <w:p>
      <w:pPr>
        <w:pStyle w:val="34"/>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 xml:space="preserve">7.1 </w:t>
      </w:r>
      <w:r>
        <w:rPr>
          <w:rFonts w:hint="eastAsia" w:ascii="宋体" w:hAnsi="宋体" w:cs="宋体"/>
          <w:i w:val="0"/>
          <w:iCs w:val="0"/>
          <w:color w:val="auto"/>
          <w:kern w:val="2"/>
          <w:sz w:val="24"/>
          <w:szCs w:val="24"/>
          <w:highlight w:val="none"/>
          <w:lang w:val="en-US" w:eastAsia="zh-CN" w:bidi="ar-SA"/>
        </w:rPr>
        <w:t>供应商</w:t>
      </w:r>
      <w:r>
        <w:rPr>
          <w:rFonts w:hint="eastAsia" w:ascii="宋体" w:hAnsi="宋体" w:eastAsia="宋体" w:cs="宋体"/>
          <w:i w:val="0"/>
          <w:iCs w:val="0"/>
          <w:color w:val="auto"/>
          <w:kern w:val="2"/>
          <w:sz w:val="24"/>
          <w:szCs w:val="24"/>
          <w:highlight w:val="none"/>
          <w:lang w:val="en-US" w:eastAsia="zh-CN" w:bidi="ar-SA"/>
        </w:rPr>
        <w:t>应仔细阅读竞争性磋商文件,了解竞争性磋商文件的要求，并在充分理解竞争性磋商文件提出的</w:t>
      </w:r>
      <w:r>
        <w:rPr>
          <w:rFonts w:hint="eastAsia" w:ascii="宋体" w:hAnsi="宋体" w:cs="宋体"/>
          <w:i w:val="0"/>
          <w:iCs w:val="0"/>
          <w:color w:val="auto"/>
          <w:kern w:val="2"/>
          <w:sz w:val="24"/>
          <w:szCs w:val="24"/>
          <w:highlight w:val="none"/>
          <w:lang w:val="en-US" w:eastAsia="zh-CN" w:bidi="ar-SA"/>
        </w:rPr>
        <w:t>工程施工要求、</w:t>
      </w:r>
      <w:r>
        <w:rPr>
          <w:rFonts w:hint="eastAsia" w:ascii="宋体" w:hAnsi="宋体" w:eastAsia="宋体" w:cs="宋体"/>
          <w:i w:val="0"/>
          <w:iCs w:val="0"/>
          <w:color w:val="auto"/>
          <w:kern w:val="2"/>
          <w:sz w:val="24"/>
          <w:szCs w:val="24"/>
          <w:highlight w:val="none"/>
          <w:lang w:val="en-US" w:eastAsia="zh-CN" w:bidi="ar-SA"/>
        </w:rPr>
        <w:t>货物技术规范、服务和商务条款后的基础上制作响应文件。</w:t>
      </w:r>
    </w:p>
    <w:p>
      <w:pPr>
        <w:pStyle w:val="34"/>
        <w:spacing w:line="360" w:lineRule="auto"/>
        <w:ind w:firstLine="567"/>
        <w:jc w:val="both"/>
        <w:outlineLvl w:val="1"/>
        <w:rPr>
          <w:rFonts w:hint="eastAsia" w:ascii="宋体" w:hAnsi="宋体" w:eastAsia="宋体" w:cs="宋体"/>
          <w:i w:val="0"/>
          <w:iCs w:val="0"/>
          <w:color w:val="auto"/>
          <w:kern w:val="2"/>
          <w:sz w:val="24"/>
          <w:szCs w:val="24"/>
          <w:highlight w:val="none"/>
          <w:lang w:val="en-US" w:eastAsia="zh-CN" w:bidi="ar-SA"/>
        </w:rPr>
      </w:pPr>
      <w:bookmarkStart w:id="50" w:name="_Toc26909"/>
      <w:r>
        <w:rPr>
          <w:rFonts w:hint="eastAsia" w:ascii="宋体" w:hAnsi="宋体" w:eastAsia="宋体" w:cs="宋体"/>
          <w:i w:val="0"/>
          <w:iCs w:val="0"/>
          <w:color w:val="auto"/>
          <w:kern w:val="2"/>
          <w:sz w:val="24"/>
          <w:szCs w:val="24"/>
          <w:highlight w:val="none"/>
          <w:lang w:val="en-US" w:eastAsia="zh-CN" w:bidi="ar-SA"/>
        </w:rPr>
        <w:t>8. 投标的语言及计量单位</w:t>
      </w:r>
      <w:bookmarkEnd w:id="50"/>
    </w:p>
    <w:p>
      <w:pPr>
        <w:pStyle w:val="34"/>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 xml:space="preserve">8.1 </w:t>
      </w:r>
      <w:r>
        <w:rPr>
          <w:rFonts w:hint="eastAsia" w:ascii="宋体" w:hAnsi="宋体" w:cs="宋体"/>
          <w:i w:val="0"/>
          <w:iCs w:val="0"/>
          <w:color w:val="auto"/>
          <w:kern w:val="2"/>
          <w:sz w:val="24"/>
          <w:szCs w:val="24"/>
          <w:highlight w:val="none"/>
          <w:lang w:val="en-US" w:eastAsia="zh-CN" w:bidi="ar-SA"/>
        </w:rPr>
        <w:t>供应商</w:t>
      </w:r>
      <w:r>
        <w:rPr>
          <w:rFonts w:hint="eastAsia" w:ascii="宋体" w:hAnsi="宋体" w:eastAsia="宋体" w:cs="宋体"/>
          <w:i w:val="0"/>
          <w:iCs w:val="0"/>
          <w:color w:val="auto"/>
          <w:kern w:val="2"/>
          <w:sz w:val="24"/>
          <w:szCs w:val="24"/>
          <w:highlight w:val="none"/>
          <w:lang w:val="en-US" w:eastAsia="zh-CN" w:bidi="ar-SA"/>
        </w:rPr>
        <w:t>的响应文件以及</w:t>
      </w:r>
      <w:r>
        <w:rPr>
          <w:rFonts w:hint="eastAsia" w:ascii="宋体" w:hAnsi="宋体" w:cs="宋体"/>
          <w:i w:val="0"/>
          <w:iCs w:val="0"/>
          <w:color w:val="auto"/>
          <w:kern w:val="2"/>
          <w:sz w:val="24"/>
          <w:szCs w:val="24"/>
          <w:highlight w:val="none"/>
          <w:lang w:val="en-US" w:eastAsia="zh-CN" w:bidi="ar-SA"/>
        </w:rPr>
        <w:t>供应商</w:t>
      </w:r>
      <w:r>
        <w:rPr>
          <w:rFonts w:hint="eastAsia" w:ascii="宋体" w:hAnsi="宋体" w:eastAsia="宋体" w:cs="宋体"/>
          <w:i w:val="0"/>
          <w:iCs w:val="0"/>
          <w:color w:val="auto"/>
          <w:kern w:val="2"/>
          <w:sz w:val="24"/>
          <w:szCs w:val="24"/>
          <w:highlight w:val="none"/>
          <w:lang w:val="en-US" w:eastAsia="zh-CN" w:bidi="ar-SA"/>
        </w:rPr>
        <w:t>与采购代理机构就有关招标活动的所有来往函电均应使用中文。如果响应文件或与投标有关的其它文件、信件及来往函电以其它语言书写的，</w:t>
      </w:r>
      <w:r>
        <w:rPr>
          <w:rFonts w:hint="eastAsia" w:ascii="宋体" w:hAnsi="宋体" w:cs="宋体"/>
          <w:i w:val="0"/>
          <w:iCs w:val="0"/>
          <w:color w:val="auto"/>
          <w:kern w:val="2"/>
          <w:sz w:val="24"/>
          <w:szCs w:val="24"/>
          <w:highlight w:val="none"/>
          <w:lang w:val="en-US" w:eastAsia="zh-CN" w:bidi="ar-SA"/>
        </w:rPr>
        <w:t>供应商</w:t>
      </w:r>
      <w:r>
        <w:rPr>
          <w:rFonts w:hint="eastAsia" w:ascii="宋体" w:hAnsi="宋体" w:eastAsia="宋体" w:cs="宋体"/>
          <w:i w:val="0"/>
          <w:iCs w:val="0"/>
          <w:color w:val="auto"/>
          <w:kern w:val="2"/>
          <w:sz w:val="24"/>
          <w:szCs w:val="24"/>
          <w:highlight w:val="none"/>
          <w:lang w:val="en-US" w:eastAsia="zh-CN" w:bidi="ar-SA"/>
        </w:rPr>
        <w:t>应将其译成中文。</w:t>
      </w:r>
    </w:p>
    <w:p>
      <w:pPr>
        <w:pStyle w:val="34"/>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8.2 响应文件中所使用的计量单位除竞争性磋商文件中有特殊规定外，一律使用法定计量单位。</w:t>
      </w:r>
    </w:p>
    <w:p>
      <w:pPr>
        <w:pStyle w:val="34"/>
        <w:spacing w:line="360" w:lineRule="auto"/>
        <w:ind w:firstLine="567"/>
        <w:jc w:val="both"/>
        <w:outlineLvl w:val="1"/>
        <w:rPr>
          <w:rFonts w:hint="eastAsia" w:ascii="宋体" w:hAnsi="宋体" w:eastAsia="宋体" w:cs="宋体"/>
          <w:i w:val="0"/>
          <w:iCs w:val="0"/>
          <w:color w:val="auto"/>
          <w:kern w:val="2"/>
          <w:sz w:val="24"/>
          <w:szCs w:val="24"/>
          <w:highlight w:val="none"/>
          <w:lang w:val="en-US" w:eastAsia="zh-CN" w:bidi="ar-SA"/>
        </w:rPr>
      </w:pPr>
      <w:bookmarkStart w:id="51" w:name="_Toc14912"/>
      <w:r>
        <w:rPr>
          <w:rFonts w:hint="eastAsia" w:ascii="宋体" w:hAnsi="宋体" w:eastAsia="宋体" w:cs="宋体"/>
          <w:i w:val="0"/>
          <w:iCs w:val="0"/>
          <w:color w:val="auto"/>
          <w:kern w:val="2"/>
          <w:sz w:val="24"/>
          <w:szCs w:val="24"/>
          <w:highlight w:val="none"/>
          <w:lang w:val="en-US" w:eastAsia="zh-CN" w:bidi="ar-SA"/>
        </w:rPr>
        <w:t>9. 响应文件构成</w:t>
      </w:r>
      <w:bookmarkEnd w:id="51"/>
    </w:p>
    <w:p>
      <w:pPr>
        <w:pStyle w:val="34"/>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 xml:space="preserve">9.1  </w:t>
      </w:r>
      <w:r>
        <w:rPr>
          <w:rFonts w:hint="eastAsia" w:ascii="宋体" w:hAnsi="宋体" w:cs="宋体"/>
          <w:i w:val="0"/>
          <w:iCs w:val="0"/>
          <w:color w:val="auto"/>
          <w:kern w:val="2"/>
          <w:sz w:val="24"/>
          <w:szCs w:val="24"/>
          <w:highlight w:val="none"/>
          <w:lang w:val="en-US" w:eastAsia="zh-CN" w:bidi="ar-SA"/>
        </w:rPr>
        <w:t>供应商</w:t>
      </w:r>
      <w:r>
        <w:rPr>
          <w:rFonts w:hint="eastAsia" w:ascii="宋体" w:hAnsi="宋体" w:eastAsia="宋体" w:cs="宋体"/>
          <w:i w:val="0"/>
          <w:iCs w:val="0"/>
          <w:color w:val="auto"/>
          <w:kern w:val="2"/>
          <w:sz w:val="24"/>
          <w:szCs w:val="24"/>
          <w:highlight w:val="none"/>
          <w:lang w:val="en-US" w:eastAsia="zh-CN" w:bidi="ar-SA"/>
        </w:rPr>
        <w:t>编写的响应文件应包含以下内容:</w:t>
      </w:r>
    </w:p>
    <w:p>
      <w:pPr>
        <w:pStyle w:val="34"/>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9.1.1 资格、资信证明文件(以下文件必须在有效期内)</w:t>
      </w:r>
    </w:p>
    <w:p>
      <w:pPr>
        <w:pStyle w:val="34"/>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(1) 企业营业执照副本；</w:t>
      </w:r>
    </w:p>
    <w:p>
      <w:pPr>
        <w:pStyle w:val="34"/>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(2) 法定代表人身份证明、授权委托人身份证明及授权委托书</w:t>
      </w:r>
    </w:p>
    <w:p>
      <w:pPr>
        <w:pStyle w:val="34"/>
        <w:spacing w:line="360" w:lineRule="auto"/>
        <w:ind w:firstLine="480" w:firstLineChars="200"/>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w:t>
      </w:r>
      <w:r>
        <w:rPr>
          <w:rFonts w:hint="eastAsia" w:ascii="宋体" w:hAnsi="宋体" w:cs="宋体"/>
          <w:i w:val="0"/>
          <w:iCs w:val="0"/>
          <w:color w:val="auto"/>
          <w:kern w:val="2"/>
          <w:sz w:val="24"/>
          <w:szCs w:val="24"/>
          <w:highlight w:val="none"/>
          <w:lang w:val="en-US" w:eastAsia="zh-CN" w:bidi="ar-SA"/>
        </w:rPr>
        <w:t>3</w:t>
      </w:r>
      <w:r>
        <w:rPr>
          <w:rFonts w:hint="eastAsia" w:ascii="宋体" w:hAnsi="宋体" w:eastAsia="宋体" w:cs="宋体"/>
          <w:i w:val="0"/>
          <w:iCs w:val="0"/>
          <w:color w:val="auto"/>
          <w:kern w:val="2"/>
          <w:sz w:val="24"/>
          <w:szCs w:val="24"/>
          <w:highlight w:val="none"/>
          <w:lang w:val="en-US" w:eastAsia="zh-CN" w:bidi="ar-SA"/>
        </w:rPr>
        <w:t>）</w:t>
      </w:r>
      <w:r>
        <w:rPr>
          <w:rFonts w:hint="eastAsia" w:ascii="宋体" w:hAnsi="宋体" w:cs="宋体"/>
          <w:i w:val="0"/>
          <w:iCs w:val="0"/>
          <w:color w:val="auto"/>
          <w:kern w:val="2"/>
          <w:sz w:val="24"/>
          <w:szCs w:val="24"/>
          <w:highlight w:val="none"/>
          <w:lang w:val="en-US" w:eastAsia="zh-CN" w:bidi="ar-SA"/>
        </w:rPr>
        <w:t>供应商</w:t>
      </w:r>
      <w:r>
        <w:rPr>
          <w:rFonts w:hint="eastAsia" w:ascii="宋体" w:hAnsi="宋体" w:eastAsia="宋体" w:cs="宋体"/>
          <w:i w:val="0"/>
          <w:iCs w:val="0"/>
          <w:color w:val="auto"/>
          <w:kern w:val="2"/>
          <w:sz w:val="24"/>
          <w:szCs w:val="24"/>
          <w:highlight w:val="none"/>
          <w:lang w:val="en-US" w:eastAsia="zh-CN" w:bidi="ar-SA"/>
        </w:rPr>
        <w:t>认为有必要提供的声明及文件资料（包括但不限于近三年财务审计报告、近六个月的社保（需有相关人员的社保缴纳明细，退休人员需提供退休证明）和近六个月的完税证明等）</w:t>
      </w:r>
    </w:p>
    <w:p>
      <w:pPr>
        <w:pStyle w:val="34"/>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9.1.2 商务文件</w:t>
      </w:r>
    </w:p>
    <w:p>
      <w:pPr>
        <w:pStyle w:val="34"/>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(1) 投标函</w:t>
      </w:r>
    </w:p>
    <w:p>
      <w:pPr>
        <w:pStyle w:val="34"/>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(2) 开标一览表</w:t>
      </w:r>
    </w:p>
    <w:p>
      <w:pPr>
        <w:pStyle w:val="34"/>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(3) 技术规格偏离表</w:t>
      </w:r>
    </w:p>
    <w:p>
      <w:pPr>
        <w:pStyle w:val="34"/>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w:t>
      </w:r>
      <w:r>
        <w:rPr>
          <w:rFonts w:hint="eastAsia" w:ascii="宋体" w:hAnsi="宋体" w:cs="宋体"/>
          <w:i w:val="0"/>
          <w:iCs w:val="0"/>
          <w:color w:val="auto"/>
          <w:kern w:val="2"/>
          <w:sz w:val="24"/>
          <w:szCs w:val="24"/>
          <w:highlight w:val="none"/>
          <w:lang w:val="en-US" w:eastAsia="zh-CN" w:bidi="ar-SA"/>
        </w:rPr>
        <w:t>4</w:t>
      </w:r>
      <w:r>
        <w:rPr>
          <w:rFonts w:hint="eastAsia" w:ascii="宋体" w:hAnsi="宋体" w:eastAsia="宋体" w:cs="宋体"/>
          <w:i w:val="0"/>
          <w:iCs w:val="0"/>
          <w:color w:val="auto"/>
          <w:kern w:val="2"/>
          <w:sz w:val="24"/>
          <w:szCs w:val="24"/>
          <w:highlight w:val="none"/>
          <w:lang w:val="en-US" w:eastAsia="zh-CN" w:bidi="ar-SA"/>
        </w:rPr>
        <w:t>) 售后服务方案</w:t>
      </w:r>
    </w:p>
    <w:p>
      <w:pPr>
        <w:pStyle w:val="35"/>
        <w:spacing w:line="360" w:lineRule="auto"/>
        <w:ind w:left="0" w:leftChars="0" w:firstLine="638" w:firstLineChars="266"/>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w:t>
      </w:r>
      <w:r>
        <w:rPr>
          <w:rFonts w:hint="eastAsia" w:ascii="宋体" w:hAnsi="宋体" w:cs="宋体"/>
          <w:i w:val="0"/>
          <w:iCs w:val="0"/>
          <w:color w:val="auto"/>
          <w:kern w:val="2"/>
          <w:sz w:val="24"/>
          <w:szCs w:val="24"/>
          <w:highlight w:val="none"/>
          <w:lang w:val="en-US" w:eastAsia="zh-CN" w:bidi="ar-SA"/>
        </w:rPr>
        <w:t>5</w:t>
      </w:r>
      <w:r>
        <w:rPr>
          <w:rFonts w:hint="eastAsia" w:ascii="宋体" w:hAnsi="宋体" w:eastAsia="宋体" w:cs="宋体"/>
          <w:i w:val="0"/>
          <w:iCs w:val="0"/>
          <w:color w:val="auto"/>
          <w:kern w:val="2"/>
          <w:sz w:val="24"/>
          <w:szCs w:val="24"/>
          <w:highlight w:val="none"/>
          <w:lang w:val="en-US" w:eastAsia="zh-CN" w:bidi="ar-SA"/>
        </w:rPr>
        <w:t>)供应商“信用中国”的信用信息报告、国家企业信用信息公示报告及中国政府采购网截图、中小企业声明函。</w:t>
      </w:r>
    </w:p>
    <w:p>
      <w:pPr>
        <w:pStyle w:val="34"/>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w:t>
      </w:r>
      <w:r>
        <w:rPr>
          <w:rFonts w:hint="eastAsia" w:ascii="宋体" w:hAnsi="宋体" w:cs="宋体"/>
          <w:i w:val="0"/>
          <w:iCs w:val="0"/>
          <w:color w:val="auto"/>
          <w:kern w:val="2"/>
          <w:sz w:val="24"/>
          <w:szCs w:val="24"/>
          <w:highlight w:val="none"/>
          <w:lang w:val="en-US" w:eastAsia="zh-CN" w:bidi="ar-SA"/>
        </w:rPr>
        <w:t>6</w:t>
      </w:r>
      <w:r>
        <w:rPr>
          <w:rFonts w:hint="eastAsia" w:ascii="宋体" w:hAnsi="宋体" w:eastAsia="宋体" w:cs="宋体"/>
          <w:i w:val="0"/>
          <w:iCs w:val="0"/>
          <w:color w:val="auto"/>
          <w:kern w:val="2"/>
          <w:sz w:val="24"/>
          <w:szCs w:val="24"/>
          <w:highlight w:val="none"/>
          <w:lang w:val="en-US" w:eastAsia="zh-CN" w:bidi="ar-SA"/>
        </w:rPr>
        <w:t xml:space="preserve">) </w:t>
      </w:r>
      <w:r>
        <w:rPr>
          <w:rFonts w:hint="eastAsia" w:ascii="宋体" w:hAnsi="宋体" w:cs="宋体"/>
          <w:i w:val="0"/>
          <w:iCs w:val="0"/>
          <w:color w:val="auto"/>
          <w:kern w:val="2"/>
          <w:sz w:val="24"/>
          <w:szCs w:val="24"/>
          <w:highlight w:val="none"/>
          <w:lang w:val="en-US" w:eastAsia="zh-CN" w:bidi="ar-SA"/>
        </w:rPr>
        <w:t>供应商</w:t>
      </w:r>
      <w:r>
        <w:rPr>
          <w:rFonts w:hint="eastAsia" w:ascii="宋体" w:hAnsi="宋体" w:eastAsia="宋体" w:cs="宋体"/>
          <w:i w:val="0"/>
          <w:iCs w:val="0"/>
          <w:color w:val="auto"/>
          <w:kern w:val="2"/>
          <w:sz w:val="24"/>
          <w:szCs w:val="24"/>
          <w:highlight w:val="none"/>
          <w:lang w:val="en-US" w:eastAsia="zh-CN" w:bidi="ar-SA"/>
        </w:rPr>
        <w:t xml:space="preserve">认为有必要提供的声明及文件资料 </w:t>
      </w:r>
    </w:p>
    <w:p>
      <w:pPr>
        <w:pStyle w:val="34"/>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9.1.3 技术文件</w:t>
      </w:r>
    </w:p>
    <w:p>
      <w:pPr>
        <w:pStyle w:val="34"/>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(1) 服务技术要求</w:t>
      </w:r>
    </w:p>
    <w:p>
      <w:pPr>
        <w:pStyle w:val="34"/>
        <w:spacing w:line="360" w:lineRule="auto"/>
        <w:ind w:firstLine="567"/>
        <w:jc w:val="both"/>
        <w:rPr>
          <w:rFonts w:hint="eastAsia" w:ascii="宋体" w:hAnsi="宋体" w:eastAsia="宋体" w:cs="宋体"/>
          <w:color w:val="auto"/>
          <w:szCs w:val="24"/>
          <w:highlight w:val="none"/>
        </w:rPr>
      </w:pPr>
      <w:r>
        <w:rPr>
          <w:rFonts w:hint="eastAsia" w:ascii="宋体" w:hAnsi="宋体" w:eastAsia="宋体" w:cs="宋体"/>
          <w:i w:val="0"/>
          <w:iCs w:val="0"/>
          <w:color w:val="auto"/>
          <w:kern w:val="2"/>
          <w:sz w:val="24"/>
          <w:szCs w:val="24"/>
          <w:highlight w:val="none"/>
          <w:lang w:val="en-US" w:eastAsia="zh-CN" w:bidi="ar-SA"/>
        </w:rPr>
        <w:t>(2) 质量管理与保证措施</w:t>
      </w:r>
    </w:p>
    <w:p>
      <w:pPr>
        <w:pStyle w:val="34"/>
        <w:spacing w:line="360" w:lineRule="auto"/>
        <w:ind w:firstLine="567"/>
        <w:jc w:val="both"/>
        <w:rPr>
          <w:rFonts w:hint="eastAsia" w:ascii="宋体" w:hAnsi="宋体" w:eastAsia="宋体" w:cs="宋体"/>
          <w:color w:val="auto"/>
          <w:szCs w:val="24"/>
          <w:highlight w:val="none"/>
          <w:lang w:val="en-US" w:eastAsia="zh-CN"/>
        </w:rPr>
      </w:pPr>
      <w:r>
        <w:rPr>
          <w:rFonts w:hint="eastAsia" w:ascii="宋体" w:hAnsi="宋体" w:eastAsia="宋体" w:cs="宋体"/>
          <w:i w:val="0"/>
          <w:iCs w:val="0"/>
          <w:color w:val="auto"/>
          <w:kern w:val="2"/>
          <w:sz w:val="24"/>
          <w:szCs w:val="24"/>
          <w:highlight w:val="none"/>
          <w:lang w:val="en-US" w:eastAsia="zh-CN" w:bidi="ar-SA"/>
        </w:rPr>
        <w:t>(3) 实施方案</w:t>
      </w:r>
    </w:p>
    <w:p>
      <w:pPr>
        <w:pStyle w:val="34"/>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w:t>
      </w:r>
      <w:r>
        <w:rPr>
          <w:rFonts w:hint="eastAsia" w:ascii="宋体" w:hAnsi="宋体" w:cs="宋体"/>
          <w:i w:val="0"/>
          <w:iCs w:val="0"/>
          <w:color w:val="auto"/>
          <w:kern w:val="2"/>
          <w:sz w:val="24"/>
          <w:szCs w:val="24"/>
          <w:highlight w:val="none"/>
          <w:lang w:val="en-US" w:eastAsia="zh-CN" w:bidi="ar-SA"/>
        </w:rPr>
        <w:t>4</w:t>
      </w:r>
      <w:r>
        <w:rPr>
          <w:rFonts w:hint="eastAsia" w:ascii="宋体" w:hAnsi="宋体" w:eastAsia="宋体" w:cs="宋体"/>
          <w:i w:val="0"/>
          <w:iCs w:val="0"/>
          <w:color w:val="auto"/>
          <w:kern w:val="2"/>
          <w:sz w:val="24"/>
          <w:szCs w:val="24"/>
          <w:highlight w:val="none"/>
          <w:lang w:val="en-US" w:eastAsia="zh-CN" w:bidi="ar-SA"/>
        </w:rPr>
        <w:t>) 项目组织与进度</w:t>
      </w:r>
    </w:p>
    <w:p>
      <w:pPr>
        <w:pStyle w:val="34"/>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(5) 人员配置</w:t>
      </w:r>
    </w:p>
    <w:p>
      <w:pPr>
        <w:pStyle w:val="34"/>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w:t>
      </w:r>
      <w:r>
        <w:rPr>
          <w:rFonts w:hint="eastAsia" w:ascii="宋体" w:hAnsi="宋体" w:cs="宋体"/>
          <w:i w:val="0"/>
          <w:iCs w:val="0"/>
          <w:color w:val="auto"/>
          <w:kern w:val="2"/>
          <w:sz w:val="24"/>
          <w:szCs w:val="24"/>
          <w:highlight w:val="none"/>
          <w:lang w:val="en-US" w:eastAsia="zh-CN" w:bidi="ar-SA"/>
        </w:rPr>
        <w:t>6</w:t>
      </w:r>
      <w:r>
        <w:rPr>
          <w:rFonts w:hint="eastAsia" w:ascii="宋体" w:hAnsi="宋体" w:eastAsia="宋体" w:cs="宋体"/>
          <w:i w:val="0"/>
          <w:iCs w:val="0"/>
          <w:color w:val="auto"/>
          <w:kern w:val="2"/>
          <w:sz w:val="24"/>
          <w:szCs w:val="24"/>
          <w:highlight w:val="none"/>
          <w:lang w:val="en-US" w:eastAsia="zh-CN" w:bidi="ar-SA"/>
        </w:rPr>
        <w:t>) 售后服务的承诺</w:t>
      </w:r>
    </w:p>
    <w:p>
      <w:pPr>
        <w:pStyle w:val="34"/>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w:t>
      </w:r>
      <w:r>
        <w:rPr>
          <w:rFonts w:hint="eastAsia" w:ascii="宋体" w:hAnsi="宋体" w:cs="宋体"/>
          <w:i w:val="0"/>
          <w:iCs w:val="0"/>
          <w:color w:val="auto"/>
          <w:kern w:val="2"/>
          <w:sz w:val="24"/>
          <w:szCs w:val="24"/>
          <w:highlight w:val="none"/>
          <w:lang w:val="en-US" w:eastAsia="zh-CN" w:bidi="ar-SA"/>
        </w:rPr>
        <w:t>7</w:t>
      </w:r>
      <w:r>
        <w:rPr>
          <w:rFonts w:hint="eastAsia" w:ascii="宋体" w:hAnsi="宋体" w:eastAsia="宋体" w:cs="宋体"/>
          <w:i w:val="0"/>
          <w:iCs w:val="0"/>
          <w:color w:val="auto"/>
          <w:kern w:val="2"/>
          <w:sz w:val="24"/>
          <w:szCs w:val="24"/>
          <w:highlight w:val="none"/>
          <w:lang w:val="en-US" w:eastAsia="zh-CN" w:bidi="ar-SA"/>
        </w:rPr>
        <w:t xml:space="preserve">) </w:t>
      </w:r>
      <w:r>
        <w:rPr>
          <w:rFonts w:hint="eastAsia" w:ascii="宋体" w:hAnsi="宋体" w:cs="宋体"/>
          <w:i w:val="0"/>
          <w:iCs w:val="0"/>
          <w:color w:val="auto"/>
          <w:kern w:val="2"/>
          <w:sz w:val="24"/>
          <w:szCs w:val="24"/>
          <w:highlight w:val="none"/>
          <w:lang w:val="en-US" w:eastAsia="zh-CN" w:bidi="ar-SA"/>
        </w:rPr>
        <w:t>供应商</w:t>
      </w:r>
      <w:r>
        <w:rPr>
          <w:rFonts w:hint="eastAsia" w:ascii="宋体" w:hAnsi="宋体" w:eastAsia="宋体" w:cs="宋体"/>
          <w:i w:val="0"/>
          <w:iCs w:val="0"/>
          <w:color w:val="auto"/>
          <w:kern w:val="2"/>
          <w:sz w:val="24"/>
          <w:szCs w:val="24"/>
          <w:highlight w:val="none"/>
          <w:lang w:val="en-US" w:eastAsia="zh-CN" w:bidi="ar-SA"/>
        </w:rPr>
        <w:t>认为有必要提供的声明及文件资料</w:t>
      </w:r>
    </w:p>
    <w:p>
      <w:pPr>
        <w:pStyle w:val="34"/>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9.1.4 电子标书</w:t>
      </w:r>
    </w:p>
    <w:p>
      <w:pPr>
        <w:pStyle w:val="34"/>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本项目实行电子招投标，供应商需要使用CA锁，在新疆政府采购网--下载专区下载--供应商客户端制作投标文件，并生成JMBS格式加密文件，在投标截止前上传至政府采购云平台。</w:t>
      </w:r>
    </w:p>
    <w:p>
      <w:pPr>
        <w:pStyle w:val="34"/>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9.2 第9.1.1条中第(1)(2)(3)项、第9.1.2条中第(1)(2)(3)(4)(</w:t>
      </w:r>
      <w:r>
        <w:rPr>
          <w:rFonts w:hint="eastAsia" w:ascii="宋体" w:hAnsi="宋体" w:cs="宋体"/>
          <w:i w:val="0"/>
          <w:iCs w:val="0"/>
          <w:color w:val="auto"/>
          <w:kern w:val="2"/>
          <w:sz w:val="24"/>
          <w:szCs w:val="24"/>
          <w:highlight w:val="none"/>
          <w:lang w:val="en-US" w:eastAsia="zh-CN" w:bidi="ar-SA"/>
        </w:rPr>
        <w:t>5</w:t>
      </w:r>
      <w:r>
        <w:rPr>
          <w:rFonts w:hint="eastAsia" w:ascii="宋体" w:hAnsi="宋体" w:eastAsia="宋体" w:cs="宋体"/>
          <w:i w:val="0"/>
          <w:iCs w:val="0"/>
          <w:color w:val="auto"/>
          <w:kern w:val="2"/>
          <w:sz w:val="24"/>
          <w:szCs w:val="24"/>
          <w:highlight w:val="none"/>
          <w:lang w:val="en-US" w:eastAsia="zh-CN" w:bidi="ar-SA"/>
        </w:rPr>
        <w:t>)项、第9.1.3条中第(1)(2)(3)(</w:t>
      </w:r>
      <w:r>
        <w:rPr>
          <w:rFonts w:hint="eastAsia" w:ascii="宋体" w:hAnsi="宋体" w:cs="宋体"/>
          <w:i w:val="0"/>
          <w:iCs w:val="0"/>
          <w:color w:val="auto"/>
          <w:kern w:val="2"/>
          <w:sz w:val="24"/>
          <w:szCs w:val="24"/>
          <w:highlight w:val="none"/>
          <w:lang w:val="en-US" w:eastAsia="zh-CN" w:bidi="ar-SA"/>
        </w:rPr>
        <w:t>4</w:t>
      </w:r>
      <w:r>
        <w:rPr>
          <w:rFonts w:hint="eastAsia" w:ascii="宋体" w:hAnsi="宋体" w:eastAsia="宋体" w:cs="宋体"/>
          <w:i w:val="0"/>
          <w:iCs w:val="0"/>
          <w:color w:val="auto"/>
          <w:kern w:val="2"/>
          <w:sz w:val="24"/>
          <w:szCs w:val="24"/>
          <w:highlight w:val="none"/>
          <w:lang w:val="en-US" w:eastAsia="zh-CN" w:bidi="ar-SA"/>
        </w:rPr>
        <w:t>)(</w:t>
      </w:r>
      <w:r>
        <w:rPr>
          <w:rFonts w:hint="eastAsia" w:ascii="宋体" w:hAnsi="宋体" w:cs="宋体"/>
          <w:i w:val="0"/>
          <w:iCs w:val="0"/>
          <w:color w:val="auto"/>
          <w:kern w:val="2"/>
          <w:sz w:val="24"/>
          <w:szCs w:val="24"/>
          <w:highlight w:val="none"/>
          <w:lang w:val="en-US" w:eastAsia="zh-CN" w:bidi="ar-SA"/>
        </w:rPr>
        <w:t>5</w:t>
      </w:r>
      <w:r>
        <w:rPr>
          <w:rFonts w:hint="eastAsia" w:ascii="宋体" w:hAnsi="宋体" w:eastAsia="宋体" w:cs="宋体"/>
          <w:i w:val="0"/>
          <w:iCs w:val="0"/>
          <w:color w:val="auto"/>
          <w:kern w:val="2"/>
          <w:sz w:val="24"/>
          <w:szCs w:val="24"/>
          <w:highlight w:val="none"/>
          <w:lang w:val="en-US" w:eastAsia="zh-CN" w:bidi="ar-SA"/>
        </w:rPr>
        <w:t>)(</w:t>
      </w:r>
      <w:r>
        <w:rPr>
          <w:rFonts w:hint="eastAsia" w:ascii="宋体" w:hAnsi="宋体" w:cs="宋体"/>
          <w:i w:val="0"/>
          <w:iCs w:val="0"/>
          <w:color w:val="auto"/>
          <w:kern w:val="2"/>
          <w:sz w:val="24"/>
          <w:szCs w:val="24"/>
          <w:highlight w:val="none"/>
          <w:lang w:val="en-US" w:eastAsia="zh-CN" w:bidi="ar-SA"/>
        </w:rPr>
        <w:t>6</w:t>
      </w:r>
      <w:r>
        <w:rPr>
          <w:rFonts w:hint="eastAsia" w:ascii="宋体" w:hAnsi="宋体" w:eastAsia="宋体" w:cs="宋体"/>
          <w:i w:val="0"/>
          <w:iCs w:val="0"/>
          <w:color w:val="auto"/>
          <w:kern w:val="2"/>
          <w:sz w:val="24"/>
          <w:szCs w:val="24"/>
          <w:highlight w:val="none"/>
          <w:lang w:val="en-US" w:eastAsia="zh-CN" w:bidi="ar-SA"/>
        </w:rPr>
        <w:t>)项为必备项，</w:t>
      </w:r>
      <w:r>
        <w:rPr>
          <w:rFonts w:hint="eastAsia" w:ascii="宋体" w:hAnsi="宋体" w:cs="宋体"/>
          <w:i w:val="0"/>
          <w:iCs w:val="0"/>
          <w:color w:val="auto"/>
          <w:kern w:val="2"/>
          <w:sz w:val="24"/>
          <w:szCs w:val="24"/>
          <w:highlight w:val="none"/>
          <w:lang w:val="en-US" w:eastAsia="zh-CN" w:bidi="ar-SA"/>
        </w:rPr>
        <w:t>供应商</w:t>
      </w:r>
      <w:r>
        <w:rPr>
          <w:rFonts w:hint="eastAsia" w:ascii="宋体" w:hAnsi="宋体" w:eastAsia="宋体" w:cs="宋体"/>
          <w:i w:val="0"/>
          <w:iCs w:val="0"/>
          <w:color w:val="auto"/>
          <w:kern w:val="2"/>
          <w:sz w:val="24"/>
          <w:szCs w:val="24"/>
          <w:highlight w:val="none"/>
          <w:lang w:val="en-US" w:eastAsia="zh-CN" w:bidi="ar-SA"/>
        </w:rPr>
        <w:t>在响应文件中必须提供有关材料，如果缺项，将导致投标失败。</w:t>
      </w:r>
    </w:p>
    <w:p>
      <w:pPr>
        <w:pStyle w:val="34"/>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 xml:space="preserve">9.3 </w:t>
      </w:r>
      <w:r>
        <w:rPr>
          <w:rFonts w:hint="eastAsia" w:ascii="宋体" w:hAnsi="宋体" w:cs="宋体"/>
          <w:i w:val="0"/>
          <w:iCs w:val="0"/>
          <w:color w:val="auto"/>
          <w:kern w:val="2"/>
          <w:sz w:val="24"/>
          <w:szCs w:val="24"/>
          <w:highlight w:val="none"/>
          <w:lang w:val="en-US" w:eastAsia="zh-CN" w:bidi="ar-SA"/>
        </w:rPr>
        <w:t>供应商</w:t>
      </w:r>
      <w:r>
        <w:rPr>
          <w:rFonts w:hint="eastAsia" w:ascii="宋体" w:hAnsi="宋体" w:eastAsia="宋体" w:cs="宋体"/>
          <w:i w:val="0"/>
          <w:iCs w:val="0"/>
          <w:color w:val="auto"/>
          <w:kern w:val="2"/>
          <w:sz w:val="24"/>
          <w:szCs w:val="24"/>
          <w:highlight w:val="none"/>
          <w:lang w:val="en-US" w:eastAsia="zh-CN" w:bidi="ar-SA"/>
        </w:rPr>
        <w:t>在投标中违反国家有关法律法规的强制性规定的，其投标按未满足竞争性磋商文件实质性要求处理。</w:t>
      </w:r>
    </w:p>
    <w:p>
      <w:pPr>
        <w:pStyle w:val="34"/>
        <w:spacing w:line="360" w:lineRule="auto"/>
        <w:ind w:firstLine="567"/>
        <w:jc w:val="both"/>
        <w:outlineLvl w:val="1"/>
        <w:rPr>
          <w:rFonts w:hint="eastAsia" w:ascii="宋体" w:hAnsi="宋体" w:eastAsia="宋体" w:cs="宋体"/>
          <w:i w:val="0"/>
          <w:iCs w:val="0"/>
          <w:color w:val="auto"/>
          <w:kern w:val="2"/>
          <w:sz w:val="24"/>
          <w:szCs w:val="24"/>
          <w:highlight w:val="none"/>
          <w:lang w:val="en-US" w:eastAsia="zh-CN" w:bidi="ar-SA"/>
        </w:rPr>
      </w:pPr>
      <w:bookmarkStart w:id="52" w:name="_Toc3038"/>
      <w:r>
        <w:rPr>
          <w:rFonts w:hint="eastAsia" w:ascii="宋体" w:hAnsi="宋体" w:eastAsia="宋体" w:cs="宋体"/>
          <w:i w:val="0"/>
          <w:iCs w:val="0"/>
          <w:color w:val="auto"/>
          <w:kern w:val="2"/>
          <w:sz w:val="24"/>
          <w:szCs w:val="24"/>
          <w:highlight w:val="none"/>
          <w:lang w:val="en-US" w:eastAsia="zh-CN" w:bidi="ar-SA"/>
        </w:rPr>
        <w:t>10.  投标书格式</w:t>
      </w:r>
      <w:bookmarkEnd w:id="52"/>
    </w:p>
    <w:p>
      <w:pPr>
        <w:pStyle w:val="34"/>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 xml:space="preserve">10.1  </w:t>
      </w:r>
      <w:r>
        <w:rPr>
          <w:rFonts w:hint="eastAsia" w:ascii="宋体" w:hAnsi="宋体" w:cs="宋体"/>
          <w:i w:val="0"/>
          <w:iCs w:val="0"/>
          <w:color w:val="auto"/>
          <w:kern w:val="2"/>
          <w:sz w:val="24"/>
          <w:szCs w:val="24"/>
          <w:highlight w:val="none"/>
          <w:lang w:val="en-US" w:eastAsia="zh-CN" w:bidi="ar-SA"/>
        </w:rPr>
        <w:t>供应商</w:t>
      </w:r>
      <w:r>
        <w:rPr>
          <w:rFonts w:hint="eastAsia" w:ascii="宋体" w:hAnsi="宋体" w:eastAsia="宋体" w:cs="宋体"/>
          <w:i w:val="0"/>
          <w:iCs w:val="0"/>
          <w:color w:val="auto"/>
          <w:kern w:val="2"/>
          <w:sz w:val="24"/>
          <w:szCs w:val="24"/>
          <w:highlight w:val="none"/>
          <w:lang w:val="en-US" w:eastAsia="zh-CN" w:bidi="ar-SA"/>
        </w:rPr>
        <w:t>应按竞争性磋商文件提供的格式完整地填写所提供的</w:t>
      </w:r>
      <w:r>
        <w:rPr>
          <w:rFonts w:hint="eastAsia" w:ascii="宋体" w:hAnsi="宋体" w:cs="宋体"/>
          <w:i w:val="0"/>
          <w:iCs w:val="0"/>
          <w:color w:val="auto"/>
          <w:kern w:val="2"/>
          <w:sz w:val="24"/>
          <w:szCs w:val="24"/>
          <w:highlight w:val="none"/>
          <w:lang w:val="en-US" w:eastAsia="zh-CN" w:bidi="ar-SA"/>
        </w:rPr>
        <w:t>工程量、</w:t>
      </w:r>
      <w:r>
        <w:rPr>
          <w:rFonts w:hint="eastAsia" w:ascii="宋体" w:hAnsi="宋体" w:eastAsia="宋体" w:cs="宋体"/>
          <w:i w:val="0"/>
          <w:iCs w:val="0"/>
          <w:color w:val="auto"/>
          <w:kern w:val="2"/>
          <w:sz w:val="24"/>
          <w:szCs w:val="24"/>
          <w:highlight w:val="none"/>
          <w:lang w:val="en-US" w:eastAsia="zh-CN" w:bidi="ar-SA"/>
        </w:rPr>
        <w:t>货物、服务、数量及价格。</w:t>
      </w:r>
    </w:p>
    <w:p>
      <w:pPr>
        <w:pStyle w:val="34"/>
        <w:spacing w:line="360" w:lineRule="auto"/>
        <w:ind w:firstLine="567"/>
        <w:jc w:val="both"/>
        <w:outlineLvl w:val="1"/>
        <w:rPr>
          <w:rFonts w:hint="eastAsia" w:ascii="宋体" w:hAnsi="宋体" w:eastAsia="宋体" w:cs="宋体"/>
          <w:i w:val="0"/>
          <w:iCs w:val="0"/>
          <w:color w:val="auto"/>
          <w:kern w:val="2"/>
          <w:sz w:val="24"/>
          <w:szCs w:val="24"/>
          <w:highlight w:val="none"/>
          <w:lang w:val="en-US" w:eastAsia="zh-CN" w:bidi="ar-SA"/>
        </w:rPr>
      </w:pPr>
      <w:bookmarkStart w:id="53" w:name="_Toc16545"/>
      <w:r>
        <w:rPr>
          <w:rFonts w:hint="eastAsia" w:ascii="宋体" w:hAnsi="宋体" w:eastAsia="宋体" w:cs="宋体"/>
          <w:i w:val="0"/>
          <w:iCs w:val="0"/>
          <w:color w:val="auto"/>
          <w:kern w:val="2"/>
          <w:sz w:val="24"/>
          <w:szCs w:val="24"/>
          <w:highlight w:val="none"/>
          <w:lang w:val="en-US" w:eastAsia="zh-CN" w:bidi="ar-SA"/>
        </w:rPr>
        <w:t>11.  投标报价</w:t>
      </w:r>
      <w:bookmarkEnd w:id="53"/>
    </w:p>
    <w:p>
      <w:pPr>
        <w:pStyle w:val="34"/>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 xml:space="preserve">11.1  </w:t>
      </w:r>
      <w:r>
        <w:rPr>
          <w:rFonts w:hint="eastAsia" w:ascii="宋体" w:hAnsi="宋体" w:cs="宋体"/>
          <w:i w:val="0"/>
          <w:iCs w:val="0"/>
          <w:color w:val="auto"/>
          <w:kern w:val="2"/>
          <w:sz w:val="24"/>
          <w:szCs w:val="24"/>
          <w:highlight w:val="none"/>
          <w:lang w:val="en-US" w:eastAsia="zh-CN" w:bidi="ar-SA"/>
        </w:rPr>
        <w:t>供应商</w:t>
      </w:r>
      <w:r>
        <w:rPr>
          <w:rFonts w:hint="eastAsia" w:ascii="宋体" w:hAnsi="宋体" w:eastAsia="宋体" w:cs="宋体"/>
          <w:i w:val="0"/>
          <w:iCs w:val="0"/>
          <w:color w:val="auto"/>
          <w:kern w:val="2"/>
          <w:sz w:val="24"/>
          <w:szCs w:val="24"/>
          <w:highlight w:val="none"/>
          <w:lang w:val="en-US" w:eastAsia="zh-CN" w:bidi="ar-SA"/>
        </w:rPr>
        <w:t>应按竞争性磋商文件要求，标明拟提供</w:t>
      </w:r>
      <w:r>
        <w:rPr>
          <w:rFonts w:hint="eastAsia" w:ascii="宋体" w:hAnsi="宋体" w:cs="宋体"/>
          <w:i w:val="0"/>
          <w:iCs w:val="0"/>
          <w:color w:val="auto"/>
          <w:kern w:val="2"/>
          <w:sz w:val="24"/>
          <w:szCs w:val="24"/>
          <w:highlight w:val="none"/>
          <w:lang w:val="en-US" w:eastAsia="zh-CN" w:bidi="ar-SA"/>
        </w:rPr>
        <w:t>工程量</w:t>
      </w:r>
      <w:r>
        <w:rPr>
          <w:rFonts w:hint="eastAsia" w:ascii="宋体" w:hAnsi="宋体" w:eastAsia="宋体" w:cs="宋体"/>
          <w:i w:val="0"/>
          <w:iCs w:val="0"/>
          <w:color w:val="auto"/>
          <w:kern w:val="2"/>
          <w:sz w:val="24"/>
          <w:szCs w:val="24"/>
          <w:highlight w:val="none"/>
          <w:lang w:val="en-US" w:eastAsia="zh-CN" w:bidi="ar-SA"/>
        </w:rPr>
        <w:t>的单价和总价。如单价和总价不符，以单价累计为准。</w:t>
      </w:r>
    </w:p>
    <w:p>
      <w:pPr>
        <w:pStyle w:val="34"/>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11.2 本标针对每</w:t>
      </w:r>
      <w:r>
        <w:rPr>
          <w:rFonts w:hint="eastAsia" w:ascii="宋体" w:hAnsi="宋体" w:cs="宋体"/>
          <w:i w:val="0"/>
          <w:iCs w:val="0"/>
          <w:color w:val="auto"/>
          <w:kern w:val="2"/>
          <w:sz w:val="24"/>
          <w:szCs w:val="24"/>
          <w:highlight w:val="none"/>
          <w:lang w:val="en-US" w:eastAsia="zh-CN" w:bidi="ar-SA"/>
        </w:rPr>
        <w:t>一项工程量</w:t>
      </w:r>
      <w:r>
        <w:rPr>
          <w:rFonts w:hint="eastAsia" w:ascii="宋体" w:hAnsi="宋体" w:eastAsia="宋体" w:cs="宋体"/>
          <w:i w:val="0"/>
          <w:iCs w:val="0"/>
          <w:color w:val="auto"/>
          <w:kern w:val="2"/>
          <w:sz w:val="24"/>
          <w:szCs w:val="24"/>
          <w:highlight w:val="none"/>
          <w:lang w:val="en-US" w:eastAsia="zh-CN" w:bidi="ar-SA"/>
        </w:rPr>
        <w:t>只接受一个报价，不接受备选方案，但不拒绝优惠声明。</w:t>
      </w:r>
    </w:p>
    <w:p>
      <w:pPr>
        <w:pStyle w:val="34"/>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 xml:space="preserve">11.3  </w:t>
      </w:r>
      <w:r>
        <w:rPr>
          <w:rFonts w:hint="eastAsia" w:ascii="宋体" w:hAnsi="宋体" w:cs="宋体"/>
          <w:i w:val="0"/>
          <w:iCs w:val="0"/>
          <w:color w:val="auto"/>
          <w:kern w:val="2"/>
          <w:sz w:val="24"/>
          <w:szCs w:val="24"/>
          <w:highlight w:val="none"/>
          <w:lang w:val="en-US" w:eastAsia="zh-CN" w:bidi="ar-SA"/>
        </w:rPr>
        <w:t>供应商</w:t>
      </w:r>
      <w:r>
        <w:rPr>
          <w:rFonts w:hint="eastAsia" w:ascii="宋体" w:hAnsi="宋体" w:eastAsia="宋体" w:cs="宋体"/>
          <w:i w:val="0"/>
          <w:iCs w:val="0"/>
          <w:color w:val="auto"/>
          <w:kern w:val="2"/>
          <w:sz w:val="24"/>
          <w:szCs w:val="24"/>
          <w:highlight w:val="none"/>
          <w:lang w:val="en-US" w:eastAsia="zh-CN" w:bidi="ar-SA"/>
        </w:rPr>
        <w:t>应按竞争性磋商文件的要求对有关设计文件、服务的全部内容进行报价。</w:t>
      </w:r>
    </w:p>
    <w:p>
      <w:pPr>
        <w:pStyle w:val="34"/>
        <w:spacing w:line="360" w:lineRule="auto"/>
        <w:ind w:firstLine="567"/>
        <w:jc w:val="both"/>
        <w:outlineLvl w:val="1"/>
        <w:rPr>
          <w:rFonts w:hint="eastAsia" w:ascii="宋体" w:hAnsi="宋体" w:eastAsia="宋体" w:cs="宋体"/>
          <w:i w:val="0"/>
          <w:iCs w:val="0"/>
          <w:color w:val="auto"/>
          <w:kern w:val="2"/>
          <w:sz w:val="24"/>
          <w:szCs w:val="24"/>
          <w:highlight w:val="none"/>
          <w:lang w:val="en-US" w:eastAsia="zh-CN" w:bidi="ar-SA"/>
        </w:rPr>
      </w:pPr>
      <w:bookmarkStart w:id="54" w:name="_Toc31602"/>
      <w:r>
        <w:rPr>
          <w:rFonts w:hint="eastAsia" w:ascii="宋体" w:hAnsi="宋体" w:eastAsia="宋体" w:cs="宋体"/>
          <w:i w:val="0"/>
          <w:iCs w:val="0"/>
          <w:color w:val="auto"/>
          <w:kern w:val="2"/>
          <w:sz w:val="24"/>
          <w:szCs w:val="24"/>
          <w:highlight w:val="none"/>
          <w:lang w:val="en-US" w:eastAsia="zh-CN" w:bidi="ar-SA"/>
        </w:rPr>
        <w:t>12.   投标货币</w:t>
      </w:r>
      <w:bookmarkEnd w:id="54"/>
    </w:p>
    <w:p>
      <w:pPr>
        <w:pStyle w:val="34"/>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12.1 本次投标货币为人民币。</w:t>
      </w:r>
    </w:p>
    <w:p>
      <w:pPr>
        <w:pStyle w:val="34"/>
        <w:spacing w:line="360" w:lineRule="auto"/>
        <w:ind w:firstLine="567"/>
        <w:jc w:val="both"/>
        <w:outlineLvl w:val="1"/>
        <w:rPr>
          <w:rFonts w:hint="eastAsia" w:ascii="宋体" w:hAnsi="宋体" w:eastAsia="宋体" w:cs="宋体"/>
          <w:i w:val="0"/>
          <w:iCs w:val="0"/>
          <w:color w:val="auto"/>
          <w:kern w:val="2"/>
          <w:sz w:val="24"/>
          <w:szCs w:val="24"/>
          <w:highlight w:val="none"/>
          <w:lang w:val="en-US" w:eastAsia="zh-CN" w:bidi="ar-SA"/>
        </w:rPr>
      </w:pPr>
      <w:bookmarkStart w:id="55" w:name="_Toc32226"/>
      <w:r>
        <w:rPr>
          <w:rFonts w:hint="eastAsia" w:ascii="宋体" w:hAnsi="宋体" w:eastAsia="宋体" w:cs="宋体"/>
          <w:i w:val="0"/>
          <w:iCs w:val="0"/>
          <w:color w:val="auto"/>
          <w:kern w:val="2"/>
          <w:sz w:val="24"/>
          <w:szCs w:val="24"/>
          <w:highlight w:val="none"/>
          <w:lang w:val="en-US" w:eastAsia="zh-CN" w:bidi="ar-SA"/>
        </w:rPr>
        <w:t>13.  证明</w:t>
      </w:r>
      <w:r>
        <w:rPr>
          <w:rFonts w:hint="eastAsia" w:ascii="宋体" w:hAnsi="宋体" w:cs="宋体"/>
          <w:i w:val="0"/>
          <w:iCs w:val="0"/>
          <w:color w:val="auto"/>
          <w:kern w:val="2"/>
          <w:sz w:val="24"/>
          <w:szCs w:val="24"/>
          <w:highlight w:val="none"/>
          <w:lang w:val="en-US" w:eastAsia="zh-CN" w:bidi="ar-SA"/>
        </w:rPr>
        <w:t>供应商</w:t>
      </w:r>
      <w:r>
        <w:rPr>
          <w:rFonts w:hint="eastAsia" w:ascii="宋体" w:hAnsi="宋体" w:eastAsia="宋体" w:cs="宋体"/>
          <w:i w:val="0"/>
          <w:iCs w:val="0"/>
          <w:color w:val="auto"/>
          <w:kern w:val="2"/>
          <w:sz w:val="24"/>
          <w:szCs w:val="24"/>
          <w:highlight w:val="none"/>
          <w:lang w:val="en-US" w:eastAsia="zh-CN" w:bidi="ar-SA"/>
        </w:rPr>
        <w:t>合格和资格的文件</w:t>
      </w:r>
      <w:bookmarkEnd w:id="55"/>
    </w:p>
    <w:p>
      <w:pPr>
        <w:pStyle w:val="34"/>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 xml:space="preserve">13.1 </w:t>
      </w:r>
      <w:r>
        <w:rPr>
          <w:rFonts w:hint="eastAsia" w:ascii="宋体" w:hAnsi="宋体" w:cs="宋体"/>
          <w:i w:val="0"/>
          <w:iCs w:val="0"/>
          <w:color w:val="auto"/>
          <w:kern w:val="2"/>
          <w:sz w:val="24"/>
          <w:szCs w:val="24"/>
          <w:highlight w:val="none"/>
          <w:lang w:val="en-US" w:eastAsia="zh-CN" w:bidi="ar-SA"/>
        </w:rPr>
        <w:t>供应商</w:t>
      </w:r>
      <w:r>
        <w:rPr>
          <w:rFonts w:hint="eastAsia" w:ascii="宋体" w:hAnsi="宋体" w:eastAsia="宋体" w:cs="宋体"/>
          <w:i w:val="0"/>
          <w:iCs w:val="0"/>
          <w:color w:val="auto"/>
          <w:kern w:val="2"/>
          <w:sz w:val="24"/>
          <w:szCs w:val="24"/>
          <w:highlight w:val="none"/>
          <w:lang w:val="en-US" w:eastAsia="zh-CN" w:bidi="ar-SA"/>
        </w:rPr>
        <w:t>应提交证明其有资格参加投标和一旦其投标被接受则有能力履行合同的文件，并作为其响应文件的一部分。</w:t>
      </w:r>
    </w:p>
    <w:p>
      <w:pPr>
        <w:pStyle w:val="34"/>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 xml:space="preserve">13.2 </w:t>
      </w:r>
      <w:r>
        <w:rPr>
          <w:rFonts w:hint="eastAsia" w:ascii="宋体" w:hAnsi="宋体" w:cs="宋体"/>
          <w:i w:val="0"/>
          <w:iCs w:val="0"/>
          <w:color w:val="auto"/>
          <w:kern w:val="2"/>
          <w:sz w:val="24"/>
          <w:szCs w:val="24"/>
          <w:highlight w:val="none"/>
          <w:lang w:val="en-US" w:eastAsia="zh-CN" w:bidi="ar-SA"/>
        </w:rPr>
        <w:t>供应商</w:t>
      </w:r>
      <w:r>
        <w:rPr>
          <w:rFonts w:hint="eastAsia" w:ascii="宋体" w:hAnsi="宋体" w:eastAsia="宋体" w:cs="宋体"/>
          <w:i w:val="0"/>
          <w:iCs w:val="0"/>
          <w:color w:val="auto"/>
          <w:kern w:val="2"/>
          <w:sz w:val="24"/>
          <w:szCs w:val="24"/>
          <w:highlight w:val="none"/>
          <w:lang w:val="en-US" w:eastAsia="zh-CN" w:bidi="ar-SA"/>
        </w:rPr>
        <w:t>应填写并提交竞争性磋商文件所要求的资格证明类文件。</w:t>
      </w:r>
    </w:p>
    <w:p>
      <w:pPr>
        <w:pStyle w:val="34"/>
        <w:spacing w:line="360" w:lineRule="auto"/>
        <w:ind w:firstLine="567"/>
        <w:jc w:val="both"/>
        <w:outlineLvl w:val="1"/>
        <w:rPr>
          <w:rFonts w:hint="eastAsia" w:ascii="宋体" w:hAnsi="宋体" w:eastAsia="宋体" w:cs="宋体"/>
          <w:i w:val="0"/>
          <w:iCs w:val="0"/>
          <w:color w:val="auto"/>
          <w:kern w:val="2"/>
          <w:sz w:val="24"/>
          <w:szCs w:val="24"/>
          <w:highlight w:val="none"/>
          <w:lang w:val="en-US" w:eastAsia="zh-CN" w:bidi="ar-SA"/>
        </w:rPr>
      </w:pPr>
      <w:bookmarkStart w:id="56" w:name="_Toc25433"/>
      <w:r>
        <w:rPr>
          <w:rFonts w:hint="eastAsia" w:ascii="宋体" w:hAnsi="宋体" w:eastAsia="宋体" w:cs="宋体"/>
          <w:i w:val="0"/>
          <w:iCs w:val="0"/>
          <w:color w:val="auto"/>
          <w:kern w:val="2"/>
          <w:sz w:val="24"/>
          <w:szCs w:val="24"/>
          <w:highlight w:val="none"/>
          <w:lang w:val="en-US" w:eastAsia="zh-CN" w:bidi="ar-SA"/>
        </w:rPr>
        <w:t>14.  证明服务的合格性和符合竞争性磋商文件规定的文件</w:t>
      </w:r>
      <w:bookmarkEnd w:id="56"/>
    </w:p>
    <w:p>
      <w:pPr>
        <w:pStyle w:val="34"/>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 xml:space="preserve">14.1 </w:t>
      </w:r>
      <w:r>
        <w:rPr>
          <w:rFonts w:hint="eastAsia" w:ascii="宋体" w:hAnsi="宋体" w:cs="宋体"/>
          <w:i w:val="0"/>
          <w:iCs w:val="0"/>
          <w:color w:val="auto"/>
          <w:kern w:val="2"/>
          <w:sz w:val="24"/>
          <w:szCs w:val="24"/>
          <w:highlight w:val="none"/>
          <w:lang w:val="en-US" w:eastAsia="zh-CN" w:bidi="ar-SA"/>
        </w:rPr>
        <w:t>供应商</w:t>
      </w:r>
      <w:r>
        <w:rPr>
          <w:rFonts w:hint="eastAsia" w:ascii="宋体" w:hAnsi="宋体" w:eastAsia="宋体" w:cs="宋体"/>
          <w:i w:val="0"/>
          <w:iCs w:val="0"/>
          <w:color w:val="auto"/>
          <w:kern w:val="2"/>
          <w:sz w:val="24"/>
          <w:szCs w:val="24"/>
          <w:highlight w:val="none"/>
          <w:lang w:val="en-US" w:eastAsia="zh-CN" w:bidi="ar-SA"/>
        </w:rPr>
        <w:t>应提交竞争性磋商文件要求的服务的合格性及符合竞争性磋商文件规定的证明文件。证明文件可以是图纸和资料等，并作为响应文件的一部分。</w:t>
      </w:r>
    </w:p>
    <w:p>
      <w:pPr>
        <w:pStyle w:val="34"/>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 xml:space="preserve">14.2 </w:t>
      </w:r>
      <w:r>
        <w:rPr>
          <w:rFonts w:hint="eastAsia" w:ascii="宋体" w:hAnsi="宋体" w:cs="宋体"/>
          <w:i w:val="0"/>
          <w:iCs w:val="0"/>
          <w:color w:val="auto"/>
          <w:kern w:val="2"/>
          <w:sz w:val="24"/>
          <w:szCs w:val="24"/>
          <w:highlight w:val="none"/>
          <w:lang w:val="en-US" w:eastAsia="zh-CN" w:bidi="ar-SA"/>
        </w:rPr>
        <w:t>供应商</w:t>
      </w:r>
      <w:r>
        <w:rPr>
          <w:rFonts w:hint="eastAsia" w:ascii="宋体" w:hAnsi="宋体" w:eastAsia="宋体" w:cs="宋体"/>
          <w:i w:val="0"/>
          <w:iCs w:val="0"/>
          <w:color w:val="auto"/>
          <w:kern w:val="2"/>
          <w:sz w:val="24"/>
          <w:szCs w:val="24"/>
          <w:highlight w:val="none"/>
          <w:lang w:val="en-US" w:eastAsia="zh-CN" w:bidi="ar-SA"/>
        </w:rPr>
        <w:t>应逐条阅读竞争性磋商文件要求的技术规格条款要求，指出自己提供的</w:t>
      </w:r>
      <w:r>
        <w:rPr>
          <w:rFonts w:hint="eastAsia" w:ascii="宋体" w:hAnsi="宋体" w:cs="宋体"/>
          <w:i w:val="0"/>
          <w:iCs w:val="0"/>
          <w:color w:val="auto"/>
          <w:kern w:val="2"/>
          <w:sz w:val="24"/>
          <w:szCs w:val="24"/>
          <w:highlight w:val="none"/>
          <w:lang w:val="en-US" w:eastAsia="zh-CN" w:bidi="ar-SA"/>
        </w:rPr>
        <w:t>工程量</w:t>
      </w:r>
      <w:r>
        <w:rPr>
          <w:rFonts w:hint="eastAsia" w:ascii="宋体" w:hAnsi="宋体" w:eastAsia="宋体" w:cs="宋体"/>
          <w:i w:val="0"/>
          <w:iCs w:val="0"/>
          <w:color w:val="auto"/>
          <w:kern w:val="2"/>
          <w:sz w:val="24"/>
          <w:szCs w:val="24"/>
          <w:highlight w:val="none"/>
          <w:lang w:val="en-US" w:eastAsia="zh-CN" w:bidi="ar-SA"/>
        </w:rPr>
        <w:t>是否对竞争性磋商文件做出实质性的响应。否则，将视为</w:t>
      </w:r>
      <w:r>
        <w:rPr>
          <w:rFonts w:hint="eastAsia" w:ascii="宋体" w:hAnsi="宋体" w:cs="宋体"/>
          <w:i w:val="0"/>
          <w:iCs w:val="0"/>
          <w:color w:val="auto"/>
          <w:kern w:val="2"/>
          <w:sz w:val="24"/>
          <w:szCs w:val="24"/>
          <w:highlight w:val="none"/>
          <w:lang w:val="en-US" w:eastAsia="zh-CN" w:bidi="ar-SA"/>
        </w:rPr>
        <w:t>供应商</w:t>
      </w:r>
      <w:r>
        <w:rPr>
          <w:rFonts w:hint="eastAsia" w:ascii="宋体" w:hAnsi="宋体" w:eastAsia="宋体" w:cs="宋体"/>
          <w:i w:val="0"/>
          <w:iCs w:val="0"/>
          <w:color w:val="auto"/>
          <w:kern w:val="2"/>
          <w:sz w:val="24"/>
          <w:szCs w:val="24"/>
          <w:highlight w:val="none"/>
          <w:lang w:val="en-US" w:eastAsia="zh-CN" w:bidi="ar-SA"/>
        </w:rPr>
        <w:t>同意、确认或接受竞争性磋商文件的全部或相应部分的要求。</w:t>
      </w:r>
    </w:p>
    <w:p>
      <w:pPr>
        <w:pStyle w:val="34"/>
        <w:spacing w:line="360" w:lineRule="auto"/>
        <w:ind w:firstLine="567"/>
        <w:jc w:val="both"/>
        <w:outlineLvl w:val="1"/>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 xml:space="preserve">    </w:t>
      </w:r>
      <w:bookmarkStart w:id="57" w:name="_Toc7244"/>
      <w:r>
        <w:rPr>
          <w:rFonts w:hint="eastAsia" w:ascii="宋体" w:hAnsi="宋体" w:eastAsia="宋体" w:cs="宋体"/>
          <w:i w:val="0"/>
          <w:iCs w:val="0"/>
          <w:color w:val="auto"/>
          <w:kern w:val="2"/>
          <w:sz w:val="24"/>
          <w:szCs w:val="24"/>
          <w:highlight w:val="none"/>
          <w:lang w:val="en-US" w:eastAsia="zh-CN" w:bidi="ar-SA"/>
        </w:rPr>
        <w:t>15.  响应文件的有效期</w:t>
      </w:r>
      <w:bookmarkEnd w:id="57"/>
    </w:p>
    <w:p>
      <w:pPr>
        <w:pStyle w:val="34"/>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15.1  响应文件从实际开标之日起30天内有效。</w:t>
      </w:r>
    </w:p>
    <w:p>
      <w:pPr>
        <w:pStyle w:val="34"/>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15.2  在特殊情况下, 在原投标有效期届满之前，采购代理机构、</w:t>
      </w:r>
      <w:r>
        <w:rPr>
          <w:rFonts w:hint="eastAsia" w:ascii="宋体" w:hAnsi="宋体" w:cs="宋体"/>
          <w:i w:val="0"/>
          <w:iCs w:val="0"/>
          <w:color w:val="auto"/>
          <w:kern w:val="2"/>
          <w:sz w:val="24"/>
          <w:szCs w:val="24"/>
          <w:highlight w:val="none"/>
          <w:lang w:val="en-US" w:eastAsia="zh-CN" w:bidi="ar-SA"/>
        </w:rPr>
        <w:t>采购人</w:t>
      </w:r>
      <w:r>
        <w:rPr>
          <w:rFonts w:hint="eastAsia" w:ascii="宋体" w:hAnsi="宋体" w:eastAsia="宋体" w:cs="宋体"/>
          <w:i w:val="0"/>
          <w:iCs w:val="0"/>
          <w:color w:val="auto"/>
          <w:kern w:val="2"/>
          <w:sz w:val="24"/>
          <w:szCs w:val="24"/>
          <w:highlight w:val="none"/>
          <w:lang w:val="en-US" w:eastAsia="zh-CN" w:bidi="ar-SA"/>
        </w:rPr>
        <w:t>可与投标单位协商延长响应文件的有效期，并经投标方确认。</w:t>
      </w:r>
    </w:p>
    <w:p>
      <w:pPr>
        <w:pStyle w:val="34"/>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 xml:space="preserve">15.3 </w:t>
      </w:r>
      <w:r>
        <w:rPr>
          <w:rFonts w:hint="eastAsia" w:ascii="宋体" w:hAnsi="宋体" w:cs="宋体"/>
          <w:i w:val="0"/>
          <w:iCs w:val="0"/>
          <w:color w:val="auto"/>
          <w:kern w:val="2"/>
          <w:sz w:val="24"/>
          <w:szCs w:val="24"/>
          <w:highlight w:val="none"/>
          <w:lang w:val="en-US" w:eastAsia="zh-CN" w:bidi="ar-SA"/>
        </w:rPr>
        <w:t>供应商</w:t>
      </w:r>
      <w:r>
        <w:rPr>
          <w:rFonts w:hint="eastAsia" w:ascii="宋体" w:hAnsi="宋体" w:eastAsia="宋体" w:cs="宋体"/>
          <w:i w:val="0"/>
          <w:iCs w:val="0"/>
          <w:color w:val="auto"/>
          <w:kern w:val="2"/>
          <w:sz w:val="24"/>
          <w:szCs w:val="24"/>
          <w:highlight w:val="none"/>
          <w:lang w:val="en-US" w:eastAsia="zh-CN" w:bidi="ar-SA"/>
        </w:rPr>
        <w:t>在投标有效期内撤销响应文件的，采购代理机构可以不退还投标保证金。</w:t>
      </w:r>
    </w:p>
    <w:p>
      <w:pPr>
        <w:pStyle w:val="34"/>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16.  响应文件的书写要求、标记要求、签署，未按要求编制，响应文件将不能通过符合性检查，按重大偏离处理。</w:t>
      </w:r>
    </w:p>
    <w:p>
      <w:pPr>
        <w:pStyle w:val="34"/>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16.1  响应文件须用不褪色的墨水笔书写。</w:t>
      </w:r>
    </w:p>
    <w:p>
      <w:pPr>
        <w:pStyle w:val="34"/>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16.2  响应文件的书写应清楚工整，修改处应由法定代表人或</w:t>
      </w:r>
      <w:r>
        <w:rPr>
          <w:rFonts w:hint="eastAsia" w:ascii="宋体" w:hAnsi="宋体" w:cs="宋体"/>
          <w:i w:val="0"/>
          <w:iCs w:val="0"/>
          <w:color w:val="auto"/>
          <w:kern w:val="2"/>
          <w:sz w:val="24"/>
          <w:szCs w:val="24"/>
          <w:highlight w:val="none"/>
          <w:lang w:val="en-US" w:eastAsia="zh-CN" w:bidi="ar-SA"/>
        </w:rPr>
        <w:t>供应商</w:t>
      </w:r>
      <w:r>
        <w:rPr>
          <w:rFonts w:hint="eastAsia" w:ascii="宋体" w:hAnsi="宋体" w:eastAsia="宋体" w:cs="宋体"/>
          <w:i w:val="0"/>
          <w:iCs w:val="0"/>
          <w:color w:val="auto"/>
          <w:kern w:val="2"/>
          <w:sz w:val="24"/>
          <w:szCs w:val="24"/>
          <w:highlight w:val="none"/>
          <w:lang w:val="en-US" w:eastAsia="zh-CN" w:bidi="ar-SA"/>
        </w:rPr>
        <w:t>授权代表签章。</w:t>
      </w:r>
    </w:p>
    <w:p>
      <w:pPr>
        <w:pStyle w:val="34"/>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16.3  未实质性响应竞争性磋商文件、或者关键字迹潦草、关键内容表达不清、或者未按要求填写编制、或者可能导致非唯一理解的响应文件将被拒绝。</w:t>
      </w:r>
    </w:p>
    <w:p>
      <w:pPr>
        <w:pStyle w:val="34"/>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 xml:space="preserve">16.4  响应文件具有法律效力,若响应文件与采购需求要求不一致，其内容影响成交结果时，责任由供应商自行承担。 </w:t>
      </w:r>
    </w:p>
    <w:p>
      <w:pPr>
        <w:pStyle w:val="34"/>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16.5 为了保证响应文件的合法性、安全性和完整性，响应文件必须逐页加盖单位公章。授权代表须将 “法人授权书”（原件）附在响应文件中。</w:t>
      </w:r>
    </w:p>
    <w:p>
      <w:pPr>
        <w:pStyle w:val="34"/>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16.6 除供应商对错处做必要修改外，响应文件不得行间插字、涂改或增删。如有修改错漏处，必须由响应文件签署人签字或盖章。</w:t>
      </w:r>
    </w:p>
    <w:p>
      <w:pPr>
        <w:pStyle w:val="34"/>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16.7  响应文件的份数：详见《</w:t>
      </w:r>
      <w:r>
        <w:rPr>
          <w:rFonts w:hint="eastAsia" w:ascii="宋体" w:hAnsi="宋体" w:cs="宋体"/>
          <w:i w:val="0"/>
          <w:iCs w:val="0"/>
          <w:color w:val="auto"/>
          <w:kern w:val="2"/>
          <w:sz w:val="24"/>
          <w:szCs w:val="24"/>
          <w:highlight w:val="none"/>
          <w:lang w:val="en-US" w:eastAsia="zh-CN" w:bidi="ar-SA"/>
        </w:rPr>
        <w:t>供应商</w:t>
      </w:r>
      <w:r>
        <w:rPr>
          <w:rFonts w:hint="eastAsia" w:ascii="宋体" w:hAnsi="宋体" w:eastAsia="宋体" w:cs="宋体"/>
          <w:i w:val="0"/>
          <w:iCs w:val="0"/>
          <w:color w:val="auto"/>
          <w:kern w:val="2"/>
          <w:sz w:val="24"/>
          <w:szCs w:val="24"/>
          <w:highlight w:val="none"/>
          <w:lang w:val="en-US" w:eastAsia="zh-CN" w:bidi="ar-SA"/>
        </w:rPr>
        <w:t>须知前附表》。</w:t>
      </w:r>
    </w:p>
    <w:p>
      <w:pPr>
        <w:pStyle w:val="34"/>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 xml:space="preserve">16.8  </w:t>
      </w:r>
      <w:r>
        <w:rPr>
          <w:rFonts w:hint="eastAsia" w:ascii="宋体" w:hAnsi="宋体" w:cs="宋体"/>
          <w:i w:val="0"/>
          <w:iCs w:val="0"/>
          <w:color w:val="auto"/>
          <w:kern w:val="2"/>
          <w:sz w:val="24"/>
          <w:szCs w:val="24"/>
          <w:highlight w:val="none"/>
          <w:lang w:val="en-US" w:eastAsia="zh-CN" w:bidi="ar-SA"/>
        </w:rPr>
        <w:t>供应商</w:t>
      </w:r>
      <w:r>
        <w:rPr>
          <w:rFonts w:hint="eastAsia" w:ascii="宋体" w:hAnsi="宋体" w:eastAsia="宋体" w:cs="宋体"/>
          <w:i w:val="0"/>
          <w:iCs w:val="0"/>
          <w:color w:val="auto"/>
          <w:kern w:val="2"/>
          <w:sz w:val="24"/>
          <w:szCs w:val="24"/>
          <w:highlight w:val="none"/>
          <w:lang w:val="en-US" w:eastAsia="zh-CN" w:bidi="ar-SA"/>
        </w:rPr>
        <w:t>可根据投标服务的具体需要自行编制其它文件纳入投标书中。</w:t>
      </w:r>
    </w:p>
    <w:p>
      <w:pPr>
        <w:pStyle w:val="34"/>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16.9  纸质版响应文件的装订必须采用死页胶粘本，不允许活页形式装订（非胶粘方式装订的投标书一律视同活页装订）。</w:t>
      </w:r>
    </w:p>
    <w:p>
      <w:pPr>
        <w:pStyle w:val="34"/>
        <w:spacing w:line="360" w:lineRule="auto"/>
        <w:ind w:firstLine="567"/>
        <w:jc w:val="both"/>
        <w:outlineLvl w:val="1"/>
        <w:rPr>
          <w:rFonts w:hint="eastAsia" w:ascii="宋体" w:hAnsi="宋体" w:eastAsia="宋体" w:cs="宋体"/>
          <w:i w:val="0"/>
          <w:iCs w:val="0"/>
          <w:color w:val="auto"/>
          <w:kern w:val="2"/>
          <w:sz w:val="24"/>
          <w:szCs w:val="24"/>
          <w:highlight w:val="none"/>
          <w:lang w:val="en-US" w:eastAsia="zh-CN" w:bidi="ar-SA"/>
        </w:rPr>
      </w:pPr>
      <w:bookmarkStart w:id="58" w:name="_Toc26206"/>
      <w:r>
        <w:rPr>
          <w:rFonts w:hint="eastAsia" w:ascii="宋体" w:hAnsi="宋体" w:eastAsia="宋体" w:cs="宋体"/>
          <w:i w:val="0"/>
          <w:iCs w:val="0"/>
          <w:color w:val="auto"/>
          <w:kern w:val="2"/>
          <w:sz w:val="24"/>
          <w:szCs w:val="24"/>
          <w:highlight w:val="none"/>
          <w:lang w:val="en-US" w:eastAsia="zh-CN" w:bidi="ar-SA"/>
        </w:rPr>
        <w:t>17.  投标保证金（本项目不做要求）</w:t>
      </w:r>
      <w:bookmarkEnd w:id="58"/>
    </w:p>
    <w:p>
      <w:pPr>
        <w:pStyle w:val="34"/>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17.1  投标保证金金额：详见</w:t>
      </w:r>
      <w:r>
        <w:rPr>
          <w:rFonts w:hint="eastAsia" w:ascii="宋体" w:hAnsi="宋体" w:cs="宋体"/>
          <w:i w:val="0"/>
          <w:iCs w:val="0"/>
          <w:color w:val="auto"/>
          <w:kern w:val="2"/>
          <w:sz w:val="24"/>
          <w:szCs w:val="24"/>
          <w:highlight w:val="none"/>
          <w:lang w:val="en-US" w:eastAsia="zh-CN" w:bidi="ar-SA"/>
        </w:rPr>
        <w:t>供应商</w:t>
      </w:r>
      <w:r>
        <w:rPr>
          <w:rFonts w:hint="eastAsia" w:ascii="宋体" w:hAnsi="宋体" w:eastAsia="宋体" w:cs="宋体"/>
          <w:i w:val="0"/>
          <w:iCs w:val="0"/>
          <w:color w:val="auto"/>
          <w:kern w:val="2"/>
          <w:sz w:val="24"/>
          <w:szCs w:val="24"/>
          <w:highlight w:val="none"/>
          <w:lang w:val="en-US" w:eastAsia="zh-CN" w:bidi="ar-SA"/>
        </w:rPr>
        <w:t>须知前附表规定。</w:t>
      </w:r>
    </w:p>
    <w:p>
      <w:pPr>
        <w:pStyle w:val="34"/>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17.2  投标保证金用于保护本次招标免受</w:t>
      </w:r>
      <w:r>
        <w:rPr>
          <w:rFonts w:hint="eastAsia" w:ascii="宋体" w:hAnsi="宋体" w:cs="宋体"/>
          <w:i w:val="0"/>
          <w:iCs w:val="0"/>
          <w:color w:val="auto"/>
          <w:kern w:val="2"/>
          <w:sz w:val="24"/>
          <w:szCs w:val="24"/>
          <w:highlight w:val="none"/>
          <w:lang w:val="en-US" w:eastAsia="zh-CN" w:bidi="ar-SA"/>
        </w:rPr>
        <w:t>供应商</w:t>
      </w:r>
      <w:r>
        <w:rPr>
          <w:rFonts w:hint="eastAsia" w:ascii="宋体" w:hAnsi="宋体" w:eastAsia="宋体" w:cs="宋体"/>
          <w:i w:val="0"/>
          <w:iCs w:val="0"/>
          <w:color w:val="auto"/>
          <w:kern w:val="2"/>
          <w:sz w:val="24"/>
          <w:szCs w:val="24"/>
          <w:highlight w:val="none"/>
          <w:lang w:val="en-US" w:eastAsia="zh-CN" w:bidi="ar-SA"/>
        </w:rPr>
        <w:t>的违规、违约行为而引起的风险。</w:t>
      </w:r>
    </w:p>
    <w:p>
      <w:pPr>
        <w:pStyle w:val="34"/>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17.3  投标保证金应用人民币，由</w:t>
      </w:r>
      <w:r>
        <w:rPr>
          <w:rFonts w:hint="eastAsia" w:ascii="宋体" w:hAnsi="宋体" w:cs="宋体"/>
          <w:i w:val="0"/>
          <w:iCs w:val="0"/>
          <w:color w:val="auto"/>
          <w:kern w:val="2"/>
          <w:sz w:val="24"/>
          <w:szCs w:val="24"/>
          <w:highlight w:val="none"/>
          <w:lang w:val="en-US" w:eastAsia="zh-CN" w:bidi="ar-SA"/>
        </w:rPr>
        <w:t>供应商</w:t>
      </w:r>
      <w:r>
        <w:rPr>
          <w:rFonts w:hint="eastAsia" w:ascii="宋体" w:hAnsi="宋体" w:eastAsia="宋体" w:cs="宋体"/>
          <w:i w:val="0"/>
          <w:iCs w:val="0"/>
          <w:color w:val="auto"/>
          <w:kern w:val="2"/>
          <w:sz w:val="24"/>
          <w:szCs w:val="24"/>
          <w:highlight w:val="none"/>
          <w:lang w:val="en-US" w:eastAsia="zh-CN" w:bidi="ar-SA"/>
        </w:rPr>
        <w:t>按第二章《</w:t>
      </w:r>
      <w:r>
        <w:rPr>
          <w:rFonts w:hint="eastAsia" w:ascii="宋体" w:hAnsi="宋体" w:cs="宋体"/>
          <w:i w:val="0"/>
          <w:iCs w:val="0"/>
          <w:color w:val="auto"/>
          <w:kern w:val="2"/>
          <w:sz w:val="24"/>
          <w:szCs w:val="24"/>
          <w:highlight w:val="none"/>
          <w:lang w:val="en-US" w:eastAsia="zh-CN" w:bidi="ar-SA"/>
        </w:rPr>
        <w:t>供应商</w:t>
      </w:r>
      <w:r>
        <w:rPr>
          <w:rFonts w:hint="eastAsia" w:ascii="宋体" w:hAnsi="宋体" w:eastAsia="宋体" w:cs="宋体"/>
          <w:i w:val="0"/>
          <w:iCs w:val="0"/>
          <w:color w:val="auto"/>
          <w:kern w:val="2"/>
          <w:sz w:val="24"/>
          <w:szCs w:val="24"/>
          <w:highlight w:val="none"/>
          <w:lang w:val="en-US" w:eastAsia="zh-CN" w:bidi="ar-SA"/>
        </w:rPr>
        <w:t>须知》中明确的银行、帐号等信息，于开标前缴纳。对未按要求提交投标保证金的投标书，采购代理机构将视为不响应投标而予以拒绝。</w:t>
      </w:r>
    </w:p>
    <w:p>
      <w:pPr>
        <w:pStyle w:val="34"/>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17.4 投标保证金应以前附表要求的方式提交。投标保证金必须从各单位基本账户汇出。</w:t>
      </w:r>
    </w:p>
    <w:p>
      <w:pPr>
        <w:pStyle w:val="34"/>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17.5  中标人的投标保证金自采购合同签定之日起5个工作日内不计利息予以退还。</w:t>
      </w:r>
    </w:p>
    <w:p>
      <w:pPr>
        <w:pStyle w:val="34"/>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17.6  未中标人的投标保证金，自中标通知书发出之日起5个工作日内不计利息予以退还。</w:t>
      </w:r>
    </w:p>
    <w:p>
      <w:pPr>
        <w:pStyle w:val="34"/>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17.7  发生以下情况中标人的投标保证金可能被没收：</w:t>
      </w:r>
    </w:p>
    <w:p>
      <w:pPr>
        <w:pStyle w:val="34"/>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17.7.1 未按28条规定签定合同；</w:t>
      </w:r>
    </w:p>
    <w:p>
      <w:pPr>
        <w:pStyle w:val="34"/>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17.7.2 未按第31条有关缴纳中标服务费的规定；</w:t>
      </w:r>
    </w:p>
    <w:p>
      <w:pPr>
        <w:pStyle w:val="34"/>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17.7.3 未按竞争性磋商文件要求提交合同履约保证金的。</w:t>
      </w:r>
    </w:p>
    <w:p>
      <w:pPr>
        <w:pStyle w:val="34"/>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四、响应文件的递交</w:t>
      </w:r>
    </w:p>
    <w:p>
      <w:pPr>
        <w:pStyle w:val="34"/>
        <w:spacing w:line="360" w:lineRule="auto"/>
        <w:ind w:firstLine="567"/>
        <w:jc w:val="both"/>
        <w:outlineLvl w:val="1"/>
        <w:rPr>
          <w:rFonts w:hint="eastAsia" w:ascii="宋体" w:hAnsi="宋体" w:eastAsia="宋体" w:cs="宋体"/>
          <w:i w:val="0"/>
          <w:iCs w:val="0"/>
          <w:color w:val="auto"/>
          <w:kern w:val="2"/>
          <w:sz w:val="24"/>
          <w:szCs w:val="24"/>
          <w:highlight w:val="none"/>
          <w:lang w:val="en-US" w:eastAsia="zh-CN" w:bidi="ar-SA"/>
        </w:rPr>
      </w:pPr>
      <w:bookmarkStart w:id="59" w:name="_Toc22169"/>
      <w:r>
        <w:rPr>
          <w:rFonts w:hint="eastAsia" w:ascii="宋体" w:hAnsi="宋体" w:eastAsia="宋体" w:cs="宋体"/>
          <w:i w:val="0"/>
          <w:iCs w:val="0"/>
          <w:color w:val="auto"/>
          <w:kern w:val="2"/>
          <w:sz w:val="24"/>
          <w:szCs w:val="24"/>
          <w:highlight w:val="none"/>
          <w:lang w:val="en-US" w:eastAsia="zh-CN" w:bidi="ar-SA"/>
        </w:rPr>
        <w:t>18.  响应文件递交的格式</w:t>
      </w:r>
      <w:bookmarkEnd w:id="59"/>
    </w:p>
    <w:p>
      <w:pPr>
        <w:pStyle w:val="34"/>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18.1  投标供应商应当在投标截止时间前，将生成的“JMBS格式电子加密响应文件”上传递交至“政府采购云平台”，投标截止时间以后上传递交的响应文件将被“政府采购云平台”拒收。</w:t>
      </w:r>
    </w:p>
    <w:p>
      <w:pPr>
        <w:pStyle w:val="34"/>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18.2  未按本须知要求投递响应文件，造成无法投标或投标失败等后果的由供应商自行承担。</w:t>
      </w:r>
    </w:p>
    <w:p>
      <w:pPr>
        <w:pStyle w:val="34"/>
        <w:spacing w:line="360" w:lineRule="auto"/>
        <w:ind w:firstLine="567"/>
        <w:jc w:val="both"/>
        <w:outlineLvl w:val="1"/>
        <w:rPr>
          <w:rFonts w:hint="eastAsia" w:ascii="宋体" w:hAnsi="宋体" w:eastAsia="宋体" w:cs="宋体"/>
          <w:i w:val="0"/>
          <w:iCs w:val="0"/>
          <w:color w:val="auto"/>
          <w:kern w:val="2"/>
          <w:sz w:val="24"/>
          <w:szCs w:val="24"/>
          <w:highlight w:val="none"/>
          <w:lang w:val="en-US" w:eastAsia="zh-CN" w:bidi="ar-SA"/>
        </w:rPr>
      </w:pPr>
      <w:bookmarkStart w:id="60" w:name="_Toc21247"/>
      <w:r>
        <w:rPr>
          <w:rFonts w:hint="eastAsia" w:ascii="宋体" w:hAnsi="宋体" w:eastAsia="宋体" w:cs="宋体"/>
          <w:i w:val="0"/>
          <w:iCs w:val="0"/>
          <w:color w:val="auto"/>
          <w:kern w:val="2"/>
          <w:sz w:val="24"/>
          <w:szCs w:val="24"/>
          <w:highlight w:val="none"/>
          <w:lang w:val="en-US" w:eastAsia="zh-CN" w:bidi="ar-SA"/>
        </w:rPr>
        <w:t>19.  响应文件递交的截止日期</w:t>
      </w:r>
      <w:bookmarkEnd w:id="60"/>
    </w:p>
    <w:p>
      <w:pPr>
        <w:pStyle w:val="34"/>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 xml:space="preserve">19.1  </w:t>
      </w:r>
      <w:r>
        <w:rPr>
          <w:rFonts w:hint="eastAsia" w:ascii="宋体" w:hAnsi="宋体" w:cs="宋体"/>
          <w:i w:val="0"/>
          <w:iCs w:val="0"/>
          <w:color w:val="auto"/>
          <w:kern w:val="2"/>
          <w:sz w:val="24"/>
          <w:szCs w:val="24"/>
          <w:highlight w:val="none"/>
          <w:lang w:val="en-US" w:eastAsia="zh-CN" w:bidi="ar-SA"/>
        </w:rPr>
        <w:t>供应商</w:t>
      </w:r>
      <w:r>
        <w:rPr>
          <w:rFonts w:hint="eastAsia" w:ascii="宋体" w:hAnsi="宋体" w:eastAsia="宋体" w:cs="宋体"/>
          <w:i w:val="0"/>
          <w:iCs w:val="0"/>
          <w:color w:val="auto"/>
          <w:kern w:val="2"/>
          <w:sz w:val="24"/>
          <w:szCs w:val="24"/>
          <w:highlight w:val="none"/>
          <w:lang w:val="en-US" w:eastAsia="zh-CN" w:bidi="ar-SA"/>
        </w:rPr>
        <w:t>必须在《</w:t>
      </w:r>
      <w:r>
        <w:rPr>
          <w:rFonts w:hint="eastAsia" w:ascii="宋体" w:hAnsi="宋体" w:cs="宋体"/>
          <w:i w:val="0"/>
          <w:iCs w:val="0"/>
          <w:color w:val="auto"/>
          <w:kern w:val="2"/>
          <w:sz w:val="24"/>
          <w:szCs w:val="24"/>
          <w:highlight w:val="none"/>
          <w:lang w:val="en-US" w:eastAsia="zh-CN" w:bidi="ar-SA"/>
        </w:rPr>
        <w:t>供应商</w:t>
      </w:r>
      <w:r>
        <w:rPr>
          <w:rFonts w:hint="eastAsia" w:ascii="宋体" w:hAnsi="宋体" w:eastAsia="宋体" w:cs="宋体"/>
          <w:i w:val="0"/>
          <w:iCs w:val="0"/>
          <w:color w:val="auto"/>
          <w:kern w:val="2"/>
          <w:sz w:val="24"/>
          <w:szCs w:val="24"/>
          <w:highlight w:val="none"/>
          <w:lang w:val="en-US" w:eastAsia="zh-CN" w:bidi="ar-SA"/>
        </w:rPr>
        <w:t>须知前附表》中规定的时间之前将响应文件送达到规定的地点。</w:t>
      </w:r>
    </w:p>
    <w:p>
      <w:pPr>
        <w:pStyle w:val="34"/>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19.2  超过竞争性磋商文件规定的投标截止时间送达的响应文件将不予接受。</w:t>
      </w:r>
    </w:p>
    <w:p>
      <w:pPr>
        <w:pStyle w:val="34"/>
        <w:spacing w:line="360" w:lineRule="auto"/>
        <w:ind w:firstLine="567"/>
        <w:jc w:val="both"/>
        <w:outlineLvl w:val="1"/>
        <w:rPr>
          <w:rFonts w:hint="eastAsia" w:ascii="宋体" w:hAnsi="宋体" w:eastAsia="宋体" w:cs="宋体"/>
          <w:i w:val="0"/>
          <w:iCs w:val="0"/>
          <w:color w:val="auto"/>
          <w:kern w:val="2"/>
          <w:sz w:val="24"/>
          <w:szCs w:val="24"/>
          <w:highlight w:val="none"/>
          <w:lang w:val="en-US" w:eastAsia="zh-CN" w:bidi="ar-SA"/>
        </w:rPr>
      </w:pPr>
      <w:bookmarkStart w:id="61" w:name="_Toc3387"/>
      <w:r>
        <w:rPr>
          <w:rFonts w:hint="eastAsia" w:ascii="宋体" w:hAnsi="宋体" w:eastAsia="宋体" w:cs="宋体"/>
          <w:i w:val="0"/>
          <w:iCs w:val="0"/>
          <w:color w:val="auto"/>
          <w:kern w:val="2"/>
          <w:sz w:val="24"/>
          <w:szCs w:val="24"/>
          <w:highlight w:val="none"/>
          <w:lang w:val="en-US" w:eastAsia="zh-CN" w:bidi="ar-SA"/>
        </w:rPr>
        <w:t>20.  响应文件的修改和撤销</w:t>
      </w:r>
      <w:bookmarkEnd w:id="61"/>
    </w:p>
    <w:p>
      <w:pPr>
        <w:pStyle w:val="34"/>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 xml:space="preserve">20.1  </w:t>
      </w:r>
      <w:r>
        <w:rPr>
          <w:rFonts w:hint="eastAsia" w:ascii="宋体" w:hAnsi="宋体" w:cs="宋体"/>
          <w:i w:val="0"/>
          <w:iCs w:val="0"/>
          <w:color w:val="auto"/>
          <w:kern w:val="2"/>
          <w:sz w:val="24"/>
          <w:szCs w:val="24"/>
          <w:highlight w:val="none"/>
          <w:lang w:val="en-US" w:eastAsia="zh-CN" w:bidi="ar-SA"/>
        </w:rPr>
        <w:t>供应商</w:t>
      </w:r>
      <w:r>
        <w:rPr>
          <w:rFonts w:hint="eastAsia" w:ascii="宋体" w:hAnsi="宋体" w:eastAsia="宋体" w:cs="宋体"/>
          <w:i w:val="0"/>
          <w:iCs w:val="0"/>
          <w:color w:val="auto"/>
          <w:kern w:val="2"/>
          <w:sz w:val="24"/>
          <w:szCs w:val="24"/>
          <w:highlight w:val="none"/>
          <w:lang w:val="en-US" w:eastAsia="zh-CN" w:bidi="ar-SA"/>
        </w:rPr>
        <w:t>对其响应文件进行的修改或撤销应以书面形式并在竞争性磋商文件规定的投标截止时间前送达</w:t>
      </w:r>
      <w:r>
        <w:rPr>
          <w:rFonts w:hint="eastAsia" w:ascii="宋体" w:hAnsi="宋体" w:cs="宋体"/>
          <w:i w:val="0"/>
          <w:iCs w:val="0"/>
          <w:color w:val="auto"/>
          <w:kern w:val="2"/>
          <w:sz w:val="24"/>
          <w:szCs w:val="24"/>
          <w:highlight w:val="none"/>
          <w:lang w:val="en-US" w:eastAsia="zh-CN" w:bidi="ar-SA"/>
        </w:rPr>
        <w:t>采购人</w:t>
      </w:r>
      <w:r>
        <w:rPr>
          <w:rFonts w:hint="eastAsia" w:ascii="宋体" w:hAnsi="宋体" w:eastAsia="宋体" w:cs="宋体"/>
          <w:i w:val="0"/>
          <w:iCs w:val="0"/>
          <w:color w:val="auto"/>
          <w:kern w:val="2"/>
          <w:sz w:val="24"/>
          <w:szCs w:val="24"/>
          <w:highlight w:val="none"/>
          <w:lang w:val="en-US" w:eastAsia="zh-CN" w:bidi="ar-SA"/>
        </w:rPr>
        <w:t>、采购代理机构手中。</w:t>
      </w:r>
    </w:p>
    <w:p>
      <w:pPr>
        <w:pStyle w:val="34"/>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 xml:space="preserve">20.2  </w:t>
      </w:r>
      <w:r>
        <w:rPr>
          <w:rFonts w:hint="eastAsia" w:ascii="宋体" w:hAnsi="宋体" w:cs="宋体"/>
          <w:i w:val="0"/>
          <w:iCs w:val="0"/>
          <w:color w:val="auto"/>
          <w:kern w:val="2"/>
          <w:sz w:val="24"/>
          <w:szCs w:val="24"/>
          <w:highlight w:val="none"/>
          <w:lang w:val="en-US" w:eastAsia="zh-CN" w:bidi="ar-SA"/>
        </w:rPr>
        <w:t>供应商</w:t>
      </w:r>
      <w:r>
        <w:rPr>
          <w:rFonts w:hint="eastAsia" w:ascii="宋体" w:hAnsi="宋体" w:eastAsia="宋体" w:cs="宋体"/>
          <w:i w:val="0"/>
          <w:iCs w:val="0"/>
          <w:color w:val="auto"/>
          <w:kern w:val="2"/>
          <w:sz w:val="24"/>
          <w:szCs w:val="24"/>
          <w:highlight w:val="none"/>
          <w:lang w:val="en-US" w:eastAsia="zh-CN" w:bidi="ar-SA"/>
        </w:rPr>
        <w:t>对响应文件的修改或撤销应按竞争性磋商文件规定进行准备、标注和递交。</w:t>
      </w:r>
    </w:p>
    <w:p>
      <w:pPr>
        <w:pStyle w:val="34"/>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20.3  投标截止时间以后，不允许对响应文件进行修改。</w:t>
      </w:r>
    </w:p>
    <w:p>
      <w:pPr>
        <w:pStyle w:val="34"/>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 xml:space="preserve">20.4  </w:t>
      </w:r>
      <w:r>
        <w:rPr>
          <w:rFonts w:hint="eastAsia" w:ascii="宋体" w:hAnsi="宋体" w:cs="宋体"/>
          <w:i w:val="0"/>
          <w:iCs w:val="0"/>
          <w:color w:val="auto"/>
          <w:kern w:val="2"/>
          <w:sz w:val="24"/>
          <w:szCs w:val="24"/>
          <w:highlight w:val="none"/>
          <w:lang w:val="en-US" w:eastAsia="zh-CN" w:bidi="ar-SA"/>
        </w:rPr>
        <w:t>供应商</w:t>
      </w:r>
      <w:r>
        <w:rPr>
          <w:rFonts w:hint="eastAsia" w:ascii="宋体" w:hAnsi="宋体" w:eastAsia="宋体" w:cs="宋体"/>
          <w:i w:val="0"/>
          <w:iCs w:val="0"/>
          <w:color w:val="auto"/>
          <w:kern w:val="2"/>
          <w:sz w:val="24"/>
          <w:szCs w:val="24"/>
          <w:highlight w:val="none"/>
          <w:lang w:val="en-US" w:eastAsia="zh-CN" w:bidi="ar-SA"/>
        </w:rPr>
        <w:t>不得在投标截止时间起至响应文件有效期满前撤销响应文件。</w:t>
      </w:r>
    </w:p>
    <w:p>
      <w:pPr>
        <w:pStyle w:val="34"/>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五、开标</w:t>
      </w:r>
    </w:p>
    <w:p>
      <w:pPr>
        <w:pStyle w:val="34"/>
        <w:spacing w:line="360" w:lineRule="auto"/>
        <w:ind w:firstLine="567"/>
        <w:jc w:val="both"/>
        <w:outlineLvl w:val="1"/>
        <w:rPr>
          <w:rFonts w:hint="eastAsia" w:ascii="宋体" w:hAnsi="宋体" w:eastAsia="宋体" w:cs="宋体"/>
          <w:i w:val="0"/>
          <w:iCs w:val="0"/>
          <w:color w:val="auto"/>
          <w:kern w:val="2"/>
          <w:sz w:val="24"/>
          <w:szCs w:val="24"/>
          <w:highlight w:val="none"/>
          <w:lang w:val="en-US" w:eastAsia="zh-CN" w:bidi="ar-SA"/>
        </w:rPr>
      </w:pPr>
      <w:bookmarkStart w:id="62" w:name="_Toc19501"/>
      <w:r>
        <w:rPr>
          <w:rFonts w:hint="eastAsia" w:ascii="宋体" w:hAnsi="宋体" w:eastAsia="宋体" w:cs="宋体"/>
          <w:i w:val="0"/>
          <w:iCs w:val="0"/>
          <w:color w:val="auto"/>
          <w:kern w:val="2"/>
          <w:sz w:val="24"/>
          <w:szCs w:val="24"/>
          <w:highlight w:val="none"/>
          <w:lang w:val="en-US" w:eastAsia="zh-CN" w:bidi="ar-SA"/>
        </w:rPr>
        <w:t>21.  开标</w:t>
      </w:r>
      <w:bookmarkEnd w:id="62"/>
    </w:p>
    <w:p>
      <w:pPr>
        <w:pStyle w:val="34"/>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21.1  除非采购代理机构另外书面通知，本标将按本竞争性磋商文件《</w:t>
      </w:r>
      <w:r>
        <w:rPr>
          <w:rFonts w:hint="eastAsia" w:ascii="宋体" w:hAnsi="宋体" w:cs="宋体"/>
          <w:i w:val="0"/>
          <w:iCs w:val="0"/>
          <w:color w:val="auto"/>
          <w:kern w:val="2"/>
          <w:sz w:val="24"/>
          <w:szCs w:val="24"/>
          <w:highlight w:val="none"/>
          <w:lang w:val="en-US" w:eastAsia="zh-CN" w:bidi="ar-SA"/>
        </w:rPr>
        <w:t>供应商</w:t>
      </w:r>
      <w:r>
        <w:rPr>
          <w:rFonts w:hint="eastAsia" w:ascii="宋体" w:hAnsi="宋体" w:eastAsia="宋体" w:cs="宋体"/>
          <w:i w:val="0"/>
          <w:iCs w:val="0"/>
          <w:color w:val="auto"/>
          <w:kern w:val="2"/>
          <w:sz w:val="24"/>
          <w:szCs w:val="24"/>
          <w:highlight w:val="none"/>
          <w:lang w:val="en-US" w:eastAsia="zh-CN" w:bidi="ar-SA"/>
        </w:rPr>
        <w:t>须知前附表》中规定的时间和地点开标。</w:t>
      </w:r>
    </w:p>
    <w:p>
      <w:pPr>
        <w:pStyle w:val="34"/>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21.2  开标时，</w:t>
      </w:r>
      <w:r>
        <w:rPr>
          <w:rFonts w:hint="eastAsia" w:ascii="宋体" w:hAnsi="宋体" w:cs="宋体"/>
          <w:i w:val="0"/>
          <w:iCs w:val="0"/>
          <w:color w:val="auto"/>
          <w:kern w:val="2"/>
          <w:sz w:val="24"/>
          <w:szCs w:val="24"/>
          <w:highlight w:val="none"/>
          <w:lang w:val="en-US" w:eastAsia="zh-CN" w:bidi="ar-SA"/>
        </w:rPr>
        <w:t>采购人</w:t>
      </w:r>
      <w:r>
        <w:rPr>
          <w:rFonts w:hint="eastAsia" w:ascii="宋体" w:hAnsi="宋体" w:eastAsia="宋体" w:cs="宋体"/>
          <w:i w:val="0"/>
          <w:iCs w:val="0"/>
          <w:color w:val="auto"/>
          <w:kern w:val="2"/>
          <w:sz w:val="24"/>
          <w:szCs w:val="24"/>
          <w:highlight w:val="none"/>
          <w:lang w:val="en-US" w:eastAsia="zh-CN" w:bidi="ar-SA"/>
        </w:rPr>
        <w:t>、监督部门、公证部门的工作人员将对开标会议到场监督。</w:t>
      </w:r>
    </w:p>
    <w:p>
      <w:pPr>
        <w:pStyle w:val="34"/>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21.3  开标时，投标单位完成在线解密后，由工作人员开始唱标。</w:t>
      </w:r>
    </w:p>
    <w:p>
      <w:pPr>
        <w:pStyle w:val="34"/>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21.4  唱标完毕后，如果</w:t>
      </w:r>
      <w:r>
        <w:rPr>
          <w:rFonts w:hint="eastAsia" w:ascii="宋体" w:hAnsi="宋体" w:cs="宋体"/>
          <w:i w:val="0"/>
          <w:iCs w:val="0"/>
          <w:color w:val="auto"/>
          <w:kern w:val="2"/>
          <w:sz w:val="24"/>
          <w:szCs w:val="24"/>
          <w:highlight w:val="none"/>
          <w:lang w:val="en-US" w:eastAsia="zh-CN" w:bidi="ar-SA"/>
        </w:rPr>
        <w:t>供应商</w:t>
      </w:r>
      <w:r>
        <w:rPr>
          <w:rFonts w:hint="eastAsia" w:ascii="宋体" w:hAnsi="宋体" w:eastAsia="宋体" w:cs="宋体"/>
          <w:i w:val="0"/>
          <w:iCs w:val="0"/>
          <w:color w:val="auto"/>
          <w:kern w:val="2"/>
          <w:sz w:val="24"/>
          <w:szCs w:val="24"/>
          <w:highlight w:val="none"/>
          <w:lang w:val="en-US" w:eastAsia="zh-CN" w:bidi="ar-SA"/>
        </w:rPr>
        <w:t>对所唱内容有异议，应当场立即提出。经现场监标人员确认，认为有必要重新唱标的，由唱标员重新唱标。</w:t>
      </w:r>
    </w:p>
    <w:p>
      <w:pPr>
        <w:pStyle w:val="34"/>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21.5  所有唱标均记录在案，并经监标人员或公证人员的签字，作为各</w:t>
      </w:r>
      <w:r>
        <w:rPr>
          <w:rFonts w:hint="eastAsia" w:ascii="宋体" w:hAnsi="宋体" w:cs="宋体"/>
          <w:i w:val="0"/>
          <w:iCs w:val="0"/>
          <w:color w:val="auto"/>
          <w:kern w:val="2"/>
          <w:sz w:val="24"/>
          <w:szCs w:val="24"/>
          <w:highlight w:val="none"/>
          <w:lang w:val="en-US" w:eastAsia="zh-CN" w:bidi="ar-SA"/>
        </w:rPr>
        <w:t>供应商</w:t>
      </w:r>
      <w:r>
        <w:rPr>
          <w:rFonts w:hint="eastAsia" w:ascii="宋体" w:hAnsi="宋体" w:eastAsia="宋体" w:cs="宋体"/>
          <w:i w:val="0"/>
          <w:iCs w:val="0"/>
          <w:color w:val="auto"/>
          <w:kern w:val="2"/>
          <w:sz w:val="24"/>
          <w:szCs w:val="24"/>
          <w:highlight w:val="none"/>
          <w:lang w:val="en-US" w:eastAsia="zh-CN" w:bidi="ar-SA"/>
        </w:rPr>
        <w:t>响应文件的组成部分。</w:t>
      </w:r>
    </w:p>
    <w:p>
      <w:pPr>
        <w:pStyle w:val="34"/>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 xml:space="preserve">21.6  </w:t>
      </w:r>
      <w:r>
        <w:rPr>
          <w:rFonts w:hint="eastAsia" w:ascii="宋体" w:hAnsi="宋体" w:cs="宋体"/>
          <w:i w:val="0"/>
          <w:iCs w:val="0"/>
          <w:color w:val="auto"/>
          <w:kern w:val="2"/>
          <w:sz w:val="24"/>
          <w:szCs w:val="24"/>
          <w:highlight w:val="none"/>
          <w:lang w:val="en-US" w:eastAsia="zh-CN" w:bidi="ar-SA"/>
        </w:rPr>
        <w:t>供应商</w:t>
      </w:r>
      <w:r>
        <w:rPr>
          <w:rFonts w:hint="eastAsia" w:ascii="宋体" w:hAnsi="宋体" w:eastAsia="宋体" w:cs="宋体"/>
          <w:i w:val="0"/>
          <w:iCs w:val="0"/>
          <w:color w:val="auto"/>
          <w:kern w:val="2"/>
          <w:sz w:val="24"/>
          <w:szCs w:val="24"/>
          <w:highlight w:val="none"/>
          <w:lang w:val="en-US" w:eastAsia="zh-CN" w:bidi="ar-SA"/>
        </w:rPr>
        <w:t>代表对开标过程和开标记录有疑义，以及认为采购人、采购代理机构相关工作人员有需要回避的情形的，应当场提出询问或者回避申请。</w:t>
      </w:r>
    </w:p>
    <w:p>
      <w:pPr>
        <w:pStyle w:val="34"/>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 xml:space="preserve">21.7  </w:t>
      </w:r>
      <w:r>
        <w:rPr>
          <w:rFonts w:hint="eastAsia" w:ascii="宋体" w:hAnsi="宋体" w:cs="宋体"/>
          <w:i w:val="0"/>
          <w:iCs w:val="0"/>
          <w:color w:val="auto"/>
          <w:kern w:val="2"/>
          <w:sz w:val="24"/>
          <w:szCs w:val="24"/>
          <w:highlight w:val="none"/>
          <w:lang w:val="en-US" w:eastAsia="zh-CN" w:bidi="ar-SA"/>
        </w:rPr>
        <w:t>供应商</w:t>
      </w:r>
      <w:r>
        <w:rPr>
          <w:rFonts w:hint="eastAsia" w:ascii="宋体" w:hAnsi="宋体" w:eastAsia="宋体" w:cs="宋体"/>
          <w:i w:val="0"/>
          <w:iCs w:val="0"/>
          <w:color w:val="auto"/>
          <w:kern w:val="2"/>
          <w:sz w:val="24"/>
          <w:szCs w:val="24"/>
          <w:highlight w:val="none"/>
          <w:lang w:val="en-US" w:eastAsia="zh-CN" w:bidi="ar-SA"/>
        </w:rPr>
        <w:t>未参加开标的，视同认可开标结果。</w:t>
      </w:r>
    </w:p>
    <w:p>
      <w:pPr>
        <w:pStyle w:val="34"/>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六、评标和定标</w:t>
      </w:r>
    </w:p>
    <w:p>
      <w:pPr>
        <w:pStyle w:val="34"/>
        <w:spacing w:line="360" w:lineRule="auto"/>
        <w:ind w:firstLine="567"/>
        <w:jc w:val="both"/>
        <w:outlineLvl w:val="1"/>
        <w:rPr>
          <w:rFonts w:hint="eastAsia" w:ascii="宋体" w:hAnsi="宋体" w:eastAsia="宋体" w:cs="宋体"/>
          <w:i w:val="0"/>
          <w:iCs w:val="0"/>
          <w:color w:val="auto"/>
          <w:kern w:val="2"/>
          <w:sz w:val="24"/>
          <w:szCs w:val="24"/>
          <w:highlight w:val="none"/>
          <w:lang w:val="en-US" w:eastAsia="zh-CN" w:bidi="ar-SA"/>
        </w:rPr>
      </w:pPr>
      <w:bookmarkStart w:id="63" w:name="_Toc4759"/>
      <w:r>
        <w:rPr>
          <w:rFonts w:hint="eastAsia" w:ascii="宋体" w:hAnsi="宋体" w:eastAsia="宋体" w:cs="宋体"/>
          <w:i w:val="0"/>
          <w:iCs w:val="0"/>
          <w:color w:val="auto"/>
          <w:kern w:val="2"/>
          <w:sz w:val="24"/>
          <w:szCs w:val="24"/>
          <w:highlight w:val="none"/>
          <w:lang w:val="en-US" w:eastAsia="zh-CN" w:bidi="ar-SA"/>
        </w:rPr>
        <w:t>22. 评标原则</w:t>
      </w:r>
      <w:bookmarkEnd w:id="63"/>
    </w:p>
    <w:p>
      <w:pPr>
        <w:pStyle w:val="34"/>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22.1  本标的评标遵循公平、公正、科学、择优的原则。</w:t>
      </w:r>
    </w:p>
    <w:p>
      <w:pPr>
        <w:pStyle w:val="34"/>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22.2  评标委员会将严格按照《中华人民共和国招标投标法》、《中华人民共和国招标投标法实施条例》、《政府采购货物和服务招标投标管理办法》（财政部87号令）的规定及相关法律法规的规定依法评标，维护招标投标各方当事人的合法权益。法律、法规、规章和省级以上财政部门涉及政府采购政策功能及其他规定，评标委员会应根据竞争性磋商文件规定，优先推荐节能、环保产品，优先考虑中小企业。</w:t>
      </w:r>
      <w:r>
        <w:rPr>
          <w:rFonts w:hint="eastAsia" w:ascii="宋体" w:hAnsi="宋体" w:cs="宋体"/>
          <w:i w:val="0"/>
          <w:iCs w:val="0"/>
          <w:color w:val="auto"/>
          <w:kern w:val="2"/>
          <w:sz w:val="24"/>
          <w:szCs w:val="24"/>
          <w:highlight w:val="none"/>
          <w:lang w:val="en-US" w:eastAsia="zh-CN" w:bidi="ar-SA"/>
        </w:rPr>
        <w:t>供应商</w:t>
      </w:r>
      <w:r>
        <w:rPr>
          <w:rFonts w:hint="eastAsia" w:ascii="宋体" w:hAnsi="宋体" w:eastAsia="宋体" w:cs="宋体"/>
          <w:i w:val="0"/>
          <w:iCs w:val="0"/>
          <w:color w:val="auto"/>
          <w:kern w:val="2"/>
          <w:sz w:val="24"/>
          <w:szCs w:val="24"/>
          <w:highlight w:val="none"/>
          <w:lang w:val="en-US" w:eastAsia="zh-CN" w:bidi="ar-SA"/>
        </w:rPr>
        <w:t>符合规定，获得相应政府采购政策优惠的，应提供相关证明材料。</w:t>
      </w:r>
    </w:p>
    <w:p>
      <w:pPr>
        <w:pStyle w:val="34"/>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22.3  不徇私情，不明招暗定。</w:t>
      </w:r>
    </w:p>
    <w:p>
      <w:pPr>
        <w:pStyle w:val="34"/>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22.4  资格审查合格的</w:t>
      </w:r>
      <w:r>
        <w:rPr>
          <w:rFonts w:hint="eastAsia" w:ascii="宋体" w:hAnsi="宋体" w:cs="宋体"/>
          <w:i w:val="0"/>
          <w:iCs w:val="0"/>
          <w:color w:val="auto"/>
          <w:kern w:val="2"/>
          <w:sz w:val="24"/>
          <w:szCs w:val="24"/>
          <w:highlight w:val="none"/>
          <w:lang w:val="en-US" w:eastAsia="zh-CN" w:bidi="ar-SA"/>
        </w:rPr>
        <w:t>供应商</w:t>
      </w:r>
      <w:r>
        <w:rPr>
          <w:rFonts w:hint="eastAsia" w:ascii="宋体" w:hAnsi="宋体" w:eastAsia="宋体" w:cs="宋体"/>
          <w:i w:val="0"/>
          <w:iCs w:val="0"/>
          <w:color w:val="auto"/>
          <w:kern w:val="2"/>
          <w:sz w:val="24"/>
          <w:szCs w:val="24"/>
          <w:highlight w:val="none"/>
          <w:lang w:val="en-US" w:eastAsia="zh-CN" w:bidi="ar-SA"/>
        </w:rPr>
        <w:t>，均有同等机会参加竞争。</w:t>
      </w:r>
    </w:p>
    <w:p>
      <w:pPr>
        <w:pStyle w:val="34"/>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22.5  评标人员不得私自泄露评标内容，不得进行旨在影响评标结果公正、公平的任何活动。</w:t>
      </w:r>
    </w:p>
    <w:p>
      <w:pPr>
        <w:pStyle w:val="34"/>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22.6  对于响应文件中含义不明确、同类问题表述不一致或者有明显文字和计算错误的内容，评标委员会应当以书面形式要求</w:t>
      </w:r>
      <w:r>
        <w:rPr>
          <w:rFonts w:hint="eastAsia" w:ascii="宋体" w:hAnsi="宋体" w:cs="宋体"/>
          <w:i w:val="0"/>
          <w:iCs w:val="0"/>
          <w:color w:val="auto"/>
          <w:kern w:val="2"/>
          <w:sz w:val="24"/>
          <w:szCs w:val="24"/>
          <w:highlight w:val="none"/>
          <w:lang w:val="en-US" w:eastAsia="zh-CN" w:bidi="ar-SA"/>
        </w:rPr>
        <w:t>供应商</w:t>
      </w:r>
      <w:r>
        <w:rPr>
          <w:rFonts w:hint="eastAsia" w:ascii="宋体" w:hAnsi="宋体" w:eastAsia="宋体" w:cs="宋体"/>
          <w:i w:val="0"/>
          <w:iCs w:val="0"/>
          <w:color w:val="auto"/>
          <w:kern w:val="2"/>
          <w:sz w:val="24"/>
          <w:szCs w:val="24"/>
          <w:highlight w:val="none"/>
          <w:lang w:val="en-US" w:eastAsia="zh-CN" w:bidi="ar-SA"/>
        </w:rPr>
        <w:t>作出必要的澄清、说明或者补正。</w:t>
      </w:r>
    </w:p>
    <w:p>
      <w:pPr>
        <w:pStyle w:val="34"/>
        <w:spacing w:line="360" w:lineRule="auto"/>
        <w:ind w:firstLine="567"/>
        <w:jc w:val="both"/>
        <w:outlineLvl w:val="1"/>
        <w:rPr>
          <w:rFonts w:hint="eastAsia" w:ascii="宋体" w:hAnsi="宋体" w:eastAsia="宋体" w:cs="宋体"/>
          <w:i w:val="0"/>
          <w:iCs w:val="0"/>
          <w:color w:val="auto"/>
          <w:kern w:val="2"/>
          <w:sz w:val="24"/>
          <w:szCs w:val="24"/>
          <w:highlight w:val="none"/>
          <w:lang w:val="en-US" w:eastAsia="zh-CN" w:bidi="ar-SA"/>
        </w:rPr>
      </w:pPr>
      <w:bookmarkStart w:id="64" w:name="_Toc4362"/>
      <w:r>
        <w:rPr>
          <w:rFonts w:hint="eastAsia" w:ascii="宋体" w:hAnsi="宋体" w:eastAsia="宋体" w:cs="宋体"/>
          <w:i w:val="0"/>
          <w:iCs w:val="0"/>
          <w:color w:val="auto"/>
          <w:kern w:val="2"/>
          <w:sz w:val="24"/>
          <w:szCs w:val="24"/>
          <w:highlight w:val="none"/>
          <w:lang w:val="en-US" w:eastAsia="zh-CN" w:bidi="ar-SA"/>
        </w:rPr>
        <w:t>23.  评标方法</w:t>
      </w:r>
      <w:bookmarkEnd w:id="64"/>
    </w:p>
    <w:p>
      <w:pPr>
        <w:pStyle w:val="34"/>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23.1  采购代理机构将根据有关法律法规的规定组建本次招标的评标委员会。评标委员会成员由本行业相关技术、经济等方面的专家组成。其中，技术、经济等方面的专家不少于成员总人数的三分之二。</w:t>
      </w:r>
    </w:p>
    <w:p>
      <w:pPr>
        <w:pStyle w:val="34"/>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23.2  评标的依据为竞争性磋商文件和响应文件。根据相关法律法规的规定，评标委员会不以任何外部证据作为其评标的依据或标准。</w:t>
      </w:r>
    </w:p>
    <w:p>
      <w:pPr>
        <w:pStyle w:val="34"/>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23.3  评标过程将严格保密。开标后直到授予中标人合同止，凡是属于审查、澄清、评价和比较的有关评标资料以及授标建议等均不得向</w:t>
      </w:r>
      <w:r>
        <w:rPr>
          <w:rFonts w:hint="eastAsia" w:ascii="宋体" w:hAnsi="宋体" w:cs="宋体"/>
          <w:i w:val="0"/>
          <w:iCs w:val="0"/>
          <w:color w:val="auto"/>
          <w:kern w:val="2"/>
          <w:sz w:val="24"/>
          <w:szCs w:val="24"/>
          <w:highlight w:val="none"/>
          <w:lang w:val="en-US" w:eastAsia="zh-CN" w:bidi="ar-SA"/>
        </w:rPr>
        <w:t>供应商</w:t>
      </w:r>
      <w:r>
        <w:rPr>
          <w:rFonts w:hint="eastAsia" w:ascii="宋体" w:hAnsi="宋体" w:eastAsia="宋体" w:cs="宋体"/>
          <w:i w:val="0"/>
          <w:iCs w:val="0"/>
          <w:color w:val="auto"/>
          <w:kern w:val="2"/>
          <w:sz w:val="24"/>
          <w:szCs w:val="24"/>
          <w:highlight w:val="none"/>
          <w:lang w:val="en-US" w:eastAsia="zh-CN" w:bidi="ar-SA"/>
        </w:rPr>
        <w:t>或其他无关的人员透露。</w:t>
      </w:r>
    </w:p>
    <w:p>
      <w:pPr>
        <w:pStyle w:val="34"/>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23.4  在评标的整个过程中，</w:t>
      </w:r>
      <w:r>
        <w:rPr>
          <w:rFonts w:hint="eastAsia" w:ascii="宋体" w:hAnsi="宋体" w:cs="宋体"/>
          <w:i w:val="0"/>
          <w:iCs w:val="0"/>
          <w:color w:val="auto"/>
          <w:kern w:val="2"/>
          <w:sz w:val="24"/>
          <w:szCs w:val="24"/>
          <w:highlight w:val="none"/>
          <w:lang w:val="en-US" w:eastAsia="zh-CN" w:bidi="ar-SA"/>
        </w:rPr>
        <w:t>供应商</w:t>
      </w:r>
      <w:r>
        <w:rPr>
          <w:rFonts w:hint="eastAsia" w:ascii="宋体" w:hAnsi="宋体" w:eastAsia="宋体" w:cs="宋体"/>
          <w:i w:val="0"/>
          <w:iCs w:val="0"/>
          <w:color w:val="auto"/>
          <w:kern w:val="2"/>
          <w:sz w:val="24"/>
          <w:szCs w:val="24"/>
          <w:highlight w:val="none"/>
          <w:lang w:val="en-US" w:eastAsia="zh-CN" w:bidi="ar-SA"/>
        </w:rPr>
        <w:t>所进行的旨在影响评标结果的活动，可能导致其投标被拒绝，或者被取消中标资格。</w:t>
      </w:r>
    </w:p>
    <w:p>
      <w:pPr>
        <w:pStyle w:val="34"/>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23.5  本次招标采用综合评分法进行评标。评标分初步评审和详细评审两个阶段。</w:t>
      </w:r>
    </w:p>
    <w:p>
      <w:pPr>
        <w:pStyle w:val="34"/>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23.5.1  初步评审分为资格</w:t>
      </w:r>
      <w:r>
        <w:rPr>
          <w:rFonts w:hint="eastAsia" w:ascii="宋体" w:hAnsi="宋体" w:cs="宋体"/>
          <w:i w:val="0"/>
          <w:iCs w:val="0"/>
          <w:color w:val="auto"/>
          <w:kern w:val="2"/>
          <w:sz w:val="24"/>
          <w:szCs w:val="24"/>
          <w:highlight w:val="none"/>
          <w:lang w:val="en-US" w:eastAsia="zh-CN" w:bidi="ar-SA"/>
        </w:rPr>
        <w:t>审</w:t>
      </w:r>
      <w:r>
        <w:rPr>
          <w:rFonts w:hint="eastAsia" w:ascii="宋体" w:hAnsi="宋体" w:eastAsia="宋体" w:cs="宋体"/>
          <w:i w:val="0"/>
          <w:iCs w:val="0"/>
          <w:color w:val="auto"/>
          <w:kern w:val="2"/>
          <w:sz w:val="24"/>
          <w:szCs w:val="24"/>
          <w:highlight w:val="none"/>
          <w:lang w:val="en-US" w:eastAsia="zh-CN" w:bidi="ar-SA"/>
        </w:rPr>
        <w:t>查和符合性</w:t>
      </w:r>
      <w:r>
        <w:rPr>
          <w:rFonts w:hint="eastAsia" w:ascii="宋体" w:hAnsi="宋体" w:cs="宋体"/>
          <w:i w:val="0"/>
          <w:iCs w:val="0"/>
          <w:color w:val="auto"/>
          <w:kern w:val="2"/>
          <w:sz w:val="24"/>
          <w:szCs w:val="24"/>
          <w:highlight w:val="none"/>
          <w:lang w:val="en-US" w:eastAsia="zh-CN" w:bidi="ar-SA"/>
        </w:rPr>
        <w:t>审</w:t>
      </w:r>
      <w:r>
        <w:rPr>
          <w:rFonts w:hint="eastAsia" w:ascii="宋体" w:hAnsi="宋体" w:eastAsia="宋体" w:cs="宋体"/>
          <w:i w:val="0"/>
          <w:iCs w:val="0"/>
          <w:color w:val="auto"/>
          <w:kern w:val="2"/>
          <w:sz w:val="24"/>
          <w:szCs w:val="24"/>
          <w:highlight w:val="none"/>
          <w:lang w:val="en-US" w:eastAsia="zh-CN" w:bidi="ar-SA"/>
        </w:rPr>
        <w:t>查，只有通过初步评审的响应文件才可进入详细评审阶段。</w:t>
      </w:r>
    </w:p>
    <w:p>
      <w:pPr>
        <w:pStyle w:val="34"/>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23.5.2  详细评审分为报价部分和</w:t>
      </w:r>
      <w:r>
        <w:rPr>
          <w:rFonts w:hint="eastAsia" w:ascii="宋体" w:hAnsi="宋体" w:cs="宋体"/>
          <w:i w:val="0"/>
          <w:iCs w:val="0"/>
          <w:color w:val="auto"/>
          <w:kern w:val="2"/>
          <w:sz w:val="24"/>
          <w:szCs w:val="24"/>
          <w:highlight w:val="none"/>
          <w:lang w:val="en-US" w:eastAsia="zh-CN" w:bidi="ar-SA"/>
        </w:rPr>
        <w:t>商务及</w:t>
      </w:r>
      <w:r>
        <w:rPr>
          <w:rFonts w:hint="eastAsia" w:ascii="宋体" w:hAnsi="宋体" w:eastAsia="宋体" w:cs="宋体"/>
          <w:i w:val="0"/>
          <w:iCs w:val="0"/>
          <w:color w:val="auto"/>
          <w:kern w:val="2"/>
          <w:sz w:val="24"/>
          <w:szCs w:val="24"/>
          <w:highlight w:val="none"/>
          <w:lang w:val="en-US" w:eastAsia="zh-CN" w:bidi="ar-SA"/>
        </w:rPr>
        <w:t>技术标评审两个部分。</w:t>
      </w:r>
    </w:p>
    <w:p>
      <w:pPr>
        <w:pStyle w:val="34"/>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23.6  初步评审</w:t>
      </w:r>
    </w:p>
    <w:p>
      <w:pPr>
        <w:pStyle w:val="34"/>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A. 资格</w:t>
      </w:r>
      <w:r>
        <w:rPr>
          <w:rFonts w:hint="eastAsia" w:ascii="宋体" w:hAnsi="宋体" w:cs="宋体"/>
          <w:i w:val="0"/>
          <w:iCs w:val="0"/>
          <w:color w:val="auto"/>
          <w:kern w:val="2"/>
          <w:sz w:val="24"/>
          <w:szCs w:val="24"/>
          <w:highlight w:val="none"/>
          <w:lang w:val="en-US" w:eastAsia="zh-CN" w:bidi="ar-SA"/>
        </w:rPr>
        <w:t>审查</w:t>
      </w:r>
      <w:r>
        <w:rPr>
          <w:rFonts w:hint="eastAsia" w:ascii="宋体" w:hAnsi="宋体" w:eastAsia="宋体" w:cs="宋体"/>
          <w:i w:val="0"/>
          <w:iCs w:val="0"/>
          <w:color w:val="auto"/>
          <w:kern w:val="2"/>
          <w:sz w:val="24"/>
          <w:szCs w:val="24"/>
          <w:highlight w:val="none"/>
          <w:lang w:val="en-US" w:eastAsia="zh-CN" w:bidi="ar-SA"/>
        </w:rPr>
        <w:t>：依据法律法规和竞争性磋商文件的规定，对响应文件中的资格证明等进行审查，以确定</w:t>
      </w:r>
      <w:r>
        <w:rPr>
          <w:rFonts w:hint="eastAsia" w:ascii="宋体" w:hAnsi="宋体" w:cs="宋体"/>
          <w:i w:val="0"/>
          <w:iCs w:val="0"/>
          <w:color w:val="auto"/>
          <w:kern w:val="2"/>
          <w:sz w:val="24"/>
          <w:szCs w:val="24"/>
          <w:highlight w:val="none"/>
          <w:lang w:val="en-US" w:eastAsia="zh-CN" w:bidi="ar-SA"/>
        </w:rPr>
        <w:t>供应商</w:t>
      </w:r>
      <w:r>
        <w:rPr>
          <w:rFonts w:hint="eastAsia" w:ascii="宋体" w:hAnsi="宋体" w:eastAsia="宋体" w:cs="宋体"/>
          <w:i w:val="0"/>
          <w:iCs w:val="0"/>
          <w:color w:val="auto"/>
          <w:kern w:val="2"/>
          <w:sz w:val="24"/>
          <w:szCs w:val="24"/>
          <w:highlight w:val="none"/>
          <w:lang w:val="en-US" w:eastAsia="zh-CN" w:bidi="ar-SA"/>
        </w:rPr>
        <w:t>是否具备投标资格。</w:t>
      </w:r>
    </w:p>
    <w:p>
      <w:pPr>
        <w:pStyle w:val="34"/>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B. 符合性</w:t>
      </w:r>
      <w:r>
        <w:rPr>
          <w:rFonts w:hint="eastAsia" w:ascii="宋体" w:hAnsi="宋体" w:cs="宋体"/>
          <w:i w:val="0"/>
          <w:iCs w:val="0"/>
          <w:color w:val="auto"/>
          <w:kern w:val="2"/>
          <w:sz w:val="24"/>
          <w:szCs w:val="24"/>
          <w:highlight w:val="none"/>
          <w:lang w:val="en-US" w:eastAsia="zh-CN" w:bidi="ar-SA"/>
        </w:rPr>
        <w:t>审</w:t>
      </w:r>
      <w:r>
        <w:rPr>
          <w:rFonts w:hint="eastAsia" w:ascii="宋体" w:hAnsi="宋体" w:eastAsia="宋体" w:cs="宋体"/>
          <w:i w:val="0"/>
          <w:iCs w:val="0"/>
          <w:color w:val="auto"/>
          <w:kern w:val="2"/>
          <w:sz w:val="24"/>
          <w:szCs w:val="24"/>
          <w:highlight w:val="none"/>
          <w:lang w:val="en-US" w:eastAsia="zh-CN" w:bidi="ar-SA"/>
        </w:rPr>
        <w:t>查：依据竞争性磋商文件的规定，从响应文件的有效性、完整性和对竞争性磋商文件的响应程度进行审查，以确定是否对竞争性磋商文件的实质性要求作出响应，判定其内容是否真实可靠，是否满足竞争性磋商文件的最基本的实质性要求，是否存在重大偏离。重大偏离系指响应文件的有效性、真实性、合同的服务范围和采购需求等内容在实质上与竞争性磋商文件形成了重大的不一致，而这种不一致可能限制了买方的权力和</w:t>
      </w:r>
      <w:r>
        <w:rPr>
          <w:rFonts w:hint="eastAsia" w:ascii="宋体" w:hAnsi="宋体" w:cs="宋体"/>
          <w:i w:val="0"/>
          <w:iCs w:val="0"/>
          <w:color w:val="auto"/>
          <w:kern w:val="2"/>
          <w:sz w:val="24"/>
          <w:szCs w:val="24"/>
          <w:highlight w:val="none"/>
          <w:lang w:val="en-US" w:eastAsia="zh-CN" w:bidi="ar-SA"/>
        </w:rPr>
        <w:t>供应商</w:t>
      </w:r>
      <w:r>
        <w:rPr>
          <w:rFonts w:hint="eastAsia" w:ascii="宋体" w:hAnsi="宋体" w:eastAsia="宋体" w:cs="宋体"/>
          <w:i w:val="0"/>
          <w:iCs w:val="0"/>
          <w:color w:val="auto"/>
          <w:kern w:val="2"/>
          <w:sz w:val="24"/>
          <w:szCs w:val="24"/>
          <w:highlight w:val="none"/>
          <w:lang w:val="en-US" w:eastAsia="zh-CN" w:bidi="ar-SA"/>
        </w:rPr>
        <w:t>的义务，纠正或承认这些偏离将会对该</w:t>
      </w:r>
      <w:r>
        <w:rPr>
          <w:rFonts w:hint="eastAsia" w:ascii="宋体" w:hAnsi="宋体" w:cs="宋体"/>
          <w:i w:val="0"/>
          <w:iCs w:val="0"/>
          <w:color w:val="auto"/>
          <w:kern w:val="2"/>
          <w:sz w:val="24"/>
          <w:szCs w:val="24"/>
          <w:highlight w:val="none"/>
          <w:lang w:val="en-US" w:eastAsia="zh-CN" w:bidi="ar-SA"/>
        </w:rPr>
        <w:t>供应商</w:t>
      </w:r>
      <w:r>
        <w:rPr>
          <w:rFonts w:hint="eastAsia" w:ascii="宋体" w:hAnsi="宋体" w:eastAsia="宋体" w:cs="宋体"/>
          <w:i w:val="0"/>
          <w:iCs w:val="0"/>
          <w:color w:val="auto"/>
          <w:kern w:val="2"/>
          <w:sz w:val="24"/>
          <w:szCs w:val="24"/>
          <w:highlight w:val="none"/>
          <w:lang w:val="en-US" w:eastAsia="zh-CN" w:bidi="ar-SA"/>
        </w:rPr>
        <w:t>和其它</w:t>
      </w:r>
      <w:r>
        <w:rPr>
          <w:rFonts w:hint="eastAsia" w:ascii="宋体" w:hAnsi="宋体" w:cs="宋体"/>
          <w:i w:val="0"/>
          <w:iCs w:val="0"/>
          <w:color w:val="auto"/>
          <w:kern w:val="2"/>
          <w:sz w:val="24"/>
          <w:szCs w:val="24"/>
          <w:highlight w:val="none"/>
          <w:lang w:val="en-US" w:eastAsia="zh-CN" w:bidi="ar-SA"/>
        </w:rPr>
        <w:t>供应商</w:t>
      </w:r>
      <w:r>
        <w:rPr>
          <w:rFonts w:hint="eastAsia" w:ascii="宋体" w:hAnsi="宋体" w:eastAsia="宋体" w:cs="宋体"/>
          <w:i w:val="0"/>
          <w:iCs w:val="0"/>
          <w:color w:val="auto"/>
          <w:kern w:val="2"/>
          <w:sz w:val="24"/>
          <w:szCs w:val="24"/>
          <w:highlight w:val="none"/>
          <w:lang w:val="en-US" w:eastAsia="zh-CN" w:bidi="ar-SA"/>
        </w:rPr>
        <w:t>合理的竞争地位产生不公正的影响。与竞争性磋商文件有重大偏离的响应文件将被拒绝。</w:t>
      </w:r>
    </w:p>
    <w:p>
      <w:pPr>
        <w:pStyle w:val="34"/>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具体评审内容系指：</w:t>
      </w:r>
    </w:p>
    <w:p>
      <w:pPr>
        <w:pStyle w:val="34"/>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 xml:space="preserve">23.6.1  </w:t>
      </w:r>
      <w:r>
        <w:rPr>
          <w:rFonts w:hint="eastAsia" w:ascii="宋体" w:hAnsi="宋体" w:cs="宋体"/>
          <w:i w:val="0"/>
          <w:iCs w:val="0"/>
          <w:color w:val="auto"/>
          <w:kern w:val="2"/>
          <w:sz w:val="24"/>
          <w:szCs w:val="24"/>
          <w:highlight w:val="none"/>
          <w:lang w:val="en-US" w:eastAsia="zh-CN" w:bidi="ar-SA"/>
        </w:rPr>
        <w:t>供应商名称与营业执照是否一致</w:t>
      </w:r>
      <w:r>
        <w:rPr>
          <w:rFonts w:hint="eastAsia" w:ascii="宋体" w:hAnsi="宋体" w:eastAsia="宋体" w:cs="宋体"/>
          <w:i w:val="0"/>
          <w:iCs w:val="0"/>
          <w:color w:val="auto"/>
          <w:kern w:val="2"/>
          <w:sz w:val="24"/>
          <w:szCs w:val="24"/>
          <w:highlight w:val="none"/>
          <w:lang w:val="en-US" w:eastAsia="zh-CN" w:bidi="ar-SA"/>
        </w:rPr>
        <w:t>；</w:t>
      </w:r>
    </w:p>
    <w:p>
      <w:pPr>
        <w:pStyle w:val="34"/>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23.6.2 响应文件组成应完整，主要内容应当能按磋商文件规定的内容、格式填写、装订；</w:t>
      </w:r>
    </w:p>
    <w:p>
      <w:pPr>
        <w:pStyle w:val="34"/>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23.6.3  磋商有效期应当满足磋商文件的规定；</w:t>
      </w:r>
    </w:p>
    <w:p>
      <w:pPr>
        <w:pStyle w:val="34"/>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23.6.4  响应文件应当按照磋商文件规定在应由企业法人（或负责人）或法人授权代表在所有规定签章处逐一签署及加盖单位公章；</w:t>
      </w:r>
    </w:p>
    <w:p>
      <w:pPr>
        <w:pStyle w:val="34"/>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23.6.5  投标报价只能有一个有效报价并且不高于最高限价；</w:t>
      </w:r>
    </w:p>
    <w:p>
      <w:pPr>
        <w:pStyle w:val="34"/>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23.6.6  响应文件符合磋商文件关于对采购范围和质量标准的要求；</w:t>
      </w:r>
    </w:p>
    <w:p>
      <w:pPr>
        <w:pStyle w:val="34"/>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23.6.7  按照磋商文件要求提供保证金，或所提供的保证金没有瑕疵；</w:t>
      </w:r>
    </w:p>
    <w:p>
      <w:pPr>
        <w:pStyle w:val="34"/>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 xml:space="preserve">23.6.8 </w:t>
      </w:r>
      <w:r>
        <w:rPr>
          <w:rFonts w:hint="eastAsia" w:ascii="宋体" w:hAnsi="宋体" w:cs="宋体"/>
          <w:i w:val="0"/>
          <w:iCs w:val="0"/>
          <w:color w:val="auto"/>
          <w:kern w:val="2"/>
          <w:sz w:val="24"/>
          <w:szCs w:val="24"/>
          <w:highlight w:val="none"/>
          <w:lang w:val="en-US" w:eastAsia="zh-CN" w:bidi="ar-SA"/>
        </w:rPr>
        <w:t xml:space="preserve"> </w:t>
      </w:r>
      <w:r>
        <w:rPr>
          <w:rFonts w:hint="eastAsia" w:ascii="宋体" w:hAnsi="宋体" w:eastAsia="宋体" w:cs="宋体"/>
          <w:i w:val="0"/>
          <w:iCs w:val="0"/>
          <w:color w:val="auto"/>
          <w:kern w:val="2"/>
          <w:sz w:val="24"/>
          <w:szCs w:val="24"/>
          <w:highlight w:val="none"/>
          <w:lang w:val="en-US" w:eastAsia="zh-CN" w:bidi="ar-SA"/>
        </w:rPr>
        <w:t>符合磋商文件的规定；</w:t>
      </w:r>
    </w:p>
    <w:p>
      <w:pPr>
        <w:pStyle w:val="34"/>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23.6.9  响应文件未附有采购人不能接受的其他条件；符合法律法规和磋商文件中规定的其他实质性要求。</w:t>
      </w:r>
    </w:p>
    <w:p>
      <w:pPr>
        <w:pStyle w:val="34"/>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23.7 对通过初步评审的响应文件，评标委员会将对其进行算术性修正。算术性修正是指对响应文件的报价明细进行校核，并对其算术上和运算上的差错给予修正。修正的原则如下：</w:t>
      </w:r>
    </w:p>
    <w:p>
      <w:pPr>
        <w:pStyle w:val="34"/>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23.7.1  大写金额和小写金额不一致的，以大写金额为准；</w:t>
      </w:r>
    </w:p>
    <w:p>
      <w:pPr>
        <w:pStyle w:val="34"/>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23.7.2  单价金额小数点或者百分比有明显错位的，以总价为准，并修改单价；</w:t>
      </w:r>
    </w:p>
    <w:p>
      <w:pPr>
        <w:pStyle w:val="34"/>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23.7.3  总价金额与按单价汇总金额不一致的，以单价金额计算结果为准。</w:t>
      </w:r>
    </w:p>
    <w:p>
      <w:pPr>
        <w:pStyle w:val="34"/>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23.7.4  同时出现两种以上不一致的，按照前款规定的顺序修正。修正后的报价需经</w:t>
      </w:r>
      <w:r>
        <w:rPr>
          <w:rFonts w:hint="eastAsia" w:ascii="宋体" w:hAnsi="宋体" w:cs="宋体"/>
          <w:i w:val="0"/>
          <w:iCs w:val="0"/>
          <w:color w:val="auto"/>
          <w:kern w:val="2"/>
          <w:sz w:val="24"/>
          <w:szCs w:val="24"/>
          <w:highlight w:val="none"/>
          <w:lang w:val="en-US" w:eastAsia="zh-CN" w:bidi="ar-SA"/>
        </w:rPr>
        <w:t>供应商</w:t>
      </w:r>
      <w:r>
        <w:rPr>
          <w:rFonts w:hint="eastAsia" w:ascii="宋体" w:hAnsi="宋体" w:eastAsia="宋体" w:cs="宋体"/>
          <w:i w:val="0"/>
          <w:iCs w:val="0"/>
          <w:color w:val="auto"/>
          <w:kern w:val="2"/>
          <w:sz w:val="24"/>
          <w:szCs w:val="24"/>
          <w:highlight w:val="none"/>
          <w:lang w:val="en-US" w:eastAsia="zh-CN" w:bidi="ar-SA"/>
        </w:rPr>
        <w:t>确认后产生约束力，</w:t>
      </w:r>
      <w:r>
        <w:rPr>
          <w:rFonts w:hint="eastAsia" w:ascii="宋体" w:hAnsi="宋体" w:cs="宋体"/>
          <w:i w:val="0"/>
          <w:iCs w:val="0"/>
          <w:color w:val="auto"/>
          <w:kern w:val="2"/>
          <w:sz w:val="24"/>
          <w:szCs w:val="24"/>
          <w:highlight w:val="none"/>
          <w:lang w:val="en-US" w:eastAsia="zh-CN" w:bidi="ar-SA"/>
        </w:rPr>
        <w:t>供应商</w:t>
      </w:r>
      <w:r>
        <w:rPr>
          <w:rFonts w:hint="eastAsia" w:ascii="宋体" w:hAnsi="宋体" w:eastAsia="宋体" w:cs="宋体"/>
          <w:i w:val="0"/>
          <w:iCs w:val="0"/>
          <w:color w:val="auto"/>
          <w:kern w:val="2"/>
          <w:sz w:val="24"/>
          <w:szCs w:val="24"/>
          <w:highlight w:val="none"/>
          <w:lang w:val="en-US" w:eastAsia="zh-CN" w:bidi="ar-SA"/>
        </w:rPr>
        <w:t>不确认的，其投标无效。</w:t>
      </w:r>
    </w:p>
    <w:p>
      <w:pPr>
        <w:pStyle w:val="34"/>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 xml:space="preserve">23.7.5  </w:t>
      </w:r>
      <w:r>
        <w:rPr>
          <w:rFonts w:hint="eastAsia" w:ascii="宋体" w:hAnsi="宋体" w:cs="宋体"/>
          <w:i w:val="0"/>
          <w:iCs w:val="0"/>
          <w:color w:val="auto"/>
          <w:kern w:val="2"/>
          <w:sz w:val="24"/>
          <w:szCs w:val="24"/>
          <w:highlight w:val="none"/>
          <w:lang w:val="en-US" w:eastAsia="zh-CN" w:bidi="ar-SA"/>
        </w:rPr>
        <w:t>供应商</w:t>
      </w:r>
      <w:r>
        <w:rPr>
          <w:rFonts w:hint="eastAsia" w:ascii="宋体" w:hAnsi="宋体" w:eastAsia="宋体" w:cs="宋体"/>
          <w:i w:val="0"/>
          <w:iCs w:val="0"/>
          <w:color w:val="auto"/>
          <w:kern w:val="2"/>
          <w:sz w:val="24"/>
          <w:szCs w:val="24"/>
          <w:highlight w:val="none"/>
          <w:lang w:val="en-US" w:eastAsia="zh-CN" w:bidi="ar-SA"/>
        </w:rPr>
        <w:t>的澄清、说明或者补正应当采用书面形式，并加盖公章，或者由法定代表人或其授权的代表签字。</w:t>
      </w:r>
      <w:r>
        <w:rPr>
          <w:rFonts w:hint="eastAsia" w:ascii="宋体" w:hAnsi="宋体" w:cs="宋体"/>
          <w:i w:val="0"/>
          <w:iCs w:val="0"/>
          <w:color w:val="auto"/>
          <w:kern w:val="2"/>
          <w:sz w:val="24"/>
          <w:szCs w:val="24"/>
          <w:highlight w:val="none"/>
          <w:lang w:val="en-US" w:eastAsia="zh-CN" w:bidi="ar-SA"/>
        </w:rPr>
        <w:t>供应商</w:t>
      </w:r>
      <w:r>
        <w:rPr>
          <w:rFonts w:hint="eastAsia" w:ascii="宋体" w:hAnsi="宋体" w:eastAsia="宋体" w:cs="宋体"/>
          <w:i w:val="0"/>
          <w:iCs w:val="0"/>
          <w:color w:val="auto"/>
          <w:kern w:val="2"/>
          <w:sz w:val="24"/>
          <w:szCs w:val="24"/>
          <w:highlight w:val="none"/>
          <w:lang w:val="en-US" w:eastAsia="zh-CN" w:bidi="ar-SA"/>
        </w:rPr>
        <w:t>的澄清、说明或者补正不得超出响应文件的范围或者改变响应文件的实质性内容。</w:t>
      </w:r>
    </w:p>
    <w:p>
      <w:pPr>
        <w:pStyle w:val="34"/>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23.7.6  对不同文字文本响应文件的解释发生异议的，以中文文本为准。</w:t>
      </w:r>
    </w:p>
    <w:p>
      <w:pPr>
        <w:pStyle w:val="34"/>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23.7.7  评标委员会将拒绝被定为实质上非响应性的投标，</w:t>
      </w:r>
      <w:r>
        <w:rPr>
          <w:rFonts w:hint="eastAsia" w:ascii="宋体" w:hAnsi="宋体" w:cs="宋体"/>
          <w:i w:val="0"/>
          <w:iCs w:val="0"/>
          <w:color w:val="auto"/>
          <w:kern w:val="2"/>
          <w:sz w:val="24"/>
          <w:szCs w:val="24"/>
          <w:highlight w:val="none"/>
          <w:lang w:val="en-US" w:eastAsia="zh-CN" w:bidi="ar-SA"/>
        </w:rPr>
        <w:t>供应商</w:t>
      </w:r>
      <w:r>
        <w:rPr>
          <w:rFonts w:hint="eastAsia" w:ascii="宋体" w:hAnsi="宋体" w:eastAsia="宋体" w:cs="宋体"/>
          <w:i w:val="0"/>
          <w:iCs w:val="0"/>
          <w:color w:val="auto"/>
          <w:kern w:val="2"/>
          <w:sz w:val="24"/>
          <w:szCs w:val="24"/>
          <w:highlight w:val="none"/>
          <w:lang w:val="en-US" w:eastAsia="zh-CN" w:bidi="ar-SA"/>
        </w:rPr>
        <w:t>不能通过修正或撤销不符之处而使其投标成为响应性投标。</w:t>
      </w:r>
    </w:p>
    <w:p>
      <w:pPr>
        <w:pStyle w:val="34"/>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23.7.8  评标委员会将允许投标中有微小的不正规、不一致或不规则，而该微小之处不构成重大偏离。</w:t>
      </w:r>
    </w:p>
    <w:p>
      <w:pPr>
        <w:pStyle w:val="34"/>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23.8   磋商过程和评标准则</w:t>
      </w:r>
    </w:p>
    <w:p>
      <w:pPr>
        <w:pStyle w:val="34"/>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竞争性磋商共有两次报价，二次报价为最终报价，磋商小组所有成员集中与单一供应商分别进行磋商，并给予所有参加磋商的供应商平等的磋商机会，磋商小组要求所有实质性响应的供应商在规定时间内提交最后报价，最后报价是供应商响应文件的有效组成部分，经磋商确定最终采购需求和提交最后报价的供应商后，由磋商小组采用综合评分法对提交最后报价的供应商的响应文件和最后报价进行综合评分。磋商小组应当从质量和服务均能满足</w:t>
      </w:r>
      <w:r>
        <w:rPr>
          <w:rFonts w:hint="eastAsia" w:ascii="宋体" w:hAnsi="宋体" w:cs="宋体"/>
          <w:i w:val="0"/>
          <w:iCs w:val="0"/>
          <w:color w:val="auto"/>
          <w:kern w:val="2"/>
          <w:sz w:val="24"/>
          <w:szCs w:val="24"/>
          <w:highlight w:val="none"/>
          <w:lang w:val="en-US" w:eastAsia="zh-CN" w:bidi="ar-SA"/>
        </w:rPr>
        <w:t>磋商文件</w:t>
      </w:r>
      <w:r>
        <w:rPr>
          <w:rFonts w:hint="eastAsia" w:ascii="宋体" w:hAnsi="宋体" w:eastAsia="宋体" w:cs="宋体"/>
          <w:i w:val="0"/>
          <w:iCs w:val="0"/>
          <w:color w:val="auto"/>
          <w:kern w:val="2"/>
          <w:sz w:val="24"/>
          <w:szCs w:val="24"/>
          <w:highlight w:val="none"/>
          <w:lang w:val="en-US" w:eastAsia="zh-CN" w:bidi="ar-SA"/>
        </w:rPr>
        <w:t>实质性响应要求的供应商中，按照综合评分由高到低的顺序提出成交候选人，并编写评审报告，将结果通知所有参加磋商的未成交的供应商；</w:t>
      </w:r>
    </w:p>
    <w:p>
      <w:pPr>
        <w:pStyle w:val="34"/>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23.9  通过初步评审及算术性修正的响应文件将进入详细评审阶段。</w:t>
      </w:r>
    </w:p>
    <w:p>
      <w:pPr>
        <w:pStyle w:val="34"/>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23.9.1  详细评审中，评标委员会将采用综合评估法中的打分法，以响应文件能最大限度地满足竞争性磋商文件中规定的各项评价标准为依据，独立地对各响应文件进行评审和打分。</w:t>
      </w:r>
    </w:p>
    <w:p>
      <w:pPr>
        <w:pStyle w:val="34"/>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23.9.2  评标委员会将对下述评审因素进行量化，并根据评委会每个成员对响应文件的评审和理解进行打分。经济报价权重占</w:t>
      </w:r>
      <w:r>
        <w:rPr>
          <w:rFonts w:hint="eastAsia" w:ascii="宋体" w:hAnsi="宋体" w:cs="宋体"/>
          <w:i w:val="0"/>
          <w:iCs w:val="0"/>
          <w:color w:val="auto"/>
          <w:kern w:val="2"/>
          <w:sz w:val="24"/>
          <w:szCs w:val="24"/>
          <w:highlight w:val="none"/>
          <w:lang w:val="en-US" w:eastAsia="zh-CN" w:bidi="ar-SA"/>
        </w:rPr>
        <w:t>15</w:t>
      </w:r>
      <w:r>
        <w:rPr>
          <w:rFonts w:hint="eastAsia" w:ascii="宋体" w:hAnsi="宋体" w:eastAsia="宋体" w:cs="宋体"/>
          <w:i w:val="0"/>
          <w:iCs w:val="0"/>
          <w:color w:val="auto"/>
          <w:kern w:val="2"/>
          <w:sz w:val="24"/>
          <w:szCs w:val="24"/>
          <w:highlight w:val="none"/>
          <w:lang w:val="en-US" w:eastAsia="zh-CN" w:bidi="ar-SA"/>
        </w:rPr>
        <w:t>%，</w:t>
      </w:r>
      <w:r>
        <w:rPr>
          <w:rFonts w:hint="eastAsia" w:ascii="宋体" w:hAnsi="宋体" w:cs="宋体"/>
          <w:i w:val="0"/>
          <w:iCs w:val="0"/>
          <w:color w:val="auto"/>
          <w:kern w:val="2"/>
          <w:sz w:val="24"/>
          <w:szCs w:val="24"/>
          <w:highlight w:val="none"/>
          <w:lang w:val="en-US" w:eastAsia="zh-CN" w:bidi="ar-SA"/>
        </w:rPr>
        <w:t>商务及</w:t>
      </w:r>
      <w:r>
        <w:rPr>
          <w:rFonts w:hint="eastAsia" w:ascii="宋体" w:hAnsi="宋体" w:eastAsia="宋体" w:cs="宋体"/>
          <w:i w:val="0"/>
          <w:iCs w:val="0"/>
          <w:color w:val="auto"/>
          <w:kern w:val="2"/>
          <w:sz w:val="24"/>
          <w:szCs w:val="24"/>
          <w:highlight w:val="none"/>
          <w:lang w:val="en-US" w:eastAsia="zh-CN" w:bidi="ar-SA"/>
        </w:rPr>
        <w:t>技术标权重占</w:t>
      </w:r>
      <w:r>
        <w:rPr>
          <w:rFonts w:hint="eastAsia" w:ascii="宋体" w:hAnsi="宋体" w:cs="宋体"/>
          <w:i w:val="0"/>
          <w:iCs w:val="0"/>
          <w:color w:val="auto"/>
          <w:kern w:val="2"/>
          <w:sz w:val="24"/>
          <w:szCs w:val="24"/>
          <w:highlight w:val="none"/>
          <w:lang w:val="en-US" w:eastAsia="zh-CN" w:bidi="ar-SA"/>
        </w:rPr>
        <w:t>85</w:t>
      </w:r>
      <w:r>
        <w:rPr>
          <w:rFonts w:hint="eastAsia" w:ascii="宋体" w:hAnsi="宋体" w:eastAsia="宋体" w:cs="宋体"/>
          <w:i w:val="0"/>
          <w:iCs w:val="0"/>
          <w:color w:val="auto"/>
          <w:kern w:val="2"/>
          <w:sz w:val="24"/>
          <w:szCs w:val="24"/>
          <w:highlight w:val="none"/>
          <w:lang w:val="en-US" w:eastAsia="zh-CN" w:bidi="ar-SA"/>
        </w:rPr>
        <w:t>%。</w:t>
      </w:r>
      <w:r>
        <w:rPr>
          <w:rFonts w:hint="eastAsia" w:ascii="宋体" w:hAnsi="宋体" w:cs="宋体"/>
          <w:i w:val="0"/>
          <w:iCs w:val="0"/>
          <w:color w:val="auto"/>
          <w:kern w:val="2"/>
          <w:sz w:val="24"/>
          <w:szCs w:val="24"/>
          <w:highlight w:val="none"/>
          <w:lang w:val="en-US" w:eastAsia="zh-CN" w:bidi="ar-SA"/>
        </w:rPr>
        <w:t>供应商</w:t>
      </w:r>
      <w:r>
        <w:rPr>
          <w:rFonts w:hint="eastAsia" w:ascii="宋体" w:hAnsi="宋体" w:eastAsia="宋体" w:cs="宋体"/>
          <w:i w:val="0"/>
          <w:iCs w:val="0"/>
          <w:color w:val="auto"/>
          <w:kern w:val="2"/>
          <w:sz w:val="24"/>
          <w:szCs w:val="24"/>
          <w:highlight w:val="none"/>
          <w:lang w:val="en-US" w:eastAsia="zh-CN" w:bidi="ar-SA"/>
        </w:rPr>
        <w:t>两部分的分值相加，即为该</w:t>
      </w:r>
      <w:r>
        <w:rPr>
          <w:rFonts w:hint="eastAsia" w:ascii="宋体" w:hAnsi="宋体" w:cs="宋体"/>
          <w:i w:val="0"/>
          <w:iCs w:val="0"/>
          <w:color w:val="auto"/>
          <w:kern w:val="2"/>
          <w:sz w:val="24"/>
          <w:szCs w:val="24"/>
          <w:highlight w:val="none"/>
          <w:lang w:val="en-US" w:eastAsia="zh-CN" w:bidi="ar-SA"/>
        </w:rPr>
        <w:t>供应商</w:t>
      </w:r>
      <w:r>
        <w:rPr>
          <w:rFonts w:hint="eastAsia" w:ascii="宋体" w:hAnsi="宋体" w:eastAsia="宋体" w:cs="宋体"/>
          <w:i w:val="0"/>
          <w:iCs w:val="0"/>
          <w:color w:val="auto"/>
          <w:kern w:val="2"/>
          <w:sz w:val="24"/>
          <w:szCs w:val="24"/>
          <w:highlight w:val="none"/>
          <w:lang w:val="en-US" w:eastAsia="zh-CN" w:bidi="ar-SA"/>
        </w:rPr>
        <w:t>的评标总得分。</w:t>
      </w:r>
    </w:p>
    <w:p>
      <w:pPr>
        <w:pStyle w:val="34"/>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p>
    <w:p>
      <w:pPr>
        <w:spacing w:line="360" w:lineRule="auto"/>
        <w:jc w:val="center"/>
        <w:outlineLvl w:val="9"/>
        <w:rPr>
          <w:rFonts w:hint="eastAsia" w:ascii="宋体" w:hAnsi="宋体" w:cs="宋体"/>
          <w:b/>
          <w:color w:val="auto"/>
          <w:sz w:val="24"/>
          <w:highlight w:val="none"/>
          <w:lang w:val="en-US" w:eastAsia="zh-CN"/>
        </w:rPr>
      </w:pPr>
      <w:r>
        <w:rPr>
          <w:rFonts w:hint="eastAsia" w:ascii="宋体" w:hAnsi="宋体" w:cs="宋体"/>
          <w:b/>
          <w:color w:val="auto"/>
          <w:sz w:val="24"/>
          <w:highlight w:val="none"/>
          <w:lang w:val="en-US" w:eastAsia="zh-CN"/>
        </w:rPr>
        <w:t>资格审查</w:t>
      </w:r>
    </w:p>
    <w:tbl>
      <w:tblPr>
        <w:tblStyle w:val="25"/>
        <w:tblW w:w="9506"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45"/>
        <w:gridCol w:w="1952"/>
        <w:gridCol w:w="680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5" w:hRule="atLeast"/>
          <w:jc w:val="center"/>
        </w:trPr>
        <w:tc>
          <w:tcPr>
            <w:tcW w:w="745" w:type="dxa"/>
            <w:noWrap w:val="0"/>
            <w:vAlign w:val="center"/>
          </w:tcPr>
          <w:p>
            <w:pPr>
              <w:adjustRightInd w:val="0"/>
              <w:snapToGrid w:val="0"/>
              <w:ind w:right="0" w:right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序号</w:t>
            </w:r>
          </w:p>
        </w:tc>
        <w:tc>
          <w:tcPr>
            <w:tcW w:w="1952" w:type="dxa"/>
            <w:tcBorders>
              <w:right w:val="single" w:color="auto" w:sz="4" w:space="0"/>
            </w:tcBorders>
            <w:noWrap w:val="0"/>
            <w:vAlign w:val="center"/>
          </w:tcPr>
          <w:p>
            <w:pPr>
              <w:adjustRightInd w:val="0"/>
              <w:snapToGrid w:val="0"/>
              <w:ind w:right="0" w:right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审查内容</w:t>
            </w:r>
          </w:p>
        </w:tc>
        <w:tc>
          <w:tcPr>
            <w:tcW w:w="6809" w:type="dxa"/>
            <w:tcBorders>
              <w:left w:val="single" w:color="auto" w:sz="4" w:space="0"/>
            </w:tcBorders>
            <w:noWrap w:val="0"/>
            <w:vAlign w:val="center"/>
          </w:tcPr>
          <w:p>
            <w:pPr>
              <w:adjustRightInd w:val="0"/>
              <w:snapToGrid w:val="0"/>
              <w:ind w:right="0" w:right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审查标准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5" w:hRule="atLeast"/>
          <w:jc w:val="center"/>
        </w:trPr>
        <w:tc>
          <w:tcPr>
            <w:tcW w:w="745" w:type="dxa"/>
            <w:noWrap w:val="0"/>
            <w:vAlign w:val="center"/>
          </w:tcPr>
          <w:p>
            <w:pPr>
              <w:adjustRightInd w:val="0"/>
              <w:snapToGrid w:val="0"/>
              <w:ind w:right="0" w:right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c>
          <w:tcPr>
            <w:tcW w:w="1952" w:type="dxa"/>
            <w:tcBorders>
              <w:right w:val="single" w:color="auto" w:sz="4" w:space="0"/>
            </w:tcBorders>
            <w:noWrap w:val="0"/>
            <w:vAlign w:val="center"/>
          </w:tcPr>
          <w:p>
            <w:pPr>
              <w:adjustRightInd w:val="0"/>
              <w:snapToGrid w:val="0"/>
              <w:ind w:right="0" w:rightChars="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营业执照</w:t>
            </w:r>
          </w:p>
        </w:tc>
        <w:tc>
          <w:tcPr>
            <w:tcW w:w="6809" w:type="dxa"/>
            <w:tcBorders>
              <w:left w:val="single" w:color="auto" w:sz="4" w:space="0"/>
            </w:tcBorders>
            <w:noWrap w:val="0"/>
            <w:vAlign w:val="center"/>
          </w:tcPr>
          <w:p>
            <w:pPr>
              <w:adjustRightInd w:val="0"/>
              <w:snapToGrid w:val="0"/>
              <w:ind w:right="0" w:rightChars="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具备合法有效营业执照</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352" w:hRule="atLeast"/>
          <w:jc w:val="center"/>
        </w:trPr>
        <w:tc>
          <w:tcPr>
            <w:tcW w:w="745" w:type="dxa"/>
            <w:noWrap w:val="0"/>
            <w:vAlign w:val="center"/>
          </w:tcPr>
          <w:p>
            <w:pPr>
              <w:adjustRightInd w:val="0"/>
              <w:snapToGrid w:val="0"/>
              <w:ind w:right="0" w:right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2</w:t>
            </w:r>
          </w:p>
        </w:tc>
        <w:tc>
          <w:tcPr>
            <w:tcW w:w="1952" w:type="dxa"/>
            <w:tcBorders>
              <w:right w:val="single" w:color="auto" w:sz="4" w:space="0"/>
            </w:tcBorders>
            <w:noWrap w:val="0"/>
            <w:vAlign w:val="center"/>
          </w:tcPr>
          <w:p>
            <w:pPr>
              <w:adjustRightInd w:val="0"/>
              <w:snapToGrid w:val="0"/>
              <w:ind w:right="0" w:rightChars="0"/>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法定代表人证明书或法人授权委托书</w:t>
            </w:r>
          </w:p>
        </w:tc>
        <w:tc>
          <w:tcPr>
            <w:tcW w:w="6809" w:type="dxa"/>
            <w:tcBorders>
              <w:left w:val="single" w:color="auto" w:sz="4" w:space="0"/>
            </w:tcBorders>
            <w:noWrap w:val="0"/>
            <w:vAlign w:val="center"/>
          </w:tcPr>
          <w:p>
            <w:pPr>
              <w:adjustRightInd w:val="0"/>
              <w:snapToGrid w:val="0"/>
              <w:ind w:right="0" w:rightChars="0"/>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提供法定代表人证明书及其法定代表人身份证复印件（法定代表人参加的）；或附有法定代表人证明书的授权委托书原件及其被授权人的身份证复印件（授权代表参加的，授权委托书应当由法定代表人签字，应符合</w:t>
            </w:r>
            <w:r>
              <w:rPr>
                <w:rFonts w:hint="eastAsia" w:ascii="宋体" w:hAnsi="宋体" w:cs="宋体"/>
                <w:sz w:val="24"/>
                <w:szCs w:val="24"/>
                <w:highlight w:val="none"/>
                <w:lang w:eastAsia="zh-CN"/>
              </w:rPr>
              <w:t>磋商文件</w:t>
            </w:r>
            <w:r>
              <w:rPr>
                <w:rFonts w:hint="eastAsia" w:ascii="宋体" w:hAnsi="宋体" w:eastAsia="宋体" w:cs="宋体"/>
                <w:sz w:val="24"/>
                <w:szCs w:val="24"/>
                <w:highlight w:val="none"/>
                <w:lang w:eastAsia="zh-CN"/>
              </w:rPr>
              <w:t>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14" w:hRule="atLeast"/>
          <w:jc w:val="center"/>
        </w:trPr>
        <w:tc>
          <w:tcPr>
            <w:tcW w:w="745" w:type="dxa"/>
            <w:noWrap w:val="0"/>
            <w:vAlign w:val="center"/>
          </w:tcPr>
          <w:p>
            <w:pPr>
              <w:adjustRightInd w:val="0"/>
              <w:snapToGrid w:val="0"/>
              <w:ind w:right="0" w:rightChars="0"/>
              <w:jc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3</w:t>
            </w:r>
          </w:p>
        </w:tc>
        <w:tc>
          <w:tcPr>
            <w:tcW w:w="1952" w:type="dxa"/>
            <w:tcBorders>
              <w:right w:val="single" w:color="auto" w:sz="4" w:space="0"/>
            </w:tcBorders>
            <w:noWrap w:val="0"/>
            <w:vAlign w:val="center"/>
          </w:tcPr>
          <w:p>
            <w:pPr>
              <w:adjustRightInd w:val="0"/>
              <w:snapToGrid w:val="0"/>
              <w:ind w:right="0" w:rightChars="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供应商资质</w:t>
            </w:r>
          </w:p>
        </w:tc>
        <w:tc>
          <w:tcPr>
            <w:tcW w:w="6809" w:type="dxa"/>
            <w:tcBorders>
              <w:left w:val="single" w:color="auto" w:sz="4" w:space="0"/>
            </w:tcBorders>
            <w:noWrap w:val="0"/>
            <w:vAlign w:val="center"/>
          </w:tcPr>
          <w:p>
            <w:pPr>
              <w:adjustRightInd w:val="0"/>
              <w:snapToGrid w:val="0"/>
              <w:ind w:right="0" w:rightChars="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须</w:t>
            </w:r>
            <w:r>
              <w:rPr>
                <w:rFonts w:hint="eastAsia" w:ascii="宋体" w:hAnsi="宋体" w:eastAsia="宋体" w:cs="宋体"/>
                <w:color w:val="auto"/>
                <w:sz w:val="24"/>
                <w:szCs w:val="24"/>
                <w:highlight w:val="none"/>
                <w:lang w:eastAsia="zh-CN"/>
              </w:rPr>
              <w:t>具备测绘乙级（含乙级）以上资质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5" w:hRule="atLeast"/>
          <w:jc w:val="center"/>
        </w:trPr>
        <w:tc>
          <w:tcPr>
            <w:tcW w:w="745" w:type="dxa"/>
            <w:noWrap w:val="0"/>
            <w:vAlign w:val="center"/>
          </w:tcPr>
          <w:p>
            <w:pPr>
              <w:adjustRightInd w:val="0"/>
              <w:snapToGrid w:val="0"/>
              <w:ind w:right="0" w:right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w:t>
            </w:r>
          </w:p>
        </w:tc>
        <w:tc>
          <w:tcPr>
            <w:tcW w:w="1952" w:type="dxa"/>
            <w:tcBorders>
              <w:right w:val="single" w:color="auto" w:sz="4" w:space="0"/>
            </w:tcBorders>
            <w:noWrap w:val="0"/>
            <w:vAlign w:val="center"/>
          </w:tcPr>
          <w:p>
            <w:pPr>
              <w:adjustRightInd w:val="0"/>
              <w:snapToGrid w:val="0"/>
              <w:ind w:right="0" w:rightChars="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项目负责人</w:t>
            </w:r>
          </w:p>
        </w:tc>
        <w:tc>
          <w:tcPr>
            <w:tcW w:w="6809" w:type="dxa"/>
            <w:tcBorders>
              <w:left w:val="single" w:color="auto" w:sz="4" w:space="0"/>
            </w:tcBorders>
            <w:noWrap w:val="0"/>
            <w:vAlign w:val="center"/>
          </w:tcPr>
          <w:p>
            <w:pPr>
              <w:adjustRightInd w:val="0"/>
              <w:snapToGrid w:val="0"/>
              <w:ind w:right="0" w:rightChars="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项目负责</w:t>
            </w:r>
            <w:r>
              <w:rPr>
                <w:rFonts w:hint="eastAsia" w:ascii="宋体" w:hAnsi="宋体" w:cs="宋体"/>
                <w:color w:val="auto"/>
                <w:sz w:val="24"/>
                <w:szCs w:val="24"/>
                <w:highlight w:val="none"/>
                <w:lang w:val="en-US" w:eastAsia="zh-CN"/>
              </w:rPr>
              <w:t>须</w:t>
            </w:r>
            <w:r>
              <w:rPr>
                <w:rFonts w:hint="eastAsia" w:ascii="宋体" w:hAnsi="宋体" w:eastAsia="宋体" w:cs="宋体"/>
                <w:color w:val="auto"/>
                <w:sz w:val="24"/>
                <w:szCs w:val="24"/>
                <w:highlight w:val="none"/>
              </w:rPr>
              <w:t>具备</w:t>
            </w:r>
            <w:r>
              <w:rPr>
                <w:rFonts w:hint="eastAsia" w:ascii="宋体" w:hAnsi="宋体" w:cs="宋体"/>
                <w:color w:val="auto"/>
                <w:sz w:val="24"/>
                <w:szCs w:val="24"/>
                <w:highlight w:val="none"/>
                <w:lang w:eastAsia="zh-CN"/>
              </w:rPr>
              <w:t>测绘类专业高级职称证书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745" w:type="dxa"/>
            <w:noWrap w:val="0"/>
            <w:vAlign w:val="center"/>
          </w:tcPr>
          <w:p>
            <w:pPr>
              <w:adjustRightInd w:val="0"/>
              <w:snapToGrid w:val="0"/>
              <w:ind w:right="0" w:right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w:t>
            </w:r>
          </w:p>
        </w:tc>
        <w:tc>
          <w:tcPr>
            <w:tcW w:w="1952" w:type="dxa"/>
            <w:tcBorders>
              <w:right w:val="single" w:color="auto" w:sz="4" w:space="0"/>
            </w:tcBorders>
            <w:noWrap w:val="0"/>
            <w:vAlign w:val="center"/>
          </w:tcPr>
          <w:p>
            <w:pPr>
              <w:adjustRightInd w:val="0"/>
              <w:snapToGrid w:val="0"/>
              <w:ind w:right="0" w:rightChars="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依法缴纳税收和社会保障资金</w:t>
            </w:r>
          </w:p>
        </w:tc>
        <w:tc>
          <w:tcPr>
            <w:tcW w:w="6809" w:type="dxa"/>
            <w:tcBorders>
              <w:left w:val="single" w:color="auto" w:sz="4" w:space="0"/>
            </w:tcBorders>
            <w:noWrap w:val="0"/>
            <w:vAlign w:val="center"/>
          </w:tcPr>
          <w:p>
            <w:pPr>
              <w:adjustRightInd w:val="0"/>
              <w:snapToGrid w:val="0"/>
              <w:ind w:right="0" w:rightChars="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提供公告发布日期前连续三个月的依法缴纳税收和社会保障资金的缴纳凭证</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5" w:hRule="atLeast"/>
          <w:jc w:val="center"/>
        </w:trPr>
        <w:tc>
          <w:tcPr>
            <w:tcW w:w="745" w:type="dxa"/>
            <w:noWrap w:val="0"/>
            <w:vAlign w:val="center"/>
          </w:tcPr>
          <w:p>
            <w:pPr>
              <w:adjustRightInd w:val="0"/>
              <w:snapToGrid w:val="0"/>
              <w:ind w:right="0" w:right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w:t>
            </w:r>
          </w:p>
        </w:tc>
        <w:tc>
          <w:tcPr>
            <w:tcW w:w="1952" w:type="dxa"/>
            <w:tcBorders>
              <w:right w:val="single" w:color="auto" w:sz="4" w:space="0"/>
            </w:tcBorders>
            <w:noWrap w:val="0"/>
            <w:vAlign w:val="center"/>
          </w:tcPr>
          <w:p>
            <w:pPr>
              <w:adjustRightInd w:val="0"/>
              <w:snapToGrid w:val="0"/>
              <w:ind w:right="0" w:rightChars="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财务状况</w:t>
            </w:r>
          </w:p>
        </w:tc>
        <w:tc>
          <w:tcPr>
            <w:tcW w:w="6809" w:type="dxa"/>
            <w:tcBorders>
              <w:left w:val="single" w:color="auto" w:sz="4" w:space="0"/>
            </w:tcBorders>
            <w:noWrap w:val="0"/>
            <w:vAlign w:val="center"/>
          </w:tcPr>
          <w:p>
            <w:pPr>
              <w:adjustRightInd w:val="0"/>
              <w:snapToGrid w:val="0"/>
              <w:ind w:right="0" w:rightChars="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提供</w:t>
            </w:r>
            <w:r>
              <w:rPr>
                <w:rFonts w:hint="eastAsia" w:ascii="宋体" w:hAnsi="宋体" w:eastAsia="宋体" w:cs="宋体"/>
                <w:color w:val="auto"/>
                <w:sz w:val="24"/>
                <w:szCs w:val="24"/>
                <w:highlight w:val="none"/>
                <w:lang w:val="en-US" w:eastAsia="zh-CN"/>
              </w:rPr>
              <w:t>近</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年</w:t>
            </w:r>
            <w:r>
              <w:rPr>
                <w:rFonts w:hint="eastAsia" w:ascii="宋体" w:hAnsi="宋体" w:eastAsia="宋体" w:cs="宋体"/>
                <w:color w:val="auto"/>
                <w:sz w:val="24"/>
                <w:szCs w:val="24"/>
                <w:highlight w:val="none"/>
              </w:rPr>
              <w:t>财务审计报告材料（成立时间不足一年的企业可提供公司财务报表）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8" w:hRule="atLeast"/>
          <w:jc w:val="center"/>
        </w:trPr>
        <w:tc>
          <w:tcPr>
            <w:tcW w:w="745" w:type="dxa"/>
            <w:noWrap w:val="0"/>
            <w:vAlign w:val="center"/>
          </w:tcPr>
          <w:p>
            <w:pPr>
              <w:adjustRightInd w:val="0"/>
              <w:snapToGrid w:val="0"/>
              <w:ind w:right="0" w:right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w:t>
            </w:r>
          </w:p>
        </w:tc>
        <w:tc>
          <w:tcPr>
            <w:tcW w:w="1952" w:type="dxa"/>
            <w:tcBorders>
              <w:right w:val="single" w:color="auto" w:sz="4" w:space="0"/>
            </w:tcBorders>
            <w:noWrap w:val="0"/>
            <w:vAlign w:val="center"/>
          </w:tcPr>
          <w:p>
            <w:pPr>
              <w:adjustRightInd w:val="0"/>
              <w:snapToGrid w:val="0"/>
              <w:ind w:right="0" w:rightChars="0"/>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承诺函</w:t>
            </w:r>
          </w:p>
        </w:tc>
        <w:tc>
          <w:tcPr>
            <w:tcW w:w="6809" w:type="dxa"/>
            <w:tcBorders>
              <w:left w:val="single" w:color="auto" w:sz="4" w:space="0"/>
            </w:tcBorders>
            <w:noWrap w:val="0"/>
            <w:vAlign w:val="center"/>
          </w:tcPr>
          <w:p>
            <w:pPr>
              <w:adjustRightInd w:val="0"/>
              <w:snapToGrid w:val="0"/>
              <w:ind w:right="0" w:rightChars="0"/>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无重大违法记录的书面声明，提供参加本次采购活动前近3年内，在经营活动中没有重大违法记录的书面声明原件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5" w:hRule="atLeast"/>
          <w:jc w:val="center"/>
        </w:trPr>
        <w:tc>
          <w:tcPr>
            <w:tcW w:w="745" w:type="dxa"/>
            <w:noWrap w:val="0"/>
            <w:vAlign w:val="center"/>
          </w:tcPr>
          <w:p>
            <w:pPr>
              <w:adjustRightInd w:val="0"/>
              <w:snapToGrid w:val="0"/>
              <w:ind w:right="0" w:right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w:t>
            </w:r>
          </w:p>
        </w:tc>
        <w:tc>
          <w:tcPr>
            <w:tcW w:w="1952" w:type="dxa"/>
            <w:tcBorders>
              <w:right w:val="single" w:color="auto" w:sz="4" w:space="0"/>
            </w:tcBorders>
            <w:noWrap w:val="0"/>
            <w:vAlign w:val="center"/>
          </w:tcPr>
          <w:p>
            <w:pPr>
              <w:adjustRightInd w:val="0"/>
              <w:snapToGrid w:val="0"/>
              <w:ind w:right="0" w:rightChars="0"/>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信誉要求</w:t>
            </w:r>
          </w:p>
        </w:tc>
        <w:tc>
          <w:tcPr>
            <w:tcW w:w="6809" w:type="dxa"/>
            <w:tcBorders>
              <w:left w:val="single" w:color="auto" w:sz="4" w:space="0"/>
            </w:tcBorders>
            <w:noWrap w:val="0"/>
            <w:vAlign w:val="center"/>
          </w:tcPr>
          <w:p>
            <w:pPr>
              <w:adjustRightInd w:val="0"/>
              <w:snapToGrid w:val="0"/>
              <w:ind w:right="0" w:rightChars="0"/>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供应商</w:t>
            </w:r>
            <w:r>
              <w:rPr>
                <w:rFonts w:hint="eastAsia" w:ascii="宋体" w:hAnsi="宋体" w:eastAsia="宋体" w:cs="宋体"/>
                <w:sz w:val="24"/>
                <w:szCs w:val="24"/>
                <w:highlight w:val="none"/>
                <w:lang w:val="en-US" w:eastAsia="zh-CN"/>
              </w:rPr>
              <w:t>未</w:t>
            </w:r>
            <w:r>
              <w:rPr>
                <w:rFonts w:hint="eastAsia" w:ascii="宋体" w:hAnsi="宋体" w:eastAsia="宋体" w:cs="宋体"/>
                <w:sz w:val="24"/>
                <w:szCs w:val="24"/>
                <w:highlight w:val="none"/>
              </w:rPr>
              <w:t>被列入失信被执行人、重大税收违法案件当事人名单、政府采购严重违法失信行为记录名单。提供“信用中国”网站（www.creditchina.gov.cn）、中国政府采购网（www.ccgp.gov.cn）的信用查询记录（查询时间为本公告发布之日起至</w:t>
            </w:r>
            <w:r>
              <w:rPr>
                <w:rFonts w:hint="eastAsia" w:ascii="宋体" w:hAnsi="宋体" w:cs="宋体"/>
                <w:sz w:val="24"/>
                <w:szCs w:val="24"/>
                <w:highlight w:val="none"/>
                <w:lang w:val="en-US" w:eastAsia="zh-CN"/>
              </w:rPr>
              <w:t>磋商</w:t>
            </w:r>
            <w:r>
              <w:rPr>
                <w:rFonts w:hint="eastAsia" w:ascii="宋体" w:hAnsi="宋体" w:eastAsia="宋体" w:cs="宋体"/>
                <w:sz w:val="24"/>
                <w:szCs w:val="24"/>
                <w:highlight w:val="none"/>
              </w:rPr>
              <w:t>截止之日止）并加盖单位公章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1" w:hRule="atLeast"/>
          <w:jc w:val="center"/>
        </w:trPr>
        <w:tc>
          <w:tcPr>
            <w:tcW w:w="745" w:type="dxa"/>
            <w:noWrap w:val="0"/>
            <w:vAlign w:val="center"/>
          </w:tcPr>
          <w:p>
            <w:pPr>
              <w:adjustRightInd w:val="0"/>
              <w:snapToGrid w:val="0"/>
              <w:ind w:right="0" w:rightChars="0"/>
              <w:jc w:val="center"/>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9</w:t>
            </w:r>
          </w:p>
        </w:tc>
        <w:tc>
          <w:tcPr>
            <w:tcW w:w="1952" w:type="dxa"/>
            <w:tcBorders>
              <w:right w:val="single" w:color="auto" w:sz="4" w:space="0"/>
            </w:tcBorders>
            <w:noWrap w:val="0"/>
            <w:vAlign w:val="center"/>
          </w:tcPr>
          <w:p>
            <w:pPr>
              <w:adjustRightInd w:val="0"/>
              <w:snapToGrid w:val="0"/>
              <w:ind w:right="0" w:rightChars="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中、小企业声明</w:t>
            </w:r>
          </w:p>
        </w:tc>
        <w:tc>
          <w:tcPr>
            <w:tcW w:w="6809" w:type="dxa"/>
            <w:tcBorders>
              <w:left w:val="single" w:color="auto" w:sz="4" w:space="0"/>
            </w:tcBorders>
            <w:noWrap w:val="0"/>
            <w:vAlign w:val="center"/>
          </w:tcPr>
          <w:p>
            <w:pPr>
              <w:adjustRightInd w:val="0"/>
              <w:snapToGrid w:val="0"/>
              <w:ind w:right="0" w:rightChars="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提供中、小企业声明函</w:t>
            </w:r>
          </w:p>
        </w:tc>
      </w:tr>
    </w:tbl>
    <w:p>
      <w:pPr>
        <w:spacing w:line="360" w:lineRule="auto"/>
        <w:jc w:val="center"/>
        <w:outlineLvl w:val="1"/>
        <w:rPr>
          <w:rFonts w:hint="eastAsia" w:ascii="宋体" w:hAnsi="宋体" w:cs="宋体"/>
          <w:b/>
          <w:color w:val="auto"/>
          <w:sz w:val="24"/>
          <w:highlight w:val="none"/>
          <w:lang w:val="en-US" w:eastAsia="zh-CN"/>
        </w:rPr>
      </w:pPr>
      <w:bookmarkStart w:id="65" w:name="_Toc20049"/>
      <w:r>
        <w:rPr>
          <w:rFonts w:hint="eastAsia" w:ascii="宋体" w:hAnsi="宋体" w:cs="宋体"/>
          <w:b/>
          <w:color w:val="auto"/>
          <w:sz w:val="24"/>
          <w:highlight w:val="none"/>
          <w:lang w:val="en-US" w:eastAsia="zh-CN"/>
        </w:rPr>
        <w:t>符合性审查</w:t>
      </w:r>
      <w:bookmarkEnd w:id="65"/>
    </w:p>
    <w:tbl>
      <w:tblPr>
        <w:tblStyle w:val="25"/>
        <w:tblW w:w="9086"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09"/>
        <w:gridCol w:w="1573"/>
        <w:gridCol w:w="680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70" w:hRule="atLeast"/>
          <w:jc w:val="center"/>
        </w:trPr>
        <w:tc>
          <w:tcPr>
            <w:tcW w:w="709" w:type="dxa"/>
            <w:noWrap w:val="0"/>
            <w:vAlign w:val="center"/>
          </w:tcPr>
          <w:p>
            <w:pPr>
              <w:adjustRightInd w:val="0"/>
              <w:snapToGrid w:val="0"/>
              <w:ind w:right="0" w:right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序号</w:t>
            </w:r>
          </w:p>
        </w:tc>
        <w:tc>
          <w:tcPr>
            <w:tcW w:w="1573" w:type="dxa"/>
            <w:tcBorders>
              <w:right w:val="single" w:color="auto" w:sz="4" w:space="0"/>
            </w:tcBorders>
            <w:noWrap w:val="0"/>
            <w:vAlign w:val="center"/>
          </w:tcPr>
          <w:p>
            <w:pPr>
              <w:adjustRightInd w:val="0"/>
              <w:snapToGrid w:val="0"/>
              <w:ind w:right="0" w:right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审查内容</w:t>
            </w:r>
          </w:p>
        </w:tc>
        <w:tc>
          <w:tcPr>
            <w:tcW w:w="6804" w:type="dxa"/>
            <w:tcBorders>
              <w:left w:val="single" w:color="auto" w:sz="4" w:space="0"/>
            </w:tcBorders>
            <w:noWrap w:val="0"/>
            <w:vAlign w:val="center"/>
          </w:tcPr>
          <w:p>
            <w:pPr>
              <w:adjustRightInd w:val="0"/>
              <w:snapToGrid w:val="0"/>
              <w:ind w:right="0" w:right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审查标准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5" w:hRule="atLeast"/>
          <w:jc w:val="center"/>
        </w:trPr>
        <w:tc>
          <w:tcPr>
            <w:tcW w:w="709" w:type="dxa"/>
            <w:noWrap w:val="0"/>
            <w:vAlign w:val="center"/>
          </w:tcPr>
          <w:p>
            <w:pPr>
              <w:adjustRightInd w:val="0"/>
              <w:snapToGrid w:val="0"/>
              <w:ind w:right="0" w:right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c>
          <w:tcPr>
            <w:tcW w:w="1573" w:type="dxa"/>
            <w:tcBorders>
              <w:right w:val="single" w:color="auto" w:sz="4" w:space="0"/>
            </w:tcBorders>
            <w:noWrap w:val="0"/>
            <w:vAlign w:val="center"/>
          </w:tcPr>
          <w:p>
            <w:pPr>
              <w:adjustRightInd w:val="0"/>
              <w:snapToGrid w:val="0"/>
              <w:ind w:right="0" w:rightChars="0"/>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名称</w:t>
            </w:r>
          </w:p>
        </w:tc>
        <w:tc>
          <w:tcPr>
            <w:tcW w:w="6804" w:type="dxa"/>
            <w:tcBorders>
              <w:left w:val="single" w:color="auto" w:sz="4" w:space="0"/>
            </w:tcBorders>
            <w:noWrap w:val="0"/>
            <w:vAlign w:val="center"/>
          </w:tcPr>
          <w:p>
            <w:pPr>
              <w:adjustRightInd w:val="0"/>
              <w:snapToGrid w:val="0"/>
              <w:ind w:right="0" w:rightChars="0"/>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eastAsia="zh-CN"/>
              </w:rPr>
              <w:t>供应商名称与营业执照是否一致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5" w:hRule="atLeast"/>
          <w:jc w:val="center"/>
        </w:trPr>
        <w:tc>
          <w:tcPr>
            <w:tcW w:w="709" w:type="dxa"/>
            <w:noWrap w:val="0"/>
            <w:vAlign w:val="center"/>
          </w:tcPr>
          <w:p>
            <w:pPr>
              <w:adjustRightInd w:val="0"/>
              <w:snapToGrid w:val="0"/>
              <w:ind w:right="0" w:right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2</w:t>
            </w:r>
          </w:p>
        </w:tc>
        <w:tc>
          <w:tcPr>
            <w:tcW w:w="1573" w:type="dxa"/>
            <w:tcBorders>
              <w:right w:val="single" w:color="auto" w:sz="4" w:space="0"/>
            </w:tcBorders>
            <w:noWrap w:val="0"/>
            <w:vAlign w:val="center"/>
          </w:tcPr>
          <w:p>
            <w:pPr>
              <w:adjustRightInd w:val="0"/>
              <w:snapToGrid w:val="0"/>
              <w:ind w:right="0" w:rightChars="0"/>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eastAsia="zh-CN"/>
              </w:rPr>
              <w:t>响应文件</w:t>
            </w:r>
            <w:r>
              <w:rPr>
                <w:rFonts w:hint="eastAsia" w:ascii="宋体" w:hAnsi="宋体" w:eastAsia="宋体" w:cs="宋体"/>
                <w:sz w:val="24"/>
                <w:szCs w:val="24"/>
                <w:highlight w:val="none"/>
              </w:rPr>
              <w:t>格式</w:t>
            </w:r>
          </w:p>
        </w:tc>
        <w:tc>
          <w:tcPr>
            <w:tcW w:w="6804" w:type="dxa"/>
            <w:tcBorders>
              <w:left w:val="single" w:color="auto" w:sz="4" w:space="0"/>
            </w:tcBorders>
            <w:noWrap w:val="0"/>
            <w:vAlign w:val="center"/>
          </w:tcPr>
          <w:p>
            <w:pPr>
              <w:adjustRightInd w:val="0"/>
              <w:snapToGrid w:val="0"/>
              <w:ind w:right="0" w:rightChars="0"/>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eastAsia="zh-CN"/>
              </w:rPr>
              <w:t>响应文件</w:t>
            </w:r>
            <w:r>
              <w:rPr>
                <w:rFonts w:hint="eastAsia" w:ascii="宋体" w:hAnsi="宋体" w:eastAsia="宋体" w:cs="宋体"/>
                <w:sz w:val="24"/>
                <w:szCs w:val="24"/>
                <w:highlight w:val="none"/>
              </w:rPr>
              <w:t>组成应完整，主要内容应当能按</w:t>
            </w:r>
            <w:r>
              <w:rPr>
                <w:rFonts w:hint="eastAsia" w:ascii="宋体" w:hAnsi="宋体" w:cs="宋体"/>
                <w:sz w:val="24"/>
                <w:szCs w:val="24"/>
                <w:highlight w:val="none"/>
                <w:lang w:eastAsia="zh-CN"/>
              </w:rPr>
              <w:t>磋商文件</w:t>
            </w:r>
            <w:r>
              <w:rPr>
                <w:rFonts w:hint="eastAsia" w:ascii="宋体" w:hAnsi="宋体" w:eastAsia="宋体" w:cs="宋体"/>
                <w:sz w:val="24"/>
                <w:szCs w:val="24"/>
                <w:highlight w:val="none"/>
              </w:rPr>
              <w:t>规定的内容、格式填写、装订</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5" w:hRule="atLeast"/>
          <w:jc w:val="center"/>
        </w:trPr>
        <w:tc>
          <w:tcPr>
            <w:tcW w:w="709" w:type="dxa"/>
            <w:noWrap w:val="0"/>
            <w:vAlign w:val="center"/>
          </w:tcPr>
          <w:p>
            <w:pPr>
              <w:adjustRightInd w:val="0"/>
              <w:snapToGrid w:val="0"/>
              <w:ind w:right="0" w:right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3</w:t>
            </w:r>
          </w:p>
        </w:tc>
        <w:tc>
          <w:tcPr>
            <w:tcW w:w="1573" w:type="dxa"/>
            <w:tcBorders>
              <w:right w:val="single" w:color="auto" w:sz="4" w:space="0"/>
            </w:tcBorders>
            <w:noWrap w:val="0"/>
            <w:vAlign w:val="center"/>
          </w:tcPr>
          <w:p>
            <w:pPr>
              <w:adjustRightInd w:val="0"/>
              <w:snapToGrid w:val="0"/>
              <w:ind w:right="0" w:rightChars="0"/>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磋商</w:t>
            </w:r>
            <w:r>
              <w:rPr>
                <w:rFonts w:hint="eastAsia" w:ascii="宋体" w:hAnsi="宋体" w:eastAsia="宋体" w:cs="宋体"/>
                <w:sz w:val="24"/>
                <w:szCs w:val="24"/>
                <w:highlight w:val="none"/>
              </w:rPr>
              <w:t>有效期</w:t>
            </w:r>
          </w:p>
        </w:tc>
        <w:tc>
          <w:tcPr>
            <w:tcW w:w="6804" w:type="dxa"/>
            <w:tcBorders>
              <w:left w:val="single" w:color="auto" w:sz="4" w:space="0"/>
            </w:tcBorders>
            <w:noWrap w:val="0"/>
            <w:vAlign w:val="center"/>
          </w:tcPr>
          <w:p>
            <w:pPr>
              <w:adjustRightInd w:val="0"/>
              <w:snapToGrid w:val="0"/>
              <w:ind w:right="0" w:rightChars="0"/>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磋商</w:t>
            </w:r>
            <w:r>
              <w:rPr>
                <w:rFonts w:hint="eastAsia" w:ascii="宋体" w:hAnsi="宋体" w:eastAsia="宋体" w:cs="宋体"/>
                <w:sz w:val="24"/>
                <w:szCs w:val="24"/>
                <w:highlight w:val="none"/>
              </w:rPr>
              <w:t>有效期应当满足</w:t>
            </w:r>
            <w:r>
              <w:rPr>
                <w:rFonts w:hint="eastAsia" w:ascii="宋体" w:hAnsi="宋体" w:cs="宋体"/>
                <w:sz w:val="24"/>
                <w:szCs w:val="24"/>
                <w:highlight w:val="none"/>
                <w:lang w:eastAsia="zh-CN"/>
              </w:rPr>
              <w:t>磋商文件</w:t>
            </w:r>
            <w:r>
              <w:rPr>
                <w:rFonts w:hint="eastAsia" w:ascii="宋体" w:hAnsi="宋体" w:eastAsia="宋体" w:cs="宋体"/>
                <w:sz w:val="24"/>
                <w:szCs w:val="24"/>
                <w:highlight w:val="none"/>
              </w:rPr>
              <w:t>的规定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5" w:hRule="atLeast"/>
          <w:jc w:val="center"/>
        </w:trPr>
        <w:tc>
          <w:tcPr>
            <w:tcW w:w="709" w:type="dxa"/>
            <w:noWrap w:val="0"/>
            <w:vAlign w:val="center"/>
          </w:tcPr>
          <w:p>
            <w:pPr>
              <w:adjustRightInd w:val="0"/>
              <w:snapToGrid w:val="0"/>
              <w:ind w:right="0" w:right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4</w:t>
            </w:r>
          </w:p>
        </w:tc>
        <w:tc>
          <w:tcPr>
            <w:tcW w:w="1573" w:type="dxa"/>
            <w:tcBorders>
              <w:right w:val="single" w:color="auto" w:sz="4" w:space="0"/>
            </w:tcBorders>
            <w:noWrap w:val="0"/>
            <w:vAlign w:val="center"/>
          </w:tcPr>
          <w:p>
            <w:pPr>
              <w:adjustRightInd w:val="0"/>
              <w:snapToGrid w:val="0"/>
              <w:ind w:right="0" w:rightChars="0"/>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eastAsia="zh-CN"/>
              </w:rPr>
              <w:t>响应文件</w:t>
            </w:r>
            <w:r>
              <w:rPr>
                <w:rFonts w:hint="eastAsia" w:ascii="宋体" w:hAnsi="宋体" w:eastAsia="宋体" w:cs="宋体"/>
                <w:sz w:val="24"/>
                <w:szCs w:val="24"/>
                <w:highlight w:val="none"/>
              </w:rPr>
              <w:t>签署</w:t>
            </w:r>
          </w:p>
        </w:tc>
        <w:tc>
          <w:tcPr>
            <w:tcW w:w="6804" w:type="dxa"/>
            <w:tcBorders>
              <w:left w:val="single" w:color="auto" w:sz="4" w:space="0"/>
            </w:tcBorders>
            <w:noWrap w:val="0"/>
            <w:vAlign w:val="center"/>
          </w:tcPr>
          <w:p>
            <w:pPr>
              <w:adjustRightInd w:val="0"/>
              <w:snapToGrid w:val="0"/>
              <w:ind w:right="0" w:rightChars="0"/>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eastAsia="zh-CN"/>
              </w:rPr>
              <w:t>响应文件</w:t>
            </w:r>
            <w:r>
              <w:rPr>
                <w:rFonts w:hint="eastAsia" w:ascii="宋体" w:hAnsi="宋体" w:eastAsia="宋体" w:cs="宋体"/>
                <w:sz w:val="24"/>
                <w:szCs w:val="24"/>
                <w:highlight w:val="none"/>
              </w:rPr>
              <w:t>应当按照</w:t>
            </w:r>
            <w:r>
              <w:rPr>
                <w:rFonts w:hint="eastAsia" w:ascii="宋体" w:hAnsi="宋体" w:cs="宋体"/>
                <w:sz w:val="24"/>
                <w:szCs w:val="24"/>
                <w:highlight w:val="none"/>
                <w:lang w:eastAsia="zh-CN"/>
              </w:rPr>
              <w:t>磋商文件</w:t>
            </w:r>
            <w:r>
              <w:rPr>
                <w:rFonts w:hint="eastAsia" w:ascii="宋体" w:hAnsi="宋体" w:eastAsia="宋体" w:cs="宋体"/>
                <w:sz w:val="24"/>
                <w:szCs w:val="24"/>
                <w:highlight w:val="none"/>
              </w:rPr>
              <w:t>规定在应由企业法人（或负责人）或法人授权代表在所有规定签章处逐一签署及加盖单位公章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5" w:hRule="atLeast"/>
          <w:jc w:val="center"/>
        </w:trPr>
        <w:tc>
          <w:tcPr>
            <w:tcW w:w="709" w:type="dxa"/>
            <w:noWrap w:val="0"/>
            <w:vAlign w:val="center"/>
          </w:tcPr>
          <w:p>
            <w:pPr>
              <w:adjustRightInd w:val="0"/>
              <w:snapToGrid w:val="0"/>
              <w:ind w:right="0" w:right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5</w:t>
            </w:r>
          </w:p>
        </w:tc>
        <w:tc>
          <w:tcPr>
            <w:tcW w:w="1573" w:type="dxa"/>
            <w:tcBorders>
              <w:right w:val="single" w:color="auto" w:sz="4" w:space="0"/>
            </w:tcBorders>
            <w:noWrap w:val="0"/>
            <w:vAlign w:val="center"/>
          </w:tcPr>
          <w:p>
            <w:pPr>
              <w:adjustRightInd w:val="0"/>
              <w:snapToGrid w:val="0"/>
              <w:ind w:right="0" w:rightChars="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投标报价</w:t>
            </w:r>
          </w:p>
        </w:tc>
        <w:tc>
          <w:tcPr>
            <w:tcW w:w="6804" w:type="dxa"/>
            <w:tcBorders>
              <w:left w:val="single" w:color="auto" w:sz="4" w:space="0"/>
            </w:tcBorders>
            <w:noWrap w:val="0"/>
            <w:vAlign w:val="center"/>
          </w:tcPr>
          <w:p>
            <w:pPr>
              <w:adjustRightInd w:val="0"/>
              <w:snapToGrid w:val="0"/>
              <w:ind w:right="0" w:rightChars="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投标报价</w:t>
            </w:r>
            <w:r>
              <w:rPr>
                <w:rFonts w:hint="eastAsia" w:ascii="宋体" w:hAnsi="宋体" w:eastAsia="宋体" w:cs="宋体"/>
                <w:sz w:val="24"/>
                <w:szCs w:val="24"/>
                <w:highlight w:val="none"/>
                <w:lang w:eastAsia="zh-CN"/>
              </w:rPr>
              <w:t>只能有一个有效报价</w:t>
            </w:r>
            <w:r>
              <w:rPr>
                <w:rFonts w:hint="eastAsia" w:ascii="宋体" w:hAnsi="宋体" w:eastAsia="宋体" w:cs="宋体"/>
                <w:sz w:val="24"/>
                <w:szCs w:val="24"/>
                <w:highlight w:val="none"/>
                <w:lang w:val="en-US" w:eastAsia="zh-CN"/>
              </w:rPr>
              <w:t>并且不</w:t>
            </w:r>
            <w:r>
              <w:rPr>
                <w:rFonts w:hint="eastAsia" w:ascii="宋体" w:hAnsi="宋体" w:eastAsia="宋体" w:cs="宋体"/>
                <w:sz w:val="24"/>
                <w:szCs w:val="24"/>
                <w:highlight w:val="none"/>
              </w:rPr>
              <w:t>高于</w:t>
            </w:r>
            <w:r>
              <w:rPr>
                <w:rFonts w:hint="eastAsia" w:ascii="宋体" w:hAnsi="宋体" w:cs="宋体"/>
                <w:sz w:val="24"/>
                <w:szCs w:val="24"/>
                <w:highlight w:val="none"/>
                <w:lang w:val="en-US" w:eastAsia="zh-CN"/>
              </w:rPr>
              <w:t>最高限价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5" w:hRule="atLeast"/>
          <w:jc w:val="center"/>
        </w:trPr>
        <w:tc>
          <w:tcPr>
            <w:tcW w:w="709" w:type="dxa"/>
            <w:noWrap w:val="0"/>
            <w:vAlign w:val="center"/>
          </w:tcPr>
          <w:p>
            <w:pPr>
              <w:adjustRightInd w:val="0"/>
              <w:snapToGrid w:val="0"/>
              <w:ind w:right="0" w:right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6</w:t>
            </w:r>
          </w:p>
        </w:tc>
        <w:tc>
          <w:tcPr>
            <w:tcW w:w="1573" w:type="dxa"/>
            <w:tcBorders>
              <w:right w:val="single" w:color="auto" w:sz="4" w:space="0"/>
            </w:tcBorders>
            <w:noWrap w:val="0"/>
            <w:vAlign w:val="center"/>
          </w:tcPr>
          <w:p>
            <w:pPr>
              <w:adjustRightInd w:val="0"/>
              <w:snapToGrid w:val="0"/>
              <w:ind w:right="0" w:rightChars="0"/>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rPr>
              <w:t>范围和</w:t>
            </w:r>
            <w:r>
              <w:rPr>
                <w:rFonts w:hint="eastAsia" w:ascii="宋体" w:hAnsi="宋体" w:eastAsia="宋体" w:cs="宋体"/>
                <w:sz w:val="24"/>
                <w:szCs w:val="24"/>
                <w:highlight w:val="none"/>
                <w:lang w:val="en-US" w:eastAsia="zh-CN"/>
              </w:rPr>
              <w:t>质量</w:t>
            </w:r>
            <w:r>
              <w:rPr>
                <w:rFonts w:hint="eastAsia" w:ascii="宋体" w:hAnsi="宋体" w:eastAsia="宋体" w:cs="宋体"/>
                <w:sz w:val="24"/>
                <w:szCs w:val="24"/>
                <w:highlight w:val="none"/>
              </w:rPr>
              <w:t>标准</w:t>
            </w:r>
          </w:p>
        </w:tc>
        <w:tc>
          <w:tcPr>
            <w:tcW w:w="6804" w:type="dxa"/>
            <w:tcBorders>
              <w:left w:val="single" w:color="auto" w:sz="4" w:space="0"/>
            </w:tcBorders>
            <w:noWrap w:val="0"/>
            <w:vAlign w:val="center"/>
          </w:tcPr>
          <w:p>
            <w:pPr>
              <w:adjustRightInd w:val="0"/>
              <w:snapToGrid w:val="0"/>
              <w:ind w:right="0" w:rightChars="0"/>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eastAsia="zh-CN"/>
              </w:rPr>
              <w:t>响应文件</w:t>
            </w:r>
            <w:r>
              <w:rPr>
                <w:rFonts w:hint="eastAsia" w:ascii="宋体" w:hAnsi="宋体" w:eastAsia="宋体" w:cs="宋体"/>
                <w:sz w:val="24"/>
                <w:szCs w:val="24"/>
                <w:highlight w:val="none"/>
              </w:rPr>
              <w:t>符合</w:t>
            </w:r>
            <w:r>
              <w:rPr>
                <w:rFonts w:hint="eastAsia" w:ascii="宋体" w:hAnsi="宋体" w:cs="宋体"/>
                <w:sz w:val="24"/>
                <w:szCs w:val="24"/>
                <w:highlight w:val="none"/>
                <w:lang w:eastAsia="zh-CN"/>
              </w:rPr>
              <w:t>磋商文件</w:t>
            </w:r>
            <w:r>
              <w:rPr>
                <w:rFonts w:hint="eastAsia" w:ascii="宋体" w:hAnsi="宋体" w:eastAsia="宋体" w:cs="宋体"/>
                <w:sz w:val="24"/>
                <w:szCs w:val="24"/>
                <w:highlight w:val="none"/>
              </w:rPr>
              <w:t>关于对</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rPr>
              <w:t>范围和</w:t>
            </w:r>
            <w:r>
              <w:rPr>
                <w:rFonts w:hint="eastAsia" w:ascii="宋体" w:hAnsi="宋体" w:eastAsia="宋体" w:cs="宋体"/>
                <w:sz w:val="24"/>
                <w:szCs w:val="24"/>
                <w:highlight w:val="none"/>
                <w:lang w:val="en-US" w:eastAsia="zh-CN"/>
              </w:rPr>
              <w:t>质量</w:t>
            </w:r>
            <w:r>
              <w:rPr>
                <w:rFonts w:hint="eastAsia" w:ascii="宋体" w:hAnsi="宋体" w:eastAsia="宋体" w:cs="宋体"/>
                <w:sz w:val="24"/>
                <w:szCs w:val="24"/>
                <w:highlight w:val="none"/>
              </w:rPr>
              <w:t>标准的要求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5" w:hRule="atLeast"/>
          <w:jc w:val="center"/>
        </w:trPr>
        <w:tc>
          <w:tcPr>
            <w:tcW w:w="709" w:type="dxa"/>
            <w:noWrap w:val="0"/>
            <w:vAlign w:val="center"/>
          </w:tcPr>
          <w:p>
            <w:pPr>
              <w:adjustRightInd w:val="0"/>
              <w:snapToGrid w:val="0"/>
              <w:ind w:right="0" w:right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7</w:t>
            </w:r>
          </w:p>
        </w:tc>
        <w:tc>
          <w:tcPr>
            <w:tcW w:w="1573" w:type="dxa"/>
            <w:tcBorders>
              <w:right w:val="single" w:color="auto" w:sz="4" w:space="0"/>
            </w:tcBorders>
            <w:noWrap w:val="0"/>
            <w:vAlign w:val="center"/>
          </w:tcPr>
          <w:p>
            <w:pPr>
              <w:adjustRightInd w:val="0"/>
              <w:snapToGrid w:val="0"/>
              <w:ind w:right="0" w:rightChars="0"/>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保证金</w:t>
            </w:r>
          </w:p>
        </w:tc>
        <w:tc>
          <w:tcPr>
            <w:tcW w:w="6804" w:type="dxa"/>
            <w:tcBorders>
              <w:left w:val="single" w:color="auto" w:sz="4" w:space="0"/>
            </w:tcBorders>
            <w:noWrap w:val="0"/>
            <w:vAlign w:val="center"/>
          </w:tcPr>
          <w:p>
            <w:pPr>
              <w:adjustRightInd w:val="0"/>
              <w:snapToGrid w:val="0"/>
              <w:ind w:right="0" w:rightChars="0"/>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按照</w:t>
            </w:r>
            <w:r>
              <w:rPr>
                <w:rFonts w:hint="eastAsia" w:ascii="宋体" w:hAnsi="宋体" w:cs="宋体"/>
                <w:sz w:val="24"/>
                <w:szCs w:val="24"/>
                <w:highlight w:val="none"/>
                <w:lang w:eastAsia="zh-CN"/>
              </w:rPr>
              <w:t>磋商文件</w:t>
            </w:r>
            <w:r>
              <w:rPr>
                <w:rFonts w:hint="eastAsia" w:ascii="宋体" w:hAnsi="宋体" w:eastAsia="宋体" w:cs="宋体"/>
                <w:sz w:val="24"/>
                <w:szCs w:val="24"/>
                <w:highlight w:val="none"/>
              </w:rPr>
              <w:t>要求提供保证金，或所提供的保证金</w:t>
            </w:r>
            <w:r>
              <w:rPr>
                <w:rFonts w:hint="eastAsia" w:ascii="宋体" w:hAnsi="宋体" w:cs="宋体"/>
                <w:sz w:val="24"/>
                <w:szCs w:val="24"/>
                <w:highlight w:val="none"/>
                <w:lang w:val="en-US" w:eastAsia="zh-CN"/>
              </w:rPr>
              <w:t>没</w:t>
            </w:r>
            <w:r>
              <w:rPr>
                <w:rFonts w:hint="eastAsia" w:ascii="宋体" w:hAnsi="宋体" w:eastAsia="宋体" w:cs="宋体"/>
                <w:sz w:val="24"/>
                <w:szCs w:val="24"/>
                <w:highlight w:val="none"/>
              </w:rPr>
              <w:t>有瑕疵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5" w:hRule="atLeast"/>
          <w:jc w:val="center"/>
        </w:trPr>
        <w:tc>
          <w:tcPr>
            <w:tcW w:w="709" w:type="dxa"/>
            <w:noWrap w:val="0"/>
            <w:vAlign w:val="center"/>
          </w:tcPr>
          <w:p>
            <w:pPr>
              <w:adjustRightInd w:val="0"/>
              <w:snapToGrid w:val="0"/>
              <w:ind w:right="0" w:rightChars="0"/>
              <w:jc w:val="center"/>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8</w:t>
            </w:r>
          </w:p>
        </w:tc>
        <w:tc>
          <w:tcPr>
            <w:tcW w:w="1573" w:type="dxa"/>
            <w:tcBorders>
              <w:right w:val="single" w:color="auto" w:sz="4" w:space="0"/>
            </w:tcBorders>
            <w:noWrap w:val="0"/>
            <w:vAlign w:val="center"/>
          </w:tcPr>
          <w:p>
            <w:pPr>
              <w:adjustRightInd w:val="0"/>
              <w:snapToGrid w:val="0"/>
              <w:ind w:right="0" w:rightChars="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联合体</w:t>
            </w:r>
          </w:p>
        </w:tc>
        <w:tc>
          <w:tcPr>
            <w:tcW w:w="6804" w:type="dxa"/>
            <w:tcBorders>
              <w:left w:val="single" w:color="auto" w:sz="4" w:space="0"/>
            </w:tcBorders>
            <w:noWrap w:val="0"/>
            <w:vAlign w:val="center"/>
          </w:tcPr>
          <w:p>
            <w:pPr>
              <w:adjustRightInd w:val="0"/>
              <w:snapToGrid w:val="0"/>
              <w:ind w:right="0" w:rightChars="0"/>
              <w:rPr>
                <w:rFonts w:hint="eastAsia" w:ascii="宋体" w:hAnsi="宋体" w:eastAsia="宋体" w:cs="宋体"/>
                <w:sz w:val="24"/>
                <w:szCs w:val="24"/>
                <w:highlight w:val="none"/>
                <w:lang w:eastAsia="zh-CN"/>
              </w:rPr>
            </w:pPr>
            <w:r>
              <w:rPr>
                <w:rFonts w:hint="eastAsia" w:ascii="宋体" w:hAnsi="宋体" w:cs="宋体"/>
                <w:sz w:val="24"/>
                <w:szCs w:val="24"/>
                <w:highlight w:val="none"/>
                <w:lang w:val="en-US" w:eastAsia="zh-CN"/>
              </w:rPr>
              <w:t>符合</w:t>
            </w:r>
            <w:r>
              <w:rPr>
                <w:rFonts w:hint="eastAsia" w:ascii="宋体" w:hAnsi="宋体" w:eastAsia="宋体" w:cs="宋体"/>
                <w:sz w:val="24"/>
                <w:szCs w:val="24"/>
                <w:highlight w:val="none"/>
                <w:lang w:eastAsia="zh-CN"/>
              </w:rPr>
              <w:t>磋商文件的规定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50" w:hRule="atLeast"/>
          <w:jc w:val="center"/>
        </w:trPr>
        <w:tc>
          <w:tcPr>
            <w:tcW w:w="709" w:type="dxa"/>
            <w:noWrap w:val="0"/>
            <w:vAlign w:val="center"/>
          </w:tcPr>
          <w:p>
            <w:pPr>
              <w:adjustRightInd w:val="0"/>
              <w:snapToGrid w:val="0"/>
              <w:ind w:right="0" w:rightChars="0"/>
              <w:jc w:val="center"/>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9</w:t>
            </w:r>
          </w:p>
        </w:tc>
        <w:tc>
          <w:tcPr>
            <w:tcW w:w="1573" w:type="dxa"/>
            <w:tcBorders>
              <w:right w:val="single" w:color="auto" w:sz="4" w:space="0"/>
            </w:tcBorders>
            <w:noWrap w:val="0"/>
            <w:vAlign w:val="center"/>
          </w:tcPr>
          <w:p>
            <w:pPr>
              <w:adjustRightInd w:val="0"/>
              <w:snapToGrid w:val="0"/>
              <w:ind w:right="0" w:rightChars="0"/>
              <w:rPr>
                <w:rFonts w:hint="eastAsia" w:ascii="宋体" w:hAnsi="宋体" w:eastAsia="宋体" w:cs="宋体"/>
                <w:sz w:val="24"/>
                <w:szCs w:val="24"/>
                <w:highlight w:val="none"/>
              </w:rPr>
            </w:pPr>
            <w:r>
              <w:rPr>
                <w:rFonts w:hint="eastAsia" w:ascii="宋体" w:hAnsi="宋体" w:eastAsia="宋体" w:cs="宋体"/>
                <w:sz w:val="24"/>
                <w:szCs w:val="24"/>
                <w:highlight w:val="none"/>
              </w:rPr>
              <w:t>其它</w:t>
            </w:r>
          </w:p>
        </w:tc>
        <w:tc>
          <w:tcPr>
            <w:tcW w:w="6804" w:type="dxa"/>
            <w:tcBorders>
              <w:left w:val="single" w:color="auto" w:sz="4" w:space="0"/>
            </w:tcBorders>
            <w:noWrap w:val="0"/>
            <w:vAlign w:val="center"/>
          </w:tcPr>
          <w:p>
            <w:pPr>
              <w:adjustRightInd w:val="0"/>
              <w:snapToGrid w:val="0"/>
              <w:ind w:right="0" w:rightChars="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响应文件</w:t>
            </w:r>
            <w:r>
              <w:rPr>
                <w:rFonts w:hint="eastAsia" w:ascii="宋体" w:hAnsi="宋体" w:cs="宋体"/>
                <w:sz w:val="24"/>
                <w:szCs w:val="24"/>
                <w:highlight w:val="none"/>
                <w:lang w:val="en-US" w:eastAsia="zh-CN"/>
              </w:rPr>
              <w:t>未</w:t>
            </w:r>
            <w:r>
              <w:rPr>
                <w:rFonts w:hint="eastAsia" w:ascii="宋体" w:hAnsi="宋体" w:eastAsia="宋体" w:cs="宋体"/>
                <w:sz w:val="24"/>
                <w:szCs w:val="24"/>
                <w:highlight w:val="none"/>
              </w:rPr>
              <w:t>附有</w:t>
            </w:r>
            <w:r>
              <w:rPr>
                <w:rFonts w:hint="eastAsia" w:ascii="宋体" w:hAnsi="宋体" w:eastAsia="宋体" w:cs="宋体"/>
                <w:sz w:val="24"/>
                <w:szCs w:val="24"/>
                <w:highlight w:val="none"/>
                <w:lang w:eastAsia="zh-CN"/>
              </w:rPr>
              <w:t>采购人</w:t>
            </w:r>
            <w:r>
              <w:rPr>
                <w:rFonts w:hint="eastAsia" w:ascii="宋体" w:hAnsi="宋体" w:eastAsia="宋体" w:cs="宋体"/>
                <w:sz w:val="24"/>
                <w:szCs w:val="24"/>
                <w:highlight w:val="none"/>
              </w:rPr>
              <w:t>不能接受的其他条件</w:t>
            </w:r>
            <w:r>
              <w:rPr>
                <w:rFonts w:hint="eastAsia" w:ascii="宋体" w:hAnsi="宋体" w:cs="宋体"/>
                <w:sz w:val="24"/>
                <w:szCs w:val="24"/>
                <w:highlight w:val="none"/>
                <w:lang w:eastAsia="zh-CN"/>
              </w:rPr>
              <w:t>；</w:t>
            </w:r>
            <w:r>
              <w:rPr>
                <w:rFonts w:hint="eastAsia" w:ascii="宋体" w:hAnsi="宋体" w:eastAsia="宋体" w:cs="宋体"/>
                <w:sz w:val="24"/>
                <w:szCs w:val="24"/>
                <w:highlight w:val="none"/>
              </w:rPr>
              <w:t>符合</w:t>
            </w:r>
            <w:r>
              <w:rPr>
                <w:rFonts w:hint="eastAsia" w:ascii="宋体" w:hAnsi="宋体" w:cs="宋体"/>
                <w:sz w:val="24"/>
                <w:szCs w:val="24"/>
                <w:highlight w:val="none"/>
                <w:lang w:val="en-US" w:eastAsia="zh-CN"/>
              </w:rPr>
              <w:t>法律法规和</w:t>
            </w:r>
            <w:r>
              <w:rPr>
                <w:rFonts w:hint="eastAsia" w:ascii="宋体" w:hAnsi="宋体" w:cs="宋体"/>
                <w:sz w:val="24"/>
                <w:szCs w:val="24"/>
                <w:highlight w:val="none"/>
                <w:lang w:eastAsia="zh-CN"/>
              </w:rPr>
              <w:t>磋商文件</w:t>
            </w:r>
            <w:r>
              <w:rPr>
                <w:rFonts w:hint="eastAsia" w:ascii="宋体" w:hAnsi="宋体" w:eastAsia="宋体" w:cs="宋体"/>
                <w:sz w:val="24"/>
                <w:szCs w:val="24"/>
                <w:highlight w:val="none"/>
              </w:rPr>
              <w:t>中规定的其他实质性要求</w:t>
            </w:r>
          </w:p>
        </w:tc>
      </w:tr>
    </w:tbl>
    <w:p>
      <w:pPr>
        <w:spacing w:line="360" w:lineRule="auto"/>
        <w:jc w:val="center"/>
        <w:rPr>
          <w:rFonts w:hint="eastAsia" w:ascii="宋体" w:hAnsi="宋体" w:cs="宋体"/>
          <w:b/>
          <w:bCs/>
          <w:color w:val="auto"/>
          <w:sz w:val="24"/>
          <w:highlight w:val="none"/>
        </w:rPr>
      </w:pPr>
      <w:r>
        <w:rPr>
          <w:rFonts w:hint="eastAsia" w:ascii="宋体" w:hAnsi="宋体" w:cs="宋体"/>
          <w:b/>
          <w:bCs/>
          <w:color w:val="auto"/>
          <w:sz w:val="24"/>
          <w:highlight w:val="none"/>
          <w:lang w:val="en-US" w:eastAsia="zh-CN"/>
        </w:rPr>
        <w:t>详细评审</w:t>
      </w:r>
      <w:r>
        <w:rPr>
          <w:rFonts w:hint="eastAsia" w:ascii="宋体" w:hAnsi="宋体" w:cs="宋体"/>
          <w:b/>
          <w:bCs/>
          <w:color w:val="auto"/>
          <w:sz w:val="24"/>
          <w:highlight w:val="none"/>
        </w:rPr>
        <w:t>标准</w:t>
      </w:r>
    </w:p>
    <w:bookmarkEnd w:id="42"/>
    <w:tbl>
      <w:tblPr>
        <w:tblStyle w:val="25"/>
        <w:tblW w:w="9715"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420"/>
        <w:gridCol w:w="726"/>
        <w:gridCol w:w="1245"/>
        <w:gridCol w:w="7324"/>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82" w:hRule="atLeast"/>
          <w:jc w:val="center"/>
        </w:trPr>
        <w:tc>
          <w:tcPr>
            <w:tcW w:w="420" w:type="dxa"/>
            <w:tcBorders>
              <w:top w:val="single" w:color="auto" w:sz="4" w:space="0"/>
              <w:left w:val="single" w:color="auto" w:sz="4" w:space="0"/>
              <w:bottom w:val="single" w:color="auto" w:sz="6" w:space="0"/>
              <w:right w:val="single" w:color="auto" w:sz="6" w:space="0"/>
            </w:tcBorders>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s="宋体"/>
                <w:sz w:val="24"/>
                <w:szCs w:val="24"/>
                <w:highlight w:val="none"/>
              </w:rPr>
            </w:pPr>
            <w:bookmarkStart w:id="66" w:name="_Toc21310"/>
            <w:r>
              <w:rPr>
                <w:rFonts w:hint="eastAsia" w:ascii="宋体" w:hAnsi="宋体" w:cs="宋体"/>
                <w:sz w:val="24"/>
                <w:szCs w:val="24"/>
                <w:highlight w:val="none"/>
              </w:rPr>
              <w:t>序号</w:t>
            </w:r>
          </w:p>
        </w:tc>
        <w:tc>
          <w:tcPr>
            <w:tcW w:w="726" w:type="dxa"/>
            <w:tcBorders>
              <w:top w:val="single" w:color="auto" w:sz="4" w:space="0"/>
              <w:left w:val="single" w:color="auto" w:sz="6" w:space="0"/>
              <w:bottom w:val="single" w:color="auto" w:sz="6" w:space="0"/>
              <w:right w:val="single" w:color="auto" w:sz="6" w:space="0"/>
            </w:tcBorders>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s="宋体"/>
                <w:sz w:val="24"/>
                <w:szCs w:val="24"/>
                <w:highlight w:val="none"/>
              </w:rPr>
            </w:pPr>
            <w:r>
              <w:rPr>
                <w:rFonts w:hint="eastAsia" w:ascii="宋体" w:hAnsi="宋体" w:cs="宋体"/>
                <w:sz w:val="24"/>
                <w:szCs w:val="24"/>
                <w:highlight w:val="none"/>
              </w:rPr>
              <w:t>评分因素及权重</w:t>
            </w:r>
          </w:p>
        </w:tc>
        <w:tc>
          <w:tcPr>
            <w:tcW w:w="1245" w:type="dxa"/>
            <w:tcBorders>
              <w:top w:val="single" w:color="auto" w:sz="4" w:space="0"/>
              <w:left w:val="single" w:color="auto" w:sz="6" w:space="0"/>
              <w:bottom w:val="single" w:color="auto" w:sz="6" w:space="0"/>
              <w:right w:val="single" w:color="auto" w:sz="6" w:space="0"/>
            </w:tcBorders>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s="宋体"/>
                <w:sz w:val="24"/>
                <w:szCs w:val="24"/>
                <w:highlight w:val="none"/>
              </w:rPr>
            </w:pPr>
            <w:r>
              <w:rPr>
                <w:rFonts w:hint="eastAsia" w:ascii="宋体" w:hAnsi="宋体" w:cs="宋体"/>
                <w:sz w:val="24"/>
                <w:szCs w:val="24"/>
                <w:highlight w:val="none"/>
              </w:rPr>
              <w:t>具体指标</w:t>
            </w:r>
          </w:p>
        </w:tc>
        <w:tc>
          <w:tcPr>
            <w:tcW w:w="7324" w:type="dxa"/>
            <w:tcBorders>
              <w:top w:val="single" w:color="auto" w:sz="4" w:space="0"/>
              <w:left w:val="single" w:color="auto" w:sz="6" w:space="0"/>
              <w:bottom w:val="single" w:color="auto" w:sz="6"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s="宋体"/>
                <w:sz w:val="24"/>
                <w:szCs w:val="24"/>
                <w:highlight w:val="none"/>
              </w:rPr>
            </w:pPr>
            <w:r>
              <w:rPr>
                <w:rFonts w:hint="eastAsia" w:ascii="宋体" w:hAnsi="宋体" w:cs="宋体"/>
                <w:sz w:val="24"/>
                <w:szCs w:val="24"/>
                <w:highlight w:val="none"/>
              </w:rPr>
              <w:t>评分标准</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420" w:type="dxa"/>
            <w:tcBorders>
              <w:top w:val="single" w:color="auto" w:sz="6" w:space="0"/>
              <w:left w:val="single" w:color="auto" w:sz="4" w:space="0"/>
              <w:bottom w:val="single" w:color="auto" w:sz="6" w:space="0"/>
              <w:right w:val="single" w:color="auto" w:sz="6" w:space="0"/>
            </w:tcBorders>
            <w:noWrap/>
            <w:vAlign w:val="center"/>
          </w:tcPr>
          <w:p>
            <w:pPr>
              <w:spacing w:line="288" w:lineRule="auto"/>
              <w:jc w:val="center"/>
              <w:rPr>
                <w:rFonts w:ascii="宋体" w:hAnsi="宋体" w:cs="宋体"/>
                <w:sz w:val="24"/>
                <w:szCs w:val="24"/>
                <w:highlight w:val="none"/>
              </w:rPr>
            </w:pPr>
            <w:r>
              <w:rPr>
                <w:rFonts w:hint="eastAsia" w:ascii="宋体" w:hAnsi="宋体" w:cs="宋体"/>
                <w:sz w:val="24"/>
                <w:szCs w:val="24"/>
                <w:highlight w:val="none"/>
              </w:rPr>
              <w:t>1</w:t>
            </w:r>
          </w:p>
        </w:tc>
        <w:tc>
          <w:tcPr>
            <w:tcW w:w="726" w:type="dxa"/>
            <w:tcBorders>
              <w:top w:val="single" w:color="auto" w:sz="6" w:space="0"/>
              <w:left w:val="single" w:color="auto" w:sz="6" w:space="0"/>
              <w:bottom w:val="single" w:color="auto" w:sz="6" w:space="0"/>
              <w:right w:val="single" w:color="auto" w:sz="6" w:space="0"/>
            </w:tcBorders>
            <w:noWrap/>
            <w:vAlign w:val="center"/>
          </w:tcPr>
          <w:p>
            <w:pPr>
              <w:spacing w:line="288" w:lineRule="auto"/>
              <w:jc w:val="center"/>
              <w:rPr>
                <w:rFonts w:ascii="宋体" w:hAnsi="宋体" w:cs="宋体"/>
                <w:sz w:val="24"/>
                <w:szCs w:val="24"/>
                <w:highlight w:val="none"/>
              </w:rPr>
            </w:pPr>
            <w:r>
              <w:rPr>
                <w:rFonts w:hint="eastAsia" w:ascii="宋体" w:hAnsi="宋体" w:cs="宋体"/>
                <w:sz w:val="24"/>
                <w:szCs w:val="24"/>
                <w:highlight w:val="none"/>
              </w:rPr>
              <w:t>价格部分15%</w:t>
            </w:r>
          </w:p>
        </w:tc>
        <w:tc>
          <w:tcPr>
            <w:tcW w:w="1245" w:type="dxa"/>
            <w:tcBorders>
              <w:top w:val="single" w:color="auto" w:sz="6" w:space="0"/>
              <w:left w:val="single" w:color="auto" w:sz="6" w:space="0"/>
              <w:bottom w:val="single" w:color="auto" w:sz="6" w:space="0"/>
              <w:right w:val="single" w:color="auto" w:sz="6" w:space="0"/>
            </w:tcBorders>
            <w:noWrap/>
            <w:vAlign w:val="center"/>
          </w:tcPr>
          <w:p>
            <w:pPr>
              <w:spacing w:line="288" w:lineRule="auto"/>
              <w:jc w:val="center"/>
              <w:rPr>
                <w:rFonts w:ascii="宋体" w:hAnsi="宋体" w:cs="宋体"/>
                <w:sz w:val="24"/>
                <w:szCs w:val="24"/>
                <w:highlight w:val="none"/>
              </w:rPr>
            </w:pPr>
            <w:r>
              <w:rPr>
                <w:rFonts w:hint="eastAsia" w:ascii="宋体" w:hAnsi="宋体" w:cs="宋体"/>
                <w:sz w:val="24"/>
                <w:szCs w:val="24"/>
                <w:highlight w:val="none"/>
              </w:rPr>
              <w:t>报价</w:t>
            </w:r>
          </w:p>
          <w:p>
            <w:pPr>
              <w:spacing w:line="288" w:lineRule="auto"/>
              <w:jc w:val="center"/>
              <w:rPr>
                <w:rFonts w:ascii="宋体" w:hAnsi="宋体" w:cs="宋体"/>
                <w:sz w:val="24"/>
                <w:szCs w:val="24"/>
                <w:highlight w:val="none"/>
              </w:rPr>
            </w:pPr>
            <w:r>
              <w:rPr>
                <w:rFonts w:hint="eastAsia" w:ascii="宋体" w:hAnsi="宋体" w:cs="宋体"/>
                <w:sz w:val="24"/>
                <w:szCs w:val="24"/>
                <w:highlight w:val="none"/>
              </w:rPr>
              <w:t>（15分）</w:t>
            </w:r>
          </w:p>
        </w:tc>
        <w:tc>
          <w:tcPr>
            <w:tcW w:w="7324" w:type="dxa"/>
            <w:tcBorders>
              <w:top w:val="single" w:color="auto" w:sz="6" w:space="0"/>
              <w:left w:val="single" w:color="auto" w:sz="6" w:space="0"/>
              <w:bottom w:val="single" w:color="auto" w:sz="6" w:space="0"/>
              <w:right w:val="single" w:color="auto" w:sz="4" w:space="0"/>
            </w:tcBorders>
            <w:noWrap/>
            <w:vAlign w:val="center"/>
          </w:tcPr>
          <w:p>
            <w:pPr>
              <w:keepNext w:val="0"/>
              <w:keepLines w:val="0"/>
              <w:pageBreakBefore w:val="0"/>
              <w:widowControl w:val="0"/>
              <w:kinsoku/>
              <w:wordWrap/>
              <w:overflowPunct/>
              <w:topLinePunct w:val="0"/>
              <w:autoSpaceDE/>
              <w:autoSpaceDN/>
              <w:bidi w:val="0"/>
              <w:snapToGrid/>
              <w:spacing w:line="360" w:lineRule="exact"/>
              <w:textAlignment w:val="auto"/>
              <w:rPr>
                <w:rFonts w:ascii="宋体" w:hAnsi="宋体" w:cs="宋体"/>
                <w:sz w:val="24"/>
                <w:szCs w:val="24"/>
                <w:highlight w:val="none"/>
              </w:rPr>
            </w:pPr>
            <w:r>
              <w:rPr>
                <w:rFonts w:hint="eastAsia" w:ascii="宋体" w:hAnsi="宋体" w:cs="宋体"/>
                <w:sz w:val="24"/>
                <w:szCs w:val="24"/>
                <w:highlight w:val="none"/>
              </w:rPr>
              <w:t>（1）评标基准价</w:t>
            </w:r>
          </w:p>
          <w:p>
            <w:pPr>
              <w:pStyle w:val="36"/>
              <w:keepNext w:val="0"/>
              <w:keepLines w:val="0"/>
              <w:pageBreakBefore w:val="0"/>
              <w:widowControl w:val="0"/>
              <w:shd w:val="clear" w:color="auto" w:fill="auto"/>
              <w:kinsoku/>
              <w:wordWrap/>
              <w:overflowPunct/>
              <w:topLinePunct w:val="0"/>
              <w:autoSpaceDE/>
              <w:autoSpaceDN/>
              <w:bidi w:val="0"/>
              <w:adjustRightInd w:val="0"/>
              <w:snapToGrid/>
              <w:spacing w:line="360" w:lineRule="exact"/>
              <w:ind w:firstLine="471"/>
              <w:jc w:val="both"/>
              <w:textAlignment w:val="auto"/>
              <w:rPr>
                <w:rFonts w:hint="eastAsia" w:ascii="宋体" w:hAnsi="宋体" w:eastAsia="宋体" w:cs="宋体"/>
                <w:b w:val="0"/>
                <w:color w:val="auto"/>
                <w:spacing w:val="-3"/>
                <w:sz w:val="24"/>
                <w:highlight w:val="none"/>
                <w:lang w:val="en-US" w:eastAsia="zh-CN"/>
              </w:rPr>
            </w:pPr>
            <w:r>
              <w:rPr>
                <w:rFonts w:hint="eastAsia" w:ascii="宋体" w:hAnsi="宋体" w:eastAsia="宋体" w:cs="宋体"/>
                <w:b w:val="0"/>
                <w:color w:val="auto"/>
                <w:spacing w:val="-3"/>
                <w:sz w:val="24"/>
                <w:highlight w:val="none"/>
                <w:lang w:val="en-US" w:eastAsia="zh-CN"/>
              </w:rPr>
              <w:t>报价得分中的价格分统一采用低价优先法计算，即满足招标要求且价格最低的投标报价为评标基准价，其价格分为满分。</w:t>
            </w:r>
          </w:p>
          <w:p>
            <w:pPr>
              <w:keepNext w:val="0"/>
              <w:keepLines w:val="0"/>
              <w:pageBreakBefore w:val="0"/>
              <w:widowControl w:val="0"/>
              <w:kinsoku/>
              <w:wordWrap/>
              <w:overflowPunct/>
              <w:topLinePunct w:val="0"/>
              <w:autoSpaceDE/>
              <w:autoSpaceDN/>
              <w:bidi w:val="0"/>
              <w:snapToGrid/>
              <w:spacing w:line="360" w:lineRule="exact"/>
              <w:textAlignment w:val="auto"/>
              <w:rPr>
                <w:rFonts w:ascii="宋体" w:hAnsi="宋体" w:cs="宋体"/>
                <w:sz w:val="24"/>
                <w:szCs w:val="24"/>
                <w:highlight w:val="none"/>
              </w:rPr>
            </w:pPr>
            <w:r>
              <w:rPr>
                <w:rFonts w:hint="eastAsia" w:ascii="宋体" w:hAnsi="宋体" w:cs="宋体"/>
                <w:sz w:val="24"/>
                <w:szCs w:val="24"/>
                <w:highlight w:val="none"/>
              </w:rPr>
              <w:t>（2）投标报价得分</w:t>
            </w:r>
          </w:p>
          <w:p>
            <w:pPr>
              <w:pStyle w:val="36"/>
              <w:keepNext w:val="0"/>
              <w:keepLines w:val="0"/>
              <w:pageBreakBefore w:val="0"/>
              <w:widowControl w:val="0"/>
              <w:shd w:val="clear" w:color="auto" w:fill="auto"/>
              <w:kinsoku/>
              <w:wordWrap/>
              <w:overflowPunct/>
              <w:topLinePunct w:val="0"/>
              <w:autoSpaceDE/>
              <w:autoSpaceDN/>
              <w:bidi w:val="0"/>
              <w:adjustRightInd w:val="0"/>
              <w:snapToGrid/>
              <w:spacing w:line="360" w:lineRule="exact"/>
              <w:ind w:firstLine="471"/>
              <w:jc w:val="both"/>
              <w:textAlignment w:val="auto"/>
              <w:rPr>
                <w:rFonts w:hint="eastAsia" w:ascii="宋体" w:hAnsi="宋体" w:eastAsia="宋体" w:cs="宋体"/>
                <w:b w:val="0"/>
                <w:color w:val="auto"/>
                <w:spacing w:val="-3"/>
                <w:sz w:val="24"/>
                <w:highlight w:val="none"/>
                <w:lang w:val="en-US" w:eastAsia="zh-CN"/>
              </w:rPr>
            </w:pPr>
            <w:r>
              <w:rPr>
                <w:rFonts w:hint="eastAsia" w:ascii="宋体" w:hAnsi="宋体" w:eastAsia="宋体" w:cs="宋体"/>
                <w:b w:val="0"/>
                <w:color w:val="auto"/>
                <w:spacing w:val="-3"/>
                <w:sz w:val="24"/>
                <w:highlight w:val="none"/>
                <w:lang w:val="en-US" w:eastAsia="zh-CN"/>
              </w:rPr>
              <w:t>其他供应商的价格分统一按照下列公式计算：</w:t>
            </w:r>
          </w:p>
          <w:p>
            <w:pPr>
              <w:pStyle w:val="36"/>
              <w:keepNext w:val="0"/>
              <w:keepLines w:val="0"/>
              <w:pageBreakBefore w:val="0"/>
              <w:widowControl w:val="0"/>
              <w:shd w:val="clear" w:color="auto" w:fill="auto"/>
              <w:kinsoku/>
              <w:wordWrap/>
              <w:overflowPunct/>
              <w:topLinePunct w:val="0"/>
              <w:autoSpaceDE/>
              <w:autoSpaceDN/>
              <w:bidi w:val="0"/>
              <w:adjustRightInd w:val="0"/>
              <w:snapToGrid/>
              <w:spacing w:line="360" w:lineRule="exact"/>
              <w:ind w:firstLine="471"/>
              <w:jc w:val="both"/>
              <w:textAlignment w:val="auto"/>
              <w:rPr>
                <w:rFonts w:hint="eastAsia" w:ascii="宋体" w:hAnsi="宋体" w:eastAsia="宋体" w:cs="宋体"/>
                <w:b w:val="0"/>
                <w:color w:val="auto"/>
                <w:spacing w:val="-3"/>
                <w:sz w:val="24"/>
                <w:highlight w:val="none"/>
                <w:lang w:val="en-US" w:eastAsia="zh-CN"/>
              </w:rPr>
            </w:pPr>
            <w:r>
              <w:rPr>
                <w:rFonts w:hint="eastAsia" w:ascii="宋体" w:hAnsi="宋体" w:eastAsia="宋体" w:cs="宋体"/>
                <w:b w:val="0"/>
                <w:color w:val="auto"/>
                <w:spacing w:val="-3"/>
                <w:sz w:val="24"/>
                <w:highlight w:val="none"/>
                <w:lang w:val="en-US" w:eastAsia="zh-CN"/>
              </w:rPr>
              <w:t>投标报价得分=最低报价/投标报价*得分权重。（保留小数点后两位，第三位小数四舍五入）</w:t>
            </w:r>
          </w:p>
          <w:p>
            <w:pPr>
              <w:keepNext w:val="0"/>
              <w:keepLines w:val="0"/>
              <w:pageBreakBefore w:val="0"/>
              <w:widowControl w:val="0"/>
              <w:kinsoku/>
              <w:wordWrap/>
              <w:overflowPunct/>
              <w:topLinePunct w:val="0"/>
              <w:autoSpaceDE/>
              <w:autoSpaceDN/>
              <w:bidi w:val="0"/>
              <w:snapToGrid/>
              <w:spacing w:line="360" w:lineRule="exact"/>
              <w:textAlignment w:val="auto"/>
              <w:rPr>
                <w:rFonts w:hint="eastAsia" w:ascii="宋体" w:hAnsi="宋体" w:cs="宋体"/>
                <w:sz w:val="24"/>
                <w:szCs w:val="24"/>
                <w:highlight w:val="none"/>
              </w:rPr>
            </w:pPr>
            <w:r>
              <w:rPr>
                <w:rFonts w:hint="eastAsia" w:ascii="宋体" w:hAnsi="宋体" w:cs="宋体"/>
                <w:sz w:val="24"/>
                <w:szCs w:val="24"/>
                <w:highlight w:val="none"/>
              </w:rPr>
              <w:t>（3）</w:t>
            </w:r>
            <w:r>
              <w:rPr>
                <w:rFonts w:hint="eastAsia" w:ascii="宋体" w:hAnsi="宋体" w:eastAsia="宋体" w:cs="宋体"/>
                <w:b w:val="0"/>
                <w:bCs/>
                <w:color w:val="auto"/>
                <w:sz w:val="24"/>
                <w:highlight w:val="none"/>
              </w:rPr>
              <w:t>最低报价不作为评标的唯一依据。采购人不承诺将合同授予报价最低的</w:t>
            </w:r>
            <w:r>
              <w:rPr>
                <w:rFonts w:hint="eastAsia" w:ascii="宋体" w:hAnsi="宋体" w:eastAsia="宋体" w:cs="宋体"/>
                <w:b w:val="0"/>
                <w:bCs/>
                <w:color w:val="auto"/>
                <w:sz w:val="24"/>
                <w:highlight w:val="none"/>
                <w:lang w:eastAsia="zh-CN"/>
              </w:rPr>
              <w:t>供应商</w:t>
            </w:r>
            <w:r>
              <w:rPr>
                <w:rFonts w:hint="eastAsia" w:ascii="宋体" w:hAnsi="宋体" w:eastAsia="宋体" w:cs="宋体"/>
                <w:b w:val="0"/>
                <w:bCs/>
                <w:color w:val="auto"/>
                <w:sz w:val="24"/>
                <w:highlight w:val="none"/>
              </w:rPr>
              <w:t>。</w:t>
            </w:r>
          </w:p>
          <w:p>
            <w:pPr>
              <w:keepNext w:val="0"/>
              <w:keepLines w:val="0"/>
              <w:pageBreakBefore w:val="0"/>
              <w:widowControl w:val="0"/>
              <w:kinsoku/>
              <w:wordWrap/>
              <w:overflowPunct/>
              <w:topLinePunct w:val="0"/>
              <w:autoSpaceDE/>
              <w:autoSpaceDN/>
              <w:bidi w:val="0"/>
              <w:snapToGrid/>
              <w:spacing w:line="360" w:lineRule="exact"/>
              <w:textAlignment w:val="auto"/>
              <w:rPr>
                <w:rFonts w:ascii="宋体" w:hAnsi="宋体" w:cs="宋体"/>
                <w:sz w:val="24"/>
                <w:szCs w:val="24"/>
                <w:highlight w:val="none"/>
              </w:rPr>
            </w:pP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4</w:t>
            </w:r>
            <w:r>
              <w:rPr>
                <w:rFonts w:hint="eastAsia" w:ascii="宋体" w:hAnsi="宋体" w:cs="宋体"/>
                <w:sz w:val="24"/>
                <w:szCs w:val="24"/>
                <w:highlight w:val="none"/>
                <w:lang w:eastAsia="zh-CN"/>
              </w:rPr>
              <w:t>）</w:t>
            </w:r>
            <w:r>
              <w:rPr>
                <w:rFonts w:hint="eastAsia" w:ascii="宋体" w:hAnsi="宋体" w:cs="宋体"/>
                <w:sz w:val="24"/>
                <w:szCs w:val="24"/>
                <w:highlight w:val="none"/>
              </w:rPr>
              <w:t>评标委员会认为</w:t>
            </w:r>
            <w:r>
              <w:rPr>
                <w:rFonts w:hint="eastAsia" w:ascii="宋体" w:hAnsi="宋体" w:cs="宋体"/>
                <w:sz w:val="24"/>
                <w:szCs w:val="24"/>
                <w:highlight w:val="none"/>
                <w:lang w:eastAsia="zh-CN"/>
              </w:rPr>
              <w:t>供应商</w:t>
            </w:r>
            <w:r>
              <w:rPr>
                <w:rFonts w:hint="eastAsia" w:ascii="宋体" w:hAnsi="宋体" w:cs="宋体"/>
                <w:sz w:val="24"/>
                <w:szCs w:val="24"/>
                <w:highlight w:val="none"/>
              </w:rPr>
              <w:t>的报价明显低于其他通过符合性审查</w:t>
            </w:r>
            <w:r>
              <w:rPr>
                <w:rFonts w:hint="eastAsia" w:ascii="宋体" w:hAnsi="宋体" w:cs="宋体"/>
                <w:sz w:val="24"/>
                <w:szCs w:val="24"/>
                <w:highlight w:val="none"/>
                <w:lang w:eastAsia="zh-CN"/>
              </w:rPr>
              <w:t>供应商</w:t>
            </w:r>
            <w:r>
              <w:rPr>
                <w:rFonts w:hint="eastAsia" w:ascii="宋体" w:hAnsi="宋体" w:cs="宋体"/>
                <w:sz w:val="24"/>
                <w:szCs w:val="24"/>
                <w:highlight w:val="none"/>
              </w:rPr>
              <w:t>的报价，有可能影响产品质量或者不能诚信履约的，应当要求其在评标现场合理的时间内提供书面说明，必要时提交相关证明材料；</w:t>
            </w:r>
            <w:r>
              <w:rPr>
                <w:rFonts w:hint="eastAsia" w:ascii="宋体" w:hAnsi="宋体" w:cs="宋体"/>
                <w:sz w:val="24"/>
                <w:szCs w:val="24"/>
                <w:highlight w:val="none"/>
                <w:lang w:eastAsia="zh-CN"/>
              </w:rPr>
              <w:t>供应商</w:t>
            </w:r>
            <w:r>
              <w:rPr>
                <w:rFonts w:hint="eastAsia" w:ascii="宋体" w:hAnsi="宋体" w:cs="宋体"/>
                <w:sz w:val="24"/>
                <w:szCs w:val="24"/>
                <w:highlight w:val="none"/>
              </w:rPr>
              <w:t>不能证明其报价合理性的，评标委员会应当将其作为无效投标处理。</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3" w:hRule="atLeast"/>
          <w:jc w:val="center"/>
        </w:trPr>
        <w:tc>
          <w:tcPr>
            <w:tcW w:w="420" w:type="dxa"/>
            <w:vMerge w:val="restart"/>
            <w:tcBorders>
              <w:top w:val="single" w:color="auto" w:sz="6" w:space="0"/>
              <w:left w:val="single" w:color="auto" w:sz="4" w:space="0"/>
              <w:bottom w:val="single" w:color="auto" w:sz="6" w:space="0"/>
              <w:right w:val="single" w:color="auto" w:sz="6" w:space="0"/>
            </w:tcBorders>
            <w:noWrap/>
            <w:vAlign w:val="center"/>
          </w:tcPr>
          <w:p>
            <w:pPr>
              <w:spacing w:line="288" w:lineRule="auto"/>
              <w:jc w:val="center"/>
              <w:rPr>
                <w:rFonts w:ascii="宋体" w:hAnsi="宋体" w:cs="宋体"/>
                <w:sz w:val="24"/>
                <w:szCs w:val="24"/>
                <w:highlight w:val="none"/>
              </w:rPr>
            </w:pPr>
            <w:r>
              <w:rPr>
                <w:rFonts w:hint="eastAsia" w:ascii="宋体" w:hAnsi="宋体" w:cs="宋体"/>
                <w:sz w:val="24"/>
                <w:szCs w:val="24"/>
                <w:highlight w:val="none"/>
              </w:rPr>
              <w:t>2</w:t>
            </w:r>
          </w:p>
        </w:tc>
        <w:tc>
          <w:tcPr>
            <w:tcW w:w="726" w:type="dxa"/>
            <w:vMerge w:val="restart"/>
            <w:tcBorders>
              <w:top w:val="single" w:color="auto" w:sz="6" w:space="0"/>
              <w:left w:val="single" w:color="auto" w:sz="6" w:space="0"/>
              <w:bottom w:val="single" w:color="auto" w:sz="6" w:space="0"/>
              <w:right w:val="single" w:color="auto" w:sz="6" w:space="0"/>
            </w:tcBorders>
            <w:noWrap/>
            <w:vAlign w:val="center"/>
          </w:tcPr>
          <w:p>
            <w:pPr>
              <w:spacing w:line="288" w:lineRule="auto"/>
              <w:jc w:val="center"/>
              <w:rPr>
                <w:rFonts w:ascii="宋体" w:hAnsi="宋体" w:cs="宋体"/>
                <w:sz w:val="24"/>
                <w:szCs w:val="24"/>
                <w:highlight w:val="none"/>
              </w:rPr>
            </w:pPr>
            <w:r>
              <w:rPr>
                <w:rFonts w:hint="eastAsia" w:ascii="宋体" w:hAnsi="宋体" w:cs="宋体"/>
                <w:sz w:val="24"/>
                <w:szCs w:val="24"/>
                <w:highlight w:val="none"/>
              </w:rPr>
              <w:t>商务部分</w:t>
            </w:r>
            <w:r>
              <w:rPr>
                <w:rFonts w:hint="eastAsia" w:ascii="宋体" w:hAnsi="宋体" w:cs="宋体"/>
                <w:sz w:val="24"/>
                <w:szCs w:val="24"/>
                <w:highlight w:val="none"/>
                <w:lang w:val="en-US" w:eastAsia="zh-CN"/>
              </w:rPr>
              <w:t>35</w:t>
            </w:r>
            <w:r>
              <w:rPr>
                <w:rFonts w:hint="eastAsia" w:ascii="宋体" w:hAnsi="宋体" w:cs="宋体"/>
                <w:sz w:val="24"/>
                <w:szCs w:val="24"/>
                <w:highlight w:val="none"/>
              </w:rPr>
              <w:t>%</w:t>
            </w:r>
          </w:p>
        </w:tc>
        <w:tc>
          <w:tcPr>
            <w:tcW w:w="1245" w:type="dxa"/>
            <w:tcBorders>
              <w:top w:val="single" w:color="auto" w:sz="6" w:space="0"/>
              <w:left w:val="single" w:color="auto" w:sz="6" w:space="0"/>
              <w:bottom w:val="single" w:color="auto" w:sz="6" w:space="0"/>
              <w:right w:val="single" w:color="auto" w:sz="6" w:space="0"/>
            </w:tcBorders>
            <w:noWrap/>
            <w:vAlign w:val="center"/>
          </w:tcPr>
          <w:p>
            <w:pPr>
              <w:spacing w:line="288" w:lineRule="auto"/>
              <w:jc w:val="center"/>
              <w:rPr>
                <w:rFonts w:ascii="宋体" w:hAnsi="宋体" w:cs="宋体"/>
                <w:sz w:val="24"/>
                <w:szCs w:val="24"/>
                <w:highlight w:val="none"/>
              </w:rPr>
            </w:pPr>
            <w:r>
              <w:rPr>
                <w:rFonts w:hint="eastAsia" w:ascii="宋体" w:hAnsi="宋体" w:cs="宋体"/>
                <w:sz w:val="24"/>
                <w:szCs w:val="24"/>
                <w:highlight w:val="none"/>
              </w:rPr>
              <w:t>项目负责人（5分）</w:t>
            </w:r>
          </w:p>
        </w:tc>
        <w:tc>
          <w:tcPr>
            <w:tcW w:w="7324" w:type="dxa"/>
            <w:tcBorders>
              <w:top w:val="single" w:color="auto" w:sz="6" w:space="0"/>
              <w:left w:val="single" w:color="auto" w:sz="6" w:space="0"/>
              <w:bottom w:val="single" w:color="auto" w:sz="6" w:space="0"/>
              <w:right w:val="single" w:color="auto" w:sz="4" w:space="0"/>
            </w:tcBorders>
            <w:noWrap/>
            <w:vAlign w:val="center"/>
          </w:tcPr>
          <w:p>
            <w:pPr>
              <w:spacing w:line="288" w:lineRule="auto"/>
              <w:rPr>
                <w:rFonts w:ascii="宋体" w:hAnsi="宋体" w:cs="宋体"/>
                <w:sz w:val="24"/>
                <w:szCs w:val="24"/>
                <w:highlight w:val="none"/>
              </w:rPr>
            </w:pPr>
            <w:r>
              <w:rPr>
                <w:rFonts w:hint="eastAsia" w:ascii="宋体" w:hAnsi="宋体" w:cs="宋体"/>
                <w:sz w:val="24"/>
                <w:szCs w:val="24"/>
                <w:highlight w:val="none"/>
              </w:rPr>
              <w:t>项目负责人具备测绘专业</w:t>
            </w:r>
            <w:r>
              <w:rPr>
                <w:rFonts w:hint="eastAsia" w:ascii="宋体" w:hAnsi="宋体" w:cs="宋体"/>
                <w:sz w:val="24"/>
                <w:szCs w:val="24"/>
                <w:highlight w:val="none"/>
                <w:lang w:val="en-US" w:eastAsia="zh-CN"/>
              </w:rPr>
              <w:t>正</w:t>
            </w:r>
            <w:r>
              <w:rPr>
                <w:rFonts w:hint="eastAsia" w:ascii="宋体" w:hAnsi="宋体" w:cs="宋体"/>
                <w:sz w:val="24"/>
                <w:szCs w:val="24"/>
                <w:highlight w:val="none"/>
              </w:rPr>
              <w:t>高级职称且具备国家注册测绘师资格证书的得5分，具备测绘专业</w:t>
            </w:r>
            <w:r>
              <w:rPr>
                <w:rFonts w:hint="eastAsia" w:ascii="宋体" w:hAnsi="宋体" w:cs="宋体"/>
                <w:sz w:val="24"/>
                <w:szCs w:val="24"/>
                <w:highlight w:val="none"/>
                <w:lang w:val="en-US" w:eastAsia="zh-CN"/>
              </w:rPr>
              <w:t>副</w:t>
            </w:r>
            <w:r>
              <w:rPr>
                <w:rFonts w:hint="eastAsia" w:ascii="宋体" w:hAnsi="宋体" w:cs="宋体"/>
                <w:sz w:val="24"/>
                <w:szCs w:val="24"/>
                <w:highlight w:val="none"/>
              </w:rPr>
              <w:t>高级职称</w:t>
            </w:r>
            <w:r>
              <w:rPr>
                <w:rFonts w:hint="eastAsia" w:ascii="宋体" w:hAnsi="宋体" w:cs="宋体"/>
                <w:sz w:val="24"/>
                <w:szCs w:val="24"/>
                <w:highlight w:val="none"/>
                <w:lang w:val="en-US" w:eastAsia="zh-CN"/>
              </w:rPr>
              <w:t>或</w:t>
            </w:r>
            <w:r>
              <w:rPr>
                <w:rFonts w:hint="eastAsia" w:ascii="宋体" w:hAnsi="宋体" w:cs="宋体"/>
                <w:sz w:val="24"/>
                <w:szCs w:val="24"/>
                <w:highlight w:val="none"/>
              </w:rPr>
              <w:t>具备国家注册测绘师资格证书的得</w:t>
            </w:r>
            <w:r>
              <w:rPr>
                <w:rFonts w:hint="eastAsia" w:ascii="宋体" w:hAnsi="宋体" w:cs="宋体"/>
                <w:sz w:val="24"/>
                <w:szCs w:val="24"/>
                <w:highlight w:val="none"/>
                <w:lang w:val="en-US" w:eastAsia="zh-CN"/>
              </w:rPr>
              <w:t>2</w:t>
            </w:r>
            <w:r>
              <w:rPr>
                <w:rFonts w:hint="eastAsia" w:ascii="宋体" w:hAnsi="宋体" w:cs="宋体"/>
                <w:sz w:val="24"/>
                <w:szCs w:val="24"/>
                <w:highlight w:val="none"/>
              </w:rPr>
              <w:t>分</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否则不得分</w:t>
            </w:r>
            <w:r>
              <w:rPr>
                <w:rFonts w:hint="eastAsia" w:ascii="宋体" w:hAnsi="宋体" w:cs="宋体"/>
                <w:sz w:val="24"/>
                <w:szCs w:val="24"/>
                <w:highlight w:val="none"/>
              </w:rPr>
              <w:t>。</w:t>
            </w:r>
            <w:r>
              <w:rPr>
                <w:rFonts w:hint="eastAsia" w:ascii="宋体" w:hAnsi="宋体" w:cs="宋体"/>
                <w:sz w:val="24"/>
                <w:szCs w:val="24"/>
                <w:highlight w:val="none"/>
                <w:lang w:eastAsia="zh-CN"/>
              </w:rPr>
              <w:t>（</w:t>
            </w:r>
            <w:r>
              <w:rPr>
                <w:rFonts w:hint="eastAsia" w:ascii="宋体" w:hAnsi="宋体" w:cs="宋体"/>
                <w:color w:val="000000"/>
                <w:sz w:val="24"/>
                <w:szCs w:val="24"/>
                <w:highlight w:val="none"/>
              </w:rPr>
              <w:t>附相关证件</w:t>
            </w:r>
            <w:r>
              <w:rPr>
                <w:rFonts w:hint="eastAsia" w:ascii="宋体" w:hAnsi="宋体" w:cs="宋体"/>
                <w:color w:val="000000"/>
                <w:sz w:val="24"/>
                <w:szCs w:val="24"/>
                <w:highlight w:val="none"/>
                <w:lang w:val="en-US" w:eastAsia="zh-CN"/>
              </w:rPr>
              <w:t>和近6个月社保证明材料</w:t>
            </w:r>
            <w:r>
              <w:rPr>
                <w:rFonts w:hint="eastAsia" w:ascii="宋体" w:hAnsi="宋体" w:cs="宋体"/>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52" w:hRule="atLeast"/>
          <w:jc w:val="center"/>
        </w:trPr>
        <w:tc>
          <w:tcPr>
            <w:tcW w:w="420" w:type="dxa"/>
            <w:vMerge w:val="continue"/>
            <w:tcBorders>
              <w:top w:val="single" w:color="auto" w:sz="6" w:space="0"/>
              <w:left w:val="single" w:color="auto" w:sz="4" w:space="0"/>
              <w:bottom w:val="single" w:color="auto" w:sz="6" w:space="0"/>
              <w:right w:val="single" w:color="auto" w:sz="6" w:space="0"/>
            </w:tcBorders>
            <w:vAlign w:val="center"/>
          </w:tcPr>
          <w:p>
            <w:pPr>
              <w:widowControl/>
              <w:jc w:val="left"/>
              <w:rPr>
                <w:rFonts w:ascii="宋体" w:hAnsi="宋体" w:cs="宋体"/>
                <w:sz w:val="24"/>
                <w:szCs w:val="24"/>
                <w:highlight w:val="none"/>
              </w:rPr>
            </w:pPr>
          </w:p>
        </w:tc>
        <w:tc>
          <w:tcPr>
            <w:tcW w:w="726" w:type="dxa"/>
            <w:vMerge w:val="continue"/>
            <w:tcBorders>
              <w:top w:val="single" w:color="auto" w:sz="6" w:space="0"/>
              <w:left w:val="single" w:color="auto" w:sz="6" w:space="0"/>
              <w:bottom w:val="single" w:color="auto" w:sz="6" w:space="0"/>
              <w:right w:val="single" w:color="auto" w:sz="6" w:space="0"/>
            </w:tcBorders>
            <w:vAlign w:val="center"/>
          </w:tcPr>
          <w:p>
            <w:pPr>
              <w:widowControl/>
              <w:jc w:val="left"/>
              <w:rPr>
                <w:rFonts w:ascii="宋体" w:hAnsi="宋体" w:cs="宋体"/>
                <w:sz w:val="24"/>
                <w:szCs w:val="24"/>
                <w:highlight w:val="none"/>
              </w:rPr>
            </w:pPr>
          </w:p>
        </w:tc>
        <w:tc>
          <w:tcPr>
            <w:tcW w:w="1245" w:type="dxa"/>
            <w:tcBorders>
              <w:top w:val="single" w:color="auto" w:sz="6" w:space="0"/>
              <w:left w:val="single" w:color="auto" w:sz="6" w:space="0"/>
              <w:bottom w:val="single" w:color="auto" w:sz="6" w:space="0"/>
              <w:right w:val="single" w:color="auto" w:sz="6" w:space="0"/>
            </w:tcBorders>
            <w:noWrap/>
            <w:vAlign w:val="center"/>
          </w:tcPr>
          <w:p>
            <w:pPr>
              <w:spacing w:line="288" w:lineRule="auto"/>
              <w:jc w:val="center"/>
              <w:rPr>
                <w:rFonts w:ascii="宋体" w:hAnsi="宋体" w:cs="宋体"/>
                <w:sz w:val="24"/>
                <w:szCs w:val="24"/>
                <w:highlight w:val="none"/>
              </w:rPr>
            </w:pPr>
            <w:r>
              <w:rPr>
                <w:rFonts w:hint="eastAsia" w:ascii="宋体" w:hAnsi="宋体" w:cs="宋体"/>
                <w:sz w:val="24"/>
                <w:szCs w:val="24"/>
                <w:highlight w:val="none"/>
              </w:rPr>
              <w:t>项目组成员及外业作业设备</w:t>
            </w:r>
          </w:p>
          <w:p>
            <w:pPr>
              <w:spacing w:line="288" w:lineRule="auto"/>
              <w:jc w:val="center"/>
              <w:rPr>
                <w:rFonts w:ascii="宋体" w:hAnsi="宋体" w:cs="宋体"/>
                <w:sz w:val="24"/>
                <w:szCs w:val="24"/>
                <w:highlight w:val="none"/>
              </w:rPr>
            </w:pPr>
            <w:r>
              <w:rPr>
                <w:rFonts w:hint="eastAsia" w:ascii="宋体" w:hAnsi="宋体" w:cs="宋体"/>
                <w:sz w:val="24"/>
                <w:szCs w:val="24"/>
                <w:highlight w:val="none"/>
              </w:rPr>
              <w:t>（1</w:t>
            </w:r>
            <w:r>
              <w:rPr>
                <w:rFonts w:hint="eastAsia" w:ascii="宋体" w:hAnsi="宋体" w:cs="宋体"/>
                <w:sz w:val="24"/>
                <w:szCs w:val="24"/>
                <w:highlight w:val="none"/>
                <w:lang w:val="en-US" w:eastAsia="zh-CN"/>
              </w:rPr>
              <w:t>2</w:t>
            </w:r>
            <w:r>
              <w:rPr>
                <w:rFonts w:hint="eastAsia" w:ascii="宋体" w:hAnsi="宋体" w:cs="宋体"/>
                <w:sz w:val="24"/>
                <w:szCs w:val="24"/>
                <w:highlight w:val="none"/>
              </w:rPr>
              <w:t>分）</w:t>
            </w:r>
          </w:p>
        </w:tc>
        <w:tc>
          <w:tcPr>
            <w:tcW w:w="7324" w:type="dxa"/>
            <w:tcBorders>
              <w:top w:val="single" w:color="auto" w:sz="6" w:space="0"/>
              <w:left w:val="single" w:color="auto" w:sz="6" w:space="0"/>
              <w:bottom w:val="single" w:color="auto" w:sz="6" w:space="0"/>
              <w:right w:val="single" w:color="auto" w:sz="4" w:space="0"/>
            </w:tcBorders>
            <w:noWrap/>
            <w:vAlign w:val="center"/>
          </w:tcPr>
          <w:p>
            <w:pPr>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）项目组成员（除项目负责人外）中具备高级（或高级以上）工程师职称或教授职称的每人得1分，最高得3分。</w:t>
            </w:r>
          </w:p>
          <w:p>
            <w:pPr>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）项目组成员（除项目负责人外）中具备国家注册</w:t>
            </w:r>
            <w:r>
              <w:rPr>
                <w:rFonts w:hint="eastAsia" w:ascii="宋体" w:hAnsi="宋体" w:cs="宋体"/>
                <w:color w:val="auto"/>
                <w:sz w:val="24"/>
                <w:szCs w:val="24"/>
                <w:highlight w:val="none"/>
                <w:lang w:val="en-US" w:eastAsia="zh-CN"/>
              </w:rPr>
              <w:t>测绘</w:t>
            </w:r>
            <w:r>
              <w:rPr>
                <w:rFonts w:hint="eastAsia" w:ascii="宋体" w:hAnsi="宋体" w:eastAsia="宋体" w:cs="宋体"/>
                <w:color w:val="auto"/>
                <w:sz w:val="24"/>
                <w:szCs w:val="24"/>
                <w:highlight w:val="none"/>
              </w:rPr>
              <w:t>师的每有1人得1分，最多得</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rPr>
              <w:t>分。</w:t>
            </w:r>
          </w:p>
          <w:p>
            <w:pPr>
              <w:spacing w:line="288" w:lineRule="auto"/>
              <w:rPr>
                <w:rFonts w:ascii="宋体" w:hAnsi="宋体" w:cs="宋体"/>
                <w:sz w:val="24"/>
                <w:szCs w:val="24"/>
                <w:highlight w:val="none"/>
              </w:rPr>
            </w:pP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）项目组人员数量满足工作需要（10人及以上），专业配备合理（含</w:t>
            </w:r>
            <w:r>
              <w:rPr>
                <w:rFonts w:hint="eastAsia" w:ascii="宋体" w:hAnsi="宋体" w:cs="宋体"/>
                <w:color w:val="auto"/>
                <w:sz w:val="24"/>
                <w:szCs w:val="24"/>
                <w:highlight w:val="none"/>
                <w:lang w:val="en-US" w:eastAsia="zh-CN"/>
              </w:rPr>
              <w:t>测绘、</w:t>
            </w:r>
            <w:r>
              <w:rPr>
                <w:rFonts w:hint="eastAsia" w:ascii="宋体" w:hAnsi="宋体" w:eastAsia="宋体" w:cs="宋体"/>
                <w:color w:val="auto"/>
                <w:sz w:val="24"/>
                <w:szCs w:val="24"/>
                <w:highlight w:val="none"/>
              </w:rPr>
              <w:t>土地）等专业，技术支持完善，得</w:t>
            </w: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rPr>
              <w:t>分；项目组人员数量基本满足工程需要（5-10人（含5人）），专业配备较合理，技术支持较完善，得2分；项目组人员数量（少于5人）不能满足工程需要，技术支持不够完善不得分。</w:t>
            </w:r>
          </w:p>
          <w:p>
            <w:pPr>
              <w:spacing w:line="288" w:lineRule="auto"/>
              <w:rPr>
                <w:rFonts w:ascii="宋体" w:hAnsi="宋体" w:cs="宋体"/>
                <w:sz w:val="24"/>
                <w:szCs w:val="24"/>
                <w:highlight w:val="none"/>
              </w:rPr>
            </w:pPr>
            <w:r>
              <w:rPr>
                <w:rFonts w:hint="eastAsia" w:ascii="宋体" w:hAnsi="宋体" w:cs="宋体"/>
                <w:sz w:val="24"/>
                <w:szCs w:val="24"/>
                <w:highlight w:val="none"/>
              </w:rPr>
              <w:t xml:space="preserve">   </w:t>
            </w:r>
            <w:r>
              <w:rPr>
                <w:rFonts w:hint="eastAsia" w:ascii="宋体" w:hAnsi="宋体" w:cs="宋体"/>
                <w:color w:val="000000"/>
                <w:sz w:val="24"/>
                <w:szCs w:val="24"/>
                <w:highlight w:val="none"/>
                <w:lang w:eastAsia="zh-CN"/>
              </w:rPr>
              <w:t>（</w:t>
            </w:r>
            <w:r>
              <w:rPr>
                <w:rFonts w:hint="eastAsia" w:ascii="宋体" w:hAnsi="宋体" w:cs="宋体"/>
                <w:color w:val="000000"/>
                <w:sz w:val="24"/>
                <w:szCs w:val="24"/>
                <w:highlight w:val="none"/>
              </w:rPr>
              <w:t>附相关证件</w:t>
            </w:r>
            <w:r>
              <w:rPr>
                <w:rFonts w:hint="eastAsia" w:ascii="宋体" w:hAnsi="宋体" w:cs="宋体"/>
                <w:color w:val="000000"/>
                <w:sz w:val="24"/>
                <w:szCs w:val="24"/>
                <w:highlight w:val="none"/>
                <w:lang w:val="en-US" w:eastAsia="zh-CN"/>
              </w:rPr>
              <w:t>和近6个月社保证明材料</w:t>
            </w:r>
            <w:r>
              <w:rPr>
                <w:rFonts w:hint="eastAsia" w:ascii="宋体" w:hAnsi="宋体" w:cs="宋体"/>
                <w:color w:val="000000"/>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449" w:hRule="atLeast"/>
          <w:jc w:val="center"/>
        </w:trPr>
        <w:tc>
          <w:tcPr>
            <w:tcW w:w="420" w:type="dxa"/>
            <w:vMerge w:val="continue"/>
            <w:tcBorders>
              <w:top w:val="single" w:color="auto" w:sz="6" w:space="0"/>
              <w:left w:val="single" w:color="auto" w:sz="4" w:space="0"/>
              <w:bottom w:val="single" w:color="auto" w:sz="6" w:space="0"/>
              <w:right w:val="single" w:color="auto" w:sz="6" w:space="0"/>
            </w:tcBorders>
            <w:vAlign w:val="center"/>
          </w:tcPr>
          <w:p>
            <w:pPr>
              <w:widowControl/>
              <w:jc w:val="left"/>
              <w:rPr>
                <w:rFonts w:ascii="宋体" w:hAnsi="宋体" w:cs="宋体"/>
                <w:sz w:val="24"/>
                <w:szCs w:val="24"/>
                <w:highlight w:val="none"/>
              </w:rPr>
            </w:pPr>
          </w:p>
        </w:tc>
        <w:tc>
          <w:tcPr>
            <w:tcW w:w="726" w:type="dxa"/>
            <w:vMerge w:val="continue"/>
            <w:tcBorders>
              <w:top w:val="single" w:color="auto" w:sz="6" w:space="0"/>
              <w:left w:val="single" w:color="auto" w:sz="6" w:space="0"/>
              <w:bottom w:val="single" w:color="auto" w:sz="6" w:space="0"/>
              <w:right w:val="single" w:color="auto" w:sz="6" w:space="0"/>
            </w:tcBorders>
            <w:vAlign w:val="center"/>
          </w:tcPr>
          <w:p>
            <w:pPr>
              <w:widowControl/>
              <w:jc w:val="left"/>
              <w:rPr>
                <w:rFonts w:ascii="宋体" w:hAnsi="宋体" w:cs="宋体"/>
                <w:sz w:val="24"/>
                <w:szCs w:val="24"/>
                <w:highlight w:val="none"/>
              </w:rPr>
            </w:pPr>
          </w:p>
        </w:tc>
        <w:tc>
          <w:tcPr>
            <w:tcW w:w="1245" w:type="dxa"/>
            <w:tcBorders>
              <w:top w:val="single" w:color="auto" w:sz="6" w:space="0"/>
              <w:left w:val="single" w:color="auto" w:sz="6" w:space="0"/>
              <w:bottom w:val="single" w:color="auto" w:sz="6" w:space="0"/>
              <w:right w:val="single" w:color="auto" w:sz="6" w:space="0"/>
            </w:tcBorders>
            <w:noWrap/>
            <w:vAlign w:val="center"/>
          </w:tcPr>
          <w:p>
            <w:pPr>
              <w:spacing w:line="288" w:lineRule="auto"/>
              <w:jc w:val="center"/>
              <w:rPr>
                <w:rFonts w:ascii="宋体" w:hAnsi="宋体" w:cs="宋体"/>
                <w:sz w:val="24"/>
                <w:szCs w:val="24"/>
                <w:highlight w:val="none"/>
              </w:rPr>
            </w:pPr>
            <w:r>
              <w:rPr>
                <w:rFonts w:hint="eastAsia" w:ascii="宋体" w:hAnsi="宋体" w:cs="宋体"/>
                <w:sz w:val="24"/>
                <w:szCs w:val="24"/>
                <w:highlight w:val="none"/>
              </w:rPr>
              <w:t>履约能力（1</w:t>
            </w:r>
            <w:r>
              <w:rPr>
                <w:rFonts w:hint="eastAsia" w:ascii="宋体" w:hAnsi="宋体" w:cs="宋体"/>
                <w:sz w:val="24"/>
                <w:szCs w:val="24"/>
                <w:highlight w:val="none"/>
                <w:lang w:val="en-US" w:eastAsia="zh-CN"/>
              </w:rPr>
              <w:t>0</w:t>
            </w:r>
            <w:r>
              <w:rPr>
                <w:rFonts w:hint="eastAsia" w:ascii="宋体" w:hAnsi="宋体" w:cs="宋体"/>
                <w:sz w:val="24"/>
                <w:szCs w:val="24"/>
                <w:highlight w:val="none"/>
              </w:rPr>
              <w:t>分）</w:t>
            </w:r>
          </w:p>
        </w:tc>
        <w:tc>
          <w:tcPr>
            <w:tcW w:w="7324" w:type="dxa"/>
            <w:tcBorders>
              <w:top w:val="single" w:color="auto" w:sz="6" w:space="0"/>
              <w:left w:val="single" w:color="auto" w:sz="6" w:space="0"/>
              <w:bottom w:val="single" w:color="auto" w:sz="6"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88" w:lineRule="auto"/>
              <w:textAlignment w:val="auto"/>
              <w:rPr>
                <w:rFonts w:ascii="宋体" w:hAnsi="宋体" w:cs="宋体"/>
                <w:sz w:val="24"/>
                <w:szCs w:val="24"/>
                <w:highlight w:val="none"/>
              </w:rPr>
            </w:pPr>
            <w:r>
              <w:rPr>
                <w:rFonts w:hint="eastAsia" w:ascii="宋体" w:hAnsi="宋体" w:cs="宋体"/>
                <w:sz w:val="24"/>
                <w:szCs w:val="24"/>
                <w:highlight w:val="none"/>
              </w:rPr>
              <w:t>（1）承担过类似相关</w:t>
            </w:r>
            <w:r>
              <w:rPr>
                <w:rFonts w:ascii="宋体" w:hAnsi="宋体" w:cs="宋体"/>
                <w:sz w:val="24"/>
                <w:szCs w:val="24"/>
                <w:highlight w:val="none"/>
              </w:rPr>
              <w:t>项目</w:t>
            </w:r>
            <w:r>
              <w:rPr>
                <w:rFonts w:hint="eastAsia" w:ascii="宋体" w:hAnsi="宋体" w:cs="宋体"/>
                <w:sz w:val="24"/>
                <w:szCs w:val="24"/>
                <w:highlight w:val="none"/>
              </w:rPr>
              <w:t>业绩，每提供一个得2分，最多得</w:t>
            </w:r>
            <w:r>
              <w:rPr>
                <w:rFonts w:hint="eastAsia" w:ascii="宋体" w:hAnsi="宋体" w:cs="宋体"/>
                <w:sz w:val="24"/>
                <w:szCs w:val="24"/>
                <w:highlight w:val="none"/>
                <w:lang w:val="en-US" w:eastAsia="zh-CN"/>
              </w:rPr>
              <w:t>6</w:t>
            </w:r>
            <w:r>
              <w:rPr>
                <w:rFonts w:hint="eastAsia" w:ascii="宋体" w:hAnsi="宋体" w:cs="宋体"/>
                <w:sz w:val="24"/>
                <w:szCs w:val="24"/>
                <w:highlight w:val="none"/>
              </w:rPr>
              <w:t>分，没有</w:t>
            </w:r>
            <w:r>
              <w:rPr>
                <w:rFonts w:hint="eastAsia" w:ascii="宋体" w:hAnsi="宋体" w:cs="宋体"/>
                <w:sz w:val="24"/>
                <w:szCs w:val="24"/>
                <w:highlight w:val="none"/>
                <w:lang w:val="en-US" w:eastAsia="zh-CN"/>
              </w:rPr>
              <w:t>则</w:t>
            </w:r>
            <w:r>
              <w:rPr>
                <w:rFonts w:hint="eastAsia" w:ascii="宋体" w:hAnsi="宋体" w:cs="宋体"/>
                <w:sz w:val="24"/>
                <w:szCs w:val="24"/>
                <w:highlight w:val="none"/>
              </w:rPr>
              <w:t>不得分</w:t>
            </w:r>
            <w:r>
              <w:rPr>
                <w:rFonts w:hint="eastAsia" w:ascii="宋体" w:hAnsi="宋体" w:cs="宋体"/>
                <w:sz w:val="24"/>
                <w:szCs w:val="24"/>
                <w:highlight w:val="none"/>
                <w:lang w:eastAsia="zh-CN"/>
              </w:rPr>
              <w:t>。</w:t>
            </w:r>
            <w:r>
              <w:rPr>
                <w:rFonts w:hint="eastAsia" w:ascii="宋体" w:hAnsi="宋体" w:cs="宋体"/>
                <w:sz w:val="24"/>
                <w:szCs w:val="24"/>
                <w:highlight w:val="none"/>
              </w:rPr>
              <w:t>注：须提供合同或中标通知书扫描件。</w:t>
            </w:r>
          </w:p>
          <w:p>
            <w:pPr>
              <w:pStyle w:val="9"/>
              <w:keepNext w:val="0"/>
              <w:keepLines w:val="0"/>
              <w:pageBreakBefore w:val="0"/>
              <w:widowControl w:val="0"/>
              <w:kinsoku/>
              <w:wordWrap/>
              <w:overflowPunct/>
              <w:topLinePunct w:val="0"/>
              <w:autoSpaceDE/>
              <w:autoSpaceDN/>
              <w:bidi w:val="0"/>
              <w:adjustRightInd/>
              <w:snapToGrid/>
              <w:spacing w:after="0" w:line="288" w:lineRule="auto"/>
              <w:textAlignment w:val="auto"/>
              <w:rPr>
                <w:rFonts w:ascii="宋体" w:hAnsi="宋体" w:cs="宋体"/>
                <w:sz w:val="24"/>
                <w:highlight w:val="none"/>
              </w:rPr>
            </w:pPr>
            <w:r>
              <w:rPr>
                <w:rFonts w:hint="eastAsia" w:ascii="宋体" w:hAnsi="宋体" w:cs="宋体"/>
                <w:sz w:val="24"/>
                <w:highlight w:val="none"/>
              </w:rPr>
              <w:t>（2）售后服务承诺周到得</w:t>
            </w:r>
            <w:r>
              <w:rPr>
                <w:rFonts w:hint="eastAsia" w:ascii="宋体" w:hAnsi="宋体" w:cs="宋体"/>
                <w:sz w:val="24"/>
                <w:highlight w:val="none"/>
                <w:lang w:val="en-US" w:eastAsia="zh-CN"/>
              </w:rPr>
              <w:t>4</w:t>
            </w:r>
            <w:r>
              <w:rPr>
                <w:rFonts w:hint="eastAsia" w:ascii="宋体" w:hAnsi="宋体" w:cs="宋体"/>
                <w:sz w:val="24"/>
                <w:highlight w:val="none"/>
              </w:rPr>
              <w:t>分；售后服务承诺一般得</w:t>
            </w:r>
            <w:r>
              <w:rPr>
                <w:rFonts w:hint="eastAsia" w:ascii="宋体" w:hAnsi="宋体" w:cs="宋体"/>
                <w:sz w:val="24"/>
                <w:highlight w:val="none"/>
                <w:lang w:val="en-US" w:eastAsia="zh-CN"/>
              </w:rPr>
              <w:t>3</w:t>
            </w:r>
            <w:r>
              <w:rPr>
                <w:rFonts w:hint="eastAsia" w:ascii="宋体" w:hAnsi="宋体" w:cs="宋体"/>
                <w:sz w:val="24"/>
                <w:highlight w:val="none"/>
              </w:rPr>
              <w:t>-1分；售后服务体系不完备的不得分。须作出评估具体依据和理由。</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387" w:hRule="atLeast"/>
          <w:jc w:val="center"/>
        </w:trPr>
        <w:tc>
          <w:tcPr>
            <w:tcW w:w="420" w:type="dxa"/>
            <w:vMerge w:val="continue"/>
            <w:tcBorders>
              <w:top w:val="single" w:color="auto" w:sz="6" w:space="0"/>
              <w:left w:val="single" w:color="auto" w:sz="4" w:space="0"/>
              <w:bottom w:val="single" w:color="auto" w:sz="6" w:space="0"/>
              <w:right w:val="single" w:color="auto" w:sz="6" w:space="0"/>
            </w:tcBorders>
            <w:vAlign w:val="center"/>
          </w:tcPr>
          <w:p>
            <w:pPr>
              <w:widowControl/>
              <w:jc w:val="left"/>
              <w:rPr>
                <w:rFonts w:ascii="宋体" w:hAnsi="宋体" w:cs="宋体"/>
                <w:sz w:val="24"/>
                <w:szCs w:val="24"/>
                <w:highlight w:val="none"/>
              </w:rPr>
            </w:pPr>
          </w:p>
        </w:tc>
        <w:tc>
          <w:tcPr>
            <w:tcW w:w="726" w:type="dxa"/>
            <w:vMerge w:val="continue"/>
            <w:tcBorders>
              <w:top w:val="single" w:color="auto" w:sz="6" w:space="0"/>
              <w:left w:val="single" w:color="auto" w:sz="6" w:space="0"/>
              <w:bottom w:val="single" w:color="auto" w:sz="6" w:space="0"/>
              <w:right w:val="single" w:color="auto" w:sz="6" w:space="0"/>
            </w:tcBorders>
            <w:vAlign w:val="center"/>
          </w:tcPr>
          <w:p>
            <w:pPr>
              <w:widowControl/>
              <w:jc w:val="left"/>
              <w:rPr>
                <w:rFonts w:ascii="宋体" w:hAnsi="宋体" w:cs="宋体"/>
                <w:sz w:val="24"/>
                <w:szCs w:val="24"/>
                <w:highlight w:val="none"/>
              </w:rPr>
            </w:pPr>
          </w:p>
        </w:tc>
        <w:tc>
          <w:tcPr>
            <w:tcW w:w="1245" w:type="dxa"/>
            <w:tcBorders>
              <w:top w:val="single" w:color="auto" w:sz="6" w:space="0"/>
              <w:left w:val="single" w:color="auto" w:sz="6" w:space="0"/>
              <w:bottom w:val="single" w:color="auto" w:sz="6" w:space="0"/>
              <w:right w:val="single" w:color="auto" w:sz="6" w:space="0"/>
            </w:tcBorders>
            <w:noWrap/>
            <w:vAlign w:val="center"/>
          </w:tcPr>
          <w:p>
            <w:pPr>
              <w:spacing w:line="288" w:lineRule="auto"/>
              <w:jc w:val="center"/>
              <w:rPr>
                <w:rFonts w:ascii="宋体" w:hAnsi="宋体" w:cs="宋体"/>
                <w:sz w:val="24"/>
                <w:szCs w:val="24"/>
                <w:highlight w:val="none"/>
              </w:rPr>
            </w:pPr>
            <w:r>
              <w:rPr>
                <w:rFonts w:hint="eastAsia" w:ascii="宋体" w:hAnsi="宋体" w:cs="宋体"/>
                <w:sz w:val="24"/>
                <w:szCs w:val="24"/>
                <w:highlight w:val="none"/>
              </w:rPr>
              <w:t>信誉情况（</w:t>
            </w:r>
            <w:r>
              <w:rPr>
                <w:rFonts w:hint="eastAsia" w:ascii="宋体" w:hAnsi="宋体" w:cs="宋体"/>
                <w:sz w:val="24"/>
                <w:szCs w:val="24"/>
                <w:highlight w:val="none"/>
                <w:lang w:val="en-US" w:eastAsia="zh-CN"/>
              </w:rPr>
              <w:t>8</w:t>
            </w:r>
            <w:r>
              <w:rPr>
                <w:rFonts w:hint="eastAsia" w:ascii="宋体" w:hAnsi="宋体" w:cs="宋体"/>
                <w:sz w:val="24"/>
                <w:szCs w:val="24"/>
                <w:highlight w:val="none"/>
              </w:rPr>
              <w:t>分）</w:t>
            </w:r>
          </w:p>
        </w:tc>
        <w:tc>
          <w:tcPr>
            <w:tcW w:w="7324" w:type="dxa"/>
            <w:tcBorders>
              <w:top w:val="single" w:color="auto" w:sz="6" w:space="0"/>
              <w:left w:val="single" w:color="auto" w:sz="6" w:space="0"/>
              <w:bottom w:val="single" w:color="auto" w:sz="6" w:space="0"/>
              <w:right w:val="single" w:color="auto" w:sz="4" w:space="0"/>
            </w:tcBorders>
            <w:noWrap/>
            <w:vAlign w:val="center"/>
          </w:tcPr>
          <w:p>
            <w:pPr>
              <w:spacing w:line="288" w:lineRule="auto"/>
              <w:rPr>
                <w:rFonts w:ascii="宋体" w:hAnsi="宋体" w:cs="宋体"/>
                <w:sz w:val="24"/>
                <w:szCs w:val="24"/>
                <w:highlight w:val="none"/>
              </w:rPr>
            </w:pPr>
            <w:r>
              <w:rPr>
                <w:rFonts w:hint="eastAsia" w:ascii="宋体" w:hAnsi="宋体" w:cs="宋体"/>
                <w:sz w:val="24"/>
                <w:szCs w:val="24"/>
                <w:highlight w:val="none"/>
                <w:lang w:eastAsia="zh-CN"/>
              </w:rPr>
              <w:t>供应商</w:t>
            </w:r>
            <w:r>
              <w:rPr>
                <w:rFonts w:hint="eastAsia" w:ascii="宋体" w:hAnsi="宋体" w:cs="宋体"/>
                <w:sz w:val="24"/>
                <w:szCs w:val="24"/>
                <w:highlight w:val="none"/>
              </w:rPr>
              <w:t>具有有效的具有IS09001质量管理体系认证、IS014001环境管理体系认证、IS0</w:t>
            </w:r>
            <w:r>
              <w:rPr>
                <w:rFonts w:hint="eastAsia" w:ascii="宋体" w:hAnsi="宋体" w:cs="宋体"/>
                <w:sz w:val="24"/>
                <w:szCs w:val="24"/>
                <w:highlight w:val="none"/>
                <w:lang w:val="en-US" w:eastAsia="zh-CN"/>
              </w:rPr>
              <w:t>45</w:t>
            </w:r>
            <w:r>
              <w:rPr>
                <w:rFonts w:hint="eastAsia" w:ascii="宋体" w:hAnsi="宋体" w:cs="宋体"/>
                <w:sz w:val="24"/>
                <w:szCs w:val="24"/>
                <w:highlight w:val="none"/>
              </w:rPr>
              <w:t>001职业健康安全管理体系认证</w:t>
            </w:r>
            <w:r>
              <w:rPr>
                <w:rFonts w:hint="eastAsia" w:ascii="宋体" w:hAnsi="宋体" w:cs="宋体"/>
                <w:sz w:val="24"/>
                <w:szCs w:val="24"/>
                <w:highlight w:val="none"/>
                <w:lang w:eastAsia="zh-CN"/>
              </w:rPr>
              <w:t>、</w:t>
            </w:r>
            <w:r>
              <w:rPr>
                <w:rFonts w:hint="eastAsia" w:ascii="宋体" w:hAnsi="宋体" w:cs="宋体"/>
                <w:sz w:val="24"/>
                <w:szCs w:val="24"/>
                <w:highlight w:val="none"/>
              </w:rPr>
              <w:t>IS0</w:t>
            </w:r>
            <w:r>
              <w:rPr>
                <w:rFonts w:hint="eastAsia" w:ascii="宋体" w:hAnsi="宋体" w:cs="宋体"/>
                <w:sz w:val="24"/>
                <w:szCs w:val="24"/>
                <w:highlight w:val="none"/>
                <w:lang w:val="en-US" w:eastAsia="zh-CN"/>
              </w:rPr>
              <w:t>27</w:t>
            </w:r>
            <w:r>
              <w:rPr>
                <w:rFonts w:hint="eastAsia" w:ascii="宋体" w:hAnsi="宋体" w:cs="宋体"/>
                <w:sz w:val="24"/>
                <w:szCs w:val="24"/>
                <w:highlight w:val="none"/>
              </w:rPr>
              <w:t>001</w:t>
            </w:r>
            <w:r>
              <w:rPr>
                <w:rFonts w:hint="eastAsia" w:ascii="宋体" w:hAnsi="宋体" w:cs="宋体"/>
                <w:sz w:val="24"/>
                <w:szCs w:val="24"/>
                <w:highlight w:val="none"/>
                <w:lang w:val="en-US" w:eastAsia="zh-CN"/>
              </w:rPr>
              <w:t>信息</w:t>
            </w:r>
            <w:r>
              <w:rPr>
                <w:rFonts w:hint="eastAsia" w:ascii="宋体" w:hAnsi="宋体" w:cs="宋体"/>
                <w:sz w:val="24"/>
                <w:szCs w:val="24"/>
                <w:highlight w:val="none"/>
              </w:rPr>
              <w:t>安全管理体系认证，每提供一个得</w:t>
            </w:r>
            <w:r>
              <w:rPr>
                <w:rFonts w:hint="eastAsia" w:ascii="宋体" w:hAnsi="宋体" w:cs="宋体"/>
                <w:sz w:val="24"/>
                <w:szCs w:val="24"/>
                <w:highlight w:val="none"/>
                <w:lang w:val="en-US" w:eastAsia="zh-CN"/>
              </w:rPr>
              <w:t>2</w:t>
            </w:r>
            <w:r>
              <w:rPr>
                <w:rFonts w:hint="eastAsia" w:ascii="宋体" w:hAnsi="宋体" w:cs="宋体"/>
                <w:sz w:val="24"/>
                <w:szCs w:val="24"/>
                <w:highlight w:val="none"/>
              </w:rPr>
              <w:t>分，最多得</w:t>
            </w:r>
            <w:r>
              <w:rPr>
                <w:rFonts w:hint="eastAsia" w:ascii="宋体" w:hAnsi="宋体" w:cs="宋体"/>
                <w:sz w:val="24"/>
                <w:szCs w:val="24"/>
                <w:highlight w:val="none"/>
                <w:lang w:val="en-US" w:eastAsia="zh-CN"/>
              </w:rPr>
              <w:t>8</w:t>
            </w:r>
            <w:r>
              <w:rPr>
                <w:rFonts w:hint="eastAsia" w:ascii="宋体" w:hAnsi="宋体" w:cs="宋体"/>
                <w:sz w:val="24"/>
                <w:szCs w:val="24"/>
                <w:highlight w:val="none"/>
              </w:rPr>
              <w:t>分</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没有则不得分</w:t>
            </w:r>
            <w:r>
              <w:rPr>
                <w:rFonts w:hint="eastAsia" w:ascii="宋体" w:hAnsi="宋体" w:cs="宋体"/>
                <w:sz w:val="24"/>
                <w:szCs w:val="24"/>
                <w:highlight w:val="none"/>
              </w:rPr>
              <w:t>。</w:t>
            </w:r>
            <w:r>
              <w:rPr>
                <w:rFonts w:hint="eastAsia" w:ascii="宋体" w:hAnsi="宋体" w:cs="宋体"/>
                <w:color w:val="000000"/>
                <w:sz w:val="24"/>
                <w:szCs w:val="24"/>
                <w:highlight w:val="none"/>
                <w:lang w:eastAsia="zh-CN"/>
              </w:rPr>
              <w:t>（</w:t>
            </w:r>
            <w:r>
              <w:rPr>
                <w:rFonts w:hint="eastAsia" w:ascii="宋体" w:hAnsi="宋体" w:cs="宋体"/>
                <w:color w:val="000000"/>
                <w:sz w:val="24"/>
                <w:szCs w:val="24"/>
                <w:highlight w:val="none"/>
              </w:rPr>
              <w:t>附相关</w:t>
            </w:r>
            <w:r>
              <w:rPr>
                <w:rFonts w:hint="eastAsia" w:ascii="宋体" w:hAnsi="宋体" w:cs="宋体"/>
                <w:color w:val="000000"/>
                <w:sz w:val="24"/>
                <w:szCs w:val="24"/>
                <w:highlight w:val="none"/>
                <w:lang w:val="en-US" w:eastAsia="zh-CN"/>
              </w:rPr>
              <w:t>证明材料</w:t>
            </w:r>
            <w:r>
              <w:rPr>
                <w:rFonts w:hint="eastAsia" w:ascii="宋体" w:hAnsi="宋体" w:cs="宋体"/>
                <w:color w:val="000000"/>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76" w:hRule="atLeast"/>
          <w:jc w:val="center"/>
        </w:trPr>
        <w:tc>
          <w:tcPr>
            <w:tcW w:w="420" w:type="dxa"/>
            <w:vMerge w:val="restart"/>
            <w:tcBorders>
              <w:top w:val="single" w:color="auto" w:sz="6" w:space="0"/>
              <w:left w:val="single" w:color="auto" w:sz="4" w:space="0"/>
              <w:bottom w:val="single" w:color="auto" w:sz="4" w:space="0"/>
              <w:right w:val="single" w:color="auto" w:sz="6" w:space="0"/>
            </w:tcBorders>
            <w:noWrap/>
            <w:vAlign w:val="center"/>
          </w:tcPr>
          <w:p>
            <w:pPr>
              <w:spacing w:line="288" w:lineRule="auto"/>
              <w:jc w:val="center"/>
              <w:rPr>
                <w:rFonts w:ascii="宋体" w:hAnsi="宋体" w:cs="宋体"/>
                <w:sz w:val="24"/>
                <w:szCs w:val="24"/>
                <w:highlight w:val="none"/>
              </w:rPr>
            </w:pPr>
            <w:r>
              <w:rPr>
                <w:rFonts w:hint="eastAsia" w:ascii="宋体" w:hAnsi="宋体" w:cs="宋体"/>
                <w:sz w:val="24"/>
                <w:szCs w:val="24"/>
                <w:highlight w:val="none"/>
              </w:rPr>
              <w:t>3</w:t>
            </w:r>
          </w:p>
        </w:tc>
        <w:tc>
          <w:tcPr>
            <w:tcW w:w="726" w:type="dxa"/>
            <w:vMerge w:val="restart"/>
            <w:tcBorders>
              <w:top w:val="single" w:color="auto" w:sz="6" w:space="0"/>
              <w:left w:val="single" w:color="auto" w:sz="6" w:space="0"/>
              <w:bottom w:val="single" w:color="auto" w:sz="4" w:space="0"/>
              <w:right w:val="single" w:color="auto" w:sz="6" w:space="0"/>
            </w:tcBorders>
            <w:noWrap/>
            <w:vAlign w:val="center"/>
          </w:tcPr>
          <w:p>
            <w:pPr>
              <w:spacing w:line="288" w:lineRule="auto"/>
              <w:jc w:val="center"/>
              <w:rPr>
                <w:rFonts w:ascii="宋体" w:hAnsi="宋体" w:cs="宋体"/>
                <w:sz w:val="24"/>
                <w:szCs w:val="24"/>
                <w:highlight w:val="none"/>
              </w:rPr>
            </w:pPr>
            <w:r>
              <w:rPr>
                <w:rFonts w:hint="eastAsia" w:ascii="宋体" w:hAnsi="宋体" w:cs="宋体"/>
                <w:sz w:val="24"/>
                <w:szCs w:val="24"/>
                <w:highlight w:val="none"/>
              </w:rPr>
              <w:t>技术部分</w:t>
            </w:r>
          </w:p>
          <w:p>
            <w:pPr>
              <w:spacing w:line="288" w:lineRule="auto"/>
              <w:jc w:val="center"/>
              <w:rPr>
                <w:rFonts w:ascii="宋体" w:hAnsi="宋体" w:cs="宋体"/>
                <w:sz w:val="24"/>
                <w:szCs w:val="24"/>
                <w:highlight w:val="none"/>
              </w:rPr>
            </w:pPr>
            <w:r>
              <w:rPr>
                <w:rFonts w:hint="eastAsia" w:ascii="宋体" w:hAnsi="宋体" w:cs="宋体"/>
                <w:sz w:val="24"/>
                <w:szCs w:val="24"/>
                <w:highlight w:val="none"/>
                <w:lang w:val="en-US" w:eastAsia="zh-CN"/>
              </w:rPr>
              <w:t>50</w:t>
            </w:r>
            <w:r>
              <w:rPr>
                <w:rFonts w:hint="eastAsia" w:ascii="宋体" w:hAnsi="宋体" w:cs="宋体"/>
                <w:sz w:val="24"/>
                <w:szCs w:val="24"/>
                <w:highlight w:val="none"/>
              </w:rPr>
              <w:t>%</w:t>
            </w:r>
          </w:p>
        </w:tc>
        <w:tc>
          <w:tcPr>
            <w:tcW w:w="1245" w:type="dxa"/>
            <w:tcBorders>
              <w:top w:val="single" w:color="auto" w:sz="6" w:space="0"/>
              <w:left w:val="single" w:color="auto" w:sz="6" w:space="0"/>
              <w:bottom w:val="single" w:color="auto" w:sz="6" w:space="0"/>
              <w:right w:val="single" w:color="auto" w:sz="6" w:space="0"/>
            </w:tcBorders>
            <w:noWrap/>
            <w:vAlign w:val="center"/>
          </w:tcPr>
          <w:p>
            <w:pPr>
              <w:spacing w:line="288" w:lineRule="auto"/>
              <w:jc w:val="center"/>
              <w:rPr>
                <w:rFonts w:ascii="宋体" w:hAnsi="宋体" w:cs="宋体"/>
                <w:sz w:val="24"/>
                <w:szCs w:val="24"/>
                <w:highlight w:val="none"/>
              </w:rPr>
            </w:pPr>
            <w:r>
              <w:rPr>
                <w:rFonts w:hint="eastAsia" w:ascii="宋体" w:hAnsi="宋体" w:cs="宋体"/>
                <w:sz w:val="24"/>
                <w:szCs w:val="24"/>
                <w:highlight w:val="none"/>
                <w:lang w:val="en-US" w:eastAsia="zh-CN"/>
              </w:rPr>
              <w:t>服务</w:t>
            </w:r>
            <w:r>
              <w:rPr>
                <w:rFonts w:hint="eastAsia" w:ascii="宋体" w:hAnsi="宋体" w:cs="宋体"/>
                <w:sz w:val="24"/>
                <w:szCs w:val="24"/>
                <w:highlight w:val="none"/>
              </w:rPr>
              <w:t>方案（30分）</w:t>
            </w:r>
          </w:p>
        </w:tc>
        <w:tc>
          <w:tcPr>
            <w:tcW w:w="7324" w:type="dxa"/>
            <w:tcBorders>
              <w:top w:val="single" w:color="auto" w:sz="6" w:space="0"/>
              <w:left w:val="single" w:color="auto" w:sz="6" w:space="0"/>
              <w:bottom w:val="single" w:color="auto" w:sz="6" w:space="0"/>
              <w:right w:val="single" w:color="auto" w:sz="4" w:space="0"/>
            </w:tcBorders>
            <w:noWrap/>
            <w:vAlign w:val="center"/>
          </w:tcPr>
          <w:p>
            <w:pPr>
              <w:spacing w:line="288" w:lineRule="auto"/>
              <w:rPr>
                <w:rFonts w:ascii="宋体" w:hAnsi="宋体" w:cs="宋体"/>
                <w:sz w:val="24"/>
                <w:szCs w:val="24"/>
                <w:highlight w:val="none"/>
              </w:rPr>
            </w:pPr>
            <w:r>
              <w:rPr>
                <w:rFonts w:hint="eastAsia" w:ascii="宋体" w:hAnsi="宋体" w:cs="宋体"/>
                <w:sz w:val="24"/>
                <w:szCs w:val="24"/>
                <w:highlight w:val="none"/>
              </w:rPr>
              <w:t>根据项目特点阐述对本项目的理解，结合对实际情况的理解及项目实施经验，对</w:t>
            </w:r>
            <w:r>
              <w:rPr>
                <w:rFonts w:hint="eastAsia" w:ascii="宋体" w:hAnsi="宋体" w:cs="宋体"/>
                <w:sz w:val="24"/>
                <w:szCs w:val="24"/>
                <w:highlight w:val="none"/>
                <w:lang w:val="en-US" w:eastAsia="zh-CN"/>
              </w:rPr>
              <w:t>土地变更调查</w:t>
            </w:r>
            <w:r>
              <w:rPr>
                <w:rFonts w:hint="eastAsia" w:ascii="宋体" w:hAnsi="宋体" w:cs="宋体"/>
                <w:sz w:val="24"/>
                <w:szCs w:val="24"/>
                <w:highlight w:val="none"/>
              </w:rPr>
              <w:t>工作中难点及重点的分析和理解。</w:t>
            </w:r>
            <w:r>
              <w:rPr>
                <w:rFonts w:hint="eastAsia" w:ascii="宋体" w:hAnsi="宋体" w:cs="宋体"/>
                <w:sz w:val="24"/>
                <w:szCs w:val="24"/>
                <w:highlight w:val="none"/>
                <w:lang w:eastAsia="zh-CN"/>
              </w:rPr>
              <w:t>供应商</w:t>
            </w:r>
            <w:r>
              <w:rPr>
                <w:rFonts w:hint="eastAsia" w:ascii="宋体" w:hAnsi="宋体" w:cs="宋体"/>
                <w:sz w:val="24"/>
                <w:szCs w:val="24"/>
                <w:highlight w:val="none"/>
              </w:rPr>
              <w:t>的总体技术方案和实施方案的完整性和编制水平进行评价，包括方案内容结构是否齐全完整准确、条理是否清晰等。由评标委员会酌情打分，优秀20-30分，良好11-19分，一般0-10分。</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80" w:hRule="atLeast"/>
          <w:jc w:val="center"/>
        </w:trPr>
        <w:tc>
          <w:tcPr>
            <w:tcW w:w="420" w:type="dxa"/>
            <w:vMerge w:val="continue"/>
            <w:tcBorders>
              <w:top w:val="single" w:color="auto" w:sz="6" w:space="0"/>
              <w:left w:val="single" w:color="auto" w:sz="4" w:space="0"/>
              <w:bottom w:val="single" w:color="auto" w:sz="4" w:space="0"/>
              <w:right w:val="single" w:color="auto" w:sz="6" w:space="0"/>
            </w:tcBorders>
            <w:vAlign w:val="center"/>
          </w:tcPr>
          <w:p>
            <w:pPr>
              <w:widowControl/>
              <w:jc w:val="left"/>
              <w:rPr>
                <w:rFonts w:ascii="宋体" w:hAnsi="宋体" w:cs="宋体"/>
                <w:sz w:val="24"/>
                <w:szCs w:val="24"/>
                <w:highlight w:val="none"/>
              </w:rPr>
            </w:pPr>
          </w:p>
        </w:tc>
        <w:tc>
          <w:tcPr>
            <w:tcW w:w="726" w:type="dxa"/>
            <w:vMerge w:val="continue"/>
            <w:tcBorders>
              <w:top w:val="single" w:color="auto" w:sz="6" w:space="0"/>
              <w:left w:val="single" w:color="auto" w:sz="6" w:space="0"/>
              <w:bottom w:val="single" w:color="auto" w:sz="4" w:space="0"/>
              <w:right w:val="single" w:color="auto" w:sz="6" w:space="0"/>
            </w:tcBorders>
            <w:vAlign w:val="center"/>
          </w:tcPr>
          <w:p>
            <w:pPr>
              <w:widowControl/>
              <w:jc w:val="left"/>
              <w:rPr>
                <w:rFonts w:ascii="宋体" w:hAnsi="宋体" w:cs="宋体"/>
                <w:sz w:val="24"/>
                <w:szCs w:val="24"/>
                <w:highlight w:val="none"/>
              </w:rPr>
            </w:pPr>
          </w:p>
        </w:tc>
        <w:tc>
          <w:tcPr>
            <w:tcW w:w="1245" w:type="dxa"/>
            <w:vMerge w:val="restart"/>
            <w:tcBorders>
              <w:top w:val="single" w:color="auto" w:sz="6" w:space="0"/>
              <w:left w:val="single" w:color="auto" w:sz="6" w:space="0"/>
              <w:bottom w:val="single" w:color="auto" w:sz="4" w:space="0"/>
              <w:right w:val="single" w:color="auto" w:sz="6" w:space="0"/>
            </w:tcBorders>
            <w:noWrap/>
            <w:vAlign w:val="center"/>
          </w:tcPr>
          <w:p>
            <w:pPr>
              <w:spacing w:line="288" w:lineRule="auto"/>
              <w:jc w:val="center"/>
              <w:rPr>
                <w:rFonts w:ascii="宋体" w:hAnsi="宋体" w:cs="宋体"/>
                <w:sz w:val="24"/>
                <w:szCs w:val="24"/>
                <w:highlight w:val="none"/>
              </w:rPr>
            </w:pPr>
            <w:r>
              <w:rPr>
                <w:rFonts w:hint="eastAsia" w:ascii="宋体" w:hAnsi="宋体" w:cs="宋体"/>
                <w:sz w:val="24"/>
                <w:szCs w:val="24"/>
                <w:highlight w:val="none"/>
              </w:rPr>
              <w:t>组织实施方案</w:t>
            </w:r>
          </w:p>
          <w:p>
            <w:pPr>
              <w:spacing w:line="288" w:lineRule="auto"/>
              <w:jc w:val="center"/>
              <w:rPr>
                <w:rFonts w:ascii="宋体" w:hAnsi="宋体" w:cs="宋体"/>
                <w:sz w:val="24"/>
                <w:szCs w:val="24"/>
                <w:highlight w:val="none"/>
              </w:rPr>
            </w:pPr>
            <w:r>
              <w:rPr>
                <w:rFonts w:hint="eastAsia" w:ascii="宋体" w:hAnsi="宋体" w:cs="宋体"/>
                <w:sz w:val="24"/>
                <w:szCs w:val="24"/>
                <w:highlight w:val="none"/>
              </w:rPr>
              <w:t>（</w:t>
            </w:r>
            <w:r>
              <w:rPr>
                <w:rFonts w:hint="eastAsia" w:ascii="宋体" w:hAnsi="宋体" w:cs="宋体"/>
                <w:sz w:val="24"/>
                <w:szCs w:val="24"/>
                <w:highlight w:val="none"/>
                <w:lang w:val="en-US" w:eastAsia="zh-CN"/>
              </w:rPr>
              <w:t>20</w:t>
            </w:r>
            <w:r>
              <w:rPr>
                <w:rFonts w:hint="eastAsia" w:ascii="宋体" w:hAnsi="宋体" w:cs="宋体"/>
                <w:sz w:val="24"/>
                <w:szCs w:val="24"/>
                <w:highlight w:val="none"/>
              </w:rPr>
              <w:t>分）</w:t>
            </w:r>
          </w:p>
        </w:tc>
        <w:tc>
          <w:tcPr>
            <w:tcW w:w="7324" w:type="dxa"/>
            <w:tcBorders>
              <w:top w:val="single" w:color="auto" w:sz="6" w:space="0"/>
              <w:left w:val="single" w:color="auto" w:sz="6" w:space="0"/>
              <w:bottom w:val="single" w:color="auto" w:sz="6" w:space="0"/>
              <w:right w:val="single" w:color="auto" w:sz="4" w:space="0"/>
            </w:tcBorders>
            <w:noWrap/>
            <w:vAlign w:val="center"/>
          </w:tcPr>
          <w:p>
            <w:pPr>
              <w:spacing w:line="288" w:lineRule="auto"/>
              <w:rPr>
                <w:rFonts w:ascii="宋体" w:hAnsi="宋体" w:cs="宋体"/>
                <w:sz w:val="24"/>
                <w:szCs w:val="24"/>
                <w:highlight w:val="none"/>
              </w:rPr>
            </w:pPr>
            <w:r>
              <w:rPr>
                <w:rFonts w:hint="eastAsia" w:ascii="宋体" w:hAnsi="宋体" w:cs="宋体"/>
                <w:sz w:val="24"/>
                <w:szCs w:val="24"/>
                <w:highlight w:val="none"/>
              </w:rPr>
              <w:t>日常管理。根据</w:t>
            </w:r>
            <w:r>
              <w:rPr>
                <w:rFonts w:hint="eastAsia" w:ascii="宋体" w:hAnsi="宋体" w:cs="宋体"/>
                <w:sz w:val="24"/>
                <w:szCs w:val="24"/>
                <w:highlight w:val="none"/>
                <w:lang w:eastAsia="zh-CN"/>
              </w:rPr>
              <w:t>供应商</w:t>
            </w:r>
            <w:r>
              <w:rPr>
                <w:rFonts w:hint="eastAsia" w:ascii="宋体" w:hAnsi="宋体" w:cs="宋体"/>
                <w:sz w:val="24"/>
                <w:szCs w:val="24"/>
                <w:highlight w:val="none"/>
              </w:rPr>
              <w:t>的组织计划、项目进度安排、工作任务完成时限等的可行性和合理性进行评价。优秀</w:t>
            </w:r>
            <w:r>
              <w:rPr>
                <w:rFonts w:hint="eastAsia" w:ascii="宋体" w:hAnsi="宋体" w:cs="宋体"/>
                <w:sz w:val="24"/>
                <w:szCs w:val="24"/>
                <w:highlight w:val="none"/>
                <w:lang w:val="en-US" w:eastAsia="zh-CN"/>
              </w:rPr>
              <w:t>8-10</w:t>
            </w:r>
            <w:r>
              <w:rPr>
                <w:rFonts w:hint="eastAsia" w:ascii="宋体" w:hAnsi="宋体" w:cs="宋体"/>
                <w:sz w:val="24"/>
                <w:szCs w:val="24"/>
                <w:highlight w:val="none"/>
              </w:rPr>
              <w:t>分，良好</w:t>
            </w:r>
            <w:r>
              <w:rPr>
                <w:rFonts w:hint="eastAsia" w:ascii="宋体" w:hAnsi="宋体" w:cs="宋体"/>
                <w:sz w:val="24"/>
                <w:szCs w:val="24"/>
                <w:highlight w:val="none"/>
                <w:lang w:val="en-US" w:eastAsia="zh-CN"/>
              </w:rPr>
              <w:t>5-8</w:t>
            </w:r>
            <w:r>
              <w:rPr>
                <w:rFonts w:hint="eastAsia" w:ascii="宋体" w:hAnsi="宋体" w:cs="宋体"/>
                <w:sz w:val="24"/>
                <w:szCs w:val="24"/>
                <w:highlight w:val="none"/>
              </w:rPr>
              <w:t>分，一般0-</w:t>
            </w:r>
            <w:r>
              <w:rPr>
                <w:rFonts w:hint="eastAsia" w:ascii="宋体" w:hAnsi="宋体" w:cs="宋体"/>
                <w:sz w:val="24"/>
                <w:szCs w:val="24"/>
                <w:highlight w:val="none"/>
                <w:lang w:val="en-US" w:eastAsia="zh-CN"/>
              </w:rPr>
              <w:t>5</w:t>
            </w:r>
            <w:r>
              <w:rPr>
                <w:rFonts w:hint="eastAsia" w:ascii="宋体" w:hAnsi="宋体" w:cs="宋体"/>
                <w:sz w:val="24"/>
                <w:szCs w:val="24"/>
                <w:highlight w:val="none"/>
              </w:rPr>
              <w:t>分。</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58" w:hRule="atLeast"/>
          <w:jc w:val="center"/>
        </w:trPr>
        <w:tc>
          <w:tcPr>
            <w:tcW w:w="420" w:type="dxa"/>
            <w:vMerge w:val="continue"/>
            <w:tcBorders>
              <w:top w:val="single" w:color="auto" w:sz="6" w:space="0"/>
              <w:left w:val="single" w:color="auto" w:sz="4" w:space="0"/>
              <w:bottom w:val="single" w:color="auto" w:sz="6" w:space="0"/>
              <w:right w:val="single" w:color="auto" w:sz="6" w:space="0"/>
            </w:tcBorders>
            <w:vAlign w:val="center"/>
          </w:tcPr>
          <w:p>
            <w:pPr>
              <w:widowControl/>
              <w:jc w:val="left"/>
              <w:rPr>
                <w:rFonts w:ascii="宋体" w:hAnsi="宋体" w:cs="宋体"/>
                <w:sz w:val="24"/>
                <w:szCs w:val="24"/>
                <w:highlight w:val="none"/>
              </w:rPr>
            </w:pPr>
          </w:p>
        </w:tc>
        <w:tc>
          <w:tcPr>
            <w:tcW w:w="726" w:type="dxa"/>
            <w:vMerge w:val="continue"/>
            <w:tcBorders>
              <w:top w:val="single" w:color="auto" w:sz="6" w:space="0"/>
              <w:left w:val="single" w:color="auto" w:sz="6" w:space="0"/>
              <w:bottom w:val="single" w:color="auto" w:sz="6" w:space="0"/>
              <w:right w:val="single" w:color="auto" w:sz="6" w:space="0"/>
            </w:tcBorders>
            <w:vAlign w:val="center"/>
          </w:tcPr>
          <w:p>
            <w:pPr>
              <w:widowControl/>
              <w:jc w:val="left"/>
              <w:rPr>
                <w:rFonts w:ascii="宋体" w:hAnsi="宋体" w:cs="宋体"/>
                <w:sz w:val="24"/>
                <w:szCs w:val="24"/>
                <w:highlight w:val="none"/>
              </w:rPr>
            </w:pPr>
          </w:p>
        </w:tc>
        <w:tc>
          <w:tcPr>
            <w:tcW w:w="1245" w:type="dxa"/>
            <w:vMerge w:val="continue"/>
            <w:tcBorders>
              <w:top w:val="single" w:color="auto" w:sz="6" w:space="0"/>
              <w:left w:val="single" w:color="auto" w:sz="6" w:space="0"/>
              <w:bottom w:val="single" w:color="auto" w:sz="6" w:space="0"/>
              <w:right w:val="single" w:color="auto" w:sz="6" w:space="0"/>
            </w:tcBorders>
            <w:vAlign w:val="center"/>
          </w:tcPr>
          <w:p>
            <w:pPr>
              <w:widowControl/>
              <w:jc w:val="left"/>
              <w:rPr>
                <w:rFonts w:ascii="宋体" w:hAnsi="宋体" w:cs="宋体"/>
                <w:sz w:val="24"/>
                <w:szCs w:val="24"/>
                <w:highlight w:val="none"/>
              </w:rPr>
            </w:pPr>
          </w:p>
        </w:tc>
        <w:tc>
          <w:tcPr>
            <w:tcW w:w="7324" w:type="dxa"/>
            <w:tcBorders>
              <w:top w:val="single" w:color="auto" w:sz="6" w:space="0"/>
              <w:left w:val="single" w:color="auto" w:sz="6" w:space="0"/>
              <w:bottom w:val="single" w:color="auto" w:sz="6" w:space="0"/>
              <w:right w:val="single" w:color="auto" w:sz="4" w:space="0"/>
            </w:tcBorders>
            <w:noWrap/>
            <w:vAlign w:val="center"/>
          </w:tcPr>
          <w:p>
            <w:pPr>
              <w:spacing w:line="288" w:lineRule="auto"/>
              <w:rPr>
                <w:rFonts w:ascii="宋体" w:hAnsi="宋体" w:cs="宋体"/>
                <w:sz w:val="24"/>
                <w:szCs w:val="24"/>
                <w:highlight w:val="none"/>
              </w:rPr>
            </w:pPr>
            <w:r>
              <w:rPr>
                <w:rFonts w:hint="eastAsia" w:ascii="宋体" w:hAnsi="宋体" w:cs="宋体"/>
                <w:sz w:val="24"/>
                <w:szCs w:val="24"/>
                <w:highlight w:val="none"/>
              </w:rPr>
              <w:t>保障措施和服务承诺。对质量保证措施、服务承诺、保密措施、风险控制措施、安全生产保障机制等安排的可行性和合理性进行评价。优秀</w:t>
            </w:r>
            <w:r>
              <w:rPr>
                <w:rFonts w:hint="eastAsia" w:ascii="宋体" w:hAnsi="宋体" w:cs="宋体"/>
                <w:sz w:val="24"/>
                <w:szCs w:val="24"/>
                <w:highlight w:val="none"/>
                <w:lang w:val="en-US" w:eastAsia="zh-CN"/>
              </w:rPr>
              <w:t>8-10</w:t>
            </w:r>
            <w:r>
              <w:rPr>
                <w:rFonts w:hint="eastAsia" w:ascii="宋体" w:hAnsi="宋体" w:cs="宋体"/>
                <w:sz w:val="24"/>
                <w:szCs w:val="24"/>
                <w:highlight w:val="none"/>
              </w:rPr>
              <w:t>分，良好</w:t>
            </w:r>
            <w:r>
              <w:rPr>
                <w:rFonts w:hint="eastAsia" w:ascii="宋体" w:hAnsi="宋体" w:cs="宋体"/>
                <w:sz w:val="24"/>
                <w:szCs w:val="24"/>
                <w:highlight w:val="none"/>
                <w:lang w:val="en-US" w:eastAsia="zh-CN"/>
              </w:rPr>
              <w:t>5-8</w:t>
            </w:r>
            <w:r>
              <w:rPr>
                <w:rFonts w:hint="eastAsia" w:ascii="宋体" w:hAnsi="宋体" w:cs="宋体"/>
                <w:sz w:val="24"/>
                <w:szCs w:val="24"/>
                <w:highlight w:val="none"/>
              </w:rPr>
              <w:t>分，一般0-</w:t>
            </w:r>
            <w:r>
              <w:rPr>
                <w:rFonts w:hint="eastAsia" w:ascii="宋体" w:hAnsi="宋体" w:cs="宋体"/>
                <w:sz w:val="24"/>
                <w:szCs w:val="24"/>
                <w:highlight w:val="none"/>
                <w:lang w:val="en-US" w:eastAsia="zh-CN"/>
              </w:rPr>
              <w:t>5</w:t>
            </w:r>
            <w:r>
              <w:rPr>
                <w:rFonts w:hint="eastAsia" w:ascii="宋体" w:hAnsi="宋体" w:cs="宋体"/>
                <w:sz w:val="24"/>
                <w:szCs w:val="24"/>
                <w:highlight w:val="none"/>
              </w:rPr>
              <w:t>分。</w:t>
            </w:r>
          </w:p>
        </w:tc>
      </w:tr>
    </w:tbl>
    <w:p>
      <w:pPr>
        <w:spacing w:line="460" w:lineRule="exact"/>
        <w:ind w:firstLine="482" w:firstLineChars="200"/>
        <w:jc w:val="both"/>
        <w:rPr>
          <w:rFonts w:hint="eastAsia" w:ascii="宋体" w:hAnsi="宋体" w:cs="宋体"/>
          <w:b/>
          <w:color w:val="auto"/>
          <w:sz w:val="24"/>
          <w:highlight w:val="none"/>
        </w:rPr>
      </w:pPr>
    </w:p>
    <w:p>
      <w:pPr>
        <w:pStyle w:val="36"/>
        <w:keepNext w:val="0"/>
        <w:keepLines w:val="0"/>
        <w:pageBreakBefore w:val="0"/>
        <w:widowControl w:val="0"/>
        <w:kinsoku/>
        <w:wordWrap/>
        <w:overflowPunct/>
        <w:topLinePunct w:val="0"/>
        <w:bidi w:val="0"/>
        <w:snapToGrid/>
        <w:spacing w:line="336" w:lineRule="auto"/>
        <w:ind w:firstLine="483"/>
        <w:jc w:val="both"/>
        <w:textAlignment w:val="auto"/>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rPr>
        <w:t>23.</w:t>
      </w:r>
      <w:r>
        <w:rPr>
          <w:rFonts w:hint="eastAsia" w:ascii="宋体" w:hAnsi="宋体" w:eastAsia="宋体" w:cs="宋体"/>
          <w:b w:val="0"/>
          <w:color w:val="auto"/>
          <w:sz w:val="24"/>
          <w:highlight w:val="none"/>
          <w:lang w:val="en-US" w:eastAsia="zh-CN"/>
        </w:rPr>
        <w:t>9</w:t>
      </w:r>
      <w:r>
        <w:rPr>
          <w:rFonts w:hint="eastAsia" w:ascii="宋体" w:hAnsi="宋体" w:eastAsia="宋体" w:cs="宋体"/>
          <w:b w:val="0"/>
          <w:color w:val="auto"/>
          <w:sz w:val="24"/>
          <w:highlight w:val="none"/>
        </w:rPr>
        <w:t>.3  各评标委员会成员对每个</w:t>
      </w:r>
      <w:r>
        <w:rPr>
          <w:rFonts w:hint="eastAsia" w:ascii="宋体" w:hAnsi="宋体" w:eastAsia="宋体" w:cs="宋体"/>
          <w:b w:val="0"/>
          <w:color w:val="auto"/>
          <w:sz w:val="24"/>
          <w:highlight w:val="none"/>
          <w:lang w:eastAsia="zh-CN"/>
        </w:rPr>
        <w:t>供应商</w:t>
      </w:r>
      <w:r>
        <w:rPr>
          <w:rFonts w:hint="eastAsia" w:ascii="宋体" w:hAnsi="宋体" w:eastAsia="宋体" w:cs="宋体"/>
          <w:b w:val="0"/>
          <w:color w:val="auto"/>
          <w:sz w:val="24"/>
          <w:highlight w:val="none"/>
        </w:rPr>
        <w:t>的</w:t>
      </w:r>
      <w:r>
        <w:rPr>
          <w:rFonts w:hint="eastAsia" w:ascii="宋体" w:hAnsi="宋体" w:eastAsia="宋体" w:cs="宋体"/>
          <w:b w:val="0"/>
          <w:color w:val="auto"/>
          <w:sz w:val="24"/>
          <w:highlight w:val="none"/>
          <w:lang w:val="en-US" w:eastAsia="zh-CN"/>
        </w:rPr>
        <w:t>价格、商务</w:t>
      </w:r>
      <w:r>
        <w:rPr>
          <w:rFonts w:hint="eastAsia" w:ascii="宋体" w:hAnsi="宋体" w:eastAsia="宋体" w:cs="宋体"/>
          <w:b w:val="0"/>
          <w:color w:val="auto"/>
          <w:sz w:val="24"/>
          <w:highlight w:val="none"/>
        </w:rPr>
        <w:t>和技术</w:t>
      </w:r>
      <w:r>
        <w:rPr>
          <w:rFonts w:hint="eastAsia" w:ascii="宋体" w:hAnsi="宋体" w:eastAsia="宋体" w:cs="宋体"/>
          <w:b w:val="0"/>
          <w:color w:val="auto"/>
          <w:sz w:val="24"/>
          <w:highlight w:val="none"/>
          <w:lang w:val="en-US" w:eastAsia="zh-CN"/>
        </w:rPr>
        <w:t>部分</w:t>
      </w:r>
      <w:r>
        <w:rPr>
          <w:rFonts w:hint="eastAsia" w:ascii="宋体" w:hAnsi="宋体" w:eastAsia="宋体" w:cs="宋体"/>
          <w:b w:val="0"/>
          <w:color w:val="auto"/>
          <w:sz w:val="24"/>
          <w:highlight w:val="none"/>
        </w:rPr>
        <w:t>的打分合计即为该</w:t>
      </w:r>
      <w:r>
        <w:rPr>
          <w:rFonts w:hint="eastAsia" w:ascii="宋体" w:hAnsi="宋体" w:eastAsia="宋体" w:cs="宋体"/>
          <w:b w:val="0"/>
          <w:color w:val="auto"/>
          <w:sz w:val="24"/>
          <w:highlight w:val="none"/>
          <w:lang w:eastAsia="zh-CN"/>
        </w:rPr>
        <w:t>供应商</w:t>
      </w:r>
      <w:r>
        <w:rPr>
          <w:rFonts w:hint="eastAsia" w:ascii="宋体" w:hAnsi="宋体" w:eastAsia="宋体" w:cs="宋体"/>
          <w:b w:val="0"/>
          <w:color w:val="auto"/>
          <w:sz w:val="24"/>
          <w:highlight w:val="none"/>
        </w:rPr>
        <w:t>的评标总得分。</w:t>
      </w:r>
    </w:p>
    <w:p>
      <w:pPr>
        <w:pStyle w:val="36"/>
        <w:keepNext w:val="0"/>
        <w:keepLines w:val="0"/>
        <w:pageBreakBefore w:val="0"/>
        <w:widowControl w:val="0"/>
        <w:kinsoku/>
        <w:wordWrap/>
        <w:overflowPunct/>
        <w:topLinePunct w:val="0"/>
        <w:bidi w:val="0"/>
        <w:snapToGrid/>
        <w:spacing w:line="336" w:lineRule="auto"/>
        <w:ind w:firstLine="483"/>
        <w:jc w:val="both"/>
        <w:textAlignment w:val="auto"/>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rPr>
        <w:t>23.</w:t>
      </w:r>
      <w:r>
        <w:rPr>
          <w:rFonts w:hint="eastAsia" w:ascii="宋体" w:hAnsi="宋体" w:eastAsia="宋体" w:cs="宋体"/>
          <w:b w:val="0"/>
          <w:color w:val="auto"/>
          <w:sz w:val="24"/>
          <w:highlight w:val="none"/>
          <w:lang w:val="en-US" w:eastAsia="zh-CN"/>
        </w:rPr>
        <w:t>9</w:t>
      </w:r>
      <w:r>
        <w:rPr>
          <w:rFonts w:hint="eastAsia" w:ascii="宋体" w:hAnsi="宋体" w:eastAsia="宋体" w:cs="宋体"/>
          <w:b w:val="0"/>
          <w:color w:val="auto"/>
          <w:sz w:val="24"/>
          <w:highlight w:val="none"/>
        </w:rPr>
        <w:t>.4 评标报告签署前，经复核发现存在以下情形之一的：分值汇总计算错误的；分项评分超出评分标准范围的；评标委员会成员对客观评审因素评分不一致的；经评标委员会认定评分畸高、畸低的。评标委员会应当当场修改评标结果，并在评标报告中记载：评标报告签署后，采购人或者采购代理机构发现存在以上情形之一的，应当组织原评标委员会进行重新评审，重新评审改变评标结果的，书面报告本级财政部门。</w:t>
      </w:r>
    </w:p>
    <w:p>
      <w:pPr>
        <w:pStyle w:val="36"/>
        <w:keepNext w:val="0"/>
        <w:keepLines w:val="0"/>
        <w:pageBreakBefore w:val="0"/>
        <w:widowControl w:val="0"/>
        <w:kinsoku/>
        <w:wordWrap/>
        <w:overflowPunct/>
        <w:topLinePunct w:val="0"/>
        <w:bidi w:val="0"/>
        <w:snapToGrid/>
        <w:spacing w:line="336" w:lineRule="auto"/>
        <w:ind w:firstLine="483"/>
        <w:jc w:val="both"/>
        <w:textAlignment w:val="auto"/>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rPr>
        <w:t>23.</w:t>
      </w:r>
      <w:r>
        <w:rPr>
          <w:rFonts w:hint="eastAsia" w:ascii="宋体" w:hAnsi="宋体" w:eastAsia="宋体" w:cs="宋体"/>
          <w:b w:val="0"/>
          <w:color w:val="auto"/>
          <w:sz w:val="24"/>
          <w:highlight w:val="none"/>
          <w:lang w:val="en-US" w:eastAsia="zh-CN"/>
        </w:rPr>
        <w:t>9</w:t>
      </w:r>
      <w:r>
        <w:rPr>
          <w:rFonts w:hint="eastAsia" w:ascii="宋体" w:hAnsi="宋体" w:eastAsia="宋体" w:cs="宋体"/>
          <w:b w:val="0"/>
          <w:color w:val="auto"/>
          <w:sz w:val="24"/>
          <w:highlight w:val="none"/>
        </w:rPr>
        <w:t>.5 评标委员会将按</w:t>
      </w:r>
      <w:r>
        <w:rPr>
          <w:rFonts w:hint="eastAsia" w:ascii="宋体" w:hAnsi="宋体" w:eastAsia="宋体" w:cs="宋体"/>
          <w:b w:val="0"/>
          <w:color w:val="auto"/>
          <w:sz w:val="24"/>
          <w:highlight w:val="none"/>
          <w:lang w:eastAsia="zh-CN"/>
        </w:rPr>
        <w:t>供应商</w:t>
      </w:r>
      <w:r>
        <w:rPr>
          <w:rFonts w:hint="eastAsia" w:ascii="宋体" w:hAnsi="宋体" w:eastAsia="宋体" w:cs="宋体"/>
          <w:b w:val="0"/>
          <w:color w:val="auto"/>
          <w:sz w:val="24"/>
          <w:highlight w:val="none"/>
        </w:rPr>
        <w:t>得分顺序由高到低依次排名，得分相同的，按投标报价由低到高顺序排列。得分及报价相同的，按技术指标优劣顺序排列。得分最高的前一名至前三名</w:t>
      </w:r>
      <w:r>
        <w:rPr>
          <w:rFonts w:hint="eastAsia" w:ascii="宋体" w:hAnsi="宋体" w:eastAsia="宋体" w:cs="宋体"/>
          <w:b w:val="0"/>
          <w:color w:val="auto"/>
          <w:sz w:val="24"/>
          <w:highlight w:val="none"/>
          <w:lang w:eastAsia="zh-CN"/>
        </w:rPr>
        <w:t>供应商</w:t>
      </w:r>
      <w:r>
        <w:rPr>
          <w:rFonts w:hint="eastAsia" w:ascii="宋体" w:hAnsi="宋体" w:eastAsia="宋体" w:cs="宋体"/>
          <w:b w:val="0"/>
          <w:color w:val="auto"/>
          <w:sz w:val="24"/>
          <w:highlight w:val="none"/>
        </w:rPr>
        <w:t>将成为中标候选人。</w:t>
      </w:r>
    </w:p>
    <w:p>
      <w:pPr>
        <w:pStyle w:val="36"/>
        <w:keepNext w:val="0"/>
        <w:keepLines w:val="0"/>
        <w:pageBreakBefore w:val="0"/>
        <w:widowControl w:val="0"/>
        <w:kinsoku/>
        <w:wordWrap/>
        <w:overflowPunct/>
        <w:topLinePunct w:val="0"/>
        <w:bidi w:val="0"/>
        <w:snapToGrid/>
        <w:spacing w:line="336" w:lineRule="auto"/>
        <w:ind w:firstLine="483"/>
        <w:jc w:val="both"/>
        <w:textAlignment w:val="auto"/>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rPr>
        <w:t>23.</w:t>
      </w:r>
      <w:r>
        <w:rPr>
          <w:rFonts w:hint="eastAsia" w:ascii="宋体" w:hAnsi="宋体" w:eastAsia="宋体" w:cs="宋体"/>
          <w:b w:val="0"/>
          <w:color w:val="auto"/>
          <w:sz w:val="24"/>
          <w:highlight w:val="none"/>
          <w:lang w:val="en-US" w:eastAsia="zh-CN"/>
        </w:rPr>
        <w:t>9</w:t>
      </w:r>
      <w:r>
        <w:rPr>
          <w:rFonts w:hint="eastAsia" w:ascii="宋体" w:hAnsi="宋体" w:eastAsia="宋体" w:cs="宋体"/>
          <w:b w:val="0"/>
          <w:color w:val="auto"/>
          <w:sz w:val="24"/>
          <w:highlight w:val="none"/>
        </w:rPr>
        <w:t>.6 评标委员会成员对需要共同认定的事项存在争议的，应当按照少数服从多数的原则作出结论。持不同意见的评标委员会成员应当在评标报告上签署不同意见及理由，否则视为同意评标报告。</w:t>
      </w:r>
    </w:p>
    <w:p>
      <w:pPr>
        <w:pStyle w:val="34"/>
        <w:keepNext w:val="0"/>
        <w:keepLines w:val="0"/>
        <w:pageBreakBefore w:val="0"/>
        <w:widowControl w:val="0"/>
        <w:kinsoku/>
        <w:wordWrap/>
        <w:overflowPunct/>
        <w:topLinePunct w:val="0"/>
        <w:bidi w:val="0"/>
        <w:snapToGrid/>
        <w:spacing w:line="336" w:lineRule="auto"/>
        <w:ind w:firstLine="480" w:firstLineChars="200"/>
        <w:jc w:val="both"/>
        <w:textAlignment w:val="auto"/>
        <w:outlineLvl w:val="1"/>
        <w:rPr>
          <w:rFonts w:hint="eastAsia" w:ascii="宋体" w:hAnsi="宋体" w:cs="宋体"/>
          <w:color w:val="auto"/>
          <w:kern w:val="2"/>
          <w:szCs w:val="24"/>
          <w:highlight w:val="none"/>
        </w:rPr>
      </w:pPr>
      <w:bookmarkStart w:id="67" w:name="_Toc9097"/>
      <w:r>
        <w:rPr>
          <w:rFonts w:hint="eastAsia" w:ascii="宋体" w:hAnsi="宋体" w:cs="宋体"/>
          <w:color w:val="auto"/>
          <w:kern w:val="2"/>
          <w:szCs w:val="24"/>
          <w:highlight w:val="none"/>
        </w:rPr>
        <w:t xml:space="preserve">24. </w:t>
      </w:r>
      <w:r>
        <w:rPr>
          <w:rFonts w:hint="eastAsia" w:ascii="宋体" w:hAnsi="宋体" w:cs="宋体"/>
          <w:color w:val="auto"/>
          <w:kern w:val="2"/>
          <w:szCs w:val="24"/>
          <w:highlight w:val="none"/>
          <w:lang w:eastAsia="zh-CN"/>
        </w:rPr>
        <w:t>响应文件</w:t>
      </w:r>
      <w:r>
        <w:rPr>
          <w:rFonts w:hint="eastAsia" w:ascii="宋体" w:hAnsi="宋体" w:cs="宋体"/>
          <w:color w:val="auto"/>
          <w:kern w:val="2"/>
          <w:szCs w:val="24"/>
          <w:highlight w:val="none"/>
        </w:rPr>
        <w:t>的澄清</w:t>
      </w:r>
      <w:bookmarkEnd w:id="67"/>
    </w:p>
    <w:p>
      <w:pPr>
        <w:pStyle w:val="34"/>
        <w:keepNext w:val="0"/>
        <w:keepLines w:val="0"/>
        <w:pageBreakBefore w:val="0"/>
        <w:widowControl w:val="0"/>
        <w:kinsoku/>
        <w:wordWrap/>
        <w:overflowPunct/>
        <w:topLinePunct w:val="0"/>
        <w:bidi w:val="0"/>
        <w:snapToGrid/>
        <w:spacing w:line="336" w:lineRule="auto"/>
        <w:ind w:firstLine="480" w:firstLineChars="200"/>
        <w:jc w:val="both"/>
        <w:textAlignment w:val="auto"/>
        <w:rPr>
          <w:rFonts w:hint="eastAsia" w:ascii="宋体" w:hAnsi="宋体" w:cs="宋体"/>
          <w:color w:val="auto"/>
          <w:kern w:val="2"/>
          <w:szCs w:val="24"/>
          <w:highlight w:val="none"/>
        </w:rPr>
      </w:pPr>
      <w:r>
        <w:rPr>
          <w:rFonts w:hint="eastAsia" w:ascii="宋体" w:hAnsi="宋体" w:cs="宋体"/>
          <w:color w:val="auto"/>
          <w:kern w:val="2"/>
          <w:szCs w:val="24"/>
          <w:highlight w:val="none"/>
        </w:rPr>
        <w:t>24.1  评标委员会在评标过程中有权随时请</w:t>
      </w:r>
      <w:r>
        <w:rPr>
          <w:rFonts w:hint="eastAsia" w:ascii="宋体" w:hAnsi="宋体" w:cs="宋体"/>
          <w:color w:val="auto"/>
          <w:kern w:val="2"/>
          <w:szCs w:val="24"/>
          <w:highlight w:val="none"/>
          <w:lang w:eastAsia="zh-CN"/>
        </w:rPr>
        <w:t>供应商</w:t>
      </w:r>
      <w:r>
        <w:rPr>
          <w:rFonts w:hint="eastAsia" w:ascii="宋体" w:hAnsi="宋体" w:cs="宋体"/>
          <w:color w:val="auto"/>
          <w:kern w:val="2"/>
          <w:szCs w:val="24"/>
          <w:highlight w:val="none"/>
        </w:rPr>
        <w:t>就</w:t>
      </w:r>
      <w:r>
        <w:rPr>
          <w:rFonts w:hint="eastAsia" w:ascii="宋体" w:hAnsi="宋体" w:cs="宋体"/>
          <w:color w:val="auto"/>
          <w:kern w:val="2"/>
          <w:szCs w:val="24"/>
          <w:highlight w:val="none"/>
          <w:lang w:eastAsia="zh-CN"/>
        </w:rPr>
        <w:t>响应文件</w:t>
      </w:r>
      <w:r>
        <w:rPr>
          <w:rFonts w:hint="eastAsia" w:ascii="宋体" w:hAnsi="宋体" w:cs="宋体"/>
          <w:color w:val="auto"/>
          <w:kern w:val="2"/>
          <w:szCs w:val="24"/>
          <w:highlight w:val="none"/>
        </w:rPr>
        <w:t>中含混之处加以澄清或答疑。</w:t>
      </w:r>
    </w:p>
    <w:p>
      <w:pPr>
        <w:pStyle w:val="34"/>
        <w:keepNext w:val="0"/>
        <w:keepLines w:val="0"/>
        <w:pageBreakBefore w:val="0"/>
        <w:widowControl w:val="0"/>
        <w:kinsoku/>
        <w:wordWrap/>
        <w:overflowPunct/>
        <w:topLinePunct w:val="0"/>
        <w:bidi w:val="0"/>
        <w:snapToGrid/>
        <w:spacing w:line="336" w:lineRule="auto"/>
        <w:ind w:firstLine="480" w:firstLineChars="200"/>
        <w:jc w:val="both"/>
        <w:textAlignment w:val="auto"/>
        <w:rPr>
          <w:rFonts w:hint="eastAsia" w:ascii="宋体" w:hAnsi="宋体" w:cs="宋体"/>
          <w:color w:val="auto"/>
          <w:kern w:val="2"/>
          <w:szCs w:val="24"/>
          <w:highlight w:val="none"/>
        </w:rPr>
      </w:pPr>
      <w:r>
        <w:rPr>
          <w:rFonts w:hint="eastAsia" w:ascii="宋体" w:hAnsi="宋体" w:cs="宋体"/>
          <w:color w:val="auto"/>
          <w:kern w:val="2"/>
          <w:szCs w:val="24"/>
          <w:highlight w:val="none"/>
        </w:rPr>
        <w:t xml:space="preserve">24.2  </w:t>
      </w:r>
      <w:r>
        <w:rPr>
          <w:rFonts w:hint="eastAsia" w:ascii="宋体" w:hAnsi="宋体" w:cs="宋体"/>
          <w:color w:val="auto"/>
          <w:szCs w:val="24"/>
          <w:highlight w:val="none"/>
          <w:lang w:eastAsia="zh-CN"/>
        </w:rPr>
        <w:t>供应商</w:t>
      </w:r>
      <w:r>
        <w:rPr>
          <w:rFonts w:hint="eastAsia" w:ascii="宋体" w:hAnsi="宋体" w:cs="宋体"/>
          <w:color w:val="auto"/>
          <w:szCs w:val="24"/>
          <w:highlight w:val="none"/>
        </w:rPr>
        <w:t>的澄清、说明或者补正应当采用书面形式，并加盖公章，或者由法定代表人或其授权的代表签字。</w:t>
      </w:r>
    </w:p>
    <w:p>
      <w:pPr>
        <w:pStyle w:val="34"/>
        <w:keepNext w:val="0"/>
        <w:keepLines w:val="0"/>
        <w:pageBreakBefore w:val="0"/>
        <w:widowControl w:val="0"/>
        <w:kinsoku/>
        <w:wordWrap/>
        <w:overflowPunct/>
        <w:topLinePunct w:val="0"/>
        <w:bidi w:val="0"/>
        <w:snapToGrid/>
        <w:spacing w:line="336" w:lineRule="auto"/>
        <w:ind w:firstLine="480" w:firstLineChars="200"/>
        <w:jc w:val="both"/>
        <w:textAlignment w:val="auto"/>
        <w:rPr>
          <w:rFonts w:hint="eastAsia" w:ascii="宋体" w:hAnsi="宋体" w:cs="宋体"/>
          <w:color w:val="auto"/>
          <w:kern w:val="2"/>
          <w:szCs w:val="24"/>
          <w:highlight w:val="none"/>
        </w:rPr>
      </w:pPr>
      <w:r>
        <w:rPr>
          <w:rFonts w:hint="eastAsia" w:ascii="宋体" w:hAnsi="宋体" w:cs="宋体"/>
          <w:color w:val="auto"/>
          <w:kern w:val="2"/>
          <w:szCs w:val="24"/>
          <w:highlight w:val="none"/>
        </w:rPr>
        <w:t xml:space="preserve">24.3  </w:t>
      </w:r>
      <w:r>
        <w:rPr>
          <w:rFonts w:hint="eastAsia" w:ascii="宋体" w:hAnsi="宋体" w:cs="宋体"/>
          <w:color w:val="auto"/>
          <w:szCs w:val="24"/>
          <w:highlight w:val="none"/>
          <w:lang w:eastAsia="zh-CN"/>
        </w:rPr>
        <w:t>供应商</w:t>
      </w:r>
      <w:r>
        <w:rPr>
          <w:rFonts w:hint="eastAsia" w:ascii="宋体" w:hAnsi="宋体" w:cs="宋体"/>
          <w:color w:val="auto"/>
          <w:szCs w:val="24"/>
          <w:highlight w:val="none"/>
        </w:rPr>
        <w:t>的澄清、说明或者补正不得超出</w:t>
      </w:r>
      <w:r>
        <w:rPr>
          <w:rFonts w:hint="eastAsia" w:ascii="宋体" w:hAnsi="宋体" w:cs="宋体"/>
          <w:color w:val="auto"/>
          <w:szCs w:val="24"/>
          <w:highlight w:val="none"/>
          <w:lang w:eastAsia="zh-CN"/>
        </w:rPr>
        <w:t>响应文件</w:t>
      </w:r>
      <w:r>
        <w:rPr>
          <w:rFonts w:hint="eastAsia" w:ascii="宋体" w:hAnsi="宋体" w:cs="宋体"/>
          <w:color w:val="auto"/>
          <w:szCs w:val="24"/>
          <w:highlight w:val="none"/>
        </w:rPr>
        <w:t>的范围或者改变</w:t>
      </w:r>
      <w:r>
        <w:rPr>
          <w:rFonts w:hint="eastAsia" w:ascii="宋体" w:hAnsi="宋体" w:cs="宋体"/>
          <w:color w:val="auto"/>
          <w:szCs w:val="24"/>
          <w:highlight w:val="none"/>
          <w:lang w:eastAsia="zh-CN"/>
        </w:rPr>
        <w:t>响应文件</w:t>
      </w:r>
      <w:r>
        <w:rPr>
          <w:rFonts w:hint="eastAsia" w:ascii="宋体" w:hAnsi="宋体" w:cs="宋体"/>
          <w:color w:val="auto"/>
          <w:szCs w:val="24"/>
          <w:highlight w:val="none"/>
        </w:rPr>
        <w:t>的实质性内容。</w:t>
      </w:r>
    </w:p>
    <w:p>
      <w:pPr>
        <w:pStyle w:val="34"/>
        <w:keepNext w:val="0"/>
        <w:keepLines w:val="0"/>
        <w:pageBreakBefore w:val="0"/>
        <w:widowControl w:val="0"/>
        <w:kinsoku/>
        <w:wordWrap/>
        <w:overflowPunct/>
        <w:topLinePunct w:val="0"/>
        <w:bidi w:val="0"/>
        <w:snapToGrid/>
        <w:spacing w:line="336" w:lineRule="auto"/>
        <w:ind w:firstLine="480" w:firstLineChars="200"/>
        <w:jc w:val="both"/>
        <w:textAlignment w:val="auto"/>
        <w:rPr>
          <w:rFonts w:hint="eastAsia" w:ascii="宋体" w:hAnsi="宋体" w:cs="宋体"/>
          <w:color w:val="auto"/>
          <w:kern w:val="2"/>
          <w:szCs w:val="24"/>
          <w:highlight w:val="none"/>
        </w:rPr>
      </w:pPr>
      <w:r>
        <w:rPr>
          <w:rFonts w:hint="eastAsia" w:ascii="宋体" w:hAnsi="宋体" w:cs="宋体"/>
          <w:color w:val="auto"/>
          <w:kern w:val="2"/>
          <w:szCs w:val="24"/>
          <w:highlight w:val="none"/>
        </w:rPr>
        <w:t xml:space="preserve">24.4  </w:t>
      </w:r>
      <w:r>
        <w:rPr>
          <w:rFonts w:hint="eastAsia" w:ascii="宋体" w:hAnsi="宋体" w:cs="宋体"/>
          <w:color w:val="auto"/>
          <w:kern w:val="2"/>
          <w:szCs w:val="24"/>
          <w:highlight w:val="none"/>
          <w:lang w:eastAsia="zh-CN"/>
        </w:rPr>
        <w:t>供应商</w:t>
      </w:r>
      <w:r>
        <w:rPr>
          <w:rFonts w:hint="eastAsia" w:ascii="宋体" w:hAnsi="宋体" w:cs="宋体"/>
          <w:color w:val="auto"/>
          <w:kern w:val="2"/>
          <w:szCs w:val="24"/>
          <w:highlight w:val="none"/>
        </w:rPr>
        <w:t>的澄清文件是</w:t>
      </w:r>
      <w:r>
        <w:rPr>
          <w:rFonts w:hint="eastAsia" w:ascii="宋体" w:hAnsi="宋体" w:cs="宋体"/>
          <w:color w:val="auto"/>
          <w:kern w:val="2"/>
          <w:szCs w:val="24"/>
          <w:highlight w:val="none"/>
          <w:lang w:eastAsia="zh-CN"/>
        </w:rPr>
        <w:t>响应文件</w:t>
      </w:r>
      <w:r>
        <w:rPr>
          <w:rFonts w:hint="eastAsia" w:ascii="宋体" w:hAnsi="宋体" w:cs="宋体"/>
          <w:color w:val="auto"/>
          <w:kern w:val="2"/>
          <w:szCs w:val="24"/>
          <w:highlight w:val="none"/>
        </w:rPr>
        <w:t>的组成部分，并取代</w:t>
      </w:r>
      <w:r>
        <w:rPr>
          <w:rFonts w:hint="eastAsia" w:ascii="宋体" w:hAnsi="宋体" w:cs="宋体"/>
          <w:color w:val="auto"/>
          <w:kern w:val="2"/>
          <w:szCs w:val="24"/>
          <w:highlight w:val="none"/>
          <w:lang w:eastAsia="zh-CN"/>
        </w:rPr>
        <w:t>响应文件</w:t>
      </w:r>
      <w:r>
        <w:rPr>
          <w:rFonts w:hint="eastAsia" w:ascii="宋体" w:hAnsi="宋体" w:cs="宋体"/>
          <w:color w:val="auto"/>
          <w:kern w:val="2"/>
          <w:szCs w:val="24"/>
          <w:highlight w:val="none"/>
        </w:rPr>
        <w:t>中被澄清的部分。</w:t>
      </w:r>
    </w:p>
    <w:p>
      <w:pPr>
        <w:pStyle w:val="34"/>
        <w:keepNext w:val="0"/>
        <w:keepLines w:val="0"/>
        <w:pageBreakBefore w:val="0"/>
        <w:widowControl w:val="0"/>
        <w:kinsoku/>
        <w:wordWrap/>
        <w:overflowPunct/>
        <w:topLinePunct w:val="0"/>
        <w:bidi w:val="0"/>
        <w:snapToGrid/>
        <w:spacing w:line="336" w:lineRule="auto"/>
        <w:ind w:firstLine="480" w:firstLineChars="200"/>
        <w:jc w:val="both"/>
        <w:textAlignment w:val="auto"/>
        <w:outlineLvl w:val="1"/>
        <w:rPr>
          <w:rFonts w:hint="eastAsia" w:ascii="宋体" w:hAnsi="宋体" w:cs="宋体"/>
          <w:color w:val="auto"/>
          <w:kern w:val="2"/>
          <w:szCs w:val="24"/>
          <w:highlight w:val="none"/>
        </w:rPr>
      </w:pPr>
      <w:bookmarkStart w:id="68" w:name="_Toc6121"/>
      <w:r>
        <w:rPr>
          <w:rFonts w:hint="eastAsia" w:ascii="宋体" w:hAnsi="宋体" w:cs="宋体"/>
          <w:color w:val="auto"/>
          <w:kern w:val="2"/>
          <w:szCs w:val="24"/>
          <w:highlight w:val="none"/>
        </w:rPr>
        <w:t>25. 中标人的确定</w:t>
      </w:r>
      <w:bookmarkEnd w:id="68"/>
    </w:p>
    <w:p>
      <w:pPr>
        <w:pStyle w:val="34"/>
        <w:keepNext w:val="0"/>
        <w:keepLines w:val="0"/>
        <w:pageBreakBefore w:val="0"/>
        <w:widowControl w:val="0"/>
        <w:kinsoku/>
        <w:wordWrap/>
        <w:overflowPunct/>
        <w:topLinePunct w:val="0"/>
        <w:bidi w:val="0"/>
        <w:snapToGrid/>
        <w:spacing w:line="336" w:lineRule="auto"/>
        <w:ind w:firstLine="480" w:firstLineChars="200"/>
        <w:jc w:val="both"/>
        <w:textAlignment w:val="auto"/>
        <w:rPr>
          <w:rFonts w:hint="eastAsia" w:ascii="宋体" w:hAnsi="宋体" w:cs="宋体"/>
          <w:color w:val="auto"/>
          <w:kern w:val="2"/>
          <w:szCs w:val="24"/>
          <w:highlight w:val="none"/>
        </w:rPr>
      </w:pPr>
      <w:r>
        <w:rPr>
          <w:rFonts w:hint="eastAsia" w:ascii="宋体" w:hAnsi="宋体" w:cs="宋体"/>
          <w:color w:val="auto"/>
          <w:kern w:val="2"/>
          <w:szCs w:val="24"/>
          <w:highlight w:val="none"/>
        </w:rPr>
        <w:t>25.1  采购人应当自收到评标报告之日起5个工作日内，在评标报告确定的中标候选人名单中按顺序确定中标人。中标候选人并列的，由采购人或者采购人委托评标委员会按照</w:t>
      </w:r>
      <w:r>
        <w:rPr>
          <w:rFonts w:hint="eastAsia" w:ascii="宋体" w:hAnsi="宋体" w:cs="宋体"/>
          <w:color w:val="auto"/>
          <w:kern w:val="2"/>
          <w:szCs w:val="24"/>
          <w:highlight w:val="none"/>
          <w:lang w:eastAsia="zh-CN"/>
        </w:rPr>
        <w:t>竞争性磋商文件</w:t>
      </w:r>
      <w:r>
        <w:rPr>
          <w:rFonts w:hint="eastAsia" w:ascii="宋体" w:hAnsi="宋体" w:cs="宋体"/>
          <w:color w:val="auto"/>
          <w:kern w:val="2"/>
          <w:szCs w:val="24"/>
          <w:highlight w:val="none"/>
        </w:rPr>
        <w:t>规定的方式确定中标人；</w:t>
      </w:r>
      <w:r>
        <w:rPr>
          <w:rFonts w:hint="eastAsia" w:ascii="宋体" w:hAnsi="宋体" w:cs="宋体"/>
          <w:color w:val="auto"/>
          <w:kern w:val="2"/>
          <w:szCs w:val="24"/>
          <w:highlight w:val="none"/>
          <w:lang w:eastAsia="zh-CN"/>
        </w:rPr>
        <w:t>竞争性磋商文件</w:t>
      </w:r>
      <w:r>
        <w:rPr>
          <w:rFonts w:hint="eastAsia" w:ascii="宋体" w:hAnsi="宋体" w:cs="宋体"/>
          <w:color w:val="auto"/>
          <w:kern w:val="2"/>
          <w:szCs w:val="24"/>
          <w:highlight w:val="none"/>
        </w:rPr>
        <w:t>未规定的，采取随机抽取的方式确定。</w:t>
      </w:r>
    </w:p>
    <w:p>
      <w:pPr>
        <w:pStyle w:val="34"/>
        <w:keepNext w:val="0"/>
        <w:keepLines w:val="0"/>
        <w:pageBreakBefore w:val="0"/>
        <w:widowControl w:val="0"/>
        <w:kinsoku/>
        <w:wordWrap/>
        <w:overflowPunct/>
        <w:topLinePunct w:val="0"/>
        <w:bidi w:val="0"/>
        <w:snapToGrid/>
        <w:spacing w:line="336" w:lineRule="auto"/>
        <w:ind w:firstLine="480" w:firstLineChars="200"/>
        <w:jc w:val="both"/>
        <w:textAlignment w:val="auto"/>
        <w:rPr>
          <w:rFonts w:hint="eastAsia" w:ascii="宋体" w:hAnsi="宋体" w:cs="宋体"/>
          <w:color w:val="auto"/>
          <w:kern w:val="2"/>
          <w:szCs w:val="24"/>
          <w:highlight w:val="none"/>
        </w:rPr>
      </w:pPr>
      <w:r>
        <w:rPr>
          <w:rFonts w:hint="eastAsia" w:ascii="宋体" w:hAnsi="宋体" w:cs="宋体"/>
          <w:color w:val="auto"/>
          <w:kern w:val="2"/>
          <w:szCs w:val="24"/>
          <w:highlight w:val="none"/>
        </w:rPr>
        <w:t>25.2  采购人在收到评标报告5个工作日内未按评标报告推荐的中标候选人顺序确定中标人，又不能说明合法理由的，视同按评标报告推荐的顺序确定排名第一的中标候选人为中标人。</w:t>
      </w:r>
    </w:p>
    <w:p>
      <w:pPr>
        <w:pStyle w:val="34"/>
        <w:keepNext w:val="0"/>
        <w:keepLines w:val="0"/>
        <w:pageBreakBefore w:val="0"/>
        <w:widowControl w:val="0"/>
        <w:kinsoku/>
        <w:wordWrap/>
        <w:overflowPunct/>
        <w:topLinePunct w:val="0"/>
        <w:bidi w:val="0"/>
        <w:snapToGrid/>
        <w:spacing w:line="336" w:lineRule="auto"/>
        <w:ind w:firstLine="480" w:firstLineChars="200"/>
        <w:jc w:val="both"/>
        <w:textAlignment w:val="auto"/>
        <w:rPr>
          <w:rFonts w:hint="eastAsia" w:ascii="宋体" w:hAnsi="宋体" w:cs="宋体"/>
          <w:color w:val="auto"/>
          <w:kern w:val="2"/>
          <w:szCs w:val="24"/>
          <w:highlight w:val="none"/>
        </w:rPr>
      </w:pPr>
      <w:r>
        <w:rPr>
          <w:rFonts w:hint="eastAsia" w:ascii="宋体" w:hAnsi="宋体" w:cs="宋体"/>
          <w:color w:val="auto"/>
          <w:kern w:val="2"/>
          <w:szCs w:val="24"/>
          <w:highlight w:val="none"/>
        </w:rPr>
        <w:t>25.3  评标委员会按照</w:t>
      </w:r>
      <w:r>
        <w:rPr>
          <w:rFonts w:hint="eastAsia" w:ascii="宋体" w:hAnsi="宋体" w:cs="宋体"/>
          <w:color w:val="auto"/>
          <w:kern w:val="2"/>
          <w:szCs w:val="24"/>
          <w:highlight w:val="none"/>
          <w:lang w:eastAsia="zh-CN"/>
        </w:rPr>
        <w:t>竞争性磋商文件</w:t>
      </w:r>
      <w:r>
        <w:rPr>
          <w:rFonts w:hint="eastAsia" w:ascii="宋体" w:hAnsi="宋体" w:cs="宋体"/>
          <w:color w:val="auto"/>
          <w:kern w:val="2"/>
          <w:szCs w:val="24"/>
          <w:highlight w:val="none"/>
        </w:rPr>
        <w:t>的评标办法负责向采购人推荐中标候选人。评标委员会有权推荐一家或一至三家</w:t>
      </w:r>
      <w:r>
        <w:rPr>
          <w:rFonts w:hint="eastAsia" w:ascii="宋体" w:hAnsi="宋体" w:cs="宋体"/>
          <w:color w:val="auto"/>
          <w:kern w:val="2"/>
          <w:szCs w:val="24"/>
          <w:highlight w:val="none"/>
          <w:lang w:eastAsia="zh-CN"/>
        </w:rPr>
        <w:t>供应商</w:t>
      </w:r>
      <w:r>
        <w:rPr>
          <w:rFonts w:hint="eastAsia" w:ascii="宋体" w:hAnsi="宋体" w:cs="宋体"/>
          <w:color w:val="auto"/>
          <w:kern w:val="2"/>
          <w:szCs w:val="24"/>
          <w:highlight w:val="none"/>
        </w:rPr>
        <w:t>为中标候选人、或者拒绝所有的</w:t>
      </w:r>
      <w:r>
        <w:rPr>
          <w:rFonts w:hint="eastAsia" w:ascii="宋体" w:hAnsi="宋体" w:cs="宋体"/>
          <w:color w:val="auto"/>
          <w:kern w:val="2"/>
          <w:szCs w:val="24"/>
          <w:highlight w:val="none"/>
          <w:lang w:eastAsia="zh-CN"/>
        </w:rPr>
        <w:t>供应商</w:t>
      </w:r>
      <w:r>
        <w:rPr>
          <w:rFonts w:hint="eastAsia" w:ascii="宋体" w:hAnsi="宋体" w:cs="宋体"/>
          <w:color w:val="auto"/>
          <w:kern w:val="2"/>
          <w:szCs w:val="24"/>
          <w:highlight w:val="none"/>
        </w:rPr>
        <w:t>的投标。评标委员会成员无义务向</w:t>
      </w:r>
      <w:r>
        <w:rPr>
          <w:rFonts w:hint="eastAsia" w:ascii="宋体" w:hAnsi="宋体" w:cs="宋体"/>
          <w:color w:val="auto"/>
          <w:kern w:val="2"/>
          <w:szCs w:val="24"/>
          <w:highlight w:val="none"/>
          <w:lang w:eastAsia="zh-CN"/>
        </w:rPr>
        <w:t>供应商</w:t>
      </w:r>
      <w:r>
        <w:rPr>
          <w:rFonts w:hint="eastAsia" w:ascii="宋体" w:hAnsi="宋体" w:cs="宋体"/>
          <w:color w:val="auto"/>
          <w:kern w:val="2"/>
          <w:szCs w:val="24"/>
          <w:highlight w:val="none"/>
        </w:rPr>
        <w:t>做出有关对评标的任何解释工作。</w:t>
      </w:r>
    </w:p>
    <w:p>
      <w:pPr>
        <w:pStyle w:val="34"/>
        <w:keepNext w:val="0"/>
        <w:keepLines w:val="0"/>
        <w:pageBreakBefore w:val="0"/>
        <w:widowControl w:val="0"/>
        <w:kinsoku/>
        <w:wordWrap/>
        <w:overflowPunct/>
        <w:topLinePunct w:val="0"/>
        <w:bidi w:val="0"/>
        <w:snapToGrid/>
        <w:spacing w:line="336" w:lineRule="auto"/>
        <w:ind w:firstLine="480" w:firstLineChars="200"/>
        <w:jc w:val="both"/>
        <w:textAlignment w:val="auto"/>
        <w:rPr>
          <w:rFonts w:hint="eastAsia" w:ascii="宋体" w:hAnsi="宋体" w:cs="宋体"/>
          <w:bCs/>
          <w:color w:val="auto"/>
          <w:szCs w:val="24"/>
          <w:highlight w:val="none"/>
        </w:rPr>
      </w:pPr>
      <w:r>
        <w:rPr>
          <w:rFonts w:hint="eastAsia" w:ascii="宋体" w:hAnsi="宋体" w:cs="宋体"/>
          <w:bCs/>
          <w:color w:val="auto"/>
          <w:szCs w:val="24"/>
          <w:highlight w:val="none"/>
        </w:rPr>
        <w:t>25.4  中标供应商拒绝与采购人签订合同的，采购人可以按照评审报告推荐的中标人名单排序，确定下一候选人为中标人，也可以重新开展政府采购活动。</w:t>
      </w:r>
    </w:p>
    <w:p>
      <w:pPr>
        <w:pStyle w:val="34"/>
        <w:keepNext w:val="0"/>
        <w:keepLines w:val="0"/>
        <w:pageBreakBefore w:val="0"/>
        <w:widowControl w:val="0"/>
        <w:kinsoku/>
        <w:wordWrap/>
        <w:overflowPunct/>
        <w:topLinePunct w:val="0"/>
        <w:bidi w:val="0"/>
        <w:snapToGrid/>
        <w:spacing w:line="336" w:lineRule="auto"/>
        <w:ind w:firstLine="480" w:firstLineChars="200"/>
        <w:jc w:val="both"/>
        <w:textAlignment w:val="auto"/>
        <w:outlineLvl w:val="1"/>
        <w:rPr>
          <w:rFonts w:hint="eastAsia" w:ascii="宋体" w:hAnsi="宋体" w:cs="宋体"/>
          <w:color w:val="auto"/>
          <w:kern w:val="2"/>
          <w:szCs w:val="24"/>
          <w:highlight w:val="none"/>
        </w:rPr>
      </w:pPr>
      <w:bookmarkStart w:id="69" w:name="_Toc19743"/>
      <w:r>
        <w:rPr>
          <w:rFonts w:hint="eastAsia" w:ascii="宋体" w:hAnsi="宋体" w:cs="宋体"/>
          <w:color w:val="auto"/>
          <w:kern w:val="2"/>
          <w:szCs w:val="24"/>
          <w:highlight w:val="none"/>
        </w:rPr>
        <w:t>26.  中标通知</w:t>
      </w:r>
      <w:bookmarkEnd w:id="69"/>
    </w:p>
    <w:p>
      <w:pPr>
        <w:pStyle w:val="34"/>
        <w:keepNext w:val="0"/>
        <w:keepLines w:val="0"/>
        <w:pageBreakBefore w:val="0"/>
        <w:widowControl w:val="0"/>
        <w:kinsoku/>
        <w:wordWrap/>
        <w:overflowPunct/>
        <w:topLinePunct w:val="0"/>
        <w:bidi w:val="0"/>
        <w:snapToGrid/>
        <w:spacing w:line="336" w:lineRule="auto"/>
        <w:ind w:firstLine="480" w:firstLineChars="200"/>
        <w:jc w:val="both"/>
        <w:textAlignment w:val="auto"/>
        <w:rPr>
          <w:rFonts w:hint="eastAsia" w:ascii="宋体" w:hAnsi="宋体" w:cs="宋体"/>
          <w:color w:val="auto"/>
          <w:kern w:val="2"/>
          <w:szCs w:val="24"/>
          <w:highlight w:val="none"/>
        </w:rPr>
      </w:pPr>
      <w:r>
        <w:rPr>
          <w:rFonts w:hint="eastAsia" w:ascii="宋体" w:hAnsi="宋体" w:cs="宋体"/>
          <w:color w:val="auto"/>
          <w:kern w:val="2"/>
          <w:szCs w:val="24"/>
          <w:highlight w:val="none"/>
        </w:rPr>
        <w:t>26.1 在公告中标结果的同时，采购人或者采购代理机构向中标人发出中标通知书。</w:t>
      </w:r>
    </w:p>
    <w:p>
      <w:pPr>
        <w:pStyle w:val="34"/>
        <w:keepNext w:val="0"/>
        <w:keepLines w:val="0"/>
        <w:pageBreakBefore w:val="0"/>
        <w:widowControl w:val="0"/>
        <w:kinsoku/>
        <w:wordWrap/>
        <w:overflowPunct/>
        <w:topLinePunct w:val="0"/>
        <w:bidi w:val="0"/>
        <w:snapToGrid/>
        <w:spacing w:line="336" w:lineRule="auto"/>
        <w:ind w:firstLine="480" w:firstLineChars="200"/>
        <w:jc w:val="both"/>
        <w:textAlignment w:val="auto"/>
        <w:rPr>
          <w:rFonts w:hint="eastAsia" w:ascii="宋体" w:hAnsi="宋体" w:cs="宋体"/>
          <w:color w:val="auto"/>
          <w:kern w:val="2"/>
          <w:szCs w:val="24"/>
          <w:highlight w:val="none"/>
        </w:rPr>
      </w:pPr>
      <w:r>
        <w:rPr>
          <w:rFonts w:hint="eastAsia" w:ascii="宋体" w:hAnsi="宋体" w:cs="宋体"/>
          <w:color w:val="auto"/>
          <w:kern w:val="2"/>
          <w:szCs w:val="24"/>
          <w:highlight w:val="none"/>
        </w:rPr>
        <w:t xml:space="preserve">26.2 </w:t>
      </w:r>
      <w:r>
        <w:rPr>
          <w:rFonts w:hint="eastAsia" w:ascii="宋体" w:hAnsi="宋体" w:cs="宋体"/>
          <w:color w:val="auto"/>
          <w:szCs w:val="24"/>
          <w:highlight w:val="none"/>
        </w:rPr>
        <w:t>对于所有</w:t>
      </w:r>
      <w:r>
        <w:rPr>
          <w:rFonts w:hint="eastAsia" w:ascii="宋体" w:hAnsi="宋体" w:cs="宋体"/>
          <w:color w:val="auto"/>
          <w:szCs w:val="24"/>
          <w:highlight w:val="none"/>
          <w:lang w:eastAsia="zh-CN"/>
        </w:rPr>
        <w:t>供应商</w:t>
      </w:r>
      <w:r>
        <w:rPr>
          <w:rFonts w:hint="eastAsia" w:ascii="宋体" w:hAnsi="宋体" w:cs="宋体"/>
          <w:color w:val="auto"/>
          <w:szCs w:val="24"/>
          <w:highlight w:val="none"/>
        </w:rPr>
        <w:t>的</w:t>
      </w:r>
      <w:r>
        <w:rPr>
          <w:rFonts w:hint="eastAsia" w:ascii="宋体" w:hAnsi="宋体" w:cs="宋体"/>
          <w:color w:val="auto"/>
          <w:szCs w:val="24"/>
          <w:highlight w:val="none"/>
          <w:lang w:eastAsia="zh-CN"/>
        </w:rPr>
        <w:t>响应文件</w:t>
      </w:r>
      <w:r>
        <w:rPr>
          <w:rFonts w:hint="eastAsia" w:ascii="宋体" w:hAnsi="宋体" w:cs="宋体"/>
          <w:color w:val="auto"/>
          <w:szCs w:val="24"/>
          <w:highlight w:val="none"/>
        </w:rPr>
        <w:t>均</w:t>
      </w:r>
      <w:r>
        <w:rPr>
          <w:rFonts w:hint="eastAsia" w:ascii="宋体" w:hAnsi="宋体" w:cs="宋体"/>
          <w:color w:val="auto"/>
          <w:szCs w:val="24"/>
          <w:highlight w:val="none"/>
          <w:shd w:val="clear" w:color="auto" w:fill="FFFFFF"/>
        </w:rPr>
        <w:t>不予以退还，但对其承担保密责任。</w:t>
      </w:r>
    </w:p>
    <w:p>
      <w:pPr>
        <w:pStyle w:val="34"/>
        <w:keepNext w:val="0"/>
        <w:keepLines w:val="0"/>
        <w:pageBreakBefore w:val="0"/>
        <w:widowControl w:val="0"/>
        <w:kinsoku/>
        <w:wordWrap/>
        <w:overflowPunct/>
        <w:topLinePunct w:val="0"/>
        <w:bidi w:val="0"/>
        <w:snapToGrid/>
        <w:spacing w:line="336" w:lineRule="auto"/>
        <w:ind w:firstLine="480" w:firstLineChars="200"/>
        <w:jc w:val="both"/>
        <w:textAlignment w:val="auto"/>
        <w:outlineLvl w:val="1"/>
        <w:rPr>
          <w:rFonts w:hint="eastAsia" w:ascii="宋体" w:hAnsi="宋体" w:cs="宋体"/>
          <w:color w:val="auto"/>
          <w:kern w:val="2"/>
          <w:szCs w:val="24"/>
          <w:highlight w:val="none"/>
        </w:rPr>
      </w:pPr>
      <w:bookmarkStart w:id="70" w:name="_Toc27437"/>
      <w:r>
        <w:rPr>
          <w:rFonts w:hint="eastAsia" w:ascii="宋体" w:hAnsi="宋体" w:cs="宋体"/>
          <w:color w:val="auto"/>
          <w:kern w:val="2"/>
          <w:szCs w:val="24"/>
          <w:highlight w:val="none"/>
        </w:rPr>
        <w:t>27. 拒绝某些或所有投标的权力。</w:t>
      </w:r>
      <w:bookmarkEnd w:id="70"/>
    </w:p>
    <w:p>
      <w:pPr>
        <w:pStyle w:val="34"/>
        <w:keepNext w:val="0"/>
        <w:keepLines w:val="0"/>
        <w:pageBreakBefore w:val="0"/>
        <w:widowControl w:val="0"/>
        <w:kinsoku/>
        <w:wordWrap/>
        <w:overflowPunct/>
        <w:topLinePunct w:val="0"/>
        <w:bidi w:val="0"/>
        <w:snapToGrid/>
        <w:spacing w:line="336" w:lineRule="auto"/>
        <w:ind w:firstLine="480" w:firstLineChars="200"/>
        <w:jc w:val="both"/>
        <w:textAlignment w:val="auto"/>
        <w:rPr>
          <w:rFonts w:hint="eastAsia" w:ascii="宋体" w:hAnsi="宋体" w:cs="宋体"/>
          <w:color w:val="auto"/>
          <w:kern w:val="2"/>
          <w:szCs w:val="24"/>
          <w:highlight w:val="none"/>
        </w:rPr>
      </w:pPr>
      <w:r>
        <w:rPr>
          <w:rFonts w:hint="eastAsia" w:ascii="宋体" w:hAnsi="宋体" w:cs="宋体"/>
          <w:color w:val="auto"/>
          <w:kern w:val="2"/>
          <w:szCs w:val="24"/>
          <w:highlight w:val="none"/>
        </w:rPr>
        <w:t>27.1 采购人或采购代理机构有权在《中标通知书》发放之前的任何时候拒绝任何有不正当行为或扰乱正常招标工作的</w:t>
      </w:r>
      <w:r>
        <w:rPr>
          <w:rFonts w:hint="eastAsia" w:ascii="宋体" w:hAnsi="宋体" w:cs="宋体"/>
          <w:color w:val="auto"/>
          <w:kern w:val="2"/>
          <w:szCs w:val="24"/>
          <w:highlight w:val="none"/>
          <w:lang w:eastAsia="zh-CN"/>
        </w:rPr>
        <w:t>供应商</w:t>
      </w:r>
      <w:r>
        <w:rPr>
          <w:rFonts w:hint="eastAsia" w:ascii="宋体" w:hAnsi="宋体" w:cs="宋体"/>
          <w:color w:val="auto"/>
          <w:kern w:val="2"/>
          <w:szCs w:val="24"/>
          <w:highlight w:val="none"/>
        </w:rPr>
        <w:t>，由此对相关</w:t>
      </w:r>
      <w:r>
        <w:rPr>
          <w:rFonts w:hint="eastAsia" w:ascii="宋体" w:hAnsi="宋体" w:cs="宋体"/>
          <w:color w:val="auto"/>
          <w:kern w:val="2"/>
          <w:szCs w:val="24"/>
          <w:highlight w:val="none"/>
          <w:lang w:eastAsia="zh-CN"/>
        </w:rPr>
        <w:t>供应商</w:t>
      </w:r>
      <w:r>
        <w:rPr>
          <w:rFonts w:hint="eastAsia" w:ascii="宋体" w:hAnsi="宋体" w:cs="宋体"/>
          <w:color w:val="auto"/>
          <w:kern w:val="2"/>
          <w:szCs w:val="24"/>
          <w:highlight w:val="none"/>
        </w:rPr>
        <w:t>造成的损失不负责任。</w:t>
      </w:r>
    </w:p>
    <w:p>
      <w:pPr>
        <w:pStyle w:val="33"/>
        <w:numPr>
          <w:ilvl w:val="2"/>
          <w:numId w:val="0"/>
        </w:numPr>
        <w:tabs>
          <w:tab w:val="clear" w:pos="720"/>
        </w:tabs>
        <w:ind w:leftChars="0"/>
        <w:jc w:val="center"/>
        <w:outlineLvl w:val="9"/>
        <w:rPr>
          <w:rFonts w:hint="eastAsia"/>
          <w:b/>
          <w:bCs/>
          <w:color w:val="auto"/>
          <w:highlight w:val="none"/>
        </w:rPr>
      </w:pPr>
      <w:r>
        <w:rPr>
          <w:rFonts w:hint="eastAsia"/>
          <w:b/>
          <w:bCs/>
          <w:color w:val="auto"/>
          <w:highlight w:val="none"/>
        </w:rPr>
        <w:t>七、授予合同</w:t>
      </w:r>
    </w:p>
    <w:p>
      <w:pPr>
        <w:pStyle w:val="35"/>
        <w:keepNext w:val="0"/>
        <w:keepLines w:val="0"/>
        <w:pageBreakBefore w:val="0"/>
        <w:widowControl w:val="0"/>
        <w:kinsoku/>
        <w:wordWrap/>
        <w:overflowPunct/>
        <w:topLinePunct w:val="0"/>
        <w:autoSpaceDE/>
        <w:autoSpaceDN/>
        <w:bidi w:val="0"/>
        <w:adjustRightInd/>
        <w:snapToGrid/>
        <w:spacing w:line="336" w:lineRule="auto"/>
        <w:ind w:firstLine="483"/>
        <w:textAlignment w:val="auto"/>
        <w:outlineLvl w:val="1"/>
        <w:rPr>
          <w:rFonts w:hint="eastAsia" w:ascii="宋体" w:hAnsi="宋体" w:eastAsia="宋体" w:cs="宋体"/>
          <w:color w:val="auto"/>
          <w:sz w:val="24"/>
          <w:highlight w:val="none"/>
        </w:rPr>
      </w:pPr>
      <w:bookmarkStart w:id="71" w:name="_Toc14819"/>
      <w:r>
        <w:rPr>
          <w:rFonts w:hint="eastAsia" w:ascii="宋体" w:hAnsi="宋体" w:eastAsia="宋体" w:cs="宋体"/>
          <w:color w:val="auto"/>
          <w:sz w:val="24"/>
          <w:highlight w:val="none"/>
        </w:rPr>
        <w:t>28.  签订合同</w:t>
      </w:r>
      <w:bookmarkEnd w:id="71"/>
    </w:p>
    <w:p>
      <w:pPr>
        <w:pStyle w:val="35"/>
        <w:keepNext w:val="0"/>
        <w:keepLines w:val="0"/>
        <w:pageBreakBefore w:val="0"/>
        <w:widowControl w:val="0"/>
        <w:kinsoku/>
        <w:wordWrap/>
        <w:overflowPunct/>
        <w:topLinePunct w:val="0"/>
        <w:autoSpaceDE/>
        <w:autoSpaceDN/>
        <w:bidi w:val="0"/>
        <w:adjustRightInd/>
        <w:snapToGrid/>
        <w:spacing w:line="336" w:lineRule="auto"/>
        <w:ind w:firstLine="483"/>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28.1  中标人收到《中标通知书》后，须按有关规定与采购人签定经济合同。合同的签订一般在《中标通知书》发出后30天内进行，但采购人事先约定的情况除外。</w:t>
      </w:r>
    </w:p>
    <w:p>
      <w:pPr>
        <w:pStyle w:val="35"/>
        <w:keepNext w:val="0"/>
        <w:keepLines w:val="0"/>
        <w:pageBreakBefore w:val="0"/>
        <w:widowControl w:val="0"/>
        <w:kinsoku/>
        <w:wordWrap/>
        <w:overflowPunct/>
        <w:topLinePunct w:val="0"/>
        <w:autoSpaceDE/>
        <w:autoSpaceDN/>
        <w:bidi w:val="0"/>
        <w:adjustRightInd/>
        <w:snapToGrid/>
        <w:spacing w:line="336" w:lineRule="auto"/>
        <w:ind w:firstLine="483"/>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28.2  合同签订后，中标人应按合同的规定履行合同，未按规定履约的，采购人有权取消合同，并且不退还中标人的投标保证金。</w:t>
      </w:r>
    </w:p>
    <w:p>
      <w:pPr>
        <w:pStyle w:val="35"/>
        <w:keepNext w:val="0"/>
        <w:keepLines w:val="0"/>
        <w:pageBreakBefore w:val="0"/>
        <w:widowControl w:val="0"/>
        <w:kinsoku/>
        <w:wordWrap/>
        <w:overflowPunct/>
        <w:topLinePunct w:val="0"/>
        <w:autoSpaceDE/>
        <w:autoSpaceDN/>
        <w:bidi w:val="0"/>
        <w:adjustRightInd/>
        <w:snapToGrid/>
        <w:spacing w:line="336" w:lineRule="auto"/>
        <w:ind w:firstLine="483"/>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28.3  中标合同不得转让或分包。如需对合同的非主体部分进行转让或分包，</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必须在</w:t>
      </w:r>
      <w:r>
        <w:rPr>
          <w:rFonts w:hint="eastAsia" w:ascii="宋体" w:hAnsi="宋体" w:eastAsia="宋体" w:cs="宋体"/>
          <w:color w:val="auto"/>
          <w:sz w:val="24"/>
          <w:highlight w:val="none"/>
          <w:lang w:eastAsia="zh-CN"/>
        </w:rPr>
        <w:t>响应文件</w:t>
      </w:r>
      <w:r>
        <w:rPr>
          <w:rFonts w:hint="eastAsia" w:ascii="宋体" w:hAnsi="宋体" w:eastAsia="宋体" w:cs="宋体"/>
          <w:color w:val="auto"/>
          <w:sz w:val="24"/>
          <w:highlight w:val="none"/>
        </w:rPr>
        <w:t>中予以说明，并需经采购人同意。否则，采购人有权取消中标人的中标资格。</w:t>
      </w:r>
    </w:p>
    <w:p>
      <w:pPr>
        <w:pStyle w:val="35"/>
        <w:keepNext w:val="0"/>
        <w:keepLines w:val="0"/>
        <w:pageBreakBefore w:val="0"/>
        <w:widowControl w:val="0"/>
        <w:kinsoku/>
        <w:wordWrap/>
        <w:overflowPunct/>
        <w:topLinePunct w:val="0"/>
        <w:autoSpaceDE/>
        <w:autoSpaceDN/>
        <w:bidi w:val="0"/>
        <w:adjustRightInd/>
        <w:snapToGrid/>
        <w:spacing w:line="336" w:lineRule="auto"/>
        <w:ind w:firstLine="483"/>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28.4  如中标人未按有关规定与采购人签订合同或提交合同履约保证金的，采购人可以选择其他中标候选人为中标人，并组织中标人和采购人签订经济合同。</w:t>
      </w:r>
    </w:p>
    <w:p>
      <w:pPr>
        <w:pStyle w:val="35"/>
        <w:keepNext w:val="0"/>
        <w:keepLines w:val="0"/>
        <w:pageBreakBefore w:val="0"/>
        <w:widowControl w:val="0"/>
        <w:kinsoku/>
        <w:wordWrap/>
        <w:overflowPunct/>
        <w:topLinePunct w:val="0"/>
        <w:autoSpaceDE/>
        <w:autoSpaceDN/>
        <w:bidi w:val="0"/>
        <w:adjustRightInd/>
        <w:snapToGrid/>
        <w:spacing w:line="336" w:lineRule="auto"/>
        <w:ind w:firstLine="483"/>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28.5  合同履约保证金的形式为银行保函，另有约定的，按照约定条件执行。</w:t>
      </w:r>
    </w:p>
    <w:p>
      <w:pPr>
        <w:pStyle w:val="35"/>
        <w:keepNext w:val="0"/>
        <w:keepLines w:val="0"/>
        <w:pageBreakBefore w:val="0"/>
        <w:widowControl w:val="0"/>
        <w:kinsoku/>
        <w:wordWrap/>
        <w:overflowPunct/>
        <w:topLinePunct w:val="0"/>
        <w:autoSpaceDE/>
        <w:autoSpaceDN/>
        <w:bidi w:val="0"/>
        <w:adjustRightInd/>
        <w:snapToGrid/>
        <w:spacing w:line="336" w:lineRule="auto"/>
        <w:ind w:firstLine="483"/>
        <w:textAlignment w:val="auto"/>
        <w:outlineLvl w:val="1"/>
        <w:rPr>
          <w:rFonts w:hint="eastAsia" w:ascii="宋体" w:hAnsi="宋体" w:eastAsia="宋体" w:cs="宋体"/>
          <w:color w:val="auto"/>
          <w:sz w:val="24"/>
          <w:highlight w:val="none"/>
        </w:rPr>
      </w:pPr>
      <w:bookmarkStart w:id="72" w:name="_Toc27983"/>
      <w:r>
        <w:rPr>
          <w:rFonts w:hint="eastAsia" w:ascii="宋体" w:hAnsi="宋体" w:eastAsia="宋体" w:cs="宋体"/>
          <w:color w:val="auto"/>
          <w:sz w:val="24"/>
          <w:highlight w:val="none"/>
        </w:rPr>
        <w:t>29.  合同的组成</w:t>
      </w:r>
      <w:bookmarkEnd w:id="72"/>
    </w:p>
    <w:p>
      <w:pPr>
        <w:pStyle w:val="35"/>
        <w:keepNext w:val="0"/>
        <w:keepLines w:val="0"/>
        <w:pageBreakBefore w:val="0"/>
        <w:widowControl w:val="0"/>
        <w:kinsoku/>
        <w:wordWrap/>
        <w:overflowPunct/>
        <w:topLinePunct w:val="0"/>
        <w:autoSpaceDE/>
        <w:autoSpaceDN/>
        <w:bidi w:val="0"/>
        <w:adjustRightInd/>
        <w:snapToGrid/>
        <w:spacing w:line="336" w:lineRule="auto"/>
        <w:ind w:firstLine="483"/>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29.1  下列文件均为经济合同不可分割的组成部分：</w:t>
      </w:r>
    </w:p>
    <w:p>
      <w:pPr>
        <w:pStyle w:val="35"/>
        <w:keepNext w:val="0"/>
        <w:keepLines w:val="0"/>
        <w:pageBreakBefore w:val="0"/>
        <w:widowControl w:val="0"/>
        <w:kinsoku/>
        <w:wordWrap/>
        <w:overflowPunct/>
        <w:topLinePunct w:val="0"/>
        <w:autoSpaceDE/>
        <w:autoSpaceDN/>
        <w:bidi w:val="0"/>
        <w:adjustRightInd/>
        <w:snapToGrid/>
        <w:spacing w:line="336" w:lineRule="auto"/>
        <w:ind w:firstLine="483"/>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29.1.1  </w:t>
      </w:r>
      <w:r>
        <w:rPr>
          <w:rFonts w:hint="eastAsia" w:ascii="宋体" w:hAnsi="宋体" w:eastAsia="宋体" w:cs="宋体"/>
          <w:color w:val="auto"/>
          <w:sz w:val="24"/>
          <w:highlight w:val="none"/>
          <w:lang w:eastAsia="zh-CN"/>
        </w:rPr>
        <w:t>竞争性磋商文件</w:t>
      </w:r>
      <w:r>
        <w:rPr>
          <w:rFonts w:hint="eastAsia" w:ascii="宋体" w:hAnsi="宋体" w:eastAsia="宋体" w:cs="宋体"/>
          <w:color w:val="auto"/>
          <w:sz w:val="24"/>
          <w:highlight w:val="none"/>
        </w:rPr>
        <w:t>及其附件、澄清文件；</w:t>
      </w:r>
    </w:p>
    <w:p>
      <w:pPr>
        <w:pStyle w:val="35"/>
        <w:keepNext w:val="0"/>
        <w:keepLines w:val="0"/>
        <w:pageBreakBefore w:val="0"/>
        <w:widowControl w:val="0"/>
        <w:kinsoku/>
        <w:wordWrap/>
        <w:overflowPunct/>
        <w:topLinePunct w:val="0"/>
        <w:autoSpaceDE/>
        <w:autoSpaceDN/>
        <w:bidi w:val="0"/>
        <w:adjustRightInd/>
        <w:snapToGrid/>
        <w:spacing w:line="336" w:lineRule="auto"/>
        <w:ind w:firstLine="483"/>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29.1.2  中标的</w:t>
      </w:r>
      <w:r>
        <w:rPr>
          <w:rFonts w:hint="eastAsia" w:ascii="宋体" w:hAnsi="宋体" w:eastAsia="宋体" w:cs="宋体"/>
          <w:color w:val="auto"/>
          <w:sz w:val="24"/>
          <w:highlight w:val="none"/>
          <w:lang w:eastAsia="zh-CN"/>
        </w:rPr>
        <w:t>响应文件</w:t>
      </w:r>
      <w:r>
        <w:rPr>
          <w:rFonts w:hint="eastAsia" w:ascii="宋体" w:hAnsi="宋体" w:eastAsia="宋体" w:cs="宋体"/>
          <w:color w:val="auto"/>
          <w:sz w:val="24"/>
          <w:highlight w:val="none"/>
        </w:rPr>
        <w:t xml:space="preserve">及其他附件； </w:t>
      </w:r>
    </w:p>
    <w:p>
      <w:pPr>
        <w:pStyle w:val="35"/>
        <w:keepNext w:val="0"/>
        <w:keepLines w:val="0"/>
        <w:pageBreakBefore w:val="0"/>
        <w:widowControl w:val="0"/>
        <w:kinsoku/>
        <w:wordWrap/>
        <w:overflowPunct/>
        <w:topLinePunct w:val="0"/>
        <w:autoSpaceDE/>
        <w:autoSpaceDN/>
        <w:bidi w:val="0"/>
        <w:adjustRightInd/>
        <w:snapToGrid/>
        <w:spacing w:line="336" w:lineRule="auto"/>
        <w:ind w:firstLine="483"/>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29.1.3  经确认的答疑记录；</w:t>
      </w:r>
    </w:p>
    <w:p>
      <w:pPr>
        <w:pStyle w:val="34"/>
        <w:keepNext w:val="0"/>
        <w:keepLines w:val="0"/>
        <w:pageBreakBefore w:val="0"/>
        <w:widowControl w:val="0"/>
        <w:kinsoku/>
        <w:wordWrap/>
        <w:overflowPunct/>
        <w:topLinePunct w:val="0"/>
        <w:autoSpaceDE/>
        <w:autoSpaceDN/>
        <w:bidi w:val="0"/>
        <w:adjustRightInd/>
        <w:snapToGrid/>
        <w:spacing w:line="336" w:lineRule="auto"/>
        <w:ind w:firstLine="480" w:firstLineChars="200"/>
        <w:jc w:val="both"/>
        <w:textAlignment w:val="auto"/>
        <w:rPr>
          <w:rFonts w:hint="eastAsia" w:ascii="宋体" w:hAnsi="宋体" w:cs="宋体"/>
          <w:color w:val="auto"/>
          <w:szCs w:val="24"/>
          <w:highlight w:val="none"/>
        </w:rPr>
      </w:pPr>
      <w:r>
        <w:rPr>
          <w:rFonts w:hint="eastAsia" w:ascii="宋体" w:hAnsi="宋体" w:cs="宋体"/>
          <w:color w:val="auto"/>
          <w:szCs w:val="24"/>
          <w:highlight w:val="none"/>
        </w:rPr>
        <w:t>29.1.4  中标通知书。</w:t>
      </w:r>
    </w:p>
    <w:p>
      <w:pPr>
        <w:pStyle w:val="33"/>
        <w:numPr>
          <w:ilvl w:val="2"/>
          <w:numId w:val="0"/>
        </w:numPr>
        <w:tabs>
          <w:tab w:val="clear" w:pos="720"/>
        </w:tabs>
        <w:ind w:leftChars="0"/>
        <w:jc w:val="center"/>
        <w:outlineLvl w:val="9"/>
        <w:rPr>
          <w:rFonts w:hint="eastAsia"/>
          <w:b/>
          <w:bCs/>
          <w:color w:val="auto"/>
          <w:highlight w:val="none"/>
        </w:rPr>
      </w:pPr>
      <w:r>
        <w:rPr>
          <w:rFonts w:hint="eastAsia"/>
          <w:b/>
          <w:bCs/>
          <w:color w:val="auto"/>
          <w:highlight w:val="none"/>
        </w:rPr>
        <w:t>八、买方授标时更改采购货物数量的权利</w:t>
      </w:r>
    </w:p>
    <w:p>
      <w:pPr>
        <w:pStyle w:val="35"/>
        <w:keepNext w:val="0"/>
        <w:keepLines w:val="0"/>
        <w:pageBreakBefore w:val="0"/>
        <w:widowControl w:val="0"/>
        <w:kinsoku/>
        <w:wordWrap/>
        <w:overflowPunct/>
        <w:topLinePunct w:val="0"/>
        <w:autoSpaceDE/>
        <w:autoSpaceDN/>
        <w:bidi w:val="0"/>
        <w:adjustRightInd/>
        <w:snapToGrid/>
        <w:spacing w:line="336" w:lineRule="auto"/>
        <w:ind w:firstLine="483"/>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30. 买方在授予合同时有权按“</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须知前附表”第12项约定的内容对“货物需求表”中规定的货物数量和服务予以局部增加或减少，但不得对单价或其它实质性内容做任何改变，对增减的数量按同类型中标产品价结算货款。</w:t>
      </w:r>
    </w:p>
    <w:p>
      <w:pPr>
        <w:pStyle w:val="33"/>
        <w:numPr>
          <w:ilvl w:val="2"/>
          <w:numId w:val="0"/>
        </w:numPr>
        <w:tabs>
          <w:tab w:val="clear" w:pos="720"/>
        </w:tabs>
        <w:ind w:leftChars="0"/>
        <w:jc w:val="center"/>
        <w:outlineLvl w:val="9"/>
        <w:rPr>
          <w:rFonts w:hint="eastAsia"/>
          <w:b/>
          <w:bCs/>
          <w:color w:val="auto"/>
          <w:highlight w:val="none"/>
        </w:rPr>
      </w:pPr>
      <w:r>
        <w:rPr>
          <w:rFonts w:hint="eastAsia"/>
          <w:b/>
          <w:bCs/>
          <w:color w:val="auto"/>
          <w:highlight w:val="none"/>
        </w:rPr>
        <w:t>九、其他事项</w:t>
      </w:r>
    </w:p>
    <w:p>
      <w:pPr>
        <w:pStyle w:val="35"/>
        <w:keepNext w:val="0"/>
        <w:keepLines w:val="0"/>
        <w:pageBreakBefore w:val="0"/>
        <w:widowControl w:val="0"/>
        <w:kinsoku/>
        <w:wordWrap/>
        <w:overflowPunct/>
        <w:topLinePunct w:val="0"/>
        <w:autoSpaceDE/>
        <w:autoSpaceDN/>
        <w:bidi w:val="0"/>
        <w:adjustRightInd/>
        <w:snapToGrid/>
        <w:spacing w:line="336" w:lineRule="auto"/>
        <w:ind w:firstLine="483"/>
        <w:textAlignment w:val="auto"/>
        <w:outlineLvl w:val="1"/>
        <w:rPr>
          <w:rFonts w:hint="eastAsia" w:ascii="宋体" w:hAnsi="宋体" w:eastAsia="宋体" w:cs="宋体"/>
          <w:color w:val="auto"/>
          <w:sz w:val="24"/>
          <w:highlight w:val="none"/>
        </w:rPr>
      </w:pPr>
      <w:bookmarkStart w:id="73" w:name="_Toc26067"/>
      <w:r>
        <w:rPr>
          <w:rFonts w:hint="eastAsia" w:ascii="宋体" w:hAnsi="宋体" w:eastAsia="宋体" w:cs="宋体"/>
          <w:color w:val="auto"/>
          <w:sz w:val="24"/>
          <w:highlight w:val="none"/>
        </w:rPr>
        <w:t>31.  中标服务费</w:t>
      </w:r>
      <w:bookmarkEnd w:id="73"/>
    </w:p>
    <w:p>
      <w:pPr>
        <w:pStyle w:val="35"/>
        <w:keepNext w:val="0"/>
        <w:keepLines w:val="0"/>
        <w:pageBreakBefore w:val="0"/>
        <w:widowControl w:val="0"/>
        <w:kinsoku/>
        <w:wordWrap/>
        <w:overflowPunct/>
        <w:topLinePunct w:val="0"/>
        <w:autoSpaceDE/>
        <w:autoSpaceDN/>
        <w:bidi w:val="0"/>
        <w:adjustRightInd/>
        <w:snapToGrid/>
        <w:spacing w:line="336" w:lineRule="auto"/>
        <w:ind w:firstLine="483"/>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31.1 中标人应按本</w:t>
      </w:r>
      <w:r>
        <w:rPr>
          <w:rFonts w:hint="eastAsia" w:ascii="宋体" w:hAnsi="宋体" w:eastAsia="宋体" w:cs="宋体"/>
          <w:color w:val="auto"/>
          <w:sz w:val="24"/>
          <w:highlight w:val="none"/>
          <w:lang w:eastAsia="zh-CN"/>
        </w:rPr>
        <w:t>竞争性磋商文件</w:t>
      </w:r>
      <w:r>
        <w:rPr>
          <w:rFonts w:hint="eastAsia" w:ascii="宋体" w:hAnsi="宋体" w:eastAsia="宋体" w:cs="宋体"/>
          <w:color w:val="auto"/>
          <w:sz w:val="24"/>
          <w:highlight w:val="none"/>
        </w:rPr>
        <w:t>的规定，在《中标通知书》核发时至核发后3天内，向采购代理机构支付中标服务费。</w:t>
      </w:r>
    </w:p>
    <w:p>
      <w:pPr>
        <w:pStyle w:val="35"/>
        <w:keepNext w:val="0"/>
        <w:keepLines w:val="0"/>
        <w:pageBreakBefore w:val="0"/>
        <w:widowControl w:val="0"/>
        <w:kinsoku/>
        <w:wordWrap/>
        <w:overflowPunct/>
        <w:topLinePunct w:val="0"/>
        <w:autoSpaceDE/>
        <w:autoSpaceDN/>
        <w:bidi w:val="0"/>
        <w:adjustRightInd/>
        <w:snapToGrid/>
        <w:spacing w:line="336" w:lineRule="auto"/>
        <w:ind w:firstLine="483"/>
        <w:textAlignment w:val="auto"/>
        <w:rPr>
          <w:rFonts w:hint="eastAsia" w:ascii="宋体" w:hAnsi="宋体" w:eastAsia="宋体" w:cs="宋体"/>
          <w:color w:val="auto"/>
          <w:sz w:val="24"/>
          <w:highlight w:val="none"/>
        </w:rPr>
      </w:pPr>
      <w:bookmarkStart w:id="74" w:name="_Toc19074"/>
      <w:bookmarkStart w:id="75" w:name="_Toc14033"/>
      <w:r>
        <w:rPr>
          <w:rFonts w:hint="eastAsia" w:ascii="宋体" w:hAnsi="宋体" w:eastAsia="宋体" w:cs="宋体"/>
          <w:color w:val="auto"/>
          <w:sz w:val="24"/>
          <w:highlight w:val="none"/>
        </w:rPr>
        <w:t>31.2 中标服务费的计算基数是中标人投标报价的总金额，即中标通知书中载明的中标金额</w:t>
      </w:r>
      <w:bookmarkEnd w:id="74"/>
      <w:bookmarkEnd w:id="75"/>
      <w:r>
        <w:rPr>
          <w:rFonts w:hint="eastAsia" w:ascii="宋体" w:hAnsi="宋体" w:eastAsia="宋体" w:cs="宋体"/>
          <w:color w:val="auto"/>
          <w:sz w:val="24"/>
          <w:highlight w:val="none"/>
        </w:rPr>
        <w:t>。</w:t>
      </w:r>
    </w:p>
    <w:p>
      <w:pPr>
        <w:pStyle w:val="35"/>
        <w:keepNext w:val="0"/>
        <w:keepLines w:val="0"/>
        <w:pageBreakBefore w:val="0"/>
        <w:widowControl w:val="0"/>
        <w:kinsoku/>
        <w:wordWrap/>
        <w:overflowPunct/>
        <w:topLinePunct w:val="0"/>
        <w:autoSpaceDE/>
        <w:autoSpaceDN/>
        <w:bidi w:val="0"/>
        <w:adjustRightInd/>
        <w:snapToGrid/>
        <w:spacing w:line="336" w:lineRule="auto"/>
        <w:ind w:firstLine="483"/>
        <w:textAlignment w:val="auto"/>
        <w:rPr>
          <w:rFonts w:hint="eastAsia" w:ascii="宋体" w:hAnsi="宋体" w:eastAsia="宋体" w:cs="宋体"/>
          <w:color w:val="auto"/>
          <w:sz w:val="24"/>
          <w:highlight w:val="none"/>
        </w:rPr>
      </w:pPr>
      <w:bookmarkStart w:id="76" w:name="_Toc12711"/>
      <w:r>
        <w:rPr>
          <w:rFonts w:hint="eastAsia" w:ascii="宋体" w:hAnsi="宋体" w:eastAsia="宋体" w:cs="宋体"/>
          <w:color w:val="auto"/>
          <w:sz w:val="24"/>
          <w:highlight w:val="none"/>
        </w:rPr>
        <w:t>32. 参与本次招标的投标企业必须有商务、技术人员对评标委员会提出的商务、技术问题进行答疑。</w:t>
      </w:r>
      <w:bookmarkEnd w:id="76"/>
    </w:p>
    <w:p>
      <w:pPr>
        <w:pStyle w:val="35"/>
        <w:keepNext w:val="0"/>
        <w:keepLines w:val="0"/>
        <w:pageBreakBefore w:val="0"/>
        <w:widowControl w:val="0"/>
        <w:kinsoku/>
        <w:wordWrap/>
        <w:overflowPunct/>
        <w:topLinePunct w:val="0"/>
        <w:autoSpaceDE/>
        <w:autoSpaceDN/>
        <w:bidi w:val="0"/>
        <w:adjustRightInd/>
        <w:snapToGrid/>
        <w:spacing w:line="336" w:lineRule="auto"/>
        <w:ind w:firstLine="483"/>
        <w:textAlignment w:val="auto"/>
        <w:outlineLvl w:val="1"/>
        <w:rPr>
          <w:rFonts w:hint="eastAsia" w:ascii="宋体" w:hAnsi="宋体" w:eastAsia="宋体" w:cs="宋体"/>
          <w:color w:val="auto"/>
          <w:sz w:val="24"/>
          <w:highlight w:val="none"/>
        </w:rPr>
      </w:pPr>
      <w:bookmarkStart w:id="77" w:name="_Toc12194"/>
      <w:r>
        <w:rPr>
          <w:rFonts w:hint="eastAsia" w:ascii="宋体" w:hAnsi="宋体" w:eastAsia="宋体" w:cs="宋体"/>
          <w:color w:val="auto"/>
          <w:sz w:val="24"/>
          <w:highlight w:val="none"/>
        </w:rPr>
        <w:t>33. 有下列情形之一的，视为</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串通投标，其投标无效：</w:t>
      </w:r>
      <w:bookmarkEnd w:id="77"/>
    </w:p>
    <w:p>
      <w:pPr>
        <w:pStyle w:val="35"/>
        <w:keepNext w:val="0"/>
        <w:keepLines w:val="0"/>
        <w:pageBreakBefore w:val="0"/>
        <w:widowControl w:val="0"/>
        <w:kinsoku/>
        <w:wordWrap/>
        <w:overflowPunct/>
        <w:topLinePunct w:val="0"/>
        <w:autoSpaceDE/>
        <w:autoSpaceDN/>
        <w:bidi w:val="0"/>
        <w:adjustRightInd/>
        <w:snapToGrid/>
        <w:spacing w:line="336" w:lineRule="auto"/>
        <w:ind w:firstLine="483"/>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33.1  不同</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的</w:t>
      </w:r>
      <w:r>
        <w:rPr>
          <w:rFonts w:hint="eastAsia" w:ascii="宋体" w:hAnsi="宋体" w:eastAsia="宋体" w:cs="宋体"/>
          <w:color w:val="auto"/>
          <w:sz w:val="24"/>
          <w:highlight w:val="none"/>
          <w:lang w:eastAsia="zh-CN"/>
        </w:rPr>
        <w:t>响应文件</w:t>
      </w:r>
      <w:r>
        <w:rPr>
          <w:rFonts w:hint="eastAsia" w:ascii="宋体" w:hAnsi="宋体" w:eastAsia="宋体" w:cs="宋体"/>
          <w:color w:val="auto"/>
          <w:sz w:val="24"/>
          <w:highlight w:val="none"/>
        </w:rPr>
        <w:t>由同一单位或者个人编制；</w:t>
      </w:r>
    </w:p>
    <w:p>
      <w:pPr>
        <w:pStyle w:val="35"/>
        <w:keepNext w:val="0"/>
        <w:keepLines w:val="0"/>
        <w:pageBreakBefore w:val="0"/>
        <w:widowControl w:val="0"/>
        <w:kinsoku/>
        <w:wordWrap/>
        <w:overflowPunct/>
        <w:topLinePunct w:val="0"/>
        <w:autoSpaceDE/>
        <w:autoSpaceDN/>
        <w:bidi w:val="0"/>
        <w:adjustRightInd/>
        <w:snapToGrid/>
        <w:spacing w:line="336" w:lineRule="auto"/>
        <w:ind w:firstLine="483"/>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33.2  不同</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委托同一单位或者个人办理投标事宜；</w:t>
      </w:r>
    </w:p>
    <w:p>
      <w:pPr>
        <w:pStyle w:val="35"/>
        <w:keepNext w:val="0"/>
        <w:keepLines w:val="0"/>
        <w:pageBreakBefore w:val="0"/>
        <w:widowControl w:val="0"/>
        <w:kinsoku/>
        <w:wordWrap/>
        <w:overflowPunct/>
        <w:topLinePunct w:val="0"/>
        <w:autoSpaceDE/>
        <w:autoSpaceDN/>
        <w:bidi w:val="0"/>
        <w:adjustRightInd/>
        <w:snapToGrid/>
        <w:spacing w:line="336" w:lineRule="auto"/>
        <w:ind w:firstLine="483"/>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33.3  不同</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的</w:t>
      </w:r>
      <w:r>
        <w:rPr>
          <w:rFonts w:hint="eastAsia" w:ascii="宋体" w:hAnsi="宋体" w:eastAsia="宋体" w:cs="宋体"/>
          <w:color w:val="auto"/>
          <w:sz w:val="24"/>
          <w:highlight w:val="none"/>
          <w:lang w:eastAsia="zh-CN"/>
        </w:rPr>
        <w:t>响应文件</w:t>
      </w:r>
      <w:r>
        <w:rPr>
          <w:rFonts w:hint="eastAsia" w:ascii="宋体" w:hAnsi="宋体" w:eastAsia="宋体" w:cs="宋体"/>
          <w:color w:val="auto"/>
          <w:sz w:val="24"/>
          <w:highlight w:val="none"/>
        </w:rPr>
        <w:t>载明的项目管理成员或者联系人员为同一人；</w:t>
      </w:r>
    </w:p>
    <w:p>
      <w:pPr>
        <w:pStyle w:val="35"/>
        <w:keepNext w:val="0"/>
        <w:keepLines w:val="0"/>
        <w:pageBreakBefore w:val="0"/>
        <w:widowControl w:val="0"/>
        <w:kinsoku/>
        <w:wordWrap/>
        <w:overflowPunct/>
        <w:topLinePunct w:val="0"/>
        <w:autoSpaceDE/>
        <w:autoSpaceDN/>
        <w:bidi w:val="0"/>
        <w:adjustRightInd/>
        <w:snapToGrid/>
        <w:spacing w:line="336" w:lineRule="auto"/>
        <w:ind w:firstLine="483"/>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33.4  不同</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的</w:t>
      </w:r>
      <w:r>
        <w:rPr>
          <w:rFonts w:hint="eastAsia" w:ascii="宋体" w:hAnsi="宋体" w:eastAsia="宋体" w:cs="宋体"/>
          <w:color w:val="auto"/>
          <w:sz w:val="24"/>
          <w:highlight w:val="none"/>
          <w:lang w:eastAsia="zh-CN"/>
        </w:rPr>
        <w:t>响应文件</w:t>
      </w:r>
      <w:r>
        <w:rPr>
          <w:rFonts w:hint="eastAsia" w:ascii="宋体" w:hAnsi="宋体" w:eastAsia="宋体" w:cs="宋体"/>
          <w:color w:val="auto"/>
          <w:sz w:val="24"/>
          <w:highlight w:val="none"/>
        </w:rPr>
        <w:t>异常一致或者投标报价呈规律性差异；</w:t>
      </w:r>
    </w:p>
    <w:p>
      <w:pPr>
        <w:pStyle w:val="35"/>
        <w:keepNext w:val="0"/>
        <w:keepLines w:val="0"/>
        <w:pageBreakBefore w:val="0"/>
        <w:widowControl w:val="0"/>
        <w:kinsoku/>
        <w:wordWrap/>
        <w:overflowPunct/>
        <w:topLinePunct w:val="0"/>
        <w:autoSpaceDE/>
        <w:autoSpaceDN/>
        <w:bidi w:val="0"/>
        <w:adjustRightInd/>
        <w:snapToGrid/>
        <w:spacing w:line="336" w:lineRule="auto"/>
        <w:ind w:firstLine="483"/>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33.5  不同</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的</w:t>
      </w:r>
      <w:r>
        <w:rPr>
          <w:rFonts w:hint="eastAsia" w:ascii="宋体" w:hAnsi="宋体" w:eastAsia="宋体" w:cs="宋体"/>
          <w:color w:val="auto"/>
          <w:sz w:val="24"/>
          <w:highlight w:val="none"/>
          <w:lang w:eastAsia="zh-CN"/>
        </w:rPr>
        <w:t>响应文件</w:t>
      </w:r>
      <w:r>
        <w:rPr>
          <w:rFonts w:hint="eastAsia" w:ascii="宋体" w:hAnsi="宋体" w:eastAsia="宋体" w:cs="宋体"/>
          <w:color w:val="auto"/>
          <w:sz w:val="24"/>
          <w:highlight w:val="none"/>
        </w:rPr>
        <w:t>相互混装；</w:t>
      </w:r>
    </w:p>
    <w:p>
      <w:pPr>
        <w:pStyle w:val="35"/>
        <w:keepNext w:val="0"/>
        <w:keepLines w:val="0"/>
        <w:pageBreakBefore w:val="0"/>
        <w:widowControl w:val="0"/>
        <w:kinsoku/>
        <w:wordWrap/>
        <w:overflowPunct/>
        <w:topLinePunct w:val="0"/>
        <w:autoSpaceDE/>
        <w:autoSpaceDN/>
        <w:bidi w:val="0"/>
        <w:adjustRightInd/>
        <w:snapToGrid/>
        <w:spacing w:line="336" w:lineRule="auto"/>
        <w:ind w:firstLine="483"/>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33.6  不同</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的投标保证金从同一单位或者个人的账户转出。</w:t>
      </w:r>
    </w:p>
    <w:p>
      <w:pPr>
        <w:pStyle w:val="35"/>
        <w:spacing w:line="360" w:lineRule="auto"/>
        <w:ind w:firstLine="483"/>
        <w:rPr>
          <w:rFonts w:hint="eastAsia" w:ascii="宋体" w:hAnsi="宋体" w:eastAsia="宋体" w:cs="宋体"/>
          <w:color w:val="auto"/>
          <w:sz w:val="24"/>
          <w:highlight w:val="none"/>
        </w:rPr>
      </w:pPr>
    </w:p>
    <w:p>
      <w:pPr>
        <w:pStyle w:val="3"/>
        <w:numPr>
          <w:ilvl w:val="0"/>
          <w:numId w:val="0"/>
        </w:numPr>
        <w:bidi w:val="0"/>
        <w:spacing w:line="240" w:lineRule="auto"/>
        <w:ind w:leftChars="0"/>
        <w:jc w:val="center"/>
        <w:rPr>
          <w:rFonts w:hint="eastAsia" w:ascii="宋体" w:hAnsi="宋体" w:eastAsia="宋体" w:cs="宋体"/>
          <w:b/>
          <w:color w:val="auto"/>
          <w:highlight w:val="none"/>
          <w:lang w:val="en-US" w:eastAsia="zh-CN"/>
        </w:rPr>
      </w:pPr>
      <w:bookmarkStart w:id="78" w:name="_Toc144974577"/>
      <w:bookmarkStart w:id="79" w:name="_Toc29020"/>
      <w:bookmarkStart w:id="80" w:name="_Toc179632627"/>
      <w:bookmarkStart w:id="81" w:name="_Toc152045609"/>
      <w:bookmarkStart w:id="82" w:name="_Toc13589"/>
      <w:bookmarkStart w:id="83" w:name="_Toc7110"/>
      <w:bookmarkStart w:id="84" w:name="_Toc152042387"/>
      <w:bookmarkStart w:id="85" w:name="_Toc14852"/>
      <w:bookmarkStart w:id="86" w:name="_Toc470"/>
      <w:r>
        <w:rPr>
          <w:rFonts w:hint="eastAsia" w:ascii="宋体" w:hAnsi="宋体" w:eastAsia="宋体" w:cs="宋体"/>
          <w:b/>
          <w:color w:val="auto"/>
          <w:highlight w:val="none"/>
          <w:lang w:val="en-US" w:eastAsia="zh-CN"/>
        </w:rPr>
        <w:t>第三章 合同条款</w:t>
      </w:r>
      <w:bookmarkEnd w:id="78"/>
      <w:bookmarkEnd w:id="79"/>
      <w:bookmarkEnd w:id="80"/>
      <w:bookmarkEnd w:id="81"/>
      <w:bookmarkEnd w:id="82"/>
      <w:bookmarkEnd w:id="83"/>
      <w:bookmarkEnd w:id="84"/>
      <w:bookmarkEnd w:id="85"/>
      <w:bookmarkEnd w:id="86"/>
      <w:bookmarkStart w:id="87" w:name="_Toc152045767"/>
      <w:bookmarkStart w:id="88" w:name="_Toc152042546"/>
      <w:bookmarkStart w:id="89" w:name="_Toc144974826"/>
      <w:bookmarkStart w:id="90" w:name="_Toc179632785"/>
    </w:p>
    <w:bookmarkEnd w:id="87"/>
    <w:bookmarkEnd w:id="88"/>
    <w:bookmarkEnd w:id="89"/>
    <w:bookmarkEnd w:id="90"/>
    <w:p>
      <w:pPr>
        <w:jc w:val="center"/>
        <w:rPr>
          <w:rFonts w:hint="eastAsia" w:ascii="宋体" w:hAnsi="宋体" w:eastAsia="宋体" w:cs="宋体"/>
          <w:i w:val="0"/>
          <w:iCs w:val="0"/>
          <w:color w:val="auto"/>
          <w:sz w:val="28"/>
          <w:szCs w:val="28"/>
          <w:highlight w:val="none"/>
        </w:rPr>
      </w:pPr>
      <w:r>
        <w:rPr>
          <w:rFonts w:hint="eastAsia" w:ascii="宋体" w:hAnsi="宋体" w:eastAsia="宋体" w:cs="宋体"/>
          <w:i w:val="0"/>
          <w:iCs w:val="0"/>
          <w:color w:val="auto"/>
          <w:sz w:val="28"/>
          <w:szCs w:val="28"/>
          <w:highlight w:val="none"/>
        </w:rPr>
        <w:t>（此合同为格式范本，最终合同以双方协商为准）</w:t>
      </w:r>
    </w:p>
    <w:p>
      <w:pPr>
        <w:keepNext w:val="0"/>
        <w:keepLines w:val="0"/>
        <w:pageBreakBefore w:val="0"/>
        <w:wordWrap/>
        <w:overflowPunct/>
        <w:topLinePunct w:val="0"/>
        <w:bidi w:val="0"/>
        <w:spacing w:line="480" w:lineRule="exact"/>
        <w:rPr>
          <w:rFonts w:hint="eastAsia" w:ascii="宋体" w:hAnsi="宋体" w:eastAsia="宋体" w:cs="宋体"/>
          <w:i w:val="0"/>
          <w:iCs w:val="0"/>
          <w:color w:val="auto"/>
          <w:sz w:val="28"/>
          <w:szCs w:val="28"/>
          <w:highlight w:val="none"/>
        </w:rPr>
      </w:pPr>
    </w:p>
    <w:p>
      <w:pPr>
        <w:keepNext w:val="0"/>
        <w:keepLines w:val="0"/>
        <w:pageBreakBefore w:val="0"/>
        <w:widowControl/>
        <w:kinsoku w:val="0"/>
        <w:wordWrap/>
        <w:overflowPunct/>
        <w:topLinePunct w:val="0"/>
        <w:autoSpaceDE w:val="0"/>
        <w:autoSpaceDN w:val="0"/>
        <w:bidi w:val="0"/>
        <w:adjustRightInd w:val="0"/>
        <w:snapToGrid w:val="0"/>
        <w:spacing w:line="480" w:lineRule="exact"/>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（根据《中华人民共和国政府采购法》、《中华人民共和国民法典》及其他相关法律法规之规定，</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rPr>
        <w:t>（简称乙方）承担服务工作。双方本着公平、平等、互利、诚信的原则，订立本合同。</w:t>
      </w:r>
    </w:p>
    <w:p>
      <w:pPr>
        <w:keepNext w:val="0"/>
        <w:keepLines w:val="0"/>
        <w:pageBreakBefore w:val="0"/>
        <w:widowControl/>
        <w:kinsoku w:val="0"/>
        <w:wordWrap/>
        <w:overflowPunct/>
        <w:topLinePunct w:val="0"/>
        <w:autoSpaceDE w:val="0"/>
        <w:autoSpaceDN w:val="0"/>
        <w:bidi w:val="0"/>
        <w:adjustRightInd w:val="0"/>
        <w:snapToGrid w:val="0"/>
        <w:spacing w:line="480" w:lineRule="exact"/>
        <w:ind w:firstLine="480" w:firstLineChars="200"/>
        <w:textAlignment w:val="baseline"/>
        <w:rPr>
          <w:rFonts w:hint="eastAsia" w:ascii="宋体" w:hAnsi="宋体" w:eastAsia="宋体" w:cs="宋体"/>
          <w:sz w:val="24"/>
          <w:szCs w:val="24"/>
          <w:highlight w:val="none"/>
          <w:u w:val="single"/>
          <w:lang w:val="en-US" w:eastAsia="zh-CN"/>
        </w:rPr>
      </w:pPr>
      <w:r>
        <w:rPr>
          <w:rFonts w:hint="eastAsia" w:ascii="宋体" w:hAnsi="宋体" w:eastAsia="宋体" w:cs="宋体"/>
          <w:sz w:val="24"/>
          <w:szCs w:val="24"/>
          <w:highlight w:val="none"/>
        </w:rPr>
        <w:t>甲方（采购人）：</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u w:val="single"/>
          <w:lang w:val="en-US" w:eastAsia="zh-CN"/>
        </w:rPr>
        <w:t xml:space="preserve">                           </w:t>
      </w:r>
    </w:p>
    <w:p>
      <w:pPr>
        <w:keepNext w:val="0"/>
        <w:keepLines w:val="0"/>
        <w:pageBreakBefore w:val="0"/>
        <w:widowControl/>
        <w:kinsoku w:val="0"/>
        <w:wordWrap/>
        <w:overflowPunct/>
        <w:topLinePunct w:val="0"/>
        <w:autoSpaceDE w:val="0"/>
        <w:autoSpaceDN w:val="0"/>
        <w:bidi w:val="0"/>
        <w:adjustRightInd w:val="0"/>
        <w:snapToGrid w:val="0"/>
        <w:spacing w:line="480" w:lineRule="exact"/>
        <w:ind w:firstLine="480" w:firstLineChars="200"/>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w:t>
      </w:r>
    </w:p>
    <w:p>
      <w:pPr>
        <w:keepNext w:val="0"/>
        <w:keepLines w:val="0"/>
        <w:pageBreakBefore w:val="0"/>
        <w:widowControl/>
        <w:kinsoku w:val="0"/>
        <w:wordWrap/>
        <w:overflowPunct/>
        <w:topLinePunct w:val="0"/>
        <w:autoSpaceDE w:val="0"/>
        <w:autoSpaceDN w:val="0"/>
        <w:bidi w:val="0"/>
        <w:adjustRightInd w:val="0"/>
        <w:snapToGrid w:val="0"/>
        <w:spacing w:line="480" w:lineRule="exact"/>
        <w:ind w:firstLine="480" w:firstLineChars="200"/>
        <w:textAlignment w:val="baseline"/>
        <w:rPr>
          <w:rFonts w:hint="eastAsia" w:ascii="宋体" w:hAnsi="宋体" w:eastAsia="宋体" w:cs="宋体"/>
          <w:b w:val="0"/>
          <w:bCs w:val="0"/>
          <w:sz w:val="24"/>
          <w:szCs w:val="24"/>
          <w:highlight w:val="none"/>
          <w:u w:val="single"/>
          <w:lang w:val="en-US" w:eastAsia="zh-CN"/>
        </w:rPr>
      </w:pPr>
      <w:r>
        <w:rPr>
          <w:rFonts w:hint="eastAsia" w:ascii="宋体" w:hAnsi="宋体" w:eastAsia="宋体" w:cs="宋体"/>
          <w:sz w:val="24"/>
          <w:szCs w:val="24"/>
          <w:highlight w:val="none"/>
        </w:rPr>
        <w:t>乙方（供应商）：</w:t>
      </w:r>
      <w:r>
        <w:rPr>
          <w:rFonts w:hint="eastAsia" w:ascii="宋体" w:hAnsi="宋体" w:eastAsia="宋体" w:cs="宋体"/>
          <w:b w:val="0"/>
          <w:bCs w:val="0"/>
          <w:sz w:val="24"/>
          <w:szCs w:val="24"/>
          <w:highlight w:val="none"/>
          <w:u w:val="single"/>
        </w:rPr>
        <w:t xml:space="preserve"> </w:t>
      </w:r>
      <w:r>
        <w:rPr>
          <w:rFonts w:hint="eastAsia" w:ascii="宋体" w:hAnsi="宋体" w:eastAsia="宋体" w:cs="宋体"/>
          <w:b w:val="0"/>
          <w:bCs w:val="0"/>
          <w:sz w:val="24"/>
          <w:szCs w:val="24"/>
          <w:highlight w:val="none"/>
          <w:u w:val="single"/>
        </w:rPr>
        <w:tab/>
      </w:r>
      <w:r>
        <w:rPr>
          <w:rFonts w:hint="eastAsia" w:ascii="宋体" w:hAnsi="宋体" w:eastAsia="宋体" w:cs="宋体"/>
          <w:b w:val="0"/>
          <w:bCs w:val="0"/>
          <w:sz w:val="24"/>
          <w:szCs w:val="24"/>
          <w:highlight w:val="none"/>
          <w:u w:val="single"/>
          <w:lang w:val="en-US" w:eastAsia="zh-CN"/>
        </w:rPr>
        <w:t xml:space="preserve">                           </w:t>
      </w:r>
    </w:p>
    <w:p>
      <w:pPr>
        <w:keepNext w:val="0"/>
        <w:keepLines w:val="0"/>
        <w:pageBreakBefore w:val="0"/>
        <w:widowControl/>
        <w:kinsoku w:val="0"/>
        <w:wordWrap/>
        <w:overflowPunct/>
        <w:topLinePunct w:val="0"/>
        <w:autoSpaceDE w:val="0"/>
        <w:autoSpaceDN w:val="0"/>
        <w:bidi w:val="0"/>
        <w:adjustRightInd w:val="0"/>
        <w:snapToGrid w:val="0"/>
        <w:spacing w:line="480" w:lineRule="exact"/>
        <w:ind w:firstLine="480" w:firstLineChars="200"/>
        <w:textAlignment w:val="baseline"/>
        <w:rPr>
          <w:rFonts w:hint="eastAsia" w:ascii="宋体" w:hAnsi="宋体" w:eastAsia="宋体" w:cs="宋体"/>
          <w:sz w:val="24"/>
          <w:szCs w:val="24"/>
          <w:highlight w:val="none"/>
        </w:rPr>
      </w:pPr>
    </w:p>
    <w:p>
      <w:pPr>
        <w:keepNext w:val="0"/>
        <w:keepLines w:val="0"/>
        <w:pageBreakBefore w:val="0"/>
        <w:widowControl/>
        <w:kinsoku w:val="0"/>
        <w:wordWrap/>
        <w:overflowPunct/>
        <w:topLinePunct w:val="0"/>
        <w:autoSpaceDE w:val="0"/>
        <w:autoSpaceDN w:val="0"/>
        <w:bidi w:val="0"/>
        <w:adjustRightInd w:val="0"/>
        <w:snapToGrid w:val="0"/>
        <w:spacing w:line="480" w:lineRule="exact"/>
        <w:ind w:firstLine="482" w:firstLineChars="200"/>
        <w:textAlignment w:val="baseline"/>
        <w:outlineLvl w:val="1"/>
        <w:rPr>
          <w:rFonts w:hint="eastAsia" w:ascii="宋体" w:hAnsi="宋体" w:eastAsia="宋体" w:cs="宋体"/>
          <w:b/>
          <w:bCs/>
          <w:sz w:val="24"/>
          <w:szCs w:val="24"/>
          <w:highlight w:val="none"/>
        </w:rPr>
      </w:pPr>
      <w:bookmarkStart w:id="91" w:name="_Toc17739"/>
      <w:r>
        <w:rPr>
          <w:rFonts w:hint="eastAsia" w:ascii="宋体" w:hAnsi="宋体" w:eastAsia="宋体" w:cs="宋体"/>
          <w:b/>
          <w:bCs/>
          <w:sz w:val="24"/>
          <w:szCs w:val="24"/>
          <w:highlight w:val="none"/>
        </w:rPr>
        <w:t>第一条、项目名称</w:t>
      </w:r>
      <w:bookmarkEnd w:id="91"/>
    </w:p>
    <w:p>
      <w:pPr>
        <w:keepNext w:val="0"/>
        <w:keepLines w:val="0"/>
        <w:pageBreakBefore w:val="0"/>
        <w:widowControl/>
        <w:kinsoku w:val="0"/>
        <w:wordWrap/>
        <w:overflowPunct/>
        <w:topLinePunct w:val="0"/>
        <w:autoSpaceDE w:val="0"/>
        <w:autoSpaceDN w:val="0"/>
        <w:bidi w:val="0"/>
        <w:adjustRightInd w:val="0"/>
        <w:snapToGrid w:val="0"/>
        <w:spacing w:line="480" w:lineRule="exact"/>
        <w:ind w:firstLine="480" w:firstLineChars="200"/>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项目名称：</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w:t>
      </w:r>
      <w:r>
        <w:rPr>
          <w:rFonts w:hint="eastAsia" w:ascii="宋体" w:hAnsi="宋体" w:eastAsia="宋体" w:cs="宋体"/>
          <w:sz w:val="24"/>
          <w:szCs w:val="24"/>
          <w:highlight w:val="none"/>
          <w:lang w:val="en-US" w:eastAsia="zh-CN"/>
        </w:rPr>
        <w:t xml:space="preserve">           </w:t>
      </w:r>
    </w:p>
    <w:p>
      <w:pPr>
        <w:keepNext w:val="0"/>
        <w:keepLines w:val="0"/>
        <w:pageBreakBefore w:val="0"/>
        <w:widowControl/>
        <w:kinsoku w:val="0"/>
        <w:wordWrap/>
        <w:overflowPunct/>
        <w:topLinePunct w:val="0"/>
        <w:autoSpaceDE w:val="0"/>
        <w:autoSpaceDN w:val="0"/>
        <w:bidi w:val="0"/>
        <w:adjustRightInd w:val="0"/>
        <w:snapToGrid w:val="0"/>
        <w:spacing w:line="480" w:lineRule="exact"/>
        <w:ind w:firstLine="482" w:firstLineChars="200"/>
        <w:textAlignment w:val="baseline"/>
        <w:outlineLvl w:val="1"/>
        <w:rPr>
          <w:rFonts w:hint="eastAsia" w:ascii="宋体" w:hAnsi="宋体" w:eastAsia="宋体" w:cs="宋体"/>
          <w:b/>
          <w:bCs/>
          <w:sz w:val="24"/>
          <w:szCs w:val="24"/>
          <w:highlight w:val="none"/>
        </w:rPr>
      </w:pPr>
      <w:bookmarkStart w:id="92" w:name="_Toc5997"/>
      <w:r>
        <w:rPr>
          <w:rFonts w:hint="eastAsia" w:ascii="宋体" w:hAnsi="宋体" w:eastAsia="宋体" w:cs="宋体"/>
          <w:b/>
          <w:bCs/>
          <w:sz w:val="24"/>
          <w:szCs w:val="24"/>
          <w:highlight w:val="none"/>
        </w:rPr>
        <w:t>第二条、服务内容</w:t>
      </w:r>
      <w:bookmarkEnd w:id="92"/>
    </w:p>
    <w:p>
      <w:pPr>
        <w:keepNext w:val="0"/>
        <w:keepLines w:val="0"/>
        <w:pageBreakBefore w:val="0"/>
        <w:widowControl/>
        <w:kinsoku w:val="0"/>
        <w:wordWrap/>
        <w:overflowPunct/>
        <w:topLinePunct w:val="0"/>
        <w:autoSpaceDE w:val="0"/>
        <w:autoSpaceDN w:val="0"/>
        <w:bidi w:val="0"/>
        <w:adjustRightInd w:val="0"/>
        <w:snapToGrid w:val="0"/>
        <w:spacing w:line="480" w:lineRule="exact"/>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该项目服务内容</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w:t>
      </w:r>
    </w:p>
    <w:p>
      <w:pPr>
        <w:keepNext w:val="0"/>
        <w:keepLines w:val="0"/>
        <w:pageBreakBefore w:val="0"/>
        <w:widowControl/>
        <w:kinsoku w:val="0"/>
        <w:wordWrap/>
        <w:overflowPunct/>
        <w:topLinePunct w:val="0"/>
        <w:autoSpaceDE w:val="0"/>
        <w:autoSpaceDN w:val="0"/>
        <w:bidi w:val="0"/>
        <w:adjustRightInd w:val="0"/>
        <w:snapToGrid w:val="0"/>
        <w:spacing w:line="480" w:lineRule="exact"/>
        <w:ind w:firstLine="482" w:firstLineChars="200"/>
        <w:textAlignment w:val="baseline"/>
        <w:outlineLvl w:val="1"/>
        <w:rPr>
          <w:rFonts w:hint="eastAsia" w:ascii="宋体" w:hAnsi="宋体" w:eastAsia="宋体" w:cs="宋体"/>
          <w:b/>
          <w:bCs/>
          <w:sz w:val="24"/>
          <w:szCs w:val="24"/>
          <w:highlight w:val="none"/>
        </w:rPr>
      </w:pPr>
      <w:bookmarkStart w:id="93" w:name="_Toc11111"/>
      <w:r>
        <w:rPr>
          <w:rFonts w:hint="eastAsia" w:ascii="宋体" w:hAnsi="宋体" w:eastAsia="宋体" w:cs="宋体"/>
          <w:b/>
          <w:bCs/>
          <w:sz w:val="24"/>
          <w:szCs w:val="24"/>
          <w:highlight w:val="none"/>
        </w:rPr>
        <w:t>第三条、合同总价款</w:t>
      </w:r>
      <w:bookmarkEnd w:id="93"/>
    </w:p>
    <w:p>
      <w:pPr>
        <w:keepNext w:val="0"/>
        <w:keepLines w:val="0"/>
        <w:pageBreakBefore w:val="0"/>
        <w:widowControl/>
        <w:kinsoku w:val="0"/>
        <w:wordWrap/>
        <w:overflowPunct/>
        <w:topLinePunct w:val="0"/>
        <w:autoSpaceDE w:val="0"/>
        <w:autoSpaceDN w:val="0"/>
        <w:bidi w:val="0"/>
        <w:adjustRightInd w:val="0"/>
        <w:snapToGrid w:val="0"/>
        <w:spacing w:line="480" w:lineRule="exact"/>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本项目合同项下总价款为</w:t>
      </w:r>
      <w:r>
        <w:rPr>
          <w:rFonts w:hint="eastAsia" w:ascii="宋体" w:hAnsi="宋体" w:eastAsia="宋体" w:cs="宋体"/>
          <w:sz w:val="24"/>
          <w:szCs w:val="24"/>
          <w:highlight w:val="none"/>
          <w:u w:val="single"/>
          <w:lang w:val="en-US" w:eastAsia="zh-CN"/>
        </w:rPr>
        <w:t xml:space="preserve">                          </w:t>
      </w:r>
    </w:p>
    <w:p>
      <w:pPr>
        <w:keepNext w:val="0"/>
        <w:keepLines w:val="0"/>
        <w:pageBreakBefore w:val="0"/>
        <w:widowControl/>
        <w:kinsoku w:val="0"/>
        <w:wordWrap/>
        <w:overflowPunct/>
        <w:topLinePunct w:val="0"/>
        <w:autoSpaceDE w:val="0"/>
        <w:autoSpaceDN w:val="0"/>
        <w:bidi w:val="0"/>
        <w:adjustRightInd w:val="0"/>
        <w:snapToGrid w:val="0"/>
        <w:spacing w:line="480" w:lineRule="exact"/>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合同价格为含税全包价，包括竞争性谈判文件范围内全部服务价格。</w:t>
      </w:r>
    </w:p>
    <w:p>
      <w:pPr>
        <w:keepNext w:val="0"/>
        <w:keepLines w:val="0"/>
        <w:pageBreakBefore w:val="0"/>
        <w:widowControl/>
        <w:kinsoku w:val="0"/>
        <w:wordWrap/>
        <w:overflowPunct/>
        <w:topLinePunct w:val="0"/>
        <w:autoSpaceDE w:val="0"/>
        <w:autoSpaceDN w:val="0"/>
        <w:bidi w:val="0"/>
        <w:adjustRightInd w:val="0"/>
        <w:snapToGrid w:val="0"/>
        <w:spacing w:line="480" w:lineRule="exact"/>
        <w:ind w:firstLine="482" w:firstLineChars="200"/>
        <w:textAlignment w:val="baseline"/>
        <w:outlineLvl w:val="1"/>
        <w:rPr>
          <w:rFonts w:hint="eastAsia" w:ascii="宋体" w:hAnsi="宋体" w:eastAsia="宋体" w:cs="宋体"/>
          <w:b/>
          <w:bCs/>
          <w:sz w:val="24"/>
          <w:szCs w:val="24"/>
          <w:highlight w:val="none"/>
        </w:rPr>
      </w:pPr>
      <w:bookmarkStart w:id="94" w:name="_Toc22597"/>
      <w:r>
        <w:rPr>
          <w:rFonts w:hint="eastAsia" w:ascii="宋体" w:hAnsi="宋体" w:eastAsia="宋体" w:cs="宋体"/>
          <w:b/>
          <w:bCs/>
          <w:sz w:val="24"/>
          <w:szCs w:val="24"/>
          <w:highlight w:val="none"/>
        </w:rPr>
        <w:t>第四条、合同价格及付款日期</w:t>
      </w:r>
      <w:bookmarkEnd w:id="94"/>
    </w:p>
    <w:p>
      <w:pPr>
        <w:keepNext w:val="0"/>
        <w:keepLines w:val="0"/>
        <w:pageBreakBefore w:val="0"/>
        <w:widowControl/>
        <w:kinsoku w:val="0"/>
        <w:wordWrap/>
        <w:overflowPunct/>
        <w:topLinePunct w:val="0"/>
        <w:autoSpaceDE w:val="0"/>
        <w:autoSpaceDN w:val="0"/>
        <w:bidi w:val="0"/>
        <w:adjustRightInd w:val="0"/>
        <w:snapToGrid w:val="0"/>
        <w:spacing w:line="480" w:lineRule="exact"/>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详见谈判响应文件商务条款。</w:t>
      </w:r>
    </w:p>
    <w:p>
      <w:pPr>
        <w:keepNext w:val="0"/>
        <w:keepLines w:val="0"/>
        <w:pageBreakBefore w:val="0"/>
        <w:widowControl/>
        <w:kinsoku w:val="0"/>
        <w:wordWrap/>
        <w:overflowPunct/>
        <w:topLinePunct w:val="0"/>
        <w:autoSpaceDE w:val="0"/>
        <w:autoSpaceDN w:val="0"/>
        <w:bidi w:val="0"/>
        <w:adjustRightInd w:val="0"/>
        <w:snapToGrid w:val="0"/>
        <w:spacing w:line="480" w:lineRule="exact"/>
        <w:ind w:firstLine="482" w:firstLineChars="200"/>
        <w:textAlignment w:val="baseline"/>
        <w:outlineLvl w:val="1"/>
        <w:rPr>
          <w:rFonts w:hint="eastAsia" w:ascii="宋体" w:hAnsi="宋体" w:eastAsia="宋体" w:cs="宋体"/>
          <w:b/>
          <w:bCs/>
          <w:sz w:val="24"/>
          <w:szCs w:val="24"/>
          <w:highlight w:val="none"/>
        </w:rPr>
      </w:pPr>
      <w:bookmarkStart w:id="95" w:name="_Toc16248"/>
      <w:r>
        <w:rPr>
          <w:rFonts w:hint="eastAsia" w:ascii="宋体" w:hAnsi="宋体" w:eastAsia="宋体" w:cs="宋体"/>
          <w:b/>
          <w:bCs/>
          <w:sz w:val="24"/>
          <w:szCs w:val="24"/>
          <w:highlight w:val="none"/>
        </w:rPr>
        <w:t>第五条、提供服务时间、地点</w:t>
      </w:r>
      <w:bookmarkEnd w:id="95"/>
    </w:p>
    <w:p>
      <w:pPr>
        <w:keepNext w:val="0"/>
        <w:keepLines w:val="0"/>
        <w:pageBreakBefore w:val="0"/>
        <w:widowControl/>
        <w:kinsoku w:val="0"/>
        <w:wordWrap/>
        <w:overflowPunct/>
        <w:topLinePunct w:val="0"/>
        <w:autoSpaceDE w:val="0"/>
        <w:autoSpaceDN w:val="0"/>
        <w:bidi w:val="0"/>
        <w:adjustRightInd w:val="0"/>
        <w:snapToGrid w:val="0"/>
        <w:spacing w:line="480" w:lineRule="exact"/>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1、服务期限：合同签订后</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rPr>
        <w:t>日历日。</w:t>
      </w:r>
    </w:p>
    <w:p>
      <w:pPr>
        <w:keepNext w:val="0"/>
        <w:keepLines w:val="0"/>
        <w:pageBreakBefore w:val="0"/>
        <w:widowControl/>
        <w:kinsoku w:val="0"/>
        <w:wordWrap/>
        <w:overflowPunct/>
        <w:topLinePunct w:val="0"/>
        <w:autoSpaceDE w:val="0"/>
        <w:autoSpaceDN w:val="0"/>
        <w:bidi w:val="0"/>
        <w:adjustRightInd w:val="0"/>
        <w:snapToGrid w:val="0"/>
        <w:spacing w:line="480" w:lineRule="exact"/>
        <w:ind w:firstLine="480" w:firstLineChars="200"/>
        <w:textAlignment w:val="baseline"/>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2、服务地点：</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ab/>
      </w:r>
    </w:p>
    <w:p>
      <w:pPr>
        <w:keepNext w:val="0"/>
        <w:keepLines w:val="0"/>
        <w:pageBreakBefore w:val="0"/>
        <w:widowControl/>
        <w:kinsoku w:val="0"/>
        <w:wordWrap/>
        <w:overflowPunct/>
        <w:topLinePunct w:val="0"/>
        <w:autoSpaceDE w:val="0"/>
        <w:autoSpaceDN w:val="0"/>
        <w:bidi w:val="0"/>
        <w:adjustRightInd w:val="0"/>
        <w:snapToGrid w:val="0"/>
        <w:spacing w:line="480" w:lineRule="exact"/>
        <w:ind w:firstLine="482" w:firstLineChars="200"/>
        <w:textAlignment w:val="baseline"/>
        <w:outlineLvl w:val="1"/>
        <w:rPr>
          <w:rFonts w:hint="eastAsia" w:ascii="宋体" w:hAnsi="宋体" w:eastAsia="宋体" w:cs="宋体"/>
          <w:b/>
          <w:bCs/>
          <w:sz w:val="24"/>
          <w:szCs w:val="24"/>
          <w:highlight w:val="none"/>
        </w:rPr>
      </w:pPr>
      <w:bookmarkStart w:id="96" w:name="_Toc2029"/>
      <w:r>
        <w:rPr>
          <w:rFonts w:hint="eastAsia" w:ascii="宋体" w:hAnsi="宋体" w:eastAsia="宋体" w:cs="宋体"/>
          <w:b/>
          <w:bCs/>
          <w:sz w:val="24"/>
          <w:szCs w:val="24"/>
          <w:highlight w:val="none"/>
        </w:rPr>
        <w:t>第六条、组成本合同的文件</w:t>
      </w:r>
      <w:bookmarkEnd w:id="96"/>
    </w:p>
    <w:p>
      <w:pPr>
        <w:keepNext w:val="0"/>
        <w:keepLines w:val="0"/>
        <w:pageBreakBefore w:val="0"/>
        <w:widowControl/>
        <w:kinsoku w:val="0"/>
        <w:wordWrap/>
        <w:overflowPunct/>
        <w:topLinePunct w:val="0"/>
        <w:autoSpaceDE w:val="0"/>
        <w:autoSpaceDN w:val="0"/>
        <w:bidi w:val="0"/>
        <w:adjustRightInd w:val="0"/>
        <w:snapToGrid w:val="0"/>
        <w:spacing w:line="480" w:lineRule="exact"/>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协议书；</w:t>
      </w:r>
    </w:p>
    <w:p>
      <w:pPr>
        <w:keepNext w:val="0"/>
        <w:keepLines w:val="0"/>
        <w:pageBreakBefore w:val="0"/>
        <w:widowControl/>
        <w:kinsoku w:val="0"/>
        <w:wordWrap/>
        <w:overflowPunct/>
        <w:topLinePunct w:val="0"/>
        <w:autoSpaceDE w:val="0"/>
        <w:autoSpaceDN w:val="0"/>
        <w:bidi w:val="0"/>
        <w:adjustRightInd w:val="0"/>
        <w:snapToGrid w:val="0"/>
        <w:spacing w:line="480" w:lineRule="exact"/>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成交通知书、谈判响应文件、竞争性谈判文件、澄清、谈判补充文件；</w:t>
      </w:r>
    </w:p>
    <w:p>
      <w:pPr>
        <w:keepNext w:val="0"/>
        <w:keepLines w:val="0"/>
        <w:pageBreakBefore w:val="0"/>
        <w:widowControl/>
        <w:kinsoku w:val="0"/>
        <w:wordWrap/>
        <w:overflowPunct/>
        <w:topLinePunct w:val="0"/>
        <w:autoSpaceDE w:val="0"/>
        <w:autoSpaceDN w:val="0"/>
        <w:bidi w:val="0"/>
        <w:adjustRightInd w:val="0"/>
        <w:snapToGrid w:val="0"/>
        <w:spacing w:line="480" w:lineRule="exact"/>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相关服务建议书；</w:t>
      </w:r>
    </w:p>
    <w:p>
      <w:pPr>
        <w:keepNext w:val="0"/>
        <w:keepLines w:val="0"/>
        <w:pageBreakBefore w:val="0"/>
        <w:widowControl/>
        <w:kinsoku w:val="0"/>
        <w:wordWrap/>
        <w:overflowPunct/>
        <w:topLinePunct w:val="0"/>
        <w:autoSpaceDE w:val="0"/>
        <w:autoSpaceDN w:val="0"/>
        <w:bidi w:val="0"/>
        <w:adjustRightInd w:val="0"/>
        <w:snapToGrid w:val="0"/>
        <w:spacing w:line="480" w:lineRule="exact"/>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附录，即：附表内相关服务的范围和内容；</w:t>
      </w:r>
    </w:p>
    <w:p>
      <w:pPr>
        <w:keepNext w:val="0"/>
        <w:keepLines w:val="0"/>
        <w:pageBreakBefore w:val="0"/>
        <w:widowControl/>
        <w:kinsoku w:val="0"/>
        <w:wordWrap/>
        <w:overflowPunct/>
        <w:topLinePunct w:val="0"/>
        <w:autoSpaceDE w:val="0"/>
        <w:autoSpaceDN w:val="0"/>
        <w:bidi w:val="0"/>
        <w:adjustRightInd w:val="0"/>
        <w:snapToGrid w:val="0"/>
        <w:spacing w:line="480" w:lineRule="exact"/>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本合同签订后，双方依法签订的补充协议也是本合同文件的组成部分。</w:t>
      </w:r>
    </w:p>
    <w:p>
      <w:pPr>
        <w:keepNext w:val="0"/>
        <w:keepLines w:val="0"/>
        <w:pageBreakBefore w:val="0"/>
        <w:widowControl/>
        <w:kinsoku w:val="0"/>
        <w:wordWrap/>
        <w:overflowPunct/>
        <w:topLinePunct w:val="0"/>
        <w:autoSpaceDE w:val="0"/>
        <w:autoSpaceDN w:val="0"/>
        <w:bidi w:val="0"/>
        <w:adjustRightInd w:val="0"/>
        <w:snapToGrid w:val="0"/>
        <w:spacing w:line="480" w:lineRule="exact"/>
        <w:ind w:firstLine="482" w:firstLineChars="200"/>
        <w:textAlignment w:val="baseline"/>
        <w:outlineLvl w:val="1"/>
        <w:rPr>
          <w:rFonts w:hint="eastAsia" w:ascii="宋体" w:hAnsi="宋体" w:eastAsia="宋体" w:cs="宋体"/>
          <w:b/>
          <w:bCs/>
          <w:sz w:val="24"/>
          <w:szCs w:val="24"/>
          <w:highlight w:val="none"/>
        </w:rPr>
      </w:pPr>
      <w:bookmarkStart w:id="97" w:name="_Toc7696"/>
      <w:r>
        <w:rPr>
          <w:rFonts w:hint="eastAsia" w:ascii="宋体" w:hAnsi="宋体" w:eastAsia="宋体" w:cs="宋体"/>
          <w:b/>
          <w:bCs/>
          <w:sz w:val="24"/>
          <w:szCs w:val="24"/>
          <w:highlight w:val="none"/>
        </w:rPr>
        <w:t>第七条、双方的权利和义务</w:t>
      </w:r>
      <w:bookmarkEnd w:id="97"/>
    </w:p>
    <w:p>
      <w:pPr>
        <w:keepNext w:val="0"/>
        <w:keepLines w:val="0"/>
        <w:pageBreakBefore w:val="0"/>
        <w:widowControl/>
        <w:kinsoku w:val="0"/>
        <w:wordWrap/>
        <w:overflowPunct/>
        <w:topLinePunct w:val="0"/>
        <w:autoSpaceDE w:val="0"/>
        <w:autoSpaceDN w:val="0"/>
        <w:bidi w:val="0"/>
        <w:adjustRightInd w:val="0"/>
        <w:snapToGrid w:val="0"/>
        <w:spacing w:line="480" w:lineRule="exact"/>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甲方的义务</w:t>
      </w:r>
    </w:p>
    <w:p>
      <w:pPr>
        <w:keepNext w:val="0"/>
        <w:keepLines w:val="0"/>
        <w:pageBreakBefore w:val="0"/>
        <w:widowControl/>
        <w:kinsoku w:val="0"/>
        <w:wordWrap/>
        <w:overflowPunct/>
        <w:topLinePunct w:val="0"/>
        <w:autoSpaceDE w:val="0"/>
        <w:autoSpaceDN w:val="0"/>
        <w:bidi w:val="0"/>
        <w:adjustRightInd w:val="0"/>
        <w:snapToGrid w:val="0"/>
        <w:spacing w:line="480" w:lineRule="exact"/>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甲方应及时向乙方提供与履行本合同相关的所有必须的文件、资料。</w:t>
      </w:r>
    </w:p>
    <w:p>
      <w:pPr>
        <w:keepNext w:val="0"/>
        <w:keepLines w:val="0"/>
        <w:pageBreakBefore w:val="0"/>
        <w:widowControl/>
        <w:kinsoku w:val="0"/>
        <w:wordWrap/>
        <w:overflowPunct/>
        <w:topLinePunct w:val="0"/>
        <w:autoSpaceDE w:val="0"/>
        <w:autoSpaceDN w:val="0"/>
        <w:bidi w:val="0"/>
        <w:adjustRightInd w:val="0"/>
        <w:snapToGrid w:val="0"/>
        <w:spacing w:line="480" w:lineRule="exact"/>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甲方应为乙方履行本合同过程中与相关政府部门及其他第三方的沟通、协调提供必要的协助。</w:t>
      </w:r>
    </w:p>
    <w:p>
      <w:pPr>
        <w:keepNext w:val="0"/>
        <w:keepLines w:val="0"/>
        <w:pageBreakBefore w:val="0"/>
        <w:widowControl/>
        <w:kinsoku w:val="0"/>
        <w:wordWrap/>
        <w:overflowPunct/>
        <w:topLinePunct w:val="0"/>
        <w:autoSpaceDE w:val="0"/>
        <w:autoSpaceDN w:val="0"/>
        <w:bidi w:val="0"/>
        <w:adjustRightInd w:val="0"/>
        <w:snapToGrid w:val="0"/>
        <w:spacing w:line="480" w:lineRule="exact"/>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甲方应按照合同约定支付服务费用。</w:t>
      </w:r>
    </w:p>
    <w:p>
      <w:pPr>
        <w:keepNext w:val="0"/>
        <w:keepLines w:val="0"/>
        <w:pageBreakBefore w:val="0"/>
        <w:widowControl/>
        <w:kinsoku w:val="0"/>
        <w:wordWrap/>
        <w:overflowPunct/>
        <w:topLinePunct w:val="0"/>
        <w:autoSpaceDE w:val="0"/>
        <w:autoSpaceDN w:val="0"/>
        <w:bidi w:val="0"/>
        <w:adjustRightInd w:val="0"/>
        <w:snapToGrid w:val="0"/>
        <w:spacing w:line="480" w:lineRule="exact"/>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甲方应积极协助乙方完成对汉阴县凤凰山森林公园及观音河湿地公园勘界立标的各项工作，包括及时与乙方沟通，交流意见，提供所需资料。</w:t>
      </w:r>
    </w:p>
    <w:p>
      <w:pPr>
        <w:keepNext w:val="0"/>
        <w:keepLines w:val="0"/>
        <w:pageBreakBefore w:val="0"/>
        <w:widowControl/>
        <w:kinsoku w:val="0"/>
        <w:wordWrap/>
        <w:overflowPunct/>
        <w:topLinePunct w:val="0"/>
        <w:autoSpaceDE w:val="0"/>
        <w:autoSpaceDN w:val="0"/>
        <w:bidi w:val="0"/>
        <w:adjustRightInd w:val="0"/>
        <w:snapToGrid w:val="0"/>
        <w:spacing w:line="480" w:lineRule="exact"/>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乙方的义务</w:t>
      </w:r>
    </w:p>
    <w:p>
      <w:pPr>
        <w:keepNext w:val="0"/>
        <w:keepLines w:val="0"/>
        <w:pageBreakBefore w:val="0"/>
        <w:widowControl/>
        <w:kinsoku w:val="0"/>
        <w:wordWrap/>
        <w:overflowPunct/>
        <w:topLinePunct w:val="0"/>
        <w:autoSpaceDE w:val="0"/>
        <w:autoSpaceDN w:val="0"/>
        <w:bidi w:val="0"/>
        <w:adjustRightInd w:val="0"/>
        <w:snapToGrid w:val="0"/>
        <w:spacing w:line="480" w:lineRule="exact"/>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根据甲方提供的数据，明确人员和时间安排，在规定时间内完成甲方要求工作</w:t>
      </w:r>
      <w:r>
        <w:rPr>
          <w:rFonts w:hint="eastAsia" w:ascii="宋体" w:hAnsi="宋体" w:eastAsia="宋体" w:cs="宋体"/>
          <w:sz w:val="24"/>
          <w:szCs w:val="24"/>
          <w:highlight w:val="none"/>
          <w:lang w:eastAsia="zh-CN"/>
        </w:rPr>
        <w:t>；</w:t>
      </w:r>
    </w:p>
    <w:p>
      <w:pPr>
        <w:keepNext w:val="0"/>
        <w:keepLines w:val="0"/>
        <w:pageBreakBefore w:val="0"/>
        <w:widowControl/>
        <w:kinsoku w:val="0"/>
        <w:wordWrap/>
        <w:overflowPunct/>
        <w:topLinePunct w:val="0"/>
        <w:autoSpaceDE w:val="0"/>
        <w:autoSpaceDN w:val="0"/>
        <w:bidi w:val="0"/>
        <w:adjustRightInd w:val="0"/>
        <w:snapToGrid w:val="0"/>
        <w:spacing w:line="480" w:lineRule="exact"/>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严格按照国家和地方相关规程、细则进行开展工作，并对成果质量负责；</w:t>
      </w:r>
    </w:p>
    <w:p>
      <w:pPr>
        <w:keepNext w:val="0"/>
        <w:keepLines w:val="0"/>
        <w:pageBreakBefore w:val="0"/>
        <w:widowControl/>
        <w:kinsoku w:val="0"/>
        <w:wordWrap/>
        <w:overflowPunct/>
        <w:topLinePunct w:val="0"/>
        <w:autoSpaceDE w:val="0"/>
        <w:autoSpaceDN w:val="0"/>
        <w:bidi w:val="0"/>
        <w:adjustRightInd w:val="0"/>
        <w:snapToGrid w:val="0"/>
        <w:spacing w:line="480" w:lineRule="exact"/>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对项目实施中因乙方原因出现的质量问题，应按照技术规程规定无条件修改完善，产生费用由乙方全部承担；</w:t>
      </w:r>
    </w:p>
    <w:p>
      <w:pPr>
        <w:keepNext w:val="0"/>
        <w:keepLines w:val="0"/>
        <w:pageBreakBefore w:val="0"/>
        <w:widowControl/>
        <w:kinsoku w:val="0"/>
        <w:wordWrap/>
        <w:overflowPunct/>
        <w:topLinePunct w:val="0"/>
        <w:autoSpaceDE w:val="0"/>
        <w:autoSpaceDN w:val="0"/>
        <w:bidi w:val="0"/>
        <w:adjustRightInd w:val="0"/>
        <w:snapToGrid w:val="0"/>
        <w:spacing w:line="480" w:lineRule="exact"/>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乙方指定</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rPr>
        <w:t>为该项目负责人，且项目负责人在项目实施期间不得更换。</w:t>
      </w:r>
    </w:p>
    <w:p>
      <w:pPr>
        <w:keepNext w:val="0"/>
        <w:keepLines w:val="0"/>
        <w:pageBreakBefore w:val="0"/>
        <w:widowControl/>
        <w:kinsoku w:val="0"/>
        <w:wordWrap/>
        <w:overflowPunct/>
        <w:topLinePunct w:val="0"/>
        <w:autoSpaceDE w:val="0"/>
        <w:autoSpaceDN w:val="0"/>
        <w:bidi w:val="0"/>
        <w:adjustRightInd w:val="0"/>
        <w:snapToGrid w:val="0"/>
        <w:spacing w:line="480" w:lineRule="exact"/>
        <w:ind w:firstLine="482" w:firstLineChars="200"/>
        <w:textAlignment w:val="baseline"/>
        <w:outlineLvl w:val="1"/>
        <w:rPr>
          <w:rFonts w:hint="eastAsia" w:ascii="宋体" w:hAnsi="宋体" w:eastAsia="宋体" w:cs="宋体"/>
          <w:b/>
          <w:bCs/>
          <w:sz w:val="24"/>
          <w:szCs w:val="24"/>
          <w:highlight w:val="none"/>
        </w:rPr>
      </w:pPr>
      <w:bookmarkStart w:id="98" w:name="_Toc4108"/>
      <w:r>
        <w:rPr>
          <w:rFonts w:hint="eastAsia" w:ascii="宋体" w:hAnsi="宋体" w:eastAsia="宋体" w:cs="宋体"/>
          <w:b/>
          <w:bCs/>
          <w:sz w:val="24"/>
          <w:szCs w:val="24"/>
          <w:highlight w:val="none"/>
        </w:rPr>
        <w:t>第八条、生产安全责任</w:t>
      </w:r>
      <w:bookmarkEnd w:id="98"/>
    </w:p>
    <w:p>
      <w:pPr>
        <w:keepNext w:val="0"/>
        <w:keepLines w:val="0"/>
        <w:pageBreakBefore w:val="0"/>
        <w:widowControl/>
        <w:kinsoku w:val="0"/>
        <w:wordWrap/>
        <w:overflowPunct/>
        <w:topLinePunct w:val="0"/>
        <w:autoSpaceDE w:val="0"/>
        <w:autoSpaceDN w:val="0"/>
        <w:bidi w:val="0"/>
        <w:adjustRightInd w:val="0"/>
        <w:snapToGrid w:val="0"/>
        <w:spacing w:line="480" w:lineRule="exact"/>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应充分考虑测绘作业过程中的安全因素,按照国家安全生产的要求规范作业, 由自行承担一切安全责任(含施工人员人身安全责任),并做好防控预案。 如因测绘作业不当、测绘设备使用不当等过程中出现的一切安全责任由乙方承担。 如不按要求作业对环境造成严重后果的由乙方自行承担一切责任。</w:t>
      </w:r>
    </w:p>
    <w:p>
      <w:pPr>
        <w:keepNext w:val="0"/>
        <w:keepLines w:val="0"/>
        <w:pageBreakBefore w:val="0"/>
        <w:widowControl/>
        <w:kinsoku w:val="0"/>
        <w:wordWrap/>
        <w:overflowPunct/>
        <w:topLinePunct w:val="0"/>
        <w:autoSpaceDE w:val="0"/>
        <w:autoSpaceDN w:val="0"/>
        <w:bidi w:val="0"/>
        <w:adjustRightInd w:val="0"/>
        <w:snapToGrid w:val="0"/>
        <w:spacing w:line="480" w:lineRule="exact"/>
        <w:ind w:firstLine="482" w:firstLineChars="200"/>
        <w:textAlignment w:val="baseline"/>
        <w:outlineLvl w:val="1"/>
        <w:rPr>
          <w:rFonts w:hint="eastAsia" w:ascii="宋体" w:hAnsi="宋体" w:eastAsia="宋体" w:cs="宋体"/>
          <w:b/>
          <w:bCs/>
          <w:sz w:val="24"/>
          <w:szCs w:val="24"/>
          <w:highlight w:val="none"/>
        </w:rPr>
      </w:pPr>
      <w:bookmarkStart w:id="99" w:name="_Toc21533"/>
      <w:r>
        <w:rPr>
          <w:rFonts w:hint="eastAsia" w:ascii="宋体" w:hAnsi="宋体" w:eastAsia="宋体" w:cs="宋体"/>
          <w:b/>
          <w:bCs/>
          <w:sz w:val="24"/>
          <w:szCs w:val="24"/>
          <w:highlight w:val="none"/>
        </w:rPr>
        <w:t>第九条、验收</w:t>
      </w:r>
      <w:bookmarkEnd w:id="99"/>
    </w:p>
    <w:p>
      <w:pPr>
        <w:keepNext w:val="0"/>
        <w:keepLines w:val="0"/>
        <w:pageBreakBefore w:val="0"/>
        <w:widowControl/>
        <w:kinsoku w:val="0"/>
        <w:wordWrap/>
        <w:overflowPunct/>
        <w:topLinePunct w:val="0"/>
        <w:autoSpaceDE w:val="0"/>
        <w:autoSpaceDN w:val="0"/>
        <w:bidi w:val="0"/>
        <w:adjustRightInd w:val="0"/>
        <w:snapToGrid w:val="0"/>
        <w:spacing w:line="480" w:lineRule="exact"/>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由甲乙双方及第三方（如有）按照竞争性谈判文件、谈判响应文件及合同要求，一同对服务内容验收并签字确认。</w:t>
      </w:r>
    </w:p>
    <w:p>
      <w:pPr>
        <w:keepNext w:val="0"/>
        <w:keepLines w:val="0"/>
        <w:pageBreakBefore w:val="0"/>
        <w:widowControl/>
        <w:kinsoku w:val="0"/>
        <w:wordWrap/>
        <w:overflowPunct/>
        <w:topLinePunct w:val="0"/>
        <w:autoSpaceDE w:val="0"/>
        <w:autoSpaceDN w:val="0"/>
        <w:bidi w:val="0"/>
        <w:adjustRightInd w:val="0"/>
        <w:snapToGrid w:val="0"/>
        <w:spacing w:line="480" w:lineRule="exact"/>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所验服务及成果最终验收达不到竞争性谈判文件要求和谈判响应文件承诺的，或在使用中发现甲方不能容忍的缺陷等，将视为验收不合格，乙方应在甲方要求的时间内无条件完善或要求赔付甲方损失。</w:t>
      </w:r>
    </w:p>
    <w:p>
      <w:pPr>
        <w:keepNext w:val="0"/>
        <w:keepLines w:val="0"/>
        <w:pageBreakBefore w:val="0"/>
        <w:widowControl/>
        <w:kinsoku w:val="0"/>
        <w:wordWrap/>
        <w:overflowPunct/>
        <w:topLinePunct w:val="0"/>
        <w:autoSpaceDE w:val="0"/>
        <w:autoSpaceDN w:val="0"/>
        <w:bidi w:val="0"/>
        <w:adjustRightInd w:val="0"/>
        <w:snapToGrid w:val="0"/>
        <w:spacing w:line="480" w:lineRule="exact"/>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若发现乙方有弄虚作假的，在评标阶段故意或随意夸大服务及递交的成果报告，本合同解除，乙方赔偿甲方相应的损失。</w:t>
      </w:r>
    </w:p>
    <w:p>
      <w:pPr>
        <w:keepNext w:val="0"/>
        <w:keepLines w:val="0"/>
        <w:pageBreakBefore w:val="0"/>
        <w:widowControl/>
        <w:kinsoku w:val="0"/>
        <w:wordWrap/>
        <w:overflowPunct/>
        <w:topLinePunct w:val="0"/>
        <w:autoSpaceDE w:val="0"/>
        <w:autoSpaceDN w:val="0"/>
        <w:bidi w:val="0"/>
        <w:adjustRightInd w:val="0"/>
        <w:snapToGrid w:val="0"/>
        <w:spacing w:line="480" w:lineRule="exact"/>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验收标准：按竞争性谈判文件、谈判响应文件及澄清函等技术指标进行逐项验收。各项指标均应符合验收标准及要求。</w:t>
      </w:r>
    </w:p>
    <w:p>
      <w:pPr>
        <w:keepNext w:val="0"/>
        <w:keepLines w:val="0"/>
        <w:pageBreakBefore w:val="0"/>
        <w:widowControl/>
        <w:kinsoku w:val="0"/>
        <w:wordWrap/>
        <w:overflowPunct/>
        <w:topLinePunct w:val="0"/>
        <w:autoSpaceDE w:val="0"/>
        <w:autoSpaceDN w:val="0"/>
        <w:bidi w:val="0"/>
        <w:adjustRightInd w:val="0"/>
        <w:snapToGrid w:val="0"/>
        <w:spacing w:line="480" w:lineRule="exact"/>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 xml:space="preserve">验收依据： </w:t>
      </w:r>
    </w:p>
    <w:p>
      <w:pPr>
        <w:keepNext w:val="0"/>
        <w:keepLines w:val="0"/>
        <w:pageBreakBefore w:val="0"/>
        <w:widowControl/>
        <w:kinsoku w:val="0"/>
        <w:wordWrap/>
        <w:overflowPunct/>
        <w:topLinePunct w:val="0"/>
        <w:autoSpaceDE w:val="0"/>
        <w:autoSpaceDN w:val="0"/>
        <w:bidi w:val="0"/>
        <w:adjustRightInd w:val="0"/>
        <w:snapToGrid w:val="0"/>
        <w:spacing w:line="480" w:lineRule="exact"/>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合同文本；</w:t>
      </w:r>
    </w:p>
    <w:p>
      <w:pPr>
        <w:keepNext w:val="0"/>
        <w:keepLines w:val="0"/>
        <w:pageBreakBefore w:val="0"/>
        <w:widowControl/>
        <w:kinsoku w:val="0"/>
        <w:wordWrap/>
        <w:overflowPunct/>
        <w:topLinePunct w:val="0"/>
        <w:autoSpaceDE w:val="0"/>
        <w:autoSpaceDN w:val="0"/>
        <w:bidi w:val="0"/>
        <w:adjustRightInd w:val="0"/>
        <w:snapToGrid w:val="0"/>
        <w:spacing w:line="480" w:lineRule="exact"/>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 xml:space="preserve">谈判响应文件及澄清函、竞争性谈判文件； </w:t>
      </w:r>
    </w:p>
    <w:p>
      <w:pPr>
        <w:keepNext w:val="0"/>
        <w:keepLines w:val="0"/>
        <w:pageBreakBefore w:val="0"/>
        <w:widowControl/>
        <w:kinsoku w:val="0"/>
        <w:wordWrap/>
        <w:overflowPunct/>
        <w:topLinePunct w:val="0"/>
        <w:autoSpaceDE w:val="0"/>
        <w:autoSpaceDN w:val="0"/>
        <w:bidi w:val="0"/>
        <w:adjustRightInd w:val="0"/>
        <w:snapToGrid w:val="0"/>
        <w:spacing w:line="480" w:lineRule="exact"/>
        <w:ind w:firstLine="482" w:firstLineChars="200"/>
        <w:textAlignment w:val="baseline"/>
        <w:outlineLvl w:val="1"/>
        <w:rPr>
          <w:rFonts w:hint="eastAsia" w:ascii="宋体" w:hAnsi="宋体" w:eastAsia="宋体" w:cs="宋体"/>
          <w:b/>
          <w:bCs/>
          <w:sz w:val="24"/>
          <w:szCs w:val="24"/>
          <w:highlight w:val="none"/>
        </w:rPr>
      </w:pPr>
      <w:bookmarkStart w:id="100" w:name="_Toc21582"/>
      <w:r>
        <w:rPr>
          <w:rFonts w:hint="eastAsia" w:ascii="宋体" w:hAnsi="宋体" w:eastAsia="宋体" w:cs="宋体"/>
          <w:b/>
          <w:bCs/>
          <w:sz w:val="24"/>
          <w:szCs w:val="24"/>
          <w:highlight w:val="none"/>
        </w:rPr>
        <w:t>第十条、服务方案</w:t>
      </w:r>
      <w:bookmarkEnd w:id="100"/>
    </w:p>
    <w:p>
      <w:pPr>
        <w:keepNext w:val="0"/>
        <w:keepLines w:val="0"/>
        <w:pageBreakBefore w:val="0"/>
        <w:widowControl/>
        <w:kinsoku w:val="0"/>
        <w:wordWrap/>
        <w:overflowPunct/>
        <w:topLinePunct w:val="0"/>
        <w:autoSpaceDE w:val="0"/>
        <w:autoSpaceDN w:val="0"/>
        <w:bidi w:val="0"/>
        <w:adjustRightInd w:val="0"/>
        <w:snapToGrid w:val="0"/>
        <w:spacing w:line="480" w:lineRule="exact"/>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乙方应按竞争性谈判文件、谈判响应文件中做出的书面说明或承诺提供服务。</w:t>
      </w:r>
    </w:p>
    <w:p>
      <w:pPr>
        <w:keepNext w:val="0"/>
        <w:keepLines w:val="0"/>
        <w:pageBreakBefore w:val="0"/>
        <w:widowControl/>
        <w:kinsoku w:val="0"/>
        <w:wordWrap/>
        <w:overflowPunct/>
        <w:topLinePunct w:val="0"/>
        <w:autoSpaceDE w:val="0"/>
        <w:autoSpaceDN w:val="0"/>
        <w:bidi w:val="0"/>
        <w:adjustRightInd w:val="0"/>
        <w:snapToGrid w:val="0"/>
        <w:spacing w:line="480" w:lineRule="exact"/>
        <w:ind w:firstLine="482" w:firstLineChars="200"/>
        <w:textAlignment w:val="baseline"/>
        <w:outlineLvl w:val="1"/>
        <w:rPr>
          <w:rFonts w:hint="eastAsia" w:ascii="宋体" w:hAnsi="宋体" w:eastAsia="宋体" w:cs="宋体"/>
          <w:sz w:val="24"/>
          <w:szCs w:val="24"/>
          <w:highlight w:val="none"/>
        </w:rPr>
      </w:pPr>
      <w:bookmarkStart w:id="101" w:name="_Toc24381"/>
      <w:r>
        <w:rPr>
          <w:rFonts w:hint="eastAsia" w:ascii="宋体" w:hAnsi="宋体" w:eastAsia="宋体" w:cs="宋体"/>
          <w:b/>
          <w:bCs/>
          <w:sz w:val="24"/>
          <w:szCs w:val="24"/>
          <w:highlight w:val="none"/>
        </w:rPr>
        <w:t>第十一条、知识产权</w:t>
      </w:r>
      <w:bookmarkEnd w:id="101"/>
    </w:p>
    <w:p>
      <w:pPr>
        <w:keepNext w:val="0"/>
        <w:keepLines w:val="0"/>
        <w:pageBreakBefore w:val="0"/>
        <w:widowControl/>
        <w:kinsoku w:val="0"/>
        <w:wordWrap/>
        <w:overflowPunct/>
        <w:topLinePunct w:val="0"/>
        <w:autoSpaceDE w:val="0"/>
        <w:autoSpaceDN w:val="0"/>
        <w:bidi w:val="0"/>
        <w:adjustRightInd w:val="0"/>
        <w:snapToGrid w:val="0"/>
        <w:spacing w:line="480" w:lineRule="exact"/>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按《中华人民共和国政府采购法》、《中华人民共和国合同法》中的相关条款执行</w:t>
      </w:r>
      <w:r>
        <w:rPr>
          <w:rFonts w:hint="eastAsia" w:ascii="宋体" w:hAnsi="宋体" w:eastAsia="宋体" w:cs="宋体"/>
          <w:sz w:val="24"/>
          <w:szCs w:val="24"/>
          <w:highlight w:val="none"/>
          <w:lang w:eastAsia="zh-CN"/>
        </w:rPr>
        <w:t>。</w:t>
      </w:r>
    </w:p>
    <w:p>
      <w:pPr>
        <w:keepNext w:val="0"/>
        <w:keepLines w:val="0"/>
        <w:pageBreakBefore w:val="0"/>
        <w:widowControl/>
        <w:kinsoku w:val="0"/>
        <w:wordWrap/>
        <w:overflowPunct/>
        <w:topLinePunct w:val="0"/>
        <w:autoSpaceDE w:val="0"/>
        <w:autoSpaceDN w:val="0"/>
        <w:bidi w:val="0"/>
        <w:adjustRightInd w:val="0"/>
        <w:snapToGrid w:val="0"/>
        <w:spacing w:line="480" w:lineRule="exact"/>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未按合同或竞争性谈判文件要求提供服务或提供的服务质量不能满足采购人技术要求，采购单位有权终止合同，甚至对供应商违约行为进行追究。</w:t>
      </w:r>
    </w:p>
    <w:p>
      <w:pPr>
        <w:keepNext w:val="0"/>
        <w:keepLines w:val="0"/>
        <w:pageBreakBefore w:val="0"/>
        <w:widowControl/>
        <w:kinsoku w:val="0"/>
        <w:wordWrap/>
        <w:overflowPunct/>
        <w:topLinePunct w:val="0"/>
        <w:autoSpaceDE w:val="0"/>
        <w:autoSpaceDN w:val="0"/>
        <w:bidi w:val="0"/>
        <w:adjustRightInd w:val="0"/>
        <w:snapToGrid w:val="0"/>
        <w:spacing w:line="480" w:lineRule="exact"/>
        <w:ind w:firstLine="482" w:firstLineChars="200"/>
        <w:textAlignment w:val="baseline"/>
        <w:outlineLvl w:val="1"/>
        <w:rPr>
          <w:rFonts w:hint="eastAsia" w:ascii="宋体" w:hAnsi="宋体" w:eastAsia="宋体" w:cs="宋体"/>
          <w:b/>
          <w:bCs/>
          <w:sz w:val="24"/>
          <w:szCs w:val="24"/>
          <w:highlight w:val="none"/>
        </w:rPr>
      </w:pPr>
      <w:bookmarkStart w:id="102" w:name="_Toc2519"/>
      <w:r>
        <w:rPr>
          <w:rFonts w:hint="eastAsia" w:ascii="宋体" w:hAnsi="宋体" w:eastAsia="宋体" w:cs="宋体"/>
          <w:b/>
          <w:bCs/>
          <w:sz w:val="24"/>
          <w:szCs w:val="24"/>
          <w:highlight w:val="none"/>
        </w:rPr>
        <w:t>第十二条、权利保证</w:t>
      </w:r>
      <w:bookmarkEnd w:id="102"/>
    </w:p>
    <w:p>
      <w:pPr>
        <w:keepNext w:val="0"/>
        <w:keepLines w:val="0"/>
        <w:pageBreakBefore w:val="0"/>
        <w:widowControl/>
        <w:kinsoku w:val="0"/>
        <w:wordWrap/>
        <w:overflowPunct/>
        <w:topLinePunct w:val="0"/>
        <w:autoSpaceDE w:val="0"/>
        <w:autoSpaceDN w:val="0"/>
        <w:bidi w:val="0"/>
        <w:adjustRightInd w:val="0"/>
        <w:snapToGrid w:val="0"/>
        <w:spacing w:line="480" w:lineRule="exact"/>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乙方应保证甲方在使用该服务或其任何一部分时不受第三方提出侵犯其专利权、版权或其他权利的起诉。一旦出现侵权，乙方应承担全部责任。</w:t>
      </w:r>
    </w:p>
    <w:p>
      <w:pPr>
        <w:keepNext w:val="0"/>
        <w:keepLines w:val="0"/>
        <w:pageBreakBefore w:val="0"/>
        <w:widowControl/>
        <w:kinsoku w:val="0"/>
        <w:wordWrap/>
        <w:overflowPunct/>
        <w:topLinePunct w:val="0"/>
        <w:autoSpaceDE w:val="0"/>
        <w:autoSpaceDN w:val="0"/>
        <w:bidi w:val="0"/>
        <w:adjustRightInd w:val="0"/>
        <w:snapToGrid w:val="0"/>
        <w:spacing w:line="480" w:lineRule="exact"/>
        <w:ind w:firstLine="482" w:firstLineChars="200"/>
        <w:textAlignment w:val="baseline"/>
        <w:outlineLvl w:val="1"/>
        <w:rPr>
          <w:rFonts w:hint="eastAsia" w:ascii="宋体" w:hAnsi="宋体" w:eastAsia="宋体" w:cs="宋体"/>
          <w:b/>
          <w:bCs/>
          <w:sz w:val="24"/>
          <w:szCs w:val="24"/>
          <w:highlight w:val="none"/>
        </w:rPr>
      </w:pPr>
      <w:bookmarkStart w:id="103" w:name="_Toc7682"/>
      <w:r>
        <w:rPr>
          <w:rFonts w:hint="eastAsia" w:ascii="宋体" w:hAnsi="宋体" w:eastAsia="宋体" w:cs="宋体"/>
          <w:b/>
          <w:bCs/>
          <w:sz w:val="24"/>
          <w:szCs w:val="24"/>
          <w:highlight w:val="none"/>
        </w:rPr>
        <w:t>第十三条、合同争议的解决</w:t>
      </w:r>
      <w:bookmarkEnd w:id="103"/>
    </w:p>
    <w:p>
      <w:pPr>
        <w:keepNext w:val="0"/>
        <w:keepLines w:val="0"/>
        <w:pageBreakBefore w:val="0"/>
        <w:widowControl/>
        <w:kinsoku w:val="0"/>
        <w:wordWrap/>
        <w:overflowPunct/>
        <w:topLinePunct w:val="0"/>
        <w:autoSpaceDE w:val="0"/>
        <w:autoSpaceDN w:val="0"/>
        <w:bidi w:val="0"/>
        <w:adjustRightInd w:val="0"/>
        <w:snapToGrid w:val="0"/>
        <w:spacing w:line="480" w:lineRule="exact"/>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合同执行中发生争议的，当事人双方应协商解决。协商达不成一致时，可向当地行政仲裁机关申请仲裁或者向人民法院提请诉讼。</w:t>
      </w:r>
    </w:p>
    <w:p>
      <w:pPr>
        <w:keepNext w:val="0"/>
        <w:keepLines w:val="0"/>
        <w:pageBreakBefore w:val="0"/>
        <w:widowControl/>
        <w:kinsoku w:val="0"/>
        <w:wordWrap/>
        <w:overflowPunct/>
        <w:topLinePunct w:val="0"/>
        <w:autoSpaceDE w:val="0"/>
        <w:autoSpaceDN w:val="0"/>
        <w:bidi w:val="0"/>
        <w:adjustRightInd w:val="0"/>
        <w:snapToGrid w:val="0"/>
        <w:spacing w:line="480" w:lineRule="exact"/>
        <w:ind w:firstLine="482" w:firstLineChars="200"/>
        <w:textAlignment w:val="baseline"/>
        <w:outlineLvl w:val="1"/>
        <w:rPr>
          <w:rFonts w:hint="eastAsia" w:ascii="宋体" w:hAnsi="宋体" w:eastAsia="宋体" w:cs="宋体"/>
          <w:b/>
          <w:bCs/>
          <w:sz w:val="24"/>
          <w:szCs w:val="24"/>
          <w:highlight w:val="none"/>
        </w:rPr>
      </w:pPr>
      <w:bookmarkStart w:id="104" w:name="_Toc777"/>
      <w:r>
        <w:rPr>
          <w:rFonts w:hint="eastAsia" w:ascii="宋体" w:hAnsi="宋体" w:eastAsia="宋体" w:cs="宋体"/>
          <w:b/>
          <w:bCs/>
          <w:sz w:val="24"/>
          <w:szCs w:val="24"/>
          <w:highlight w:val="none"/>
        </w:rPr>
        <w:t>第十四条、不可抗力情况下的免责约定</w:t>
      </w:r>
      <w:bookmarkEnd w:id="104"/>
    </w:p>
    <w:p>
      <w:pPr>
        <w:keepNext w:val="0"/>
        <w:keepLines w:val="0"/>
        <w:pageBreakBefore w:val="0"/>
        <w:widowControl/>
        <w:kinsoku w:val="0"/>
        <w:wordWrap/>
        <w:overflowPunct/>
        <w:topLinePunct w:val="0"/>
        <w:autoSpaceDE w:val="0"/>
        <w:autoSpaceDN w:val="0"/>
        <w:bidi w:val="0"/>
        <w:adjustRightInd w:val="0"/>
        <w:snapToGrid w:val="0"/>
        <w:spacing w:line="480" w:lineRule="exact"/>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双方约定不可抗力情况指：双方不可预见、不可避免、不可克服的客观情况，但不包括双方的违约或疏忽。这些事件包括但不限于：战争、严重火灾、洪水、台风、地震等。</w:t>
      </w:r>
    </w:p>
    <w:p>
      <w:pPr>
        <w:keepNext w:val="0"/>
        <w:keepLines w:val="0"/>
        <w:pageBreakBefore w:val="0"/>
        <w:widowControl/>
        <w:kinsoku w:val="0"/>
        <w:wordWrap/>
        <w:overflowPunct/>
        <w:topLinePunct w:val="0"/>
        <w:autoSpaceDE w:val="0"/>
        <w:autoSpaceDN w:val="0"/>
        <w:bidi w:val="0"/>
        <w:adjustRightInd w:val="0"/>
        <w:snapToGrid w:val="0"/>
        <w:spacing w:line="480" w:lineRule="exact"/>
        <w:ind w:firstLine="482" w:firstLineChars="200"/>
        <w:textAlignment w:val="baseline"/>
        <w:outlineLvl w:val="1"/>
        <w:rPr>
          <w:rFonts w:hint="eastAsia" w:ascii="宋体" w:hAnsi="宋体" w:eastAsia="宋体" w:cs="宋体"/>
          <w:b/>
          <w:bCs/>
          <w:sz w:val="24"/>
          <w:szCs w:val="24"/>
          <w:highlight w:val="none"/>
        </w:rPr>
      </w:pPr>
      <w:bookmarkStart w:id="105" w:name="_Toc5906"/>
      <w:r>
        <w:rPr>
          <w:rFonts w:hint="eastAsia" w:ascii="宋体" w:hAnsi="宋体" w:eastAsia="宋体" w:cs="宋体"/>
          <w:b/>
          <w:bCs/>
          <w:sz w:val="24"/>
          <w:szCs w:val="24"/>
          <w:highlight w:val="none"/>
        </w:rPr>
        <w:t>第十五条、合同的终止、变更</w:t>
      </w:r>
      <w:bookmarkEnd w:id="105"/>
    </w:p>
    <w:p>
      <w:pPr>
        <w:keepNext w:val="0"/>
        <w:keepLines w:val="0"/>
        <w:pageBreakBefore w:val="0"/>
        <w:widowControl/>
        <w:kinsoku w:val="0"/>
        <w:wordWrap/>
        <w:overflowPunct/>
        <w:topLinePunct w:val="0"/>
        <w:autoSpaceDE w:val="0"/>
        <w:autoSpaceDN w:val="0"/>
        <w:bidi w:val="0"/>
        <w:adjustRightInd w:val="0"/>
        <w:snapToGrid w:val="0"/>
        <w:spacing w:line="480" w:lineRule="exact"/>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合同一经签订，不得擅自变更、中止或者终止合同。对确需变更、调整或者中止、终止合同的，应按规定履行相应的手续。</w:t>
      </w:r>
    </w:p>
    <w:p>
      <w:pPr>
        <w:keepNext w:val="0"/>
        <w:keepLines w:val="0"/>
        <w:pageBreakBefore w:val="0"/>
        <w:widowControl/>
        <w:kinsoku w:val="0"/>
        <w:wordWrap/>
        <w:overflowPunct/>
        <w:topLinePunct w:val="0"/>
        <w:autoSpaceDE w:val="0"/>
        <w:autoSpaceDN w:val="0"/>
        <w:bidi w:val="0"/>
        <w:adjustRightInd w:val="0"/>
        <w:snapToGrid w:val="0"/>
        <w:spacing w:line="480" w:lineRule="exact"/>
        <w:ind w:firstLine="482" w:firstLineChars="200"/>
        <w:textAlignment w:val="baseline"/>
        <w:outlineLvl w:val="1"/>
        <w:rPr>
          <w:rFonts w:hint="eastAsia" w:ascii="宋体" w:hAnsi="宋体" w:eastAsia="宋体" w:cs="宋体"/>
          <w:b/>
          <w:bCs/>
          <w:sz w:val="24"/>
          <w:szCs w:val="24"/>
          <w:highlight w:val="none"/>
        </w:rPr>
      </w:pPr>
      <w:bookmarkStart w:id="106" w:name="_Toc23182"/>
      <w:r>
        <w:rPr>
          <w:rFonts w:hint="eastAsia" w:ascii="宋体" w:hAnsi="宋体" w:eastAsia="宋体" w:cs="宋体"/>
          <w:b/>
          <w:bCs/>
          <w:sz w:val="24"/>
          <w:szCs w:val="24"/>
          <w:highlight w:val="none"/>
        </w:rPr>
        <w:t>第十六条、合同的转让</w:t>
      </w:r>
      <w:bookmarkEnd w:id="106"/>
    </w:p>
    <w:p>
      <w:pPr>
        <w:keepNext w:val="0"/>
        <w:keepLines w:val="0"/>
        <w:pageBreakBefore w:val="0"/>
        <w:widowControl/>
        <w:kinsoku w:val="0"/>
        <w:wordWrap/>
        <w:overflowPunct/>
        <w:topLinePunct w:val="0"/>
        <w:autoSpaceDE w:val="0"/>
        <w:autoSpaceDN w:val="0"/>
        <w:bidi w:val="0"/>
        <w:adjustRightInd w:val="0"/>
        <w:snapToGrid w:val="0"/>
        <w:spacing w:line="480" w:lineRule="exact"/>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乙方不得擅自部分或全部转让其应履行的合同义务。</w:t>
      </w:r>
    </w:p>
    <w:p>
      <w:pPr>
        <w:keepNext w:val="0"/>
        <w:keepLines w:val="0"/>
        <w:pageBreakBefore w:val="0"/>
        <w:widowControl/>
        <w:kinsoku w:val="0"/>
        <w:wordWrap/>
        <w:overflowPunct/>
        <w:topLinePunct w:val="0"/>
        <w:autoSpaceDE w:val="0"/>
        <w:autoSpaceDN w:val="0"/>
        <w:bidi w:val="0"/>
        <w:adjustRightInd w:val="0"/>
        <w:snapToGrid w:val="0"/>
        <w:spacing w:line="480" w:lineRule="exact"/>
        <w:ind w:firstLine="482" w:firstLineChars="200"/>
        <w:textAlignment w:val="baseline"/>
        <w:outlineLvl w:val="1"/>
        <w:rPr>
          <w:rFonts w:hint="eastAsia" w:ascii="宋体" w:hAnsi="宋体" w:eastAsia="宋体" w:cs="宋体"/>
          <w:b/>
          <w:bCs/>
          <w:sz w:val="24"/>
          <w:szCs w:val="24"/>
          <w:highlight w:val="none"/>
        </w:rPr>
      </w:pPr>
      <w:bookmarkStart w:id="107" w:name="_Toc30338"/>
      <w:r>
        <w:rPr>
          <w:rFonts w:hint="eastAsia" w:ascii="宋体" w:hAnsi="宋体" w:eastAsia="宋体" w:cs="宋体"/>
          <w:b/>
          <w:bCs/>
          <w:sz w:val="24"/>
          <w:szCs w:val="24"/>
          <w:highlight w:val="none"/>
        </w:rPr>
        <w:t>第十七条、违约责任</w:t>
      </w:r>
      <w:bookmarkEnd w:id="107"/>
    </w:p>
    <w:p>
      <w:pPr>
        <w:keepNext w:val="0"/>
        <w:keepLines w:val="0"/>
        <w:pageBreakBefore w:val="0"/>
        <w:widowControl/>
        <w:kinsoku w:val="0"/>
        <w:wordWrap/>
        <w:overflowPunct/>
        <w:topLinePunct w:val="0"/>
        <w:autoSpaceDE w:val="0"/>
        <w:autoSpaceDN w:val="0"/>
        <w:bidi w:val="0"/>
        <w:adjustRightInd w:val="0"/>
        <w:snapToGrid w:val="0"/>
        <w:spacing w:line="480" w:lineRule="exact"/>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依据《中华人民共和国合同法》的相关条款和本合同约定，成交供应商未全面履行合同义务或者发生违约，采购单位会同采购代理机构有权终止合同，依法向成交供应商要求经济索赔，并报请政府采购监督管理机关进行相应的行政处罚。采购单位违约的，应当赔偿给成交供应商造成的经济损失。</w:t>
      </w:r>
    </w:p>
    <w:p>
      <w:pPr>
        <w:keepNext w:val="0"/>
        <w:keepLines w:val="0"/>
        <w:pageBreakBefore w:val="0"/>
        <w:widowControl/>
        <w:kinsoku w:val="0"/>
        <w:wordWrap/>
        <w:overflowPunct/>
        <w:topLinePunct w:val="0"/>
        <w:autoSpaceDE w:val="0"/>
        <w:autoSpaceDN w:val="0"/>
        <w:bidi w:val="0"/>
        <w:adjustRightInd w:val="0"/>
        <w:snapToGrid w:val="0"/>
        <w:spacing w:line="480" w:lineRule="exact"/>
        <w:ind w:firstLine="482" w:firstLineChars="200"/>
        <w:textAlignment w:val="baseline"/>
        <w:outlineLvl w:val="1"/>
        <w:rPr>
          <w:rFonts w:hint="eastAsia" w:ascii="宋体" w:hAnsi="宋体" w:eastAsia="宋体" w:cs="宋体"/>
          <w:b/>
          <w:bCs/>
          <w:sz w:val="24"/>
          <w:szCs w:val="24"/>
          <w:highlight w:val="none"/>
        </w:rPr>
      </w:pPr>
      <w:bookmarkStart w:id="108" w:name="_Toc32730"/>
      <w:r>
        <w:rPr>
          <w:rFonts w:hint="eastAsia" w:ascii="宋体" w:hAnsi="宋体" w:eastAsia="宋体" w:cs="宋体"/>
          <w:b/>
          <w:bCs/>
          <w:sz w:val="24"/>
          <w:szCs w:val="24"/>
          <w:highlight w:val="none"/>
        </w:rPr>
        <w:t>第十八条、合同生效及其他</w:t>
      </w:r>
      <w:bookmarkEnd w:id="108"/>
    </w:p>
    <w:p>
      <w:pPr>
        <w:keepNext w:val="0"/>
        <w:keepLines w:val="0"/>
        <w:pageBreakBefore w:val="0"/>
        <w:widowControl/>
        <w:kinsoku w:val="0"/>
        <w:wordWrap/>
        <w:overflowPunct/>
        <w:topLinePunct w:val="0"/>
        <w:autoSpaceDE w:val="0"/>
        <w:autoSpaceDN w:val="0"/>
        <w:bidi w:val="0"/>
        <w:adjustRightInd w:val="0"/>
        <w:snapToGrid w:val="0"/>
        <w:spacing w:line="480" w:lineRule="exact"/>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1、本合同由甲乙双方共同签字盖章，自甲方签字盖章之日起生效。</w:t>
      </w:r>
    </w:p>
    <w:p>
      <w:pPr>
        <w:keepNext w:val="0"/>
        <w:keepLines w:val="0"/>
        <w:pageBreakBefore w:val="0"/>
        <w:widowControl/>
        <w:kinsoku w:val="0"/>
        <w:wordWrap/>
        <w:overflowPunct/>
        <w:topLinePunct w:val="0"/>
        <w:autoSpaceDE w:val="0"/>
        <w:autoSpaceDN w:val="0"/>
        <w:bidi w:val="0"/>
        <w:adjustRightInd w:val="0"/>
        <w:snapToGrid w:val="0"/>
        <w:spacing w:line="480" w:lineRule="exact"/>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2、本合同一式肆份，甲乙双方各执贰份，。</w:t>
      </w:r>
    </w:p>
    <w:p>
      <w:pPr>
        <w:keepNext w:val="0"/>
        <w:keepLines w:val="0"/>
        <w:pageBreakBefore w:val="0"/>
        <w:widowControl/>
        <w:kinsoku w:val="0"/>
        <w:wordWrap/>
        <w:overflowPunct/>
        <w:topLinePunct w:val="0"/>
        <w:autoSpaceDE w:val="0"/>
        <w:autoSpaceDN w:val="0"/>
        <w:bidi w:val="0"/>
        <w:adjustRightInd w:val="0"/>
        <w:snapToGrid w:val="0"/>
        <w:spacing w:line="480" w:lineRule="exact"/>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3、本合同应按照中华人民共和国的现行法律进行解释。</w:t>
      </w:r>
    </w:p>
    <w:p>
      <w:pPr>
        <w:pStyle w:val="9"/>
        <w:keepNext w:val="0"/>
        <w:keepLines w:val="0"/>
        <w:pageBreakBefore w:val="0"/>
        <w:tabs>
          <w:tab w:val="left" w:pos="2060"/>
          <w:tab w:val="left" w:pos="3740"/>
          <w:tab w:val="left" w:pos="6261"/>
          <w:tab w:val="left" w:pos="7341"/>
          <w:tab w:val="left" w:pos="8808"/>
        </w:tabs>
        <w:wordWrap/>
        <w:overflowPunct/>
        <w:topLinePunct w:val="0"/>
        <w:bidi w:val="0"/>
        <w:spacing w:before="134" w:line="480" w:lineRule="exact"/>
        <w:ind w:left="980"/>
        <w:rPr>
          <w:rFonts w:hint="eastAsia" w:ascii="宋体" w:hAnsi="宋体" w:eastAsia="宋体" w:cs="宋体"/>
          <w:highlight w:val="none"/>
        </w:rPr>
      </w:pPr>
      <w:r>
        <w:rPr>
          <w:rFonts w:hint="eastAsia" w:ascii="宋体" w:hAnsi="宋体" w:eastAsia="宋体" w:cs="宋体"/>
          <w:highlight w:val="none"/>
        </w:rPr>
        <w:t>甲方：</w:t>
      </w:r>
      <w:r>
        <w:rPr>
          <w:rFonts w:hint="eastAsia" w:ascii="宋体" w:hAnsi="宋体" w:eastAsia="宋体" w:cs="宋体"/>
          <w:highlight w:val="none"/>
          <w:u w:val="single"/>
        </w:rPr>
        <w:t xml:space="preserve"> </w:t>
      </w:r>
      <w:r>
        <w:rPr>
          <w:rFonts w:hint="eastAsia" w:ascii="宋体" w:hAnsi="宋体" w:eastAsia="宋体" w:cs="宋体"/>
          <w:highlight w:val="none"/>
          <w:u w:val="single"/>
        </w:rPr>
        <w:tab/>
      </w:r>
      <w:r>
        <w:rPr>
          <w:rFonts w:hint="eastAsia" w:ascii="宋体" w:hAnsi="宋体" w:eastAsia="宋体" w:cs="宋体"/>
          <w:highlight w:val="none"/>
          <w:u w:val="single"/>
        </w:rPr>
        <w:t>（盖章）</w:t>
      </w:r>
      <w:r>
        <w:rPr>
          <w:rFonts w:hint="eastAsia" w:ascii="宋体" w:hAnsi="宋体" w:eastAsia="宋体" w:cs="宋体"/>
          <w:highlight w:val="none"/>
          <w:u w:val="single"/>
        </w:rPr>
        <w:tab/>
      </w:r>
      <w:r>
        <w:rPr>
          <w:rFonts w:hint="eastAsia" w:ascii="宋体" w:hAnsi="宋体" w:eastAsia="宋体" w:cs="宋体"/>
          <w:highlight w:val="none"/>
        </w:rPr>
        <w:tab/>
      </w:r>
      <w:r>
        <w:rPr>
          <w:rFonts w:hint="eastAsia" w:ascii="宋体" w:hAnsi="宋体" w:eastAsia="宋体" w:cs="宋体"/>
          <w:highlight w:val="none"/>
        </w:rPr>
        <w:t>乙方：</w:t>
      </w:r>
      <w:r>
        <w:rPr>
          <w:rFonts w:hint="eastAsia" w:ascii="宋体" w:hAnsi="宋体" w:eastAsia="宋体" w:cs="宋体"/>
          <w:highlight w:val="none"/>
          <w:u w:val="single"/>
        </w:rPr>
        <w:t xml:space="preserve"> </w:t>
      </w:r>
      <w:r>
        <w:rPr>
          <w:rFonts w:hint="eastAsia" w:ascii="宋体" w:hAnsi="宋体" w:eastAsia="宋体" w:cs="宋体"/>
          <w:highlight w:val="none"/>
          <w:u w:val="single"/>
        </w:rPr>
        <w:tab/>
      </w:r>
      <w:r>
        <w:rPr>
          <w:rFonts w:hint="eastAsia" w:ascii="宋体" w:hAnsi="宋体" w:eastAsia="宋体" w:cs="宋体"/>
          <w:highlight w:val="none"/>
          <w:u w:val="single"/>
        </w:rPr>
        <w:t>（盖章）</w:t>
      </w:r>
      <w:r>
        <w:rPr>
          <w:rFonts w:hint="eastAsia" w:ascii="宋体" w:hAnsi="宋体" w:eastAsia="宋体" w:cs="宋体"/>
          <w:highlight w:val="none"/>
          <w:u w:val="single"/>
        </w:rPr>
        <w:tab/>
      </w:r>
    </w:p>
    <w:p>
      <w:pPr>
        <w:pStyle w:val="9"/>
        <w:keepNext w:val="0"/>
        <w:keepLines w:val="0"/>
        <w:pageBreakBefore w:val="0"/>
        <w:tabs>
          <w:tab w:val="left" w:pos="4155"/>
          <w:tab w:val="left" w:pos="6261"/>
          <w:tab w:val="left" w:pos="6741"/>
          <w:tab w:val="left" w:pos="8863"/>
        </w:tabs>
        <w:wordWrap/>
        <w:overflowPunct/>
        <w:topLinePunct w:val="0"/>
        <w:bidi w:val="0"/>
        <w:spacing w:before="133" w:line="480" w:lineRule="exact"/>
        <w:ind w:left="980"/>
        <w:rPr>
          <w:rFonts w:hint="eastAsia" w:ascii="宋体" w:hAnsi="宋体" w:eastAsia="宋体" w:cs="宋体"/>
          <w:highlight w:val="none"/>
        </w:rPr>
      </w:pPr>
      <w:r>
        <w:rPr>
          <w:rFonts w:hint="eastAsia" w:ascii="宋体" w:hAnsi="宋体" w:eastAsia="宋体" w:cs="宋体"/>
          <w:highlight w:val="none"/>
        </w:rPr>
        <w:t>地 址：</w:t>
      </w:r>
      <w:r>
        <w:rPr>
          <w:rFonts w:hint="eastAsia" w:ascii="宋体" w:hAnsi="宋体" w:eastAsia="宋体" w:cs="宋体"/>
          <w:highlight w:val="none"/>
          <w:u w:val="single"/>
        </w:rPr>
        <w:t xml:space="preserve"> </w:t>
      </w:r>
      <w:r>
        <w:rPr>
          <w:rFonts w:hint="eastAsia" w:ascii="宋体" w:hAnsi="宋体" w:eastAsia="宋体" w:cs="宋体"/>
          <w:highlight w:val="none"/>
          <w:u w:val="single"/>
        </w:rPr>
        <w:tab/>
      </w:r>
      <w:r>
        <w:rPr>
          <w:rFonts w:hint="eastAsia" w:ascii="宋体" w:hAnsi="宋体" w:eastAsia="宋体" w:cs="宋体"/>
          <w:highlight w:val="none"/>
        </w:rPr>
        <w:tab/>
      </w:r>
      <w:r>
        <w:rPr>
          <w:rFonts w:hint="eastAsia" w:ascii="宋体" w:hAnsi="宋体" w:eastAsia="宋体" w:cs="宋体"/>
          <w:highlight w:val="none"/>
        </w:rPr>
        <w:t>地</w:t>
      </w:r>
      <w:r>
        <w:rPr>
          <w:rFonts w:hint="eastAsia" w:ascii="宋体" w:hAnsi="宋体" w:eastAsia="宋体" w:cs="宋体"/>
          <w:highlight w:val="none"/>
        </w:rPr>
        <w:tab/>
      </w:r>
      <w:r>
        <w:rPr>
          <w:rFonts w:hint="eastAsia" w:ascii="宋体" w:hAnsi="宋体" w:eastAsia="宋体" w:cs="宋体"/>
          <w:highlight w:val="none"/>
        </w:rPr>
        <w:t>址：</w:t>
      </w:r>
      <w:r>
        <w:rPr>
          <w:rFonts w:hint="eastAsia" w:ascii="宋体" w:hAnsi="宋体" w:eastAsia="宋体" w:cs="宋体"/>
          <w:highlight w:val="none"/>
          <w:u w:val="single"/>
        </w:rPr>
        <w:t xml:space="preserve"> </w:t>
      </w:r>
      <w:r>
        <w:rPr>
          <w:rFonts w:hint="eastAsia" w:ascii="宋体" w:hAnsi="宋体" w:eastAsia="宋体" w:cs="宋体"/>
          <w:highlight w:val="none"/>
          <w:u w:val="single"/>
        </w:rPr>
        <w:tab/>
      </w:r>
    </w:p>
    <w:p>
      <w:pPr>
        <w:pStyle w:val="9"/>
        <w:keepNext w:val="0"/>
        <w:keepLines w:val="0"/>
        <w:pageBreakBefore w:val="0"/>
        <w:tabs>
          <w:tab w:val="left" w:pos="4275"/>
          <w:tab w:val="left" w:pos="6261"/>
          <w:tab w:val="left" w:pos="8863"/>
        </w:tabs>
        <w:wordWrap/>
        <w:overflowPunct/>
        <w:topLinePunct w:val="0"/>
        <w:bidi w:val="0"/>
        <w:spacing w:before="131" w:line="480" w:lineRule="exact"/>
        <w:ind w:left="980"/>
        <w:rPr>
          <w:rFonts w:hint="eastAsia" w:ascii="宋体" w:hAnsi="宋体" w:eastAsia="宋体" w:cs="宋体"/>
          <w:highlight w:val="none"/>
        </w:rPr>
      </w:pPr>
      <w:r>
        <w:rPr>
          <w:rFonts w:hint="eastAsia" w:ascii="宋体" w:hAnsi="宋体" w:eastAsia="宋体" w:cs="宋体"/>
          <w:highlight w:val="none"/>
        </w:rPr>
        <w:t>邮政编码：</w:t>
      </w:r>
      <w:r>
        <w:rPr>
          <w:rFonts w:hint="eastAsia" w:ascii="宋体" w:hAnsi="宋体" w:eastAsia="宋体" w:cs="宋体"/>
          <w:highlight w:val="none"/>
          <w:u w:val="single"/>
        </w:rPr>
        <w:t xml:space="preserve"> </w:t>
      </w:r>
      <w:r>
        <w:rPr>
          <w:rFonts w:hint="eastAsia" w:ascii="宋体" w:hAnsi="宋体" w:eastAsia="宋体" w:cs="宋体"/>
          <w:highlight w:val="none"/>
          <w:u w:val="single"/>
        </w:rPr>
        <w:tab/>
      </w:r>
      <w:r>
        <w:rPr>
          <w:rFonts w:hint="eastAsia" w:ascii="宋体" w:hAnsi="宋体" w:eastAsia="宋体" w:cs="宋体"/>
          <w:highlight w:val="none"/>
        </w:rPr>
        <w:tab/>
      </w:r>
      <w:r>
        <w:rPr>
          <w:rFonts w:hint="eastAsia" w:ascii="宋体" w:hAnsi="宋体" w:eastAsia="宋体" w:cs="宋体"/>
          <w:highlight w:val="none"/>
        </w:rPr>
        <w:t>邮政编码：</w:t>
      </w:r>
      <w:r>
        <w:rPr>
          <w:rFonts w:hint="eastAsia" w:ascii="宋体" w:hAnsi="宋体" w:eastAsia="宋体" w:cs="宋体"/>
          <w:highlight w:val="none"/>
          <w:u w:val="single"/>
        </w:rPr>
        <w:t xml:space="preserve"> </w:t>
      </w:r>
      <w:r>
        <w:rPr>
          <w:rFonts w:hint="eastAsia" w:ascii="宋体" w:hAnsi="宋体" w:eastAsia="宋体" w:cs="宋体"/>
          <w:highlight w:val="none"/>
          <w:u w:val="single"/>
        </w:rPr>
        <w:tab/>
      </w:r>
    </w:p>
    <w:p>
      <w:pPr>
        <w:pStyle w:val="9"/>
        <w:keepNext w:val="0"/>
        <w:keepLines w:val="0"/>
        <w:pageBreakBefore w:val="0"/>
        <w:tabs>
          <w:tab w:val="left" w:pos="6261"/>
        </w:tabs>
        <w:wordWrap/>
        <w:overflowPunct/>
        <w:topLinePunct w:val="0"/>
        <w:bidi w:val="0"/>
        <w:spacing w:before="134" w:line="480" w:lineRule="exact"/>
        <w:ind w:left="980"/>
        <w:rPr>
          <w:rFonts w:hint="eastAsia" w:ascii="宋体" w:hAnsi="宋体" w:eastAsia="宋体" w:cs="宋体"/>
          <w:highlight w:val="none"/>
        </w:rPr>
      </w:pPr>
      <w:r>
        <w:rPr>
          <w:rFonts w:hint="eastAsia" w:ascii="宋体" w:hAnsi="宋体" w:eastAsia="宋体" w:cs="宋体"/>
          <w:highlight w:val="none"/>
        </w:rPr>
        <w:t>法定代表人或其授权</w:t>
      </w:r>
      <w:r>
        <w:rPr>
          <w:rFonts w:hint="eastAsia" w:ascii="宋体" w:hAnsi="宋体" w:eastAsia="宋体" w:cs="宋体"/>
          <w:highlight w:val="none"/>
        </w:rPr>
        <w:tab/>
      </w:r>
      <w:r>
        <w:rPr>
          <w:rFonts w:hint="eastAsia" w:ascii="宋体" w:hAnsi="宋体" w:eastAsia="宋体" w:cs="宋体"/>
          <w:highlight w:val="none"/>
        </w:rPr>
        <w:t>法定代表人或其授权</w:t>
      </w:r>
    </w:p>
    <w:p>
      <w:pPr>
        <w:pStyle w:val="9"/>
        <w:keepNext w:val="0"/>
        <w:keepLines w:val="0"/>
        <w:pageBreakBefore w:val="0"/>
        <w:tabs>
          <w:tab w:val="left" w:pos="3860"/>
          <w:tab w:val="left" w:pos="6261"/>
          <w:tab w:val="left" w:pos="8808"/>
        </w:tabs>
        <w:wordWrap/>
        <w:overflowPunct/>
        <w:topLinePunct w:val="0"/>
        <w:bidi w:val="0"/>
        <w:spacing w:before="132" w:line="480" w:lineRule="exact"/>
        <w:ind w:left="980"/>
        <w:rPr>
          <w:rFonts w:hint="eastAsia" w:ascii="宋体" w:hAnsi="宋体" w:eastAsia="宋体" w:cs="宋体"/>
          <w:highlight w:val="none"/>
        </w:rPr>
      </w:pPr>
      <w:r>
        <w:rPr>
          <w:rFonts w:hint="eastAsia" w:ascii="宋体" w:hAnsi="宋体" w:eastAsia="宋体" w:cs="宋体"/>
          <w:highlight w:val="none"/>
        </w:rPr>
        <w:t>的代理人：</w:t>
      </w:r>
      <w:r>
        <w:rPr>
          <w:rFonts w:hint="eastAsia" w:ascii="宋体" w:hAnsi="宋体" w:eastAsia="宋体" w:cs="宋体"/>
          <w:highlight w:val="none"/>
          <w:u w:val="single"/>
        </w:rPr>
        <w:t>（签字）</w:t>
      </w:r>
      <w:r>
        <w:rPr>
          <w:rFonts w:hint="eastAsia" w:ascii="宋体" w:hAnsi="宋体" w:eastAsia="宋体" w:cs="宋体"/>
          <w:highlight w:val="none"/>
          <w:u w:val="single"/>
        </w:rPr>
        <w:tab/>
      </w:r>
      <w:r>
        <w:rPr>
          <w:rFonts w:hint="eastAsia" w:ascii="宋体" w:hAnsi="宋体" w:eastAsia="宋体" w:cs="宋体"/>
          <w:highlight w:val="none"/>
        </w:rPr>
        <w:tab/>
      </w:r>
      <w:r>
        <w:rPr>
          <w:rFonts w:hint="eastAsia" w:ascii="宋体" w:hAnsi="宋体" w:eastAsia="宋体" w:cs="宋体"/>
          <w:highlight w:val="none"/>
        </w:rPr>
        <w:t>的代理人：</w:t>
      </w:r>
      <w:r>
        <w:rPr>
          <w:rFonts w:hint="eastAsia" w:ascii="宋体" w:hAnsi="宋体" w:eastAsia="宋体" w:cs="宋体"/>
          <w:highlight w:val="none"/>
          <w:u w:val="single"/>
        </w:rPr>
        <w:t>（签字）</w:t>
      </w:r>
      <w:r>
        <w:rPr>
          <w:rFonts w:hint="eastAsia" w:ascii="宋体" w:hAnsi="宋体" w:eastAsia="宋体" w:cs="宋体"/>
          <w:highlight w:val="none"/>
          <w:u w:val="single"/>
        </w:rPr>
        <w:tab/>
      </w:r>
    </w:p>
    <w:p>
      <w:pPr>
        <w:pStyle w:val="9"/>
        <w:keepNext w:val="0"/>
        <w:keepLines w:val="0"/>
        <w:pageBreakBefore w:val="0"/>
        <w:tabs>
          <w:tab w:val="left" w:pos="4275"/>
          <w:tab w:val="left" w:pos="6261"/>
          <w:tab w:val="left" w:pos="8863"/>
        </w:tabs>
        <w:wordWrap/>
        <w:overflowPunct/>
        <w:topLinePunct w:val="0"/>
        <w:bidi w:val="0"/>
        <w:spacing w:before="132" w:line="480" w:lineRule="exact"/>
        <w:ind w:left="980"/>
        <w:rPr>
          <w:rFonts w:hint="eastAsia" w:ascii="宋体" w:hAnsi="宋体" w:eastAsia="宋体" w:cs="宋体"/>
          <w:highlight w:val="none"/>
        </w:rPr>
      </w:pPr>
      <w:r>
        <w:rPr>
          <w:rFonts w:hint="eastAsia" w:ascii="宋体" w:hAnsi="宋体" w:eastAsia="宋体" w:cs="宋体"/>
          <w:highlight w:val="none"/>
        </w:rPr>
        <w:t>开户银行：</w:t>
      </w:r>
      <w:r>
        <w:rPr>
          <w:rFonts w:hint="eastAsia" w:ascii="宋体" w:hAnsi="宋体" w:eastAsia="宋体" w:cs="宋体"/>
          <w:highlight w:val="none"/>
          <w:u w:val="single"/>
        </w:rPr>
        <w:t xml:space="preserve"> </w:t>
      </w:r>
      <w:r>
        <w:rPr>
          <w:rFonts w:hint="eastAsia" w:ascii="宋体" w:hAnsi="宋体" w:eastAsia="宋体" w:cs="宋体"/>
          <w:highlight w:val="none"/>
          <w:u w:val="single"/>
        </w:rPr>
        <w:tab/>
      </w:r>
      <w:r>
        <w:rPr>
          <w:rFonts w:hint="eastAsia" w:ascii="宋体" w:hAnsi="宋体" w:eastAsia="宋体" w:cs="宋体"/>
          <w:highlight w:val="none"/>
        </w:rPr>
        <w:tab/>
      </w:r>
      <w:r>
        <w:rPr>
          <w:rFonts w:hint="eastAsia" w:ascii="宋体" w:hAnsi="宋体" w:eastAsia="宋体" w:cs="宋体"/>
          <w:highlight w:val="none"/>
        </w:rPr>
        <w:t>开户银行：</w:t>
      </w:r>
      <w:r>
        <w:rPr>
          <w:rFonts w:hint="eastAsia" w:ascii="宋体" w:hAnsi="宋体" w:eastAsia="宋体" w:cs="宋体"/>
          <w:highlight w:val="none"/>
          <w:u w:val="single"/>
        </w:rPr>
        <w:t xml:space="preserve"> </w:t>
      </w:r>
      <w:r>
        <w:rPr>
          <w:rFonts w:hint="eastAsia" w:ascii="宋体" w:hAnsi="宋体" w:eastAsia="宋体" w:cs="宋体"/>
          <w:highlight w:val="none"/>
          <w:u w:val="single"/>
        </w:rPr>
        <w:tab/>
      </w:r>
    </w:p>
    <w:p>
      <w:pPr>
        <w:pStyle w:val="9"/>
        <w:keepNext w:val="0"/>
        <w:keepLines w:val="0"/>
        <w:pageBreakBefore w:val="0"/>
        <w:tabs>
          <w:tab w:val="left" w:pos="4395"/>
          <w:tab w:val="left" w:pos="6261"/>
          <w:tab w:val="left" w:pos="8863"/>
        </w:tabs>
        <w:wordWrap/>
        <w:overflowPunct/>
        <w:topLinePunct w:val="0"/>
        <w:bidi w:val="0"/>
        <w:spacing w:before="134" w:line="480" w:lineRule="exact"/>
        <w:ind w:left="980"/>
        <w:rPr>
          <w:rFonts w:hint="eastAsia" w:ascii="宋体" w:hAnsi="宋体" w:eastAsia="宋体" w:cs="宋体"/>
          <w:highlight w:val="none"/>
        </w:rPr>
      </w:pPr>
      <w:r>
        <w:rPr>
          <w:rFonts w:hint="eastAsia" w:ascii="宋体" w:hAnsi="宋体" w:eastAsia="宋体" w:cs="宋体"/>
          <w:highlight w:val="none"/>
        </w:rPr>
        <w:t>账号：</w:t>
      </w:r>
      <w:r>
        <w:rPr>
          <w:rFonts w:hint="eastAsia" w:ascii="宋体" w:hAnsi="宋体" w:eastAsia="宋体" w:cs="宋体"/>
          <w:highlight w:val="none"/>
          <w:u w:val="single"/>
        </w:rPr>
        <w:t xml:space="preserve"> </w:t>
      </w:r>
      <w:r>
        <w:rPr>
          <w:rFonts w:hint="eastAsia" w:ascii="宋体" w:hAnsi="宋体" w:eastAsia="宋体" w:cs="宋体"/>
          <w:highlight w:val="none"/>
          <w:u w:val="single"/>
        </w:rPr>
        <w:tab/>
      </w:r>
      <w:r>
        <w:rPr>
          <w:rFonts w:hint="eastAsia" w:ascii="宋体" w:hAnsi="宋体" w:eastAsia="宋体" w:cs="宋体"/>
          <w:highlight w:val="none"/>
        </w:rPr>
        <w:tab/>
      </w:r>
      <w:r>
        <w:rPr>
          <w:rFonts w:hint="eastAsia" w:ascii="宋体" w:hAnsi="宋体" w:eastAsia="宋体" w:cs="宋体"/>
          <w:highlight w:val="none"/>
        </w:rPr>
        <w:t>账号：</w:t>
      </w:r>
      <w:r>
        <w:rPr>
          <w:rFonts w:hint="eastAsia" w:ascii="宋体" w:hAnsi="宋体" w:eastAsia="宋体" w:cs="宋体"/>
          <w:highlight w:val="none"/>
          <w:u w:val="single"/>
        </w:rPr>
        <w:t xml:space="preserve"> </w:t>
      </w:r>
      <w:r>
        <w:rPr>
          <w:rFonts w:hint="eastAsia" w:ascii="宋体" w:hAnsi="宋体" w:eastAsia="宋体" w:cs="宋体"/>
          <w:highlight w:val="none"/>
          <w:u w:val="single"/>
        </w:rPr>
        <w:tab/>
      </w:r>
    </w:p>
    <w:p>
      <w:pPr>
        <w:pStyle w:val="9"/>
        <w:keepNext w:val="0"/>
        <w:keepLines w:val="0"/>
        <w:pageBreakBefore w:val="0"/>
        <w:tabs>
          <w:tab w:val="left" w:pos="4395"/>
          <w:tab w:val="left" w:pos="6261"/>
          <w:tab w:val="left" w:pos="8863"/>
        </w:tabs>
        <w:wordWrap/>
        <w:overflowPunct/>
        <w:topLinePunct w:val="0"/>
        <w:bidi w:val="0"/>
        <w:spacing w:before="132" w:line="480" w:lineRule="exact"/>
        <w:ind w:left="980"/>
        <w:rPr>
          <w:rFonts w:hint="eastAsia" w:ascii="宋体" w:hAnsi="宋体" w:eastAsia="宋体" w:cs="宋体"/>
          <w:highlight w:val="none"/>
        </w:rPr>
      </w:pPr>
      <w:r>
        <w:rPr>
          <w:rFonts w:hint="eastAsia" w:ascii="宋体" w:hAnsi="宋体" w:eastAsia="宋体" w:cs="宋体"/>
          <w:highlight w:val="none"/>
        </w:rPr>
        <w:t>电话：</w:t>
      </w:r>
      <w:r>
        <w:rPr>
          <w:rFonts w:hint="eastAsia" w:ascii="宋体" w:hAnsi="宋体" w:eastAsia="宋体" w:cs="宋体"/>
          <w:highlight w:val="none"/>
          <w:u w:val="single"/>
        </w:rPr>
        <w:t xml:space="preserve"> </w:t>
      </w:r>
      <w:r>
        <w:rPr>
          <w:rFonts w:hint="eastAsia" w:ascii="宋体" w:hAnsi="宋体" w:eastAsia="宋体" w:cs="宋体"/>
          <w:highlight w:val="none"/>
          <w:u w:val="single"/>
        </w:rPr>
        <w:tab/>
      </w:r>
      <w:r>
        <w:rPr>
          <w:rFonts w:hint="eastAsia" w:ascii="宋体" w:hAnsi="宋体" w:eastAsia="宋体" w:cs="宋体"/>
          <w:highlight w:val="none"/>
        </w:rPr>
        <w:tab/>
      </w:r>
      <w:r>
        <w:rPr>
          <w:rFonts w:hint="eastAsia" w:ascii="宋体" w:hAnsi="宋体" w:eastAsia="宋体" w:cs="宋体"/>
          <w:highlight w:val="none"/>
        </w:rPr>
        <w:t>电话：</w:t>
      </w:r>
      <w:r>
        <w:rPr>
          <w:rFonts w:hint="eastAsia" w:ascii="宋体" w:hAnsi="宋体" w:eastAsia="宋体" w:cs="宋体"/>
          <w:highlight w:val="none"/>
          <w:u w:val="single"/>
        </w:rPr>
        <w:t xml:space="preserve"> </w:t>
      </w:r>
      <w:r>
        <w:rPr>
          <w:rFonts w:hint="eastAsia" w:ascii="宋体" w:hAnsi="宋体" w:eastAsia="宋体" w:cs="宋体"/>
          <w:highlight w:val="none"/>
          <w:u w:val="single"/>
        </w:rPr>
        <w:tab/>
      </w:r>
    </w:p>
    <w:p>
      <w:pPr>
        <w:pStyle w:val="9"/>
        <w:keepNext w:val="0"/>
        <w:keepLines w:val="0"/>
        <w:pageBreakBefore w:val="0"/>
        <w:tabs>
          <w:tab w:val="left" w:pos="4395"/>
          <w:tab w:val="left" w:pos="6261"/>
          <w:tab w:val="left" w:pos="8863"/>
        </w:tabs>
        <w:wordWrap/>
        <w:overflowPunct/>
        <w:topLinePunct w:val="0"/>
        <w:bidi w:val="0"/>
        <w:spacing w:before="131" w:line="480" w:lineRule="exact"/>
        <w:ind w:left="980"/>
        <w:rPr>
          <w:rFonts w:hint="eastAsia" w:ascii="宋体" w:hAnsi="宋体" w:eastAsia="宋体" w:cs="宋体"/>
          <w:highlight w:val="none"/>
        </w:rPr>
      </w:pPr>
      <w:r>
        <w:rPr>
          <w:rFonts w:hint="eastAsia" w:ascii="宋体" w:hAnsi="宋体" w:eastAsia="宋体" w:cs="宋体"/>
          <w:highlight w:val="none"/>
        </w:rPr>
        <w:t>传真：</w:t>
      </w:r>
      <w:r>
        <w:rPr>
          <w:rFonts w:hint="eastAsia" w:ascii="宋体" w:hAnsi="宋体" w:eastAsia="宋体" w:cs="宋体"/>
          <w:highlight w:val="none"/>
          <w:u w:val="single"/>
        </w:rPr>
        <w:t xml:space="preserve"> </w:t>
      </w:r>
      <w:r>
        <w:rPr>
          <w:rFonts w:hint="eastAsia" w:ascii="宋体" w:hAnsi="宋体" w:eastAsia="宋体" w:cs="宋体"/>
          <w:highlight w:val="none"/>
          <w:u w:val="single"/>
        </w:rPr>
        <w:tab/>
      </w:r>
      <w:r>
        <w:rPr>
          <w:rFonts w:hint="eastAsia" w:ascii="宋体" w:hAnsi="宋体" w:eastAsia="宋体" w:cs="宋体"/>
          <w:highlight w:val="none"/>
        </w:rPr>
        <w:tab/>
      </w:r>
      <w:r>
        <w:rPr>
          <w:rFonts w:hint="eastAsia" w:ascii="宋体" w:hAnsi="宋体" w:eastAsia="宋体" w:cs="宋体"/>
          <w:highlight w:val="none"/>
        </w:rPr>
        <w:t>传真：</w:t>
      </w:r>
      <w:r>
        <w:rPr>
          <w:rFonts w:hint="eastAsia" w:ascii="宋体" w:hAnsi="宋体" w:eastAsia="宋体" w:cs="宋体"/>
          <w:highlight w:val="none"/>
          <w:u w:val="single"/>
        </w:rPr>
        <w:t xml:space="preserve"> </w:t>
      </w:r>
      <w:r>
        <w:rPr>
          <w:rFonts w:hint="eastAsia" w:ascii="宋体" w:hAnsi="宋体" w:eastAsia="宋体" w:cs="宋体"/>
          <w:highlight w:val="none"/>
          <w:u w:val="single"/>
        </w:rPr>
        <w:tab/>
      </w:r>
    </w:p>
    <w:p>
      <w:pPr>
        <w:keepNext w:val="0"/>
        <w:keepLines w:val="0"/>
        <w:pageBreakBefore w:val="0"/>
        <w:tabs>
          <w:tab w:val="left" w:pos="4275"/>
          <w:tab w:val="left" w:pos="6261"/>
          <w:tab w:val="left" w:pos="8863"/>
        </w:tabs>
        <w:wordWrap/>
        <w:overflowPunct/>
        <w:topLinePunct w:val="0"/>
        <w:bidi w:val="0"/>
        <w:spacing w:before="134" w:line="480" w:lineRule="exact"/>
        <w:ind w:left="982" w:right="441" w:hanging="3"/>
        <w:rPr>
          <w:rFonts w:hint="eastAsia" w:ascii="宋体" w:hAnsi="宋体" w:eastAsia="宋体" w:cs="宋体"/>
          <w:sz w:val="24"/>
          <w:highlight w:val="none"/>
          <w:u w:val="single"/>
          <w:lang w:eastAsia="zh-CN"/>
        </w:rPr>
      </w:pPr>
      <w:r>
        <w:rPr>
          <w:rFonts w:hint="eastAsia" w:ascii="宋体" w:hAnsi="宋体" w:eastAsia="宋体" w:cs="宋体"/>
          <w:sz w:val="24"/>
          <w:highlight w:val="none"/>
        </w:rPr>
        <w:t>电子邮箱：</w:t>
      </w:r>
      <w:r>
        <w:rPr>
          <w:rFonts w:hint="eastAsia" w:ascii="宋体" w:hAnsi="宋体" w:eastAsia="宋体" w:cs="宋体"/>
          <w:sz w:val="24"/>
          <w:highlight w:val="none"/>
          <w:u w:val="single"/>
        </w:rPr>
        <w:t xml:space="preserve"> </w:t>
      </w:r>
      <w:r>
        <w:rPr>
          <w:rFonts w:hint="eastAsia" w:ascii="宋体" w:hAnsi="宋体" w:eastAsia="宋体" w:cs="宋体"/>
          <w:sz w:val="24"/>
          <w:highlight w:val="none"/>
          <w:u w:val="single"/>
        </w:rPr>
        <w:tab/>
      </w:r>
      <w:r>
        <w:rPr>
          <w:rFonts w:hint="eastAsia" w:ascii="宋体" w:hAnsi="宋体" w:eastAsia="宋体" w:cs="宋体"/>
          <w:sz w:val="24"/>
          <w:highlight w:val="none"/>
        </w:rPr>
        <w:tab/>
      </w:r>
      <w:r>
        <w:rPr>
          <w:rFonts w:hint="eastAsia" w:ascii="宋体" w:hAnsi="宋体" w:eastAsia="宋体" w:cs="宋体"/>
          <w:sz w:val="24"/>
          <w:highlight w:val="none"/>
        </w:rPr>
        <w:t>电子邮箱：</w:t>
      </w:r>
      <w:r>
        <w:rPr>
          <w:rFonts w:hint="eastAsia" w:ascii="宋体" w:hAnsi="宋体" w:eastAsia="宋体" w:cs="宋体"/>
          <w:sz w:val="24"/>
          <w:highlight w:val="none"/>
          <w:u w:val="single"/>
        </w:rPr>
        <w:t xml:space="preserve"> </w:t>
      </w:r>
      <w:r>
        <w:rPr>
          <w:rFonts w:hint="eastAsia" w:ascii="宋体" w:hAnsi="宋体" w:eastAsia="宋体" w:cs="宋体"/>
          <w:sz w:val="24"/>
          <w:highlight w:val="none"/>
          <w:u w:val="single"/>
        </w:rPr>
        <w:tab/>
      </w:r>
      <w:r>
        <w:rPr>
          <w:rFonts w:hint="eastAsia" w:ascii="宋体" w:hAnsi="宋体" w:eastAsia="宋体" w:cs="宋体"/>
          <w:sz w:val="24"/>
          <w:highlight w:val="none"/>
          <w:u w:val="single"/>
        </w:rPr>
        <w:t xml:space="preserve"> </w:t>
      </w:r>
    </w:p>
    <w:p>
      <w:pPr>
        <w:keepNext w:val="0"/>
        <w:keepLines w:val="0"/>
        <w:pageBreakBefore w:val="0"/>
        <w:widowControl/>
        <w:kinsoku w:val="0"/>
        <w:wordWrap/>
        <w:overflowPunct/>
        <w:topLinePunct w:val="0"/>
        <w:autoSpaceDE w:val="0"/>
        <w:autoSpaceDN w:val="0"/>
        <w:bidi w:val="0"/>
        <w:adjustRightInd w:val="0"/>
        <w:snapToGrid w:val="0"/>
        <w:spacing w:line="480" w:lineRule="exact"/>
        <w:ind w:firstLine="482" w:firstLineChars="200"/>
        <w:textAlignment w:val="baseline"/>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注：本合同模板仅为合同的参考文本，合同签订双方可根据项目的具体要求进行修改。</w:t>
      </w:r>
    </w:p>
    <w:p>
      <w:pPr>
        <w:pStyle w:val="14"/>
        <w:keepNext w:val="0"/>
        <w:keepLines w:val="0"/>
        <w:pageBreakBefore w:val="0"/>
        <w:wordWrap/>
        <w:overflowPunct/>
        <w:topLinePunct w:val="0"/>
        <w:bidi w:val="0"/>
        <w:spacing w:line="480" w:lineRule="exact"/>
        <w:rPr>
          <w:rFonts w:hint="eastAsia" w:ascii="宋体" w:hAnsi="宋体" w:eastAsia="宋体" w:cs="宋体"/>
          <w:i w:val="0"/>
          <w:iCs w:val="0"/>
          <w:color w:val="auto"/>
          <w:sz w:val="28"/>
          <w:szCs w:val="28"/>
          <w:highlight w:val="none"/>
        </w:rPr>
      </w:pPr>
    </w:p>
    <w:p>
      <w:pPr>
        <w:keepNext w:val="0"/>
        <w:keepLines w:val="0"/>
        <w:pageBreakBefore w:val="0"/>
        <w:wordWrap/>
        <w:overflowPunct/>
        <w:topLinePunct w:val="0"/>
        <w:bidi w:val="0"/>
        <w:spacing w:line="480" w:lineRule="exact"/>
        <w:rPr>
          <w:rFonts w:hint="eastAsia" w:ascii="宋体" w:hAnsi="宋体" w:eastAsia="宋体" w:cs="宋体"/>
          <w:i w:val="0"/>
          <w:iCs w:val="0"/>
          <w:color w:val="auto"/>
          <w:sz w:val="28"/>
          <w:szCs w:val="28"/>
          <w:highlight w:val="none"/>
        </w:rPr>
      </w:pPr>
    </w:p>
    <w:p>
      <w:pPr>
        <w:pStyle w:val="14"/>
        <w:rPr>
          <w:rFonts w:hint="eastAsia" w:ascii="宋体" w:hAnsi="宋体" w:eastAsia="宋体" w:cs="宋体"/>
          <w:i w:val="0"/>
          <w:iCs w:val="0"/>
          <w:color w:val="auto"/>
          <w:sz w:val="28"/>
          <w:szCs w:val="28"/>
          <w:highlight w:val="none"/>
        </w:rPr>
      </w:pPr>
    </w:p>
    <w:p>
      <w:pPr>
        <w:rPr>
          <w:rFonts w:hint="eastAsia" w:ascii="宋体" w:hAnsi="宋体" w:eastAsia="宋体" w:cs="宋体"/>
          <w:i w:val="0"/>
          <w:iCs w:val="0"/>
          <w:color w:val="auto"/>
          <w:sz w:val="28"/>
          <w:szCs w:val="28"/>
          <w:highlight w:val="none"/>
        </w:rPr>
      </w:pPr>
    </w:p>
    <w:p>
      <w:pPr>
        <w:pStyle w:val="2"/>
        <w:rPr>
          <w:rFonts w:hint="eastAsia" w:ascii="宋体" w:hAnsi="宋体" w:eastAsia="宋体" w:cs="宋体"/>
          <w:i w:val="0"/>
          <w:iCs w:val="0"/>
          <w:color w:val="auto"/>
          <w:sz w:val="28"/>
          <w:szCs w:val="28"/>
          <w:highlight w:val="none"/>
        </w:rPr>
      </w:pPr>
    </w:p>
    <w:p>
      <w:pPr>
        <w:pStyle w:val="2"/>
        <w:rPr>
          <w:rFonts w:hint="eastAsia" w:ascii="宋体" w:hAnsi="宋体" w:eastAsia="宋体" w:cs="宋体"/>
          <w:i w:val="0"/>
          <w:iCs w:val="0"/>
          <w:color w:val="auto"/>
          <w:sz w:val="28"/>
          <w:szCs w:val="28"/>
          <w:highlight w:val="none"/>
        </w:rPr>
      </w:pPr>
    </w:p>
    <w:p>
      <w:pPr>
        <w:pStyle w:val="2"/>
        <w:rPr>
          <w:rFonts w:hint="eastAsia" w:ascii="宋体" w:hAnsi="宋体" w:eastAsia="宋体" w:cs="宋体"/>
          <w:i w:val="0"/>
          <w:iCs w:val="0"/>
          <w:color w:val="auto"/>
          <w:sz w:val="28"/>
          <w:szCs w:val="28"/>
          <w:highlight w:val="none"/>
        </w:rPr>
      </w:pPr>
      <w:bookmarkStart w:id="158" w:name="_GoBack"/>
      <w:bookmarkEnd w:id="158"/>
    </w:p>
    <w:p>
      <w:pPr>
        <w:rPr>
          <w:rFonts w:hint="eastAsia"/>
          <w:highlight w:val="none"/>
        </w:rPr>
      </w:pPr>
    </w:p>
    <w:p>
      <w:pPr>
        <w:rPr>
          <w:rFonts w:hint="eastAsia"/>
          <w:color w:val="auto"/>
          <w:highlight w:val="none"/>
        </w:rPr>
      </w:pPr>
    </w:p>
    <w:p>
      <w:pPr>
        <w:rPr>
          <w:rFonts w:hint="eastAsia"/>
          <w:color w:val="auto"/>
          <w:highlight w:val="none"/>
        </w:rPr>
      </w:pPr>
    </w:p>
    <w:p>
      <w:pPr>
        <w:pStyle w:val="11"/>
        <w:numPr>
          <w:ilvl w:val="0"/>
          <w:numId w:val="2"/>
        </w:numPr>
        <w:shd w:val="clear" w:color="auto" w:fill="auto"/>
        <w:jc w:val="center"/>
        <w:outlineLvl w:val="0"/>
        <w:rPr>
          <w:rFonts w:hint="eastAsia" w:ascii="宋体" w:hAnsi="华文宋体" w:eastAsia="宋体" w:cs="Times New Roman"/>
          <w:b/>
          <w:color w:val="auto"/>
          <w:kern w:val="44"/>
          <w:sz w:val="44"/>
          <w:szCs w:val="44"/>
          <w:highlight w:val="none"/>
          <w:lang w:val="en-US" w:eastAsia="zh-CN" w:bidi="ar-SA"/>
        </w:rPr>
      </w:pPr>
      <w:bookmarkStart w:id="109" w:name="_Toc23271"/>
      <w:r>
        <w:rPr>
          <w:rFonts w:hint="eastAsia" w:ascii="宋体" w:hAnsi="华文宋体" w:eastAsia="宋体" w:cs="Times New Roman"/>
          <w:b/>
          <w:color w:val="auto"/>
          <w:kern w:val="44"/>
          <w:sz w:val="44"/>
          <w:szCs w:val="44"/>
          <w:highlight w:val="none"/>
          <w:lang w:val="en-US" w:eastAsia="zh-CN" w:bidi="ar-SA"/>
        </w:rPr>
        <w:t>采购需求</w:t>
      </w:r>
      <w:bookmarkEnd w:id="109"/>
    </w:p>
    <w:p>
      <w:pPr>
        <w:pStyle w:val="11"/>
        <w:numPr>
          <w:ilvl w:val="0"/>
          <w:numId w:val="0"/>
        </w:numPr>
        <w:shd w:val="clear" w:color="auto" w:fill="auto"/>
        <w:ind w:firstLine="560" w:firstLineChars="200"/>
        <w:jc w:val="both"/>
        <w:rPr>
          <w:rFonts w:hint="eastAsia" w:ascii="宋体" w:hAnsi="宋体" w:eastAsia="宋体" w:cs="宋体"/>
          <w:i w:val="0"/>
          <w:iCs w:val="0"/>
          <w:color w:val="auto"/>
          <w:kern w:val="2"/>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left"/>
        <w:textAlignment w:val="auto"/>
        <w:outlineLvl w:val="1"/>
        <w:rPr>
          <w:rFonts w:hint="default" w:ascii="宋体" w:hAnsi="宋体" w:eastAsia="宋体" w:cs="宋体"/>
          <w:i w:val="0"/>
          <w:iCs w:val="0"/>
          <w:color w:val="auto"/>
          <w:kern w:val="2"/>
          <w:sz w:val="28"/>
          <w:szCs w:val="28"/>
          <w:highlight w:val="none"/>
          <w:lang w:val="en-US" w:eastAsia="zh-CN" w:bidi="ar-SA"/>
        </w:rPr>
      </w:pPr>
      <w:bookmarkStart w:id="110" w:name="_Toc30836"/>
      <w:r>
        <w:rPr>
          <w:rFonts w:hint="eastAsia" w:ascii="宋体" w:hAnsi="宋体" w:eastAsia="宋体" w:cs="宋体"/>
          <w:i w:val="0"/>
          <w:iCs w:val="0"/>
          <w:color w:val="auto"/>
          <w:kern w:val="2"/>
          <w:sz w:val="28"/>
          <w:szCs w:val="28"/>
          <w:highlight w:val="none"/>
          <w:lang w:val="en-US" w:eastAsia="zh-CN" w:bidi="ar-SA"/>
        </w:rPr>
        <w:t>1、采购内容</w:t>
      </w:r>
      <w:bookmarkEnd w:id="110"/>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left"/>
        <w:textAlignment w:val="auto"/>
        <w:rPr>
          <w:rFonts w:hint="eastAsia" w:ascii="宋体" w:hAnsi="宋体" w:eastAsia="宋体" w:cs="宋体"/>
          <w:i w:val="0"/>
          <w:iCs w:val="0"/>
          <w:color w:val="auto"/>
          <w:kern w:val="2"/>
          <w:sz w:val="28"/>
          <w:szCs w:val="28"/>
          <w:highlight w:val="none"/>
          <w:lang w:val="en-US" w:eastAsia="zh-CN" w:bidi="ar-SA"/>
        </w:rPr>
      </w:pPr>
      <w:r>
        <w:rPr>
          <w:rFonts w:hint="eastAsia" w:ascii="宋体" w:hAnsi="宋体" w:eastAsia="宋体" w:cs="宋体"/>
          <w:i w:val="0"/>
          <w:iCs w:val="0"/>
          <w:color w:val="auto"/>
          <w:kern w:val="2"/>
          <w:sz w:val="28"/>
          <w:szCs w:val="28"/>
          <w:highlight w:val="none"/>
          <w:lang w:val="en-US" w:eastAsia="zh-CN" w:bidi="ar-SA"/>
        </w:rPr>
        <w:t>通过科学、有效地组织实施2022年轮台县国土变更调查与卫片执法工作，全面查清轮台县土地资源和利用状况。实施最严格的耕地保护制度，加强和改善宏观调控提供依据，促进经济社会全面协调可持续发展。早发现、早制止、严查处各类自然资源违法行为，维护自然资源管理秩序，坚决遏制新增乱占耕地建房，严格保护耕地和矿产资源，尤其是重点保护永久基本农田、可以长期稳定利用耕地和稀土等战略性矿种。从执法角度评估自然资源管理秩序，压实党委政府责任，督促整改落实，消除违法状态。检验自然资源执法工作成效，推动落实严格规范公正文明执法。以卫片执法工作为抓手构建跨部门执法工作平台，推动落实自然资源执法共同责任机制，</w:t>
      </w:r>
      <w:r>
        <w:rPr>
          <w:rFonts w:hint="eastAsia" w:ascii="宋体" w:hAnsi="宋体" w:cs="宋体"/>
          <w:i w:val="0"/>
          <w:iCs w:val="0"/>
          <w:color w:val="auto"/>
          <w:kern w:val="2"/>
          <w:sz w:val="28"/>
          <w:szCs w:val="28"/>
          <w:highlight w:val="none"/>
          <w:lang w:val="en-US" w:eastAsia="zh-CN" w:bidi="ar-SA"/>
        </w:rPr>
        <w:t>形成工作合力</w:t>
      </w:r>
      <w:r>
        <w:rPr>
          <w:rFonts w:hint="eastAsia" w:ascii="宋体" w:hAnsi="宋体" w:eastAsia="宋体" w:cs="宋体"/>
          <w:i w:val="0"/>
          <w:iCs w:val="0"/>
          <w:color w:val="auto"/>
          <w:kern w:val="2"/>
          <w:sz w:val="28"/>
          <w:szCs w:val="28"/>
          <w:highlight w:val="none"/>
          <w:lang w:val="en-US" w:eastAsia="zh-CN" w:bidi="ar-SA"/>
        </w:rPr>
        <w:t>。</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left"/>
        <w:textAlignment w:val="auto"/>
        <w:outlineLvl w:val="1"/>
        <w:rPr>
          <w:rFonts w:hint="default" w:ascii="宋体" w:hAnsi="宋体" w:eastAsia="宋体" w:cs="宋体"/>
          <w:i w:val="0"/>
          <w:iCs w:val="0"/>
          <w:color w:val="auto"/>
          <w:kern w:val="2"/>
          <w:sz w:val="28"/>
          <w:szCs w:val="28"/>
          <w:highlight w:val="none"/>
          <w:lang w:val="en-US" w:eastAsia="zh-CN" w:bidi="ar-SA"/>
        </w:rPr>
      </w:pPr>
      <w:bookmarkStart w:id="111" w:name="_Toc6114"/>
      <w:r>
        <w:rPr>
          <w:rFonts w:hint="eastAsia" w:ascii="宋体" w:hAnsi="宋体" w:eastAsia="宋体" w:cs="宋体"/>
          <w:i w:val="0"/>
          <w:iCs w:val="0"/>
          <w:color w:val="auto"/>
          <w:kern w:val="2"/>
          <w:sz w:val="28"/>
          <w:szCs w:val="28"/>
          <w:highlight w:val="none"/>
          <w:lang w:val="en-US" w:eastAsia="zh-CN" w:bidi="ar-SA"/>
        </w:rPr>
        <w:t>2、服务要求</w:t>
      </w:r>
      <w:bookmarkEnd w:id="111"/>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left"/>
        <w:textAlignment w:val="auto"/>
        <w:rPr>
          <w:rFonts w:hint="eastAsia" w:ascii="宋体" w:hAnsi="宋体" w:eastAsia="宋体" w:cs="宋体"/>
          <w:i w:val="0"/>
          <w:iCs w:val="0"/>
          <w:color w:val="auto"/>
          <w:kern w:val="2"/>
          <w:sz w:val="28"/>
          <w:szCs w:val="28"/>
          <w:highlight w:val="none"/>
          <w:lang w:val="en-US" w:eastAsia="zh-CN" w:bidi="ar-SA"/>
        </w:rPr>
      </w:pPr>
      <w:r>
        <w:rPr>
          <w:rFonts w:hint="eastAsia" w:ascii="宋体" w:hAnsi="宋体" w:eastAsia="宋体" w:cs="宋体"/>
          <w:i w:val="0"/>
          <w:iCs w:val="0"/>
          <w:color w:val="auto"/>
          <w:kern w:val="2"/>
          <w:sz w:val="28"/>
          <w:szCs w:val="28"/>
          <w:highlight w:val="none"/>
          <w:lang w:val="en-US" w:eastAsia="zh-CN" w:bidi="ar-SA"/>
        </w:rPr>
        <w:t>供应商参与投标 (响应) 应充分考虑到服务期内项目实施中的风险等因素， 并投入足够的人员，成交后除采购人另有规定外，不得转包、分包，不得向采购人收取成交价格以外的其他任何费用。</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left"/>
        <w:textAlignment w:val="auto"/>
        <w:outlineLvl w:val="1"/>
        <w:rPr>
          <w:rFonts w:hint="eastAsia" w:ascii="宋体" w:hAnsi="宋体" w:eastAsia="宋体" w:cs="宋体"/>
          <w:i w:val="0"/>
          <w:iCs w:val="0"/>
          <w:color w:val="auto"/>
          <w:kern w:val="2"/>
          <w:sz w:val="28"/>
          <w:szCs w:val="28"/>
          <w:highlight w:val="none"/>
          <w:lang w:val="en-US" w:eastAsia="zh-CN" w:bidi="ar-SA"/>
        </w:rPr>
      </w:pPr>
      <w:bookmarkStart w:id="112" w:name="_Toc1222"/>
      <w:r>
        <w:rPr>
          <w:rFonts w:hint="eastAsia" w:ascii="宋体" w:hAnsi="宋体" w:eastAsia="宋体" w:cs="宋体"/>
          <w:i w:val="0"/>
          <w:iCs w:val="0"/>
          <w:color w:val="auto"/>
          <w:kern w:val="2"/>
          <w:sz w:val="28"/>
          <w:szCs w:val="28"/>
          <w:highlight w:val="none"/>
          <w:lang w:val="en-US" w:eastAsia="zh-CN" w:bidi="ar-SA"/>
        </w:rPr>
        <w:t>3、服务标准</w:t>
      </w:r>
      <w:bookmarkEnd w:id="112"/>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left"/>
        <w:textAlignment w:val="auto"/>
        <w:rPr>
          <w:rFonts w:hint="eastAsia" w:ascii="宋体" w:hAnsi="宋体" w:eastAsia="宋体" w:cs="宋体"/>
          <w:i w:val="0"/>
          <w:iCs w:val="0"/>
          <w:color w:val="auto"/>
          <w:kern w:val="2"/>
          <w:sz w:val="28"/>
          <w:szCs w:val="28"/>
          <w:highlight w:val="none"/>
          <w:lang w:val="en-US" w:eastAsia="zh-CN" w:bidi="ar-SA"/>
        </w:rPr>
      </w:pPr>
      <w:r>
        <w:rPr>
          <w:rFonts w:hint="eastAsia" w:ascii="宋体" w:hAnsi="宋体" w:eastAsia="宋体" w:cs="宋体"/>
          <w:i w:val="0"/>
          <w:iCs w:val="0"/>
          <w:color w:val="auto"/>
          <w:kern w:val="2"/>
          <w:sz w:val="28"/>
          <w:szCs w:val="28"/>
          <w:highlight w:val="none"/>
          <w:lang w:val="en-US" w:eastAsia="zh-CN" w:bidi="ar-SA"/>
        </w:rPr>
        <w:t>严格按照国家、自治区相关法律法规执行。</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left"/>
        <w:textAlignment w:val="auto"/>
        <w:outlineLvl w:val="1"/>
        <w:rPr>
          <w:rFonts w:hint="eastAsia" w:ascii="宋体" w:hAnsi="宋体" w:eastAsia="宋体" w:cs="宋体"/>
          <w:i w:val="0"/>
          <w:iCs w:val="0"/>
          <w:color w:val="auto"/>
          <w:kern w:val="2"/>
          <w:sz w:val="28"/>
          <w:szCs w:val="28"/>
          <w:highlight w:val="none"/>
          <w:lang w:val="en-US" w:eastAsia="zh-CN" w:bidi="ar-SA"/>
        </w:rPr>
      </w:pPr>
      <w:bookmarkStart w:id="113" w:name="_Toc576"/>
      <w:r>
        <w:rPr>
          <w:rFonts w:hint="eastAsia" w:ascii="宋体" w:hAnsi="宋体" w:eastAsia="宋体" w:cs="宋体"/>
          <w:i w:val="0"/>
          <w:iCs w:val="0"/>
          <w:color w:val="auto"/>
          <w:kern w:val="2"/>
          <w:sz w:val="28"/>
          <w:szCs w:val="28"/>
          <w:highlight w:val="none"/>
          <w:lang w:val="en-US" w:eastAsia="zh-CN" w:bidi="ar-SA"/>
        </w:rPr>
        <w:t>4、服务期限</w:t>
      </w:r>
      <w:bookmarkEnd w:id="113"/>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left"/>
        <w:textAlignment w:val="auto"/>
        <w:rPr>
          <w:rFonts w:hint="default" w:ascii="宋体" w:hAnsi="宋体" w:eastAsia="宋体" w:cs="宋体"/>
          <w:i w:val="0"/>
          <w:iCs w:val="0"/>
          <w:color w:val="auto"/>
          <w:kern w:val="2"/>
          <w:sz w:val="28"/>
          <w:szCs w:val="28"/>
          <w:highlight w:val="none"/>
          <w:lang w:val="en-US" w:eastAsia="zh-CN" w:bidi="ar-SA"/>
        </w:rPr>
      </w:pPr>
      <w:r>
        <w:rPr>
          <w:rFonts w:hint="eastAsia" w:ascii="宋体" w:hAnsi="宋体" w:eastAsia="宋体" w:cs="宋体"/>
          <w:i w:val="0"/>
          <w:iCs w:val="0"/>
          <w:color w:val="auto"/>
          <w:kern w:val="2"/>
          <w:sz w:val="28"/>
          <w:szCs w:val="28"/>
          <w:highlight w:val="none"/>
          <w:lang w:val="en-US" w:eastAsia="zh-CN" w:bidi="ar-SA"/>
        </w:rPr>
        <w:t>自合同签订之日起80日历天</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left"/>
        <w:textAlignment w:val="auto"/>
        <w:outlineLvl w:val="1"/>
        <w:rPr>
          <w:rFonts w:hint="eastAsia" w:ascii="宋体" w:hAnsi="宋体" w:eastAsia="宋体" w:cs="宋体"/>
          <w:i w:val="0"/>
          <w:iCs w:val="0"/>
          <w:color w:val="auto"/>
          <w:kern w:val="2"/>
          <w:sz w:val="28"/>
          <w:szCs w:val="28"/>
          <w:highlight w:val="none"/>
          <w:lang w:val="en-US" w:eastAsia="zh-CN" w:bidi="ar-SA"/>
        </w:rPr>
      </w:pPr>
      <w:bookmarkStart w:id="114" w:name="_Toc3151"/>
      <w:r>
        <w:rPr>
          <w:rFonts w:hint="eastAsia" w:ascii="宋体" w:hAnsi="宋体" w:eastAsia="宋体" w:cs="宋体"/>
          <w:i w:val="0"/>
          <w:iCs w:val="0"/>
          <w:color w:val="auto"/>
          <w:kern w:val="2"/>
          <w:sz w:val="28"/>
          <w:szCs w:val="28"/>
          <w:highlight w:val="none"/>
          <w:lang w:val="en-US" w:eastAsia="zh-CN" w:bidi="ar-SA"/>
        </w:rPr>
        <w:t>5、付款方式</w:t>
      </w:r>
      <w:bookmarkEnd w:id="114"/>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left"/>
        <w:textAlignment w:val="auto"/>
        <w:rPr>
          <w:rFonts w:hint="eastAsia" w:ascii="宋体" w:hAnsi="宋体" w:eastAsia="宋体" w:cs="宋体"/>
          <w:i w:val="0"/>
          <w:iCs w:val="0"/>
          <w:color w:val="auto"/>
          <w:kern w:val="2"/>
          <w:sz w:val="28"/>
          <w:szCs w:val="28"/>
          <w:highlight w:val="none"/>
          <w:lang w:val="en-US" w:eastAsia="zh-CN" w:bidi="ar-SA"/>
        </w:rPr>
      </w:pPr>
      <w:r>
        <w:rPr>
          <w:rFonts w:hint="eastAsia" w:ascii="宋体" w:hAnsi="宋体" w:eastAsia="宋体" w:cs="宋体"/>
          <w:i w:val="0"/>
          <w:iCs w:val="0"/>
          <w:color w:val="auto"/>
          <w:kern w:val="2"/>
          <w:sz w:val="28"/>
          <w:szCs w:val="28"/>
          <w:highlight w:val="none"/>
          <w:lang w:val="en-US" w:eastAsia="zh-CN" w:bidi="ar-SA"/>
        </w:rPr>
        <w:t>（1）合同双方盖章签字后7个工作日内，甲方按照项目费用总额的70%向乙方支付定金。合同双方履行后，定金转为进度款。</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left"/>
        <w:textAlignment w:val="auto"/>
        <w:rPr>
          <w:rFonts w:hint="eastAsia" w:ascii="宋体" w:hAnsi="宋体" w:eastAsia="宋体" w:cs="宋体"/>
          <w:i w:val="0"/>
          <w:iCs w:val="0"/>
          <w:color w:val="auto"/>
          <w:kern w:val="2"/>
          <w:sz w:val="28"/>
          <w:szCs w:val="28"/>
          <w:highlight w:val="none"/>
          <w:lang w:val="en-US" w:eastAsia="zh-CN" w:bidi="ar-SA"/>
        </w:rPr>
      </w:pPr>
      <w:r>
        <w:rPr>
          <w:rFonts w:hint="eastAsia" w:ascii="宋体" w:hAnsi="宋体" w:eastAsia="宋体" w:cs="宋体"/>
          <w:i w:val="0"/>
          <w:iCs w:val="0"/>
          <w:color w:val="auto"/>
          <w:kern w:val="2"/>
          <w:sz w:val="28"/>
          <w:szCs w:val="28"/>
          <w:highlight w:val="none"/>
          <w:lang w:val="en-US" w:eastAsia="zh-CN" w:bidi="ar-SA"/>
        </w:rPr>
        <w:t>（2）乙方提交项目最终成果后7个工作日内，甲应向乙方支付剩余技术服务费用。</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left"/>
        <w:textAlignment w:val="auto"/>
        <w:rPr>
          <w:rFonts w:hint="default" w:ascii="宋体" w:hAnsi="宋体" w:eastAsia="宋体" w:cs="宋体"/>
          <w:i w:val="0"/>
          <w:iCs w:val="0"/>
          <w:color w:val="auto"/>
          <w:kern w:val="2"/>
          <w:sz w:val="28"/>
          <w:szCs w:val="28"/>
          <w:highlight w:val="none"/>
          <w:lang w:val="en-US" w:eastAsia="zh-CN" w:bidi="ar-SA"/>
        </w:rPr>
      </w:pPr>
      <w:r>
        <w:rPr>
          <w:rFonts w:hint="eastAsia" w:ascii="宋体" w:hAnsi="宋体" w:eastAsia="宋体" w:cs="宋体"/>
          <w:i w:val="0"/>
          <w:iCs w:val="0"/>
          <w:color w:val="auto"/>
          <w:kern w:val="2"/>
          <w:sz w:val="28"/>
          <w:szCs w:val="28"/>
          <w:highlight w:val="none"/>
          <w:lang w:val="en-US" w:eastAsia="zh-CN" w:bidi="ar-SA"/>
        </w:rPr>
        <w:t>具体以双方协商为准。</w:t>
      </w:r>
    </w:p>
    <w:p>
      <w:pPr>
        <w:pStyle w:val="39"/>
        <w:rPr>
          <w:rFonts w:hint="eastAsia"/>
          <w:highlight w:val="none"/>
          <w:lang w:val="en-US" w:eastAsia="zh-CN"/>
        </w:rPr>
      </w:pPr>
    </w:p>
    <w:bookmarkEnd w:id="66"/>
    <w:p>
      <w:pPr>
        <w:pStyle w:val="3"/>
        <w:numPr>
          <w:ilvl w:val="0"/>
          <w:numId w:val="0"/>
        </w:numPr>
        <w:bidi w:val="0"/>
        <w:spacing w:line="240" w:lineRule="auto"/>
        <w:ind w:leftChars="0"/>
        <w:jc w:val="center"/>
        <w:rPr>
          <w:rFonts w:hint="eastAsia" w:ascii="宋体" w:hAnsi="华文宋体" w:eastAsia="宋体" w:cs="Times New Roman"/>
          <w:b/>
          <w:bCs w:val="0"/>
          <w:color w:val="auto"/>
          <w:kern w:val="44"/>
          <w:sz w:val="44"/>
          <w:szCs w:val="44"/>
          <w:highlight w:val="none"/>
          <w:lang w:val="en-US" w:eastAsia="zh-CN" w:bidi="ar-SA"/>
        </w:rPr>
      </w:pPr>
      <w:bookmarkStart w:id="115" w:name="_Toc460703983"/>
      <w:bookmarkStart w:id="116" w:name="_Toc30358"/>
      <w:bookmarkStart w:id="117" w:name="_Toc14817"/>
      <w:r>
        <w:rPr>
          <w:rFonts w:hint="eastAsia" w:ascii="宋体" w:hAnsi="华文宋体" w:eastAsia="宋体" w:cs="Times New Roman"/>
          <w:b/>
          <w:bCs w:val="0"/>
          <w:color w:val="auto"/>
          <w:kern w:val="44"/>
          <w:sz w:val="44"/>
          <w:szCs w:val="44"/>
          <w:highlight w:val="none"/>
          <w:lang w:val="en-US" w:eastAsia="zh-CN" w:bidi="ar-SA"/>
        </w:rPr>
        <w:t>第五章 响应文件格式</w:t>
      </w:r>
      <w:bookmarkEnd w:id="115"/>
      <w:bookmarkEnd w:id="116"/>
      <w:bookmarkEnd w:id="117"/>
    </w:p>
    <w:p>
      <w:pPr>
        <w:rPr>
          <w:rFonts w:hint="eastAsia" w:ascii="宋体" w:hAnsi="宋体" w:eastAsia="宋体" w:cs="宋体"/>
          <w:b/>
          <w:bCs/>
          <w:i w:val="0"/>
          <w:iCs w:val="0"/>
          <w:color w:val="auto"/>
          <w:sz w:val="28"/>
          <w:szCs w:val="28"/>
          <w:highlight w:val="none"/>
        </w:rPr>
      </w:pPr>
      <w:bookmarkStart w:id="118" w:name="_Toc239822514"/>
      <w:bookmarkStart w:id="119" w:name="_Toc239822629"/>
      <w:bookmarkStart w:id="120" w:name="_Toc239649773"/>
      <w:bookmarkStart w:id="121" w:name="_Toc239649397"/>
      <w:bookmarkStart w:id="122" w:name="_Toc239649321"/>
      <w:bookmarkStart w:id="123" w:name="_Toc424212005"/>
      <w:bookmarkStart w:id="124" w:name="_Toc239651331"/>
      <w:bookmarkStart w:id="125" w:name="_Toc239648875"/>
      <w:bookmarkStart w:id="126" w:name="_Toc424059521"/>
      <w:bookmarkStart w:id="127" w:name="_Toc239648609"/>
      <w:bookmarkStart w:id="128" w:name="_Toc239650612"/>
      <w:r>
        <w:rPr>
          <w:rFonts w:hint="eastAsia" w:ascii="宋体" w:hAnsi="宋体" w:eastAsia="宋体" w:cs="宋体"/>
          <w:b/>
          <w:bCs/>
          <w:i w:val="0"/>
          <w:iCs w:val="0"/>
          <w:color w:val="auto"/>
          <w:sz w:val="28"/>
          <w:szCs w:val="28"/>
          <w:highlight w:val="none"/>
        </w:rPr>
        <mc:AlternateContent>
          <mc:Choice Requires="wps">
            <w:drawing>
              <wp:anchor distT="0" distB="0" distL="114300" distR="114300" simplePos="0" relativeHeight="251659264" behindDoc="0" locked="0" layoutInCell="1" allowOverlap="1">
                <wp:simplePos x="0" y="0"/>
                <wp:positionH relativeFrom="column">
                  <wp:posOffset>3899535</wp:posOffset>
                </wp:positionH>
                <wp:positionV relativeFrom="paragraph">
                  <wp:posOffset>210820</wp:posOffset>
                </wp:positionV>
                <wp:extent cx="1714500" cy="495300"/>
                <wp:effectExtent l="4445" t="4445" r="14605" b="14605"/>
                <wp:wrapNone/>
                <wp:docPr id="2" name="矩形 2"/>
                <wp:cNvGraphicFramePr/>
                <a:graphic xmlns:a="http://schemas.openxmlformats.org/drawingml/2006/main">
                  <a:graphicData uri="http://schemas.microsoft.com/office/word/2010/wordprocessingShape">
                    <wps:wsp>
                      <wps:cNvSpPr/>
                      <wps:spPr>
                        <a:xfrm>
                          <a:off x="0" y="0"/>
                          <a:ext cx="1714500" cy="49530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b/>
                                <w:sz w:val="44"/>
                                <w:szCs w:val="44"/>
                              </w:rPr>
                            </w:pPr>
                            <w:r>
                              <w:rPr>
                                <w:rFonts w:hint="eastAsia"/>
                                <w:b/>
                                <w:sz w:val="44"/>
                                <w:szCs w:val="44"/>
                              </w:rPr>
                              <w:t>正本</w:t>
                            </w:r>
                            <w:r>
                              <w:rPr>
                                <w:rFonts w:hint="eastAsia"/>
                                <w:b/>
                                <w:sz w:val="44"/>
                                <w:szCs w:val="44"/>
                                <w:lang w:val="en-US" w:eastAsia="zh-CN"/>
                              </w:rPr>
                              <w:t>/</w:t>
                            </w:r>
                            <w:r>
                              <w:rPr>
                                <w:rFonts w:hint="eastAsia"/>
                                <w:b/>
                                <w:sz w:val="44"/>
                                <w:szCs w:val="44"/>
                              </w:rPr>
                              <w:t>副本</w:t>
                            </w:r>
                          </w:p>
                        </w:txbxContent>
                      </wps:txbx>
                      <wps:bodyPr upright="1"/>
                    </wps:wsp>
                  </a:graphicData>
                </a:graphic>
              </wp:anchor>
            </w:drawing>
          </mc:Choice>
          <mc:Fallback>
            <w:pict>
              <v:rect id="_x0000_s1026" o:spid="_x0000_s1026" o:spt="1" style="position:absolute;left:0pt;margin-left:307.05pt;margin-top:16.6pt;height:39pt;width:135pt;z-index:251659264;mso-width-relative:page;mso-height-relative:page;" fillcolor="#FFFFFF" filled="t" stroked="t" coordsize="21600,21600" o:gfxdata="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5P6+J9cAAAAKAQAADwAAAAAAAAABACAAAAAiAAAAZHJzL2Rvd25y&#10;ZXYueG1sUEsBAhQAFAAAAAgAh07iQIn8jp3/AQAAKQQAAA4AAAAAAAAAAQAgAAAAJgEAAGRycy9l&#10;Mm9Eb2MueG1sUEsFBgAAAAAGAAYAWQEAAJcFAAAAAA==&#10;">
                <v:fill on="t" focussize="0,0"/>
                <v:stroke color="#000000" joinstyle="miter"/>
                <v:imagedata o:title=""/>
                <o:lock v:ext="edit" aspectratio="f"/>
                <v:textbox>
                  <w:txbxContent>
                    <w:p>
                      <w:pPr>
                        <w:jc w:val="center"/>
                        <w:rPr>
                          <w:rFonts w:hint="eastAsia"/>
                          <w:b/>
                          <w:sz w:val="44"/>
                          <w:szCs w:val="44"/>
                        </w:rPr>
                      </w:pPr>
                      <w:r>
                        <w:rPr>
                          <w:rFonts w:hint="eastAsia"/>
                          <w:b/>
                          <w:sz w:val="44"/>
                          <w:szCs w:val="44"/>
                        </w:rPr>
                        <w:t>正本</w:t>
                      </w:r>
                      <w:r>
                        <w:rPr>
                          <w:rFonts w:hint="eastAsia"/>
                          <w:b/>
                          <w:sz w:val="44"/>
                          <w:szCs w:val="44"/>
                          <w:lang w:val="en-US" w:eastAsia="zh-CN"/>
                        </w:rPr>
                        <w:t>/</w:t>
                      </w:r>
                      <w:r>
                        <w:rPr>
                          <w:rFonts w:hint="eastAsia"/>
                          <w:b/>
                          <w:sz w:val="44"/>
                          <w:szCs w:val="44"/>
                        </w:rPr>
                        <w:t>副本</w:t>
                      </w:r>
                    </w:p>
                  </w:txbxContent>
                </v:textbox>
              </v:rect>
            </w:pict>
          </mc:Fallback>
        </mc:AlternateContent>
      </w:r>
      <w:r>
        <w:rPr>
          <w:rFonts w:hint="eastAsia" w:ascii="宋体" w:hAnsi="宋体" w:eastAsia="宋体" w:cs="宋体"/>
          <w:b/>
          <w:bCs/>
          <w:i w:val="0"/>
          <w:iCs w:val="0"/>
          <w:color w:val="auto"/>
          <w:sz w:val="28"/>
          <w:szCs w:val="28"/>
          <w:highlight w:val="none"/>
        </w:rPr>
        <w:t>封面格式</w:t>
      </w:r>
      <w:bookmarkEnd w:id="118"/>
      <w:bookmarkEnd w:id="119"/>
      <w:bookmarkEnd w:id="120"/>
      <w:bookmarkEnd w:id="121"/>
      <w:bookmarkEnd w:id="122"/>
      <w:bookmarkEnd w:id="123"/>
      <w:bookmarkEnd w:id="124"/>
      <w:bookmarkEnd w:id="125"/>
      <w:bookmarkEnd w:id="126"/>
      <w:bookmarkEnd w:id="127"/>
      <w:bookmarkEnd w:id="128"/>
    </w:p>
    <w:p>
      <w:pPr>
        <w:rPr>
          <w:rFonts w:hint="eastAsia" w:ascii="宋体" w:hAnsi="宋体" w:eastAsia="宋体" w:cs="宋体"/>
          <w:i w:val="0"/>
          <w:iCs w:val="0"/>
          <w:color w:val="auto"/>
          <w:sz w:val="28"/>
          <w:szCs w:val="28"/>
          <w:highlight w:val="none"/>
        </w:rPr>
      </w:pPr>
    </w:p>
    <w:p>
      <w:pPr>
        <w:jc w:val="center"/>
        <w:rPr>
          <w:rFonts w:hint="eastAsia" w:ascii="宋体" w:hAnsi="宋体" w:eastAsia="宋体" w:cs="宋体"/>
          <w:b/>
          <w:bCs/>
          <w:i w:val="0"/>
          <w:iCs w:val="0"/>
          <w:color w:val="auto"/>
          <w:sz w:val="44"/>
          <w:szCs w:val="44"/>
          <w:highlight w:val="none"/>
        </w:rPr>
      </w:pPr>
    </w:p>
    <w:p>
      <w:pPr>
        <w:jc w:val="center"/>
        <w:rPr>
          <w:rFonts w:hint="eastAsia" w:ascii="宋体" w:hAnsi="宋体" w:eastAsia="宋体" w:cs="宋体"/>
          <w:b/>
          <w:bCs/>
          <w:i w:val="0"/>
          <w:iCs w:val="0"/>
          <w:color w:val="auto"/>
          <w:sz w:val="44"/>
          <w:szCs w:val="44"/>
          <w:highlight w:val="none"/>
        </w:rPr>
      </w:pPr>
    </w:p>
    <w:p>
      <w:pPr>
        <w:jc w:val="center"/>
        <w:rPr>
          <w:rFonts w:hint="eastAsia" w:ascii="宋体" w:hAnsi="宋体" w:eastAsia="宋体" w:cs="宋体"/>
          <w:b/>
          <w:bCs/>
          <w:i w:val="0"/>
          <w:iCs w:val="0"/>
          <w:color w:val="auto"/>
          <w:sz w:val="44"/>
          <w:szCs w:val="44"/>
          <w:highlight w:val="none"/>
        </w:rPr>
      </w:pPr>
    </w:p>
    <w:p>
      <w:pPr>
        <w:jc w:val="center"/>
        <w:rPr>
          <w:rFonts w:hint="eastAsia" w:ascii="宋体" w:hAnsi="宋体" w:eastAsia="宋体" w:cs="宋体"/>
          <w:b/>
          <w:bCs/>
          <w:i w:val="0"/>
          <w:iCs w:val="0"/>
          <w:color w:val="auto"/>
          <w:sz w:val="44"/>
          <w:szCs w:val="44"/>
          <w:highlight w:val="none"/>
        </w:rPr>
      </w:pPr>
    </w:p>
    <w:p>
      <w:pPr>
        <w:jc w:val="center"/>
        <w:rPr>
          <w:rFonts w:hint="eastAsia" w:ascii="宋体" w:hAnsi="宋体" w:eastAsia="宋体" w:cs="宋体"/>
          <w:b/>
          <w:bCs/>
          <w:i w:val="0"/>
          <w:iCs w:val="0"/>
          <w:color w:val="auto"/>
          <w:sz w:val="44"/>
          <w:szCs w:val="44"/>
          <w:highlight w:val="none"/>
        </w:rPr>
      </w:pPr>
      <w:r>
        <w:rPr>
          <w:rFonts w:hint="eastAsia" w:ascii="宋体" w:hAnsi="宋体" w:eastAsia="宋体" w:cs="宋体"/>
          <w:b/>
          <w:bCs/>
          <w:i w:val="0"/>
          <w:iCs w:val="0"/>
          <w:color w:val="auto"/>
          <w:sz w:val="44"/>
          <w:szCs w:val="44"/>
          <w:highlight w:val="none"/>
        </w:rPr>
        <w:t>响  应  文  件</w:t>
      </w:r>
    </w:p>
    <w:p>
      <w:pPr>
        <w:pStyle w:val="9"/>
        <w:rPr>
          <w:rFonts w:hint="eastAsia" w:ascii="宋体" w:hAnsi="宋体" w:eastAsia="宋体" w:cs="宋体"/>
          <w:b/>
          <w:bCs/>
          <w:i w:val="0"/>
          <w:iCs w:val="0"/>
          <w:color w:val="auto"/>
          <w:sz w:val="44"/>
          <w:szCs w:val="44"/>
          <w:highlight w:val="none"/>
        </w:rPr>
      </w:pPr>
    </w:p>
    <w:p>
      <w:pPr>
        <w:rPr>
          <w:rFonts w:hint="eastAsia" w:ascii="宋体" w:hAnsi="宋体" w:eastAsia="宋体" w:cs="宋体"/>
          <w:b/>
          <w:bCs/>
          <w:i w:val="0"/>
          <w:iCs w:val="0"/>
          <w:color w:val="auto"/>
          <w:sz w:val="44"/>
          <w:szCs w:val="44"/>
          <w:highlight w:val="none"/>
        </w:rPr>
      </w:pPr>
    </w:p>
    <w:p>
      <w:pPr>
        <w:pStyle w:val="9"/>
        <w:rPr>
          <w:rFonts w:hint="eastAsia" w:ascii="宋体" w:hAnsi="宋体" w:eastAsia="宋体" w:cs="宋体"/>
          <w:b/>
          <w:bCs/>
          <w:i w:val="0"/>
          <w:iCs w:val="0"/>
          <w:color w:val="auto"/>
          <w:sz w:val="44"/>
          <w:szCs w:val="44"/>
          <w:highlight w:val="none"/>
        </w:rPr>
      </w:pPr>
    </w:p>
    <w:p>
      <w:pPr>
        <w:rPr>
          <w:rFonts w:hint="eastAsia"/>
          <w:highlight w:val="none"/>
        </w:rPr>
      </w:pPr>
    </w:p>
    <w:p>
      <w:pPr>
        <w:rPr>
          <w:rFonts w:hint="eastAsia" w:ascii="宋体" w:hAnsi="宋体" w:eastAsia="宋体" w:cs="宋体"/>
          <w:i w:val="0"/>
          <w:iCs w:val="0"/>
          <w:color w:val="auto"/>
          <w:sz w:val="28"/>
          <w:szCs w:val="28"/>
          <w:highlight w:val="none"/>
        </w:rPr>
      </w:pPr>
    </w:p>
    <w:p>
      <w:pPr>
        <w:rPr>
          <w:rFonts w:hint="eastAsia" w:ascii="宋体" w:hAnsi="宋体" w:eastAsia="宋体" w:cs="宋体"/>
          <w:i w:val="0"/>
          <w:iCs w:val="0"/>
          <w:color w:val="auto"/>
          <w:sz w:val="28"/>
          <w:szCs w:val="28"/>
          <w:highlight w:val="none"/>
        </w:rPr>
      </w:pPr>
      <w:r>
        <w:rPr>
          <w:rFonts w:hint="eastAsia" w:ascii="宋体" w:hAnsi="宋体" w:eastAsia="宋体" w:cs="宋体"/>
          <w:i w:val="0"/>
          <w:iCs w:val="0"/>
          <w:color w:val="auto"/>
          <w:sz w:val="28"/>
          <w:szCs w:val="28"/>
          <w:highlight w:val="none"/>
        </w:rPr>
        <w:t xml:space="preserve">项目编号：                         </w:t>
      </w:r>
    </w:p>
    <w:p>
      <w:pPr>
        <w:rPr>
          <w:rFonts w:hint="eastAsia" w:ascii="宋体" w:hAnsi="宋体" w:eastAsia="宋体" w:cs="宋体"/>
          <w:i w:val="0"/>
          <w:iCs w:val="0"/>
          <w:color w:val="auto"/>
          <w:sz w:val="28"/>
          <w:szCs w:val="28"/>
          <w:highlight w:val="none"/>
        </w:rPr>
      </w:pPr>
    </w:p>
    <w:p>
      <w:pPr>
        <w:rPr>
          <w:rFonts w:hint="eastAsia" w:ascii="宋体" w:hAnsi="宋体" w:eastAsia="宋体" w:cs="宋体"/>
          <w:i w:val="0"/>
          <w:iCs w:val="0"/>
          <w:color w:val="auto"/>
          <w:sz w:val="28"/>
          <w:szCs w:val="28"/>
          <w:highlight w:val="none"/>
        </w:rPr>
      </w:pPr>
      <w:r>
        <w:rPr>
          <w:rFonts w:hint="eastAsia" w:ascii="宋体" w:hAnsi="宋体" w:eastAsia="宋体" w:cs="宋体"/>
          <w:i w:val="0"/>
          <w:iCs w:val="0"/>
          <w:color w:val="auto"/>
          <w:sz w:val="28"/>
          <w:szCs w:val="28"/>
          <w:highlight w:val="none"/>
        </w:rPr>
        <w:t xml:space="preserve">项目名称：                         </w:t>
      </w:r>
    </w:p>
    <w:p>
      <w:pPr>
        <w:rPr>
          <w:rFonts w:hint="eastAsia" w:ascii="宋体" w:hAnsi="宋体" w:eastAsia="宋体" w:cs="宋体"/>
          <w:i w:val="0"/>
          <w:iCs w:val="0"/>
          <w:color w:val="auto"/>
          <w:sz w:val="28"/>
          <w:szCs w:val="28"/>
          <w:highlight w:val="none"/>
        </w:rPr>
      </w:pPr>
    </w:p>
    <w:p>
      <w:pPr>
        <w:rPr>
          <w:rFonts w:hint="eastAsia" w:ascii="宋体" w:hAnsi="宋体" w:eastAsia="宋体" w:cs="宋体"/>
          <w:i w:val="0"/>
          <w:iCs w:val="0"/>
          <w:color w:val="auto"/>
          <w:sz w:val="28"/>
          <w:szCs w:val="28"/>
          <w:highlight w:val="none"/>
        </w:rPr>
      </w:pPr>
      <w:r>
        <w:rPr>
          <w:rFonts w:hint="eastAsia" w:ascii="宋体" w:hAnsi="宋体" w:eastAsia="宋体" w:cs="宋体"/>
          <w:i w:val="0"/>
          <w:iCs w:val="0"/>
          <w:color w:val="auto"/>
          <w:sz w:val="28"/>
          <w:szCs w:val="28"/>
          <w:highlight w:val="none"/>
        </w:rPr>
        <w:t xml:space="preserve">供 应 商：                         </w:t>
      </w:r>
    </w:p>
    <w:p>
      <w:pPr>
        <w:rPr>
          <w:rFonts w:hint="eastAsia" w:ascii="宋体" w:hAnsi="宋体" w:eastAsia="宋体" w:cs="宋体"/>
          <w:i w:val="0"/>
          <w:iCs w:val="0"/>
          <w:color w:val="auto"/>
          <w:sz w:val="28"/>
          <w:szCs w:val="28"/>
          <w:highlight w:val="none"/>
        </w:rPr>
      </w:pPr>
    </w:p>
    <w:p>
      <w:pPr>
        <w:rPr>
          <w:rFonts w:hint="eastAsia" w:ascii="宋体" w:hAnsi="宋体" w:eastAsia="宋体" w:cs="宋体"/>
          <w:i w:val="0"/>
          <w:iCs w:val="0"/>
          <w:color w:val="auto"/>
          <w:sz w:val="28"/>
          <w:szCs w:val="28"/>
          <w:highlight w:val="none"/>
        </w:rPr>
      </w:pPr>
      <w:r>
        <w:rPr>
          <w:rFonts w:hint="eastAsia" w:ascii="宋体" w:hAnsi="宋体" w:eastAsia="宋体" w:cs="宋体"/>
          <w:i w:val="0"/>
          <w:iCs w:val="0"/>
          <w:color w:val="auto"/>
          <w:sz w:val="28"/>
          <w:szCs w:val="28"/>
          <w:highlight w:val="none"/>
        </w:rPr>
        <w:t xml:space="preserve">法定代表人或其委托代理人签字：       </w:t>
      </w:r>
    </w:p>
    <w:p>
      <w:pPr>
        <w:rPr>
          <w:rFonts w:hint="eastAsia" w:ascii="宋体" w:hAnsi="宋体" w:eastAsia="宋体" w:cs="宋体"/>
          <w:i w:val="0"/>
          <w:iCs w:val="0"/>
          <w:color w:val="auto"/>
          <w:sz w:val="28"/>
          <w:szCs w:val="28"/>
          <w:highlight w:val="none"/>
        </w:rPr>
      </w:pPr>
    </w:p>
    <w:p>
      <w:pPr>
        <w:rPr>
          <w:rFonts w:hint="eastAsia" w:ascii="宋体" w:hAnsi="宋体" w:eastAsia="宋体" w:cs="宋体"/>
          <w:i w:val="0"/>
          <w:iCs w:val="0"/>
          <w:color w:val="auto"/>
          <w:sz w:val="28"/>
          <w:szCs w:val="28"/>
          <w:highlight w:val="none"/>
        </w:rPr>
      </w:pPr>
    </w:p>
    <w:p>
      <w:pPr>
        <w:rPr>
          <w:rFonts w:hint="eastAsia" w:ascii="宋体" w:hAnsi="宋体" w:eastAsia="宋体" w:cs="宋体"/>
          <w:i w:val="0"/>
          <w:iCs w:val="0"/>
          <w:color w:val="auto"/>
          <w:sz w:val="28"/>
          <w:szCs w:val="28"/>
          <w:highlight w:val="none"/>
        </w:rPr>
      </w:pPr>
      <w:r>
        <w:rPr>
          <w:rFonts w:hint="eastAsia" w:ascii="宋体" w:hAnsi="宋体" w:eastAsia="宋体" w:cs="宋体"/>
          <w:i w:val="0"/>
          <w:iCs w:val="0"/>
          <w:color w:val="auto"/>
          <w:sz w:val="28"/>
          <w:szCs w:val="28"/>
          <w:highlight w:val="none"/>
        </w:rPr>
        <w:t>日期：   年    月    日</w:t>
      </w:r>
    </w:p>
    <w:p>
      <w:pPr>
        <w:pStyle w:val="4"/>
        <w:numPr>
          <w:ilvl w:val="0"/>
          <w:numId w:val="0"/>
        </w:numPr>
        <w:ind w:leftChars="0"/>
        <w:jc w:val="both"/>
        <w:outlineLvl w:val="9"/>
        <w:rPr>
          <w:rFonts w:hint="eastAsia" w:ascii="宋体" w:hAnsi="宋体" w:eastAsia="宋体" w:cs="宋体"/>
          <w:i w:val="0"/>
          <w:iCs w:val="0"/>
          <w:color w:val="auto"/>
          <w:highlight w:val="none"/>
        </w:rPr>
      </w:pPr>
    </w:p>
    <w:p>
      <w:pPr>
        <w:rPr>
          <w:rFonts w:hint="eastAsia" w:ascii="宋体" w:hAnsi="宋体" w:eastAsia="宋体" w:cs="宋体"/>
          <w:i w:val="0"/>
          <w:iCs w:val="0"/>
          <w:color w:val="auto"/>
          <w:highlight w:val="none"/>
        </w:rPr>
      </w:pPr>
    </w:p>
    <w:p>
      <w:pPr>
        <w:pStyle w:val="14"/>
        <w:rPr>
          <w:rFonts w:hint="eastAsia" w:ascii="宋体" w:hAnsi="宋体" w:eastAsia="宋体" w:cs="宋体"/>
          <w:i w:val="0"/>
          <w:iCs w:val="0"/>
          <w:color w:val="auto"/>
          <w:highlight w:val="none"/>
        </w:rPr>
      </w:pPr>
    </w:p>
    <w:p>
      <w:pPr>
        <w:rPr>
          <w:rFonts w:hint="eastAsia" w:ascii="宋体" w:hAnsi="宋体" w:eastAsia="宋体" w:cs="宋体"/>
          <w:i w:val="0"/>
          <w:iCs w:val="0"/>
          <w:color w:val="auto"/>
          <w:highlight w:val="none"/>
        </w:rPr>
      </w:pPr>
    </w:p>
    <w:p>
      <w:pPr>
        <w:pStyle w:val="14"/>
        <w:rPr>
          <w:rFonts w:hint="eastAsia" w:ascii="宋体" w:hAnsi="宋体" w:eastAsia="宋体" w:cs="宋体"/>
          <w:i w:val="0"/>
          <w:iCs w:val="0"/>
          <w:color w:val="auto"/>
          <w:highlight w:val="none"/>
        </w:rPr>
      </w:pPr>
    </w:p>
    <w:p>
      <w:pPr>
        <w:rPr>
          <w:rFonts w:hint="eastAsia" w:ascii="宋体" w:hAnsi="宋体" w:eastAsia="宋体" w:cs="宋体"/>
          <w:i w:val="0"/>
          <w:iCs w:val="0"/>
          <w:color w:val="auto"/>
          <w:highlight w:val="none"/>
        </w:rPr>
      </w:pPr>
    </w:p>
    <w:p>
      <w:pPr>
        <w:pStyle w:val="14"/>
        <w:rPr>
          <w:rFonts w:hint="eastAsia" w:ascii="宋体" w:hAnsi="宋体" w:eastAsia="宋体" w:cs="宋体"/>
          <w:i w:val="0"/>
          <w:iCs w:val="0"/>
          <w:color w:val="auto"/>
          <w:highlight w:val="none"/>
        </w:rPr>
      </w:pPr>
    </w:p>
    <w:p>
      <w:pPr>
        <w:rPr>
          <w:rFonts w:hint="eastAsia" w:ascii="宋体" w:hAnsi="宋体" w:eastAsia="宋体" w:cs="宋体"/>
          <w:i w:val="0"/>
          <w:iCs w:val="0"/>
          <w:color w:val="auto"/>
          <w:highlight w:val="none"/>
        </w:rPr>
      </w:pPr>
    </w:p>
    <w:p>
      <w:pPr>
        <w:pStyle w:val="14"/>
        <w:rPr>
          <w:rFonts w:hint="eastAsia" w:ascii="宋体" w:hAnsi="宋体" w:eastAsia="宋体" w:cs="宋体"/>
          <w:i w:val="0"/>
          <w:iCs w:val="0"/>
          <w:color w:val="auto"/>
          <w:highlight w:val="none"/>
        </w:rPr>
      </w:pPr>
    </w:p>
    <w:p>
      <w:pPr>
        <w:rPr>
          <w:rFonts w:hint="eastAsia"/>
          <w:color w:val="auto"/>
          <w:highlight w:val="none"/>
          <w:lang w:val="en-US" w:eastAsia="zh-CN"/>
        </w:rPr>
      </w:pPr>
    </w:p>
    <w:p>
      <w:pPr>
        <w:spacing w:line="360" w:lineRule="auto"/>
        <w:jc w:val="center"/>
        <w:outlineLvl w:val="1"/>
        <w:rPr>
          <w:rFonts w:hint="eastAsia" w:ascii="宋体" w:hAnsi="宋体" w:eastAsia="宋体" w:cs="宋体"/>
          <w:b/>
          <w:i w:val="0"/>
          <w:iCs w:val="0"/>
          <w:color w:val="auto"/>
          <w:spacing w:val="20"/>
          <w:kern w:val="2"/>
          <w:sz w:val="32"/>
          <w:szCs w:val="24"/>
          <w:highlight w:val="none"/>
          <w:lang w:val="en-US" w:eastAsia="zh-CN" w:bidi="ar-SA"/>
        </w:rPr>
      </w:pPr>
      <w:bookmarkStart w:id="129" w:name="_Toc5213"/>
      <w:r>
        <w:rPr>
          <w:rFonts w:hint="eastAsia" w:ascii="宋体" w:hAnsi="宋体" w:eastAsia="宋体" w:cs="宋体"/>
          <w:b/>
          <w:i w:val="0"/>
          <w:iCs w:val="0"/>
          <w:color w:val="auto"/>
          <w:spacing w:val="20"/>
          <w:kern w:val="2"/>
          <w:sz w:val="32"/>
          <w:szCs w:val="24"/>
          <w:highlight w:val="none"/>
          <w:lang w:val="en-US" w:eastAsia="zh-CN" w:bidi="ar-SA"/>
        </w:rPr>
        <w:t>（一）投 标 函</w:t>
      </w:r>
      <w:bookmarkEnd w:id="129"/>
    </w:p>
    <w:p>
      <w:pPr>
        <w:pStyle w:val="17"/>
        <w:spacing w:line="276" w:lineRule="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__________________（</w:t>
      </w:r>
      <w:r>
        <w:rPr>
          <w:rFonts w:hint="eastAsia" w:ascii="宋体" w:hAnsi="宋体" w:eastAsia="宋体" w:cs="宋体"/>
          <w:bCs/>
          <w:sz w:val="24"/>
          <w:szCs w:val="24"/>
          <w:highlight w:val="none"/>
          <w:lang w:val="en-US" w:eastAsia="zh-CN"/>
        </w:rPr>
        <w:t>采购单位</w:t>
      </w:r>
      <w:r>
        <w:rPr>
          <w:rFonts w:hint="eastAsia" w:ascii="宋体" w:hAnsi="宋体" w:eastAsia="宋体" w:cs="宋体"/>
          <w:bCs/>
          <w:sz w:val="24"/>
          <w:szCs w:val="24"/>
          <w:highlight w:val="none"/>
        </w:rPr>
        <w:t>名称）：</w:t>
      </w:r>
    </w:p>
    <w:p>
      <w:pPr>
        <w:pStyle w:val="17"/>
        <w:spacing w:line="276" w:lineRule="auto"/>
        <w:ind w:firstLine="480" w:firstLineChars="200"/>
        <w:rPr>
          <w:rFonts w:hint="eastAsia" w:ascii="宋体" w:hAnsi="宋体" w:eastAsia="宋体" w:cs="宋体"/>
          <w:bCs/>
          <w:sz w:val="24"/>
          <w:szCs w:val="24"/>
          <w:highlight w:val="none"/>
          <w:u w:val="single"/>
        </w:rPr>
      </w:pPr>
      <w:r>
        <w:rPr>
          <w:rFonts w:hint="eastAsia" w:ascii="宋体" w:hAnsi="宋体" w:eastAsia="宋体" w:cs="宋体"/>
          <w:bCs/>
          <w:sz w:val="24"/>
          <w:szCs w:val="24"/>
          <w:highlight w:val="none"/>
        </w:rPr>
        <w:t>我方全面研究了 “</w:t>
      </w:r>
      <w:r>
        <w:rPr>
          <w:rFonts w:hint="eastAsia" w:ascii="宋体" w:hAnsi="宋体" w:eastAsia="宋体" w:cs="宋体"/>
          <w:bCs/>
          <w:sz w:val="24"/>
          <w:szCs w:val="24"/>
          <w:highlight w:val="none"/>
          <w:u w:val="single"/>
        </w:rPr>
        <w:t xml:space="preserve">         </w:t>
      </w:r>
      <w:r>
        <w:rPr>
          <w:rFonts w:hint="eastAsia" w:ascii="宋体" w:hAnsi="宋体" w:eastAsia="宋体" w:cs="宋体"/>
          <w:bCs/>
          <w:sz w:val="24"/>
          <w:szCs w:val="24"/>
          <w:highlight w:val="none"/>
        </w:rPr>
        <w:t>（项目名称、采购编号）”项目磋商文件，决定参加贵单位组织的本项目投标。我方授权</w:t>
      </w:r>
      <w:r>
        <w:rPr>
          <w:rFonts w:hint="eastAsia" w:ascii="宋体" w:hAnsi="宋体" w:eastAsia="宋体" w:cs="宋体"/>
          <w:bCs/>
          <w:sz w:val="24"/>
          <w:szCs w:val="24"/>
          <w:highlight w:val="none"/>
          <w:u w:val="single"/>
        </w:rPr>
        <w:t xml:space="preserve">    </w:t>
      </w:r>
      <w:r>
        <w:rPr>
          <w:rFonts w:hint="eastAsia" w:ascii="宋体" w:hAnsi="宋体" w:eastAsia="宋体" w:cs="宋体"/>
          <w:bCs/>
          <w:sz w:val="24"/>
          <w:szCs w:val="24"/>
          <w:highlight w:val="none"/>
        </w:rPr>
        <w:t>（姓名、职务） 代表我方</w:t>
      </w:r>
      <w:r>
        <w:rPr>
          <w:rFonts w:hint="eastAsia" w:ascii="宋体" w:hAnsi="宋体" w:eastAsia="宋体" w:cs="宋体"/>
          <w:bCs/>
          <w:sz w:val="24"/>
          <w:szCs w:val="24"/>
          <w:highlight w:val="none"/>
          <w:u w:val="single"/>
        </w:rPr>
        <w:t xml:space="preserve">           </w:t>
      </w:r>
      <w:r>
        <w:rPr>
          <w:rFonts w:hint="eastAsia" w:ascii="宋体" w:hAnsi="宋体" w:eastAsia="宋体" w:cs="宋体"/>
          <w:bCs/>
          <w:sz w:val="24"/>
          <w:szCs w:val="24"/>
          <w:highlight w:val="none"/>
        </w:rPr>
        <w:t>（投标单位的名称）全权处理本项目投标的有关事宜。</w:t>
      </w:r>
    </w:p>
    <w:p>
      <w:pPr>
        <w:pStyle w:val="17"/>
        <w:spacing w:line="276" w:lineRule="auto"/>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rPr>
        <w:t>1、我方自愿按照磋商文件规定的各项要求向采购人提供所需服务，总投标价为人民币</w:t>
      </w:r>
      <w:r>
        <w:rPr>
          <w:rFonts w:hint="eastAsia" w:ascii="宋体" w:hAnsi="宋体" w:eastAsia="宋体" w:cs="宋体"/>
          <w:bCs/>
          <w:sz w:val="24"/>
          <w:szCs w:val="24"/>
          <w:highlight w:val="none"/>
          <w:u w:val="single"/>
        </w:rPr>
        <w:t xml:space="preserve">            </w:t>
      </w:r>
      <w:r>
        <w:rPr>
          <w:rFonts w:hint="eastAsia" w:ascii="宋体" w:hAnsi="宋体" w:eastAsia="宋体" w:cs="宋体"/>
          <w:bCs/>
          <w:sz w:val="24"/>
          <w:szCs w:val="24"/>
          <w:highlight w:val="none"/>
        </w:rPr>
        <w:t>万元（大写：</w:t>
      </w:r>
      <w:r>
        <w:rPr>
          <w:rFonts w:hint="eastAsia" w:ascii="宋体" w:hAnsi="宋体" w:eastAsia="宋体" w:cs="宋体"/>
          <w:bCs/>
          <w:sz w:val="24"/>
          <w:szCs w:val="24"/>
          <w:highlight w:val="none"/>
          <w:u w:val="single"/>
        </w:rPr>
        <w:t xml:space="preserve">                           </w:t>
      </w:r>
      <w:r>
        <w:rPr>
          <w:rFonts w:hint="eastAsia" w:ascii="宋体" w:hAnsi="宋体" w:eastAsia="宋体" w:cs="宋体"/>
          <w:bCs/>
          <w:sz w:val="24"/>
          <w:szCs w:val="24"/>
          <w:highlight w:val="none"/>
        </w:rPr>
        <w:t>），投标有效期</w:t>
      </w:r>
      <w:r>
        <w:rPr>
          <w:rFonts w:hint="eastAsia" w:ascii="宋体" w:hAnsi="宋体" w:eastAsia="宋体" w:cs="宋体"/>
          <w:bCs/>
          <w:sz w:val="24"/>
          <w:szCs w:val="24"/>
          <w:highlight w:val="none"/>
          <w:u w:val="single"/>
        </w:rPr>
        <w:t xml:space="preserve">      </w:t>
      </w:r>
      <w:r>
        <w:rPr>
          <w:rFonts w:hint="eastAsia" w:ascii="宋体" w:hAnsi="宋体" w:eastAsia="宋体" w:cs="宋体"/>
          <w:bCs/>
          <w:sz w:val="24"/>
          <w:szCs w:val="24"/>
          <w:highlight w:val="none"/>
        </w:rPr>
        <w:t>日历天。</w:t>
      </w:r>
    </w:p>
    <w:p>
      <w:pPr>
        <w:pStyle w:val="17"/>
        <w:spacing w:line="276" w:lineRule="auto"/>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rPr>
        <w:t>2、一旦我方成交，我方将严格履行合同规定的责任和义务，保证于合同签字生效后</w:t>
      </w:r>
      <w:r>
        <w:rPr>
          <w:rFonts w:hint="eastAsia" w:ascii="宋体" w:hAnsi="宋体" w:eastAsia="宋体" w:cs="宋体"/>
          <w:bCs/>
          <w:sz w:val="24"/>
          <w:szCs w:val="24"/>
          <w:highlight w:val="none"/>
          <w:u w:val="single"/>
        </w:rPr>
        <w:t xml:space="preserve">          </w:t>
      </w:r>
      <w:r>
        <w:rPr>
          <w:rFonts w:hint="eastAsia" w:ascii="宋体" w:hAnsi="宋体" w:eastAsia="宋体" w:cs="宋体"/>
          <w:bCs/>
          <w:sz w:val="24"/>
          <w:szCs w:val="24"/>
          <w:highlight w:val="none"/>
        </w:rPr>
        <w:t>内完成应尽义务，并交付采购人验收。</w:t>
      </w:r>
    </w:p>
    <w:p>
      <w:pPr>
        <w:pStyle w:val="17"/>
        <w:spacing w:line="276" w:lineRule="auto"/>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rPr>
        <w:t>3、我方同意按照磋商文件的要求，向贵单位交纳人民币</w:t>
      </w:r>
      <w:r>
        <w:rPr>
          <w:rFonts w:hint="eastAsia" w:ascii="宋体" w:hAnsi="宋体" w:eastAsia="宋体" w:cs="宋体"/>
          <w:bCs/>
          <w:sz w:val="24"/>
          <w:szCs w:val="24"/>
          <w:highlight w:val="none"/>
          <w:u w:val="single"/>
        </w:rPr>
        <w:t xml:space="preserve">        </w:t>
      </w:r>
      <w:r>
        <w:rPr>
          <w:rFonts w:hint="eastAsia" w:ascii="宋体" w:hAnsi="宋体" w:eastAsia="宋体" w:cs="宋体"/>
          <w:bCs/>
          <w:sz w:val="24"/>
          <w:szCs w:val="24"/>
          <w:highlight w:val="none"/>
        </w:rPr>
        <w:t>万元（大写：</w:t>
      </w:r>
      <w:r>
        <w:rPr>
          <w:rFonts w:hint="eastAsia" w:ascii="宋体" w:hAnsi="宋体" w:eastAsia="宋体" w:cs="宋体"/>
          <w:bCs/>
          <w:sz w:val="24"/>
          <w:szCs w:val="24"/>
          <w:highlight w:val="none"/>
          <w:u w:val="single"/>
        </w:rPr>
        <w:t xml:space="preserve">            </w:t>
      </w:r>
      <w:r>
        <w:rPr>
          <w:rFonts w:hint="eastAsia" w:ascii="宋体" w:hAnsi="宋体" w:eastAsia="宋体" w:cs="宋体"/>
          <w:bCs/>
          <w:sz w:val="24"/>
          <w:szCs w:val="24"/>
          <w:highlight w:val="none"/>
        </w:rPr>
        <w:t>）的投标保证金。并承诺：下列任何情况发生时，我方将不要求退还投标保证金：</w:t>
      </w:r>
    </w:p>
    <w:p>
      <w:pPr>
        <w:pStyle w:val="17"/>
        <w:spacing w:line="276" w:lineRule="auto"/>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rPr>
        <w:t>（1）如果我方在投标有效期内撤回投标；</w:t>
      </w:r>
    </w:p>
    <w:p>
      <w:pPr>
        <w:pStyle w:val="17"/>
        <w:spacing w:line="276" w:lineRule="auto"/>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rPr>
        <w:t>（2）我方提供了虚假响应磋商文件的响应文件；</w:t>
      </w:r>
    </w:p>
    <w:p>
      <w:pPr>
        <w:pStyle w:val="17"/>
        <w:spacing w:line="276" w:lineRule="auto"/>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rPr>
        <w:t>（3）在投标过程中有违规违纪行为；</w:t>
      </w:r>
    </w:p>
    <w:p>
      <w:pPr>
        <w:pStyle w:val="17"/>
        <w:spacing w:line="276" w:lineRule="auto"/>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rPr>
        <w:t>（4）我方在投标有效期内收到成交通知书后，由于我方原因未能按照磋商文件要求提交履约保证金或与采购人签订并履行合同。</w:t>
      </w:r>
    </w:p>
    <w:p>
      <w:pPr>
        <w:pStyle w:val="17"/>
        <w:spacing w:line="276" w:lineRule="auto"/>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rPr>
        <w:t>4、我方为本项目提交的响应文件满足磋商文件供应商须知前附表要求。</w:t>
      </w:r>
    </w:p>
    <w:p>
      <w:pPr>
        <w:pStyle w:val="17"/>
        <w:spacing w:line="276" w:lineRule="auto"/>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rPr>
        <w:t>5、我方愿意提供采购人可能另外要求的，与投标有关的文件资料，并保证我方已提供和将要提供的文件资料是真实、准确的。</w:t>
      </w:r>
    </w:p>
    <w:p>
      <w:pPr>
        <w:pStyle w:val="17"/>
        <w:spacing w:line="276" w:lineRule="auto"/>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rPr>
        <w:t>6、我方完全理解采购人不一定将合同授予最低报价的供应商的行为。</w:t>
      </w:r>
    </w:p>
    <w:p>
      <w:pPr>
        <w:pStyle w:val="17"/>
        <w:spacing w:line="276" w:lineRule="auto"/>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rPr>
        <w:t>供应商名称：        （盖章）</w:t>
      </w:r>
    </w:p>
    <w:p>
      <w:pPr>
        <w:pStyle w:val="17"/>
        <w:spacing w:line="276" w:lineRule="auto"/>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rPr>
        <w:t>法定代表人或授权代表（签字或盖章）：</w:t>
      </w:r>
    </w:p>
    <w:p>
      <w:pPr>
        <w:pStyle w:val="17"/>
        <w:spacing w:line="276" w:lineRule="auto"/>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rPr>
        <w:t>通讯地址：</w:t>
      </w:r>
    </w:p>
    <w:p>
      <w:pPr>
        <w:pStyle w:val="17"/>
        <w:spacing w:line="276" w:lineRule="auto"/>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rPr>
        <w:t>联系电话：</w:t>
      </w:r>
    </w:p>
    <w:p>
      <w:pPr>
        <w:pStyle w:val="17"/>
        <w:spacing w:line="276" w:lineRule="auto"/>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rPr>
        <w:t>日    期：</w:t>
      </w:r>
    </w:p>
    <w:p>
      <w:pPr>
        <w:rPr>
          <w:rFonts w:hint="eastAsia" w:ascii="宋体" w:hAnsi="宋体" w:eastAsia="宋体" w:cs="宋体"/>
          <w:i w:val="0"/>
          <w:iCs w:val="0"/>
          <w:color w:val="auto"/>
          <w:sz w:val="28"/>
          <w:szCs w:val="28"/>
          <w:highlight w:val="none"/>
        </w:rPr>
      </w:pPr>
    </w:p>
    <w:p>
      <w:pPr>
        <w:rPr>
          <w:rFonts w:hint="eastAsia" w:ascii="宋体" w:hAnsi="宋体" w:eastAsia="宋体" w:cs="宋体"/>
          <w:i w:val="0"/>
          <w:iCs w:val="0"/>
          <w:color w:val="auto"/>
          <w:sz w:val="28"/>
          <w:szCs w:val="28"/>
          <w:highlight w:val="none"/>
        </w:rPr>
      </w:pPr>
      <w:bookmarkStart w:id="130" w:name="_Toc460703986"/>
      <w:bookmarkStart w:id="131" w:name="_Toc424212008"/>
    </w:p>
    <w:p>
      <w:pPr>
        <w:pStyle w:val="14"/>
        <w:rPr>
          <w:rFonts w:hint="eastAsia" w:ascii="宋体" w:hAnsi="宋体" w:eastAsia="宋体" w:cs="宋体"/>
          <w:i w:val="0"/>
          <w:iCs w:val="0"/>
          <w:color w:val="auto"/>
          <w:sz w:val="28"/>
          <w:szCs w:val="28"/>
          <w:highlight w:val="none"/>
        </w:rPr>
      </w:pPr>
    </w:p>
    <w:p>
      <w:pPr>
        <w:rPr>
          <w:rFonts w:hint="eastAsia"/>
          <w:color w:val="auto"/>
          <w:highlight w:val="none"/>
        </w:rPr>
      </w:pPr>
    </w:p>
    <w:p>
      <w:pPr>
        <w:rPr>
          <w:rFonts w:hint="eastAsia" w:ascii="宋体" w:hAnsi="宋体" w:eastAsia="宋体" w:cs="宋体"/>
          <w:i w:val="0"/>
          <w:iCs w:val="0"/>
          <w:color w:val="auto"/>
          <w:highlight w:val="none"/>
        </w:rPr>
      </w:pPr>
    </w:p>
    <w:p>
      <w:pPr>
        <w:spacing w:line="360" w:lineRule="auto"/>
        <w:jc w:val="center"/>
        <w:outlineLvl w:val="1"/>
        <w:rPr>
          <w:rFonts w:hint="eastAsia" w:ascii="宋体" w:hAnsi="宋体" w:eastAsia="宋体" w:cs="宋体"/>
          <w:b/>
          <w:i w:val="0"/>
          <w:iCs w:val="0"/>
          <w:color w:val="auto"/>
          <w:spacing w:val="20"/>
          <w:kern w:val="2"/>
          <w:sz w:val="32"/>
          <w:szCs w:val="24"/>
          <w:highlight w:val="none"/>
          <w:lang w:val="en-US" w:eastAsia="zh-CN" w:bidi="ar-SA"/>
        </w:rPr>
      </w:pPr>
      <w:bookmarkStart w:id="132" w:name="_Toc18431"/>
      <w:r>
        <w:rPr>
          <w:rFonts w:hint="eastAsia" w:ascii="宋体" w:hAnsi="宋体" w:eastAsia="宋体" w:cs="宋体"/>
          <w:b/>
          <w:i w:val="0"/>
          <w:iCs w:val="0"/>
          <w:color w:val="auto"/>
          <w:spacing w:val="20"/>
          <w:kern w:val="2"/>
          <w:sz w:val="32"/>
          <w:szCs w:val="24"/>
          <w:highlight w:val="none"/>
          <w:lang w:val="en-US" w:eastAsia="zh-CN" w:bidi="ar-SA"/>
        </w:rPr>
        <w:t>（二）法定代表人身份证明</w:t>
      </w:r>
      <w:bookmarkEnd w:id="132"/>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lang w:eastAsia="zh-CN"/>
        </w:rPr>
        <w:t>供应商</w:t>
      </w:r>
      <w:r>
        <w:rPr>
          <w:rFonts w:hint="eastAsia" w:ascii="宋体" w:hAnsi="宋体" w:cs="宋体"/>
          <w:color w:val="auto"/>
          <w:sz w:val="24"/>
          <w:highlight w:val="none"/>
        </w:rPr>
        <w:t>名称：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单位性质：</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地     址：</w:t>
      </w:r>
      <w:r>
        <w:rPr>
          <w:rFonts w:hint="eastAsia" w:ascii="宋体" w:hAnsi="宋体" w:cs="宋体"/>
          <w:color w:val="auto"/>
          <w:sz w:val="24"/>
          <w:highlight w:val="none"/>
          <w:u w:val="single"/>
        </w:rPr>
        <w:t xml:space="preserve">                                             </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成立时间：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日</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经营期限：</w:t>
      </w:r>
      <w:r>
        <w:rPr>
          <w:rFonts w:hint="eastAsia" w:ascii="宋体" w:hAnsi="宋体" w:cs="宋体"/>
          <w:color w:val="auto"/>
          <w:sz w:val="24"/>
          <w:highlight w:val="none"/>
          <w:u w:val="single"/>
        </w:rPr>
        <w:t xml:space="preserve">                               </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姓    名：</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性别：</w:t>
      </w:r>
      <w:r>
        <w:rPr>
          <w:rFonts w:hint="eastAsia" w:ascii="宋体" w:hAnsi="宋体" w:eastAsia="宋体" w:cs="宋体"/>
          <w:color w:val="auto"/>
          <w:sz w:val="24"/>
          <w:highlight w:val="none"/>
          <w:u w:val="single"/>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年    龄：</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职务：</w:t>
      </w:r>
      <w:r>
        <w:rPr>
          <w:rFonts w:hint="eastAsia" w:ascii="宋体" w:hAnsi="宋体" w:cs="宋体"/>
          <w:color w:val="auto"/>
          <w:sz w:val="24"/>
          <w:highlight w:val="none"/>
          <w:u w:val="single"/>
        </w:rPr>
        <w:t xml:space="preserve">                    </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系</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r>
        <w:rPr>
          <w:rFonts w:hint="eastAsia" w:ascii="宋体" w:hAnsi="宋体" w:cs="宋体"/>
          <w:color w:val="auto"/>
          <w:sz w:val="24"/>
          <w:highlight w:val="none"/>
          <w:lang w:eastAsia="zh-CN"/>
        </w:rPr>
        <w:t>供应商</w:t>
      </w:r>
      <w:r>
        <w:rPr>
          <w:rFonts w:hint="eastAsia" w:ascii="宋体" w:hAnsi="宋体" w:cs="宋体"/>
          <w:color w:val="auto"/>
          <w:sz w:val="24"/>
          <w:highlight w:val="none"/>
        </w:rPr>
        <w:t>名称）的法定代表人。</w:t>
      </w:r>
    </w:p>
    <w:p>
      <w:pPr>
        <w:spacing w:line="360" w:lineRule="auto"/>
        <w:ind w:firstLine="960" w:firstLineChars="400"/>
        <w:rPr>
          <w:rFonts w:hint="eastAsia" w:ascii="宋体" w:hAnsi="宋体" w:cs="宋体"/>
          <w:color w:val="auto"/>
          <w:sz w:val="24"/>
          <w:highlight w:val="none"/>
        </w:rPr>
      </w:pPr>
      <w:r>
        <w:rPr>
          <w:rFonts w:hint="eastAsia" w:ascii="宋体" w:hAnsi="宋体" w:cs="宋体"/>
          <w:color w:val="auto"/>
          <w:sz w:val="24"/>
          <w:highlight w:val="none"/>
        </w:rPr>
        <w:t>特此证明。</w:t>
      </w:r>
    </w:p>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注：后附法定代表人身份证复印件</w:t>
      </w:r>
    </w:p>
    <w:p>
      <w:pPr>
        <w:spacing w:line="360" w:lineRule="auto"/>
        <w:rPr>
          <w:rFonts w:hint="eastAsia" w:ascii="宋体" w:hAnsi="宋体" w:cs="宋体"/>
          <w:color w:val="auto"/>
          <w:sz w:val="24"/>
          <w:highlight w:val="none"/>
        </w:rPr>
      </w:pPr>
    </w:p>
    <w:p>
      <w:pPr>
        <w:spacing w:line="360" w:lineRule="auto"/>
        <w:rPr>
          <w:rFonts w:hint="eastAsia" w:ascii="宋体" w:hAnsi="宋体" w:cs="宋体"/>
          <w:color w:val="auto"/>
          <w:sz w:val="24"/>
          <w:highlight w:val="none"/>
        </w:rPr>
      </w:pPr>
    </w:p>
    <w:p>
      <w:pPr>
        <w:pStyle w:val="9"/>
        <w:rPr>
          <w:rFonts w:hint="eastAsia" w:ascii="宋体" w:hAnsi="宋体" w:cs="宋体"/>
          <w:color w:val="auto"/>
          <w:sz w:val="24"/>
          <w:highlight w:val="none"/>
        </w:rPr>
      </w:pPr>
    </w:p>
    <w:p>
      <w:pPr>
        <w:pStyle w:val="24"/>
        <w:rPr>
          <w:rFonts w:hint="eastAsia" w:ascii="宋体" w:hAnsi="宋体" w:cs="宋体"/>
          <w:color w:val="auto"/>
          <w:sz w:val="24"/>
          <w:highlight w:val="none"/>
        </w:rPr>
      </w:pPr>
    </w:p>
    <w:p>
      <w:pPr>
        <w:rPr>
          <w:rFonts w:hint="eastAsia"/>
          <w:color w:val="auto"/>
          <w:highlight w:val="none"/>
        </w:rPr>
      </w:pPr>
    </w:p>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 xml:space="preserve">                                  </w:t>
      </w:r>
      <w:r>
        <w:rPr>
          <w:rFonts w:hint="eastAsia" w:ascii="宋体" w:hAnsi="宋体" w:cs="宋体"/>
          <w:color w:val="auto"/>
          <w:sz w:val="24"/>
          <w:highlight w:val="none"/>
          <w:lang w:eastAsia="zh-CN"/>
        </w:rPr>
        <w:t>供应商</w:t>
      </w:r>
      <w:r>
        <w:rPr>
          <w:rFonts w:hint="eastAsia" w:ascii="宋体" w:hAnsi="宋体" w:cs="宋体"/>
          <w:color w:val="auto"/>
          <w:sz w:val="24"/>
          <w:highlight w:val="none"/>
        </w:rPr>
        <w:t>：</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（盖单位章）</w:t>
      </w:r>
    </w:p>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 xml:space="preserve">                            法定代表或委托代理人：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（签</w:t>
      </w:r>
      <w:r>
        <w:rPr>
          <w:rFonts w:hint="eastAsia" w:ascii="宋体" w:hAnsi="宋体" w:cs="宋体"/>
          <w:color w:val="auto"/>
          <w:sz w:val="24"/>
          <w:highlight w:val="none"/>
          <w:lang w:eastAsia="zh-CN"/>
        </w:rPr>
        <w:t>字或盖</w:t>
      </w:r>
      <w:r>
        <w:rPr>
          <w:rFonts w:hint="eastAsia" w:ascii="宋体" w:hAnsi="宋体" w:cs="宋体"/>
          <w:color w:val="auto"/>
          <w:sz w:val="24"/>
          <w:highlight w:val="none"/>
        </w:rPr>
        <w:t>章）</w:t>
      </w:r>
    </w:p>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日 </w:t>
      </w:r>
    </w:p>
    <w:p>
      <w:pPr>
        <w:pStyle w:val="11"/>
        <w:rPr>
          <w:rFonts w:hint="eastAsia" w:hAnsi="宋体"/>
          <w:color w:val="auto"/>
          <w:highlight w:val="none"/>
        </w:rPr>
      </w:pPr>
    </w:p>
    <w:p>
      <w:pPr>
        <w:pStyle w:val="11"/>
        <w:rPr>
          <w:rFonts w:hint="eastAsia" w:hAnsi="宋体"/>
          <w:color w:val="auto"/>
          <w:highlight w:val="none"/>
        </w:rPr>
      </w:pPr>
    </w:p>
    <w:p>
      <w:pPr>
        <w:pStyle w:val="11"/>
        <w:rPr>
          <w:rFonts w:hint="eastAsia" w:hAnsi="宋体"/>
          <w:color w:val="auto"/>
          <w:highlight w:val="none"/>
        </w:rPr>
      </w:pPr>
    </w:p>
    <w:p>
      <w:pPr>
        <w:pStyle w:val="11"/>
        <w:rPr>
          <w:rFonts w:hint="eastAsia" w:hAnsi="宋体"/>
          <w:color w:val="auto"/>
          <w:highlight w:val="none"/>
        </w:rPr>
      </w:pPr>
    </w:p>
    <w:p>
      <w:pPr>
        <w:pStyle w:val="11"/>
        <w:rPr>
          <w:rFonts w:hint="eastAsia" w:hAnsi="宋体"/>
          <w:color w:val="auto"/>
          <w:highlight w:val="none"/>
        </w:rPr>
      </w:pPr>
    </w:p>
    <w:p>
      <w:pPr>
        <w:pStyle w:val="11"/>
        <w:rPr>
          <w:rFonts w:hint="eastAsia" w:hAnsi="宋体"/>
          <w:color w:val="auto"/>
          <w:highlight w:val="none"/>
        </w:rPr>
      </w:pPr>
    </w:p>
    <w:p>
      <w:pPr>
        <w:pStyle w:val="11"/>
        <w:rPr>
          <w:rFonts w:hint="eastAsia" w:hAnsi="宋体"/>
          <w:color w:val="auto"/>
          <w:highlight w:val="none"/>
        </w:rPr>
      </w:pPr>
    </w:p>
    <w:p>
      <w:pPr>
        <w:pStyle w:val="11"/>
        <w:rPr>
          <w:rFonts w:hint="eastAsia" w:hAnsi="宋体"/>
          <w:color w:val="auto"/>
          <w:highlight w:val="none"/>
        </w:rPr>
      </w:pPr>
    </w:p>
    <w:p>
      <w:pPr>
        <w:pStyle w:val="11"/>
        <w:rPr>
          <w:rFonts w:hint="eastAsia" w:hAnsi="宋体"/>
          <w:color w:val="auto"/>
          <w:highlight w:val="none"/>
        </w:rPr>
      </w:pPr>
    </w:p>
    <w:p>
      <w:pPr>
        <w:pStyle w:val="11"/>
        <w:rPr>
          <w:rFonts w:hint="eastAsia" w:hAnsi="宋体"/>
          <w:color w:val="auto"/>
          <w:highlight w:val="none"/>
        </w:rPr>
      </w:pPr>
    </w:p>
    <w:p>
      <w:pPr>
        <w:pStyle w:val="11"/>
        <w:rPr>
          <w:rFonts w:hint="eastAsia" w:hAnsi="宋体"/>
          <w:color w:val="auto"/>
          <w:highlight w:val="none"/>
        </w:rPr>
      </w:pPr>
    </w:p>
    <w:p>
      <w:pPr>
        <w:pStyle w:val="11"/>
        <w:rPr>
          <w:rFonts w:hint="eastAsia" w:hAnsi="宋体"/>
          <w:color w:val="auto"/>
          <w:highlight w:val="none"/>
        </w:rPr>
      </w:pPr>
    </w:p>
    <w:p>
      <w:pPr>
        <w:pStyle w:val="11"/>
        <w:rPr>
          <w:rFonts w:hint="eastAsia" w:hAnsi="宋体"/>
          <w:color w:val="auto"/>
          <w:highlight w:val="none"/>
        </w:rPr>
      </w:pPr>
    </w:p>
    <w:p>
      <w:pPr>
        <w:pStyle w:val="11"/>
        <w:rPr>
          <w:rFonts w:hint="eastAsia" w:hAnsi="宋体"/>
          <w:color w:val="auto"/>
          <w:highlight w:val="none"/>
        </w:rPr>
      </w:pPr>
    </w:p>
    <w:p>
      <w:pPr>
        <w:pStyle w:val="11"/>
        <w:rPr>
          <w:rFonts w:hint="eastAsia" w:hAnsi="宋体"/>
          <w:color w:val="auto"/>
          <w:highlight w:val="none"/>
        </w:rPr>
      </w:pPr>
    </w:p>
    <w:p>
      <w:pPr>
        <w:spacing w:line="360" w:lineRule="auto"/>
        <w:rPr>
          <w:rFonts w:hint="eastAsia" w:ascii="宋体" w:hAnsi="宋体" w:cs="宋体"/>
          <w:color w:val="auto"/>
          <w:sz w:val="24"/>
          <w:highlight w:val="none"/>
        </w:rPr>
      </w:pPr>
    </w:p>
    <w:p>
      <w:pPr>
        <w:tabs>
          <w:tab w:val="center" w:pos="7115"/>
          <w:tab w:val="right" w:pos="14230"/>
        </w:tabs>
        <w:spacing w:line="360" w:lineRule="auto"/>
        <w:jc w:val="center"/>
        <w:outlineLvl w:val="1"/>
        <w:rPr>
          <w:rFonts w:hint="eastAsia" w:ascii="宋体" w:hAnsi="宋体" w:eastAsia="宋体" w:cs="宋体"/>
          <w:b/>
          <w:i w:val="0"/>
          <w:iCs w:val="0"/>
          <w:color w:val="auto"/>
          <w:spacing w:val="20"/>
          <w:sz w:val="32"/>
          <w:highlight w:val="none"/>
        </w:rPr>
      </w:pPr>
      <w:bookmarkStart w:id="133" w:name="_Toc24008"/>
      <w:r>
        <w:rPr>
          <w:rFonts w:hint="eastAsia" w:ascii="宋体" w:hAnsi="宋体" w:eastAsia="宋体" w:cs="宋体"/>
          <w:b/>
          <w:i w:val="0"/>
          <w:iCs w:val="0"/>
          <w:color w:val="auto"/>
          <w:spacing w:val="20"/>
          <w:sz w:val="32"/>
          <w:highlight w:val="none"/>
        </w:rPr>
        <w:t>（三）法定代表人的授权委托书</w:t>
      </w:r>
      <w:bookmarkEnd w:id="133"/>
    </w:p>
    <w:p>
      <w:pPr>
        <w:spacing w:line="360" w:lineRule="auto"/>
        <w:rPr>
          <w:rFonts w:hint="eastAsia" w:ascii="宋体" w:hAnsi="宋体" w:cs="宋体"/>
          <w:color w:val="auto"/>
          <w:sz w:val="24"/>
          <w:highlight w:val="none"/>
        </w:rPr>
      </w:pPr>
    </w:p>
    <w:p>
      <w:pPr>
        <w:topLinePunct/>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本人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（姓名）系</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r>
        <w:rPr>
          <w:rFonts w:hint="eastAsia" w:ascii="宋体" w:hAnsi="宋体" w:cs="宋体"/>
          <w:color w:val="auto"/>
          <w:sz w:val="24"/>
          <w:highlight w:val="none"/>
          <w:lang w:eastAsia="zh-CN"/>
        </w:rPr>
        <w:t>供应商</w:t>
      </w:r>
      <w:r>
        <w:rPr>
          <w:rFonts w:hint="eastAsia" w:ascii="宋体" w:hAnsi="宋体" w:cs="宋体"/>
          <w:color w:val="auto"/>
          <w:sz w:val="24"/>
          <w:highlight w:val="none"/>
        </w:rPr>
        <w:t>名称）的法定代表人，现委托</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（姓名）为我方代理人。代理人根据授权，以我方名义签署、澄清、说明、补正、递交、撤回、修改</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（项目名称）</w:t>
      </w:r>
      <w:r>
        <w:rPr>
          <w:rFonts w:hint="eastAsia" w:ascii="宋体" w:hAnsi="宋体" w:cs="宋体"/>
          <w:color w:val="auto"/>
          <w:sz w:val="24"/>
          <w:highlight w:val="none"/>
          <w:u w:val="single"/>
        </w:rPr>
        <w:t xml:space="preserve">         </w:t>
      </w:r>
      <w:r>
        <w:rPr>
          <w:rFonts w:hint="eastAsia" w:ascii="宋体" w:hAnsi="宋体" w:cs="宋体"/>
          <w:color w:val="auto"/>
          <w:sz w:val="24"/>
          <w:highlight w:val="none"/>
          <w:lang w:eastAsia="zh-CN"/>
        </w:rPr>
        <w:t>响应文件</w:t>
      </w:r>
      <w:r>
        <w:rPr>
          <w:rFonts w:hint="eastAsia" w:ascii="宋体" w:hAnsi="宋体" w:cs="宋体"/>
          <w:color w:val="auto"/>
          <w:sz w:val="24"/>
          <w:highlight w:val="none"/>
        </w:rPr>
        <w:t>、签订合同和处理有关事宜，其法律后果由我方承担。</w:t>
      </w:r>
    </w:p>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 xml:space="preserve">    </w:t>
      </w:r>
    </w:p>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 xml:space="preserve">    委托期限：</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代理人无转委托权。</w:t>
      </w:r>
    </w:p>
    <w:p>
      <w:pPr>
        <w:spacing w:line="360" w:lineRule="auto"/>
        <w:ind w:firstLine="480" w:firstLineChars="200"/>
        <w:rPr>
          <w:rFonts w:hint="eastAsia" w:ascii="宋体" w:hAnsi="宋体" w:cs="宋体"/>
          <w:color w:val="auto"/>
          <w:sz w:val="24"/>
          <w:highlight w:val="none"/>
        </w:rPr>
      </w:pP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附：法定代表人身份证明、委托代理人身份证复印件</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lang w:eastAsia="zh-CN"/>
        </w:rPr>
        <w:t>供应商</w:t>
      </w:r>
      <w:r>
        <w:rPr>
          <w:rFonts w:hint="eastAsia" w:ascii="宋体" w:hAnsi="宋体" w:cs="宋体"/>
          <w:color w:val="auto"/>
          <w:sz w:val="24"/>
          <w:highlight w:val="none"/>
        </w:rPr>
        <w:t>：</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（盖单位章）</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法定代表人：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（签</w:t>
      </w:r>
      <w:r>
        <w:rPr>
          <w:rFonts w:hint="eastAsia" w:ascii="宋体" w:hAnsi="宋体" w:cs="宋体"/>
          <w:color w:val="auto"/>
          <w:sz w:val="24"/>
          <w:highlight w:val="none"/>
          <w:lang w:eastAsia="zh-CN"/>
        </w:rPr>
        <w:t>字</w:t>
      </w:r>
      <w:r>
        <w:rPr>
          <w:rFonts w:hint="eastAsia" w:ascii="宋体" w:hAnsi="宋体" w:cs="宋体"/>
          <w:color w:val="auto"/>
          <w:sz w:val="24"/>
          <w:highlight w:val="none"/>
        </w:rPr>
        <w:t>）</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身份证号码：</w:t>
      </w:r>
      <w:r>
        <w:rPr>
          <w:rFonts w:hint="eastAsia" w:ascii="宋体" w:hAnsi="宋体" w:cs="宋体"/>
          <w:color w:val="auto"/>
          <w:sz w:val="24"/>
          <w:highlight w:val="none"/>
          <w:u w:val="none"/>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none"/>
        </w:rPr>
        <w:t xml:space="preserve"> </w:t>
      </w:r>
      <w:r>
        <w:rPr>
          <w:rFonts w:hint="eastAsia" w:ascii="宋体" w:hAnsi="宋体" w:cs="宋体"/>
          <w:color w:val="auto"/>
          <w:sz w:val="24"/>
          <w:highlight w:val="none"/>
          <w:u w:val="single"/>
        </w:rPr>
        <w:t xml:space="preserve">   </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委托代理人：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（签字） </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身份证号码：</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p>
    <w:p>
      <w:pPr>
        <w:spacing w:line="360" w:lineRule="auto"/>
        <w:jc w:val="center"/>
        <w:outlineLvl w:val="9"/>
        <w:rPr>
          <w:rFonts w:hint="eastAsia" w:ascii="宋体" w:hAnsi="宋体" w:cs="宋体"/>
          <w:color w:val="auto"/>
          <w:sz w:val="24"/>
          <w:highlight w:val="none"/>
        </w:rPr>
      </w:pPr>
      <w:r>
        <w:rPr>
          <w:rFonts w:hint="eastAsia" w:ascii="宋体" w:hAnsi="宋体" w:cs="宋体"/>
          <w:color w:val="auto"/>
          <w:sz w:val="24"/>
          <w:highlight w:val="none"/>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w:t>
      </w:r>
    </w:p>
    <w:p>
      <w:pPr>
        <w:bidi w:val="0"/>
        <w:rPr>
          <w:rFonts w:hint="eastAsia"/>
          <w:color w:val="auto"/>
          <w:highlight w:val="none"/>
          <w:lang w:val="en-US" w:eastAsia="zh-CN"/>
        </w:rPr>
      </w:pPr>
      <w:bookmarkStart w:id="134" w:name="_Toc460703990"/>
      <w:bookmarkStart w:id="135" w:name="_Toc424212014"/>
      <w:bookmarkStart w:id="136" w:name="_Toc298488026"/>
      <w:bookmarkStart w:id="137" w:name="_Toc360522730"/>
    </w:p>
    <w:p>
      <w:pPr>
        <w:rPr>
          <w:rFonts w:hint="eastAsia" w:ascii="宋体" w:hAnsi="宋体" w:eastAsia="宋体" w:cs="宋体"/>
          <w:i w:val="0"/>
          <w:iCs w:val="0"/>
          <w:color w:val="auto"/>
          <w:highlight w:val="none"/>
          <w:lang w:val="en-US" w:eastAsia="zh-CN"/>
        </w:rPr>
      </w:pPr>
    </w:p>
    <w:p>
      <w:pPr>
        <w:pStyle w:val="9"/>
        <w:rPr>
          <w:rFonts w:hint="eastAsia" w:ascii="宋体" w:hAnsi="宋体" w:eastAsia="宋体" w:cs="宋体"/>
          <w:i w:val="0"/>
          <w:iCs w:val="0"/>
          <w:color w:val="auto"/>
          <w:highlight w:val="none"/>
          <w:lang w:val="en-US" w:eastAsia="zh-CN"/>
        </w:rPr>
      </w:pPr>
    </w:p>
    <w:p>
      <w:pPr>
        <w:pStyle w:val="24"/>
        <w:rPr>
          <w:rFonts w:hint="eastAsia" w:ascii="宋体" w:hAnsi="宋体" w:eastAsia="宋体" w:cs="宋体"/>
          <w:i w:val="0"/>
          <w:iCs w:val="0"/>
          <w:color w:val="auto"/>
          <w:highlight w:val="none"/>
          <w:lang w:val="en-US" w:eastAsia="zh-CN"/>
        </w:rPr>
      </w:pPr>
    </w:p>
    <w:p>
      <w:pPr>
        <w:rPr>
          <w:rFonts w:hint="eastAsia" w:ascii="宋体" w:hAnsi="宋体" w:eastAsia="宋体" w:cs="宋体"/>
          <w:i w:val="0"/>
          <w:iCs w:val="0"/>
          <w:color w:val="auto"/>
          <w:highlight w:val="none"/>
          <w:lang w:val="en-US" w:eastAsia="zh-CN"/>
        </w:rPr>
      </w:pPr>
    </w:p>
    <w:p>
      <w:pPr>
        <w:pStyle w:val="9"/>
        <w:rPr>
          <w:rFonts w:hint="eastAsia" w:ascii="宋体" w:hAnsi="宋体" w:eastAsia="宋体" w:cs="宋体"/>
          <w:i w:val="0"/>
          <w:iCs w:val="0"/>
          <w:color w:val="auto"/>
          <w:highlight w:val="none"/>
          <w:lang w:val="en-US" w:eastAsia="zh-CN"/>
        </w:rPr>
      </w:pPr>
    </w:p>
    <w:p>
      <w:pPr>
        <w:pStyle w:val="24"/>
        <w:rPr>
          <w:rFonts w:hint="eastAsia" w:ascii="宋体" w:hAnsi="宋体" w:eastAsia="宋体" w:cs="宋体"/>
          <w:i w:val="0"/>
          <w:iCs w:val="0"/>
          <w:color w:val="auto"/>
          <w:highlight w:val="none"/>
          <w:lang w:val="en-US" w:eastAsia="zh-CN"/>
        </w:rPr>
      </w:pPr>
    </w:p>
    <w:p>
      <w:pPr>
        <w:rPr>
          <w:rFonts w:hint="eastAsia"/>
          <w:color w:val="auto"/>
          <w:highlight w:val="none"/>
          <w:lang w:val="en-US" w:eastAsia="zh-CN"/>
        </w:rPr>
      </w:pPr>
    </w:p>
    <w:p>
      <w:pPr>
        <w:rPr>
          <w:rFonts w:hint="eastAsia" w:ascii="宋体" w:hAnsi="宋体" w:eastAsia="宋体" w:cs="宋体"/>
          <w:i w:val="0"/>
          <w:iCs w:val="0"/>
          <w:color w:val="auto"/>
          <w:highlight w:val="none"/>
          <w:lang w:val="en-US" w:eastAsia="zh-CN"/>
        </w:rPr>
      </w:pPr>
    </w:p>
    <w:p>
      <w:pPr>
        <w:pStyle w:val="9"/>
        <w:rPr>
          <w:rFonts w:hint="eastAsia" w:ascii="宋体" w:hAnsi="宋体" w:eastAsia="宋体" w:cs="宋体"/>
          <w:i w:val="0"/>
          <w:iCs w:val="0"/>
          <w:color w:val="auto"/>
          <w:highlight w:val="none"/>
          <w:lang w:val="en-US" w:eastAsia="zh-CN"/>
        </w:rPr>
      </w:pPr>
    </w:p>
    <w:p>
      <w:pPr>
        <w:pStyle w:val="24"/>
        <w:rPr>
          <w:rFonts w:hint="eastAsia" w:ascii="宋体" w:hAnsi="宋体" w:eastAsia="宋体" w:cs="宋体"/>
          <w:i w:val="0"/>
          <w:iCs w:val="0"/>
          <w:color w:val="auto"/>
          <w:highlight w:val="none"/>
          <w:lang w:val="en-US" w:eastAsia="zh-CN"/>
        </w:rPr>
      </w:pPr>
    </w:p>
    <w:p>
      <w:pPr>
        <w:rPr>
          <w:rFonts w:hint="eastAsia" w:ascii="宋体" w:hAnsi="宋体" w:eastAsia="宋体" w:cs="宋体"/>
          <w:i w:val="0"/>
          <w:iCs w:val="0"/>
          <w:color w:val="auto"/>
          <w:highlight w:val="none"/>
          <w:lang w:val="en-US" w:eastAsia="zh-CN"/>
        </w:rPr>
      </w:pPr>
    </w:p>
    <w:p>
      <w:pPr>
        <w:pStyle w:val="9"/>
        <w:rPr>
          <w:rFonts w:hint="eastAsia" w:ascii="宋体" w:hAnsi="宋体" w:eastAsia="宋体" w:cs="宋体"/>
          <w:i w:val="0"/>
          <w:iCs w:val="0"/>
          <w:color w:val="auto"/>
          <w:highlight w:val="none"/>
          <w:lang w:val="en-US" w:eastAsia="zh-CN"/>
        </w:rPr>
      </w:pPr>
    </w:p>
    <w:p>
      <w:pPr>
        <w:pStyle w:val="24"/>
        <w:rPr>
          <w:rFonts w:hint="eastAsia" w:ascii="宋体" w:hAnsi="宋体" w:eastAsia="宋体" w:cs="宋体"/>
          <w:i w:val="0"/>
          <w:iCs w:val="0"/>
          <w:color w:val="auto"/>
          <w:highlight w:val="none"/>
          <w:lang w:val="en-US" w:eastAsia="zh-CN"/>
        </w:rPr>
      </w:pPr>
    </w:p>
    <w:bookmarkEnd w:id="134"/>
    <w:bookmarkEnd w:id="135"/>
    <w:bookmarkEnd w:id="136"/>
    <w:bookmarkEnd w:id="137"/>
    <w:p>
      <w:pPr>
        <w:pStyle w:val="24"/>
        <w:ind w:left="0" w:leftChars="0" w:firstLine="0" w:firstLineChars="0"/>
        <w:rPr>
          <w:rFonts w:hint="eastAsia" w:ascii="宋体" w:hAnsi="宋体" w:eastAsia="宋体" w:cs="宋体"/>
          <w:i w:val="0"/>
          <w:iCs w:val="0"/>
          <w:color w:val="auto"/>
          <w:sz w:val="28"/>
          <w:szCs w:val="28"/>
          <w:highlight w:val="none"/>
        </w:rPr>
        <w:sectPr>
          <w:footerReference r:id="rId5" w:type="default"/>
          <w:pgSz w:w="11907" w:h="16840"/>
          <w:pgMar w:top="1440" w:right="1474" w:bottom="1440" w:left="1474" w:header="851" w:footer="992" w:gutter="0"/>
          <w:pgNumType w:fmt="decimal" w:start="1"/>
          <w:cols w:space="720" w:num="1"/>
          <w:docGrid w:linePitch="312" w:charSpace="0"/>
        </w:sectPr>
      </w:pPr>
    </w:p>
    <w:p>
      <w:pPr>
        <w:jc w:val="center"/>
        <w:outlineLvl w:val="1"/>
        <w:rPr>
          <w:rFonts w:hint="eastAsia" w:ascii="仿宋" w:hAnsi="仿宋" w:eastAsia="仿宋" w:cs="仿宋"/>
          <w:b/>
          <w:sz w:val="28"/>
          <w:highlight w:val="none"/>
        </w:rPr>
      </w:pPr>
      <w:bookmarkStart w:id="138" w:name="_Toc23696"/>
      <w:r>
        <w:rPr>
          <w:rFonts w:hint="eastAsia" w:ascii="宋体" w:hAnsi="宋体" w:eastAsia="宋体" w:cs="宋体"/>
          <w:b/>
          <w:i w:val="0"/>
          <w:iCs w:val="0"/>
          <w:color w:val="auto"/>
          <w:spacing w:val="20"/>
          <w:sz w:val="32"/>
          <w:highlight w:val="none"/>
        </w:rPr>
        <w:t>(</w:t>
      </w:r>
      <w:r>
        <w:rPr>
          <w:rFonts w:hint="eastAsia" w:ascii="宋体" w:hAnsi="宋体" w:eastAsia="宋体" w:cs="宋体"/>
          <w:b/>
          <w:i w:val="0"/>
          <w:iCs w:val="0"/>
          <w:color w:val="auto"/>
          <w:spacing w:val="20"/>
          <w:sz w:val="32"/>
          <w:highlight w:val="none"/>
          <w:lang w:val="en-US" w:eastAsia="zh-CN"/>
        </w:rPr>
        <w:t>四</w:t>
      </w:r>
      <w:r>
        <w:rPr>
          <w:rFonts w:hint="eastAsia" w:ascii="宋体" w:hAnsi="宋体" w:eastAsia="宋体" w:cs="宋体"/>
          <w:b/>
          <w:i w:val="0"/>
          <w:iCs w:val="0"/>
          <w:color w:val="auto"/>
          <w:spacing w:val="20"/>
          <w:sz w:val="32"/>
          <w:highlight w:val="none"/>
        </w:rPr>
        <w:t>)开标一览表</w:t>
      </w:r>
      <w:bookmarkEnd w:id="138"/>
    </w:p>
    <w:tbl>
      <w:tblPr>
        <w:tblStyle w:val="25"/>
        <w:tblW w:w="90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173"/>
        <w:gridCol w:w="68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66" w:hRule="atLeast"/>
          <w:jc w:val="center"/>
        </w:trPr>
        <w:tc>
          <w:tcPr>
            <w:tcW w:w="2173" w:type="dxa"/>
            <w:noWrap w:val="0"/>
            <w:vAlign w:val="center"/>
          </w:tcPr>
          <w:p>
            <w:pPr>
              <w:autoSpaceDE w:val="0"/>
              <w:autoSpaceDN w:val="0"/>
              <w:spacing w:line="400" w:lineRule="exact"/>
              <w:ind w:firstLine="255"/>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项目名称</w:t>
            </w:r>
          </w:p>
        </w:tc>
        <w:tc>
          <w:tcPr>
            <w:tcW w:w="6868" w:type="dxa"/>
            <w:noWrap w:val="0"/>
            <w:vAlign w:val="center"/>
          </w:tcPr>
          <w:p>
            <w:pPr>
              <w:autoSpaceDE w:val="0"/>
              <w:autoSpaceDN w:val="0"/>
              <w:spacing w:line="400" w:lineRule="exact"/>
              <w:ind w:firstLine="255"/>
              <w:jc w:val="center"/>
              <w:rPr>
                <w:rFonts w:hint="eastAsia" w:ascii="宋体" w:hAnsi="宋体" w:eastAsia="宋体" w:cs="宋体"/>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62" w:hRule="atLeast"/>
          <w:jc w:val="center"/>
        </w:trPr>
        <w:tc>
          <w:tcPr>
            <w:tcW w:w="2173" w:type="dxa"/>
            <w:noWrap w:val="0"/>
            <w:vAlign w:val="center"/>
          </w:tcPr>
          <w:p>
            <w:pPr>
              <w:autoSpaceDE w:val="0"/>
              <w:autoSpaceDN w:val="0"/>
              <w:spacing w:line="400" w:lineRule="exact"/>
              <w:ind w:firstLine="255"/>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投标人</w:t>
            </w:r>
          </w:p>
        </w:tc>
        <w:tc>
          <w:tcPr>
            <w:tcW w:w="6868" w:type="dxa"/>
            <w:noWrap w:val="0"/>
            <w:vAlign w:val="center"/>
          </w:tcPr>
          <w:p>
            <w:pPr>
              <w:autoSpaceDE w:val="0"/>
              <w:autoSpaceDN w:val="0"/>
              <w:spacing w:line="400" w:lineRule="exact"/>
              <w:ind w:firstLine="255"/>
              <w:jc w:val="center"/>
              <w:rPr>
                <w:rFonts w:hint="eastAsia" w:ascii="宋体" w:hAnsi="宋体" w:eastAsia="宋体" w:cs="宋体"/>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97" w:hRule="exact"/>
          <w:jc w:val="center"/>
        </w:trPr>
        <w:tc>
          <w:tcPr>
            <w:tcW w:w="2173" w:type="dxa"/>
            <w:noWrap w:val="0"/>
            <w:vAlign w:val="center"/>
          </w:tcPr>
          <w:p>
            <w:pPr>
              <w:autoSpaceDE w:val="0"/>
              <w:autoSpaceDN w:val="0"/>
              <w:spacing w:line="400" w:lineRule="exact"/>
              <w:ind w:firstLine="255"/>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投标报价</w:t>
            </w:r>
          </w:p>
          <w:p>
            <w:pPr>
              <w:autoSpaceDE w:val="0"/>
              <w:autoSpaceDN w:val="0"/>
              <w:spacing w:line="400" w:lineRule="exact"/>
              <w:ind w:firstLine="255"/>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（元）</w:t>
            </w:r>
          </w:p>
        </w:tc>
        <w:tc>
          <w:tcPr>
            <w:tcW w:w="6868" w:type="dxa"/>
            <w:noWrap w:val="0"/>
            <w:vAlign w:val="center"/>
          </w:tcPr>
          <w:p>
            <w:pPr>
              <w:autoSpaceDE w:val="0"/>
              <w:autoSpaceDN w:val="0"/>
              <w:spacing w:line="360" w:lineRule="auto"/>
              <w:ind w:firstLine="120" w:firstLineChars="5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大写：</w:t>
            </w:r>
          </w:p>
          <w:p>
            <w:pPr>
              <w:autoSpaceDE w:val="0"/>
              <w:autoSpaceDN w:val="0"/>
              <w:spacing w:line="360" w:lineRule="auto"/>
              <w:ind w:firstLine="120" w:firstLineChars="50"/>
              <w:jc w:val="left"/>
              <w:rPr>
                <w:rFonts w:hint="eastAsia" w:ascii="宋体" w:hAnsi="宋体" w:eastAsia="宋体" w:cs="宋体"/>
                <w:kern w:val="0"/>
                <w:sz w:val="24"/>
                <w:szCs w:val="24"/>
                <w:highlight w:val="none"/>
                <w:u w:val="single"/>
              </w:rPr>
            </w:pPr>
            <w:r>
              <w:rPr>
                <w:rFonts w:hint="eastAsia" w:ascii="宋体" w:hAnsi="宋体" w:eastAsia="宋体" w:cs="宋体"/>
                <w:kern w:val="0"/>
                <w:sz w:val="24"/>
                <w:szCs w:val="24"/>
                <w:highlight w:val="none"/>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0" w:hRule="atLeast"/>
          <w:jc w:val="center"/>
        </w:trPr>
        <w:tc>
          <w:tcPr>
            <w:tcW w:w="2173" w:type="dxa"/>
            <w:noWrap w:val="0"/>
            <w:vAlign w:val="center"/>
          </w:tcPr>
          <w:p>
            <w:pPr>
              <w:autoSpaceDE w:val="0"/>
              <w:autoSpaceDN w:val="0"/>
              <w:spacing w:line="400" w:lineRule="exact"/>
              <w:ind w:firstLine="255"/>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服务期</w:t>
            </w:r>
          </w:p>
        </w:tc>
        <w:tc>
          <w:tcPr>
            <w:tcW w:w="6868" w:type="dxa"/>
            <w:noWrap w:val="0"/>
            <w:vAlign w:val="center"/>
          </w:tcPr>
          <w:p>
            <w:pPr>
              <w:autoSpaceDE w:val="0"/>
              <w:autoSpaceDN w:val="0"/>
              <w:spacing w:line="400" w:lineRule="exact"/>
              <w:ind w:firstLine="255"/>
              <w:jc w:val="center"/>
              <w:rPr>
                <w:rFonts w:hint="eastAsia" w:ascii="宋体" w:hAnsi="宋体" w:eastAsia="宋体" w:cs="宋体"/>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2" w:hRule="atLeast"/>
          <w:jc w:val="center"/>
        </w:trPr>
        <w:tc>
          <w:tcPr>
            <w:tcW w:w="2173" w:type="dxa"/>
            <w:noWrap w:val="0"/>
            <w:vAlign w:val="center"/>
          </w:tcPr>
          <w:p>
            <w:pPr>
              <w:autoSpaceDE w:val="0"/>
              <w:autoSpaceDN w:val="0"/>
              <w:spacing w:line="400" w:lineRule="exact"/>
              <w:ind w:firstLine="255"/>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服务质量要求</w:t>
            </w:r>
          </w:p>
        </w:tc>
        <w:tc>
          <w:tcPr>
            <w:tcW w:w="6868" w:type="dxa"/>
            <w:noWrap w:val="0"/>
            <w:vAlign w:val="center"/>
          </w:tcPr>
          <w:p>
            <w:pPr>
              <w:autoSpaceDE w:val="0"/>
              <w:autoSpaceDN w:val="0"/>
              <w:spacing w:line="400" w:lineRule="exact"/>
              <w:ind w:firstLine="255"/>
              <w:jc w:val="center"/>
              <w:rPr>
                <w:rFonts w:hint="eastAsia" w:ascii="宋体" w:hAnsi="宋体" w:eastAsia="宋体" w:cs="宋体"/>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17" w:hRule="atLeast"/>
          <w:jc w:val="center"/>
        </w:trPr>
        <w:tc>
          <w:tcPr>
            <w:tcW w:w="2173" w:type="dxa"/>
            <w:noWrap w:val="0"/>
            <w:vAlign w:val="center"/>
          </w:tcPr>
          <w:p>
            <w:pPr>
              <w:autoSpaceDE w:val="0"/>
              <w:autoSpaceDN w:val="0"/>
              <w:spacing w:line="400" w:lineRule="exact"/>
              <w:ind w:firstLine="255"/>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需要说明的问题</w:t>
            </w:r>
          </w:p>
        </w:tc>
        <w:tc>
          <w:tcPr>
            <w:tcW w:w="6868" w:type="dxa"/>
            <w:noWrap w:val="0"/>
            <w:vAlign w:val="center"/>
          </w:tcPr>
          <w:p>
            <w:pPr>
              <w:autoSpaceDE w:val="0"/>
              <w:autoSpaceDN w:val="0"/>
              <w:spacing w:line="400" w:lineRule="exact"/>
              <w:ind w:firstLine="255"/>
              <w:jc w:val="center"/>
              <w:rPr>
                <w:rFonts w:hint="eastAsia" w:ascii="宋体" w:hAnsi="宋体" w:eastAsia="宋体" w:cs="宋体"/>
                <w:kern w:val="0"/>
                <w:sz w:val="24"/>
                <w:szCs w:val="24"/>
                <w:highlight w:val="none"/>
              </w:rPr>
            </w:pPr>
          </w:p>
        </w:tc>
      </w:tr>
    </w:tbl>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注：1、“投标总价”应与“投标函”中“投标总价”一致。</w:t>
      </w:r>
    </w:p>
    <w:p>
      <w:pPr>
        <w:autoSpaceDE w:val="0"/>
        <w:autoSpaceDN w:val="0"/>
        <w:spacing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2、“投标报价”本项目投标报价为总包价，包含货物采购、包装、运输、装卸、备品备件、专用工具、特殊工具、保险、直接费、规费、税金、人材机价差、材料运费、检验验收、现场协调、质保、税金、管理费、招标代理费、交易费等一切费用，及随产品资料费、自检费及验收合格前和质保期内发生的一切费用、应当提供的伴随服务/售后服务费用。投标人须综合全部考虑到投标报价中，采购人不再另行支付本项目任何费用。</w:t>
      </w:r>
    </w:p>
    <w:p>
      <w:pPr>
        <w:spacing w:line="400" w:lineRule="exact"/>
        <w:ind w:left="810" w:leftChars="213" w:hanging="361" w:hangingChars="150"/>
        <w:rPr>
          <w:rFonts w:hint="eastAsia" w:ascii="宋体" w:hAnsi="宋体" w:eastAsia="宋体" w:cs="宋体"/>
          <w:sz w:val="24"/>
          <w:szCs w:val="24"/>
          <w:highlight w:val="none"/>
        </w:rPr>
      </w:pPr>
    </w:p>
    <w:p>
      <w:pPr>
        <w:spacing w:line="400" w:lineRule="exact"/>
        <w:ind w:firstLine="482" w:firstLineChars="200"/>
        <w:jc w:val="left"/>
        <w:rPr>
          <w:rFonts w:hint="eastAsia" w:ascii="宋体" w:hAnsi="宋体" w:eastAsia="宋体" w:cs="宋体"/>
          <w:sz w:val="24"/>
          <w:szCs w:val="24"/>
          <w:highlight w:val="none"/>
        </w:rPr>
      </w:pPr>
    </w:p>
    <w:p>
      <w:pPr>
        <w:spacing w:line="360" w:lineRule="auto"/>
        <w:jc w:val="right"/>
        <w:rPr>
          <w:rFonts w:hint="eastAsia" w:ascii="宋体" w:hAnsi="宋体" w:eastAsia="宋体" w:cs="宋体"/>
          <w:kern w:val="0"/>
          <w:sz w:val="24"/>
          <w:szCs w:val="24"/>
          <w:highlight w:val="none"/>
          <w:u w:val="single"/>
        </w:rPr>
      </w:pPr>
      <w:r>
        <w:rPr>
          <w:rFonts w:hint="eastAsia" w:ascii="宋体" w:hAnsi="宋体" w:eastAsia="宋体" w:cs="宋体"/>
          <w:kern w:val="0"/>
          <w:sz w:val="24"/>
          <w:szCs w:val="24"/>
          <w:highlight w:val="none"/>
        </w:rPr>
        <w:t>投标人：</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（盖单位章）</w:t>
      </w:r>
    </w:p>
    <w:p>
      <w:pPr>
        <w:spacing w:line="360" w:lineRule="auto"/>
        <w:jc w:val="right"/>
        <w:rPr>
          <w:rFonts w:hint="eastAsia" w:ascii="宋体" w:hAnsi="宋体" w:eastAsia="宋体" w:cs="宋体"/>
          <w:kern w:val="0"/>
          <w:sz w:val="24"/>
          <w:szCs w:val="24"/>
          <w:highlight w:val="none"/>
          <w:u w:val="single"/>
        </w:rPr>
      </w:pPr>
      <w:r>
        <w:rPr>
          <w:rFonts w:hint="eastAsia" w:ascii="宋体" w:hAnsi="宋体" w:eastAsia="宋体" w:cs="宋体"/>
          <w:kern w:val="0"/>
          <w:sz w:val="24"/>
          <w:szCs w:val="24"/>
          <w:highlight w:val="none"/>
        </w:rPr>
        <w:t>法定代表人或授权委托人：</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（签字或盖章）</w:t>
      </w:r>
    </w:p>
    <w:p>
      <w:pPr>
        <w:spacing w:line="360" w:lineRule="auto"/>
        <w:jc w:val="righ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日  期：  年  月  日</w:t>
      </w:r>
    </w:p>
    <w:p>
      <w:pPr>
        <w:spacing w:line="360" w:lineRule="auto"/>
        <w:jc w:val="right"/>
        <w:rPr>
          <w:rFonts w:hint="eastAsia" w:ascii="宋体" w:hAnsi="宋体" w:cs="宋体"/>
          <w:color w:val="auto"/>
          <w:sz w:val="24"/>
          <w:highlight w:val="none"/>
        </w:rPr>
      </w:pPr>
      <w:r>
        <w:rPr>
          <w:rFonts w:hint="eastAsia" w:ascii="宋体" w:hAnsi="宋体" w:cs="宋体"/>
          <w:color w:val="auto"/>
          <w:sz w:val="24"/>
          <w:highlight w:val="none"/>
        </w:rPr>
        <w:t xml:space="preserve"> </w:t>
      </w:r>
    </w:p>
    <w:p>
      <w:pPr>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14"/>
        <w:rPr>
          <w:rFonts w:hint="eastAsia"/>
          <w:color w:val="auto"/>
          <w:highlight w:val="none"/>
        </w:rPr>
      </w:pPr>
    </w:p>
    <w:p>
      <w:pPr>
        <w:rPr>
          <w:rFonts w:hint="eastAsia"/>
          <w:color w:val="auto"/>
          <w:highlight w:val="none"/>
        </w:rPr>
      </w:pPr>
    </w:p>
    <w:bookmarkEnd w:id="130"/>
    <w:bookmarkEnd w:id="131"/>
    <w:p>
      <w:pPr>
        <w:pStyle w:val="36"/>
        <w:spacing w:line="360" w:lineRule="auto"/>
        <w:ind w:firstLine="485"/>
        <w:outlineLvl w:val="1"/>
        <w:rPr>
          <w:rFonts w:hint="eastAsia"/>
          <w:color w:val="auto"/>
          <w:highlight w:val="none"/>
        </w:rPr>
      </w:pPr>
      <w:bookmarkStart w:id="139" w:name="_Toc26941"/>
      <w:r>
        <w:rPr>
          <w:rFonts w:hint="eastAsia" w:ascii="宋体" w:hAnsi="宋体" w:eastAsia="宋体" w:cs="宋体"/>
          <w:b/>
          <w:i w:val="0"/>
          <w:iCs w:val="0"/>
          <w:color w:val="auto"/>
          <w:spacing w:val="20"/>
          <w:sz w:val="32"/>
          <w:highlight w:val="none"/>
        </w:rPr>
        <w:t>(</w:t>
      </w:r>
      <w:r>
        <w:rPr>
          <w:rFonts w:hint="eastAsia" w:ascii="宋体" w:hAnsi="宋体" w:eastAsia="宋体" w:cs="宋体"/>
          <w:b/>
          <w:i w:val="0"/>
          <w:iCs w:val="0"/>
          <w:color w:val="auto"/>
          <w:spacing w:val="20"/>
          <w:sz w:val="32"/>
          <w:highlight w:val="none"/>
          <w:lang w:eastAsia="zh-CN"/>
        </w:rPr>
        <w:t>五</w:t>
      </w:r>
      <w:r>
        <w:rPr>
          <w:rFonts w:hint="eastAsia" w:ascii="宋体" w:hAnsi="宋体" w:eastAsia="宋体" w:cs="宋体"/>
          <w:b/>
          <w:i w:val="0"/>
          <w:iCs w:val="0"/>
          <w:color w:val="auto"/>
          <w:spacing w:val="20"/>
          <w:sz w:val="32"/>
          <w:highlight w:val="none"/>
        </w:rPr>
        <w:t>)</w:t>
      </w:r>
      <w:r>
        <w:rPr>
          <w:rFonts w:hint="eastAsia" w:ascii="宋体" w:hAnsi="宋体" w:eastAsia="宋体" w:cs="宋体"/>
          <w:b/>
          <w:i w:val="0"/>
          <w:iCs w:val="0"/>
          <w:color w:val="auto"/>
          <w:spacing w:val="20"/>
          <w:kern w:val="2"/>
          <w:sz w:val="32"/>
          <w:szCs w:val="24"/>
          <w:highlight w:val="none"/>
          <w:lang w:val="en-US" w:eastAsia="zh-CN" w:bidi="ar-SA"/>
        </w:rPr>
        <w:t>投标服务分项报价明细表</w:t>
      </w:r>
      <w:bookmarkEnd w:id="139"/>
    </w:p>
    <w:p>
      <w:pPr>
        <w:pStyle w:val="35"/>
        <w:spacing w:after="160" w:afterLines="50" w:line="360" w:lineRule="auto"/>
        <w:ind w:firstLine="483"/>
        <w:rPr>
          <w:rFonts w:hint="eastAsia" w:ascii="宋体" w:hAnsi="宋体" w:eastAsia="宋体" w:cs="宋体"/>
          <w:color w:val="auto"/>
          <w:sz w:val="24"/>
          <w:highlight w:val="none"/>
        </w:rPr>
      </w:pPr>
      <w:r>
        <w:rPr>
          <w:rFonts w:hint="eastAsia" w:ascii="宋体" w:hAnsi="宋体" w:eastAsia="宋体" w:cs="宋体"/>
          <w:color w:val="auto"/>
          <w:sz w:val="24"/>
          <w:highlight w:val="none"/>
        </w:rPr>
        <w:t>（此表参照下表或者由各</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自行编制填写，须包括详细的货物清单、价格、名称、规格等。）</w:t>
      </w:r>
    </w:p>
    <w:tbl>
      <w:tblPr>
        <w:tblStyle w:val="25"/>
        <w:tblW w:w="4997" w:type="pct"/>
        <w:tblInd w:w="0" w:type="dxa"/>
        <w:tblLayout w:type="autofit"/>
        <w:tblCellMar>
          <w:top w:w="0" w:type="dxa"/>
          <w:left w:w="0" w:type="dxa"/>
          <w:bottom w:w="0" w:type="dxa"/>
          <w:right w:w="0" w:type="dxa"/>
        </w:tblCellMar>
      </w:tblPr>
      <w:tblGrid>
        <w:gridCol w:w="510"/>
        <w:gridCol w:w="806"/>
        <w:gridCol w:w="2179"/>
        <w:gridCol w:w="2167"/>
        <w:gridCol w:w="1621"/>
        <w:gridCol w:w="1711"/>
      </w:tblGrid>
      <w:tr>
        <w:tblPrEx>
          <w:tblCellMar>
            <w:top w:w="0" w:type="dxa"/>
            <w:left w:w="0" w:type="dxa"/>
            <w:bottom w:w="0" w:type="dxa"/>
            <w:right w:w="0" w:type="dxa"/>
          </w:tblCellMar>
        </w:tblPrEx>
        <w:trPr>
          <w:trHeight w:val="671" w:hRule="atLeast"/>
        </w:trPr>
        <w:tc>
          <w:tcPr>
            <w:tcW w:w="24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序号</w:t>
            </w:r>
          </w:p>
        </w:tc>
        <w:tc>
          <w:tcPr>
            <w:tcW w:w="45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名称</w:t>
            </w:r>
          </w:p>
        </w:tc>
        <w:tc>
          <w:tcPr>
            <w:tcW w:w="121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分项服务</w:t>
            </w:r>
          </w:p>
        </w:tc>
        <w:tc>
          <w:tcPr>
            <w:tcW w:w="121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单位</w:t>
            </w:r>
          </w:p>
        </w:tc>
        <w:tc>
          <w:tcPr>
            <w:tcW w:w="90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单价（元）</w:t>
            </w:r>
          </w:p>
        </w:tc>
        <w:tc>
          <w:tcPr>
            <w:tcW w:w="95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合价（元）</w:t>
            </w:r>
          </w:p>
        </w:tc>
      </w:tr>
      <w:tr>
        <w:tblPrEx>
          <w:tblCellMar>
            <w:top w:w="0" w:type="dxa"/>
            <w:left w:w="0" w:type="dxa"/>
            <w:bottom w:w="0" w:type="dxa"/>
            <w:right w:w="0" w:type="dxa"/>
          </w:tblCellMar>
        </w:tblPrEx>
        <w:trPr>
          <w:trHeight w:val="908" w:hRule="atLeast"/>
        </w:trPr>
        <w:tc>
          <w:tcPr>
            <w:tcW w:w="24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1</w:t>
            </w:r>
          </w:p>
        </w:tc>
        <w:tc>
          <w:tcPr>
            <w:tcW w:w="45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auto"/>
                <w:kern w:val="0"/>
                <w:sz w:val="24"/>
                <w:highlight w:val="none"/>
                <w:lang w:bidi="ar"/>
              </w:rPr>
            </w:pPr>
          </w:p>
        </w:tc>
        <w:tc>
          <w:tcPr>
            <w:tcW w:w="121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auto"/>
                <w:kern w:val="0"/>
                <w:sz w:val="24"/>
                <w:highlight w:val="none"/>
                <w:lang w:bidi="ar"/>
              </w:rPr>
            </w:pPr>
          </w:p>
        </w:tc>
        <w:tc>
          <w:tcPr>
            <w:tcW w:w="121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auto"/>
                <w:kern w:val="0"/>
                <w:sz w:val="24"/>
                <w:highlight w:val="none"/>
                <w:lang w:bidi="ar"/>
              </w:rPr>
            </w:pPr>
          </w:p>
        </w:tc>
        <w:tc>
          <w:tcPr>
            <w:tcW w:w="90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auto"/>
                <w:kern w:val="0"/>
                <w:sz w:val="24"/>
                <w:highlight w:val="none"/>
                <w:lang w:bidi="ar"/>
              </w:rPr>
            </w:pPr>
          </w:p>
        </w:tc>
        <w:tc>
          <w:tcPr>
            <w:tcW w:w="95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auto"/>
                <w:kern w:val="0"/>
                <w:sz w:val="24"/>
                <w:highlight w:val="none"/>
                <w:lang w:bidi="ar"/>
              </w:rPr>
            </w:pPr>
          </w:p>
        </w:tc>
      </w:tr>
      <w:tr>
        <w:tblPrEx>
          <w:tblCellMar>
            <w:top w:w="0" w:type="dxa"/>
            <w:left w:w="0" w:type="dxa"/>
            <w:bottom w:w="0" w:type="dxa"/>
            <w:right w:w="0" w:type="dxa"/>
          </w:tblCellMar>
        </w:tblPrEx>
        <w:trPr>
          <w:trHeight w:val="908" w:hRule="atLeast"/>
        </w:trPr>
        <w:tc>
          <w:tcPr>
            <w:tcW w:w="24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2</w:t>
            </w:r>
          </w:p>
        </w:tc>
        <w:tc>
          <w:tcPr>
            <w:tcW w:w="45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auto"/>
                <w:kern w:val="0"/>
                <w:sz w:val="24"/>
                <w:highlight w:val="none"/>
                <w:lang w:bidi="ar"/>
              </w:rPr>
            </w:pPr>
          </w:p>
        </w:tc>
        <w:tc>
          <w:tcPr>
            <w:tcW w:w="121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auto"/>
                <w:kern w:val="0"/>
                <w:sz w:val="24"/>
                <w:highlight w:val="none"/>
                <w:lang w:bidi="ar"/>
              </w:rPr>
            </w:pPr>
          </w:p>
        </w:tc>
        <w:tc>
          <w:tcPr>
            <w:tcW w:w="121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auto"/>
                <w:kern w:val="0"/>
                <w:sz w:val="24"/>
                <w:highlight w:val="none"/>
                <w:lang w:bidi="ar"/>
              </w:rPr>
            </w:pPr>
          </w:p>
        </w:tc>
        <w:tc>
          <w:tcPr>
            <w:tcW w:w="90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auto"/>
                <w:kern w:val="0"/>
                <w:sz w:val="24"/>
                <w:highlight w:val="none"/>
                <w:lang w:bidi="ar"/>
              </w:rPr>
            </w:pPr>
          </w:p>
        </w:tc>
        <w:tc>
          <w:tcPr>
            <w:tcW w:w="95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auto"/>
                <w:kern w:val="0"/>
                <w:sz w:val="24"/>
                <w:highlight w:val="none"/>
                <w:lang w:bidi="ar"/>
              </w:rPr>
            </w:pPr>
          </w:p>
        </w:tc>
      </w:tr>
      <w:tr>
        <w:tblPrEx>
          <w:tblCellMar>
            <w:top w:w="0" w:type="dxa"/>
            <w:left w:w="0" w:type="dxa"/>
            <w:bottom w:w="0" w:type="dxa"/>
            <w:right w:w="0" w:type="dxa"/>
          </w:tblCellMar>
        </w:tblPrEx>
        <w:trPr>
          <w:trHeight w:val="908" w:hRule="atLeast"/>
        </w:trPr>
        <w:tc>
          <w:tcPr>
            <w:tcW w:w="24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w:t>
            </w:r>
          </w:p>
        </w:tc>
        <w:tc>
          <w:tcPr>
            <w:tcW w:w="45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auto"/>
                <w:kern w:val="0"/>
                <w:sz w:val="24"/>
                <w:highlight w:val="none"/>
                <w:lang w:bidi="ar"/>
              </w:rPr>
            </w:pPr>
          </w:p>
        </w:tc>
        <w:tc>
          <w:tcPr>
            <w:tcW w:w="121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auto"/>
                <w:kern w:val="0"/>
                <w:sz w:val="24"/>
                <w:highlight w:val="none"/>
                <w:lang w:bidi="ar"/>
              </w:rPr>
            </w:pPr>
          </w:p>
        </w:tc>
        <w:tc>
          <w:tcPr>
            <w:tcW w:w="121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auto"/>
                <w:kern w:val="0"/>
                <w:sz w:val="24"/>
                <w:highlight w:val="none"/>
                <w:lang w:bidi="ar"/>
              </w:rPr>
            </w:pPr>
          </w:p>
        </w:tc>
        <w:tc>
          <w:tcPr>
            <w:tcW w:w="90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auto"/>
                <w:kern w:val="0"/>
                <w:sz w:val="24"/>
                <w:highlight w:val="none"/>
                <w:lang w:bidi="ar"/>
              </w:rPr>
            </w:pPr>
          </w:p>
        </w:tc>
        <w:tc>
          <w:tcPr>
            <w:tcW w:w="95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auto"/>
                <w:kern w:val="0"/>
                <w:sz w:val="24"/>
                <w:highlight w:val="none"/>
                <w:lang w:bidi="ar"/>
              </w:rPr>
            </w:pPr>
          </w:p>
        </w:tc>
      </w:tr>
      <w:tr>
        <w:tblPrEx>
          <w:tblCellMar>
            <w:top w:w="0" w:type="dxa"/>
            <w:left w:w="0" w:type="dxa"/>
            <w:bottom w:w="0" w:type="dxa"/>
            <w:right w:w="0" w:type="dxa"/>
          </w:tblCellMar>
        </w:tblPrEx>
        <w:trPr>
          <w:trHeight w:val="608" w:hRule="atLeast"/>
        </w:trPr>
        <w:tc>
          <w:tcPr>
            <w:tcW w:w="4041" w:type="pct"/>
            <w:gridSpan w:val="5"/>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cs="宋体"/>
                <w:color w:val="auto"/>
                <w:sz w:val="24"/>
                <w:highlight w:val="none"/>
              </w:rPr>
            </w:pPr>
            <w:r>
              <w:rPr>
                <w:rFonts w:hint="eastAsia" w:ascii="宋体" w:hAnsi="宋体" w:cs="宋体"/>
                <w:color w:val="auto"/>
                <w:kern w:val="0"/>
                <w:sz w:val="24"/>
                <w:highlight w:val="none"/>
                <w:lang w:bidi="ar"/>
              </w:rPr>
              <w:t>合计（元）</w:t>
            </w:r>
          </w:p>
        </w:tc>
        <w:tc>
          <w:tcPr>
            <w:tcW w:w="95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cs="宋体"/>
                <w:color w:val="auto"/>
                <w:sz w:val="24"/>
                <w:highlight w:val="none"/>
              </w:rPr>
            </w:pPr>
          </w:p>
        </w:tc>
      </w:tr>
    </w:tbl>
    <w:p>
      <w:pPr>
        <w:spacing w:before="160" w:beforeLines="50"/>
        <w:ind w:firstLine="482" w:firstLineChars="200"/>
        <w:outlineLvl w:val="2"/>
        <w:rPr>
          <w:rFonts w:hint="eastAsia" w:ascii="宋体" w:hAnsi="宋体" w:cs="宋体"/>
          <w:color w:val="auto"/>
          <w:sz w:val="24"/>
          <w:highlight w:val="none"/>
        </w:rPr>
      </w:pPr>
      <w:r>
        <w:rPr>
          <w:rFonts w:hint="eastAsia" w:ascii="宋体" w:hAnsi="宋体" w:cs="宋体"/>
          <w:b/>
          <w:color w:val="auto"/>
          <w:sz w:val="24"/>
          <w:highlight w:val="none"/>
        </w:rPr>
        <w:t>注明</w:t>
      </w:r>
      <w:r>
        <w:rPr>
          <w:rFonts w:hint="eastAsia" w:ascii="宋体" w:hAnsi="宋体" w:cs="宋体"/>
          <w:color w:val="auto"/>
          <w:sz w:val="24"/>
          <w:highlight w:val="none"/>
        </w:rPr>
        <w:t>：</w:t>
      </w:r>
    </w:p>
    <w:p>
      <w:pPr>
        <w:ind w:firstLine="482" w:firstLineChars="200"/>
        <w:rPr>
          <w:rFonts w:hint="eastAsia" w:ascii="宋体" w:hAnsi="宋体" w:cs="宋体"/>
          <w:color w:val="auto"/>
          <w:sz w:val="24"/>
          <w:highlight w:val="none"/>
        </w:rPr>
      </w:pPr>
      <w:r>
        <w:rPr>
          <w:rFonts w:hint="eastAsia" w:ascii="宋体" w:hAnsi="宋体" w:cs="宋体"/>
          <w:color w:val="auto"/>
          <w:sz w:val="24"/>
          <w:highlight w:val="none"/>
        </w:rPr>
        <w:t>1、如果按单价计算的结果与总价不一致，以单价为准修正总价。</w:t>
      </w:r>
    </w:p>
    <w:p>
      <w:pPr>
        <w:pStyle w:val="15"/>
        <w:ind w:right="-15" w:firstLine="482" w:firstLineChars="200"/>
        <w:rPr>
          <w:rFonts w:hint="eastAsia" w:hAnsi="宋体" w:cs="宋体"/>
          <w:b/>
          <w:color w:val="auto"/>
          <w:sz w:val="24"/>
          <w:highlight w:val="none"/>
        </w:rPr>
      </w:pPr>
      <w:r>
        <w:rPr>
          <w:rFonts w:hint="eastAsia" w:hAnsi="宋体" w:cs="宋体"/>
          <w:b/>
          <w:color w:val="auto"/>
          <w:sz w:val="24"/>
          <w:highlight w:val="none"/>
        </w:rPr>
        <w:t>2、</w:t>
      </w:r>
      <w:r>
        <w:rPr>
          <w:rFonts w:hint="eastAsia" w:hAnsi="宋体" w:cs="宋体"/>
          <w:b/>
          <w:color w:val="auto"/>
          <w:sz w:val="24"/>
          <w:highlight w:val="none"/>
          <w:lang w:eastAsia="zh-CN"/>
        </w:rPr>
        <w:t>供应商</w:t>
      </w:r>
      <w:r>
        <w:rPr>
          <w:rFonts w:hint="eastAsia" w:hAnsi="宋体" w:cs="宋体"/>
          <w:b/>
          <w:color w:val="auto"/>
          <w:sz w:val="24"/>
          <w:highlight w:val="none"/>
        </w:rPr>
        <w:t>须参照第四章所列明的内容全部报价。如果不提供详细分项报价将视为没有实质性响应招标文件。</w:t>
      </w:r>
    </w:p>
    <w:p>
      <w:pPr>
        <w:pStyle w:val="16"/>
        <w:rPr>
          <w:rFonts w:hint="eastAsia" w:hAnsi="宋体" w:cs="宋体"/>
          <w:b/>
          <w:color w:val="auto"/>
          <w:sz w:val="24"/>
          <w:highlight w:val="none"/>
        </w:rPr>
      </w:pPr>
    </w:p>
    <w:p>
      <w:pPr>
        <w:spacing w:line="360" w:lineRule="auto"/>
        <w:jc w:val="right"/>
        <w:rPr>
          <w:rFonts w:hint="eastAsia" w:ascii="宋体" w:hAnsi="宋体" w:cs="宋体"/>
          <w:color w:val="auto"/>
          <w:sz w:val="24"/>
          <w:highlight w:val="none"/>
        </w:rPr>
      </w:pPr>
      <w:r>
        <w:rPr>
          <w:rFonts w:hint="eastAsia" w:ascii="宋体" w:hAnsi="宋体" w:cs="宋体"/>
          <w:color w:val="auto"/>
          <w:sz w:val="24"/>
          <w:highlight w:val="none"/>
        </w:rPr>
        <w:t xml:space="preserve">                                                                         </w:t>
      </w:r>
      <w:r>
        <w:rPr>
          <w:rFonts w:hint="eastAsia" w:ascii="宋体" w:hAnsi="宋体" w:cs="宋体"/>
          <w:color w:val="auto"/>
          <w:sz w:val="24"/>
          <w:highlight w:val="none"/>
          <w:lang w:eastAsia="zh-CN"/>
        </w:rPr>
        <w:t>供应商</w:t>
      </w:r>
      <w:r>
        <w:rPr>
          <w:rFonts w:hint="eastAsia" w:ascii="宋体" w:hAnsi="宋体" w:cs="宋体"/>
          <w:color w:val="auto"/>
          <w:sz w:val="24"/>
          <w:highlight w:val="none"/>
        </w:rPr>
        <w:t>：</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（盖单位章）</w:t>
      </w:r>
    </w:p>
    <w:p>
      <w:pPr>
        <w:spacing w:line="360" w:lineRule="auto"/>
        <w:jc w:val="right"/>
        <w:outlineLvl w:val="1"/>
        <w:rPr>
          <w:rFonts w:hint="eastAsia" w:ascii="宋体" w:hAnsi="宋体" w:cs="宋体"/>
          <w:color w:val="auto"/>
          <w:sz w:val="24"/>
          <w:highlight w:val="none"/>
        </w:rPr>
      </w:pPr>
      <w:r>
        <w:rPr>
          <w:rFonts w:hint="eastAsia" w:ascii="宋体" w:hAnsi="宋体" w:cs="宋体"/>
          <w:color w:val="auto"/>
          <w:sz w:val="24"/>
          <w:highlight w:val="none"/>
        </w:rPr>
        <w:t xml:space="preserve"> </w:t>
      </w:r>
      <w:bookmarkStart w:id="140" w:name="_Toc3032"/>
      <w:r>
        <w:rPr>
          <w:rFonts w:hint="eastAsia" w:ascii="宋体" w:hAnsi="宋体" w:cs="宋体"/>
          <w:color w:val="auto"/>
          <w:sz w:val="24"/>
          <w:highlight w:val="none"/>
        </w:rPr>
        <w:t>法定代表或委托代理人：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（签</w:t>
      </w:r>
      <w:r>
        <w:rPr>
          <w:rFonts w:hint="eastAsia" w:ascii="宋体" w:hAnsi="宋体" w:cs="宋体"/>
          <w:color w:val="auto"/>
          <w:sz w:val="24"/>
          <w:highlight w:val="none"/>
          <w:lang w:eastAsia="zh-CN"/>
        </w:rPr>
        <w:t>字或盖</w:t>
      </w:r>
      <w:r>
        <w:rPr>
          <w:rFonts w:hint="eastAsia" w:ascii="宋体" w:hAnsi="宋体" w:cs="宋体"/>
          <w:color w:val="auto"/>
          <w:sz w:val="24"/>
          <w:highlight w:val="none"/>
        </w:rPr>
        <w:t>章）</w:t>
      </w:r>
      <w:bookmarkEnd w:id="140"/>
    </w:p>
    <w:p>
      <w:pPr>
        <w:spacing w:line="360" w:lineRule="auto"/>
        <w:jc w:val="right"/>
        <w:rPr>
          <w:rFonts w:hint="default" w:eastAsia="宋体"/>
          <w:color w:val="auto"/>
          <w:highlight w:val="none"/>
          <w:lang w:val="en-US" w:eastAsia="zh-CN"/>
        </w:rPr>
        <w:sectPr>
          <w:pgSz w:w="11849" w:h="16781"/>
          <w:pgMar w:top="1080" w:right="1440" w:bottom="1080" w:left="1440" w:header="851" w:footer="850" w:gutter="0"/>
          <w:pgNumType w:fmt="decimal"/>
          <w:cols w:space="720" w:num="1"/>
          <w:titlePg/>
          <w:docGrid w:type="linesAndChars" w:linePitch="320" w:charSpace="269"/>
        </w:sectPr>
      </w:pPr>
      <w:r>
        <w:rPr>
          <w:rFonts w:hint="eastAsia" w:ascii="宋体" w:hAnsi="宋体" w:cs="宋体"/>
          <w:color w:val="auto"/>
          <w:sz w:val="24"/>
          <w:highlight w:val="none"/>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日                                                   </w:t>
      </w:r>
    </w:p>
    <w:p>
      <w:pPr>
        <w:tabs>
          <w:tab w:val="center" w:pos="7115"/>
          <w:tab w:val="right" w:pos="14230"/>
        </w:tabs>
        <w:spacing w:line="360" w:lineRule="auto"/>
        <w:jc w:val="center"/>
        <w:outlineLvl w:val="1"/>
        <w:rPr>
          <w:rFonts w:hint="eastAsia" w:ascii="宋体" w:hAnsi="宋体" w:eastAsia="宋体" w:cs="宋体"/>
          <w:b/>
          <w:i w:val="0"/>
          <w:iCs w:val="0"/>
          <w:color w:val="auto"/>
          <w:spacing w:val="20"/>
          <w:sz w:val="32"/>
          <w:highlight w:val="none"/>
          <w:lang w:val="en-US" w:eastAsia="zh-CN"/>
        </w:rPr>
      </w:pPr>
      <w:bookmarkStart w:id="141" w:name="_Toc24340"/>
      <w:r>
        <w:rPr>
          <w:rFonts w:hint="eastAsia" w:ascii="宋体" w:hAnsi="宋体" w:eastAsia="宋体" w:cs="宋体"/>
          <w:b/>
          <w:i w:val="0"/>
          <w:iCs w:val="0"/>
          <w:color w:val="auto"/>
          <w:spacing w:val="20"/>
          <w:sz w:val="32"/>
          <w:highlight w:val="none"/>
          <w:lang w:val="en-US" w:eastAsia="zh-CN"/>
        </w:rPr>
        <w:t>（六）资格审查资料</w:t>
      </w:r>
      <w:bookmarkEnd w:id="141"/>
    </w:p>
    <w:p>
      <w:pPr>
        <w:autoSpaceDE w:val="0"/>
        <w:autoSpaceDN w:val="0"/>
        <w:adjustRightInd w:val="0"/>
        <w:spacing w:line="360" w:lineRule="auto"/>
        <w:jc w:val="center"/>
        <w:outlineLvl w:val="2"/>
        <w:rPr>
          <w:rFonts w:hint="eastAsia" w:ascii="宋体" w:hAnsi="宋体" w:cs="宋体"/>
          <w:b/>
          <w:color w:val="auto"/>
          <w:sz w:val="24"/>
          <w:highlight w:val="none"/>
        </w:rPr>
      </w:pPr>
      <w:r>
        <w:rPr>
          <w:rFonts w:hint="eastAsia" w:ascii="宋体" w:hAnsi="宋体" w:cs="宋体"/>
          <w:b/>
          <w:color w:val="auto"/>
          <w:sz w:val="24"/>
          <w:highlight w:val="none"/>
        </w:rPr>
        <w:t>（１）</w:t>
      </w:r>
      <w:r>
        <w:rPr>
          <w:rFonts w:hint="eastAsia" w:ascii="宋体" w:hAnsi="宋体" w:cs="宋体"/>
          <w:b/>
          <w:color w:val="auto"/>
          <w:sz w:val="24"/>
          <w:highlight w:val="none"/>
          <w:lang w:eastAsia="zh-CN"/>
        </w:rPr>
        <w:t>供应商</w:t>
      </w:r>
      <w:r>
        <w:rPr>
          <w:rFonts w:hint="eastAsia" w:ascii="宋体" w:hAnsi="宋体" w:cs="宋体"/>
          <w:b/>
          <w:color w:val="auto"/>
          <w:sz w:val="24"/>
          <w:highlight w:val="none"/>
        </w:rPr>
        <w:t>基本情况表</w:t>
      </w:r>
    </w:p>
    <w:tbl>
      <w:tblPr>
        <w:tblStyle w:val="25"/>
        <w:tblW w:w="95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71"/>
        <w:gridCol w:w="1009"/>
        <w:gridCol w:w="283"/>
        <w:gridCol w:w="1078"/>
        <w:gridCol w:w="906"/>
        <w:gridCol w:w="537"/>
        <w:gridCol w:w="1402"/>
        <w:gridCol w:w="294"/>
        <w:gridCol w:w="798"/>
        <w:gridCol w:w="15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1671" w:type="dxa"/>
            <w:noWrap w:val="0"/>
            <w:vAlign w:val="center"/>
          </w:tcPr>
          <w:p>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lang w:eastAsia="zh-CN"/>
              </w:rPr>
              <w:t>供应商</w:t>
            </w:r>
            <w:r>
              <w:rPr>
                <w:rFonts w:hint="eastAsia" w:ascii="宋体" w:hAnsi="宋体" w:cs="宋体"/>
                <w:color w:val="auto"/>
                <w:sz w:val="24"/>
                <w:highlight w:val="none"/>
              </w:rPr>
              <w:t>名称</w:t>
            </w:r>
          </w:p>
        </w:tc>
        <w:tc>
          <w:tcPr>
            <w:tcW w:w="7900" w:type="dxa"/>
            <w:gridSpan w:val="9"/>
            <w:noWrap w:val="0"/>
            <w:vAlign w:val="center"/>
          </w:tcPr>
          <w:p>
            <w:pPr>
              <w:spacing w:line="360" w:lineRule="auto"/>
              <w:jc w:val="center"/>
              <w:rPr>
                <w:rFonts w:hint="eastAsia"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1671" w:type="dxa"/>
            <w:noWrap w:val="0"/>
            <w:vAlign w:val="center"/>
          </w:tcPr>
          <w:p>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注册地址</w:t>
            </w:r>
          </w:p>
        </w:tc>
        <w:tc>
          <w:tcPr>
            <w:tcW w:w="3813" w:type="dxa"/>
            <w:gridSpan w:val="5"/>
            <w:noWrap w:val="0"/>
            <w:vAlign w:val="center"/>
          </w:tcPr>
          <w:p>
            <w:pPr>
              <w:spacing w:line="360" w:lineRule="auto"/>
              <w:jc w:val="center"/>
              <w:rPr>
                <w:rFonts w:hint="eastAsia" w:ascii="宋体" w:hAnsi="宋体" w:cs="宋体"/>
                <w:color w:val="auto"/>
                <w:sz w:val="24"/>
                <w:highlight w:val="none"/>
              </w:rPr>
            </w:pPr>
          </w:p>
        </w:tc>
        <w:tc>
          <w:tcPr>
            <w:tcW w:w="1402" w:type="dxa"/>
            <w:noWrap w:val="0"/>
            <w:vAlign w:val="center"/>
          </w:tcPr>
          <w:p>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邮政编码</w:t>
            </w:r>
          </w:p>
        </w:tc>
        <w:tc>
          <w:tcPr>
            <w:tcW w:w="2685" w:type="dxa"/>
            <w:gridSpan w:val="3"/>
            <w:noWrap w:val="0"/>
            <w:vAlign w:val="center"/>
          </w:tcPr>
          <w:p>
            <w:pPr>
              <w:spacing w:line="360" w:lineRule="auto"/>
              <w:jc w:val="center"/>
              <w:rPr>
                <w:rFonts w:hint="eastAsia"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1671" w:type="dxa"/>
            <w:vMerge w:val="restart"/>
            <w:noWrap w:val="0"/>
            <w:vAlign w:val="center"/>
          </w:tcPr>
          <w:p>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联系方式</w:t>
            </w:r>
          </w:p>
        </w:tc>
        <w:tc>
          <w:tcPr>
            <w:tcW w:w="1292" w:type="dxa"/>
            <w:gridSpan w:val="2"/>
            <w:noWrap w:val="0"/>
            <w:vAlign w:val="center"/>
          </w:tcPr>
          <w:p>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联系人</w:t>
            </w:r>
          </w:p>
        </w:tc>
        <w:tc>
          <w:tcPr>
            <w:tcW w:w="2521" w:type="dxa"/>
            <w:gridSpan w:val="3"/>
            <w:noWrap w:val="0"/>
            <w:vAlign w:val="center"/>
          </w:tcPr>
          <w:p>
            <w:pPr>
              <w:spacing w:line="360" w:lineRule="auto"/>
              <w:jc w:val="center"/>
              <w:rPr>
                <w:rFonts w:hint="eastAsia" w:ascii="宋体" w:hAnsi="宋体" w:cs="宋体"/>
                <w:color w:val="auto"/>
                <w:sz w:val="24"/>
                <w:highlight w:val="none"/>
              </w:rPr>
            </w:pPr>
          </w:p>
        </w:tc>
        <w:tc>
          <w:tcPr>
            <w:tcW w:w="1402" w:type="dxa"/>
            <w:noWrap w:val="0"/>
            <w:vAlign w:val="center"/>
          </w:tcPr>
          <w:p>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电  话</w:t>
            </w:r>
          </w:p>
        </w:tc>
        <w:tc>
          <w:tcPr>
            <w:tcW w:w="2685" w:type="dxa"/>
            <w:gridSpan w:val="3"/>
            <w:noWrap w:val="0"/>
            <w:vAlign w:val="center"/>
          </w:tcPr>
          <w:p>
            <w:pPr>
              <w:spacing w:line="360" w:lineRule="auto"/>
              <w:jc w:val="center"/>
              <w:rPr>
                <w:rFonts w:hint="eastAsia"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1671" w:type="dxa"/>
            <w:vMerge w:val="continue"/>
            <w:noWrap w:val="0"/>
            <w:vAlign w:val="center"/>
          </w:tcPr>
          <w:p>
            <w:pPr>
              <w:spacing w:line="360" w:lineRule="auto"/>
              <w:jc w:val="center"/>
              <w:rPr>
                <w:rFonts w:hint="eastAsia" w:ascii="宋体" w:hAnsi="宋体" w:cs="宋体"/>
                <w:color w:val="auto"/>
                <w:sz w:val="24"/>
                <w:highlight w:val="none"/>
              </w:rPr>
            </w:pPr>
          </w:p>
        </w:tc>
        <w:tc>
          <w:tcPr>
            <w:tcW w:w="1292" w:type="dxa"/>
            <w:gridSpan w:val="2"/>
            <w:noWrap w:val="0"/>
            <w:vAlign w:val="center"/>
          </w:tcPr>
          <w:p>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传  真</w:t>
            </w:r>
          </w:p>
        </w:tc>
        <w:tc>
          <w:tcPr>
            <w:tcW w:w="2521" w:type="dxa"/>
            <w:gridSpan w:val="3"/>
            <w:noWrap w:val="0"/>
            <w:vAlign w:val="center"/>
          </w:tcPr>
          <w:p>
            <w:pPr>
              <w:spacing w:line="360" w:lineRule="auto"/>
              <w:jc w:val="center"/>
              <w:rPr>
                <w:rFonts w:hint="eastAsia" w:ascii="宋体" w:hAnsi="宋体" w:cs="宋体"/>
                <w:color w:val="auto"/>
                <w:sz w:val="24"/>
                <w:highlight w:val="none"/>
              </w:rPr>
            </w:pPr>
          </w:p>
        </w:tc>
        <w:tc>
          <w:tcPr>
            <w:tcW w:w="1402" w:type="dxa"/>
            <w:noWrap w:val="0"/>
            <w:vAlign w:val="center"/>
          </w:tcPr>
          <w:p>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网  址</w:t>
            </w:r>
          </w:p>
        </w:tc>
        <w:tc>
          <w:tcPr>
            <w:tcW w:w="2685" w:type="dxa"/>
            <w:gridSpan w:val="3"/>
            <w:noWrap w:val="0"/>
            <w:vAlign w:val="center"/>
          </w:tcPr>
          <w:p>
            <w:pPr>
              <w:spacing w:line="360" w:lineRule="auto"/>
              <w:jc w:val="center"/>
              <w:rPr>
                <w:rFonts w:hint="eastAsia"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71" w:type="dxa"/>
            <w:noWrap w:val="0"/>
            <w:vAlign w:val="center"/>
          </w:tcPr>
          <w:p>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组织结构</w:t>
            </w:r>
          </w:p>
        </w:tc>
        <w:tc>
          <w:tcPr>
            <w:tcW w:w="7900" w:type="dxa"/>
            <w:gridSpan w:val="9"/>
            <w:noWrap w:val="0"/>
            <w:vAlign w:val="center"/>
          </w:tcPr>
          <w:p>
            <w:pPr>
              <w:spacing w:line="360" w:lineRule="auto"/>
              <w:jc w:val="center"/>
              <w:rPr>
                <w:rFonts w:hint="eastAsia"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71" w:type="dxa"/>
            <w:noWrap w:val="0"/>
            <w:vAlign w:val="center"/>
          </w:tcPr>
          <w:p>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法定代表人</w:t>
            </w:r>
          </w:p>
        </w:tc>
        <w:tc>
          <w:tcPr>
            <w:tcW w:w="1009" w:type="dxa"/>
            <w:noWrap w:val="0"/>
            <w:vAlign w:val="center"/>
          </w:tcPr>
          <w:p>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姓名</w:t>
            </w:r>
          </w:p>
        </w:tc>
        <w:tc>
          <w:tcPr>
            <w:tcW w:w="1361" w:type="dxa"/>
            <w:gridSpan w:val="2"/>
            <w:noWrap w:val="0"/>
            <w:vAlign w:val="center"/>
          </w:tcPr>
          <w:p>
            <w:pPr>
              <w:spacing w:line="360" w:lineRule="auto"/>
              <w:jc w:val="center"/>
              <w:rPr>
                <w:rFonts w:hint="eastAsia" w:ascii="宋体" w:hAnsi="宋体" w:cs="宋体"/>
                <w:color w:val="auto"/>
                <w:sz w:val="24"/>
                <w:highlight w:val="none"/>
              </w:rPr>
            </w:pPr>
          </w:p>
        </w:tc>
        <w:tc>
          <w:tcPr>
            <w:tcW w:w="1443" w:type="dxa"/>
            <w:gridSpan w:val="2"/>
            <w:noWrap w:val="0"/>
            <w:vAlign w:val="center"/>
          </w:tcPr>
          <w:p>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技术职称</w:t>
            </w:r>
          </w:p>
        </w:tc>
        <w:tc>
          <w:tcPr>
            <w:tcW w:w="1696" w:type="dxa"/>
            <w:gridSpan w:val="2"/>
            <w:noWrap w:val="0"/>
            <w:vAlign w:val="center"/>
          </w:tcPr>
          <w:p>
            <w:pPr>
              <w:spacing w:line="360" w:lineRule="auto"/>
              <w:jc w:val="center"/>
              <w:rPr>
                <w:rFonts w:hint="eastAsia" w:ascii="宋体" w:hAnsi="宋体" w:cs="宋体"/>
                <w:color w:val="auto"/>
                <w:sz w:val="24"/>
                <w:highlight w:val="none"/>
              </w:rPr>
            </w:pPr>
          </w:p>
        </w:tc>
        <w:tc>
          <w:tcPr>
            <w:tcW w:w="798" w:type="dxa"/>
            <w:noWrap w:val="0"/>
            <w:vAlign w:val="center"/>
          </w:tcPr>
          <w:p>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电话</w:t>
            </w:r>
          </w:p>
        </w:tc>
        <w:tc>
          <w:tcPr>
            <w:tcW w:w="1593" w:type="dxa"/>
            <w:noWrap w:val="0"/>
            <w:vAlign w:val="center"/>
          </w:tcPr>
          <w:p>
            <w:pPr>
              <w:spacing w:line="360" w:lineRule="auto"/>
              <w:jc w:val="center"/>
              <w:rPr>
                <w:rFonts w:hint="eastAsia"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71" w:type="dxa"/>
            <w:noWrap w:val="0"/>
            <w:vAlign w:val="center"/>
          </w:tcPr>
          <w:p>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技术负责人</w:t>
            </w:r>
          </w:p>
        </w:tc>
        <w:tc>
          <w:tcPr>
            <w:tcW w:w="1009" w:type="dxa"/>
            <w:noWrap w:val="0"/>
            <w:vAlign w:val="center"/>
          </w:tcPr>
          <w:p>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姓名</w:t>
            </w:r>
          </w:p>
        </w:tc>
        <w:tc>
          <w:tcPr>
            <w:tcW w:w="1361" w:type="dxa"/>
            <w:gridSpan w:val="2"/>
            <w:noWrap w:val="0"/>
            <w:vAlign w:val="center"/>
          </w:tcPr>
          <w:p>
            <w:pPr>
              <w:spacing w:line="360" w:lineRule="auto"/>
              <w:jc w:val="center"/>
              <w:rPr>
                <w:rFonts w:hint="eastAsia" w:ascii="宋体" w:hAnsi="宋体" w:cs="宋体"/>
                <w:color w:val="auto"/>
                <w:sz w:val="24"/>
                <w:highlight w:val="none"/>
              </w:rPr>
            </w:pPr>
          </w:p>
        </w:tc>
        <w:tc>
          <w:tcPr>
            <w:tcW w:w="1443" w:type="dxa"/>
            <w:gridSpan w:val="2"/>
            <w:noWrap w:val="0"/>
            <w:vAlign w:val="center"/>
          </w:tcPr>
          <w:p>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技术职称</w:t>
            </w:r>
          </w:p>
        </w:tc>
        <w:tc>
          <w:tcPr>
            <w:tcW w:w="1696" w:type="dxa"/>
            <w:gridSpan w:val="2"/>
            <w:noWrap w:val="0"/>
            <w:vAlign w:val="center"/>
          </w:tcPr>
          <w:p>
            <w:pPr>
              <w:spacing w:line="360" w:lineRule="auto"/>
              <w:jc w:val="center"/>
              <w:rPr>
                <w:rFonts w:hint="eastAsia" w:ascii="宋体" w:hAnsi="宋体" w:cs="宋体"/>
                <w:color w:val="auto"/>
                <w:sz w:val="24"/>
                <w:highlight w:val="none"/>
              </w:rPr>
            </w:pPr>
          </w:p>
        </w:tc>
        <w:tc>
          <w:tcPr>
            <w:tcW w:w="798" w:type="dxa"/>
            <w:noWrap w:val="0"/>
            <w:vAlign w:val="center"/>
          </w:tcPr>
          <w:p>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电话</w:t>
            </w:r>
          </w:p>
        </w:tc>
        <w:tc>
          <w:tcPr>
            <w:tcW w:w="1593" w:type="dxa"/>
            <w:noWrap w:val="0"/>
            <w:vAlign w:val="center"/>
          </w:tcPr>
          <w:p>
            <w:pPr>
              <w:spacing w:line="360" w:lineRule="auto"/>
              <w:jc w:val="center"/>
              <w:rPr>
                <w:rFonts w:hint="eastAsia"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71" w:type="dxa"/>
            <w:noWrap w:val="0"/>
            <w:vAlign w:val="center"/>
          </w:tcPr>
          <w:p>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成立时间</w:t>
            </w:r>
          </w:p>
        </w:tc>
        <w:tc>
          <w:tcPr>
            <w:tcW w:w="2370" w:type="dxa"/>
            <w:gridSpan w:val="3"/>
            <w:noWrap w:val="0"/>
            <w:vAlign w:val="center"/>
          </w:tcPr>
          <w:p>
            <w:pPr>
              <w:spacing w:line="360" w:lineRule="auto"/>
              <w:jc w:val="center"/>
              <w:rPr>
                <w:rFonts w:hint="eastAsia" w:ascii="宋体" w:hAnsi="宋体" w:cs="宋体"/>
                <w:color w:val="auto"/>
                <w:sz w:val="24"/>
                <w:highlight w:val="none"/>
              </w:rPr>
            </w:pPr>
          </w:p>
        </w:tc>
        <w:tc>
          <w:tcPr>
            <w:tcW w:w="5530" w:type="dxa"/>
            <w:gridSpan w:val="6"/>
            <w:noWrap w:val="0"/>
            <w:vAlign w:val="center"/>
          </w:tcPr>
          <w:p>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员工总人数：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71" w:type="dxa"/>
            <w:noWrap w:val="0"/>
            <w:vAlign w:val="center"/>
          </w:tcPr>
          <w:p>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企业资质等级</w:t>
            </w:r>
          </w:p>
        </w:tc>
        <w:tc>
          <w:tcPr>
            <w:tcW w:w="2370" w:type="dxa"/>
            <w:gridSpan w:val="3"/>
            <w:noWrap w:val="0"/>
            <w:vAlign w:val="center"/>
          </w:tcPr>
          <w:p>
            <w:pPr>
              <w:spacing w:line="360" w:lineRule="auto"/>
              <w:jc w:val="center"/>
              <w:rPr>
                <w:rFonts w:hint="eastAsia" w:ascii="宋体" w:hAnsi="宋体" w:cs="宋体"/>
                <w:color w:val="auto"/>
                <w:sz w:val="24"/>
                <w:highlight w:val="none"/>
              </w:rPr>
            </w:pPr>
          </w:p>
        </w:tc>
        <w:tc>
          <w:tcPr>
            <w:tcW w:w="906" w:type="dxa"/>
            <w:vMerge w:val="restart"/>
            <w:noWrap w:val="0"/>
            <w:vAlign w:val="center"/>
          </w:tcPr>
          <w:p>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其中</w:t>
            </w:r>
          </w:p>
        </w:tc>
        <w:tc>
          <w:tcPr>
            <w:tcW w:w="2233" w:type="dxa"/>
            <w:gridSpan w:val="3"/>
            <w:noWrap w:val="0"/>
            <w:vAlign w:val="center"/>
          </w:tcPr>
          <w:p>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项目经理</w:t>
            </w:r>
          </w:p>
        </w:tc>
        <w:tc>
          <w:tcPr>
            <w:tcW w:w="2391" w:type="dxa"/>
            <w:gridSpan w:val="2"/>
            <w:noWrap w:val="0"/>
            <w:vAlign w:val="center"/>
          </w:tcPr>
          <w:p>
            <w:pPr>
              <w:spacing w:line="360" w:lineRule="auto"/>
              <w:jc w:val="center"/>
              <w:rPr>
                <w:rFonts w:hint="eastAsia"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71" w:type="dxa"/>
            <w:noWrap w:val="0"/>
            <w:vAlign w:val="center"/>
          </w:tcPr>
          <w:p>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营业执照号</w:t>
            </w:r>
          </w:p>
        </w:tc>
        <w:tc>
          <w:tcPr>
            <w:tcW w:w="2370" w:type="dxa"/>
            <w:gridSpan w:val="3"/>
            <w:noWrap w:val="0"/>
            <w:vAlign w:val="center"/>
          </w:tcPr>
          <w:p>
            <w:pPr>
              <w:spacing w:line="360" w:lineRule="auto"/>
              <w:jc w:val="center"/>
              <w:rPr>
                <w:rFonts w:hint="eastAsia" w:ascii="宋体" w:hAnsi="宋体" w:cs="宋体"/>
                <w:color w:val="auto"/>
                <w:sz w:val="24"/>
                <w:highlight w:val="none"/>
              </w:rPr>
            </w:pPr>
          </w:p>
        </w:tc>
        <w:tc>
          <w:tcPr>
            <w:tcW w:w="906" w:type="dxa"/>
            <w:vMerge w:val="continue"/>
            <w:noWrap w:val="0"/>
            <w:vAlign w:val="center"/>
          </w:tcPr>
          <w:p>
            <w:pPr>
              <w:spacing w:line="360" w:lineRule="auto"/>
              <w:jc w:val="center"/>
              <w:rPr>
                <w:rFonts w:hint="eastAsia" w:ascii="宋体" w:hAnsi="宋体" w:cs="宋体"/>
                <w:color w:val="auto"/>
                <w:sz w:val="24"/>
                <w:highlight w:val="none"/>
              </w:rPr>
            </w:pPr>
          </w:p>
        </w:tc>
        <w:tc>
          <w:tcPr>
            <w:tcW w:w="2233" w:type="dxa"/>
            <w:gridSpan w:val="3"/>
            <w:noWrap w:val="0"/>
            <w:vAlign w:val="center"/>
          </w:tcPr>
          <w:p>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高级职称人员</w:t>
            </w:r>
          </w:p>
        </w:tc>
        <w:tc>
          <w:tcPr>
            <w:tcW w:w="2391" w:type="dxa"/>
            <w:gridSpan w:val="2"/>
            <w:noWrap w:val="0"/>
            <w:vAlign w:val="center"/>
          </w:tcPr>
          <w:p>
            <w:pPr>
              <w:spacing w:line="360" w:lineRule="auto"/>
              <w:jc w:val="center"/>
              <w:rPr>
                <w:rFonts w:hint="eastAsia"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71" w:type="dxa"/>
            <w:noWrap w:val="0"/>
            <w:vAlign w:val="center"/>
          </w:tcPr>
          <w:p>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注册资金</w:t>
            </w:r>
          </w:p>
        </w:tc>
        <w:tc>
          <w:tcPr>
            <w:tcW w:w="2370" w:type="dxa"/>
            <w:gridSpan w:val="3"/>
            <w:noWrap w:val="0"/>
            <w:vAlign w:val="center"/>
          </w:tcPr>
          <w:p>
            <w:pPr>
              <w:spacing w:line="360" w:lineRule="auto"/>
              <w:jc w:val="center"/>
              <w:rPr>
                <w:rFonts w:hint="eastAsia" w:ascii="宋体" w:hAnsi="宋体" w:cs="宋体"/>
                <w:color w:val="auto"/>
                <w:sz w:val="24"/>
                <w:highlight w:val="none"/>
              </w:rPr>
            </w:pPr>
          </w:p>
        </w:tc>
        <w:tc>
          <w:tcPr>
            <w:tcW w:w="906" w:type="dxa"/>
            <w:vMerge w:val="continue"/>
            <w:noWrap w:val="0"/>
            <w:vAlign w:val="center"/>
          </w:tcPr>
          <w:p>
            <w:pPr>
              <w:spacing w:line="360" w:lineRule="auto"/>
              <w:jc w:val="center"/>
              <w:rPr>
                <w:rFonts w:hint="eastAsia" w:ascii="宋体" w:hAnsi="宋体" w:cs="宋体"/>
                <w:color w:val="auto"/>
                <w:sz w:val="24"/>
                <w:highlight w:val="none"/>
              </w:rPr>
            </w:pPr>
          </w:p>
        </w:tc>
        <w:tc>
          <w:tcPr>
            <w:tcW w:w="2233" w:type="dxa"/>
            <w:gridSpan w:val="3"/>
            <w:noWrap w:val="0"/>
            <w:vAlign w:val="center"/>
          </w:tcPr>
          <w:p>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中级职称人员</w:t>
            </w:r>
          </w:p>
        </w:tc>
        <w:tc>
          <w:tcPr>
            <w:tcW w:w="2391" w:type="dxa"/>
            <w:gridSpan w:val="2"/>
            <w:noWrap w:val="0"/>
            <w:vAlign w:val="center"/>
          </w:tcPr>
          <w:p>
            <w:pPr>
              <w:spacing w:line="360" w:lineRule="auto"/>
              <w:jc w:val="center"/>
              <w:rPr>
                <w:rFonts w:hint="eastAsia"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1671" w:type="dxa"/>
            <w:noWrap w:val="0"/>
            <w:vAlign w:val="center"/>
          </w:tcPr>
          <w:p>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开户银行</w:t>
            </w:r>
          </w:p>
        </w:tc>
        <w:tc>
          <w:tcPr>
            <w:tcW w:w="2370" w:type="dxa"/>
            <w:gridSpan w:val="3"/>
            <w:noWrap w:val="0"/>
            <w:vAlign w:val="center"/>
          </w:tcPr>
          <w:p>
            <w:pPr>
              <w:spacing w:line="360" w:lineRule="auto"/>
              <w:jc w:val="center"/>
              <w:rPr>
                <w:rFonts w:hint="eastAsia" w:ascii="宋体" w:hAnsi="宋体" w:cs="宋体"/>
                <w:color w:val="auto"/>
                <w:sz w:val="24"/>
                <w:highlight w:val="none"/>
              </w:rPr>
            </w:pPr>
          </w:p>
        </w:tc>
        <w:tc>
          <w:tcPr>
            <w:tcW w:w="906" w:type="dxa"/>
            <w:vMerge w:val="continue"/>
            <w:noWrap w:val="0"/>
            <w:vAlign w:val="center"/>
          </w:tcPr>
          <w:p>
            <w:pPr>
              <w:spacing w:line="360" w:lineRule="auto"/>
              <w:jc w:val="center"/>
              <w:rPr>
                <w:rFonts w:hint="eastAsia" w:ascii="宋体" w:hAnsi="宋体" w:cs="宋体"/>
                <w:color w:val="auto"/>
                <w:sz w:val="24"/>
                <w:highlight w:val="none"/>
              </w:rPr>
            </w:pPr>
          </w:p>
        </w:tc>
        <w:tc>
          <w:tcPr>
            <w:tcW w:w="2233" w:type="dxa"/>
            <w:gridSpan w:val="3"/>
            <w:noWrap w:val="0"/>
            <w:vAlign w:val="center"/>
          </w:tcPr>
          <w:p>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初级职称人员</w:t>
            </w:r>
          </w:p>
        </w:tc>
        <w:tc>
          <w:tcPr>
            <w:tcW w:w="2391" w:type="dxa"/>
            <w:gridSpan w:val="2"/>
            <w:noWrap w:val="0"/>
            <w:vAlign w:val="center"/>
          </w:tcPr>
          <w:p>
            <w:pPr>
              <w:spacing w:line="360" w:lineRule="auto"/>
              <w:jc w:val="center"/>
              <w:rPr>
                <w:rFonts w:hint="eastAsia"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1671" w:type="dxa"/>
            <w:noWrap w:val="0"/>
            <w:vAlign w:val="center"/>
          </w:tcPr>
          <w:p>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账号</w:t>
            </w:r>
          </w:p>
        </w:tc>
        <w:tc>
          <w:tcPr>
            <w:tcW w:w="2370" w:type="dxa"/>
            <w:gridSpan w:val="3"/>
            <w:noWrap w:val="0"/>
            <w:vAlign w:val="center"/>
          </w:tcPr>
          <w:p>
            <w:pPr>
              <w:spacing w:line="360" w:lineRule="auto"/>
              <w:jc w:val="center"/>
              <w:rPr>
                <w:rFonts w:hint="eastAsia" w:ascii="宋体" w:hAnsi="宋体" w:cs="宋体"/>
                <w:color w:val="auto"/>
                <w:sz w:val="24"/>
                <w:highlight w:val="none"/>
              </w:rPr>
            </w:pPr>
          </w:p>
        </w:tc>
        <w:tc>
          <w:tcPr>
            <w:tcW w:w="906" w:type="dxa"/>
            <w:vMerge w:val="continue"/>
            <w:noWrap w:val="0"/>
            <w:vAlign w:val="center"/>
          </w:tcPr>
          <w:p>
            <w:pPr>
              <w:spacing w:line="360" w:lineRule="auto"/>
              <w:jc w:val="center"/>
              <w:rPr>
                <w:rFonts w:hint="eastAsia" w:ascii="宋体" w:hAnsi="宋体" w:cs="宋体"/>
                <w:color w:val="auto"/>
                <w:sz w:val="24"/>
                <w:highlight w:val="none"/>
              </w:rPr>
            </w:pPr>
          </w:p>
        </w:tc>
        <w:tc>
          <w:tcPr>
            <w:tcW w:w="2233" w:type="dxa"/>
            <w:gridSpan w:val="3"/>
            <w:noWrap w:val="0"/>
            <w:vAlign w:val="center"/>
          </w:tcPr>
          <w:p>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技  工</w:t>
            </w:r>
          </w:p>
        </w:tc>
        <w:tc>
          <w:tcPr>
            <w:tcW w:w="2391" w:type="dxa"/>
            <w:gridSpan w:val="2"/>
            <w:noWrap w:val="0"/>
            <w:vAlign w:val="center"/>
          </w:tcPr>
          <w:p>
            <w:pPr>
              <w:spacing w:line="360" w:lineRule="auto"/>
              <w:jc w:val="center"/>
              <w:rPr>
                <w:rFonts w:hint="eastAsia"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71" w:type="dxa"/>
            <w:noWrap w:val="0"/>
            <w:vAlign w:val="center"/>
          </w:tcPr>
          <w:p>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经营范围</w:t>
            </w:r>
          </w:p>
        </w:tc>
        <w:tc>
          <w:tcPr>
            <w:tcW w:w="7900" w:type="dxa"/>
            <w:gridSpan w:val="9"/>
            <w:noWrap w:val="0"/>
            <w:vAlign w:val="center"/>
          </w:tcPr>
          <w:p>
            <w:pPr>
              <w:spacing w:line="360" w:lineRule="auto"/>
              <w:jc w:val="center"/>
              <w:rPr>
                <w:rFonts w:hint="eastAsia"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71" w:type="dxa"/>
            <w:noWrap w:val="0"/>
            <w:vAlign w:val="center"/>
          </w:tcPr>
          <w:p>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备注</w:t>
            </w:r>
          </w:p>
        </w:tc>
        <w:tc>
          <w:tcPr>
            <w:tcW w:w="7900" w:type="dxa"/>
            <w:gridSpan w:val="9"/>
            <w:noWrap w:val="0"/>
            <w:vAlign w:val="center"/>
          </w:tcPr>
          <w:p>
            <w:pPr>
              <w:spacing w:line="360" w:lineRule="auto"/>
              <w:jc w:val="center"/>
              <w:rPr>
                <w:rFonts w:hint="eastAsia" w:ascii="宋体" w:hAnsi="宋体" w:cs="宋体"/>
                <w:color w:val="auto"/>
                <w:sz w:val="24"/>
                <w:highlight w:val="none"/>
              </w:rPr>
            </w:pPr>
          </w:p>
        </w:tc>
      </w:tr>
    </w:tbl>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备注：本表后应附企业法人营业执照</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资质证书</w:t>
      </w:r>
      <w:r>
        <w:rPr>
          <w:rFonts w:hint="eastAsia" w:ascii="宋体" w:hAnsi="宋体" w:cs="宋体"/>
          <w:color w:val="auto"/>
          <w:sz w:val="24"/>
          <w:highlight w:val="none"/>
        </w:rPr>
        <w:t>等</w:t>
      </w:r>
      <w:r>
        <w:rPr>
          <w:rFonts w:hint="eastAsia" w:ascii="宋体" w:hAnsi="宋体" w:cs="宋体"/>
          <w:color w:val="auto"/>
          <w:sz w:val="24"/>
          <w:highlight w:val="none"/>
          <w:lang w:val="en-US" w:eastAsia="zh-CN"/>
        </w:rPr>
        <w:t>证明</w:t>
      </w:r>
      <w:r>
        <w:rPr>
          <w:rFonts w:hint="eastAsia" w:ascii="宋体" w:hAnsi="宋体" w:cs="宋体"/>
          <w:color w:val="auto"/>
          <w:sz w:val="24"/>
          <w:highlight w:val="none"/>
        </w:rPr>
        <w:t>材料</w:t>
      </w:r>
      <w:r>
        <w:rPr>
          <w:rFonts w:hint="eastAsia" w:ascii="宋体" w:hAnsi="宋体" w:eastAsia="宋体" w:cs="宋体"/>
          <w:sz w:val="24"/>
          <w:szCs w:val="24"/>
          <w:highlight w:val="none"/>
          <w:lang w:val="en-US" w:eastAsia="zh-CN"/>
        </w:rPr>
        <w:t>并加盖公章</w:t>
      </w:r>
      <w:r>
        <w:rPr>
          <w:rFonts w:hint="eastAsia" w:ascii="宋体" w:hAnsi="宋体" w:cs="宋体"/>
          <w:color w:val="auto"/>
          <w:sz w:val="24"/>
          <w:highlight w:val="none"/>
        </w:rPr>
        <w:t>。</w:t>
      </w:r>
    </w:p>
    <w:p>
      <w:pPr>
        <w:spacing w:line="360" w:lineRule="auto"/>
        <w:rPr>
          <w:rFonts w:hint="eastAsia" w:ascii="宋体" w:hAnsi="宋体" w:cs="宋体"/>
          <w:color w:val="auto"/>
          <w:sz w:val="24"/>
          <w:highlight w:val="none"/>
        </w:rPr>
      </w:pPr>
    </w:p>
    <w:p>
      <w:pPr>
        <w:pStyle w:val="2"/>
        <w:rPr>
          <w:rFonts w:hint="eastAsia" w:ascii="宋体" w:hAnsi="宋体" w:cs="宋体"/>
          <w:color w:val="auto"/>
          <w:sz w:val="24"/>
          <w:highlight w:val="none"/>
        </w:rPr>
      </w:pPr>
    </w:p>
    <w:p>
      <w:pPr>
        <w:pStyle w:val="2"/>
        <w:rPr>
          <w:rFonts w:hint="eastAsia" w:ascii="宋体" w:hAnsi="宋体" w:cs="宋体"/>
          <w:color w:val="auto"/>
          <w:sz w:val="24"/>
          <w:highlight w:val="none"/>
        </w:rPr>
      </w:pPr>
    </w:p>
    <w:p>
      <w:pPr>
        <w:pStyle w:val="2"/>
        <w:rPr>
          <w:rFonts w:hint="eastAsia" w:ascii="宋体" w:hAnsi="宋体" w:cs="宋体"/>
          <w:color w:val="auto"/>
          <w:sz w:val="24"/>
          <w:highlight w:val="none"/>
        </w:rPr>
      </w:pPr>
    </w:p>
    <w:p>
      <w:pPr>
        <w:pStyle w:val="2"/>
        <w:rPr>
          <w:rFonts w:hint="eastAsia" w:ascii="宋体" w:hAnsi="宋体" w:cs="宋体"/>
          <w:color w:val="auto"/>
          <w:sz w:val="24"/>
          <w:highlight w:val="none"/>
        </w:rPr>
      </w:pPr>
    </w:p>
    <w:p>
      <w:pPr>
        <w:pStyle w:val="2"/>
        <w:rPr>
          <w:rFonts w:hint="eastAsia" w:ascii="宋体" w:hAnsi="宋体" w:cs="宋体"/>
          <w:color w:val="auto"/>
          <w:sz w:val="24"/>
          <w:highlight w:val="none"/>
        </w:rPr>
      </w:pPr>
    </w:p>
    <w:p>
      <w:pPr>
        <w:pStyle w:val="2"/>
        <w:rPr>
          <w:rFonts w:hint="eastAsia" w:ascii="宋体" w:hAnsi="宋体" w:cs="宋体"/>
          <w:color w:val="auto"/>
          <w:sz w:val="24"/>
          <w:highlight w:val="none"/>
        </w:rPr>
      </w:pPr>
    </w:p>
    <w:p>
      <w:pPr>
        <w:pStyle w:val="2"/>
        <w:rPr>
          <w:rFonts w:hint="eastAsia" w:ascii="宋体" w:hAnsi="宋体" w:cs="宋体"/>
          <w:color w:val="auto"/>
          <w:sz w:val="24"/>
          <w:highlight w:val="none"/>
        </w:rPr>
      </w:pPr>
    </w:p>
    <w:p>
      <w:pPr>
        <w:pStyle w:val="2"/>
        <w:rPr>
          <w:rFonts w:hint="eastAsia" w:ascii="宋体" w:hAnsi="宋体" w:cs="宋体"/>
          <w:color w:val="auto"/>
          <w:sz w:val="24"/>
          <w:highlight w:val="none"/>
        </w:rPr>
      </w:pPr>
    </w:p>
    <w:p>
      <w:pPr>
        <w:pStyle w:val="2"/>
        <w:rPr>
          <w:rFonts w:hint="eastAsia" w:ascii="宋体" w:hAnsi="宋体" w:cs="宋体"/>
          <w:color w:val="auto"/>
          <w:sz w:val="24"/>
          <w:highlight w:val="none"/>
        </w:rPr>
      </w:pPr>
    </w:p>
    <w:p>
      <w:pPr>
        <w:pStyle w:val="2"/>
        <w:rPr>
          <w:rFonts w:hint="eastAsia" w:ascii="宋体" w:hAnsi="宋体" w:cs="宋体"/>
          <w:color w:val="auto"/>
          <w:sz w:val="24"/>
          <w:highlight w:val="none"/>
        </w:rPr>
      </w:pPr>
    </w:p>
    <w:p>
      <w:pPr>
        <w:pStyle w:val="2"/>
        <w:rPr>
          <w:rFonts w:hint="eastAsia" w:ascii="宋体" w:hAnsi="宋体" w:cs="宋体"/>
          <w:color w:val="auto"/>
          <w:sz w:val="24"/>
          <w:highlight w:val="none"/>
        </w:rPr>
      </w:pPr>
    </w:p>
    <w:p>
      <w:pPr>
        <w:pStyle w:val="2"/>
        <w:rPr>
          <w:rFonts w:hint="eastAsia" w:ascii="宋体" w:hAnsi="宋体" w:cs="宋体"/>
          <w:color w:val="auto"/>
          <w:sz w:val="24"/>
          <w:highlight w:val="none"/>
        </w:rPr>
      </w:pPr>
    </w:p>
    <w:p>
      <w:pPr>
        <w:pStyle w:val="2"/>
        <w:rPr>
          <w:rFonts w:hint="eastAsia" w:ascii="宋体" w:hAnsi="宋体" w:cs="宋体"/>
          <w:color w:val="auto"/>
          <w:sz w:val="24"/>
          <w:highlight w:val="none"/>
        </w:rPr>
      </w:pPr>
    </w:p>
    <w:p>
      <w:pPr>
        <w:spacing w:before="160" w:beforeLines="50" w:after="160" w:afterLines="50" w:line="360" w:lineRule="auto"/>
        <w:jc w:val="center"/>
        <w:rPr>
          <w:rFonts w:hint="eastAsia" w:ascii="宋体" w:hAnsi="宋体" w:cs="宋体"/>
          <w:b/>
          <w:color w:val="auto"/>
          <w:sz w:val="24"/>
          <w:highlight w:val="none"/>
        </w:rPr>
      </w:pPr>
      <w:r>
        <w:rPr>
          <w:rFonts w:hint="eastAsia" w:ascii="宋体" w:hAnsi="宋体" w:cs="宋体"/>
          <w:b/>
          <w:color w:val="auto"/>
          <w:sz w:val="24"/>
          <w:highlight w:val="none"/>
        </w:rPr>
        <w:t>（2）项目实施人员一览表</w:t>
      </w:r>
    </w:p>
    <w:p>
      <w:pPr>
        <w:snapToGrid w:val="0"/>
        <w:spacing w:before="156" w:beforeLines="50" w:after="50"/>
        <w:ind w:left="142"/>
        <w:jc w:val="center"/>
        <w:rPr>
          <w:rFonts w:hint="eastAsia" w:ascii="仿宋" w:hAnsi="仿宋" w:eastAsia="仿宋" w:cs="仿宋"/>
          <w:b/>
          <w:bCs/>
          <w:kern w:val="0"/>
          <w:sz w:val="24"/>
          <w:szCs w:val="18"/>
          <w:highlight w:val="none"/>
        </w:rPr>
      </w:pPr>
    </w:p>
    <w:tbl>
      <w:tblPr>
        <w:tblStyle w:val="25"/>
        <w:tblW w:w="99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4"/>
        <w:gridCol w:w="880"/>
        <w:gridCol w:w="4049"/>
        <w:gridCol w:w="1701"/>
        <w:gridCol w:w="1418"/>
        <w:gridCol w:w="9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4" w:type="dxa"/>
            <w:noWrap w:val="0"/>
            <w:vAlign w:val="center"/>
          </w:tcPr>
          <w:p>
            <w:pPr>
              <w:spacing w:line="360" w:lineRule="auto"/>
              <w:contextualSpacing/>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姓名</w:t>
            </w:r>
          </w:p>
        </w:tc>
        <w:tc>
          <w:tcPr>
            <w:tcW w:w="880" w:type="dxa"/>
            <w:noWrap w:val="0"/>
            <w:vAlign w:val="center"/>
          </w:tcPr>
          <w:p>
            <w:pPr>
              <w:spacing w:line="360" w:lineRule="auto"/>
              <w:contextualSpacing/>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职务</w:t>
            </w:r>
          </w:p>
        </w:tc>
        <w:tc>
          <w:tcPr>
            <w:tcW w:w="4049" w:type="dxa"/>
            <w:noWrap w:val="0"/>
            <w:vAlign w:val="center"/>
          </w:tcPr>
          <w:p>
            <w:pPr>
              <w:spacing w:line="360" w:lineRule="auto"/>
              <w:contextualSpacing/>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专业技术资格（职称）或者职业资格或者执业资格证或者其他证书</w:t>
            </w:r>
          </w:p>
        </w:tc>
        <w:tc>
          <w:tcPr>
            <w:tcW w:w="1701" w:type="dxa"/>
            <w:noWrap w:val="0"/>
            <w:vAlign w:val="center"/>
          </w:tcPr>
          <w:p>
            <w:pPr>
              <w:spacing w:line="360" w:lineRule="auto"/>
              <w:contextualSpacing/>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证书编号</w:t>
            </w:r>
          </w:p>
        </w:tc>
        <w:tc>
          <w:tcPr>
            <w:tcW w:w="1418" w:type="dxa"/>
            <w:noWrap w:val="0"/>
            <w:vAlign w:val="center"/>
          </w:tcPr>
          <w:p>
            <w:pPr>
              <w:spacing w:line="360" w:lineRule="auto"/>
              <w:contextualSpacing/>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参加本单位</w:t>
            </w:r>
          </w:p>
          <w:p>
            <w:pPr>
              <w:spacing w:line="360" w:lineRule="auto"/>
              <w:contextualSpacing/>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工作时间</w:t>
            </w:r>
          </w:p>
        </w:tc>
        <w:tc>
          <w:tcPr>
            <w:tcW w:w="923" w:type="dxa"/>
            <w:noWrap w:val="0"/>
            <w:vAlign w:val="center"/>
          </w:tcPr>
          <w:p>
            <w:pPr>
              <w:spacing w:line="360" w:lineRule="auto"/>
              <w:contextualSpacing/>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4" w:type="dxa"/>
            <w:noWrap w:val="0"/>
            <w:vAlign w:val="center"/>
          </w:tcPr>
          <w:p>
            <w:pPr>
              <w:spacing w:line="360" w:lineRule="auto"/>
              <w:contextualSpacing/>
              <w:jc w:val="center"/>
              <w:rPr>
                <w:rFonts w:hint="eastAsia" w:ascii="宋体" w:hAnsi="宋体" w:eastAsia="宋体" w:cs="宋体"/>
                <w:sz w:val="24"/>
                <w:szCs w:val="24"/>
                <w:highlight w:val="none"/>
              </w:rPr>
            </w:pPr>
          </w:p>
        </w:tc>
        <w:tc>
          <w:tcPr>
            <w:tcW w:w="880" w:type="dxa"/>
            <w:noWrap w:val="0"/>
            <w:vAlign w:val="center"/>
          </w:tcPr>
          <w:p>
            <w:pPr>
              <w:spacing w:line="360" w:lineRule="auto"/>
              <w:contextualSpacing/>
              <w:jc w:val="center"/>
              <w:rPr>
                <w:rFonts w:hint="eastAsia" w:ascii="宋体" w:hAnsi="宋体" w:eastAsia="宋体" w:cs="宋体"/>
                <w:sz w:val="24"/>
                <w:szCs w:val="24"/>
                <w:highlight w:val="none"/>
              </w:rPr>
            </w:pPr>
          </w:p>
        </w:tc>
        <w:tc>
          <w:tcPr>
            <w:tcW w:w="4049" w:type="dxa"/>
            <w:noWrap w:val="0"/>
            <w:vAlign w:val="center"/>
          </w:tcPr>
          <w:p>
            <w:pPr>
              <w:spacing w:line="360" w:lineRule="auto"/>
              <w:contextualSpacing/>
              <w:jc w:val="center"/>
              <w:rPr>
                <w:rFonts w:hint="eastAsia" w:ascii="宋体" w:hAnsi="宋体" w:eastAsia="宋体" w:cs="宋体"/>
                <w:sz w:val="24"/>
                <w:szCs w:val="24"/>
                <w:highlight w:val="none"/>
              </w:rPr>
            </w:pPr>
          </w:p>
        </w:tc>
        <w:tc>
          <w:tcPr>
            <w:tcW w:w="1701" w:type="dxa"/>
            <w:noWrap w:val="0"/>
            <w:vAlign w:val="center"/>
          </w:tcPr>
          <w:p>
            <w:pPr>
              <w:spacing w:line="360" w:lineRule="auto"/>
              <w:contextualSpacing/>
              <w:jc w:val="center"/>
              <w:rPr>
                <w:rFonts w:hint="eastAsia" w:ascii="宋体" w:hAnsi="宋体" w:eastAsia="宋体" w:cs="宋体"/>
                <w:sz w:val="24"/>
                <w:szCs w:val="24"/>
                <w:highlight w:val="none"/>
              </w:rPr>
            </w:pPr>
          </w:p>
        </w:tc>
        <w:tc>
          <w:tcPr>
            <w:tcW w:w="1418" w:type="dxa"/>
            <w:noWrap w:val="0"/>
            <w:vAlign w:val="center"/>
          </w:tcPr>
          <w:p>
            <w:pPr>
              <w:spacing w:line="360" w:lineRule="auto"/>
              <w:contextualSpacing/>
              <w:jc w:val="center"/>
              <w:rPr>
                <w:rFonts w:hint="eastAsia" w:ascii="宋体" w:hAnsi="宋体" w:eastAsia="宋体" w:cs="宋体"/>
                <w:sz w:val="24"/>
                <w:szCs w:val="24"/>
                <w:highlight w:val="none"/>
              </w:rPr>
            </w:pPr>
          </w:p>
        </w:tc>
        <w:tc>
          <w:tcPr>
            <w:tcW w:w="923" w:type="dxa"/>
            <w:noWrap w:val="0"/>
            <w:vAlign w:val="center"/>
          </w:tcPr>
          <w:p>
            <w:pPr>
              <w:spacing w:line="360" w:lineRule="auto"/>
              <w:contextualSpacing/>
              <w:jc w:val="center"/>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4" w:type="dxa"/>
            <w:noWrap w:val="0"/>
            <w:vAlign w:val="center"/>
          </w:tcPr>
          <w:p>
            <w:pPr>
              <w:spacing w:line="360" w:lineRule="auto"/>
              <w:contextualSpacing/>
              <w:jc w:val="center"/>
              <w:rPr>
                <w:rFonts w:hint="eastAsia" w:ascii="宋体" w:hAnsi="宋体" w:eastAsia="宋体" w:cs="宋体"/>
                <w:sz w:val="24"/>
                <w:szCs w:val="24"/>
                <w:highlight w:val="none"/>
              </w:rPr>
            </w:pPr>
          </w:p>
        </w:tc>
        <w:tc>
          <w:tcPr>
            <w:tcW w:w="880" w:type="dxa"/>
            <w:noWrap w:val="0"/>
            <w:vAlign w:val="center"/>
          </w:tcPr>
          <w:p>
            <w:pPr>
              <w:spacing w:line="360" w:lineRule="auto"/>
              <w:contextualSpacing/>
              <w:jc w:val="center"/>
              <w:rPr>
                <w:rFonts w:hint="eastAsia" w:ascii="宋体" w:hAnsi="宋体" w:eastAsia="宋体" w:cs="宋体"/>
                <w:sz w:val="24"/>
                <w:szCs w:val="24"/>
                <w:highlight w:val="none"/>
              </w:rPr>
            </w:pPr>
          </w:p>
        </w:tc>
        <w:tc>
          <w:tcPr>
            <w:tcW w:w="4049" w:type="dxa"/>
            <w:noWrap w:val="0"/>
            <w:vAlign w:val="center"/>
          </w:tcPr>
          <w:p>
            <w:pPr>
              <w:spacing w:line="360" w:lineRule="auto"/>
              <w:contextualSpacing/>
              <w:jc w:val="center"/>
              <w:rPr>
                <w:rFonts w:hint="eastAsia" w:ascii="宋体" w:hAnsi="宋体" w:eastAsia="宋体" w:cs="宋体"/>
                <w:sz w:val="24"/>
                <w:szCs w:val="24"/>
                <w:highlight w:val="none"/>
              </w:rPr>
            </w:pPr>
          </w:p>
        </w:tc>
        <w:tc>
          <w:tcPr>
            <w:tcW w:w="1701" w:type="dxa"/>
            <w:noWrap w:val="0"/>
            <w:vAlign w:val="center"/>
          </w:tcPr>
          <w:p>
            <w:pPr>
              <w:spacing w:line="360" w:lineRule="auto"/>
              <w:contextualSpacing/>
              <w:jc w:val="center"/>
              <w:rPr>
                <w:rFonts w:hint="eastAsia" w:ascii="宋体" w:hAnsi="宋体" w:eastAsia="宋体" w:cs="宋体"/>
                <w:sz w:val="24"/>
                <w:szCs w:val="24"/>
                <w:highlight w:val="none"/>
              </w:rPr>
            </w:pPr>
          </w:p>
        </w:tc>
        <w:tc>
          <w:tcPr>
            <w:tcW w:w="1418" w:type="dxa"/>
            <w:noWrap w:val="0"/>
            <w:vAlign w:val="center"/>
          </w:tcPr>
          <w:p>
            <w:pPr>
              <w:spacing w:line="360" w:lineRule="auto"/>
              <w:contextualSpacing/>
              <w:jc w:val="center"/>
              <w:rPr>
                <w:rFonts w:hint="eastAsia" w:ascii="宋体" w:hAnsi="宋体" w:eastAsia="宋体" w:cs="宋体"/>
                <w:sz w:val="24"/>
                <w:szCs w:val="24"/>
                <w:highlight w:val="none"/>
              </w:rPr>
            </w:pPr>
          </w:p>
        </w:tc>
        <w:tc>
          <w:tcPr>
            <w:tcW w:w="923" w:type="dxa"/>
            <w:noWrap w:val="0"/>
            <w:vAlign w:val="center"/>
          </w:tcPr>
          <w:p>
            <w:pPr>
              <w:spacing w:line="360" w:lineRule="auto"/>
              <w:contextualSpacing/>
              <w:jc w:val="center"/>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4" w:type="dxa"/>
            <w:noWrap w:val="0"/>
            <w:vAlign w:val="center"/>
          </w:tcPr>
          <w:p>
            <w:pPr>
              <w:spacing w:line="360" w:lineRule="auto"/>
              <w:contextualSpacing/>
              <w:jc w:val="center"/>
              <w:rPr>
                <w:rFonts w:hint="eastAsia" w:ascii="宋体" w:hAnsi="宋体" w:eastAsia="宋体" w:cs="宋体"/>
                <w:sz w:val="24"/>
                <w:szCs w:val="24"/>
                <w:highlight w:val="none"/>
              </w:rPr>
            </w:pPr>
          </w:p>
        </w:tc>
        <w:tc>
          <w:tcPr>
            <w:tcW w:w="880" w:type="dxa"/>
            <w:noWrap w:val="0"/>
            <w:vAlign w:val="center"/>
          </w:tcPr>
          <w:p>
            <w:pPr>
              <w:spacing w:line="360" w:lineRule="auto"/>
              <w:contextualSpacing/>
              <w:jc w:val="center"/>
              <w:rPr>
                <w:rFonts w:hint="eastAsia" w:ascii="宋体" w:hAnsi="宋体" w:eastAsia="宋体" w:cs="宋体"/>
                <w:sz w:val="24"/>
                <w:szCs w:val="24"/>
                <w:highlight w:val="none"/>
              </w:rPr>
            </w:pPr>
          </w:p>
        </w:tc>
        <w:tc>
          <w:tcPr>
            <w:tcW w:w="4049" w:type="dxa"/>
            <w:noWrap w:val="0"/>
            <w:vAlign w:val="center"/>
          </w:tcPr>
          <w:p>
            <w:pPr>
              <w:spacing w:line="360" w:lineRule="auto"/>
              <w:contextualSpacing/>
              <w:jc w:val="center"/>
              <w:rPr>
                <w:rFonts w:hint="eastAsia" w:ascii="宋体" w:hAnsi="宋体" w:eastAsia="宋体" w:cs="宋体"/>
                <w:sz w:val="24"/>
                <w:szCs w:val="24"/>
                <w:highlight w:val="none"/>
              </w:rPr>
            </w:pPr>
          </w:p>
        </w:tc>
        <w:tc>
          <w:tcPr>
            <w:tcW w:w="1701" w:type="dxa"/>
            <w:noWrap w:val="0"/>
            <w:vAlign w:val="center"/>
          </w:tcPr>
          <w:p>
            <w:pPr>
              <w:spacing w:line="360" w:lineRule="auto"/>
              <w:contextualSpacing/>
              <w:jc w:val="center"/>
              <w:rPr>
                <w:rFonts w:hint="eastAsia" w:ascii="宋体" w:hAnsi="宋体" w:eastAsia="宋体" w:cs="宋体"/>
                <w:sz w:val="24"/>
                <w:szCs w:val="24"/>
                <w:highlight w:val="none"/>
              </w:rPr>
            </w:pPr>
          </w:p>
        </w:tc>
        <w:tc>
          <w:tcPr>
            <w:tcW w:w="1418" w:type="dxa"/>
            <w:noWrap w:val="0"/>
            <w:vAlign w:val="center"/>
          </w:tcPr>
          <w:p>
            <w:pPr>
              <w:spacing w:line="360" w:lineRule="auto"/>
              <w:contextualSpacing/>
              <w:jc w:val="center"/>
              <w:rPr>
                <w:rFonts w:hint="eastAsia" w:ascii="宋体" w:hAnsi="宋体" w:eastAsia="宋体" w:cs="宋体"/>
                <w:sz w:val="24"/>
                <w:szCs w:val="24"/>
                <w:highlight w:val="none"/>
              </w:rPr>
            </w:pPr>
          </w:p>
        </w:tc>
        <w:tc>
          <w:tcPr>
            <w:tcW w:w="923" w:type="dxa"/>
            <w:noWrap w:val="0"/>
            <w:vAlign w:val="center"/>
          </w:tcPr>
          <w:p>
            <w:pPr>
              <w:spacing w:line="360" w:lineRule="auto"/>
              <w:contextualSpacing/>
              <w:jc w:val="center"/>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4" w:type="dxa"/>
            <w:noWrap w:val="0"/>
            <w:vAlign w:val="center"/>
          </w:tcPr>
          <w:p>
            <w:pPr>
              <w:spacing w:line="360" w:lineRule="auto"/>
              <w:contextualSpacing/>
              <w:jc w:val="center"/>
              <w:rPr>
                <w:rFonts w:hint="eastAsia" w:ascii="宋体" w:hAnsi="宋体" w:eastAsia="宋体" w:cs="宋体"/>
                <w:sz w:val="24"/>
                <w:szCs w:val="24"/>
                <w:highlight w:val="none"/>
              </w:rPr>
            </w:pPr>
          </w:p>
        </w:tc>
        <w:tc>
          <w:tcPr>
            <w:tcW w:w="880" w:type="dxa"/>
            <w:noWrap w:val="0"/>
            <w:vAlign w:val="center"/>
          </w:tcPr>
          <w:p>
            <w:pPr>
              <w:spacing w:line="360" w:lineRule="auto"/>
              <w:contextualSpacing/>
              <w:jc w:val="center"/>
              <w:rPr>
                <w:rFonts w:hint="eastAsia" w:ascii="宋体" w:hAnsi="宋体" w:eastAsia="宋体" w:cs="宋体"/>
                <w:sz w:val="24"/>
                <w:szCs w:val="24"/>
                <w:highlight w:val="none"/>
              </w:rPr>
            </w:pPr>
          </w:p>
        </w:tc>
        <w:tc>
          <w:tcPr>
            <w:tcW w:w="4049" w:type="dxa"/>
            <w:noWrap w:val="0"/>
            <w:vAlign w:val="center"/>
          </w:tcPr>
          <w:p>
            <w:pPr>
              <w:spacing w:line="360" w:lineRule="auto"/>
              <w:contextualSpacing/>
              <w:jc w:val="center"/>
              <w:rPr>
                <w:rFonts w:hint="eastAsia" w:ascii="宋体" w:hAnsi="宋体" w:eastAsia="宋体" w:cs="宋体"/>
                <w:sz w:val="24"/>
                <w:szCs w:val="24"/>
                <w:highlight w:val="none"/>
              </w:rPr>
            </w:pPr>
          </w:p>
        </w:tc>
        <w:tc>
          <w:tcPr>
            <w:tcW w:w="1701" w:type="dxa"/>
            <w:noWrap w:val="0"/>
            <w:vAlign w:val="center"/>
          </w:tcPr>
          <w:p>
            <w:pPr>
              <w:spacing w:line="360" w:lineRule="auto"/>
              <w:contextualSpacing/>
              <w:jc w:val="center"/>
              <w:rPr>
                <w:rFonts w:hint="eastAsia" w:ascii="宋体" w:hAnsi="宋体" w:eastAsia="宋体" w:cs="宋体"/>
                <w:sz w:val="24"/>
                <w:szCs w:val="24"/>
                <w:highlight w:val="none"/>
              </w:rPr>
            </w:pPr>
          </w:p>
        </w:tc>
        <w:tc>
          <w:tcPr>
            <w:tcW w:w="1418" w:type="dxa"/>
            <w:noWrap w:val="0"/>
            <w:vAlign w:val="center"/>
          </w:tcPr>
          <w:p>
            <w:pPr>
              <w:spacing w:line="360" w:lineRule="auto"/>
              <w:contextualSpacing/>
              <w:jc w:val="center"/>
              <w:rPr>
                <w:rFonts w:hint="eastAsia" w:ascii="宋体" w:hAnsi="宋体" w:eastAsia="宋体" w:cs="宋体"/>
                <w:sz w:val="24"/>
                <w:szCs w:val="24"/>
                <w:highlight w:val="none"/>
              </w:rPr>
            </w:pPr>
          </w:p>
        </w:tc>
        <w:tc>
          <w:tcPr>
            <w:tcW w:w="923" w:type="dxa"/>
            <w:noWrap w:val="0"/>
            <w:vAlign w:val="center"/>
          </w:tcPr>
          <w:p>
            <w:pPr>
              <w:spacing w:line="360" w:lineRule="auto"/>
              <w:contextualSpacing/>
              <w:jc w:val="center"/>
              <w:rPr>
                <w:rFonts w:hint="eastAsia" w:ascii="宋体" w:hAnsi="宋体" w:eastAsia="宋体" w:cs="宋体"/>
                <w:sz w:val="24"/>
                <w:szCs w:val="24"/>
                <w:highlight w:val="none"/>
              </w:rPr>
            </w:pPr>
          </w:p>
        </w:tc>
      </w:tr>
    </w:tbl>
    <w:p>
      <w:pPr>
        <w:spacing w:line="360" w:lineRule="auto"/>
        <w:contextualSpacing/>
        <w:jc w:val="left"/>
        <w:rPr>
          <w:rFonts w:hint="eastAsia" w:ascii="宋体" w:hAnsi="宋体" w:eastAsia="宋体" w:cs="宋体"/>
          <w:kern w:val="0"/>
          <w:sz w:val="24"/>
          <w:szCs w:val="24"/>
          <w:highlight w:val="none"/>
        </w:rPr>
      </w:pPr>
      <w:r>
        <w:rPr>
          <w:rFonts w:hint="eastAsia" w:ascii="宋体" w:hAnsi="宋体" w:eastAsia="宋体" w:cs="宋体"/>
          <w:sz w:val="24"/>
          <w:szCs w:val="24"/>
          <w:highlight w:val="none"/>
        </w:rPr>
        <w:t>注：1、项目实施人员应按项目需求配备，每名专家应具备完成该项服务所需的理论和实践水平。</w:t>
      </w:r>
    </w:p>
    <w:p>
      <w:pPr>
        <w:spacing w:line="360" w:lineRule="auto"/>
        <w:contextualSpacing/>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2.供应商应当附本表所列</w:t>
      </w:r>
      <w:r>
        <w:rPr>
          <w:rFonts w:hint="eastAsia" w:ascii="宋体" w:hAnsi="宋体" w:eastAsia="宋体" w:cs="宋体"/>
          <w:sz w:val="24"/>
          <w:szCs w:val="24"/>
          <w:highlight w:val="none"/>
          <w:lang w:val="en-US" w:eastAsia="zh-CN"/>
        </w:rPr>
        <w:t>人员提供其相关</w:t>
      </w:r>
      <w:r>
        <w:rPr>
          <w:rFonts w:hint="eastAsia" w:ascii="宋体" w:hAnsi="宋体" w:eastAsia="宋体" w:cs="宋体"/>
          <w:sz w:val="24"/>
          <w:szCs w:val="24"/>
          <w:highlight w:val="none"/>
        </w:rPr>
        <w:t>证书</w:t>
      </w:r>
      <w:r>
        <w:rPr>
          <w:rFonts w:hint="eastAsia" w:ascii="宋体" w:hAnsi="宋体" w:eastAsia="宋体" w:cs="宋体"/>
          <w:sz w:val="24"/>
          <w:szCs w:val="24"/>
          <w:highlight w:val="none"/>
          <w:lang w:val="en-US" w:eastAsia="zh-CN"/>
        </w:rPr>
        <w:t>等证明材料并加盖公章</w:t>
      </w:r>
      <w:r>
        <w:rPr>
          <w:rFonts w:hint="eastAsia" w:ascii="宋体" w:hAnsi="宋体" w:eastAsia="宋体" w:cs="宋体"/>
          <w:sz w:val="24"/>
          <w:szCs w:val="24"/>
          <w:highlight w:val="none"/>
        </w:rPr>
        <w:t>。</w:t>
      </w:r>
    </w:p>
    <w:p>
      <w:pPr>
        <w:spacing w:line="360" w:lineRule="auto"/>
        <w:contextualSpacing/>
        <w:rPr>
          <w:rFonts w:hint="eastAsia" w:ascii="宋体" w:hAnsi="宋体" w:eastAsia="宋体" w:cs="宋体"/>
          <w:sz w:val="24"/>
          <w:szCs w:val="24"/>
          <w:highlight w:val="none"/>
        </w:rPr>
      </w:pPr>
    </w:p>
    <w:p>
      <w:pPr>
        <w:spacing w:line="360" w:lineRule="auto"/>
        <w:contextualSpacing/>
        <w:jc w:val="right"/>
        <w:rPr>
          <w:rFonts w:hint="eastAsia" w:ascii="宋体" w:hAnsi="宋体" w:eastAsia="宋体" w:cs="宋体"/>
          <w:spacing w:val="20"/>
          <w:sz w:val="24"/>
          <w:szCs w:val="24"/>
          <w:highlight w:val="none"/>
          <w:u w:val="single"/>
        </w:rPr>
      </w:pPr>
      <w:r>
        <w:rPr>
          <w:rFonts w:hint="eastAsia" w:ascii="宋体" w:hAnsi="宋体" w:eastAsia="宋体" w:cs="宋体"/>
          <w:sz w:val="24"/>
          <w:szCs w:val="24"/>
          <w:highlight w:val="none"/>
        </w:rPr>
        <w:t>法定代表人或者委托代理人（</w:t>
      </w:r>
      <w:r>
        <w:rPr>
          <w:rFonts w:hint="eastAsia" w:ascii="宋体" w:hAnsi="宋体" w:eastAsia="宋体" w:cs="宋体"/>
          <w:spacing w:val="20"/>
          <w:sz w:val="24"/>
          <w:szCs w:val="24"/>
          <w:highlight w:val="none"/>
        </w:rPr>
        <w:t>签字或盖章</w:t>
      </w:r>
      <w:r>
        <w:rPr>
          <w:rFonts w:hint="eastAsia" w:ascii="宋体" w:hAnsi="宋体" w:eastAsia="宋体" w:cs="宋体"/>
          <w:sz w:val="24"/>
          <w:szCs w:val="24"/>
          <w:highlight w:val="none"/>
        </w:rPr>
        <w:t>）</w:t>
      </w:r>
      <w:r>
        <w:rPr>
          <w:rFonts w:hint="eastAsia" w:ascii="宋体" w:hAnsi="宋体" w:eastAsia="宋体" w:cs="宋体"/>
          <w:spacing w:val="20"/>
          <w:sz w:val="24"/>
          <w:szCs w:val="24"/>
          <w:highlight w:val="none"/>
        </w:rPr>
        <w:t>：</w:t>
      </w:r>
      <w:r>
        <w:rPr>
          <w:rFonts w:hint="eastAsia" w:ascii="宋体" w:hAnsi="宋体" w:eastAsia="宋体" w:cs="宋体"/>
          <w:spacing w:val="20"/>
          <w:sz w:val="24"/>
          <w:szCs w:val="24"/>
          <w:highlight w:val="none"/>
          <w:u w:val="single"/>
        </w:rPr>
        <w:t xml:space="preserve">             </w:t>
      </w:r>
    </w:p>
    <w:p>
      <w:pPr>
        <w:spacing w:line="360" w:lineRule="auto"/>
        <w:contextualSpacing/>
        <w:jc w:val="center"/>
        <w:rPr>
          <w:rFonts w:hint="eastAsia" w:ascii="宋体" w:hAnsi="宋体" w:eastAsia="宋体" w:cs="宋体"/>
          <w:spacing w:val="20"/>
          <w:sz w:val="24"/>
          <w:szCs w:val="24"/>
          <w:highlight w:val="none"/>
        </w:rPr>
      </w:pPr>
      <w:r>
        <w:rPr>
          <w:rFonts w:hint="eastAsia" w:ascii="宋体" w:hAnsi="宋体" w:eastAsia="宋体" w:cs="宋体"/>
          <w:spacing w:val="20"/>
          <w:sz w:val="24"/>
          <w:szCs w:val="24"/>
          <w:highlight w:val="none"/>
          <w:lang w:val="en-US" w:eastAsia="zh-CN"/>
        </w:rPr>
        <w:t xml:space="preserve">              </w:t>
      </w:r>
      <w:r>
        <w:rPr>
          <w:rFonts w:hint="eastAsia" w:ascii="宋体" w:hAnsi="宋体" w:eastAsia="宋体" w:cs="宋体"/>
          <w:sz w:val="24"/>
          <w:szCs w:val="24"/>
          <w:highlight w:val="none"/>
          <w:lang w:val="en-US" w:eastAsia="zh-CN"/>
        </w:rPr>
        <w:t>供应商</w:t>
      </w:r>
      <w:r>
        <w:rPr>
          <w:rFonts w:hint="eastAsia" w:ascii="宋体" w:hAnsi="宋体" w:eastAsia="宋体" w:cs="宋体"/>
          <w:sz w:val="24"/>
          <w:szCs w:val="24"/>
          <w:highlight w:val="none"/>
        </w:rPr>
        <w:t>名称（公章）</w:t>
      </w:r>
      <w:r>
        <w:rPr>
          <w:rFonts w:hint="eastAsia" w:ascii="宋体" w:hAnsi="宋体" w:eastAsia="宋体" w:cs="宋体"/>
          <w:spacing w:val="20"/>
          <w:sz w:val="24"/>
          <w:szCs w:val="24"/>
          <w:highlight w:val="none"/>
        </w:rPr>
        <w:t>：</w:t>
      </w:r>
      <w:r>
        <w:rPr>
          <w:rFonts w:hint="eastAsia" w:ascii="宋体" w:hAnsi="宋体" w:eastAsia="宋体" w:cs="宋体"/>
          <w:spacing w:val="20"/>
          <w:sz w:val="24"/>
          <w:szCs w:val="24"/>
          <w:highlight w:val="none"/>
          <w:u w:val="single"/>
        </w:rPr>
        <w:t xml:space="preserve">            </w:t>
      </w:r>
      <w:r>
        <w:rPr>
          <w:rFonts w:hint="eastAsia" w:ascii="宋体" w:hAnsi="宋体" w:eastAsia="宋体" w:cs="宋体"/>
          <w:spacing w:val="20"/>
          <w:sz w:val="24"/>
          <w:szCs w:val="24"/>
          <w:highlight w:val="none"/>
        </w:rPr>
        <w:t xml:space="preserve">             </w:t>
      </w:r>
    </w:p>
    <w:p>
      <w:pPr>
        <w:wordWrap w:val="0"/>
        <w:spacing w:line="360" w:lineRule="auto"/>
        <w:ind w:left="724" w:hanging="840" w:hangingChars="300"/>
        <w:jc w:val="right"/>
        <w:rPr>
          <w:rFonts w:hint="default" w:ascii="宋体" w:hAnsi="宋体" w:eastAsia="仿宋" w:cs="宋体"/>
          <w:color w:val="auto"/>
          <w:sz w:val="24"/>
          <w:highlight w:val="none"/>
          <w:lang w:val="en-US" w:eastAsia="zh-CN"/>
        </w:rPr>
      </w:pPr>
      <w:r>
        <w:rPr>
          <w:rFonts w:hint="eastAsia" w:ascii="宋体" w:hAnsi="宋体" w:eastAsia="宋体" w:cs="宋体"/>
          <w:spacing w:val="20"/>
          <w:sz w:val="24"/>
          <w:szCs w:val="24"/>
          <w:highlight w:val="none"/>
        </w:rPr>
        <w:t>日 期：</w:t>
      </w:r>
      <w:r>
        <w:rPr>
          <w:rFonts w:hint="eastAsia" w:ascii="宋体" w:hAnsi="宋体" w:eastAsia="宋体" w:cs="宋体"/>
          <w:sz w:val="24"/>
          <w:szCs w:val="24"/>
          <w:highlight w:val="none"/>
        </w:rPr>
        <w:t xml:space="preserve">    年   月   日</w:t>
      </w:r>
      <w:r>
        <w:rPr>
          <w:rFonts w:hint="eastAsia" w:ascii="仿宋" w:hAnsi="仿宋" w:eastAsia="仿宋" w:cs="仿宋"/>
          <w:spacing w:val="20"/>
          <w:sz w:val="24"/>
          <w:highlight w:val="none"/>
          <w:lang w:val="en-US" w:eastAsia="zh-CN"/>
        </w:rPr>
        <w:t xml:space="preserve">       </w:t>
      </w:r>
    </w:p>
    <w:p>
      <w:pPr>
        <w:autoSpaceDE w:val="0"/>
        <w:autoSpaceDN w:val="0"/>
        <w:adjustRightInd w:val="0"/>
        <w:snapToGrid w:val="0"/>
        <w:spacing w:line="360" w:lineRule="auto"/>
        <w:outlineLvl w:val="9"/>
        <w:rPr>
          <w:rFonts w:hint="eastAsia" w:ascii="宋体" w:hAnsi="宋体" w:eastAsia="宋体" w:cs="宋体"/>
          <w:b/>
          <w:color w:val="auto"/>
          <w:kern w:val="2"/>
          <w:sz w:val="24"/>
          <w:szCs w:val="24"/>
          <w:highlight w:val="none"/>
          <w:lang w:val="en-US" w:eastAsia="zh-CN" w:bidi="ar-SA"/>
        </w:rPr>
      </w:pPr>
    </w:p>
    <w:p>
      <w:pPr>
        <w:autoSpaceDE w:val="0"/>
        <w:autoSpaceDN w:val="0"/>
        <w:adjustRightInd w:val="0"/>
        <w:snapToGrid w:val="0"/>
        <w:spacing w:line="360" w:lineRule="auto"/>
        <w:outlineLvl w:val="9"/>
        <w:rPr>
          <w:rFonts w:hint="eastAsia" w:ascii="宋体" w:hAnsi="宋体" w:eastAsia="宋体" w:cs="宋体"/>
          <w:b/>
          <w:color w:val="auto"/>
          <w:kern w:val="2"/>
          <w:sz w:val="24"/>
          <w:szCs w:val="24"/>
          <w:highlight w:val="none"/>
          <w:lang w:val="en-US" w:eastAsia="zh-CN" w:bidi="ar-SA"/>
        </w:rPr>
      </w:pPr>
    </w:p>
    <w:p>
      <w:pPr>
        <w:autoSpaceDE w:val="0"/>
        <w:autoSpaceDN w:val="0"/>
        <w:adjustRightInd w:val="0"/>
        <w:snapToGrid w:val="0"/>
        <w:spacing w:line="360" w:lineRule="auto"/>
        <w:outlineLvl w:val="9"/>
        <w:rPr>
          <w:rFonts w:hint="eastAsia" w:ascii="宋体" w:hAnsi="宋体" w:eastAsia="宋体" w:cs="宋体"/>
          <w:b/>
          <w:color w:val="auto"/>
          <w:kern w:val="2"/>
          <w:sz w:val="24"/>
          <w:szCs w:val="24"/>
          <w:highlight w:val="none"/>
          <w:lang w:val="en-US" w:eastAsia="zh-CN" w:bidi="ar-SA"/>
        </w:rPr>
      </w:pPr>
    </w:p>
    <w:p>
      <w:pPr>
        <w:autoSpaceDE w:val="0"/>
        <w:autoSpaceDN w:val="0"/>
        <w:adjustRightInd w:val="0"/>
        <w:snapToGrid w:val="0"/>
        <w:spacing w:line="360" w:lineRule="auto"/>
        <w:outlineLvl w:val="9"/>
        <w:rPr>
          <w:rFonts w:hint="eastAsia" w:ascii="宋体" w:hAnsi="宋体" w:eastAsia="宋体" w:cs="宋体"/>
          <w:b/>
          <w:color w:val="auto"/>
          <w:kern w:val="2"/>
          <w:sz w:val="24"/>
          <w:szCs w:val="24"/>
          <w:highlight w:val="none"/>
          <w:lang w:val="en-US" w:eastAsia="zh-CN" w:bidi="ar-SA"/>
        </w:rPr>
      </w:pPr>
    </w:p>
    <w:p>
      <w:pPr>
        <w:autoSpaceDE w:val="0"/>
        <w:autoSpaceDN w:val="0"/>
        <w:adjustRightInd w:val="0"/>
        <w:snapToGrid w:val="0"/>
        <w:spacing w:line="360" w:lineRule="auto"/>
        <w:outlineLvl w:val="9"/>
        <w:rPr>
          <w:rFonts w:hint="eastAsia" w:ascii="宋体" w:hAnsi="宋体" w:eastAsia="宋体" w:cs="宋体"/>
          <w:b/>
          <w:color w:val="auto"/>
          <w:kern w:val="2"/>
          <w:sz w:val="24"/>
          <w:szCs w:val="24"/>
          <w:highlight w:val="none"/>
          <w:lang w:val="en-US" w:eastAsia="zh-CN" w:bidi="ar-SA"/>
        </w:rPr>
      </w:pPr>
    </w:p>
    <w:p>
      <w:pPr>
        <w:autoSpaceDE w:val="0"/>
        <w:autoSpaceDN w:val="0"/>
        <w:adjustRightInd w:val="0"/>
        <w:snapToGrid w:val="0"/>
        <w:spacing w:line="360" w:lineRule="auto"/>
        <w:outlineLvl w:val="9"/>
        <w:rPr>
          <w:rFonts w:hint="eastAsia" w:ascii="宋体" w:hAnsi="宋体" w:eastAsia="宋体" w:cs="宋体"/>
          <w:b/>
          <w:color w:val="auto"/>
          <w:kern w:val="2"/>
          <w:sz w:val="24"/>
          <w:szCs w:val="24"/>
          <w:highlight w:val="none"/>
          <w:lang w:val="en-US" w:eastAsia="zh-CN" w:bidi="ar-SA"/>
        </w:rPr>
      </w:pPr>
    </w:p>
    <w:p>
      <w:pPr>
        <w:autoSpaceDE w:val="0"/>
        <w:autoSpaceDN w:val="0"/>
        <w:adjustRightInd w:val="0"/>
        <w:snapToGrid w:val="0"/>
        <w:spacing w:line="360" w:lineRule="auto"/>
        <w:outlineLvl w:val="9"/>
        <w:rPr>
          <w:rFonts w:hint="eastAsia" w:ascii="宋体" w:hAnsi="宋体" w:eastAsia="宋体" w:cs="宋体"/>
          <w:b/>
          <w:color w:val="auto"/>
          <w:kern w:val="2"/>
          <w:sz w:val="24"/>
          <w:szCs w:val="24"/>
          <w:highlight w:val="none"/>
          <w:lang w:val="en-US" w:eastAsia="zh-CN" w:bidi="ar-SA"/>
        </w:rPr>
      </w:pPr>
    </w:p>
    <w:p>
      <w:pPr>
        <w:autoSpaceDE w:val="0"/>
        <w:autoSpaceDN w:val="0"/>
        <w:adjustRightInd w:val="0"/>
        <w:snapToGrid w:val="0"/>
        <w:spacing w:line="360" w:lineRule="auto"/>
        <w:outlineLvl w:val="9"/>
        <w:rPr>
          <w:rFonts w:hint="eastAsia" w:ascii="宋体" w:hAnsi="宋体" w:eastAsia="宋体" w:cs="宋体"/>
          <w:b/>
          <w:color w:val="auto"/>
          <w:kern w:val="2"/>
          <w:sz w:val="24"/>
          <w:szCs w:val="24"/>
          <w:highlight w:val="none"/>
          <w:lang w:val="en-US" w:eastAsia="zh-CN" w:bidi="ar-SA"/>
        </w:rPr>
      </w:pPr>
    </w:p>
    <w:p>
      <w:pPr>
        <w:autoSpaceDE w:val="0"/>
        <w:autoSpaceDN w:val="0"/>
        <w:adjustRightInd w:val="0"/>
        <w:snapToGrid w:val="0"/>
        <w:spacing w:line="360" w:lineRule="auto"/>
        <w:outlineLvl w:val="9"/>
        <w:rPr>
          <w:rFonts w:hint="eastAsia" w:ascii="宋体" w:hAnsi="宋体" w:eastAsia="宋体" w:cs="宋体"/>
          <w:b/>
          <w:color w:val="auto"/>
          <w:kern w:val="2"/>
          <w:sz w:val="24"/>
          <w:szCs w:val="24"/>
          <w:highlight w:val="none"/>
          <w:lang w:val="en-US" w:eastAsia="zh-CN" w:bidi="ar-SA"/>
        </w:rPr>
      </w:pPr>
    </w:p>
    <w:p>
      <w:pPr>
        <w:autoSpaceDE w:val="0"/>
        <w:autoSpaceDN w:val="0"/>
        <w:adjustRightInd w:val="0"/>
        <w:snapToGrid w:val="0"/>
        <w:spacing w:line="360" w:lineRule="auto"/>
        <w:outlineLvl w:val="9"/>
        <w:rPr>
          <w:rFonts w:hint="eastAsia" w:ascii="宋体" w:hAnsi="宋体" w:eastAsia="宋体" w:cs="宋体"/>
          <w:b/>
          <w:color w:val="auto"/>
          <w:kern w:val="2"/>
          <w:sz w:val="24"/>
          <w:szCs w:val="24"/>
          <w:highlight w:val="none"/>
          <w:lang w:val="en-US" w:eastAsia="zh-CN" w:bidi="ar-SA"/>
        </w:rPr>
      </w:pPr>
    </w:p>
    <w:p>
      <w:pPr>
        <w:autoSpaceDE w:val="0"/>
        <w:autoSpaceDN w:val="0"/>
        <w:adjustRightInd w:val="0"/>
        <w:snapToGrid w:val="0"/>
        <w:spacing w:line="360" w:lineRule="auto"/>
        <w:outlineLvl w:val="9"/>
        <w:rPr>
          <w:rFonts w:hint="eastAsia" w:ascii="宋体" w:hAnsi="宋体" w:eastAsia="宋体" w:cs="宋体"/>
          <w:b/>
          <w:color w:val="auto"/>
          <w:kern w:val="2"/>
          <w:sz w:val="24"/>
          <w:szCs w:val="24"/>
          <w:highlight w:val="none"/>
          <w:lang w:val="en-US" w:eastAsia="zh-CN" w:bidi="ar-SA"/>
        </w:rPr>
      </w:pPr>
    </w:p>
    <w:p>
      <w:pPr>
        <w:autoSpaceDE w:val="0"/>
        <w:autoSpaceDN w:val="0"/>
        <w:adjustRightInd w:val="0"/>
        <w:snapToGrid w:val="0"/>
        <w:spacing w:line="360" w:lineRule="auto"/>
        <w:outlineLvl w:val="9"/>
        <w:rPr>
          <w:rFonts w:hint="eastAsia" w:ascii="宋体" w:hAnsi="宋体" w:eastAsia="宋体" w:cs="宋体"/>
          <w:b/>
          <w:color w:val="auto"/>
          <w:kern w:val="2"/>
          <w:sz w:val="24"/>
          <w:szCs w:val="24"/>
          <w:highlight w:val="none"/>
          <w:lang w:val="en-US" w:eastAsia="zh-CN" w:bidi="ar-SA"/>
        </w:rPr>
      </w:pPr>
    </w:p>
    <w:p>
      <w:pPr>
        <w:autoSpaceDE w:val="0"/>
        <w:autoSpaceDN w:val="0"/>
        <w:adjustRightInd w:val="0"/>
        <w:snapToGrid w:val="0"/>
        <w:spacing w:line="360" w:lineRule="auto"/>
        <w:outlineLvl w:val="9"/>
        <w:rPr>
          <w:rFonts w:hint="eastAsia" w:ascii="宋体" w:hAnsi="宋体" w:eastAsia="宋体" w:cs="宋体"/>
          <w:b/>
          <w:color w:val="auto"/>
          <w:kern w:val="2"/>
          <w:sz w:val="24"/>
          <w:szCs w:val="24"/>
          <w:highlight w:val="none"/>
          <w:lang w:val="en-US" w:eastAsia="zh-CN" w:bidi="ar-SA"/>
        </w:rPr>
      </w:pPr>
    </w:p>
    <w:p>
      <w:pPr>
        <w:autoSpaceDE w:val="0"/>
        <w:autoSpaceDN w:val="0"/>
        <w:adjustRightInd w:val="0"/>
        <w:snapToGrid w:val="0"/>
        <w:spacing w:line="360" w:lineRule="auto"/>
        <w:outlineLvl w:val="9"/>
        <w:rPr>
          <w:rFonts w:hint="eastAsia" w:ascii="宋体" w:hAnsi="宋体" w:eastAsia="宋体" w:cs="宋体"/>
          <w:b/>
          <w:color w:val="auto"/>
          <w:kern w:val="2"/>
          <w:sz w:val="24"/>
          <w:szCs w:val="24"/>
          <w:highlight w:val="none"/>
          <w:lang w:val="en-US" w:eastAsia="zh-CN" w:bidi="ar-SA"/>
        </w:rPr>
      </w:pPr>
    </w:p>
    <w:p>
      <w:pPr>
        <w:autoSpaceDE w:val="0"/>
        <w:autoSpaceDN w:val="0"/>
        <w:adjustRightInd w:val="0"/>
        <w:snapToGrid w:val="0"/>
        <w:spacing w:line="360" w:lineRule="auto"/>
        <w:outlineLvl w:val="9"/>
        <w:rPr>
          <w:rFonts w:hint="eastAsia" w:ascii="宋体" w:hAnsi="宋体" w:eastAsia="宋体" w:cs="宋体"/>
          <w:b/>
          <w:color w:val="auto"/>
          <w:kern w:val="2"/>
          <w:sz w:val="24"/>
          <w:szCs w:val="24"/>
          <w:highlight w:val="none"/>
          <w:lang w:val="en-US" w:eastAsia="zh-CN" w:bidi="ar-SA"/>
        </w:rPr>
      </w:pPr>
    </w:p>
    <w:p>
      <w:pPr>
        <w:autoSpaceDE w:val="0"/>
        <w:autoSpaceDN w:val="0"/>
        <w:adjustRightInd w:val="0"/>
        <w:snapToGrid w:val="0"/>
        <w:spacing w:line="360" w:lineRule="auto"/>
        <w:jc w:val="center"/>
        <w:outlineLvl w:val="2"/>
        <w:rPr>
          <w:rFonts w:hint="eastAsia" w:ascii="宋体" w:hAnsi="宋体" w:cs="宋体"/>
          <w:b/>
          <w:color w:val="auto"/>
          <w:kern w:val="0"/>
          <w:sz w:val="24"/>
          <w:highlight w:val="none"/>
        </w:rPr>
      </w:pPr>
      <w:r>
        <w:rPr>
          <w:rFonts w:hint="eastAsia" w:ascii="宋体" w:hAnsi="宋体" w:eastAsia="宋体" w:cs="宋体"/>
          <w:b/>
          <w:color w:val="auto"/>
          <w:kern w:val="2"/>
          <w:sz w:val="24"/>
          <w:szCs w:val="24"/>
          <w:highlight w:val="none"/>
          <w:lang w:val="en-US" w:eastAsia="zh-CN" w:bidi="ar-SA"/>
        </w:rPr>
        <w:t>（3）</w:t>
      </w:r>
      <w:r>
        <w:rPr>
          <w:rFonts w:hint="eastAsia" w:ascii="宋体" w:hAnsi="宋体" w:cs="宋体"/>
          <w:b/>
          <w:color w:val="auto"/>
          <w:kern w:val="0"/>
          <w:sz w:val="24"/>
          <w:highlight w:val="none"/>
        </w:rPr>
        <w:t>近三年完成的类似项目情况表</w:t>
      </w:r>
    </w:p>
    <w:p>
      <w:pPr>
        <w:pStyle w:val="2"/>
        <w:rPr>
          <w:rFonts w:hint="eastAsia"/>
          <w:highlight w:val="none"/>
        </w:rPr>
      </w:pPr>
    </w:p>
    <w:tbl>
      <w:tblPr>
        <w:tblStyle w:val="25"/>
        <w:tblW w:w="87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68"/>
        <w:gridCol w:w="5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3068" w:type="dxa"/>
            <w:noWrap w:val="0"/>
            <w:vAlign w:val="center"/>
          </w:tcPr>
          <w:p>
            <w:pPr>
              <w:autoSpaceDE w:val="0"/>
              <w:autoSpaceDN w:val="0"/>
              <w:adjustRightInd w:val="0"/>
              <w:spacing w:line="360" w:lineRule="auto"/>
              <w:ind w:firstLine="255"/>
              <w:jc w:val="center"/>
              <w:rPr>
                <w:rFonts w:hint="eastAsia" w:ascii="宋体" w:hAnsi="宋体" w:eastAsia="宋体" w:cs="宋体"/>
                <w:kern w:val="0"/>
                <w:sz w:val="24"/>
                <w:szCs w:val="24"/>
                <w:highlight w:val="none"/>
              </w:rPr>
            </w:pPr>
            <w:bookmarkStart w:id="142" w:name="_Toc274904503"/>
            <w:r>
              <w:rPr>
                <w:rFonts w:hint="eastAsia" w:ascii="宋体" w:hAnsi="宋体" w:eastAsia="宋体" w:cs="宋体"/>
                <w:kern w:val="0"/>
                <w:sz w:val="24"/>
                <w:szCs w:val="24"/>
                <w:highlight w:val="none"/>
              </w:rPr>
              <w:t>项目名称</w:t>
            </w:r>
            <w:bookmarkEnd w:id="142"/>
          </w:p>
        </w:tc>
        <w:tc>
          <w:tcPr>
            <w:tcW w:w="5720" w:type="dxa"/>
            <w:noWrap w:val="0"/>
            <w:vAlign w:val="center"/>
          </w:tcPr>
          <w:p>
            <w:pPr>
              <w:autoSpaceDE w:val="0"/>
              <w:autoSpaceDN w:val="0"/>
              <w:adjustRightInd w:val="0"/>
              <w:spacing w:line="360" w:lineRule="auto"/>
              <w:ind w:firstLine="255"/>
              <w:rPr>
                <w:rFonts w:hint="eastAsia" w:ascii="宋体" w:hAnsi="宋体" w:eastAsia="宋体" w:cs="宋体"/>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3068" w:type="dxa"/>
            <w:noWrap w:val="0"/>
            <w:vAlign w:val="center"/>
          </w:tcPr>
          <w:p>
            <w:pPr>
              <w:autoSpaceDE w:val="0"/>
              <w:autoSpaceDN w:val="0"/>
              <w:adjustRightInd w:val="0"/>
              <w:spacing w:line="360" w:lineRule="auto"/>
              <w:ind w:firstLine="255"/>
              <w:jc w:val="center"/>
              <w:rPr>
                <w:rFonts w:hint="eastAsia" w:ascii="宋体" w:hAnsi="宋体" w:eastAsia="宋体" w:cs="宋体"/>
                <w:kern w:val="0"/>
                <w:sz w:val="24"/>
                <w:szCs w:val="24"/>
                <w:highlight w:val="none"/>
              </w:rPr>
            </w:pPr>
            <w:bookmarkStart w:id="143" w:name="_Toc274904504"/>
            <w:r>
              <w:rPr>
                <w:rFonts w:hint="eastAsia" w:ascii="宋体" w:hAnsi="宋体" w:eastAsia="宋体" w:cs="宋体"/>
                <w:kern w:val="0"/>
                <w:sz w:val="24"/>
                <w:szCs w:val="24"/>
                <w:highlight w:val="none"/>
              </w:rPr>
              <w:t>项目所在地</w:t>
            </w:r>
            <w:bookmarkEnd w:id="143"/>
          </w:p>
        </w:tc>
        <w:tc>
          <w:tcPr>
            <w:tcW w:w="5720" w:type="dxa"/>
            <w:noWrap w:val="0"/>
            <w:vAlign w:val="center"/>
          </w:tcPr>
          <w:p>
            <w:pPr>
              <w:autoSpaceDE w:val="0"/>
              <w:autoSpaceDN w:val="0"/>
              <w:adjustRightInd w:val="0"/>
              <w:spacing w:line="360" w:lineRule="auto"/>
              <w:ind w:firstLine="255"/>
              <w:rPr>
                <w:rFonts w:hint="eastAsia" w:ascii="宋体" w:hAnsi="宋体" w:eastAsia="宋体" w:cs="宋体"/>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3068" w:type="dxa"/>
            <w:noWrap w:val="0"/>
            <w:vAlign w:val="center"/>
          </w:tcPr>
          <w:p>
            <w:pPr>
              <w:autoSpaceDE w:val="0"/>
              <w:autoSpaceDN w:val="0"/>
              <w:adjustRightInd w:val="0"/>
              <w:spacing w:line="360" w:lineRule="auto"/>
              <w:ind w:firstLine="255"/>
              <w:jc w:val="center"/>
              <w:rPr>
                <w:rFonts w:hint="eastAsia" w:ascii="宋体" w:hAnsi="宋体" w:eastAsia="宋体" w:cs="宋体"/>
                <w:kern w:val="0"/>
                <w:sz w:val="24"/>
                <w:szCs w:val="24"/>
                <w:highlight w:val="none"/>
              </w:rPr>
            </w:pPr>
            <w:bookmarkStart w:id="144" w:name="_Toc274904505"/>
            <w:r>
              <w:rPr>
                <w:rFonts w:hint="eastAsia" w:ascii="宋体" w:hAnsi="宋体" w:eastAsia="宋体" w:cs="宋体"/>
                <w:kern w:val="0"/>
                <w:sz w:val="24"/>
                <w:szCs w:val="24"/>
                <w:highlight w:val="none"/>
              </w:rPr>
              <w:t>发包人名称</w:t>
            </w:r>
            <w:bookmarkEnd w:id="144"/>
          </w:p>
        </w:tc>
        <w:tc>
          <w:tcPr>
            <w:tcW w:w="5720" w:type="dxa"/>
            <w:noWrap w:val="0"/>
            <w:vAlign w:val="center"/>
          </w:tcPr>
          <w:p>
            <w:pPr>
              <w:autoSpaceDE w:val="0"/>
              <w:autoSpaceDN w:val="0"/>
              <w:adjustRightInd w:val="0"/>
              <w:spacing w:line="360" w:lineRule="auto"/>
              <w:ind w:firstLine="255"/>
              <w:rPr>
                <w:rFonts w:hint="eastAsia" w:ascii="宋体" w:hAnsi="宋体" w:eastAsia="宋体" w:cs="宋体"/>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3068" w:type="dxa"/>
            <w:noWrap w:val="0"/>
            <w:vAlign w:val="center"/>
          </w:tcPr>
          <w:p>
            <w:pPr>
              <w:autoSpaceDE w:val="0"/>
              <w:autoSpaceDN w:val="0"/>
              <w:adjustRightInd w:val="0"/>
              <w:spacing w:line="360" w:lineRule="auto"/>
              <w:ind w:firstLine="255"/>
              <w:jc w:val="center"/>
              <w:rPr>
                <w:rFonts w:hint="eastAsia" w:ascii="宋体" w:hAnsi="宋体" w:eastAsia="宋体" w:cs="宋体"/>
                <w:kern w:val="0"/>
                <w:sz w:val="24"/>
                <w:szCs w:val="24"/>
                <w:highlight w:val="none"/>
              </w:rPr>
            </w:pPr>
            <w:bookmarkStart w:id="145" w:name="_Toc274904506"/>
            <w:r>
              <w:rPr>
                <w:rFonts w:hint="eastAsia" w:ascii="宋体" w:hAnsi="宋体" w:eastAsia="宋体" w:cs="宋体"/>
                <w:kern w:val="0"/>
                <w:sz w:val="24"/>
                <w:szCs w:val="24"/>
                <w:highlight w:val="none"/>
              </w:rPr>
              <w:t>发包人地址</w:t>
            </w:r>
            <w:bookmarkEnd w:id="145"/>
          </w:p>
        </w:tc>
        <w:tc>
          <w:tcPr>
            <w:tcW w:w="5720" w:type="dxa"/>
            <w:noWrap w:val="0"/>
            <w:vAlign w:val="center"/>
          </w:tcPr>
          <w:p>
            <w:pPr>
              <w:autoSpaceDE w:val="0"/>
              <w:autoSpaceDN w:val="0"/>
              <w:adjustRightInd w:val="0"/>
              <w:spacing w:line="360" w:lineRule="auto"/>
              <w:ind w:firstLine="255"/>
              <w:rPr>
                <w:rFonts w:hint="eastAsia" w:ascii="宋体" w:hAnsi="宋体" w:eastAsia="宋体" w:cs="宋体"/>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3068" w:type="dxa"/>
            <w:noWrap w:val="0"/>
            <w:vAlign w:val="center"/>
          </w:tcPr>
          <w:p>
            <w:pPr>
              <w:autoSpaceDE w:val="0"/>
              <w:autoSpaceDN w:val="0"/>
              <w:adjustRightInd w:val="0"/>
              <w:spacing w:line="360" w:lineRule="auto"/>
              <w:ind w:firstLine="255"/>
              <w:jc w:val="center"/>
              <w:rPr>
                <w:rFonts w:hint="eastAsia" w:ascii="宋体" w:hAnsi="宋体" w:eastAsia="宋体" w:cs="宋体"/>
                <w:kern w:val="0"/>
                <w:sz w:val="24"/>
                <w:szCs w:val="24"/>
                <w:highlight w:val="none"/>
              </w:rPr>
            </w:pPr>
            <w:bookmarkStart w:id="146" w:name="_Toc274904507"/>
            <w:r>
              <w:rPr>
                <w:rFonts w:hint="eastAsia" w:ascii="宋体" w:hAnsi="宋体" w:eastAsia="宋体" w:cs="宋体"/>
                <w:kern w:val="0"/>
                <w:sz w:val="24"/>
                <w:szCs w:val="24"/>
                <w:highlight w:val="none"/>
              </w:rPr>
              <w:t>发包人电话</w:t>
            </w:r>
            <w:bookmarkEnd w:id="146"/>
          </w:p>
        </w:tc>
        <w:tc>
          <w:tcPr>
            <w:tcW w:w="5720" w:type="dxa"/>
            <w:noWrap w:val="0"/>
            <w:vAlign w:val="center"/>
          </w:tcPr>
          <w:p>
            <w:pPr>
              <w:autoSpaceDE w:val="0"/>
              <w:autoSpaceDN w:val="0"/>
              <w:adjustRightInd w:val="0"/>
              <w:spacing w:line="360" w:lineRule="auto"/>
              <w:ind w:firstLine="255"/>
              <w:rPr>
                <w:rFonts w:hint="eastAsia" w:ascii="宋体" w:hAnsi="宋体" w:eastAsia="宋体" w:cs="宋体"/>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3068" w:type="dxa"/>
            <w:noWrap w:val="0"/>
            <w:vAlign w:val="center"/>
          </w:tcPr>
          <w:p>
            <w:pPr>
              <w:autoSpaceDE w:val="0"/>
              <w:autoSpaceDN w:val="0"/>
              <w:adjustRightInd w:val="0"/>
              <w:spacing w:line="360" w:lineRule="auto"/>
              <w:ind w:firstLine="255"/>
              <w:jc w:val="center"/>
              <w:rPr>
                <w:rFonts w:hint="eastAsia" w:ascii="宋体" w:hAnsi="宋体" w:eastAsia="宋体" w:cs="宋体"/>
                <w:kern w:val="0"/>
                <w:sz w:val="24"/>
                <w:szCs w:val="24"/>
                <w:highlight w:val="none"/>
              </w:rPr>
            </w:pPr>
            <w:bookmarkStart w:id="147" w:name="_Toc274904508"/>
            <w:r>
              <w:rPr>
                <w:rFonts w:hint="eastAsia" w:ascii="宋体" w:hAnsi="宋体" w:eastAsia="宋体" w:cs="宋体"/>
                <w:kern w:val="0"/>
                <w:sz w:val="24"/>
                <w:szCs w:val="24"/>
                <w:highlight w:val="none"/>
              </w:rPr>
              <w:t>合同价格</w:t>
            </w:r>
            <w:bookmarkEnd w:id="147"/>
          </w:p>
        </w:tc>
        <w:tc>
          <w:tcPr>
            <w:tcW w:w="5720" w:type="dxa"/>
            <w:noWrap w:val="0"/>
            <w:vAlign w:val="center"/>
          </w:tcPr>
          <w:p>
            <w:pPr>
              <w:autoSpaceDE w:val="0"/>
              <w:autoSpaceDN w:val="0"/>
              <w:adjustRightInd w:val="0"/>
              <w:spacing w:line="360" w:lineRule="auto"/>
              <w:ind w:firstLine="255"/>
              <w:rPr>
                <w:rFonts w:hint="eastAsia" w:ascii="宋体" w:hAnsi="宋体" w:eastAsia="宋体" w:cs="宋体"/>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3068" w:type="dxa"/>
            <w:noWrap w:val="0"/>
            <w:vAlign w:val="center"/>
          </w:tcPr>
          <w:p>
            <w:pPr>
              <w:autoSpaceDE w:val="0"/>
              <w:autoSpaceDN w:val="0"/>
              <w:adjustRightInd w:val="0"/>
              <w:spacing w:line="360" w:lineRule="auto"/>
              <w:ind w:firstLine="255"/>
              <w:jc w:val="center"/>
              <w:rPr>
                <w:rFonts w:hint="eastAsia" w:ascii="宋体" w:hAnsi="宋体" w:eastAsia="宋体" w:cs="宋体"/>
                <w:kern w:val="0"/>
                <w:sz w:val="24"/>
                <w:szCs w:val="24"/>
                <w:highlight w:val="none"/>
              </w:rPr>
            </w:pPr>
            <w:bookmarkStart w:id="148" w:name="_Toc274904509"/>
            <w:r>
              <w:rPr>
                <w:rFonts w:hint="eastAsia" w:ascii="宋体" w:hAnsi="宋体" w:eastAsia="宋体" w:cs="宋体"/>
                <w:kern w:val="0"/>
                <w:sz w:val="24"/>
                <w:szCs w:val="24"/>
                <w:highlight w:val="none"/>
              </w:rPr>
              <w:t>合同签订日期</w:t>
            </w:r>
            <w:bookmarkEnd w:id="148"/>
          </w:p>
        </w:tc>
        <w:tc>
          <w:tcPr>
            <w:tcW w:w="5720" w:type="dxa"/>
            <w:noWrap w:val="0"/>
            <w:vAlign w:val="center"/>
          </w:tcPr>
          <w:p>
            <w:pPr>
              <w:autoSpaceDE w:val="0"/>
              <w:autoSpaceDN w:val="0"/>
              <w:adjustRightInd w:val="0"/>
              <w:spacing w:line="360" w:lineRule="auto"/>
              <w:ind w:firstLine="255"/>
              <w:rPr>
                <w:rFonts w:hint="eastAsia" w:ascii="宋体" w:hAnsi="宋体" w:eastAsia="宋体" w:cs="宋体"/>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3068" w:type="dxa"/>
            <w:noWrap w:val="0"/>
            <w:vAlign w:val="center"/>
          </w:tcPr>
          <w:p>
            <w:pPr>
              <w:autoSpaceDE w:val="0"/>
              <w:autoSpaceDN w:val="0"/>
              <w:adjustRightInd w:val="0"/>
              <w:spacing w:line="360" w:lineRule="auto"/>
              <w:ind w:firstLine="255"/>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项目描述</w:t>
            </w:r>
          </w:p>
        </w:tc>
        <w:tc>
          <w:tcPr>
            <w:tcW w:w="5720" w:type="dxa"/>
            <w:noWrap w:val="0"/>
            <w:vAlign w:val="center"/>
          </w:tcPr>
          <w:p>
            <w:pPr>
              <w:autoSpaceDE w:val="0"/>
              <w:autoSpaceDN w:val="0"/>
              <w:adjustRightInd w:val="0"/>
              <w:spacing w:line="360" w:lineRule="auto"/>
              <w:ind w:firstLine="255"/>
              <w:rPr>
                <w:rFonts w:hint="eastAsia" w:ascii="宋体" w:hAnsi="宋体" w:eastAsia="宋体" w:cs="宋体"/>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3068" w:type="dxa"/>
            <w:noWrap w:val="0"/>
            <w:vAlign w:val="center"/>
          </w:tcPr>
          <w:p>
            <w:pPr>
              <w:autoSpaceDE w:val="0"/>
              <w:autoSpaceDN w:val="0"/>
              <w:adjustRightInd w:val="0"/>
              <w:spacing w:line="360" w:lineRule="auto"/>
              <w:ind w:firstLine="255"/>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备注</w:t>
            </w:r>
          </w:p>
        </w:tc>
        <w:tc>
          <w:tcPr>
            <w:tcW w:w="5720" w:type="dxa"/>
            <w:noWrap w:val="0"/>
            <w:vAlign w:val="center"/>
          </w:tcPr>
          <w:p>
            <w:pPr>
              <w:autoSpaceDE w:val="0"/>
              <w:autoSpaceDN w:val="0"/>
              <w:adjustRightInd w:val="0"/>
              <w:spacing w:line="360" w:lineRule="auto"/>
              <w:ind w:firstLine="255"/>
              <w:rPr>
                <w:rFonts w:hint="eastAsia" w:ascii="宋体" w:hAnsi="宋体" w:eastAsia="宋体" w:cs="宋体"/>
                <w:kern w:val="0"/>
                <w:sz w:val="24"/>
                <w:szCs w:val="24"/>
                <w:highlight w:val="none"/>
              </w:rPr>
            </w:pPr>
          </w:p>
        </w:tc>
      </w:tr>
    </w:tbl>
    <w:p>
      <w:pPr>
        <w:ind w:firstLine="255"/>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注：应附业绩证明材料，每张表格只填写一个项目，并标明序号。</w:t>
      </w:r>
    </w:p>
    <w:p>
      <w:pPr>
        <w:ind w:firstLine="255"/>
        <w:rPr>
          <w:rFonts w:hint="eastAsia" w:ascii="宋体" w:hAnsi="宋体" w:eastAsia="宋体" w:cs="宋体"/>
          <w:b/>
          <w:bCs/>
          <w:kern w:val="0"/>
          <w:sz w:val="24"/>
          <w:szCs w:val="24"/>
          <w:highlight w:val="none"/>
        </w:rPr>
      </w:pPr>
    </w:p>
    <w:p>
      <w:pPr>
        <w:spacing w:line="360" w:lineRule="auto"/>
        <w:ind w:firstLine="2940" w:firstLineChars="1225"/>
        <w:rPr>
          <w:rFonts w:hint="eastAsia" w:ascii="宋体" w:hAnsi="宋体" w:eastAsia="宋体" w:cs="宋体"/>
          <w:sz w:val="24"/>
          <w:szCs w:val="24"/>
          <w:highlight w:val="none"/>
        </w:rPr>
      </w:pPr>
    </w:p>
    <w:p>
      <w:pPr>
        <w:spacing w:line="360" w:lineRule="auto"/>
        <w:ind w:firstLine="3528" w:firstLineChars="1470"/>
        <w:rPr>
          <w:rFonts w:hint="eastAsia" w:ascii="宋体" w:hAnsi="宋体" w:eastAsia="宋体" w:cs="宋体"/>
          <w:sz w:val="24"/>
          <w:szCs w:val="24"/>
          <w:highlight w:val="none"/>
        </w:rPr>
      </w:pPr>
    </w:p>
    <w:p>
      <w:pPr>
        <w:spacing w:line="360" w:lineRule="auto"/>
        <w:ind w:firstLine="3528" w:firstLineChars="1470"/>
        <w:rPr>
          <w:rFonts w:hint="eastAsia" w:ascii="宋体" w:hAnsi="宋体" w:eastAsia="宋体" w:cs="宋体"/>
          <w:sz w:val="24"/>
          <w:szCs w:val="24"/>
          <w:highlight w:val="none"/>
        </w:rPr>
      </w:pPr>
    </w:p>
    <w:p>
      <w:pPr>
        <w:wordWrap w:val="0"/>
        <w:spacing w:line="360" w:lineRule="auto"/>
        <w:ind w:firstLine="2690" w:firstLineChars="1121"/>
        <w:jc w:val="right"/>
        <w:rPr>
          <w:rFonts w:hint="eastAsia" w:ascii="宋体" w:hAnsi="宋体" w:eastAsia="宋体" w:cs="宋体"/>
          <w:sz w:val="24"/>
          <w:szCs w:val="24"/>
          <w:highlight w:val="none"/>
          <w:u w:val="single"/>
        </w:rPr>
      </w:pPr>
      <w:r>
        <w:rPr>
          <w:rFonts w:hint="eastAsia" w:ascii="宋体" w:hAnsi="宋体" w:eastAsia="宋体" w:cs="宋体"/>
          <w:sz w:val="24"/>
          <w:szCs w:val="24"/>
          <w:highlight w:val="none"/>
          <w:lang w:val="en-US" w:eastAsia="zh-CN"/>
        </w:rPr>
        <w:t>供应商</w:t>
      </w:r>
      <w:r>
        <w:rPr>
          <w:rFonts w:hint="eastAsia" w:ascii="宋体" w:hAnsi="宋体" w:eastAsia="宋体" w:cs="宋体"/>
          <w:sz w:val="24"/>
          <w:szCs w:val="24"/>
          <w:highlight w:val="none"/>
        </w:rPr>
        <w:t>名称（公章）:</w:t>
      </w:r>
      <w:r>
        <w:rPr>
          <w:rFonts w:hint="eastAsia" w:ascii="宋体" w:hAnsi="宋体" w:eastAsia="宋体" w:cs="宋体"/>
          <w:sz w:val="24"/>
          <w:szCs w:val="24"/>
          <w:highlight w:val="none"/>
          <w:u w:val="single"/>
        </w:rPr>
        <w:t xml:space="preserve">               </w:t>
      </w:r>
    </w:p>
    <w:p>
      <w:pPr>
        <w:wordWrap w:val="0"/>
        <w:spacing w:line="360" w:lineRule="auto"/>
        <w:ind w:firstLine="2690" w:firstLineChars="1121"/>
        <w:jc w:val="right"/>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法定代表人或授权委托人（签字或盖章）:</w:t>
      </w:r>
      <w:r>
        <w:rPr>
          <w:rFonts w:hint="eastAsia" w:ascii="宋体" w:hAnsi="宋体" w:eastAsia="宋体" w:cs="宋体"/>
          <w:sz w:val="24"/>
          <w:szCs w:val="24"/>
          <w:highlight w:val="none"/>
          <w:u w:val="single"/>
        </w:rPr>
        <w:t xml:space="preserve">             </w:t>
      </w:r>
    </w:p>
    <w:p>
      <w:pPr>
        <w:spacing w:line="360" w:lineRule="auto"/>
        <w:ind w:firstLine="255"/>
        <w:jc w:val="right"/>
        <w:rPr>
          <w:rFonts w:hint="eastAsia" w:ascii="宋体" w:hAnsi="宋体" w:eastAsia="宋体" w:cs="宋体"/>
          <w:b/>
          <w:bCs/>
          <w:sz w:val="24"/>
          <w:szCs w:val="24"/>
          <w:highlight w:val="none"/>
        </w:rPr>
      </w:pPr>
      <w:r>
        <w:rPr>
          <w:rFonts w:hint="eastAsia" w:ascii="宋体" w:hAnsi="宋体" w:eastAsia="宋体" w:cs="宋体"/>
          <w:sz w:val="24"/>
          <w:szCs w:val="24"/>
          <w:highlight w:val="none"/>
        </w:rPr>
        <w:t xml:space="preserve">                              日期：    年   月   日</w:t>
      </w:r>
    </w:p>
    <w:p>
      <w:pPr>
        <w:pStyle w:val="2"/>
        <w:rPr>
          <w:rFonts w:hint="eastAsia"/>
          <w:highlight w:val="none"/>
        </w:rPr>
      </w:pPr>
    </w:p>
    <w:p>
      <w:pPr>
        <w:spacing w:line="450" w:lineRule="atLeast"/>
        <w:rPr>
          <w:rFonts w:hint="eastAsia" w:ascii="宋体" w:hAnsi="宋体" w:eastAsia="宋体" w:cs="宋体"/>
          <w:i w:val="0"/>
          <w:iCs w:val="0"/>
          <w:color w:val="auto"/>
          <w:sz w:val="24"/>
          <w:highlight w:val="none"/>
        </w:rPr>
      </w:pPr>
    </w:p>
    <w:p>
      <w:pPr>
        <w:pStyle w:val="14"/>
        <w:ind w:left="0" w:leftChars="0" w:firstLine="0" w:firstLineChars="0"/>
        <w:rPr>
          <w:rFonts w:hint="eastAsia" w:ascii="宋体" w:hAnsi="宋体" w:eastAsia="宋体" w:cs="宋体"/>
          <w:i w:val="0"/>
          <w:iCs w:val="0"/>
          <w:color w:val="auto"/>
          <w:sz w:val="24"/>
          <w:highlight w:val="none"/>
        </w:rPr>
      </w:pPr>
    </w:p>
    <w:p>
      <w:pPr>
        <w:rPr>
          <w:rFonts w:hint="eastAsia" w:ascii="宋体" w:hAnsi="宋体" w:eastAsia="宋体" w:cs="宋体"/>
          <w:i w:val="0"/>
          <w:iCs w:val="0"/>
          <w:color w:val="auto"/>
          <w:sz w:val="24"/>
          <w:highlight w:val="none"/>
        </w:rPr>
      </w:pPr>
    </w:p>
    <w:p>
      <w:pPr>
        <w:pStyle w:val="2"/>
        <w:rPr>
          <w:rFonts w:hint="eastAsia" w:ascii="宋体" w:hAnsi="宋体" w:eastAsia="宋体" w:cs="宋体"/>
          <w:i w:val="0"/>
          <w:iCs w:val="0"/>
          <w:color w:val="auto"/>
          <w:sz w:val="24"/>
          <w:highlight w:val="none"/>
        </w:rPr>
      </w:pPr>
    </w:p>
    <w:p>
      <w:pPr>
        <w:pStyle w:val="2"/>
        <w:rPr>
          <w:rFonts w:hint="eastAsia" w:ascii="宋体" w:hAnsi="宋体" w:eastAsia="宋体" w:cs="宋体"/>
          <w:i w:val="0"/>
          <w:iCs w:val="0"/>
          <w:color w:val="auto"/>
          <w:sz w:val="24"/>
          <w:highlight w:val="none"/>
        </w:rPr>
      </w:pPr>
    </w:p>
    <w:p>
      <w:pPr>
        <w:pStyle w:val="2"/>
        <w:rPr>
          <w:rFonts w:hint="eastAsia" w:ascii="宋体" w:hAnsi="宋体" w:eastAsia="宋体" w:cs="宋体"/>
          <w:i w:val="0"/>
          <w:iCs w:val="0"/>
          <w:color w:val="auto"/>
          <w:sz w:val="24"/>
          <w:highlight w:val="none"/>
        </w:rPr>
      </w:pPr>
    </w:p>
    <w:p>
      <w:pPr>
        <w:pStyle w:val="2"/>
        <w:rPr>
          <w:rFonts w:hint="eastAsia" w:ascii="宋体" w:hAnsi="宋体" w:eastAsia="宋体" w:cs="宋体"/>
          <w:i w:val="0"/>
          <w:iCs w:val="0"/>
          <w:color w:val="auto"/>
          <w:sz w:val="24"/>
          <w:highlight w:val="none"/>
        </w:rPr>
      </w:pPr>
    </w:p>
    <w:p>
      <w:pPr>
        <w:pStyle w:val="2"/>
        <w:rPr>
          <w:rFonts w:hint="eastAsia" w:ascii="宋体" w:hAnsi="宋体" w:eastAsia="宋体" w:cs="宋体"/>
          <w:i w:val="0"/>
          <w:iCs w:val="0"/>
          <w:color w:val="auto"/>
          <w:sz w:val="24"/>
          <w:highlight w:val="none"/>
        </w:rPr>
      </w:pPr>
    </w:p>
    <w:p>
      <w:pPr>
        <w:pStyle w:val="2"/>
        <w:rPr>
          <w:rFonts w:hint="eastAsia" w:ascii="宋体" w:hAnsi="宋体" w:eastAsia="宋体" w:cs="宋体"/>
          <w:i w:val="0"/>
          <w:iCs w:val="0"/>
          <w:color w:val="auto"/>
          <w:sz w:val="24"/>
          <w:highlight w:val="none"/>
        </w:rPr>
      </w:pPr>
    </w:p>
    <w:p>
      <w:pPr>
        <w:pStyle w:val="9"/>
        <w:numPr>
          <w:ilvl w:val="0"/>
          <w:numId w:val="0"/>
        </w:numPr>
        <w:rPr>
          <w:rFonts w:hint="eastAsia"/>
          <w:color w:val="auto"/>
          <w:highlight w:val="none"/>
        </w:rPr>
      </w:pPr>
    </w:p>
    <w:p>
      <w:pPr>
        <w:tabs>
          <w:tab w:val="center" w:pos="7115"/>
          <w:tab w:val="right" w:pos="14230"/>
        </w:tabs>
        <w:spacing w:line="360" w:lineRule="auto"/>
        <w:jc w:val="center"/>
        <w:outlineLvl w:val="1"/>
        <w:rPr>
          <w:rFonts w:hint="eastAsia" w:ascii="宋体" w:hAnsi="宋体" w:eastAsia="宋体" w:cs="宋体"/>
          <w:b/>
          <w:i w:val="0"/>
          <w:iCs w:val="0"/>
          <w:color w:val="auto"/>
          <w:spacing w:val="20"/>
          <w:sz w:val="32"/>
          <w:highlight w:val="none"/>
          <w:lang w:val="en-US" w:eastAsia="zh-CN"/>
        </w:rPr>
      </w:pPr>
      <w:bookmarkStart w:id="149" w:name="_Toc13668"/>
      <w:r>
        <w:rPr>
          <w:rFonts w:hint="eastAsia" w:ascii="宋体" w:hAnsi="宋体" w:eastAsia="宋体" w:cs="宋体"/>
          <w:b/>
          <w:i w:val="0"/>
          <w:iCs w:val="0"/>
          <w:color w:val="auto"/>
          <w:spacing w:val="20"/>
          <w:sz w:val="32"/>
          <w:highlight w:val="none"/>
          <w:lang w:val="en-US" w:eastAsia="zh-CN"/>
        </w:rPr>
        <w:t>（七）中小企业声明函（服务）</w:t>
      </w:r>
      <w:bookmarkEnd w:id="149"/>
    </w:p>
    <w:p>
      <w:pPr>
        <w:spacing w:after="120" w:line="500" w:lineRule="exact"/>
        <w:ind w:right="142" w:firstLine="705" w:firstLineChars="294"/>
        <w:rPr>
          <w:rFonts w:hint="eastAsia" w:ascii="宋体" w:hAnsi="宋体" w:eastAsia="宋体" w:cs="宋体"/>
          <w:sz w:val="24"/>
          <w:highlight w:val="none"/>
        </w:rPr>
      </w:pPr>
    </w:p>
    <w:p>
      <w:pPr>
        <w:spacing w:after="120" w:line="500" w:lineRule="exact"/>
        <w:ind w:left="0" w:leftChars="0" w:right="142" w:firstLine="638" w:firstLineChars="266"/>
        <w:rPr>
          <w:rFonts w:hint="eastAsia" w:ascii="宋体" w:hAnsi="宋体" w:eastAsia="宋体" w:cs="宋体"/>
          <w:sz w:val="24"/>
          <w:highlight w:val="none"/>
        </w:rPr>
      </w:pPr>
      <w:r>
        <w:rPr>
          <w:rFonts w:hint="eastAsia" w:ascii="宋体" w:hAnsi="宋体" w:eastAsia="宋体" w:cs="宋体"/>
          <w:sz w:val="24"/>
          <w:highlight w:val="none"/>
        </w:rPr>
        <w:t>本公司（联合体）郑重声明，根据《政府采购促进中小企业发展管理办法》（财库﹝2020﹞46号）的规定，本公司（联合体）参加</w:t>
      </w:r>
      <w:r>
        <w:rPr>
          <w:rFonts w:hint="eastAsia" w:ascii="宋体" w:hAnsi="宋体" w:eastAsia="宋体" w:cs="宋体"/>
          <w:sz w:val="24"/>
          <w:highlight w:val="none"/>
          <w:u w:val="single"/>
        </w:rPr>
        <w:t>（单位名称）</w:t>
      </w:r>
      <w:r>
        <w:rPr>
          <w:rFonts w:hint="eastAsia" w:ascii="宋体" w:hAnsi="宋体" w:eastAsia="宋体" w:cs="宋体"/>
          <w:sz w:val="24"/>
          <w:highlight w:val="none"/>
        </w:rPr>
        <w:t>的</w:t>
      </w:r>
      <w:r>
        <w:rPr>
          <w:rFonts w:hint="eastAsia" w:ascii="宋体" w:hAnsi="宋体" w:eastAsia="宋体" w:cs="宋体"/>
          <w:sz w:val="24"/>
          <w:highlight w:val="none"/>
          <w:u w:val="single"/>
        </w:rPr>
        <w:t>（项目名称）</w:t>
      </w:r>
      <w:r>
        <w:rPr>
          <w:rFonts w:hint="eastAsia" w:ascii="宋体" w:hAnsi="宋体" w:eastAsia="宋体" w:cs="宋体"/>
          <w:sz w:val="24"/>
          <w:highlight w:val="none"/>
        </w:rPr>
        <w:t>采购活动，服务全部由符合政策要求的中小企业承接。相关企业（含联合体中的中小企业、签订分包意向协议的中小企业）的具体情况如下：</w:t>
      </w:r>
    </w:p>
    <w:p>
      <w:pPr>
        <w:tabs>
          <w:tab w:val="left" w:pos="1384"/>
          <w:tab w:val="left" w:pos="4562"/>
          <w:tab w:val="left" w:pos="6803"/>
        </w:tabs>
        <w:spacing w:before="13" w:line="500" w:lineRule="exact"/>
        <w:ind w:right="142" w:firstLine="772" w:firstLineChars="322"/>
        <w:rPr>
          <w:rFonts w:hint="eastAsia" w:ascii="宋体" w:hAnsi="宋体" w:eastAsia="宋体" w:cs="宋体"/>
          <w:sz w:val="24"/>
          <w:highlight w:val="none"/>
        </w:rPr>
      </w:pPr>
      <w:r>
        <w:rPr>
          <w:rFonts w:hint="eastAsia" w:ascii="宋体" w:hAnsi="宋体" w:eastAsia="宋体" w:cs="宋体"/>
          <w:sz w:val="24"/>
          <w:highlight w:val="none"/>
        </w:rPr>
        <w:t>1.</w:t>
      </w:r>
      <w:r>
        <w:rPr>
          <w:rFonts w:hint="eastAsia" w:ascii="宋体" w:hAnsi="宋体" w:eastAsia="宋体" w:cs="宋体"/>
          <w:sz w:val="24"/>
          <w:highlight w:val="none"/>
          <w:u w:val="single"/>
        </w:rPr>
        <w:t>（标的名称）</w:t>
      </w:r>
      <w:r>
        <w:rPr>
          <w:rFonts w:hint="eastAsia" w:ascii="宋体" w:hAnsi="宋体" w:eastAsia="宋体" w:cs="宋体"/>
          <w:sz w:val="24"/>
          <w:highlight w:val="none"/>
        </w:rPr>
        <w:t>，属于</w:t>
      </w:r>
      <w:r>
        <w:rPr>
          <w:rFonts w:hint="eastAsia" w:ascii="宋体" w:hAnsi="宋体" w:eastAsia="宋体" w:cs="宋体"/>
          <w:sz w:val="24"/>
          <w:highlight w:val="none"/>
          <w:u w:val="single"/>
        </w:rPr>
        <w:t>（采购文件中明确的所属行业）</w:t>
      </w:r>
      <w:r>
        <w:rPr>
          <w:rFonts w:hint="eastAsia" w:ascii="宋体" w:hAnsi="宋体" w:eastAsia="宋体" w:cs="宋体"/>
          <w:sz w:val="24"/>
          <w:highlight w:val="none"/>
        </w:rPr>
        <w:t>；承接企业为</w:t>
      </w:r>
      <w:r>
        <w:rPr>
          <w:rFonts w:hint="eastAsia" w:ascii="宋体" w:hAnsi="宋体" w:eastAsia="宋体" w:cs="宋体"/>
          <w:sz w:val="24"/>
          <w:highlight w:val="none"/>
          <w:u w:val="single"/>
        </w:rPr>
        <w:t>（企业名称）</w:t>
      </w:r>
      <w:r>
        <w:rPr>
          <w:rFonts w:hint="eastAsia" w:ascii="宋体" w:hAnsi="宋体" w:eastAsia="宋体" w:cs="宋体"/>
          <w:sz w:val="24"/>
          <w:highlight w:val="none"/>
        </w:rPr>
        <w:t>，从业人员</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人，营业收入为</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万元，资产总额为</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万元，属于</w:t>
      </w:r>
      <w:r>
        <w:rPr>
          <w:rFonts w:hint="eastAsia" w:ascii="宋体" w:hAnsi="宋体" w:eastAsia="宋体" w:cs="宋体"/>
          <w:sz w:val="24"/>
          <w:highlight w:val="none"/>
          <w:u w:val="single"/>
        </w:rPr>
        <w:t>（中型企业、小型企业、微型企业）</w:t>
      </w:r>
      <w:r>
        <w:rPr>
          <w:rFonts w:hint="eastAsia" w:ascii="宋体" w:hAnsi="宋体" w:eastAsia="宋体" w:cs="宋体"/>
          <w:sz w:val="24"/>
          <w:highlight w:val="none"/>
        </w:rPr>
        <w:t>；</w:t>
      </w:r>
    </w:p>
    <w:p>
      <w:pPr>
        <w:tabs>
          <w:tab w:val="left" w:pos="1065"/>
          <w:tab w:val="left" w:pos="4262"/>
          <w:tab w:val="left" w:pos="6477"/>
        </w:tabs>
        <w:spacing w:before="20" w:line="500" w:lineRule="exact"/>
        <w:ind w:right="84" w:firstLine="772" w:firstLineChars="322"/>
        <w:rPr>
          <w:rFonts w:hint="eastAsia" w:ascii="宋体" w:hAnsi="宋体" w:eastAsia="宋体" w:cs="宋体"/>
          <w:sz w:val="24"/>
          <w:highlight w:val="none"/>
          <w:u w:val="single"/>
        </w:rPr>
      </w:pPr>
      <w:r>
        <w:rPr>
          <w:rFonts w:hint="eastAsia" w:ascii="宋体" w:hAnsi="宋体" w:eastAsia="宋体" w:cs="宋体"/>
          <w:sz w:val="24"/>
          <w:highlight w:val="none"/>
        </w:rPr>
        <w:t>2.</w:t>
      </w:r>
      <w:r>
        <w:rPr>
          <w:rFonts w:hint="eastAsia" w:ascii="宋体" w:hAnsi="宋体" w:eastAsia="宋体" w:cs="宋体"/>
          <w:sz w:val="24"/>
          <w:highlight w:val="none"/>
          <w:u w:val="single"/>
        </w:rPr>
        <w:t>（标的名称）</w:t>
      </w:r>
      <w:r>
        <w:rPr>
          <w:rFonts w:hint="eastAsia" w:ascii="宋体" w:hAnsi="宋体" w:eastAsia="宋体" w:cs="宋体"/>
          <w:sz w:val="24"/>
          <w:highlight w:val="none"/>
        </w:rPr>
        <w:t>，属于</w:t>
      </w:r>
      <w:r>
        <w:rPr>
          <w:rFonts w:hint="eastAsia" w:ascii="宋体" w:hAnsi="宋体" w:eastAsia="宋体" w:cs="宋体"/>
          <w:sz w:val="24"/>
          <w:highlight w:val="none"/>
          <w:u w:val="single"/>
        </w:rPr>
        <w:t>（采购文件中明确的所属行业）</w:t>
      </w:r>
      <w:r>
        <w:rPr>
          <w:rFonts w:hint="eastAsia" w:ascii="宋体" w:hAnsi="宋体" w:eastAsia="宋体" w:cs="宋体"/>
          <w:sz w:val="24"/>
          <w:highlight w:val="none"/>
        </w:rPr>
        <w:t>；承接企业为</w:t>
      </w:r>
      <w:r>
        <w:rPr>
          <w:rFonts w:hint="eastAsia" w:ascii="宋体" w:hAnsi="宋体" w:eastAsia="宋体" w:cs="宋体"/>
          <w:sz w:val="24"/>
          <w:highlight w:val="none"/>
          <w:u w:val="single"/>
        </w:rPr>
        <w:t>（企业名称）</w:t>
      </w:r>
      <w:r>
        <w:rPr>
          <w:rFonts w:hint="eastAsia" w:ascii="宋体" w:hAnsi="宋体" w:eastAsia="宋体" w:cs="宋体"/>
          <w:sz w:val="24"/>
          <w:highlight w:val="none"/>
        </w:rPr>
        <w:t>，从业人员</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人，营业收入为</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万元，资产总额为</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万元，属于</w:t>
      </w:r>
      <w:r>
        <w:rPr>
          <w:rFonts w:hint="eastAsia" w:ascii="宋体" w:hAnsi="宋体" w:eastAsia="宋体" w:cs="宋体"/>
          <w:sz w:val="24"/>
          <w:highlight w:val="none"/>
          <w:u w:val="single"/>
        </w:rPr>
        <w:t>（中型企业、小型企业、微型企业）</w:t>
      </w:r>
      <w:r>
        <w:rPr>
          <w:rFonts w:hint="eastAsia" w:ascii="宋体" w:hAnsi="宋体" w:eastAsia="宋体" w:cs="宋体"/>
          <w:sz w:val="24"/>
          <w:highlight w:val="none"/>
        </w:rPr>
        <w:t>；</w:t>
      </w:r>
    </w:p>
    <w:p>
      <w:pPr>
        <w:spacing w:before="34" w:after="120" w:line="500" w:lineRule="exact"/>
        <w:ind w:right="142" w:firstLine="705" w:firstLineChars="294"/>
        <w:rPr>
          <w:rFonts w:hint="eastAsia" w:ascii="宋体" w:hAnsi="宋体" w:eastAsia="宋体" w:cs="宋体"/>
          <w:sz w:val="24"/>
          <w:highlight w:val="none"/>
        </w:rPr>
      </w:pPr>
      <w:r>
        <w:rPr>
          <w:rFonts w:hint="eastAsia" w:ascii="宋体" w:hAnsi="宋体" w:eastAsia="宋体" w:cs="宋体"/>
          <w:sz w:val="24"/>
          <w:highlight w:val="none"/>
        </w:rPr>
        <w:t xml:space="preserve">…… </w:t>
      </w:r>
    </w:p>
    <w:p>
      <w:pPr>
        <w:spacing w:before="34" w:after="120" w:line="500" w:lineRule="exact"/>
        <w:ind w:right="142" w:firstLine="705" w:firstLineChars="294"/>
        <w:rPr>
          <w:rFonts w:hint="eastAsia" w:ascii="宋体" w:hAnsi="宋体" w:eastAsia="宋体" w:cs="宋体"/>
          <w:sz w:val="24"/>
          <w:highlight w:val="none"/>
        </w:rPr>
      </w:pPr>
      <w:r>
        <w:rPr>
          <w:rFonts w:hint="eastAsia" w:ascii="宋体" w:hAnsi="宋体" w:eastAsia="宋体" w:cs="宋体"/>
          <w:sz w:val="24"/>
          <w:highlight w:val="none"/>
        </w:rPr>
        <w:t>以上企业，不属于大企业的分支机构，不存在控股股东为大企业的情形，也不存在与大企业的负责人为同一人的情形。</w:t>
      </w:r>
    </w:p>
    <w:p>
      <w:pPr>
        <w:spacing w:before="25" w:after="120" w:line="500" w:lineRule="exact"/>
        <w:ind w:right="142" w:firstLine="705" w:firstLineChars="294"/>
        <w:rPr>
          <w:rFonts w:hint="eastAsia" w:ascii="宋体" w:hAnsi="宋体" w:eastAsia="宋体" w:cs="宋体"/>
          <w:sz w:val="24"/>
          <w:highlight w:val="none"/>
        </w:rPr>
      </w:pPr>
      <w:r>
        <w:rPr>
          <w:rFonts w:hint="eastAsia" w:ascii="宋体" w:hAnsi="宋体" w:eastAsia="宋体" w:cs="宋体"/>
          <w:sz w:val="24"/>
          <w:highlight w:val="none"/>
        </w:rPr>
        <w:t>本企业对上述声明内容的真实性负责。如有虚假，将依法承担相应责任。</w:t>
      </w:r>
    </w:p>
    <w:p>
      <w:pPr>
        <w:spacing w:before="56" w:after="120" w:line="500" w:lineRule="exact"/>
        <w:ind w:right="1808" w:firstLine="705" w:firstLineChars="294"/>
        <w:rPr>
          <w:rFonts w:hint="eastAsia" w:ascii="宋体" w:hAnsi="宋体" w:eastAsia="宋体" w:cs="宋体"/>
          <w:sz w:val="24"/>
          <w:highlight w:val="none"/>
        </w:rPr>
      </w:pPr>
    </w:p>
    <w:p>
      <w:pPr>
        <w:spacing w:before="56" w:after="120" w:line="500" w:lineRule="exact"/>
        <w:ind w:right="650" w:firstLine="5625" w:firstLineChars="2344"/>
        <w:rPr>
          <w:rFonts w:hint="eastAsia" w:ascii="宋体" w:hAnsi="宋体" w:eastAsia="宋体" w:cs="宋体"/>
          <w:sz w:val="24"/>
          <w:highlight w:val="none"/>
        </w:rPr>
      </w:pPr>
      <w:r>
        <w:rPr>
          <w:rFonts w:hint="eastAsia" w:ascii="宋体" w:hAnsi="宋体" w:eastAsia="宋体" w:cs="宋体"/>
          <w:sz w:val="24"/>
          <w:highlight w:val="none"/>
        </w:rPr>
        <w:t xml:space="preserve">企业名称（公章）： </w:t>
      </w:r>
    </w:p>
    <w:p>
      <w:pPr>
        <w:spacing w:before="56" w:after="120" w:line="500" w:lineRule="exact"/>
        <w:ind w:right="1808" w:firstLine="5625" w:firstLineChars="2344"/>
        <w:rPr>
          <w:rFonts w:hint="eastAsia" w:ascii="宋体" w:hAnsi="宋体" w:eastAsia="宋体" w:cs="宋体"/>
          <w:sz w:val="24"/>
          <w:highlight w:val="none"/>
        </w:rPr>
      </w:pPr>
      <w:r>
        <w:rPr>
          <w:rFonts w:hint="eastAsia" w:ascii="宋体" w:hAnsi="宋体" w:eastAsia="宋体" w:cs="宋体"/>
          <w:sz w:val="24"/>
          <w:highlight w:val="none"/>
        </w:rPr>
        <w:t>日 期：</w:t>
      </w:r>
    </w:p>
    <w:p>
      <w:pPr>
        <w:spacing w:line="520" w:lineRule="exact"/>
        <w:jc w:val="left"/>
        <w:rPr>
          <w:rFonts w:hint="eastAsia" w:ascii="宋体" w:hAnsi="宋体" w:eastAsia="宋体" w:cs="宋体"/>
          <w:b/>
          <w:bCs/>
          <w:sz w:val="24"/>
          <w:szCs w:val="32"/>
          <w:highlight w:val="none"/>
        </w:rPr>
      </w:pPr>
      <w:r>
        <w:rPr>
          <w:rFonts w:hint="eastAsia" w:ascii="宋体" w:hAnsi="宋体" w:eastAsia="宋体" w:cs="宋体"/>
          <w:b/>
          <w:bCs/>
          <w:sz w:val="24"/>
          <w:szCs w:val="32"/>
          <w:highlight w:val="none"/>
        </w:rPr>
        <w:t>注：享受《政府采购促进中小企业发展管理办法》（财库〔2020〕46号）规定的中小企业扶持政策的，采购人、采购代理机构应当随成交结果公开成交供应商的《中小企业声明函》、从业人员、营业收入、资产总额填报上一年度数据，无上一年度数据的新成立企业可不填报。</w:t>
      </w:r>
    </w:p>
    <w:p>
      <w:pPr>
        <w:pStyle w:val="2"/>
        <w:rPr>
          <w:rFonts w:hint="eastAsia" w:ascii="宋体" w:hAnsi="宋体" w:eastAsia="宋体" w:cs="宋体"/>
          <w:b/>
          <w:bCs/>
          <w:sz w:val="24"/>
          <w:szCs w:val="32"/>
          <w:highlight w:val="none"/>
        </w:rPr>
      </w:pPr>
    </w:p>
    <w:p>
      <w:pPr>
        <w:pStyle w:val="2"/>
        <w:rPr>
          <w:rFonts w:hint="eastAsia" w:ascii="宋体" w:hAnsi="宋体" w:eastAsia="宋体" w:cs="宋体"/>
          <w:b/>
          <w:bCs/>
          <w:sz w:val="24"/>
          <w:szCs w:val="32"/>
          <w:highlight w:val="none"/>
        </w:rPr>
      </w:pPr>
    </w:p>
    <w:p>
      <w:pPr>
        <w:pStyle w:val="2"/>
        <w:rPr>
          <w:rFonts w:hint="eastAsia" w:ascii="宋体" w:hAnsi="宋体" w:eastAsia="宋体" w:cs="宋体"/>
          <w:b/>
          <w:bCs/>
          <w:sz w:val="24"/>
          <w:szCs w:val="32"/>
          <w:highlight w:val="none"/>
        </w:rPr>
      </w:pPr>
    </w:p>
    <w:p>
      <w:pPr>
        <w:pStyle w:val="2"/>
        <w:rPr>
          <w:rFonts w:hint="eastAsia" w:ascii="宋体" w:hAnsi="宋体" w:eastAsia="宋体" w:cs="宋体"/>
          <w:b/>
          <w:bCs/>
          <w:sz w:val="24"/>
          <w:szCs w:val="32"/>
          <w:highlight w:val="none"/>
        </w:rPr>
      </w:pPr>
    </w:p>
    <w:p>
      <w:pPr>
        <w:pStyle w:val="2"/>
        <w:rPr>
          <w:rFonts w:hint="eastAsia" w:ascii="宋体" w:hAnsi="宋体" w:eastAsia="宋体" w:cs="宋体"/>
          <w:b/>
          <w:bCs/>
          <w:sz w:val="24"/>
          <w:szCs w:val="32"/>
          <w:highlight w:val="none"/>
        </w:rPr>
      </w:pPr>
    </w:p>
    <w:p>
      <w:pPr>
        <w:pStyle w:val="2"/>
        <w:rPr>
          <w:rFonts w:hint="eastAsia" w:ascii="宋体" w:hAnsi="宋体" w:eastAsia="宋体" w:cs="宋体"/>
          <w:b/>
          <w:bCs/>
          <w:sz w:val="24"/>
          <w:szCs w:val="32"/>
          <w:highlight w:val="none"/>
        </w:rPr>
      </w:pPr>
    </w:p>
    <w:p>
      <w:pPr>
        <w:pStyle w:val="2"/>
        <w:rPr>
          <w:rFonts w:hint="eastAsia" w:ascii="宋体" w:hAnsi="宋体" w:eastAsia="宋体" w:cs="宋体"/>
          <w:b/>
          <w:bCs/>
          <w:sz w:val="24"/>
          <w:szCs w:val="32"/>
          <w:highlight w:val="none"/>
        </w:rPr>
      </w:pPr>
    </w:p>
    <w:p>
      <w:pPr>
        <w:jc w:val="left"/>
        <w:rPr>
          <w:rFonts w:hint="eastAsia"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附：</w:t>
      </w:r>
    </w:p>
    <w:p>
      <w:pPr>
        <w:jc w:val="center"/>
        <w:rPr>
          <w:rFonts w:hint="eastAsia"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中小微企业划型标准</w:t>
      </w:r>
    </w:p>
    <w:p>
      <w:pPr>
        <w:ind w:left="1871"/>
        <w:rPr>
          <w:rFonts w:hint="eastAsia" w:ascii="宋体" w:hAnsi="宋体" w:eastAsia="宋体" w:cs="宋体"/>
          <w:sz w:val="24"/>
          <w:szCs w:val="24"/>
          <w:highlight w:val="none"/>
        </w:rPr>
      </w:pPr>
    </w:p>
    <w:tbl>
      <w:tblPr>
        <w:tblStyle w:val="25"/>
        <w:tblW w:w="9378" w:type="dxa"/>
        <w:jc w:val="center"/>
        <w:tblLayout w:type="fixed"/>
        <w:tblCellMar>
          <w:top w:w="0" w:type="dxa"/>
          <w:left w:w="108" w:type="dxa"/>
          <w:bottom w:w="0" w:type="dxa"/>
          <w:right w:w="108" w:type="dxa"/>
        </w:tblCellMar>
      </w:tblPr>
      <w:tblGrid>
        <w:gridCol w:w="1570"/>
        <w:gridCol w:w="1660"/>
        <w:gridCol w:w="1466"/>
        <w:gridCol w:w="1903"/>
        <w:gridCol w:w="1692"/>
        <w:gridCol w:w="1087"/>
      </w:tblGrid>
      <w:tr>
        <w:tblPrEx>
          <w:tblCellMar>
            <w:top w:w="0" w:type="dxa"/>
            <w:left w:w="108" w:type="dxa"/>
            <w:bottom w:w="0" w:type="dxa"/>
            <w:right w:w="108" w:type="dxa"/>
          </w:tblCellMar>
        </w:tblPrEx>
        <w:trPr>
          <w:trHeight w:val="252" w:hRule="atLeast"/>
          <w:jc w:val="center"/>
        </w:trPr>
        <w:tc>
          <w:tcPr>
            <w:tcW w:w="157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行业名称</w:t>
            </w:r>
          </w:p>
        </w:tc>
        <w:tc>
          <w:tcPr>
            <w:tcW w:w="1660"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指标名称</w:t>
            </w:r>
          </w:p>
        </w:tc>
        <w:tc>
          <w:tcPr>
            <w:tcW w:w="1466"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计量单位</w:t>
            </w:r>
          </w:p>
        </w:tc>
        <w:tc>
          <w:tcPr>
            <w:tcW w:w="1903"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中型</w:t>
            </w:r>
          </w:p>
        </w:tc>
        <w:tc>
          <w:tcPr>
            <w:tcW w:w="169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小型</w:t>
            </w:r>
          </w:p>
        </w:tc>
        <w:tc>
          <w:tcPr>
            <w:tcW w:w="1087"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微型</w:t>
            </w:r>
          </w:p>
        </w:tc>
      </w:tr>
      <w:tr>
        <w:tblPrEx>
          <w:tblCellMar>
            <w:top w:w="0" w:type="dxa"/>
            <w:left w:w="108" w:type="dxa"/>
            <w:bottom w:w="0" w:type="dxa"/>
            <w:right w:w="108" w:type="dxa"/>
          </w:tblCellMar>
        </w:tblPrEx>
        <w:trPr>
          <w:trHeight w:val="199" w:hRule="atLeast"/>
          <w:jc w:val="center"/>
        </w:trPr>
        <w:tc>
          <w:tcPr>
            <w:tcW w:w="1570"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农、林、牧、渔</w:t>
            </w:r>
          </w:p>
        </w:tc>
        <w:tc>
          <w:tcPr>
            <w:tcW w:w="166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营业收入（Y）</w:t>
            </w:r>
          </w:p>
        </w:tc>
        <w:tc>
          <w:tcPr>
            <w:tcW w:w="1466"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万元</w:t>
            </w:r>
          </w:p>
        </w:tc>
        <w:tc>
          <w:tcPr>
            <w:tcW w:w="1903"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500≤Y＜20000</w:t>
            </w:r>
          </w:p>
        </w:tc>
        <w:tc>
          <w:tcPr>
            <w:tcW w:w="1692"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50≤Y＜500</w:t>
            </w:r>
          </w:p>
        </w:tc>
        <w:tc>
          <w:tcPr>
            <w:tcW w:w="1087"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Y＜50</w:t>
            </w:r>
          </w:p>
        </w:tc>
      </w:tr>
      <w:tr>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工业</w:t>
            </w:r>
          </w:p>
        </w:tc>
        <w:tc>
          <w:tcPr>
            <w:tcW w:w="166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从业人员（X）</w:t>
            </w:r>
          </w:p>
        </w:tc>
        <w:tc>
          <w:tcPr>
            <w:tcW w:w="1466"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人</w:t>
            </w:r>
          </w:p>
        </w:tc>
        <w:tc>
          <w:tcPr>
            <w:tcW w:w="1903"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300≤X＜1000</w:t>
            </w:r>
          </w:p>
        </w:tc>
        <w:tc>
          <w:tcPr>
            <w:tcW w:w="1692"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20≤X＜300</w:t>
            </w:r>
          </w:p>
        </w:tc>
        <w:tc>
          <w:tcPr>
            <w:tcW w:w="1087"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X＜20</w:t>
            </w:r>
          </w:p>
        </w:tc>
      </w:tr>
      <w:tr>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b/>
                <w:bCs/>
                <w:kern w:val="0"/>
                <w:sz w:val="24"/>
                <w:szCs w:val="24"/>
                <w:highlight w:val="none"/>
              </w:rPr>
            </w:pPr>
          </w:p>
        </w:tc>
        <w:tc>
          <w:tcPr>
            <w:tcW w:w="166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营业收入（Y）</w:t>
            </w:r>
          </w:p>
        </w:tc>
        <w:tc>
          <w:tcPr>
            <w:tcW w:w="1466"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万元</w:t>
            </w:r>
          </w:p>
        </w:tc>
        <w:tc>
          <w:tcPr>
            <w:tcW w:w="1903"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2000≤Y＜40000</w:t>
            </w:r>
          </w:p>
        </w:tc>
        <w:tc>
          <w:tcPr>
            <w:tcW w:w="1692"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300≤Y＜2000</w:t>
            </w:r>
          </w:p>
        </w:tc>
        <w:tc>
          <w:tcPr>
            <w:tcW w:w="1087"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Y＜300</w:t>
            </w:r>
          </w:p>
        </w:tc>
      </w:tr>
      <w:tr>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建筑业</w:t>
            </w:r>
          </w:p>
        </w:tc>
        <w:tc>
          <w:tcPr>
            <w:tcW w:w="166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营业收入（Y）</w:t>
            </w:r>
          </w:p>
        </w:tc>
        <w:tc>
          <w:tcPr>
            <w:tcW w:w="1466"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万元</w:t>
            </w:r>
          </w:p>
        </w:tc>
        <w:tc>
          <w:tcPr>
            <w:tcW w:w="1903"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6000≤Y＜80000</w:t>
            </w:r>
          </w:p>
        </w:tc>
        <w:tc>
          <w:tcPr>
            <w:tcW w:w="1692"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300≤Y＜6000</w:t>
            </w:r>
          </w:p>
        </w:tc>
        <w:tc>
          <w:tcPr>
            <w:tcW w:w="1087"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Y＜300</w:t>
            </w:r>
          </w:p>
        </w:tc>
      </w:tr>
      <w:tr>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b/>
                <w:bCs/>
                <w:kern w:val="0"/>
                <w:sz w:val="24"/>
                <w:szCs w:val="24"/>
                <w:highlight w:val="none"/>
              </w:rPr>
            </w:pPr>
          </w:p>
        </w:tc>
        <w:tc>
          <w:tcPr>
            <w:tcW w:w="166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资产总额（Z）</w:t>
            </w:r>
          </w:p>
        </w:tc>
        <w:tc>
          <w:tcPr>
            <w:tcW w:w="1466"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万元</w:t>
            </w:r>
          </w:p>
        </w:tc>
        <w:tc>
          <w:tcPr>
            <w:tcW w:w="1903"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5000≤Z＜80000</w:t>
            </w:r>
          </w:p>
        </w:tc>
        <w:tc>
          <w:tcPr>
            <w:tcW w:w="1692"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300≤Z＜5000</w:t>
            </w:r>
          </w:p>
        </w:tc>
        <w:tc>
          <w:tcPr>
            <w:tcW w:w="1087"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Z＜300</w:t>
            </w:r>
          </w:p>
        </w:tc>
      </w:tr>
      <w:tr>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批发业</w:t>
            </w:r>
          </w:p>
        </w:tc>
        <w:tc>
          <w:tcPr>
            <w:tcW w:w="166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从业人员（X）</w:t>
            </w:r>
          </w:p>
        </w:tc>
        <w:tc>
          <w:tcPr>
            <w:tcW w:w="1466"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人</w:t>
            </w:r>
          </w:p>
        </w:tc>
        <w:tc>
          <w:tcPr>
            <w:tcW w:w="1903"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20≤X＜200</w:t>
            </w:r>
          </w:p>
        </w:tc>
        <w:tc>
          <w:tcPr>
            <w:tcW w:w="1692"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5≤X＜20</w:t>
            </w:r>
          </w:p>
        </w:tc>
        <w:tc>
          <w:tcPr>
            <w:tcW w:w="1087"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X＜5</w:t>
            </w:r>
          </w:p>
        </w:tc>
      </w:tr>
      <w:tr>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b/>
                <w:bCs/>
                <w:kern w:val="0"/>
                <w:sz w:val="24"/>
                <w:szCs w:val="24"/>
                <w:highlight w:val="none"/>
              </w:rPr>
            </w:pPr>
          </w:p>
        </w:tc>
        <w:tc>
          <w:tcPr>
            <w:tcW w:w="166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营业收入（Y）</w:t>
            </w:r>
          </w:p>
        </w:tc>
        <w:tc>
          <w:tcPr>
            <w:tcW w:w="1466"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万元</w:t>
            </w:r>
          </w:p>
        </w:tc>
        <w:tc>
          <w:tcPr>
            <w:tcW w:w="1903"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5000≤Y＜40000</w:t>
            </w:r>
          </w:p>
        </w:tc>
        <w:tc>
          <w:tcPr>
            <w:tcW w:w="1692"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1000≤Y＜5000</w:t>
            </w:r>
          </w:p>
        </w:tc>
        <w:tc>
          <w:tcPr>
            <w:tcW w:w="1087"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Y＜1000</w:t>
            </w:r>
          </w:p>
        </w:tc>
      </w:tr>
      <w:tr>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零售业</w:t>
            </w:r>
          </w:p>
        </w:tc>
        <w:tc>
          <w:tcPr>
            <w:tcW w:w="166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从业人员（X）</w:t>
            </w:r>
          </w:p>
        </w:tc>
        <w:tc>
          <w:tcPr>
            <w:tcW w:w="1466"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人</w:t>
            </w:r>
          </w:p>
        </w:tc>
        <w:tc>
          <w:tcPr>
            <w:tcW w:w="1903"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50≤X＜300</w:t>
            </w:r>
          </w:p>
        </w:tc>
        <w:tc>
          <w:tcPr>
            <w:tcW w:w="1692"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10≤X＜50</w:t>
            </w:r>
          </w:p>
        </w:tc>
        <w:tc>
          <w:tcPr>
            <w:tcW w:w="1087"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X＜10</w:t>
            </w:r>
          </w:p>
        </w:tc>
      </w:tr>
      <w:tr>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b/>
                <w:bCs/>
                <w:kern w:val="0"/>
                <w:sz w:val="24"/>
                <w:szCs w:val="24"/>
                <w:highlight w:val="none"/>
              </w:rPr>
            </w:pPr>
          </w:p>
        </w:tc>
        <w:tc>
          <w:tcPr>
            <w:tcW w:w="166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营业收入（Y）</w:t>
            </w:r>
          </w:p>
        </w:tc>
        <w:tc>
          <w:tcPr>
            <w:tcW w:w="1466"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万元</w:t>
            </w:r>
          </w:p>
        </w:tc>
        <w:tc>
          <w:tcPr>
            <w:tcW w:w="1903"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500≤Y＜20000</w:t>
            </w:r>
          </w:p>
        </w:tc>
        <w:tc>
          <w:tcPr>
            <w:tcW w:w="1692"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100≤Y＜500</w:t>
            </w:r>
          </w:p>
        </w:tc>
        <w:tc>
          <w:tcPr>
            <w:tcW w:w="1087"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Y＜100</w:t>
            </w:r>
          </w:p>
        </w:tc>
      </w:tr>
      <w:tr>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交通运输业</w:t>
            </w:r>
          </w:p>
        </w:tc>
        <w:tc>
          <w:tcPr>
            <w:tcW w:w="166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从业人员（X）</w:t>
            </w:r>
          </w:p>
        </w:tc>
        <w:tc>
          <w:tcPr>
            <w:tcW w:w="1466"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人</w:t>
            </w:r>
          </w:p>
        </w:tc>
        <w:tc>
          <w:tcPr>
            <w:tcW w:w="1903"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300≤X＜1000</w:t>
            </w:r>
          </w:p>
        </w:tc>
        <w:tc>
          <w:tcPr>
            <w:tcW w:w="1692"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20≤X＜300</w:t>
            </w:r>
          </w:p>
        </w:tc>
        <w:tc>
          <w:tcPr>
            <w:tcW w:w="1087"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X＜20</w:t>
            </w:r>
          </w:p>
        </w:tc>
      </w:tr>
      <w:tr>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b/>
                <w:bCs/>
                <w:kern w:val="0"/>
                <w:sz w:val="24"/>
                <w:szCs w:val="24"/>
                <w:highlight w:val="none"/>
              </w:rPr>
            </w:pPr>
          </w:p>
        </w:tc>
        <w:tc>
          <w:tcPr>
            <w:tcW w:w="166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营业收入（Y）</w:t>
            </w:r>
          </w:p>
        </w:tc>
        <w:tc>
          <w:tcPr>
            <w:tcW w:w="1466"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万元</w:t>
            </w:r>
          </w:p>
        </w:tc>
        <w:tc>
          <w:tcPr>
            <w:tcW w:w="1903"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3000≤Y＜30000</w:t>
            </w:r>
          </w:p>
        </w:tc>
        <w:tc>
          <w:tcPr>
            <w:tcW w:w="1692"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200≤Y＜3000</w:t>
            </w:r>
          </w:p>
        </w:tc>
        <w:tc>
          <w:tcPr>
            <w:tcW w:w="1087"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Y＜200</w:t>
            </w:r>
          </w:p>
        </w:tc>
      </w:tr>
      <w:tr>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仓储业</w:t>
            </w:r>
          </w:p>
        </w:tc>
        <w:tc>
          <w:tcPr>
            <w:tcW w:w="166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从业人员（X）</w:t>
            </w:r>
          </w:p>
        </w:tc>
        <w:tc>
          <w:tcPr>
            <w:tcW w:w="1466"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人</w:t>
            </w:r>
          </w:p>
        </w:tc>
        <w:tc>
          <w:tcPr>
            <w:tcW w:w="1903"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100≤X＜200</w:t>
            </w:r>
          </w:p>
        </w:tc>
        <w:tc>
          <w:tcPr>
            <w:tcW w:w="1692"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20≤X＜100</w:t>
            </w:r>
          </w:p>
        </w:tc>
        <w:tc>
          <w:tcPr>
            <w:tcW w:w="1087"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X＜20</w:t>
            </w:r>
          </w:p>
        </w:tc>
      </w:tr>
      <w:tr>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b/>
                <w:bCs/>
                <w:kern w:val="0"/>
                <w:sz w:val="24"/>
                <w:szCs w:val="24"/>
                <w:highlight w:val="none"/>
              </w:rPr>
            </w:pPr>
          </w:p>
        </w:tc>
        <w:tc>
          <w:tcPr>
            <w:tcW w:w="166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营业收入（Y）</w:t>
            </w:r>
          </w:p>
        </w:tc>
        <w:tc>
          <w:tcPr>
            <w:tcW w:w="1466"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万元</w:t>
            </w:r>
          </w:p>
        </w:tc>
        <w:tc>
          <w:tcPr>
            <w:tcW w:w="1903"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1000≤Y＜30000</w:t>
            </w:r>
          </w:p>
        </w:tc>
        <w:tc>
          <w:tcPr>
            <w:tcW w:w="1692"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100≤Y＜1000</w:t>
            </w:r>
          </w:p>
        </w:tc>
        <w:tc>
          <w:tcPr>
            <w:tcW w:w="1087"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Y＜100</w:t>
            </w:r>
          </w:p>
        </w:tc>
      </w:tr>
      <w:tr>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邮政业</w:t>
            </w:r>
          </w:p>
        </w:tc>
        <w:tc>
          <w:tcPr>
            <w:tcW w:w="166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从业人员（X）</w:t>
            </w:r>
          </w:p>
        </w:tc>
        <w:tc>
          <w:tcPr>
            <w:tcW w:w="1466"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人</w:t>
            </w:r>
          </w:p>
        </w:tc>
        <w:tc>
          <w:tcPr>
            <w:tcW w:w="1903"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300≤X＜1000</w:t>
            </w:r>
          </w:p>
        </w:tc>
        <w:tc>
          <w:tcPr>
            <w:tcW w:w="1692"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20≤X＜300</w:t>
            </w:r>
          </w:p>
        </w:tc>
        <w:tc>
          <w:tcPr>
            <w:tcW w:w="1087"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X＜20</w:t>
            </w:r>
          </w:p>
        </w:tc>
      </w:tr>
      <w:tr>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b/>
                <w:bCs/>
                <w:kern w:val="0"/>
                <w:sz w:val="24"/>
                <w:szCs w:val="24"/>
                <w:highlight w:val="none"/>
              </w:rPr>
            </w:pPr>
          </w:p>
        </w:tc>
        <w:tc>
          <w:tcPr>
            <w:tcW w:w="166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营业收入（Y）</w:t>
            </w:r>
          </w:p>
        </w:tc>
        <w:tc>
          <w:tcPr>
            <w:tcW w:w="1466"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万元</w:t>
            </w:r>
          </w:p>
        </w:tc>
        <w:tc>
          <w:tcPr>
            <w:tcW w:w="1903"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2000≤Y＜30000</w:t>
            </w:r>
          </w:p>
        </w:tc>
        <w:tc>
          <w:tcPr>
            <w:tcW w:w="1692"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100≤Y＜2000</w:t>
            </w:r>
          </w:p>
        </w:tc>
        <w:tc>
          <w:tcPr>
            <w:tcW w:w="1087"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Y＜100</w:t>
            </w:r>
          </w:p>
        </w:tc>
      </w:tr>
      <w:tr>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住宿业</w:t>
            </w:r>
          </w:p>
        </w:tc>
        <w:tc>
          <w:tcPr>
            <w:tcW w:w="166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从业人员（X）</w:t>
            </w:r>
          </w:p>
        </w:tc>
        <w:tc>
          <w:tcPr>
            <w:tcW w:w="1466"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人</w:t>
            </w:r>
          </w:p>
        </w:tc>
        <w:tc>
          <w:tcPr>
            <w:tcW w:w="1903"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100≤X＜300</w:t>
            </w:r>
          </w:p>
        </w:tc>
        <w:tc>
          <w:tcPr>
            <w:tcW w:w="1692"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10≤X＜100</w:t>
            </w:r>
          </w:p>
        </w:tc>
        <w:tc>
          <w:tcPr>
            <w:tcW w:w="1087"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X＜10</w:t>
            </w:r>
          </w:p>
        </w:tc>
      </w:tr>
      <w:tr>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b/>
                <w:bCs/>
                <w:kern w:val="0"/>
                <w:sz w:val="24"/>
                <w:szCs w:val="24"/>
                <w:highlight w:val="none"/>
              </w:rPr>
            </w:pPr>
          </w:p>
        </w:tc>
        <w:tc>
          <w:tcPr>
            <w:tcW w:w="166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营业收入（Y）</w:t>
            </w:r>
          </w:p>
        </w:tc>
        <w:tc>
          <w:tcPr>
            <w:tcW w:w="1466"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万元</w:t>
            </w:r>
          </w:p>
        </w:tc>
        <w:tc>
          <w:tcPr>
            <w:tcW w:w="1903"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2000≤Y＜10000</w:t>
            </w:r>
          </w:p>
        </w:tc>
        <w:tc>
          <w:tcPr>
            <w:tcW w:w="1692"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100≤Y＜2000</w:t>
            </w:r>
          </w:p>
        </w:tc>
        <w:tc>
          <w:tcPr>
            <w:tcW w:w="1087"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Y＜100</w:t>
            </w:r>
          </w:p>
        </w:tc>
      </w:tr>
      <w:tr>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餐饮业</w:t>
            </w:r>
          </w:p>
        </w:tc>
        <w:tc>
          <w:tcPr>
            <w:tcW w:w="166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从业人员（X）</w:t>
            </w:r>
          </w:p>
        </w:tc>
        <w:tc>
          <w:tcPr>
            <w:tcW w:w="1466"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人</w:t>
            </w:r>
          </w:p>
        </w:tc>
        <w:tc>
          <w:tcPr>
            <w:tcW w:w="1903"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100≤X＜300</w:t>
            </w:r>
          </w:p>
        </w:tc>
        <w:tc>
          <w:tcPr>
            <w:tcW w:w="1692"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10≤X＜100</w:t>
            </w:r>
          </w:p>
        </w:tc>
        <w:tc>
          <w:tcPr>
            <w:tcW w:w="1087"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X＜10</w:t>
            </w:r>
          </w:p>
        </w:tc>
      </w:tr>
      <w:tr>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b/>
                <w:bCs/>
                <w:kern w:val="0"/>
                <w:sz w:val="24"/>
                <w:szCs w:val="24"/>
                <w:highlight w:val="none"/>
              </w:rPr>
            </w:pPr>
          </w:p>
        </w:tc>
        <w:tc>
          <w:tcPr>
            <w:tcW w:w="166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营业收入（Y）</w:t>
            </w:r>
          </w:p>
        </w:tc>
        <w:tc>
          <w:tcPr>
            <w:tcW w:w="1466"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万元</w:t>
            </w:r>
          </w:p>
        </w:tc>
        <w:tc>
          <w:tcPr>
            <w:tcW w:w="1903"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2000≤Y＜10000</w:t>
            </w:r>
          </w:p>
        </w:tc>
        <w:tc>
          <w:tcPr>
            <w:tcW w:w="1692"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100≤Y＜2000</w:t>
            </w:r>
          </w:p>
        </w:tc>
        <w:tc>
          <w:tcPr>
            <w:tcW w:w="1087"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Y＜100</w:t>
            </w:r>
          </w:p>
        </w:tc>
      </w:tr>
      <w:tr>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信息传输业</w:t>
            </w:r>
          </w:p>
        </w:tc>
        <w:tc>
          <w:tcPr>
            <w:tcW w:w="166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从业人员（X）</w:t>
            </w:r>
          </w:p>
        </w:tc>
        <w:tc>
          <w:tcPr>
            <w:tcW w:w="1466"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人</w:t>
            </w:r>
          </w:p>
        </w:tc>
        <w:tc>
          <w:tcPr>
            <w:tcW w:w="1903"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100≤X＜2000</w:t>
            </w:r>
          </w:p>
        </w:tc>
        <w:tc>
          <w:tcPr>
            <w:tcW w:w="1692"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10≤X＜100</w:t>
            </w:r>
          </w:p>
        </w:tc>
        <w:tc>
          <w:tcPr>
            <w:tcW w:w="1087"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X＜10</w:t>
            </w:r>
          </w:p>
        </w:tc>
      </w:tr>
      <w:tr>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b/>
                <w:bCs/>
                <w:kern w:val="0"/>
                <w:sz w:val="24"/>
                <w:szCs w:val="24"/>
                <w:highlight w:val="none"/>
              </w:rPr>
            </w:pPr>
          </w:p>
        </w:tc>
        <w:tc>
          <w:tcPr>
            <w:tcW w:w="166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营业收入（Y）</w:t>
            </w:r>
          </w:p>
        </w:tc>
        <w:tc>
          <w:tcPr>
            <w:tcW w:w="1466"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万元</w:t>
            </w:r>
          </w:p>
        </w:tc>
        <w:tc>
          <w:tcPr>
            <w:tcW w:w="1903"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1000≤Y＜100000</w:t>
            </w:r>
          </w:p>
        </w:tc>
        <w:tc>
          <w:tcPr>
            <w:tcW w:w="1692"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100≤Y＜1000</w:t>
            </w:r>
          </w:p>
        </w:tc>
        <w:tc>
          <w:tcPr>
            <w:tcW w:w="1087"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Y＜100</w:t>
            </w:r>
          </w:p>
        </w:tc>
      </w:tr>
      <w:tr>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软件和信息技术服务业</w:t>
            </w:r>
          </w:p>
        </w:tc>
        <w:tc>
          <w:tcPr>
            <w:tcW w:w="166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从业人员（X）</w:t>
            </w:r>
          </w:p>
        </w:tc>
        <w:tc>
          <w:tcPr>
            <w:tcW w:w="1466"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人</w:t>
            </w:r>
          </w:p>
        </w:tc>
        <w:tc>
          <w:tcPr>
            <w:tcW w:w="1903"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100≤X＜300</w:t>
            </w:r>
          </w:p>
        </w:tc>
        <w:tc>
          <w:tcPr>
            <w:tcW w:w="1692"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10≤X＜100</w:t>
            </w:r>
          </w:p>
        </w:tc>
        <w:tc>
          <w:tcPr>
            <w:tcW w:w="1087"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X＜10</w:t>
            </w:r>
          </w:p>
        </w:tc>
      </w:tr>
      <w:tr>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b/>
                <w:bCs/>
                <w:kern w:val="0"/>
                <w:sz w:val="24"/>
                <w:szCs w:val="24"/>
                <w:highlight w:val="none"/>
              </w:rPr>
            </w:pPr>
          </w:p>
        </w:tc>
        <w:tc>
          <w:tcPr>
            <w:tcW w:w="166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营业收入（Y）</w:t>
            </w:r>
          </w:p>
        </w:tc>
        <w:tc>
          <w:tcPr>
            <w:tcW w:w="1466"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万元</w:t>
            </w:r>
          </w:p>
        </w:tc>
        <w:tc>
          <w:tcPr>
            <w:tcW w:w="1903"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1000≤Y＜10000</w:t>
            </w:r>
          </w:p>
        </w:tc>
        <w:tc>
          <w:tcPr>
            <w:tcW w:w="1692"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50≤Y＜1000</w:t>
            </w:r>
          </w:p>
        </w:tc>
        <w:tc>
          <w:tcPr>
            <w:tcW w:w="1087"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Y＜50</w:t>
            </w:r>
          </w:p>
        </w:tc>
      </w:tr>
      <w:tr>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房地产开发经营</w:t>
            </w:r>
          </w:p>
        </w:tc>
        <w:tc>
          <w:tcPr>
            <w:tcW w:w="166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营业收入（Y）</w:t>
            </w:r>
          </w:p>
        </w:tc>
        <w:tc>
          <w:tcPr>
            <w:tcW w:w="1466"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万元</w:t>
            </w:r>
          </w:p>
        </w:tc>
        <w:tc>
          <w:tcPr>
            <w:tcW w:w="1903"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1000≤Y＜200000</w:t>
            </w:r>
          </w:p>
        </w:tc>
        <w:tc>
          <w:tcPr>
            <w:tcW w:w="1692"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100≤X＜1000</w:t>
            </w:r>
          </w:p>
        </w:tc>
        <w:tc>
          <w:tcPr>
            <w:tcW w:w="1087"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X＜100</w:t>
            </w:r>
          </w:p>
        </w:tc>
      </w:tr>
      <w:tr>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b/>
                <w:bCs/>
                <w:kern w:val="0"/>
                <w:sz w:val="24"/>
                <w:szCs w:val="24"/>
                <w:highlight w:val="none"/>
              </w:rPr>
            </w:pPr>
          </w:p>
        </w:tc>
        <w:tc>
          <w:tcPr>
            <w:tcW w:w="166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资产总额（Z）</w:t>
            </w:r>
          </w:p>
        </w:tc>
        <w:tc>
          <w:tcPr>
            <w:tcW w:w="1466"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万元</w:t>
            </w:r>
          </w:p>
        </w:tc>
        <w:tc>
          <w:tcPr>
            <w:tcW w:w="1903"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5000≤Z＜10000</w:t>
            </w:r>
          </w:p>
        </w:tc>
        <w:tc>
          <w:tcPr>
            <w:tcW w:w="1692"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2000≤Y＜5000</w:t>
            </w:r>
          </w:p>
        </w:tc>
        <w:tc>
          <w:tcPr>
            <w:tcW w:w="1087"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Y＜2000</w:t>
            </w:r>
          </w:p>
        </w:tc>
      </w:tr>
      <w:tr>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物业管理</w:t>
            </w:r>
          </w:p>
        </w:tc>
        <w:tc>
          <w:tcPr>
            <w:tcW w:w="166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从业人员（X）</w:t>
            </w:r>
          </w:p>
        </w:tc>
        <w:tc>
          <w:tcPr>
            <w:tcW w:w="1466"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人</w:t>
            </w:r>
          </w:p>
        </w:tc>
        <w:tc>
          <w:tcPr>
            <w:tcW w:w="1903"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300≤X＜1000</w:t>
            </w:r>
          </w:p>
        </w:tc>
        <w:tc>
          <w:tcPr>
            <w:tcW w:w="1692"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100≤X＜300</w:t>
            </w:r>
          </w:p>
        </w:tc>
        <w:tc>
          <w:tcPr>
            <w:tcW w:w="1087"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X＜100</w:t>
            </w:r>
          </w:p>
        </w:tc>
      </w:tr>
      <w:tr>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b/>
                <w:bCs/>
                <w:kern w:val="0"/>
                <w:sz w:val="24"/>
                <w:szCs w:val="24"/>
                <w:highlight w:val="none"/>
              </w:rPr>
            </w:pPr>
          </w:p>
        </w:tc>
        <w:tc>
          <w:tcPr>
            <w:tcW w:w="166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营业收入（Y）</w:t>
            </w:r>
          </w:p>
        </w:tc>
        <w:tc>
          <w:tcPr>
            <w:tcW w:w="1466"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万元</w:t>
            </w:r>
          </w:p>
        </w:tc>
        <w:tc>
          <w:tcPr>
            <w:tcW w:w="1903"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1000≤Y＜5000</w:t>
            </w:r>
          </w:p>
        </w:tc>
        <w:tc>
          <w:tcPr>
            <w:tcW w:w="1692"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500≤Y＜1000</w:t>
            </w:r>
          </w:p>
        </w:tc>
        <w:tc>
          <w:tcPr>
            <w:tcW w:w="1087"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Y＜500</w:t>
            </w:r>
          </w:p>
        </w:tc>
      </w:tr>
      <w:tr>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租赁和商务服务业</w:t>
            </w:r>
          </w:p>
        </w:tc>
        <w:tc>
          <w:tcPr>
            <w:tcW w:w="166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从业人员（X）</w:t>
            </w:r>
          </w:p>
        </w:tc>
        <w:tc>
          <w:tcPr>
            <w:tcW w:w="1466"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人</w:t>
            </w:r>
          </w:p>
        </w:tc>
        <w:tc>
          <w:tcPr>
            <w:tcW w:w="1903"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100≤X＜300</w:t>
            </w:r>
          </w:p>
        </w:tc>
        <w:tc>
          <w:tcPr>
            <w:tcW w:w="1692"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10≤X＜100</w:t>
            </w:r>
          </w:p>
        </w:tc>
        <w:tc>
          <w:tcPr>
            <w:tcW w:w="1087"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X＜10</w:t>
            </w:r>
          </w:p>
        </w:tc>
      </w:tr>
      <w:tr>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b/>
                <w:bCs/>
                <w:kern w:val="0"/>
                <w:sz w:val="24"/>
                <w:szCs w:val="24"/>
                <w:highlight w:val="none"/>
              </w:rPr>
            </w:pPr>
          </w:p>
        </w:tc>
        <w:tc>
          <w:tcPr>
            <w:tcW w:w="166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资产总额（Z）</w:t>
            </w:r>
          </w:p>
        </w:tc>
        <w:tc>
          <w:tcPr>
            <w:tcW w:w="1466"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万元</w:t>
            </w:r>
          </w:p>
        </w:tc>
        <w:tc>
          <w:tcPr>
            <w:tcW w:w="1903"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8000≤Z＜120000</w:t>
            </w:r>
          </w:p>
        </w:tc>
        <w:tc>
          <w:tcPr>
            <w:tcW w:w="1692"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100≤Z＜8000</w:t>
            </w:r>
          </w:p>
        </w:tc>
        <w:tc>
          <w:tcPr>
            <w:tcW w:w="1087"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Y＜100</w:t>
            </w:r>
          </w:p>
        </w:tc>
      </w:tr>
      <w:tr>
        <w:tblPrEx>
          <w:tblCellMar>
            <w:top w:w="0" w:type="dxa"/>
            <w:left w:w="108" w:type="dxa"/>
            <w:bottom w:w="0" w:type="dxa"/>
            <w:right w:w="108" w:type="dxa"/>
          </w:tblCellMar>
        </w:tblPrEx>
        <w:trPr>
          <w:trHeight w:val="199" w:hRule="atLeast"/>
          <w:jc w:val="center"/>
        </w:trPr>
        <w:tc>
          <w:tcPr>
            <w:tcW w:w="1570"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其他未列明行业</w:t>
            </w:r>
          </w:p>
        </w:tc>
        <w:tc>
          <w:tcPr>
            <w:tcW w:w="166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从业人员（X）</w:t>
            </w:r>
          </w:p>
        </w:tc>
        <w:tc>
          <w:tcPr>
            <w:tcW w:w="1466"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人</w:t>
            </w:r>
          </w:p>
        </w:tc>
        <w:tc>
          <w:tcPr>
            <w:tcW w:w="1903"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100≤X＜300</w:t>
            </w:r>
          </w:p>
        </w:tc>
        <w:tc>
          <w:tcPr>
            <w:tcW w:w="1692"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10≤X＜100</w:t>
            </w:r>
          </w:p>
        </w:tc>
        <w:tc>
          <w:tcPr>
            <w:tcW w:w="1087"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X＜10</w:t>
            </w:r>
          </w:p>
        </w:tc>
      </w:tr>
    </w:tbl>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说明：上述标准参照《关于印发中小企业划型标准规定的通知》（工信部联企业[2011]300号），大型、中型和小型企业须同时满足所列指标的下限，否则下划一档；微型企业只须满足所列指标中的一项即可。</w:t>
      </w:r>
    </w:p>
    <w:p>
      <w:pPr>
        <w:spacing w:line="360" w:lineRule="auto"/>
        <w:ind w:firstLine="480" w:firstLineChars="200"/>
        <w:textAlignment w:val="center"/>
        <w:rPr>
          <w:rFonts w:hint="eastAsia" w:ascii="宋体" w:hAnsi="宋体" w:eastAsia="宋体" w:cs="宋体"/>
          <w:sz w:val="24"/>
          <w:szCs w:val="24"/>
          <w:highlight w:val="none"/>
        </w:rPr>
      </w:pPr>
      <w:r>
        <w:rPr>
          <w:rFonts w:hint="eastAsia" w:ascii="宋体" w:hAnsi="宋体" w:eastAsia="宋体" w:cs="宋体"/>
          <w:sz w:val="24"/>
          <w:szCs w:val="24"/>
          <w:highlight w:val="none"/>
        </w:rPr>
        <w:t>本谈判文件所称中小企业，是指在中华人民共和国境内依法设立，依据国务院批准的</w:t>
      </w:r>
    </w:p>
    <w:p>
      <w:pPr>
        <w:spacing w:line="360" w:lineRule="auto"/>
        <w:ind w:firstLine="480" w:firstLineChars="200"/>
        <w:textAlignment w:val="center"/>
        <w:rPr>
          <w:rFonts w:hint="eastAsia" w:ascii="宋体" w:hAnsi="宋体" w:eastAsia="宋体" w:cs="宋体"/>
          <w:sz w:val="24"/>
          <w:szCs w:val="24"/>
          <w:highlight w:val="none"/>
        </w:rPr>
      </w:pPr>
      <w:r>
        <w:rPr>
          <w:rFonts w:hint="eastAsia" w:ascii="宋体" w:hAnsi="宋体" w:eastAsia="宋体" w:cs="宋体"/>
          <w:sz w:val="24"/>
          <w:szCs w:val="24"/>
          <w:highlight w:val="none"/>
        </w:rPr>
        <w:t>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货物、工程或者服务符合下列情形的，享受本谈判文件规定的中小企业扶持政策：</w:t>
      </w:r>
    </w:p>
    <w:p>
      <w:pPr>
        <w:spacing w:line="360" w:lineRule="auto"/>
        <w:ind w:firstLine="480" w:firstLineChars="200"/>
        <w:contextualSpacing/>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（1）在货物采购项目中，货物由中小企业制造，即货物由中小企业生产且使用该中小企业商号或者注册商标，不对其中涉及的工程承建商和服务的承接商作出要求；</w:t>
      </w:r>
    </w:p>
    <w:p>
      <w:pPr>
        <w:spacing w:line="360" w:lineRule="auto"/>
        <w:ind w:firstLine="480" w:firstLineChars="200"/>
        <w:contextualSpacing/>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（2）在工程采购项目中，工程由中小企业承建，即工程施工单位为中小企业，不对其中涉及的货物的制造商和服务的承接商作出要求；</w:t>
      </w:r>
    </w:p>
    <w:p>
      <w:pPr>
        <w:spacing w:line="360" w:lineRule="auto"/>
        <w:ind w:firstLine="480" w:firstLineChars="200"/>
        <w:contextualSpacing/>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（3）在服务采购项目中，服务由中小企业承接，即提供服务的人员为中小企业依照《中华人民共和国劳动合同法》订立劳动合同的从业人员，不对其中涉及的货物的制造商和工程承建商作出要求。</w:t>
      </w:r>
    </w:p>
    <w:p>
      <w:pPr>
        <w:spacing w:line="360" w:lineRule="auto"/>
        <w:ind w:firstLine="480" w:firstLineChars="200"/>
        <w:textAlignment w:val="center"/>
        <w:rPr>
          <w:rFonts w:hint="eastAsia" w:ascii="宋体" w:hAnsi="宋体" w:eastAsia="宋体" w:cs="宋体"/>
          <w:sz w:val="24"/>
          <w:szCs w:val="24"/>
          <w:highlight w:val="none"/>
        </w:rPr>
      </w:pPr>
      <w:r>
        <w:rPr>
          <w:rFonts w:hint="eastAsia" w:ascii="宋体" w:hAnsi="宋体" w:eastAsia="宋体" w:cs="宋体"/>
          <w:sz w:val="24"/>
          <w:szCs w:val="24"/>
          <w:highlight w:val="none"/>
        </w:rPr>
        <w:t>在货物采购项目中，供应商提供的货物既有中小企业制造货物，也有大型企业制造货物的，不享受本谈判文件规定的中小企业扶持政策。以联合体形式参加政府采购活动，联合体各方均为中小企业的，联合体视同中小企业。其中，联合体各方均为小微企业的，联合体视同小微企业。</w:t>
      </w:r>
    </w:p>
    <w:p>
      <w:pPr>
        <w:spacing w:line="360" w:lineRule="auto"/>
        <w:ind w:firstLine="480" w:firstLineChars="200"/>
        <w:textAlignment w:val="center"/>
        <w:rPr>
          <w:rFonts w:hint="eastAsia" w:ascii="宋体" w:hAnsi="宋体" w:eastAsia="宋体" w:cs="宋体"/>
          <w:sz w:val="24"/>
          <w:szCs w:val="24"/>
          <w:highlight w:val="none"/>
        </w:rPr>
      </w:pPr>
      <w:r>
        <w:rPr>
          <w:rFonts w:hint="eastAsia" w:ascii="宋体" w:hAnsi="宋体" w:eastAsia="宋体" w:cs="宋体"/>
          <w:sz w:val="24"/>
          <w:szCs w:val="24"/>
          <w:highlight w:val="none"/>
        </w:rPr>
        <w:t>依据本谈判文件规定享受扶持政策获得政府采购合同的，小微企业不得将合同分包给大中型企业，中型企业不得将合同分包给大型企业。</w:t>
      </w:r>
    </w:p>
    <w:p>
      <w:pPr>
        <w:pStyle w:val="2"/>
        <w:rPr>
          <w:rFonts w:hint="eastAsia" w:ascii="宋体" w:hAnsi="宋体" w:eastAsia="宋体" w:cs="宋体"/>
          <w:b/>
          <w:bCs/>
          <w:sz w:val="24"/>
          <w:szCs w:val="32"/>
          <w:highlight w:val="none"/>
        </w:rPr>
      </w:pPr>
    </w:p>
    <w:p>
      <w:pPr>
        <w:tabs>
          <w:tab w:val="left" w:pos="5805"/>
        </w:tabs>
        <w:spacing w:line="450" w:lineRule="atLeast"/>
        <w:ind w:left="480" w:hanging="480" w:hangingChars="200"/>
        <w:rPr>
          <w:rFonts w:hint="eastAsia" w:ascii="宋体" w:hAnsi="宋体" w:eastAsia="宋体" w:cs="宋体"/>
          <w:i w:val="0"/>
          <w:iCs w:val="0"/>
          <w:color w:val="auto"/>
          <w:sz w:val="24"/>
          <w:highlight w:val="none"/>
        </w:rPr>
      </w:pPr>
    </w:p>
    <w:p>
      <w:pPr>
        <w:tabs>
          <w:tab w:val="left" w:pos="5805"/>
        </w:tabs>
        <w:spacing w:line="450" w:lineRule="atLeast"/>
        <w:ind w:left="500" w:hanging="420" w:hangingChars="200"/>
        <w:rPr>
          <w:rFonts w:hint="eastAsia" w:ascii="宋体" w:hAnsi="宋体" w:eastAsia="宋体" w:cs="宋体"/>
          <w:i w:val="0"/>
          <w:iCs w:val="0"/>
          <w:color w:val="auto"/>
          <w:szCs w:val="21"/>
          <w:highlight w:val="none"/>
        </w:rPr>
      </w:pPr>
    </w:p>
    <w:p>
      <w:pPr>
        <w:pStyle w:val="9"/>
        <w:rPr>
          <w:rFonts w:hint="eastAsia" w:ascii="宋体" w:hAnsi="宋体" w:eastAsia="宋体" w:cs="宋体"/>
          <w:i w:val="0"/>
          <w:iCs w:val="0"/>
          <w:color w:val="auto"/>
          <w:szCs w:val="21"/>
          <w:highlight w:val="none"/>
        </w:rPr>
      </w:pPr>
    </w:p>
    <w:p>
      <w:pPr>
        <w:pStyle w:val="24"/>
        <w:rPr>
          <w:rFonts w:hint="eastAsia" w:ascii="宋体" w:hAnsi="宋体" w:eastAsia="宋体" w:cs="宋体"/>
          <w:i w:val="0"/>
          <w:iCs w:val="0"/>
          <w:color w:val="auto"/>
          <w:szCs w:val="21"/>
          <w:highlight w:val="none"/>
        </w:rPr>
      </w:pPr>
    </w:p>
    <w:p>
      <w:pPr>
        <w:rPr>
          <w:rFonts w:hint="eastAsia" w:ascii="宋体" w:hAnsi="宋体" w:eastAsia="宋体" w:cs="宋体"/>
          <w:i w:val="0"/>
          <w:iCs w:val="0"/>
          <w:color w:val="auto"/>
          <w:szCs w:val="21"/>
          <w:highlight w:val="none"/>
        </w:rPr>
      </w:pPr>
    </w:p>
    <w:p>
      <w:pPr>
        <w:pStyle w:val="2"/>
        <w:rPr>
          <w:rFonts w:hint="eastAsia" w:ascii="宋体" w:hAnsi="宋体" w:eastAsia="宋体" w:cs="宋体"/>
          <w:i w:val="0"/>
          <w:iCs w:val="0"/>
          <w:color w:val="auto"/>
          <w:szCs w:val="21"/>
          <w:highlight w:val="none"/>
        </w:rPr>
      </w:pPr>
    </w:p>
    <w:p>
      <w:pPr>
        <w:pStyle w:val="2"/>
        <w:rPr>
          <w:rFonts w:hint="eastAsia" w:ascii="宋体" w:hAnsi="宋体" w:eastAsia="宋体" w:cs="宋体"/>
          <w:i w:val="0"/>
          <w:iCs w:val="0"/>
          <w:color w:val="auto"/>
          <w:szCs w:val="21"/>
          <w:highlight w:val="none"/>
        </w:rPr>
      </w:pPr>
    </w:p>
    <w:p>
      <w:pPr>
        <w:pStyle w:val="2"/>
        <w:rPr>
          <w:rFonts w:hint="eastAsia" w:ascii="宋体" w:hAnsi="宋体" w:eastAsia="宋体" w:cs="宋体"/>
          <w:i w:val="0"/>
          <w:iCs w:val="0"/>
          <w:color w:val="auto"/>
          <w:szCs w:val="21"/>
          <w:highlight w:val="none"/>
        </w:rPr>
      </w:pPr>
    </w:p>
    <w:p>
      <w:pPr>
        <w:pStyle w:val="2"/>
        <w:rPr>
          <w:rFonts w:hint="eastAsia" w:ascii="宋体" w:hAnsi="宋体" w:eastAsia="宋体" w:cs="宋体"/>
          <w:i w:val="0"/>
          <w:iCs w:val="0"/>
          <w:color w:val="auto"/>
          <w:szCs w:val="21"/>
          <w:highlight w:val="none"/>
        </w:rPr>
      </w:pPr>
    </w:p>
    <w:p>
      <w:pPr>
        <w:pStyle w:val="2"/>
        <w:rPr>
          <w:rFonts w:hint="eastAsia" w:ascii="宋体" w:hAnsi="宋体" w:eastAsia="宋体" w:cs="宋体"/>
          <w:i w:val="0"/>
          <w:iCs w:val="0"/>
          <w:color w:val="auto"/>
          <w:szCs w:val="21"/>
          <w:highlight w:val="none"/>
        </w:rPr>
      </w:pPr>
    </w:p>
    <w:p>
      <w:pPr>
        <w:pStyle w:val="2"/>
        <w:rPr>
          <w:rFonts w:hint="eastAsia" w:ascii="宋体" w:hAnsi="宋体" w:eastAsia="宋体" w:cs="宋体"/>
          <w:i w:val="0"/>
          <w:iCs w:val="0"/>
          <w:color w:val="auto"/>
          <w:szCs w:val="21"/>
          <w:highlight w:val="none"/>
        </w:rPr>
      </w:pPr>
    </w:p>
    <w:p>
      <w:pPr>
        <w:pStyle w:val="2"/>
        <w:rPr>
          <w:rFonts w:hint="eastAsia" w:ascii="宋体" w:hAnsi="宋体" w:eastAsia="宋体" w:cs="宋体"/>
          <w:i w:val="0"/>
          <w:iCs w:val="0"/>
          <w:color w:val="auto"/>
          <w:szCs w:val="21"/>
          <w:highlight w:val="none"/>
        </w:rPr>
      </w:pPr>
    </w:p>
    <w:p>
      <w:pPr>
        <w:pStyle w:val="2"/>
        <w:rPr>
          <w:rFonts w:hint="eastAsia" w:ascii="宋体" w:hAnsi="宋体" w:eastAsia="宋体" w:cs="宋体"/>
          <w:i w:val="0"/>
          <w:iCs w:val="0"/>
          <w:color w:val="auto"/>
          <w:szCs w:val="21"/>
          <w:highlight w:val="none"/>
        </w:rPr>
      </w:pPr>
    </w:p>
    <w:p>
      <w:pPr>
        <w:pStyle w:val="2"/>
        <w:rPr>
          <w:rFonts w:hint="eastAsia" w:ascii="宋体" w:hAnsi="宋体" w:eastAsia="宋体" w:cs="宋体"/>
          <w:i w:val="0"/>
          <w:iCs w:val="0"/>
          <w:color w:val="auto"/>
          <w:szCs w:val="21"/>
          <w:highlight w:val="none"/>
        </w:rPr>
      </w:pPr>
    </w:p>
    <w:p>
      <w:pPr>
        <w:pStyle w:val="2"/>
        <w:rPr>
          <w:rFonts w:hint="eastAsia" w:ascii="宋体" w:hAnsi="宋体" w:eastAsia="宋体" w:cs="宋体"/>
          <w:i w:val="0"/>
          <w:iCs w:val="0"/>
          <w:color w:val="auto"/>
          <w:szCs w:val="21"/>
          <w:highlight w:val="none"/>
        </w:rPr>
      </w:pPr>
    </w:p>
    <w:p>
      <w:pPr>
        <w:rPr>
          <w:rFonts w:hint="eastAsia" w:ascii="宋体" w:hAnsi="宋体" w:eastAsia="宋体" w:cs="宋体"/>
          <w:i w:val="0"/>
          <w:iCs w:val="0"/>
          <w:color w:val="auto"/>
          <w:szCs w:val="21"/>
          <w:highlight w:val="none"/>
        </w:rPr>
      </w:pPr>
    </w:p>
    <w:p>
      <w:pPr>
        <w:tabs>
          <w:tab w:val="center" w:pos="7115"/>
          <w:tab w:val="right" w:pos="14230"/>
        </w:tabs>
        <w:spacing w:line="360" w:lineRule="auto"/>
        <w:jc w:val="center"/>
        <w:outlineLvl w:val="1"/>
        <w:rPr>
          <w:rFonts w:hint="eastAsia" w:ascii="宋体" w:hAnsi="宋体" w:eastAsia="宋体" w:cs="宋体"/>
          <w:b/>
          <w:i w:val="0"/>
          <w:iCs w:val="0"/>
          <w:color w:val="auto"/>
          <w:spacing w:val="20"/>
          <w:sz w:val="32"/>
          <w:highlight w:val="none"/>
          <w:lang w:val="en-US" w:eastAsia="zh-CN"/>
        </w:rPr>
      </w:pPr>
      <w:bookmarkStart w:id="150" w:name="_Toc32471"/>
      <w:r>
        <w:rPr>
          <w:rFonts w:hint="eastAsia" w:ascii="宋体" w:hAnsi="宋体" w:eastAsia="宋体" w:cs="宋体"/>
          <w:b/>
          <w:i w:val="0"/>
          <w:iCs w:val="0"/>
          <w:color w:val="auto"/>
          <w:spacing w:val="20"/>
          <w:sz w:val="32"/>
          <w:highlight w:val="none"/>
          <w:lang w:val="en-US" w:eastAsia="zh-CN"/>
        </w:rPr>
        <w:t>（八）其他材料</w:t>
      </w:r>
      <w:bookmarkEnd w:id="150"/>
    </w:p>
    <w:p>
      <w:pPr>
        <w:pStyle w:val="24"/>
        <w:numPr>
          <w:ilvl w:val="0"/>
          <w:numId w:val="0"/>
        </w:numPr>
        <w:ind w:leftChars="0"/>
        <w:jc w:val="center"/>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供应商认为有必要提供的声明及文件资料</w:t>
      </w:r>
    </w:p>
    <w:p>
      <w:pPr>
        <w:pStyle w:val="21"/>
        <w:rPr>
          <w:rFonts w:hint="eastAsia" w:ascii="宋体" w:hAnsi="宋体" w:eastAsia="宋体" w:cs="宋体"/>
          <w:i w:val="0"/>
          <w:iCs w:val="0"/>
          <w:color w:val="auto"/>
          <w:kern w:val="2"/>
          <w:sz w:val="24"/>
          <w:szCs w:val="24"/>
          <w:highlight w:val="none"/>
          <w:lang w:val="en-US" w:eastAsia="zh-CN" w:bidi="ar-SA"/>
        </w:rPr>
      </w:pPr>
    </w:p>
    <w:p>
      <w:pPr>
        <w:rPr>
          <w:rFonts w:hint="eastAsia" w:ascii="宋体" w:hAnsi="宋体" w:eastAsia="宋体" w:cs="宋体"/>
          <w:i w:val="0"/>
          <w:iCs w:val="0"/>
          <w:color w:val="auto"/>
          <w:kern w:val="2"/>
          <w:sz w:val="24"/>
          <w:szCs w:val="24"/>
          <w:highlight w:val="none"/>
          <w:lang w:val="en-US" w:eastAsia="zh-CN" w:bidi="ar-SA"/>
        </w:rPr>
      </w:pPr>
    </w:p>
    <w:p>
      <w:pPr>
        <w:pStyle w:val="2"/>
        <w:rPr>
          <w:rFonts w:hint="eastAsia" w:ascii="宋体" w:hAnsi="宋体" w:eastAsia="宋体" w:cs="宋体"/>
          <w:i w:val="0"/>
          <w:iCs w:val="0"/>
          <w:color w:val="auto"/>
          <w:kern w:val="2"/>
          <w:sz w:val="24"/>
          <w:szCs w:val="24"/>
          <w:highlight w:val="none"/>
          <w:lang w:val="en-US" w:eastAsia="zh-CN" w:bidi="ar-SA"/>
        </w:rPr>
      </w:pPr>
    </w:p>
    <w:p>
      <w:pPr>
        <w:pStyle w:val="2"/>
        <w:rPr>
          <w:rFonts w:hint="eastAsia" w:ascii="宋体" w:hAnsi="宋体" w:eastAsia="宋体" w:cs="宋体"/>
          <w:i w:val="0"/>
          <w:iCs w:val="0"/>
          <w:color w:val="auto"/>
          <w:kern w:val="2"/>
          <w:sz w:val="24"/>
          <w:szCs w:val="24"/>
          <w:highlight w:val="none"/>
          <w:lang w:val="en-US" w:eastAsia="zh-CN" w:bidi="ar-SA"/>
        </w:rPr>
      </w:pPr>
    </w:p>
    <w:p>
      <w:pPr>
        <w:pStyle w:val="2"/>
        <w:rPr>
          <w:rFonts w:hint="eastAsia" w:ascii="宋体" w:hAnsi="宋体" w:eastAsia="宋体" w:cs="宋体"/>
          <w:i w:val="0"/>
          <w:iCs w:val="0"/>
          <w:color w:val="auto"/>
          <w:kern w:val="2"/>
          <w:sz w:val="24"/>
          <w:szCs w:val="24"/>
          <w:highlight w:val="none"/>
          <w:lang w:val="en-US" w:eastAsia="zh-CN" w:bidi="ar-SA"/>
        </w:rPr>
      </w:pPr>
    </w:p>
    <w:p>
      <w:pPr>
        <w:pStyle w:val="2"/>
        <w:rPr>
          <w:rFonts w:hint="eastAsia" w:ascii="宋体" w:hAnsi="宋体" w:eastAsia="宋体" w:cs="宋体"/>
          <w:i w:val="0"/>
          <w:iCs w:val="0"/>
          <w:color w:val="auto"/>
          <w:kern w:val="2"/>
          <w:sz w:val="24"/>
          <w:szCs w:val="24"/>
          <w:highlight w:val="none"/>
          <w:lang w:val="en-US" w:eastAsia="zh-CN" w:bidi="ar-SA"/>
        </w:rPr>
      </w:pPr>
    </w:p>
    <w:p>
      <w:pPr>
        <w:pStyle w:val="2"/>
        <w:rPr>
          <w:rFonts w:hint="eastAsia" w:ascii="宋体" w:hAnsi="宋体" w:eastAsia="宋体" w:cs="宋体"/>
          <w:i w:val="0"/>
          <w:iCs w:val="0"/>
          <w:color w:val="auto"/>
          <w:kern w:val="2"/>
          <w:sz w:val="24"/>
          <w:szCs w:val="24"/>
          <w:highlight w:val="none"/>
          <w:lang w:val="en-US" w:eastAsia="zh-CN" w:bidi="ar-SA"/>
        </w:rPr>
      </w:pPr>
    </w:p>
    <w:p>
      <w:pPr>
        <w:pStyle w:val="2"/>
        <w:rPr>
          <w:rFonts w:hint="eastAsia" w:ascii="宋体" w:hAnsi="宋体" w:eastAsia="宋体" w:cs="宋体"/>
          <w:i w:val="0"/>
          <w:iCs w:val="0"/>
          <w:color w:val="auto"/>
          <w:kern w:val="2"/>
          <w:sz w:val="24"/>
          <w:szCs w:val="24"/>
          <w:highlight w:val="none"/>
          <w:lang w:val="en-US" w:eastAsia="zh-CN" w:bidi="ar-SA"/>
        </w:rPr>
      </w:pPr>
    </w:p>
    <w:p>
      <w:pPr>
        <w:pStyle w:val="2"/>
        <w:rPr>
          <w:rFonts w:hint="eastAsia" w:ascii="宋体" w:hAnsi="宋体" w:eastAsia="宋体" w:cs="宋体"/>
          <w:i w:val="0"/>
          <w:iCs w:val="0"/>
          <w:color w:val="auto"/>
          <w:kern w:val="2"/>
          <w:sz w:val="24"/>
          <w:szCs w:val="24"/>
          <w:highlight w:val="none"/>
          <w:lang w:val="en-US" w:eastAsia="zh-CN" w:bidi="ar-SA"/>
        </w:rPr>
      </w:pPr>
    </w:p>
    <w:p>
      <w:pPr>
        <w:pStyle w:val="2"/>
        <w:rPr>
          <w:rFonts w:hint="eastAsia" w:ascii="宋体" w:hAnsi="宋体" w:eastAsia="宋体" w:cs="宋体"/>
          <w:i w:val="0"/>
          <w:iCs w:val="0"/>
          <w:color w:val="auto"/>
          <w:kern w:val="2"/>
          <w:sz w:val="24"/>
          <w:szCs w:val="24"/>
          <w:highlight w:val="none"/>
          <w:lang w:val="en-US" w:eastAsia="zh-CN" w:bidi="ar-SA"/>
        </w:rPr>
      </w:pPr>
    </w:p>
    <w:p>
      <w:pPr>
        <w:pStyle w:val="2"/>
        <w:rPr>
          <w:rFonts w:hint="eastAsia" w:ascii="宋体" w:hAnsi="宋体" w:eastAsia="宋体" w:cs="宋体"/>
          <w:i w:val="0"/>
          <w:iCs w:val="0"/>
          <w:color w:val="auto"/>
          <w:kern w:val="2"/>
          <w:sz w:val="24"/>
          <w:szCs w:val="24"/>
          <w:highlight w:val="none"/>
          <w:lang w:val="en-US" w:eastAsia="zh-CN" w:bidi="ar-SA"/>
        </w:rPr>
      </w:pPr>
    </w:p>
    <w:p>
      <w:pPr>
        <w:pStyle w:val="2"/>
        <w:rPr>
          <w:rFonts w:hint="eastAsia" w:ascii="宋体" w:hAnsi="宋体" w:eastAsia="宋体" w:cs="宋体"/>
          <w:i w:val="0"/>
          <w:iCs w:val="0"/>
          <w:color w:val="auto"/>
          <w:kern w:val="2"/>
          <w:sz w:val="24"/>
          <w:szCs w:val="24"/>
          <w:highlight w:val="none"/>
          <w:lang w:val="en-US" w:eastAsia="zh-CN" w:bidi="ar-SA"/>
        </w:rPr>
      </w:pPr>
    </w:p>
    <w:p>
      <w:pPr>
        <w:pStyle w:val="2"/>
        <w:rPr>
          <w:rFonts w:hint="eastAsia" w:ascii="宋体" w:hAnsi="宋体" w:eastAsia="宋体" w:cs="宋体"/>
          <w:i w:val="0"/>
          <w:iCs w:val="0"/>
          <w:color w:val="auto"/>
          <w:kern w:val="2"/>
          <w:sz w:val="24"/>
          <w:szCs w:val="24"/>
          <w:highlight w:val="none"/>
          <w:lang w:val="en-US" w:eastAsia="zh-CN" w:bidi="ar-SA"/>
        </w:rPr>
      </w:pPr>
    </w:p>
    <w:p>
      <w:pPr>
        <w:pStyle w:val="2"/>
        <w:rPr>
          <w:rFonts w:hint="eastAsia" w:ascii="宋体" w:hAnsi="宋体" w:eastAsia="宋体" w:cs="宋体"/>
          <w:i w:val="0"/>
          <w:iCs w:val="0"/>
          <w:color w:val="auto"/>
          <w:kern w:val="2"/>
          <w:sz w:val="24"/>
          <w:szCs w:val="24"/>
          <w:highlight w:val="none"/>
          <w:lang w:val="en-US" w:eastAsia="zh-CN" w:bidi="ar-SA"/>
        </w:rPr>
      </w:pPr>
    </w:p>
    <w:p>
      <w:pPr>
        <w:pStyle w:val="2"/>
        <w:rPr>
          <w:rFonts w:hint="eastAsia" w:ascii="宋体" w:hAnsi="宋体" w:eastAsia="宋体" w:cs="宋体"/>
          <w:i w:val="0"/>
          <w:iCs w:val="0"/>
          <w:color w:val="auto"/>
          <w:kern w:val="2"/>
          <w:sz w:val="24"/>
          <w:szCs w:val="24"/>
          <w:highlight w:val="none"/>
          <w:lang w:val="en-US" w:eastAsia="zh-CN" w:bidi="ar-SA"/>
        </w:rPr>
      </w:pPr>
    </w:p>
    <w:p>
      <w:pPr>
        <w:pStyle w:val="2"/>
        <w:rPr>
          <w:rFonts w:hint="eastAsia" w:ascii="宋体" w:hAnsi="宋体" w:eastAsia="宋体" w:cs="宋体"/>
          <w:i w:val="0"/>
          <w:iCs w:val="0"/>
          <w:color w:val="auto"/>
          <w:kern w:val="2"/>
          <w:sz w:val="24"/>
          <w:szCs w:val="24"/>
          <w:highlight w:val="none"/>
          <w:lang w:val="en-US" w:eastAsia="zh-CN" w:bidi="ar-SA"/>
        </w:rPr>
      </w:pPr>
    </w:p>
    <w:p>
      <w:pPr>
        <w:pStyle w:val="2"/>
        <w:rPr>
          <w:rFonts w:hint="eastAsia" w:ascii="宋体" w:hAnsi="宋体" w:eastAsia="宋体" w:cs="宋体"/>
          <w:i w:val="0"/>
          <w:iCs w:val="0"/>
          <w:color w:val="auto"/>
          <w:kern w:val="2"/>
          <w:sz w:val="24"/>
          <w:szCs w:val="24"/>
          <w:highlight w:val="none"/>
          <w:lang w:val="en-US" w:eastAsia="zh-CN" w:bidi="ar-SA"/>
        </w:rPr>
      </w:pPr>
    </w:p>
    <w:p>
      <w:pPr>
        <w:pStyle w:val="21"/>
        <w:rPr>
          <w:rFonts w:hint="eastAsia" w:ascii="宋体" w:hAnsi="宋体" w:eastAsia="宋体" w:cs="宋体"/>
          <w:i w:val="0"/>
          <w:iCs w:val="0"/>
          <w:color w:val="auto"/>
          <w:kern w:val="2"/>
          <w:sz w:val="24"/>
          <w:szCs w:val="24"/>
          <w:highlight w:val="none"/>
          <w:lang w:val="en-US" w:eastAsia="zh-CN" w:bidi="ar-SA"/>
        </w:rPr>
      </w:pPr>
    </w:p>
    <w:p>
      <w:pPr>
        <w:rPr>
          <w:rFonts w:hint="eastAsia" w:ascii="宋体" w:hAnsi="宋体" w:eastAsia="宋体" w:cs="宋体"/>
          <w:i w:val="0"/>
          <w:iCs w:val="0"/>
          <w:color w:val="auto"/>
          <w:kern w:val="2"/>
          <w:sz w:val="24"/>
          <w:szCs w:val="24"/>
          <w:highlight w:val="none"/>
          <w:lang w:val="en-US" w:eastAsia="zh-CN" w:bidi="ar-SA"/>
        </w:rPr>
      </w:pPr>
    </w:p>
    <w:p>
      <w:pPr>
        <w:pStyle w:val="3"/>
        <w:numPr>
          <w:ilvl w:val="0"/>
          <w:numId w:val="0"/>
        </w:numPr>
        <w:ind w:leftChars="0"/>
        <w:outlineLvl w:val="9"/>
        <w:rPr>
          <w:rFonts w:hint="eastAsia" w:ascii="宋体" w:hAnsi="宋体" w:eastAsia="宋体" w:cs="宋体"/>
          <w:i w:val="0"/>
          <w:iCs w:val="0"/>
          <w:color w:val="auto"/>
          <w:kern w:val="2"/>
          <w:sz w:val="24"/>
          <w:szCs w:val="24"/>
          <w:highlight w:val="none"/>
          <w:lang w:val="en-US" w:eastAsia="zh-CN" w:bidi="ar-SA"/>
        </w:rPr>
      </w:pPr>
    </w:p>
    <w:p>
      <w:pPr>
        <w:rPr>
          <w:rFonts w:hint="eastAsia" w:ascii="宋体" w:hAnsi="宋体" w:eastAsia="宋体" w:cs="宋体"/>
          <w:i w:val="0"/>
          <w:iCs w:val="0"/>
          <w:color w:val="auto"/>
          <w:kern w:val="2"/>
          <w:sz w:val="24"/>
          <w:szCs w:val="24"/>
          <w:highlight w:val="none"/>
          <w:lang w:val="en-US" w:eastAsia="zh-CN" w:bidi="ar-SA"/>
        </w:rPr>
      </w:pPr>
    </w:p>
    <w:p>
      <w:pPr>
        <w:rPr>
          <w:rFonts w:hint="eastAsia" w:ascii="宋体" w:hAnsi="宋体" w:eastAsia="宋体" w:cs="宋体"/>
          <w:i w:val="0"/>
          <w:iCs w:val="0"/>
          <w:color w:val="auto"/>
          <w:kern w:val="2"/>
          <w:sz w:val="24"/>
          <w:szCs w:val="24"/>
          <w:highlight w:val="none"/>
          <w:lang w:val="en-US" w:eastAsia="zh-CN" w:bidi="ar-SA"/>
        </w:rPr>
      </w:pPr>
    </w:p>
    <w:p>
      <w:pPr>
        <w:pStyle w:val="3"/>
        <w:numPr>
          <w:ilvl w:val="0"/>
          <w:numId w:val="0"/>
        </w:numPr>
        <w:ind w:leftChars="0"/>
        <w:outlineLvl w:val="9"/>
        <w:rPr>
          <w:rFonts w:hint="eastAsia" w:ascii="宋体" w:hAnsi="宋体" w:eastAsia="宋体" w:cs="宋体"/>
          <w:i w:val="0"/>
          <w:iCs w:val="0"/>
          <w:color w:val="auto"/>
          <w:kern w:val="2"/>
          <w:sz w:val="24"/>
          <w:szCs w:val="24"/>
          <w:highlight w:val="none"/>
          <w:lang w:val="en-US" w:eastAsia="zh-CN" w:bidi="ar-SA"/>
        </w:rPr>
      </w:pPr>
    </w:p>
    <w:p>
      <w:pPr>
        <w:rPr>
          <w:rFonts w:hint="eastAsia" w:ascii="宋体" w:hAnsi="宋体" w:eastAsia="宋体" w:cs="宋体"/>
          <w:i w:val="0"/>
          <w:iCs w:val="0"/>
          <w:color w:val="auto"/>
          <w:kern w:val="2"/>
          <w:sz w:val="24"/>
          <w:szCs w:val="24"/>
          <w:highlight w:val="none"/>
          <w:lang w:val="en-US" w:eastAsia="zh-CN" w:bidi="ar-SA"/>
        </w:rPr>
      </w:pPr>
    </w:p>
    <w:p>
      <w:pPr>
        <w:pStyle w:val="3"/>
        <w:numPr>
          <w:ilvl w:val="0"/>
          <w:numId w:val="0"/>
        </w:numPr>
        <w:ind w:leftChars="0"/>
        <w:outlineLvl w:val="9"/>
        <w:rPr>
          <w:rFonts w:hint="eastAsia" w:ascii="宋体" w:hAnsi="宋体" w:eastAsia="宋体" w:cs="宋体"/>
          <w:i w:val="0"/>
          <w:iCs w:val="0"/>
          <w:color w:val="auto"/>
          <w:kern w:val="2"/>
          <w:sz w:val="24"/>
          <w:szCs w:val="24"/>
          <w:highlight w:val="none"/>
          <w:lang w:val="en-US" w:eastAsia="zh-CN" w:bidi="ar-SA"/>
        </w:rPr>
      </w:pPr>
    </w:p>
    <w:p>
      <w:pPr>
        <w:rPr>
          <w:rFonts w:hint="eastAsia" w:ascii="宋体" w:hAnsi="宋体" w:eastAsia="宋体" w:cs="宋体"/>
          <w:i w:val="0"/>
          <w:iCs w:val="0"/>
          <w:color w:val="auto"/>
          <w:kern w:val="2"/>
          <w:sz w:val="24"/>
          <w:szCs w:val="24"/>
          <w:highlight w:val="none"/>
          <w:lang w:val="en-US" w:eastAsia="zh-CN" w:bidi="ar-SA"/>
        </w:rPr>
      </w:pPr>
    </w:p>
    <w:p>
      <w:pPr>
        <w:pStyle w:val="3"/>
        <w:numPr>
          <w:ilvl w:val="0"/>
          <w:numId w:val="0"/>
        </w:numPr>
        <w:ind w:leftChars="0"/>
        <w:outlineLvl w:val="9"/>
        <w:rPr>
          <w:rFonts w:hint="eastAsia" w:ascii="宋体" w:hAnsi="宋体" w:eastAsia="宋体" w:cs="宋体"/>
          <w:i w:val="0"/>
          <w:iCs w:val="0"/>
          <w:color w:val="auto"/>
          <w:kern w:val="2"/>
          <w:sz w:val="24"/>
          <w:szCs w:val="24"/>
          <w:highlight w:val="none"/>
          <w:lang w:val="en-US" w:eastAsia="zh-CN" w:bidi="ar-SA"/>
        </w:rPr>
      </w:pPr>
    </w:p>
    <w:p>
      <w:pPr>
        <w:rPr>
          <w:rFonts w:hint="eastAsia" w:ascii="宋体" w:hAnsi="宋体" w:eastAsia="宋体" w:cs="宋体"/>
          <w:i w:val="0"/>
          <w:iCs w:val="0"/>
          <w:color w:val="auto"/>
          <w:kern w:val="2"/>
          <w:sz w:val="24"/>
          <w:szCs w:val="24"/>
          <w:highlight w:val="none"/>
          <w:lang w:val="en-US" w:eastAsia="zh-CN" w:bidi="ar-SA"/>
        </w:rPr>
      </w:pPr>
    </w:p>
    <w:p>
      <w:pPr>
        <w:tabs>
          <w:tab w:val="center" w:pos="7115"/>
          <w:tab w:val="right" w:pos="14230"/>
        </w:tabs>
        <w:spacing w:line="360" w:lineRule="auto"/>
        <w:jc w:val="center"/>
        <w:outlineLvl w:val="1"/>
        <w:rPr>
          <w:rFonts w:hint="eastAsia" w:ascii="宋体" w:hAnsi="宋体" w:eastAsia="宋体" w:cs="宋体"/>
          <w:b/>
          <w:i w:val="0"/>
          <w:iCs w:val="0"/>
          <w:color w:val="auto"/>
          <w:spacing w:val="20"/>
          <w:sz w:val="32"/>
          <w:highlight w:val="none"/>
          <w:lang w:val="en-US" w:eastAsia="zh-CN"/>
        </w:rPr>
      </w:pPr>
      <w:bookmarkStart w:id="151" w:name="_Toc103786651"/>
      <w:bookmarkStart w:id="152" w:name="_Toc18438"/>
      <w:bookmarkStart w:id="153" w:name="_Toc104309477"/>
      <w:r>
        <w:rPr>
          <w:rFonts w:hint="eastAsia" w:ascii="宋体" w:hAnsi="宋体" w:eastAsia="宋体" w:cs="宋体"/>
          <w:b/>
          <w:i w:val="0"/>
          <w:iCs w:val="0"/>
          <w:color w:val="auto"/>
          <w:spacing w:val="20"/>
          <w:sz w:val="32"/>
          <w:highlight w:val="none"/>
          <w:lang w:val="en-US" w:eastAsia="zh-CN"/>
        </w:rPr>
        <w:t>（九）服务方案</w:t>
      </w:r>
      <w:bookmarkEnd w:id="151"/>
      <w:bookmarkEnd w:id="152"/>
      <w:bookmarkEnd w:id="153"/>
    </w:p>
    <w:p>
      <w:pPr>
        <w:pStyle w:val="20"/>
        <w:ind w:left="0" w:firstLine="0" w:firstLineChars="0"/>
        <w:jc w:val="center"/>
        <w:outlineLvl w:val="9"/>
        <w:rPr>
          <w:rFonts w:hint="eastAsia" w:ascii="仿宋" w:hAnsi="仿宋" w:eastAsia="仿宋" w:cs="仿宋"/>
          <w:sz w:val="30"/>
          <w:szCs w:val="30"/>
          <w:highlight w:val="none"/>
        </w:rPr>
      </w:pPr>
      <w:r>
        <w:rPr>
          <w:rFonts w:hint="eastAsia" w:ascii="仿宋" w:hAnsi="仿宋" w:eastAsia="仿宋" w:cs="仿宋"/>
          <w:b/>
          <w:sz w:val="30"/>
          <w:szCs w:val="30"/>
          <w:highlight w:val="none"/>
        </w:rPr>
        <w:t>（格式自拟）</w:t>
      </w:r>
    </w:p>
    <w:p>
      <w:pPr>
        <w:rPr>
          <w:rFonts w:hint="eastAsia" w:ascii="仿宋" w:hAnsi="仿宋" w:eastAsia="仿宋" w:cs="仿宋"/>
          <w:sz w:val="30"/>
          <w:szCs w:val="30"/>
          <w:highlight w:val="none"/>
        </w:rPr>
      </w:pPr>
    </w:p>
    <w:p>
      <w:pPr>
        <w:spacing w:line="360" w:lineRule="auto"/>
        <w:ind w:firstLine="602" w:firstLineChars="200"/>
        <w:rPr>
          <w:rFonts w:hint="eastAsia" w:ascii="仿宋" w:hAnsi="仿宋" w:eastAsia="仿宋" w:cs="仿宋"/>
          <w:b/>
          <w:bCs/>
          <w:sz w:val="30"/>
          <w:szCs w:val="30"/>
          <w:highlight w:val="none"/>
        </w:rPr>
      </w:pPr>
      <w:r>
        <w:rPr>
          <w:rFonts w:hint="eastAsia" w:ascii="仿宋" w:hAnsi="仿宋" w:eastAsia="仿宋" w:cs="仿宋"/>
          <w:b/>
          <w:bCs/>
          <w:sz w:val="30"/>
          <w:szCs w:val="30"/>
          <w:highlight w:val="none"/>
        </w:rPr>
        <w:t>服务方案编制包括（但不仅限于）下列内容：</w:t>
      </w:r>
    </w:p>
    <w:p>
      <w:pPr>
        <w:spacing w:line="360" w:lineRule="auto"/>
        <w:ind w:firstLine="480" w:firstLineChars="200"/>
        <w:rPr>
          <w:rFonts w:hint="eastAsia" w:ascii="仿宋" w:hAnsi="仿宋" w:eastAsia="仿宋" w:cs="仿宋"/>
          <w:bCs/>
          <w:sz w:val="24"/>
          <w:highlight w:val="none"/>
        </w:rPr>
      </w:pPr>
    </w:p>
    <w:p>
      <w:pPr>
        <w:spacing w:line="360" w:lineRule="auto"/>
        <w:ind w:firstLine="480" w:firstLineChars="200"/>
        <w:rPr>
          <w:rFonts w:hint="eastAsia" w:ascii="仿宋" w:hAnsi="仿宋" w:eastAsia="仿宋" w:cs="仿宋"/>
          <w:bCs/>
          <w:sz w:val="24"/>
          <w:highlight w:val="none"/>
        </w:rPr>
      </w:pPr>
      <w:r>
        <w:rPr>
          <w:rFonts w:hint="eastAsia" w:ascii="仿宋" w:hAnsi="仿宋" w:eastAsia="仿宋" w:cs="仿宋"/>
          <w:bCs/>
          <w:sz w:val="24"/>
          <w:highlight w:val="none"/>
        </w:rPr>
        <w:t>1、服务的工作范围和任务；</w:t>
      </w:r>
    </w:p>
    <w:p>
      <w:pPr>
        <w:spacing w:line="360" w:lineRule="auto"/>
        <w:ind w:firstLine="480" w:firstLineChars="200"/>
        <w:rPr>
          <w:rFonts w:hint="eastAsia" w:ascii="仿宋" w:hAnsi="仿宋" w:eastAsia="仿宋" w:cs="仿宋"/>
          <w:bCs/>
          <w:sz w:val="24"/>
          <w:highlight w:val="none"/>
        </w:rPr>
      </w:pPr>
      <w:r>
        <w:rPr>
          <w:rFonts w:hint="eastAsia" w:ascii="仿宋" w:hAnsi="仿宋" w:eastAsia="仿宋" w:cs="仿宋"/>
          <w:bCs/>
          <w:sz w:val="24"/>
          <w:highlight w:val="none"/>
        </w:rPr>
        <w:t>2、人员专业配置、机构岗位分工及职责划分；</w:t>
      </w:r>
    </w:p>
    <w:p>
      <w:pPr>
        <w:spacing w:line="360" w:lineRule="auto"/>
        <w:ind w:firstLine="480" w:firstLineChars="200"/>
        <w:rPr>
          <w:rFonts w:hint="eastAsia" w:ascii="仿宋" w:hAnsi="仿宋" w:eastAsia="仿宋" w:cs="仿宋"/>
          <w:bCs/>
          <w:sz w:val="24"/>
          <w:highlight w:val="none"/>
        </w:rPr>
      </w:pPr>
      <w:r>
        <w:rPr>
          <w:rFonts w:hint="eastAsia" w:ascii="仿宋" w:hAnsi="仿宋" w:eastAsia="仿宋" w:cs="仿宋"/>
          <w:bCs/>
          <w:sz w:val="24"/>
          <w:highlight w:val="none"/>
        </w:rPr>
        <w:t>3、拟投入本项目的设备；</w:t>
      </w:r>
    </w:p>
    <w:p>
      <w:pPr>
        <w:spacing w:line="360" w:lineRule="auto"/>
        <w:ind w:firstLine="480" w:firstLineChars="200"/>
        <w:rPr>
          <w:rFonts w:hint="eastAsia" w:ascii="仿宋" w:hAnsi="仿宋" w:eastAsia="仿宋" w:cs="仿宋"/>
          <w:bCs/>
          <w:sz w:val="24"/>
          <w:highlight w:val="none"/>
        </w:rPr>
      </w:pPr>
      <w:r>
        <w:rPr>
          <w:rFonts w:hint="eastAsia" w:ascii="仿宋" w:hAnsi="仿宋" w:eastAsia="仿宋" w:cs="仿宋"/>
          <w:bCs/>
          <w:sz w:val="24"/>
          <w:highlight w:val="none"/>
        </w:rPr>
        <w:t>4、服务的控制重点、难点因素等的分析；</w:t>
      </w:r>
    </w:p>
    <w:p>
      <w:pPr>
        <w:spacing w:line="360" w:lineRule="auto"/>
        <w:ind w:firstLine="480" w:firstLineChars="200"/>
        <w:rPr>
          <w:rFonts w:hint="eastAsia" w:ascii="仿宋" w:hAnsi="仿宋" w:eastAsia="仿宋" w:cs="仿宋"/>
          <w:bCs/>
          <w:sz w:val="24"/>
          <w:highlight w:val="none"/>
        </w:rPr>
      </w:pPr>
      <w:r>
        <w:rPr>
          <w:rFonts w:hint="eastAsia" w:ascii="仿宋" w:hAnsi="仿宋" w:eastAsia="仿宋" w:cs="仿宋"/>
          <w:bCs/>
          <w:sz w:val="24"/>
          <w:highlight w:val="none"/>
        </w:rPr>
        <w:t>5、服务的质量保证措施；</w:t>
      </w:r>
    </w:p>
    <w:p>
      <w:pPr>
        <w:spacing w:line="360" w:lineRule="auto"/>
        <w:ind w:firstLine="480" w:firstLineChars="200"/>
        <w:rPr>
          <w:rFonts w:hint="eastAsia" w:ascii="仿宋" w:hAnsi="仿宋" w:eastAsia="仿宋" w:cs="仿宋"/>
          <w:bCs/>
          <w:sz w:val="24"/>
          <w:highlight w:val="none"/>
        </w:rPr>
      </w:pPr>
      <w:r>
        <w:rPr>
          <w:rFonts w:hint="eastAsia" w:ascii="仿宋" w:hAnsi="仿宋" w:eastAsia="仿宋" w:cs="仿宋"/>
          <w:bCs/>
          <w:sz w:val="24"/>
          <w:highlight w:val="none"/>
        </w:rPr>
        <w:t>6、服务工作程序和进度计划安排；</w:t>
      </w:r>
    </w:p>
    <w:p>
      <w:pPr>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br w:type="textWrapping"/>
      </w:r>
    </w:p>
    <w:p>
      <w:pPr>
        <w:rPr>
          <w:rFonts w:hint="eastAsia" w:ascii="仿宋" w:hAnsi="仿宋" w:eastAsia="仿宋" w:cs="仿宋"/>
          <w:highlight w:val="none"/>
        </w:rPr>
      </w:pPr>
      <w:r>
        <w:rPr>
          <w:rFonts w:hint="eastAsia" w:ascii="仿宋" w:hAnsi="仿宋" w:eastAsia="仿宋" w:cs="仿宋"/>
          <w:highlight w:val="none"/>
        </w:rPr>
        <w:br w:type="textWrapping"/>
      </w:r>
      <w:r>
        <w:rPr>
          <w:rFonts w:hint="eastAsia" w:ascii="仿宋" w:hAnsi="仿宋" w:eastAsia="仿宋" w:cs="仿宋"/>
          <w:highlight w:val="none"/>
        </w:rPr>
        <w:br w:type="textWrapping"/>
      </w:r>
    </w:p>
    <w:p>
      <w:pPr>
        <w:spacing w:line="360" w:lineRule="auto"/>
        <w:jc w:val="right"/>
        <w:rPr>
          <w:rFonts w:hint="eastAsia" w:ascii="仿宋" w:hAnsi="仿宋" w:eastAsia="仿宋" w:cs="仿宋"/>
          <w:sz w:val="24"/>
          <w:highlight w:val="none"/>
        </w:rPr>
      </w:pPr>
      <w:r>
        <w:rPr>
          <w:rFonts w:hint="eastAsia" w:ascii="仿宋" w:hAnsi="仿宋" w:eastAsia="仿宋" w:cs="仿宋"/>
          <w:sz w:val="24"/>
          <w:highlight w:val="none"/>
        </w:rPr>
        <w:t xml:space="preserve">投标人：            （盖章） </w:t>
      </w:r>
    </w:p>
    <w:p>
      <w:pPr>
        <w:spacing w:line="360" w:lineRule="auto"/>
        <w:jc w:val="right"/>
        <w:rPr>
          <w:rFonts w:hint="eastAsia" w:ascii="仿宋" w:hAnsi="仿宋" w:eastAsia="仿宋" w:cs="仿宋"/>
          <w:sz w:val="24"/>
          <w:highlight w:val="none"/>
        </w:rPr>
      </w:pPr>
      <w:r>
        <w:rPr>
          <w:rFonts w:hint="eastAsia" w:ascii="仿宋" w:hAnsi="仿宋" w:eastAsia="仿宋" w:cs="仿宋"/>
          <w:sz w:val="24"/>
          <w:highlight w:val="none"/>
        </w:rPr>
        <w:t>法定代表人或其委托代理人（签字或盖章）：</w:t>
      </w:r>
    </w:p>
    <w:p>
      <w:pPr>
        <w:spacing w:line="360" w:lineRule="auto"/>
        <w:jc w:val="right"/>
        <w:rPr>
          <w:rFonts w:hint="eastAsia" w:ascii="仿宋" w:hAnsi="仿宋" w:eastAsia="仿宋" w:cs="仿宋"/>
          <w:highlight w:val="none"/>
        </w:rPr>
      </w:pPr>
      <w:r>
        <w:rPr>
          <w:rFonts w:hint="eastAsia" w:ascii="仿宋" w:hAnsi="仿宋" w:eastAsia="仿宋" w:cs="仿宋"/>
          <w:sz w:val="24"/>
          <w:highlight w:val="none"/>
        </w:rPr>
        <w:t xml:space="preserve">日   期：        年    月    日 </w:t>
      </w:r>
    </w:p>
    <w:p>
      <w:pPr>
        <w:pStyle w:val="3"/>
        <w:numPr>
          <w:ilvl w:val="0"/>
          <w:numId w:val="0"/>
        </w:numPr>
        <w:ind w:leftChars="0"/>
        <w:outlineLvl w:val="9"/>
        <w:rPr>
          <w:rFonts w:hint="eastAsia" w:ascii="宋体" w:hAnsi="宋体" w:eastAsia="宋体" w:cs="宋体"/>
          <w:i w:val="0"/>
          <w:iCs w:val="0"/>
          <w:color w:val="auto"/>
          <w:kern w:val="2"/>
          <w:sz w:val="24"/>
          <w:szCs w:val="24"/>
          <w:highlight w:val="none"/>
          <w:lang w:val="en-US" w:eastAsia="zh-CN" w:bidi="ar-SA"/>
        </w:rPr>
      </w:pPr>
    </w:p>
    <w:p>
      <w:pPr>
        <w:rPr>
          <w:rFonts w:hint="eastAsia" w:ascii="宋体" w:hAnsi="宋体" w:eastAsia="宋体" w:cs="宋体"/>
          <w:i w:val="0"/>
          <w:iCs w:val="0"/>
          <w:color w:val="auto"/>
          <w:kern w:val="2"/>
          <w:sz w:val="24"/>
          <w:szCs w:val="24"/>
          <w:highlight w:val="none"/>
          <w:lang w:val="en-US" w:eastAsia="zh-CN" w:bidi="ar-SA"/>
        </w:rPr>
      </w:pPr>
    </w:p>
    <w:p>
      <w:pPr>
        <w:pStyle w:val="34"/>
        <w:spacing w:line="360" w:lineRule="auto"/>
        <w:ind w:firstLine="567"/>
        <w:jc w:val="both"/>
        <w:rPr>
          <w:rFonts w:hint="eastAsia" w:hAnsi="宋体" w:eastAsia="宋体" w:cs="宋体"/>
          <w:i w:val="0"/>
          <w:iCs w:val="0"/>
          <w:color w:val="auto"/>
          <w:kern w:val="2"/>
          <w:sz w:val="24"/>
          <w:szCs w:val="24"/>
          <w:highlight w:val="none"/>
          <w:lang w:val="en-US" w:eastAsia="zh-CN" w:bidi="ar-SA"/>
        </w:rPr>
      </w:pPr>
    </w:p>
    <w:p>
      <w:pPr>
        <w:pStyle w:val="34"/>
        <w:spacing w:line="360" w:lineRule="auto"/>
        <w:ind w:firstLine="567"/>
        <w:jc w:val="both"/>
        <w:rPr>
          <w:rFonts w:hint="eastAsia" w:hAnsi="宋体" w:eastAsia="宋体" w:cs="宋体"/>
          <w:i w:val="0"/>
          <w:iCs w:val="0"/>
          <w:color w:val="auto"/>
          <w:kern w:val="2"/>
          <w:sz w:val="24"/>
          <w:szCs w:val="24"/>
          <w:highlight w:val="none"/>
          <w:lang w:val="en-US" w:eastAsia="zh-CN" w:bidi="ar-SA"/>
        </w:rPr>
      </w:pPr>
    </w:p>
    <w:p>
      <w:pPr>
        <w:pStyle w:val="34"/>
        <w:spacing w:line="360" w:lineRule="auto"/>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 xml:space="preserve"> </w:t>
      </w:r>
    </w:p>
    <w:p>
      <w:pPr>
        <w:pStyle w:val="34"/>
        <w:spacing w:line="360" w:lineRule="auto"/>
        <w:jc w:val="both"/>
        <w:rPr>
          <w:rFonts w:hint="eastAsia" w:ascii="宋体" w:hAnsi="宋体" w:eastAsia="宋体" w:cs="宋体"/>
          <w:i w:val="0"/>
          <w:iCs w:val="0"/>
          <w:color w:val="auto"/>
          <w:kern w:val="2"/>
          <w:sz w:val="24"/>
          <w:szCs w:val="24"/>
          <w:highlight w:val="none"/>
          <w:lang w:val="en-US" w:eastAsia="zh-CN" w:bidi="ar-SA"/>
        </w:rPr>
      </w:pPr>
    </w:p>
    <w:p>
      <w:pPr>
        <w:pStyle w:val="34"/>
        <w:spacing w:line="360" w:lineRule="auto"/>
        <w:jc w:val="both"/>
        <w:rPr>
          <w:rFonts w:hint="eastAsia" w:ascii="宋体" w:hAnsi="宋体" w:eastAsia="宋体" w:cs="宋体"/>
          <w:i w:val="0"/>
          <w:iCs w:val="0"/>
          <w:color w:val="auto"/>
          <w:kern w:val="2"/>
          <w:sz w:val="24"/>
          <w:szCs w:val="24"/>
          <w:highlight w:val="none"/>
          <w:lang w:val="en-US" w:eastAsia="zh-CN" w:bidi="ar-SA"/>
        </w:rPr>
      </w:pPr>
    </w:p>
    <w:p>
      <w:pPr>
        <w:pStyle w:val="38"/>
        <w:jc w:val="left"/>
        <w:rPr>
          <w:rFonts w:hint="eastAsia" w:ascii="宋体" w:hAnsi="宋体" w:eastAsia="宋体" w:cs="宋体"/>
          <w:i w:val="0"/>
          <w:iCs w:val="0"/>
          <w:color w:val="auto"/>
          <w:sz w:val="28"/>
          <w:szCs w:val="28"/>
          <w:highlight w:val="none"/>
          <w:lang w:val="en-US" w:eastAsia="zh-CN"/>
        </w:rPr>
      </w:pPr>
      <w:r>
        <w:rPr>
          <w:rFonts w:hint="eastAsia" w:ascii="宋体" w:hAnsi="宋体" w:eastAsia="宋体" w:cs="宋体"/>
          <w:i w:val="0"/>
          <w:iCs w:val="0"/>
          <w:color w:val="auto"/>
          <w:sz w:val="28"/>
          <w:szCs w:val="28"/>
          <w:highlight w:val="none"/>
          <w:lang w:val="en-US" w:eastAsia="zh-CN"/>
        </w:rPr>
        <w:t>附件1</w:t>
      </w:r>
    </w:p>
    <w:p>
      <w:pPr>
        <w:pStyle w:val="38"/>
        <w:jc w:val="center"/>
        <w:outlineLvl w:val="1"/>
        <w:rPr>
          <w:rFonts w:hint="eastAsia" w:ascii="宋体" w:hAnsi="宋体" w:eastAsia="宋体" w:cs="宋体"/>
          <w:b w:val="0"/>
          <w:bCs w:val="0"/>
          <w:i w:val="0"/>
          <w:iCs w:val="0"/>
          <w:color w:val="auto"/>
          <w:sz w:val="28"/>
          <w:szCs w:val="28"/>
          <w:highlight w:val="none"/>
        </w:rPr>
      </w:pPr>
      <w:bookmarkStart w:id="154" w:name="_Toc7124"/>
      <w:r>
        <w:rPr>
          <w:rFonts w:hint="eastAsia" w:ascii="宋体" w:hAnsi="宋体" w:eastAsia="宋体" w:cs="宋体"/>
          <w:i w:val="0"/>
          <w:iCs w:val="0"/>
          <w:color w:val="auto"/>
          <w:sz w:val="28"/>
          <w:szCs w:val="28"/>
          <w:highlight w:val="none"/>
        </w:rPr>
        <w:t>参与政府采购活动前三年内在经营活动中没有重大违法记录的书面声明函</w:t>
      </w:r>
      <w:bookmarkEnd w:id="154"/>
    </w:p>
    <w:p>
      <w:pPr>
        <w:spacing w:line="460" w:lineRule="exact"/>
        <w:ind w:right="-153" w:rightChars="-73"/>
        <w:rPr>
          <w:rFonts w:hint="eastAsia" w:ascii="宋体" w:hAnsi="宋体" w:eastAsia="宋体" w:cs="宋体"/>
          <w:bCs/>
          <w:i w:val="0"/>
          <w:iCs w:val="0"/>
          <w:color w:val="auto"/>
          <w:sz w:val="28"/>
          <w:szCs w:val="28"/>
          <w:highlight w:val="none"/>
        </w:rPr>
      </w:pPr>
    </w:p>
    <w:p>
      <w:pPr>
        <w:keepNext w:val="0"/>
        <w:keepLines w:val="0"/>
        <w:pageBreakBefore w:val="0"/>
        <w:widowControl/>
        <w:suppressLineNumbers w:val="0"/>
        <w:kinsoku/>
        <w:wordWrap/>
        <w:overflowPunct/>
        <w:topLinePunct w:val="0"/>
        <w:autoSpaceDE/>
        <w:autoSpaceDN/>
        <w:bidi w:val="0"/>
        <w:adjustRightInd/>
        <w:snapToGrid/>
        <w:spacing w:line="600" w:lineRule="auto"/>
        <w:ind w:firstLine="480" w:firstLineChars="200"/>
        <w:jc w:val="left"/>
        <w:textAlignment w:val="auto"/>
        <w:rPr>
          <w:rFonts w:hint="eastAsia" w:ascii="宋体" w:hAnsi="宋体" w:eastAsia="宋体" w:cs="宋体"/>
          <w:i w:val="0"/>
          <w:iCs w:val="0"/>
          <w:color w:val="auto"/>
          <w:kern w:val="0"/>
          <w:sz w:val="24"/>
          <w:szCs w:val="24"/>
          <w:highlight w:val="none"/>
          <w:lang w:val="en-US" w:eastAsia="zh-CN" w:bidi="ar"/>
        </w:rPr>
      </w:pPr>
      <w:r>
        <w:rPr>
          <w:rFonts w:hint="eastAsia" w:ascii="宋体" w:hAnsi="宋体" w:eastAsia="宋体" w:cs="宋体"/>
          <w:i w:val="0"/>
          <w:iCs w:val="0"/>
          <w:color w:val="auto"/>
          <w:kern w:val="0"/>
          <w:sz w:val="24"/>
          <w:szCs w:val="24"/>
          <w:highlight w:val="none"/>
          <w:u w:val="single"/>
          <w:lang w:val="en-US" w:eastAsia="zh-CN" w:bidi="ar"/>
        </w:rPr>
        <w:t xml:space="preserve">          (采购人）        ：</w:t>
      </w:r>
    </w:p>
    <w:p>
      <w:pPr>
        <w:keepNext w:val="0"/>
        <w:keepLines w:val="0"/>
        <w:pageBreakBefore w:val="0"/>
        <w:widowControl/>
        <w:suppressLineNumbers w:val="0"/>
        <w:kinsoku/>
        <w:wordWrap/>
        <w:overflowPunct/>
        <w:topLinePunct w:val="0"/>
        <w:autoSpaceDE/>
        <w:autoSpaceDN/>
        <w:bidi w:val="0"/>
        <w:adjustRightInd/>
        <w:snapToGrid/>
        <w:spacing w:line="600" w:lineRule="auto"/>
        <w:ind w:firstLine="480" w:firstLineChars="200"/>
        <w:jc w:val="left"/>
        <w:textAlignment w:val="auto"/>
        <w:rPr>
          <w:rFonts w:hint="eastAsia" w:ascii="宋体" w:hAnsi="宋体" w:eastAsia="宋体" w:cs="宋体"/>
          <w:i w:val="0"/>
          <w:iCs w:val="0"/>
          <w:color w:val="auto"/>
          <w:kern w:val="0"/>
          <w:sz w:val="24"/>
          <w:szCs w:val="24"/>
          <w:highlight w:val="none"/>
          <w:lang w:val="en-US" w:eastAsia="zh-CN" w:bidi="ar"/>
        </w:rPr>
      </w:pPr>
      <w:r>
        <w:rPr>
          <w:rFonts w:hint="eastAsia" w:ascii="宋体" w:hAnsi="宋体" w:eastAsia="宋体" w:cs="宋体"/>
          <w:i w:val="0"/>
          <w:iCs w:val="0"/>
          <w:color w:val="auto"/>
          <w:kern w:val="0"/>
          <w:sz w:val="24"/>
          <w:szCs w:val="24"/>
          <w:highlight w:val="none"/>
          <w:lang w:val="en-US" w:eastAsia="zh-CN" w:bidi="ar"/>
        </w:rPr>
        <w:t>我公司参与</w:t>
      </w:r>
      <w:r>
        <w:rPr>
          <w:rFonts w:hint="eastAsia" w:ascii="宋体" w:hAnsi="宋体" w:eastAsia="宋体" w:cs="宋体"/>
          <w:i w:val="0"/>
          <w:iCs w:val="0"/>
          <w:color w:val="auto"/>
          <w:kern w:val="0"/>
          <w:sz w:val="24"/>
          <w:szCs w:val="24"/>
          <w:highlight w:val="none"/>
          <w:u w:val="single"/>
          <w:lang w:val="en-US" w:eastAsia="zh-CN" w:bidi="ar"/>
        </w:rPr>
        <w:t xml:space="preserve">                          （项目名称、编号）</w:t>
      </w:r>
      <w:r>
        <w:rPr>
          <w:rFonts w:hint="eastAsia" w:ascii="宋体" w:hAnsi="宋体" w:eastAsia="宋体" w:cs="宋体"/>
          <w:i w:val="0"/>
          <w:iCs w:val="0"/>
          <w:color w:val="auto"/>
          <w:kern w:val="0"/>
          <w:sz w:val="24"/>
          <w:szCs w:val="24"/>
          <w:highlight w:val="none"/>
          <w:lang w:val="en-US" w:eastAsia="zh-CN" w:bidi="ar"/>
        </w:rPr>
        <w:t>投标，本公司郑重声明，我方参加本项目政府采购活动前三年内无重大违法记录，符合《政府采购法》规定的供应商条件。若贵中心在本项目采购过程中发现我方政府采购活动前三年内有重大违法记录，我公司将无条件退出本项目的投标，并承担因引起的一切后果。我方对此声明负全部法律责任。</w:t>
      </w:r>
    </w:p>
    <w:p>
      <w:pPr>
        <w:keepNext w:val="0"/>
        <w:keepLines w:val="0"/>
        <w:pageBreakBefore w:val="0"/>
        <w:widowControl/>
        <w:suppressLineNumbers w:val="0"/>
        <w:kinsoku/>
        <w:wordWrap/>
        <w:overflowPunct/>
        <w:topLinePunct w:val="0"/>
        <w:autoSpaceDE/>
        <w:autoSpaceDN/>
        <w:bidi w:val="0"/>
        <w:adjustRightInd/>
        <w:snapToGrid/>
        <w:spacing w:line="600" w:lineRule="auto"/>
        <w:ind w:firstLine="480" w:firstLineChars="200"/>
        <w:jc w:val="left"/>
        <w:textAlignment w:val="auto"/>
        <w:rPr>
          <w:rFonts w:hint="eastAsia" w:ascii="宋体" w:hAnsi="宋体" w:eastAsia="宋体" w:cs="宋体"/>
          <w:i w:val="0"/>
          <w:iCs w:val="0"/>
          <w:color w:val="auto"/>
          <w:kern w:val="0"/>
          <w:sz w:val="24"/>
          <w:szCs w:val="24"/>
          <w:highlight w:val="none"/>
          <w:lang w:val="en-US" w:eastAsia="zh-CN" w:bidi="ar"/>
        </w:rPr>
      </w:pPr>
      <w:r>
        <w:rPr>
          <w:rFonts w:hint="eastAsia" w:ascii="宋体" w:hAnsi="宋体" w:eastAsia="宋体" w:cs="宋体"/>
          <w:i w:val="0"/>
          <w:iCs w:val="0"/>
          <w:color w:val="auto"/>
          <w:kern w:val="0"/>
          <w:sz w:val="24"/>
          <w:szCs w:val="24"/>
          <w:highlight w:val="none"/>
          <w:lang w:val="en-US" w:eastAsia="zh-CN" w:bidi="ar"/>
        </w:rPr>
        <w:t xml:space="preserve">特此声明  </w:t>
      </w:r>
    </w:p>
    <w:p>
      <w:pPr>
        <w:keepNext w:val="0"/>
        <w:keepLines w:val="0"/>
        <w:pageBreakBefore w:val="0"/>
        <w:widowControl/>
        <w:suppressLineNumbers w:val="0"/>
        <w:kinsoku/>
        <w:wordWrap/>
        <w:overflowPunct/>
        <w:topLinePunct w:val="0"/>
        <w:autoSpaceDE/>
        <w:autoSpaceDN/>
        <w:bidi w:val="0"/>
        <w:adjustRightInd/>
        <w:snapToGrid/>
        <w:spacing w:line="600" w:lineRule="auto"/>
        <w:ind w:firstLine="480" w:firstLineChars="200"/>
        <w:jc w:val="left"/>
        <w:textAlignment w:val="auto"/>
        <w:rPr>
          <w:rFonts w:hint="eastAsia" w:ascii="宋体" w:hAnsi="宋体" w:eastAsia="宋体" w:cs="宋体"/>
          <w:i w:val="0"/>
          <w:iCs w:val="0"/>
          <w:color w:val="auto"/>
          <w:kern w:val="0"/>
          <w:sz w:val="24"/>
          <w:szCs w:val="24"/>
          <w:highlight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600" w:lineRule="auto"/>
        <w:ind w:firstLine="480" w:firstLineChars="200"/>
        <w:jc w:val="left"/>
        <w:textAlignment w:val="auto"/>
        <w:rPr>
          <w:rFonts w:hint="eastAsia" w:ascii="宋体" w:hAnsi="宋体" w:eastAsia="宋体" w:cs="宋体"/>
          <w:i w:val="0"/>
          <w:iCs w:val="0"/>
          <w:color w:val="auto"/>
          <w:kern w:val="0"/>
          <w:sz w:val="24"/>
          <w:szCs w:val="24"/>
          <w:highlight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600" w:lineRule="auto"/>
        <w:ind w:firstLine="480" w:firstLineChars="200"/>
        <w:jc w:val="left"/>
        <w:textAlignment w:val="auto"/>
        <w:rPr>
          <w:rFonts w:hint="eastAsia" w:ascii="宋体" w:hAnsi="宋体" w:eastAsia="宋体" w:cs="宋体"/>
          <w:i w:val="0"/>
          <w:iCs w:val="0"/>
          <w:color w:val="auto"/>
          <w:kern w:val="0"/>
          <w:sz w:val="24"/>
          <w:szCs w:val="24"/>
          <w:highlight w:val="none"/>
          <w:lang w:val="en-US" w:eastAsia="zh-CN" w:bidi="ar"/>
        </w:rPr>
      </w:pPr>
      <w:r>
        <w:rPr>
          <w:rFonts w:hint="eastAsia" w:ascii="宋体" w:hAnsi="宋体" w:eastAsia="宋体" w:cs="宋体"/>
          <w:i w:val="0"/>
          <w:iCs w:val="0"/>
          <w:color w:val="auto"/>
          <w:kern w:val="0"/>
          <w:sz w:val="24"/>
          <w:szCs w:val="24"/>
          <w:highlight w:val="none"/>
          <w:lang w:val="en-US" w:eastAsia="zh-CN" w:bidi="ar"/>
        </w:rPr>
        <w:t>声明供应商全称（公章）：</w:t>
      </w:r>
    </w:p>
    <w:p>
      <w:pPr>
        <w:keepNext w:val="0"/>
        <w:keepLines w:val="0"/>
        <w:pageBreakBefore w:val="0"/>
        <w:widowControl/>
        <w:suppressLineNumbers w:val="0"/>
        <w:kinsoku/>
        <w:wordWrap/>
        <w:overflowPunct/>
        <w:topLinePunct w:val="0"/>
        <w:autoSpaceDE/>
        <w:autoSpaceDN/>
        <w:bidi w:val="0"/>
        <w:adjustRightInd/>
        <w:snapToGrid/>
        <w:spacing w:line="600" w:lineRule="auto"/>
        <w:ind w:firstLine="480" w:firstLineChars="200"/>
        <w:jc w:val="left"/>
        <w:textAlignment w:val="auto"/>
        <w:rPr>
          <w:rFonts w:hint="eastAsia" w:ascii="宋体" w:hAnsi="宋体" w:eastAsia="宋体" w:cs="宋体"/>
          <w:i w:val="0"/>
          <w:iCs w:val="0"/>
          <w:color w:val="auto"/>
          <w:kern w:val="0"/>
          <w:sz w:val="24"/>
          <w:szCs w:val="24"/>
          <w:highlight w:val="none"/>
          <w:lang w:val="en-US" w:eastAsia="zh-CN" w:bidi="ar"/>
        </w:rPr>
      </w:pPr>
      <w:r>
        <w:rPr>
          <w:rFonts w:hint="eastAsia" w:ascii="宋体" w:hAnsi="宋体" w:cs="宋体"/>
          <w:color w:val="auto"/>
          <w:sz w:val="24"/>
          <w:highlight w:val="none"/>
        </w:rPr>
        <w:t>法定代表或委托代理人：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（签</w:t>
      </w:r>
      <w:r>
        <w:rPr>
          <w:rFonts w:hint="eastAsia" w:ascii="宋体" w:hAnsi="宋体" w:cs="宋体"/>
          <w:color w:val="auto"/>
          <w:sz w:val="24"/>
          <w:highlight w:val="none"/>
          <w:lang w:eastAsia="zh-CN"/>
        </w:rPr>
        <w:t>字或盖</w:t>
      </w:r>
      <w:r>
        <w:rPr>
          <w:rFonts w:hint="eastAsia" w:ascii="宋体" w:hAnsi="宋体" w:cs="宋体"/>
          <w:color w:val="auto"/>
          <w:sz w:val="24"/>
          <w:highlight w:val="none"/>
        </w:rPr>
        <w:t>章）</w:t>
      </w:r>
    </w:p>
    <w:p>
      <w:pPr>
        <w:keepNext w:val="0"/>
        <w:keepLines w:val="0"/>
        <w:pageBreakBefore w:val="0"/>
        <w:widowControl/>
        <w:suppressLineNumbers w:val="0"/>
        <w:kinsoku/>
        <w:wordWrap/>
        <w:overflowPunct/>
        <w:topLinePunct w:val="0"/>
        <w:autoSpaceDE/>
        <w:autoSpaceDN/>
        <w:bidi w:val="0"/>
        <w:adjustRightInd/>
        <w:snapToGrid/>
        <w:spacing w:line="600" w:lineRule="auto"/>
        <w:ind w:firstLine="480" w:firstLineChars="200"/>
        <w:jc w:val="left"/>
        <w:textAlignment w:val="auto"/>
        <w:rPr>
          <w:rFonts w:hint="eastAsia" w:ascii="宋体" w:hAnsi="宋体" w:eastAsia="宋体" w:cs="宋体"/>
          <w:i w:val="0"/>
          <w:iCs w:val="0"/>
          <w:color w:val="auto"/>
          <w:kern w:val="0"/>
          <w:sz w:val="24"/>
          <w:szCs w:val="24"/>
          <w:highlight w:val="none"/>
          <w:lang w:val="en-US" w:eastAsia="zh-CN" w:bidi="ar"/>
        </w:rPr>
      </w:pPr>
      <w:r>
        <w:rPr>
          <w:rFonts w:hint="eastAsia" w:ascii="宋体" w:hAnsi="宋体" w:eastAsia="宋体" w:cs="宋体"/>
          <w:i w:val="0"/>
          <w:iCs w:val="0"/>
          <w:color w:val="auto"/>
          <w:kern w:val="0"/>
          <w:sz w:val="24"/>
          <w:szCs w:val="24"/>
          <w:highlight w:val="none"/>
          <w:lang w:val="en-US" w:eastAsia="zh-CN" w:bidi="ar"/>
        </w:rPr>
        <w:t xml:space="preserve">日期：  年   月  日  </w:t>
      </w:r>
    </w:p>
    <w:p>
      <w:pPr>
        <w:pStyle w:val="34"/>
        <w:spacing w:line="360" w:lineRule="auto"/>
        <w:ind w:firstLine="567"/>
        <w:jc w:val="both"/>
        <w:rPr>
          <w:rFonts w:hint="eastAsia" w:ascii="宋体" w:hAnsi="宋体" w:eastAsia="宋体" w:cs="宋体"/>
          <w:b/>
          <w:bCs/>
          <w:i w:val="0"/>
          <w:iCs w:val="0"/>
          <w:color w:val="auto"/>
          <w:kern w:val="2"/>
          <w:sz w:val="24"/>
          <w:szCs w:val="24"/>
          <w:highlight w:val="none"/>
          <w:lang w:val="en-US" w:eastAsia="zh-CN" w:bidi="ar-SA"/>
        </w:rPr>
      </w:pPr>
    </w:p>
    <w:p>
      <w:pPr>
        <w:pStyle w:val="34"/>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p>
    <w:p>
      <w:pPr>
        <w:pStyle w:val="34"/>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p>
    <w:p>
      <w:pPr>
        <w:pStyle w:val="34"/>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p>
    <w:p>
      <w:pPr>
        <w:pStyle w:val="34"/>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p>
    <w:p>
      <w:pPr>
        <w:pStyle w:val="34"/>
        <w:spacing w:line="360" w:lineRule="auto"/>
        <w:jc w:val="both"/>
        <w:rPr>
          <w:rFonts w:hint="eastAsia" w:ascii="宋体" w:hAnsi="宋体" w:eastAsia="宋体" w:cs="宋体"/>
          <w:i w:val="0"/>
          <w:iCs w:val="0"/>
          <w:color w:val="auto"/>
          <w:kern w:val="2"/>
          <w:sz w:val="24"/>
          <w:szCs w:val="24"/>
          <w:highlight w:val="none"/>
          <w:lang w:val="en-US" w:eastAsia="zh-CN" w:bidi="ar-SA"/>
        </w:rPr>
      </w:pPr>
    </w:p>
    <w:p>
      <w:pPr>
        <w:pStyle w:val="38"/>
        <w:jc w:val="left"/>
        <w:rPr>
          <w:rFonts w:hint="default" w:ascii="宋体" w:hAnsi="宋体" w:eastAsia="宋体" w:cs="宋体"/>
          <w:i w:val="0"/>
          <w:iCs w:val="0"/>
          <w:color w:val="auto"/>
          <w:sz w:val="28"/>
          <w:szCs w:val="28"/>
          <w:highlight w:val="none"/>
          <w:lang w:val="en-US" w:eastAsia="zh-CN"/>
        </w:rPr>
      </w:pPr>
      <w:bookmarkStart w:id="155" w:name="_Toc7599"/>
      <w:r>
        <w:rPr>
          <w:rFonts w:hint="eastAsia" w:ascii="宋体" w:hAnsi="宋体" w:eastAsia="宋体" w:cs="宋体"/>
          <w:i w:val="0"/>
          <w:iCs w:val="0"/>
          <w:color w:val="auto"/>
          <w:sz w:val="28"/>
          <w:szCs w:val="28"/>
          <w:highlight w:val="none"/>
          <w:lang w:val="en-US" w:eastAsia="zh-CN"/>
        </w:rPr>
        <w:t>附件2</w:t>
      </w:r>
    </w:p>
    <w:p>
      <w:pPr>
        <w:pStyle w:val="38"/>
        <w:jc w:val="center"/>
        <w:outlineLvl w:val="1"/>
        <w:rPr>
          <w:rFonts w:hint="eastAsia" w:ascii="宋体" w:hAnsi="宋体" w:eastAsia="宋体" w:cs="宋体"/>
          <w:i w:val="0"/>
          <w:iCs w:val="0"/>
          <w:color w:val="auto"/>
          <w:sz w:val="28"/>
          <w:szCs w:val="28"/>
          <w:highlight w:val="none"/>
        </w:rPr>
      </w:pPr>
      <w:bookmarkStart w:id="156" w:name="_Toc29322"/>
      <w:r>
        <w:rPr>
          <w:rFonts w:hint="eastAsia" w:ascii="宋体" w:hAnsi="宋体" w:eastAsia="宋体" w:cs="宋体"/>
          <w:i w:val="0"/>
          <w:iCs w:val="0"/>
          <w:color w:val="auto"/>
          <w:sz w:val="28"/>
          <w:szCs w:val="28"/>
          <w:highlight w:val="none"/>
        </w:rPr>
        <w:t>诚信投标承诺书</w:t>
      </w:r>
      <w:bookmarkEnd w:id="155"/>
      <w:bookmarkEnd w:id="156"/>
    </w:p>
    <w:p>
      <w:pPr>
        <w:spacing w:line="360" w:lineRule="auto"/>
        <w:ind w:right="-153" w:rightChars="-73"/>
        <w:rPr>
          <w:rFonts w:hint="eastAsia" w:ascii="宋体" w:hAnsi="宋体" w:eastAsia="宋体" w:cs="宋体"/>
          <w:i w:val="0"/>
          <w:iCs w:val="0"/>
          <w:color w:val="auto"/>
          <w:sz w:val="28"/>
          <w:szCs w:val="28"/>
          <w:highlight w:val="none"/>
        </w:rPr>
      </w:pPr>
    </w:p>
    <w:p>
      <w:pPr>
        <w:keepNext w:val="0"/>
        <w:keepLines w:val="0"/>
        <w:pageBreakBefore w:val="0"/>
        <w:widowControl/>
        <w:suppressLineNumbers w:val="0"/>
        <w:kinsoku/>
        <w:wordWrap/>
        <w:overflowPunct/>
        <w:topLinePunct w:val="0"/>
        <w:autoSpaceDE/>
        <w:autoSpaceDN/>
        <w:bidi w:val="0"/>
        <w:adjustRightInd/>
        <w:snapToGrid/>
        <w:spacing w:line="600" w:lineRule="auto"/>
        <w:ind w:firstLine="480" w:firstLineChars="200"/>
        <w:jc w:val="left"/>
        <w:textAlignment w:val="auto"/>
        <w:rPr>
          <w:rFonts w:hint="eastAsia" w:ascii="宋体" w:hAnsi="宋体" w:eastAsia="宋体" w:cs="宋体"/>
          <w:i w:val="0"/>
          <w:iCs w:val="0"/>
          <w:color w:val="auto"/>
          <w:kern w:val="0"/>
          <w:sz w:val="24"/>
          <w:szCs w:val="24"/>
          <w:highlight w:val="none"/>
          <w:lang w:val="en-US" w:eastAsia="zh-CN" w:bidi="ar"/>
        </w:rPr>
      </w:pPr>
      <w:r>
        <w:rPr>
          <w:rFonts w:hint="eastAsia" w:ascii="宋体" w:hAnsi="宋体" w:eastAsia="宋体" w:cs="宋体"/>
          <w:i w:val="0"/>
          <w:iCs w:val="0"/>
          <w:color w:val="auto"/>
          <w:kern w:val="0"/>
          <w:sz w:val="24"/>
          <w:szCs w:val="24"/>
          <w:highlight w:val="none"/>
          <w:u w:val="single"/>
          <w:lang w:val="en-US" w:eastAsia="zh-CN" w:bidi="ar"/>
        </w:rPr>
        <w:t xml:space="preserve">          (采购人）        ：</w:t>
      </w:r>
    </w:p>
    <w:p>
      <w:pPr>
        <w:keepNext w:val="0"/>
        <w:keepLines w:val="0"/>
        <w:pageBreakBefore w:val="0"/>
        <w:widowControl/>
        <w:suppressLineNumbers w:val="0"/>
        <w:kinsoku/>
        <w:wordWrap/>
        <w:overflowPunct/>
        <w:topLinePunct w:val="0"/>
        <w:autoSpaceDE/>
        <w:autoSpaceDN/>
        <w:bidi w:val="0"/>
        <w:adjustRightInd/>
        <w:snapToGrid/>
        <w:spacing w:line="600" w:lineRule="auto"/>
        <w:ind w:firstLine="480" w:firstLineChars="200"/>
        <w:jc w:val="left"/>
        <w:textAlignment w:val="auto"/>
        <w:rPr>
          <w:rFonts w:hint="eastAsia" w:ascii="宋体" w:hAnsi="宋体" w:eastAsia="宋体" w:cs="宋体"/>
          <w:i w:val="0"/>
          <w:iCs w:val="0"/>
          <w:color w:val="auto"/>
          <w:kern w:val="0"/>
          <w:sz w:val="24"/>
          <w:szCs w:val="24"/>
          <w:highlight w:val="none"/>
          <w:lang w:val="en-US" w:eastAsia="zh-CN" w:bidi="ar"/>
        </w:rPr>
      </w:pPr>
      <w:r>
        <w:rPr>
          <w:rFonts w:hint="eastAsia" w:ascii="宋体" w:hAnsi="宋体" w:eastAsia="宋体" w:cs="宋体"/>
          <w:i w:val="0"/>
          <w:iCs w:val="0"/>
          <w:color w:val="auto"/>
          <w:kern w:val="0"/>
          <w:sz w:val="24"/>
          <w:szCs w:val="24"/>
          <w:highlight w:val="none"/>
          <w:lang w:val="en-US" w:eastAsia="zh-CN" w:bidi="ar"/>
        </w:rPr>
        <w:t>我公司参与</w:t>
      </w:r>
      <w:r>
        <w:rPr>
          <w:rFonts w:hint="eastAsia" w:ascii="宋体" w:hAnsi="宋体" w:eastAsia="宋体" w:cs="宋体"/>
          <w:i w:val="0"/>
          <w:iCs w:val="0"/>
          <w:color w:val="auto"/>
          <w:kern w:val="0"/>
          <w:sz w:val="24"/>
          <w:szCs w:val="24"/>
          <w:highlight w:val="none"/>
          <w:u w:val="single"/>
          <w:lang w:val="en-US" w:eastAsia="zh-CN" w:bidi="ar"/>
        </w:rPr>
        <w:t xml:space="preserve">                          （项目名称、编号）</w:t>
      </w:r>
      <w:r>
        <w:rPr>
          <w:rFonts w:hint="eastAsia" w:ascii="宋体" w:hAnsi="宋体" w:eastAsia="宋体" w:cs="宋体"/>
          <w:i w:val="0"/>
          <w:iCs w:val="0"/>
          <w:color w:val="auto"/>
          <w:kern w:val="0"/>
          <w:sz w:val="24"/>
          <w:szCs w:val="24"/>
          <w:highlight w:val="none"/>
          <w:lang w:val="en-US" w:eastAsia="zh-CN" w:bidi="ar"/>
        </w:rPr>
        <w:t>投标，本公司郑重承诺：</w:t>
      </w:r>
    </w:p>
    <w:p>
      <w:pPr>
        <w:keepNext w:val="0"/>
        <w:keepLines w:val="0"/>
        <w:pageBreakBefore w:val="0"/>
        <w:widowControl/>
        <w:suppressLineNumbers w:val="0"/>
        <w:kinsoku/>
        <w:wordWrap/>
        <w:overflowPunct/>
        <w:topLinePunct w:val="0"/>
        <w:autoSpaceDE/>
        <w:autoSpaceDN/>
        <w:bidi w:val="0"/>
        <w:adjustRightInd/>
        <w:snapToGrid/>
        <w:spacing w:line="600" w:lineRule="auto"/>
        <w:ind w:firstLine="480" w:firstLineChars="200"/>
        <w:jc w:val="left"/>
        <w:textAlignment w:val="auto"/>
        <w:rPr>
          <w:rFonts w:hint="eastAsia" w:ascii="宋体" w:hAnsi="宋体" w:eastAsia="宋体" w:cs="宋体"/>
          <w:i w:val="0"/>
          <w:iCs w:val="0"/>
          <w:color w:val="auto"/>
          <w:kern w:val="0"/>
          <w:sz w:val="24"/>
          <w:szCs w:val="24"/>
          <w:highlight w:val="none"/>
          <w:lang w:val="en-US" w:eastAsia="zh-CN" w:bidi="ar"/>
        </w:rPr>
      </w:pPr>
      <w:r>
        <w:rPr>
          <w:rFonts w:hint="eastAsia" w:ascii="宋体" w:hAnsi="宋体" w:eastAsia="宋体" w:cs="宋体"/>
          <w:i w:val="0"/>
          <w:iCs w:val="0"/>
          <w:color w:val="auto"/>
          <w:kern w:val="0"/>
          <w:sz w:val="24"/>
          <w:szCs w:val="24"/>
          <w:highlight w:val="none"/>
          <w:lang w:val="en-US" w:eastAsia="zh-CN" w:bidi="ar"/>
        </w:rPr>
        <w:t>1、自觉遵守《中华人民共和国政府采购法》等法律法规的规定；</w:t>
      </w:r>
    </w:p>
    <w:p>
      <w:pPr>
        <w:keepNext w:val="0"/>
        <w:keepLines w:val="0"/>
        <w:pageBreakBefore w:val="0"/>
        <w:widowControl/>
        <w:suppressLineNumbers w:val="0"/>
        <w:kinsoku/>
        <w:wordWrap/>
        <w:overflowPunct/>
        <w:topLinePunct w:val="0"/>
        <w:autoSpaceDE/>
        <w:autoSpaceDN/>
        <w:bidi w:val="0"/>
        <w:adjustRightInd/>
        <w:snapToGrid/>
        <w:spacing w:line="600" w:lineRule="auto"/>
        <w:ind w:firstLine="480" w:firstLineChars="200"/>
        <w:jc w:val="left"/>
        <w:textAlignment w:val="auto"/>
        <w:rPr>
          <w:rFonts w:hint="eastAsia" w:ascii="宋体" w:hAnsi="宋体" w:eastAsia="宋体" w:cs="宋体"/>
          <w:i w:val="0"/>
          <w:iCs w:val="0"/>
          <w:color w:val="auto"/>
          <w:kern w:val="0"/>
          <w:sz w:val="24"/>
          <w:szCs w:val="24"/>
          <w:highlight w:val="none"/>
          <w:lang w:val="en-US" w:eastAsia="zh-CN" w:bidi="ar"/>
        </w:rPr>
      </w:pPr>
      <w:r>
        <w:rPr>
          <w:rFonts w:hint="eastAsia" w:ascii="宋体" w:hAnsi="宋体" w:eastAsia="宋体" w:cs="宋体"/>
          <w:i w:val="0"/>
          <w:iCs w:val="0"/>
          <w:color w:val="auto"/>
          <w:kern w:val="0"/>
          <w:sz w:val="24"/>
          <w:szCs w:val="24"/>
          <w:highlight w:val="none"/>
          <w:lang w:val="en-US" w:eastAsia="zh-CN" w:bidi="ar"/>
        </w:rPr>
        <w:t>2、报价文件中所提供的材料及技术参数真实有效，不存在虚假应标；</w:t>
      </w:r>
    </w:p>
    <w:p>
      <w:pPr>
        <w:keepNext w:val="0"/>
        <w:keepLines w:val="0"/>
        <w:pageBreakBefore w:val="0"/>
        <w:widowControl/>
        <w:suppressLineNumbers w:val="0"/>
        <w:kinsoku/>
        <w:wordWrap/>
        <w:overflowPunct/>
        <w:topLinePunct w:val="0"/>
        <w:autoSpaceDE/>
        <w:autoSpaceDN/>
        <w:bidi w:val="0"/>
        <w:adjustRightInd/>
        <w:snapToGrid/>
        <w:spacing w:line="600" w:lineRule="auto"/>
        <w:ind w:firstLine="480" w:firstLineChars="200"/>
        <w:jc w:val="left"/>
        <w:textAlignment w:val="auto"/>
        <w:rPr>
          <w:rFonts w:hint="eastAsia" w:ascii="宋体" w:hAnsi="宋体" w:eastAsia="宋体" w:cs="宋体"/>
          <w:i w:val="0"/>
          <w:iCs w:val="0"/>
          <w:color w:val="auto"/>
          <w:kern w:val="0"/>
          <w:sz w:val="24"/>
          <w:szCs w:val="24"/>
          <w:highlight w:val="none"/>
          <w:lang w:val="en-US" w:eastAsia="zh-CN" w:bidi="ar"/>
        </w:rPr>
      </w:pPr>
      <w:r>
        <w:rPr>
          <w:rFonts w:hint="eastAsia" w:ascii="宋体" w:hAnsi="宋体" w:eastAsia="宋体" w:cs="宋体"/>
          <w:i w:val="0"/>
          <w:iCs w:val="0"/>
          <w:color w:val="auto"/>
          <w:kern w:val="0"/>
          <w:sz w:val="24"/>
          <w:szCs w:val="24"/>
          <w:highlight w:val="none"/>
          <w:lang w:val="en-US" w:eastAsia="zh-CN" w:bidi="ar"/>
        </w:rPr>
        <w:t>3、我司提供的所有产品均为原厂生产的正规渠道产品。</w:t>
      </w:r>
    </w:p>
    <w:p>
      <w:pPr>
        <w:keepNext w:val="0"/>
        <w:keepLines w:val="0"/>
        <w:pageBreakBefore w:val="0"/>
        <w:widowControl/>
        <w:suppressLineNumbers w:val="0"/>
        <w:kinsoku/>
        <w:wordWrap/>
        <w:overflowPunct/>
        <w:topLinePunct w:val="0"/>
        <w:autoSpaceDE/>
        <w:autoSpaceDN/>
        <w:bidi w:val="0"/>
        <w:adjustRightInd/>
        <w:snapToGrid/>
        <w:spacing w:line="600" w:lineRule="auto"/>
        <w:ind w:firstLine="480" w:firstLineChars="200"/>
        <w:jc w:val="left"/>
        <w:textAlignment w:val="auto"/>
        <w:rPr>
          <w:rFonts w:hint="eastAsia" w:ascii="宋体" w:hAnsi="宋体" w:eastAsia="宋体" w:cs="宋体"/>
          <w:i w:val="0"/>
          <w:iCs w:val="0"/>
          <w:color w:val="auto"/>
          <w:kern w:val="0"/>
          <w:sz w:val="24"/>
          <w:szCs w:val="24"/>
          <w:highlight w:val="none"/>
          <w:lang w:val="en-US" w:eastAsia="zh-CN" w:bidi="ar"/>
        </w:rPr>
      </w:pPr>
      <w:r>
        <w:rPr>
          <w:rFonts w:hint="eastAsia" w:ascii="宋体" w:hAnsi="宋体" w:eastAsia="宋体" w:cs="宋体"/>
          <w:i w:val="0"/>
          <w:iCs w:val="0"/>
          <w:color w:val="auto"/>
          <w:kern w:val="0"/>
          <w:sz w:val="24"/>
          <w:szCs w:val="24"/>
          <w:highlight w:val="none"/>
          <w:lang w:val="en-US" w:eastAsia="zh-CN" w:bidi="ar"/>
        </w:rPr>
        <w:t>我公司若违反上述承诺，愿接受取消报价（成交）资格及其他任何形式的处理。</w:t>
      </w:r>
    </w:p>
    <w:p>
      <w:pPr>
        <w:keepNext w:val="0"/>
        <w:keepLines w:val="0"/>
        <w:pageBreakBefore w:val="0"/>
        <w:widowControl/>
        <w:suppressLineNumbers w:val="0"/>
        <w:kinsoku/>
        <w:wordWrap/>
        <w:overflowPunct/>
        <w:topLinePunct w:val="0"/>
        <w:autoSpaceDE/>
        <w:autoSpaceDN/>
        <w:bidi w:val="0"/>
        <w:adjustRightInd/>
        <w:snapToGrid/>
        <w:spacing w:line="600" w:lineRule="auto"/>
        <w:ind w:firstLine="480" w:firstLineChars="200"/>
        <w:jc w:val="left"/>
        <w:textAlignment w:val="auto"/>
        <w:rPr>
          <w:rFonts w:hint="eastAsia" w:ascii="宋体" w:hAnsi="宋体" w:eastAsia="宋体" w:cs="宋体"/>
          <w:i w:val="0"/>
          <w:iCs w:val="0"/>
          <w:color w:val="auto"/>
          <w:kern w:val="0"/>
          <w:sz w:val="24"/>
          <w:szCs w:val="24"/>
          <w:highlight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600" w:lineRule="auto"/>
        <w:ind w:firstLine="480" w:firstLineChars="200"/>
        <w:jc w:val="left"/>
        <w:textAlignment w:val="auto"/>
        <w:rPr>
          <w:rFonts w:hint="eastAsia" w:ascii="宋体" w:hAnsi="宋体" w:eastAsia="宋体" w:cs="宋体"/>
          <w:i w:val="0"/>
          <w:iCs w:val="0"/>
          <w:color w:val="auto"/>
          <w:kern w:val="0"/>
          <w:sz w:val="24"/>
          <w:szCs w:val="24"/>
          <w:highlight w:val="none"/>
          <w:lang w:val="en-US" w:eastAsia="zh-CN" w:bidi="ar"/>
        </w:rPr>
      </w:pPr>
      <w:r>
        <w:rPr>
          <w:rFonts w:hint="eastAsia" w:ascii="宋体" w:hAnsi="宋体" w:eastAsia="宋体" w:cs="宋体"/>
          <w:i w:val="0"/>
          <w:iCs w:val="0"/>
          <w:color w:val="auto"/>
          <w:kern w:val="0"/>
          <w:sz w:val="24"/>
          <w:szCs w:val="24"/>
          <w:highlight w:val="none"/>
          <w:lang w:val="en-US" w:eastAsia="zh-CN" w:bidi="ar"/>
        </w:rPr>
        <w:t>供应商全称（公章）：</w:t>
      </w:r>
    </w:p>
    <w:p>
      <w:pPr>
        <w:keepNext w:val="0"/>
        <w:keepLines w:val="0"/>
        <w:pageBreakBefore w:val="0"/>
        <w:widowControl/>
        <w:suppressLineNumbers w:val="0"/>
        <w:kinsoku/>
        <w:wordWrap/>
        <w:overflowPunct/>
        <w:topLinePunct w:val="0"/>
        <w:autoSpaceDE/>
        <w:autoSpaceDN/>
        <w:bidi w:val="0"/>
        <w:adjustRightInd/>
        <w:snapToGrid/>
        <w:spacing w:line="600" w:lineRule="auto"/>
        <w:ind w:firstLine="480" w:firstLineChars="200"/>
        <w:jc w:val="left"/>
        <w:textAlignment w:val="auto"/>
        <w:rPr>
          <w:rFonts w:hint="eastAsia" w:ascii="宋体" w:hAnsi="宋体" w:eastAsia="宋体" w:cs="宋体"/>
          <w:i w:val="0"/>
          <w:iCs w:val="0"/>
          <w:color w:val="auto"/>
          <w:kern w:val="0"/>
          <w:sz w:val="24"/>
          <w:szCs w:val="24"/>
          <w:highlight w:val="none"/>
          <w:lang w:val="en-US" w:eastAsia="zh-CN" w:bidi="ar"/>
        </w:rPr>
      </w:pPr>
      <w:r>
        <w:rPr>
          <w:rFonts w:hint="eastAsia" w:ascii="宋体" w:hAnsi="宋体" w:cs="宋体"/>
          <w:color w:val="auto"/>
          <w:sz w:val="24"/>
          <w:highlight w:val="none"/>
        </w:rPr>
        <w:t>法定代表或委托代理人：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（签</w:t>
      </w:r>
      <w:r>
        <w:rPr>
          <w:rFonts w:hint="eastAsia" w:ascii="宋体" w:hAnsi="宋体" w:cs="宋体"/>
          <w:color w:val="auto"/>
          <w:sz w:val="24"/>
          <w:highlight w:val="none"/>
          <w:lang w:eastAsia="zh-CN"/>
        </w:rPr>
        <w:t>字或盖</w:t>
      </w:r>
      <w:r>
        <w:rPr>
          <w:rFonts w:hint="eastAsia" w:ascii="宋体" w:hAnsi="宋体" w:cs="宋体"/>
          <w:color w:val="auto"/>
          <w:sz w:val="24"/>
          <w:highlight w:val="none"/>
        </w:rPr>
        <w:t>章）</w:t>
      </w:r>
    </w:p>
    <w:p>
      <w:pPr>
        <w:keepNext w:val="0"/>
        <w:keepLines w:val="0"/>
        <w:pageBreakBefore w:val="0"/>
        <w:widowControl/>
        <w:suppressLineNumbers w:val="0"/>
        <w:kinsoku/>
        <w:wordWrap/>
        <w:overflowPunct/>
        <w:topLinePunct w:val="0"/>
        <w:autoSpaceDE/>
        <w:autoSpaceDN/>
        <w:bidi w:val="0"/>
        <w:adjustRightInd/>
        <w:snapToGrid/>
        <w:spacing w:line="600" w:lineRule="auto"/>
        <w:ind w:firstLine="480" w:firstLineChars="200"/>
        <w:jc w:val="left"/>
        <w:textAlignment w:val="auto"/>
        <w:rPr>
          <w:rFonts w:hint="eastAsia" w:ascii="宋体" w:hAnsi="宋体" w:eastAsia="宋体" w:cs="宋体"/>
          <w:i w:val="0"/>
          <w:iCs w:val="0"/>
          <w:color w:val="auto"/>
          <w:kern w:val="0"/>
          <w:sz w:val="24"/>
          <w:szCs w:val="24"/>
          <w:highlight w:val="none"/>
          <w:lang w:val="en-US" w:eastAsia="zh-CN" w:bidi="ar"/>
        </w:rPr>
      </w:pPr>
      <w:r>
        <w:rPr>
          <w:rFonts w:hint="eastAsia" w:ascii="宋体" w:hAnsi="宋体" w:eastAsia="宋体" w:cs="宋体"/>
          <w:i w:val="0"/>
          <w:iCs w:val="0"/>
          <w:color w:val="auto"/>
          <w:kern w:val="0"/>
          <w:sz w:val="24"/>
          <w:szCs w:val="24"/>
          <w:highlight w:val="none"/>
          <w:lang w:val="en-US" w:eastAsia="zh-CN" w:bidi="ar"/>
        </w:rPr>
        <w:t>日 期：  年  月  日</w:t>
      </w:r>
    </w:p>
    <w:p>
      <w:pPr>
        <w:pStyle w:val="34"/>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p>
    <w:p>
      <w:pPr>
        <w:pStyle w:val="34"/>
        <w:spacing w:line="360" w:lineRule="auto"/>
        <w:ind w:firstLine="567"/>
        <w:jc w:val="both"/>
        <w:rPr>
          <w:rFonts w:hint="eastAsia" w:ascii="宋体" w:hAnsi="宋体" w:eastAsia="宋体" w:cs="宋体"/>
          <w:i w:val="0"/>
          <w:iCs w:val="0"/>
          <w:color w:val="auto"/>
          <w:kern w:val="2"/>
          <w:sz w:val="24"/>
          <w:szCs w:val="24"/>
          <w:highlight w:val="none"/>
          <w:lang w:val="en-US" w:eastAsia="zh-CN" w:bidi="ar-SA"/>
        </w:rPr>
      </w:pPr>
    </w:p>
    <w:p>
      <w:pPr>
        <w:spacing w:line="480" w:lineRule="auto"/>
        <w:jc w:val="center"/>
        <w:outlineLvl w:val="9"/>
        <w:rPr>
          <w:rFonts w:hint="eastAsia" w:ascii="宋体" w:hAnsi="宋体"/>
          <w:b/>
          <w:color w:val="auto"/>
          <w:sz w:val="28"/>
          <w:szCs w:val="28"/>
          <w:highlight w:val="none"/>
          <w:lang w:val="en-US" w:eastAsia="zh-CN"/>
        </w:rPr>
      </w:pPr>
    </w:p>
    <w:p>
      <w:pPr>
        <w:pStyle w:val="9"/>
        <w:rPr>
          <w:rFonts w:hint="eastAsia" w:ascii="宋体" w:hAnsi="宋体"/>
          <w:b/>
          <w:color w:val="auto"/>
          <w:sz w:val="28"/>
          <w:szCs w:val="28"/>
          <w:highlight w:val="none"/>
          <w:lang w:val="en-US" w:eastAsia="zh-CN"/>
        </w:rPr>
      </w:pPr>
    </w:p>
    <w:p>
      <w:pPr>
        <w:rPr>
          <w:rFonts w:hint="eastAsia"/>
          <w:highlight w:val="none"/>
          <w:lang w:val="en-US" w:eastAsia="zh-CN"/>
        </w:rPr>
      </w:pPr>
    </w:p>
    <w:p>
      <w:pPr>
        <w:spacing w:line="480" w:lineRule="auto"/>
        <w:jc w:val="center"/>
        <w:outlineLvl w:val="9"/>
        <w:rPr>
          <w:rFonts w:hint="eastAsia" w:ascii="宋体" w:hAnsi="宋体"/>
          <w:b/>
          <w:color w:val="auto"/>
          <w:sz w:val="28"/>
          <w:szCs w:val="28"/>
          <w:highlight w:val="none"/>
          <w:lang w:val="en-US" w:eastAsia="zh-CN"/>
        </w:rPr>
      </w:pPr>
    </w:p>
    <w:p>
      <w:pPr>
        <w:pStyle w:val="38"/>
        <w:jc w:val="left"/>
        <w:rPr>
          <w:rFonts w:hint="eastAsia" w:ascii="宋体" w:hAnsi="宋体"/>
          <w:b/>
          <w:color w:val="auto"/>
          <w:sz w:val="28"/>
          <w:szCs w:val="28"/>
          <w:highlight w:val="none"/>
          <w:lang w:val="en-US" w:eastAsia="zh-CN"/>
        </w:rPr>
      </w:pPr>
      <w:r>
        <w:rPr>
          <w:rFonts w:hint="eastAsia" w:ascii="宋体" w:hAnsi="宋体" w:eastAsia="宋体" w:cs="宋体"/>
          <w:i w:val="0"/>
          <w:iCs w:val="0"/>
          <w:color w:val="auto"/>
          <w:sz w:val="28"/>
          <w:szCs w:val="28"/>
          <w:highlight w:val="none"/>
          <w:lang w:val="en-US" w:eastAsia="zh-CN"/>
        </w:rPr>
        <w:t>附件3</w:t>
      </w:r>
    </w:p>
    <w:p>
      <w:pPr>
        <w:spacing w:line="480" w:lineRule="auto"/>
        <w:jc w:val="center"/>
        <w:outlineLvl w:val="1"/>
        <w:rPr>
          <w:rFonts w:hint="eastAsia" w:ascii="宋体" w:hAnsi="宋体"/>
          <w:b/>
          <w:color w:val="auto"/>
          <w:sz w:val="28"/>
          <w:szCs w:val="28"/>
          <w:highlight w:val="none"/>
          <w:lang w:val="en-US" w:eastAsia="zh-CN"/>
        </w:rPr>
      </w:pPr>
      <w:bookmarkStart w:id="157" w:name="_Toc6006"/>
      <w:r>
        <w:rPr>
          <w:rFonts w:hint="eastAsia" w:ascii="宋体" w:hAnsi="宋体"/>
          <w:b/>
          <w:color w:val="auto"/>
          <w:sz w:val="28"/>
          <w:szCs w:val="28"/>
          <w:highlight w:val="none"/>
          <w:lang w:val="en-US" w:eastAsia="zh-CN"/>
        </w:rPr>
        <w:t>反商业贿赂承诺书</w:t>
      </w:r>
      <w:bookmarkEnd w:id="157"/>
    </w:p>
    <w:p>
      <w:pPr>
        <w:spacing w:line="480" w:lineRule="auto"/>
        <w:jc w:val="left"/>
        <w:rPr>
          <w:rFonts w:hint="default" w:ascii="宋体" w:hAnsi="宋体"/>
          <w:b w:val="0"/>
          <w:bCs/>
          <w:color w:val="auto"/>
          <w:sz w:val="24"/>
          <w:szCs w:val="24"/>
          <w:highlight w:val="none"/>
          <w:lang w:val="en-US" w:eastAsia="zh-CN"/>
        </w:rPr>
      </w:pPr>
      <w:r>
        <w:rPr>
          <w:rFonts w:hint="eastAsia" w:ascii="宋体" w:hAnsi="宋体"/>
          <w:b w:val="0"/>
          <w:bCs/>
          <w:color w:val="auto"/>
          <w:sz w:val="24"/>
          <w:szCs w:val="24"/>
          <w:highlight w:val="none"/>
          <w:u w:val="single"/>
          <w:lang w:val="en-US" w:eastAsia="zh-CN"/>
        </w:rPr>
        <w:t xml:space="preserve">致：       （采购人） </w:t>
      </w:r>
      <w:r>
        <w:rPr>
          <w:rFonts w:hint="eastAsia" w:ascii="宋体" w:hAnsi="宋体"/>
          <w:b w:val="0"/>
          <w:bCs/>
          <w:color w:val="auto"/>
          <w:sz w:val="24"/>
          <w:szCs w:val="24"/>
          <w:highlight w:val="none"/>
          <w:lang w:val="en-US" w:eastAsia="zh-CN"/>
        </w:rPr>
        <w:t xml:space="preserve">      </w:t>
      </w:r>
    </w:p>
    <w:p>
      <w:pPr>
        <w:spacing w:line="480" w:lineRule="auto"/>
        <w:jc w:val="left"/>
        <w:rPr>
          <w:rFonts w:hint="eastAsia" w:ascii="宋体" w:hAnsi="宋体"/>
          <w:b w:val="0"/>
          <w:bCs/>
          <w:color w:val="auto"/>
          <w:sz w:val="24"/>
          <w:szCs w:val="24"/>
          <w:highlight w:val="none"/>
          <w:lang w:val="en-US" w:eastAsia="zh-CN"/>
        </w:rPr>
      </w:pPr>
      <w:r>
        <w:rPr>
          <w:rFonts w:hint="eastAsia" w:ascii="宋体" w:hAnsi="宋体"/>
          <w:b w:val="0"/>
          <w:bCs/>
          <w:color w:val="auto"/>
          <w:sz w:val="24"/>
          <w:szCs w:val="24"/>
          <w:highlight w:val="none"/>
          <w:lang w:val="en-US" w:eastAsia="zh-CN"/>
        </w:rPr>
        <w:t>为了进一步营造公平竞争的市场环境，维护市场秩序，我方在政府采购活动中郑重承诺：</w:t>
      </w:r>
    </w:p>
    <w:p>
      <w:pPr>
        <w:spacing w:line="480" w:lineRule="auto"/>
        <w:jc w:val="left"/>
        <w:rPr>
          <w:rFonts w:hint="eastAsia" w:ascii="宋体" w:hAnsi="宋体"/>
          <w:b w:val="0"/>
          <w:bCs/>
          <w:color w:val="auto"/>
          <w:sz w:val="24"/>
          <w:szCs w:val="24"/>
          <w:highlight w:val="none"/>
          <w:lang w:val="en-US" w:eastAsia="zh-CN"/>
        </w:rPr>
      </w:pPr>
      <w:r>
        <w:rPr>
          <w:rFonts w:hint="eastAsia" w:ascii="宋体" w:hAnsi="宋体"/>
          <w:b w:val="0"/>
          <w:bCs/>
          <w:color w:val="auto"/>
          <w:sz w:val="24"/>
          <w:szCs w:val="24"/>
          <w:highlight w:val="none"/>
          <w:lang w:val="en-US" w:eastAsia="zh-CN"/>
        </w:rPr>
        <w:t>一、依法参与政府采购活动，遵纪守法，诚信经营，公平竞争。</w:t>
      </w:r>
    </w:p>
    <w:p>
      <w:pPr>
        <w:spacing w:line="480" w:lineRule="auto"/>
        <w:jc w:val="left"/>
        <w:rPr>
          <w:rFonts w:hint="eastAsia" w:ascii="宋体" w:hAnsi="宋体"/>
          <w:b w:val="0"/>
          <w:bCs/>
          <w:color w:val="auto"/>
          <w:sz w:val="24"/>
          <w:szCs w:val="24"/>
          <w:highlight w:val="none"/>
          <w:lang w:val="en-US" w:eastAsia="zh-CN"/>
        </w:rPr>
      </w:pPr>
      <w:r>
        <w:rPr>
          <w:rFonts w:hint="eastAsia" w:ascii="宋体" w:hAnsi="宋体"/>
          <w:b w:val="0"/>
          <w:bCs/>
          <w:color w:val="auto"/>
          <w:sz w:val="24"/>
          <w:szCs w:val="24"/>
          <w:highlight w:val="none"/>
          <w:lang w:val="en-US" w:eastAsia="zh-CN"/>
        </w:rPr>
        <w:t>二、不向采购单位、集中采购机构和政府采购评审专家提供任何形式的商业贿赂；对索取或接受商业贿赂的单位和个人，及时向财政部门或纪检监察机关举报。</w:t>
      </w:r>
    </w:p>
    <w:p>
      <w:pPr>
        <w:spacing w:line="480" w:lineRule="auto"/>
        <w:jc w:val="left"/>
        <w:rPr>
          <w:rFonts w:hint="eastAsia" w:ascii="宋体" w:hAnsi="宋体"/>
          <w:b w:val="0"/>
          <w:bCs/>
          <w:color w:val="auto"/>
          <w:sz w:val="24"/>
          <w:szCs w:val="24"/>
          <w:highlight w:val="none"/>
          <w:lang w:val="en-US" w:eastAsia="zh-CN"/>
        </w:rPr>
      </w:pPr>
      <w:r>
        <w:rPr>
          <w:rFonts w:hint="eastAsia" w:ascii="宋体" w:hAnsi="宋体"/>
          <w:b w:val="0"/>
          <w:bCs/>
          <w:color w:val="auto"/>
          <w:sz w:val="24"/>
          <w:szCs w:val="24"/>
          <w:highlight w:val="none"/>
          <w:lang w:val="en-US" w:eastAsia="zh-CN"/>
        </w:rPr>
        <w:t>三、坚决做到不提供虚假资质文件和虚假材料谋取中标。</w:t>
      </w:r>
    </w:p>
    <w:p>
      <w:pPr>
        <w:spacing w:line="480" w:lineRule="auto"/>
        <w:jc w:val="left"/>
        <w:rPr>
          <w:rFonts w:hint="eastAsia" w:ascii="宋体" w:hAnsi="宋体"/>
          <w:b w:val="0"/>
          <w:bCs/>
          <w:color w:val="auto"/>
          <w:sz w:val="24"/>
          <w:szCs w:val="24"/>
          <w:highlight w:val="none"/>
          <w:lang w:val="en-US" w:eastAsia="zh-CN"/>
        </w:rPr>
      </w:pPr>
      <w:r>
        <w:rPr>
          <w:rFonts w:hint="eastAsia" w:ascii="宋体" w:hAnsi="宋体"/>
          <w:b w:val="0"/>
          <w:bCs/>
          <w:color w:val="auto"/>
          <w:sz w:val="24"/>
          <w:szCs w:val="24"/>
          <w:highlight w:val="none"/>
          <w:lang w:val="en-US" w:eastAsia="zh-CN"/>
        </w:rPr>
        <w:t>四、不采取不正当手段诋毁、排挤其他询价人，与其他询价人保持公平的竞争关系。</w:t>
      </w:r>
    </w:p>
    <w:p>
      <w:pPr>
        <w:spacing w:line="480" w:lineRule="auto"/>
        <w:jc w:val="left"/>
        <w:rPr>
          <w:rFonts w:hint="eastAsia" w:ascii="宋体" w:hAnsi="宋体"/>
          <w:b w:val="0"/>
          <w:bCs/>
          <w:color w:val="auto"/>
          <w:sz w:val="24"/>
          <w:szCs w:val="24"/>
          <w:highlight w:val="none"/>
          <w:lang w:val="en-US" w:eastAsia="zh-CN"/>
        </w:rPr>
      </w:pPr>
      <w:r>
        <w:rPr>
          <w:rFonts w:hint="eastAsia" w:ascii="宋体" w:hAnsi="宋体"/>
          <w:b w:val="0"/>
          <w:bCs/>
          <w:color w:val="auto"/>
          <w:sz w:val="24"/>
          <w:szCs w:val="24"/>
          <w:highlight w:val="none"/>
          <w:lang w:val="en-US" w:eastAsia="zh-CN"/>
        </w:rPr>
        <w:t>五、不与采购单位、集中采购机构和政府采购评审专家串通，自觉维护政府采购公平竞争的市场秩序。</w:t>
      </w:r>
    </w:p>
    <w:p>
      <w:pPr>
        <w:spacing w:line="480" w:lineRule="auto"/>
        <w:jc w:val="left"/>
        <w:rPr>
          <w:rFonts w:hint="eastAsia" w:ascii="宋体" w:hAnsi="宋体"/>
          <w:b w:val="0"/>
          <w:bCs/>
          <w:color w:val="auto"/>
          <w:sz w:val="24"/>
          <w:szCs w:val="24"/>
          <w:highlight w:val="none"/>
          <w:lang w:val="en-US" w:eastAsia="zh-CN"/>
        </w:rPr>
      </w:pPr>
      <w:r>
        <w:rPr>
          <w:rFonts w:hint="eastAsia" w:ascii="宋体" w:hAnsi="宋体"/>
          <w:b w:val="0"/>
          <w:bCs/>
          <w:color w:val="auto"/>
          <w:sz w:val="24"/>
          <w:szCs w:val="24"/>
          <w:highlight w:val="none"/>
          <w:lang w:val="en-US" w:eastAsia="zh-CN"/>
        </w:rPr>
        <w:t>六、不与其他询价人串通采取围标、陪标等商业欺诈手段谋取中标，积极维护国家利益、社会公共利益和采购单位的合法权益。</w:t>
      </w:r>
    </w:p>
    <w:p>
      <w:pPr>
        <w:spacing w:line="480" w:lineRule="auto"/>
        <w:jc w:val="left"/>
        <w:rPr>
          <w:rFonts w:hint="eastAsia" w:ascii="宋体" w:hAnsi="宋体"/>
          <w:b w:val="0"/>
          <w:bCs/>
          <w:color w:val="auto"/>
          <w:sz w:val="24"/>
          <w:szCs w:val="24"/>
          <w:highlight w:val="none"/>
          <w:lang w:val="en-US" w:eastAsia="zh-CN"/>
        </w:rPr>
      </w:pPr>
      <w:r>
        <w:rPr>
          <w:rFonts w:hint="eastAsia" w:ascii="宋体" w:hAnsi="宋体"/>
          <w:b w:val="0"/>
          <w:bCs/>
          <w:color w:val="auto"/>
          <w:sz w:val="24"/>
          <w:szCs w:val="24"/>
          <w:highlight w:val="none"/>
          <w:lang w:val="en-US" w:eastAsia="zh-CN"/>
        </w:rPr>
        <w:t>七、严格履行政府采购合同约定的责任和义务，保质保量地完成采购合同规定的任务，准确兑现售后服务承诺。</w:t>
      </w:r>
    </w:p>
    <w:p>
      <w:pPr>
        <w:spacing w:line="480" w:lineRule="auto"/>
        <w:jc w:val="left"/>
        <w:rPr>
          <w:rFonts w:hint="eastAsia" w:ascii="宋体" w:hAnsi="宋体"/>
          <w:b w:val="0"/>
          <w:bCs/>
          <w:color w:val="auto"/>
          <w:sz w:val="24"/>
          <w:szCs w:val="24"/>
          <w:highlight w:val="none"/>
          <w:lang w:val="en-US" w:eastAsia="zh-CN"/>
        </w:rPr>
      </w:pPr>
      <w:r>
        <w:rPr>
          <w:rFonts w:hint="eastAsia" w:ascii="宋体" w:hAnsi="宋体"/>
          <w:b w:val="0"/>
          <w:bCs/>
          <w:color w:val="auto"/>
          <w:sz w:val="24"/>
          <w:szCs w:val="24"/>
          <w:highlight w:val="none"/>
          <w:lang w:val="en-US" w:eastAsia="zh-CN"/>
        </w:rPr>
        <w:t>八、自觉接受并积极配合财政部门和纪检监察机关依法实施的监督检查，如实反映情况，及时提供有关证明材料。</w:t>
      </w:r>
    </w:p>
    <w:p>
      <w:pPr>
        <w:spacing w:line="480" w:lineRule="auto"/>
        <w:ind w:firstLine="480"/>
        <w:jc w:val="left"/>
        <w:rPr>
          <w:rFonts w:hint="eastAsia" w:ascii="宋体" w:hAnsi="宋体"/>
          <w:b w:val="0"/>
          <w:bCs/>
          <w:color w:val="auto"/>
          <w:sz w:val="24"/>
          <w:szCs w:val="24"/>
          <w:highlight w:val="none"/>
          <w:lang w:val="en-US" w:eastAsia="zh-CN"/>
        </w:rPr>
      </w:pPr>
      <w:r>
        <w:rPr>
          <w:rFonts w:hint="eastAsia" w:ascii="宋体" w:hAnsi="宋体"/>
          <w:b w:val="0"/>
          <w:bCs/>
          <w:color w:val="auto"/>
          <w:sz w:val="24"/>
          <w:szCs w:val="24"/>
          <w:highlight w:val="none"/>
          <w:lang w:val="en-US" w:eastAsia="zh-CN"/>
        </w:rPr>
        <w:t>单位全称：     （加盖单位公章）</w:t>
      </w:r>
    </w:p>
    <w:p>
      <w:pPr>
        <w:keepNext w:val="0"/>
        <w:keepLines w:val="0"/>
        <w:pageBreakBefore w:val="0"/>
        <w:widowControl/>
        <w:suppressLineNumbers w:val="0"/>
        <w:kinsoku/>
        <w:wordWrap/>
        <w:overflowPunct/>
        <w:topLinePunct w:val="0"/>
        <w:autoSpaceDE/>
        <w:autoSpaceDN/>
        <w:bidi w:val="0"/>
        <w:adjustRightInd/>
        <w:snapToGrid/>
        <w:spacing w:line="600" w:lineRule="auto"/>
        <w:ind w:firstLine="480" w:firstLineChars="200"/>
        <w:jc w:val="left"/>
        <w:textAlignment w:val="auto"/>
        <w:rPr>
          <w:rFonts w:hint="eastAsia"/>
          <w:color w:val="auto"/>
          <w:highlight w:val="none"/>
          <w:lang w:val="en-US" w:eastAsia="zh-CN"/>
        </w:rPr>
      </w:pPr>
      <w:r>
        <w:rPr>
          <w:rFonts w:hint="eastAsia" w:ascii="宋体" w:hAnsi="宋体" w:cs="宋体"/>
          <w:color w:val="auto"/>
          <w:sz w:val="24"/>
          <w:highlight w:val="none"/>
        </w:rPr>
        <w:t>法定代表或委托代理人：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（签</w:t>
      </w:r>
      <w:r>
        <w:rPr>
          <w:rFonts w:hint="eastAsia" w:ascii="宋体" w:hAnsi="宋体" w:cs="宋体"/>
          <w:color w:val="auto"/>
          <w:sz w:val="24"/>
          <w:highlight w:val="none"/>
          <w:lang w:eastAsia="zh-CN"/>
        </w:rPr>
        <w:t>字或盖</w:t>
      </w:r>
      <w:r>
        <w:rPr>
          <w:rFonts w:hint="eastAsia" w:ascii="宋体" w:hAnsi="宋体" w:cs="宋体"/>
          <w:color w:val="auto"/>
          <w:sz w:val="24"/>
          <w:highlight w:val="none"/>
        </w:rPr>
        <w:t>章）</w:t>
      </w:r>
    </w:p>
    <w:p>
      <w:pPr>
        <w:spacing w:line="480" w:lineRule="auto"/>
        <w:ind w:firstLine="480" w:firstLineChars="200"/>
        <w:jc w:val="left"/>
        <w:rPr>
          <w:rFonts w:hint="eastAsia"/>
          <w:color w:val="auto"/>
          <w:highlight w:val="none"/>
          <w:lang w:val="en-US" w:eastAsia="zh-CN"/>
        </w:rPr>
      </w:pPr>
      <w:r>
        <w:rPr>
          <w:rFonts w:hint="eastAsia" w:ascii="宋体" w:hAnsi="宋体"/>
          <w:b w:val="0"/>
          <w:bCs/>
          <w:color w:val="auto"/>
          <w:sz w:val="24"/>
          <w:szCs w:val="24"/>
          <w:highlight w:val="none"/>
          <w:lang w:val="en-US" w:eastAsia="zh-CN"/>
        </w:rPr>
        <w:t>签署日期：      年     月     日</w:t>
      </w:r>
    </w:p>
    <w:p>
      <w:pPr>
        <w:pStyle w:val="6"/>
        <w:rPr>
          <w:rFonts w:hint="eastAsia" w:ascii="仿宋" w:hAnsi="仿宋" w:eastAsia="仿宋" w:cs="仿宋"/>
          <w:kern w:val="0"/>
          <w:sz w:val="28"/>
          <w:szCs w:val="28"/>
          <w:highlight w:val="none"/>
          <w:lang w:val="en-US" w:eastAsia="zh-CN"/>
        </w:rPr>
      </w:pPr>
    </w:p>
    <w:p>
      <w:pPr>
        <w:pStyle w:val="6"/>
        <w:rPr>
          <w:rFonts w:hint="default" w:ascii="仿宋" w:hAnsi="仿宋" w:eastAsia="仿宋" w:cs="仿宋"/>
          <w:kern w:val="0"/>
          <w:sz w:val="28"/>
          <w:szCs w:val="28"/>
          <w:highlight w:val="none"/>
          <w:lang w:val="en-US" w:eastAsia="zh-CN"/>
        </w:rPr>
      </w:pPr>
    </w:p>
    <w:sectPr>
      <w:pgSz w:w="11906" w:h="16838"/>
      <w:pgMar w:top="1157" w:right="1077" w:bottom="1157" w:left="1077" w:header="850" w:footer="992" w:gutter="0"/>
      <w:cols w:space="425"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宋体">
    <w:panose1 w:val="02010600040101010101"/>
    <w:charset w:val="86"/>
    <w:family w:val="auto"/>
    <w:pitch w:val="default"/>
    <w:sig w:usb0="00000287" w:usb1="080F0000" w:usb2="00000000" w:usb3="00000000" w:csb0="0004009F" w:csb1="DFD70000"/>
  </w:font>
  <w:font w:name="楷体_GB2312">
    <w:altName w:val="楷体"/>
    <w:panose1 w:val="02010609030101010101"/>
    <w:charset w:val="86"/>
    <w:family w:val="modern"/>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6"/>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pPr>
                      <w:pStyle w:val="16"/>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10A591B"/>
    <w:multiLevelType w:val="multilevel"/>
    <w:tmpl w:val="110A591B"/>
    <w:lvl w:ilvl="0" w:tentative="0">
      <w:start w:val="1"/>
      <w:numFmt w:val="decimal"/>
      <w:lvlText w:val="%1"/>
      <w:lvlJc w:val="left"/>
      <w:pPr>
        <w:tabs>
          <w:tab w:val="left" w:pos="432"/>
        </w:tabs>
        <w:ind w:left="432" w:hanging="432"/>
      </w:pPr>
    </w:lvl>
    <w:lvl w:ilvl="1" w:tentative="0">
      <w:start w:val="1"/>
      <w:numFmt w:val="decimal"/>
      <w:pStyle w:val="4"/>
      <w:lvlText w:val="%1.%2"/>
      <w:lvlJc w:val="left"/>
      <w:pPr>
        <w:tabs>
          <w:tab w:val="left" w:pos="576"/>
        </w:tabs>
        <w:ind w:left="576" w:hanging="576"/>
      </w:pPr>
    </w:lvl>
    <w:lvl w:ilvl="2" w:tentative="0">
      <w:start w:val="1"/>
      <w:numFmt w:val="decimal"/>
      <w:pStyle w:val="5"/>
      <w:lvlText w:val="%1.%2.%3"/>
      <w:lvlJc w:val="left"/>
      <w:pPr>
        <w:tabs>
          <w:tab w:val="left" w:pos="720"/>
        </w:tabs>
        <w:ind w:left="720" w:hanging="720"/>
      </w:pPr>
    </w:lvl>
    <w:lvl w:ilvl="3" w:tentative="0">
      <w:start w:val="1"/>
      <w:numFmt w:val="decimal"/>
      <w:lvlText w:val="5.2.%4"/>
      <w:lvlJc w:val="left"/>
      <w:pPr>
        <w:tabs>
          <w:tab w:val="left" w:pos="1080"/>
        </w:tabs>
        <w:ind w:left="864" w:hanging="864"/>
      </w:p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abstractNum w:abstractNumId="1">
    <w:nsid w:val="5F441F06"/>
    <w:multiLevelType w:val="singleLevel"/>
    <w:tmpl w:val="5F441F06"/>
    <w:lvl w:ilvl="0" w:tentative="0">
      <w:start w:val="4"/>
      <w:numFmt w:val="chineseCounting"/>
      <w:suff w:val="space"/>
      <w:lvlText w:val="第%1章"/>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BkMDRhOWVjZjlhZTVkMGEwM2I1Yzg3MWMwMjRhMjgifQ=="/>
  </w:docVars>
  <w:rsids>
    <w:rsidRoot w:val="00000000"/>
    <w:rsid w:val="016A5DA8"/>
    <w:rsid w:val="04382EA5"/>
    <w:rsid w:val="0D1B387B"/>
    <w:rsid w:val="0D1C45BF"/>
    <w:rsid w:val="140823CE"/>
    <w:rsid w:val="1E7333B1"/>
    <w:rsid w:val="243D2ED8"/>
    <w:rsid w:val="268853FE"/>
    <w:rsid w:val="2D767788"/>
    <w:rsid w:val="31BA4361"/>
    <w:rsid w:val="31D75713"/>
    <w:rsid w:val="36E400DD"/>
    <w:rsid w:val="3A8717F4"/>
    <w:rsid w:val="3C0821C5"/>
    <w:rsid w:val="443127E2"/>
    <w:rsid w:val="44CD2AA0"/>
    <w:rsid w:val="4CE865CF"/>
    <w:rsid w:val="59BD32BD"/>
    <w:rsid w:val="5DEF6573"/>
    <w:rsid w:val="5F1F7CA3"/>
    <w:rsid w:val="68717243"/>
    <w:rsid w:val="6AF12199"/>
    <w:rsid w:val="6B212DE3"/>
    <w:rsid w:val="6BAA605B"/>
    <w:rsid w:val="79036684"/>
    <w:rsid w:val="7ADE13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iPriority="39"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99" w:semiHidden="0" w:name="footnote text"/>
    <w:lsdException w:qFormat="1"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iPriority="99" w:semiHidden="0" w:name="toa heading"/>
    <w:lsdException w:qFormat="1" w:uiPriority="99"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1"/>
    <w:basedOn w:val="1"/>
    <w:next w:val="1"/>
    <w:qFormat/>
    <w:uiPriority w:val="9"/>
    <w:pPr>
      <w:keepNext/>
      <w:keepLines/>
      <w:spacing w:before="340" w:after="330" w:line="578" w:lineRule="auto"/>
      <w:outlineLvl w:val="0"/>
    </w:pPr>
    <w:rPr>
      <w:b/>
      <w:bCs/>
      <w:kern w:val="44"/>
      <w:sz w:val="44"/>
      <w:szCs w:val="44"/>
    </w:rPr>
  </w:style>
  <w:style w:type="paragraph" w:styleId="4">
    <w:name w:val="heading 2"/>
    <w:basedOn w:val="1"/>
    <w:next w:val="1"/>
    <w:qFormat/>
    <w:uiPriority w:val="0"/>
    <w:pPr>
      <w:keepNext/>
      <w:widowControl/>
      <w:numPr>
        <w:ilvl w:val="1"/>
        <w:numId w:val="1"/>
      </w:numPr>
      <w:spacing w:before="240" w:after="60"/>
      <w:jc w:val="left"/>
      <w:outlineLvl w:val="1"/>
    </w:pPr>
    <w:rPr>
      <w:rFonts w:ascii="Arial" w:hAnsi="Arial" w:eastAsia="华文宋体"/>
      <w:b/>
      <w:i/>
      <w:kern w:val="0"/>
      <w:sz w:val="28"/>
      <w:szCs w:val="20"/>
    </w:rPr>
  </w:style>
  <w:style w:type="paragraph" w:styleId="5">
    <w:name w:val="heading 3"/>
    <w:basedOn w:val="1"/>
    <w:next w:val="1"/>
    <w:qFormat/>
    <w:uiPriority w:val="0"/>
    <w:pPr>
      <w:keepNext/>
      <w:widowControl/>
      <w:numPr>
        <w:ilvl w:val="2"/>
        <w:numId w:val="1"/>
      </w:numPr>
      <w:spacing w:before="240" w:after="60"/>
      <w:jc w:val="left"/>
      <w:outlineLvl w:val="2"/>
    </w:pPr>
    <w:rPr>
      <w:rFonts w:ascii="Arial" w:hAnsi="Arial" w:eastAsia="华文宋体"/>
      <w:b/>
      <w:kern w:val="0"/>
      <w:sz w:val="26"/>
      <w:szCs w:val="20"/>
    </w:rPr>
  </w:style>
  <w:style w:type="character" w:default="1" w:styleId="26">
    <w:name w:val="Default Paragraph Font"/>
    <w:semiHidden/>
    <w:qFormat/>
    <w:uiPriority w:val="0"/>
  </w:style>
  <w:style w:type="table" w:default="1" w:styleId="25">
    <w:name w:val="Normal Table"/>
    <w:semiHidden/>
    <w:qFormat/>
    <w:uiPriority w:val="0"/>
    <w:tblPr>
      <w:tblCellMar>
        <w:top w:w="0" w:type="dxa"/>
        <w:left w:w="108" w:type="dxa"/>
        <w:bottom w:w="0" w:type="dxa"/>
        <w:right w:w="108" w:type="dxa"/>
      </w:tblCellMar>
    </w:tblPr>
  </w:style>
  <w:style w:type="paragraph" w:styleId="2">
    <w:name w:val="footnote text"/>
    <w:basedOn w:val="1"/>
    <w:qFormat/>
    <w:uiPriority w:val="99"/>
    <w:pPr>
      <w:snapToGrid w:val="0"/>
      <w:jc w:val="left"/>
    </w:pPr>
    <w:rPr>
      <w:sz w:val="18"/>
    </w:rPr>
  </w:style>
  <w:style w:type="paragraph" w:styleId="6">
    <w:name w:val="Normal Indent"/>
    <w:basedOn w:val="1"/>
    <w:next w:val="1"/>
    <w:qFormat/>
    <w:uiPriority w:val="0"/>
    <w:pPr>
      <w:adjustRightInd w:val="0"/>
      <w:spacing w:line="360" w:lineRule="atLeast"/>
      <w:ind w:firstLine="420"/>
      <w:textAlignment w:val="baseline"/>
    </w:pPr>
    <w:rPr>
      <w:szCs w:val="20"/>
    </w:rPr>
  </w:style>
  <w:style w:type="paragraph" w:styleId="7">
    <w:name w:val="toa heading"/>
    <w:basedOn w:val="1"/>
    <w:next w:val="1"/>
    <w:unhideWhenUsed/>
    <w:qFormat/>
    <w:uiPriority w:val="99"/>
    <w:pPr>
      <w:spacing w:before="120"/>
    </w:pPr>
    <w:rPr>
      <w:rFonts w:ascii="Arial" w:hAnsi="Arial"/>
      <w:sz w:val="24"/>
    </w:rPr>
  </w:style>
  <w:style w:type="paragraph" w:styleId="8">
    <w:name w:val="annotation text"/>
    <w:basedOn w:val="1"/>
    <w:qFormat/>
    <w:uiPriority w:val="0"/>
    <w:pPr>
      <w:jc w:val="left"/>
    </w:pPr>
  </w:style>
  <w:style w:type="paragraph" w:styleId="9">
    <w:name w:val="Body Text"/>
    <w:basedOn w:val="1"/>
    <w:next w:val="1"/>
    <w:qFormat/>
    <w:uiPriority w:val="0"/>
    <w:pPr>
      <w:spacing w:after="120"/>
    </w:pPr>
  </w:style>
  <w:style w:type="paragraph" w:styleId="10">
    <w:name w:val="Body Text Indent"/>
    <w:basedOn w:val="1"/>
    <w:next w:val="11"/>
    <w:qFormat/>
    <w:uiPriority w:val="0"/>
    <w:pPr>
      <w:ind w:firstLine="645"/>
    </w:pPr>
    <w:rPr>
      <w:rFonts w:ascii="楷体_GB2312" w:eastAsia="楷体_GB2312"/>
      <w:sz w:val="32"/>
      <w:szCs w:val="32"/>
    </w:rPr>
  </w:style>
  <w:style w:type="paragraph" w:customStyle="1" w:styleId="11">
    <w:name w:val="Default"/>
    <w:next w:val="12"/>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2">
    <w:name w:val="大标题"/>
    <w:basedOn w:val="1"/>
    <w:next w:val="13"/>
    <w:qFormat/>
    <w:uiPriority w:val="0"/>
    <w:pPr>
      <w:jc w:val="center"/>
    </w:pPr>
    <w:rPr>
      <w:rFonts w:ascii="Arial" w:hAnsi="Arial" w:eastAsia="宋体" w:cs="Times New Roman"/>
      <w:b/>
      <w:sz w:val="28"/>
      <w:szCs w:val="24"/>
    </w:rPr>
  </w:style>
  <w:style w:type="paragraph" w:styleId="13">
    <w:name w:val="Body Text First Indent 2"/>
    <w:basedOn w:val="10"/>
    <w:next w:val="1"/>
    <w:qFormat/>
    <w:uiPriority w:val="0"/>
    <w:pPr>
      <w:spacing w:line="360" w:lineRule="auto"/>
      <w:ind w:firstLine="420" w:firstLineChars="200"/>
    </w:pPr>
    <w:rPr>
      <w:rFonts w:ascii="宋体" w:hAnsi="宋体" w:eastAsia="宋体"/>
      <w:sz w:val="21"/>
      <w:szCs w:val="20"/>
    </w:rPr>
  </w:style>
  <w:style w:type="paragraph" w:styleId="14">
    <w:name w:val="toc 3"/>
    <w:basedOn w:val="1"/>
    <w:next w:val="1"/>
    <w:unhideWhenUsed/>
    <w:qFormat/>
    <w:uiPriority w:val="39"/>
    <w:pPr>
      <w:spacing w:line="380" w:lineRule="exact"/>
      <w:ind w:left="400" w:leftChars="400"/>
      <w:jc w:val="distribute"/>
    </w:pPr>
  </w:style>
  <w:style w:type="paragraph" w:styleId="15">
    <w:name w:val="Plain Text"/>
    <w:basedOn w:val="1"/>
    <w:next w:val="16"/>
    <w:qFormat/>
    <w:uiPriority w:val="0"/>
    <w:rPr>
      <w:rFonts w:ascii="宋体" w:hAnsi="Courier New" w:eastAsiaTheme="minorEastAsia" w:cstheme="minorBidi"/>
      <w:szCs w:val="22"/>
    </w:rPr>
  </w:style>
  <w:style w:type="paragraph" w:styleId="16">
    <w:name w:val="footer"/>
    <w:basedOn w:val="1"/>
    <w:unhideWhenUsed/>
    <w:qFormat/>
    <w:uiPriority w:val="99"/>
    <w:pPr>
      <w:tabs>
        <w:tab w:val="center" w:pos="4153"/>
        <w:tab w:val="right" w:pos="8306"/>
      </w:tabs>
      <w:snapToGrid w:val="0"/>
      <w:jc w:val="left"/>
    </w:pPr>
    <w:rPr>
      <w:rFonts w:ascii="Calibri" w:hAnsi="Calibri"/>
      <w:sz w:val="18"/>
      <w:szCs w:val="18"/>
    </w:rPr>
  </w:style>
  <w:style w:type="paragraph" w:styleId="17">
    <w:name w:val="Body Text Indent 2"/>
    <w:basedOn w:val="1"/>
    <w:qFormat/>
    <w:uiPriority w:val="99"/>
    <w:pPr>
      <w:spacing w:after="120" w:line="480" w:lineRule="auto"/>
      <w:ind w:left="420" w:leftChars="200"/>
    </w:pPr>
  </w:style>
  <w:style w:type="paragraph" w:styleId="1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9">
    <w:name w:val="toc 1"/>
    <w:basedOn w:val="1"/>
    <w:next w:val="1"/>
    <w:qFormat/>
    <w:uiPriority w:val="0"/>
  </w:style>
  <w:style w:type="paragraph" w:styleId="20">
    <w:name w:val="List"/>
    <w:basedOn w:val="1"/>
    <w:unhideWhenUsed/>
    <w:qFormat/>
    <w:uiPriority w:val="99"/>
    <w:pPr>
      <w:ind w:left="200" w:hanging="200" w:hangingChars="200"/>
    </w:pPr>
  </w:style>
  <w:style w:type="paragraph" w:styleId="21">
    <w:name w:val="toc 6"/>
    <w:basedOn w:val="1"/>
    <w:next w:val="1"/>
    <w:qFormat/>
    <w:uiPriority w:val="0"/>
    <w:pPr>
      <w:ind w:left="2100" w:leftChars="1000"/>
    </w:pPr>
  </w:style>
  <w:style w:type="paragraph" w:styleId="22">
    <w:name w:val="toc 2"/>
    <w:basedOn w:val="1"/>
    <w:next w:val="1"/>
    <w:qFormat/>
    <w:uiPriority w:val="0"/>
    <w:pPr>
      <w:ind w:left="420" w:leftChars="200"/>
    </w:pPr>
  </w:style>
  <w:style w:type="paragraph" w:styleId="23">
    <w:name w:val="Normal (Web)"/>
    <w:basedOn w:val="1"/>
    <w:qFormat/>
    <w:uiPriority w:val="0"/>
    <w:pPr>
      <w:spacing w:before="0" w:beforeAutospacing="1" w:after="0" w:afterAutospacing="1"/>
      <w:ind w:left="0" w:right="0"/>
      <w:jc w:val="left"/>
    </w:pPr>
    <w:rPr>
      <w:kern w:val="0"/>
      <w:sz w:val="24"/>
      <w:lang w:val="en-US" w:eastAsia="zh-CN" w:bidi="ar"/>
    </w:rPr>
  </w:style>
  <w:style w:type="paragraph" w:styleId="24">
    <w:name w:val="Body Text First Indent"/>
    <w:basedOn w:val="9"/>
    <w:next w:val="21"/>
    <w:qFormat/>
    <w:uiPriority w:val="0"/>
    <w:pPr>
      <w:ind w:firstLine="420" w:firstLineChars="100"/>
    </w:pPr>
  </w:style>
  <w:style w:type="character" w:styleId="27">
    <w:name w:val="page number"/>
    <w:basedOn w:val="26"/>
    <w:qFormat/>
    <w:uiPriority w:val="0"/>
  </w:style>
  <w:style w:type="paragraph" w:customStyle="1" w:styleId="28">
    <w:name w:val="WPSOffice手动目录 1"/>
    <w:qFormat/>
    <w:uiPriority w:val="0"/>
    <w:pPr>
      <w:ind w:leftChars="0"/>
    </w:pPr>
    <w:rPr>
      <w:rFonts w:ascii="Times New Roman" w:hAnsi="Times New Roman" w:eastAsia="宋体" w:cs="Times New Roman"/>
      <w:sz w:val="20"/>
      <w:szCs w:val="20"/>
    </w:rPr>
  </w:style>
  <w:style w:type="paragraph" w:customStyle="1" w:styleId="29">
    <w:name w:val="目录 53"/>
    <w:basedOn w:val="1"/>
    <w:next w:val="1"/>
    <w:qFormat/>
    <w:uiPriority w:val="0"/>
    <w:pPr>
      <w:ind w:left="840"/>
    </w:pPr>
    <w:rPr>
      <w:sz w:val="18"/>
    </w:rPr>
  </w:style>
  <w:style w:type="paragraph" w:styleId="30">
    <w:name w:val="No Spacing"/>
    <w:qFormat/>
    <w:uiPriority w:val="1"/>
    <w:pPr>
      <w:widowControl w:val="0"/>
      <w:jc w:val="both"/>
    </w:pPr>
    <w:rPr>
      <w:rFonts w:ascii="Times New Roman" w:hAnsi="Times New Roman" w:eastAsia="宋体" w:cs="Times New Roman"/>
      <w:kern w:val="2"/>
      <w:sz w:val="21"/>
      <w:lang w:val="en-US" w:eastAsia="zh-CN" w:bidi="ar-SA"/>
    </w:rPr>
  </w:style>
  <w:style w:type="paragraph" w:customStyle="1" w:styleId="31">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32">
    <w:name w:val="Normal_5"/>
    <w:qFormat/>
    <w:uiPriority w:val="0"/>
    <w:pPr>
      <w:spacing w:before="120" w:after="240"/>
      <w:jc w:val="both"/>
    </w:pPr>
    <w:rPr>
      <w:rFonts w:ascii="Calibri" w:hAnsi="Calibri" w:eastAsia="Calibri" w:cs="Times New Roman"/>
      <w:sz w:val="22"/>
      <w:szCs w:val="22"/>
      <w:lang w:val="ru-RU" w:eastAsia="en-US" w:bidi="ar-SA"/>
    </w:rPr>
  </w:style>
  <w:style w:type="paragraph" w:customStyle="1" w:styleId="33">
    <w:name w:val="样式 标题 3 + (中文) 黑体 小四 非加粗 段前: 7.8 磅 段后: 0 磅 行距: 固定值 20 磅"/>
    <w:basedOn w:val="5"/>
    <w:qFormat/>
    <w:uiPriority w:val="0"/>
    <w:pPr>
      <w:spacing w:before="120" w:after="120" w:line="400" w:lineRule="exact"/>
    </w:pPr>
    <w:rPr>
      <w:rFonts w:ascii="Times New Roman" w:hAnsi="Times New Roman" w:eastAsia="宋体"/>
      <w:b w:val="0"/>
      <w:sz w:val="24"/>
      <w:szCs w:val="20"/>
    </w:rPr>
  </w:style>
  <w:style w:type="paragraph" w:customStyle="1" w:styleId="34">
    <w:name w:val="Default Text"/>
    <w:qFormat/>
    <w:uiPriority w:val="0"/>
    <w:pPr>
      <w:widowControl w:val="0"/>
      <w:autoSpaceDE w:val="0"/>
      <w:autoSpaceDN w:val="0"/>
      <w:adjustRightInd w:val="0"/>
    </w:pPr>
    <w:rPr>
      <w:rFonts w:ascii="Times New Roman" w:hAnsi="Times New Roman" w:eastAsia="宋体" w:cs="Times New Roman"/>
      <w:color w:val="000000"/>
      <w:sz w:val="24"/>
      <w:szCs w:val="22"/>
      <w:lang w:val="en-US" w:eastAsia="zh-CN" w:bidi="ar-SA"/>
    </w:rPr>
  </w:style>
  <w:style w:type="paragraph" w:customStyle="1" w:styleId="35">
    <w:name w:val="5）标书正文 首行缩进2字符"/>
    <w:basedOn w:val="1"/>
    <w:qFormat/>
    <w:uiPriority w:val="0"/>
    <w:pPr>
      <w:spacing w:line="480" w:lineRule="exact"/>
      <w:ind w:firstLine="200" w:firstLineChars="200"/>
    </w:pPr>
    <w:rPr>
      <w:rFonts w:ascii="仿宋_GB2312" w:eastAsia="仿宋_GB2312"/>
      <w:sz w:val="28"/>
    </w:rPr>
  </w:style>
  <w:style w:type="paragraph" w:customStyle="1" w:styleId="36">
    <w:name w:val="标书正文"/>
    <w:basedOn w:val="1"/>
    <w:qFormat/>
    <w:uiPriority w:val="0"/>
    <w:pPr>
      <w:spacing w:line="560" w:lineRule="exact"/>
      <w:ind w:firstLine="723" w:firstLineChars="200"/>
      <w:jc w:val="center"/>
    </w:pPr>
    <w:rPr>
      <w:rFonts w:ascii="仿宋_GB2312" w:eastAsia="仿宋_GB2312"/>
      <w:b/>
      <w:sz w:val="36"/>
    </w:rPr>
  </w:style>
  <w:style w:type="paragraph" w:customStyle="1" w:styleId="37">
    <w:name w:val="样式 样式 样式 左侧:  2 字符1 + 首行缩进:  2 字符1 + 首行缩进:  2 字符"/>
    <w:basedOn w:val="1"/>
    <w:qFormat/>
    <w:uiPriority w:val="0"/>
    <w:pPr>
      <w:widowControl/>
      <w:spacing w:before="60" w:after="120" w:line="440" w:lineRule="atLeast"/>
      <w:ind w:firstLine="480"/>
    </w:pPr>
    <w:rPr>
      <w:rFonts w:hint="eastAsia"/>
      <w:sz w:val="24"/>
    </w:rPr>
  </w:style>
  <w:style w:type="paragraph" w:customStyle="1" w:styleId="38">
    <w:name w:val="标题3 附件1"/>
    <w:basedOn w:val="1"/>
    <w:qFormat/>
    <w:uiPriority w:val="99"/>
    <w:pPr>
      <w:keepNext/>
      <w:keepLines/>
      <w:spacing w:before="340" w:after="330" w:line="360" w:lineRule="exact"/>
      <w:jc w:val="left"/>
      <w:outlineLvl w:val="2"/>
    </w:pPr>
    <w:rPr>
      <w:b/>
      <w:bCs/>
      <w:kern w:val="44"/>
      <w:szCs w:val="21"/>
    </w:rPr>
  </w:style>
  <w:style w:type="paragraph" w:customStyle="1" w:styleId="39">
    <w:name w:val="Normal Indent1"/>
    <w:basedOn w:val="1"/>
    <w:qFormat/>
    <w:uiPriority w:val="0"/>
    <w:pPr>
      <w:ind w:firstLine="420" w:firstLineChars="200"/>
    </w:pPr>
    <w:rPr>
      <w:rFonts w:ascii="Calibri" w:hAnsi="Calibri"/>
    </w:rPr>
  </w:style>
  <w:style w:type="paragraph" w:customStyle="1" w:styleId="40">
    <w:name w:val="WPSOffice手动目录 2"/>
    <w:qFormat/>
    <w:uiPriority w:val="0"/>
    <w:pPr>
      <w:ind w:leftChars="2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49</Pages>
  <Words>24436</Words>
  <Characters>26456</Characters>
  <Lines>0</Lines>
  <Paragraphs>0</Paragraphs>
  <TotalTime>14</TotalTime>
  <ScaleCrop>false</ScaleCrop>
  <LinksUpToDate>false</LinksUpToDate>
  <CharactersWithSpaces>28983</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thinkpad</dc:creator>
  <cp:lastModifiedBy>赖春雷</cp:lastModifiedBy>
  <dcterms:modified xsi:type="dcterms:W3CDTF">2023-04-10T04:56:48Z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94386152AD1A4F53B94B6427EBB2A914_13</vt:lpwstr>
  </property>
</Properties>
</file>