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eastAsia="宋体" w:cs="宋体"/>
          <w:b/>
          <w:bCs w:val="0"/>
          <w:sz w:val="44"/>
          <w:szCs w:val="44"/>
        </w:rPr>
      </w:pPr>
      <w:r>
        <w:rPr>
          <w:rFonts w:hint="eastAsia" w:ascii="宋体" w:hAnsi="宋体" w:eastAsia="宋体" w:cs="宋体"/>
          <w:b/>
          <w:bCs w:val="0"/>
          <w:sz w:val="44"/>
          <w:szCs w:val="44"/>
        </w:rPr>
        <w:t>2023年度食品安全监督抽检检测服务项目竞争性磋商文件</w:t>
      </w:r>
    </w:p>
    <w:p>
      <w:pPr>
        <w:pStyle w:val="16"/>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firstLine="643" w:firstLineChars="200"/>
        <w:jc w:val="center"/>
        <w:textAlignment w:val="auto"/>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eastAsia="zh-CN"/>
        </w:rPr>
        <w:t>KSSC(CS)-XB-202</w:t>
      </w:r>
      <w:r>
        <w:rPr>
          <w:rFonts w:hint="eastAsia" w:ascii="宋体" w:hAnsi="宋体" w:eastAsia="宋体" w:cs="宋体"/>
          <w:b/>
          <w:bCs/>
          <w:color w:val="auto"/>
          <w:kern w:val="2"/>
          <w:sz w:val="32"/>
          <w:szCs w:val="32"/>
          <w:highlight w:val="none"/>
          <w:lang w:val="en-US" w:eastAsia="zh-CN"/>
        </w:rPr>
        <w:t>3</w:t>
      </w:r>
      <w:r>
        <w:rPr>
          <w:rFonts w:hint="eastAsia" w:ascii="宋体" w:hAnsi="宋体" w:eastAsia="宋体" w:cs="宋体"/>
          <w:b/>
          <w:bCs/>
          <w:color w:val="auto"/>
          <w:kern w:val="2"/>
          <w:sz w:val="32"/>
          <w:szCs w:val="32"/>
          <w:highlight w:val="none"/>
          <w:lang w:eastAsia="zh-CN"/>
        </w:rPr>
        <w:t>-0</w:t>
      </w:r>
      <w:r>
        <w:rPr>
          <w:rFonts w:hint="eastAsia" w:ascii="宋体" w:hAnsi="宋体" w:eastAsia="宋体" w:cs="宋体"/>
          <w:b/>
          <w:bCs/>
          <w:color w:val="auto"/>
          <w:kern w:val="2"/>
          <w:sz w:val="32"/>
          <w:szCs w:val="32"/>
          <w:highlight w:val="none"/>
          <w:lang w:val="en-US" w:eastAsia="zh-CN"/>
        </w:rPr>
        <w:t>04</w:t>
      </w:r>
    </w:p>
    <w:p>
      <w:pPr>
        <w:spacing w:line="240" w:lineRule="atLeast"/>
        <w:ind w:left="1080" w:leftChars="257" w:hanging="540"/>
        <w:jc w:val="center"/>
        <w:rPr>
          <w:rFonts w:hint="eastAsia" w:ascii="宋体" w:hAnsi="宋体" w:eastAsia="宋体" w:cs="宋体"/>
          <w:bCs/>
          <w:sz w:val="32"/>
          <w:szCs w:val="32"/>
        </w:rPr>
      </w:pPr>
    </w:p>
    <w:p>
      <w:pPr>
        <w:pStyle w:val="16"/>
        <w:rPr>
          <w:rFonts w:hint="eastAsia" w:ascii="宋体" w:hAnsi="宋体" w:eastAsia="宋体" w:cs="宋体"/>
          <w:bCs/>
          <w:sz w:val="32"/>
          <w:szCs w:val="32"/>
        </w:rPr>
      </w:pPr>
    </w:p>
    <w:p>
      <w:pPr>
        <w:pStyle w:val="16"/>
        <w:rPr>
          <w:rFonts w:hint="eastAsia" w:ascii="宋体" w:hAnsi="宋体" w:eastAsia="宋体" w:cs="宋体"/>
          <w:bCs/>
          <w:sz w:val="32"/>
          <w:szCs w:val="32"/>
        </w:rPr>
      </w:pPr>
    </w:p>
    <w:p>
      <w:pPr>
        <w:spacing w:line="240" w:lineRule="atLeast"/>
        <w:jc w:val="center"/>
        <w:rPr>
          <w:rFonts w:hint="eastAsia" w:ascii="宋体" w:hAnsi="宋体" w:eastAsia="宋体" w:cs="宋体"/>
          <w:b/>
          <w:bCs w:val="0"/>
          <w:sz w:val="36"/>
          <w:szCs w:val="36"/>
        </w:rPr>
      </w:pPr>
      <w:r>
        <w:rPr>
          <w:rFonts w:hint="eastAsia" w:ascii="宋体" w:hAnsi="宋体" w:eastAsia="宋体" w:cs="宋体"/>
          <w:b/>
          <w:bCs w:val="0"/>
          <w:sz w:val="36"/>
          <w:szCs w:val="36"/>
        </w:rPr>
        <w:t>第一册</w:t>
      </w:r>
    </w:p>
    <w:p>
      <w:pPr>
        <w:pStyle w:val="16"/>
        <w:rPr>
          <w:rFonts w:hint="eastAsia" w:ascii="宋体" w:hAnsi="宋体" w:eastAsia="宋体" w:cs="宋体"/>
          <w:sz w:val="32"/>
          <w:szCs w:val="32"/>
        </w:rPr>
      </w:pPr>
    </w:p>
    <w:p>
      <w:pPr>
        <w:pStyle w:val="16"/>
        <w:rPr>
          <w:rFonts w:hint="eastAsia" w:ascii="宋体" w:hAnsi="宋体" w:eastAsia="宋体" w:cs="宋体"/>
          <w:bCs/>
          <w:sz w:val="32"/>
          <w:szCs w:val="32"/>
        </w:rPr>
      </w:pPr>
    </w:p>
    <w:p>
      <w:pPr>
        <w:pStyle w:val="16"/>
        <w:rPr>
          <w:rFonts w:hint="eastAsia" w:ascii="宋体" w:hAnsi="宋体" w:eastAsia="宋体" w:cs="宋体"/>
          <w:b/>
          <w:sz w:val="32"/>
          <w:szCs w:val="32"/>
        </w:rPr>
      </w:pPr>
    </w:p>
    <w:p>
      <w:pPr>
        <w:pStyle w:val="16"/>
        <w:rPr>
          <w:rFonts w:hint="eastAsia" w:ascii="宋体" w:hAnsi="宋体" w:eastAsia="宋体" w:cs="宋体"/>
          <w:b/>
          <w:sz w:val="32"/>
          <w:szCs w:val="32"/>
        </w:rPr>
      </w:pPr>
    </w:p>
    <w:p>
      <w:pPr>
        <w:pageBreakBefore w:val="0"/>
        <w:widowControl w:val="0"/>
        <w:kinsoku/>
        <w:wordWrap/>
        <w:overflowPunct/>
        <w:topLinePunct w:val="0"/>
        <w:bidi w:val="0"/>
        <w:snapToGrid/>
        <w:spacing w:line="360" w:lineRule="auto"/>
        <w:jc w:val="left"/>
        <w:textAlignment w:val="auto"/>
        <w:rPr>
          <w:rFonts w:hint="eastAsia" w:ascii="宋体" w:hAnsi="宋体" w:eastAsia="宋体" w:cs="宋体"/>
          <w:b/>
          <w:bCs/>
          <w:sz w:val="32"/>
          <w:szCs w:val="32"/>
          <w:highlight w:val="none"/>
          <w:u w:val="single"/>
          <w:lang w:val="en-US" w:eastAsia="zh-CN"/>
        </w:rPr>
      </w:pPr>
      <w:r>
        <w:rPr>
          <w:rFonts w:hint="eastAsia" w:ascii="宋体" w:hAnsi="宋体" w:eastAsia="宋体" w:cs="宋体"/>
          <w:b/>
          <w:bCs/>
          <w:sz w:val="32"/>
          <w:szCs w:val="32"/>
          <w:highlight w:val="none"/>
        </w:rPr>
        <w:t>招 标 人</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盖章</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u w:val="single"/>
          <w:lang w:val="en-US" w:eastAsia="zh-CN"/>
        </w:rPr>
        <w:t>莎车县市场监督管理局</w:t>
      </w:r>
    </w:p>
    <w:p>
      <w:pPr>
        <w:pageBreakBefore w:val="0"/>
        <w:widowControl w:val="0"/>
        <w:kinsoku/>
        <w:wordWrap/>
        <w:overflowPunct/>
        <w:topLinePunct w:val="0"/>
        <w:bidi w:val="0"/>
        <w:snapToGrid/>
        <w:spacing w:line="360" w:lineRule="auto"/>
        <w:jc w:val="left"/>
        <w:textAlignment w:val="auto"/>
        <w:rPr>
          <w:rFonts w:hint="eastAsia" w:ascii="宋体" w:hAnsi="宋体" w:eastAsia="宋体" w:cs="宋体"/>
          <w:b/>
          <w:bCs/>
          <w:sz w:val="32"/>
          <w:szCs w:val="32"/>
          <w:highlight w:val="none"/>
          <w:u w:val="single"/>
          <w:lang w:eastAsia="zh-CN"/>
        </w:rPr>
      </w:pPr>
      <w:r>
        <w:rPr>
          <w:rFonts w:hint="eastAsia" w:ascii="宋体" w:hAnsi="宋体" w:eastAsia="宋体" w:cs="宋体"/>
          <w:b/>
          <w:bCs/>
          <w:sz w:val="32"/>
          <w:szCs w:val="32"/>
          <w:highlight w:val="none"/>
        </w:rPr>
        <w:t>采购代理机构：</w:t>
      </w:r>
      <w:r>
        <w:rPr>
          <w:rFonts w:hint="eastAsia" w:ascii="宋体" w:hAnsi="宋体" w:eastAsia="宋体" w:cs="宋体"/>
          <w:b/>
          <w:bCs/>
          <w:sz w:val="32"/>
          <w:szCs w:val="32"/>
          <w:highlight w:val="none"/>
          <w:u w:val="single"/>
          <w:lang w:val="en-US" w:eastAsia="zh-CN"/>
        </w:rPr>
        <w:t>新疆西部疆南招标代理有限公司</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32"/>
          <w:szCs w:val="32"/>
        </w:rPr>
      </w:pPr>
      <w:r>
        <w:rPr>
          <w:rFonts w:hint="eastAsia" w:ascii="宋体" w:hAnsi="宋体" w:eastAsia="宋体" w:cs="宋体"/>
          <w:b/>
          <w:bCs/>
          <w:sz w:val="32"/>
          <w:szCs w:val="32"/>
          <w:highlight w:val="none"/>
        </w:rPr>
        <w:t>采购代理机构地址：</w:t>
      </w:r>
      <w:r>
        <w:rPr>
          <w:rFonts w:hint="eastAsia" w:ascii="宋体" w:hAnsi="宋体" w:eastAsia="宋体" w:cs="宋体"/>
          <w:b/>
          <w:bCs/>
          <w:sz w:val="32"/>
          <w:szCs w:val="32"/>
          <w:highlight w:val="none"/>
          <w:u w:val="single"/>
          <w:lang w:val="en-US" w:eastAsia="zh-CN"/>
        </w:rPr>
        <w:t>莎车县城南新区绿地八方城B-2-2113</w:t>
      </w:r>
    </w:p>
    <w:p>
      <w:pPr>
        <w:pageBreakBefore w:val="0"/>
        <w:widowControl w:val="0"/>
        <w:kinsoku/>
        <w:wordWrap/>
        <w:overflowPunct/>
        <w:topLinePunct w:val="0"/>
        <w:bidi w:val="0"/>
        <w:snapToGrid/>
        <w:spacing w:line="360" w:lineRule="auto"/>
        <w:jc w:val="left"/>
        <w:textAlignment w:val="auto"/>
        <w:rPr>
          <w:rFonts w:hint="eastAsia" w:ascii="宋体" w:hAnsi="宋体" w:eastAsia="宋体" w:cs="宋体"/>
          <w:b/>
          <w:bCs/>
          <w:sz w:val="32"/>
          <w:szCs w:val="32"/>
          <w:highlight w:val="none"/>
          <w:u w:val="single"/>
          <w:lang w:eastAsia="zh-CN"/>
        </w:rPr>
      </w:pPr>
      <w:r>
        <w:rPr>
          <w:rFonts w:hint="eastAsia" w:ascii="宋体" w:hAnsi="宋体" w:eastAsia="宋体" w:cs="宋体"/>
          <w:b/>
          <w:bCs/>
          <w:sz w:val="32"/>
          <w:szCs w:val="32"/>
          <w:highlight w:val="none"/>
        </w:rPr>
        <w:t>联 系 人：</w:t>
      </w:r>
      <w:r>
        <w:rPr>
          <w:rFonts w:hint="eastAsia" w:ascii="宋体" w:hAnsi="宋体" w:eastAsia="宋体" w:cs="宋体"/>
          <w:b/>
          <w:bCs/>
          <w:sz w:val="32"/>
          <w:szCs w:val="32"/>
          <w:highlight w:val="none"/>
          <w:u w:val="single"/>
          <w:lang w:val="en-US" w:eastAsia="zh-CN"/>
        </w:rPr>
        <w:t>王强</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32"/>
          <w:szCs w:val="32"/>
          <w:highlight w:val="none"/>
          <w:u w:val="single"/>
          <w:lang w:val="en-US" w:eastAsia="zh-CN"/>
        </w:rPr>
      </w:pPr>
      <w:r>
        <w:rPr>
          <w:rFonts w:hint="eastAsia" w:ascii="宋体" w:hAnsi="宋体" w:eastAsia="宋体" w:cs="宋体"/>
          <w:b/>
          <w:bCs/>
          <w:sz w:val="32"/>
          <w:szCs w:val="32"/>
          <w:highlight w:val="none"/>
        </w:rPr>
        <w:t>联 系 电 话：</w:t>
      </w:r>
      <w:r>
        <w:rPr>
          <w:rFonts w:hint="eastAsia" w:ascii="宋体" w:hAnsi="宋体" w:eastAsia="宋体" w:cs="宋体"/>
          <w:b/>
          <w:bCs/>
          <w:sz w:val="32"/>
          <w:szCs w:val="32"/>
          <w:highlight w:val="none"/>
          <w:u w:val="single"/>
          <w:lang w:val="en-US" w:eastAsia="zh-CN"/>
        </w:rPr>
        <w:t>18097997586</w:t>
      </w:r>
    </w:p>
    <w:p>
      <w:pPr>
        <w:pageBreakBefore w:val="0"/>
        <w:widowControl w:val="0"/>
        <w:kinsoku/>
        <w:wordWrap/>
        <w:overflowPunct/>
        <w:topLinePunct w:val="0"/>
        <w:bidi w:val="0"/>
        <w:snapToGrid/>
        <w:spacing w:line="360" w:lineRule="auto"/>
        <w:jc w:val="left"/>
        <w:textAlignment w:val="auto"/>
        <w:rPr>
          <w:rFonts w:hint="eastAsia" w:ascii="宋体" w:hAnsi="宋体" w:eastAsia="宋体" w:cs="宋体"/>
          <w:b/>
          <w:bCs/>
          <w:sz w:val="32"/>
          <w:szCs w:val="32"/>
          <w:highlight w:val="none"/>
          <w:u w:val="single"/>
        </w:rPr>
      </w:pPr>
    </w:p>
    <w:p>
      <w:pPr>
        <w:spacing w:line="360" w:lineRule="auto"/>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w:t>
      </w:r>
    </w:p>
    <w:p>
      <w:pPr>
        <w:spacing w:line="60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发  出 日 期：</w:t>
      </w:r>
      <w:r>
        <w:rPr>
          <w:rFonts w:hint="eastAsia" w:ascii="宋体" w:hAnsi="宋体" w:eastAsia="宋体" w:cs="宋体"/>
          <w:b/>
          <w:bCs/>
          <w:sz w:val="32"/>
          <w:szCs w:val="32"/>
          <w:highlight w:val="none"/>
          <w:u w:val="single"/>
        </w:rPr>
        <w:t>20</w:t>
      </w:r>
      <w:r>
        <w:rPr>
          <w:rFonts w:hint="eastAsia" w:ascii="宋体" w:hAnsi="宋体" w:eastAsia="宋体" w:cs="宋体"/>
          <w:b/>
          <w:bCs/>
          <w:sz w:val="32"/>
          <w:szCs w:val="32"/>
          <w:highlight w:val="none"/>
          <w:u w:val="single"/>
          <w:lang w:val="en-US" w:eastAsia="zh-CN"/>
        </w:rPr>
        <w:t>23</w:t>
      </w:r>
      <w:r>
        <w:rPr>
          <w:rFonts w:hint="eastAsia" w:ascii="宋体" w:hAnsi="宋体" w:eastAsia="宋体" w:cs="宋体"/>
          <w:b/>
          <w:bCs/>
          <w:sz w:val="32"/>
          <w:szCs w:val="32"/>
          <w:highlight w:val="none"/>
          <w:u w:val="single"/>
        </w:rPr>
        <w:t>年</w:t>
      </w:r>
      <w:r>
        <w:rPr>
          <w:rFonts w:hint="eastAsia" w:ascii="宋体" w:hAnsi="宋体" w:eastAsia="宋体" w:cs="宋体"/>
          <w:b/>
          <w:bCs/>
          <w:sz w:val="32"/>
          <w:szCs w:val="32"/>
          <w:highlight w:val="none"/>
          <w:u w:val="single"/>
          <w:lang w:val="en-US" w:eastAsia="zh-CN"/>
        </w:rPr>
        <w:t>04</w:t>
      </w:r>
      <w:r>
        <w:rPr>
          <w:rFonts w:hint="eastAsia" w:ascii="宋体" w:hAnsi="宋体" w:eastAsia="宋体" w:cs="宋体"/>
          <w:b/>
          <w:bCs/>
          <w:sz w:val="32"/>
          <w:szCs w:val="32"/>
          <w:highlight w:val="none"/>
          <w:u w:val="single"/>
        </w:rPr>
        <w:t>月</w:t>
      </w:r>
    </w:p>
    <w:p>
      <w:pPr>
        <w:spacing w:line="240" w:lineRule="atLeast"/>
        <w:ind w:left="1080" w:leftChars="257" w:hanging="540"/>
        <w:rPr>
          <w:rFonts w:hint="eastAsia" w:ascii="宋体" w:hAnsi="宋体" w:eastAsia="宋体" w:cs="宋体"/>
          <w:b/>
          <w:szCs w:val="21"/>
        </w:rPr>
      </w:pPr>
    </w:p>
    <w:p>
      <w:pPr>
        <w:spacing w:line="400" w:lineRule="exact"/>
        <w:ind w:left="1080" w:leftChars="257" w:hanging="540"/>
        <w:jc w:val="center"/>
        <w:rPr>
          <w:rFonts w:hint="eastAsia" w:ascii="宋体" w:hAnsi="宋体" w:eastAsia="宋体" w:cs="宋体"/>
          <w:b/>
          <w:color w:val="auto"/>
          <w:sz w:val="40"/>
          <w:szCs w:val="40"/>
        </w:rPr>
      </w:pPr>
    </w:p>
    <w:p>
      <w:pPr>
        <w:pStyle w:val="16"/>
        <w:rPr>
          <w:rFonts w:hint="eastAsia" w:ascii="宋体" w:hAnsi="宋体" w:eastAsia="宋体" w:cs="宋体"/>
          <w:b/>
          <w:color w:val="auto"/>
          <w:sz w:val="40"/>
          <w:szCs w:val="40"/>
        </w:rPr>
      </w:pPr>
    </w:p>
    <w:p>
      <w:pPr>
        <w:pStyle w:val="16"/>
        <w:rPr>
          <w:rFonts w:hint="eastAsia" w:ascii="宋体" w:hAnsi="宋体" w:eastAsia="宋体" w:cs="宋体"/>
          <w:b/>
          <w:color w:val="auto"/>
          <w:sz w:val="40"/>
          <w:szCs w:val="40"/>
        </w:rPr>
      </w:pPr>
    </w:p>
    <w:p>
      <w:pPr>
        <w:pStyle w:val="16"/>
        <w:rPr>
          <w:rFonts w:hint="eastAsia" w:ascii="宋体" w:hAnsi="宋体" w:eastAsia="宋体" w:cs="宋体"/>
          <w:b/>
          <w:color w:val="auto"/>
          <w:sz w:val="40"/>
          <w:szCs w:val="40"/>
        </w:rPr>
      </w:pPr>
    </w:p>
    <w:p>
      <w:pPr>
        <w:pStyle w:val="16"/>
        <w:rPr>
          <w:rFonts w:hint="eastAsia" w:ascii="宋体" w:hAnsi="宋体" w:eastAsia="宋体" w:cs="宋体"/>
          <w:b/>
          <w:color w:val="auto"/>
          <w:sz w:val="40"/>
          <w:szCs w:val="40"/>
        </w:rPr>
      </w:pPr>
    </w:p>
    <w:p>
      <w:pPr>
        <w:pStyle w:val="16"/>
        <w:rPr>
          <w:rFonts w:hint="eastAsia" w:ascii="宋体" w:hAnsi="宋体" w:eastAsia="宋体" w:cs="宋体"/>
          <w:b/>
          <w:color w:val="auto"/>
          <w:sz w:val="40"/>
          <w:szCs w:val="40"/>
        </w:rPr>
      </w:pPr>
    </w:p>
    <w:p>
      <w:pPr>
        <w:pStyle w:val="16"/>
        <w:rPr>
          <w:rFonts w:hint="eastAsia" w:ascii="宋体" w:hAnsi="宋体" w:eastAsia="宋体" w:cs="宋体"/>
          <w:b/>
          <w:color w:val="auto"/>
          <w:sz w:val="40"/>
          <w:szCs w:val="40"/>
        </w:rPr>
      </w:pPr>
    </w:p>
    <w:sdt>
      <w:sdtPr>
        <w:rPr>
          <w:rFonts w:hint="eastAsia" w:ascii="宋体" w:hAnsi="宋体" w:eastAsia="宋体" w:cs="宋体"/>
          <w:kern w:val="2"/>
          <w:sz w:val="21"/>
          <w:szCs w:val="24"/>
          <w:lang w:val="en-US" w:eastAsia="zh-CN" w:bidi="ar-SA"/>
        </w:rPr>
        <w:id w:val="147453401"/>
        <w15:color w:val="DBDBDB"/>
        <w:docPartObj>
          <w:docPartGallery w:val="Table of Contents"/>
          <w:docPartUnique/>
        </w:docPartObj>
      </w:sdtPr>
      <w:sdtEndPr>
        <w:rPr>
          <w:rFonts w:hint="eastAsia" w:ascii="宋体" w:hAnsi="宋体" w:eastAsia="宋体" w:cs="宋体"/>
          <w:kern w:val="2"/>
          <w:sz w:val="22"/>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rPr>
          </w:pPr>
          <w:r>
            <w:rPr>
              <w:rFonts w:hint="eastAsia" w:ascii="宋体" w:hAnsi="宋体" w:eastAsia="宋体" w:cs="宋体"/>
              <w:sz w:val="21"/>
            </w:rPr>
            <w:t>目录</w:t>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TOC \o "1-1" \h \u </w:instrText>
          </w:r>
          <w:r>
            <w:rPr>
              <w:rFonts w:hint="eastAsia" w:ascii="宋体" w:hAnsi="宋体" w:eastAsia="宋体" w:cs="宋体"/>
              <w:sz w:val="22"/>
              <w:szCs w:val="22"/>
            </w:rPr>
            <w:fldChar w:fldCharType="separate"/>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_Toc32545 </w:instrText>
          </w:r>
          <w:r>
            <w:rPr>
              <w:rFonts w:hint="eastAsia" w:ascii="宋体" w:hAnsi="宋体" w:eastAsia="宋体" w:cs="宋体"/>
              <w:sz w:val="22"/>
              <w:szCs w:val="22"/>
            </w:rPr>
            <w:fldChar w:fldCharType="separate"/>
          </w:r>
          <w:r>
            <w:rPr>
              <w:rFonts w:hint="eastAsia" w:ascii="宋体" w:hAnsi="宋体" w:eastAsia="宋体" w:cs="宋体"/>
              <w:kern w:val="0"/>
              <w:sz w:val="22"/>
              <w:szCs w:val="32"/>
              <w:lang w:val="en-US" w:eastAsia="zh-CN"/>
            </w:rPr>
            <w:t xml:space="preserve">第1章  </w:t>
          </w:r>
          <w:r>
            <w:rPr>
              <w:rFonts w:hint="eastAsia" w:ascii="宋体" w:hAnsi="宋体" w:eastAsia="宋体" w:cs="宋体"/>
              <w:sz w:val="22"/>
              <w:szCs w:val="40"/>
            </w:rPr>
            <w:t>供应商须知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_Toc32545 \h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_Toc24602 </w:instrText>
          </w:r>
          <w:r>
            <w:rPr>
              <w:rFonts w:hint="eastAsia" w:ascii="宋体" w:hAnsi="宋体" w:eastAsia="宋体" w:cs="宋体"/>
              <w:sz w:val="22"/>
              <w:szCs w:val="22"/>
            </w:rPr>
            <w:fldChar w:fldCharType="separate"/>
          </w:r>
          <w:r>
            <w:rPr>
              <w:rFonts w:hint="eastAsia" w:ascii="宋体" w:hAnsi="宋体" w:eastAsia="宋体" w:cs="宋体"/>
              <w:sz w:val="22"/>
              <w:szCs w:val="32"/>
            </w:rPr>
            <w:t>第2章 响应文件格式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_Toc24602 \h </w:instrText>
          </w:r>
          <w:r>
            <w:rPr>
              <w:rFonts w:hint="eastAsia" w:ascii="宋体" w:hAnsi="宋体" w:eastAsia="宋体" w:cs="宋体"/>
              <w:sz w:val="22"/>
              <w:szCs w:val="22"/>
            </w:rPr>
            <w:fldChar w:fldCharType="separate"/>
          </w:r>
          <w:r>
            <w:rPr>
              <w:rFonts w:hint="eastAsia" w:ascii="宋体" w:hAnsi="宋体" w:eastAsia="宋体" w:cs="宋体"/>
              <w:sz w:val="22"/>
              <w:szCs w:val="22"/>
            </w:rPr>
            <w:t>18</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_Toc9983 </w:instrText>
          </w:r>
          <w:r>
            <w:rPr>
              <w:rFonts w:hint="eastAsia" w:ascii="宋体" w:hAnsi="宋体" w:eastAsia="宋体" w:cs="宋体"/>
              <w:sz w:val="22"/>
              <w:szCs w:val="22"/>
            </w:rPr>
            <w:fldChar w:fldCharType="separate"/>
          </w:r>
          <w:r>
            <w:rPr>
              <w:rFonts w:hint="eastAsia" w:ascii="宋体" w:hAnsi="宋体" w:eastAsia="宋体" w:cs="宋体"/>
              <w:sz w:val="22"/>
              <w:szCs w:val="22"/>
            </w:rPr>
            <w:t>第3章 磋商</w:t>
          </w:r>
          <w:r>
            <w:rPr>
              <w:rFonts w:hint="eastAsia" w:ascii="宋体" w:hAnsi="宋体" w:eastAsia="宋体" w:cs="宋体"/>
              <w:sz w:val="22"/>
              <w:szCs w:val="22"/>
              <w:lang w:eastAsia="zh-CN"/>
            </w:rPr>
            <w:t>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_Toc9983 \h </w:instrText>
          </w:r>
          <w:r>
            <w:rPr>
              <w:rFonts w:hint="eastAsia" w:ascii="宋体" w:hAnsi="宋体" w:eastAsia="宋体" w:cs="宋体"/>
              <w:sz w:val="22"/>
              <w:szCs w:val="22"/>
            </w:rPr>
            <w:fldChar w:fldCharType="separate"/>
          </w:r>
          <w:r>
            <w:rPr>
              <w:rFonts w:hint="eastAsia" w:ascii="宋体" w:hAnsi="宋体" w:eastAsia="宋体" w:cs="宋体"/>
              <w:sz w:val="22"/>
              <w:szCs w:val="22"/>
            </w:rPr>
            <w:t>33</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_Toc31762 </w:instrText>
          </w:r>
          <w:r>
            <w:rPr>
              <w:rFonts w:hint="eastAsia" w:ascii="宋体" w:hAnsi="宋体" w:eastAsia="宋体" w:cs="宋体"/>
              <w:sz w:val="22"/>
              <w:szCs w:val="22"/>
            </w:rPr>
            <w:fldChar w:fldCharType="separate"/>
          </w:r>
          <w:r>
            <w:rPr>
              <w:rFonts w:hint="eastAsia" w:ascii="宋体" w:hAnsi="宋体" w:eastAsia="宋体" w:cs="宋体"/>
              <w:sz w:val="22"/>
              <w:szCs w:val="40"/>
            </w:rPr>
            <w:t>第4章 供应商须知资料表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_Toc31762 \h </w:instrText>
          </w:r>
          <w:r>
            <w:rPr>
              <w:rFonts w:hint="eastAsia" w:ascii="宋体" w:hAnsi="宋体" w:eastAsia="宋体" w:cs="宋体"/>
              <w:sz w:val="22"/>
              <w:szCs w:val="22"/>
            </w:rPr>
            <w:fldChar w:fldCharType="separate"/>
          </w:r>
          <w:r>
            <w:rPr>
              <w:rFonts w:hint="eastAsia" w:ascii="宋体" w:hAnsi="宋体" w:eastAsia="宋体" w:cs="宋体"/>
              <w:sz w:val="22"/>
              <w:szCs w:val="22"/>
            </w:rPr>
            <w:t>37</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_Toc2569 </w:instrText>
          </w:r>
          <w:r>
            <w:rPr>
              <w:rFonts w:hint="eastAsia" w:ascii="宋体" w:hAnsi="宋体" w:eastAsia="宋体" w:cs="宋体"/>
              <w:sz w:val="22"/>
              <w:szCs w:val="22"/>
            </w:rPr>
            <w:fldChar w:fldCharType="separate"/>
          </w:r>
          <w:r>
            <w:rPr>
              <w:rFonts w:hint="eastAsia" w:ascii="宋体" w:hAnsi="宋体" w:eastAsia="宋体" w:cs="宋体"/>
              <w:kern w:val="0"/>
              <w:sz w:val="22"/>
              <w:szCs w:val="40"/>
            </w:rPr>
            <w:t>资格审查表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_Toc2569 \h </w:instrText>
          </w:r>
          <w:r>
            <w:rPr>
              <w:rFonts w:hint="eastAsia" w:ascii="宋体" w:hAnsi="宋体" w:eastAsia="宋体" w:cs="宋体"/>
              <w:sz w:val="22"/>
              <w:szCs w:val="22"/>
            </w:rPr>
            <w:fldChar w:fldCharType="separate"/>
          </w:r>
          <w:r>
            <w:rPr>
              <w:b/>
            </w:rPr>
            <w:t>错误！未定义书签。</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_Toc22849 </w:instrText>
          </w:r>
          <w:r>
            <w:rPr>
              <w:rFonts w:hint="eastAsia" w:ascii="宋体" w:hAnsi="宋体" w:eastAsia="宋体" w:cs="宋体"/>
              <w:sz w:val="22"/>
              <w:szCs w:val="22"/>
            </w:rPr>
            <w:fldChar w:fldCharType="separate"/>
          </w:r>
          <w:r>
            <w:rPr>
              <w:rFonts w:hint="eastAsia" w:ascii="宋体" w:hAnsi="宋体" w:eastAsia="宋体" w:cs="宋体"/>
              <w:sz w:val="22"/>
              <w:szCs w:val="40"/>
              <w:lang w:val="en-US" w:eastAsia="zh-CN"/>
            </w:rPr>
            <w:t>第五章 服务需求</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_Toc22849 \h </w:instrText>
          </w:r>
          <w:r>
            <w:rPr>
              <w:rFonts w:hint="eastAsia" w:ascii="宋体" w:hAnsi="宋体" w:eastAsia="宋体" w:cs="宋体"/>
              <w:sz w:val="22"/>
              <w:szCs w:val="22"/>
            </w:rPr>
            <w:fldChar w:fldCharType="separate"/>
          </w:r>
          <w:r>
            <w:rPr>
              <w:rFonts w:hint="eastAsia" w:ascii="宋体" w:hAnsi="宋体" w:eastAsia="宋体" w:cs="宋体"/>
              <w:sz w:val="22"/>
              <w:szCs w:val="22"/>
            </w:rPr>
            <w:t>42</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_Toc24111 </w:instrText>
          </w:r>
          <w:r>
            <w:rPr>
              <w:rFonts w:hint="eastAsia" w:ascii="宋体" w:hAnsi="宋体" w:eastAsia="宋体" w:cs="宋体"/>
              <w:sz w:val="22"/>
              <w:szCs w:val="22"/>
            </w:rPr>
            <w:fldChar w:fldCharType="separate"/>
          </w:r>
          <w:r>
            <w:rPr>
              <w:rFonts w:hint="eastAsia" w:ascii="宋体" w:hAnsi="宋体" w:eastAsia="宋体" w:cs="宋体"/>
              <w:sz w:val="22"/>
              <w:szCs w:val="32"/>
            </w:rPr>
            <w:t>第6章 评审方法和标准</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_Toc24111 \h </w:instrText>
          </w:r>
          <w:r>
            <w:rPr>
              <w:rFonts w:hint="eastAsia" w:ascii="宋体" w:hAnsi="宋体" w:eastAsia="宋体" w:cs="宋体"/>
              <w:sz w:val="22"/>
              <w:szCs w:val="22"/>
            </w:rPr>
            <w:fldChar w:fldCharType="separate"/>
          </w:r>
          <w:r>
            <w:rPr>
              <w:rFonts w:hint="eastAsia" w:ascii="宋体" w:hAnsi="宋体" w:eastAsia="宋体" w:cs="宋体"/>
              <w:sz w:val="22"/>
              <w:szCs w:val="22"/>
            </w:rPr>
            <w:t>54</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_Toc7640 </w:instrText>
          </w:r>
          <w:r>
            <w:rPr>
              <w:rFonts w:hint="eastAsia" w:ascii="宋体" w:hAnsi="宋体" w:eastAsia="宋体" w:cs="宋体"/>
              <w:sz w:val="22"/>
              <w:szCs w:val="22"/>
            </w:rPr>
            <w:fldChar w:fldCharType="separate"/>
          </w:r>
          <w:r>
            <w:rPr>
              <w:rFonts w:hint="eastAsia" w:ascii="宋体" w:hAnsi="宋体" w:eastAsia="宋体" w:cs="宋体"/>
              <w:sz w:val="22"/>
              <w:szCs w:val="22"/>
            </w:rPr>
            <w:t>第7章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政府采购合同</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_Toc7640 \h </w:instrText>
          </w:r>
          <w:r>
            <w:rPr>
              <w:rFonts w:hint="eastAsia" w:ascii="宋体" w:hAnsi="宋体" w:eastAsia="宋体" w:cs="宋体"/>
              <w:sz w:val="22"/>
              <w:szCs w:val="22"/>
            </w:rPr>
            <w:fldChar w:fldCharType="separate"/>
          </w:r>
          <w:r>
            <w:rPr>
              <w:rFonts w:hint="eastAsia" w:ascii="宋体" w:hAnsi="宋体" w:eastAsia="宋体" w:cs="宋体"/>
              <w:sz w:val="22"/>
              <w:szCs w:val="22"/>
            </w:rPr>
            <w:t>64</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_Toc16623 </w:instrText>
          </w:r>
          <w:r>
            <w:rPr>
              <w:rFonts w:hint="eastAsia" w:ascii="宋体" w:hAnsi="宋体" w:eastAsia="宋体" w:cs="宋体"/>
              <w:sz w:val="22"/>
              <w:szCs w:val="22"/>
            </w:rPr>
            <w:fldChar w:fldCharType="separate"/>
          </w:r>
          <w:r>
            <w:rPr>
              <w:rFonts w:hint="eastAsia" w:ascii="宋体" w:hAnsi="宋体" w:eastAsia="宋体" w:cs="宋体"/>
              <w:sz w:val="22"/>
              <w:szCs w:val="52"/>
            </w:rPr>
            <w:t>政府采购合同参考范本</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_Toc16623 \h </w:instrText>
          </w:r>
          <w:r>
            <w:rPr>
              <w:rFonts w:hint="eastAsia" w:ascii="宋体" w:hAnsi="宋体" w:eastAsia="宋体" w:cs="宋体"/>
              <w:sz w:val="22"/>
              <w:szCs w:val="22"/>
            </w:rPr>
            <w:fldChar w:fldCharType="separate"/>
          </w:r>
          <w:r>
            <w:rPr>
              <w:rFonts w:hint="eastAsia" w:ascii="宋体" w:hAnsi="宋体" w:eastAsia="宋体" w:cs="宋体"/>
              <w:sz w:val="22"/>
              <w:szCs w:val="22"/>
            </w:rPr>
            <w:t>65</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_Toc2340 </w:instrText>
          </w:r>
          <w:r>
            <w:rPr>
              <w:rFonts w:hint="eastAsia" w:ascii="宋体" w:hAnsi="宋体" w:eastAsia="宋体" w:cs="宋体"/>
              <w:sz w:val="22"/>
              <w:szCs w:val="22"/>
            </w:rPr>
            <w:fldChar w:fldCharType="separate"/>
          </w:r>
          <w:r>
            <w:rPr>
              <w:rFonts w:hint="eastAsia" w:ascii="宋体" w:hAnsi="宋体" w:eastAsia="宋体" w:cs="宋体"/>
              <w:sz w:val="22"/>
              <w:szCs w:val="32"/>
            </w:rPr>
            <w:t>第一部分 合同书</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_Toc2340 \h </w:instrText>
          </w:r>
          <w:r>
            <w:rPr>
              <w:rFonts w:hint="eastAsia" w:ascii="宋体" w:hAnsi="宋体" w:eastAsia="宋体" w:cs="宋体"/>
              <w:sz w:val="22"/>
              <w:szCs w:val="22"/>
            </w:rPr>
            <w:fldChar w:fldCharType="separate"/>
          </w:r>
          <w:r>
            <w:rPr>
              <w:rFonts w:hint="eastAsia" w:ascii="宋体" w:hAnsi="宋体" w:eastAsia="宋体" w:cs="宋体"/>
              <w:sz w:val="22"/>
              <w:szCs w:val="22"/>
            </w:rPr>
            <w:t>65</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_Toc21768 </w:instrText>
          </w:r>
          <w:r>
            <w:rPr>
              <w:rFonts w:hint="eastAsia" w:ascii="宋体" w:hAnsi="宋体" w:eastAsia="宋体" w:cs="宋体"/>
              <w:sz w:val="22"/>
              <w:szCs w:val="22"/>
            </w:rPr>
            <w:fldChar w:fldCharType="separate"/>
          </w:r>
          <w:r>
            <w:rPr>
              <w:rFonts w:hint="eastAsia" w:ascii="宋体" w:hAnsi="宋体" w:eastAsia="宋体" w:cs="宋体"/>
              <w:sz w:val="22"/>
              <w:szCs w:val="32"/>
            </w:rPr>
            <w:t>第二部分 合同一般条款</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_Toc21768 \h </w:instrText>
          </w:r>
          <w:r>
            <w:rPr>
              <w:rFonts w:hint="eastAsia" w:ascii="宋体" w:hAnsi="宋体" w:eastAsia="宋体" w:cs="宋体"/>
              <w:sz w:val="22"/>
              <w:szCs w:val="22"/>
            </w:rPr>
            <w:fldChar w:fldCharType="separate"/>
          </w:r>
          <w:r>
            <w:rPr>
              <w:rFonts w:hint="eastAsia" w:ascii="宋体" w:hAnsi="宋体" w:eastAsia="宋体" w:cs="宋体"/>
              <w:sz w:val="22"/>
              <w:szCs w:val="22"/>
            </w:rPr>
            <w:t>69</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pStyle w:val="34"/>
            <w:tabs>
              <w:tab w:val="right" w:leader="dot" w:pos="8312"/>
            </w:tabs>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\l _Toc6402 </w:instrText>
          </w:r>
          <w:r>
            <w:rPr>
              <w:rFonts w:hint="eastAsia" w:ascii="宋体" w:hAnsi="宋体" w:eastAsia="宋体" w:cs="宋体"/>
              <w:sz w:val="22"/>
              <w:szCs w:val="22"/>
            </w:rPr>
            <w:fldChar w:fldCharType="separate"/>
          </w:r>
          <w:r>
            <w:rPr>
              <w:rFonts w:hint="eastAsia" w:ascii="宋体" w:hAnsi="宋体" w:eastAsia="宋体" w:cs="宋体"/>
              <w:sz w:val="22"/>
              <w:szCs w:val="32"/>
            </w:rPr>
            <w:t>第三部分  合同专用条款</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_Toc6402 \h </w:instrText>
          </w:r>
          <w:r>
            <w:rPr>
              <w:rFonts w:hint="eastAsia" w:ascii="宋体" w:hAnsi="宋体" w:eastAsia="宋体" w:cs="宋体"/>
              <w:sz w:val="22"/>
              <w:szCs w:val="22"/>
            </w:rPr>
            <w:fldChar w:fldCharType="separate"/>
          </w:r>
          <w:r>
            <w:rPr>
              <w:rFonts w:hint="eastAsia" w:ascii="宋体" w:hAnsi="宋体" w:eastAsia="宋体" w:cs="宋体"/>
              <w:sz w:val="22"/>
              <w:szCs w:val="22"/>
            </w:rPr>
            <w:t>72</w:t>
          </w:r>
          <w:r>
            <w:rPr>
              <w:rFonts w:hint="eastAsia" w:ascii="宋体" w:hAnsi="宋体" w:eastAsia="宋体" w:cs="宋体"/>
              <w:sz w:val="22"/>
              <w:szCs w:val="22"/>
            </w:rPr>
            <w:fldChar w:fldCharType="end"/>
          </w:r>
          <w:r>
            <w:rPr>
              <w:rFonts w:hint="eastAsia" w:ascii="宋体" w:hAnsi="宋体" w:eastAsia="宋体" w:cs="宋体"/>
              <w:sz w:val="22"/>
              <w:szCs w:val="22"/>
            </w:rPr>
            <w:fldChar w:fldCharType="end"/>
          </w:r>
        </w:p>
        <w:p>
          <w:pPr>
            <w:rPr>
              <w:rFonts w:hint="eastAsia" w:ascii="宋体" w:hAnsi="宋体" w:eastAsia="宋体" w:cs="宋体"/>
              <w:sz w:val="22"/>
              <w:szCs w:val="22"/>
            </w:rPr>
          </w:pPr>
          <w:r>
            <w:rPr>
              <w:rFonts w:hint="eastAsia" w:ascii="宋体" w:hAnsi="宋体" w:eastAsia="宋体" w:cs="宋体"/>
              <w:sz w:val="22"/>
              <w:szCs w:val="22"/>
            </w:rPr>
            <w:fldChar w:fldCharType="end"/>
          </w:r>
        </w:p>
      </w:sdtContent>
    </w:sdt>
    <w:p>
      <w:pPr>
        <w:pStyle w:val="14"/>
        <w:tabs>
          <w:tab w:val="right" w:leader="dot" w:pos="8312"/>
        </w:tabs>
        <w:rPr>
          <w:rFonts w:hint="eastAsia" w:ascii="宋体" w:hAnsi="宋体" w:eastAsia="宋体" w:cs="宋体"/>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TOC \o "1-3" \h \z \u </w:instrText>
      </w:r>
      <w:r>
        <w:rPr>
          <w:rFonts w:hint="eastAsia" w:ascii="宋体" w:hAnsi="宋体" w:eastAsia="宋体" w:cs="宋体"/>
          <w:color w:val="auto"/>
          <w:kern w:val="0"/>
          <w:sz w:val="28"/>
          <w:szCs w:val="28"/>
        </w:rPr>
        <w:fldChar w:fldCharType="separate"/>
      </w:r>
    </w:p>
    <w:p>
      <w:pPr>
        <w:pStyle w:val="6"/>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fldChar w:fldCharType="end"/>
      </w:r>
      <w:bookmarkStart w:id="0" w:name="_Toc10715352"/>
      <w:bookmarkStart w:id="1" w:name="_Toc22179"/>
      <w:bookmarkStart w:id="2" w:name="_Toc3709"/>
      <w:bookmarkStart w:id="3" w:name="_Toc1462"/>
      <w:bookmarkStart w:id="4" w:name="_Toc518923059"/>
    </w:p>
    <w:p>
      <w:pPr>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rPr>
      </w:pPr>
    </w:p>
    <w:p>
      <w:pPr>
        <w:pStyle w:val="16"/>
        <w:rPr>
          <w:rFonts w:hint="eastAsia" w:ascii="宋体" w:hAnsi="宋体" w:eastAsia="宋体" w:cs="宋体"/>
          <w:color w:val="auto"/>
          <w:kern w:val="0"/>
          <w:sz w:val="28"/>
          <w:szCs w:val="28"/>
          <w:lang w:val="en-US" w:eastAsia="zh-CN"/>
        </w:rPr>
      </w:pPr>
    </w:p>
    <w:p>
      <w:pPr>
        <w:rPr>
          <w:rFonts w:hint="eastAsia" w:ascii="宋体" w:hAnsi="宋体" w:eastAsia="宋体" w:cs="宋体"/>
          <w:lang w:val="en-US" w:eastAsia="zh-CN"/>
        </w:rPr>
      </w:pPr>
    </w:p>
    <w:p>
      <w:pPr>
        <w:pStyle w:val="3"/>
        <w:pageBreakBefore w:val="0"/>
        <w:widowControl w:val="0"/>
        <w:numPr>
          <w:ilvl w:val="0"/>
          <w:numId w:val="0"/>
        </w:numPr>
        <w:tabs>
          <w:tab w:val="left" w:pos="0"/>
        </w:tabs>
        <w:kinsoku/>
        <w:wordWrap/>
        <w:overflowPunct/>
        <w:topLinePunct w:val="0"/>
        <w:bidi w:val="0"/>
        <w:snapToGrid/>
        <w:spacing w:before="0" w:after="0" w:line="340" w:lineRule="exact"/>
        <w:ind w:left="0" w:leftChars="0"/>
        <w:jc w:val="center"/>
        <w:textAlignment w:val="auto"/>
        <w:rPr>
          <w:rFonts w:hint="eastAsia" w:ascii="宋体" w:hAnsi="宋体" w:eastAsia="宋体" w:cs="宋体"/>
          <w:color w:val="auto"/>
          <w:kern w:val="0"/>
          <w:szCs w:val="24"/>
          <w:lang w:val="en-US" w:eastAsia="zh-CN"/>
        </w:rPr>
      </w:pPr>
      <w:bookmarkStart w:id="5" w:name="_Toc32545"/>
    </w:p>
    <w:p>
      <w:pPr>
        <w:pStyle w:val="3"/>
        <w:pageBreakBefore w:val="0"/>
        <w:widowControl w:val="0"/>
        <w:numPr>
          <w:ilvl w:val="0"/>
          <w:numId w:val="0"/>
        </w:numPr>
        <w:tabs>
          <w:tab w:val="left" w:pos="0"/>
        </w:tabs>
        <w:kinsoku/>
        <w:wordWrap/>
        <w:overflowPunct/>
        <w:topLinePunct w:val="0"/>
        <w:bidi w:val="0"/>
        <w:snapToGrid/>
        <w:spacing w:before="0" w:after="0" w:line="340" w:lineRule="exact"/>
        <w:ind w:left="0" w:leftChars="0"/>
        <w:jc w:val="center"/>
        <w:textAlignment w:val="auto"/>
        <w:rPr>
          <w:rFonts w:hint="eastAsia" w:ascii="宋体" w:hAnsi="宋体" w:eastAsia="宋体" w:cs="宋体"/>
          <w:color w:val="auto"/>
          <w:szCs w:val="32"/>
        </w:rPr>
      </w:pPr>
      <w:r>
        <w:rPr>
          <w:rFonts w:hint="eastAsia" w:ascii="宋体" w:hAnsi="宋体" w:eastAsia="宋体" w:cs="宋体"/>
          <w:color w:val="auto"/>
          <w:kern w:val="0"/>
          <w:szCs w:val="24"/>
          <w:lang w:val="en-US" w:eastAsia="zh-CN"/>
        </w:rPr>
        <w:t xml:space="preserve">第1章  </w:t>
      </w:r>
      <w:r>
        <w:rPr>
          <w:rFonts w:hint="eastAsia" w:ascii="宋体" w:hAnsi="宋体" w:eastAsia="宋体" w:cs="宋体"/>
          <w:color w:val="auto"/>
          <w:szCs w:val="32"/>
        </w:rPr>
        <w:t>供应商须知</w:t>
      </w:r>
      <w:bookmarkEnd w:id="0"/>
      <w:bookmarkEnd w:id="1"/>
      <w:bookmarkEnd w:id="2"/>
      <w:bookmarkEnd w:id="3"/>
      <w:bookmarkEnd w:id="4"/>
      <w:bookmarkEnd w:id="5"/>
    </w:p>
    <w:p>
      <w:pPr>
        <w:rPr>
          <w:rFonts w:hint="eastAsia" w:ascii="宋体" w:hAnsi="宋体" w:eastAsia="宋体" w:cs="宋体"/>
          <w:color w:val="auto"/>
          <w:szCs w:val="32"/>
        </w:rPr>
      </w:pPr>
    </w:p>
    <w:p>
      <w:pPr>
        <w:pStyle w:val="4"/>
        <w:spacing w:before="0" w:line="240" w:lineRule="atLeast"/>
        <w:ind w:left="1080" w:leftChars="257" w:hanging="540"/>
        <w:rPr>
          <w:rFonts w:hint="eastAsia" w:ascii="宋体" w:hAnsi="宋体" w:eastAsia="宋体" w:cs="宋体"/>
          <w:color w:val="auto"/>
          <w:sz w:val="24"/>
          <w:szCs w:val="24"/>
        </w:rPr>
      </w:pPr>
      <w:bookmarkStart w:id="6" w:name="_Toc520356143"/>
      <w:bookmarkStart w:id="7" w:name="_Toc515647757"/>
      <w:bookmarkStart w:id="8" w:name="_Toc216582805"/>
      <w:bookmarkStart w:id="9" w:name="_Toc21215"/>
      <w:bookmarkStart w:id="10" w:name="_Toc14711"/>
      <w:bookmarkStart w:id="11" w:name="_Toc21015"/>
      <w:r>
        <w:rPr>
          <w:rFonts w:hint="eastAsia" w:ascii="宋体" w:hAnsi="宋体" w:eastAsia="宋体" w:cs="宋体"/>
          <w:color w:val="auto"/>
          <w:sz w:val="24"/>
          <w:szCs w:val="24"/>
        </w:rPr>
        <w:t xml:space="preserve">一   </w:t>
      </w:r>
      <w:bookmarkEnd w:id="6"/>
      <w:bookmarkEnd w:id="7"/>
      <w:bookmarkEnd w:id="8"/>
      <w:r>
        <w:rPr>
          <w:rFonts w:hint="eastAsia" w:ascii="宋体" w:hAnsi="宋体" w:eastAsia="宋体" w:cs="宋体"/>
          <w:color w:val="auto"/>
          <w:sz w:val="24"/>
          <w:szCs w:val="24"/>
        </w:rPr>
        <w:t>总 则</w:t>
      </w:r>
      <w:bookmarkEnd w:id="9"/>
      <w:bookmarkEnd w:id="10"/>
      <w:bookmarkEnd w:id="11"/>
    </w:p>
    <w:p>
      <w:pPr>
        <w:pStyle w:val="2"/>
        <w:spacing w:before="0" w:after="0" w:line="240" w:lineRule="atLeast"/>
        <w:rPr>
          <w:rFonts w:hint="eastAsia" w:ascii="宋体" w:hAnsi="宋体" w:eastAsia="宋体" w:cs="宋体"/>
          <w:color w:val="auto"/>
          <w:szCs w:val="24"/>
          <w:u w:val="none"/>
        </w:rPr>
      </w:pPr>
      <w:bookmarkStart w:id="12" w:name="_Toc32623"/>
      <w:bookmarkStart w:id="13" w:name="_Toc515647758"/>
      <w:bookmarkStart w:id="14" w:name="_Toc520356144"/>
      <w:bookmarkStart w:id="15" w:name="_Toc32189"/>
      <w:bookmarkStart w:id="16" w:name="_Toc10899"/>
      <w:r>
        <w:rPr>
          <w:rFonts w:hint="eastAsia" w:ascii="宋体" w:hAnsi="宋体" w:eastAsia="宋体" w:cs="宋体"/>
          <w:color w:val="auto"/>
          <w:szCs w:val="24"/>
          <w:u w:val="none"/>
        </w:rPr>
        <w:t>1.采购人、采购代理机构及</w:t>
      </w:r>
      <w:bookmarkEnd w:id="12"/>
      <w:bookmarkEnd w:id="13"/>
      <w:bookmarkEnd w:id="14"/>
      <w:bookmarkEnd w:id="15"/>
      <w:r>
        <w:rPr>
          <w:rFonts w:hint="eastAsia" w:ascii="宋体" w:hAnsi="宋体" w:eastAsia="宋体" w:cs="宋体"/>
          <w:color w:val="auto"/>
          <w:szCs w:val="24"/>
          <w:u w:val="none"/>
        </w:rPr>
        <w:t>供应商</w:t>
      </w:r>
      <w:bookmarkEnd w:id="16"/>
    </w:p>
    <w:p>
      <w:pPr>
        <w:numPr>
          <w:ilvl w:val="1"/>
          <w:numId w:val="1"/>
        </w:numPr>
        <w:tabs>
          <w:tab w:val="left" w:pos="0"/>
          <w:tab w:val="clear" w:pos="900"/>
        </w:tabs>
        <w:spacing w:line="240" w:lineRule="atLeast"/>
        <w:ind w:hanging="898"/>
        <w:rPr>
          <w:rFonts w:hint="eastAsia" w:ascii="宋体" w:hAnsi="宋体" w:eastAsia="宋体" w:cs="宋体"/>
          <w:color w:val="auto"/>
          <w:sz w:val="24"/>
        </w:rPr>
      </w:pPr>
      <w:r>
        <w:rPr>
          <w:rFonts w:hint="eastAsia" w:ascii="宋体" w:hAnsi="宋体" w:eastAsia="宋体" w:cs="宋体"/>
          <w:color w:val="auto"/>
          <w:sz w:val="24"/>
        </w:rPr>
        <w:t>采购人：是指依法开展政府采购活动的国家机关、事业单位、团体组织。</w:t>
      </w:r>
    </w:p>
    <w:p>
      <w:pPr>
        <w:tabs>
          <w:tab w:val="left" w:pos="0"/>
        </w:tabs>
        <w:spacing w:line="240" w:lineRule="atLeast"/>
        <w:ind w:left="900"/>
        <w:rPr>
          <w:rFonts w:hint="eastAsia" w:ascii="宋体" w:hAnsi="宋体" w:eastAsia="宋体" w:cs="宋体"/>
          <w:color w:val="auto"/>
          <w:sz w:val="24"/>
        </w:rPr>
      </w:pPr>
      <w:r>
        <w:rPr>
          <w:rFonts w:hint="eastAsia" w:ascii="宋体" w:hAnsi="宋体" w:eastAsia="宋体" w:cs="宋体"/>
          <w:color w:val="auto"/>
          <w:sz w:val="24"/>
        </w:rPr>
        <w:t>本项目的采购人见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numPr>
          <w:ilvl w:val="1"/>
          <w:numId w:val="1"/>
        </w:numPr>
        <w:tabs>
          <w:tab w:val="left" w:pos="0"/>
          <w:tab w:val="clear" w:pos="900"/>
        </w:tabs>
        <w:spacing w:line="240" w:lineRule="atLeast"/>
        <w:ind w:hanging="898"/>
        <w:rPr>
          <w:rFonts w:hint="eastAsia" w:ascii="宋体" w:hAnsi="宋体" w:eastAsia="宋体" w:cs="宋体"/>
          <w:color w:val="auto"/>
          <w:sz w:val="24"/>
        </w:rPr>
      </w:pPr>
      <w:r>
        <w:rPr>
          <w:rFonts w:hint="eastAsia" w:ascii="宋体" w:hAnsi="宋体" w:eastAsia="宋体" w:cs="宋体"/>
          <w:color w:val="auto"/>
          <w:sz w:val="24"/>
        </w:rPr>
        <w:t>采购代理机构：是指在集中采购机构或从事采购代理业务的社会中介机构。本项目的采购代理机构见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numPr>
          <w:ilvl w:val="1"/>
          <w:numId w:val="1"/>
        </w:numPr>
        <w:spacing w:line="240" w:lineRule="atLeast"/>
        <w:ind w:hangingChars="375"/>
        <w:rPr>
          <w:rFonts w:hint="eastAsia" w:ascii="宋体" w:hAnsi="宋体" w:eastAsia="宋体" w:cs="宋体"/>
          <w:color w:val="auto"/>
          <w:sz w:val="24"/>
        </w:rPr>
      </w:pPr>
      <w:r>
        <w:rPr>
          <w:rFonts w:hint="eastAsia" w:ascii="宋体" w:hAnsi="宋体" w:eastAsia="宋体" w:cs="宋体"/>
          <w:color w:val="auto"/>
          <w:sz w:val="24"/>
        </w:rPr>
        <w:t>供应商：是指向采购人提供</w:t>
      </w:r>
      <w:r>
        <w:rPr>
          <w:rFonts w:hint="eastAsia" w:ascii="宋体" w:hAnsi="宋体" w:eastAsia="宋体" w:cs="宋体"/>
          <w:color w:val="auto"/>
          <w:sz w:val="24"/>
          <w:lang w:val="en-US" w:eastAsia="zh-CN"/>
        </w:rPr>
        <w:t>服务</w:t>
      </w:r>
      <w:r>
        <w:rPr>
          <w:rFonts w:hint="eastAsia" w:ascii="宋体" w:hAnsi="宋体" w:eastAsia="宋体" w:cs="宋体"/>
          <w:color w:val="auto"/>
          <w:sz w:val="24"/>
        </w:rPr>
        <w:t>、工程或者</w:t>
      </w:r>
      <w:r>
        <w:rPr>
          <w:rFonts w:hint="eastAsia" w:ascii="宋体" w:hAnsi="宋体" w:eastAsia="宋体" w:cs="宋体"/>
          <w:color w:val="auto"/>
          <w:sz w:val="24"/>
          <w:lang w:val="en-US" w:eastAsia="zh-CN"/>
        </w:rPr>
        <w:t>服务</w:t>
      </w:r>
      <w:r>
        <w:rPr>
          <w:rFonts w:hint="eastAsia" w:ascii="宋体" w:hAnsi="宋体" w:eastAsia="宋体" w:cs="宋体"/>
          <w:color w:val="auto"/>
          <w:sz w:val="24"/>
        </w:rPr>
        <w:t>的法人、非法人组织或者自然人。本项目的供应商及其磋商</w:t>
      </w:r>
      <w:r>
        <w:rPr>
          <w:rFonts w:hint="eastAsia" w:ascii="宋体" w:hAnsi="宋体" w:eastAsia="宋体" w:cs="宋体"/>
          <w:color w:val="auto"/>
          <w:sz w:val="24"/>
          <w:lang w:val="en-US" w:eastAsia="zh-CN"/>
        </w:rPr>
        <w:t>服务</w:t>
      </w:r>
      <w:r>
        <w:rPr>
          <w:rFonts w:hint="eastAsia" w:ascii="宋体" w:hAnsi="宋体" w:eastAsia="宋体" w:cs="宋体"/>
          <w:color w:val="auto"/>
          <w:sz w:val="24"/>
        </w:rPr>
        <w:t>须满足以下条件：</w:t>
      </w:r>
    </w:p>
    <w:p>
      <w:pPr>
        <w:spacing w:line="240" w:lineRule="atLeast"/>
        <w:ind w:left="850" w:hanging="849" w:hangingChars="354"/>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在中华人民共和国境内注册，能够独立承担民事责任，有生产或供应能力的本国供应商。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1.3.3   以采购代理机构认可的方式获得了本项目的磋商文件。</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1.3.4   符合</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中规定的其他要求。</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1.3.5   若</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中写明允许采购进口产品，供应商应保证所投产品可履行合法报通关手续进入中国关境内。</w:t>
      </w:r>
    </w:p>
    <w:p>
      <w:pPr>
        <w:spacing w:line="240" w:lineRule="atLeast"/>
        <w:ind w:left="899" w:leftChars="428"/>
        <w:rPr>
          <w:rFonts w:hint="eastAsia" w:ascii="宋体" w:hAnsi="宋体" w:eastAsia="宋体" w:cs="宋体"/>
          <w:color w:val="auto"/>
          <w:sz w:val="24"/>
        </w:rPr>
      </w:pPr>
      <w:r>
        <w:rPr>
          <w:rFonts w:hint="eastAsia" w:ascii="宋体" w:hAnsi="宋体" w:eastAsia="宋体" w:cs="宋体"/>
          <w:color w:val="auto"/>
          <w:sz w:val="24"/>
        </w:rPr>
        <w:t>若</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中未写明允许采购进口产品，如供应商所投产品为进口产品，其磋商将被认定为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840" w:hanging="840" w:hangingChars="350"/>
        <w:rPr>
          <w:rFonts w:hint="eastAsia" w:ascii="宋体" w:hAnsi="宋体" w:eastAsia="宋体" w:cs="宋体"/>
          <w:color w:val="auto"/>
          <w:sz w:val="24"/>
        </w:rPr>
      </w:pPr>
      <w:r>
        <w:rPr>
          <w:rFonts w:hint="eastAsia" w:ascii="宋体" w:hAnsi="宋体" w:eastAsia="宋体" w:cs="宋体"/>
          <w:color w:val="auto"/>
          <w:sz w:val="24"/>
        </w:rPr>
        <w:t>1.3.6  若</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中写明专门面向中小企业采购的，如供应商为非中小企业且所投产品为非中小企业产品，其磋商将被认定为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     如</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中允许联合体磋商，对联合体规定如下：</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1.4.1   两个以上供应商可以组成一个磋商联合体，以一个供应商的身份磋商。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1.4.2   联合体各方均应符合《中华人民共和国政府采购法》第二十二条规定的条件。</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1.4.3   采购人根据采购项目对供应商的特殊要求，联合体中至少应当有一方符合相关规定。</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1.4.4   联合体各方应签订共同磋商协议，明确约定联合体各方承担的工作和相应的责任，并将共同磋商协议连同作为磋商文件第一部分的内容提交。</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1.4.5   大中型企业、其他自然人、法人或者非法人组织与小型、微型企业组成联合体共同参加磋商，共同磋商协议中应写明小型、微型企业的协议合同金额占到共同磋商协议磋商总金额的比例。</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1.4.6  联合体中有同类资质的供应商按照联合体分工承担相同工作的，按照较低的资质等级确定联合体的资质等级。</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1.4.7  以联合体形式参加政府采购活动的，联合体各方不得再单独参加或者与其他供应商另外组成联合体参加本项目磋商，否则相关磋商将被认定为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1.4.8   对联合体磋商的其他资格要求见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1.5    单位负责人为同一人或者存在直接控股、管理关系的不同供应商，其相关磋商将被认定为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1.6    为本项目提供过整体设计、规范编制或者项目管理、监理、检测等</w:t>
      </w:r>
      <w:r>
        <w:rPr>
          <w:rFonts w:hint="eastAsia" w:ascii="宋体" w:hAnsi="宋体" w:eastAsia="宋体" w:cs="宋体"/>
          <w:color w:val="auto"/>
          <w:sz w:val="24"/>
          <w:lang w:val="en-US" w:eastAsia="zh-CN"/>
        </w:rPr>
        <w:t>要求</w:t>
      </w:r>
      <w:r>
        <w:rPr>
          <w:rFonts w:hint="eastAsia" w:ascii="宋体" w:hAnsi="宋体" w:eastAsia="宋体" w:cs="宋体"/>
          <w:color w:val="auto"/>
          <w:sz w:val="24"/>
        </w:rPr>
        <w:t>的供应商，不得再参加本项目上述</w:t>
      </w:r>
      <w:r>
        <w:rPr>
          <w:rFonts w:hint="eastAsia" w:ascii="宋体" w:hAnsi="宋体" w:eastAsia="宋体" w:cs="宋体"/>
          <w:color w:val="auto"/>
          <w:sz w:val="24"/>
          <w:lang w:val="en-US" w:eastAsia="zh-CN"/>
        </w:rPr>
        <w:t>服务</w:t>
      </w:r>
      <w:r>
        <w:rPr>
          <w:rFonts w:hint="eastAsia" w:ascii="宋体" w:hAnsi="宋体" w:eastAsia="宋体" w:cs="宋体"/>
          <w:color w:val="auto"/>
          <w:sz w:val="24"/>
        </w:rPr>
        <w:t>以外的其他采购活动。否则其磋商将被认定为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rPr>
        <w:tab/>
      </w:r>
      <w:r>
        <w:rPr>
          <w:rFonts w:hint="eastAsia" w:ascii="宋体" w:hAnsi="宋体" w:eastAsia="宋体" w:cs="宋体"/>
          <w:color w:val="auto"/>
          <w:sz w:val="24"/>
        </w:rPr>
        <w:t>供应商在磋商过程中不得向采购人提供、给予任何有价值的物品，影响其正常决策行为。一经发现，其将被认定为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2"/>
        <w:spacing w:before="0" w:after="0" w:line="240" w:lineRule="atLeast"/>
        <w:rPr>
          <w:rFonts w:hint="eastAsia" w:ascii="宋体" w:hAnsi="宋体" w:eastAsia="宋体" w:cs="宋体"/>
          <w:color w:val="auto"/>
          <w:szCs w:val="24"/>
          <w:u w:val="none"/>
        </w:rPr>
      </w:pPr>
      <w:bookmarkStart w:id="17" w:name="_Toc515647759"/>
      <w:bookmarkStart w:id="18" w:name="_Toc20561"/>
      <w:bookmarkStart w:id="19" w:name="_Toc12139"/>
      <w:bookmarkStart w:id="20" w:name="_Toc5286"/>
      <w:r>
        <w:rPr>
          <w:rFonts w:hint="eastAsia" w:ascii="宋体" w:hAnsi="宋体" w:eastAsia="宋体" w:cs="宋体"/>
          <w:color w:val="auto"/>
          <w:szCs w:val="24"/>
          <w:u w:val="none"/>
        </w:rPr>
        <w:t>2.资金来源</w:t>
      </w:r>
      <w:bookmarkEnd w:id="17"/>
      <w:bookmarkEnd w:id="18"/>
      <w:bookmarkEnd w:id="19"/>
      <w:bookmarkEnd w:id="20"/>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rPr>
        <w:tab/>
      </w:r>
      <w:r>
        <w:rPr>
          <w:rFonts w:hint="eastAsia" w:ascii="宋体" w:hAnsi="宋体" w:eastAsia="宋体" w:cs="宋体"/>
          <w:color w:val="auto"/>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2.2    项目预算金额和分项或分包最高限价</w:t>
      </w:r>
      <w:r>
        <w:rPr>
          <w:rFonts w:hint="eastAsia" w:ascii="宋体" w:hAnsi="宋体" w:eastAsia="宋体" w:cs="宋体"/>
          <w:color w:val="auto"/>
          <w:sz w:val="24"/>
          <w:u w:val="single"/>
        </w:rPr>
        <w:t>见供应商须知资料表</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2.3    供应商报价超过磋商文件规定的预算金额或者分项、分包最高限价的，其磋商将被认定为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2"/>
        <w:spacing w:before="0" w:after="0" w:line="240" w:lineRule="atLeast"/>
        <w:rPr>
          <w:rFonts w:hint="eastAsia" w:ascii="宋体" w:hAnsi="宋体" w:eastAsia="宋体" w:cs="宋体"/>
          <w:color w:val="auto"/>
          <w:szCs w:val="24"/>
          <w:u w:val="none"/>
        </w:rPr>
      </w:pPr>
      <w:bookmarkStart w:id="21" w:name="_Toc18002"/>
      <w:bookmarkStart w:id="22" w:name="_Toc20526"/>
      <w:bookmarkStart w:id="23" w:name="_Toc515647760"/>
      <w:bookmarkStart w:id="24" w:name="_Toc15936"/>
      <w:bookmarkStart w:id="25" w:name="_Toc520356145"/>
      <w:r>
        <w:rPr>
          <w:rFonts w:hint="eastAsia" w:ascii="宋体" w:hAnsi="宋体" w:eastAsia="宋体" w:cs="宋体"/>
          <w:color w:val="auto"/>
          <w:szCs w:val="24"/>
          <w:u w:val="none"/>
        </w:rPr>
        <w:t>3.磋商费用</w:t>
      </w:r>
      <w:bookmarkEnd w:id="21"/>
      <w:bookmarkEnd w:id="22"/>
      <w:bookmarkEnd w:id="23"/>
      <w:bookmarkEnd w:id="24"/>
      <w:bookmarkEnd w:id="25"/>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不论磋商的结果如何，供应商应承担所有与准备和参加磋商有关的费用。</w:t>
      </w:r>
    </w:p>
    <w:p>
      <w:pPr>
        <w:pStyle w:val="2"/>
        <w:spacing w:before="0" w:after="0" w:line="240" w:lineRule="atLeast"/>
        <w:rPr>
          <w:rFonts w:hint="eastAsia" w:ascii="宋体" w:hAnsi="宋体" w:eastAsia="宋体" w:cs="宋体"/>
          <w:color w:val="auto"/>
          <w:szCs w:val="24"/>
          <w:u w:val="none"/>
        </w:rPr>
      </w:pPr>
      <w:bookmarkStart w:id="26" w:name="_Toc4463"/>
      <w:bookmarkStart w:id="27" w:name="_Toc30544"/>
      <w:bookmarkStart w:id="28" w:name="_Toc6116"/>
      <w:bookmarkStart w:id="29" w:name="_Toc515647761"/>
      <w:r>
        <w:rPr>
          <w:rFonts w:hint="eastAsia" w:ascii="宋体" w:hAnsi="宋体" w:eastAsia="宋体" w:cs="宋体"/>
          <w:color w:val="auto"/>
          <w:szCs w:val="24"/>
          <w:u w:val="none"/>
        </w:rPr>
        <w:t>4.适用法律</w:t>
      </w:r>
      <w:bookmarkEnd w:id="26"/>
      <w:bookmarkEnd w:id="27"/>
      <w:bookmarkEnd w:id="28"/>
      <w:bookmarkEnd w:id="29"/>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xml:space="preserve">       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hint="eastAsia" w:ascii="宋体" w:hAnsi="宋体" w:eastAsia="宋体" w:cs="宋体"/>
          <w:color w:val="auto"/>
          <w:sz w:val="24"/>
        </w:rPr>
      </w:pPr>
    </w:p>
    <w:p>
      <w:pPr>
        <w:pStyle w:val="4"/>
        <w:spacing w:before="0" w:line="240" w:lineRule="atLeast"/>
        <w:ind w:left="1080" w:leftChars="257" w:hanging="540"/>
        <w:rPr>
          <w:rFonts w:hint="eastAsia" w:ascii="宋体" w:hAnsi="宋体" w:eastAsia="宋体" w:cs="宋体"/>
          <w:color w:val="auto"/>
          <w:sz w:val="24"/>
          <w:szCs w:val="24"/>
        </w:rPr>
      </w:pPr>
      <w:bookmarkStart w:id="30" w:name="_Toc515647762"/>
      <w:bookmarkStart w:id="31" w:name="_Toc520356146"/>
      <w:bookmarkStart w:id="32" w:name="_Toc4365"/>
      <w:bookmarkStart w:id="33" w:name="_Toc216582806"/>
      <w:bookmarkStart w:id="34" w:name="_Toc21566"/>
      <w:bookmarkStart w:id="35" w:name="_Toc4420"/>
      <w:r>
        <w:rPr>
          <w:rFonts w:hint="eastAsia" w:ascii="宋体" w:hAnsi="宋体" w:eastAsia="宋体" w:cs="宋体"/>
          <w:color w:val="auto"/>
          <w:sz w:val="24"/>
          <w:szCs w:val="24"/>
        </w:rPr>
        <w:t xml:space="preserve">二   </w:t>
      </w:r>
      <w:bookmarkEnd w:id="30"/>
      <w:bookmarkEnd w:id="31"/>
      <w:bookmarkEnd w:id="32"/>
      <w:bookmarkEnd w:id="33"/>
      <w:bookmarkEnd w:id="34"/>
      <w:r>
        <w:rPr>
          <w:rFonts w:hint="eastAsia" w:ascii="宋体" w:hAnsi="宋体" w:eastAsia="宋体" w:cs="宋体"/>
          <w:color w:val="auto"/>
          <w:sz w:val="24"/>
          <w:szCs w:val="24"/>
        </w:rPr>
        <w:t>磋商文件</w:t>
      </w:r>
      <w:bookmarkEnd w:id="35"/>
    </w:p>
    <w:p>
      <w:pPr>
        <w:pStyle w:val="2"/>
        <w:spacing w:before="0" w:after="0" w:line="240" w:lineRule="atLeast"/>
        <w:rPr>
          <w:rFonts w:hint="eastAsia" w:ascii="宋体" w:hAnsi="宋体" w:eastAsia="宋体" w:cs="宋体"/>
          <w:color w:val="auto"/>
          <w:szCs w:val="24"/>
          <w:u w:val="none"/>
        </w:rPr>
      </w:pPr>
      <w:bookmarkStart w:id="36" w:name="_Toc25743"/>
      <w:bookmarkStart w:id="37" w:name="_Toc19151"/>
      <w:bookmarkStart w:id="38" w:name="_Toc14084"/>
      <w:bookmarkStart w:id="39" w:name="_Toc515647763"/>
      <w:bookmarkStart w:id="40" w:name="_Toc520356147"/>
      <w:r>
        <w:rPr>
          <w:rFonts w:hint="eastAsia" w:ascii="宋体" w:hAnsi="宋体" w:eastAsia="宋体" w:cs="宋体"/>
          <w:color w:val="auto"/>
          <w:szCs w:val="24"/>
          <w:u w:val="none"/>
        </w:rPr>
        <w:t>5.磋商文件构成</w:t>
      </w:r>
      <w:bookmarkEnd w:id="36"/>
      <w:bookmarkEnd w:id="37"/>
      <w:bookmarkEnd w:id="38"/>
      <w:bookmarkEnd w:id="39"/>
      <w:bookmarkEnd w:id="40"/>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5.1</w:t>
      </w:r>
      <w:r>
        <w:rPr>
          <w:rFonts w:hint="eastAsia" w:ascii="宋体" w:hAnsi="宋体" w:eastAsia="宋体" w:cs="宋体"/>
          <w:color w:val="auto"/>
          <w:sz w:val="24"/>
        </w:rPr>
        <w:tab/>
      </w:r>
      <w:r>
        <w:rPr>
          <w:rFonts w:hint="eastAsia" w:ascii="宋体" w:hAnsi="宋体" w:eastAsia="宋体" w:cs="宋体"/>
          <w:color w:val="auto"/>
          <w:sz w:val="24"/>
        </w:rPr>
        <w:t>磋商文件分为三册共7章，内容如下：</w:t>
      </w:r>
    </w:p>
    <w:p>
      <w:pPr>
        <w:spacing w:line="240" w:lineRule="atLeast"/>
        <w:ind w:left="1079" w:leftChars="428" w:hanging="180" w:hangingChars="75"/>
        <w:rPr>
          <w:rFonts w:hint="eastAsia" w:ascii="宋体" w:hAnsi="宋体" w:eastAsia="宋体" w:cs="宋体"/>
          <w:color w:val="auto"/>
          <w:sz w:val="24"/>
        </w:rPr>
      </w:pPr>
      <w:r>
        <w:rPr>
          <w:rFonts w:hint="eastAsia" w:ascii="宋体" w:hAnsi="宋体" w:eastAsia="宋体" w:cs="宋体"/>
          <w:color w:val="auto"/>
          <w:sz w:val="24"/>
        </w:rPr>
        <w:t>第一册</w:t>
      </w:r>
    </w:p>
    <w:p>
      <w:pPr>
        <w:numPr>
          <w:ilvl w:val="0"/>
          <w:numId w:val="2"/>
        </w:numPr>
        <w:tabs>
          <w:tab w:val="left" w:pos="0"/>
        </w:tabs>
        <w:spacing w:line="240" w:lineRule="atLeast"/>
        <w:ind w:hanging="829"/>
        <w:rPr>
          <w:rFonts w:hint="eastAsia" w:ascii="宋体" w:hAnsi="宋体" w:eastAsia="宋体" w:cs="宋体"/>
          <w:color w:val="auto"/>
          <w:sz w:val="24"/>
        </w:rPr>
      </w:pPr>
      <w:r>
        <w:rPr>
          <w:rFonts w:hint="eastAsia" w:ascii="宋体" w:hAnsi="宋体" w:eastAsia="宋体" w:cs="宋体"/>
          <w:color w:val="auto"/>
          <w:sz w:val="24"/>
        </w:rPr>
        <w:t xml:space="preserve"> 供应商须知</w:t>
      </w:r>
    </w:p>
    <w:p>
      <w:pPr>
        <w:numPr>
          <w:ilvl w:val="0"/>
          <w:numId w:val="2"/>
        </w:numPr>
        <w:spacing w:line="240" w:lineRule="atLeast"/>
        <w:ind w:left="1081" w:leftChars="429" w:hanging="180"/>
        <w:rPr>
          <w:rFonts w:hint="eastAsia" w:ascii="宋体" w:hAnsi="宋体" w:eastAsia="宋体" w:cs="宋体"/>
          <w:color w:val="auto"/>
          <w:sz w:val="24"/>
        </w:rPr>
      </w:pPr>
      <w:r>
        <w:rPr>
          <w:rFonts w:hint="eastAsia" w:ascii="宋体" w:hAnsi="宋体" w:eastAsia="宋体" w:cs="宋体"/>
          <w:color w:val="auto"/>
          <w:sz w:val="24"/>
        </w:rPr>
        <w:t xml:space="preserve"> 响应文件格式</w:t>
      </w:r>
    </w:p>
    <w:p>
      <w:pPr>
        <w:spacing w:line="240" w:lineRule="atLeast"/>
        <w:ind w:left="1081" w:leftChars="429" w:hanging="180"/>
        <w:rPr>
          <w:rFonts w:hint="eastAsia" w:ascii="宋体" w:hAnsi="宋体" w:eastAsia="宋体" w:cs="宋体"/>
          <w:color w:val="auto"/>
          <w:sz w:val="24"/>
        </w:rPr>
      </w:pPr>
      <w:r>
        <w:rPr>
          <w:rFonts w:hint="eastAsia" w:ascii="宋体" w:hAnsi="宋体" w:eastAsia="宋体" w:cs="宋体"/>
          <w:color w:val="auto"/>
          <w:sz w:val="24"/>
        </w:rPr>
        <w:t>第二册</w:t>
      </w:r>
    </w:p>
    <w:p>
      <w:pPr>
        <w:numPr>
          <w:ilvl w:val="0"/>
          <w:numId w:val="2"/>
        </w:numPr>
        <w:spacing w:line="240" w:lineRule="atLeast"/>
        <w:ind w:left="1081" w:leftChars="429" w:hanging="180"/>
        <w:rPr>
          <w:rFonts w:hint="eastAsia" w:ascii="宋体" w:hAnsi="宋体" w:eastAsia="宋体" w:cs="宋体"/>
          <w:color w:val="auto"/>
          <w:sz w:val="24"/>
        </w:rPr>
      </w:pPr>
      <w:r>
        <w:rPr>
          <w:rFonts w:hint="eastAsia" w:ascii="宋体" w:hAnsi="宋体" w:eastAsia="宋体" w:cs="宋体"/>
          <w:color w:val="auto"/>
          <w:sz w:val="24"/>
        </w:rPr>
        <w:t xml:space="preserve"> 磋商邀请</w:t>
      </w:r>
    </w:p>
    <w:p>
      <w:pPr>
        <w:numPr>
          <w:ilvl w:val="0"/>
          <w:numId w:val="2"/>
        </w:numPr>
        <w:spacing w:line="240" w:lineRule="atLeast"/>
        <w:ind w:left="1081" w:leftChars="429" w:hanging="180"/>
        <w:rPr>
          <w:rFonts w:hint="eastAsia" w:ascii="宋体" w:hAnsi="宋体" w:eastAsia="宋体" w:cs="宋体"/>
          <w:color w:val="auto"/>
          <w:sz w:val="24"/>
        </w:rPr>
      </w:pPr>
      <w:r>
        <w:rPr>
          <w:rFonts w:hint="eastAsia" w:ascii="宋体" w:hAnsi="宋体" w:eastAsia="宋体" w:cs="宋体"/>
          <w:color w:val="auto"/>
          <w:sz w:val="24"/>
        </w:rPr>
        <w:t xml:space="preserve"> 供应商须知资料表</w:t>
      </w:r>
    </w:p>
    <w:p>
      <w:pPr>
        <w:numPr>
          <w:ilvl w:val="0"/>
          <w:numId w:val="2"/>
        </w:numPr>
        <w:spacing w:line="240" w:lineRule="atLeast"/>
        <w:ind w:left="1081" w:leftChars="429" w:hanging="180"/>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服务</w:t>
      </w:r>
      <w:r>
        <w:rPr>
          <w:rFonts w:hint="eastAsia" w:ascii="宋体" w:hAnsi="宋体" w:eastAsia="宋体" w:cs="宋体"/>
          <w:color w:val="auto"/>
          <w:sz w:val="24"/>
        </w:rPr>
        <w:t>需求一览表及</w:t>
      </w:r>
      <w:r>
        <w:rPr>
          <w:rFonts w:hint="eastAsia" w:ascii="宋体" w:hAnsi="宋体" w:eastAsia="宋体" w:cs="宋体"/>
          <w:color w:val="auto"/>
          <w:sz w:val="24"/>
          <w:lang w:val="en-US" w:eastAsia="zh-CN"/>
        </w:rPr>
        <w:t>项目要求</w:t>
      </w:r>
    </w:p>
    <w:p>
      <w:pPr>
        <w:numPr>
          <w:ilvl w:val="0"/>
          <w:numId w:val="2"/>
        </w:numPr>
        <w:spacing w:line="240" w:lineRule="atLeast"/>
        <w:ind w:left="1081" w:leftChars="429" w:hanging="180"/>
        <w:rPr>
          <w:rFonts w:hint="eastAsia" w:ascii="宋体" w:hAnsi="宋体" w:eastAsia="宋体" w:cs="宋体"/>
          <w:color w:val="auto"/>
          <w:sz w:val="24"/>
        </w:rPr>
      </w:pPr>
      <w:r>
        <w:rPr>
          <w:rFonts w:hint="eastAsia" w:ascii="宋体" w:hAnsi="宋体" w:eastAsia="宋体" w:cs="宋体"/>
          <w:color w:val="auto"/>
          <w:sz w:val="24"/>
        </w:rPr>
        <w:t xml:space="preserve"> 评审方法和标准</w:t>
      </w:r>
    </w:p>
    <w:p>
      <w:pPr>
        <w:spacing w:line="240" w:lineRule="atLeast"/>
        <w:ind w:left="901"/>
        <w:rPr>
          <w:rFonts w:hint="eastAsia" w:ascii="宋体" w:hAnsi="宋体" w:eastAsia="宋体" w:cs="宋体"/>
          <w:color w:val="auto"/>
          <w:sz w:val="24"/>
        </w:rPr>
      </w:pPr>
      <w:r>
        <w:rPr>
          <w:rFonts w:hint="eastAsia" w:ascii="宋体" w:hAnsi="宋体" w:eastAsia="宋体" w:cs="宋体"/>
          <w:color w:val="auto"/>
          <w:sz w:val="24"/>
        </w:rPr>
        <w:t>第三册</w:t>
      </w:r>
    </w:p>
    <w:p>
      <w:pPr>
        <w:numPr>
          <w:ilvl w:val="0"/>
          <w:numId w:val="2"/>
        </w:numPr>
        <w:spacing w:line="240" w:lineRule="atLeast"/>
        <w:ind w:left="718" w:leftChars="342" w:firstLine="240" w:firstLineChars="100"/>
        <w:rPr>
          <w:rFonts w:hint="eastAsia" w:ascii="宋体" w:hAnsi="宋体" w:eastAsia="宋体" w:cs="宋体"/>
          <w:color w:val="auto"/>
          <w:sz w:val="24"/>
        </w:rPr>
      </w:pPr>
      <w:r>
        <w:rPr>
          <w:rFonts w:hint="eastAsia" w:ascii="宋体" w:hAnsi="宋体" w:eastAsia="宋体" w:cs="宋体"/>
          <w:color w:val="auto"/>
          <w:sz w:val="24"/>
        </w:rPr>
        <w:t>政府采购合同格式</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5.2</w:t>
      </w:r>
      <w:r>
        <w:rPr>
          <w:rFonts w:hint="eastAsia" w:ascii="宋体" w:hAnsi="宋体" w:eastAsia="宋体" w:cs="宋体"/>
          <w:color w:val="auto"/>
          <w:sz w:val="24"/>
        </w:rPr>
        <w:tab/>
      </w:r>
      <w:r>
        <w:rPr>
          <w:rFonts w:hint="eastAsia" w:ascii="宋体" w:hAnsi="宋体" w:eastAsia="宋体" w:cs="宋体"/>
          <w:color w:val="auto"/>
          <w:sz w:val="24"/>
        </w:rPr>
        <w:t>如本文件的前后内容不一致，以最后描述为准。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2"/>
        <w:spacing w:before="0" w:after="0" w:line="240" w:lineRule="atLeast"/>
        <w:rPr>
          <w:rFonts w:hint="eastAsia" w:ascii="宋体" w:hAnsi="宋体" w:eastAsia="宋体" w:cs="宋体"/>
          <w:color w:val="auto"/>
          <w:szCs w:val="24"/>
          <w:u w:val="none"/>
        </w:rPr>
      </w:pPr>
      <w:bookmarkStart w:id="41" w:name="_Toc520356148"/>
      <w:bookmarkStart w:id="42" w:name="_Toc515904805"/>
      <w:bookmarkStart w:id="43" w:name="_Toc7531"/>
      <w:bookmarkStart w:id="44" w:name="_Toc26044"/>
      <w:bookmarkStart w:id="45" w:name="_Toc9232"/>
      <w:r>
        <w:rPr>
          <w:rFonts w:hint="eastAsia" w:ascii="宋体" w:hAnsi="宋体" w:eastAsia="宋体" w:cs="宋体"/>
          <w:color w:val="auto"/>
          <w:szCs w:val="24"/>
          <w:u w:val="none"/>
        </w:rPr>
        <w:t>6.磋商文件的澄清</w:t>
      </w:r>
      <w:bookmarkEnd w:id="41"/>
      <w:bookmarkEnd w:id="42"/>
      <w:r>
        <w:rPr>
          <w:rFonts w:hint="eastAsia" w:ascii="宋体" w:hAnsi="宋体" w:eastAsia="宋体" w:cs="宋体"/>
          <w:color w:val="auto"/>
          <w:szCs w:val="24"/>
          <w:u w:val="none"/>
        </w:rPr>
        <w:t>与修改</w:t>
      </w:r>
      <w:bookmarkEnd w:id="43"/>
      <w:bookmarkEnd w:id="44"/>
      <w:bookmarkEnd w:id="45"/>
    </w:p>
    <w:p>
      <w:pPr>
        <w:pStyle w:val="5"/>
        <w:ind w:left="840" w:hanging="840" w:hangingChars="350"/>
        <w:rPr>
          <w:rFonts w:hint="eastAsia" w:ascii="宋体" w:hAnsi="宋体" w:eastAsia="宋体" w:cs="宋体"/>
          <w:color w:val="auto"/>
          <w:szCs w:val="24"/>
        </w:rPr>
      </w:pPr>
      <w:r>
        <w:rPr>
          <w:rFonts w:hint="eastAsia" w:ascii="宋体" w:hAnsi="宋体" w:eastAsia="宋体" w:cs="宋体"/>
          <w:color w:val="auto"/>
          <w:szCs w:val="24"/>
        </w:rPr>
        <w:t>6.1    为了保证对磋商文件的澄清和修改满足法律的时限要求，任何要求对磋商文件进行澄清的供应商，均应在磋商截止期十日前，以书面形式将澄清要求通知采购人或采购代理机构。</w:t>
      </w:r>
    </w:p>
    <w:p>
      <w:pPr>
        <w:pStyle w:val="5"/>
        <w:ind w:left="840" w:hanging="840" w:hangingChars="350"/>
        <w:rPr>
          <w:rFonts w:hint="eastAsia" w:ascii="宋体" w:hAnsi="宋体" w:eastAsia="宋体" w:cs="宋体"/>
          <w:color w:val="auto"/>
          <w:szCs w:val="24"/>
        </w:rPr>
      </w:pPr>
      <w:bookmarkStart w:id="46" w:name="_Ref467378678"/>
      <w:bookmarkStart w:id="47" w:name="_Toc520356149"/>
      <w:bookmarkStart w:id="48" w:name="_Toc515904806"/>
      <w:r>
        <w:rPr>
          <w:rFonts w:hint="eastAsia" w:ascii="宋体" w:hAnsi="宋体" w:eastAsia="宋体" w:cs="宋体"/>
          <w:color w:val="auto"/>
          <w:szCs w:val="24"/>
        </w:rPr>
        <w:t>6.2</w:t>
      </w:r>
      <w:r>
        <w:rPr>
          <w:rFonts w:hint="eastAsia" w:ascii="宋体" w:hAnsi="宋体" w:eastAsia="宋体" w:cs="宋体"/>
          <w:color w:val="auto"/>
          <w:szCs w:val="24"/>
        </w:rPr>
        <w:tab/>
      </w:r>
      <w:r>
        <w:rPr>
          <w:rFonts w:hint="eastAsia" w:ascii="宋体" w:hAnsi="宋体" w:eastAsia="宋体" w:cs="宋体"/>
          <w:color w:val="auto"/>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5"/>
        <w:ind w:left="840" w:hanging="840" w:hangingChars="350"/>
        <w:rPr>
          <w:rFonts w:hint="eastAsia" w:ascii="宋体" w:hAnsi="宋体" w:eastAsia="宋体" w:cs="宋体"/>
          <w:color w:val="auto"/>
          <w:szCs w:val="24"/>
        </w:rPr>
      </w:pPr>
      <w:r>
        <w:rPr>
          <w:rFonts w:hint="eastAsia" w:ascii="宋体" w:hAnsi="宋体" w:eastAsia="宋体" w:cs="宋体"/>
          <w:color w:val="auto"/>
          <w:szCs w:val="24"/>
        </w:rPr>
        <w:t>6.3</w:t>
      </w:r>
      <w:r>
        <w:rPr>
          <w:rFonts w:hint="eastAsia" w:ascii="宋体" w:hAnsi="宋体" w:eastAsia="宋体" w:cs="宋体"/>
          <w:color w:val="auto"/>
          <w:szCs w:val="24"/>
        </w:rPr>
        <w:tab/>
      </w:r>
      <w:r>
        <w:rPr>
          <w:rFonts w:hint="eastAsia" w:ascii="宋体" w:hAnsi="宋体" w:eastAsia="宋体" w:cs="宋体"/>
          <w:color w:val="auto"/>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2"/>
        <w:tabs>
          <w:tab w:val="left" w:pos="900"/>
        </w:tabs>
        <w:spacing w:before="0" w:after="0" w:line="240" w:lineRule="atLeast"/>
        <w:rPr>
          <w:rFonts w:hint="eastAsia" w:ascii="宋体" w:hAnsi="宋体" w:eastAsia="宋体" w:cs="宋体"/>
          <w:color w:val="auto"/>
          <w:szCs w:val="24"/>
          <w:u w:val="none"/>
        </w:rPr>
      </w:pPr>
      <w:bookmarkStart w:id="49" w:name="_Toc14569"/>
      <w:bookmarkStart w:id="50" w:name="_Toc10128"/>
      <w:bookmarkStart w:id="51" w:name="_Toc25635"/>
      <w:r>
        <w:rPr>
          <w:rFonts w:hint="eastAsia" w:ascii="宋体" w:hAnsi="宋体" w:eastAsia="宋体" w:cs="宋体"/>
          <w:color w:val="auto"/>
          <w:szCs w:val="24"/>
          <w:u w:val="none"/>
        </w:rPr>
        <w:t>7</w:t>
      </w:r>
      <w:bookmarkEnd w:id="46"/>
      <w:bookmarkEnd w:id="47"/>
      <w:bookmarkEnd w:id="48"/>
      <w:r>
        <w:rPr>
          <w:rFonts w:hint="eastAsia" w:ascii="宋体" w:hAnsi="宋体" w:eastAsia="宋体" w:cs="宋体"/>
          <w:color w:val="auto"/>
          <w:szCs w:val="24"/>
          <w:u w:val="none"/>
        </w:rPr>
        <w:t>.磋商截止时间的顺延</w:t>
      </w:r>
      <w:bookmarkEnd w:id="49"/>
      <w:bookmarkEnd w:id="50"/>
      <w:bookmarkEnd w:id="51"/>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为使供应商准备磋商时有足够的时间对磋商文件的澄清或者修改部分进行研究，采购人将依法决定是否顺延磋商截止时间。</w:t>
      </w:r>
    </w:p>
    <w:p>
      <w:pPr>
        <w:pStyle w:val="4"/>
        <w:tabs>
          <w:tab w:val="left" w:pos="900"/>
        </w:tabs>
        <w:spacing w:before="0" w:line="240" w:lineRule="atLeast"/>
        <w:ind w:left="1080" w:leftChars="257" w:hanging="540"/>
        <w:rPr>
          <w:rFonts w:hint="eastAsia" w:ascii="宋体" w:hAnsi="宋体" w:eastAsia="宋体" w:cs="宋体"/>
          <w:color w:val="auto"/>
        </w:rPr>
      </w:pPr>
      <w:bookmarkStart w:id="52" w:name="_Toc516367020"/>
      <w:bookmarkStart w:id="53" w:name="_Toc520356150"/>
      <w:bookmarkStart w:id="54" w:name="_Toc7636"/>
      <w:bookmarkStart w:id="55" w:name="_Toc18070"/>
      <w:bookmarkStart w:id="56" w:name="_Toc515647766"/>
      <w:bookmarkStart w:id="57" w:name="_Toc30808"/>
      <w:bookmarkStart w:id="58" w:name="_Toc216582807"/>
      <w:bookmarkStart w:id="59" w:name="_Toc17440"/>
      <w:r>
        <w:rPr>
          <w:rFonts w:hint="eastAsia" w:ascii="宋体" w:hAnsi="宋体" w:eastAsia="宋体" w:cs="宋体"/>
          <w:color w:val="auto"/>
          <w:sz w:val="28"/>
        </w:rPr>
        <w:t xml:space="preserve">三   </w:t>
      </w:r>
      <w:bookmarkEnd w:id="52"/>
      <w:r>
        <w:rPr>
          <w:rFonts w:hint="eastAsia" w:ascii="宋体" w:hAnsi="宋体" w:eastAsia="宋体" w:cs="宋体"/>
          <w:color w:val="auto"/>
          <w:sz w:val="28"/>
        </w:rPr>
        <w:t>响应文件的编制</w:t>
      </w:r>
      <w:bookmarkEnd w:id="53"/>
      <w:bookmarkEnd w:id="54"/>
      <w:bookmarkEnd w:id="55"/>
      <w:bookmarkEnd w:id="56"/>
      <w:bookmarkEnd w:id="57"/>
      <w:bookmarkEnd w:id="58"/>
      <w:bookmarkEnd w:id="59"/>
    </w:p>
    <w:p>
      <w:pPr>
        <w:pStyle w:val="2"/>
        <w:tabs>
          <w:tab w:val="left" w:pos="900"/>
        </w:tabs>
        <w:spacing w:before="0" w:after="0" w:line="240" w:lineRule="atLeast"/>
        <w:rPr>
          <w:rFonts w:hint="eastAsia" w:ascii="宋体" w:hAnsi="宋体" w:eastAsia="宋体" w:cs="宋体"/>
          <w:color w:val="auto"/>
          <w:u w:val="none"/>
        </w:rPr>
      </w:pPr>
      <w:bookmarkStart w:id="60" w:name="_Toc515647767"/>
      <w:bookmarkStart w:id="61" w:name="_Toc520356151"/>
      <w:bookmarkStart w:id="62" w:name="_Toc21065"/>
      <w:bookmarkStart w:id="63" w:name="_Toc3553"/>
      <w:bookmarkStart w:id="64" w:name="_Toc516367021"/>
      <w:bookmarkStart w:id="65" w:name="_Toc7786"/>
      <w:bookmarkStart w:id="66" w:name="_Toc15016"/>
      <w:r>
        <w:rPr>
          <w:rFonts w:hint="eastAsia" w:ascii="宋体" w:hAnsi="宋体" w:eastAsia="宋体" w:cs="宋体"/>
          <w:color w:val="auto"/>
          <w:u w:val="none"/>
        </w:rPr>
        <w:t>8.</w:t>
      </w:r>
      <w:r>
        <w:rPr>
          <w:rFonts w:hint="eastAsia" w:ascii="宋体" w:hAnsi="宋体" w:eastAsia="宋体" w:cs="宋体"/>
          <w:color w:val="auto"/>
          <w:u w:val="none"/>
        </w:rPr>
        <w:tab/>
      </w:r>
      <w:r>
        <w:rPr>
          <w:rFonts w:hint="eastAsia" w:ascii="宋体" w:hAnsi="宋体" w:eastAsia="宋体" w:cs="宋体"/>
          <w:color w:val="auto"/>
          <w:u w:val="none"/>
        </w:rPr>
        <w:t>磋商范围及响应文件成交准和计量单位的使用</w:t>
      </w:r>
      <w:bookmarkEnd w:id="60"/>
      <w:bookmarkEnd w:id="61"/>
      <w:bookmarkEnd w:id="62"/>
      <w:bookmarkEnd w:id="63"/>
      <w:bookmarkEnd w:id="64"/>
      <w:bookmarkEnd w:id="65"/>
      <w:bookmarkEnd w:id="66"/>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8.1</w:t>
      </w:r>
      <w:r>
        <w:rPr>
          <w:rFonts w:hint="eastAsia" w:ascii="宋体" w:hAnsi="宋体" w:eastAsia="宋体" w:cs="宋体"/>
          <w:color w:val="auto"/>
          <w:sz w:val="24"/>
        </w:rPr>
        <w:tab/>
      </w:r>
      <w:r>
        <w:rPr>
          <w:rFonts w:hint="eastAsia" w:ascii="宋体" w:hAnsi="宋体" w:eastAsia="宋体" w:cs="宋体"/>
          <w:color w:val="auto"/>
          <w:sz w:val="24"/>
        </w:rPr>
        <w:t>项目有分包的，供应商可对磋商文件其中某一个或几个分包</w:t>
      </w:r>
      <w:r>
        <w:rPr>
          <w:rFonts w:hint="eastAsia" w:ascii="宋体" w:hAnsi="宋体" w:eastAsia="宋体" w:cs="宋体"/>
          <w:color w:val="auto"/>
          <w:sz w:val="24"/>
          <w:lang w:val="en-US" w:eastAsia="zh-CN"/>
        </w:rPr>
        <w:t>服务内容</w:t>
      </w:r>
      <w:r>
        <w:rPr>
          <w:rFonts w:hint="eastAsia" w:ascii="宋体" w:hAnsi="宋体" w:eastAsia="宋体" w:cs="宋体"/>
          <w:color w:val="auto"/>
          <w:sz w:val="24"/>
        </w:rPr>
        <w:t>进行磋商，除非在</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中另有规定。</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8.2     供应商应当对所投分包磋商文件中“</w:t>
      </w:r>
      <w:r>
        <w:rPr>
          <w:rFonts w:hint="eastAsia" w:ascii="宋体" w:hAnsi="宋体" w:eastAsia="宋体" w:cs="宋体"/>
          <w:color w:val="auto"/>
          <w:sz w:val="24"/>
          <w:lang w:val="en-US" w:eastAsia="zh-CN"/>
        </w:rPr>
        <w:t>服务</w:t>
      </w:r>
      <w:r>
        <w:rPr>
          <w:rFonts w:hint="eastAsia" w:ascii="宋体" w:hAnsi="宋体" w:eastAsia="宋体" w:cs="宋体"/>
          <w:color w:val="auto"/>
          <w:sz w:val="24"/>
        </w:rPr>
        <w:t>需求”所列的所有内容进行磋商，如仅响应某一包中的部分内容，其该包磋商将被认定为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8.3     无论磋商文件第5章</w:t>
      </w:r>
      <w:r>
        <w:rPr>
          <w:rFonts w:hint="eastAsia" w:ascii="宋体" w:hAnsi="宋体" w:eastAsia="宋体" w:cs="宋体"/>
          <w:color w:val="auto"/>
          <w:sz w:val="24"/>
          <w:lang w:val="en-US" w:eastAsia="zh-CN"/>
        </w:rPr>
        <w:t>服务</w:t>
      </w:r>
      <w:r>
        <w:rPr>
          <w:rFonts w:hint="eastAsia" w:ascii="宋体" w:hAnsi="宋体" w:eastAsia="宋体" w:cs="宋体"/>
          <w:color w:val="auto"/>
          <w:sz w:val="24"/>
        </w:rPr>
        <w:t>需求一览表及技术规格中是否要求，供应商所投</w:t>
      </w:r>
      <w:r>
        <w:rPr>
          <w:rFonts w:hint="eastAsia" w:ascii="宋体" w:hAnsi="宋体" w:eastAsia="宋体" w:cs="宋体"/>
          <w:color w:val="auto"/>
          <w:sz w:val="24"/>
          <w:lang w:val="en-US" w:eastAsia="zh-CN"/>
        </w:rPr>
        <w:t>服务要求</w:t>
      </w:r>
      <w:r>
        <w:rPr>
          <w:rFonts w:hint="eastAsia" w:ascii="宋体" w:hAnsi="宋体" w:eastAsia="宋体" w:cs="宋体"/>
          <w:color w:val="auto"/>
          <w:sz w:val="24"/>
        </w:rPr>
        <w:t>均应符合国家强制性标准。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8.4     除磋商文件中有特殊要求外，响应文件中所使用的计量单位，应采用中华人民共和国法定计量单位。</w:t>
      </w:r>
    </w:p>
    <w:p>
      <w:pPr>
        <w:pStyle w:val="2"/>
        <w:tabs>
          <w:tab w:val="left" w:pos="900"/>
        </w:tabs>
        <w:spacing w:before="0" w:after="0" w:line="240" w:lineRule="atLeast"/>
        <w:rPr>
          <w:rFonts w:hint="eastAsia" w:ascii="宋体" w:hAnsi="宋体" w:eastAsia="宋体" w:cs="宋体"/>
          <w:color w:val="auto"/>
          <w:u w:val="none"/>
        </w:rPr>
      </w:pPr>
      <w:bookmarkStart w:id="67" w:name="_Ref467306676"/>
      <w:bookmarkStart w:id="68" w:name="_Ref467306195"/>
      <w:bookmarkStart w:id="69" w:name="_Toc516367022"/>
      <w:bookmarkStart w:id="70" w:name="_Toc28670"/>
      <w:bookmarkStart w:id="71" w:name="_Toc15064"/>
      <w:bookmarkStart w:id="72" w:name="_Toc515647768"/>
      <w:bookmarkStart w:id="73" w:name="_Toc520356152"/>
      <w:bookmarkStart w:id="74" w:name="_Toc10364"/>
      <w:bookmarkStart w:id="75" w:name="_Toc28307"/>
      <w:r>
        <w:rPr>
          <w:rFonts w:hint="eastAsia" w:ascii="宋体" w:hAnsi="宋体" w:eastAsia="宋体" w:cs="宋体"/>
          <w:color w:val="auto"/>
          <w:u w:val="none"/>
        </w:rPr>
        <w:t>9.</w:t>
      </w:r>
      <w:bookmarkEnd w:id="67"/>
      <w:bookmarkEnd w:id="68"/>
      <w:bookmarkEnd w:id="69"/>
      <w:r>
        <w:rPr>
          <w:rFonts w:hint="eastAsia" w:ascii="宋体" w:hAnsi="宋体" w:eastAsia="宋体" w:cs="宋体"/>
          <w:color w:val="auto"/>
          <w:u w:val="none"/>
        </w:rPr>
        <w:t>响应文件构成</w:t>
      </w:r>
      <w:bookmarkEnd w:id="70"/>
      <w:bookmarkEnd w:id="71"/>
      <w:bookmarkEnd w:id="72"/>
      <w:bookmarkEnd w:id="73"/>
      <w:bookmarkEnd w:id="74"/>
      <w:bookmarkEnd w:id="75"/>
    </w:p>
    <w:p>
      <w:pPr>
        <w:tabs>
          <w:tab w:val="left" w:pos="900"/>
          <w:tab w:val="left" w:pos="5580"/>
        </w:tabs>
        <w:spacing w:line="240" w:lineRule="atLeast"/>
        <w:ind w:left="960" w:hanging="960" w:hangingChars="400"/>
        <w:jc w:val="left"/>
        <w:rPr>
          <w:rFonts w:hint="eastAsia" w:ascii="宋体" w:hAnsi="宋体" w:eastAsia="宋体" w:cs="宋体"/>
          <w:color w:val="auto"/>
          <w:sz w:val="24"/>
          <w:u w:val="single"/>
        </w:rPr>
      </w:pPr>
      <w:bookmarkStart w:id="76" w:name="_Ref467052588"/>
      <w:r>
        <w:rPr>
          <w:rFonts w:hint="eastAsia" w:ascii="宋体" w:hAnsi="宋体" w:eastAsia="宋体" w:cs="宋体"/>
          <w:color w:val="auto"/>
          <w:sz w:val="24"/>
        </w:rPr>
        <w:t xml:space="preserve">9.1     </w:t>
      </w:r>
      <w:r>
        <w:rPr>
          <w:rFonts w:hint="eastAsia" w:ascii="宋体" w:hAnsi="宋体" w:eastAsia="宋体" w:cs="宋体"/>
          <w:color w:val="auto"/>
          <w:sz w:val="24"/>
          <w:u w:val="single"/>
        </w:rPr>
        <w:t>供应商应完整地按磋商文件提供的响应文件格式及要求</w:t>
      </w:r>
      <w:r>
        <w:rPr>
          <w:rFonts w:hint="eastAsia" w:ascii="宋体" w:hAnsi="宋体" w:eastAsia="宋体" w:cs="宋体"/>
          <w:color w:val="auto"/>
          <w:sz w:val="24"/>
          <w:u w:val="single"/>
          <w:lang w:eastAsia="zh-Hans"/>
        </w:rPr>
        <w:t>编写</w:t>
      </w:r>
      <w:r>
        <w:rPr>
          <w:rFonts w:hint="eastAsia" w:ascii="宋体" w:hAnsi="宋体" w:eastAsia="宋体" w:cs="宋体"/>
          <w:color w:val="auto"/>
          <w:sz w:val="24"/>
          <w:u w:val="single"/>
        </w:rPr>
        <w:t>响应文件，响应文件应包括“开标一览表及资格证明文件”和“商务及技术文件”两部分。两部分合订成一册，密封递交。供应商应承担封装失误产生的任何后果。</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9.2    上述文件应按照磋商文件规定的格式填写、签署和盖章。</w:t>
      </w:r>
      <w:bookmarkEnd w:id="76"/>
    </w:p>
    <w:p>
      <w:pPr>
        <w:pStyle w:val="2"/>
        <w:tabs>
          <w:tab w:val="left" w:pos="900"/>
        </w:tabs>
        <w:spacing w:before="0" w:after="0" w:line="240" w:lineRule="atLeast"/>
        <w:rPr>
          <w:rFonts w:hint="eastAsia" w:ascii="宋体" w:hAnsi="宋体" w:eastAsia="宋体" w:cs="宋体"/>
          <w:color w:val="auto"/>
          <w:u w:val="none"/>
        </w:rPr>
      </w:pPr>
      <w:bookmarkStart w:id="77" w:name="_Toc516367023"/>
      <w:bookmarkStart w:id="78" w:name="_Toc515647769"/>
      <w:bookmarkStart w:id="79" w:name="_Toc30107"/>
      <w:bookmarkStart w:id="80" w:name="_Toc4601"/>
      <w:bookmarkStart w:id="81" w:name="_Toc10379"/>
      <w:bookmarkStart w:id="82" w:name="_Toc520356153"/>
      <w:bookmarkStart w:id="83" w:name="_Toc5860"/>
      <w:r>
        <w:rPr>
          <w:rFonts w:hint="eastAsia" w:ascii="宋体" w:hAnsi="宋体" w:eastAsia="宋体" w:cs="宋体"/>
          <w:color w:val="auto"/>
          <w:u w:val="none"/>
        </w:rPr>
        <w:t>10.</w:t>
      </w:r>
      <w:r>
        <w:rPr>
          <w:rFonts w:hint="eastAsia" w:ascii="宋体" w:hAnsi="宋体" w:eastAsia="宋体" w:cs="宋体"/>
          <w:color w:val="auto"/>
          <w:u w:val="none"/>
        </w:rPr>
        <w:tab/>
      </w:r>
      <w:r>
        <w:rPr>
          <w:rFonts w:hint="eastAsia" w:ascii="宋体" w:hAnsi="宋体" w:eastAsia="宋体" w:cs="宋体"/>
          <w:color w:val="auto"/>
          <w:u w:val="none"/>
        </w:rPr>
        <w:t>证明磋商标的的合格性和符合磋商文件规定的技术文件</w:t>
      </w:r>
      <w:bookmarkEnd w:id="77"/>
      <w:bookmarkEnd w:id="78"/>
      <w:bookmarkEnd w:id="79"/>
      <w:bookmarkEnd w:id="80"/>
      <w:bookmarkEnd w:id="81"/>
      <w:bookmarkEnd w:id="82"/>
      <w:bookmarkEnd w:id="83"/>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10.1</w:t>
      </w:r>
      <w:r>
        <w:rPr>
          <w:rFonts w:hint="eastAsia" w:ascii="宋体" w:hAnsi="宋体" w:eastAsia="宋体" w:cs="宋体"/>
          <w:color w:val="auto"/>
          <w:sz w:val="24"/>
        </w:rPr>
        <w:tab/>
      </w:r>
      <w:r>
        <w:rPr>
          <w:rFonts w:hint="eastAsia" w:ascii="宋体" w:hAnsi="宋体" w:eastAsia="宋体" w:cs="宋体"/>
          <w:color w:val="auto"/>
          <w:sz w:val="24"/>
        </w:rPr>
        <w:t>供应商应提交证明文件，证明其磋商内容符合磋商文件规定。该证明文件是响应文件的一部分。</w:t>
      </w:r>
    </w:p>
    <w:p>
      <w:pPr>
        <w:spacing w:line="240" w:lineRule="atLeast"/>
        <w:ind w:left="900" w:hanging="900" w:hangingChars="375"/>
        <w:rPr>
          <w:rFonts w:hint="eastAsia" w:ascii="宋体" w:hAnsi="宋体" w:eastAsia="宋体" w:cs="宋体"/>
          <w:color w:val="auto"/>
          <w:sz w:val="24"/>
        </w:rPr>
      </w:pPr>
      <w:bookmarkStart w:id="84" w:name="_Ref467306244"/>
      <w:r>
        <w:rPr>
          <w:rFonts w:hint="eastAsia" w:ascii="宋体" w:hAnsi="宋体" w:eastAsia="宋体" w:cs="宋体"/>
          <w:color w:val="auto"/>
          <w:sz w:val="24"/>
        </w:rPr>
        <w:t>10.2</w:t>
      </w:r>
      <w:r>
        <w:rPr>
          <w:rFonts w:hint="eastAsia" w:ascii="宋体" w:hAnsi="宋体" w:eastAsia="宋体" w:cs="宋体"/>
          <w:color w:val="auto"/>
          <w:sz w:val="24"/>
        </w:rPr>
        <w:tab/>
      </w:r>
      <w:r>
        <w:rPr>
          <w:rFonts w:hint="eastAsia" w:ascii="宋体" w:hAnsi="宋体" w:eastAsia="宋体" w:cs="宋体"/>
          <w:color w:val="auto"/>
          <w:sz w:val="24"/>
        </w:rPr>
        <w:t>上款所述的证明文件，可以是文字资料、图纸和数据，</w:t>
      </w:r>
      <w:bookmarkEnd w:id="84"/>
      <w:r>
        <w:rPr>
          <w:rFonts w:hint="eastAsia" w:ascii="宋体" w:hAnsi="宋体" w:eastAsia="宋体" w:cs="宋体"/>
          <w:color w:val="auto"/>
          <w:sz w:val="24"/>
        </w:rPr>
        <w:t>它包括：</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10.2.1</w:t>
      </w:r>
      <w:r>
        <w:rPr>
          <w:rFonts w:hint="eastAsia" w:ascii="宋体" w:hAnsi="宋体" w:eastAsia="宋体" w:cs="宋体"/>
          <w:color w:val="auto"/>
          <w:sz w:val="24"/>
        </w:rPr>
        <w:tab/>
      </w:r>
      <w:r>
        <w:rPr>
          <w:rFonts w:hint="eastAsia" w:ascii="宋体" w:hAnsi="宋体" w:eastAsia="宋体" w:cs="宋体"/>
          <w:color w:val="auto"/>
          <w:sz w:val="24"/>
          <w:lang w:val="en-US" w:eastAsia="zh-CN"/>
        </w:rPr>
        <w:t>服务需求</w:t>
      </w:r>
      <w:r>
        <w:rPr>
          <w:rFonts w:hint="eastAsia" w:ascii="宋体" w:hAnsi="宋体" w:eastAsia="宋体" w:cs="宋体"/>
          <w:color w:val="auto"/>
          <w:sz w:val="24"/>
        </w:rPr>
        <w:t>的详细说明；</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10.2.2</w:t>
      </w:r>
      <w:r>
        <w:rPr>
          <w:rFonts w:hint="eastAsia" w:ascii="宋体" w:hAnsi="宋体" w:eastAsia="宋体" w:cs="宋体"/>
          <w:color w:val="auto"/>
          <w:sz w:val="24"/>
        </w:rPr>
        <w:tab/>
      </w:r>
      <w:r>
        <w:rPr>
          <w:rFonts w:hint="eastAsia" w:ascii="宋体" w:hAnsi="宋体" w:eastAsia="宋体" w:cs="宋体"/>
          <w:color w:val="auto"/>
          <w:sz w:val="24"/>
          <w:lang w:val="en-US" w:eastAsia="zh-CN"/>
        </w:rPr>
        <w:t>服务</w:t>
      </w:r>
      <w:r>
        <w:rPr>
          <w:rFonts w:hint="eastAsia" w:ascii="宋体" w:hAnsi="宋体" w:eastAsia="宋体" w:cs="宋体"/>
          <w:color w:val="auto"/>
          <w:sz w:val="24"/>
        </w:rPr>
        <w:t>从买方开始使用至磋商文件规定的保质期内正常、连续地使用所必须的备件和专用工具清单，包括备件和专用工具的现行价格；</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10.2.3</w:t>
      </w:r>
      <w:r>
        <w:rPr>
          <w:rFonts w:hint="eastAsia" w:ascii="宋体" w:hAnsi="宋体" w:eastAsia="宋体" w:cs="宋体"/>
          <w:color w:val="auto"/>
          <w:sz w:val="24"/>
        </w:rPr>
        <w:tab/>
      </w:r>
      <w:r>
        <w:rPr>
          <w:rFonts w:hint="eastAsia" w:ascii="宋体" w:hAnsi="宋体" w:eastAsia="宋体" w:cs="宋体"/>
          <w:color w:val="auto"/>
          <w:sz w:val="24"/>
        </w:rPr>
        <w:t>对照磋商文件</w:t>
      </w:r>
      <w:r>
        <w:rPr>
          <w:rFonts w:hint="eastAsia" w:ascii="宋体" w:hAnsi="宋体" w:eastAsia="宋体" w:cs="宋体"/>
          <w:color w:val="auto"/>
          <w:sz w:val="24"/>
          <w:lang w:val="en-US" w:eastAsia="zh-CN"/>
        </w:rPr>
        <w:t>服务需求</w:t>
      </w:r>
      <w:r>
        <w:rPr>
          <w:rFonts w:hint="eastAsia" w:ascii="宋体" w:hAnsi="宋体" w:eastAsia="宋体" w:cs="宋体"/>
          <w:color w:val="auto"/>
          <w:sz w:val="24"/>
        </w:rPr>
        <w:t>，逐条说明所提供工程和</w:t>
      </w:r>
      <w:r>
        <w:rPr>
          <w:rFonts w:hint="eastAsia" w:ascii="宋体" w:hAnsi="宋体" w:eastAsia="宋体" w:cs="宋体"/>
          <w:color w:val="auto"/>
          <w:sz w:val="24"/>
          <w:lang w:val="en-US" w:eastAsia="zh-CN"/>
        </w:rPr>
        <w:t>服务</w:t>
      </w:r>
      <w:r>
        <w:rPr>
          <w:rFonts w:hint="eastAsia" w:ascii="宋体" w:hAnsi="宋体" w:eastAsia="宋体" w:cs="宋体"/>
          <w:color w:val="auto"/>
          <w:sz w:val="24"/>
        </w:rPr>
        <w:t>已对磋商文件的技术规格做出了实质性的响应，或申明与</w:t>
      </w:r>
      <w:r>
        <w:rPr>
          <w:rFonts w:hint="eastAsia" w:ascii="宋体" w:hAnsi="宋体" w:eastAsia="宋体" w:cs="宋体"/>
          <w:color w:val="auto"/>
          <w:sz w:val="24"/>
          <w:lang w:val="en-US" w:eastAsia="zh-CN"/>
        </w:rPr>
        <w:t>服务需求</w:t>
      </w:r>
      <w:r>
        <w:rPr>
          <w:rFonts w:hint="eastAsia" w:ascii="宋体" w:hAnsi="宋体" w:eastAsia="宋体" w:cs="宋体"/>
          <w:color w:val="auto"/>
          <w:sz w:val="24"/>
        </w:rPr>
        <w:t>条文的偏差和例外。</w:t>
      </w:r>
    </w:p>
    <w:p>
      <w:pPr>
        <w:spacing w:line="240" w:lineRule="atLeast"/>
        <w:ind w:left="900" w:hanging="900" w:hangingChars="375"/>
        <w:rPr>
          <w:rFonts w:hint="eastAsia" w:ascii="宋体" w:hAnsi="宋体" w:eastAsia="宋体" w:cs="宋体"/>
          <w:b w:val="0"/>
          <w:bCs w:val="0"/>
          <w:color w:val="auto"/>
          <w:sz w:val="24"/>
        </w:rPr>
      </w:pPr>
      <w:r>
        <w:rPr>
          <w:rFonts w:hint="eastAsia" w:ascii="宋体" w:hAnsi="宋体" w:eastAsia="宋体" w:cs="宋体"/>
          <w:b w:val="0"/>
          <w:bCs w:val="0"/>
          <w:color w:val="auto"/>
          <w:sz w:val="24"/>
        </w:rPr>
        <w:t>10.3</w:t>
      </w:r>
      <w:r>
        <w:rPr>
          <w:rFonts w:hint="eastAsia" w:ascii="宋体" w:hAnsi="宋体" w:eastAsia="宋体" w:cs="宋体"/>
          <w:b w:val="0"/>
          <w:bCs w:val="0"/>
          <w:color w:val="auto"/>
          <w:sz w:val="24"/>
        </w:rPr>
        <w:tab/>
      </w:r>
      <w:r>
        <w:rPr>
          <w:rFonts w:hint="eastAsia" w:ascii="宋体" w:hAnsi="宋体" w:eastAsia="宋体" w:cs="宋体"/>
          <w:b w:val="0"/>
          <w:bCs w:val="0"/>
          <w:color w:val="auto"/>
          <w:sz w:val="24"/>
        </w:rPr>
        <w:t>供应商应注意采购人在</w:t>
      </w:r>
      <w:r>
        <w:rPr>
          <w:rFonts w:hint="eastAsia" w:ascii="宋体" w:hAnsi="宋体" w:eastAsia="宋体" w:cs="宋体"/>
          <w:b w:val="0"/>
          <w:bCs w:val="0"/>
          <w:color w:val="auto"/>
          <w:sz w:val="24"/>
          <w:lang w:val="en-US" w:eastAsia="zh-CN"/>
        </w:rPr>
        <w:t>采购需求中提出的要求</w:t>
      </w:r>
      <w:r>
        <w:rPr>
          <w:rFonts w:hint="eastAsia" w:ascii="宋体" w:hAnsi="宋体" w:eastAsia="宋体" w:cs="宋体"/>
          <w:b w:val="0"/>
          <w:bCs w:val="0"/>
          <w:color w:val="auto"/>
          <w:sz w:val="24"/>
        </w:rPr>
        <w:t>。</w:t>
      </w:r>
    </w:p>
    <w:p>
      <w:pPr>
        <w:pStyle w:val="2"/>
        <w:spacing w:before="0" w:after="0" w:line="240" w:lineRule="atLeast"/>
        <w:rPr>
          <w:rFonts w:hint="eastAsia" w:ascii="宋体" w:hAnsi="宋体" w:eastAsia="宋体" w:cs="宋体"/>
          <w:color w:val="auto"/>
          <w:u w:val="none"/>
        </w:rPr>
      </w:pPr>
      <w:bookmarkStart w:id="85" w:name="_Toc2248"/>
      <w:bookmarkStart w:id="86" w:name="_Toc520356155"/>
      <w:bookmarkStart w:id="87" w:name="_Toc6864"/>
      <w:bookmarkStart w:id="88" w:name="_Toc515647770"/>
      <w:bookmarkStart w:id="89" w:name="_Toc8012"/>
      <w:bookmarkStart w:id="90" w:name="_Toc23231"/>
      <w:r>
        <w:rPr>
          <w:rFonts w:hint="eastAsia" w:ascii="宋体" w:hAnsi="宋体" w:eastAsia="宋体" w:cs="宋体"/>
          <w:color w:val="auto"/>
          <w:u w:val="none"/>
        </w:rPr>
        <w:t>11.磋商报价</w:t>
      </w:r>
      <w:bookmarkEnd w:id="85"/>
      <w:bookmarkEnd w:id="86"/>
      <w:bookmarkEnd w:id="87"/>
      <w:bookmarkEnd w:id="88"/>
      <w:bookmarkEnd w:id="89"/>
      <w:bookmarkEnd w:id="90"/>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11.1</w:t>
      </w:r>
      <w:r>
        <w:rPr>
          <w:rFonts w:hint="eastAsia" w:ascii="宋体" w:hAnsi="宋体" w:eastAsia="宋体" w:cs="宋体"/>
          <w:color w:val="auto"/>
          <w:sz w:val="24"/>
        </w:rPr>
        <w:tab/>
      </w:r>
      <w:r>
        <w:rPr>
          <w:rFonts w:hint="eastAsia" w:ascii="宋体" w:hAnsi="宋体" w:eastAsia="宋体" w:cs="宋体"/>
          <w:color w:val="auto"/>
          <w:sz w:val="24"/>
        </w:rPr>
        <w:t>所有磋商均以人民币报价。供应商的磋商报价应遵守《中华人民共和国价格法》。同时，根据《中华人民共和国政府采购法》第二条的规定，为保证公平竞争，如有</w:t>
      </w:r>
      <w:r>
        <w:rPr>
          <w:rFonts w:hint="eastAsia" w:ascii="宋体" w:hAnsi="宋体" w:eastAsia="宋体" w:cs="宋体"/>
          <w:color w:val="auto"/>
          <w:sz w:val="24"/>
          <w:lang w:val="en-US" w:eastAsia="zh-CN"/>
        </w:rPr>
        <w:t>服务</w:t>
      </w:r>
      <w:r>
        <w:rPr>
          <w:rFonts w:hint="eastAsia" w:ascii="宋体" w:hAnsi="宋体" w:eastAsia="宋体" w:cs="宋体"/>
          <w:color w:val="auto"/>
          <w:sz w:val="24"/>
        </w:rPr>
        <w:t>主体部分的赠与行为，其磋商将被认定为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11.2</w:t>
      </w:r>
      <w:r>
        <w:rPr>
          <w:rFonts w:hint="eastAsia" w:ascii="宋体" w:hAnsi="宋体" w:eastAsia="宋体" w:cs="宋体"/>
          <w:color w:val="auto"/>
          <w:sz w:val="24"/>
        </w:rPr>
        <w:tab/>
      </w:r>
      <w:r>
        <w:rPr>
          <w:rFonts w:hint="eastAsia" w:ascii="宋体" w:hAnsi="宋体" w:eastAsia="宋体" w:cs="宋体"/>
          <w:color w:val="auto"/>
          <w:sz w:val="24"/>
        </w:rPr>
        <w:t>供应商应在磋商分项报价表上标明磋商</w:t>
      </w:r>
      <w:r>
        <w:rPr>
          <w:rFonts w:hint="eastAsia" w:ascii="宋体" w:hAnsi="宋体" w:eastAsia="宋体" w:cs="宋体"/>
          <w:color w:val="auto"/>
          <w:sz w:val="24"/>
          <w:lang w:val="en-US" w:eastAsia="zh-CN"/>
        </w:rPr>
        <w:t>服务内容</w:t>
      </w:r>
      <w:r>
        <w:rPr>
          <w:rFonts w:hint="eastAsia" w:ascii="宋体" w:hAnsi="宋体" w:eastAsia="宋体" w:cs="宋体"/>
          <w:color w:val="auto"/>
          <w:sz w:val="24"/>
        </w:rPr>
        <w:t>及相关</w:t>
      </w:r>
      <w:r>
        <w:rPr>
          <w:rFonts w:hint="eastAsia" w:ascii="宋体" w:hAnsi="宋体" w:eastAsia="宋体" w:cs="宋体"/>
          <w:color w:val="auto"/>
          <w:sz w:val="24"/>
          <w:lang w:val="en-US" w:eastAsia="zh-CN"/>
        </w:rPr>
        <w:t>服务</w:t>
      </w:r>
      <w:r>
        <w:rPr>
          <w:rFonts w:hint="eastAsia" w:ascii="宋体" w:hAnsi="宋体" w:eastAsia="宋体" w:cs="宋体"/>
          <w:color w:val="auto"/>
          <w:sz w:val="24"/>
        </w:rPr>
        <w:t>的单价（如适用）和总价，并由法定代表人或其授权代表签署。</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11.3</w:t>
      </w:r>
      <w:r>
        <w:rPr>
          <w:rFonts w:hint="eastAsia" w:ascii="宋体" w:hAnsi="宋体" w:eastAsia="宋体" w:cs="宋体"/>
          <w:color w:val="auto"/>
          <w:sz w:val="24"/>
        </w:rPr>
        <w:tab/>
      </w:r>
      <w:r>
        <w:rPr>
          <w:rFonts w:hint="eastAsia" w:ascii="宋体" w:hAnsi="宋体" w:eastAsia="宋体" w:cs="宋体"/>
          <w:color w:val="auto"/>
          <w:sz w:val="24"/>
        </w:rPr>
        <w:t>磋商分项报价表上的价格应按下列方式填写：</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11.3.1  磋商</w:t>
      </w:r>
      <w:r>
        <w:rPr>
          <w:rFonts w:hint="eastAsia" w:ascii="宋体" w:hAnsi="宋体" w:eastAsia="宋体" w:cs="宋体"/>
          <w:color w:val="auto"/>
          <w:sz w:val="24"/>
          <w:lang w:val="en-US" w:eastAsia="zh-CN"/>
        </w:rPr>
        <w:t>服务的内容</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11.4</w:t>
      </w:r>
      <w:r>
        <w:rPr>
          <w:rFonts w:hint="eastAsia" w:ascii="宋体" w:hAnsi="宋体" w:eastAsia="宋体" w:cs="宋体"/>
          <w:color w:val="auto"/>
          <w:sz w:val="24"/>
        </w:rPr>
        <w:tab/>
      </w:r>
      <w:r>
        <w:rPr>
          <w:rFonts w:hint="eastAsia" w:ascii="宋体" w:hAnsi="宋体" w:eastAsia="宋体" w:cs="宋体"/>
          <w:color w:val="auto"/>
          <w:sz w:val="24"/>
        </w:rPr>
        <w:t>供应商所报的各分项磋商单价在合同履行过程中是固定不变的，不得以任何理由予以变更。任何包含价格调整要求的磋商，其磋商将被认定为</w:t>
      </w:r>
      <w:r>
        <w:rPr>
          <w:rFonts w:hint="eastAsia" w:ascii="宋体" w:hAnsi="宋体" w:eastAsia="宋体" w:cs="宋体"/>
          <w:b/>
          <w:bCs/>
          <w:color w:val="auto"/>
          <w:sz w:val="24"/>
        </w:rPr>
        <w:t>磋商无效。</w:t>
      </w:r>
    </w:p>
    <w:p>
      <w:pPr>
        <w:spacing w:line="240" w:lineRule="atLeast"/>
        <w:ind w:left="900" w:hanging="900" w:hangingChars="375"/>
        <w:rPr>
          <w:rFonts w:hint="eastAsia" w:ascii="宋体" w:hAnsi="宋体" w:eastAsia="宋体" w:cs="宋体"/>
          <w:b/>
          <w:bCs/>
          <w:color w:val="auto"/>
          <w:sz w:val="24"/>
          <w:lang w:eastAsia="zh-CN"/>
        </w:rPr>
      </w:pPr>
      <w:r>
        <w:rPr>
          <w:rFonts w:hint="eastAsia" w:ascii="宋体" w:hAnsi="宋体" w:eastAsia="宋体" w:cs="宋体"/>
          <w:color w:val="auto"/>
          <w:sz w:val="24"/>
        </w:rPr>
        <w:t>11.5</w:t>
      </w:r>
      <w:r>
        <w:rPr>
          <w:rFonts w:hint="eastAsia" w:ascii="宋体" w:hAnsi="宋体" w:eastAsia="宋体" w:cs="宋体"/>
          <w:color w:val="auto"/>
          <w:sz w:val="24"/>
        </w:rPr>
        <w:tab/>
      </w:r>
      <w:r>
        <w:rPr>
          <w:rFonts w:hint="eastAsia" w:ascii="宋体" w:hAnsi="宋体" w:eastAsia="宋体" w:cs="宋体"/>
          <w:b/>
          <w:bCs/>
          <w:color w:val="auto"/>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宋体" w:hAnsi="宋体" w:eastAsia="宋体" w:cs="宋体"/>
          <w:b/>
          <w:bCs/>
          <w:color w:val="auto"/>
          <w:sz w:val="24"/>
          <w:u w:val="single"/>
          <w:lang w:eastAsia="zh-CN"/>
        </w:rPr>
        <w:t>。</w:t>
      </w:r>
    </w:p>
    <w:p>
      <w:pPr>
        <w:pStyle w:val="2"/>
        <w:spacing w:before="0" w:after="0" w:line="240" w:lineRule="atLeast"/>
        <w:rPr>
          <w:rFonts w:hint="eastAsia" w:ascii="宋体" w:hAnsi="宋体" w:eastAsia="宋体" w:cs="宋体"/>
          <w:color w:val="auto"/>
          <w:u w:val="none"/>
        </w:rPr>
      </w:pPr>
      <w:bookmarkStart w:id="91" w:name="_Toc520356156"/>
      <w:bookmarkStart w:id="92" w:name="_Toc12413"/>
      <w:bookmarkStart w:id="93" w:name="_Ref467306513"/>
      <w:bookmarkStart w:id="94" w:name="_Toc515647771"/>
      <w:bookmarkStart w:id="95" w:name="_Toc17788"/>
      <w:bookmarkStart w:id="96" w:name="_Toc31526"/>
      <w:bookmarkStart w:id="97" w:name="_Toc11514"/>
      <w:r>
        <w:rPr>
          <w:rFonts w:hint="eastAsia" w:ascii="宋体" w:hAnsi="宋体" w:eastAsia="宋体" w:cs="宋体"/>
          <w:color w:val="auto"/>
          <w:u w:val="none"/>
        </w:rPr>
        <w:t>12.磋商保证金</w:t>
      </w:r>
      <w:bookmarkEnd w:id="91"/>
      <w:bookmarkEnd w:id="92"/>
      <w:bookmarkEnd w:id="93"/>
      <w:bookmarkEnd w:id="94"/>
      <w:bookmarkEnd w:id="95"/>
      <w:bookmarkEnd w:id="96"/>
      <w:bookmarkEnd w:id="97"/>
    </w:p>
    <w:p>
      <w:pPr>
        <w:spacing w:line="240" w:lineRule="atLeast"/>
        <w:ind w:left="900" w:hanging="900" w:hangingChars="375"/>
        <w:rPr>
          <w:rFonts w:hint="eastAsia" w:ascii="宋体" w:hAnsi="宋体" w:eastAsia="宋体" w:cs="宋体"/>
          <w:color w:val="auto"/>
          <w:sz w:val="24"/>
        </w:rPr>
      </w:pPr>
      <w:bookmarkStart w:id="98" w:name="_Ref467306302"/>
      <w:r>
        <w:rPr>
          <w:rFonts w:hint="eastAsia" w:ascii="宋体" w:hAnsi="宋体" w:eastAsia="宋体" w:cs="宋体"/>
          <w:color w:val="auto"/>
          <w:sz w:val="24"/>
        </w:rPr>
        <w:t>12.1</w:t>
      </w:r>
      <w:r>
        <w:rPr>
          <w:rFonts w:hint="eastAsia" w:ascii="宋体" w:hAnsi="宋体" w:eastAsia="宋体" w:cs="宋体"/>
          <w:color w:val="auto"/>
          <w:sz w:val="24"/>
        </w:rPr>
        <w:tab/>
      </w:r>
      <w:r>
        <w:rPr>
          <w:rFonts w:hint="eastAsia" w:ascii="宋体" w:hAnsi="宋体" w:eastAsia="宋体" w:cs="宋体"/>
          <w:color w:val="auto"/>
          <w:sz w:val="24"/>
        </w:rPr>
        <w:t>供应商应提交</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中规定的磋商保证金</w:t>
      </w:r>
      <w:bookmarkEnd w:id="98"/>
      <w:r>
        <w:rPr>
          <w:rFonts w:hint="eastAsia" w:ascii="宋体" w:hAnsi="宋体" w:eastAsia="宋体" w:cs="宋体"/>
          <w:color w:val="auto"/>
          <w:sz w:val="24"/>
        </w:rPr>
        <w:t>，并作为其磋商的一部分。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12.2</w:t>
      </w:r>
      <w:r>
        <w:rPr>
          <w:rFonts w:hint="eastAsia" w:ascii="宋体" w:hAnsi="宋体" w:eastAsia="宋体" w:cs="宋体"/>
          <w:color w:val="auto"/>
          <w:sz w:val="24"/>
        </w:rPr>
        <w:tab/>
      </w:r>
      <w:r>
        <w:rPr>
          <w:rFonts w:hint="eastAsia" w:ascii="宋体" w:hAnsi="宋体" w:eastAsia="宋体" w:cs="宋体"/>
          <w:color w:val="auto"/>
          <w:sz w:val="24"/>
        </w:rPr>
        <w:t>供应商存在下列情形的，磋商保证金不予退还：</w:t>
      </w:r>
    </w:p>
    <w:p>
      <w:pPr>
        <w:pStyle w:val="11"/>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（1）在磋商有效期内，撤销磋商的；</w:t>
      </w:r>
    </w:p>
    <w:p>
      <w:pPr>
        <w:pStyle w:val="11"/>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（2）成交后不按本须知第30条的规定与采购人签订合同的；</w:t>
      </w:r>
    </w:p>
    <w:p>
      <w:pPr>
        <w:pStyle w:val="11"/>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（3）成交后不按本须知第31条的规定提交履约保证金的；</w:t>
      </w:r>
    </w:p>
    <w:p>
      <w:pPr>
        <w:pStyle w:val="11"/>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（4）成交后不按本须知第32条的规定缴纳成交</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费的；</w:t>
      </w:r>
    </w:p>
    <w:p>
      <w:pPr>
        <w:pStyle w:val="11"/>
        <w:tabs>
          <w:tab w:val="left" w:pos="2240"/>
        </w:tabs>
        <w:spacing w:line="240" w:lineRule="atLeast"/>
        <w:ind w:left="1079" w:leftChars="371" w:hanging="300" w:hangingChars="125"/>
        <w:rPr>
          <w:rFonts w:hint="eastAsia" w:ascii="宋体" w:hAnsi="宋体" w:eastAsia="宋体" w:cs="宋体"/>
          <w:color w:val="auto"/>
          <w:sz w:val="24"/>
        </w:rPr>
      </w:pPr>
      <w:r>
        <w:rPr>
          <w:rFonts w:hint="eastAsia" w:ascii="宋体" w:hAnsi="宋体" w:eastAsia="宋体" w:cs="宋体"/>
          <w:color w:val="auto"/>
          <w:sz w:val="24"/>
        </w:rPr>
        <w:t>（5）存在其他违法违规行为的。</w:t>
      </w:r>
    </w:p>
    <w:p>
      <w:pPr>
        <w:spacing w:line="240" w:lineRule="atLeast"/>
        <w:ind w:left="900" w:hanging="900" w:hangingChars="375"/>
        <w:rPr>
          <w:rFonts w:hint="eastAsia" w:ascii="宋体" w:hAnsi="宋体" w:eastAsia="宋体" w:cs="宋体"/>
          <w:color w:val="auto"/>
          <w:sz w:val="24"/>
        </w:rPr>
      </w:pPr>
      <w:bookmarkStart w:id="99" w:name="_Ref467306336"/>
      <w:r>
        <w:rPr>
          <w:rFonts w:hint="eastAsia" w:ascii="宋体" w:hAnsi="宋体" w:eastAsia="宋体" w:cs="宋体"/>
          <w:color w:val="auto"/>
          <w:sz w:val="24"/>
        </w:rPr>
        <w:t>12.3</w:t>
      </w:r>
      <w:r>
        <w:rPr>
          <w:rFonts w:hint="eastAsia" w:ascii="宋体" w:hAnsi="宋体" w:eastAsia="宋体" w:cs="宋体"/>
          <w:color w:val="auto"/>
          <w:sz w:val="24"/>
        </w:rPr>
        <w:tab/>
      </w:r>
      <w:bookmarkEnd w:id="99"/>
      <w:r>
        <w:rPr>
          <w:rFonts w:hint="eastAsia" w:ascii="宋体" w:hAnsi="宋体" w:eastAsia="宋体" w:cs="宋体"/>
          <w:color w:val="auto"/>
          <w:sz w:val="24"/>
        </w:rPr>
        <w:t>政府采购信用担保试点范围内的项目，接受符合财政部门规定的政府采购磋商担保函原件。</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12.4</w:t>
      </w:r>
      <w:r>
        <w:rPr>
          <w:rFonts w:hint="eastAsia" w:ascii="宋体" w:hAnsi="宋体" w:eastAsia="宋体" w:cs="宋体"/>
          <w:color w:val="auto"/>
          <w:sz w:val="24"/>
        </w:rPr>
        <w:tab/>
      </w:r>
      <w:r>
        <w:rPr>
          <w:rFonts w:hint="eastAsia" w:ascii="宋体" w:hAnsi="宋体" w:eastAsia="宋体" w:cs="宋体"/>
          <w:color w:val="auto"/>
          <w:sz w:val="24"/>
        </w:rPr>
        <w:t>供应商未按本须知第12.1和12.3条规定提交磋商保证金的，其磋商将被认定为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12.4.1  采用电汇形式的，一般可以实时入账。</w:t>
      </w:r>
    </w:p>
    <w:p>
      <w:pPr>
        <w:spacing w:line="240" w:lineRule="atLeast"/>
        <w:ind w:left="960" w:hanging="960" w:hangingChars="400"/>
        <w:jc w:val="left"/>
        <w:rPr>
          <w:rFonts w:hint="eastAsia" w:ascii="宋体" w:hAnsi="宋体" w:eastAsia="宋体" w:cs="宋体"/>
          <w:color w:val="auto"/>
          <w:sz w:val="24"/>
        </w:rPr>
      </w:pPr>
      <w:r>
        <w:rPr>
          <w:rFonts w:hint="eastAsia" w:ascii="宋体" w:hAnsi="宋体" w:eastAsia="宋体" w:cs="宋体"/>
          <w:color w:val="auto"/>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12.5   联合体磋商的，可以由联合体中的一方或者共同提交磋商保证金。以一方名义提交磋商保证金的，对联合体各方均具有约束力。</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12.6</w:t>
      </w:r>
      <w:r>
        <w:rPr>
          <w:rFonts w:hint="eastAsia" w:ascii="宋体" w:hAnsi="宋体" w:eastAsia="宋体" w:cs="宋体"/>
          <w:color w:val="auto"/>
          <w:sz w:val="24"/>
        </w:rPr>
        <w:tab/>
      </w:r>
      <w:r>
        <w:rPr>
          <w:rFonts w:hint="eastAsia" w:ascii="宋体" w:hAnsi="宋体" w:eastAsia="宋体" w:cs="宋体"/>
          <w:color w:val="auto"/>
          <w:sz w:val="24"/>
        </w:rPr>
        <w:t>磋商保证金的退还</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12.6.1  成交人应在与采购人签订合同之日起5个工作日内，及时联系保证金收受机构办理磋商保证金无息退还手续。</w:t>
      </w:r>
    </w:p>
    <w:p>
      <w:pPr>
        <w:spacing w:line="240" w:lineRule="atLeast"/>
        <w:ind w:left="960" w:hanging="960" w:hangingChars="400"/>
        <w:rPr>
          <w:rFonts w:hint="eastAsia" w:ascii="宋体" w:hAnsi="宋体" w:eastAsia="宋体" w:cs="宋体"/>
          <w:color w:val="auto"/>
          <w:sz w:val="24"/>
        </w:rPr>
      </w:pPr>
      <w:r>
        <w:rPr>
          <w:rFonts w:hint="eastAsia" w:ascii="宋体" w:hAnsi="宋体" w:eastAsia="宋体" w:cs="宋体"/>
          <w:color w:val="auto"/>
          <w:sz w:val="24"/>
        </w:rPr>
        <w:t>12.6.2  未成交供应商的磋商保证金将在成交通知书发出之日暨成交结果公告公布之日起5个工作日内无息退还。供应商应及时联系保证金收受机构办理退还磋商保证金手续。</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12.6.3  政府采购磋商担保函不予退回。</w:t>
      </w:r>
    </w:p>
    <w:p>
      <w:pPr>
        <w:spacing w:line="240" w:lineRule="atLeast"/>
        <w:ind w:left="960" w:hanging="960" w:hangingChars="400"/>
        <w:rPr>
          <w:rFonts w:hint="eastAsia" w:ascii="宋体" w:hAnsi="宋体" w:eastAsia="宋体" w:cs="宋体"/>
          <w:color w:val="auto"/>
          <w:sz w:val="24"/>
        </w:rPr>
      </w:pPr>
      <w:r>
        <w:rPr>
          <w:rFonts w:hint="eastAsia" w:ascii="宋体" w:hAnsi="宋体" w:eastAsia="宋体" w:cs="宋体"/>
          <w:color w:val="auto"/>
          <w:sz w:val="24"/>
        </w:rPr>
        <w:t>12.7    因供应商自身原因导致无法及时退还的，采购人或采购代理机构将不承担相应责任。</w:t>
      </w:r>
    </w:p>
    <w:p>
      <w:pPr>
        <w:pStyle w:val="2"/>
        <w:spacing w:before="0" w:after="0" w:line="240" w:lineRule="atLeast"/>
        <w:rPr>
          <w:rFonts w:hint="eastAsia" w:ascii="宋体" w:hAnsi="宋体" w:eastAsia="宋体" w:cs="宋体"/>
          <w:color w:val="auto"/>
          <w:u w:val="none"/>
        </w:rPr>
      </w:pPr>
      <w:bookmarkStart w:id="100" w:name="_Toc21509"/>
      <w:bookmarkStart w:id="101" w:name="_Toc23590"/>
      <w:bookmarkStart w:id="102" w:name="_Toc15759"/>
      <w:bookmarkStart w:id="103" w:name="_Toc520356157"/>
      <w:bookmarkStart w:id="104" w:name="_Toc32569"/>
      <w:bookmarkStart w:id="105" w:name="_Toc515647772"/>
      <w:r>
        <w:rPr>
          <w:rFonts w:hint="eastAsia" w:ascii="宋体" w:hAnsi="宋体" w:eastAsia="宋体" w:cs="宋体"/>
          <w:color w:val="auto"/>
          <w:u w:val="none"/>
        </w:rPr>
        <w:t>13.磋商有效期</w:t>
      </w:r>
      <w:bookmarkEnd w:id="100"/>
      <w:bookmarkEnd w:id="101"/>
      <w:bookmarkEnd w:id="102"/>
      <w:bookmarkEnd w:id="103"/>
      <w:bookmarkEnd w:id="104"/>
      <w:bookmarkEnd w:id="105"/>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13.1</w:t>
      </w:r>
      <w:r>
        <w:rPr>
          <w:rFonts w:hint="eastAsia" w:ascii="宋体" w:hAnsi="宋体" w:eastAsia="宋体" w:cs="宋体"/>
          <w:color w:val="auto"/>
          <w:sz w:val="24"/>
        </w:rPr>
        <w:tab/>
      </w:r>
      <w:r>
        <w:rPr>
          <w:rFonts w:hint="eastAsia" w:ascii="宋体" w:hAnsi="宋体" w:eastAsia="宋体" w:cs="宋体"/>
          <w:color w:val="auto"/>
          <w:sz w:val="24"/>
        </w:rPr>
        <w:t>磋商应在</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中规定时间内保持有效。磋商有效期不满足要求的磋商，其磋商将被认定为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13.2</w:t>
      </w:r>
      <w:r>
        <w:rPr>
          <w:rFonts w:hint="eastAsia" w:ascii="宋体" w:hAnsi="宋体" w:eastAsia="宋体" w:cs="宋体"/>
          <w:color w:val="auto"/>
          <w:sz w:val="24"/>
        </w:rPr>
        <w:tab/>
      </w:r>
      <w:r>
        <w:rPr>
          <w:rFonts w:hint="eastAsia" w:ascii="宋体" w:hAnsi="宋体" w:eastAsia="宋体" w:cs="宋体"/>
          <w:color w:val="auto"/>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2"/>
        <w:spacing w:before="0" w:after="0" w:line="240" w:lineRule="atLeast"/>
        <w:rPr>
          <w:rFonts w:hint="eastAsia" w:ascii="宋体" w:hAnsi="宋体" w:eastAsia="宋体" w:cs="宋体"/>
          <w:color w:val="auto"/>
          <w:u w:val="none"/>
        </w:rPr>
      </w:pPr>
      <w:bookmarkStart w:id="106" w:name="_Toc520356158"/>
      <w:bookmarkStart w:id="107" w:name="_Toc21022"/>
      <w:bookmarkStart w:id="108" w:name="_Toc24880"/>
      <w:bookmarkStart w:id="109" w:name="_Toc493"/>
      <w:bookmarkStart w:id="110" w:name="_Toc515647773"/>
      <w:bookmarkStart w:id="111" w:name="_Toc17074"/>
      <w:r>
        <w:rPr>
          <w:rFonts w:hint="eastAsia" w:ascii="宋体" w:hAnsi="宋体" w:eastAsia="宋体" w:cs="宋体"/>
          <w:color w:val="auto"/>
          <w:u w:val="none"/>
        </w:rPr>
        <w:t>14.响应文件的签署</w:t>
      </w:r>
      <w:bookmarkEnd w:id="106"/>
      <w:r>
        <w:rPr>
          <w:rFonts w:hint="eastAsia" w:ascii="宋体" w:hAnsi="宋体" w:eastAsia="宋体" w:cs="宋体"/>
          <w:color w:val="auto"/>
          <w:u w:val="none"/>
        </w:rPr>
        <w:t>及规定</w:t>
      </w:r>
      <w:bookmarkEnd w:id="107"/>
      <w:bookmarkEnd w:id="108"/>
      <w:bookmarkEnd w:id="109"/>
      <w:bookmarkEnd w:id="110"/>
      <w:bookmarkEnd w:id="111"/>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14.1</w:t>
      </w:r>
      <w:r>
        <w:rPr>
          <w:rFonts w:hint="eastAsia" w:ascii="宋体" w:hAnsi="宋体" w:eastAsia="宋体" w:cs="宋体"/>
          <w:color w:val="auto"/>
          <w:sz w:val="24"/>
        </w:rPr>
        <w:tab/>
      </w:r>
      <w:r>
        <w:rPr>
          <w:rFonts w:hint="eastAsia" w:ascii="宋体" w:hAnsi="宋体" w:eastAsia="宋体" w:cs="宋体"/>
          <w:color w:val="auto"/>
          <w:sz w:val="24"/>
        </w:rPr>
        <w:t>供应商应按</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中的规定，准备和递交响应文件资格证明文件、商务和技术文件正本、副本和电子文档，每份资格证明文件、商务和技术文件封皮须清楚地标明“正本”或“副本”。若正本和副本不符，以正本为准。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14.2</w:t>
      </w:r>
      <w:r>
        <w:rPr>
          <w:rFonts w:hint="eastAsia" w:ascii="宋体" w:hAnsi="宋体" w:eastAsia="宋体" w:cs="宋体"/>
          <w:color w:val="auto"/>
          <w:sz w:val="24"/>
        </w:rPr>
        <w:tab/>
      </w:r>
      <w:r>
        <w:rPr>
          <w:rFonts w:hint="eastAsia" w:ascii="宋体" w:hAnsi="宋体" w:eastAsia="宋体" w:cs="宋体"/>
          <w:color w:val="auto"/>
          <w:sz w:val="24"/>
        </w:rPr>
        <w:t>响应文件的正本需打印或用不褪色墨水书写，并由供应商的法定代表人或经其正式委托代理人按磋商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14.3    所有响应文件采用不可拆装的胶订方式装订，否则其磋商将被认定为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14.4</w:t>
      </w:r>
      <w:r>
        <w:rPr>
          <w:rFonts w:hint="eastAsia" w:ascii="宋体" w:hAnsi="宋体" w:eastAsia="宋体" w:cs="宋体"/>
          <w:color w:val="auto"/>
          <w:sz w:val="24"/>
        </w:rPr>
        <w:tab/>
      </w:r>
      <w:r>
        <w:rPr>
          <w:rFonts w:hint="eastAsia" w:ascii="宋体" w:hAnsi="宋体" w:eastAsia="宋体" w:cs="宋体"/>
          <w:color w:val="auto"/>
          <w:sz w:val="24"/>
        </w:rPr>
        <w:t>响应文件因字迹潦草、表达不清或装订不当所引起的后果由供应商负责。</w:t>
      </w:r>
    </w:p>
    <w:p>
      <w:pPr>
        <w:pStyle w:val="4"/>
        <w:spacing w:before="0" w:line="240" w:lineRule="atLeast"/>
        <w:ind w:left="1080" w:leftChars="257" w:hanging="540"/>
        <w:rPr>
          <w:rFonts w:hint="eastAsia" w:ascii="宋体" w:hAnsi="宋体" w:eastAsia="宋体" w:cs="宋体"/>
          <w:color w:val="auto"/>
          <w:sz w:val="24"/>
        </w:rPr>
      </w:pPr>
      <w:bookmarkStart w:id="112" w:name="_Toc16865"/>
      <w:bookmarkStart w:id="113" w:name="_Toc8711"/>
      <w:bookmarkStart w:id="114" w:name="_Toc515647774"/>
      <w:bookmarkStart w:id="115" w:name="_Toc11179"/>
      <w:bookmarkStart w:id="116" w:name="_Toc520356159"/>
      <w:bookmarkStart w:id="117" w:name="_Toc216582808"/>
      <w:bookmarkStart w:id="118" w:name="_Toc10257"/>
      <w:r>
        <w:rPr>
          <w:rFonts w:hint="eastAsia" w:ascii="宋体" w:hAnsi="宋体" w:eastAsia="宋体" w:cs="宋体"/>
          <w:color w:val="auto"/>
          <w:sz w:val="24"/>
        </w:rPr>
        <w:t>四   响应文件的递交</w:t>
      </w:r>
      <w:bookmarkEnd w:id="112"/>
      <w:bookmarkEnd w:id="113"/>
      <w:bookmarkEnd w:id="114"/>
      <w:bookmarkEnd w:id="115"/>
      <w:bookmarkEnd w:id="116"/>
      <w:bookmarkEnd w:id="117"/>
      <w:bookmarkEnd w:id="118"/>
    </w:p>
    <w:p>
      <w:pPr>
        <w:pStyle w:val="5"/>
        <w:rPr>
          <w:rFonts w:hint="eastAsia" w:ascii="宋体" w:hAnsi="宋体" w:eastAsia="宋体" w:cs="宋体"/>
          <w:color w:val="auto"/>
        </w:rPr>
      </w:pPr>
    </w:p>
    <w:p>
      <w:pPr>
        <w:pStyle w:val="2"/>
        <w:spacing w:before="0" w:after="0" w:line="240" w:lineRule="atLeast"/>
        <w:rPr>
          <w:rFonts w:hint="eastAsia" w:ascii="宋体" w:hAnsi="宋体" w:eastAsia="宋体" w:cs="宋体"/>
          <w:color w:val="auto"/>
          <w:u w:val="none"/>
        </w:rPr>
      </w:pPr>
      <w:bookmarkStart w:id="119" w:name="_Toc32337"/>
      <w:bookmarkStart w:id="120" w:name="_Toc22380"/>
      <w:bookmarkStart w:id="121" w:name="_Toc515647775"/>
      <w:bookmarkStart w:id="122" w:name="_Toc22150"/>
      <w:bookmarkStart w:id="123" w:name="_Toc21645"/>
      <w:bookmarkStart w:id="124" w:name="_Toc520356160"/>
      <w:r>
        <w:rPr>
          <w:rFonts w:hint="eastAsia" w:ascii="宋体" w:hAnsi="宋体" w:eastAsia="宋体" w:cs="宋体"/>
          <w:color w:val="auto"/>
          <w:u w:val="none"/>
        </w:rPr>
        <w:t>15.响应文件的密封和标记</w:t>
      </w:r>
      <w:bookmarkEnd w:id="119"/>
      <w:bookmarkEnd w:id="120"/>
      <w:bookmarkEnd w:id="121"/>
      <w:bookmarkEnd w:id="122"/>
      <w:bookmarkEnd w:id="123"/>
      <w:bookmarkEnd w:id="124"/>
    </w:p>
    <w:p>
      <w:pPr>
        <w:spacing w:line="240" w:lineRule="atLeas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 xml:space="preserve">15.1  </w:t>
      </w:r>
      <w:r>
        <w:rPr>
          <w:rFonts w:hint="eastAsia" w:ascii="宋体" w:hAnsi="宋体" w:eastAsia="宋体" w:cs="宋体"/>
          <w:color w:val="FF0000"/>
          <w:sz w:val="24"/>
        </w:rPr>
        <w:t xml:space="preserve"> </w:t>
      </w:r>
      <w:r>
        <w:rPr>
          <w:rFonts w:hint="eastAsia" w:ascii="宋体" w:hAnsi="宋体" w:eastAsia="宋体" w:cs="宋体"/>
          <w:color w:val="000000" w:themeColor="text1"/>
          <w:sz w:val="24"/>
          <w14:textFill>
            <w14:solidFill>
              <w14:schemeClr w14:val="tx1"/>
            </w14:solidFill>
          </w14:textFill>
        </w:rPr>
        <w:t>为方便开启及进行资格审查，供应商应将响应文件第一部分和第二部分的内容合并装订成一册，密封提交，并在封皮正面标明“响应文件”字样。</w:t>
      </w:r>
    </w:p>
    <w:p>
      <w:pPr>
        <w:spacing w:line="240" w:lineRule="atLeas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15.2   所有包装封皮和信封上均应：</w:t>
      </w:r>
    </w:p>
    <w:p>
      <w:pPr>
        <w:spacing w:line="240" w:lineRule="atLeast"/>
        <w:ind w:left="898" w:leftChars="399" w:hanging="60" w:hangingChars="2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（1）注明招标公告或磋商邀请书中指明的项目名称、</w:t>
      </w:r>
      <w:r>
        <w:rPr>
          <w:rFonts w:hint="eastAsia" w:ascii="宋体" w:hAnsi="宋体" w:eastAsia="宋体" w:cs="宋体"/>
          <w:color w:val="000000" w:themeColor="text1"/>
          <w:sz w:val="24"/>
          <w:lang w:eastAsia="zh-CN"/>
          <w14:textFill>
            <w14:solidFill>
              <w14:schemeClr w14:val="tx1"/>
            </w14:solidFill>
          </w14:textFill>
        </w:rPr>
        <w:t>项目编号</w:t>
      </w:r>
      <w:r>
        <w:rPr>
          <w:rFonts w:hint="eastAsia" w:ascii="宋体" w:hAnsi="宋体" w:eastAsia="宋体" w:cs="宋体"/>
          <w:color w:val="000000" w:themeColor="text1"/>
          <w:sz w:val="24"/>
          <w14:textFill>
            <w14:solidFill>
              <w14:schemeClr w14:val="tx1"/>
            </w14:solidFill>
          </w14:textFill>
        </w:rPr>
        <w:t>、供应商名称和“在（开标时间）之前不得启封”的字样。</w:t>
      </w:r>
    </w:p>
    <w:p>
      <w:pPr>
        <w:spacing w:line="240" w:lineRule="atLeast"/>
        <w:ind w:left="898" w:leftChars="399" w:hanging="60" w:hangingChars="2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（2）在封口处加盖供应商单位公章或法人签/章。</w:t>
      </w:r>
    </w:p>
    <w:p>
      <w:pPr>
        <w:spacing w:line="240" w:lineRule="atLeast"/>
        <w:ind w:left="900" w:hanging="900" w:hangingChars="37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    如果供应商未按上述要求密封的，将被拒绝接收。</w:t>
      </w:r>
    </w:p>
    <w:p>
      <w:pPr>
        <w:spacing w:line="240" w:lineRule="atLeast"/>
        <w:ind w:left="900" w:hanging="900" w:hangingChars="375"/>
        <w:rPr>
          <w:rFonts w:hint="eastAsia" w:ascii="宋体" w:hAnsi="宋体" w:eastAsia="宋体" w:cs="宋体"/>
          <w:color w:val="auto"/>
          <w:sz w:val="24"/>
          <w:u w:val="single"/>
        </w:rPr>
      </w:pPr>
      <w:r>
        <w:rPr>
          <w:rFonts w:hint="eastAsia" w:ascii="宋体" w:hAnsi="宋体" w:eastAsia="宋体" w:cs="宋体"/>
          <w:color w:val="auto"/>
          <w:sz w:val="24"/>
        </w:rPr>
        <w:t xml:space="preserve">15.4   </w:t>
      </w:r>
      <w:r>
        <w:rPr>
          <w:rFonts w:hint="eastAsia" w:ascii="宋体" w:hAnsi="宋体" w:eastAsia="宋体" w:cs="宋体"/>
          <w:b/>
          <w:color w:val="auto"/>
          <w:sz w:val="24"/>
        </w:rPr>
        <w:t xml:space="preserve"> </w:t>
      </w:r>
      <w:r>
        <w:rPr>
          <w:rFonts w:hint="eastAsia" w:ascii="宋体" w:hAnsi="宋体" w:eastAsia="宋体" w:cs="宋体"/>
          <w:color w:val="auto"/>
          <w:sz w:val="24"/>
          <w:u w:val="single"/>
        </w:rPr>
        <w:t>资格证明文件密封装订在其他响应文件中，其磋商将被认定为</w:t>
      </w:r>
      <w:r>
        <w:rPr>
          <w:rFonts w:hint="eastAsia" w:ascii="宋体" w:hAnsi="宋体" w:eastAsia="宋体" w:cs="宋体"/>
          <w:bCs/>
          <w:color w:val="auto"/>
          <w:sz w:val="24"/>
          <w:u w:val="single"/>
        </w:rPr>
        <w:t>磋商无效</w:t>
      </w:r>
      <w:r>
        <w:rPr>
          <w:rFonts w:hint="eastAsia" w:ascii="宋体" w:hAnsi="宋体" w:eastAsia="宋体" w:cs="宋体"/>
          <w:color w:val="auto"/>
          <w:sz w:val="24"/>
          <w:u w:val="single"/>
        </w:rPr>
        <w:t>。</w:t>
      </w:r>
    </w:p>
    <w:p>
      <w:pPr>
        <w:pStyle w:val="2"/>
        <w:spacing w:before="0" w:after="0" w:line="240" w:lineRule="atLeast"/>
        <w:rPr>
          <w:rFonts w:hint="eastAsia" w:ascii="宋体" w:hAnsi="宋体" w:eastAsia="宋体" w:cs="宋体"/>
          <w:color w:val="auto"/>
          <w:u w:val="none"/>
        </w:rPr>
      </w:pPr>
      <w:bookmarkStart w:id="125" w:name="_Toc31921"/>
      <w:bookmarkStart w:id="126" w:name="_Toc9840"/>
      <w:bookmarkStart w:id="127" w:name="_Toc14512"/>
      <w:bookmarkStart w:id="128" w:name="_Toc515647776"/>
      <w:bookmarkStart w:id="129" w:name="_Toc12751"/>
      <w:bookmarkStart w:id="130" w:name="_Toc520356161"/>
      <w:r>
        <w:rPr>
          <w:rFonts w:hint="eastAsia" w:ascii="宋体" w:hAnsi="宋体" w:eastAsia="宋体" w:cs="宋体"/>
          <w:color w:val="auto"/>
          <w:u w:val="none"/>
        </w:rPr>
        <w:t>16.磋商截止</w:t>
      </w:r>
      <w:bookmarkEnd w:id="125"/>
      <w:bookmarkEnd w:id="126"/>
      <w:bookmarkEnd w:id="127"/>
      <w:bookmarkEnd w:id="128"/>
      <w:bookmarkEnd w:id="129"/>
      <w:bookmarkEnd w:id="130"/>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16.1</w:t>
      </w:r>
      <w:r>
        <w:rPr>
          <w:rFonts w:hint="eastAsia" w:ascii="宋体" w:hAnsi="宋体" w:eastAsia="宋体" w:cs="宋体"/>
          <w:color w:val="auto"/>
          <w:sz w:val="24"/>
        </w:rPr>
        <w:tab/>
      </w:r>
      <w:r>
        <w:rPr>
          <w:rFonts w:hint="eastAsia" w:ascii="宋体" w:hAnsi="宋体" w:eastAsia="宋体" w:cs="宋体"/>
          <w:color w:val="auto"/>
          <w:sz w:val="24"/>
        </w:rPr>
        <w:t>供应商应在</w:t>
      </w:r>
      <w:r>
        <w:rPr>
          <w:rFonts w:hint="eastAsia" w:ascii="宋体" w:hAnsi="宋体" w:eastAsia="宋体" w:cs="宋体"/>
          <w:color w:val="auto"/>
          <w:sz w:val="24"/>
          <w:u w:val="single"/>
        </w:rPr>
        <w:t>供应商须知资料表中</w:t>
      </w:r>
      <w:r>
        <w:rPr>
          <w:rFonts w:hint="eastAsia" w:ascii="宋体" w:hAnsi="宋体" w:eastAsia="宋体" w:cs="宋体"/>
          <w:color w:val="auto"/>
          <w:sz w:val="24"/>
        </w:rPr>
        <w:t>规定的截止时间前，将响应文件递交到招标公告中规定的地点。</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16.2</w:t>
      </w:r>
      <w:r>
        <w:rPr>
          <w:rFonts w:hint="eastAsia" w:ascii="宋体" w:hAnsi="宋体" w:eastAsia="宋体" w:cs="宋体"/>
          <w:color w:val="auto"/>
          <w:sz w:val="24"/>
        </w:rPr>
        <w:tab/>
      </w:r>
      <w:r>
        <w:rPr>
          <w:rFonts w:hint="eastAsia" w:ascii="宋体" w:hAnsi="宋体" w:eastAsia="宋体" w:cs="宋体"/>
          <w:color w:val="auto"/>
          <w:sz w:val="24"/>
        </w:rPr>
        <w:t>采购人和采购代理机构有权按本须知的规定，延迟磋商截止时间。在此情况下，采购人、采购代理机构和供应商受磋商截止时间制约的所有权利和义务均应延长至新的截止时间。</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16.3</w:t>
      </w:r>
      <w:r>
        <w:rPr>
          <w:rFonts w:hint="eastAsia" w:ascii="宋体" w:hAnsi="宋体" w:eastAsia="宋体" w:cs="宋体"/>
          <w:color w:val="auto"/>
          <w:sz w:val="24"/>
        </w:rPr>
        <w:tab/>
      </w:r>
      <w:r>
        <w:rPr>
          <w:rFonts w:hint="eastAsia" w:ascii="宋体" w:hAnsi="宋体" w:eastAsia="宋体" w:cs="宋体"/>
          <w:color w:val="auto"/>
          <w:sz w:val="24"/>
        </w:rPr>
        <w:t>采购人和采购代理机构将拒绝接收在磋商截止时间后送达的响应文件。</w:t>
      </w:r>
    </w:p>
    <w:p>
      <w:pPr>
        <w:pStyle w:val="2"/>
        <w:spacing w:before="0" w:after="0" w:line="240" w:lineRule="atLeast"/>
        <w:rPr>
          <w:rFonts w:hint="eastAsia" w:ascii="宋体" w:hAnsi="宋体" w:eastAsia="宋体" w:cs="宋体"/>
          <w:color w:val="auto"/>
          <w:u w:val="none"/>
        </w:rPr>
      </w:pPr>
      <w:bookmarkStart w:id="131" w:name="_Toc3653"/>
      <w:bookmarkStart w:id="132" w:name="_Toc29943"/>
      <w:bookmarkStart w:id="133" w:name="_Toc515647777"/>
      <w:bookmarkStart w:id="134" w:name="_Toc24275"/>
      <w:bookmarkStart w:id="135" w:name="_Toc520356162"/>
      <w:bookmarkStart w:id="136" w:name="_Toc18537"/>
      <w:r>
        <w:rPr>
          <w:rFonts w:hint="eastAsia" w:ascii="宋体" w:hAnsi="宋体" w:eastAsia="宋体" w:cs="宋体"/>
          <w:color w:val="auto"/>
          <w:u w:val="none"/>
        </w:rPr>
        <w:t>17.响应文件的接收、修改与撤回</w:t>
      </w:r>
      <w:bookmarkEnd w:id="131"/>
      <w:bookmarkEnd w:id="132"/>
      <w:bookmarkEnd w:id="133"/>
      <w:bookmarkEnd w:id="134"/>
      <w:bookmarkEnd w:id="135"/>
      <w:bookmarkEnd w:id="136"/>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17.1</w:t>
      </w:r>
      <w:r>
        <w:rPr>
          <w:rFonts w:hint="eastAsia" w:ascii="宋体" w:hAnsi="宋体" w:eastAsia="宋体" w:cs="宋体"/>
          <w:color w:val="auto"/>
          <w:sz w:val="24"/>
        </w:rPr>
        <w:tab/>
      </w:r>
      <w:r>
        <w:rPr>
          <w:rFonts w:hint="eastAsia" w:ascii="宋体" w:hAnsi="宋体" w:eastAsia="宋体" w:cs="宋体"/>
          <w:color w:val="auto"/>
          <w:sz w:val="24"/>
        </w:rPr>
        <w:t>在磋商截止时间后送达的响应文件的，采购人和采购代理机构将拒绝接收。</w:t>
      </w:r>
    </w:p>
    <w:p>
      <w:pPr>
        <w:pStyle w:val="16"/>
        <w:rPr>
          <w:rFonts w:hint="eastAsia" w:ascii="宋体" w:hAnsi="宋体" w:eastAsia="宋体" w:cs="宋体"/>
        </w:rPr>
      </w:pP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17.2</w:t>
      </w:r>
      <w:r>
        <w:rPr>
          <w:rFonts w:hint="eastAsia" w:ascii="宋体" w:hAnsi="宋体" w:eastAsia="宋体" w:cs="宋体"/>
          <w:color w:val="auto"/>
          <w:sz w:val="24"/>
        </w:rPr>
        <w:tab/>
      </w:r>
      <w:r>
        <w:rPr>
          <w:rFonts w:hint="eastAsia" w:ascii="宋体" w:hAnsi="宋体" w:eastAsia="宋体" w:cs="宋体"/>
          <w:color w:val="auto"/>
          <w:sz w:val="24"/>
        </w:rPr>
        <w:t>采购人或者采购代理机构收到响应文件后，应当如实记载响应文件的送达时间和密封情况，并向供应商出具以下签收回执。</w:t>
      </w:r>
    </w:p>
    <w:p>
      <w:pPr>
        <w:spacing w:line="240" w:lineRule="atLeast"/>
        <w:ind w:left="900" w:hanging="900" w:hangingChars="375"/>
        <w:rPr>
          <w:rFonts w:hint="eastAsia" w:ascii="宋体" w:hAnsi="宋体" w:eastAsia="宋体" w:cs="宋体"/>
          <w:color w:val="auto"/>
          <w:sz w:val="24"/>
        </w:rPr>
      </w:pPr>
    </w:p>
    <w:tbl>
      <w:tblPr>
        <w:tblStyle w:val="21"/>
        <w:tblW w:w="7087" w:type="dxa"/>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vAlign w:val="center"/>
          </w:tcPr>
          <w:p>
            <w:pPr>
              <w:widowControl/>
              <w:jc w:val="center"/>
              <w:rPr>
                <w:rFonts w:hint="eastAsia" w:ascii="宋体" w:hAnsi="宋体" w:eastAsia="宋体" w:cs="宋体"/>
                <w:color w:val="auto"/>
                <w:szCs w:val="21"/>
              </w:rPr>
            </w:pPr>
          </w:p>
          <w:p>
            <w:pPr>
              <w:widowControl/>
              <w:jc w:val="center"/>
              <w:rPr>
                <w:rFonts w:hint="eastAsia" w:ascii="宋体" w:hAnsi="宋体" w:eastAsia="宋体" w:cs="宋体"/>
                <w:color w:val="auto"/>
                <w:szCs w:val="21"/>
              </w:rPr>
            </w:pPr>
          </w:p>
          <w:p>
            <w:pPr>
              <w:widowControl/>
              <w:jc w:val="center"/>
              <w:rPr>
                <w:rFonts w:hint="eastAsia" w:ascii="宋体" w:hAnsi="宋体" w:eastAsia="宋体" w:cs="宋体"/>
                <w:color w:val="auto"/>
                <w:szCs w:val="21"/>
              </w:rPr>
            </w:pPr>
          </w:p>
          <w:p>
            <w:pPr>
              <w:widowControl/>
              <w:jc w:val="center"/>
              <w:rPr>
                <w:rFonts w:hint="eastAsia" w:ascii="宋体" w:hAnsi="宋体" w:eastAsia="宋体" w:cs="宋体"/>
                <w:color w:val="auto"/>
                <w:szCs w:val="21"/>
              </w:rPr>
            </w:pPr>
          </w:p>
          <w:p>
            <w:pPr>
              <w:widowControl/>
              <w:jc w:val="center"/>
              <w:rPr>
                <w:rFonts w:hint="eastAsia" w:ascii="宋体" w:hAnsi="宋体" w:eastAsia="宋体" w:cs="宋体"/>
                <w:color w:val="auto"/>
                <w:szCs w:val="21"/>
              </w:rPr>
            </w:pPr>
          </w:p>
          <w:p>
            <w:pPr>
              <w:widowControl/>
              <w:jc w:val="center"/>
              <w:rPr>
                <w:rFonts w:hint="eastAsia" w:ascii="宋体" w:hAnsi="宋体" w:eastAsia="宋体" w:cs="宋体"/>
                <w:color w:val="auto"/>
                <w:szCs w:val="21"/>
              </w:rPr>
            </w:pPr>
            <w:r>
              <w:rPr>
                <w:rFonts w:hint="eastAsia" w:ascii="宋体" w:hAnsi="宋体" w:eastAsia="宋体" w:cs="宋体"/>
                <w:color w:val="auto"/>
                <w:szCs w:val="21"/>
              </w:rPr>
              <w:t xml:space="preserve">接收响应文件回执单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项目编号</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项目名称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供应商名称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r>
        <w:trPr>
          <w:trHeight w:val="29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递交时间</w:t>
            </w:r>
          </w:p>
        </w:tc>
        <w:tc>
          <w:tcPr>
            <w:tcW w:w="193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sz w:val="18"/>
                <w:szCs w:val="18"/>
              </w:rPr>
            </w:pPr>
            <w:r>
              <w:rPr>
                <w:rFonts w:hint="eastAsia" w:ascii="宋体" w:hAnsi="宋体" w:eastAsia="宋体" w:cs="宋体"/>
                <w:color w:val="auto"/>
                <w:sz w:val="18"/>
                <w:szCs w:val="1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响应文件密封情况</w:t>
            </w:r>
          </w:p>
        </w:tc>
        <w:tc>
          <w:tcPr>
            <w:tcW w:w="155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r>
        <w:trPr>
          <w:trHeight w:val="27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接收单位</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p>
        </w:tc>
      </w:tr>
      <w:tr>
        <w:trPr>
          <w:trHeight w:val="26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接收人签字：</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auto"/>
                <w:sz w:val="18"/>
                <w:szCs w:val="18"/>
              </w:rPr>
            </w:pPr>
            <w:r>
              <w:rPr>
                <w:rFonts w:hint="eastAsia" w:ascii="宋体" w:hAnsi="宋体" w:eastAsia="宋体" w:cs="宋体"/>
                <w:color w:val="auto"/>
                <w:sz w:val="18"/>
                <w:szCs w:val="18"/>
              </w:rPr>
              <w:t>　</w:t>
            </w:r>
          </w:p>
        </w:tc>
      </w:tr>
    </w:tbl>
    <w:p>
      <w:pPr>
        <w:spacing w:line="240" w:lineRule="atLeast"/>
        <w:rPr>
          <w:rFonts w:hint="eastAsia" w:ascii="宋体" w:hAnsi="宋体" w:eastAsia="宋体" w:cs="宋体"/>
          <w:color w:val="auto"/>
          <w:sz w:val="18"/>
          <w:szCs w:val="18"/>
        </w:rPr>
      </w:pPr>
    </w:p>
    <w:p>
      <w:pPr>
        <w:spacing w:line="240" w:lineRule="atLeast"/>
        <w:ind w:left="840" w:hanging="840" w:hangingChars="350"/>
        <w:rPr>
          <w:rFonts w:hint="eastAsia" w:ascii="宋体" w:hAnsi="宋体" w:eastAsia="宋体" w:cs="宋体"/>
          <w:color w:val="auto"/>
          <w:sz w:val="24"/>
        </w:rPr>
      </w:pPr>
      <w:r>
        <w:rPr>
          <w:rFonts w:hint="eastAsia" w:ascii="宋体" w:hAnsi="宋体" w:eastAsia="宋体" w:cs="宋体"/>
          <w:color w:val="auto"/>
          <w:sz w:val="24"/>
        </w:rPr>
        <w:t>17.3</w:t>
      </w:r>
      <w:r>
        <w:rPr>
          <w:rFonts w:hint="eastAsia" w:ascii="宋体" w:hAnsi="宋体" w:eastAsia="宋体" w:cs="宋体"/>
          <w:color w:val="auto"/>
          <w:sz w:val="24"/>
        </w:rPr>
        <w:tab/>
      </w:r>
      <w:r>
        <w:rPr>
          <w:rFonts w:hint="eastAsia" w:ascii="宋体" w:hAnsi="宋体" w:eastAsia="宋体" w:cs="宋体"/>
          <w:color w:val="auto"/>
          <w:sz w:val="24"/>
        </w:rPr>
        <w:t>递交响应文件以后，如果供应商要进行修改或撤回磋商，须提出书面申请并在磋商截止时间前送达开标地点，供应商对响应文件的修改或撤回通知应按本须知规定编制、密封、标记。</w:t>
      </w:r>
    </w:p>
    <w:p>
      <w:pPr>
        <w:spacing w:line="240" w:lineRule="atLeast"/>
        <w:ind w:left="735" w:leftChars="350" w:firstLine="120" w:firstLineChars="50"/>
        <w:rPr>
          <w:rFonts w:hint="eastAsia" w:ascii="宋体" w:hAnsi="宋体" w:eastAsia="宋体" w:cs="宋体"/>
          <w:color w:val="auto"/>
          <w:sz w:val="24"/>
        </w:rPr>
      </w:pPr>
      <w:r>
        <w:rPr>
          <w:rFonts w:hint="eastAsia" w:ascii="宋体" w:hAnsi="宋体" w:eastAsia="宋体" w:cs="宋体"/>
          <w:color w:val="auto"/>
          <w:sz w:val="24"/>
        </w:rPr>
        <w:t>采购人和采购代理机构将予以接收，并视为响应文件的组成部分。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17.4</w:t>
      </w:r>
      <w:r>
        <w:rPr>
          <w:rFonts w:hint="eastAsia" w:ascii="宋体" w:hAnsi="宋体" w:eastAsia="宋体" w:cs="宋体"/>
          <w:color w:val="auto"/>
          <w:sz w:val="24"/>
        </w:rPr>
        <w:tab/>
      </w:r>
      <w:r>
        <w:rPr>
          <w:rFonts w:hint="eastAsia" w:ascii="宋体" w:hAnsi="宋体" w:eastAsia="宋体" w:cs="宋体"/>
          <w:color w:val="auto"/>
          <w:sz w:val="24"/>
        </w:rPr>
        <w:t>在磋商截止期之后，采购人和采购代理机构不接受供应商主动对其响应文件做任何修改。</w:t>
      </w:r>
    </w:p>
    <w:p>
      <w:pPr>
        <w:spacing w:line="240" w:lineRule="atLeast"/>
        <w:ind w:left="900" w:hanging="900" w:hangingChars="375"/>
        <w:rPr>
          <w:rFonts w:hint="eastAsia" w:ascii="宋体" w:hAnsi="宋体" w:eastAsia="宋体" w:cs="宋体"/>
          <w:color w:val="auto"/>
        </w:rPr>
      </w:pPr>
      <w:r>
        <w:rPr>
          <w:rFonts w:hint="eastAsia" w:ascii="宋体" w:hAnsi="宋体" w:eastAsia="宋体" w:cs="宋体"/>
          <w:color w:val="auto"/>
          <w:sz w:val="24"/>
        </w:rPr>
        <w:t>17.5</w:t>
      </w:r>
      <w:r>
        <w:rPr>
          <w:rFonts w:hint="eastAsia" w:ascii="宋体" w:hAnsi="宋体" w:eastAsia="宋体" w:cs="宋体"/>
          <w:color w:val="auto"/>
          <w:sz w:val="24"/>
        </w:rPr>
        <w:tab/>
      </w:r>
      <w:r>
        <w:rPr>
          <w:rFonts w:hint="eastAsia" w:ascii="宋体" w:hAnsi="宋体" w:eastAsia="宋体" w:cs="宋体"/>
          <w:color w:val="auto"/>
          <w:sz w:val="24"/>
        </w:rPr>
        <w:t>采购人和采购代理机构对所接收响应文件概不退回。</w:t>
      </w:r>
    </w:p>
    <w:p>
      <w:pPr>
        <w:pStyle w:val="4"/>
        <w:spacing w:before="0" w:line="240" w:lineRule="atLeast"/>
        <w:ind w:left="1080" w:leftChars="257" w:hanging="540"/>
        <w:outlineLvl w:val="9"/>
        <w:rPr>
          <w:rFonts w:hint="eastAsia" w:ascii="宋体" w:hAnsi="宋体" w:eastAsia="宋体" w:cs="宋体"/>
          <w:color w:val="auto"/>
          <w:sz w:val="24"/>
        </w:rPr>
      </w:pPr>
      <w:bookmarkStart w:id="137" w:name="_Toc27283"/>
      <w:bookmarkStart w:id="138" w:name="_Toc520356163"/>
      <w:bookmarkStart w:id="139" w:name="_Toc515647778"/>
      <w:bookmarkStart w:id="140" w:name="_Toc216582809"/>
      <w:bookmarkStart w:id="141" w:name="_Toc2874"/>
      <w:bookmarkStart w:id="142" w:name="_Toc28398"/>
      <w:bookmarkStart w:id="143" w:name="_Toc12436"/>
    </w:p>
    <w:p>
      <w:pPr>
        <w:pStyle w:val="4"/>
        <w:spacing w:before="0" w:line="240" w:lineRule="atLeast"/>
        <w:ind w:left="1080" w:leftChars="257" w:hanging="540"/>
        <w:rPr>
          <w:rFonts w:hint="eastAsia" w:ascii="宋体" w:hAnsi="宋体" w:eastAsia="宋体" w:cs="宋体"/>
          <w:color w:val="auto"/>
          <w:sz w:val="24"/>
        </w:rPr>
      </w:pPr>
      <w:r>
        <w:rPr>
          <w:rFonts w:hint="eastAsia" w:ascii="宋体" w:hAnsi="宋体" w:eastAsia="宋体" w:cs="宋体"/>
          <w:color w:val="auto"/>
          <w:sz w:val="24"/>
        </w:rPr>
        <w:t>五   开标及评标</w:t>
      </w:r>
      <w:bookmarkEnd w:id="137"/>
      <w:bookmarkEnd w:id="138"/>
      <w:bookmarkEnd w:id="139"/>
      <w:bookmarkEnd w:id="140"/>
      <w:bookmarkEnd w:id="141"/>
      <w:bookmarkEnd w:id="142"/>
      <w:bookmarkEnd w:id="143"/>
    </w:p>
    <w:p>
      <w:pPr>
        <w:pStyle w:val="2"/>
        <w:numPr>
          <w:ilvl w:val="0"/>
          <w:numId w:val="3"/>
        </w:numPr>
        <w:spacing w:line="240" w:lineRule="atLeast"/>
        <w:rPr>
          <w:rFonts w:hint="eastAsia" w:ascii="宋体" w:hAnsi="宋体" w:eastAsia="宋体" w:cs="宋体"/>
          <w:color w:val="auto"/>
        </w:rPr>
      </w:pPr>
      <w:bookmarkStart w:id="144" w:name="_Toc27235"/>
      <w:bookmarkStart w:id="145" w:name="_Toc520356164"/>
      <w:bookmarkStart w:id="146" w:name="_Toc7186"/>
      <w:bookmarkStart w:id="147" w:name="_Toc515647779"/>
      <w:bookmarkStart w:id="148" w:name="_Toc25345"/>
      <w:bookmarkStart w:id="149" w:name="_Toc1390"/>
      <w:r>
        <w:rPr>
          <w:rFonts w:hint="eastAsia" w:ascii="宋体" w:hAnsi="宋体" w:eastAsia="宋体" w:cs="宋体"/>
          <w:color w:val="auto"/>
          <w:u w:val="none"/>
        </w:rPr>
        <w:t>开标</w:t>
      </w:r>
      <w:bookmarkEnd w:id="144"/>
      <w:bookmarkEnd w:id="145"/>
      <w:bookmarkEnd w:id="146"/>
      <w:bookmarkEnd w:id="147"/>
      <w:bookmarkEnd w:id="148"/>
      <w:bookmarkEnd w:id="149"/>
    </w:p>
    <w:p>
      <w:pPr>
        <w:numPr>
          <w:ilvl w:val="1"/>
          <w:numId w:val="3"/>
        </w:num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采购人和采购代理机构将按</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中规定的开标时间和地点组织公开开标并邀请所有供应商代表参加。</w:t>
      </w:r>
    </w:p>
    <w:p>
      <w:pPr>
        <w:spacing w:line="400" w:lineRule="exact"/>
        <w:ind w:left="735" w:leftChars="350" w:firstLine="120" w:firstLineChars="50"/>
        <w:rPr>
          <w:rFonts w:hint="eastAsia" w:ascii="宋体" w:hAnsi="宋体" w:eastAsia="宋体" w:cs="宋体"/>
          <w:color w:val="auto"/>
          <w:sz w:val="24"/>
        </w:rPr>
      </w:pPr>
      <w:r>
        <w:rPr>
          <w:rFonts w:hint="eastAsia" w:ascii="宋体" w:hAnsi="宋体" w:eastAsia="宋体" w:cs="宋体"/>
          <w:color w:val="auto"/>
          <w:sz w:val="24"/>
        </w:rPr>
        <w:t>供应商不足3家的，不得开标。</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18.2   开标时，由供应商或其推选的代表检查自己或所代表的响应文件的密封情况，经记录后，由采购人或采购代理机构当众拆封响应文件第一部分，宣读供应商名称、磋商价格及磋商文件规定的内容。对于供应商在磋商截止期前递交的磋商声明，在开标时当众宣读，评标时有效。</w:t>
      </w:r>
    </w:p>
    <w:p>
      <w:pPr>
        <w:spacing w:line="400" w:lineRule="exact"/>
        <w:ind w:left="1079" w:leftChars="428" w:hanging="180" w:hangingChars="75"/>
        <w:rPr>
          <w:rFonts w:hint="eastAsia" w:ascii="宋体" w:hAnsi="宋体" w:eastAsia="宋体" w:cs="宋体"/>
          <w:color w:val="auto"/>
          <w:sz w:val="24"/>
        </w:rPr>
      </w:pPr>
      <w:r>
        <w:rPr>
          <w:rFonts w:hint="eastAsia" w:ascii="宋体" w:hAnsi="宋体" w:eastAsia="宋体" w:cs="宋体"/>
          <w:color w:val="auto"/>
          <w:sz w:val="24"/>
        </w:rPr>
        <w:t>未宣读磋商价格、价格折扣等实质内容，评标时不予承认。</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18.3    采购人或采购代理机构将对开标过程进行记录</w:t>
      </w:r>
      <w:bookmarkStart w:id="150" w:name="_Toc520356165"/>
      <w:r>
        <w:rPr>
          <w:rFonts w:hint="eastAsia" w:ascii="宋体" w:hAnsi="宋体" w:eastAsia="宋体" w:cs="宋体"/>
          <w:color w:val="auto"/>
          <w:sz w:val="24"/>
        </w:rPr>
        <w:t>，由参加开标的各供应商代表和相关工作人员签字确认，并存档备查。</w:t>
      </w:r>
    </w:p>
    <w:p>
      <w:pPr>
        <w:spacing w:line="4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18.4    供应商代表对开标过程和开标记录有疑义，以及认为采购人、采购代理机构相关工作人员有需要回避的情形的，应当场提出询问或者回避申请。</w:t>
      </w:r>
    </w:p>
    <w:p>
      <w:pPr>
        <w:pStyle w:val="2"/>
        <w:spacing w:before="0" w:after="0" w:line="400" w:lineRule="exact"/>
        <w:rPr>
          <w:rFonts w:hint="eastAsia" w:ascii="宋体" w:hAnsi="宋体" w:eastAsia="宋体" w:cs="宋体"/>
          <w:color w:val="auto"/>
          <w:u w:val="none"/>
        </w:rPr>
      </w:pPr>
      <w:bookmarkStart w:id="151" w:name="_Toc21372"/>
      <w:bookmarkStart w:id="152" w:name="_Toc5428"/>
      <w:bookmarkStart w:id="153" w:name="_Toc515647780"/>
      <w:bookmarkStart w:id="154" w:name="_Toc19296"/>
      <w:bookmarkStart w:id="155" w:name="_Toc17677"/>
      <w:r>
        <w:rPr>
          <w:rFonts w:hint="eastAsia" w:ascii="宋体" w:hAnsi="宋体" w:eastAsia="宋体" w:cs="宋体"/>
          <w:color w:val="auto"/>
          <w:u w:val="none"/>
        </w:rPr>
        <w:t>19.</w:t>
      </w:r>
      <w:bookmarkEnd w:id="150"/>
      <w:r>
        <w:rPr>
          <w:rFonts w:hint="eastAsia" w:ascii="宋体" w:hAnsi="宋体" w:eastAsia="宋体" w:cs="宋体"/>
          <w:color w:val="auto"/>
          <w:u w:val="none"/>
        </w:rPr>
        <w:t>资格审查及组建</w:t>
      </w:r>
      <w:bookmarkEnd w:id="151"/>
      <w:bookmarkEnd w:id="152"/>
      <w:bookmarkEnd w:id="153"/>
      <w:bookmarkEnd w:id="154"/>
      <w:r>
        <w:rPr>
          <w:rFonts w:hint="eastAsia" w:ascii="宋体" w:hAnsi="宋体" w:eastAsia="宋体" w:cs="宋体"/>
          <w:color w:val="auto"/>
          <w:u w:val="none"/>
        </w:rPr>
        <w:t>磋商小组</w:t>
      </w:r>
      <w:bookmarkEnd w:id="155"/>
    </w:p>
    <w:p>
      <w:pPr>
        <w:spacing w:line="400" w:lineRule="exact"/>
        <w:ind w:left="960" w:hanging="960" w:hangingChars="400"/>
        <w:rPr>
          <w:rFonts w:hint="eastAsia" w:ascii="宋体" w:hAnsi="宋体" w:eastAsia="宋体" w:cs="宋体"/>
          <w:color w:val="auto"/>
          <w:sz w:val="24"/>
        </w:rPr>
      </w:pPr>
      <w:r>
        <w:rPr>
          <w:rFonts w:hint="eastAsia" w:ascii="宋体" w:hAnsi="宋体" w:eastAsia="宋体" w:cs="宋体"/>
          <w:color w:val="auto"/>
          <w:sz w:val="24"/>
        </w:rPr>
        <w:t>19.1    采购人或采购代理机构依据法律法规和磋商文件中规定的内容，对供应商及其</w:t>
      </w:r>
      <w:r>
        <w:rPr>
          <w:rFonts w:hint="eastAsia" w:ascii="宋体" w:hAnsi="宋体" w:eastAsia="宋体" w:cs="宋体"/>
          <w:color w:val="auto"/>
          <w:sz w:val="24"/>
          <w:lang w:val="en-US" w:eastAsia="zh-CN"/>
        </w:rPr>
        <w:t>服务</w:t>
      </w:r>
      <w:r>
        <w:rPr>
          <w:rFonts w:hint="eastAsia" w:ascii="宋体" w:hAnsi="宋体" w:eastAsia="宋体" w:cs="宋体"/>
          <w:color w:val="auto"/>
          <w:sz w:val="24"/>
        </w:rPr>
        <w:t>的资格进行审查，未通过资格审查的供应商不进入评标。</w:t>
      </w:r>
    </w:p>
    <w:p>
      <w:pPr>
        <w:widowControl/>
        <w:spacing w:line="400" w:lineRule="exact"/>
        <w:jc w:val="left"/>
        <w:rPr>
          <w:rFonts w:hint="eastAsia" w:ascii="宋体" w:hAnsi="宋体" w:eastAsia="宋体" w:cs="宋体"/>
          <w:b/>
          <w:bCs/>
          <w:color w:val="auto"/>
          <w:sz w:val="24"/>
        </w:rPr>
      </w:pPr>
      <w:r>
        <w:rPr>
          <w:rFonts w:hint="eastAsia" w:ascii="宋体" w:hAnsi="宋体" w:eastAsia="宋体" w:cs="宋体"/>
          <w:b/>
          <w:bCs/>
          <w:color w:val="auto"/>
          <w:sz w:val="24"/>
        </w:rPr>
        <w:t xml:space="preserve">  </w:t>
      </w:r>
      <w:r>
        <w:rPr>
          <w:rFonts w:hint="eastAsia" w:ascii="宋体" w:hAnsi="宋体" w:eastAsia="宋体" w:cs="宋体"/>
          <w:b/>
          <w:color w:val="auto"/>
          <w:kern w:val="0"/>
          <w:sz w:val="28"/>
          <w:szCs w:val="21"/>
          <w:u w:val="none"/>
          <w:lang w:val="en-US" w:eastAsia="zh-CN" w:bidi="ar-SA"/>
        </w:rPr>
        <w:t>本项目审查内容如下：</w:t>
      </w:r>
    </w:p>
    <w:p>
      <w:pPr>
        <w:widowControl/>
        <w:spacing w:line="400" w:lineRule="exact"/>
        <w:jc w:val="left"/>
        <w:rPr>
          <w:rFonts w:hint="eastAsia" w:ascii="宋体" w:hAnsi="宋体" w:eastAsia="宋体" w:cs="宋体"/>
          <w:b/>
          <w:bCs/>
          <w:color w:val="auto"/>
          <w:sz w:val="24"/>
        </w:rPr>
      </w:pPr>
      <w:r>
        <w:rPr>
          <w:rFonts w:hint="eastAsia" w:ascii="宋体" w:hAnsi="宋体" w:eastAsia="宋体" w:cs="宋体"/>
          <w:b/>
          <w:bCs/>
          <w:color w:val="auto"/>
          <w:sz w:val="24"/>
        </w:rPr>
        <w:t xml:space="preserve">1、投标人必须符合《中华人民共和国政府采购法》第二十二条的相关规定； </w:t>
      </w:r>
      <w:r>
        <w:rPr>
          <w:rFonts w:hint="eastAsia" w:ascii="宋体" w:hAnsi="宋体" w:eastAsia="宋体" w:cs="宋体"/>
          <w:b/>
          <w:bCs/>
          <w:color w:val="auto"/>
          <w:sz w:val="24"/>
        </w:rPr>
        <w:br w:type="textWrapping"/>
      </w:r>
      <w:r>
        <w:rPr>
          <w:rFonts w:hint="eastAsia" w:ascii="宋体" w:hAnsi="宋体" w:eastAsia="宋体" w:cs="宋体"/>
          <w:b/>
          <w:bCs/>
          <w:color w:val="auto"/>
          <w:sz w:val="24"/>
        </w:rPr>
        <w:t>2.具有独立承担民事责任的能力；</w:t>
      </w:r>
      <w:r>
        <w:rPr>
          <w:rFonts w:hint="eastAsia" w:ascii="宋体" w:hAnsi="宋体" w:eastAsia="宋体" w:cs="宋体"/>
          <w:b/>
          <w:bCs/>
          <w:color w:val="auto"/>
          <w:sz w:val="24"/>
        </w:rPr>
        <w:br w:type="textWrapping"/>
      </w:r>
      <w:r>
        <w:rPr>
          <w:rFonts w:hint="eastAsia" w:ascii="宋体" w:hAnsi="宋体" w:eastAsia="宋体" w:cs="宋体"/>
          <w:b/>
          <w:bCs/>
          <w:color w:val="auto"/>
          <w:sz w:val="24"/>
        </w:rPr>
        <w:t>3.</w:t>
      </w:r>
      <w:r>
        <w:rPr>
          <w:rFonts w:hint="eastAsia" w:ascii="宋体" w:hAnsi="宋体" w:eastAsia="宋体" w:cs="宋体"/>
          <w:b/>
          <w:bCs/>
          <w:color w:val="auto"/>
          <w:sz w:val="24"/>
          <w:lang w:val="en-US" w:eastAsia="zh-CN"/>
        </w:rPr>
        <w:t>法人身份证明或法人授权委托书和被授权人身份有效证件；授权委托人近4个月缴纳社保证明（社保缴费凭证和个人明细表）</w:t>
      </w:r>
      <w:r>
        <w:rPr>
          <w:rFonts w:hint="eastAsia" w:ascii="宋体" w:hAnsi="宋体" w:eastAsia="宋体" w:cs="宋体"/>
          <w:b/>
          <w:bCs/>
          <w:color w:val="auto"/>
          <w:sz w:val="24"/>
        </w:rPr>
        <w:t>；</w:t>
      </w:r>
      <w:r>
        <w:rPr>
          <w:rFonts w:hint="eastAsia" w:ascii="宋体" w:hAnsi="宋体" w:eastAsia="宋体" w:cs="宋体"/>
          <w:b/>
          <w:bCs/>
          <w:color w:val="auto"/>
          <w:sz w:val="24"/>
        </w:rPr>
        <w:br w:type="textWrapping"/>
      </w:r>
      <w:r>
        <w:rPr>
          <w:rFonts w:hint="eastAsia" w:ascii="宋体" w:hAnsi="宋体" w:eastAsia="宋体" w:cs="宋体"/>
          <w:b/>
          <w:bCs/>
          <w:color w:val="auto"/>
          <w:sz w:val="24"/>
        </w:rPr>
        <w:t>4.</w:t>
      </w:r>
      <w:r>
        <w:rPr>
          <w:rFonts w:hint="eastAsia" w:ascii="宋体" w:hAnsi="宋体" w:eastAsia="宋体" w:cs="宋体"/>
          <w:b/>
          <w:bCs/>
          <w:color w:val="auto"/>
          <w:sz w:val="24"/>
          <w:lang w:val="en-US" w:eastAsia="zh-CN"/>
        </w:rPr>
        <w:t>提供会计事务所出具的2022年度财务审计报告书原件或影印件；新办企业提供银行资信证明）</w:t>
      </w:r>
      <w:r>
        <w:rPr>
          <w:rFonts w:hint="eastAsia" w:ascii="宋体" w:hAnsi="宋体" w:eastAsia="宋体" w:cs="宋体"/>
          <w:b/>
          <w:bCs/>
          <w:color w:val="auto"/>
          <w:sz w:val="24"/>
        </w:rPr>
        <w:t>；</w:t>
      </w:r>
      <w:r>
        <w:rPr>
          <w:rFonts w:hint="eastAsia" w:ascii="宋体" w:hAnsi="宋体" w:eastAsia="宋体" w:cs="宋体"/>
          <w:b/>
          <w:bCs/>
          <w:color w:val="auto"/>
          <w:sz w:val="24"/>
        </w:rPr>
        <w:br w:type="textWrapping"/>
      </w:r>
      <w:r>
        <w:rPr>
          <w:rFonts w:hint="eastAsia" w:ascii="宋体" w:hAnsi="宋体" w:eastAsia="宋体" w:cs="宋体"/>
          <w:b/>
          <w:bCs/>
          <w:color w:val="auto"/>
          <w:sz w:val="24"/>
        </w:rPr>
        <w:t>5.</w:t>
      </w:r>
      <w:r>
        <w:rPr>
          <w:rFonts w:hint="eastAsia" w:ascii="宋体" w:hAnsi="宋体" w:eastAsia="宋体" w:cs="宋体"/>
          <w:b/>
          <w:bCs/>
          <w:color w:val="auto"/>
          <w:sz w:val="24"/>
          <w:lang w:val="en-US" w:eastAsia="zh-CN"/>
        </w:rPr>
        <w:t>税务部门出具的近四个月的完税证明（或由税务局出具的无拖欠税收证明，零申报需加盖税务机关鲜章）</w:t>
      </w:r>
      <w:r>
        <w:rPr>
          <w:rFonts w:hint="eastAsia" w:ascii="宋体" w:hAnsi="宋体" w:eastAsia="宋体" w:cs="宋体"/>
          <w:b/>
          <w:bCs/>
          <w:color w:val="auto"/>
          <w:sz w:val="24"/>
        </w:rPr>
        <w:t>；</w:t>
      </w:r>
      <w:r>
        <w:rPr>
          <w:rFonts w:hint="eastAsia" w:ascii="宋体" w:hAnsi="宋体" w:eastAsia="宋体" w:cs="宋体"/>
          <w:b/>
          <w:bCs/>
          <w:color w:val="auto"/>
          <w:sz w:val="24"/>
        </w:rPr>
        <w:br w:type="textWrapping"/>
      </w:r>
      <w:r>
        <w:rPr>
          <w:rFonts w:hint="eastAsia" w:ascii="宋体" w:hAnsi="宋体" w:eastAsia="宋体" w:cs="宋体"/>
          <w:b/>
          <w:bCs/>
          <w:color w:val="auto"/>
          <w:sz w:val="24"/>
        </w:rPr>
        <w:t>6.</w:t>
      </w:r>
      <w:r>
        <w:rPr>
          <w:rFonts w:hint="eastAsia" w:ascii="宋体" w:hAnsi="宋体" w:eastAsia="宋体" w:cs="宋体"/>
          <w:b/>
          <w:bCs/>
          <w:color w:val="auto"/>
          <w:sz w:val="24"/>
          <w:lang w:val="en-US" w:eastAsia="zh-CN"/>
        </w:rPr>
        <w:t>投标人必须提供“信用中国”网站（www.creditchina.gov.cn）、中国政府采购网（www.ccgp.gov.cn）渠道信用记录失信执行人、重大税收违法案件当事人名单、政府采购严重违法失信行为记录名单的投标人，（提供查询结果网页截图并加盖供应商公章）</w:t>
      </w:r>
      <w:r>
        <w:rPr>
          <w:rFonts w:hint="eastAsia" w:ascii="宋体" w:hAnsi="宋体" w:eastAsia="宋体" w:cs="宋体"/>
          <w:b/>
          <w:bCs/>
          <w:color w:val="auto"/>
          <w:sz w:val="24"/>
        </w:rPr>
        <w:t>；</w:t>
      </w:r>
      <w:r>
        <w:rPr>
          <w:rFonts w:hint="eastAsia" w:ascii="宋体" w:hAnsi="宋体" w:eastAsia="宋体" w:cs="宋体"/>
          <w:b/>
          <w:bCs/>
          <w:color w:val="auto"/>
          <w:sz w:val="24"/>
        </w:rPr>
        <w:br w:type="textWrapping"/>
      </w:r>
      <w:r>
        <w:rPr>
          <w:rFonts w:hint="eastAsia" w:ascii="宋体" w:hAnsi="宋体" w:eastAsia="宋体" w:cs="宋体"/>
          <w:b/>
          <w:bCs/>
          <w:color w:val="auto"/>
          <w:sz w:val="24"/>
        </w:rPr>
        <w:t>7.参加政府采购活动前三年内，在经营活动中没有重大违法记录声明；（自拟）投标单位（供应商）提供针对本次采购项目的《反商业贿赂承诺书》；</w:t>
      </w:r>
    </w:p>
    <w:p>
      <w:pPr>
        <w:widowControl/>
        <w:spacing w:line="400" w:lineRule="exact"/>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w:t>
      </w:r>
      <w:r>
        <w:rPr>
          <w:rFonts w:hint="eastAsia" w:ascii="宋体" w:hAnsi="宋体" w:eastAsia="宋体" w:cs="宋体"/>
          <w:b/>
          <w:bCs/>
          <w:color w:val="auto"/>
          <w:sz w:val="24"/>
          <w:lang w:eastAsia="zh-CN"/>
        </w:rPr>
        <w:t>投标保证金缴纳证明</w:t>
      </w:r>
      <w:r>
        <w:rPr>
          <w:rFonts w:hint="eastAsia" w:ascii="宋体" w:hAnsi="宋体" w:eastAsia="宋体" w:cs="宋体"/>
          <w:b/>
          <w:bCs/>
          <w:color w:val="auto"/>
          <w:sz w:val="24"/>
          <w:lang w:val="en-US" w:eastAsia="zh-CN"/>
        </w:rPr>
        <w:t>；</w:t>
      </w:r>
    </w:p>
    <w:p>
      <w:pPr>
        <w:widowControl/>
        <w:spacing w:line="400" w:lineRule="exact"/>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9、本项目（否）接受联合体投标</w:t>
      </w:r>
    </w:p>
    <w:p>
      <w:pPr>
        <w:pStyle w:val="16"/>
        <w:rPr>
          <w:rFonts w:hint="eastAsia" w:ascii="宋体" w:hAnsi="宋体" w:eastAsia="宋体" w:cs="宋体"/>
          <w:lang w:val="en-US" w:eastAsia="zh-CN"/>
        </w:rPr>
      </w:pPr>
    </w:p>
    <w:p>
      <w:pPr>
        <w:widowControl/>
        <w:spacing w:line="360" w:lineRule="exact"/>
        <w:jc w:val="left"/>
        <w:rPr>
          <w:rFonts w:hint="eastAsia" w:ascii="宋体" w:hAnsi="宋体" w:eastAsia="宋体" w:cs="宋体"/>
          <w:b/>
          <w:bCs/>
          <w:color w:val="auto"/>
          <w:sz w:val="24"/>
        </w:rPr>
      </w:pPr>
      <w:r>
        <w:rPr>
          <w:rFonts w:hint="eastAsia" w:ascii="宋体" w:hAnsi="宋体" w:eastAsia="宋体" w:cs="宋体"/>
          <w:b/>
          <w:bCs/>
          <w:color w:val="auto"/>
          <w:sz w:val="24"/>
        </w:rPr>
        <w:t>提示：</w:t>
      </w:r>
      <w:r>
        <w:rPr>
          <w:rFonts w:hint="eastAsia" w:ascii="宋体" w:hAnsi="宋体" w:eastAsia="宋体" w:cs="宋体"/>
          <w:b/>
          <w:bCs/>
          <w:color w:val="auto"/>
          <w:sz w:val="24"/>
          <w:lang w:val="en-US" w:eastAsia="zh-CN"/>
        </w:rPr>
        <w:t>未通过资格审查的投标人不进入评标；进入评标的投标人不足3家的，不得评标</w:t>
      </w:r>
      <w:r>
        <w:rPr>
          <w:rFonts w:hint="eastAsia" w:ascii="宋体" w:hAnsi="宋体" w:eastAsia="宋体" w:cs="宋体"/>
          <w:b/>
          <w:bCs/>
          <w:color w:val="auto"/>
          <w:sz w:val="24"/>
        </w:rPr>
        <w:t>。</w:t>
      </w:r>
    </w:p>
    <w:p>
      <w:pPr>
        <w:spacing w:line="240" w:lineRule="atLeast"/>
        <w:ind w:left="857" w:leftChars="2" w:hanging="853"/>
        <w:rPr>
          <w:rFonts w:hint="eastAsia" w:ascii="宋体" w:hAnsi="宋体" w:eastAsia="宋体" w:cs="宋体"/>
          <w:color w:val="auto"/>
          <w:sz w:val="24"/>
        </w:rPr>
      </w:pPr>
      <w:r>
        <w:rPr>
          <w:rFonts w:hint="eastAsia" w:ascii="宋体" w:hAnsi="宋体" w:eastAsia="宋体" w:cs="宋体"/>
          <w:color w:val="auto"/>
          <w:sz w:val="24"/>
        </w:rPr>
        <w:t>19.2   采购人或采购代理机构将在开标前1个工作日至磋商截止后1小时的期间内查询供应商的信用记录。供应商存在不良信用记录的，其磋商将被认定为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857" w:leftChars="2" w:hanging="853"/>
        <w:rPr>
          <w:rFonts w:hint="eastAsia" w:ascii="宋体" w:hAnsi="宋体" w:eastAsia="宋体" w:cs="宋体"/>
          <w:color w:val="auto"/>
          <w:sz w:val="24"/>
        </w:rPr>
      </w:pPr>
      <w:r>
        <w:rPr>
          <w:rFonts w:hint="eastAsia" w:ascii="宋体" w:hAnsi="宋体" w:eastAsia="宋体" w:cs="宋体"/>
          <w:color w:val="auto"/>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hint="eastAsia" w:ascii="宋体" w:hAnsi="宋体" w:eastAsia="宋体" w:cs="宋体"/>
          <w:color w:val="auto"/>
          <w:sz w:val="24"/>
        </w:rPr>
      </w:pPr>
      <w:r>
        <w:rPr>
          <w:rFonts w:hint="eastAsia" w:ascii="宋体" w:hAnsi="宋体" w:eastAsia="宋体" w:cs="宋体"/>
          <w:color w:val="auto"/>
          <w:sz w:val="24"/>
        </w:rPr>
        <w:t>以联合体形式参加磋商的，联合体任何成员存在以上不良信用记录的，联合体磋商将被认定为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5"/>
        <w:ind w:left="850" w:hanging="849" w:hangingChars="354"/>
        <w:jc w:val="both"/>
        <w:rPr>
          <w:rFonts w:hint="eastAsia" w:ascii="宋体" w:hAnsi="宋体" w:eastAsia="宋体" w:cs="宋体"/>
          <w:color w:val="auto"/>
        </w:rPr>
      </w:pPr>
      <w:r>
        <w:rPr>
          <w:rFonts w:hint="eastAsia" w:ascii="宋体" w:hAnsi="宋体" w:eastAsia="宋体" w:cs="宋体"/>
          <w:color w:val="auto"/>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5"/>
        <w:ind w:left="850" w:leftChars="405" w:firstLine="0"/>
        <w:jc w:val="both"/>
        <w:rPr>
          <w:rFonts w:hint="eastAsia" w:ascii="宋体" w:hAnsi="宋体" w:eastAsia="宋体" w:cs="宋体"/>
          <w:color w:val="auto"/>
        </w:rPr>
      </w:pPr>
      <w:r>
        <w:rPr>
          <w:rFonts w:hint="eastAsia" w:ascii="宋体" w:hAnsi="宋体" w:eastAsia="宋体" w:cs="宋体"/>
          <w:color w:val="auto"/>
        </w:rPr>
        <w:t>供应商自行提供的与网站信息不一致的其他证明材料亦不作为资格审查依据。</w:t>
      </w:r>
    </w:p>
    <w:p>
      <w:pPr>
        <w:spacing w:line="240" w:lineRule="atLeast"/>
        <w:ind w:left="850" w:hanging="849" w:hangingChars="354"/>
        <w:rPr>
          <w:rFonts w:hint="eastAsia" w:ascii="宋体" w:hAnsi="宋体" w:eastAsia="宋体" w:cs="宋体"/>
          <w:color w:val="auto"/>
          <w:sz w:val="24"/>
        </w:rPr>
      </w:pPr>
      <w:r>
        <w:rPr>
          <w:rFonts w:hint="eastAsia" w:ascii="宋体" w:hAnsi="宋体" w:eastAsia="宋体" w:cs="宋体"/>
          <w:color w:val="auto"/>
          <w:sz w:val="24"/>
        </w:rPr>
        <w:t>19.3   按照《中华人民共和国政府采购法》、《中华人民共和国政府采购法实施条例》及本项目本级和上级财政部门的有关规定依法组建的磋商小组，负责评标工作。</w:t>
      </w:r>
      <w:bookmarkStart w:id="156" w:name="_Toc520356166"/>
    </w:p>
    <w:p>
      <w:pPr>
        <w:pStyle w:val="2"/>
        <w:spacing w:before="0" w:after="0" w:line="240" w:lineRule="atLeast"/>
        <w:rPr>
          <w:rFonts w:hint="eastAsia" w:ascii="宋体" w:hAnsi="宋体" w:eastAsia="宋体" w:cs="宋体"/>
          <w:b w:val="0"/>
          <w:bCs/>
          <w:color w:val="auto"/>
          <w:bdr w:val="single" w:color="auto" w:sz="4" w:space="0"/>
        </w:rPr>
      </w:pPr>
      <w:bookmarkStart w:id="157" w:name="_Toc29043"/>
      <w:bookmarkStart w:id="158" w:name="_Toc19949"/>
      <w:bookmarkStart w:id="159" w:name="_Toc14127"/>
      <w:bookmarkStart w:id="160" w:name="_Toc28479"/>
      <w:bookmarkStart w:id="161" w:name="_Toc515647781"/>
      <w:r>
        <w:rPr>
          <w:rFonts w:hint="eastAsia" w:ascii="宋体" w:hAnsi="宋体" w:eastAsia="宋体" w:cs="宋体"/>
          <w:color w:val="auto"/>
          <w:u w:val="none"/>
        </w:rPr>
        <w:t>20.</w:t>
      </w:r>
      <w:bookmarkEnd w:id="156"/>
      <w:r>
        <w:rPr>
          <w:rFonts w:hint="eastAsia" w:ascii="宋体" w:hAnsi="宋体" w:eastAsia="宋体" w:cs="宋体"/>
          <w:color w:val="auto"/>
          <w:u w:val="none"/>
        </w:rPr>
        <w:t>响应文件符合性审查与澄清</w:t>
      </w:r>
      <w:bookmarkEnd w:id="157"/>
      <w:bookmarkEnd w:id="158"/>
      <w:bookmarkEnd w:id="159"/>
      <w:bookmarkEnd w:id="160"/>
      <w:bookmarkEnd w:id="161"/>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20.1   符合性审查是指依据磋商文件的规定，从响应文件的有效性和完整性对磋商文件的响应程度进行审查，以确定是否对磋商文件的实质性要求做出响应。</w:t>
      </w:r>
      <w:bookmarkStart w:id="162" w:name="_Hlt522424701"/>
      <w:bookmarkEnd w:id="162"/>
      <w:bookmarkStart w:id="163" w:name="_Toc520356167"/>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20.2</w:t>
      </w:r>
      <w:r>
        <w:rPr>
          <w:rFonts w:hint="eastAsia" w:ascii="宋体" w:hAnsi="宋体" w:eastAsia="宋体" w:cs="宋体"/>
          <w:color w:val="auto"/>
          <w:sz w:val="24"/>
        </w:rPr>
        <w:tab/>
      </w:r>
      <w:r>
        <w:rPr>
          <w:rFonts w:hint="eastAsia" w:ascii="宋体" w:hAnsi="宋体" w:eastAsia="宋体" w:cs="宋体"/>
          <w:color w:val="auto"/>
          <w:sz w:val="24"/>
        </w:rPr>
        <w:t>响应文件的澄清</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20.2.2  供应商的的澄清、说明或补正将作为响应文件的一部分。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20.3  响应文件报价出现前后不一致的，按照下列规定修正：</w:t>
      </w:r>
    </w:p>
    <w:p>
      <w:pPr>
        <w:spacing w:line="240" w:lineRule="atLeast"/>
        <w:ind w:left="1020" w:hanging="1020" w:hangingChars="425"/>
        <w:rPr>
          <w:rFonts w:hint="eastAsia" w:ascii="宋体" w:hAnsi="宋体" w:eastAsia="宋体" w:cs="宋体"/>
          <w:color w:val="auto"/>
          <w:sz w:val="24"/>
        </w:rPr>
      </w:pPr>
      <w:r>
        <w:rPr>
          <w:rFonts w:hint="eastAsia" w:ascii="宋体" w:hAnsi="宋体" w:eastAsia="宋体" w:cs="宋体"/>
          <w:color w:val="auto"/>
          <w:sz w:val="24"/>
        </w:rPr>
        <w:t>　　   （一）响应文件中开标一览表（报价表）内容与响应文件中相应内容不一致的，以开标一览表（报价表）为准；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（二）大写金额和小写金额不一致的，以大写金额为准；</w:t>
      </w:r>
    </w:p>
    <w:p>
      <w:pPr>
        <w:spacing w:line="240" w:lineRule="atLeast"/>
        <w:ind w:left="1020" w:hanging="1020" w:hangingChars="425"/>
        <w:rPr>
          <w:rFonts w:hint="eastAsia" w:ascii="宋体" w:hAnsi="宋体" w:eastAsia="宋体" w:cs="宋体"/>
          <w:color w:val="auto"/>
          <w:sz w:val="24"/>
        </w:rPr>
      </w:pPr>
      <w:r>
        <w:rPr>
          <w:rFonts w:hint="eastAsia" w:ascii="宋体" w:hAnsi="宋体" w:eastAsia="宋体" w:cs="宋体"/>
          <w:color w:val="auto"/>
          <w:sz w:val="24"/>
        </w:rPr>
        <w:t>　   　（三）单价金额小数点或者百分比有明显错位的，以开标一览表的总价为准，并修改单价；</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（四）总价金额与按单价汇总金额不一致的，以单价金额计算结果为准。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同时出现两种以上不一致的，按照前款规定的顺序修正。修正后的报价按照第20.2条的规定经供应商确认后产生约束力，供应商不确认的，其磋商将被认定为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spacing w:line="240" w:lineRule="atLeast"/>
        <w:ind w:left="735" w:leftChars="350" w:firstLine="120" w:firstLineChars="50"/>
        <w:rPr>
          <w:rFonts w:hint="eastAsia" w:ascii="宋体" w:hAnsi="宋体" w:eastAsia="宋体" w:cs="宋体"/>
          <w:color w:val="auto"/>
          <w:sz w:val="24"/>
        </w:rPr>
      </w:pPr>
      <w:r>
        <w:rPr>
          <w:rFonts w:hint="eastAsia" w:ascii="宋体" w:hAnsi="宋体" w:eastAsia="宋体" w:cs="宋体"/>
          <w:color w:val="auto"/>
          <w:sz w:val="24"/>
        </w:rPr>
        <w:t>对不同文字文本响应文件的解释发生异议的，以中文文本为准。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20.4   如一个分包内只有一种产品，不同供应商所投产品为同一品牌的，按如下方式处理：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20.5   如一个分包内包含多种产品的，采购人或采购代理机构将在</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中载明核心产品，多家供应商提供的核心产品品牌相同的，按第20.4条规定处理。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p>
    <w:p>
      <w:pPr>
        <w:pStyle w:val="2"/>
        <w:spacing w:before="0" w:after="0" w:line="240" w:lineRule="atLeast"/>
        <w:rPr>
          <w:rFonts w:hint="eastAsia" w:ascii="宋体" w:hAnsi="宋体" w:eastAsia="宋体" w:cs="宋体"/>
          <w:color w:val="auto"/>
          <w:u w:val="none"/>
        </w:rPr>
      </w:pPr>
      <w:bookmarkStart w:id="164" w:name="_Toc23229"/>
      <w:bookmarkStart w:id="165" w:name="_Toc29782"/>
      <w:bookmarkStart w:id="166" w:name="_Toc9469"/>
      <w:bookmarkStart w:id="167" w:name="_Toc515647782"/>
      <w:bookmarkStart w:id="168" w:name="_Toc6364"/>
      <w:r>
        <w:rPr>
          <w:rFonts w:hint="eastAsia" w:ascii="宋体" w:hAnsi="宋体" w:eastAsia="宋体" w:cs="宋体"/>
          <w:color w:val="auto"/>
          <w:u w:val="none"/>
        </w:rPr>
        <w:t>21.磋商偏离</w:t>
      </w:r>
      <w:bookmarkEnd w:id="164"/>
      <w:bookmarkEnd w:id="165"/>
      <w:bookmarkEnd w:id="166"/>
      <w:bookmarkEnd w:id="167"/>
      <w:bookmarkEnd w:id="168"/>
    </w:p>
    <w:p>
      <w:pPr>
        <w:spacing w:line="240" w:lineRule="atLeast"/>
        <w:ind w:left="848" w:leftChars="99" w:hanging="640" w:hangingChars="267"/>
        <w:rPr>
          <w:rFonts w:hint="eastAsia" w:ascii="宋体" w:hAnsi="宋体" w:eastAsia="宋体" w:cs="宋体"/>
          <w:color w:val="auto"/>
          <w:sz w:val="24"/>
        </w:rPr>
      </w:pPr>
      <w:r>
        <w:rPr>
          <w:rFonts w:hint="eastAsia" w:ascii="宋体" w:hAnsi="宋体" w:eastAsia="宋体" w:cs="宋体"/>
          <w:color w:val="auto"/>
          <w:sz w:val="24"/>
        </w:rPr>
        <w:t xml:space="preserve">     磋商小组可以接受响应文件中不构成实质性偏离的不正规或不一致。</w:t>
      </w:r>
    </w:p>
    <w:p>
      <w:pPr>
        <w:pStyle w:val="2"/>
        <w:spacing w:before="0" w:after="0" w:line="240" w:lineRule="atLeast"/>
        <w:rPr>
          <w:rFonts w:hint="eastAsia" w:ascii="宋体" w:hAnsi="宋体" w:eastAsia="宋体" w:cs="宋体"/>
          <w:color w:val="auto"/>
          <w:u w:val="none"/>
        </w:rPr>
      </w:pPr>
      <w:bookmarkStart w:id="169" w:name="_Toc515647783"/>
      <w:bookmarkStart w:id="170" w:name="_Toc6092"/>
      <w:bookmarkStart w:id="171" w:name="_Toc23480"/>
      <w:bookmarkStart w:id="172" w:name="_Toc7012"/>
      <w:bookmarkStart w:id="173" w:name="_Toc4950"/>
      <w:r>
        <w:rPr>
          <w:rFonts w:hint="eastAsia" w:ascii="宋体" w:hAnsi="宋体" w:eastAsia="宋体" w:cs="宋体"/>
          <w:color w:val="auto"/>
          <w:u w:val="none"/>
        </w:rPr>
        <w:t>22.</w:t>
      </w:r>
      <w:bookmarkEnd w:id="169"/>
      <w:r>
        <w:rPr>
          <w:rFonts w:hint="eastAsia" w:ascii="宋体" w:hAnsi="宋体" w:eastAsia="宋体" w:cs="宋体"/>
          <w:color w:val="auto"/>
          <w:u w:val="none"/>
        </w:rPr>
        <w:t>磋商无效</w:t>
      </w:r>
      <w:bookmarkEnd w:id="170"/>
      <w:bookmarkEnd w:id="171"/>
      <w:bookmarkEnd w:id="172"/>
      <w:bookmarkEnd w:id="173"/>
    </w:p>
    <w:p>
      <w:pPr>
        <w:spacing w:line="240" w:lineRule="atLeast"/>
        <w:ind w:left="852" w:leftChars="-23" w:hanging="900" w:hangingChars="375"/>
        <w:rPr>
          <w:rFonts w:hint="eastAsia" w:ascii="宋体" w:hAnsi="宋体" w:eastAsia="宋体" w:cs="宋体"/>
          <w:color w:val="auto"/>
          <w:sz w:val="24"/>
        </w:rPr>
      </w:pPr>
      <w:r>
        <w:rPr>
          <w:rFonts w:hint="eastAsia" w:ascii="宋体" w:hAnsi="宋体" w:eastAsia="宋体" w:cs="宋体"/>
          <w:color w:val="auto"/>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宋体" w:hAnsi="宋体" w:eastAsia="宋体" w:cs="宋体"/>
          <w:b/>
          <w:bCs/>
          <w:color w:val="auto"/>
          <w:sz w:val="24"/>
        </w:rPr>
        <w:t>磋商无效</w:t>
      </w:r>
      <w:r>
        <w:rPr>
          <w:rFonts w:hint="eastAsia" w:ascii="宋体" w:hAnsi="宋体" w:eastAsia="宋体" w:cs="宋体"/>
          <w:color w:val="auto"/>
          <w:sz w:val="24"/>
        </w:rPr>
        <w:t>。供应商不得通过修正或撤销不符合要求的偏离，从而使其磋商成为实质上响应的磋商。</w:t>
      </w:r>
    </w:p>
    <w:p>
      <w:pPr>
        <w:spacing w:line="240" w:lineRule="atLeast"/>
        <w:ind w:left="792" w:leftChars="377"/>
        <w:rPr>
          <w:rFonts w:hint="eastAsia" w:ascii="宋体" w:hAnsi="宋体" w:eastAsia="宋体" w:cs="宋体"/>
          <w:color w:val="auto"/>
          <w:sz w:val="24"/>
        </w:rPr>
      </w:pPr>
      <w:r>
        <w:rPr>
          <w:rFonts w:hint="eastAsia" w:ascii="宋体" w:hAnsi="宋体" w:eastAsia="宋体" w:cs="宋体"/>
          <w:color w:val="auto"/>
          <w:sz w:val="24"/>
        </w:rPr>
        <w:t>磋商小组决定磋商的响应性只根据磋商文件要求、响应文件内容及财政主管部门指定相关信息发布媒体。</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22.2</w:t>
      </w:r>
      <w:r>
        <w:rPr>
          <w:rFonts w:hint="eastAsia" w:ascii="宋体" w:hAnsi="宋体" w:eastAsia="宋体" w:cs="宋体"/>
          <w:color w:val="auto"/>
          <w:sz w:val="24"/>
        </w:rPr>
        <w:tab/>
      </w:r>
      <w:r>
        <w:rPr>
          <w:rFonts w:hint="eastAsia" w:ascii="宋体" w:hAnsi="宋体" w:eastAsia="宋体" w:cs="宋体"/>
          <w:color w:val="auto"/>
          <w:sz w:val="24"/>
        </w:rPr>
        <w:t>如发现下列情况之一的，其磋商将被认定为</w:t>
      </w:r>
      <w:r>
        <w:rPr>
          <w:rFonts w:hint="eastAsia" w:ascii="宋体" w:hAnsi="宋体" w:eastAsia="宋体" w:cs="宋体"/>
          <w:b/>
          <w:bCs/>
          <w:color w:val="auto"/>
          <w:sz w:val="24"/>
        </w:rPr>
        <w:t>磋商无效</w:t>
      </w:r>
      <w:r>
        <w:rPr>
          <w:rFonts w:hint="eastAsia" w:ascii="宋体" w:hAnsi="宋体" w:eastAsia="宋体" w:cs="宋体"/>
          <w:color w:val="auto"/>
          <w:sz w:val="24"/>
        </w:rPr>
        <w:t>：（</w:t>
      </w:r>
      <w:r>
        <w:rPr>
          <w:rFonts w:hint="eastAsia" w:ascii="宋体" w:hAnsi="宋体" w:eastAsia="宋体" w:cs="宋体"/>
          <w:b/>
          <w:color w:val="auto"/>
          <w:sz w:val="24"/>
        </w:rPr>
        <w:t>以下情形应当在磋商文件中规定，并以醒目的方式标明</w:t>
      </w:r>
      <w:r>
        <w:rPr>
          <w:rFonts w:hint="eastAsia" w:ascii="宋体" w:hAnsi="宋体" w:eastAsia="宋体" w:cs="宋体"/>
          <w:color w:val="auto"/>
          <w:sz w:val="24"/>
        </w:rPr>
        <w:t>）</w:t>
      </w:r>
    </w:p>
    <w:p>
      <w:pPr>
        <w:numPr>
          <w:ilvl w:val="0"/>
          <w:numId w:val="4"/>
        </w:numPr>
        <w:spacing w:line="240" w:lineRule="atLeast"/>
        <w:ind w:left="1081" w:leftChars="429" w:hanging="180"/>
        <w:rPr>
          <w:rFonts w:hint="eastAsia" w:ascii="宋体" w:hAnsi="宋体" w:eastAsia="宋体" w:cs="宋体"/>
          <w:b/>
          <w:bCs/>
          <w:color w:val="auto"/>
          <w:sz w:val="24"/>
        </w:rPr>
      </w:pPr>
      <w:r>
        <w:rPr>
          <w:rFonts w:hint="eastAsia" w:ascii="宋体" w:hAnsi="宋体" w:eastAsia="宋体" w:cs="宋体"/>
          <w:b/>
          <w:bCs/>
          <w:color w:val="auto"/>
          <w:sz w:val="24"/>
        </w:rPr>
        <w:t>未按磋商文件规定的形式和金额提交磋商保证金的；</w:t>
      </w:r>
    </w:p>
    <w:p>
      <w:pPr>
        <w:numPr>
          <w:ilvl w:val="0"/>
          <w:numId w:val="4"/>
        </w:numPr>
        <w:spacing w:line="240" w:lineRule="atLeast"/>
        <w:ind w:left="1081" w:leftChars="429" w:hanging="180"/>
        <w:rPr>
          <w:rFonts w:hint="eastAsia" w:ascii="宋体" w:hAnsi="宋体" w:eastAsia="宋体" w:cs="宋体"/>
          <w:b/>
          <w:bCs/>
          <w:color w:val="auto"/>
          <w:sz w:val="24"/>
        </w:rPr>
      </w:pPr>
      <w:r>
        <w:rPr>
          <w:rFonts w:hint="eastAsia" w:ascii="宋体" w:hAnsi="宋体" w:eastAsia="宋体" w:cs="宋体"/>
          <w:b/>
          <w:bCs/>
          <w:color w:val="auto"/>
          <w:sz w:val="24"/>
        </w:rPr>
        <w:t>未按照磋商文件规定要求签署、盖章的；</w:t>
      </w:r>
    </w:p>
    <w:p>
      <w:pPr>
        <w:numPr>
          <w:ilvl w:val="0"/>
          <w:numId w:val="4"/>
        </w:numPr>
        <w:spacing w:line="240" w:lineRule="atLeast"/>
        <w:ind w:left="1081" w:leftChars="429" w:hanging="180"/>
        <w:rPr>
          <w:rFonts w:hint="eastAsia" w:ascii="宋体" w:hAnsi="宋体" w:eastAsia="宋体" w:cs="宋体"/>
          <w:b/>
          <w:bCs/>
          <w:color w:val="auto"/>
          <w:sz w:val="24"/>
        </w:rPr>
      </w:pPr>
      <w:r>
        <w:rPr>
          <w:rFonts w:hint="eastAsia" w:ascii="宋体" w:hAnsi="宋体" w:eastAsia="宋体" w:cs="宋体"/>
          <w:b/>
          <w:bCs/>
          <w:color w:val="auto"/>
          <w:sz w:val="24"/>
        </w:rPr>
        <w:t>未满足磋商文件中技术条款的实质性要求；</w:t>
      </w:r>
    </w:p>
    <w:p>
      <w:pPr>
        <w:numPr>
          <w:ilvl w:val="0"/>
          <w:numId w:val="4"/>
        </w:numPr>
        <w:spacing w:line="240" w:lineRule="atLeast"/>
        <w:ind w:left="1081" w:leftChars="429" w:hanging="180"/>
        <w:rPr>
          <w:rFonts w:hint="eastAsia" w:ascii="宋体" w:hAnsi="宋体" w:eastAsia="宋体" w:cs="宋体"/>
          <w:b/>
          <w:bCs/>
          <w:color w:val="auto"/>
          <w:sz w:val="24"/>
        </w:rPr>
      </w:pPr>
      <w:r>
        <w:rPr>
          <w:rFonts w:hint="eastAsia" w:ascii="宋体" w:hAnsi="宋体" w:eastAsia="宋体" w:cs="宋体"/>
          <w:b/>
          <w:bCs/>
          <w:color w:val="auto"/>
          <w:sz w:val="24"/>
        </w:rPr>
        <w:t>与其他供应商串通磋商，或者与招标人串通磋商；</w:t>
      </w:r>
    </w:p>
    <w:p>
      <w:pPr>
        <w:numPr>
          <w:ilvl w:val="0"/>
          <w:numId w:val="4"/>
        </w:numPr>
        <w:spacing w:line="240" w:lineRule="atLeast"/>
        <w:ind w:left="1081" w:leftChars="429" w:hanging="180"/>
        <w:rPr>
          <w:rFonts w:hint="eastAsia" w:ascii="宋体" w:hAnsi="宋体" w:eastAsia="宋体" w:cs="宋体"/>
          <w:b/>
          <w:bCs/>
          <w:color w:val="auto"/>
          <w:sz w:val="24"/>
        </w:rPr>
      </w:pPr>
      <w:r>
        <w:rPr>
          <w:rFonts w:hint="eastAsia" w:ascii="宋体" w:hAnsi="宋体" w:eastAsia="宋体" w:cs="宋体"/>
          <w:b/>
          <w:bCs/>
          <w:color w:val="auto"/>
          <w:sz w:val="24"/>
        </w:rPr>
        <w:t>属于磋商文件规定的其他磋商无效情形；</w:t>
      </w:r>
    </w:p>
    <w:p>
      <w:pPr>
        <w:numPr>
          <w:ilvl w:val="0"/>
          <w:numId w:val="4"/>
        </w:numPr>
        <w:spacing w:line="240" w:lineRule="atLeast"/>
        <w:ind w:left="1081" w:leftChars="429" w:hanging="180"/>
        <w:rPr>
          <w:rFonts w:hint="eastAsia" w:ascii="宋体" w:hAnsi="宋体" w:eastAsia="宋体" w:cs="宋体"/>
          <w:b/>
          <w:bCs/>
          <w:color w:val="auto"/>
          <w:sz w:val="24"/>
        </w:rPr>
      </w:pPr>
      <w:r>
        <w:rPr>
          <w:rFonts w:hint="eastAsia" w:ascii="宋体" w:hAnsi="宋体" w:eastAsia="宋体" w:cs="宋体"/>
          <w:b/>
          <w:bCs/>
          <w:color w:val="auto"/>
          <w:sz w:val="24"/>
        </w:rPr>
        <w:t>磋商小组认为供应商的报价明显低于其他通过符合性检查供应商的报价，有可能影响履约的，且供应商未按照规定证明其报价合理性的；</w:t>
      </w:r>
    </w:p>
    <w:p>
      <w:pPr>
        <w:numPr>
          <w:ilvl w:val="0"/>
          <w:numId w:val="4"/>
        </w:numPr>
        <w:spacing w:line="240" w:lineRule="atLeast"/>
        <w:ind w:left="1081" w:leftChars="429" w:hanging="180"/>
        <w:rPr>
          <w:rFonts w:hint="eastAsia" w:ascii="宋体" w:hAnsi="宋体" w:eastAsia="宋体" w:cs="宋体"/>
          <w:b/>
          <w:bCs/>
          <w:color w:val="auto"/>
          <w:sz w:val="24"/>
        </w:rPr>
      </w:pPr>
      <w:r>
        <w:rPr>
          <w:rFonts w:hint="eastAsia" w:ascii="宋体" w:hAnsi="宋体" w:eastAsia="宋体" w:cs="宋体"/>
          <w:b/>
          <w:bCs/>
          <w:color w:val="auto"/>
          <w:sz w:val="24"/>
        </w:rPr>
        <w:t>响应文件含有采购人不能接受的附加条件的；</w:t>
      </w:r>
    </w:p>
    <w:p>
      <w:pPr>
        <w:numPr>
          <w:ilvl w:val="0"/>
          <w:numId w:val="4"/>
        </w:numPr>
        <w:tabs>
          <w:tab w:val="left" w:pos="0"/>
        </w:tabs>
        <w:spacing w:line="240" w:lineRule="atLeast"/>
        <w:ind w:left="1081" w:leftChars="429" w:hanging="180"/>
        <w:rPr>
          <w:rFonts w:hint="eastAsia" w:ascii="宋体" w:hAnsi="宋体" w:eastAsia="宋体" w:cs="宋体"/>
          <w:color w:val="auto"/>
          <w:sz w:val="24"/>
        </w:rPr>
      </w:pPr>
      <w:r>
        <w:rPr>
          <w:rFonts w:hint="eastAsia" w:ascii="宋体" w:hAnsi="宋体" w:eastAsia="宋体" w:cs="宋体"/>
          <w:b/>
          <w:bCs/>
          <w:color w:val="auto"/>
          <w:sz w:val="24"/>
        </w:rPr>
        <w:t>不符合法规和磋商文件中规定的其他实质性要求的</w:t>
      </w:r>
      <w:r>
        <w:rPr>
          <w:rFonts w:hint="eastAsia" w:ascii="宋体" w:hAnsi="宋体" w:eastAsia="宋体" w:cs="宋体"/>
          <w:color w:val="auto"/>
          <w:sz w:val="24"/>
        </w:rPr>
        <w:t>。</w:t>
      </w:r>
    </w:p>
    <w:p>
      <w:pPr>
        <w:pStyle w:val="2"/>
        <w:spacing w:before="0" w:after="0" w:line="240" w:lineRule="atLeast"/>
        <w:rPr>
          <w:rFonts w:hint="eastAsia" w:ascii="宋体" w:hAnsi="宋体" w:eastAsia="宋体" w:cs="宋体"/>
          <w:color w:val="auto"/>
          <w:u w:val="none"/>
        </w:rPr>
      </w:pPr>
      <w:bookmarkStart w:id="174" w:name="_Toc28827"/>
      <w:bookmarkStart w:id="175" w:name="_Toc13652"/>
      <w:bookmarkStart w:id="176" w:name="_Toc22941"/>
      <w:bookmarkStart w:id="177" w:name="_Toc515647784"/>
      <w:bookmarkStart w:id="178" w:name="_Toc19433"/>
      <w:r>
        <w:rPr>
          <w:rFonts w:hint="eastAsia" w:ascii="宋体" w:hAnsi="宋体" w:eastAsia="宋体" w:cs="宋体"/>
          <w:color w:val="auto"/>
          <w:u w:val="none"/>
        </w:rPr>
        <w:t>23.</w:t>
      </w:r>
      <w:bookmarkEnd w:id="163"/>
      <w:r>
        <w:rPr>
          <w:rFonts w:hint="eastAsia" w:ascii="宋体" w:hAnsi="宋体" w:eastAsia="宋体" w:cs="宋体"/>
          <w:color w:val="auto"/>
          <w:u w:val="none"/>
        </w:rPr>
        <w:t>比较与评价</w:t>
      </w:r>
      <w:bookmarkEnd w:id="174"/>
      <w:bookmarkEnd w:id="175"/>
      <w:bookmarkEnd w:id="176"/>
      <w:bookmarkEnd w:id="177"/>
      <w:bookmarkEnd w:id="178"/>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23.1</w:t>
      </w:r>
      <w:r>
        <w:rPr>
          <w:rFonts w:hint="eastAsia" w:ascii="宋体" w:hAnsi="宋体" w:eastAsia="宋体" w:cs="宋体"/>
          <w:color w:val="auto"/>
          <w:sz w:val="24"/>
        </w:rPr>
        <w:tab/>
      </w:r>
      <w:r>
        <w:rPr>
          <w:rFonts w:hint="eastAsia" w:ascii="宋体" w:hAnsi="宋体" w:eastAsia="宋体" w:cs="宋体"/>
          <w:color w:val="auto"/>
          <w:sz w:val="24"/>
        </w:rPr>
        <w:t>经符合性审查合格的响应文件，磋商小组将根据磋商文件确定的评标方法和标准，对其技术部分和商务部分作进一步的比较和评价。</w:t>
      </w:r>
    </w:p>
    <w:p>
      <w:pPr>
        <w:spacing w:line="240" w:lineRule="atLeast"/>
        <w:ind w:left="958" w:leftChars="456" w:firstLine="0" w:firstLineChars="0"/>
        <w:rPr>
          <w:rFonts w:hint="eastAsia" w:ascii="宋体" w:hAnsi="宋体" w:eastAsia="宋体" w:cs="宋体"/>
          <w:b/>
          <w:bCs/>
          <w:color w:val="auto"/>
          <w:sz w:val="24"/>
          <w:u w:val="single"/>
          <w:lang w:val="en-US" w:eastAsia="zh-CN"/>
        </w:rPr>
      </w:pPr>
      <w:r>
        <w:rPr>
          <w:rFonts w:hint="eastAsia" w:ascii="宋体" w:hAnsi="宋体" w:eastAsia="宋体" w:cs="宋体"/>
          <w:b/>
          <w:bCs/>
          <w:color w:val="auto"/>
          <w:sz w:val="24"/>
          <w:u w:val="single"/>
          <w:lang w:val="en-US" w:eastAsia="zh-CN"/>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pStyle w:val="11"/>
        <w:spacing w:line="420" w:lineRule="exact"/>
        <w:ind w:left="898" w:leftChars="342" w:hanging="180" w:hangingChars="75"/>
        <w:rPr>
          <w:rFonts w:hint="eastAsia" w:ascii="宋体" w:hAnsi="宋体" w:eastAsia="宋体" w:cs="宋体"/>
          <w:color w:val="auto"/>
          <w:sz w:val="24"/>
          <w:szCs w:val="24"/>
        </w:rPr>
      </w:pPr>
      <w:r>
        <w:rPr>
          <w:rFonts w:hint="eastAsia" w:ascii="宋体" w:hAnsi="宋体" w:eastAsia="宋体" w:cs="宋体"/>
          <w:color w:val="auto"/>
          <w:sz w:val="24"/>
        </w:rPr>
        <w:t xml:space="preserve">23.2 </w:t>
      </w:r>
      <w:r>
        <w:rPr>
          <w:rFonts w:hint="eastAsia" w:ascii="宋体" w:hAnsi="宋体" w:eastAsia="宋体" w:cs="宋体"/>
          <w:color w:val="auto"/>
          <w:sz w:val="24"/>
          <w:szCs w:val="24"/>
        </w:rPr>
        <w:t xml:space="preserve"> 评标严格按照招标文件的要求和条件进行。根据实际情况，在投标人须知资料表中规定采用下列评标方法，详细评标标准见招标文件第六章：</w:t>
      </w:r>
    </w:p>
    <w:p>
      <w:pPr>
        <w:pStyle w:val="11"/>
        <w:spacing w:line="420" w:lineRule="exact"/>
        <w:ind w:left="898" w:leftChars="342" w:hanging="180" w:hangingChars="75"/>
        <w:rPr>
          <w:rFonts w:hint="eastAsia" w:ascii="宋体" w:hAnsi="宋体" w:eastAsia="宋体" w:cs="宋体"/>
          <w:color w:val="auto"/>
          <w:sz w:val="24"/>
          <w:szCs w:val="24"/>
        </w:rPr>
      </w:pPr>
      <w:r>
        <w:rPr>
          <w:rFonts w:hint="eastAsia" w:ascii="宋体" w:hAnsi="宋体" w:eastAsia="宋体" w:cs="宋体"/>
          <w:color w:val="auto"/>
          <w:sz w:val="24"/>
          <w:szCs w:val="24"/>
        </w:rPr>
        <w:t>（1）最低评标价法，是指投标文件满足招标文件全部实质性要求，且投标报价最低的投标人为中标候选人的评标方法。</w:t>
      </w:r>
    </w:p>
    <w:p>
      <w:pPr>
        <w:pStyle w:val="11"/>
        <w:spacing w:line="420" w:lineRule="exact"/>
        <w:ind w:left="898" w:leftChars="342" w:hanging="180" w:hangingChars="75"/>
        <w:rPr>
          <w:rFonts w:hint="eastAsia" w:ascii="宋体" w:hAnsi="宋体" w:eastAsia="宋体" w:cs="宋体"/>
          <w:color w:val="auto"/>
          <w:sz w:val="24"/>
          <w:szCs w:val="24"/>
        </w:rPr>
      </w:pPr>
      <w:r>
        <w:rPr>
          <w:rFonts w:hint="eastAsia" w:ascii="宋体" w:hAnsi="宋体" w:eastAsia="宋体" w:cs="宋体"/>
          <w:color w:val="auto"/>
          <w:sz w:val="24"/>
          <w:szCs w:val="24"/>
        </w:rPr>
        <w:t>（2） 综合评分法，是指投标文件满足招标文件全部实质性要求，且按照评审因素的量化指标评审得分最高的投标人为中标候选人的评标方法。</w:t>
      </w:r>
    </w:p>
    <w:p>
      <w:pPr>
        <w:pStyle w:val="11"/>
        <w:spacing w:line="420" w:lineRule="exact"/>
        <w:ind w:left="898" w:leftChars="342" w:hanging="180" w:hangingChars="75"/>
        <w:rPr>
          <w:rFonts w:hint="eastAsia" w:ascii="宋体" w:hAnsi="宋体" w:eastAsia="宋体" w:cs="宋体"/>
          <w:color w:val="auto"/>
          <w:sz w:val="24"/>
          <w:szCs w:val="24"/>
          <w:lang w:val="en-US" w:eastAsia="zh-CN"/>
        </w:rPr>
      </w:pPr>
    </w:p>
    <w:p>
      <w:pPr>
        <w:spacing w:line="240" w:lineRule="atLeast"/>
        <w:ind w:left="900" w:hanging="900" w:hangingChars="37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23.3   根据《政府采购促进中小企业发展管理办法》（财库[2020]46号）、</w:t>
      </w:r>
    </w:p>
    <w:p>
      <w:pPr>
        <w:pStyle w:val="11"/>
        <w:spacing w:line="420" w:lineRule="exact"/>
        <w:ind w:left="898" w:leftChars="342" w:hanging="180" w:hangingChars="75"/>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《财政部 司法部关于政府采购支持监狱企业发展有关问题的通知》（财库</w:t>
      </w:r>
      <w:r>
        <w:rPr>
          <w:rFonts w:hint="eastAsia" w:ascii="宋体" w:hAnsi="宋体" w:eastAsia="宋体" w:cs="宋体"/>
          <w:color w:val="auto"/>
          <w:sz w:val="24"/>
          <w:szCs w:val="24"/>
        </w:rPr>
        <w:t>〔2014〕68号）和《三部门联合发布关于促进残疾人就业政府采购政策的通知》（</w:t>
      </w:r>
      <w:bookmarkStart w:id="179" w:name="sendNo"/>
      <w:r>
        <w:rPr>
          <w:rFonts w:hint="eastAsia" w:ascii="宋体" w:hAnsi="宋体" w:eastAsia="宋体" w:cs="宋体"/>
          <w:bCs/>
          <w:color w:val="auto"/>
          <w:sz w:val="24"/>
          <w:szCs w:val="24"/>
        </w:rPr>
        <w:t>财库〔</w:t>
      </w:r>
      <w:bookmarkEnd w:id="179"/>
      <w:r>
        <w:rPr>
          <w:rFonts w:hint="eastAsia" w:ascii="宋体" w:hAnsi="宋体" w:eastAsia="宋体" w:cs="宋体"/>
          <w:bCs/>
          <w:color w:val="auto"/>
          <w:sz w:val="24"/>
          <w:szCs w:val="24"/>
        </w:rPr>
        <w:t>2017〕141号</w:t>
      </w:r>
      <w:r>
        <w:rPr>
          <w:rFonts w:hint="eastAsia" w:ascii="宋体" w:hAnsi="宋体" w:eastAsia="宋体" w:cs="宋体"/>
          <w:color w:val="auto"/>
          <w:sz w:val="24"/>
          <w:szCs w:val="24"/>
        </w:rPr>
        <w:t>）的规定，对满足价格扣除条件且在响应文件中提交了《供应商企业类型声明函》或省级以上监狱管理局、戒毒管理局（含新疆生产建设兵团）出具的属于监狱企业的证明文件的供应商，其磋商报价扣除10%后参与评审。具体办法详见磋商文件第6章。</w:t>
      </w:r>
    </w:p>
    <w:p>
      <w:pPr>
        <w:pStyle w:val="2"/>
        <w:spacing w:before="0" w:after="0" w:line="420" w:lineRule="exact"/>
        <w:rPr>
          <w:rFonts w:hint="eastAsia" w:ascii="宋体" w:hAnsi="宋体" w:eastAsia="宋体" w:cs="宋体"/>
          <w:color w:val="auto"/>
          <w:u w:val="none"/>
        </w:rPr>
      </w:pPr>
      <w:bookmarkStart w:id="180" w:name="_Toc520356168"/>
      <w:bookmarkStart w:id="181" w:name="_Toc9378"/>
      <w:bookmarkStart w:id="182" w:name="_Toc515647785"/>
      <w:bookmarkStart w:id="183" w:name="_Toc17823"/>
      <w:bookmarkStart w:id="184" w:name="_Toc16201"/>
      <w:bookmarkStart w:id="185" w:name="_Toc20227"/>
      <w:r>
        <w:rPr>
          <w:rFonts w:hint="eastAsia" w:ascii="宋体" w:hAnsi="宋体" w:eastAsia="宋体" w:cs="宋体"/>
          <w:color w:val="auto"/>
          <w:u w:val="none"/>
        </w:rPr>
        <w:t>24</w:t>
      </w:r>
      <w:bookmarkEnd w:id="180"/>
      <w:r>
        <w:rPr>
          <w:rFonts w:hint="eastAsia" w:ascii="宋体" w:hAnsi="宋体" w:eastAsia="宋体" w:cs="宋体"/>
          <w:color w:val="auto"/>
          <w:u w:val="none"/>
        </w:rPr>
        <w:t>.废标</w:t>
      </w:r>
      <w:bookmarkEnd w:id="181"/>
      <w:bookmarkEnd w:id="182"/>
      <w:bookmarkEnd w:id="183"/>
      <w:bookmarkEnd w:id="184"/>
      <w:bookmarkEnd w:id="185"/>
    </w:p>
    <w:p>
      <w:pPr>
        <w:spacing w:line="420" w:lineRule="exact"/>
        <w:ind w:left="898" w:leftChars="399" w:hanging="60" w:hangingChars="25"/>
        <w:rPr>
          <w:rFonts w:hint="eastAsia" w:ascii="宋体" w:hAnsi="宋体" w:eastAsia="宋体" w:cs="宋体"/>
          <w:color w:val="auto"/>
          <w:sz w:val="24"/>
        </w:rPr>
      </w:pPr>
      <w:r>
        <w:rPr>
          <w:rFonts w:hint="eastAsia" w:ascii="宋体" w:hAnsi="宋体" w:eastAsia="宋体" w:cs="宋体"/>
          <w:color w:val="auto"/>
          <w:sz w:val="24"/>
        </w:rPr>
        <w:t xml:space="preserve">出现下列情形之一，将导致项目废标： </w:t>
      </w:r>
    </w:p>
    <w:p>
      <w:pPr>
        <w:spacing w:line="42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（1）出现影响采购公正的违法、违规行为的；</w:t>
      </w:r>
    </w:p>
    <w:p>
      <w:pPr>
        <w:spacing w:line="420" w:lineRule="exact"/>
        <w:ind w:firstLine="840" w:firstLineChars="350"/>
        <w:rPr>
          <w:rFonts w:hint="eastAsia" w:ascii="宋体" w:hAnsi="宋体" w:eastAsia="宋体" w:cs="宋体"/>
          <w:color w:val="auto"/>
          <w:sz w:val="24"/>
        </w:rPr>
      </w:pPr>
      <w:r>
        <w:rPr>
          <w:rFonts w:hint="eastAsia" w:ascii="宋体" w:hAnsi="宋体" w:eastAsia="宋体" w:cs="宋体"/>
          <w:color w:val="auto"/>
          <w:sz w:val="24"/>
        </w:rPr>
        <w:t>（2）供应商的报价均超过了采购预算，采购人不能支付的；</w:t>
      </w:r>
    </w:p>
    <w:p>
      <w:pPr>
        <w:spacing w:line="420" w:lineRule="exact"/>
        <w:ind w:firstLine="840" w:firstLineChars="350"/>
        <w:rPr>
          <w:rFonts w:hint="eastAsia" w:ascii="宋体" w:hAnsi="宋体" w:eastAsia="宋体" w:cs="宋体"/>
          <w:color w:val="auto"/>
          <w:sz w:val="24"/>
        </w:rPr>
      </w:pPr>
      <w:r>
        <w:rPr>
          <w:rFonts w:hint="eastAsia" w:ascii="宋体" w:hAnsi="宋体" w:eastAsia="宋体" w:cs="宋体"/>
          <w:color w:val="auto"/>
          <w:sz w:val="24"/>
        </w:rPr>
        <w:t xml:space="preserve">（3）因重大变故，采购任务取消的。   </w:t>
      </w:r>
    </w:p>
    <w:p>
      <w:pPr>
        <w:pStyle w:val="2"/>
        <w:spacing w:before="0" w:after="0" w:line="420" w:lineRule="exact"/>
        <w:rPr>
          <w:rFonts w:hint="eastAsia" w:ascii="宋体" w:hAnsi="宋体" w:eastAsia="宋体" w:cs="宋体"/>
          <w:color w:val="auto"/>
          <w:u w:val="none"/>
        </w:rPr>
      </w:pPr>
      <w:bookmarkStart w:id="186" w:name="_Toc515647786"/>
      <w:bookmarkStart w:id="187" w:name="_Toc20126"/>
      <w:bookmarkStart w:id="188" w:name="_Toc31289"/>
      <w:bookmarkStart w:id="189" w:name="_Toc8176"/>
      <w:bookmarkStart w:id="190" w:name="_Toc24972"/>
      <w:bookmarkStart w:id="191" w:name="_Toc520356169"/>
      <w:r>
        <w:rPr>
          <w:rFonts w:hint="eastAsia" w:ascii="宋体" w:hAnsi="宋体" w:eastAsia="宋体" w:cs="宋体"/>
          <w:color w:val="auto"/>
          <w:u w:val="none"/>
        </w:rPr>
        <w:t>25.保密原则</w:t>
      </w:r>
      <w:bookmarkEnd w:id="186"/>
      <w:bookmarkEnd w:id="187"/>
      <w:bookmarkEnd w:id="188"/>
      <w:bookmarkEnd w:id="189"/>
      <w:bookmarkEnd w:id="190"/>
    </w:p>
    <w:p>
      <w:pPr>
        <w:spacing w:line="42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25.1</w:t>
      </w:r>
      <w:r>
        <w:rPr>
          <w:rFonts w:hint="eastAsia" w:ascii="宋体" w:hAnsi="宋体" w:eastAsia="宋体" w:cs="宋体"/>
          <w:color w:val="auto"/>
          <w:sz w:val="24"/>
        </w:rPr>
        <w:tab/>
      </w:r>
      <w:r>
        <w:rPr>
          <w:rFonts w:hint="eastAsia" w:ascii="宋体" w:hAnsi="宋体" w:eastAsia="宋体" w:cs="宋体"/>
          <w:color w:val="auto"/>
          <w:sz w:val="24"/>
        </w:rPr>
        <w:t>评标将在严格保密的情况下进行。</w:t>
      </w:r>
    </w:p>
    <w:p>
      <w:pPr>
        <w:spacing w:line="420" w:lineRule="exact"/>
        <w:ind w:left="900" w:hanging="900" w:hangingChars="375"/>
        <w:rPr>
          <w:rFonts w:hint="eastAsia" w:ascii="宋体" w:hAnsi="宋体" w:eastAsia="宋体" w:cs="宋体"/>
          <w:color w:val="auto"/>
        </w:rPr>
      </w:pPr>
      <w:r>
        <w:rPr>
          <w:rFonts w:hint="eastAsia" w:ascii="宋体" w:hAnsi="宋体" w:eastAsia="宋体" w:cs="宋体"/>
          <w:color w:val="auto"/>
          <w:sz w:val="24"/>
        </w:rPr>
        <w:t>25.2</w:t>
      </w:r>
      <w:r>
        <w:rPr>
          <w:rFonts w:hint="eastAsia" w:ascii="宋体" w:hAnsi="宋体" w:eastAsia="宋体" w:cs="宋体"/>
          <w:color w:val="auto"/>
          <w:sz w:val="24"/>
        </w:rPr>
        <w:tab/>
      </w:r>
      <w:r>
        <w:rPr>
          <w:rFonts w:hint="eastAsia" w:ascii="宋体" w:hAnsi="宋体" w:eastAsia="宋体" w:cs="宋体"/>
          <w:color w:val="auto"/>
          <w:sz w:val="24"/>
        </w:rPr>
        <w:t>政府采购评审专家应当遵守评审工作纪律，不得泄露评审文件、评审情况和评审中获悉的商业秘密。</w:t>
      </w:r>
    </w:p>
    <w:p>
      <w:pPr>
        <w:pStyle w:val="4"/>
        <w:spacing w:before="0" w:line="420" w:lineRule="exact"/>
        <w:ind w:left="1080" w:leftChars="257" w:hanging="540"/>
        <w:rPr>
          <w:rFonts w:hint="eastAsia" w:ascii="宋体" w:hAnsi="宋体" w:eastAsia="宋体" w:cs="宋体"/>
          <w:color w:val="auto"/>
          <w:sz w:val="24"/>
        </w:rPr>
      </w:pPr>
      <w:bookmarkStart w:id="192" w:name="_Toc23904"/>
      <w:bookmarkStart w:id="193" w:name="_Toc216582810"/>
      <w:bookmarkStart w:id="194" w:name="_Toc515647787"/>
      <w:bookmarkStart w:id="195" w:name="_Toc12143"/>
      <w:bookmarkStart w:id="196" w:name="_Toc31195"/>
      <w:bookmarkStart w:id="197" w:name="_Toc18799"/>
      <w:r>
        <w:rPr>
          <w:rFonts w:hint="eastAsia" w:ascii="宋体" w:hAnsi="宋体" w:eastAsia="宋体" w:cs="宋体"/>
          <w:color w:val="auto"/>
          <w:sz w:val="24"/>
        </w:rPr>
        <w:t xml:space="preserve">六   </w:t>
      </w:r>
      <w:bookmarkEnd w:id="191"/>
      <w:r>
        <w:rPr>
          <w:rFonts w:hint="eastAsia" w:ascii="宋体" w:hAnsi="宋体" w:eastAsia="宋体" w:cs="宋体"/>
          <w:color w:val="auto"/>
          <w:sz w:val="24"/>
        </w:rPr>
        <w:t>确定</w:t>
      </w:r>
      <w:bookmarkEnd w:id="192"/>
      <w:bookmarkEnd w:id="193"/>
      <w:bookmarkEnd w:id="194"/>
      <w:bookmarkEnd w:id="195"/>
      <w:bookmarkEnd w:id="196"/>
      <w:r>
        <w:rPr>
          <w:rFonts w:hint="eastAsia" w:ascii="宋体" w:hAnsi="宋体" w:eastAsia="宋体" w:cs="宋体"/>
          <w:color w:val="auto"/>
          <w:sz w:val="24"/>
        </w:rPr>
        <w:t>成交</w:t>
      </w:r>
      <w:bookmarkEnd w:id="197"/>
    </w:p>
    <w:p>
      <w:pPr>
        <w:pStyle w:val="5"/>
        <w:spacing w:line="420" w:lineRule="exact"/>
        <w:ind w:firstLine="0"/>
        <w:rPr>
          <w:rFonts w:hint="eastAsia" w:ascii="宋体" w:hAnsi="宋体" w:eastAsia="宋体" w:cs="宋体"/>
          <w:color w:val="auto"/>
        </w:rPr>
      </w:pPr>
    </w:p>
    <w:p>
      <w:pPr>
        <w:pStyle w:val="2"/>
        <w:spacing w:before="0" w:after="0" w:line="420" w:lineRule="exact"/>
        <w:rPr>
          <w:rFonts w:hint="eastAsia" w:ascii="宋体" w:hAnsi="宋体" w:eastAsia="宋体" w:cs="宋体"/>
          <w:color w:val="auto"/>
          <w:u w:val="none"/>
        </w:rPr>
      </w:pPr>
      <w:bookmarkStart w:id="198" w:name="_Toc4774"/>
      <w:bookmarkStart w:id="199" w:name="_Toc23617"/>
      <w:bookmarkStart w:id="200" w:name="_Toc515647788"/>
      <w:bookmarkStart w:id="201" w:name="_Toc520356170"/>
      <w:bookmarkStart w:id="202" w:name="_Ref467307010"/>
      <w:bookmarkStart w:id="203" w:name="_Toc23762"/>
      <w:bookmarkStart w:id="204" w:name="_Toc28416"/>
      <w:r>
        <w:rPr>
          <w:rFonts w:hint="eastAsia" w:ascii="宋体" w:hAnsi="宋体" w:eastAsia="宋体" w:cs="宋体"/>
          <w:color w:val="auto"/>
          <w:u w:val="none"/>
        </w:rPr>
        <w:t>26.成交候选人的确定原则及标准</w:t>
      </w:r>
      <w:bookmarkEnd w:id="198"/>
      <w:bookmarkEnd w:id="199"/>
      <w:bookmarkEnd w:id="200"/>
      <w:bookmarkEnd w:id="201"/>
      <w:bookmarkEnd w:id="202"/>
      <w:bookmarkEnd w:id="203"/>
      <w:bookmarkEnd w:id="204"/>
    </w:p>
    <w:p>
      <w:pPr>
        <w:spacing w:line="42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除第28条规定外，对实质上响应磋商文件的供应商按下列方法进行排序，确定磋商候选人：</w:t>
      </w:r>
    </w:p>
    <w:p>
      <w:pPr>
        <w:spacing w:line="380" w:lineRule="exact"/>
        <w:ind w:left="901"/>
        <w:rPr>
          <w:rFonts w:hint="eastAsia" w:ascii="宋体" w:hAnsi="宋体" w:eastAsia="宋体" w:cs="宋体"/>
          <w:b/>
          <w:bCs/>
          <w:color w:val="auto"/>
          <w:sz w:val="24"/>
          <w:u w:val="single"/>
        </w:rPr>
      </w:pPr>
      <w:bookmarkStart w:id="205" w:name="_Toc520356171"/>
      <w:bookmarkStart w:id="206" w:name="_Toc515647789"/>
      <w:r>
        <w:rPr>
          <w:rFonts w:hint="eastAsia" w:ascii="宋体" w:hAnsi="宋体" w:eastAsia="宋体" w:cs="宋体"/>
          <w:b/>
          <w:bCs/>
          <w:color w:val="auto"/>
          <w:sz w:val="24"/>
          <w:u w:val="single"/>
        </w:rPr>
        <w:t>采用综合评分法的，评标结果按评审后得分由高到低顺序排列。得分相同的，按修正和扣除后的磋商报价由低到高顺序排列。得分与磋商报价均相同的处理方式详见磋商文件第6章。</w:t>
      </w:r>
    </w:p>
    <w:p>
      <w:pPr>
        <w:pStyle w:val="2"/>
        <w:tabs>
          <w:tab w:val="left" w:pos="900"/>
        </w:tabs>
        <w:spacing w:before="0" w:after="0" w:line="240" w:lineRule="atLeast"/>
        <w:rPr>
          <w:rFonts w:hint="eastAsia" w:ascii="宋体" w:hAnsi="宋体" w:eastAsia="宋体" w:cs="宋体"/>
          <w:color w:val="auto"/>
          <w:u w:val="none"/>
        </w:rPr>
      </w:pPr>
      <w:bookmarkStart w:id="207" w:name="_Toc23951"/>
      <w:bookmarkStart w:id="208" w:name="_Toc9653"/>
      <w:bookmarkStart w:id="209" w:name="_Toc17933"/>
      <w:bookmarkStart w:id="210" w:name="_Toc30196"/>
      <w:r>
        <w:rPr>
          <w:rFonts w:hint="eastAsia" w:ascii="宋体" w:hAnsi="宋体" w:eastAsia="宋体" w:cs="宋体"/>
          <w:color w:val="auto"/>
          <w:u w:val="none"/>
        </w:rPr>
        <w:t>27</w:t>
      </w:r>
      <w:bookmarkEnd w:id="205"/>
      <w:r>
        <w:rPr>
          <w:rFonts w:hint="eastAsia" w:ascii="宋体" w:hAnsi="宋体" w:eastAsia="宋体" w:cs="宋体"/>
          <w:color w:val="auto"/>
          <w:u w:val="none"/>
        </w:rPr>
        <w:t>.确定成交候选人和</w:t>
      </w:r>
      <w:bookmarkEnd w:id="206"/>
      <w:bookmarkEnd w:id="207"/>
      <w:bookmarkEnd w:id="208"/>
      <w:bookmarkEnd w:id="209"/>
      <w:r>
        <w:rPr>
          <w:rFonts w:hint="eastAsia" w:ascii="宋体" w:hAnsi="宋体" w:eastAsia="宋体" w:cs="宋体"/>
          <w:color w:val="auto"/>
          <w:u w:val="none"/>
        </w:rPr>
        <w:t>成交人</w:t>
      </w:r>
      <w:bookmarkEnd w:id="210"/>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磋商小组将根据评标标准，按</w:t>
      </w:r>
      <w:r>
        <w:rPr>
          <w:rFonts w:hint="eastAsia" w:ascii="宋体" w:hAnsi="宋体" w:eastAsia="宋体" w:cs="宋体"/>
          <w:color w:val="auto"/>
          <w:sz w:val="24"/>
          <w:u w:val="single"/>
        </w:rPr>
        <w:t>供应商须知资料表中</w:t>
      </w:r>
      <w:r>
        <w:rPr>
          <w:rFonts w:hint="eastAsia" w:ascii="宋体" w:hAnsi="宋体" w:eastAsia="宋体" w:cs="宋体"/>
          <w:color w:val="auto"/>
          <w:sz w:val="24"/>
        </w:rPr>
        <w:t>规定数量推荐成交候选人；</w:t>
      </w:r>
      <w:r>
        <w:rPr>
          <w:rFonts w:hint="eastAsia" w:ascii="宋体" w:hAnsi="宋体" w:eastAsia="宋体" w:cs="宋体"/>
          <w:b/>
          <w:bCs/>
          <w:color w:val="auto"/>
          <w:sz w:val="24"/>
          <w:u w:val="single"/>
        </w:rPr>
        <w:t>磋商小组应当根据综合评分情况，按照评审得分由高到低顺序推荐3名成交候选供应商</w:t>
      </w:r>
      <w:r>
        <w:rPr>
          <w:rFonts w:hint="eastAsia" w:ascii="宋体" w:hAnsi="宋体" w:eastAsia="宋体" w:cs="宋体"/>
          <w:color w:val="auto"/>
          <w:sz w:val="24"/>
        </w:rPr>
        <w:t>或根据采购人的委托，直接确定成交人。</w:t>
      </w:r>
    </w:p>
    <w:p>
      <w:pPr>
        <w:pStyle w:val="2"/>
        <w:tabs>
          <w:tab w:val="left" w:pos="900"/>
        </w:tabs>
        <w:spacing w:before="0" w:after="0" w:line="240" w:lineRule="atLeast"/>
        <w:rPr>
          <w:rFonts w:hint="eastAsia" w:ascii="宋体" w:hAnsi="宋体" w:eastAsia="宋体" w:cs="宋体"/>
          <w:color w:val="auto"/>
          <w:u w:val="none"/>
        </w:rPr>
      </w:pPr>
      <w:bookmarkStart w:id="211" w:name="_Toc520356173"/>
      <w:bookmarkStart w:id="212" w:name="_Ref467306874"/>
      <w:bookmarkStart w:id="213" w:name="_Toc8389"/>
      <w:bookmarkStart w:id="214" w:name="_Toc28562"/>
      <w:bookmarkStart w:id="215" w:name="_Toc3345"/>
      <w:bookmarkStart w:id="216" w:name="_Toc7729"/>
      <w:bookmarkStart w:id="217" w:name="_Toc515647790"/>
      <w:r>
        <w:rPr>
          <w:rFonts w:hint="eastAsia" w:ascii="宋体" w:hAnsi="宋体" w:eastAsia="宋体" w:cs="宋体"/>
          <w:color w:val="auto"/>
          <w:u w:val="none"/>
        </w:rPr>
        <w:t>28.</w:t>
      </w:r>
      <w:bookmarkEnd w:id="211"/>
      <w:bookmarkEnd w:id="212"/>
      <w:r>
        <w:rPr>
          <w:rFonts w:hint="eastAsia" w:ascii="宋体" w:hAnsi="宋体" w:eastAsia="宋体" w:cs="宋体"/>
          <w:color w:val="auto"/>
          <w:u w:val="none"/>
        </w:rPr>
        <w:t>采购任务取消</w:t>
      </w:r>
      <w:bookmarkEnd w:id="213"/>
      <w:bookmarkEnd w:id="214"/>
      <w:bookmarkEnd w:id="215"/>
      <w:bookmarkEnd w:id="216"/>
      <w:bookmarkEnd w:id="217"/>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因重大变故采购任务取消时，采购人有权拒绝任何供应商成交，且对受影响的供应商不承担任何责任。</w:t>
      </w:r>
      <w:bookmarkStart w:id="218" w:name="_Toc520356174"/>
    </w:p>
    <w:p>
      <w:pPr>
        <w:pStyle w:val="2"/>
        <w:spacing w:before="0" w:after="0" w:line="240" w:lineRule="atLeast"/>
        <w:rPr>
          <w:rFonts w:hint="eastAsia" w:ascii="宋体" w:hAnsi="宋体" w:eastAsia="宋体" w:cs="宋体"/>
          <w:color w:val="auto"/>
          <w:u w:val="none"/>
        </w:rPr>
      </w:pPr>
      <w:bookmarkStart w:id="219" w:name="_Toc30170"/>
      <w:bookmarkStart w:id="220" w:name="_Toc15270"/>
      <w:bookmarkStart w:id="221" w:name="_Toc19201"/>
      <w:bookmarkStart w:id="222" w:name="_Toc515647791"/>
      <w:bookmarkStart w:id="223" w:name="_Toc31099"/>
      <w:r>
        <w:rPr>
          <w:rFonts w:hint="eastAsia" w:ascii="宋体" w:hAnsi="宋体" w:eastAsia="宋体" w:cs="宋体"/>
          <w:color w:val="auto"/>
          <w:u w:val="none"/>
        </w:rPr>
        <w:t>29.</w:t>
      </w:r>
      <w:bookmarkEnd w:id="218"/>
      <w:r>
        <w:rPr>
          <w:rFonts w:hint="eastAsia" w:ascii="宋体" w:hAnsi="宋体" w:eastAsia="宋体" w:cs="宋体"/>
          <w:color w:val="auto"/>
          <w:u w:val="none"/>
        </w:rPr>
        <w:t>成交通知书和招标结果通知书</w:t>
      </w:r>
      <w:bookmarkEnd w:id="219"/>
      <w:bookmarkEnd w:id="220"/>
      <w:bookmarkEnd w:id="221"/>
      <w:bookmarkEnd w:id="222"/>
      <w:bookmarkEnd w:id="223"/>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29.1</w:t>
      </w:r>
      <w:r>
        <w:rPr>
          <w:rFonts w:hint="eastAsia" w:ascii="宋体" w:hAnsi="宋体" w:eastAsia="宋体" w:cs="宋体"/>
          <w:color w:val="auto"/>
          <w:sz w:val="24"/>
        </w:rPr>
        <w:tab/>
      </w:r>
      <w:r>
        <w:rPr>
          <w:rFonts w:hint="eastAsia" w:ascii="宋体" w:hAnsi="宋体" w:eastAsia="宋体" w:cs="宋体"/>
          <w:color w:val="auto"/>
          <w:sz w:val="24"/>
        </w:rPr>
        <w:t>在磋商有效期内，成交人确定后，采购人或者采购代理机构发布成交公告，同时以书面形式向成交人发出成交通知书。</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29.2</w:t>
      </w:r>
      <w:r>
        <w:rPr>
          <w:rFonts w:hint="eastAsia" w:ascii="宋体" w:hAnsi="宋体" w:eastAsia="宋体" w:cs="宋体"/>
          <w:color w:val="auto"/>
          <w:sz w:val="24"/>
        </w:rPr>
        <w:tab/>
      </w:r>
      <w:r>
        <w:rPr>
          <w:rFonts w:hint="eastAsia" w:ascii="宋体" w:hAnsi="宋体" w:eastAsia="宋体" w:cs="宋体"/>
          <w:color w:val="auto"/>
          <w:sz w:val="24"/>
        </w:rPr>
        <w:t>成交通知书是合同的组成部分。</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29.3    招标结果通知书和成交通知书同时发出。招标结果通知书中将告知未通过资格审查的供应商未通过的原因；采用综合评分法评审的，还将告知未成交人本人的评审得分和排序。</w:t>
      </w:r>
    </w:p>
    <w:p>
      <w:pPr>
        <w:pStyle w:val="2"/>
        <w:spacing w:before="0" w:after="0" w:line="240" w:lineRule="atLeast"/>
        <w:rPr>
          <w:rFonts w:hint="eastAsia" w:ascii="宋体" w:hAnsi="宋体" w:eastAsia="宋体" w:cs="宋体"/>
          <w:color w:val="auto"/>
          <w:u w:val="none"/>
        </w:rPr>
      </w:pPr>
      <w:bookmarkStart w:id="224" w:name="_Toc520356175"/>
      <w:bookmarkStart w:id="225" w:name="_Toc12744"/>
      <w:bookmarkStart w:id="226" w:name="_Toc7779"/>
      <w:bookmarkStart w:id="227" w:name="_Ref467307204"/>
      <w:bookmarkStart w:id="228" w:name="_Toc790"/>
      <w:bookmarkStart w:id="229" w:name="_Ref467307062"/>
      <w:bookmarkStart w:id="230" w:name="_Toc515647792"/>
      <w:bookmarkStart w:id="231" w:name="_Ref467306377"/>
      <w:bookmarkStart w:id="232" w:name="_Toc15063"/>
      <w:bookmarkStart w:id="233" w:name="_Ref467306978"/>
      <w:r>
        <w:rPr>
          <w:rFonts w:hint="eastAsia" w:ascii="宋体" w:hAnsi="宋体" w:eastAsia="宋体" w:cs="宋体"/>
          <w:color w:val="auto"/>
          <w:u w:val="none"/>
        </w:rPr>
        <w:t>30.签订合同</w:t>
      </w:r>
      <w:bookmarkEnd w:id="224"/>
      <w:bookmarkEnd w:id="225"/>
      <w:bookmarkEnd w:id="226"/>
      <w:bookmarkEnd w:id="227"/>
      <w:bookmarkEnd w:id="228"/>
      <w:bookmarkEnd w:id="229"/>
      <w:bookmarkEnd w:id="230"/>
      <w:bookmarkEnd w:id="231"/>
      <w:bookmarkEnd w:id="232"/>
      <w:bookmarkEnd w:id="233"/>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30.1</w:t>
      </w:r>
      <w:r>
        <w:rPr>
          <w:rFonts w:hint="eastAsia" w:ascii="宋体" w:hAnsi="宋体" w:eastAsia="宋体" w:cs="宋体"/>
          <w:color w:val="auto"/>
          <w:sz w:val="24"/>
        </w:rPr>
        <w:tab/>
      </w:r>
      <w:r>
        <w:rPr>
          <w:rFonts w:hint="eastAsia" w:ascii="宋体" w:hAnsi="宋体" w:eastAsia="宋体" w:cs="宋体"/>
          <w:color w:val="auto"/>
          <w:sz w:val="24"/>
        </w:rPr>
        <w:t>成交人应当自发出成交通知书之日起30日内，与采购人签订合同。</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30.2</w:t>
      </w:r>
      <w:r>
        <w:rPr>
          <w:rFonts w:hint="eastAsia" w:ascii="宋体" w:hAnsi="宋体" w:eastAsia="宋体" w:cs="宋体"/>
          <w:color w:val="auto"/>
          <w:sz w:val="24"/>
        </w:rPr>
        <w:tab/>
      </w:r>
      <w:bookmarkStart w:id="234" w:name="_Toc520356176"/>
      <w:bookmarkStart w:id="235" w:name="_Ref467306425"/>
      <w:bookmarkStart w:id="236" w:name="_Ref467307090"/>
      <w:r>
        <w:rPr>
          <w:rFonts w:hint="eastAsia" w:ascii="宋体" w:hAnsi="宋体" w:eastAsia="宋体" w:cs="宋体"/>
          <w:color w:val="auto"/>
          <w:sz w:val="24"/>
        </w:rPr>
        <w:t>磋商文件、成交人的响应文件及其澄清文件等，均为签订合同的依据。</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30.3   成交人拒绝与采购人签订合同的，采购人可以按照评审报告推荐的成交</w:t>
      </w:r>
    </w:p>
    <w:p>
      <w:pPr>
        <w:spacing w:line="300" w:lineRule="exact"/>
        <w:ind w:left="958" w:leftChars="456" w:firstLine="60" w:firstLineChars="25"/>
        <w:rPr>
          <w:rFonts w:hint="eastAsia" w:ascii="宋体" w:hAnsi="宋体" w:eastAsia="宋体" w:cs="宋体"/>
          <w:color w:val="auto"/>
          <w:sz w:val="24"/>
        </w:rPr>
      </w:pPr>
      <w:r>
        <w:rPr>
          <w:rFonts w:hint="eastAsia" w:ascii="宋体" w:hAnsi="宋体" w:eastAsia="宋体" w:cs="宋体"/>
          <w:color w:val="auto"/>
          <w:sz w:val="24"/>
        </w:rPr>
        <w:t>候选人名单排序，确定下一成交候选人为成交人，也可以重新开展政府采购活动。</w:t>
      </w:r>
    </w:p>
    <w:p>
      <w:pPr>
        <w:spacing w:line="30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30.4   当出现法规规定的</w:t>
      </w:r>
      <w:r>
        <w:rPr>
          <w:rFonts w:hint="eastAsia" w:ascii="宋体" w:hAnsi="宋体" w:eastAsia="宋体" w:cs="宋体"/>
          <w:b/>
          <w:color w:val="auto"/>
          <w:sz w:val="24"/>
        </w:rPr>
        <w:t>成交无效或成交结果无效</w:t>
      </w:r>
      <w:r>
        <w:rPr>
          <w:rFonts w:hint="eastAsia" w:ascii="宋体" w:hAnsi="宋体" w:eastAsia="宋体" w:cs="宋体"/>
          <w:color w:val="auto"/>
          <w:sz w:val="24"/>
        </w:rPr>
        <w:t>情形时，采购人可与排名下一位的成交候选人另行签订合同，或依法重新开展采购活动。</w:t>
      </w:r>
    </w:p>
    <w:p>
      <w:pPr>
        <w:pStyle w:val="2"/>
        <w:spacing w:before="0" w:after="0" w:line="240" w:lineRule="atLeast"/>
        <w:rPr>
          <w:rFonts w:hint="eastAsia" w:ascii="宋体" w:hAnsi="宋体" w:eastAsia="宋体" w:cs="宋体"/>
          <w:color w:val="auto"/>
          <w:u w:val="none"/>
        </w:rPr>
      </w:pPr>
      <w:bookmarkStart w:id="237" w:name="_Toc22555"/>
      <w:bookmarkStart w:id="238" w:name="_Toc23643"/>
      <w:bookmarkStart w:id="239" w:name="_Toc6921"/>
      <w:bookmarkStart w:id="240" w:name="_Toc515647793"/>
      <w:bookmarkStart w:id="241" w:name="_Toc14080"/>
      <w:r>
        <w:rPr>
          <w:rFonts w:hint="eastAsia" w:ascii="宋体" w:hAnsi="宋体" w:eastAsia="宋体" w:cs="宋体"/>
          <w:color w:val="auto"/>
          <w:u w:val="none"/>
        </w:rPr>
        <w:t>31.履约保证金</w:t>
      </w:r>
      <w:bookmarkEnd w:id="234"/>
      <w:bookmarkEnd w:id="235"/>
      <w:bookmarkEnd w:id="236"/>
      <w:bookmarkEnd w:id="237"/>
      <w:bookmarkEnd w:id="238"/>
      <w:bookmarkEnd w:id="239"/>
      <w:bookmarkEnd w:id="240"/>
      <w:bookmarkEnd w:id="241"/>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31.1</w:t>
      </w:r>
      <w:r>
        <w:rPr>
          <w:rFonts w:hint="eastAsia" w:ascii="宋体" w:hAnsi="宋体" w:eastAsia="宋体" w:cs="宋体"/>
          <w:color w:val="auto"/>
          <w:sz w:val="24"/>
        </w:rPr>
        <w:tab/>
      </w:r>
      <w:r>
        <w:rPr>
          <w:rFonts w:hint="eastAsia" w:ascii="宋体" w:hAnsi="宋体" w:eastAsia="宋体" w:cs="宋体"/>
          <w:color w:val="auto"/>
          <w:sz w:val="24"/>
        </w:rPr>
        <w:t>成交人应按照</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规定向采购人缴纳履约保证金（如采用保函形式，格式见本章附件1）。</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31.2</w:t>
      </w:r>
      <w:r>
        <w:rPr>
          <w:rFonts w:hint="eastAsia" w:ascii="宋体" w:hAnsi="宋体" w:eastAsia="宋体" w:cs="宋体"/>
          <w:color w:val="auto"/>
          <w:sz w:val="24"/>
        </w:rPr>
        <w:tab/>
      </w:r>
      <w:r>
        <w:rPr>
          <w:rFonts w:hint="eastAsia" w:ascii="宋体" w:hAnsi="宋体" w:eastAsia="宋体" w:cs="宋体"/>
          <w:color w:val="auto"/>
          <w:sz w:val="24"/>
        </w:rPr>
        <w:t>政府采购利用担保试点范围内的项目，除31.1规定的情形外，成交人也可以按照财政部门的规定，向采购人提供合格的履约担保函（格式见本章附件2）。</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31.3   如果成交人没有按照上述履约保证金的规定执行，将视为放弃成交资格，成交人的磋商保证金将不予退还。在此情况下，采购人可确定下一候选人为成交人，也可以重新开展采购活动。</w:t>
      </w:r>
    </w:p>
    <w:p>
      <w:pPr>
        <w:pStyle w:val="2"/>
        <w:spacing w:before="0" w:after="0" w:line="240" w:lineRule="atLeast"/>
        <w:rPr>
          <w:rFonts w:hint="eastAsia" w:ascii="宋体" w:hAnsi="宋体" w:eastAsia="宋体" w:cs="宋体"/>
          <w:color w:val="auto"/>
          <w:u w:val="none"/>
        </w:rPr>
      </w:pPr>
      <w:bookmarkStart w:id="242" w:name="_Toc515647794"/>
      <w:bookmarkStart w:id="243" w:name="_Toc3090"/>
      <w:bookmarkStart w:id="244" w:name="_Toc29652"/>
      <w:bookmarkStart w:id="245" w:name="_Toc29408"/>
      <w:bookmarkStart w:id="246" w:name="_Toc15839"/>
      <w:r>
        <w:rPr>
          <w:rFonts w:hint="eastAsia" w:ascii="宋体" w:hAnsi="宋体" w:eastAsia="宋体" w:cs="宋体"/>
          <w:color w:val="auto"/>
          <w:u w:val="none"/>
        </w:rPr>
        <w:t>32.成交</w:t>
      </w:r>
      <w:r>
        <w:rPr>
          <w:rFonts w:hint="eastAsia" w:ascii="宋体" w:hAnsi="宋体" w:eastAsia="宋体" w:cs="宋体"/>
          <w:color w:val="auto"/>
          <w:u w:val="none"/>
          <w:lang w:val="en-US" w:eastAsia="zh-CN"/>
        </w:rPr>
        <w:t>服务</w:t>
      </w:r>
      <w:r>
        <w:rPr>
          <w:rFonts w:hint="eastAsia" w:ascii="宋体" w:hAnsi="宋体" w:eastAsia="宋体" w:cs="宋体"/>
          <w:color w:val="auto"/>
          <w:u w:val="none"/>
        </w:rPr>
        <w:t>费</w:t>
      </w:r>
      <w:bookmarkEnd w:id="242"/>
      <w:bookmarkEnd w:id="243"/>
      <w:bookmarkEnd w:id="244"/>
      <w:bookmarkEnd w:id="245"/>
      <w:bookmarkEnd w:id="246"/>
    </w:p>
    <w:p>
      <w:pPr>
        <w:spacing w:line="240" w:lineRule="atLeast"/>
        <w:ind w:left="840" w:leftChars="200" w:hanging="420" w:hangingChars="175"/>
        <w:rPr>
          <w:rFonts w:hint="eastAsia" w:ascii="宋体" w:hAnsi="宋体" w:eastAsia="宋体" w:cs="宋体"/>
          <w:color w:val="auto"/>
          <w:sz w:val="24"/>
        </w:rPr>
      </w:pPr>
      <w:r>
        <w:rPr>
          <w:rFonts w:hint="eastAsia" w:ascii="宋体" w:hAnsi="宋体" w:eastAsia="宋体" w:cs="宋体"/>
          <w:color w:val="auto"/>
          <w:sz w:val="24"/>
        </w:rPr>
        <w:t xml:space="preserve">   成交人须按照</w:t>
      </w:r>
      <w:r>
        <w:rPr>
          <w:rFonts w:hint="eastAsia" w:ascii="宋体" w:hAnsi="宋体" w:eastAsia="宋体" w:cs="宋体"/>
          <w:color w:val="auto"/>
          <w:sz w:val="24"/>
          <w:u w:val="single"/>
        </w:rPr>
        <w:t>磋商须知资料表</w:t>
      </w:r>
      <w:r>
        <w:rPr>
          <w:rFonts w:hint="eastAsia" w:ascii="宋体" w:hAnsi="宋体" w:eastAsia="宋体" w:cs="宋体"/>
          <w:color w:val="auto"/>
          <w:sz w:val="24"/>
        </w:rPr>
        <w:t>规定，向采购代理机构支付成交</w:t>
      </w:r>
      <w:r>
        <w:rPr>
          <w:rFonts w:hint="eastAsia" w:ascii="宋体" w:hAnsi="宋体" w:eastAsia="宋体" w:cs="宋体"/>
          <w:color w:val="auto"/>
          <w:sz w:val="24"/>
          <w:lang w:val="en-US" w:eastAsia="zh-CN"/>
        </w:rPr>
        <w:t>服务</w:t>
      </w:r>
      <w:r>
        <w:rPr>
          <w:rFonts w:hint="eastAsia" w:ascii="宋体" w:hAnsi="宋体" w:eastAsia="宋体" w:cs="宋体"/>
          <w:color w:val="auto"/>
          <w:sz w:val="24"/>
        </w:rPr>
        <w:t>费。</w:t>
      </w:r>
    </w:p>
    <w:p>
      <w:pPr>
        <w:pStyle w:val="2"/>
        <w:spacing w:before="0" w:after="0" w:line="240" w:lineRule="atLeast"/>
        <w:rPr>
          <w:rFonts w:hint="eastAsia" w:ascii="宋体" w:hAnsi="宋体" w:eastAsia="宋体" w:cs="宋体"/>
          <w:color w:val="auto"/>
          <w:u w:val="none"/>
        </w:rPr>
      </w:pPr>
      <w:bookmarkStart w:id="247" w:name="_Toc515647795"/>
      <w:bookmarkStart w:id="248" w:name="_Toc6923"/>
      <w:bookmarkStart w:id="249" w:name="_Toc1343"/>
      <w:bookmarkStart w:id="250" w:name="_Toc7049"/>
      <w:bookmarkStart w:id="251" w:name="_Toc15312"/>
      <w:r>
        <w:rPr>
          <w:rFonts w:hint="eastAsia" w:ascii="宋体" w:hAnsi="宋体" w:eastAsia="宋体" w:cs="宋体"/>
          <w:color w:val="auto"/>
          <w:u w:val="none"/>
        </w:rPr>
        <w:t>33.政府采购信用担保</w:t>
      </w:r>
      <w:bookmarkEnd w:id="247"/>
      <w:bookmarkEnd w:id="248"/>
      <w:bookmarkEnd w:id="249"/>
      <w:bookmarkEnd w:id="250"/>
      <w:bookmarkEnd w:id="251"/>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33.1   本项目是否属于信用担保试点范围见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spacing w:line="320" w:lineRule="exact"/>
        <w:ind w:left="850" w:hanging="849" w:hangingChars="354"/>
        <w:rPr>
          <w:rFonts w:hint="eastAsia" w:ascii="宋体" w:hAnsi="宋体" w:eastAsia="宋体" w:cs="宋体"/>
          <w:color w:val="auto"/>
          <w:sz w:val="24"/>
        </w:rPr>
      </w:pPr>
      <w:r>
        <w:rPr>
          <w:rFonts w:hint="eastAsia" w:ascii="宋体" w:hAnsi="宋体" w:eastAsia="宋体" w:cs="宋体"/>
          <w:color w:val="auto"/>
          <w:sz w:val="24"/>
        </w:rPr>
        <w:t>33.2   如属于政府采购信用担保试点范围内，中小型企业供应商可以自由按照财政部门的规定，采用磋商担保、履约担保和融资担保。</w:t>
      </w:r>
    </w:p>
    <w:p>
      <w:pPr>
        <w:spacing w:line="320" w:lineRule="exact"/>
        <w:ind w:left="900" w:hanging="900" w:hangingChars="375"/>
        <w:rPr>
          <w:rFonts w:hint="eastAsia" w:ascii="宋体" w:hAnsi="宋体" w:eastAsia="宋体" w:cs="宋体"/>
          <w:color w:val="auto"/>
          <w:sz w:val="24"/>
        </w:rPr>
      </w:pPr>
      <w:r>
        <w:rPr>
          <w:rFonts w:hint="eastAsia" w:ascii="宋体" w:hAnsi="宋体" w:eastAsia="宋体" w:cs="宋体"/>
          <w:color w:val="auto"/>
          <w:sz w:val="24"/>
        </w:rPr>
        <w:t>33.2.1 供应商递交的磋商担保函和履约担保函应符合本磋商文件的规定。</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33.2.2 成交人可以采取融资担保的形式为政府采购项目履约进行融资。</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33.2.3 合格的政府采购专业信用担保机构名单见</w:t>
      </w:r>
      <w:r>
        <w:rPr>
          <w:rFonts w:hint="eastAsia" w:ascii="宋体" w:hAnsi="宋体" w:eastAsia="宋体" w:cs="宋体"/>
          <w:color w:val="auto"/>
          <w:sz w:val="24"/>
          <w:u w:val="single"/>
        </w:rPr>
        <w:t>供应商须知资料表</w:t>
      </w:r>
      <w:r>
        <w:rPr>
          <w:rFonts w:hint="eastAsia" w:ascii="宋体" w:hAnsi="宋体" w:eastAsia="宋体" w:cs="宋体"/>
          <w:color w:val="auto"/>
          <w:sz w:val="24"/>
        </w:rPr>
        <w:t>。</w:t>
      </w:r>
    </w:p>
    <w:p>
      <w:pPr>
        <w:pStyle w:val="2"/>
        <w:spacing w:before="0" w:after="0" w:line="240" w:lineRule="atLeast"/>
        <w:rPr>
          <w:rFonts w:hint="eastAsia" w:ascii="宋体" w:hAnsi="宋体" w:eastAsia="宋体" w:cs="宋体"/>
          <w:color w:val="auto"/>
          <w:u w:val="none"/>
        </w:rPr>
      </w:pPr>
      <w:bookmarkStart w:id="252" w:name="_Toc18423"/>
      <w:bookmarkStart w:id="253" w:name="_Toc515647796"/>
      <w:bookmarkStart w:id="254" w:name="_Toc9673"/>
      <w:bookmarkStart w:id="255" w:name="_Toc2133"/>
      <w:bookmarkStart w:id="256" w:name="_Toc23999"/>
      <w:r>
        <w:rPr>
          <w:rFonts w:hint="eastAsia" w:ascii="宋体" w:hAnsi="宋体" w:eastAsia="宋体" w:cs="宋体"/>
          <w:color w:val="auto"/>
          <w:u w:val="none"/>
        </w:rPr>
        <w:t>34.廉洁自律规定</w:t>
      </w:r>
      <w:bookmarkEnd w:id="252"/>
      <w:bookmarkEnd w:id="253"/>
      <w:bookmarkEnd w:id="254"/>
      <w:bookmarkEnd w:id="255"/>
      <w:bookmarkEnd w:id="256"/>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34.3   为强化采购代理机构内部监督机制，供应商可按</w:t>
      </w:r>
      <w:r>
        <w:rPr>
          <w:rFonts w:hint="eastAsia" w:ascii="宋体" w:hAnsi="宋体" w:eastAsia="宋体" w:cs="宋体"/>
          <w:color w:val="auto"/>
          <w:sz w:val="24"/>
          <w:u w:val="single"/>
        </w:rPr>
        <w:t>供应商须知资料表中的</w:t>
      </w:r>
      <w:r>
        <w:rPr>
          <w:rFonts w:hint="eastAsia" w:ascii="宋体" w:hAnsi="宋体" w:eastAsia="宋体" w:cs="宋体"/>
          <w:color w:val="auto"/>
          <w:sz w:val="24"/>
        </w:rPr>
        <w:t>监督电话和邮箱，反映采购代理机构的廉洁自律等问题。</w:t>
      </w:r>
    </w:p>
    <w:p>
      <w:pPr>
        <w:pStyle w:val="2"/>
        <w:spacing w:before="0" w:after="0" w:line="240" w:lineRule="atLeast"/>
        <w:rPr>
          <w:rFonts w:hint="eastAsia" w:ascii="宋体" w:hAnsi="宋体" w:eastAsia="宋体" w:cs="宋体"/>
          <w:color w:val="auto"/>
          <w:u w:val="none"/>
        </w:rPr>
      </w:pPr>
      <w:bookmarkStart w:id="257" w:name="_Toc515647797"/>
      <w:bookmarkStart w:id="258" w:name="_Toc25480"/>
      <w:bookmarkStart w:id="259" w:name="_Toc3386"/>
      <w:bookmarkStart w:id="260" w:name="_Toc2371"/>
      <w:bookmarkStart w:id="261" w:name="_Toc11586"/>
      <w:r>
        <w:rPr>
          <w:rFonts w:hint="eastAsia" w:ascii="宋体" w:hAnsi="宋体" w:eastAsia="宋体" w:cs="宋体"/>
          <w:color w:val="auto"/>
          <w:u w:val="none"/>
        </w:rPr>
        <w:t>35.人员回避</w:t>
      </w:r>
      <w:bookmarkEnd w:id="257"/>
      <w:bookmarkEnd w:id="258"/>
      <w:bookmarkEnd w:id="259"/>
      <w:bookmarkEnd w:id="260"/>
      <w:bookmarkEnd w:id="261"/>
    </w:p>
    <w:p>
      <w:pPr>
        <w:spacing w:line="240" w:lineRule="atLeast"/>
        <w:ind w:left="900" w:hanging="900" w:hangingChars="375"/>
        <w:rPr>
          <w:rFonts w:hint="eastAsia" w:ascii="宋体" w:hAnsi="宋体" w:eastAsia="宋体" w:cs="宋体"/>
          <w:color w:val="auto"/>
          <w:sz w:val="24"/>
        </w:rPr>
      </w:pPr>
      <w:r>
        <w:rPr>
          <w:rFonts w:hint="eastAsia" w:ascii="宋体" w:hAnsi="宋体" w:eastAsia="宋体" w:cs="宋体"/>
          <w:color w:val="auto"/>
          <w:sz w:val="24"/>
        </w:rPr>
        <w:t xml:space="preserve">       供应商认为采购人员及其相关人员有法律法规所列与其他供应商有利害关系的，可以向采购人或采购代理机构书面提出回避申请，并说明理由。</w:t>
      </w:r>
    </w:p>
    <w:p>
      <w:pPr>
        <w:pStyle w:val="2"/>
        <w:spacing w:before="0" w:after="0" w:line="240" w:lineRule="atLeast"/>
        <w:rPr>
          <w:rFonts w:hint="eastAsia" w:ascii="宋体" w:hAnsi="宋体" w:eastAsia="宋体" w:cs="宋体"/>
          <w:color w:val="auto"/>
          <w:u w:val="none"/>
        </w:rPr>
      </w:pPr>
      <w:bookmarkStart w:id="262" w:name="_Toc27914"/>
      <w:bookmarkStart w:id="263" w:name="_Toc1148"/>
      <w:bookmarkStart w:id="264" w:name="_Toc25962"/>
      <w:bookmarkStart w:id="265" w:name="_Toc515647798"/>
      <w:bookmarkStart w:id="266" w:name="_Toc11115"/>
      <w:r>
        <w:rPr>
          <w:rFonts w:hint="eastAsia" w:ascii="宋体" w:hAnsi="宋体" w:eastAsia="宋体" w:cs="宋体"/>
          <w:color w:val="auto"/>
          <w:u w:val="none"/>
        </w:rPr>
        <w:t>36.质疑与接收</w:t>
      </w:r>
      <w:bookmarkEnd w:id="262"/>
      <w:bookmarkEnd w:id="263"/>
      <w:bookmarkEnd w:id="264"/>
      <w:bookmarkEnd w:id="265"/>
      <w:bookmarkEnd w:id="266"/>
    </w:p>
    <w:p>
      <w:pPr>
        <w:spacing w:line="240" w:lineRule="atLeast"/>
        <w:ind w:left="851" w:leftChars="68" w:hanging="708" w:hangingChars="295"/>
        <w:rPr>
          <w:rFonts w:hint="eastAsia" w:ascii="宋体" w:hAnsi="宋体" w:eastAsia="宋体" w:cs="宋体"/>
          <w:color w:val="auto"/>
          <w:sz w:val="24"/>
        </w:rPr>
      </w:pPr>
      <w:r>
        <w:rPr>
          <w:rFonts w:hint="eastAsia" w:ascii="宋体" w:hAnsi="宋体" w:eastAsia="宋体" w:cs="宋体"/>
          <w:color w:val="auto"/>
          <w:sz w:val="24"/>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hint="eastAsia" w:ascii="宋体" w:hAnsi="宋体" w:eastAsia="宋体" w:cs="宋体"/>
          <w:color w:val="auto"/>
          <w:sz w:val="24"/>
        </w:rPr>
      </w:pPr>
      <w:r>
        <w:rPr>
          <w:rFonts w:hint="eastAsia" w:ascii="宋体" w:hAnsi="宋体" w:eastAsia="宋体" w:cs="宋体"/>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hint="eastAsia" w:ascii="宋体" w:hAnsi="宋体" w:eastAsia="宋体" w:cs="宋体"/>
          <w:color w:val="auto"/>
          <w:sz w:val="24"/>
        </w:rPr>
      </w:pPr>
      <w:r>
        <w:rPr>
          <w:rFonts w:hint="eastAsia" w:ascii="宋体" w:hAnsi="宋体" w:eastAsia="宋体" w:cs="宋体"/>
          <w:color w:val="auto"/>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hint="eastAsia" w:ascii="宋体" w:hAnsi="宋体" w:eastAsia="宋体" w:cs="宋体"/>
          <w:color w:val="auto"/>
          <w:sz w:val="24"/>
        </w:rPr>
      </w:pPr>
      <w:r>
        <w:rPr>
          <w:rFonts w:hint="eastAsia" w:ascii="宋体" w:hAnsi="宋体" w:eastAsia="宋体" w:cs="宋体"/>
          <w:color w:val="auto"/>
          <w:sz w:val="24"/>
        </w:rPr>
        <w:t>36.3  采购代理机构质疑函接收部门、联系电话和通讯地址, 见</w:t>
      </w:r>
      <w:r>
        <w:rPr>
          <w:rFonts w:hint="eastAsia" w:ascii="宋体" w:hAnsi="宋体" w:eastAsia="宋体" w:cs="宋体"/>
          <w:color w:val="auto"/>
          <w:sz w:val="24"/>
          <w:u w:val="single"/>
        </w:rPr>
        <w:t>供应商须知资料表。</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35.4   质疑的提出</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35.5   本采购文件中所称质疑及答复，是指参加本次采购活动的供应商对政府采购活动中的采购文件、采购过程和成交结果向采购方提出质疑，采购方答复质疑的行为。</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（一）对可以质疑的采购文件提出质疑的，为收到采购文件之日或者采购文件公告期限届满之日；</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（二）对采购过程提出质疑的，为各采购程序环节结束之日；</w:t>
      </w:r>
    </w:p>
    <w:p>
      <w:pPr>
        <w:spacing w:line="400" w:lineRule="exact"/>
        <w:ind w:firstLine="720" w:firstLineChars="300"/>
        <w:jc w:val="left"/>
        <w:rPr>
          <w:rFonts w:hint="eastAsia" w:ascii="宋体" w:hAnsi="宋体" w:eastAsia="宋体" w:cs="宋体"/>
          <w:color w:val="auto"/>
          <w:sz w:val="24"/>
        </w:rPr>
      </w:pPr>
      <w:r>
        <w:rPr>
          <w:rFonts w:hint="eastAsia" w:ascii="宋体" w:hAnsi="宋体" w:eastAsia="宋体" w:cs="宋体"/>
          <w:color w:val="auto"/>
          <w:sz w:val="24"/>
        </w:rPr>
        <w:t>（三）对成交结果提出质疑的，为成交结果公告期限届满之日。</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35.7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35.9   提出质疑应当符合下列条件：</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（一）质疑主体应当符合有关规定；</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（二）在质疑法定期限内提出；</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（三）属于可以提出质疑的政府采购事项受理范围和本项目采购人的管辖权范围；</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（四）政府采购法律、法规、规章规定的其他条件。</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35.11  质疑人所提供的证明材料应当具有真实性、合法性以及与质疑事项的关联性和证明力，否则不能作为认定该质疑事项成立的依据。</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35.12  质疑人提出质疑时应当提交质疑函。质疑函包括下列内容：</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（一）提出质疑的质疑人的名称、地址、邮编、联系人及联系电话等；</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（二）质疑项目的名称、编号；</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（三）质疑事项；</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（四）事实依据和证明材料；</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（五）法律依据；</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（六）提出质疑的日期。</w:t>
      </w:r>
    </w:p>
    <w:p>
      <w:pPr>
        <w:spacing w:line="400" w:lineRule="exact"/>
        <w:ind w:left="958" w:leftChars="456" w:firstLine="60" w:firstLineChars="25"/>
        <w:jc w:val="left"/>
        <w:rPr>
          <w:rFonts w:hint="eastAsia" w:ascii="宋体" w:hAnsi="宋体" w:eastAsia="宋体" w:cs="宋体"/>
          <w:color w:val="auto"/>
          <w:sz w:val="24"/>
        </w:rPr>
      </w:pPr>
      <w:r>
        <w:rPr>
          <w:rFonts w:hint="eastAsia" w:ascii="宋体" w:hAnsi="宋体" w:eastAsia="宋体" w:cs="宋体"/>
          <w:color w:val="auto"/>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35.13  质疑人可以委托代理人进行质疑。代理人应当提交授权委托书。授权委托书应当载明委托代理的具体权限、期限和相关事项。</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35.14  质疑的审查和受理</w:t>
      </w:r>
    </w:p>
    <w:p>
      <w:pPr>
        <w:spacing w:line="400" w:lineRule="exact"/>
        <w:ind w:left="840" w:leftChars="400"/>
        <w:jc w:val="left"/>
        <w:rPr>
          <w:rFonts w:hint="eastAsia" w:ascii="宋体" w:hAnsi="宋体" w:eastAsia="宋体" w:cs="宋体"/>
          <w:color w:val="auto"/>
          <w:sz w:val="24"/>
        </w:rPr>
      </w:pPr>
      <w:r>
        <w:rPr>
          <w:rFonts w:hint="eastAsia" w:ascii="宋体" w:hAnsi="宋体" w:eastAsia="宋体" w:cs="宋体"/>
          <w:color w:val="auto"/>
          <w:sz w:val="24"/>
        </w:rPr>
        <w:t>采购方在收到质疑函后应当及时审查是否符合质疑受理条件，对符合质疑受理条件的，及时予以受理。</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35.15  对不符合质疑受理条件的，分别按照下列不同情形予以处理：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（一）质疑函内容不符合规定的，告知质疑人进行修改并重新提出质疑。修改后质疑事项仍不具体、不明确或者最终递交质疑函的时间超过质疑法定期限的，不予受理；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（二）质疑主体不符合有关规定的，告知质疑人不予受理；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（三）超过质疑法定期限提出质疑的，告知质疑人不予受理；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（四）对不属于可以提出质疑的政府采购事项提出质疑的，告知质疑人不予受理；</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（五）质疑不属于本项目采购方管辖的，告知质疑人向有管辖权的采购人提出质疑；</w:t>
      </w:r>
    </w:p>
    <w:p>
      <w:pPr>
        <w:spacing w:line="400" w:lineRule="exact"/>
        <w:ind w:left="898" w:leftChars="342" w:hanging="180" w:hangingChars="75"/>
        <w:jc w:val="left"/>
        <w:rPr>
          <w:rFonts w:hint="eastAsia" w:ascii="宋体" w:hAnsi="宋体" w:eastAsia="宋体" w:cs="宋体"/>
          <w:color w:val="auto"/>
          <w:sz w:val="24"/>
        </w:rPr>
      </w:pPr>
      <w:r>
        <w:rPr>
          <w:rFonts w:hint="eastAsia" w:ascii="宋体" w:hAnsi="宋体" w:eastAsia="宋体" w:cs="宋体"/>
          <w:color w:val="auto"/>
          <w:sz w:val="24"/>
        </w:rPr>
        <w:t>（六）质疑不符合其他条件的，告知质疑人不予受理。</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35.16  质疑的处理和答复</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35.17  采购方受理质疑后，将及时把质疑函发送给被质疑人，并要求其在一定限期内提交书面答复，同时提供有关证据、依据和相关材料。</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35.18  对于质疑事项中涉及的问题较多、情况比较复杂的，为了全面查清事实、取得充分的证据，采购方认为有必要时，可以进行调查取证或者组织质证。</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35.19  对评审过程、成交结果提出质疑的，采购方可以组织原评审委员会协助答复质疑。</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35.20  质疑处理过程中，质疑人书面申请撤回质疑的，将终止质疑处理程序。</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35.21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35.22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hint="eastAsia" w:ascii="宋体" w:hAnsi="宋体" w:eastAsia="宋体" w:cs="宋体"/>
          <w:color w:val="auto"/>
          <w:sz w:val="24"/>
        </w:rPr>
      </w:pPr>
      <w:r>
        <w:rPr>
          <w:rFonts w:hint="eastAsia" w:ascii="宋体" w:hAnsi="宋体" w:eastAsia="宋体" w:cs="宋体"/>
          <w:color w:val="auto"/>
          <w:sz w:val="24"/>
        </w:rPr>
        <w:t>35.23  采购方将在正式受理质疑后7个工作日内作出答复。</w:t>
      </w:r>
    </w:p>
    <w:p>
      <w:pPr>
        <w:pStyle w:val="27"/>
        <w:spacing w:line="400" w:lineRule="exact"/>
        <w:rPr>
          <w:rFonts w:hint="eastAsia" w:ascii="宋体" w:hAnsi="宋体" w:eastAsia="宋体" w:cs="宋体"/>
          <w:color w:val="auto"/>
        </w:rPr>
      </w:pPr>
      <w:r>
        <w:rPr>
          <w:rFonts w:hint="eastAsia" w:ascii="宋体" w:hAnsi="宋体" w:eastAsia="宋体" w:cs="宋体"/>
          <w:color w:val="auto"/>
        </w:rPr>
        <w:t>35.24  质疑答复应当包括下列内容：</w:t>
      </w:r>
    </w:p>
    <w:p>
      <w:pPr>
        <w:pStyle w:val="27"/>
        <w:spacing w:line="400" w:lineRule="exact"/>
        <w:ind w:left="840" w:leftChars="400"/>
        <w:rPr>
          <w:rFonts w:hint="eastAsia" w:ascii="宋体" w:hAnsi="宋体" w:eastAsia="宋体" w:cs="宋体"/>
          <w:color w:val="auto"/>
        </w:rPr>
      </w:pPr>
      <w:r>
        <w:rPr>
          <w:rFonts w:hint="eastAsia" w:ascii="宋体" w:hAnsi="宋体" w:eastAsia="宋体" w:cs="宋体"/>
          <w:color w:val="auto"/>
        </w:rPr>
        <w:t>（一）质疑人的姓名或者名称；</w:t>
      </w:r>
    </w:p>
    <w:p>
      <w:pPr>
        <w:pStyle w:val="27"/>
        <w:spacing w:line="400" w:lineRule="exact"/>
        <w:ind w:left="840" w:leftChars="400"/>
        <w:rPr>
          <w:rFonts w:hint="eastAsia" w:ascii="宋体" w:hAnsi="宋体" w:eastAsia="宋体" w:cs="宋体"/>
          <w:color w:val="auto"/>
        </w:rPr>
      </w:pPr>
      <w:r>
        <w:rPr>
          <w:rFonts w:hint="eastAsia" w:ascii="宋体" w:hAnsi="宋体" w:eastAsia="宋体" w:cs="宋体"/>
          <w:color w:val="auto"/>
        </w:rPr>
        <w:t>（二）收到质疑函的日期、质疑项目名称及编号；</w:t>
      </w:r>
    </w:p>
    <w:p>
      <w:pPr>
        <w:pStyle w:val="27"/>
        <w:spacing w:line="400" w:lineRule="exact"/>
        <w:ind w:left="840" w:leftChars="400"/>
        <w:rPr>
          <w:rFonts w:hint="eastAsia" w:ascii="宋体" w:hAnsi="宋体" w:eastAsia="宋体" w:cs="宋体"/>
          <w:color w:val="auto"/>
        </w:rPr>
      </w:pPr>
      <w:r>
        <w:rPr>
          <w:rFonts w:hint="eastAsia" w:ascii="宋体" w:hAnsi="宋体" w:eastAsia="宋体" w:cs="宋体"/>
          <w:color w:val="auto"/>
        </w:rPr>
        <w:t>（三）质疑事项、质疑答复的具体内容、事实依据和法律依据；</w:t>
      </w:r>
    </w:p>
    <w:p>
      <w:pPr>
        <w:pStyle w:val="27"/>
        <w:spacing w:line="400" w:lineRule="exact"/>
        <w:ind w:left="840" w:leftChars="400"/>
        <w:rPr>
          <w:rFonts w:hint="eastAsia" w:ascii="宋体" w:hAnsi="宋体" w:eastAsia="宋体" w:cs="宋体"/>
          <w:color w:val="auto"/>
        </w:rPr>
      </w:pPr>
      <w:r>
        <w:rPr>
          <w:rFonts w:hint="eastAsia" w:ascii="宋体" w:hAnsi="宋体" w:eastAsia="宋体" w:cs="宋体"/>
          <w:color w:val="auto"/>
        </w:rPr>
        <w:t>（四）告知质疑供应商依法投诉的权利；</w:t>
      </w:r>
    </w:p>
    <w:p>
      <w:pPr>
        <w:pStyle w:val="27"/>
        <w:spacing w:line="400" w:lineRule="exact"/>
        <w:ind w:left="840" w:leftChars="400"/>
        <w:rPr>
          <w:rFonts w:hint="eastAsia" w:ascii="宋体" w:hAnsi="宋体" w:eastAsia="宋体" w:cs="宋体"/>
          <w:color w:val="auto"/>
        </w:rPr>
      </w:pPr>
      <w:r>
        <w:rPr>
          <w:rFonts w:hint="eastAsia" w:ascii="宋体" w:hAnsi="宋体" w:eastAsia="宋体" w:cs="宋体"/>
          <w:color w:val="auto"/>
        </w:rPr>
        <w:t>（五）质疑答复人名称；</w:t>
      </w:r>
    </w:p>
    <w:p>
      <w:pPr>
        <w:pStyle w:val="27"/>
        <w:spacing w:line="400" w:lineRule="exact"/>
        <w:ind w:left="840" w:leftChars="400"/>
        <w:rPr>
          <w:rFonts w:hint="eastAsia" w:ascii="宋体" w:hAnsi="宋体" w:eastAsia="宋体" w:cs="宋体"/>
          <w:color w:val="auto"/>
        </w:rPr>
      </w:pPr>
      <w:r>
        <w:rPr>
          <w:rFonts w:hint="eastAsia" w:ascii="宋体" w:hAnsi="宋体" w:eastAsia="宋体" w:cs="宋体"/>
          <w:color w:val="auto"/>
        </w:rPr>
        <w:t>（六）答复质疑的日期。</w:t>
      </w:r>
    </w:p>
    <w:p>
      <w:pPr>
        <w:spacing w:line="400" w:lineRule="exact"/>
        <w:jc w:val="center"/>
        <w:rPr>
          <w:rFonts w:hint="eastAsia" w:ascii="宋体" w:hAnsi="宋体" w:eastAsia="宋体" w:cs="宋体"/>
          <w:b/>
          <w:bCs/>
          <w:color w:val="auto"/>
          <w:sz w:val="24"/>
        </w:rPr>
      </w:pPr>
    </w:p>
    <w:p>
      <w:pPr>
        <w:spacing w:line="400" w:lineRule="exact"/>
        <w:jc w:val="center"/>
        <w:outlineLvl w:val="2"/>
        <w:rPr>
          <w:rFonts w:hint="eastAsia" w:ascii="宋体" w:hAnsi="宋体" w:eastAsia="宋体" w:cs="宋体"/>
          <w:b/>
          <w:bCs/>
          <w:color w:val="auto"/>
          <w:sz w:val="24"/>
        </w:rPr>
      </w:pPr>
      <w:bookmarkStart w:id="267" w:name="_Toc32737"/>
      <w:bookmarkStart w:id="268" w:name="_Toc24577"/>
      <w:r>
        <w:rPr>
          <w:rFonts w:hint="eastAsia" w:ascii="宋体" w:hAnsi="宋体" w:eastAsia="宋体" w:cs="宋体"/>
          <w:b/>
          <w:bCs/>
          <w:color w:val="auto"/>
          <w:sz w:val="24"/>
        </w:rPr>
        <w:t>质疑函范本</w:t>
      </w:r>
      <w:bookmarkEnd w:id="267"/>
      <w:bookmarkEnd w:id="268"/>
    </w:p>
    <w:p>
      <w:pPr>
        <w:adjustRightInd w:val="0"/>
        <w:snapToGrid w:val="0"/>
        <w:spacing w:before="240" w:beforeLines="100" w:line="400" w:lineRule="exact"/>
        <w:rPr>
          <w:rFonts w:hint="eastAsia" w:ascii="宋体" w:hAnsi="宋体" w:eastAsia="宋体" w:cs="宋体"/>
          <w:bCs/>
          <w:color w:val="auto"/>
          <w:sz w:val="24"/>
        </w:rPr>
      </w:pPr>
      <w:r>
        <w:rPr>
          <w:rFonts w:hint="eastAsia" w:ascii="宋体" w:hAnsi="宋体" w:eastAsia="宋体" w:cs="宋体"/>
          <w:bCs/>
          <w:color w:val="auto"/>
          <w:sz w:val="24"/>
        </w:rPr>
        <w:t>一、质疑供应商基本信息</w:t>
      </w:r>
    </w:p>
    <w:p>
      <w:pPr>
        <w:adjustRightInd w:val="0"/>
        <w:snapToGrid w:val="0"/>
        <w:spacing w:line="400" w:lineRule="exact"/>
        <w:rPr>
          <w:rFonts w:hint="eastAsia" w:ascii="宋体" w:hAnsi="宋体" w:eastAsia="宋体" w:cs="宋体"/>
          <w:color w:val="auto"/>
          <w:sz w:val="24"/>
          <w:u w:val="dotted"/>
        </w:rPr>
      </w:pPr>
      <w:r>
        <w:rPr>
          <w:rFonts w:hint="eastAsia" w:ascii="宋体" w:hAnsi="宋体" w:eastAsia="宋体" w:cs="宋体"/>
          <w:color w:val="auto"/>
          <w:sz w:val="24"/>
        </w:rPr>
        <w:t>质疑供应商：</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联系人：</w:t>
      </w:r>
      <w:r>
        <w:rPr>
          <w:rFonts w:hint="eastAsia" w:ascii="宋体" w:hAnsi="宋体" w:eastAsia="宋体" w:cs="宋体"/>
          <w:color w:val="auto"/>
          <w:sz w:val="24"/>
          <w:u w:val="dotted"/>
        </w:rPr>
        <w:t xml:space="preserve">                      </w:t>
      </w: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u w:val="dotted"/>
        </w:rPr>
      </w:pPr>
      <w:r>
        <w:rPr>
          <w:rFonts w:hint="eastAsia" w:ascii="宋体" w:hAnsi="宋体" w:eastAsia="宋体" w:cs="宋体"/>
          <w:color w:val="auto"/>
          <w:sz w:val="24"/>
        </w:rPr>
        <w:t>授权代表：</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r>
        <w:rPr>
          <w:rFonts w:hint="eastAsia" w:ascii="宋体" w:hAnsi="宋体" w:eastAsia="宋体" w:cs="宋体"/>
          <w:color w:val="auto"/>
          <w:sz w:val="24"/>
        </w:rPr>
        <w:t xml:space="preserve"> </w:t>
      </w:r>
    </w:p>
    <w:p>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地址： </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p>
    <w:p>
      <w:pPr>
        <w:adjustRightInd w:val="0"/>
        <w:snapToGrid w:val="0"/>
        <w:spacing w:before="240" w:beforeLines="100" w:line="400" w:lineRule="exact"/>
        <w:rPr>
          <w:rFonts w:hint="eastAsia" w:ascii="宋体" w:hAnsi="宋体" w:eastAsia="宋体" w:cs="宋体"/>
          <w:bCs/>
          <w:color w:val="auto"/>
          <w:sz w:val="24"/>
        </w:rPr>
      </w:pPr>
      <w:r>
        <w:rPr>
          <w:rFonts w:hint="eastAsia" w:ascii="宋体" w:hAnsi="宋体" w:eastAsia="宋体" w:cs="宋体"/>
          <w:bCs/>
          <w:color w:val="auto"/>
          <w:sz w:val="24"/>
        </w:rPr>
        <w:t>二、质疑项目基本情况</w:t>
      </w:r>
    </w:p>
    <w:p>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质疑项目的名称：</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质疑项目的编号：</w:t>
      </w:r>
      <w:r>
        <w:rPr>
          <w:rFonts w:hint="eastAsia" w:ascii="宋体" w:hAnsi="宋体" w:eastAsia="宋体" w:cs="宋体"/>
          <w:color w:val="auto"/>
          <w:sz w:val="24"/>
          <w:u w:val="dotted"/>
        </w:rPr>
        <w:t xml:space="preserve">               </w:t>
      </w:r>
      <w:r>
        <w:rPr>
          <w:rFonts w:hint="eastAsia" w:ascii="宋体" w:hAnsi="宋体" w:eastAsia="宋体" w:cs="宋体"/>
          <w:color w:val="auto"/>
          <w:sz w:val="24"/>
        </w:rPr>
        <w:t>包号：</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u w:val="dotted"/>
        </w:rPr>
      </w:pPr>
      <w:r>
        <w:rPr>
          <w:rFonts w:hint="eastAsia" w:ascii="宋体" w:hAnsi="宋体" w:eastAsia="宋体" w:cs="宋体"/>
          <w:color w:val="auto"/>
          <w:sz w:val="24"/>
        </w:rPr>
        <w:t>采购人名称：</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采购文件获取日期：</w:t>
      </w:r>
      <w:r>
        <w:rPr>
          <w:rFonts w:hint="eastAsia" w:ascii="宋体" w:hAnsi="宋体" w:eastAsia="宋体" w:cs="宋体"/>
          <w:color w:val="auto"/>
          <w:sz w:val="24"/>
          <w:u w:val="dotted"/>
        </w:rPr>
        <w:t xml:space="preserve">                                           </w:t>
      </w:r>
    </w:p>
    <w:p>
      <w:pPr>
        <w:adjustRightInd w:val="0"/>
        <w:snapToGrid w:val="0"/>
        <w:spacing w:before="240" w:beforeLines="100" w:line="400" w:lineRule="exact"/>
        <w:rPr>
          <w:rFonts w:hint="eastAsia" w:ascii="宋体" w:hAnsi="宋体" w:eastAsia="宋体" w:cs="宋体"/>
          <w:bCs/>
          <w:color w:val="auto"/>
          <w:sz w:val="24"/>
        </w:rPr>
      </w:pPr>
      <w:r>
        <w:rPr>
          <w:rFonts w:hint="eastAsia" w:ascii="宋体" w:hAnsi="宋体" w:eastAsia="宋体" w:cs="宋体"/>
          <w:bCs/>
          <w:color w:val="auto"/>
          <w:sz w:val="24"/>
        </w:rPr>
        <w:t>三、质疑事项具体内容</w:t>
      </w:r>
    </w:p>
    <w:p>
      <w:pPr>
        <w:adjustRightInd w:val="0"/>
        <w:snapToGrid w:val="0"/>
        <w:spacing w:line="400" w:lineRule="exact"/>
        <w:rPr>
          <w:rFonts w:hint="eastAsia" w:ascii="宋体" w:hAnsi="宋体" w:eastAsia="宋体" w:cs="宋体"/>
          <w:color w:val="auto"/>
          <w:sz w:val="24"/>
          <w:u w:val="dotted"/>
        </w:rPr>
      </w:pPr>
      <w:r>
        <w:rPr>
          <w:rFonts w:hint="eastAsia" w:ascii="宋体" w:hAnsi="宋体" w:eastAsia="宋体" w:cs="宋体"/>
          <w:color w:val="auto"/>
          <w:sz w:val="24"/>
        </w:rPr>
        <w:t>质疑事项1：</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u w:val="dotted"/>
        </w:rPr>
      </w:pPr>
      <w:r>
        <w:rPr>
          <w:rFonts w:hint="eastAsia" w:ascii="宋体" w:hAnsi="宋体" w:eastAsia="宋体" w:cs="宋体"/>
          <w:color w:val="auto"/>
          <w:sz w:val="24"/>
        </w:rPr>
        <w:t>事实依据：</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u w:val="dotted"/>
        </w:rPr>
      </w:pPr>
      <w:r>
        <w:rPr>
          <w:rFonts w:hint="eastAsia" w:ascii="宋体" w:hAnsi="宋体" w:eastAsia="宋体" w:cs="宋体"/>
          <w:color w:val="auto"/>
          <w:sz w:val="24"/>
        </w:rPr>
        <w:t>法律依据：</w:t>
      </w: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u w:val="dotted"/>
        </w:rPr>
      </w:pPr>
      <w:r>
        <w:rPr>
          <w:rFonts w:hint="eastAsia" w:ascii="宋体" w:hAnsi="宋体" w:eastAsia="宋体" w:cs="宋体"/>
          <w:color w:val="auto"/>
          <w:sz w:val="24"/>
          <w:u w:val="dotted"/>
        </w:rPr>
        <w:t xml:space="preserve">                                                     </w:t>
      </w:r>
    </w:p>
    <w:p>
      <w:pPr>
        <w:adjustRightInd w:val="0"/>
        <w:snapToGrid w:val="0"/>
        <w:spacing w:line="400" w:lineRule="exact"/>
        <w:rPr>
          <w:rFonts w:hint="eastAsia" w:ascii="宋体" w:hAnsi="宋体" w:eastAsia="宋体" w:cs="宋体"/>
          <w:color w:val="auto"/>
          <w:sz w:val="24"/>
          <w:u w:val="dotted"/>
        </w:rPr>
      </w:pPr>
      <w:r>
        <w:rPr>
          <w:rFonts w:hint="eastAsia" w:ascii="宋体" w:hAnsi="宋体" w:eastAsia="宋体" w:cs="宋体"/>
          <w:color w:val="auto"/>
          <w:sz w:val="24"/>
        </w:rPr>
        <w:t>质疑事项2</w:t>
      </w:r>
    </w:p>
    <w:p>
      <w:pPr>
        <w:adjustRightInd w:val="0"/>
        <w:snapToGrid w:val="0"/>
        <w:spacing w:line="400" w:lineRule="exact"/>
        <w:rPr>
          <w:rFonts w:hint="eastAsia" w:ascii="宋体" w:hAnsi="宋体" w:eastAsia="宋体" w:cs="宋体"/>
          <w:color w:val="auto"/>
          <w:sz w:val="24"/>
        </w:rPr>
      </w:pPr>
      <w:r>
        <w:rPr>
          <w:rFonts w:hint="eastAsia" w:ascii="宋体" w:hAnsi="宋体" w:eastAsia="宋体" w:cs="宋体"/>
          <w:color w:val="auto"/>
          <w:sz w:val="24"/>
        </w:rPr>
        <w:t>……</w:t>
      </w:r>
    </w:p>
    <w:p>
      <w:pPr>
        <w:adjustRightInd w:val="0"/>
        <w:snapToGrid w:val="0"/>
        <w:spacing w:before="240" w:beforeLines="100" w:line="400" w:lineRule="exact"/>
        <w:rPr>
          <w:rFonts w:hint="eastAsia" w:ascii="宋体" w:hAnsi="宋体" w:eastAsia="宋体" w:cs="宋体"/>
          <w:bCs/>
          <w:color w:val="auto"/>
          <w:sz w:val="24"/>
        </w:rPr>
      </w:pPr>
      <w:r>
        <w:rPr>
          <w:rFonts w:hint="eastAsia" w:ascii="宋体" w:hAnsi="宋体" w:eastAsia="宋体" w:cs="宋体"/>
          <w:bCs/>
          <w:color w:val="auto"/>
          <w:sz w:val="24"/>
        </w:rPr>
        <w:t>四、与质疑事项相关的质疑请求</w:t>
      </w:r>
    </w:p>
    <w:p>
      <w:pPr>
        <w:adjustRightInd w:val="0"/>
        <w:snapToGrid w:val="0"/>
        <w:spacing w:line="400" w:lineRule="exact"/>
        <w:rPr>
          <w:rFonts w:hint="eastAsia" w:ascii="宋体" w:hAnsi="宋体" w:eastAsia="宋体" w:cs="宋体"/>
          <w:color w:val="auto"/>
          <w:sz w:val="24"/>
          <w:u w:val="dotted"/>
        </w:rPr>
      </w:pPr>
      <w:r>
        <w:rPr>
          <w:rFonts w:hint="eastAsia" w:ascii="宋体" w:hAnsi="宋体" w:eastAsia="宋体" w:cs="宋体"/>
          <w:color w:val="auto"/>
          <w:sz w:val="24"/>
        </w:rPr>
        <w:t>请求：</w:t>
      </w:r>
      <w:r>
        <w:rPr>
          <w:rFonts w:hint="eastAsia" w:ascii="宋体" w:hAnsi="宋体" w:eastAsia="宋体" w:cs="宋体"/>
          <w:color w:val="auto"/>
          <w:sz w:val="24"/>
          <w:u w:val="dotted"/>
        </w:rPr>
        <w:t xml:space="preserve">                                               </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签字(签章)：                   公章：                      </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日期：    </w:t>
      </w:r>
    </w:p>
    <w:p>
      <w:pPr>
        <w:spacing w:line="400" w:lineRule="exact"/>
        <w:rPr>
          <w:rFonts w:hint="eastAsia" w:ascii="宋体" w:hAnsi="宋体" w:eastAsia="宋体" w:cs="宋体"/>
          <w:b/>
          <w:color w:val="auto"/>
          <w:sz w:val="24"/>
        </w:rPr>
      </w:pPr>
    </w:p>
    <w:p>
      <w:pPr>
        <w:spacing w:line="400" w:lineRule="exact"/>
        <w:rPr>
          <w:rFonts w:hint="eastAsia" w:ascii="宋体" w:hAnsi="宋体" w:eastAsia="宋体" w:cs="宋体"/>
          <w:b/>
          <w:color w:val="auto"/>
          <w:sz w:val="24"/>
        </w:rPr>
      </w:pPr>
      <w:r>
        <w:rPr>
          <w:rFonts w:hint="eastAsia" w:ascii="宋体" w:hAnsi="宋体" w:eastAsia="宋体" w:cs="宋体"/>
          <w:b/>
          <w:color w:val="auto"/>
          <w:sz w:val="24"/>
        </w:rPr>
        <w:t>质疑函制作说明：</w:t>
      </w:r>
    </w:p>
    <w:p>
      <w:pPr>
        <w:widowControl/>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2.质疑供应商若委托代理人进行质疑的，质疑函应按要求列明“授权代表”的有关内容，并在附件中提交由质疑</w:t>
      </w:r>
      <w:r>
        <w:rPr>
          <w:rFonts w:hint="eastAsia" w:ascii="宋体" w:hAnsi="宋体" w:eastAsia="宋体" w:cs="宋体"/>
          <w:color w:val="auto"/>
          <w:kern w:val="0"/>
          <w:sz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6.质疑供应商为自然人的，质疑函应由本人签字；质疑供应商为法人或者其他组织的，质疑函应由法定代表人、主要负责人，或者其授权代表签字或者盖章，并加盖公章。</w:t>
      </w:r>
    </w:p>
    <w:p>
      <w:pPr>
        <w:spacing w:line="240" w:lineRule="atLeast"/>
        <w:rPr>
          <w:rFonts w:hint="eastAsia" w:ascii="宋体" w:hAnsi="宋体" w:eastAsia="宋体" w:cs="宋体"/>
          <w:color w:val="auto"/>
          <w:sz w:val="24"/>
        </w:rPr>
      </w:pPr>
    </w:p>
    <w:p>
      <w:pPr>
        <w:pStyle w:val="2"/>
        <w:outlineLvl w:val="9"/>
        <w:rPr>
          <w:rFonts w:hint="eastAsia" w:ascii="宋体" w:hAnsi="宋体" w:eastAsia="宋体" w:cs="宋体"/>
          <w:color w:val="auto"/>
          <w:sz w:val="24"/>
        </w:rPr>
      </w:pPr>
    </w:p>
    <w:p>
      <w:pPr>
        <w:rPr>
          <w:rFonts w:hint="eastAsia" w:ascii="宋体" w:hAnsi="宋体" w:eastAsia="宋体" w:cs="宋体"/>
          <w:color w:val="auto"/>
          <w:sz w:val="24"/>
        </w:rPr>
      </w:pPr>
    </w:p>
    <w:p>
      <w:pPr>
        <w:pStyle w:val="2"/>
        <w:outlineLvl w:val="9"/>
        <w:rPr>
          <w:rFonts w:hint="eastAsia" w:ascii="宋体" w:hAnsi="宋体" w:eastAsia="宋体" w:cs="宋体"/>
          <w:color w:val="auto"/>
          <w:sz w:val="24"/>
        </w:rPr>
      </w:pPr>
    </w:p>
    <w:p>
      <w:pPr>
        <w:rPr>
          <w:rFonts w:hint="eastAsia" w:ascii="宋体" w:hAnsi="宋体" w:eastAsia="宋体" w:cs="宋体"/>
          <w:color w:val="auto"/>
          <w:sz w:val="24"/>
        </w:rPr>
      </w:pPr>
    </w:p>
    <w:p>
      <w:pPr>
        <w:pStyle w:val="2"/>
        <w:outlineLvl w:val="9"/>
        <w:rPr>
          <w:rFonts w:hint="eastAsia" w:ascii="宋体" w:hAnsi="宋体" w:eastAsia="宋体" w:cs="宋体"/>
          <w:color w:val="auto"/>
          <w:sz w:val="24"/>
        </w:rPr>
      </w:pPr>
    </w:p>
    <w:p>
      <w:pPr>
        <w:rPr>
          <w:rFonts w:hint="eastAsia" w:ascii="宋体" w:hAnsi="宋体" w:eastAsia="宋体" w:cs="宋体"/>
          <w:color w:val="auto"/>
          <w:sz w:val="24"/>
        </w:rPr>
      </w:pPr>
    </w:p>
    <w:p>
      <w:pPr>
        <w:pStyle w:val="2"/>
        <w:outlineLvl w:val="9"/>
        <w:rPr>
          <w:rFonts w:hint="eastAsia" w:ascii="宋体" w:hAnsi="宋体" w:eastAsia="宋体" w:cs="宋体"/>
          <w:color w:val="auto"/>
          <w:sz w:val="24"/>
        </w:rPr>
      </w:pPr>
    </w:p>
    <w:p>
      <w:pPr>
        <w:rPr>
          <w:rFonts w:hint="eastAsia" w:ascii="宋体" w:hAnsi="宋体" w:eastAsia="宋体" w:cs="宋体"/>
          <w:color w:val="auto"/>
          <w:sz w:val="24"/>
        </w:rPr>
      </w:pPr>
    </w:p>
    <w:p>
      <w:pPr>
        <w:pStyle w:val="2"/>
        <w:outlineLvl w:val="9"/>
        <w:rPr>
          <w:rFonts w:hint="eastAsia" w:ascii="宋体" w:hAnsi="宋体" w:eastAsia="宋体" w:cs="宋体"/>
          <w:color w:val="auto"/>
          <w:sz w:val="24"/>
        </w:rPr>
      </w:pPr>
    </w:p>
    <w:p>
      <w:pPr>
        <w:rPr>
          <w:rFonts w:hint="eastAsia" w:ascii="宋体" w:hAnsi="宋体" w:eastAsia="宋体" w:cs="宋体"/>
          <w:color w:val="auto"/>
          <w:sz w:val="24"/>
        </w:rPr>
      </w:pPr>
    </w:p>
    <w:p>
      <w:pPr>
        <w:pStyle w:val="2"/>
        <w:outlineLvl w:val="9"/>
        <w:rPr>
          <w:rFonts w:hint="eastAsia" w:ascii="宋体" w:hAnsi="宋体" w:eastAsia="宋体" w:cs="宋体"/>
          <w:color w:val="auto"/>
          <w:sz w:val="24"/>
        </w:rPr>
      </w:pPr>
    </w:p>
    <w:p>
      <w:pPr>
        <w:rPr>
          <w:rFonts w:hint="eastAsia" w:ascii="宋体" w:hAnsi="宋体" w:eastAsia="宋体" w:cs="宋体"/>
          <w:color w:val="auto"/>
          <w:sz w:val="24"/>
        </w:rPr>
      </w:pPr>
    </w:p>
    <w:p>
      <w:pPr>
        <w:pStyle w:val="2"/>
        <w:outlineLvl w:val="9"/>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rPr>
      </w:pPr>
    </w:p>
    <w:p>
      <w:pPr>
        <w:pStyle w:val="3"/>
        <w:spacing w:before="0" w:after="0" w:line="240" w:lineRule="atLeast"/>
        <w:rPr>
          <w:rFonts w:hint="eastAsia" w:ascii="宋体" w:hAnsi="宋体" w:eastAsia="宋体" w:cs="宋体"/>
          <w:color w:val="auto"/>
          <w:sz w:val="24"/>
        </w:rPr>
      </w:pPr>
      <w:bookmarkStart w:id="269" w:name="_Toc702"/>
      <w:bookmarkStart w:id="270" w:name="_Toc216582812"/>
      <w:bookmarkStart w:id="271" w:name="_Toc11589"/>
      <w:bookmarkStart w:id="272" w:name="_Toc515647802"/>
      <w:bookmarkStart w:id="273" w:name="_Toc24602"/>
      <w:bookmarkStart w:id="274" w:name="_Toc728"/>
      <w:bookmarkStart w:id="275" w:name="_Toc8372"/>
      <w:r>
        <w:rPr>
          <w:rFonts w:hint="eastAsia" w:ascii="宋体" w:hAnsi="宋体" w:eastAsia="宋体" w:cs="宋体"/>
          <w:color w:val="auto"/>
          <w:sz w:val="24"/>
          <w:szCs w:val="24"/>
        </w:rPr>
        <w:t>第2章 响应文件格式</w:t>
      </w:r>
      <w:bookmarkEnd w:id="269"/>
      <w:bookmarkEnd w:id="270"/>
      <w:bookmarkEnd w:id="271"/>
      <w:bookmarkEnd w:id="272"/>
      <w:bookmarkEnd w:id="273"/>
      <w:bookmarkEnd w:id="274"/>
      <w:bookmarkEnd w:id="275"/>
    </w:p>
    <w:p>
      <w:pPr>
        <w:pStyle w:val="4"/>
        <w:spacing w:before="0" w:line="240" w:lineRule="atLeast"/>
        <w:ind w:left="1080" w:leftChars="257" w:hanging="540"/>
        <w:rPr>
          <w:rFonts w:hint="eastAsia" w:ascii="宋体" w:hAnsi="宋体" w:eastAsia="宋体" w:cs="宋体"/>
          <w:color w:val="auto"/>
          <w:sz w:val="24"/>
        </w:rPr>
      </w:pPr>
      <w:bookmarkStart w:id="276" w:name="_Toc18694"/>
      <w:bookmarkStart w:id="277" w:name="_Toc18974"/>
      <w:bookmarkStart w:id="278" w:name="_Toc19961"/>
      <w:bookmarkStart w:id="279" w:name="_Toc1126"/>
      <w:bookmarkStart w:id="280" w:name="_Toc515647803"/>
      <w:bookmarkStart w:id="281" w:name="_Toc26489"/>
      <w:bookmarkStart w:id="282" w:name="_Toc3315"/>
      <w:bookmarkStart w:id="283" w:name="_Toc21009"/>
      <w:r>
        <w:rPr>
          <w:rFonts w:hint="eastAsia" w:ascii="宋体" w:hAnsi="宋体" w:eastAsia="宋体" w:cs="宋体"/>
          <w:color w:val="auto"/>
          <w:sz w:val="24"/>
          <w:szCs w:val="24"/>
        </w:rPr>
        <w:t>第一部分 磋商开启一览表及资格证明文件</w:t>
      </w:r>
      <w:bookmarkEnd w:id="276"/>
      <w:bookmarkEnd w:id="277"/>
      <w:bookmarkEnd w:id="278"/>
      <w:bookmarkEnd w:id="279"/>
      <w:bookmarkEnd w:id="280"/>
      <w:bookmarkEnd w:id="281"/>
      <w:bookmarkEnd w:id="282"/>
      <w:bookmarkEnd w:id="283"/>
    </w:p>
    <w:p>
      <w:pPr>
        <w:tabs>
          <w:tab w:val="left" w:pos="5580"/>
        </w:tabs>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磋商报价一览表;</w:t>
      </w:r>
    </w:p>
    <w:p>
      <w:pPr>
        <w:tabs>
          <w:tab w:val="left" w:pos="5580"/>
        </w:tabs>
        <w:spacing w:line="360" w:lineRule="exact"/>
        <w:ind w:left="479" w:leftChars="228" w:firstLine="0" w:firstLineChars="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2.具有独立承担民事责任的能力；</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3.</w:t>
      </w:r>
      <w:r>
        <w:rPr>
          <w:rFonts w:hint="eastAsia" w:ascii="宋体" w:hAnsi="宋体" w:eastAsia="宋体" w:cs="宋体"/>
          <w:color w:val="auto"/>
          <w:sz w:val="24"/>
          <w:lang w:val="en-US" w:eastAsia="zh-CN"/>
        </w:rPr>
        <w:t>法人身份证明或法人授权委托书和被授权人身份有效证件；授权委托人近4个月缴纳社保证明（社保缴费凭证和个人明细表）</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4.提供会计事务所出具的2022年度财务审计报告书原件或影印件；新办企业提供银行资信证明）；</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5.税务部门出具的近四个月的完税证明（或由税务局出具的无拖欠税收证明，零申报需加盖税务机关鲜章）；</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6.投标人必须提供“信用中国”网站（www.creditchina.gov.cn）、中国政府采购网（www.ccgp.gov.cn）渠道信用记录失信执行人、重大税收违法案件当事人名单、政府采购严重违法失信行为记录名单的投标人，（提供查询结果网页截图并加盖供应商公章）；</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7.参加政府采购活动前三年内，在经营活动中没有重大违法记录声明；（自拟）投标单位（供应商）提供针对本次采购项目的《反商业贿赂承诺书》；</w:t>
      </w:r>
    </w:p>
    <w:p>
      <w:pPr>
        <w:tabs>
          <w:tab w:val="left" w:pos="5580"/>
        </w:tabs>
        <w:spacing w:line="3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8、投标保证金缴纳证明；</w:t>
      </w:r>
    </w:p>
    <w:p>
      <w:pPr>
        <w:tabs>
          <w:tab w:val="left" w:pos="5580"/>
        </w:tabs>
        <w:spacing w:line="3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提供有利于磋商的其他证明材料;</w:t>
      </w:r>
    </w:p>
    <w:p>
      <w:pPr>
        <w:tabs>
          <w:tab w:val="left" w:pos="5580"/>
        </w:tabs>
        <w:spacing w:line="360" w:lineRule="exact"/>
        <w:ind w:left="1" w:firstLine="564" w:firstLineChars="235"/>
        <w:jc w:val="left"/>
        <w:rPr>
          <w:rFonts w:hint="eastAsia" w:ascii="宋体" w:hAnsi="宋体" w:eastAsia="宋体" w:cs="宋体"/>
          <w:color w:val="auto"/>
          <w:sz w:val="24"/>
        </w:rPr>
      </w:pPr>
    </w:p>
    <w:p>
      <w:pPr>
        <w:pStyle w:val="20"/>
        <w:ind w:firstLine="480"/>
        <w:jc w:val="left"/>
        <w:rPr>
          <w:rFonts w:hint="eastAsia" w:ascii="宋体" w:hAnsi="宋体" w:eastAsia="宋体" w:cs="宋体"/>
          <w:color w:val="auto"/>
        </w:rPr>
      </w:pPr>
    </w:p>
    <w:p>
      <w:pPr>
        <w:pStyle w:val="20"/>
        <w:ind w:firstLine="480"/>
        <w:jc w:val="left"/>
        <w:rPr>
          <w:rFonts w:hint="eastAsia" w:ascii="宋体" w:hAnsi="宋体" w:eastAsia="宋体" w:cs="宋体"/>
          <w:color w:val="auto"/>
        </w:rPr>
      </w:pPr>
    </w:p>
    <w:p>
      <w:pPr>
        <w:pStyle w:val="20"/>
        <w:ind w:firstLine="480"/>
        <w:rPr>
          <w:rFonts w:hint="eastAsia" w:ascii="宋体" w:hAnsi="宋体" w:eastAsia="宋体" w:cs="宋体"/>
          <w:color w:val="auto"/>
        </w:rPr>
      </w:pPr>
    </w:p>
    <w:p>
      <w:pPr>
        <w:pStyle w:val="20"/>
        <w:ind w:firstLine="480"/>
        <w:rPr>
          <w:rFonts w:hint="eastAsia" w:ascii="宋体" w:hAnsi="宋体" w:eastAsia="宋体" w:cs="宋体"/>
          <w:color w:val="auto"/>
        </w:rPr>
      </w:pPr>
    </w:p>
    <w:p>
      <w:pPr>
        <w:pStyle w:val="4"/>
        <w:spacing w:before="0" w:line="240" w:lineRule="atLeast"/>
        <w:jc w:val="both"/>
        <w:outlineLvl w:val="9"/>
        <w:rPr>
          <w:rFonts w:hint="eastAsia" w:ascii="宋体" w:hAnsi="宋体" w:eastAsia="宋体" w:cs="宋体"/>
          <w:color w:val="auto"/>
          <w:sz w:val="24"/>
          <w:szCs w:val="24"/>
        </w:rPr>
      </w:pPr>
      <w:bookmarkStart w:id="284" w:name="_Toc31089"/>
      <w:bookmarkStart w:id="285" w:name="_Toc16750"/>
      <w:bookmarkStart w:id="286" w:name="_Toc30630"/>
      <w:bookmarkStart w:id="287" w:name="_Toc30524"/>
      <w:bookmarkStart w:id="288" w:name="_Toc14118"/>
      <w:bookmarkStart w:id="289" w:name="_Toc16568"/>
      <w:bookmarkStart w:id="290" w:name="_Toc26846"/>
      <w:bookmarkStart w:id="291" w:name="_Toc180"/>
      <w:bookmarkStart w:id="292" w:name="_Toc18477"/>
      <w:bookmarkStart w:id="293" w:name="_Toc4431"/>
      <w:bookmarkStart w:id="294" w:name="_Toc11138"/>
      <w:bookmarkStart w:id="295" w:name="_Toc17198"/>
      <w:bookmarkStart w:id="296" w:name="_Toc3620"/>
      <w:bookmarkStart w:id="297" w:name="_Toc21484"/>
      <w:bookmarkStart w:id="298" w:name="_Toc515647804"/>
      <w:bookmarkStart w:id="299" w:name="_Toc22539"/>
      <w:bookmarkStart w:id="300" w:name="_Toc21614"/>
      <w:bookmarkStart w:id="301" w:name="_Toc480942349"/>
      <w:bookmarkStart w:id="302" w:name="_Ref467988698"/>
      <w:bookmarkStart w:id="303" w:name="_Toc520356217"/>
      <w:bookmarkStart w:id="304" w:name="_Toc216582813"/>
    </w:p>
    <w:p>
      <w:pPr>
        <w:rPr>
          <w:rFonts w:hint="eastAsia" w:ascii="宋体" w:hAnsi="宋体" w:eastAsia="宋体" w:cs="宋体"/>
        </w:rPr>
      </w:pPr>
    </w:p>
    <w:p>
      <w:pPr>
        <w:pStyle w:val="4"/>
        <w:spacing w:before="0" w:line="240" w:lineRule="atLeast"/>
        <w:jc w:val="both"/>
        <w:outlineLvl w:val="9"/>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15"/>
        <w:rPr>
          <w:rFonts w:hint="eastAsia" w:ascii="宋体" w:hAnsi="宋体" w:eastAsia="宋体" w:cs="宋体"/>
        </w:rPr>
      </w:pPr>
    </w:p>
    <w:p>
      <w:pPr>
        <w:pStyle w:val="5"/>
        <w:rPr>
          <w:rFonts w:hint="eastAsia" w:ascii="宋体" w:hAnsi="宋体" w:eastAsia="宋体" w:cs="宋体"/>
        </w:rPr>
      </w:pPr>
    </w:p>
    <w:p>
      <w:pPr>
        <w:pStyle w:val="4"/>
        <w:spacing w:before="0" w:line="240" w:lineRule="atLeast"/>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磋商报价一览表</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pStyle w:val="5"/>
        <w:tabs>
          <w:tab w:val="left" w:pos="5580"/>
        </w:tabs>
        <w:spacing w:line="240" w:lineRule="atLeast"/>
        <w:ind w:left="1080" w:leftChars="257" w:hanging="540"/>
        <w:jc w:val="center"/>
        <w:rPr>
          <w:rFonts w:hint="eastAsia" w:ascii="宋体" w:hAnsi="宋体" w:eastAsia="宋体" w:cs="宋体"/>
          <w:color w:val="auto"/>
          <w:szCs w:val="24"/>
        </w:rPr>
      </w:pPr>
      <w:bookmarkStart w:id="305" w:name="_Hlt520356241"/>
      <w:bookmarkEnd w:id="305"/>
      <w:bookmarkStart w:id="306" w:name="_Toc494296984"/>
      <w:r>
        <w:rPr>
          <w:rFonts w:hint="eastAsia" w:ascii="宋体" w:hAnsi="宋体" w:eastAsia="宋体" w:cs="宋体"/>
          <w:b/>
          <w:color w:val="auto"/>
          <w:szCs w:val="24"/>
        </w:rPr>
        <w:t>磋商报价一览表</w:t>
      </w:r>
    </w:p>
    <w:p>
      <w:pPr>
        <w:tabs>
          <w:tab w:val="left" w:pos="1800"/>
          <w:tab w:val="left" w:pos="5580"/>
        </w:tabs>
        <w:spacing w:line="240" w:lineRule="atLeast"/>
        <w:ind w:left="1080" w:leftChars="257" w:right="-867" w:rightChars="-413" w:hanging="540"/>
        <w:rPr>
          <w:rFonts w:hint="eastAsia" w:ascii="宋体" w:hAnsi="宋体" w:eastAsia="宋体" w:cs="宋体"/>
          <w:color w:val="auto"/>
          <w:sz w:val="24"/>
        </w:rPr>
      </w:pPr>
      <w:r>
        <w:rPr>
          <w:rFonts w:hint="eastAsia" w:ascii="宋体" w:hAnsi="宋体" w:eastAsia="宋体" w:cs="宋体"/>
          <w:color w:val="auto"/>
          <w:sz w:val="24"/>
        </w:rPr>
        <w:t xml:space="preserve">项目名称：　                  </w:t>
      </w:r>
      <w:r>
        <w:rPr>
          <w:rFonts w:hint="eastAsia" w:ascii="宋体" w:hAnsi="宋体" w:eastAsia="宋体" w:cs="宋体"/>
          <w:color w:val="auto"/>
          <w:sz w:val="24"/>
          <w:lang w:val="en-US" w:eastAsia="zh-CN"/>
        </w:rPr>
        <w:t>项目</w:t>
      </w:r>
      <w:r>
        <w:rPr>
          <w:rFonts w:hint="eastAsia" w:ascii="宋体" w:hAnsi="宋体" w:eastAsia="宋体" w:cs="宋体"/>
          <w:color w:val="auto"/>
          <w:sz w:val="24"/>
        </w:rPr>
        <w:t xml:space="preserve">编号：                 包号：         </w:t>
      </w:r>
    </w:p>
    <w:p>
      <w:pPr>
        <w:tabs>
          <w:tab w:val="left" w:pos="1800"/>
          <w:tab w:val="left" w:pos="5580"/>
        </w:tabs>
        <w:spacing w:line="240" w:lineRule="atLeast"/>
        <w:ind w:left="1080" w:leftChars="257" w:right="-867" w:rightChars="-413" w:hanging="540"/>
        <w:rPr>
          <w:rFonts w:hint="eastAsia" w:ascii="宋体" w:hAnsi="宋体" w:eastAsia="宋体" w:cs="宋体"/>
          <w:color w:val="auto"/>
          <w:sz w:val="24"/>
        </w:rPr>
      </w:pPr>
      <w:r>
        <w:rPr>
          <w:rFonts w:hint="eastAsia" w:ascii="宋体" w:hAnsi="宋体" w:eastAsia="宋体" w:cs="宋体"/>
          <w:color w:val="auto"/>
          <w:sz w:val="24"/>
        </w:rPr>
        <w:t xml:space="preserve">报价单位：人民币 </w:t>
      </w:r>
      <w:r>
        <w:rPr>
          <w:rFonts w:hint="eastAsia" w:ascii="宋体" w:hAnsi="宋体" w:eastAsia="宋体" w:cs="宋体"/>
          <w:b/>
          <w:color w:val="auto"/>
          <w:sz w:val="24"/>
        </w:rPr>
        <w:t>元</w:t>
      </w:r>
    </w:p>
    <w:tbl>
      <w:tblPr>
        <w:tblStyle w:val="21"/>
        <w:tblW w:w="10137" w:type="dxa"/>
        <w:tblInd w:w="-1051" w:type="dxa"/>
        <w:tblLayout w:type="fixed"/>
        <w:tblCellMar>
          <w:top w:w="0" w:type="dxa"/>
          <w:left w:w="0" w:type="dxa"/>
          <w:bottom w:w="0" w:type="dxa"/>
          <w:right w:w="0" w:type="dxa"/>
        </w:tblCellMar>
      </w:tblPr>
      <w:tblGrid>
        <w:gridCol w:w="1866"/>
        <w:gridCol w:w="2247"/>
        <w:gridCol w:w="1866"/>
        <w:gridCol w:w="1542"/>
        <w:gridCol w:w="1498"/>
        <w:gridCol w:w="1118"/>
      </w:tblGrid>
      <w:tr>
        <w:tblPrEx>
          <w:tblCellMar>
            <w:top w:w="0" w:type="dxa"/>
            <w:left w:w="0" w:type="dxa"/>
            <w:bottom w:w="0" w:type="dxa"/>
            <w:right w:w="0" w:type="dxa"/>
          </w:tblCellMar>
        </w:tblPrEx>
        <w:trPr>
          <w:trHeight w:val="847" w:hRule="atLeast"/>
        </w:trPr>
        <w:tc>
          <w:tcPr>
            <w:tcW w:w="1866"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color w:val="auto"/>
                <w:sz w:val="24"/>
              </w:rPr>
            </w:pPr>
            <w:r>
              <w:rPr>
                <w:rFonts w:hint="eastAsia" w:ascii="宋体" w:hAnsi="宋体" w:eastAsia="宋体" w:cs="宋体"/>
                <w:color w:val="auto"/>
                <w:sz w:val="24"/>
                <w:lang w:val="en-US" w:eastAsia="zh-CN"/>
              </w:rPr>
              <w:t>服务</w:t>
            </w:r>
            <w:r>
              <w:rPr>
                <w:rFonts w:hint="eastAsia" w:ascii="宋体" w:hAnsi="宋体" w:eastAsia="宋体" w:cs="宋体"/>
                <w:color w:val="auto"/>
                <w:sz w:val="24"/>
              </w:rPr>
              <w:t>名称</w:t>
            </w:r>
          </w:p>
        </w:tc>
        <w:tc>
          <w:tcPr>
            <w:tcW w:w="2247"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磋商总价</w:t>
            </w:r>
          </w:p>
        </w:tc>
        <w:tc>
          <w:tcPr>
            <w:tcW w:w="186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磋商保证金</w:t>
            </w:r>
          </w:p>
        </w:tc>
        <w:tc>
          <w:tcPr>
            <w:tcW w:w="1542"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服务期限</w:t>
            </w:r>
          </w:p>
        </w:tc>
        <w:tc>
          <w:tcPr>
            <w:tcW w:w="149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val="en-US" w:eastAsia="zh-CN"/>
              </w:rPr>
              <w:t>服务</w:t>
            </w:r>
            <w:r>
              <w:rPr>
                <w:rFonts w:hint="eastAsia" w:ascii="宋体" w:hAnsi="宋体" w:eastAsia="宋体" w:cs="宋体"/>
                <w:color w:val="auto"/>
                <w:sz w:val="24"/>
              </w:rPr>
              <w:t>地点</w:t>
            </w:r>
          </w:p>
        </w:tc>
        <w:tc>
          <w:tcPr>
            <w:tcW w:w="1118"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CellMar>
            <w:top w:w="0" w:type="dxa"/>
            <w:left w:w="0" w:type="dxa"/>
            <w:bottom w:w="0" w:type="dxa"/>
            <w:right w:w="0" w:type="dxa"/>
          </w:tblCellMar>
        </w:tblPrEx>
        <w:trPr>
          <w:cantSplit/>
          <w:trHeight w:val="1666" w:hRule="atLeast"/>
        </w:trPr>
        <w:tc>
          <w:tcPr>
            <w:tcW w:w="1866"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宋体" w:hAnsi="宋体" w:eastAsia="宋体" w:cs="宋体"/>
                <w:color w:val="auto"/>
                <w:sz w:val="24"/>
              </w:rPr>
            </w:pPr>
          </w:p>
        </w:tc>
        <w:tc>
          <w:tcPr>
            <w:tcW w:w="2247"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大写：</w:t>
            </w:r>
          </w:p>
          <w:p>
            <w:pPr>
              <w:tabs>
                <w:tab w:val="left" w:pos="5580"/>
              </w:tabs>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小写：</w:t>
            </w:r>
          </w:p>
        </w:tc>
        <w:tc>
          <w:tcPr>
            <w:tcW w:w="186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宋体" w:hAnsi="宋体" w:eastAsia="宋体" w:cs="宋体"/>
                <w:color w:val="auto"/>
                <w:sz w:val="24"/>
              </w:rPr>
            </w:pPr>
          </w:p>
        </w:tc>
        <w:tc>
          <w:tcPr>
            <w:tcW w:w="1542"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宋体" w:hAnsi="宋体" w:eastAsia="宋体" w:cs="宋体"/>
                <w:color w:val="auto"/>
                <w:sz w:val="24"/>
              </w:rPr>
            </w:pPr>
          </w:p>
        </w:tc>
        <w:tc>
          <w:tcPr>
            <w:tcW w:w="1498"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宋体" w:hAnsi="宋体" w:eastAsia="宋体" w:cs="宋体"/>
                <w:color w:val="auto"/>
                <w:sz w:val="24"/>
              </w:rPr>
            </w:pPr>
          </w:p>
        </w:tc>
        <w:tc>
          <w:tcPr>
            <w:tcW w:w="1118"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hint="eastAsia" w:ascii="宋体" w:hAnsi="宋体" w:eastAsia="宋体" w:cs="宋体"/>
                <w:color w:val="auto"/>
                <w:sz w:val="24"/>
              </w:rPr>
            </w:pPr>
          </w:p>
        </w:tc>
      </w:tr>
    </w:tbl>
    <w:p>
      <w:pPr>
        <w:pStyle w:val="11"/>
        <w:tabs>
          <w:tab w:val="left" w:pos="5580"/>
        </w:tabs>
        <w:spacing w:line="240" w:lineRule="atLeast"/>
        <w:rPr>
          <w:rFonts w:hint="eastAsia" w:ascii="宋体" w:hAnsi="宋体" w:eastAsia="宋体" w:cs="宋体"/>
          <w:color w:val="auto"/>
          <w:sz w:val="24"/>
          <w:szCs w:val="24"/>
          <w:u w:val="single"/>
        </w:rPr>
      </w:pP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11"/>
        <w:tabs>
          <w:tab w:val="left" w:pos="5580"/>
        </w:tabs>
        <w:spacing w:line="240" w:lineRule="atLeast"/>
        <w:ind w:left="1080" w:leftChars="257" w:hanging="54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法定代表人或委托代理(签字):</w:t>
      </w:r>
      <w:r>
        <w:rPr>
          <w:rFonts w:hint="eastAsia" w:ascii="宋体" w:hAnsi="宋体" w:eastAsia="宋体" w:cs="宋体"/>
          <w:color w:val="auto"/>
          <w:sz w:val="24"/>
          <w:szCs w:val="24"/>
          <w:u w:val="single"/>
        </w:rPr>
        <w:tab/>
      </w:r>
    </w:p>
    <w:p>
      <w:pPr>
        <w:pStyle w:val="11"/>
        <w:tabs>
          <w:tab w:val="left" w:pos="5580"/>
        </w:tabs>
        <w:spacing w:line="240" w:lineRule="atLeast"/>
        <w:ind w:left="1080" w:leftChars="257" w:hanging="540"/>
        <w:rPr>
          <w:rFonts w:hint="eastAsia" w:ascii="宋体" w:hAnsi="宋体" w:eastAsia="宋体" w:cs="宋体"/>
          <w:color w:val="auto"/>
          <w:sz w:val="24"/>
          <w:szCs w:val="24"/>
        </w:rPr>
      </w:pP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注: 1、此表应按供应商须知的规定装订密封。</w:t>
      </w:r>
    </w:p>
    <w:p>
      <w:pPr>
        <w:pStyle w:val="11"/>
        <w:numPr>
          <w:ilvl w:val="0"/>
          <w:numId w:val="5"/>
        </w:numPr>
        <w:tabs>
          <w:tab w:val="left" w:pos="5580"/>
        </w:tabs>
        <w:spacing w:line="240" w:lineRule="atLeast"/>
        <w:ind w:left="1079" w:leftChars="428" w:hanging="180" w:hangingChars="75"/>
        <w:rPr>
          <w:rFonts w:hint="eastAsia" w:ascii="宋体" w:hAnsi="宋体" w:eastAsia="宋体" w:cs="宋体"/>
          <w:color w:val="auto"/>
          <w:sz w:val="24"/>
          <w:szCs w:val="24"/>
        </w:rPr>
      </w:pPr>
      <w:r>
        <w:rPr>
          <w:rFonts w:hint="eastAsia" w:ascii="宋体" w:hAnsi="宋体" w:eastAsia="宋体" w:cs="宋体"/>
          <w:color w:val="auto"/>
          <w:sz w:val="24"/>
          <w:szCs w:val="24"/>
        </w:rPr>
        <w:t>此表中，磋商总价应和磋商分项报价表的总价相一致。</w:t>
      </w:r>
    </w:p>
    <w:p>
      <w:pPr>
        <w:pStyle w:val="11"/>
        <w:numPr>
          <w:ilvl w:val="0"/>
          <w:numId w:val="5"/>
        </w:numPr>
        <w:tabs>
          <w:tab w:val="left" w:pos="5580"/>
        </w:tabs>
        <w:spacing w:line="240" w:lineRule="atLeast"/>
        <w:ind w:left="1079" w:leftChars="428" w:hanging="180" w:hangingChars="75"/>
        <w:rPr>
          <w:rFonts w:hint="eastAsia" w:ascii="宋体" w:hAnsi="宋体" w:eastAsia="宋体" w:cs="宋体"/>
          <w:color w:val="auto"/>
          <w:sz w:val="24"/>
          <w:szCs w:val="24"/>
        </w:rPr>
      </w:pPr>
      <w:r>
        <w:rPr>
          <w:rFonts w:hint="eastAsia" w:ascii="宋体" w:hAnsi="宋体" w:eastAsia="宋体" w:cs="宋体"/>
          <w:color w:val="auto"/>
          <w:sz w:val="24"/>
          <w:szCs w:val="24"/>
        </w:rPr>
        <w:t>磋商商报价时包含税费等一切与本次项目相关的费用。</w:t>
      </w:r>
    </w:p>
    <w:bookmarkEnd w:id="306"/>
    <w:p>
      <w:pPr>
        <w:pStyle w:val="11"/>
        <w:tabs>
          <w:tab w:val="left" w:pos="5580"/>
        </w:tabs>
        <w:spacing w:line="240" w:lineRule="atLeast"/>
        <w:rPr>
          <w:rFonts w:hint="eastAsia" w:ascii="宋体" w:hAnsi="宋体" w:eastAsia="宋体" w:cs="宋体"/>
          <w:b/>
          <w:color w:val="auto"/>
          <w:sz w:val="24"/>
          <w:szCs w:val="24"/>
        </w:rPr>
      </w:pPr>
    </w:p>
    <w:p>
      <w:pPr>
        <w:pStyle w:val="16"/>
        <w:rPr>
          <w:rFonts w:hint="eastAsia" w:ascii="宋体" w:hAnsi="宋体" w:eastAsia="宋体" w:cs="宋体"/>
          <w:color w:val="auto"/>
        </w:rPr>
      </w:pPr>
      <w:bookmarkStart w:id="307" w:name="_Toc8241"/>
      <w:bookmarkStart w:id="308" w:name="_Toc16088"/>
      <w:bookmarkStart w:id="309" w:name="_Toc22089"/>
      <w:bookmarkStart w:id="310" w:name="_Toc16516"/>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pStyle w:val="16"/>
        <w:rPr>
          <w:rFonts w:hint="eastAsia" w:ascii="宋体" w:hAnsi="宋体" w:eastAsia="宋体" w:cs="宋体"/>
          <w:color w:val="auto"/>
        </w:rPr>
      </w:pPr>
    </w:p>
    <w:p>
      <w:pPr>
        <w:tabs>
          <w:tab w:val="left" w:pos="5580"/>
        </w:tabs>
        <w:spacing w:line="360" w:lineRule="exact"/>
        <w:ind w:firstLine="482" w:firstLineChars="200"/>
        <w:jc w:val="left"/>
        <w:rPr>
          <w:rFonts w:hint="eastAsia" w:ascii="宋体" w:hAnsi="宋体" w:eastAsia="宋体" w:cs="宋体"/>
          <w:b/>
          <w:color w:val="auto"/>
          <w:kern w:val="0"/>
          <w:sz w:val="24"/>
        </w:rPr>
      </w:pPr>
      <w:bookmarkStart w:id="311" w:name="_Toc29157"/>
    </w:p>
    <w:bookmarkEnd w:id="307"/>
    <w:bookmarkEnd w:id="308"/>
    <w:bookmarkEnd w:id="309"/>
    <w:bookmarkEnd w:id="310"/>
    <w:bookmarkEnd w:id="311"/>
    <w:p>
      <w:pPr>
        <w:tabs>
          <w:tab w:val="left" w:pos="5580"/>
        </w:tabs>
        <w:spacing w:line="360" w:lineRule="exact"/>
        <w:ind w:firstLine="480" w:firstLineChars="200"/>
        <w:jc w:val="left"/>
        <w:rPr>
          <w:rFonts w:hint="eastAsia" w:ascii="宋体" w:hAnsi="宋体" w:eastAsia="宋体" w:cs="宋体"/>
          <w:color w:val="auto"/>
          <w:kern w:val="0"/>
          <w:sz w:val="24"/>
          <w:lang w:val="en-US" w:eastAsia="zh-CN"/>
        </w:rPr>
      </w:pPr>
      <w:bookmarkStart w:id="312" w:name="_Toc4629"/>
      <w:r>
        <w:rPr>
          <w:rFonts w:hint="eastAsia" w:ascii="宋体" w:hAnsi="宋体" w:eastAsia="宋体" w:cs="宋体"/>
          <w:color w:val="auto"/>
          <w:kern w:val="0"/>
          <w:sz w:val="24"/>
          <w:lang w:val="en-US" w:eastAsia="zh-CN"/>
        </w:rPr>
        <w:t>2.具有独立承担民事责任的能力；</w:t>
      </w:r>
      <w:r>
        <w:rPr>
          <w:rFonts w:hint="eastAsia" w:ascii="宋体" w:hAnsi="宋体" w:eastAsia="宋体" w:cs="宋体"/>
          <w:color w:val="auto"/>
          <w:kern w:val="0"/>
          <w:sz w:val="24"/>
          <w:lang w:val="en-US" w:eastAsia="zh-CN"/>
        </w:rPr>
        <w:br w:type="textWrapping"/>
      </w:r>
    </w:p>
    <w:p>
      <w:pPr>
        <w:tabs>
          <w:tab w:val="left" w:pos="5580"/>
        </w:tabs>
        <w:spacing w:line="360" w:lineRule="exact"/>
        <w:ind w:left="1" w:firstLine="564" w:firstLineChars="235"/>
        <w:jc w:val="left"/>
        <w:rPr>
          <w:rFonts w:hint="eastAsia" w:ascii="宋体" w:hAnsi="宋体" w:eastAsia="宋体" w:cs="宋体"/>
          <w:color w:val="auto"/>
          <w:sz w:val="24"/>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tabs>
          <w:tab w:val="left" w:pos="5580"/>
        </w:tabs>
        <w:spacing w:line="3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textWrapping"/>
      </w: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p>
      <w:pPr>
        <w:pStyle w:val="6"/>
        <w:outlineLvl w:val="9"/>
        <w:rPr>
          <w:rFonts w:hint="eastAsia" w:ascii="宋体" w:hAnsi="宋体" w:eastAsia="宋体" w:cs="宋体"/>
          <w:b/>
          <w:color w:val="auto"/>
        </w:rPr>
      </w:pPr>
    </w:p>
    <w:bookmarkEnd w:id="312"/>
    <w:p>
      <w:pPr>
        <w:tabs>
          <w:tab w:val="left" w:pos="5580"/>
        </w:tabs>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3、法人身份证明或法人授权委托书和被授权人身份有效证件；授权委托人近4个月缴纳社保证明（社保缴费凭证和个人明细表）</w:t>
      </w:r>
      <w:r>
        <w:rPr>
          <w:rFonts w:hint="eastAsia" w:ascii="宋体" w:hAnsi="宋体" w:eastAsia="宋体" w:cs="宋体"/>
          <w:color w:val="auto"/>
          <w:sz w:val="24"/>
        </w:rPr>
        <w:t>；</w:t>
      </w:r>
    </w:p>
    <w:p>
      <w:pPr>
        <w:adjustRightInd w:val="0"/>
        <w:snapToGrid w:val="0"/>
        <w:spacing w:before="240" w:beforeLines="100" w:after="240" w:afterLines="100"/>
        <w:jc w:val="center"/>
        <w:rPr>
          <w:rFonts w:hint="eastAsia" w:ascii="宋体" w:hAnsi="宋体" w:eastAsia="宋体" w:cs="宋体"/>
          <w:color w:val="auto"/>
          <w:sz w:val="24"/>
        </w:rPr>
      </w:pPr>
      <w:r>
        <w:rPr>
          <w:rFonts w:hint="eastAsia" w:ascii="宋体" w:hAnsi="宋体" w:eastAsia="宋体" w:cs="宋体"/>
          <w:b/>
          <w:color w:val="auto"/>
          <w:sz w:val="24"/>
        </w:rPr>
        <w:t>法定代表人身份证明</w:t>
      </w:r>
    </w:p>
    <w:p>
      <w:pPr>
        <w:rPr>
          <w:rFonts w:hint="eastAsia" w:ascii="宋体" w:hAnsi="宋体" w:eastAsia="宋体" w:cs="宋体"/>
          <w:color w:val="auto"/>
          <w:sz w:val="24"/>
        </w:rPr>
      </w:pPr>
      <w:r>
        <w:rPr>
          <w:rFonts w:hint="eastAsia" w:ascii="宋体" w:hAnsi="宋体" w:eastAsia="宋体" w:cs="宋体"/>
          <w:color w:val="auto"/>
          <w:sz w:val="24"/>
        </w:rPr>
        <w:t xml:space="preserve">               同志，现任我单位          职务，为法定代表人，特此证明。</w:t>
      </w:r>
    </w:p>
    <w:p>
      <w:pPr>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签发日期：                  单位：         </w:t>
      </w:r>
    </w:p>
    <w:p>
      <w:pPr>
        <w:ind w:firstLine="240" w:firstLineChars="100"/>
        <w:rPr>
          <w:rFonts w:hint="eastAsia" w:ascii="宋体" w:hAnsi="宋体" w:eastAsia="宋体" w:cs="宋体"/>
          <w:color w:val="auto"/>
          <w:sz w:val="24"/>
        </w:rPr>
      </w:pPr>
      <w:r>
        <w:rPr>
          <w:rFonts w:hint="eastAsia" w:ascii="宋体" w:hAnsi="宋体" w:eastAsia="宋体" w:cs="宋体"/>
          <w:color w:val="auto"/>
          <w:sz w:val="24"/>
        </w:rPr>
        <w:t>附：代表人性别：            年龄：           身份证号码：</w:t>
      </w:r>
    </w:p>
    <w:p>
      <w:pPr>
        <w:ind w:firstLine="240" w:firstLineChars="100"/>
        <w:rPr>
          <w:rFonts w:hint="eastAsia" w:ascii="宋体" w:hAnsi="宋体" w:eastAsia="宋体" w:cs="宋体"/>
          <w:color w:val="auto"/>
          <w:sz w:val="24"/>
        </w:rPr>
      </w:pPr>
      <w:r>
        <w:rPr>
          <w:rFonts w:hint="eastAsia" w:ascii="宋体" w:hAnsi="宋体" w:eastAsia="宋体" w:cs="宋体"/>
          <w:color w:val="auto"/>
          <w:sz w:val="24"/>
        </w:rPr>
        <w:t>联系电话：</w:t>
      </w:r>
    </w:p>
    <w:p>
      <w:pPr>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pPr>
        <w:rPr>
          <w:rFonts w:hint="eastAsia" w:ascii="宋体" w:hAnsi="宋体" w:eastAsia="宋体" w:cs="宋体"/>
          <w:color w:val="auto"/>
          <w:sz w:val="24"/>
        </w:rPr>
      </w:pPr>
      <w:r>
        <w:rPr>
          <w:rFonts w:hint="eastAsia" w:ascii="宋体" w:hAnsi="宋体" w:eastAsia="宋体" w:cs="宋体"/>
          <w:color w:val="auto"/>
          <w:sz w:val="24"/>
        </w:rPr>
        <w:t>说明：</w:t>
      </w:r>
    </w:p>
    <w:p>
      <w:pPr>
        <w:ind w:firstLine="240" w:firstLineChars="100"/>
        <w:rPr>
          <w:rFonts w:hint="eastAsia" w:ascii="宋体" w:hAnsi="宋体" w:eastAsia="宋体" w:cs="宋体"/>
          <w:color w:val="auto"/>
          <w:sz w:val="24"/>
        </w:rPr>
      </w:pPr>
      <w:r>
        <w:rPr>
          <w:rFonts w:hint="eastAsia" w:ascii="宋体" w:hAnsi="宋体" w:eastAsia="宋体" w:cs="宋体"/>
          <w:color w:val="auto"/>
          <w:sz w:val="24"/>
        </w:rPr>
        <w:t>1、法定代表人为企业事业单位、国家机关、社会团体的主要行政负责人。</w:t>
      </w:r>
    </w:p>
    <w:p>
      <w:pPr>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w:t>
      </w:r>
    </w:p>
    <w:p>
      <w:pPr>
        <w:ind w:firstLine="240" w:firstLineChars="100"/>
        <w:rPr>
          <w:rFonts w:hint="eastAsia" w:ascii="宋体" w:hAnsi="宋体" w:eastAsia="宋体" w:cs="宋体"/>
          <w:color w:val="auto"/>
          <w:sz w:val="24"/>
        </w:rPr>
      </w:pPr>
      <w:r>
        <w:rPr>
          <w:rFonts w:hint="eastAsia" w:ascii="宋体" w:hAnsi="宋体" w:eastAsia="宋体" w:cs="宋体"/>
          <w:color w:val="auto"/>
          <w:sz w:val="24"/>
        </w:rPr>
        <w:t>3、将此证明书原件提交采购代理机构作为谈判响应文件附件。</w:t>
      </w:r>
    </w:p>
    <w:p>
      <w:pPr>
        <w:rPr>
          <w:rFonts w:hint="eastAsia" w:ascii="宋体" w:hAnsi="宋体" w:eastAsia="宋体" w:cs="宋体"/>
          <w:color w:val="auto"/>
          <w:sz w:val="24"/>
        </w:rPr>
      </w:pPr>
      <w:r>
        <w:rPr>
          <w:rFonts w:hint="eastAsia" w:ascii="宋体" w:hAnsi="宋体" w:eastAsia="宋体" w:cs="宋体"/>
          <w:color w:val="auto"/>
          <w:sz w:val="24"/>
        </w:rPr>
        <w:t xml:space="preserve">  (为避免废标，请供应商务必提供本附件)</w:t>
      </w:r>
    </w:p>
    <w:p>
      <w:pPr>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5"/>
                            </w:pPr>
                          </w:p>
                          <w:p>
                            <w:pPr>
                              <w:pStyle w:val="5"/>
                            </w:pPr>
                          </w:p>
                          <w:p>
                            <w:pPr>
                              <w:pStyle w:val="5"/>
                            </w:pPr>
                          </w:p>
                          <w:p>
                            <w:pPr>
                              <w:pStyle w:val="5"/>
                            </w:pPr>
                          </w:p>
                        </w:txbxContent>
                      </wps:txbx>
                      <wps:bodyPr upright="1"/>
                    </wps:wsp>
                  </a:graphicData>
                </a:graphic>
              </wp:anchor>
            </w:drawing>
          </mc:Choice>
          <mc:Fallback>
            <w:pict>
              <v:roundrect id="_x0000_s1026" o:spid="_x0000_s1026" o:spt="2" style="position:absolute;left:0pt;margin-left:229.8pt;margin-top:2.25pt;height:109.1pt;width:163.55pt;z-index:251660288;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5"/>
                      </w:pPr>
                    </w:p>
                    <w:p>
                      <w:pPr>
                        <w:pStyle w:val="5"/>
                      </w:pPr>
                    </w:p>
                    <w:p>
                      <w:pPr>
                        <w:pStyle w:val="5"/>
                      </w:pPr>
                    </w:p>
                    <w:p>
                      <w:pPr>
                        <w:pStyle w:val="5"/>
                      </w:pPr>
                    </w:p>
                  </w:txbxContent>
                </v:textbox>
              </v:roundrect>
            </w:pict>
          </mc:Fallback>
        </mc:AlternateContent>
      </w:r>
    </w:p>
    <w:p>
      <w:pPr>
        <w:rPr>
          <w:rFonts w:hint="eastAsia" w:ascii="宋体" w:hAnsi="宋体" w:eastAsia="宋体" w:cs="宋体"/>
          <w:color w:val="auto"/>
          <w:sz w:val="24"/>
        </w:rPr>
      </w:pPr>
    </w:p>
    <w:p>
      <w:pPr>
        <w:rPr>
          <w:rFonts w:hint="eastAsia" w:ascii="宋体" w:hAnsi="宋体" w:eastAsia="宋体" w:cs="宋体"/>
          <w:color w:val="auto"/>
          <w:sz w:val="24"/>
        </w:rPr>
      </w:pPr>
    </w:p>
    <w:p>
      <w:pPr>
        <w:autoSpaceDE w:val="0"/>
        <w:autoSpaceDN w:val="0"/>
        <w:adjustRightInd w:val="0"/>
        <w:ind w:right="246"/>
        <w:rPr>
          <w:rFonts w:hint="eastAsia" w:ascii="宋体" w:hAnsi="宋体" w:eastAsia="宋体" w:cs="宋体"/>
          <w:color w:val="auto"/>
          <w:sz w:val="24"/>
        </w:rPr>
      </w:pPr>
    </w:p>
    <w:p>
      <w:pPr>
        <w:autoSpaceDE w:val="0"/>
        <w:autoSpaceDN w:val="0"/>
        <w:adjustRightInd w:val="0"/>
        <w:ind w:right="246" w:firstLine="784" w:firstLineChars="327"/>
        <w:rPr>
          <w:rFonts w:hint="eastAsia" w:ascii="宋体" w:hAnsi="宋体" w:eastAsia="宋体" w:cs="宋体"/>
          <w:color w:val="auto"/>
          <w:sz w:val="24"/>
        </w:rPr>
      </w:pPr>
      <w:r>
        <w:rPr>
          <w:rFonts w:hint="eastAsia" w:ascii="宋体" w:hAnsi="宋体" w:eastAsia="宋体" w:cs="宋体"/>
          <w:color w:val="auto"/>
          <w:sz w:val="24"/>
        </w:rPr>
        <w:t xml:space="preserve">供应商（盖章）：                              </w:t>
      </w:r>
    </w:p>
    <w:p>
      <w:pPr>
        <w:adjustRightInd w:val="0"/>
        <w:snapToGrid w:val="0"/>
        <w:ind w:firstLine="784" w:firstLineChars="327"/>
        <w:rPr>
          <w:rFonts w:hint="eastAsia" w:ascii="宋体" w:hAnsi="宋体" w:eastAsia="宋体" w:cs="宋体"/>
          <w:color w:val="auto"/>
          <w:sz w:val="24"/>
        </w:rPr>
      </w:pPr>
    </w:p>
    <w:p>
      <w:pPr>
        <w:adjustRightInd w:val="0"/>
        <w:snapToGrid w:val="0"/>
        <w:ind w:firstLine="784" w:firstLineChars="327"/>
        <w:rPr>
          <w:rFonts w:hint="eastAsia" w:ascii="宋体" w:hAnsi="宋体" w:eastAsia="宋体" w:cs="宋体"/>
          <w:color w:val="auto"/>
          <w:sz w:val="24"/>
        </w:rPr>
      </w:pPr>
      <w:r>
        <w:rPr>
          <w:rFonts w:hint="eastAsia" w:ascii="宋体" w:hAnsi="宋体" w:eastAsia="宋体" w:cs="宋体"/>
          <w:color w:val="auto"/>
          <w:sz w:val="24"/>
        </w:rPr>
        <w:t xml:space="preserve">法定代表人(签/章)： </w:t>
      </w:r>
    </w:p>
    <w:p>
      <w:pPr>
        <w:pStyle w:val="11"/>
        <w:tabs>
          <w:tab w:val="left" w:pos="5370"/>
        </w:tabs>
        <w:spacing w:line="240" w:lineRule="atLeast"/>
        <w:ind w:left="1155" w:leftChars="371" w:hanging="376" w:hangingChars="157"/>
        <w:rPr>
          <w:rFonts w:hint="eastAsia" w:ascii="宋体" w:hAnsi="宋体" w:eastAsia="宋体" w:cs="宋体"/>
          <w:color w:val="auto"/>
          <w:sz w:val="24"/>
          <w:szCs w:val="24"/>
        </w:rPr>
      </w:pPr>
    </w:p>
    <w:p>
      <w:pPr>
        <w:pStyle w:val="11"/>
        <w:tabs>
          <w:tab w:val="left" w:pos="5370"/>
        </w:tabs>
        <w:spacing w:line="240" w:lineRule="atLeast"/>
        <w:ind w:left="1155" w:leftChars="371" w:hanging="376" w:hangingChars="157"/>
        <w:rPr>
          <w:rFonts w:hint="eastAsia" w:ascii="宋体" w:hAnsi="宋体" w:eastAsia="宋体" w:cs="宋体"/>
          <w:color w:val="auto"/>
          <w:sz w:val="24"/>
          <w:szCs w:val="24"/>
        </w:rPr>
      </w:pPr>
    </w:p>
    <w:p>
      <w:pPr>
        <w:pStyle w:val="11"/>
        <w:tabs>
          <w:tab w:val="left" w:pos="5370"/>
        </w:tabs>
        <w:spacing w:line="240" w:lineRule="atLeast"/>
        <w:ind w:left="1155" w:leftChars="371" w:hanging="376" w:hangingChars="157"/>
        <w:rPr>
          <w:rFonts w:hint="eastAsia" w:ascii="宋体" w:hAnsi="宋体" w:eastAsia="宋体" w:cs="宋体"/>
          <w:color w:val="auto"/>
          <w:sz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ab/>
      </w:r>
      <w:r>
        <w:rPr>
          <w:rFonts w:hint="eastAsia" w:ascii="宋体" w:hAnsi="宋体" w:eastAsia="宋体" w:cs="宋体"/>
          <w:color w:val="auto"/>
          <w:sz w:val="24"/>
        </w:rPr>
        <w:t xml:space="preserve"> </w:t>
      </w:r>
    </w:p>
    <w:p>
      <w:pPr>
        <w:adjustRightInd w:val="0"/>
        <w:snapToGrid w:val="0"/>
        <w:ind w:firstLine="784" w:firstLineChars="327"/>
        <w:rPr>
          <w:rFonts w:hint="eastAsia" w:ascii="宋体" w:hAnsi="宋体" w:eastAsia="宋体" w:cs="宋体"/>
          <w:color w:val="auto"/>
          <w:sz w:val="24"/>
        </w:rPr>
      </w:pPr>
      <w:r>
        <w:rPr>
          <w:rFonts w:hint="eastAsia" w:ascii="宋体" w:hAnsi="宋体" w:eastAsia="宋体" w:cs="宋体"/>
          <w:color w:val="auto"/>
          <w:sz w:val="24"/>
        </w:rPr>
        <w:t xml:space="preserve">                  </w:t>
      </w:r>
    </w:p>
    <w:p>
      <w:pPr>
        <w:adjustRightInd w:val="0"/>
        <w:snapToGrid w:val="0"/>
        <w:ind w:firstLine="784" w:firstLineChars="327"/>
        <w:rPr>
          <w:rFonts w:hint="eastAsia" w:ascii="宋体" w:hAnsi="宋体" w:eastAsia="宋体" w:cs="宋体"/>
          <w:color w:val="auto"/>
          <w:sz w:val="24"/>
        </w:rPr>
      </w:pPr>
      <w:r>
        <w:rPr>
          <w:rFonts w:hint="eastAsia" w:ascii="宋体" w:hAnsi="宋体" w:eastAsia="宋体" w:cs="宋体"/>
          <w:color w:val="auto"/>
          <w:sz w:val="24"/>
        </w:rPr>
        <w:t xml:space="preserve">日期：                                       </w:t>
      </w:r>
    </w:p>
    <w:p>
      <w:pPr>
        <w:pStyle w:val="11"/>
        <w:tabs>
          <w:tab w:val="left" w:pos="5580"/>
        </w:tabs>
        <w:rPr>
          <w:rFonts w:hint="eastAsia" w:ascii="宋体" w:hAnsi="宋体" w:eastAsia="宋体" w:cs="宋体"/>
          <w:color w:val="auto"/>
          <w:sz w:val="24"/>
          <w:szCs w:val="24"/>
        </w:rPr>
      </w:pPr>
      <w:r>
        <w:rPr>
          <w:rFonts w:hint="eastAsia" w:ascii="宋体" w:hAnsi="宋体" w:eastAsia="宋体" w:cs="宋体"/>
          <w:color w:val="auto"/>
          <w:sz w:val="24"/>
          <w:szCs w:val="24"/>
        </w:rPr>
        <w:t>说明：1.提供有效的营业执照等证明文件复印件，复印件上应加盖本单位章。</w:t>
      </w:r>
    </w:p>
    <w:p>
      <w:pPr>
        <w:pStyle w:val="11"/>
        <w:tabs>
          <w:tab w:val="left" w:pos="5580"/>
        </w:tabs>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2. 供应商为自然人的，应提供身份证明的复印件。</w:t>
      </w:r>
    </w:p>
    <w:p>
      <w:pPr>
        <w:pStyle w:val="11"/>
        <w:tabs>
          <w:tab w:val="left" w:pos="5580"/>
        </w:tabs>
        <w:ind w:left="1080" w:leftChars="257" w:hanging="540"/>
        <w:rPr>
          <w:rFonts w:hint="eastAsia" w:ascii="宋体" w:hAnsi="宋体" w:eastAsia="宋体" w:cs="宋体"/>
          <w:color w:val="auto"/>
        </w:rPr>
      </w:pPr>
      <w:r>
        <w:rPr>
          <w:rFonts w:hint="eastAsia" w:ascii="宋体" w:hAnsi="宋体" w:eastAsia="宋体" w:cs="宋体"/>
          <w:color w:val="auto"/>
          <w:sz w:val="24"/>
          <w:szCs w:val="24"/>
        </w:rPr>
        <w:t xml:space="preserve">  3.联合体磋商应提供联合体各方满足以上要求的证明文件。</w:t>
      </w:r>
      <w:bookmarkStart w:id="313" w:name="_Toc1083"/>
      <w:bookmarkStart w:id="314" w:name="_Toc5436"/>
      <w:bookmarkStart w:id="315" w:name="_Toc21867"/>
      <w:bookmarkStart w:id="316" w:name="_Toc16640"/>
      <w:bookmarkStart w:id="317" w:name="_Toc515647807"/>
      <w:bookmarkStart w:id="318" w:name="_Toc6829"/>
      <w:bookmarkStart w:id="319" w:name="_Toc22472"/>
      <w:bookmarkStart w:id="320" w:name="_Toc13107"/>
    </w:p>
    <w:p>
      <w:pPr>
        <w:pStyle w:val="4"/>
        <w:spacing w:before="0" w:line="240" w:lineRule="atLeast"/>
        <w:ind w:left="1080" w:leftChars="257" w:hanging="540"/>
        <w:jc w:val="left"/>
        <w:outlineLvl w:val="9"/>
        <w:rPr>
          <w:rFonts w:hint="eastAsia" w:ascii="宋体" w:hAnsi="宋体" w:eastAsia="宋体" w:cs="宋体"/>
          <w:color w:val="auto"/>
          <w:sz w:val="24"/>
          <w:szCs w:val="24"/>
        </w:rPr>
      </w:pPr>
      <w:bookmarkStart w:id="321" w:name="_Toc4926"/>
      <w:bookmarkStart w:id="322" w:name="_Toc17981"/>
      <w:bookmarkStart w:id="323" w:name="_Toc16635"/>
      <w:bookmarkStart w:id="324" w:name="_Toc27943"/>
      <w:bookmarkStart w:id="325" w:name="_Toc4082"/>
      <w:bookmarkStart w:id="326" w:name="_Toc7748"/>
      <w:bookmarkStart w:id="327" w:name="_Toc8491"/>
      <w:bookmarkStart w:id="328" w:name="_Toc14483"/>
    </w:p>
    <w:p>
      <w:pPr>
        <w:rPr>
          <w:rFonts w:hint="eastAsia" w:ascii="宋体" w:hAnsi="宋体" w:eastAsia="宋体" w:cs="宋体"/>
          <w:color w:val="auto"/>
          <w:sz w:val="24"/>
          <w:szCs w:val="24"/>
        </w:rPr>
      </w:pPr>
    </w:p>
    <w:p>
      <w:pPr>
        <w:pStyle w:val="2"/>
        <w:outlineLvl w:val="9"/>
        <w:rPr>
          <w:rFonts w:hint="eastAsia" w:ascii="宋体" w:hAnsi="宋体" w:eastAsia="宋体" w:cs="宋体"/>
          <w:color w:val="auto"/>
          <w:sz w:val="24"/>
          <w:szCs w:val="24"/>
        </w:rPr>
      </w:pPr>
    </w:p>
    <w:p>
      <w:pPr>
        <w:pStyle w:val="5"/>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2"/>
        <w:outlineLvl w:val="9"/>
        <w:rPr>
          <w:rFonts w:hint="eastAsia" w:ascii="宋体" w:hAnsi="宋体" w:eastAsia="宋体" w:cs="宋体"/>
          <w:color w:val="auto"/>
          <w:sz w:val="24"/>
          <w:szCs w:val="24"/>
        </w:rPr>
      </w:pPr>
    </w:p>
    <w:p>
      <w:pPr>
        <w:pStyle w:val="4"/>
        <w:spacing w:before="0" w:line="240" w:lineRule="atLeast"/>
        <w:jc w:val="both"/>
        <w:outlineLvl w:val="9"/>
        <w:rPr>
          <w:rFonts w:hint="eastAsia" w:ascii="宋体" w:hAnsi="宋体" w:eastAsia="宋体" w:cs="宋体"/>
          <w:color w:val="auto"/>
          <w:sz w:val="24"/>
          <w:szCs w:val="24"/>
        </w:rPr>
      </w:pPr>
    </w:p>
    <w:p>
      <w:pPr>
        <w:pStyle w:val="5"/>
        <w:rPr>
          <w:rFonts w:hint="eastAsia" w:ascii="宋体" w:hAnsi="宋体" w:eastAsia="宋体" w:cs="宋体"/>
        </w:rPr>
      </w:pPr>
    </w:p>
    <w:p>
      <w:pPr>
        <w:pStyle w:val="4"/>
        <w:spacing w:before="0" w:line="240" w:lineRule="atLeast"/>
        <w:ind w:left="1080" w:leftChars="257" w:hanging="540"/>
        <w:jc w:val="center"/>
        <w:outlineLvl w:val="9"/>
        <w:rPr>
          <w:rFonts w:hint="eastAsia" w:ascii="宋体" w:hAnsi="宋体" w:eastAsia="宋体" w:cs="宋体"/>
          <w:color w:val="auto"/>
          <w:sz w:val="24"/>
          <w:szCs w:val="24"/>
        </w:rPr>
      </w:pPr>
    </w:p>
    <w:p>
      <w:pPr>
        <w:pStyle w:val="4"/>
        <w:spacing w:before="0" w:line="240" w:lineRule="atLeast"/>
        <w:ind w:left="1080" w:leftChars="257" w:hanging="540"/>
        <w:jc w:val="center"/>
        <w:outlineLvl w:val="9"/>
        <w:rPr>
          <w:rFonts w:hint="eastAsia" w:ascii="宋体" w:hAnsi="宋体" w:eastAsia="宋体" w:cs="宋体"/>
          <w:color w:val="auto"/>
          <w:sz w:val="24"/>
          <w:szCs w:val="24"/>
        </w:rPr>
      </w:pPr>
    </w:p>
    <w:p>
      <w:pPr>
        <w:pStyle w:val="4"/>
        <w:spacing w:before="0" w:line="240" w:lineRule="atLeast"/>
        <w:ind w:left="1080" w:leftChars="257" w:hanging="540"/>
        <w:jc w:val="center"/>
        <w:rPr>
          <w:rFonts w:hint="eastAsia" w:ascii="宋体" w:hAnsi="宋体" w:eastAsia="宋体" w:cs="宋体"/>
          <w:b w:val="0"/>
          <w:color w:val="auto"/>
          <w:sz w:val="24"/>
          <w:szCs w:val="24"/>
          <w:u w:val="single"/>
        </w:rPr>
      </w:pPr>
      <w:r>
        <w:rPr>
          <w:rFonts w:hint="eastAsia" w:ascii="宋体" w:hAnsi="宋体" w:eastAsia="宋体" w:cs="宋体"/>
          <w:color w:val="auto"/>
          <w:sz w:val="24"/>
          <w:szCs w:val="24"/>
        </w:rPr>
        <w:t>法定代表人授权委托书</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pStyle w:val="11"/>
        <w:tabs>
          <w:tab w:val="left" w:pos="5580"/>
        </w:tabs>
        <w:spacing w:line="240" w:lineRule="atLeast"/>
        <w:rPr>
          <w:rFonts w:hint="eastAsia" w:ascii="宋体" w:hAnsi="宋体" w:eastAsia="宋体" w:cs="宋体"/>
          <w:color w:val="auto"/>
          <w:sz w:val="24"/>
          <w:szCs w:val="24"/>
        </w:rPr>
      </w:pPr>
      <w:bookmarkStart w:id="329" w:name="_Toc32520"/>
      <w:bookmarkStart w:id="330" w:name="_Toc7039"/>
      <w:bookmarkStart w:id="331" w:name="_Toc515647808"/>
      <w:r>
        <w:rPr>
          <w:rFonts w:hint="eastAsia" w:ascii="宋体" w:hAnsi="宋体" w:eastAsia="宋体" w:cs="宋体"/>
          <w:color w:val="auto"/>
          <w:sz w:val="24"/>
          <w:szCs w:val="24"/>
        </w:rPr>
        <w:cr/>
      </w:r>
      <w:r>
        <w:rPr>
          <w:rFonts w:hint="eastAsia" w:ascii="宋体" w:hAnsi="宋体" w:eastAsia="宋体" w:cs="宋体"/>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本授权书于           年     月     日签字生效,特此声明。</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7.65pt;height:109.25pt;width:195.15pt;z-index:251662336;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10.7pt;width:197.45pt;z-index:251661312;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1"/>
        <w:tabs>
          <w:tab w:val="left" w:pos="5580"/>
        </w:tabs>
        <w:spacing w:line="240" w:lineRule="atLeast"/>
        <w:ind w:left="1080" w:leftChars="257" w:hanging="540"/>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35pt;margin-top:18.55pt;height:110.95pt;width:201.2pt;z-index:251663360;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1"/>
        <w:tabs>
          <w:tab w:val="left" w:pos="5580"/>
        </w:tabs>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8.45pt;margin-top:11.05pt;height:98.6pt;width:199.65pt;z-index:25166438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uFvz7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供应商（盖单位章）;                           </w:t>
      </w:r>
    </w:p>
    <w:p>
      <w:pPr>
        <w:pStyle w:val="11"/>
        <w:tabs>
          <w:tab w:val="left" w:pos="5580"/>
        </w:tabs>
        <w:spacing w:line="240" w:lineRule="atLeast"/>
        <w:ind w:left="1080" w:leftChars="257" w:hanging="540"/>
        <w:rPr>
          <w:rFonts w:hint="eastAsia" w:ascii="宋体" w:hAnsi="宋体" w:eastAsia="宋体" w:cs="宋体"/>
          <w:color w:val="auto"/>
          <w:sz w:val="24"/>
          <w:szCs w:val="24"/>
        </w:rPr>
      </w:pPr>
    </w:p>
    <w:p>
      <w:pPr>
        <w:pStyle w:val="11"/>
        <w:tabs>
          <w:tab w:val="left" w:pos="5580"/>
        </w:tabs>
        <w:spacing w:line="240" w:lineRule="atLeast"/>
        <w:ind w:left="1080" w:leftChars="257" w:hanging="540"/>
        <w:rPr>
          <w:rFonts w:hint="eastAsia" w:ascii="宋体" w:hAnsi="宋体" w:eastAsia="宋体" w:cs="宋体"/>
          <w:color w:val="auto"/>
          <w:sz w:val="24"/>
          <w:szCs w:val="24"/>
        </w:rPr>
      </w:pPr>
    </w:p>
    <w:p>
      <w:pPr>
        <w:pStyle w:val="11"/>
        <w:tabs>
          <w:tab w:val="left" w:pos="5580"/>
        </w:tabs>
        <w:spacing w:line="240" w:lineRule="atLeast"/>
        <w:ind w:left="1080" w:leftChars="257" w:hanging="540"/>
        <w:rPr>
          <w:rFonts w:hint="eastAsia" w:ascii="宋体" w:hAnsi="宋体" w:eastAsia="宋体" w:cs="宋体"/>
          <w:color w:val="auto"/>
          <w:sz w:val="24"/>
          <w:szCs w:val="24"/>
        </w:rPr>
      </w:pPr>
    </w:p>
    <w:p>
      <w:pPr>
        <w:pStyle w:val="11"/>
        <w:tabs>
          <w:tab w:val="left" w:pos="5370"/>
        </w:tabs>
        <w:spacing w:line="240" w:lineRule="atLeast"/>
        <w:ind w:firstLine="480" w:firstLineChars="200"/>
        <w:rPr>
          <w:rFonts w:hint="eastAsia" w:ascii="宋体" w:hAnsi="宋体" w:eastAsia="宋体" w:cs="宋体"/>
          <w:color w:val="auto"/>
          <w:sz w:val="24"/>
          <w:szCs w:val="24"/>
        </w:rPr>
      </w:pPr>
    </w:p>
    <w:p>
      <w:pPr>
        <w:pStyle w:val="11"/>
        <w:tabs>
          <w:tab w:val="left" w:pos="5370"/>
        </w:tabs>
        <w:spacing w:line="240" w:lineRule="atLeast"/>
        <w:ind w:firstLine="480" w:firstLineChars="200"/>
        <w:rPr>
          <w:rFonts w:hint="eastAsia" w:ascii="宋体" w:hAnsi="宋体" w:eastAsia="宋体" w:cs="宋体"/>
          <w:color w:val="auto"/>
          <w:sz w:val="24"/>
          <w:szCs w:val="24"/>
        </w:rPr>
      </w:pPr>
    </w:p>
    <w:p>
      <w:pPr>
        <w:pStyle w:val="11"/>
        <w:tabs>
          <w:tab w:val="left" w:pos="5370"/>
        </w:tabs>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ab/>
      </w:r>
      <w:r>
        <w:rPr>
          <w:rFonts w:hint="eastAsia" w:ascii="宋体" w:hAnsi="宋体" w:eastAsia="宋体" w:cs="宋体"/>
          <w:color w:val="auto"/>
          <w:sz w:val="24"/>
        </w:rPr>
        <w:t xml:space="preserve">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法定代表人（签/章）：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身份证号码：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委托代理人（签/章）：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身份证号码：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详细通讯地址：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邮 政 编 码 ：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传　　　　真：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w:t>
      </w:r>
      <w:bookmarkEnd w:id="329"/>
      <w:bookmarkEnd w:id="330"/>
      <w:bookmarkEnd w:id="331"/>
      <w:bookmarkStart w:id="332" w:name="_Toc28445"/>
      <w:bookmarkStart w:id="333" w:name="_Toc4923"/>
      <w:bookmarkStart w:id="334" w:name="_Toc11047"/>
      <w:bookmarkStart w:id="335" w:name="_Toc10290"/>
      <w:bookmarkStart w:id="336" w:name="_Toc515647809"/>
      <w:bookmarkStart w:id="337" w:name="_Toc8410"/>
      <w:bookmarkStart w:id="338" w:name="_Toc15480"/>
      <w:bookmarkStart w:id="339" w:name="_Toc22138"/>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tabs>
          <w:tab w:val="left" w:pos="5580"/>
        </w:tabs>
        <w:spacing w:line="360" w:lineRule="exact"/>
        <w:ind w:left="479" w:leftChars="228" w:firstLine="0" w:firstLineChars="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4.提供会计事务所出具的2022年度财务审计报告书原件或影印件；新办企业提供银行资信证明）；</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5.税务部门出具的近四个月的完税证明（或由税务局出具的无拖欠税收证明，零申报需加盖税务机关鲜章）；</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6.投标人必须提供“信用中国”网站（www.creditchina.gov.cn）、中国政府采购网（www.ccgp.gov.cn）渠道信用记录失信执行人、重大税收违法案件当事人名单、政府采购严重违法失信行为记录名单的投标人，（提供查询结果网页截图并加盖供应商公章）；</w:t>
      </w:r>
      <w:r>
        <w:rPr>
          <w:rFonts w:hint="eastAsia" w:ascii="宋体" w:hAnsi="宋体" w:eastAsia="宋体" w:cs="宋体"/>
          <w:color w:val="auto"/>
          <w:kern w:val="0"/>
          <w:sz w:val="24"/>
          <w:lang w:val="en-US" w:eastAsia="zh-CN"/>
        </w:rPr>
        <w:br w:type="textWrapping"/>
      </w:r>
      <w:r>
        <w:rPr>
          <w:rFonts w:hint="eastAsia" w:ascii="宋体" w:hAnsi="宋体" w:eastAsia="宋体" w:cs="宋体"/>
          <w:color w:val="auto"/>
          <w:kern w:val="0"/>
          <w:sz w:val="24"/>
          <w:lang w:val="en-US" w:eastAsia="zh-CN"/>
        </w:rPr>
        <w:t>7.参加政府采购活动前三年内，在经营活动中没有重大违法记录声明；（自拟）投标单位（供应商）提供针对本次采购项目的《反商业贿赂承诺书》；</w:t>
      </w:r>
    </w:p>
    <w:p>
      <w:pPr>
        <w:tabs>
          <w:tab w:val="left" w:pos="5580"/>
        </w:tabs>
        <w:spacing w:line="3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8、投标保证金缴纳证明；</w:t>
      </w:r>
    </w:p>
    <w:p>
      <w:pPr>
        <w:tabs>
          <w:tab w:val="left" w:pos="5580"/>
        </w:tabs>
        <w:spacing w:line="36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提供有利于磋商的其他证明材料;</w:t>
      </w:r>
    </w:p>
    <w:p>
      <w:pPr>
        <w:pStyle w:val="11"/>
        <w:tabs>
          <w:tab w:val="left" w:pos="5580"/>
        </w:tabs>
        <w:spacing w:line="240" w:lineRule="atLeast"/>
        <w:rPr>
          <w:rFonts w:hint="eastAsia" w:ascii="宋体" w:hAnsi="宋体" w:eastAsia="宋体" w:cs="宋体"/>
          <w:b/>
          <w:color w:val="auto"/>
          <w:kern w:val="0"/>
          <w:sz w:val="24"/>
          <w:szCs w:val="24"/>
        </w:rPr>
      </w:pPr>
    </w:p>
    <w:bookmarkEnd w:id="332"/>
    <w:bookmarkEnd w:id="333"/>
    <w:bookmarkEnd w:id="334"/>
    <w:bookmarkEnd w:id="335"/>
    <w:bookmarkEnd w:id="336"/>
    <w:bookmarkEnd w:id="337"/>
    <w:bookmarkEnd w:id="338"/>
    <w:bookmarkEnd w:id="339"/>
    <w:tbl>
      <w:tblPr>
        <w:tblStyle w:val="21"/>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hint="eastAsia" w:ascii="宋体" w:hAnsi="宋体" w:eastAsia="宋体" w:cs="宋体"/>
                <w:color w:val="auto"/>
                <w:sz w:val="24"/>
              </w:rPr>
            </w:pPr>
          </w:p>
          <w:p>
            <w:pPr>
              <w:spacing w:line="360" w:lineRule="exact"/>
              <w:rPr>
                <w:rFonts w:hint="eastAsia" w:ascii="宋体" w:hAnsi="宋体" w:eastAsia="宋体" w:cs="宋体"/>
                <w:color w:val="auto"/>
                <w:sz w:val="24"/>
              </w:rPr>
            </w:pPr>
          </w:p>
          <w:p>
            <w:pPr>
              <w:spacing w:line="360" w:lineRule="exact"/>
              <w:rPr>
                <w:rFonts w:hint="eastAsia" w:ascii="宋体" w:hAnsi="宋体" w:eastAsia="宋体" w:cs="宋体"/>
                <w:color w:val="auto"/>
                <w:sz w:val="24"/>
              </w:rPr>
            </w:pPr>
          </w:p>
          <w:p>
            <w:pPr>
              <w:spacing w:line="360" w:lineRule="exact"/>
              <w:jc w:val="center"/>
              <w:rPr>
                <w:rFonts w:hint="eastAsia" w:ascii="宋体" w:hAnsi="宋体" w:eastAsia="宋体" w:cs="宋体"/>
                <w:color w:val="auto"/>
                <w:sz w:val="24"/>
              </w:rPr>
            </w:pPr>
          </w:p>
          <w:p>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磋商保证金银行转账回执单复印件</w:t>
            </w:r>
          </w:p>
        </w:tc>
      </w:tr>
    </w:tbl>
    <w:p>
      <w:pPr>
        <w:jc w:val="both"/>
        <w:rPr>
          <w:rFonts w:hint="eastAsia" w:ascii="宋体" w:hAnsi="宋体" w:eastAsia="宋体" w:cs="宋体"/>
          <w:color w:val="auto"/>
          <w:sz w:val="24"/>
        </w:rPr>
      </w:pPr>
    </w:p>
    <w:p>
      <w:pPr>
        <w:spacing w:line="360" w:lineRule="exact"/>
        <w:ind w:firstLine="482" w:firstLineChars="200"/>
        <w:rPr>
          <w:rFonts w:hint="eastAsia" w:ascii="宋体" w:hAnsi="宋体" w:eastAsia="宋体" w:cs="宋体"/>
          <w:color w:val="auto"/>
        </w:rPr>
      </w:pPr>
      <w:r>
        <w:rPr>
          <w:rFonts w:hint="eastAsia" w:ascii="宋体" w:hAnsi="宋体" w:eastAsia="宋体" w:cs="宋体"/>
          <w:b/>
          <w:bCs/>
          <w:color w:val="auto"/>
          <w:sz w:val="24"/>
        </w:rPr>
        <w:t>注：本项目以磋商保证金银行转账回执单复印件盖公章为准。</w:t>
      </w:r>
      <w:bookmarkStart w:id="340" w:name="_Toc18754"/>
      <w:bookmarkStart w:id="341" w:name="_Toc515647810"/>
      <w:bookmarkStart w:id="342" w:name="_Toc5710"/>
    </w:p>
    <w:bookmarkEnd w:id="340"/>
    <w:bookmarkEnd w:id="341"/>
    <w:bookmarkEnd w:id="342"/>
    <w:p>
      <w:pPr>
        <w:spacing w:line="360" w:lineRule="exact"/>
        <w:rPr>
          <w:rFonts w:hint="eastAsia" w:ascii="宋体" w:hAnsi="宋体" w:eastAsia="宋体" w:cs="宋体"/>
          <w:color w:val="auto"/>
          <w:sz w:val="24"/>
        </w:rPr>
      </w:pPr>
    </w:p>
    <w:p>
      <w:pPr>
        <w:rPr>
          <w:rFonts w:hint="eastAsia" w:ascii="宋体" w:hAnsi="宋体" w:eastAsia="宋体" w:cs="宋体"/>
          <w:color w:val="auto"/>
          <w:sz w:val="24"/>
          <w:szCs w:val="24"/>
        </w:rPr>
      </w:pPr>
      <w:bookmarkStart w:id="343" w:name="_Toc30691"/>
      <w:bookmarkStart w:id="344" w:name="_Toc660"/>
      <w:bookmarkStart w:id="345" w:name="_Toc26673"/>
      <w:bookmarkStart w:id="346" w:name="_Toc27251"/>
      <w:bookmarkStart w:id="347" w:name="_Toc1821"/>
      <w:bookmarkStart w:id="348" w:name="_Toc11668"/>
      <w:bookmarkStart w:id="349" w:name="_Toc27874"/>
      <w:bookmarkStart w:id="350" w:name="_Toc12305"/>
      <w:bookmarkStart w:id="351" w:name="_Toc27586"/>
      <w:bookmarkStart w:id="352" w:name="_Toc16476"/>
      <w:bookmarkStart w:id="353" w:name="_Toc4137"/>
      <w:bookmarkStart w:id="354" w:name="_Toc16724"/>
      <w:bookmarkStart w:id="355" w:name="_Toc14251"/>
      <w:bookmarkStart w:id="356" w:name="_Toc10181"/>
      <w:bookmarkStart w:id="357" w:name="_Toc26653"/>
    </w:p>
    <w:p>
      <w:pPr>
        <w:pStyle w:val="4"/>
        <w:numPr>
          <w:ilvl w:val="0"/>
          <w:numId w:val="0"/>
        </w:numPr>
        <w:spacing w:before="0" w:line="360" w:lineRule="exact"/>
        <w:jc w:val="both"/>
        <w:rPr>
          <w:rFonts w:hint="eastAsia" w:ascii="宋体" w:hAnsi="宋体" w:eastAsia="宋体" w:cs="宋体"/>
          <w:color w:val="auto"/>
          <w:sz w:val="24"/>
          <w:szCs w:val="24"/>
        </w:rPr>
      </w:pPr>
      <w:bookmarkStart w:id="358" w:name="_Toc14461"/>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提供有利于磋商的其他证明材料</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11"/>
        <w:tabs>
          <w:tab w:val="left" w:pos="5580"/>
        </w:tabs>
        <w:spacing w:line="360" w:lineRule="exact"/>
        <w:rPr>
          <w:rFonts w:hint="eastAsia" w:ascii="宋体" w:hAnsi="宋体" w:eastAsia="宋体" w:cs="宋体"/>
          <w:color w:val="auto"/>
          <w:sz w:val="24"/>
          <w:szCs w:val="24"/>
          <w:u w:val="single"/>
        </w:rPr>
      </w:pPr>
    </w:p>
    <w:p>
      <w:pPr>
        <w:pStyle w:val="4"/>
        <w:spacing w:before="0" w:line="240" w:lineRule="atLeast"/>
        <w:ind w:left="1080" w:leftChars="257" w:hanging="540"/>
        <w:rPr>
          <w:rFonts w:hint="eastAsia" w:ascii="宋体" w:hAnsi="宋体" w:eastAsia="宋体" w:cs="宋体"/>
          <w:color w:val="auto"/>
          <w:sz w:val="24"/>
          <w:szCs w:val="24"/>
        </w:rPr>
      </w:pPr>
      <w:bookmarkStart w:id="359" w:name="_Toc11956"/>
      <w:bookmarkStart w:id="360" w:name="_Toc25827"/>
      <w:bookmarkStart w:id="361" w:name="_Toc4671"/>
      <w:bookmarkStart w:id="362" w:name="_Toc12440"/>
      <w:bookmarkStart w:id="363" w:name="_Toc515647816"/>
      <w:bookmarkStart w:id="364" w:name="_Toc3552"/>
      <w:bookmarkStart w:id="365" w:name="_Toc22967"/>
      <w:bookmarkStart w:id="366" w:name="_Toc11180"/>
      <w:r>
        <w:rPr>
          <w:rFonts w:hint="eastAsia" w:ascii="宋体" w:hAnsi="宋体" w:eastAsia="宋体" w:cs="宋体"/>
          <w:color w:val="auto"/>
          <w:sz w:val="24"/>
          <w:szCs w:val="24"/>
        </w:rPr>
        <w:t>第二部分  商务及技术文件</w:t>
      </w:r>
      <w:bookmarkEnd w:id="359"/>
      <w:bookmarkEnd w:id="360"/>
      <w:bookmarkEnd w:id="361"/>
      <w:bookmarkEnd w:id="362"/>
      <w:bookmarkEnd w:id="363"/>
      <w:bookmarkEnd w:id="364"/>
      <w:bookmarkEnd w:id="365"/>
      <w:bookmarkEnd w:id="366"/>
    </w:p>
    <w:p>
      <w:pPr>
        <w:pStyle w:val="11"/>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1、磋商书（磋商文件格式五）</w:t>
      </w:r>
    </w:p>
    <w:p>
      <w:pPr>
        <w:pStyle w:val="11"/>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2、磋商分项报价表（磋商文件格式七）</w:t>
      </w:r>
    </w:p>
    <w:p>
      <w:pPr>
        <w:pStyle w:val="11"/>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说明一览表（磋商文件格式八）</w:t>
      </w:r>
    </w:p>
    <w:p>
      <w:pPr>
        <w:pStyle w:val="11"/>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4、商务条款偏离表（磋商文件格式十）</w:t>
      </w:r>
    </w:p>
    <w:p>
      <w:pPr>
        <w:pStyle w:val="11"/>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、符合《政府采购促进中小企业发展暂行办法》、《关于政府采购支持监狱企业发展有关问题的通知》和《三部门联合发布关于促进残疾人就业政府采购政策的通知》价格扣减条件的供应商须提交）</w:t>
      </w:r>
    </w:p>
    <w:p>
      <w:pPr>
        <w:pStyle w:val="11"/>
        <w:ind w:left="311" w:leftChars="148" w:firstLine="22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《供应商企业（单位）类型声明函》（磋商文件格式十一）</w:t>
      </w:r>
    </w:p>
    <w:p>
      <w:pPr>
        <w:pStyle w:val="11"/>
        <w:ind w:left="311" w:leftChars="148" w:firstLine="22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《残疾人福利性单位声明函》（磋商文件格式十三）</w:t>
      </w:r>
    </w:p>
    <w:p>
      <w:pPr>
        <w:pStyle w:val="11"/>
        <w:ind w:left="311" w:leftChars="148" w:firstLine="228"/>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、供应商关联单位的说明（格式自拟）</w:t>
      </w:r>
    </w:p>
    <w:p>
      <w:pPr>
        <w:spacing w:line="360" w:lineRule="exact"/>
        <w:ind w:firstLine="480" w:firstLineChars="200"/>
        <w:rPr>
          <w:rFonts w:hint="eastAsia" w:ascii="宋体" w:hAnsi="宋体" w:eastAsia="宋体" w:cs="宋体"/>
          <w:bCs/>
          <w:color w:val="auto"/>
          <w:sz w:val="24"/>
        </w:rPr>
      </w:pPr>
      <w:bookmarkStart w:id="367" w:name="_Toc9302"/>
      <w:bookmarkStart w:id="368" w:name="_Toc30163"/>
      <w:r>
        <w:rPr>
          <w:rFonts w:hint="eastAsia" w:ascii="宋体" w:hAnsi="宋体" w:eastAsia="宋体" w:cs="宋体"/>
          <w:bCs/>
          <w:color w:val="auto"/>
          <w:sz w:val="24"/>
          <w:lang w:val="en-US" w:eastAsia="zh-CN"/>
        </w:rPr>
        <w:t>7</w:t>
      </w:r>
      <w:r>
        <w:rPr>
          <w:rFonts w:hint="eastAsia" w:ascii="宋体" w:hAnsi="宋体" w:eastAsia="宋体" w:cs="宋体"/>
          <w:bCs/>
          <w:color w:val="auto"/>
          <w:sz w:val="24"/>
        </w:rPr>
        <w:t>、提供有利于磋商的其他证明材料</w:t>
      </w:r>
      <w:bookmarkEnd w:id="367"/>
      <w:bookmarkEnd w:id="368"/>
    </w:p>
    <w:p>
      <w:pPr>
        <w:spacing w:line="240" w:lineRule="atLeast"/>
        <w:ind w:left="1079" w:leftChars="257" w:hanging="539"/>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、磋商文件格式范本</w:t>
      </w:r>
    </w:p>
    <w:p>
      <w:pPr>
        <w:pStyle w:val="11"/>
        <w:ind w:left="1080" w:leftChars="257" w:hanging="540"/>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11"/>
        <w:tabs>
          <w:tab w:val="left" w:pos="5580"/>
        </w:tabs>
        <w:spacing w:line="240" w:lineRule="atLeast"/>
        <w:rPr>
          <w:rFonts w:hint="eastAsia" w:ascii="宋体" w:hAnsi="宋体" w:eastAsia="宋体" w:cs="宋体"/>
          <w:color w:val="auto"/>
          <w:sz w:val="24"/>
          <w:szCs w:val="24"/>
        </w:rPr>
      </w:pPr>
    </w:p>
    <w:p>
      <w:pPr>
        <w:pStyle w:val="4"/>
        <w:spacing w:before="0" w:line="240" w:lineRule="atLeast"/>
        <w:ind w:left="1080" w:leftChars="257" w:hanging="540"/>
        <w:rPr>
          <w:rFonts w:hint="eastAsia" w:ascii="宋体" w:hAnsi="宋体" w:eastAsia="宋体" w:cs="宋体"/>
          <w:color w:val="auto"/>
          <w:sz w:val="24"/>
        </w:rPr>
      </w:pPr>
      <w:bookmarkStart w:id="369" w:name="_Toc2041"/>
      <w:bookmarkStart w:id="370" w:name="_Toc8940"/>
      <w:bookmarkStart w:id="371" w:name="_Toc17319"/>
      <w:bookmarkStart w:id="372" w:name="_Toc22432"/>
      <w:bookmarkStart w:id="373" w:name="_Toc18614"/>
      <w:bookmarkStart w:id="374" w:name="_Toc12852"/>
      <w:bookmarkStart w:id="375" w:name="_Toc11475"/>
      <w:bookmarkStart w:id="376" w:name="_Toc515647817"/>
      <w:bookmarkStart w:id="377" w:name="_Toc14915"/>
      <w:bookmarkStart w:id="378" w:name="_Toc18506"/>
      <w:bookmarkStart w:id="379" w:name="_Toc14858"/>
      <w:r>
        <w:rPr>
          <w:rFonts w:hint="eastAsia" w:ascii="宋体" w:hAnsi="宋体" w:eastAsia="宋体" w:cs="宋体"/>
          <w:color w:val="auto"/>
          <w:sz w:val="24"/>
          <w:szCs w:val="24"/>
        </w:rPr>
        <w:t>1</w:t>
      </w:r>
      <w:bookmarkEnd w:id="301"/>
      <w:bookmarkEnd w:id="302"/>
      <w:bookmarkStart w:id="380" w:name="_Hlt520355504"/>
      <w:bookmarkEnd w:id="380"/>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磋商书</w:t>
      </w:r>
      <w:bookmarkEnd w:id="303"/>
      <w:r>
        <w:rPr>
          <w:rFonts w:hint="eastAsia" w:ascii="宋体" w:hAnsi="宋体" w:eastAsia="宋体" w:cs="宋体"/>
          <w:color w:val="auto"/>
          <w:sz w:val="24"/>
          <w:szCs w:val="24"/>
        </w:rPr>
        <w:t>（磋商文件格式五）</w:t>
      </w:r>
      <w:bookmarkEnd w:id="304"/>
      <w:bookmarkEnd w:id="369"/>
      <w:bookmarkEnd w:id="370"/>
      <w:bookmarkEnd w:id="371"/>
      <w:bookmarkEnd w:id="372"/>
      <w:bookmarkEnd w:id="373"/>
      <w:bookmarkEnd w:id="374"/>
      <w:bookmarkEnd w:id="375"/>
      <w:bookmarkEnd w:id="376"/>
      <w:bookmarkEnd w:id="377"/>
      <w:bookmarkEnd w:id="378"/>
      <w:bookmarkEnd w:id="379"/>
    </w:p>
    <w:p>
      <w:pPr>
        <w:tabs>
          <w:tab w:val="left" w:pos="5580"/>
        </w:tabs>
        <w:spacing w:line="240" w:lineRule="atLeast"/>
        <w:ind w:left="1080" w:hanging="1080"/>
        <w:rPr>
          <w:rFonts w:hint="eastAsia" w:ascii="宋体" w:hAnsi="宋体" w:eastAsia="宋体" w:cs="宋体"/>
          <w:color w:val="auto"/>
          <w:sz w:val="24"/>
        </w:rPr>
      </w:pPr>
      <w:r>
        <w:rPr>
          <w:rFonts w:hint="eastAsia" w:ascii="宋体" w:hAnsi="宋体" w:eastAsia="宋体" w:cs="宋体"/>
          <w:color w:val="auto"/>
          <w:sz w:val="24"/>
        </w:rPr>
        <w:t>致：</w:t>
      </w:r>
    </w:p>
    <w:p>
      <w:pPr>
        <w:pStyle w:val="11"/>
        <w:tabs>
          <w:tab w:val="left" w:pos="5580"/>
        </w:tabs>
        <w:spacing w:line="240" w:lineRule="atLeast"/>
        <w:ind w:left="2" w:leftChars="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根据贵方(</w:t>
      </w:r>
      <w:r>
        <w:rPr>
          <w:rFonts w:hint="eastAsia" w:ascii="宋体" w:hAnsi="宋体" w:eastAsia="宋体" w:cs="宋体"/>
          <w:i/>
          <w:color w:val="auto"/>
          <w:sz w:val="24"/>
          <w:szCs w:val="24"/>
          <w:u w:val="single"/>
        </w:rPr>
        <w:t>项目名称</w:t>
      </w:r>
      <w:r>
        <w:rPr>
          <w:rFonts w:hint="eastAsia" w:ascii="宋体" w:hAnsi="宋体" w:eastAsia="宋体" w:cs="宋体"/>
          <w:color w:val="auto"/>
          <w:sz w:val="24"/>
          <w:szCs w:val="24"/>
        </w:rPr>
        <w:t>)项目的磋商邀请(</w:t>
      </w:r>
      <w:r>
        <w:rPr>
          <w:rFonts w:hint="eastAsia" w:ascii="宋体" w:hAnsi="宋体" w:eastAsia="宋体" w:cs="宋体"/>
          <w:i/>
          <w:color w:val="auto"/>
          <w:sz w:val="24"/>
          <w:szCs w:val="24"/>
          <w:u w:val="single"/>
          <w:lang w:eastAsia="zh-CN"/>
        </w:rPr>
        <w:t>项目编号</w:t>
      </w:r>
      <w:r>
        <w:rPr>
          <w:rFonts w:hint="eastAsia" w:ascii="宋体" w:hAnsi="宋体" w:eastAsia="宋体" w:cs="宋体"/>
          <w:color w:val="auto"/>
          <w:sz w:val="24"/>
          <w:szCs w:val="24"/>
        </w:rPr>
        <w:t>),签字代表(</w:t>
      </w:r>
      <w:r>
        <w:rPr>
          <w:rFonts w:hint="eastAsia" w:ascii="宋体" w:hAnsi="宋体" w:eastAsia="宋体" w:cs="宋体"/>
          <w:i/>
          <w:color w:val="auto"/>
          <w:sz w:val="24"/>
          <w:szCs w:val="24"/>
          <w:u w:val="single"/>
        </w:rPr>
        <w:t>姓名、职务</w:t>
      </w:r>
      <w:r>
        <w:rPr>
          <w:rFonts w:hint="eastAsia" w:ascii="宋体" w:hAnsi="宋体" w:eastAsia="宋体" w:cs="宋体"/>
          <w:color w:val="auto"/>
          <w:sz w:val="24"/>
          <w:szCs w:val="24"/>
        </w:rPr>
        <w:t>)经正式授权并代表供应商（</w:t>
      </w:r>
      <w:r>
        <w:rPr>
          <w:rFonts w:hint="eastAsia" w:ascii="宋体" w:hAnsi="宋体" w:eastAsia="宋体" w:cs="宋体"/>
          <w:i/>
          <w:color w:val="auto"/>
          <w:sz w:val="24"/>
          <w:szCs w:val="24"/>
          <w:u w:val="single"/>
        </w:rPr>
        <w:t>名称、地址</w:t>
      </w:r>
      <w:r>
        <w:rPr>
          <w:rFonts w:hint="eastAsia" w:ascii="宋体" w:hAnsi="宋体" w:eastAsia="宋体" w:cs="宋体"/>
          <w:color w:val="auto"/>
          <w:sz w:val="24"/>
          <w:szCs w:val="24"/>
        </w:rPr>
        <w:t>）提交下述文件正本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份及电子文档</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份，并以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形式出具的金额为人民币</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元的磋商保证金。</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据此，签字代表宣布同意如下：</w:t>
      </w:r>
    </w:p>
    <w:p>
      <w:pPr>
        <w:pStyle w:val="11"/>
        <w:tabs>
          <w:tab w:val="left" w:pos="720"/>
          <w:tab w:val="left" w:pos="900"/>
        </w:tabs>
        <w:spacing w:line="240" w:lineRule="atLeast"/>
        <w:ind w:left="769" w:leftChars="257" w:hanging="229"/>
        <w:rPr>
          <w:rFonts w:hint="eastAsia" w:ascii="宋体" w:hAnsi="宋体" w:eastAsia="宋体" w:cs="宋体"/>
          <w:color w:val="auto"/>
          <w:sz w:val="24"/>
          <w:szCs w:val="24"/>
          <w:u w:val="single"/>
        </w:rPr>
      </w:pPr>
      <w:r>
        <w:rPr>
          <w:rFonts w:hint="eastAsia" w:ascii="宋体" w:hAnsi="宋体" w:eastAsia="宋体" w:cs="宋体"/>
          <w:color w:val="auto"/>
          <w:sz w:val="24"/>
          <w:szCs w:val="24"/>
        </w:rPr>
        <w:t>（1）附磋商价格表中规定的应提供</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的磋商总价详见磋商开启一览表，</w:t>
      </w:r>
      <w:r>
        <w:rPr>
          <w:rFonts w:hint="eastAsia" w:ascii="宋体" w:hAnsi="宋体" w:eastAsia="宋体" w:cs="宋体"/>
          <w:color w:val="auto"/>
          <w:sz w:val="24"/>
          <w:szCs w:val="24"/>
          <w:u w:val="single"/>
        </w:rPr>
        <w:t>其中由小型和</w:t>
      </w:r>
      <w:r>
        <w:rPr>
          <w:rFonts w:hint="eastAsia" w:ascii="宋体" w:hAnsi="宋体" w:eastAsia="宋体" w:cs="宋体"/>
          <w:color w:val="auto"/>
          <w:sz w:val="24"/>
          <w:szCs w:val="24"/>
        </w:rPr>
        <w:t>微型企业制造产品的价格为</w:t>
      </w:r>
      <w:r>
        <w:rPr>
          <w:rFonts w:hint="eastAsia" w:ascii="宋体" w:hAnsi="宋体" w:eastAsia="宋体" w:cs="宋体"/>
          <w:color w:val="auto"/>
          <w:sz w:val="24"/>
          <w:szCs w:val="24"/>
          <w:u w:val="single"/>
        </w:rPr>
        <w:t>　　  （用文字和数字表示），占磋商总价   %</w:t>
      </w:r>
      <w:r>
        <w:rPr>
          <w:rFonts w:hint="eastAsia" w:ascii="宋体" w:hAnsi="宋体" w:eastAsia="宋体" w:cs="宋体"/>
          <w:color w:val="auto"/>
          <w:sz w:val="24"/>
          <w:szCs w:val="24"/>
        </w:rPr>
        <w:t>。</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（2）本磋商有效期为自磋商截止之日起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（3）联合体中的大中型企业和其他自然人、法人或者非法人组织，与联合体中的小型、微型企业之间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存在、不存在）投资关系（如果是联合体的话）。</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（4）已详细审查全部磋商文件，包括所有补充通知（如果有的话），完全理解并同意放弃对这方面有不明、误解和质疑的权力。</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（5）在规定的磋商开启时间后，遵守磋商文件中有关保证金的规定。</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（6）我方不是为本项目提供整体设计、规范编制或者项目管理、监理、检测等</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rPr>
        <w:t>的供应商，我方不是采购代理机构的附属机构。</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（7）在领取成交通知书的同时按磋商文件规定的形式，向贵方一次性支付成交</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费。</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（8）按照贵方可能要求，提供与其磋商有关的一切数据或资料，完全理解贵方不一定接受最低价的磋商或收到的任何磋商。</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（9）按照磋商文件的规定履行合同责任和义务。</w:t>
      </w:r>
    </w:p>
    <w:p>
      <w:pPr>
        <w:pStyle w:val="11"/>
        <w:tabs>
          <w:tab w:val="left" w:pos="5580"/>
        </w:tabs>
        <w:spacing w:line="240" w:lineRule="atLeast"/>
        <w:ind w:left="359" w:leftChars="68" w:hanging="216" w:hangingChars="90"/>
        <w:rPr>
          <w:rFonts w:hint="eastAsia" w:ascii="宋体" w:hAnsi="宋体" w:eastAsia="宋体" w:cs="宋体"/>
          <w:color w:val="auto"/>
          <w:sz w:val="24"/>
          <w:szCs w:val="24"/>
        </w:rPr>
      </w:pPr>
      <w:r>
        <w:rPr>
          <w:rFonts w:hint="eastAsia" w:ascii="宋体" w:hAnsi="宋体" w:eastAsia="宋体" w:cs="宋体"/>
          <w:color w:val="auto"/>
          <w:sz w:val="24"/>
          <w:szCs w:val="24"/>
        </w:rPr>
        <w:t xml:space="preserve">  与本磋商有关的一切正式往来信函请寄：</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传真</w:t>
      </w:r>
      <w:r>
        <w:rPr>
          <w:rFonts w:hint="eastAsia" w:ascii="宋体" w:hAnsi="宋体" w:eastAsia="宋体" w:cs="宋体"/>
          <w:color w:val="auto"/>
          <w:sz w:val="24"/>
          <w:szCs w:val="24"/>
          <w:u w:val="single"/>
        </w:rPr>
        <w:t xml:space="preserve">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电子函件</w:t>
      </w:r>
      <w:r>
        <w:rPr>
          <w:rFonts w:hint="eastAsia" w:ascii="宋体" w:hAnsi="宋体" w:eastAsia="宋体" w:cs="宋体"/>
          <w:color w:val="auto"/>
          <w:sz w:val="24"/>
          <w:szCs w:val="24"/>
          <w:u w:val="single"/>
        </w:rPr>
        <w:t xml:space="preserve">                         </w:t>
      </w:r>
    </w:p>
    <w:p>
      <w:pPr>
        <w:pStyle w:val="11"/>
        <w:tabs>
          <w:tab w:val="left" w:pos="5580"/>
        </w:tabs>
        <w:spacing w:line="240" w:lineRule="atLeast"/>
        <w:ind w:left="1080" w:leftChars="257" w:hanging="54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法定代表人或其委托代理人（签/章）</w:t>
      </w:r>
      <w:r>
        <w:rPr>
          <w:rFonts w:hint="eastAsia" w:ascii="宋体" w:hAnsi="宋体" w:eastAsia="宋体" w:cs="宋体"/>
          <w:color w:val="auto"/>
          <w:sz w:val="24"/>
          <w:szCs w:val="24"/>
          <w:u w:val="single"/>
        </w:rPr>
        <w:t xml:space="preserve">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供应商名称（全称）</w:t>
      </w:r>
      <w:r>
        <w:rPr>
          <w:rFonts w:hint="eastAsia" w:ascii="宋体" w:hAnsi="宋体" w:eastAsia="宋体" w:cs="宋体"/>
          <w:color w:val="auto"/>
          <w:sz w:val="24"/>
          <w:szCs w:val="24"/>
          <w:u w:val="single"/>
        </w:rPr>
        <w:t xml:space="preserve">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供应商开户银行（全称）</w:t>
      </w:r>
      <w:r>
        <w:rPr>
          <w:rFonts w:hint="eastAsia" w:ascii="宋体" w:hAnsi="宋体" w:eastAsia="宋体" w:cs="宋体"/>
          <w:color w:val="auto"/>
          <w:sz w:val="24"/>
          <w:szCs w:val="24"/>
          <w:u w:val="single"/>
        </w:rPr>
        <w:t xml:space="preserve">　　　　　　 </w:t>
      </w:r>
    </w:p>
    <w:p>
      <w:pPr>
        <w:pStyle w:val="11"/>
        <w:tabs>
          <w:tab w:val="left" w:pos="5580"/>
        </w:tabs>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供应商银行帐号</w:t>
      </w:r>
      <w:r>
        <w:rPr>
          <w:rFonts w:hint="eastAsia" w:ascii="宋体" w:hAnsi="宋体" w:eastAsia="宋体" w:cs="宋体"/>
          <w:color w:val="auto"/>
          <w:sz w:val="24"/>
          <w:szCs w:val="24"/>
          <w:u w:val="single"/>
        </w:rPr>
        <w:t>　　　　　　　　 　　</w:t>
      </w:r>
    </w:p>
    <w:p>
      <w:pPr>
        <w:pStyle w:val="11"/>
        <w:tabs>
          <w:tab w:val="left" w:pos="5580"/>
        </w:tabs>
        <w:spacing w:line="240" w:lineRule="atLeast"/>
        <w:ind w:left="1080" w:leftChars="257" w:hanging="540"/>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bookmarkStart w:id="381" w:name="_Toc216582815"/>
      <w:bookmarkStart w:id="382" w:name="_Toc515647818"/>
      <w:bookmarkStart w:id="383" w:name="_Toc20897"/>
      <w:bookmarkStart w:id="384" w:name="_Toc1881"/>
    </w:p>
    <w:p>
      <w:pPr>
        <w:pStyle w:val="4"/>
        <w:spacing w:before="0" w:line="240" w:lineRule="atLeast"/>
        <w:ind w:left="1080" w:leftChars="257" w:hanging="540"/>
        <w:outlineLvl w:val="9"/>
        <w:rPr>
          <w:rFonts w:hint="eastAsia" w:ascii="宋体" w:hAnsi="宋体" w:eastAsia="宋体" w:cs="宋体"/>
          <w:color w:val="auto"/>
          <w:sz w:val="24"/>
          <w:szCs w:val="24"/>
        </w:rPr>
      </w:pPr>
      <w:bookmarkStart w:id="385" w:name="_Toc16705"/>
      <w:bookmarkStart w:id="386" w:name="_Toc23321"/>
      <w:bookmarkStart w:id="387" w:name="_Toc29155"/>
      <w:bookmarkStart w:id="388" w:name="_Toc18221"/>
      <w:bookmarkStart w:id="389" w:name="_Toc12874"/>
      <w:bookmarkStart w:id="390" w:name="_Toc9110"/>
      <w:bookmarkStart w:id="391" w:name="_Toc23248"/>
      <w:bookmarkStart w:id="392" w:name="_Toc22674"/>
    </w:p>
    <w:p>
      <w:pPr>
        <w:pStyle w:val="4"/>
        <w:spacing w:before="0" w:line="240" w:lineRule="atLeast"/>
        <w:ind w:left="1080" w:leftChars="257" w:hanging="540"/>
        <w:outlineLvl w:val="9"/>
        <w:rPr>
          <w:rFonts w:hint="eastAsia" w:ascii="宋体" w:hAnsi="宋体" w:eastAsia="宋体" w:cs="宋体"/>
          <w:color w:val="auto"/>
          <w:sz w:val="24"/>
          <w:szCs w:val="24"/>
        </w:rPr>
      </w:pPr>
    </w:p>
    <w:p>
      <w:pPr>
        <w:pStyle w:val="4"/>
        <w:spacing w:before="0" w:line="240" w:lineRule="atLeast"/>
        <w:ind w:left="1080" w:leftChars="257" w:hanging="540"/>
        <w:outlineLvl w:val="9"/>
        <w:rPr>
          <w:rFonts w:hint="eastAsia" w:ascii="宋体" w:hAnsi="宋体" w:eastAsia="宋体" w:cs="宋体"/>
          <w:color w:val="auto"/>
          <w:sz w:val="24"/>
          <w:szCs w:val="24"/>
        </w:rPr>
      </w:pPr>
    </w:p>
    <w:p>
      <w:pPr>
        <w:pStyle w:val="4"/>
        <w:spacing w:before="0" w:line="240" w:lineRule="atLeast"/>
        <w:ind w:left="1080" w:leftChars="257" w:hanging="540"/>
        <w:outlineLvl w:val="9"/>
        <w:rPr>
          <w:rFonts w:hint="eastAsia" w:ascii="宋体" w:hAnsi="宋体" w:eastAsia="宋体" w:cs="宋体"/>
          <w:color w:val="auto"/>
          <w:sz w:val="24"/>
          <w:szCs w:val="24"/>
        </w:rPr>
      </w:pPr>
    </w:p>
    <w:p>
      <w:pPr>
        <w:pStyle w:val="2"/>
        <w:outlineLvl w:val="9"/>
        <w:rPr>
          <w:rFonts w:hint="eastAsia" w:ascii="宋体" w:hAnsi="宋体" w:eastAsia="宋体" w:cs="宋体"/>
          <w:color w:val="auto"/>
          <w:sz w:val="24"/>
          <w:szCs w:val="24"/>
        </w:rPr>
      </w:pPr>
    </w:p>
    <w:p>
      <w:pPr>
        <w:pStyle w:val="5"/>
        <w:rPr>
          <w:rFonts w:hint="eastAsia" w:ascii="宋体" w:hAnsi="宋体" w:eastAsia="宋体" w:cs="宋体"/>
        </w:rPr>
      </w:pPr>
    </w:p>
    <w:p>
      <w:pPr>
        <w:rPr>
          <w:rFonts w:hint="eastAsia" w:ascii="宋体" w:hAnsi="宋体" w:eastAsia="宋体" w:cs="宋体"/>
        </w:rPr>
      </w:pPr>
    </w:p>
    <w:p>
      <w:pPr>
        <w:pStyle w:val="2"/>
        <w:outlineLvl w:val="9"/>
        <w:rPr>
          <w:rFonts w:hint="eastAsia" w:ascii="宋体" w:hAnsi="宋体" w:eastAsia="宋体" w:cs="宋体"/>
        </w:rPr>
      </w:pPr>
    </w:p>
    <w:p>
      <w:pPr>
        <w:pStyle w:val="4"/>
        <w:spacing w:before="0" w:line="240" w:lineRule="atLeast"/>
        <w:ind w:left="1080" w:leftChars="257" w:hanging="540"/>
        <w:outlineLvl w:val="9"/>
        <w:rPr>
          <w:rFonts w:hint="eastAsia" w:ascii="宋体" w:hAnsi="宋体" w:eastAsia="宋体" w:cs="宋体"/>
          <w:color w:val="auto"/>
          <w:sz w:val="24"/>
          <w:szCs w:val="24"/>
        </w:rPr>
      </w:pPr>
    </w:p>
    <w:p>
      <w:pPr>
        <w:pStyle w:val="4"/>
        <w:spacing w:before="0" w:line="240" w:lineRule="atLeast"/>
        <w:jc w:val="both"/>
        <w:outlineLvl w:val="9"/>
        <w:rPr>
          <w:rFonts w:hint="eastAsia" w:ascii="宋体" w:hAnsi="宋体" w:eastAsia="宋体" w:cs="宋体"/>
          <w:color w:val="auto"/>
          <w:sz w:val="24"/>
          <w:szCs w:val="24"/>
        </w:rPr>
      </w:pPr>
    </w:p>
    <w:p>
      <w:pPr>
        <w:rPr>
          <w:rFonts w:hint="eastAsia" w:ascii="宋体" w:hAnsi="宋体" w:eastAsia="宋体" w:cs="宋体"/>
        </w:rPr>
      </w:pPr>
    </w:p>
    <w:p>
      <w:pPr>
        <w:pStyle w:val="4"/>
        <w:spacing w:before="0" w:line="240" w:lineRule="atLeast"/>
        <w:ind w:left="1080" w:leftChars="257" w:hanging="540"/>
        <w:outlineLvl w:val="9"/>
        <w:rPr>
          <w:rFonts w:hint="eastAsia" w:ascii="宋体" w:hAnsi="宋体" w:eastAsia="宋体" w:cs="宋体"/>
          <w:color w:val="auto"/>
          <w:sz w:val="24"/>
          <w:szCs w:val="24"/>
        </w:rPr>
      </w:pPr>
    </w:p>
    <w:p>
      <w:pPr>
        <w:pStyle w:val="4"/>
        <w:spacing w:before="0"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磋商分项报价表</w:t>
      </w:r>
      <w:bookmarkEnd w:id="381"/>
      <w:r>
        <w:rPr>
          <w:rFonts w:hint="eastAsia" w:ascii="宋体" w:hAnsi="宋体" w:eastAsia="宋体" w:cs="宋体"/>
          <w:color w:val="auto"/>
          <w:sz w:val="24"/>
          <w:szCs w:val="24"/>
        </w:rPr>
        <w:t>（磋商文件格式七）</w:t>
      </w:r>
      <w:bookmarkEnd w:id="382"/>
      <w:bookmarkEnd w:id="383"/>
      <w:bookmarkEnd w:id="384"/>
      <w:bookmarkEnd w:id="385"/>
      <w:bookmarkEnd w:id="386"/>
      <w:bookmarkEnd w:id="387"/>
      <w:bookmarkEnd w:id="388"/>
      <w:bookmarkEnd w:id="389"/>
      <w:bookmarkEnd w:id="390"/>
      <w:bookmarkEnd w:id="391"/>
      <w:bookmarkEnd w:id="392"/>
    </w:p>
    <w:p>
      <w:pPr>
        <w:pStyle w:val="11"/>
        <w:spacing w:line="240" w:lineRule="atLeast"/>
        <w:ind w:left="1080" w:leftChars="257" w:hanging="540"/>
        <w:rPr>
          <w:rFonts w:hint="eastAsia" w:ascii="宋体" w:hAnsi="宋体" w:eastAsia="宋体" w:cs="宋体"/>
          <w:color w:val="auto"/>
          <w:sz w:val="24"/>
          <w:szCs w:val="24"/>
        </w:rPr>
      </w:pP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                         包号: 　 　报价单位：人民币万元</w:t>
      </w:r>
    </w:p>
    <w:tbl>
      <w:tblPr>
        <w:tblStyle w:val="21"/>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1458"/>
        <w:gridCol w:w="1350"/>
        <w:gridCol w:w="1779"/>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vAlign w:val="center"/>
          </w:tcPr>
          <w:p>
            <w:pPr>
              <w:pStyle w:val="11"/>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36" w:type="dxa"/>
            <w:vAlign w:val="center"/>
          </w:tcPr>
          <w:p>
            <w:pPr>
              <w:pStyle w:val="11"/>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539" w:type="dxa"/>
            <w:vAlign w:val="center"/>
          </w:tcPr>
          <w:p>
            <w:pPr>
              <w:pStyle w:val="11"/>
              <w:spacing w:line="240" w:lineRule="atLeas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tc>
        <w:tc>
          <w:tcPr>
            <w:tcW w:w="1458"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350" w:type="dxa"/>
            <w:vAlign w:val="center"/>
          </w:tcPr>
          <w:p>
            <w:pPr>
              <w:pStyle w:val="11"/>
              <w:spacing w:line="24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单位</w:t>
            </w:r>
          </w:p>
        </w:tc>
        <w:tc>
          <w:tcPr>
            <w:tcW w:w="1779"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843"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01"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vAlign w:val="center"/>
          </w:tcPr>
          <w:p>
            <w:pPr>
              <w:pStyle w:val="11"/>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36" w:type="dxa"/>
            <w:vAlign w:val="center"/>
          </w:tcPr>
          <w:p>
            <w:pPr>
              <w:pStyle w:val="11"/>
              <w:spacing w:line="240" w:lineRule="atLeast"/>
              <w:jc w:val="left"/>
              <w:rPr>
                <w:rFonts w:hint="eastAsia" w:ascii="宋体" w:hAnsi="宋体" w:eastAsia="宋体" w:cs="宋体"/>
                <w:color w:val="auto"/>
                <w:sz w:val="24"/>
                <w:szCs w:val="24"/>
              </w:rPr>
            </w:pPr>
          </w:p>
        </w:tc>
        <w:tc>
          <w:tcPr>
            <w:tcW w:w="153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458"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350"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77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43"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01"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vAlign w:val="center"/>
          </w:tcPr>
          <w:p>
            <w:pPr>
              <w:pStyle w:val="11"/>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36" w:type="dxa"/>
            <w:vAlign w:val="center"/>
          </w:tcPr>
          <w:p>
            <w:pPr>
              <w:pStyle w:val="11"/>
              <w:spacing w:line="240" w:lineRule="atLeast"/>
              <w:jc w:val="left"/>
              <w:rPr>
                <w:rFonts w:hint="eastAsia" w:ascii="宋体" w:hAnsi="宋体" w:eastAsia="宋体" w:cs="宋体"/>
                <w:color w:val="auto"/>
                <w:sz w:val="24"/>
                <w:szCs w:val="24"/>
              </w:rPr>
            </w:pPr>
          </w:p>
        </w:tc>
        <w:tc>
          <w:tcPr>
            <w:tcW w:w="153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458"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350"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77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43"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01"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vAlign w:val="center"/>
          </w:tcPr>
          <w:p>
            <w:pPr>
              <w:pStyle w:val="11"/>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36" w:type="dxa"/>
            <w:vAlign w:val="center"/>
          </w:tcPr>
          <w:p>
            <w:pPr>
              <w:pStyle w:val="11"/>
              <w:spacing w:line="240" w:lineRule="atLeast"/>
              <w:jc w:val="left"/>
              <w:rPr>
                <w:rFonts w:hint="eastAsia" w:ascii="宋体" w:hAnsi="宋体" w:eastAsia="宋体" w:cs="宋体"/>
                <w:color w:val="auto"/>
                <w:sz w:val="24"/>
                <w:szCs w:val="24"/>
              </w:rPr>
            </w:pPr>
          </w:p>
        </w:tc>
        <w:tc>
          <w:tcPr>
            <w:tcW w:w="153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458"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350"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77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43"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01"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vAlign w:val="center"/>
          </w:tcPr>
          <w:p>
            <w:pPr>
              <w:pStyle w:val="11"/>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36" w:type="dxa"/>
            <w:vAlign w:val="center"/>
          </w:tcPr>
          <w:p>
            <w:pPr>
              <w:pStyle w:val="11"/>
              <w:spacing w:line="240" w:lineRule="atLeast"/>
              <w:jc w:val="left"/>
              <w:rPr>
                <w:rFonts w:hint="eastAsia" w:ascii="宋体" w:hAnsi="宋体" w:eastAsia="宋体" w:cs="宋体"/>
                <w:color w:val="auto"/>
                <w:sz w:val="24"/>
                <w:szCs w:val="24"/>
              </w:rPr>
            </w:pPr>
          </w:p>
        </w:tc>
        <w:tc>
          <w:tcPr>
            <w:tcW w:w="153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458"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350"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77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43"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01"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vAlign w:val="center"/>
          </w:tcPr>
          <w:p>
            <w:pPr>
              <w:pStyle w:val="11"/>
              <w:spacing w:line="24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36" w:type="dxa"/>
            <w:vAlign w:val="center"/>
          </w:tcPr>
          <w:p>
            <w:pPr>
              <w:pStyle w:val="11"/>
              <w:spacing w:line="240" w:lineRule="atLeast"/>
              <w:jc w:val="left"/>
              <w:rPr>
                <w:rFonts w:hint="eastAsia" w:ascii="宋体" w:hAnsi="宋体" w:eastAsia="宋体" w:cs="宋体"/>
                <w:color w:val="auto"/>
                <w:sz w:val="24"/>
                <w:szCs w:val="24"/>
              </w:rPr>
            </w:pPr>
          </w:p>
        </w:tc>
        <w:tc>
          <w:tcPr>
            <w:tcW w:w="153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458"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350"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1779"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43"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c>
          <w:tcPr>
            <w:tcW w:w="801" w:type="dxa"/>
            <w:vAlign w:val="center"/>
          </w:tcPr>
          <w:p>
            <w:pPr>
              <w:pStyle w:val="11"/>
              <w:spacing w:line="240" w:lineRule="atLeast"/>
              <w:ind w:left="1080" w:leftChars="257" w:hanging="54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6"/>
            <w:vAlign w:val="center"/>
          </w:tcPr>
          <w:p>
            <w:pPr>
              <w:pStyle w:val="11"/>
              <w:spacing w:line="240" w:lineRule="atLeast"/>
              <w:ind w:left="1080" w:leftChars="257" w:hanging="540"/>
              <w:jc w:val="lef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644" w:type="dxa"/>
            <w:gridSpan w:val="2"/>
            <w:vAlign w:val="center"/>
          </w:tcPr>
          <w:p>
            <w:pPr>
              <w:pStyle w:val="11"/>
              <w:spacing w:line="240" w:lineRule="atLeast"/>
              <w:ind w:left="1080" w:leftChars="257" w:hanging="540"/>
              <w:jc w:val="left"/>
              <w:rPr>
                <w:rFonts w:hint="eastAsia" w:ascii="宋体" w:hAnsi="宋体" w:eastAsia="宋体" w:cs="宋体"/>
                <w:color w:val="auto"/>
                <w:sz w:val="24"/>
                <w:szCs w:val="24"/>
              </w:rPr>
            </w:pPr>
          </w:p>
        </w:tc>
      </w:tr>
    </w:tbl>
    <w:p>
      <w:pPr>
        <w:pStyle w:val="11"/>
        <w:spacing w:line="240" w:lineRule="atLeast"/>
        <w:ind w:left="1080" w:leftChars="257" w:hanging="540"/>
        <w:rPr>
          <w:rFonts w:hint="eastAsia" w:ascii="宋体" w:hAnsi="宋体" w:eastAsia="宋体" w:cs="宋体"/>
          <w:color w:val="auto"/>
          <w:sz w:val="24"/>
          <w:szCs w:val="24"/>
        </w:rPr>
      </w:pP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1"/>
        <w:tabs>
          <w:tab w:val="left" w:pos="5370"/>
        </w:tabs>
        <w:spacing w:line="240" w:lineRule="atLeast"/>
        <w:ind w:left="1080" w:leftChars="257" w:hanging="540"/>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ab/>
      </w:r>
    </w:p>
    <w:p>
      <w:pPr>
        <w:pStyle w:val="11"/>
        <w:spacing w:line="240" w:lineRule="atLeast"/>
        <w:ind w:left="1080" w:leftChars="257" w:hanging="540"/>
        <w:rPr>
          <w:rFonts w:hint="eastAsia" w:ascii="宋体" w:hAnsi="宋体" w:eastAsia="宋体" w:cs="宋体"/>
          <w:color w:val="auto"/>
          <w:sz w:val="24"/>
          <w:szCs w:val="24"/>
        </w:rPr>
      </w:pP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注:1.如果供应商认为需要，每种</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填写一份该表。</w:t>
      </w:r>
    </w:p>
    <w:p>
      <w:pPr>
        <w:pStyle w:val="11"/>
        <w:spacing w:line="240" w:lineRule="atLeast"/>
        <w:ind w:left="1079" w:leftChars="428" w:hanging="180" w:hangingChars="75"/>
        <w:rPr>
          <w:rFonts w:hint="eastAsia" w:ascii="宋体" w:hAnsi="宋体" w:eastAsia="宋体" w:cs="宋体"/>
          <w:color w:val="auto"/>
          <w:sz w:val="24"/>
          <w:szCs w:val="24"/>
        </w:rPr>
      </w:pPr>
      <w:r>
        <w:rPr>
          <w:rFonts w:hint="eastAsia" w:ascii="宋体" w:hAnsi="宋体" w:eastAsia="宋体" w:cs="宋体"/>
          <w:color w:val="auto"/>
          <w:sz w:val="24"/>
          <w:szCs w:val="24"/>
        </w:rPr>
        <w:t>2.如果按单价计算的结果与总价不一致,以单价为准修正总价。</w:t>
      </w: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3.如果不提供详细分项报价将视为没有实质性响应磋商文件。</w:t>
      </w: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4.上述各项的详细分项报价，应另页描述。</w:t>
      </w: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   5.如果磋商开启一览表（报价表）内容与磋商文件中明细表内容不一致的，以磋商开启一览表（报价表）内容为准。</w:t>
      </w:r>
    </w:p>
    <w:p>
      <w:pPr>
        <w:autoSpaceDE w:val="0"/>
        <w:autoSpaceDN w:val="0"/>
        <w:adjustRightInd w:val="0"/>
        <w:spacing w:line="240" w:lineRule="atLeast"/>
        <w:ind w:left="1080" w:leftChars="257" w:hanging="540"/>
        <w:rPr>
          <w:rFonts w:hint="eastAsia" w:ascii="宋体" w:hAnsi="宋体" w:eastAsia="宋体" w:cs="宋体"/>
          <w:color w:val="auto"/>
          <w:sz w:val="24"/>
        </w:rPr>
      </w:pPr>
    </w:p>
    <w:p>
      <w:pPr>
        <w:autoSpaceDE w:val="0"/>
        <w:autoSpaceDN w:val="0"/>
        <w:adjustRightInd w:val="0"/>
        <w:spacing w:line="240" w:lineRule="atLeast"/>
        <w:ind w:left="1080" w:leftChars="257" w:hanging="540"/>
        <w:rPr>
          <w:rFonts w:hint="eastAsia" w:ascii="宋体" w:hAnsi="宋体" w:eastAsia="宋体" w:cs="宋体"/>
          <w:color w:val="auto"/>
          <w:sz w:val="24"/>
        </w:rPr>
      </w:pPr>
    </w:p>
    <w:p>
      <w:pPr>
        <w:pStyle w:val="20"/>
        <w:ind w:firstLine="480"/>
        <w:rPr>
          <w:rFonts w:hint="eastAsia" w:ascii="宋体" w:hAnsi="宋体" w:eastAsia="宋体" w:cs="宋体"/>
          <w:color w:val="auto"/>
        </w:rPr>
      </w:pPr>
    </w:p>
    <w:p>
      <w:pPr>
        <w:pStyle w:val="20"/>
        <w:ind w:firstLine="480"/>
        <w:rPr>
          <w:rFonts w:hint="eastAsia" w:ascii="宋体" w:hAnsi="宋体" w:eastAsia="宋体" w:cs="宋体"/>
          <w:color w:val="auto"/>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4"/>
        <w:spacing w:before="0" w:line="240" w:lineRule="atLeast"/>
        <w:ind w:left="1080" w:leftChars="257" w:hanging="540"/>
        <w:rPr>
          <w:rFonts w:hint="eastAsia" w:ascii="宋体" w:hAnsi="宋体" w:eastAsia="宋体" w:cs="宋体"/>
          <w:color w:val="auto"/>
          <w:sz w:val="24"/>
          <w:szCs w:val="24"/>
        </w:rPr>
      </w:pPr>
      <w:bookmarkStart w:id="393" w:name="_Toc216582816"/>
      <w:bookmarkStart w:id="394" w:name="_Toc515647819"/>
      <w:bookmarkStart w:id="395" w:name="_Toc9921"/>
      <w:bookmarkStart w:id="396" w:name="_Toc25251"/>
      <w:bookmarkStart w:id="397" w:name="_Toc22216"/>
      <w:bookmarkStart w:id="398" w:name="_Toc22132"/>
      <w:bookmarkStart w:id="399" w:name="_Toc22104"/>
      <w:bookmarkStart w:id="400" w:name="_Toc18267"/>
      <w:bookmarkStart w:id="401" w:name="_Toc24292"/>
      <w:bookmarkStart w:id="402" w:name="_Toc12151"/>
      <w:bookmarkStart w:id="403" w:name="_Toc6343"/>
      <w:bookmarkStart w:id="404" w:name="_Toc14037"/>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说明一览表</w:t>
      </w:r>
      <w:bookmarkEnd w:id="393"/>
      <w:r>
        <w:rPr>
          <w:rFonts w:hint="eastAsia" w:ascii="宋体" w:hAnsi="宋体" w:eastAsia="宋体" w:cs="宋体"/>
          <w:color w:val="auto"/>
          <w:sz w:val="24"/>
          <w:szCs w:val="24"/>
        </w:rPr>
        <w:t>（磋商文件格式八）</w:t>
      </w:r>
      <w:bookmarkEnd w:id="394"/>
      <w:bookmarkEnd w:id="395"/>
      <w:bookmarkEnd w:id="396"/>
      <w:bookmarkEnd w:id="397"/>
      <w:bookmarkEnd w:id="398"/>
      <w:bookmarkEnd w:id="399"/>
      <w:bookmarkEnd w:id="400"/>
      <w:bookmarkEnd w:id="401"/>
      <w:bookmarkEnd w:id="402"/>
      <w:bookmarkEnd w:id="403"/>
      <w:bookmarkEnd w:id="404"/>
    </w:p>
    <w:p>
      <w:pPr>
        <w:pStyle w:val="11"/>
        <w:spacing w:line="240" w:lineRule="atLeast"/>
        <w:ind w:left="1080" w:leftChars="257" w:hanging="540"/>
        <w:rPr>
          <w:rFonts w:hint="eastAsia" w:ascii="宋体" w:hAnsi="宋体" w:eastAsia="宋体" w:cs="宋体"/>
          <w:color w:val="auto"/>
          <w:sz w:val="24"/>
          <w:szCs w:val="24"/>
        </w:rPr>
      </w:pP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 xml:space="preserve">:                       包号:                      </w:t>
      </w:r>
    </w:p>
    <w:p>
      <w:pPr>
        <w:pStyle w:val="11"/>
        <w:spacing w:line="240" w:lineRule="atLeast"/>
        <w:ind w:left="1080" w:leftChars="257" w:hanging="540"/>
        <w:rPr>
          <w:rFonts w:hint="eastAsia" w:ascii="宋体" w:hAnsi="宋体" w:eastAsia="宋体" w:cs="宋体"/>
          <w:color w:val="auto"/>
          <w:sz w:val="24"/>
          <w:szCs w:val="24"/>
        </w:rPr>
      </w:pPr>
    </w:p>
    <w:tbl>
      <w:tblPr>
        <w:tblStyle w:val="21"/>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7"/>
        <w:gridCol w:w="1196"/>
        <w:gridCol w:w="1078"/>
        <w:gridCol w:w="1317"/>
        <w:gridCol w:w="143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17"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名称</w:t>
            </w:r>
          </w:p>
        </w:tc>
        <w:tc>
          <w:tcPr>
            <w:tcW w:w="1196"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内容</w:t>
            </w:r>
          </w:p>
        </w:tc>
        <w:tc>
          <w:tcPr>
            <w:tcW w:w="1078"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317" w:type="dxa"/>
            <w:vAlign w:val="center"/>
          </w:tcPr>
          <w:p>
            <w:pPr>
              <w:pStyle w:val="11"/>
              <w:spacing w:line="240"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服务期限</w:t>
            </w:r>
          </w:p>
        </w:tc>
        <w:tc>
          <w:tcPr>
            <w:tcW w:w="1436"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地点</w:t>
            </w:r>
          </w:p>
        </w:tc>
        <w:tc>
          <w:tcPr>
            <w:tcW w:w="1317" w:type="dxa"/>
            <w:vAlign w:val="center"/>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196" w:type="dxa"/>
          </w:tcPr>
          <w:p>
            <w:pPr>
              <w:pStyle w:val="11"/>
              <w:spacing w:line="240" w:lineRule="atLeast"/>
              <w:ind w:left="1080" w:leftChars="257" w:hanging="540"/>
              <w:rPr>
                <w:rFonts w:hint="eastAsia" w:ascii="宋体" w:hAnsi="宋体" w:eastAsia="宋体" w:cs="宋体"/>
                <w:color w:val="auto"/>
                <w:sz w:val="24"/>
                <w:szCs w:val="24"/>
              </w:rPr>
            </w:pPr>
          </w:p>
        </w:tc>
        <w:tc>
          <w:tcPr>
            <w:tcW w:w="1078"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436"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196" w:type="dxa"/>
          </w:tcPr>
          <w:p>
            <w:pPr>
              <w:pStyle w:val="11"/>
              <w:spacing w:line="240" w:lineRule="atLeast"/>
              <w:ind w:left="1080" w:leftChars="257" w:hanging="540"/>
              <w:rPr>
                <w:rFonts w:hint="eastAsia" w:ascii="宋体" w:hAnsi="宋体" w:eastAsia="宋体" w:cs="宋体"/>
                <w:color w:val="auto"/>
                <w:sz w:val="24"/>
                <w:szCs w:val="24"/>
              </w:rPr>
            </w:pPr>
          </w:p>
        </w:tc>
        <w:tc>
          <w:tcPr>
            <w:tcW w:w="1078"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436"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196" w:type="dxa"/>
          </w:tcPr>
          <w:p>
            <w:pPr>
              <w:pStyle w:val="11"/>
              <w:spacing w:line="240" w:lineRule="atLeast"/>
              <w:ind w:left="1080" w:leftChars="257" w:hanging="540"/>
              <w:rPr>
                <w:rFonts w:hint="eastAsia" w:ascii="宋体" w:hAnsi="宋体" w:eastAsia="宋体" w:cs="宋体"/>
                <w:color w:val="auto"/>
                <w:sz w:val="24"/>
                <w:szCs w:val="24"/>
              </w:rPr>
            </w:pPr>
          </w:p>
        </w:tc>
        <w:tc>
          <w:tcPr>
            <w:tcW w:w="1078"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436"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196" w:type="dxa"/>
          </w:tcPr>
          <w:p>
            <w:pPr>
              <w:pStyle w:val="11"/>
              <w:spacing w:line="240" w:lineRule="atLeast"/>
              <w:ind w:left="1080" w:leftChars="257" w:hanging="540"/>
              <w:rPr>
                <w:rFonts w:hint="eastAsia" w:ascii="宋体" w:hAnsi="宋体" w:eastAsia="宋体" w:cs="宋体"/>
                <w:color w:val="auto"/>
                <w:sz w:val="24"/>
                <w:szCs w:val="24"/>
              </w:rPr>
            </w:pPr>
          </w:p>
        </w:tc>
        <w:tc>
          <w:tcPr>
            <w:tcW w:w="1078"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436"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196" w:type="dxa"/>
          </w:tcPr>
          <w:p>
            <w:pPr>
              <w:pStyle w:val="11"/>
              <w:spacing w:line="240" w:lineRule="atLeast"/>
              <w:ind w:left="1080" w:leftChars="257" w:hanging="540"/>
              <w:rPr>
                <w:rFonts w:hint="eastAsia" w:ascii="宋体" w:hAnsi="宋体" w:eastAsia="宋体" w:cs="宋体"/>
                <w:color w:val="auto"/>
                <w:sz w:val="24"/>
                <w:szCs w:val="24"/>
              </w:rPr>
            </w:pPr>
          </w:p>
        </w:tc>
        <w:tc>
          <w:tcPr>
            <w:tcW w:w="1078"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436"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196" w:type="dxa"/>
          </w:tcPr>
          <w:p>
            <w:pPr>
              <w:pStyle w:val="11"/>
              <w:spacing w:line="240" w:lineRule="atLeast"/>
              <w:ind w:left="1080" w:leftChars="257" w:hanging="540"/>
              <w:rPr>
                <w:rFonts w:hint="eastAsia" w:ascii="宋体" w:hAnsi="宋体" w:eastAsia="宋体" w:cs="宋体"/>
                <w:color w:val="auto"/>
                <w:sz w:val="24"/>
                <w:szCs w:val="24"/>
              </w:rPr>
            </w:pPr>
          </w:p>
        </w:tc>
        <w:tc>
          <w:tcPr>
            <w:tcW w:w="1078"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436"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196" w:type="dxa"/>
          </w:tcPr>
          <w:p>
            <w:pPr>
              <w:pStyle w:val="11"/>
              <w:spacing w:line="240" w:lineRule="atLeast"/>
              <w:ind w:left="1080" w:leftChars="257" w:hanging="540"/>
              <w:rPr>
                <w:rFonts w:hint="eastAsia" w:ascii="宋体" w:hAnsi="宋体" w:eastAsia="宋体" w:cs="宋体"/>
                <w:color w:val="auto"/>
                <w:sz w:val="24"/>
                <w:szCs w:val="24"/>
              </w:rPr>
            </w:pPr>
          </w:p>
        </w:tc>
        <w:tc>
          <w:tcPr>
            <w:tcW w:w="1078"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436"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196" w:type="dxa"/>
          </w:tcPr>
          <w:p>
            <w:pPr>
              <w:pStyle w:val="11"/>
              <w:spacing w:line="240" w:lineRule="atLeast"/>
              <w:ind w:left="1080" w:leftChars="257" w:hanging="540"/>
              <w:rPr>
                <w:rFonts w:hint="eastAsia" w:ascii="宋体" w:hAnsi="宋体" w:eastAsia="宋体" w:cs="宋体"/>
                <w:color w:val="auto"/>
                <w:sz w:val="24"/>
                <w:szCs w:val="24"/>
              </w:rPr>
            </w:pPr>
          </w:p>
        </w:tc>
        <w:tc>
          <w:tcPr>
            <w:tcW w:w="1078"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c>
          <w:tcPr>
            <w:tcW w:w="1436" w:type="dxa"/>
          </w:tcPr>
          <w:p>
            <w:pPr>
              <w:pStyle w:val="11"/>
              <w:spacing w:line="240" w:lineRule="atLeast"/>
              <w:ind w:left="1080" w:leftChars="257" w:hanging="540"/>
              <w:rPr>
                <w:rFonts w:hint="eastAsia" w:ascii="宋体" w:hAnsi="宋体" w:eastAsia="宋体" w:cs="宋体"/>
                <w:color w:val="auto"/>
                <w:sz w:val="24"/>
                <w:szCs w:val="24"/>
              </w:rPr>
            </w:pPr>
          </w:p>
        </w:tc>
        <w:tc>
          <w:tcPr>
            <w:tcW w:w="1317" w:type="dxa"/>
          </w:tcPr>
          <w:p>
            <w:pPr>
              <w:pStyle w:val="11"/>
              <w:spacing w:line="240" w:lineRule="atLeast"/>
              <w:ind w:left="1080" w:leftChars="257" w:hanging="540"/>
              <w:rPr>
                <w:rFonts w:hint="eastAsia" w:ascii="宋体" w:hAnsi="宋体" w:eastAsia="宋体" w:cs="宋体"/>
                <w:color w:val="auto"/>
                <w:sz w:val="24"/>
                <w:szCs w:val="24"/>
              </w:rPr>
            </w:pPr>
          </w:p>
        </w:tc>
      </w:tr>
    </w:tbl>
    <w:p>
      <w:pPr>
        <w:pStyle w:val="11"/>
        <w:spacing w:line="240" w:lineRule="atLeast"/>
        <w:ind w:left="1080" w:leftChars="257" w:hanging="540"/>
        <w:rPr>
          <w:rFonts w:hint="eastAsia" w:ascii="宋体" w:hAnsi="宋体" w:eastAsia="宋体" w:cs="宋体"/>
          <w:color w:val="auto"/>
          <w:sz w:val="24"/>
          <w:szCs w:val="24"/>
        </w:rPr>
      </w:pP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1"/>
        <w:tabs>
          <w:tab w:val="left" w:pos="5370"/>
        </w:tabs>
        <w:spacing w:line="240" w:lineRule="atLeast"/>
        <w:ind w:left="1080" w:leftChars="257" w:hanging="540"/>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ab/>
      </w:r>
    </w:p>
    <w:p>
      <w:pPr>
        <w:pStyle w:val="11"/>
        <w:spacing w:line="240" w:lineRule="atLeast"/>
        <w:ind w:left="1080" w:leftChars="257" w:hanging="540"/>
        <w:rPr>
          <w:rFonts w:hint="eastAsia" w:ascii="宋体" w:hAnsi="宋体" w:eastAsia="宋体" w:cs="宋体"/>
          <w:color w:val="auto"/>
          <w:sz w:val="24"/>
          <w:szCs w:val="24"/>
        </w:rPr>
      </w:pPr>
    </w:p>
    <w:p>
      <w:pPr>
        <w:pStyle w:val="11"/>
        <w:spacing w:line="240" w:lineRule="atLeast"/>
        <w:ind w:left="1080" w:leftChars="257" w:hanging="540"/>
        <w:jc w:val="center"/>
        <w:rPr>
          <w:rFonts w:hint="eastAsia" w:ascii="宋体" w:hAnsi="宋体" w:eastAsia="宋体" w:cs="宋体"/>
          <w:color w:val="auto"/>
          <w:sz w:val="24"/>
          <w:szCs w:val="24"/>
        </w:rPr>
      </w:pPr>
    </w:p>
    <w:p>
      <w:pPr>
        <w:pStyle w:val="11"/>
        <w:spacing w:line="240" w:lineRule="atLeast"/>
        <w:ind w:left="1080" w:leftChars="257" w:hanging="540"/>
        <w:jc w:val="center"/>
        <w:rPr>
          <w:rFonts w:hint="eastAsia" w:ascii="宋体" w:hAnsi="宋体" w:eastAsia="宋体" w:cs="宋体"/>
          <w:color w:val="auto"/>
          <w:sz w:val="24"/>
          <w:szCs w:val="24"/>
        </w:rPr>
        <w:sectPr>
          <w:footerReference r:id="rId3" w:type="default"/>
          <w:pgSz w:w="11906" w:h="16838"/>
          <w:pgMar w:top="1440" w:right="1797" w:bottom="1440" w:left="1797" w:header="851" w:footer="992" w:gutter="0"/>
          <w:pgNumType w:fmt="decimal" w:start="1"/>
          <w:cols w:space="720" w:num="1"/>
          <w:docGrid w:linePitch="312" w:charSpace="0"/>
        </w:sectPr>
      </w:pPr>
    </w:p>
    <w:p>
      <w:pPr>
        <w:pStyle w:val="4"/>
        <w:spacing w:before="0" w:line="240" w:lineRule="atLeast"/>
        <w:ind w:left="1080" w:leftChars="257" w:hanging="540"/>
        <w:rPr>
          <w:rFonts w:hint="eastAsia" w:ascii="宋体" w:hAnsi="宋体" w:eastAsia="宋体" w:cs="宋体"/>
          <w:color w:val="auto"/>
          <w:sz w:val="24"/>
          <w:szCs w:val="24"/>
        </w:rPr>
      </w:pPr>
      <w:bookmarkStart w:id="405" w:name="_Toc1232"/>
      <w:bookmarkStart w:id="406" w:name="_Toc4880"/>
      <w:bookmarkStart w:id="407" w:name="_Toc515647820"/>
      <w:bookmarkStart w:id="408" w:name="_Toc9012"/>
      <w:bookmarkStart w:id="409" w:name="_Toc32689"/>
      <w:bookmarkStart w:id="410" w:name="_Toc216582817"/>
      <w:bookmarkStart w:id="411" w:name="_Toc338"/>
      <w:bookmarkStart w:id="412" w:name="_Toc28959"/>
      <w:bookmarkStart w:id="413" w:name="_Toc24864"/>
      <w:bookmarkStart w:id="414" w:name="_Toc1130"/>
      <w:bookmarkStart w:id="415" w:name="_Toc22563"/>
      <w:bookmarkStart w:id="416" w:name="_Toc30176"/>
      <w:r>
        <w:rPr>
          <w:rFonts w:hint="eastAsia" w:ascii="宋体" w:hAnsi="宋体" w:eastAsia="宋体" w:cs="宋体"/>
          <w:color w:val="auto"/>
          <w:sz w:val="24"/>
          <w:szCs w:val="24"/>
        </w:rPr>
        <w:t>4</w:t>
      </w:r>
      <w:bookmarkEnd w:id="405"/>
      <w:bookmarkEnd w:id="406"/>
      <w:bookmarkEnd w:id="407"/>
      <w:bookmarkEnd w:id="408"/>
      <w:bookmarkEnd w:id="409"/>
      <w:bookmarkEnd w:id="410"/>
      <w:bookmarkEnd w:id="411"/>
      <w:bookmarkEnd w:id="412"/>
      <w:bookmarkEnd w:id="413"/>
      <w:bookmarkEnd w:id="414"/>
      <w:bookmarkEnd w:id="415"/>
      <w:bookmarkStart w:id="417" w:name="_Toc216582818"/>
      <w:bookmarkStart w:id="418" w:name="_Toc1980"/>
      <w:bookmarkStart w:id="419" w:name="_Toc13810"/>
      <w:bookmarkStart w:id="420" w:name="_Toc515647821"/>
      <w:bookmarkStart w:id="421" w:name="_Toc24350"/>
      <w:bookmarkStart w:id="422" w:name="_Toc3060"/>
      <w:bookmarkStart w:id="423" w:name="_Toc3332"/>
      <w:bookmarkStart w:id="424" w:name="_Toc3484"/>
      <w:bookmarkStart w:id="425" w:name="_Toc15724"/>
      <w:bookmarkStart w:id="426" w:name="_Toc4467"/>
      <w:bookmarkStart w:id="427" w:name="_Toc23"/>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商务条款偏离表</w:t>
      </w:r>
      <w:bookmarkEnd w:id="417"/>
      <w:r>
        <w:rPr>
          <w:rFonts w:hint="eastAsia" w:ascii="宋体" w:hAnsi="宋体" w:eastAsia="宋体" w:cs="宋体"/>
          <w:color w:val="auto"/>
          <w:sz w:val="24"/>
          <w:szCs w:val="24"/>
        </w:rPr>
        <w:t>（磋商文件格式十）</w:t>
      </w:r>
      <w:bookmarkEnd w:id="416"/>
      <w:bookmarkEnd w:id="418"/>
      <w:bookmarkEnd w:id="419"/>
      <w:bookmarkEnd w:id="420"/>
      <w:bookmarkEnd w:id="421"/>
      <w:bookmarkEnd w:id="422"/>
      <w:bookmarkEnd w:id="423"/>
      <w:bookmarkEnd w:id="424"/>
      <w:bookmarkEnd w:id="425"/>
      <w:bookmarkEnd w:id="426"/>
      <w:bookmarkEnd w:id="427"/>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w:t>
      </w: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                                  包号:</w:t>
      </w:r>
    </w:p>
    <w:tbl>
      <w:tblPr>
        <w:tblStyle w:val="2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40" w:type="dxa"/>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磋商文件条款号</w:t>
            </w:r>
          </w:p>
        </w:tc>
        <w:tc>
          <w:tcPr>
            <w:tcW w:w="2520" w:type="dxa"/>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磋商文件的商务条款</w:t>
            </w:r>
          </w:p>
        </w:tc>
        <w:tc>
          <w:tcPr>
            <w:tcW w:w="2520" w:type="dxa"/>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磋商文件的商务条款</w:t>
            </w:r>
          </w:p>
        </w:tc>
        <w:tc>
          <w:tcPr>
            <w:tcW w:w="900" w:type="dxa"/>
          </w:tcPr>
          <w:p>
            <w:pPr>
              <w:pStyle w:val="11"/>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jc w:val="center"/>
              <w:rPr>
                <w:rFonts w:hint="eastAsia" w:ascii="宋体" w:hAnsi="宋体" w:eastAsia="宋体" w:cs="宋体"/>
                <w:color w:val="auto"/>
                <w:sz w:val="24"/>
                <w:szCs w:val="24"/>
              </w:rPr>
            </w:pPr>
          </w:p>
        </w:tc>
        <w:tc>
          <w:tcPr>
            <w:tcW w:w="2520" w:type="dxa"/>
          </w:tcPr>
          <w:p>
            <w:pPr>
              <w:pStyle w:val="11"/>
              <w:spacing w:line="240" w:lineRule="atLeast"/>
              <w:ind w:left="1080" w:leftChars="257" w:hanging="540"/>
              <w:jc w:val="center"/>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0" w:leftChars="257" w:hanging="540"/>
              <w:rPr>
                <w:rFonts w:hint="eastAsia" w:ascii="宋体" w:hAnsi="宋体" w:eastAsia="宋体" w:cs="宋体"/>
                <w:color w:val="auto"/>
                <w:sz w:val="24"/>
                <w:szCs w:val="24"/>
              </w:rPr>
            </w:pPr>
          </w:p>
        </w:tc>
        <w:tc>
          <w:tcPr>
            <w:tcW w:w="204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2520" w:type="dxa"/>
          </w:tcPr>
          <w:p>
            <w:pPr>
              <w:pStyle w:val="11"/>
              <w:spacing w:line="240" w:lineRule="atLeast"/>
              <w:ind w:left="1080" w:leftChars="257" w:hanging="540"/>
              <w:rPr>
                <w:rFonts w:hint="eastAsia" w:ascii="宋体" w:hAnsi="宋体" w:eastAsia="宋体" w:cs="宋体"/>
                <w:color w:val="auto"/>
                <w:sz w:val="24"/>
                <w:szCs w:val="24"/>
              </w:rPr>
            </w:pPr>
          </w:p>
        </w:tc>
        <w:tc>
          <w:tcPr>
            <w:tcW w:w="900" w:type="dxa"/>
          </w:tcPr>
          <w:p>
            <w:pPr>
              <w:pStyle w:val="11"/>
              <w:spacing w:line="240" w:lineRule="atLeast"/>
              <w:ind w:left="1080" w:leftChars="257" w:hanging="540"/>
              <w:rPr>
                <w:rFonts w:hint="eastAsia" w:ascii="宋体" w:hAnsi="宋体" w:eastAsia="宋体" w:cs="宋体"/>
                <w:color w:val="auto"/>
                <w:sz w:val="24"/>
                <w:szCs w:val="24"/>
              </w:rPr>
            </w:pPr>
          </w:p>
        </w:tc>
      </w:tr>
    </w:tbl>
    <w:p>
      <w:pPr>
        <w:pStyle w:val="11"/>
        <w:spacing w:line="240" w:lineRule="atLeast"/>
        <w:ind w:left="1080" w:leftChars="257" w:hanging="540"/>
        <w:rPr>
          <w:rFonts w:hint="eastAsia" w:ascii="宋体" w:hAnsi="宋体" w:eastAsia="宋体" w:cs="宋体"/>
          <w:color w:val="auto"/>
          <w:sz w:val="24"/>
          <w:szCs w:val="24"/>
        </w:rPr>
      </w:pPr>
    </w:p>
    <w:p>
      <w:pPr>
        <w:pStyle w:val="11"/>
        <w:spacing w:line="240" w:lineRule="atLeast"/>
        <w:ind w:left="1080" w:leftChars="257" w:hanging="540"/>
        <w:rPr>
          <w:rFonts w:hint="eastAsia" w:ascii="宋体" w:hAnsi="宋体" w:eastAsia="宋体" w:cs="宋体"/>
          <w:color w:val="auto"/>
          <w:sz w:val="24"/>
          <w:szCs w:val="24"/>
        </w:rPr>
      </w:pPr>
    </w:p>
    <w:p>
      <w:pPr>
        <w:pStyle w:val="11"/>
        <w:spacing w:line="240" w:lineRule="atLeast"/>
        <w:ind w:left="1080" w:leftChars="257" w:hanging="54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法定代表人或其委托代理（签/章）: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pPr>
        <w:pStyle w:val="11"/>
        <w:tabs>
          <w:tab w:val="left" w:pos="5370"/>
        </w:tabs>
        <w:spacing w:line="240" w:lineRule="atLeast"/>
        <w:ind w:left="1080" w:leftChars="257" w:hanging="540"/>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r>
        <w:rPr>
          <w:rFonts w:hint="eastAsia" w:ascii="宋体" w:hAnsi="宋体" w:eastAsia="宋体" w:cs="宋体"/>
          <w:color w:val="auto"/>
          <w:sz w:val="24"/>
          <w:szCs w:val="24"/>
          <w:u w:val="single"/>
        </w:rPr>
        <w:tab/>
      </w: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11"/>
        <w:spacing w:line="240" w:lineRule="atLeast"/>
        <w:rPr>
          <w:rFonts w:hint="eastAsia" w:ascii="宋体" w:hAnsi="宋体" w:eastAsia="宋体" w:cs="宋体"/>
          <w:color w:val="auto"/>
          <w:sz w:val="24"/>
          <w:szCs w:val="24"/>
        </w:rPr>
      </w:pPr>
    </w:p>
    <w:p>
      <w:pPr>
        <w:pStyle w:val="4"/>
        <w:spacing w:before="0" w:line="240" w:lineRule="atLeast"/>
        <w:jc w:val="both"/>
        <w:rPr>
          <w:rFonts w:hint="eastAsia" w:ascii="宋体" w:hAnsi="宋体" w:eastAsia="宋体" w:cs="宋体"/>
          <w:b w:val="0"/>
          <w:color w:val="auto"/>
          <w:sz w:val="24"/>
          <w:szCs w:val="24"/>
        </w:rPr>
      </w:pPr>
      <w:bookmarkStart w:id="428" w:name="_Hlt520274911"/>
      <w:bookmarkEnd w:id="428"/>
      <w:bookmarkStart w:id="429" w:name="_Hlt520273711"/>
      <w:bookmarkEnd w:id="429"/>
      <w:bookmarkStart w:id="430" w:name="_Hlt520343000"/>
      <w:bookmarkEnd w:id="430"/>
      <w:bookmarkStart w:id="431" w:name="_Hlt520274065"/>
      <w:bookmarkEnd w:id="431"/>
      <w:bookmarkStart w:id="432" w:name="_Hlt520274407"/>
      <w:bookmarkEnd w:id="432"/>
      <w:bookmarkStart w:id="433" w:name="_Hlt520350918"/>
      <w:bookmarkEnd w:id="433"/>
      <w:bookmarkStart w:id="434" w:name="_Hlt520273973"/>
      <w:bookmarkEnd w:id="434"/>
      <w:bookmarkStart w:id="435" w:name="_Hlt520350957"/>
      <w:bookmarkEnd w:id="435"/>
      <w:bookmarkStart w:id="436" w:name="_Hlt520271212"/>
      <w:bookmarkEnd w:id="436"/>
      <w:bookmarkStart w:id="437" w:name="_Hlt520274393"/>
      <w:bookmarkEnd w:id="437"/>
      <w:bookmarkStart w:id="438" w:name="_Hlt520343392"/>
      <w:bookmarkEnd w:id="438"/>
      <w:bookmarkStart w:id="439" w:name="_Toc6055"/>
      <w:bookmarkStart w:id="440" w:name="_Toc21312"/>
      <w:bookmarkStart w:id="441" w:name="_Toc6526"/>
      <w:bookmarkStart w:id="442" w:name="_Toc515647823"/>
      <w:bookmarkStart w:id="443" w:name="_Toc10444"/>
      <w:bookmarkStart w:id="444" w:name="_Toc29837"/>
      <w:bookmarkStart w:id="445" w:name="_Toc32368"/>
      <w:bookmarkStart w:id="446" w:name="_Toc10725"/>
      <w:bookmarkStart w:id="447" w:name="_Toc22578"/>
      <w:bookmarkStart w:id="448" w:name="_Toc388"/>
      <w:bookmarkStart w:id="449" w:name="_Toc15566"/>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供应商企业（单位）类型声明函（磋商文件格式十一）</w:t>
      </w:r>
      <w:bookmarkEnd w:id="439"/>
      <w:bookmarkEnd w:id="440"/>
      <w:bookmarkEnd w:id="441"/>
      <w:bookmarkEnd w:id="442"/>
      <w:bookmarkEnd w:id="443"/>
      <w:bookmarkEnd w:id="444"/>
      <w:bookmarkEnd w:id="445"/>
      <w:bookmarkEnd w:id="446"/>
      <w:bookmarkEnd w:id="447"/>
      <w:bookmarkEnd w:id="448"/>
      <w:bookmarkEnd w:id="449"/>
    </w:p>
    <w:p>
      <w:pPr>
        <w:spacing w:line="240" w:lineRule="atLeast"/>
        <w:ind w:left="1080" w:leftChars="257" w:hanging="540"/>
        <w:jc w:val="center"/>
        <w:rPr>
          <w:rFonts w:hint="eastAsia" w:ascii="宋体" w:hAnsi="宋体" w:eastAsia="宋体" w:cs="宋体"/>
          <w:b/>
          <w:color w:val="auto"/>
          <w:kern w:val="0"/>
          <w:sz w:val="24"/>
        </w:rPr>
      </w:pPr>
    </w:p>
    <w:p>
      <w:pPr>
        <w:widowControl/>
        <w:spacing w:before="100" w:beforeAutospacing="1" w:after="100" w:afterAutospacing="1" w:line="330" w:lineRule="atLeast"/>
        <w:ind w:firstLine="3120" w:firstLineChars="1300"/>
        <w:jc w:val="left"/>
        <w:rPr>
          <w:rFonts w:hint="eastAsia" w:ascii="宋体" w:hAnsi="宋体" w:eastAsia="宋体" w:cs="宋体"/>
          <w:color w:val="auto"/>
          <w:kern w:val="0"/>
          <w:sz w:val="24"/>
        </w:rPr>
      </w:pPr>
      <w:bookmarkStart w:id="450" w:name="_Toc19271"/>
      <w:r>
        <w:rPr>
          <w:rFonts w:hint="eastAsia" w:ascii="宋体" w:hAnsi="宋体" w:eastAsia="宋体" w:cs="宋体"/>
          <w:color w:val="auto"/>
          <w:kern w:val="0"/>
          <w:sz w:val="24"/>
          <w:lang w:val="en-US" w:eastAsia="zh-CN"/>
        </w:rPr>
        <w:t>中小企业声明函（货物）</w:t>
      </w:r>
      <w:bookmarkEnd w:id="450"/>
    </w:p>
    <w:p>
      <w:pPr>
        <w:widowControl/>
        <w:spacing w:before="100" w:beforeAutospacing="1" w:after="100" w:afterAutospacing="1" w:line="330" w:lineRule="atLeast"/>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本公司（联合体）郑重声明，根据《政府采购促进中小企业发展管理办法》（财库﹝2020﹞46号）的规定，本公司（联合体）参加</w:t>
      </w:r>
      <w:r>
        <w:rPr>
          <w:rFonts w:hint="eastAsia" w:ascii="宋体" w:hAnsi="宋体" w:eastAsia="宋体" w:cs="宋体"/>
          <w:color w:val="auto"/>
          <w:kern w:val="0"/>
          <w:sz w:val="24"/>
          <w:lang w:val="zh-CN" w:eastAsia="zh-CN"/>
        </w:rPr>
        <w:t>（单位名称）</w:t>
      </w:r>
      <w:r>
        <w:rPr>
          <w:rFonts w:hint="eastAsia" w:ascii="宋体" w:hAnsi="宋体" w:eastAsia="宋体" w:cs="宋体"/>
          <w:color w:val="auto"/>
          <w:kern w:val="0"/>
          <w:sz w:val="24"/>
          <w:lang w:val="en-US" w:eastAsia="zh-CN"/>
        </w:rPr>
        <w:t>的</w:t>
      </w:r>
      <w:r>
        <w:rPr>
          <w:rFonts w:hint="eastAsia" w:ascii="宋体" w:hAnsi="宋体" w:eastAsia="宋体" w:cs="宋体"/>
          <w:color w:val="auto"/>
          <w:kern w:val="0"/>
          <w:sz w:val="24"/>
          <w:lang w:val="zh-CN" w:eastAsia="zh-CN"/>
        </w:rPr>
        <w:t>（项目名称）</w:t>
      </w:r>
      <w:r>
        <w:rPr>
          <w:rFonts w:hint="eastAsia" w:ascii="宋体" w:hAnsi="宋体" w:eastAsia="宋体" w:cs="宋体"/>
          <w:color w:val="auto"/>
          <w:kern w:val="0"/>
          <w:sz w:val="24"/>
          <w:lang w:val="en-US" w:eastAsia="zh-CN"/>
        </w:rPr>
        <w:t>采购活动，提供的货物全部由符合政策要求的中小企业制造。相关企业（含联合体中的中小企业、签订分包意向协议的中小企业）的具体情况如下：</w:t>
      </w:r>
    </w:p>
    <w:p>
      <w:pPr>
        <w:widowControl/>
        <w:spacing w:before="100" w:beforeAutospacing="1" w:after="100" w:afterAutospacing="1" w:line="330" w:lineRule="atLeast"/>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lang w:val="zh-CN" w:eastAsia="zh-CN"/>
        </w:rPr>
        <w:t>（标的名称）</w:t>
      </w:r>
      <w:r>
        <w:rPr>
          <w:rFonts w:hint="eastAsia" w:ascii="宋体" w:hAnsi="宋体" w:eastAsia="宋体" w:cs="宋体"/>
          <w:color w:val="auto"/>
          <w:kern w:val="0"/>
          <w:sz w:val="24"/>
        </w:rPr>
        <w:t xml:space="preserve"> ， </w:t>
      </w:r>
      <w:r>
        <w:rPr>
          <w:rFonts w:hint="eastAsia" w:ascii="宋体" w:hAnsi="宋体" w:eastAsia="宋体" w:cs="宋体"/>
          <w:color w:val="auto"/>
          <w:kern w:val="0"/>
          <w:sz w:val="24"/>
          <w:lang w:val="zh-CN" w:eastAsia="zh-CN"/>
        </w:rPr>
        <w:t>属于（采购文件中明确的所属行业）行业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lang w:val="zh-CN" w:eastAsia="zh-CN"/>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万元，</w:t>
      </w:r>
      <w:r>
        <w:rPr>
          <w:rFonts w:hint="eastAsia" w:ascii="宋体" w:hAnsi="宋体" w:eastAsia="宋体" w:cs="宋体"/>
          <w:color w:val="auto"/>
          <w:kern w:val="0"/>
          <w:sz w:val="24"/>
          <w:lang w:val="zh-CN" w:eastAsia="zh-CN"/>
        </w:rPr>
        <w:t>属于（中型企业、小型企业、微型企业）；</w:t>
      </w:r>
    </w:p>
    <w:p>
      <w:pPr>
        <w:widowControl/>
        <w:spacing w:before="100" w:beforeAutospacing="1" w:after="100" w:afterAutospacing="1" w:line="330" w:lineRule="atLeast"/>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val="zh-CN" w:eastAsia="zh-CN"/>
        </w:rPr>
        <w:t xml:space="preserve"> （标的名称）</w:t>
      </w:r>
      <w:r>
        <w:rPr>
          <w:rFonts w:hint="eastAsia" w:ascii="宋体" w:hAnsi="宋体" w:eastAsia="宋体" w:cs="宋体"/>
          <w:color w:val="auto"/>
          <w:kern w:val="0"/>
          <w:sz w:val="24"/>
        </w:rPr>
        <w:t xml:space="preserve"> ， </w:t>
      </w:r>
      <w:r>
        <w:rPr>
          <w:rFonts w:hint="eastAsia" w:ascii="宋体" w:hAnsi="宋体" w:eastAsia="宋体" w:cs="宋体"/>
          <w:color w:val="auto"/>
          <w:kern w:val="0"/>
          <w:sz w:val="24"/>
          <w:lang w:val="zh-CN" w:eastAsia="zh-CN"/>
        </w:rPr>
        <w:t>属于（采购文件中明确的所属行业）行业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lang w:val="zh-CN" w:eastAsia="zh-CN"/>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万元，</w:t>
      </w:r>
      <w:r>
        <w:rPr>
          <w:rFonts w:hint="eastAsia" w:ascii="宋体" w:hAnsi="宋体" w:eastAsia="宋体" w:cs="宋体"/>
          <w:color w:val="auto"/>
          <w:kern w:val="0"/>
          <w:sz w:val="24"/>
          <w:lang w:val="zh-CN" w:eastAsia="zh-CN"/>
        </w:rPr>
        <w:t>属于（中型企业、小型企业、微型企业）；</w:t>
      </w:r>
    </w:p>
    <w:p>
      <w:pPr>
        <w:widowControl/>
        <w:spacing w:before="100" w:beforeAutospacing="1" w:after="100" w:afterAutospacing="1" w:line="330" w:lineRule="atLeast"/>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w:t>
      </w:r>
    </w:p>
    <w:p>
      <w:pPr>
        <w:widowControl/>
        <w:spacing w:before="100" w:beforeAutospacing="1" w:after="100" w:afterAutospacing="1" w:line="330" w:lineRule="atLeast"/>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以上企业，不属于大企业的分支机构，不存在控股股东为大企业的情形，也不存在与大企业的负责人为同一人的情形。</w:t>
      </w:r>
    </w:p>
    <w:p>
      <w:pPr>
        <w:widowControl/>
        <w:spacing w:before="100" w:beforeAutospacing="1" w:after="100" w:afterAutospacing="1" w:line="330" w:lineRule="atLeast"/>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本企业对上述声明内容的真实性负责。如有虚假，将依法承担相应责任。</w:t>
      </w:r>
    </w:p>
    <w:p>
      <w:pPr>
        <w:widowControl/>
        <w:spacing w:before="100" w:beforeAutospacing="1" w:after="100" w:afterAutospacing="1" w:line="330" w:lineRule="atLeast"/>
        <w:ind w:firstLine="3120" w:firstLineChars="1300"/>
        <w:jc w:val="left"/>
        <w:rPr>
          <w:rFonts w:hint="eastAsia" w:ascii="宋体" w:hAnsi="宋体" w:eastAsia="宋体" w:cs="宋体"/>
          <w:color w:val="auto"/>
          <w:kern w:val="0"/>
          <w:sz w:val="24"/>
          <w:lang w:val="en-US" w:eastAsia="zh-CN"/>
        </w:rPr>
      </w:pPr>
    </w:p>
    <w:p>
      <w:pPr>
        <w:widowControl/>
        <w:spacing w:before="100" w:beforeAutospacing="1" w:after="100" w:afterAutospacing="1" w:line="330" w:lineRule="atLeast"/>
        <w:ind w:firstLine="3120" w:firstLineChars="1300"/>
        <w:jc w:val="left"/>
        <w:rPr>
          <w:rFonts w:hint="eastAsia" w:ascii="宋体" w:hAnsi="宋体" w:eastAsia="宋体" w:cs="宋体"/>
          <w:color w:val="auto"/>
          <w:kern w:val="0"/>
          <w:sz w:val="24"/>
          <w:lang w:val="en-US" w:eastAsia="zh-CN"/>
        </w:rPr>
      </w:pPr>
    </w:p>
    <w:p>
      <w:pPr>
        <w:widowControl/>
        <w:spacing w:before="100" w:beforeAutospacing="1" w:after="100" w:afterAutospacing="1" w:line="330" w:lineRule="atLeast"/>
        <w:ind w:firstLine="5280" w:firstLineChars="2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企业名称（盖章）：        </w:t>
      </w:r>
    </w:p>
    <w:p>
      <w:pPr>
        <w:widowControl/>
        <w:spacing w:before="100" w:beforeAutospacing="1" w:after="100" w:afterAutospacing="1" w:line="330" w:lineRule="atLeast"/>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rPr>
        <w:t xml:space="preserve">                    </w:t>
      </w:r>
    </w:p>
    <w:p>
      <w:pPr>
        <w:widowControl/>
        <w:spacing w:before="100" w:beforeAutospacing="1" w:after="100" w:afterAutospacing="1" w:line="330" w:lineRule="atLeast"/>
        <w:ind w:firstLine="3120" w:firstLineChars="1300"/>
        <w:jc w:val="left"/>
        <w:rPr>
          <w:rFonts w:hint="eastAsia" w:ascii="宋体" w:hAnsi="宋体" w:eastAsia="宋体" w:cs="宋体"/>
          <w:color w:val="auto"/>
          <w:kern w:val="0"/>
          <w:sz w:val="24"/>
          <w:lang w:val="en-US" w:eastAsia="zh-CN"/>
        </w:rPr>
      </w:pPr>
    </w:p>
    <w:p>
      <w:pPr>
        <w:widowControl/>
        <w:spacing w:before="100" w:beforeAutospacing="1" w:after="100" w:afterAutospacing="1" w:line="330" w:lineRule="atLeast"/>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注：潜在投标企业属于中小微企业的，请在响应文件中提供“中小企业声明函”，如果未提供或提供虚假的“中小企业声明函”，投标企业将承担由此造成的一切不利后果。</w:t>
      </w:r>
      <w:r>
        <w:rPr>
          <w:rFonts w:hint="eastAsia" w:ascii="宋体" w:hAnsi="宋体" w:eastAsia="宋体" w:cs="宋体"/>
          <w:color w:val="auto"/>
          <w:kern w:val="0"/>
          <w:sz w:val="24"/>
        </w:rPr>
        <w:t>　</w:t>
      </w:r>
    </w:p>
    <w:p>
      <w:pPr>
        <w:widowControl/>
        <w:spacing w:before="100" w:beforeAutospacing="1" w:after="100" w:afterAutospacing="1" w:line="330" w:lineRule="atLeast"/>
        <w:ind w:firstLine="3120" w:firstLineChars="1300"/>
        <w:jc w:val="left"/>
        <w:rPr>
          <w:rFonts w:hint="eastAsia" w:ascii="宋体" w:hAnsi="宋体" w:eastAsia="宋体" w:cs="宋体"/>
          <w:color w:val="auto"/>
          <w:kern w:val="0"/>
          <w:sz w:val="24"/>
        </w:rPr>
      </w:pPr>
    </w:p>
    <w:p>
      <w:pPr>
        <w:widowControl/>
        <w:spacing w:before="100" w:beforeAutospacing="1" w:after="100" w:afterAutospacing="1" w:line="330" w:lineRule="atLeast"/>
        <w:ind w:firstLine="420"/>
        <w:jc w:val="left"/>
        <w:rPr>
          <w:rFonts w:hint="eastAsia" w:ascii="宋体" w:hAnsi="宋体" w:eastAsia="宋体" w:cs="宋体"/>
          <w:color w:val="auto"/>
          <w:kern w:val="0"/>
          <w:sz w:val="24"/>
        </w:rPr>
      </w:pPr>
    </w:p>
    <w:p>
      <w:pPr>
        <w:spacing w:line="240" w:lineRule="atLeast"/>
        <w:ind w:left="1080" w:leftChars="257" w:hanging="540"/>
        <w:jc w:val="center"/>
        <w:rPr>
          <w:rFonts w:hint="eastAsia" w:ascii="宋体" w:hAnsi="宋体" w:eastAsia="宋体" w:cs="宋体"/>
          <w:b/>
          <w:color w:val="auto"/>
          <w:kern w:val="0"/>
          <w:sz w:val="24"/>
        </w:rPr>
      </w:pPr>
      <w:r>
        <w:rPr>
          <w:rFonts w:hint="eastAsia" w:ascii="宋体" w:hAnsi="宋体" w:eastAsia="宋体" w:cs="宋体"/>
          <w:b/>
          <w:color w:val="auto"/>
          <w:kern w:val="0"/>
          <w:sz w:val="24"/>
        </w:rPr>
        <w:t>　</w:t>
      </w:r>
    </w:p>
    <w:p>
      <w:pPr>
        <w:pStyle w:val="4"/>
        <w:spacing w:before="0" w:line="240" w:lineRule="atLeast"/>
        <w:jc w:val="both"/>
        <w:rPr>
          <w:rFonts w:hint="eastAsia" w:ascii="宋体" w:hAnsi="宋体" w:eastAsia="宋体" w:cs="宋体"/>
          <w:color w:val="auto"/>
          <w:sz w:val="24"/>
          <w:szCs w:val="24"/>
        </w:rPr>
      </w:pPr>
      <w:r>
        <w:rPr>
          <w:rFonts w:hint="eastAsia" w:ascii="宋体" w:hAnsi="宋体" w:eastAsia="宋体" w:cs="宋体"/>
          <w:b w:val="0"/>
          <w:color w:val="auto"/>
          <w:sz w:val="24"/>
          <w:szCs w:val="24"/>
        </w:rPr>
        <w:br w:type="page"/>
      </w:r>
      <w:bookmarkStart w:id="451" w:name="_Toc24122"/>
      <w:bookmarkStart w:id="452" w:name="_Toc515647824"/>
      <w:bookmarkStart w:id="453" w:name="_Toc10872"/>
      <w:bookmarkStart w:id="454" w:name="_Toc11803"/>
      <w:bookmarkStart w:id="455" w:name="_Toc1721"/>
      <w:bookmarkStart w:id="456" w:name="_Toc17987"/>
      <w:bookmarkStart w:id="457" w:name="_Toc10958"/>
      <w:bookmarkStart w:id="458" w:name="_Toc31112"/>
      <w:bookmarkStart w:id="459" w:name="_Toc10977"/>
      <w:bookmarkStart w:id="460" w:name="_Toc4255"/>
      <w:bookmarkStart w:id="461" w:name="_Toc27426"/>
      <w:r>
        <w:rPr>
          <w:rFonts w:hint="eastAsia" w:ascii="宋体" w:hAnsi="宋体" w:eastAsia="宋体" w:cs="宋体"/>
          <w:b w:val="0"/>
          <w:color w:val="auto"/>
          <w:sz w:val="24"/>
          <w:szCs w:val="24"/>
          <w:lang w:val="en-US" w:eastAsia="zh-CN"/>
        </w:rPr>
        <w:t>5</w:t>
      </w:r>
      <w:r>
        <w:rPr>
          <w:rFonts w:hint="eastAsia" w:ascii="宋体" w:hAnsi="宋体" w:eastAsia="宋体" w:cs="宋体"/>
          <w:color w:val="auto"/>
          <w:sz w:val="24"/>
          <w:szCs w:val="24"/>
        </w:rPr>
        <w:t>-2</w:t>
      </w:r>
      <w:bookmarkEnd w:id="451"/>
      <w:bookmarkEnd w:id="452"/>
      <w:bookmarkEnd w:id="453"/>
      <w:bookmarkEnd w:id="454"/>
      <w:bookmarkEnd w:id="455"/>
      <w:bookmarkEnd w:id="456"/>
      <w:bookmarkEnd w:id="457"/>
      <w:bookmarkEnd w:id="458"/>
      <w:bookmarkEnd w:id="459"/>
      <w:bookmarkEnd w:id="460"/>
      <w:bookmarkStart w:id="462" w:name="_Toc14068"/>
      <w:bookmarkStart w:id="463" w:name="_Toc10900"/>
      <w:bookmarkStart w:id="464" w:name="_Toc19284"/>
      <w:bookmarkStart w:id="465" w:name="OLE_LINK13"/>
      <w:bookmarkStart w:id="466" w:name="_Toc23068"/>
      <w:bookmarkStart w:id="467" w:name="OLE_LINK14"/>
      <w:bookmarkStart w:id="468" w:name="_Toc15209"/>
      <w:bookmarkStart w:id="469" w:name="_Toc515647825"/>
      <w:bookmarkStart w:id="470" w:name="_Toc26116"/>
      <w:bookmarkStart w:id="471" w:name="_Toc5825"/>
      <w:bookmarkStart w:id="472" w:name="_Toc30321"/>
      <w:bookmarkStart w:id="473" w:name="_Toc13191"/>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残疾人福利性单位声明函（磋商文件格式十三）</w:t>
      </w:r>
      <w:bookmarkEnd w:id="461"/>
      <w:bookmarkEnd w:id="462"/>
      <w:bookmarkEnd w:id="463"/>
      <w:bookmarkEnd w:id="464"/>
      <w:bookmarkEnd w:id="465"/>
      <w:bookmarkEnd w:id="466"/>
      <w:bookmarkEnd w:id="467"/>
      <w:bookmarkEnd w:id="468"/>
      <w:bookmarkEnd w:id="469"/>
      <w:bookmarkEnd w:id="470"/>
      <w:bookmarkEnd w:id="471"/>
      <w:bookmarkEnd w:id="472"/>
      <w:bookmarkEnd w:id="473"/>
    </w:p>
    <w:p>
      <w:pPr>
        <w:spacing w:line="240" w:lineRule="atLeast"/>
        <w:ind w:left="1080" w:leftChars="257" w:hanging="540"/>
        <w:jc w:val="center"/>
        <w:rPr>
          <w:rFonts w:hint="eastAsia" w:ascii="宋体" w:hAnsi="宋体" w:eastAsia="宋体" w:cs="宋体"/>
          <w:color w:val="auto"/>
          <w:kern w:val="0"/>
          <w:sz w:val="24"/>
        </w:rPr>
      </w:pPr>
    </w:p>
    <w:p>
      <w:pPr>
        <w:spacing w:line="240" w:lineRule="atLeast"/>
        <w:ind w:firstLine="567"/>
        <w:rPr>
          <w:rFonts w:hint="eastAsia" w:ascii="宋体" w:hAnsi="宋体" w:eastAsia="宋体" w:cs="宋体"/>
          <w:color w:val="auto"/>
          <w:kern w:val="0"/>
          <w:sz w:val="24"/>
        </w:rPr>
      </w:pPr>
      <w:r>
        <w:rPr>
          <w:rFonts w:hint="eastAsia" w:ascii="宋体" w:hAnsi="宋体" w:eastAsia="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宋体" w:hAnsi="宋体" w:eastAsia="宋体" w:cs="宋体"/>
          <w:color w:val="auto"/>
          <w:kern w:val="0"/>
          <w:sz w:val="24"/>
          <w:lang w:val="en-US" w:eastAsia="zh-CN"/>
        </w:rPr>
        <w:t>服务</w:t>
      </w:r>
      <w:r>
        <w:rPr>
          <w:rFonts w:hint="eastAsia" w:ascii="宋体" w:hAnsi="宋体" w:eastAsia="宋体" w:cs="宋体"/>
          <w:color w:val="auto"/>
          <w:kern w:val="0"/>
          <w:sz w:val="24"/>
        </w:rPr>
        <w:t>，或者提供其他残疾人福利性单位</w:t>
      </w:r>
      <w:r>
        <w:rPr>
          <w:rFonts w:hint="eastAsia" w:ascii="宋体" w:hAnsi="宋体" w:eastAsia="宋体" w:cs="宋体"/>
          <w:color w:val="auto"/>
          <w:kern w:val="0"/>
          <w:sz w:val="24"/>
          <w:lang w:val="en-US" w:eastAsia="zh-CN"/>
        </w:rPr>
        <w:t>的服务</w:t>
      </w:r>
      <w:r>
        <w:rPr>
          <w:rFonts w:hint="eastAsia" w:ascii="宋体" w:hAnsi="宋体" w:eastAsia="宋体" w:cs="宋体"/>
          <w:color w:val="auto"/>
          <w:kern w:val="0"/>
          <w:sz w:val="24"/>
        </w:rPr>
        <w:t>。</w:t>
      </w:r>
    </w:p>
    <w:p>
      <w:pPr>
        <w:spacing w:line="240" w:lineRule="atLeast"/>
        <w:ind w:left="1080" w:leftChars="257" w:hanging="540"/>
        <w:rPr>
          <w:rFonts w:hint="eastAsia" w:ascii="宋体" w:hAnsi="宋体" w:eastAsia="宋体" w:cs="宋体"/>
          <w:color w:val="auto"/>
          <w:kern w:val="0"/>
          <w:sz w:val="24"/>
        </w:rPr>
      </w:pPr>
      <w:r>
        <w:rPr>
          <w:rFonts w:hint="eastAsia" w:ascii="宋体" w:hAnsi="宋体" w:eastAsia="宋体" w:cs="宋体"/>
          <w:color w:val="auto"/>
          <w:kern w:val="0"/>
          <w:sz w:val="24"/>
        </w:rPr>
        <w:t>本单位对上述声明的真实性负责。如有虚假，将依法承担相应责任。</w:t>
      </w:r>
    </w:p>
    <w:p>
      <w:pPr>
        <w:spacing w:line="240" w:lineRule="atLeast"/>
        <w:ind w:left="1080" w:leftChars="257" w:hanging="540"/>
        <w:jc w:val="center"/>
        <w:rPr>
          <w:rFonts w:hint="eastAsia" w:ascii="宋体" w:hAnsi="宋体" w:eastAsia="宋体" w:cs="宋体"/>
          <w:color w:val="auto"/>
          <w:kern w:val="0"/>
          <w:sz w:val="24"/>
        </w:rPr>
      </w:pPr>
    </w:p>
    <w:p>
      <w:pPr>
        <w:spacing w:line="240" w:lineRule="atLeast"/>
        <w:ind w:left="1080" w:leftChars="257" w:hanging="540"/>
        <w:jc w:val="center"/>
        <w:rPr>
          <w:rFonts w:hint="eastAsia" w:ascii="宋体" w:hAnsi="宋体" w:eastAsia="宋体" w:cs="宋体"/>
          <w:color w:val="auto"/>
          <w:kern w:val="0"/>
          <w:sz w:val="24"/>
        </w:rPr>
      </w:pPr>
    </w:p>
    <w:p>
      <w:pPr>
        <w:spacing w:line="240" w:lineRule="atLeast"/>
        <w:ind w:left="1080" w:leftChars="257" w:hanging="540"/>
        <w:jc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残疾人福利性单位名称（公章）：______________</w:t>
      </w:r>
    </w:p>
    <w:p>
      <w:pPr>
        <w:spacing w:line="240" w:lineRule="atLeast"/>
        <w:ind w:left="1080" w:leftChars="257" w:hanging="540"/>
        <w:jc w:val="center"/>
        <w:rPr>
          <w:rFonts w:hint="eastAsia" w:ascii="宋体" w:hAnsi="宋体" w:eastAsia="宋体" w:cs="宋体"/>
          <w:b/>
          <w:color w:val="auto"/>
          <w:kern w:val="0"/>
          <w:sz w:val="24"/>
        </w:rPr>
      </w:pPr>
      <w:r>
        <w:rPr>
          <w:rFonts w:hint="eastAsia" w:ascii="宋体" w:hAnsi="宋体" w:eastAsia="宋体" w:cs="宋体"/>
          <w:color w:val="auto"/>
          <w:kern w:val="0"/>
          <w:sz w:val="24"/>
        </w:rPr>
        <w:t xml:space="preserve">                 日  期：_____________________________________</w:t>
      </w:r>
    </w:p>
    <w:p>
      <w:pPr>
        <w:spacing w:line="240" w:lineRule="atLeast"/>
        <w:ind w:left="1080" w:leftChars="257" w:hanging="540"/>
        <w:jc w:val="center"/>
        <w:rPr>
          <w:rFonts w:hint="eastAsia" w:ascii="宋体" w:hAnsi="宋体" w:eastAsia="宋体" w:cs="宋体"/>
          <w:b/>
          <w:color w:val="auto"/>
          <w:kern w:val="0"/>
          <w:sz w:val="24"/>
        </w:rPr>
      </w:pPr>
    </w:p>
    <w:p>
      <w:pPr>
        <w:spacing w:line="240" w:lineRule="atLeast"/>
        <w:ind w:left="1080" w:leftChars="257" w:hanging="540"/>
        <w:jc w:val="center"/>
        <w:rPr>
          <w:rFonts w:hint="eastAsia" w:ascii="宋体" w:hAnsi="宋体" w:eastAsia="宋体" w:cs="宋体"/>
          <w:b/>
          <w:color w:val="auto"/>
          <w:kern w:val="0"/>
          <w:sz w:val="24"/>
        </w:rPr>
      </w:pPr>
    </w:p>
    <w:p>
      <w:pPr>
        <w:pStyle w:val="20"/>
        <w:ind w:firstLine="480"/>
        <w:rPr>
          <w:rFonts w:hint="eastAsia" w:ascii="宋体" w:hAnsi="宋体" w:eastAsia="宋体" w:cs="宋体"/>
          <w:color w:val="auto"/>
        </w:rPr>
      </w:pPr>
    </w:p>
    <w:p>
      <w:pPr>
        <w:spacing w:line="240" w:lineRule="atLeast"/>
        <w:rPr>
          <w:rFonts w:hint="eastAsia" w:ascii="宋体" w:hAnsi="宋体" w:eastAsia="宋体" w:cs="宋体"/>
          <w:b/>
          <w:color w:val="auto"/>
          <w:kern w:val="0"/>
          <w:sz w:val="24"/>
        </w:rPr>
      </w:pPr>
    </w:p>
    <w:p>
      <w:pPr>
        <w:pStyle w:val="5"/>
        <w:rPr>
          <w:rFonts w:hint="eastAsia" w:ascii="宋体" w:hAnsi="宋体" w:eastAsia="宋体" w:cs="宋体"/>
          <w:color w:val="auto"/>
          <w:szCs w:val="24"/>
        </w:rPr>
      </w:pPr>
    </w:p>
    <w:p>
      <w:pPr>
        <w:pStyle w:val="4"/>
        <w:spacing w:before="0" w:line="240" w:lineRule="atLeast"/>
        <w:ind w:left="1080" w:leftChars="257" w:hanging="540"/>
        <w:jc w:val="both"/>
        <w:rPr>
          <w:rFonts w:hint="eastAsia" w:ascii="宋体" w:hAnsi="宋体" w:eastAsia="宋体" w:cs="宋体"/>
          <w:color w:val="auto"/>
          <w:sz w:val="24"/>
          <w:szCs w:val="24"/>
        </w:rPr>
      </w:pPr>
      <w:bookmarkStart w:id="474" w:name="_Toc30795"/>
      <w:bookmarkStart w:id="475" w:name="_Toc28516"/>
      <w:bookmarkStart w:id="476" w:name="_Toc30054"/>
      <w:bookmarkStart w:id="477" w:name="_Toc4574"/>
      <w:bookmarkStart w:id="478" w:name="_Toc6452"/>
      <w:bookmarkStart w:id="479" w:name="_Toc28099"/>
      <w:bookmarkStart w:id="480" w:name="_Toc3587"/>
      <w:bookmarkStart w:id="481" w:name="_Toc515647827"/>
      <w:bookmarkStart w:id="482" w:name="_Toc17196"/>
      <w:bookmarkStart w:id="483" w:name="_Toc18365"/>
      <w:bookmarkStart w:id="484" w:name="_Toc6531"/>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供应商关联单位的说明</w:t>
      </w:r>
      <w:bookmarkEnd w:id="474"/>
      <w:bookmarkEnd w:id="475"/>
      <w:bookmarkEnd w:id="476"/>
      <w:bookmarkEnd w:id="477"/>
      <w:bookmarkEnd w:id="478"/>
      <w:bookmarkEnd w:id="479"/>
      <w:bookmarkEnd w:id="480"/>
      <w:bookmarkEnd w:id="481"/>
      <w:bookmarkEnd w:id="482"/>
      <w:bookmarkEnd w:id="483"/>
      <w:bookmarkEnd w:id="484"/>
    </w:p>
    <w:p>
      <w:pPr>
        <w:pStyle w:val="5"/>
        <w:jc w:val="center"/>
        <w:rPr>
          <w:rFonts w:hint="eastAsia" w:ascii="宋体" w:hAnsi="宋体" w:eastAsia="宋体" w:cs="宋体"/>
          <w:color w:val="auto"/>
          <w:szCs w:val="24"/>
        </w:rPr>
      </w:pPr>
    </w:p>
    <w:p>
      <w:pPr>
        <w:pStyle w:val="5"/>
        <w:ind w:firstLine="480" w:firstLineChars="200"/>
        <w:rPr>
          <w:rFonts w:hint="eastAsia" w:ascii="宋体" w:hAnsi="宋体" w:eastAsia="宋体" w:cs="宋体"/>
          <w:color w:val="auto"/>
          <w:szCs w:val="24"/>
        </w:rPr>
      </w:pPr>
      <w:r>
        <w:rPr>
          <w:rFonts w:hint="eastAsia" w:ascii="宋体" w:hAnsi="宋体" w:eastAsia="宋体" w:cs="宋体"/>
          <w:color w:val="auto"/>
          <w:szCs w:val="24"/>
        </w:rPr>
        <w:t>说明：供应商应当如实披露与本单位存在下列关联关系的单位名称：</w:t>
      </w:r>
    </w:p>
    <w:p>
      <w:pPr>
        <w:pStyle w:val="5"/>
        <w:numPr>
          <w:ilvl w:val="0"/>
          <w:numId w:val="6"/>
        </w:numPr>
        <w:ind w:firstLine="480" w:firstLineChars="200"/>
        <w:rPr>
          <w:rFonts w:hint="eastAsia" w:ascii="宋体" w:hAnsi="宋体" w:eastAsia="宋体" w:cs="宋体"/>
          <w:color w:val="auto"/>
          <w:szCs w:val="24"/>
        </w:rPr>
      </w:pPr>
      <w:r>
        <w:rPr>
          <w:rFonts w:hint="eastAsia" w:ascii="宋体" w:hAnsi="宋体" w:eastAsia="宋体" w:cs="宋体"/>
          <w:color w:val="auto"/>
          <w:szCs w:val="24"/>
        </w:rPr>
        <w:t>与供应商单位负责人为同一人的其他单位；</w:t>
      </w:r>
      <w:r>
        <w:rPr>
          <w:rFonts w:hint="eastAsia" w:ascii="宋体" w:hAnsi="宋体" w:eastAsia="宋体" w:cs="宋体"/>
          <w:color w:val="auto"/>
          <w:szCs w:val="24"/>
        </w:rPr>
        <w:br w:type="textWrapping"/>
      </w:r>
      <w:r>
        <w:rPr>
          <w:rFonts w:hint="eastAsia" w:ascii="宋体" w:hAnsi="宋体" w:eastAsia="宋体" w:cs="宋体"/>
          <w:color w:val="auto"/>
          <w:szCs w:val="24"/>
        </w:rPr>
        <w:t xml:space="preserve">    （2）与供应商存在直接控股、管理关系的其他单位。</w:t>
      </w:r>
    </w:p>
    <w:p>
      <w:pPr>
        <w:pStyle w:val="5"/>
        <w:ind w:firstLine="0"/>
        <w:rPr>
          <w:rFonts w:hint="eastAsia" w:ascii="宋体" w:hAnsi="宋体" w:eastAsia="宋体" w:cs="宋体"/>
          <w:color w:val="auto"/>
          <w:szCs w:val="24"/>
        </w:rPr>
      </w:pPr>
    </w:p>
    <w:p>
      <w:pPr>
        <w:rPr>
          <w:rFonts w:hint="eastAsia" w:ascii="宋体" w:hAnsi="宋体" w:eastAsia="宋体" w:cs="宋体"/>
          <w:color w:val="auto"/>
          <w:sz w:val="24"/>
        </w:rPr>
      </w:pPr>
    </w:p>
    <w:p>
      <w:pPr>
        <w:pStyle w:val="20"/>
        <w:ind w:firstLine="482" w:firstLineChars="200"/>
        <w:rPr>
          <w:rFonts w:hint="eastAsia" w:ascii="宋体" w:hAnsi="宋体" w:eastAsia="宋体" w:cs="宋体"/>
          <w:b/>
          <w:bCs/>
          <w:color w:val="auto"/>
          <w:kern w:val="0"/>
          <w:sz w:val="24"/>
          <w:szCs w:val="24"/>
          <w:lang w:val="en-US" w:eastAsia="zh-CN" w:bidi="ar-SA"/>
        </w:rPr>
      </w:pPr>
      <w:bookmarkStart w:id="485" w:name="_Toc28910"/>
      <w:bookmarkStart w:id="486" w:name="_Toc9124"/>
      <w:bookmarkStart w:id="487" w:name="_Toc9060"/>
      <w:bookmarkStart w:id="488" w:name="_Toc9517"/>
      <w:r>
        <w:rPr>
          <w:rFonts w:hint="eastAsia" w:ascii="宋体" w:hAnsi="宋体" w:eastAsia="宋体" w:cs="宋体"/>
          <w:b/>
          <w:bCs/>
          <w:color w:val="auto"/>
          <w:kern w:val="0"/>
          <w:sz w:val="24"/>
          <w:szCs w:val="24"/>
          <w:lang w:val="en-US" w:eastAsia="zh-CN" w:bidi="ar-SA"/>
        </w:rPr>
        <w:t>7、响应文件还应包括供应商须知第10条的所有技术文件</w:t>
      </w:r>
      <w:bookmarkEnd w:id="485"/>
      <w:bookmarkEnd w:id="486"/>
      <w:bookmarkEnd w:id="487"/>
      <w:bookmarkEnd w:id="488"/>
    </w:p>
    <w:p>
      <w:pPr>
        <w:pStyle w:val="20"/>
        <w:ind w:firstLine="0" w:firstLineChars="0"/>
        <w:rPr>
          <w:rFonts w:hint="eastAsia" w:ascii="宋体" w:hAnsi="宋体" w:eastAsia="宋体" w:cs="宋体"/>
          <w:color w:val="auto"/>
        </w:rPr>
      </w:pPr>
    </w:p>
    <w:p>
      <w:pPr>
        <w:pStyle w:val="20"/>
        <w:ind w:firstLine="0" w:firstLineChars="0"/>
        <w:rPr>
          <w:rFonts w:hint="eastAsia" w:ascii="宋体" w:hAnsi="宋体" w:eastAsia="宋体" w:cs="宋体"/>
          <w:b/>
          <w:bCs/>
          <w:color w:val="auto"/>
        </w:rPr>
      </w:pPr>
    </w:p>
    <w:p>
      <w:pPr>
        <w:pStyle w:val="4"/>
        <w:spacing w:before="0" w:line="240" w:lineRule="atLeast"/>
        <w:ind w:left="1080" w:leftChars="257" w:hanging="540"/>
        <w:jc w:val="both"/>
        <w:rPr>
          <w:rFonts w:hint="eastAsia" w:ascii="宋体" w:hAnsi="宋体" w:eastAsia="宋体" w:cs="宋体"/>
          <w:b/>
          <w:bCs/>
          <w:color w:val="auto"/>
          <w:sz w:val="24"/>
          <w:szCs w:val="24"/>
        </w:rPr>
      </w:pPr>
      <w:bookmarkStart w:id="489" w:name="_Toc10150"/>
      <w:bookmarkStart w:id="490" w:name="_Toc13906"/>
      <w:bookmarkStart w:id="491" w:name="_Toc20570"/>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提供有利于磋商的其他证明材料</w:t>
      </w:r>
      <w:bookmarkEnd w:id="489"/>
      <w:bookmarkEnd w:id="490"/>
      <w:bookmarkEnd w:id="491"/>
    </w:p>
    <w:p>
      <w:pPr>
        <w:spacing w:line="240" w:lineRule="atLeast"/>
        <w:ind w:left="1079" w:leftChars="257" w:hanging="539"/>
        <w:jc w:val="left"/>
        <w:outlineLvl w:val="1"/>
        <w:rPr>
          <w:rFonts w:hint="eastAsia" w:ascii="宋体" w:hAnsi="宋体" w:eastAsia="宋体" w:cs="宋体"/>
          <w:b/>
          <w:color w:val="auto"/>
          <w:kern w:val="0"/>
          <w:sz w:val="24"/>
          <w:szCs w:val="20"/>
        </w:rPr>
      </w:pPr>
      <w:r>
        <w:rPr>
          <w:rFonts w:hint="eastAsia" w:ascii="宋体" w:hAnsi="宋体" w:eastAsia="宋体" w:cs="宋体"/>
          <w:color w:val="auto"/>
          <w:sz w:val="24"/>
        </w:rPr>
        <w:br w:type="page"/>
      </w:r>
      <w:bookmarkStart w:id="492" w:name="_Toc29345"/>
      <w:bookmarkStart w:id="493" w:name="_Toc24705"/>
      <w:bookmarkStart w:id="494" w:name="_Toc8814"/>
      <w:bookmarkStart w:id="495" w:name="_Toc25307"/>
      <w:bookmarkStart w:id="496" w:name="_Toc20471"/>
      <w:bookmarkStart w:id="497" w:name="_Toc2099"/>
      <w:bookmarkStart w:id="498" w:name="_Toc13385"/>
      <w:bookmarkStart w:id="499" w:name="_Toc8073"/>
      <w:r>
        <w:rPr>
          <w:rFonts w:hint="eastAsia" w:ascii="宋体" w:hAnsi="宋体" w:eastAsia="宋体" w:cs="宋体"/>
          <w:color w:val="auto"/>
          <w:sz w:val="24"/>
          <w:lang w:val="en-US" w:eastAsia="zh-CN"/>
        </w:rPr>
        <w:t>9</w:t>
      </w:r>
      <w:r>
        <w:rPr>
          <w:rFonts w:hint="eastAsia" w:ascii="宋体" w:hAnsi="宋体" w:eastAsia="宋体" w:cs="宋体"/>
          <w:b/>
          <w:color w:val="auto"/>
          <w:kern w:val="0"/>
          <w:sz w:val="24"/>
          <w:szCs w:val="20"/>
          <w:lang w:eastAsia="zh-CN"/>
        </w:rPr>
        <w:t>、</w:t>
      </w:r>
      <w:r>
        <w:rPr>
          <w:rFonts w:hint="eastAsia" w:ascii="宋体" w:hAnsi="宋体" w:eastAsia="宋体" w:cs="宋体"/>
          <w:b/>
          <w:color w:val="auto"/>
          <w:kern w:val="0"/>
          <w:sz w:val="24"/>
          <w:szCs w:val="20"/>
        </w:rPr>
        <w:t>响应文件格式范本</w:t>
      </w:r>
      <w:bookmarkEnd w:id="492"/>
      <w:bookmarkEnd w:id="493"/>
      <w:bookmarkEnd w:id="494"/>
      <w:bookmarkEnd w:id="495"/>
      <w:bookmarkEnd w:id="496"/>
      <w:bookmarkEnd w:id="497"/>
      <w:bookmarkEnd w:id="498"/>
      <w:bookmarkEnd w:id="499"/>
    </w:p>
    <w:tbl>
      <w:tblPr>
        <w:tblStyle w:val="21"/>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8"/>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（正本/副本）</w:t>
            </w:r>
          </w:p>
          <w:p>
            <w:pPr>
              <w:pStyle w:val="8"/>
              <w:ind w:firstLine="4216" w:firstLineChars="1500"/>
              <w:rPr>
                <w:rFonts w:hint="eastAsia" w:ascii="宋体" w:hAnsi="宋体" w:eastAsia="宋体" w:cs="宋体"/>
                <w:b/>
                <w:bCs/>
                <w:color w:val="auto"/>
                <w:sz w:val="28"/>
                <w:szCs w:val="28"/>
              </w:rPr>
            </w:pPr>
          </w:p>
          <w:p>
            <w:pPr>
              <w:pStyle w:val="8"/>
              <w:ind w:firstLine="4216" w:firstLineChars="1500"/>
              <w:rPr>
                <w:rFonts w:hint="eastAsia" w:ascii="宋体" w:hAnsi="宋体" w:eastAsia="宋体" w:cs="宋体"/>
                <w:b/>
                <w:bCs/>
                <w:color w:val="auto"/>
                <w:sz w:val="28"/>
                <w:szCs w:val="28"/>
              </w:rPr>
            </w:pPr>
          </w:p>
          <w:p>
            <w:pPr>
              <w:pStyle w:val="8"/>
              <w:rPr>
                <w:rFonts w:hint="eastAsia" w:ascii="宋体" w:hAnsi="宋体" w:eastAsia="宋体" w:cs="宋体"/>
                <w:b/>
                <w:bCs/>
                <w:color w:val="auto"/>
                <w:sz w:val="28"/>
                <w:szCs w:val="28"/>
              </w:rPr>
            </w:pPr>
          </w:p>
          <w:p>
            <w:pPr>
              <w:pStyle w:val="8"/>
              <w:ind w:firstLine="2530" w:firstLineChars="900"/>
              <w:rPr>
                <w:rFonts w:hint="eastAsia" w:ascii="宋体" w:hAnsi="宋体" w:eastAsia="宋体" w:cs="宋体"/>
                <w:b/>
                <w:bCs/>
                <w:color w:val="auto"/>
                <w:sz w:val="28"/>
                <w:szCs w:val="28"/>
              </w:rPr>
            </w:pPr>
            <w:r>
              <w:rPr>
                <w:rFonts w:hint="eastAsia" w:ascii="宋体" w:hAnsi="宋体" w:eastAsia="宋体" w:cs="宋体"/>
                <w:b/>
                <w:bCs/>
                <w:color w:val="auto"/>
                <w:sz w:val="28"/>
                <w:szCs w:val="28"/>
              </w:rPr>
              <w:t>***** *** *** *** ***   项目***</w:t>
            </w:r>
          </w:p>
          <w:p>
            <w:pPr>
              <w:pStyle w:val="8"/>
              <w:jc w:val="center"/>
              <w:rPr>
                <w:rFonts w:hint="eastAsia" w:ascii="宋体" w:hAnsi="宋体" w:eastAsia="宋体" w:cs="宋体"/>
                <w:b/>
                <w:bCs/>
                <w:color w:val="auto"/>
                <w:sz w:val="21"/>
                <w:szCs w:val="21"/>
              </w:rPr>
            </w:pPr>
          </w:p>
          <w:p>
            <w:pPr>
              <w:pStyle w:val="8"/>
              <w:ind w:firstLine="3162" w:firstLineChars="1500"/>
              <w:rPr>
                <w:rFonts w:hint="eastAsia" w:ascii="宋体" w:hAnsi="宋体" w:eastAsia="宋体" w:cs="宋体"/>
                <w:b/>
                <w:bCs/>
                <w:color w:val="auto"/>
                <w:sz w:val="21"/>
                <w:szCs w:val="21"/>
              </w:rPr>
            </w:pPr>
            <w:r>
              <w:rPr>
                <w:rFonts w:hint="eastAsia" w:ascii="宋体" w:hAnsi="宋体" w:eastAsia="宋体" w:cs="宋体"/>
                <w:b/>
                <w:bCs/>
                <w:color w:val="auto"/>
                <w:sz w:val="21"/>
                <w:szCs w:val="21"/>
              </w:rPr>
              <w:t>编号 ＊＊＊</w:t>
            </w:r>
          </w:p>
          <w:p>
            <w:pPr>
              <w:pStyle w:val="8"/>
              <w:jc w:val="center"/>
              <w:rPr>
                <w:rFonts w:hint="eastAsia" w:ascii="宋体" w:hAnsi="宋体" w:eastAsia="宋体" w:cs="宋体"/>
                <w:b/>
                <w:bCs/>
                <w:color w:val="auto"/>
                <w:sz w:val="48"/>
              </w:rPr>
            </w:pPr>
          </w:p>
          <w:p>
            <w:pPr>
              <w:pStyle w:val="8"/>
              <w:jc w:val="center"/>
              <w:rPr>
                <w:rFonts w:hint="eastAsia" w:ascii="宋体" w:hAnsi="宋体" w:eastAsia="宋体" w:cs="宋体"/>
                <w:b/>
                <w:bCs/>
                <w:color w:val="auto"/>
                <w:sz w:val="48"/>
              </w:rPr>
            </w:pPr>
            <w:r>
              <w:rPr>
                <w:rFonts w:hint="eastAsia" w:ascii="宋体" w:hAnsi="宋体" w:eastAsia="宋体" w:cs="宋体"/>
                <w:b/>
                <w:bCs/>
                <w:color w:val="auto"/>
                <w:sz w:val="48"/>
              </w:rPr>
              <w:t>响 应 文 件</w:t>
            </w:r>
          </w:p>
          <w:p>
            <w:pPr>
              <w:jc w:val="center"/>
              <w:rPr>
                <w:rFonts w:hint="eastAsia" w:ascii="宋体" w:hAnsi="宋体" w:eastAsia="宋体" w:cs="宋体"/>
                <w:b/>
                <w:color w:val="auto"/>
                <w:sz w:val="32"/>
              </w:rPr>
            </w:pPr>
          </w:p>
          <w:p>
            <w:pPr>
              <w:pStyle w:val="5"/>
              <w:ind w:firstLine="0"/>
              <w:rPr>
                <w:rFonts w:hint="eastAsia" w:ascii="宋体" w:hAnsi="宋体" w:eastAsia="宋体" w:cs="宋体"/>
                <w:b/>
                <w:color w:val="auto"/>
                <w:sz w:val="32"/>
              </w:rPr>
            </w:pPr>
          </w:p>
          <w:p>
            <w:pPr>
              <w:spacing w:line="360" w:lineRule="auto"/>
              <w:ind w:left="176" w:leftChars="84" w:firstLine="840" w:firstLineChars="400"/>
              <w:rPr>
                <w:rFonts w:hint="eastAsia" w:ascii="宋体" w:hAnsi="宋体" w:eastAsia="宋体" w:cs="宋体"/>
                <w:color w:val="auto"/>
                <w:szCs w:val="21"/>
              </w:rPr>
            </w:pPr>
            <w:r>
              <w:rPr>
                <w:rFonts w:hint="eastAsia" w:ascii="宋体" w:hAnsi="宋体" w:eastAsia="宋体" w:cs="宋体"/>
                <w:color w:val="auto"/>
                <w:szCs w:val="21"/>
              </w:rPr>
              <w:t>磋商单位：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（公章）</w:t>
            </w:r>
          </w:p>
          <w:p>
            <w:pPr>
              <w:spacing w:line="360" w:lineRule="auto"/>
              <w:ind w:left="176" w:leftChars="84" w:firstLine="840" w:firstLineChars="400"/>
              <w:rPr>
                <w:rFonts w:hint="eastAsia" w:ascii="宋体" w:hAnsi="宋体" w:eastAsia="宋体" w:cs="宋体"/>
                <w:color w:val="auto"/>
                <w:szCs w:val="21"/>
                <w:u w:val="single"/>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p>
          <w:p>
            <w:pPr>
              <w:spacing w:line="360" w:lineRule="auto"/>
              <w:ind w:left="176" w:leftChars="84" w:firstLine="840" w:firstLineChars="400"/>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p>
          <w:p>
            <w:pPr>
              <w:spacing w:line="360" w:lineRule="auto"/>
              <w:ind w:left="176" w:leftChars="84" w:firstLine="840" w:firstLineChars="400"/>
              <w:rPr>
                <w:rFonts w:hint="eastAsia" w:ascii="宋体" w:hAnsi="宋体" w:eastAsia="宋体" w:cs="宋体"/>
                <w:color w:val="auto"/>
                <w:szCs w:val="21"/>
                <w:u w:val="single"/>
              </w:rPr>
            </w:pPr>
            <w:r>
              <w:rPr>
                <w:rFonts w:hint="eastAsia" w:ascii="宋体" w:hAnsi="宋体" w:eastAsia="宋体" w:cs="宋体"/>
                <w:color w:val="auto"/>
                <w:szCs w:val="21"/>
              </w:rPr>
              <w:t>联 系 人：</w:t>
            </w:r>
            <w:r>
              <w:rPr>
                <w:rFonts w:hint="eastAsia" w:ascii="宋体" w:hAnsi="宋体" w:eastAsia="宋体" w:cs="宋体"/>
                <w:color w:val="auto"/>
                <w:szCs w:val="21"/>
                <w:u w:val="single"/>
              </w:rPr>
              <w:t xml:space="preserve">                                        </w:t>
            </w:r>
          </w:p>
          <w:p>
            <w:pPr>
              <w:spacing w:line="360" w:lineRule="auto"/>
              <w:ind w:left="176" w:leftChars="84" w:firstLine="840" w:firstLineChars="400"/>
              <w:rPr>
                <w:rFonts w:hint="eastAsia" w:ascii="宋体" w:hAnsi="宋体" w:eastAsia="宋体" w:cs="宋体"/>
                <w:color w:val="auto"/>
                <w:szCs w:val="21"/>
              </w:rPr>
            </w:pPr>
            <w:r>
              <w:rPr>
                <w:rFonts w:hint="eastAsia" w:ascii="宋体" w:hAnsi="宋体" w:eastAsia="宋体" w:cs="宋体"/>
                <w:color w:val="auto"/>
                <w:szCs w:val="21"/>
              </w:rPr>
              <w:t>电    话：</w:t>
            </w:r>
            <w:r>
              <w:rPr>
                <w:rFonts w:hint="eastAsia" w:ascii="宋体" w:hAnsi="宋体" w:eastAsia="宋体" w:cs="宋体"/>
                <w:color w:val="auto"/>
                <w:szCs w:val="21"/>
                <w:u w:val="single"/>
              </w:rPr>
              <w:t xml:space="preserve">                                        </w:t>
            </w:r>
          </w:p>
          <w:p>
            <w:pPr>
              <w:spacing w:line="360" w:lineRule="auto"/>
              <w:ind w:left="176" w:leftChars="84" w:firstLine="840" w:firstLineChars="400"/>
              <w:rPr>
                <w:rFonts w:hint="eastAsia" w:ascii="宋体" w:hAnsi="宋体" w:eastAsia="宋体" w:cs="宋体"/>
                <w:color w:val="auto"/>
                <w:szCs w:val="21"/>
                <w:u w:val="single"/>
              </w:rPr>
            </w:pPr>
            <w:r>
              <w:rPr>
                <w:rFonts w:hint="eastAsia" w:ascii="宋体" w:hAnsi="宋体" w:eastAsia="宋体" w:cs="宋体"/>
                <w:color w:val="auto"/>
                <w:szCs w:val="21"/>
              </w:rPr>
              <w:t xml:space="preserve">地    址  ：  </w:t>
            </w:r>
            <w:r>
              <w:rPr>
                <w:rFonts w:hint="eastAsia" w:ascii="宋体" w:hAnsi="宋体" w:eastAsia="宋体" w:cs="宋体"/>
                <w:color w:val="auto"/>
                <w:szCs w:val="21"/>
                <w:u w:val="single"/>
              </w:rPr>
              <w:t xml:space="preserve">                                    </w:t>
            </w:r>
          </w:p>
          <w:p>
            <w:pPr>
              <w:spacing w:line="360" w:lineRule="auto"/>
              <w:ind w:left="176" w:leftChars="84" w:firstLine="960" w:firstLineChars="400"/>
              <w:rPr>
                <w:rFonts w:hint="eastAsia" w:ascii="宋体" w:hAnsi="宋体" w:eastAsia="宋体" w:cs="宋体"/>
                <w:color w:val="auto"/>
                <w:sz w:val="24"/>
              </w:rPr>
            </w:pPr>
          </w:p>
          <w:p>
            <w:pPr>
              <w:jc w:val="center"/>
              <w:rPr>
                <w:rFonts w:hint="eastAsia" w:ascii="宋体" w:hAnsi="宋体" w:eastAsia="宋体" w:cs="宋体"/>
                <w:b/>
                <w:bCs/>
                <w:color w:val="auto"/>
              </w:rPr>
            </w:pPr>
          </w:p>
          <w:p>
            <w:pPr>
              <w:jc w:val="center"/>
              <w:rPr>
                <w:rFonts w:hint="eastAsia" w:ascii="宋体" w:hAnsi="宋体" w:eastAsia="宋体" w:cs="宋体"/>
                <w:b/>
                <w:bCs/>
                <w:color w:val="auto"/>
              </w:rPr>
            </w:pPr>
          </w:p>
          <w:p>
            <w:pPr>
              <w:jc w:val="center"/>
              <w:rPr>
                <w:rFonts w:hint="eastAsia" w:ascii="宋体" w:hAnsi="宋体" w:eastAsia="宋体" w:cs="宋体"/>
                <w:b/>
                <w:bCs/>
                <w:color w:val="auto"/>
                <w:lang w:val="en-US" w:eastAsia="zh-CN"/>
              </w:rPr>
            </w:pPr>
          </w:p>
          <w:p>
            <w:pPr>
              <w:jc w:val="center"/>
              <w:rPr>
                <w:rFonts w:hint="eastAsia" w:ascii="宋体" w:hAnsi="宋体" w:eastAsia="宋体" w:cs="宋体"/>
                <w:b/>
                <w:bCs/>
                <w:color w:val="auto"/>
              </w:rPr>
            </w:pPr>
            <w:r>
              <w:rPr>
                <w:rFonts w:hint="eastAsia" w:ascii="宋体" w:hAnsi="宋体" w:eastAsia="宋体" w:cs="宋体"/>
                <w:b/>
                <w:bCs/>
                <w:color w:val="auto"/>
              </w:rPr>
              <w:t xml:space="preserve">注：   在20XX年   月  日 </w:t>
            </w:r>
            <w:r>
              <w:rPr>
                <w:rFonts w:hint="eastAsia" w:ascii="宋体" w:hAnsi="宋体" w:eastAsia="宋体" w:cs="宋体"/>
                <w:b/>
                <w:bCs/>
                <w:color w:val="auto"/>
                <w:lang w:val="en-US" w:eastAsia="zh-CN"/>
              </w:rPr>
              <w:t>X</w:t>
            </w:r>
            <w:r>
              <w:rPr>
                <w:rFonts w:hint="eastAsia" w:ascii="宋体" w:hAnsi="宋体" w:eastAsia="宋体" w:cs="宋体"/>
                <w:b/>
                <w:bCs/>
                <w:color w:val="auto"/>
              </w:rPr>
              <w:t>午</w:t>
            </w:r>
            <w:r>
              <w:rPr>
                <w:rFonts w:hint="eastAsia" w:ascii="宋体" w:hAnsi="宋体" w:eastAsia="宋体" w:cs="宋体"/>
                <w:color w:val="auto"/>
                <w:kern w:val="0"/>
                <w:szCs w:val="21"/>
                <w:lang w:bidi="ar"/>
              </w:rPr>
              <w:t>XX</w:t>
            </w:r>
            <w:r>
              <w:rPr>
                <w:rFonts w:hint="eastAsia" w:ascii="宋体" w:hAnsi="宋体" w:eastAsia="宋体" w:cs="宋体"/>
                <w:b/>
                <w:bCs/>
                <w:color w:val="auto"/>
              </w:rPr>
              <w:t>之前不得启封</w:t>
            </w:r>
          </w:p>
          <w:p>
            <w:pPr>
              <w:jc w:val="center"/>
              <w:rPr>
                <w:rFonts w:hint="eastAsia" w:ascii="宋体" w:hAnsi="宋体" w:eastAsia="宋体" w:cs="宋体"/>
                <w:b/>
                <w:bCs/>
                <w:color w:val="auto"/>
              </w:rPr>
            </w:pPr>
          </w:p>
        </w:tc>
      </w:tr>
    </w:tbl>
    <w:p>
      <w:pPr>
        <w:spacing w:line="240" w:lineRule="atLeast"/>
        <w:rPr>
          <w:rFonts w:hint="eastAsia" w:ascii="宋体" w:hAnsi="宋体" w:eastAsia="宋体" w:cs="宋体"/>
          <w:b/>
          <w:color w:val="auto"/>
          <w:sz w:val="30"/>
          <w:szCs w:val="30"/>
        </w:rPr>
      </w:pPr>
      <w:r>
        <w:rPr>
          <w:rFonts w:hint="eastAsia" w:ascii="宋体" w:hAnsi="宋体" w:eastAsia="宋体" w:cs="宋体"/>
          <w:color w:val="auto"/>
          <w:sz w:val="24"/>
        </w:rPr>
        <w:br w:type="page"/>
      </w:r>
    </w:p>
    <w:p>
      <w:pPr>
        <w:spacing w:line="240" w:lineRule="atLeast"/>
        <w:jc w:val="center"/>
        <w:rPr>
          <w:rFonts w:hint="eastAsia" w:ascii="宋体" w:hAnsi="宋体" w:eastAsia="宋体" w:cs="宋体"/>
          <w:b/>
          <w:color w:val="auto"/>
          <w:sz w:val="44"/>
          <w:szCs w:val="44"/>
        </w:rPr>
      </w:pPr>
    </w:p>
    <w:p>
      <w:pPr>
        <w:pStyle w:val="20"/>
        <w:ind w:firstLine="0" w:firstLineChars="0"/>
        <w:rPr>
          <w:rFonts w:hint="eastAsia" w:ascii="宋体" w:hAnsi="宋体" w:eastAsia="宋体" w:cs="宋体"/>
          <w:b/>
          <w:color w:val="auto"/>
          <w:sz w:val="44"/>
          <w:szCs w:val="44"/>
        </w:rPr>
      </w:pPr>
    </w:p>
    <w:p>
      <w:pPr>
        <w:pStyle w:val="20"/>
        <w:ind w:firstLine="0" w:firstLineChars="0"/>
        <w:rPr>
          <w:rFonts w:hint="eastAsia" w:ascii="宋体" w:hAnsi="宋体" w:eastAsia="宋体" w:cs="宋体"/>
          <w:b/>
          <w:color w:val="auto"/>
          <w:sz w:val="44"/>
          <w:szCs w:val="44"/>
        </w:rPr>
      </w:pPr>
    </w:p>
    <w:p>
      <w:pPr>
        <w:spacing w:line="240" w:lineRule="atLeast"/>
        <w:jc w:val="center"/>
        <w:rPr>
          <w:rFonts w:hint="eastAsia" w:ascii="宋体" w:hAnsi="宋体" w:eastAsia="宋体" w:cs="宋体"/>
          <w:b/>
          <w:color w:val="auto"/>
          <w:sz w:val="44"/>
          <w:szCs w:val="44"/>
        </w:rPr>
      </w:pPr>
    </w:p>
    <w:p>
      <w:pPr>
        <w:spacing w:line="240" w:lineRule="atLeast"/>
        <w:jc w:val="center"/>
        <w:rPr>
          <w:rFonts w:hint="eastAsia" w:ascii="宋体" w:hAnsi="宋体" w:eastAsia="宋体" w:cs="宋体"/>
          <w:b/>
          <w:bCs w:val="0"/>
          <w:sz w:val="48"/>
          <w:szCs w:val="48"/>
        </w:rPr>
      </w:pPr>
      <w:r>
        <w:rPr>
          <w:rFonts w:hint="eastAsia" w:ascii="宋体" w:hAnsi="宋体" w:eastAsia="宋体" w:cs="宋体"/>
          <w:b/>
          <w:bCs w:val="0"/>
          <w:sz w:val="48"/>
          <w:szCs w:val="48"/>
        </w:rPr>
        <w:t>2023年度食品安全监督抽检检测服务项目竞争性磋商招标文件</w:t>
      </w:r>
    </w:p>
    <w:p>
      <w:pPr>
        <w:keepNext w:val="0"/>
        <w:keepLines w:val="0"/>
        <w:pageBreakBefore w:val="0"/>
        <w:widowControl w:val="0"/>
        <w:kinsoku/>
        <w:wordWrap/>
        <w:overflowPunct/>
        <w:topLinePunct w:val="0"/>
        <w:autoSpaceDE/>
        <w:autoSpaceDN/>
        <w:bidi w:val="0"/>
        <w:adjustRightInd/>
        <w:snapToGrid w:val="0"/>
        <w:spacing w:line="240" w:lineRule="auto"/>
        <w:ind w:firstLine="1280" w:firstLineChars="400"/>
        <w:jc w:val="both"/>
        <w:textAlignment w:val="auto"/>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280" w:firstLineChars="400"/>
        <w:jc w:val="both"/>
        <w:textAlignment w:val="auto"/>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color w:val="auto"/>
          <w:kern w:val="2"/>
          <w:sz w:val="32"/>
          <w:szCs w:val="32"/>
          <w:highlight w:val="none"/>
          <w:lang w:eastAsia="zh-CN"/>
        </w:rPr>
        <w:t>KSSC(CS)-XB-202</w:t>
      </w:r>
      <w:r>
        <w:rPr>
          <w:rFonts w:hint="eastAsia" w:ascii="宋体" w:hAnsi="宋体" w:eastAsia="宋体" w:cs="宋体"/>
          <w:color w:val="auto"/>
          <w:kern w:val="2"/>
          <w:sz w:val="32"/>
          <w:szCs w:val="32"/>
          <w:highlight w:val="none"/>
          <w:lang w:val="en-US" w:eastAsia="zh-CN"/>
        </w:rPr>
        <w:t>3</w:t>
      </w:r>
      <w:r>
        <w:rPr>
          <w:rFonts w:hint="eastAsia" w:ascii="宋体" w:hAnsi="宋体" w:eastAsia="宋体" w:cs="宋体"/>
          <w:color w:val="auto"/>
          <w:kern w:val="2"/>
          <w:sz w:val="32"/>
          <w:szCs w:val="32"/>
          <w:highlight w:val="none"/>
          <w:lang w:eastAsia="zh-CN"/>
        </w:rPr>
        <w:t>-00</w:t>
      </w:r>
      <w:r>
        <w:rPr>
          <w:rFonts w:hint="eastAsia" w:ascii="宋体" w:hAnsi="宋体" w:eastAsia="宋体" w:cs="宋体"/>
          <w:color w:val="auto"/>
          <w:kern w:val="2"/>
          <w:sz w:val="32"/>
          <w:szCs w:val="32"/>
          <w:highlight w:val="none"/>
          <w:lang w:val="en-US" w:eastAsia="zh-CN"/>
        </w:rPr>
        <w:t>4</w:t>
      </w:r>
      <w:r>
        <w:rPr>
          <w:rFonts w:hint="eastAsia" w:ascii="宋体" w:hAnsi="宋体" w:eastAsia="宋体" w:cs="宋体"/>
          <w:bCs/>
          <w:sz w:val="32"/>
          <w:szCs w:val="32"/>
        </w:rPr>
        <w:t>）</w:t>
      </w:r>
    </w:p>
    <w:p>
      <w:pPr>
        <w:spacing w:line="240" w:lineRule="atLeast"/>
        <w:ind w:left="1080" w:leftChars="257" w:hanging="540"/>
        <w:jc w:val="center"/>
        <w:rPr>
          <w:rFonts w:hint="eastAsia" w:ascii="宋体" w:hAnsi="宋体" w:eastAsia="宋体" w:cs="宋体"/>
          <w:b/>
          <w:sz w:val="32"/>
          <w:szCs w:val="32"/>
        </w:rPr>
      </w:pPr>
    </w:p>
    <w:p>
      <w:pPr>
        <w:spacing w:line="240" w:lineRule="atLeast"/>
        <w:ind w:left="1080" w:leftChars="257" w:hanging="540"/>
        <w:rPr>
          <w:rFonts w:hint="eastAsia" w:ascii="宋体" w:hAnsi="宋体" w:eastAsia="宋体" w:cs="宋体"/>
          <w:b/>
          <w:color w:val="auto"/>
          <w:sz w:val="28"/>
        </w:rPr>
      </w:pPr>
    </w:p>
    <w:p>
      <w:pPr>
        <w:spacing w:line="240" w:lineRule="atLeast"/>
        <w:ind w:left="1976" w:leftChars="941" w:firstLine="1648" w:firstLineChars="342"/>
        <w:rPr>
          <w:rFonts w:hint="eastAsia" w:ascii="宋体" w:hAnsi="宋体" w:eastAsia="宋体" w:cs="宋体"/>
          <w:b/>
          <w:color w:val="auto"/>
          <w:sz w:val="48"/>
          <w:szCs w:val="48"/>
        </w:rPr>
      </w:pPr>
      <w:r>
        <w:rPr>
          <w:rFonts w:hint="eastAsia" w:ascii="宋体" w:hAnsi="宋体" w:eastAsia="宋体" w:cs="宋体"/>
          <w:b/>
          <w:color w:val="auto"/>
          <w:sz w:val="48"/>
          <w:szCs w:val="48"/>
        </w:rPr>
        <w:t>第二册</w:t>
      </w:r>
    </w:p>
    <w:p>
      <w:pPr>
        <w:spacing w:line="240" w:lineRule="atLeast"/>
        <w:ind w:left="1080" w:leftChars="257" w:hanging="540"/>
        <w:rPr>
          <w:rFonts w:hint="eastAsia" w:ascii="宋体" w:hAnsi="宋体" w:eastAsia="宋体" w:cs="宋体"/>
          <w:b/>
          <w:color w:val="auto"/>
          <w:sz w:val="28"/>
        </w:rPr>
      </w:pPr>
    </w:p>
    <w:p>
      <w:pPr>
        <w:spacing w:line="240" w:lineRule="atLeast"/>
        <w:ind w:left="1080" w:leftChars="257" w:hanging="540"/>
        <w:rPr>
          <w:rFonts w:hint="eastAsia" w:ascii="宋体" w:hAnsi="宋体" w:eastAsia="宋体" w:cs="宋体"/>
          <w:b/>
          <w:color w:val="auto"/>
          <w:sz w:val="28"/>
        </w:rPr>
      </w:pPr>
    </w:p>
    <w:p>
      <w:pPr>
        <w:spacing w:line="240" w:lineRule="atLeast"/>
        <w:ind w:left="1080" w:leftChars="257" w:hanging="540"/>
        <w:rPr>
          <w:rFonts w:hint="eastAsia" w:ascii="宋体" w:hAnsi="宋体" w:eastAsia="宋体" w:cs="宋体"/>
          <w:b/>
          <w:color w:val="auto"/>
          <w:sz w:val="28"/>
        </w:rPr>
      </w:pPr>
    </w:p>
    <w:p>
      <w:pPr>
        <w:pStyle w:val="20"/>
        <w:ind w:firstLine="560"/>
        <w:rPr>
          <w:rFonts w:hint="eastAsia" w:ascii="宋体" w:hAnsi="宋体" w:eastAsia="宋体" w:cs="宋体"/>
          <w:b/>
          <w:color w:val="auto"/>
          <w:sz w:val="28"/>
        </w:rPr>
      </w:pPr>
    </w:p>
    <w:p>
      <w:pPr>
        <w:pStyle w:val="20"/>
        <w:ind w:firstLine="560"/>
        <w:rPr>
          <w:rFonts w:hint="eastAsia" w:ascii="宋体" w:hAnsi="宋体" w:eastAsia="宋体" w:cs="宋体"/>
          <w:b/>
          <w:color w:val="auto"/>
          <w:sz w:val="28"/>
        </w:rPr>
      </w:pPr>
    </w:p>
    <w:p>
      <w:pPr>
        <w:pStyle w:val="20"/>
        <w:ind w:firstLine="560"/>
        <w:rPr>
          <w:rFonts w:hint="eastAsia" w:ascii="宋体" w:hAnsi="宋体" w:eastAsia="宋体" w:cs="宋体"/>
          <w:b/>
          <w:color w:val="auto"/>
          <w:sz w:val="28"/>
        </w:rPr>
      </w:pPr>
    </w:p>
    <w:p>
      <w:pPr>
        <w:spacing w:line="240" w:lineRule="atLeast"/>
        <w:ind w:left="1080" w:leftChars="257" w:hanging="540"/>
        <w:rPr>
          <w:rFonts w:hint="eastAsia" w:ascii="宋体" w:hAnsi="宋体" w:eastAsia="宋体" w:cs="宋体"/>
          <w:b/>
          <w:color w:val="auto"/>
          <w:sz w:val="28"/>
        </w:rPr>
      </w:pPr>
    </w:p>
    <w:p>
      <w:pPr>
        <w:pStyle w:val="5"/>
        <w:ind w:firstLine="0"/>
        <w:rPr>
          <w:rFonts w:hint="eastAsia" w:ascii="宋体" w:hAnsi="宋体" w:eastAsia="宋体" w:cs="宋体"/>
          <w:b/>
          <w:color w:val="auto"/>
          <w:sz w:val="52"/>
        </w:rPr>
      </w:pPr>
    </w:p>
    <w:p>
      <w:pPr>
        <w:pStyle w:val="6"/>
        <w:rPr>
          <w:rFonts w:hint="eastAsia" w:ascii="宋体" w:hAnsi="宋体" w:eastAsia="宋体" w:cs="宋体"/>
          <w:b/>
          <w:color w:val="auto"/>
          <w:sz w:val="52"/>
        </w:rPr>
      </w:pPr>
    </w:p>
    <w:p>
      <w:pPr>
        <w:rPr>
          <w:rFonts w:hint="eastAsia" w:ascii="宋体" w:hAnsi="宋体" w:eastAsia="宋体" w:cs="宋体"/>
          <w:b/>
          <w:color w:val="auto"/>
          <w:sz w:val="52"/>
        </w:rPr>
      </w:pPr>
    </w:p>
    <w:p>
      <w:pPr>
        <w:pStyle w:val="2"/>
        <w:outlineLvl w:val="9"/>
        <w:rPr>
          <w:rFonts w:hint="eastAsia" w:ascii="宋体" w:hAnsi="宋体" w:eastAsia="宋体" w:cs="宋体"/>
          <w:b/>
          <w:color w:val="auto"/>
          <w:sz w:val="52"/>
        </w:rPr>
      </w:pPr>
    </w:p>
    <w:p>
      <w:pPr>
        <w:pStyle w:val="5"/>
        <w:rPr>
          <w:rFonts w:hint="eastAsia" w:ascii="宋体" w:hAnsi="宋体" w:eastAsia="宋体" w:cs="宋体"/>
          <w:b/>
          <w:color w:val="auto"/>
          <w:sz w:val="52"/>
        </w:rPr>
      </w:pPr>
    </w:p>
    <w:p>
      <w:pPr>
        <w:pStyle w:val="6"/>
        <w:rPr>
          <w:rFonts w:hint="eastAsia" w:ascii="宋体" w:hAnsi="宋体" w:eastAsia="宋体" w:cs="宋体"/>
        </w:rPr>
      </w:pPr>
    </w:p>
    <w:p>
      <w:pPr>
        <w:pStyle w:val="3"/>
        <w:tabs>
          <w:tab w:val="left" w:pos="0"/>
        </w:tabs>
        <w:spacing w:before="0" w:after="0" w:line="240" w:lineRule="atLeast"/>
        <w:outlineLvl w:val="9"/>
        <w:rPr>
          <w:rFonts w:hint="eastAsia" w:ascii="宋体" w:hAnsi="宋体" w:eastAsia="宋体" w:cs="宋体"/>
          <w:color w:val="auto"/>
          <w:u w:val="single"/>
        </w:rPr>
      </w:pPr>
      <w:bookmarkStart w:id="500" w:name="_Toc18056"/>
      <w:bookmarkStart w:id="501" w:name="_Toc216582822"/>
      <w:bookmarkStart w:id="502" w:name="_Toc219175634"/>
      <w:bookmarkStart w:id="503" w:name="_Toc218935350"/>
      <w:bookmarkStart w:id="504" w:name="_Toc16370"/>
      <w:bookmarkStart w:id="505" w:name="_Toc515647829"/>
      <w:bookmarkStart w:id="506" w:name="_Toc7145"/>
      <w:bookmarkStart w:id="507" w:name="_Toc507399902"/>
      <w:bookmarkStart w:id="508" w:name="_Toc28765"/>
    </w:p>
    <w:p>
      <w:pPr>
        <w:pStyle w:val="3"/>
        <w:tabs>
          <w:tab w:val="left" w:pos="0"/>
        </w:tabs>
        <w:spacing w:before="0" w:after="0" w:line="240" w:lineRule="auto"/>
        <w:rPr>
          <w:rFonts w:hint="eastAsia" w:ascii="宋体" w:hAnsi="宋体" w:eastAsia="宋体" w:cs="宋体"/>
          <w:color w:val="auto"/>
          <w:lang w:eastAsia="zh-CN"/>
        </w:rPr>
      </w:pPr>
      <w:bookmarkStart w:id="509" w:name="_Toc9983"/>
      <w:r>
        <w:rPr>
          <w:rFonts w:hint="eastAsia" w:ascii="宋体" w:hAnsi="宋体" w:eastAsia="宋体" w:cs="宋体"/>
          <w:color w:val="auto"/>
        </w:rPr>
        <w:t>第3章 磋商</w:t>
      </w:r>
      <w:bookmarkEnd w:id="500"/>
      <w:bookmarkEnd w:id="501"/>
      <w:bookmarkEnd w:id="502"/>
      <w:bookmarkEnd w:id="503"/>
      <w:bookmarkEnd w:id="504"/>
      <w:bookmarkEnd w:id="505"/>
      <w:bookmarkEnd w:id="506"/>
      <w:bookmarkEnd w:id="507"/>
      <w:bookmarkEnd w:id="508"/>
      <w:r>
        <w:rPr>
          <w:rFonts w:hint="eastAsia" w:ascii="宋体" w:hAnsi="宋体" w:eastAsia="宋体" w:cs="宋体"/>
          <w:color w:val="auto"/>
          <w:lang w:eastAsia="zh-CN"/>
        </w:rPr>
        <w:t>公告</w:t>
      </w:r>
      <w:bookmarkEnd w:id="509"/>
    </w:p>
    <w:p>
      <w:pPr>
        <w:spacing w:line="240" w:lineRule="auto"/>
        <w:ind w:firstLine="0" w:firstLineChars="0"/>
        <w:jc w:val="center"/>
        <w:rPr>
          <w:rFonts w:hint="eastAsia" w:ascii="宋体" w:hAnsi="宋体" w:eastAsia="宋体" w:cs="宋体"/>
          <w:b/>
          <w:bCs/>
          <w:sz w:val="24"/>
          <w:szCs w:val="24"/>
          <w:lang w:val="en-US" w:eastAsia="zh-CN"/>
        </w:rPr>
      </w:pPr>
      <w:bookmarkStart w:id="510" w:name="_Toc31583"/>
      <w:bookmarkStart w:id="511" w:name="_Toc216582823"/>
      <w:bookmarkStart w:id="512" w:name="_Toc512937850"/>
      <w:bookmarkStart w:id="513" w:name="_Toc507399903"/>
      <w:bookmarkStart w:id="514" w:name="_Toc515647830"/>
      <w:bookmarkStart w:id="515" w:name="_Toc10488"/>
      <w:r>
        <w:rPr>
          <w:rFonts w:hint="eastAsia" w:ascii="宋体" w:hAnsi="宋体" w:eastAsia="宋体" w:cs="宋体"/>
          <w:b/>
          <w:bCs/>
          <w:sz w:val="24"/>
          <w:szCs w:val="24"/>
          <w:lang w:eastAsia="zh-CN"/>
        </w:rPr>
        <w:t>新疆</w:t>
      </w:r>
      <w:r>
        <w:rPr>
          <w:rFonts w:hint="eastAsia" w:ascii="宋体" w:hAnsi="宋体" w:eastAsia="宋体" w:cs="宋体"/>
          <w:b/>
          <w:bCs/>
          <w:sz w:val="24"/>
          <w:szCs w:val="24"/>
          <w:lang w:val="en-US" w:eastAsia="zh-CN"/>
        </w:rPr>
        <w:t>西部疆南招标代理有限公司</w:t>
      </w:r>
      <w:r>
        <w:rPr>
          <w:rFonts w:hint="eastAsia" w:ascii="宋体" w:hAnsi="宋体" w:eastAsia="宋体" w:cs="宋体"/>
          <w:b/>
          <w:bCs/>
          <w:sz w:val="24"/>
          <w:szCs w:val="24"/>
        </w:rPr>
        <w:t>关于2023年度食品安全监督抽检检测服务项目</w:t>
      </w:r>
      <w:r>
        <w:rPr>
          <w:rFonts w:hint="eastAsia" w:ascii="宋体" w:hAnsi="宋体" w:eastAsia="宋体" w:cs="宋体"/>
          <w:b/>
          <w:bCs/>
          <w:sz w:val="24"/>
          <w:szCs w:val="24"/>
          <w:lang w:eastAsia="zh-CN"/>
        </w:rPr>
        <w:t>竞争性磋商公告</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240" w:lineRule="auto"/>
        <w:ind w:left="0" w:right="0"/>
        <w:textAlignment w:val="auto"/>
        <w:outlineLvl w:val="1"/>
        <w:rPr>
          <w:rFonts w:hint="eastAsia" w:ascii="宋体" w:hAnsi="宋体" w:eastAsia="宋体" w:cs="宋体"/>
          <w:sz w:val="21"/>
          <w:szCs w:val="21"/>
        </w:rPr>
      </w:pPr>
      <w:bookmarkStart w:id="516" w:name="_Toc20479"/>
      <w:r>
        <w:rPr>
          <w:rFonts w:hint="eastAsia" w:ascii="宋体" w:hAnsi="宋体" w:eastAsia="宋体" w:cs="宋体"/>
          <w:b/>
          <w:bCs/>
          <w:i w:val="0"/>
          <w:iCs w:val="0"/>
          <w:caps w:val="0"/>
          <w:color w:val="000000"/>
          <w:spacing w:val="0"/>
          <w:sz w:val="24"/>
          <w:szCs w:val="24"/>
        </w:rPr>
        <w:t> </w:t>
      </w:r>
      <w:r>
        <w:rPr>
          <w:rFonts w:hint="eastAsia" w:ascii="宋体" w:hAnsi="宋体" w:eastAsia="宋体" w:cs="宋体"/>
          <w:b/>
          <w:bCs/>
          <w:i w:val="0"/>
          <w:iCs w:val="0"/>
          <w:caps w:val="0"/>
          <w:color w:val="000000"/>
          <w:spacing w:val="0"/>
          <w:sz w:val="21"/>
          <w:szCs w:val="21"/>
        </w:rPr>
        <w:t xml:space="preserve">   </w:t>
      </w:r>
      <w:r>
        <w:rPr>
          <w:rFonts w:hint="eastAsia" w:ascii="宋体" w:hAnsi="宋体" w:eastAsia="宋体" w:cs="宋体"/>
          <w:i w:val="0"/>
          <w:iCs w:val="0"/>
          <w:caps w:val="0"/>
          <w:color w:val="000000"/>
          <w:spacing w:val="0"/>
          <w:sz w:val="21"/>
          <w:szCs w:val="21"/>
        </w:rPr>
        <w:t>                                               </w:t>
      </w:r>
      <w:bookmarkEnd w:id="516"/>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eastAsia="zh-CN"/>
        </w:rPr>
        <w:t>项目概况：</w:t>
      </w:r>
      <w:r>
        <w:rPr>
          <w:rFonts w:hint="eastAsia" w:ascii="宋体" w:hAnsi="宋体" w:eastAsia="宋体" w:cs="宋体"/>
          <w:i w:val="0"/>
          <w:iCs w:val="0"/>
          <w:caps w:val="0"/>
          <w:color w:val="000000"/>
          <w:spacing w:val="0"/>
          <w:sz w:val="24"/>
          <w:szCs w:val="24"/>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8" w:type="dxa"/>
          </w:tcPr>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 </w:t>
            </w:r>
            <w:r>
              <w:rPr>
                <w:rFonts w:hint="eastAsia" w:ascii="宋体" w:hAnsi="宋体" w:eastAsia="宋体" w:cs="宋体"/>
                <w:i w:val="0"/>
                <w:iCs w:val="0"/>
                <w:caps w:val="0"/>
                <w:color w:val="000000"/>
                <w:spacing w:val="0"/>
                <w:sz w:val="24"/>
                <w:szCs w:val="24"/>
                <w:lang w:val="en-US" w:eastAsia="zh-CN"/>
              </w:rPr>
              <w:t>2023年度食品安全监督抽检检测服务项目</w:t>
            </w:r>
            <w:r>
              <w:rPr>
                <w:rFonts w:hint="eastAsia" w:ascii="宋体" w:hAnsi="宋体" w:eastAsia="宋体" w:cs="宋体"/>
                <w:i w:val="0"/>
                <w:iCs w:val="0"/>
                <w:caps w:val="0"/>
                <w:color w:val="000000"/>
                <w:spacing w:val="0"/>
                <w:sz w:val="24"/>
                <w:szCs w:val="24"/>
              </w:rPr>
              <w:t>的潜在供应商应</w:t>
            </w:r>
            <w:r>
              <w:rPr>
                <w:rFonts w:hint="eastAsia" w:ascii="宋体" w:hAnsi="宋体" w:eastAsia="宋体" w:cs="宋体"/>
                <w:i w:val="0"/>
                <w:iCs w:val="0"/>
                <w:caps w:val="0"/>
                <w:color w:val="000000"/>
                <w:spacing w:val="0"/>
                <w:sz w:val="24"/>
                <w:szCs w:val="24"/>
                <w:lang w:val="en-US" w:eastAsia="zh-CN"/>
              </w:rPr>
              <w:t xml:space="preserve">通过 </w:t>
            </w:r>
            <w:r>
              <w:rPr>
                <w:rFonts w:hint="eastAsia" w:ascii="宋体" w:hAnsi="宋体" w:eastAsia="宋体" w:cs="宋体"/>
                <w:i w:val="0"/>
                <w:iCs w:val="0"/>
                <w:caps w:val="0"/>
                <w:color w:val="000000"/>
                <w:spacing w:val="0"/>
                <w:sz w:val="24"/>
                <w:szCs w:val="24"/>
                <w:lang w:eastAsia="zh-CN"/>
              </w:rPr>
              <w:t>新疆政府采购网（</w:t>
            </w:r>
            <w:r>
              <w:rPr>
                <w:rFonts w:hint="eastAsia" w:ascii="宋体" w:hAnsi="宋体" w:eastAsia="宋体" w:cs="宋体"/>
                <w:i w:val="0"/>
                <w:iCs w:val="0"/>
                <w:caps w:val="0"/>
                <w:color w:val="000000"/>
                <w:spacing w:val="0"/>
                <w:sz w:val="24"/>
                <w:szCs w:val="24"/>
                <w:lang w:val="en-US" w:eastAsia="zh-CN"/>
              </w:rPr>
              <w:t>政采云</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获取采购文件，并于202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年0</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28</w:t>
            </w:r>
            <w:r>
              <w:rPr>
                <w:rFonts w:hint="eastAsia" w:ascii="宋体" w:hAnsi="宋体" w:eastAsia="宋体" w:cs="宋体"/>
                <w:i w:val="0"/>
                <w:iCs w:val="0"/>
                <w:caps w:val="0"/>
                <w:color w:val="000000"/>
                <w:spacing w:val="0"/>
                <w:sz w:val="24"/>
                <w:szCs w:val="24"/>
              </w:rPr>
              <w:t>日 1</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:00（北京时间）前提交响应文件。     </w:t>
            </w:r>
          </w:p>
        </w:tc>
      </w:tr>
    </w:tbl>
    <w:p>
      <w:pPr>
        <w:pStyle w:val="18"/>
        <w:keepNext w:val="0"/>
        <w:keepLines w:val="0"/>
        <w:widowControl/>
        <w:suppressLineNumbers w:val="0"/>
        <w:spacing w:before="75" w:beforeAutospacing="0" w:after="75" w:afterAutospacing="0"/>
        <w:ind w:right="0" w:firstLine="480" w:firstLineChars="200"/>
        <w:rPr>
          <w:rFonts w:hint="eastAsia" w:ascii="宋体" w:hAnsi="宋体" w:eastAsia="宋体" w:cs="宋体"/>
          <w:i w:val="0"/>
          <w:iCs w:val="0"/>
          <w:caps w:val="0"/>
          <w:color w:val="000000"/>
          <w:spacing w:val="0"/>
          <w:sz w:val="24"/>
          <w:szCs w:val="24"/>
        </w:rPr>
      </w:pPr>
      <w:bookmarkStart w:id="517" w:name="_Toc17175"/>
      <w:r>
        <w:rPr>
          <w:rFonts w:hint="eastAsia" w:ascii="宋体" w:hAnsi="宋体" w:eastAsia="宋体" w:cs="宋体"/>
          <w:i w:val="0"/>
          <w:iCs w:val="0"/>
          <w:caps w:val="0"/>
          <w:color w:val="000000"/>
          <w:spacing w:val="0"/>
          <w:sz w:val="24"/>
          <w:szCs w:val="24"/>
        </w:rPr>
        <w:t>一、项目基本情况</w:t>
      </w:r>
      <w:bookmarkEnd w:id="517"/>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项目编号：</w:t>
      </w:r>
      <w:r>
        <w:rPr>
          <w:rFonts w:hint="eastAsia" w:ascii="宋体" w:hAnsi="宋体" w:eastAsia="宋体" w:cs="宋体"/>
          <w:i w:val="0"/>
          <w:iCs w:val="0"/>
          <w:caps w:val="0"/>
          <w:color w:val="000000"/>
          <w:spacing w:val="0"/>
          <w:sz w:val="24"/>
          <w:szCs w:val="24"/>
          <w:lang w:eastAsia="zh-CN"/>
        </w:rPr>
        <w:t>KSSC(CS)-XB-202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lang w:eastAsia="zh-CN"/>
        </w:rPr>
        <w:t>-00</w:t>
      </w:r>
      <w:r>
        <w:rPr>
          <w:rFonts w:hint="eastAsia" w:ascii="宋体" w:hAnsi="宋体" w:eastAsia="宋体" w:cs="宋体"/>
          <w:i w:val="0"/>
          <w:iCs w:val="0"/>
          <w:caps w:val="0"/>
          <w:color w:val="000000"/>
          <w:spacing w:val="0"/>
          <w:sz w:val="24"/>
          <w:szCs w:val="24"/>
          <w:lang w:val="en-US" w:eastAsia="zh-CN"/>
        </w:rPr>
        <w:t>4</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项目名称：2023年度食品安全监督抽检检测服务项目</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预算金额：</w:t>
      </w:r>
      <w:r>
        <w:rPr>
          <w:rFonts w:hint="eastAsia" w:ascii="宋体" w:hAnsi="宋体" w:eastAsia="宋体" w:cs="宋体"/>
          <w:i w:val="0"/>
          <w:iCs w:val="0"/>
          <w:caps w:val="0"/>
          <w:color w:val="000000"/>
          <w:spacing w:val="0"/>
          <w:sz w:val="24"/>
          <w:szCs w:val="24"/>
          <w:lang w:val="en-US" w:eastAsia="zh-CN"/>
        </w:rPr>
        <w:t>121.77万元</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采购需求：</w:t>
      </w:r>
      <w:r>
        <w:rPr>
          <w:rFonts w:hint="eastAsia" w:ascii="宋体" w:hAnsi="宋体" w:eastAsia="宋体" w:cs="宋体"/>
          <w:i w:val="0"/>
          <w:iCs w:val="0"/>
          <w:caps w:val="0"/>
          <w:color w:val="000000"/>
          <w:spacing w:val="0"/>
          <w:sz w:val="24"/>
          <w:szCs w:val="24"/>
          <w:lang w:eastAsia="zh-CN"/>
        </w:rPr>
        <w:t>详见招标文件</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备注：1、本项目不接受联合体投标。</w:t>
      </w:r>
      <w:r>
        <w:rPr>
          <w:rFonts w:hint="eastAsia" w:ascii="宋体" w:hAnsi="宋体" w:eastAsia="宋体" w:cs="宋体"/>
          <w:i w:val="0"/>
          <w:iCs w:val="0"/>
          <w:caps w:val="0"/>
          <w:color w:val="000000"/>
          <w:spacing w:val="0"/>
          <w:sz w:val="24"/>
          <w:szCs w:val="24"/>
        </w:rPr>
        <w:t>  </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bookmarkStart w:id="518" w:name="_Toc10484"/>
      <w:r>
        <w:rPr>
          <w:rFonts w:hint="eastAsia" w:ascii="宋体" w:hAnsi="宋体" w:eastAsia="宋体" w:cs="宋体"/>
          <w:i w:val="0"/>
          <w:iCs w:val="0"/>
          <w:caps w:val="0"/>
          <w:color w:val="000000"/>
          <w:spacing w:val="0"/>
          <w:sz w:val="24"/>
          <w:szCs w:val="24"/>
        </w:rPr>
        <w:t>二、申请人的资格要求：</w:t>
      </w:r>
      <w:bookmarkEnd w:id="518"/>
    </w:p>
    <w:p>
      <w:pPr>
        <w:pStyle w:val="18"/>
        <w:keepNext w:val="0"/>
        <w:keepLines w:val="0"/>
        <w:widowControl/>
        <w:suppressLineNumbers w:val="0"/>
        <w:spacing w:before="75" w:beforeAutospacing="0" w:after="75" w:afterAutospacing="0"/>
        <w:ind w:left="239" w:leftChars="114" w:right="0" w:firstLine="0" w:firstLineChars="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xml:space="preserve">1、投标人必须符合《中华人民共和国政府采购法》第二十二条的相关规定； </w:t>
      </w:r>
      <w:r>
        <w:rPr>
          <w:rFonts w:hint="eastAsia" w:ascii="宋体" w:hAnsi="宋体" w:eastAsia="宋体" w:cs="宋体"/>
          <w:i w:val="0"/>
          <w:iCs w:val="0"/>
          <w:caps w:val="0"/>
          <w:color w:val="000000"/>
          <w:spacing w:val="0"/>
          <w:sz w:val="24"/>
          <w:szCs w:val="24"/>
          <w:lang w:val="en-US" w:eastAsia="zh-CN"/>
        </w:rPr>
        <w:br w:type="textWrapping"/>
      </w:r>
      <w:r>
        <w:rPr>
          <w:rFonts w:hint="eastAsia" w:ascii="宋体" w:hAnsi="宋体" w:eastAsia="宋体" w:cs="宋体"/>
          <w:i w:val="0"/>
          <w:iCs w:val="0"/>
          <w:caps w:val="0"/>
          <w:color w:val="000000"/>
          <w:spacing w:val="0"/>
          <w:sz w:val="24"/>
          <w:szCs w:val="24"/>
          <w:lang w:val="en-US" w:eastAsia="zh-CN"/>
        </w:rPr>
        <w:t>2.具有独立承担民事责任的能力；</w:t>
      </w:r>
      <w:r>
        <w:rPr>
          <w:rFonts w:hint="eastAsia" w:ascii="宋体" w:hAnsi="宋体" w:eastAsia="宋体" w:cs="宋体"/>
          <w:i w:val="0"/>
          <w:iCs w:val="0"/>
          <w:caps w:val="0"/>
          <w:color w:val="000000"/>
          <w:spacing w:val="0"/>
          <w:sz w:val="24"/>
          <w:szCs w:val="24"/>
          <w:lang w:val="en-US" w:eastAsia="zh-CN"/>
        </w:rPr>
        <w:br w:type="textWrapping"/>
      </w:r>
      <w:r>
        <w:rPr>
          <w:rFonts w:hint="eastAsia" w:ascii="宋体" w:hAnsi="宋体" w:eastAsia="宋体" w:cs="宋体"/>
          <w:i w:val="0"/>
          <w:iCs w:val="0"/>
          <w:caps w:val="0"/>
          <w:color w:val="000000"/>
          <w:spacing w:val="0"/>
          <w:sz w:val="24"/>
          <w:szCs w:val="24"/>
          <w:lang w:val="en-US" w:eastAsia="zh-CN"/>
        </w:rPr>
        <w:t>3.法人身份证明或法人授权委托书和被授权人身份有效证件；授权委托人近4个月缴纳社保证明（社保缴费凭证和个人明细表）；</w:t>
      </w:r>
      <w:r>
        <w:rPr>
          <w:rFonts w:hint="eastAsia" w:ascii="宋体" w:hAnsi="宋体" w:eastAsia="宋体" w:cs="宋体"/>
          <w:i w:val="0"/>
          <w:iCs w:val="0"/>
          <w:caps w:val="0"/>
          <w:color w:val="000000"/>
          <w:spacing w:val="0"/>
          <w:sz w:val="24"/>
          <w:szCs w:val="24"/>
          <w:lang w:val="en-US" w:eastAsia="zh-CN"/>
        </w:rPr>
        <w:br w:type="textWrapping"/>
      </w:r>
      <w:r>
        <w:rPr>
          <w:rFonts w:hint="eastAsia" w:ascii="宋体" w:hAnsi="宋体" w:eastAsia="宋体" w:cs="宋体"/>
          <w:i w:val="0"/>
          <w:iCs w:val="0"/>
          <w:caps w:val="0"/>
          <w:color w:val="000000"/>
          <w:spacing w:val="0"/>
          <w:sz w:val="24"/>
          <w:szCs w:val="24"/>
          <w:lang w:val="en-US" w:eastAsia="zh-CN"/>
        </w:rPr>
        <w:t>4.提供会计事务所出具的</w:t>
      </w:r>
      <w:r>
        <w:rPr>
          <w:rFonts w:hint="eastAsia" w:ascii="宋体" w:hAnsi="宋体" w:cs="宋体"/>
          <w:i w:val="0"/>
          <w:iCs w:val="0"/>
          <w:caps w:val="0"/>
          <w:color w:val="000000"/>
          <w:spacing w:val="0"/>
          <w:sz w:val="24"/>
          <w:szCs w:val="24"/>
          <w:lang w:val="en-US" w:eastAsia="zh-CN"/>
        </w:rPr>
        <w:t>2021年或</w:t>
      </w:r>
      <w:r>
        <w:rPr>
          <w:rFonts w:hint="eastAsia" w:ascii="宋体" w:hAnsi="宋体" w:eastAsia="宋体" w:cs="宋体"/>
          <w:i w:val="0"/>
          <w:iCs w:val="0"/>
          <w:caps w:val="0"/>
          <w:color w:val="000000"/>
          <w:spacing w:val="0"/>
          <w:sz w:val="24"/>
          <w:szCs w:val="24"/>
          <w:lang w:val="en-US" w:eastAsia="zh-CN"/>
        </w:rPr>
        <w:t>2022年度财务审计报告书原件或影印件；新办企业提供银行资信证明）；</w:t>
      </w:r>
      <w:r>
        <w:rPr>
          <w:rFonts w:hint="eastAsia" w:ascii="宋体" w:hAnsi="宋体" w:eastAsia="宋体" w:cs="宋体"/>
          <w:i w:val="0"/>
          <w:iCs w:val="0"/>
          <w:caps w:val="0"/>
          <w:color w:val="000000"/>
          <w:spacing w:val="0"/>
          <w:sz w:val="24"/>
          <w:szCs w:val="24"/>
          <w:lang w:val="en-US" w:eastAsia="zh-CN"/>
        </w:rPr>
        <w:br w:type="textWrapping"/>
      </w:r>
      <w:r>
        <w:rPr>
          <w:rFonts w:hint="eastAsia" w:ascii="宋体" w:hAnsi="宋体" w:eastAsia="宋体" w:cs="宋体"/>
          <w:i w:val="0"/>
          <w:iCs w:val="0"/>
          <w:caps w:val="0"/>
          <w:color w:val="000000"/>
          <w:spacing w:val="0"/>
          <w:sz w:val="24"/>
          <w:szCs w:val="24"/>
          <w:lang w:val="en-US" w:eastAsia="zh-CN"/>
        </w:rPr>
        <w:t>5.税务部门出具的近四个月的完税证明（或由税务局出具的无拖欠税收证明，零申报需加盖税务机关鲜章）；</w:t>
      </w:r>
      <w:r>
        <w:rPr>
          <w:rFonts w:hint="eastAsia" w:ascii="宋体" w:hAnsi="宋体" w:eastAsia="宋体" w:cs="宋体"/>
          <w:i w:val="0"/>
          <w:iCs w:val="0"/>
          <w:caps w:val="0"/>
          <w:color w:val="000000"/>
          <w:spacing w:val="0"/>
          <w:sz w:val="24"/>
          <w:szCs w:val="24"/>
          <w:lang w:val="en-US" w:eastAsia="zh-CN"/>
        </w:rPr>
        <w:br w:type="textWrapping"/>
      </w:r>
      <w:r>
        <w:rPr>
          <w:rFonts w:hint="eastAsia" w:ascii="宋体" w:hAnsi="宋体" w:eastAsia="宋体" w:cs="宋体"/>
          <w:i w:val="0"/>
          <w:iCs w:val="0"/>
          <w:caps w:val="0"/>
          <w:color w:val="000000"/>
          <w:spacing w:val="0"/>
          <w:sz w:val="24"/>
          <w:szCs w:val="24"/>
          <w:lang w:val="en-US" w:eastAsia="zh-CN"/>
        </w:rPr>
        <w:t>6.投标人必须提供“信用中国”网站（www.creditchina.gov.cn）、中国政府采购网（www.ccgp.gov.cn）渠道信用记录失信执行人、重大税收违法案件当事人名单、政府采购严重违法失信行为记录名单的投标人，（提供查询结果网页截图并加盖供应商公章）；</w:t>
      </w:r>
      <w:r>
        <w:rPr>
          <w:rFonts w:hint="eastAsia" w:ascii="宋体" w:hAnsi="宋体" w:eastAsia="宋体" w:cs="宋体"/>
          <w:i w:val="0"/>
          <w:iCs w:val="0"/>
          <w:caps w:val="0"/>
          <w:color w:val="000000"/>
          <w:spacing w:val="0"/>
          <w:sz w:val="24"/>
          <w:szCs w:val="24"/>
          <w:lang w:val="en-US" w:eastAsia="zh-CN"/>
        </w:rPr>
        <w:br w:type="textWrapping"/>
      </w:r>
      <w:r>
        <w:rPr>
          <w:rFonts w:hint="eastAsia" w:ascii="宋体" w:hAnsi="宋体" w:eastAsia="宋体" w:cs="宋体"/>
          <w:i w:val="0"/>
          <w:iCs w:val="0"/>
          <w:caps w:val="0"/>
          <w:color w:val="000000"/>
          <w:spacing w:val="0"/>
          <w:sz w:val="24"/>
          <w:szCs w:val="24"/>
          <w:lang w:val="en-US" w:eastAsia="zh-CN"/>
        </w:rPr>
        <w:t>7.参加政府采购活动前三年内，在经营活动中没有重大违法记录声明；（自拟）投标单位（供应商）提供针对本次采购项目的《反商业贿赂承诺书》；</w:t>
      </w:r>
    </w:p>
    <w:p>
      <w:pPr>
        <w:pStyle w:val="18"/>
        <w:keepNext w:val="0"/>
        <w:keepLines w:val="0"/>
        <w:widowControl/>
        <w:suppressLineNumbers w:val="0"/>
        <w:spacing w:before="75" w:beforeAutospacing="0" w:after="75" w:afterAutospacing="0"/>
        <w:ind w:left="239" w:leftChars="114" w:right="0" w:firstLine="0" w:firstLineChars="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8、</w:t>
      </w:r>
      <w:r>
        <w:rPr>
          <w:rFonts w:hint="eastAsia" w:ascii="宋体" w:hAnsi="宋体" w:eastAsia="宋体" w:cs="宋体"/>
          <w:i w:val="0"/>
          <w:iCs w:val="0"/>
          <w:caps w:val="0"/>
          <w:color w:val="000000"/>
          <w:spacing w:val="0"/>
          <w:sz w:val="24"/>
          <w:szCs w:val="24"/>
        </w:rPr>
        <w:t>投标人具备检验检测机构资质认定证书（CMA）且CMA资质认定证书附表的相关内容，附表内容必须完全涵盖所投包组的所有待检类别及检验项目</w:t>
      </w:r>
    </w:p>
    <w:p>
      <w:pPr>
        <w:pStyle w:val="18"/>
        <w:keepNext w:val="0"/>
        <w:keepLines w:val="0"/>
        <w:widowControl/>
        <w:suppressLineNumbers w:val="0"/>
        <w:spacing w:before="75" w:beforeAutospacing="0" w:after="75" w:afterAutospacing="0"/>
        <w:ind w:right="0" w:firstLine="240" w:firstLineChars="1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9、投标保证金缴纳证明；</w:t>
      </w:r>
    </w:p>
    <w:p>
      <w:pPr>
        <w:pStyle w:val="18"/>
        <w:keepNext w:val="0"/>
        <w:keepLines w:val="0"/>
        <w:widowControl/>
        <w:suppressLineNumbers w:val="0"/>
        <w:spacing w:before="75" w:beforeAutospacing="0" w:after="75" w:afterAutospacing="0"/>
        <w:ind w:right="0" w:firstLine="240" w:firstLineChars="1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 xml:space="preserve">10、 </w:t>
      </w:r>
      <w:r>
        <w:rPr>
          <w:rFonts w:hint="eastAsia" w:ascii="宋体" w:hAnsi="宋体" w:eastAsia="宋体" w:cs="宋体"/>
          <w:i w:val="0"/>
          <w:iCs w:val="0"/>
          <w:caps w:val="0"/>
          <w:color w:val="000000"/>
          <w:spacing w:val="0"/>
          <w:sz w:val="24"/>
          <w:szCs w:val="24"/>
        </w:rPr>
        <w:t>本项目不接受联合体</w:t>
      </w:r>
      <w:r>
        <w:rPr>
          <w:rFonts w:hint="eastAsia" w:ascii="宋体" w:hAnsi="宋体" w:eastAsia="宋体" w:cs="宋体"/>
          <w:i w:val="0"/>
          <w:iCs w:val="0"/>
          <w:caps w:val="0"/>
          <w:color w:val="000000"/>
          <w:spacing w:val="0"/>
          <w:sz w:val="24"/>
          <w:szCs w:val="24"/>
          <w:lang w:eastAsia="zh-CN"/>
        </w:rPr>
        <w:t>。</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bookmarkStart w:id="519" w:name="_Toc12898"/>
      <w:r>
        <w:rPr>
          <w:rFonts w:hint="eastAsia" w:ascii="宋体" w:hAnsi="宋体" w:eastAsia="宋体" w:cs="宋体"/>
          <w:i w:val="0"/>
          <w:iCs w:val="0"/>
          <w:caps w:val="0"/>
          <w:color w:val="000000"/>
          <w:spacing w:val="0"/>
          <w:sz w:val="24"/>
          <w:szCs w:val="24"/>
        </w:rPr>
        <w:t>三、获取采购文件</w:t>
      </w:r>
      <w:bookmarkEnd w:id="519"/>
    </w:p>
    <w:p>
      <w:pPr>
        <w:pStyle w:val="18"/>
        <w:keepNext w:val="0"/>
        <w:keepLines w:val="0"/>
        <w:widowControl/>
        <w:suppressLineNumbers w:val="0"/>
        <w:spacing w:before="75" w:beforeAutospacing="0" w:after="75" w:afterAutospacing="0"/>
        <w:ind w:left="239" w:leftChars="114" w:right="0" w:firstLine="0" w:firstLineChars="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时间：202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年0</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18</w:t>
      </w:r>
      <w:r>
        <w:rPr>
          <w:rFonts w:hint="eastAsia" w:ascii="宋体" w:hAnsi="宋体" w:eastAsia="宋体" w:cs="宋体"/>
          <w:i w:val="0"/>
          <w:iCs w:val="0"/>
          <w:caps w:val="0"/>
          <w:color w:val="000000"/>
          <w:spacing w:val="0"/>
          <w:sz w:val="24"/>
          <w:szCs w:val="24"/>
        </w:rPr>
        <w:t>日至202</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24</w:t>
      </w:r>
      <w:r>
        <w:rPr>
          <w:rFonts w:hint="eastAsia" w:ascii="宋体" w:hAnsi="宋体" w:eastAsia="宋体" w:cs="宋体"/>
          <w:i w:val="0"/>
          <w:iCs w:val="0"/>
          <w:caps w:val="0"/>
          <w:color w:val="000000"/>
          <w:spacing w:val="0"/>
          <w:sz w:val="24"/>
          <w:szCs w:val="24"/>
        </w:rPr>
        <w:t>日，每天上午10:00至1</w:t>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:00，下午1</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:00至</w:t>
      </w:r>
      <w:r>
        <w:rPr>
          <w:rFonts w:hint="eastAsia" w:ascii="宋体" w:hAnsi="宋体" w:eastAsia="宋体" w:cs="宋体"/>
          <w:i w:val="0"/>
          <w:iCs w:val="0"/>
          <w:caps w:val="0"/>
          <w:color w:val="000000"/>
          <w:spacing w:val="0"/>
          <w:sz w:val="24"/>
          <w:szCs w:val="24"/>
          <w:lang w:val="en-US" w:eastAsia="zh-CN"/>
        </w:rPr>
        <w:t>20</w:t>
      </w:r>
      <w:r>
        <w:rPr>
          <w:rFonts w:hint="eastAsia" w:ascii="宋体" w:hAnsi="宋体" w:eastAsia="宋体" w:cs="宋体"/>
          <w:i w:val="0"/>
          <w:iCs w:val="0"/>
          <w:caps w:val="0"/>
          <w:color w:val="000000"/>
          <w:spacing w:val="0"/>
          <w:sz w:val="24"/>
          <w:szCs w:val="24"/>
        </w:rPr>
        <w:t>:00（北京时间，法定节假日除外）</w:t>
      </w:r>
    </w:p>
    <w:p>
      <w:pPr>
        <w:pStyle w:val="18"/>
        <w:keepNext w:val="0"/>
        <w:keepLines w:val="0"/>
        <w:widowControl/>
        <w:suppressLineNumbers w:val="0"/>
        <w:spacing w:before="75" w:beforeAutospacing="0" w:after="75" w:afterAutospacing="0"/>
        <w:ind w:right="0" w:firstLine="240" w:firstLineChars="1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地点：</w:t>
      </w:r>
      <w:r>
        <w:rPr>
          <w:rFonts w:hint="eastAsia" w:ascii="宋体" w:hAnsi="宋体" w:eastAsia="宋体" w:cs="宋体"/>
          <w:i w:val="0"/>
          <w:iCs w:val="0"/>
          <w:caps w:val="0"/>
          <w:color w:val="000000"/>
          <w:spacing w:val="0"/>
          <w:sz w:val="24"/>
          <w:szCs w:val="24"/>
          <w:lang w:eastAsia="zh-CN"/>
        </w:rPr>
        <w:t>新疆政府采购网“政采云”平台</w:t>
      </w:r>
    </w:p>
    <w:p>
      <w:pPr>
        <w:pStyle w:val="18"/>
        <w:keepNext w:val="0"/>
        <w:keepLines w:val="0"/>
        <w:widowControl/>
        <w:suppressLineNumbers w:val="0"/>
        <w:spacing w:before="75" w:beforeAutospacing="0" w:after="75" w:afterAutospacing="0"/>
        <w:ind w:right="0" w:firstLine="240" w:firstLineChars="1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方式：线</w:t>
      </w:r>
      <w:r>
        <w:rPr>
          <w:rFonts w:hint="eastAsia" w:ascii="宋体" w:hAnsi="宋体" w:eastAsia="宋体" w:cs="宋体"/>
          <w:i w:val="0"/>
          <w:iCs w:val="0"/>
          <w:caps w:val="0"/>
          <w:color w:val="000000"/>
          <w:spacing w:val="0"/>
          <w:sz w:val="24"/>
          <w:szCs w:val="24"/>
          <w:lang w:eastAsia="zh-CN"/>
        </w:rPr>
        <w:t>上</w:t>
      </w:r>
      <w:r>
        <w:rPr>
          <w:rFonts w:hint="eastAsia" w:ascii="宋体" w:hAnsi="宋体" w:eastAsia="宋体" w:cs="宋体"/>
          <w:i w:val="0"/>
          <w:iCs w:val="0"/>
          <w:caps w:val="0"/>
          <w:color w:val="000000"/>
          <w:spacing w:val="0"/>
          <w:sz w:val="24"/>
          <w:szCs w:val="24"/>
        </w:rPr>
        <w:t>获取 </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售价（元）：0 </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bookmarkStart w:id="520" w:name="_Toc15286"/>
      <w:r>
        <w:rPr>
          <w:rFonts w:hint="eastAsia" w:ascii="宋体" w:hAnsi="宋体" w:eastAsia="宋体" w:cs="宋体"/>
          <w:i w:val="0"/>
          <w:iCs w:val="0"/>
          <w:caps w:val="0"/>
          <w:color w:val="000000"/>
          <w:spacing w:val="0"/>
          <w:sz w:val="24"/>
          <w:szCs w:val="24"/>
        </w:rPr>
        <w:t>四、响应文件提交 </w:t>
      </w:r>
      <w:bookmarkEnd w:id="520"/>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截止时间：202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04</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28</w:t>
      </w:r>
      <w:r>
        <w:rPr>
          <w:rFonts w:hint="eastAsia" w:ascii="宋体" w:hAnsi="宋体" w:eastAsia="宋体" w:cs="宋体"/>
          <w:i w:val="0"/>
          <w:iCs w:val="0"/>
          <w:caps w:val="0"/>
          <w:color w:val="000000"/>
          <w:spacing w:val="0"/>
          <w:sz w:val="24"/>
          <w:szCs w:val="24"/>
        </w:rPr>
        <w:t>日 1</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:00（北京时间）</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开标地点:政采云平台线上</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bookmarkStart w:id="521" w:name="_Toc27343"/>
      <w:r>
        <w:rPr>
          <w:rFonts w:hint="eastAsia" w:ascii="宋体" w:hAnsi="宋体" w:eastAsia="宋体" w:cs="宋体"/>
          <w:i w:val="0"/>
          <w:iCs w:val="0"/>
          <w:caps w:val="0"/>
          <w:color w:val="000000"/>
          <w:spacing w:val="0"/>
          <w:sz w:val="24"/>
          <w:szCs w:val="24"/>
        </w:rPr>
        <w:t>五、响应文件开启 </w:t>
      </w:r>
      <w:bookmarkEnd w:id="521"/>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开启时间：202</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04</w:t>
      </w:r>
      <w:r>
        <w:rPr>
          <w:rFonts w:hint="eastAsia" w:ascii="宋体" w:hAnsi="宋体" w:eastAsia="宋体" w:cs="宋体"/>
          <w:i w:val="0"/>
          <w:iCs w:val="0"/>
          <w:caps w:val="0"/>
          <w:color w:val="000000"/>
          <w:spacing w:val="0"/>
          <w:sz w:val="24"/>
          <w:szCs w:val="24"/>
        </w:rPr>
        <w:t>月</w:t>
      </w:r>
      <w:r>
        <w:rPr>
          <w:rFonts w:hint="eastAsia" w:ascii="宋体" w:hAnsi="宋体" w:cs="宋体"/>
          <w:i w:val="0"/>
          <w:iCs w:val="0"/>
          <w:caps w:val="0"/>
          <w:color w:val="000000"/>
          <w:spacing w:val="0"/>
          <w:sz w:val="24"/>
          <w:szCs w:val="24"/>
          <w:lang w:val="en-US" w:eastAsia="zh-CN"/>
        </w:rPr>
        <w:t>28</w:t>
      </w:r>
      <w:r>
        <w:rPr>
          <w:rFonts w:hint="eastAsia" w:ascii="宋体" w:hAnsi="宋体" w:eastAsia="宋体" w:cs="宋体"/>
          <w:i w:val="0"/>
          <w:iCs w:val="0"/>
          <w:caps w:val="0"/>
          <w:color w:val="000000"/>
          <w:spacing w:val="0"/>
          <w:sz w:val="24"/>
          <w:szCs w:val="24"/>
        </w:rPr>
        <w:t>日 1</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:00（北京时间）</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地点：政采云平台线上</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bookmarkStart w:id="522" w:name="_Toc2166"/>
      <w:r>
        <w:rPr>
          <w:rFonts w:hint="eastAsia" w:ascii="宋体" w:hAnsi="宋体" w:eastAsia="宋体" w:cs="宋体"/>
          <w:i w:val="0"/>
          <w:iCs w:val="0"/>
          <w:caps w:val="0"/>
          <w:color w:val="000000"/>
          <w:spacing w:val="0"/>
          <w:sz w:val="24"/>
          <w:szCs w:val="24"/>
        </w:rPr>
        <w:t>六、公告期限</w:t>
      </w:r>
      <w:bookmarkEnd w:id="522"/>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个工作日。</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bookmarkStart w:id="523" w:name="_Toc18977"/>
      <w:r>
        <w:rPr>
          <w:rFonts w:hint="eastAsia" w:ascii="宋体" w:hAnsi="宋体" w:eastAsia="宋体" w:cs="宋体"/>
          <w:i w:val="0"/>
          <w:iCs w:val="0"/>
          <w:caps w:val="0"/>
          <w:color w:val="000000"/>
          <w:spacing w:val="0"/>
          <w:sz w:val="24"/>
          <w:szCs w:val="24"/>
        </w:rPr>
        <w:t>七、其他补充事宜 </w:t>
      </w:r>
      <w:bookmarkEnd w:id="523"/>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bookmarkStart w:id="524" w:name="_Toc8945"/>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(2)本项目实行网上投标，采用电子投标文件(供应商须使用CA加密设备通过政采云电子投标客户端制作投标文件)。若供应商参与投标，自行承担投标一切费用。</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(3)各供应商应在开标前应确保成为新疆政府采购网正式注册入库供应 商，并完成CA数字证书申领。因未注册入库、未办理CA数字证书等原因造成无法投标或投标失败等后果由供应商自行承担。</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(4)供应商将政采云电子交易客户端下载、安装完成后 ，可通过账号密码或CA登录客户端进行投标文件制作。在使用政采云投标客户端时，建议使用WIN7及以上操作系统。客户端请至新疆政府采购网( http://www.ccgp-xinjiang.gov.cn/)下载专区查看，如有问题可拨打政采云客户服务热线 400-881-7190 进行咨询。</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(5)供应商在开标时须使用制作加密电子投标文件所使用的CA锁及电 脑，电脑须提前配置好浏览器 (建议使用谷歌浏览器)，以便开标时解锁。</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(6)投标保证金缴纳及确认时间：凡拟参加本次招标项目的供应商，必须在开标前将投标保证金汇入指定账户。投标保证金汇款凭证上用途栏应 注明:招标项目名称+标项号+投标保证金。否则，届时其投标将被拒绝。</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(7)供应商对不见面开评标系统的技术操作咨询，可通过https://edu.zcygov.cn/luban/xinjiang-e-biding自助查询，也可在政采云帮助中心常见问题解答和操作流程讲解视频中自助查询，网址为： https://service.zcygov.cn/#/help ，“项目采购”—“操作流程-电子招投标”—“政府采购项目电子交易管理操作指南-供应商”版面获取操作指南，同时对自助查询无法解决的问题可通过钉钉群及政采云在线客服 获取服务支持。供应商钉钉群号：政采云新疆供应商服务1号群：</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30349928 (如已加入1-11群，无需重复加入，十一个群联动直播) ，钉钉工具软件具有回放功能，直播培训结束后可在钉钉群中回放观看学习。</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(8)各供应商须在投标截止时间前完成在系统上递交电子投标文件。投标供应商的电子投标文件是经过CA证书加密后上传提交的，任何单位或个人均无法在投标截止时间(即开标时间)之前查看或篡改，不存在泄密风 险。(严格按照政采云电子投标流程制作并上传电子投标文件)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(9)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(10)所有投标供应商应在中标公告公示期结束后2个工作日内将纸质版投标文件邮寄至代理机构备案，纸质版投标文件包括“开标一览表表及 资格证明文件”和“商务及技术文件”两部分，两部分合订成一册递交。(邮寄标书事项会影响退还投标保证金)</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递交数量：正本：壹份、副本：叁份；电子文档1份(以正本为准，副本可以是正本的复印件)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纸质投标文件的签署及规定：投标文件的正副本需打印或用不褪色墨水书写，并由供应商的法定代表人或经其正式委托代理人按招标文件规定在投标文件上签字或盖章，并加盖单位印章。</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(11)解密时长为30分钟。</w:t>
      </w:r>
    </w:p>
    <w:p>
      <w:pPr>
        <w:pStyle w:val="1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(12)须供应商提供备份的投标文件,后缀为.bfbs</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特别提示：</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atLeast"/>
        <w:ind w:left="0" w:right="0" w:firstLine="0"/>
        <w:jc w:val="both"/>
        <w:textAlignment w:val="auto"/>
        <w:outlineLvl w:val="1"/>
        <w:rPr>
          <w:rFonts w:hint="eastAsia" w:ascii="宋体" w:hAnsi="宋体" w:eastAsia="宋体" w:cs="宋体"/>
          <w:i w:val="0"/>
          <w:iCs w:val="0"/>
          <w:caps w:val="0"/>
          <w:color w:val="000000"/>
          <w:spacing w:val="0"/>
          <w:sz w:val="21"/>
          <w:szCs w:val="21"/>
        </w:rPr>
      </w:pPr>
      <w:r>
        <w:rPr>
          <w:rStyle w:val="24"/>
          <w:rFonts w:hint="eastAsia" w:ascii="宋体" w:hAnsi="宋体" w:eastAsia="宋体" w:cs="宋体"/>
          <w:i w:val="0"/>
          <w:iCs w:val="0"/>
          <w:caps w:val="0"/>
          <w:color w:val="000000"/>
          <w:spacing w:val="0"/>
          <w:sz w:val="21"/>
          <w:szCs w:val="21"/>
        </w:rPr>
        <w:t>八、凡对本次招标提出询问，请按以下方式联系</w:t>
      </w:r>
      <w:bookmarkEnd w:id="524"/>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名 称：</w:t>
      </w:r>
      <w:r>
        <w:rPr>
          <w:rFonts w:hint="eastAsia" w:ascii="宋体" w:hAnsi="宋体" w:eastAsia="宋体" w:cs="宋体"/>
          <w:i w:val="0"/>
          <w:iCs w:val="0"/>
          <w:caps w:val="0"/>
          <w:color w:val="000000"/>
          <w:spacing w:val="0"/>
          <w:sz w:val="24"/>
          <w:szCs w:val="24"/>
          <w:lang w:eastAsia="zh-CN"/>
        </w:rPr>
        <w:t>莎车县市场监督管理局</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地 址：</w:t>
      </w:r>
      <w:r>
        <w:rPr>
          <w:rFonts w:hint="eastAsia" w:ascii="宋体" w:hAnsi="宋体" w:eastAsia="宋体" w:cs="宋体"/>
          <w:i w:val="0"/>
          <w:iCs w:val="0"/>
          <w:caps w:val="0"/>
          <w:color w:val="000000"/>
          <w:spacing w:val="0"/>
          <w:sz w:val="24"/>
          <w:szCs w:val="24"/>
          <w:lang w:eastAsia="zh-CN"/>
        </w:rPr>
        <w:t>莎车县市场监督管理局</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联系</w:t>
      </w:r>
      <w:r>
        <w:rPr>
          <w:rFonts w:hint="eastAsia" w:ascii="宋体" w:hAnsi="宋体" w:eastAsia="宋体" w:cs="宋体"/>
          <w:i w:val="0"/>
          <w:iCs w:val="0"/>
          <w:caps w:val="0"/>
          <w:color w:val="000000"/>
          <w:spacing w:val="0"/>
          <w:sz w:val="24"/>
          <w:szCs w:val="24"/>
          <w:lang w:eastAsia="zh-CN"/>
        </w:rPr>
        <w:t>人</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lang w:eastAsia="zh-CN"/>
        </w:rPr>
        <w:t>唐丹萍</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联系</w:t>
      </w:r>
      <w:r>
        <w:rPr>
          <w:rFonts w:hint="eastAsia" w:ascii="宋体" w:hAnsi="宋体" w:eastAsia="宋体" w:cs="宋体"/>
          <w:i w:val="0"/>
          <w:iCs w:val="0"/>
          <w:caps w:val="0"/>
          <w:color w:val="000000"/>
          <w:spacing w:val="0"/>
          <w:sz w:val="24"/>
          <w:szCs w:val="24"/>
        </w:rPr>
        <w:t xml:space="preserve">电话: </w:t>
      </w:r>
      <w:r>
        <w:rPr>
          <w:rFonts w:hint="eastAsia" w:ascii="宋体" w:hAnsi="宋体" w:eastAsia="宋体" w:cs="宋体"/>
          <w:i w:val="0"/>
          <w:iCs w:val="0"/>
          <w:caps w:val="0"/>
          <w:color w:val="000000"/>
          <w:spacing w:val="0"/>
          <w:sz w:val="24"/>
          <w:szCs w:val="24"/>
          <w:lang w:eastAsia="zh-CN"/>
        </w:rPr>
        <w:t>0998-8516994</w:t>
      </w:r>
    </w:p>
    <w:p>
      <w:pPr>
        <w:pStyle w:val="18"/>
        <w:keepNext w:val="0"/>
        <w:keepLines w:val="0"/>
        <w:widowControl/>
        <w:suppressLineNumbers w:val="0"/>
        <w:spacing w:before="75" w:beforeAutospacing="0" w:after="75" w:afterAutospacing="0"/>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jc w:val="both"/>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名 称：新疆西部疆南招标代理有限公司</w:t>
      </w:r>
    </w:p>
    <w:p>
      <w:pPr>
        <w:pStyle w:val="18"/>
        <w:keepNext w:val="0"/>
        <w:keepLines w:val="0"/>
        <w:widowControl/>
        <w:suppressLineNumbers w:val="0"/>
        <w:spacing w:before="75" w:beforeAutospacing="0" w:after="75" w:afterAutospacing="0"/>
        <w:ind w:left="0" w:right="0" w:firstLine="720" w:firstLineChars="30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地 址：新疆莎车县城南新区绿地八方城B-2-2113</w:t>
      </w:r>
    </w:p>
    <w:p>
      <w:pPr>
        <w:keepNext w:val="0"/>
        <w:keepLines w:val="0"/>
        <w:pageBreakBefore w:val="0"/>
        <w:widowControl/>
        <w:kinsoku/>
        <w:wordWrap/>
        <w:overflowPunct/>
        <w:topLinePunct w:val="0"/>
        <w:autoSpaceDE/>
        <w:autoSpaceDN/>
        <w:bidi w:val="0"/>
        <w:adjustRightInd/>
        <w:snapToGrid w:val="0"/>
        <w:spacing w:line="240" w:lineRule="atLeast"/>
        <w:ind w:firstLine="720" w:firstLineChars="300"/>
        <w:jc w:val="left"/>
        <w:textAlignment w:val="auto"/>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联系方式：0998-8528786</w:t>
      </w:r>
    </w:p>
    <w:p>
      <w:pPr>
        <w:pStyle w:val="18"/>
        <w:keepNext w:val="0"/>
        <w:keepLines w:val="0"/>
        <w:widowControl/>
        <w:suppressLineNumbers w:val="0"/>
        <w:spacing w:before="75" w:beforeAutospacing="0" w:after="75" w:afterAutospacing="0"/>
        <w:ind w:left="0" w:right="0" w:firstLine="720" w:firstLineChars="3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pPr>
        <w:pStyle w:val="18"/>
        <w:keepNext w:val="0"/>
        <w:keepLines w:val="0"/>
        <w:widowControl/>
        <w:suppressLineNumbers w:val="0"/>
        <w:spacing w:before="75" w:beforeAutospacing="0" w:after="75" w:afterAutospacing="0"/>
        <w:ind w:left="0" w:right="0" w:firstLine="720" w:firstLineChars="30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项目联系人：王强</w:t>
      </w:r>
    </w:p>
    <w:p>
      <w:pPr>
        <w:pStyle w:val="18"/>
        <w:keepNext w:val="0"/>
        <w:keepLines w:val="0"/>
        <w:widowControl/>
        <w:suppressLineNumbers w:val="0"/>
        <w:spacing w:before="75" w:beforeAutospacing="0" w:after="75" w:afterAutospacing="0"/>
        <w:ind w:left="0" w:right="0" w:firstLine="720" w:firstLineChars="30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电 话：18097997586</w:t>
      </w:r>
    </w:p>
    <w:p>
      <w:pPr>
        <w:pStyle w:val="18"/>
        <w:keepNext w:val="0"/>
        <w:keepLines w:val="0"/>
        <w:widowControl/>
        <w:suppressLineNumbers w:val="0"/>
        <w:spacing w:before="75" w:beforeAutospacing="0" w:after="75" w:afterAutospacing="0"/>
        <w:ind w:left="0" w:right="0" w:firstLine="720" w:firstLineChars="30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4.同级政府采购监督管理部门</w:t>
      </w:r>
    </w:p>
    <w:p>
      <w:pPr>
        <w:pStyle w:val="18"/>
        <w:keepNext w:val="0"/>
        <w:keepLines w:val="0"/>
        <w:widowControl/>
        <w:suppressLineNumbers w:val="0"/>
        <w:spacing w:before="75" w:beforeAutospacing="0" w:after="75" w:afterAutospacing="0"/>
        <w:ind w:left="0" w:right="0" w:firstLine="720" w:firstLineChars="30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名称：莎车县财政局政府采购管理办公室 </w:t>
      </w:r>
    </w:p>
    <w:p>
      <w:pPr>
        <w:pStyle w:val="18"/>
        <w:keepNext w:val="0"/>
        <w:keepLines w:val="0"/>
        <w:widowControl/>
        <w:suppressLineNumbers w:val="0"/>
        <w:spacing w:before="75" w:beforeAutospacing="0" w:after="75" w:afterAutospacing="0"/>
        <w:ind w:left="0" w:right="0" w:firstLine="720" w:firstLineChars="30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联系人：丁洪      </w:t>
      </w:r>
    </w:p>
    <w:p>
      <w:pPr>
        <w:pStyle w:val="18"/>
        <w:keepNext w:val="0"/>
        <w:keepLines w:val="0"/>
        <w:widowControl/>
        <w:suppressLineNumbers w:val="0"/>
        <w:spacing w:before="75" w:beforeAutospacing="0" w:after="75" w:afterAutospacing="0"/>
        <w:ind w:left="0" w:right="0" w:firstLine="720" w:firstLineChars="300"/>
        <w:rPr>
          <w:rFonts w:hint="eastAsia" w:ascii="宋体" w:hAnsi="宋体" w:eastAsia="宋体" w:cs="宋体"/>
          <w:i w:val="0"/>
          <w:iCs w:val="0"/>
          <w:caps w:val="0"/>
          <w:color w:val="000000"/>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lang w:val="en-US" w:eastAsia="zh-CN" w:bidi="ar-SA"/>
        </w:rPr>
        <w:t xml:space="preserve">监督投诉电话：0998-8512578 </w:t>
      </w:r>
    </w:p>
    <w:p>
      <w:pPr>
        <w:rPr>
          <w:rFonts w:hint="eastAsia" w:ascii="宋体" w:hAnsi="宋体" w:eastAsia="宋体" w:cs="宋体"/>
          <w:i w:val="0"/>
          <w:iCs w:val="0"/>
          <w:caps w:val="0"/>
          <w:color w:val="000000"/>
          <w:spacing w:val="0"/>
          <w:kern w:val="2"/>
          <w:sz w:val="24"/>
          <w:szCs w:val="24"/>
          <w:lang w:val="en-US" w:eastAsia="zh-CN" w:bidi="ar-SA"/>
        </w:rPr>
      </w:pPr>
    </w:p>
    <w:p>
      <w:pPr>
        <w:pStyle w:val="16"/>
        <w:rPr>
          <w:rFonts w:hint="eastAsia" w:ascii="宋体" w:hAnsi="宋体" w:eastAsia="宋体" w:cs="宋体"/>
          <w:i w:val="0"/>
          <w:iCs w:val="0"/>
          <w:caps w:val="0"/>
          <w:color w:val="000000"/>
          <w:spacing w:val="0"/>
          <w:kern w:val="2"/>
          <w:sz w:val="24"/>
          <w:szCs w:val="24"/>
          <w:lang w:val="en-US" w:eastAsia="zh-CN" w:bidi="ar-SA"/>
        </w:rPr>
      </w:pPr>
    </w:p>
    <w:p>
      <w:pPr>
        <w:pStyle w:val="16"/>
        <w:rPr>
          <w:rFonts w:hint="eastAsia" w:ascii="宋体" w:hAnsi="宋体" w:eastAsia="宋体" w:cs="宋体"/>
          <w:i w:val="0"/>
          <w:iCs w:val="0"/>
          <w:caps w:val="0"/>
          <w:color w:val="000000"/>
          <w:spacing w:val="0"/>
          <w:kern w:val="2"/>
          <w:sz w:val="24"/>
          <w:szCs w:val="24"/>
          <w:lang w:val="en-US" w:eastAsia="zh-CN" w:bidi="ar-SA"/>
        </w:rPr>
      </w:pPr>
    </w:p>
    <w:p>
      <w:pPr>
        <w:pStyle w:val="16"/>
        <w:rPr>
          <w:rFonts w:hint="eastAsia" w:ascii="宋体" w:hAnsi="宋体" w:eastAsia="宋体" w:cs="宋体"/>
          <w:i w:val="0"/>
          <w:iCs w:val="0"/>
          <w:caps w:val="0"/>
          <w:color w:val="000000"/>
          <w:spacing w:val="0"/>
          <w:kern w:val="2"/>
          <w:sz w:val="24"/>
          <w:szCs w:val="24"/>
          <w:lang w:val="en-US" w:eastAsia="zh-CN" w:bidi="ar-SA"/>
        </w:rPr>
      </w:pPr>
    </w:p>
    <w:p>
      <w:pPr>
        <w:pStyle w:val="20"/>
        <w:ind w:left="0" w:leftChars="0" w:firstLine="0" w:firstLineChars="0"/>
        <w:rPr>
          <w:rFonts w:hint="eastAsia" w:ascii="宋体" w:hAnsi="宋体" w:eastAsia="宋体" w:cs="宋体"/>
          <w:color w:val="auto"/>
          <w:kern w:val="0"/>
          <w:sz w:val="21"/>
          <w:szCs w:val="21"/>
        </w:rPr>
      </w:pPr>
    </w:p>
    <w:p>
      <w:pPr>
        <w:pStyle w:val="3"/>
        <w:tabs>
          <w:tab w:val="left" w:pos="0"/>
        </w:tabs>
        <w:spacing w:before="0" w:after="0" w:line="240" w:lineRule="atLeast"/>
        <w:rPr>
          <w:rFonts w:hint="eastAsia" w:ascii="宋体" w:hAnsi="宋体" w:eastAsia="宋体" w:cs="宋体"/>
          <w:color w:val="auto"/>
          <w:szCs w:val="32"/>
        </w:rPr>
      </w:pPr>
      <w:bookmarkStart w:id="525" w:name="_Toc13821"/>
      <w:bookmarkStart w:id="526" w:name="_Toc5474"/>
      <w:bookmarkStart w:id="527" w:name="_Toc31762"/>
    </w:p>
    <w:p>
      <w:pPr>
        <w:pStyle w:val="3"/>
        <w:tabs>
          <w:tab w:val="left" w:pos="0"/>
        </w:tabs>
        <w:spacing w:before="0" w:after="0" w:line="240" w:lineRule="atLeast"/>
        <w:rPr>
          <w:rFonts w:hint="eastAsia" w:ascii="宋体" w:hAnsi="宋体" w:eastAsia="宋体" w:cs="宋体"/>
          <w:color w:val="auto"/>
          <w:szCs w:val="32"/>
        </w:rPr>
      </w:pPr>
    </w:p>
    <w:p>
      <w:pPr>
        <w:pStyle w:val="3"/>
        <w:tabs>
          <w:tab w:val="left" w:pos="0"/>
        </w:tabs>
        <w:spacing w:before="0" w:after="0" w:line="240" w:lineRule="atLeast"/>
        <w:rPr>
          <w:rFonts w:hint="eastAsia" w:ascii="宋体" w:hAnsi="宋体" w:eastAsia="宋体" w:cs="宋体"/>
          <w:color w:val="auto"/>
          <w:szCs w:val="32"/>
        </w:rPr>
      </w:pPr>
    </w:p>
    <w:p>
      <w:pPr>
        <w:pStyle w:val="3"/>
        <w:tabs>
          <w:tab w:val="left" w:pos="0"/>
        </w:tabs>
        <w:spacing w:before="0" w:after="0" w:line="240" w:lineRule="atLeast"/>
        <w:rPr>
          <w:rFonts w:hint="eastAsia" w:ascii="宋体" w:hAnsi="宋体" w:eastAsia="宋体" w:cs="宋体"/>
          <w:color w:val="auto"/>
          <w:szCs w:val="32"/>
        </w:rPr>
      </w:pPr>
    </w:p>
    <w:p>
      <w:pPr>
        <w:pStyle w:val="3"/>
        <w:tabs>
          <w:tab w:val="left" w:pos="0"/>
        </w:tabs>
        <w:spacing w:before="0" w:after="0" w:line="240" w:lineRule="atLeast"/>
        <w:rPr>
          <w:rFonts w:hint="eastAsia" w:ascii="宋体" w:hAnsi="宋体" w:eastAsia="宋体" w:cs="宋体"/>
          <w:color w:val="auto"/>
          <w:szCs w:val="32"/>
        </w:rPr>
      </w:pPr>
    </w:p>
    <w:p>
      <w:pPr>
        <w:pStyle w:val="3"/>
        <w:tabs>
          <w:tab w:val="left" w:pos="0"/>
        </w:tabs>
        <w:spacing w:before="0" w:after="0" w:line="240" w:lineRule="atLeast"/>
        <w:rPr>
          <w:rFonts w:hint="eastAsia" w:ascii="宋体" w:hAnsi="宋体" w:eastAsia="宋体" w:cs="宋体"/>
          <w:color w:val="auto"/>
          <w:szCs w:val="32"/>
        </w:rPr>
      </w:pPr>
    </w:p>
    <w:p>
      <w:pPr>
        <w:pStyle w:val="3"/>
        <w:tabs>
          <w:tab w:val="left" w:pos="0"/>
        </w:tabs>
        <w:spacing w:before="0" w:after="0" w:line="240" w:lineRule="atLeast"/>
        <w:rPr>
          <w:rFonts w:hint="eastAsia" w:ascii="宋体" w:hAnsi="宋体" w:eastAsia="宋体" w:cs="宋体"/>
          <w:color w:val="auto"/>
          <w:szCs w:val="32"/>
        </w:rPr>
      </w:pPr>
    </w:p>
    <w:p>
      <w:pPr>
        <w:pStyle w:val="3"/>
        <w:tabs>
          <w:tab w:val="left" w:pos="0"/>
        </w:tabs>
        <w:spacing w:before="0" w:after="0" w:line="240" w:lineRule="atLeast"/>
        <w:rPr>
          <w:rFonts w:hint="eastAsia" w:ascii="宋体" w:hAnsi="宋体" w:eastAsia="宋体" w:cs="宋体"/>
          <w:color w:val="auto"/>
          <w:szCs w:val="32"/>
        </w:rPr>
      </w:pPr>
    </w:p>
    <w:p>
      <w:pPr>
        <w:pStyle w:val="3"/>
        <w:tabs>
          <w:tab w:val="left" w:pos="0"/>
        </w:tabs>
        <w:spacing w:before="0" w:after="0" w:line="240" w:lineRule="atLeast"/>
        <w:rPr>
          <w:rFonts w:hint="eastAsia" w:ascii="宋体" w:hAnsi="宋体" w:eastAsia="宋体" w:cs="宋体"/>
          <w:color w:val="auto"/>
          <w:szCs w:val="32"/>
        </w:rPr>
      </w:pPr>
    </w:p>
    <w:p>
      <w:pPr>
        <w:pStyle w:val="3"/>
        <w:tabs>
          <w:tab w:val="left" w:pos="0"/>
        </w:tabs>
        <w:spacing w:before="0" w:after="0" w:line="240" w:lineRule="atLeast"/>
        <w:rPr>
          <w:rFonts w:hint="eastAsia" w:ascii="宋体" w:hAnsi="宋体" w:eastAsia="宋体" w:cs="宋体"/>
          <w:color w:val="auto"/>
          <w:szCs w:val="32"/>
        </w:rPr>
      </w:pPr>
    </w:p>
    <w:p>
      <w:pPr>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3"/>
        <w:tabs>
          <w:tab w:val="left" w:pos="0"/>
        </w:tabs>
        <w:spacing w:before="0" w:after="0" w:line="240" w:lineRule="auto"/>
        <w:jc w:val="both"/>
        <w:rPr>
          <w:rFonts w:hint="eastAsia" w:ascii="宋体" w:hAnsi="宋体" w:eastAsia="宋体" w:cs="宋体"/>
          <w:color w:val="auto"/>
          <w:szCs w:val="32"/>
        </w:rPr>
      </w:pPr>
    </w:p>
    <w:p>
      <w:pPr>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20"/>
        <w:rPr>
          <w:rFonts w:hint="eastAsia" w:ascii="宋体" w:hAnsi="宋体" w:eastAsia="宋体" w:cs="宋体"/>
          <w:color w:val="auto"/>
          <w:szCs w:val="32"/>
        </w:rPr>
      </w:pPr>
    </w:p>
    <w:p>
      <w:pPr>
        <w:pStyle w:val="3"/>
        <w:tabs>
          <w:tab w:val="left" w:pos="0"/>
        </w:tabs>
        <w:spacing w:before="0" w:after="0" w:line="240" w:lineRule="auto"/>
        <w:rPr>
          <w:rFonts w:hint="eastAsia" w:ascii="宋体" w:hAnsi="宋体" w:eastAsia="宋体" w:cs="宋体"/>
          <w:color w:val="auto"/>
          <w:szCs w:val="32"/>
        </w:rPr>
      </w:pPr>
      <w:r>
        <w:rPr>
          <w:rFonts w:hint="eastAsia" w:ascii="宋体" w:hAnsi="宋体" w:eastAsia="宋体" w:cs="宋体"/>
          <w:color w:val="auto"/>
          <w:szCs w:val="32"/>
        </w:rPr>
        <w:t>第4章 供应商须知资料表</w:t>
      </w:r>
      <w:bookmarkEnd w:id="510"/>
      <w:bookmarkEnd w:id="511"/>
      <w:bookmarkEnd w:id="512"/>
      <w:bookmarkEnd w:id="513"/>
      <w:bookmarkEnd w:id="514"/>
      <w:bookmarkEnd w:id="515"/>
      <w:bookmarkEnd w:id="525"/>
      <w:bookmarkEnd w:id="526"/>
      <w:bookmarkEnd w:id="527"/>
    </w:p>
    <w:p>
      <w:pPr>
        <w:spacing w:line="24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 xml:space="preserve"> 本表是本招标项目的具体资料，是对供应商须知的具体补充和修改，如有矛盾，应以本资料表为准。</w:t>
      </w:r>
    </w:p>
    <w:tbl>
      <w:tblPr>
        <w:tblStyle w:val="21"/>
        <w:tblW w:w="92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4"/>
        <w:gridCol w:w="8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904" w:type="dxa"/>
            <w:vAlign w:val="center"/>
          </w:tcPr>
          <w:p>
            <w:pPr>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条款号</w:t>
            </w:r>
          </w:p>
        </w:tc>
        <w:tc>
          <w:tcPr>
            <w:tcW w:w="8363" w:type="dxa"/>
            <w:vAlign w:val="center"/>
          </w:tcPr>
          <w:p>
            <w:pPr>
              <w:spacing w:line="240" w:lineRule="auto"/>
              <w:ind w:left="1080" w:leftChars="257" w:hanging="540"/>
              <w:rPr>
                <w:rFonts w:hint="eastAsia" w:ascii="宋体" w:hAnsi="宋体" w:eastAsia="宋体" w:cs="宋体"/>
                <w:b/>
                <w:color w:val="auto"/>
                <w:sz w:val="24"/>
              </w:rPr>
            </w:pPr>
            <w:r>
              <w:rPr>
                <w:rFonts w:hint="eastAsia" w:ascii="宋体" w:hAnsi="宋体" w:eastAsia="宋体" w:cs="宋体"/>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jc w:val="center"/>
        </w:trPr>
        <w:tc>
          <w:tcPr>
            <w:tcW w:w="904" w:type="dxa"/>
            <w:vAlign w:val="center"/>
          </w:tcPr>
          <w:p>
            <w:pPr>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8363" w:type="dxa"/>
            <w:vAlign w:val="center"/>
          </w:tcPr>
          <w:p>
            <w:pPr>
              <w:spacing w:line="240" w:lineRule="auto"/>
              <w:rPr>
                <w:rFonts w:hint="eastAsia" w:ascii="宋体" w:hAnsi="宋体" w:eastAsia="宋体" w:cs="宋体"/>
                <w:color w:val="auto"/>
                <w:sz w:val="24"/>
                <w:lang w:val="en-US" w:eastAsia="zh-CN"/>
              </w:rPr>
            </w:pPr>
            <w:r>
              <w:rPr>
                <w:rFonts w:hint="eastAsia" w:ascii="宋体" w:hAnsi="宋体" w:eastAsia="宋体" w:cs="宋体"/>
                <w:color w:val="auto"/>
                <w:sz w:val="24"/>
              </w:rPr>
              <w:t>采购单位</w:t>
            </w:r>
            <w:r>
              <w:rPr>
                <w:rFonts w:hint="eastAsia" w:ascii="宋体" w:hAnsi="宋体" w:eastAsia="宋体" w:cs="宋体"/>
                <w:color w:val="auto"/>
                <w:sz w:val="24"/>
                <w:lang w:eastAsia="zh-CN"/>
              </w:rPr>
              <w:t>：</w:t>
            </w:r>
            <w:r>
              <w:rPr>
                <w:rFonts w:hint="eastAsia" w:ascii="宋体" w:hAnsi="宋体" w:eastAsia="宋体" w:cs="宋体"/>
                <w:i w:val="0"/>
                <w:iCs w:val="0"/>
                <w:caps w:val="0"/>
                <w:color w:val="000000"/>
                <w:spacing w:val="0"/>
                <w:sz w:val="24"/>
                <w:szCs w:val="24"/>
                <w:lang w:eastAsia="zh-CN"/>
              </w:rPr>
              <w:t>莎车县市场监督管理局</w:t>
            </w:r>
          </w:p>
          <w:p>
            <w:pPr>
              <w:pStyle w:val="18"/>
              <w:widowControl/>
              <w:spacing w:line="240" w:lineRule="auto"/>
              <w:jc w:val="left"/>
              <w:rPr>
                <w:rFonts w:hint="eastAsia" w:ascii="宋体" w:hAnsi="宋体" w:eastAsia="宋体" w:cs="宋体"/>
                <w:color w:val="auto"/>
                <w:lang w:val="en-US"/>
              </w:rPr>
            </w:pPr>
            <w:r>
              <w:rPr>
                <w:rFonts w:hint="eastAsia" w:ascii="宋体" w:hAnsi="宋体" w:eastAsia="宋体" w:cs="宋体"/>
                <w:color w:val="auto"/>
                <w:kern w:val="0"/>
              </w:rPr>
              <w:t>联 系 人：</w:t>
            </w:r>
            <w:r>
              <w:rPr>
                <w:rFonts w:hint="eastAsia" w:ascii="宋体" w:hAnsi="宋体" w:eastAsia="宋体" w:cs="宋体"/>
                <w:color w:val="auto"/>
                <w:kern w:val="0"/>
                <w:lang w:eastAsia="zh-CN"/>
              </w:rPr>
              <w:t>唐丹萍</w:t>
            </w:r>
            <w:r>
              <w:rPr>
                <w:rFonts w:hint="eastAsia" w:ascii="宋体" w:hAnsi="宋体" w:eastAsia="宋体" w:cs="宋体"/>
                <w:color w:val="auto"/>
                <w:kern w:val="0"/>
                <w:u w:val="none"/>
              </w:rPr>
              <w:t xml:space="preserve">  </w:t>
            </w:r>
            <w:r>
              <w:rPr>
                <w:rFonts w:hint="eastAsia" w:ascii="宋体" w:hAnsi="宋体" w:eastAsia="宋体" w:cs="宋体"/>
                <w:color w:val="auto"/>
                <w:kern w:val="0"/>
              </w:rPr>
              <w:t>电话：</w:t>
            </w:r>
            <w:r>
              <w:rPr>
                <w:rFonts w:hint="eastAsia" w:ascii="宋体" w:hAnsi="宋体" w:eastAsia="宋体" w:cs="宋体"/>
                <w:color w:val="000000"/>
                <w:kern w:val="0"/>
                <w:sz w:val="24"/>
                <w:szCs w:val="24"/>
                <w:lang w:eastAsia="zh-CN"/>
              </w:rPr>
              <w:t>0998-8516994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904" w:type="dxa"/>
            <w:vAlign w:val="center"/>
          </w:tcPr>
          <w:p>
            <w:pPr>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8363" w:type="dxa"/>
            <w:vAlign w:val="center"/>
          </w:tcPr>
          <w:p>
            <w:pPr>
              <w:spacing w:line="24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采购代理机构：新疆西部疆南招标代理有限公司</w:t>
            </w:r>
          </w:p>
          <w:p>
            <w:pPr>
              <w:spacing w:line="24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 址：新疆莎车县城南新区绿地八方城B-2-2113</w:t>
            </w:r>
          </w:p>
          <w:p>
            <w:pPr>
              <w:spacing w:line="240" w:lineRule="auto"/>
              <w:rPr>
                <w:rFonts w:hint="eastAsia" w:ascii="宋体" w:hAnsi="宋体" w:eastAsia="宋体" w:cs="宋体"/>
                <w:color w:val="auto"/>
                <w:sz w:val="24"/>
              </w:rPr>
            </w:pPr>
            <w:r>
              <w:rPr>
                <w:rFonts w:hint="eastAsia" w:ascii="宋体" w:hAnsi="宋体" w:eastAsia="宋体" w:cs="宋体"/>
                <w:color w:val="auto"/>
                <w:sz w:val="24"/>
                <w:lang w:val="en-US" w:eastAsia="zh-CN"/>
              </w:rPr>
              <w:t>业务联系人：王强    联系方式：18097997586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904" w:type="dxa"/>
            <w:vAlign w:val="center"/>
          </w:tcPr>
          <w:p>
            <w:pPr>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1.3.4</w:t>
            </w:r>
          </w:p>
        </w:tc>
        <w:tc>
          <w:tcPr>
            <w:tcW w:w="8363" w:type="dxa"/>
            <w:vAlign w:val="center"/>
          </w:tcPr>
          <w:p>
            <w:pPr>
              <w:pStyle w:val="7"/>
              <w:spacing w:line="240" w:lineRule="auto"/>
              <w:rPr>
                <w:rFonts w:hint="eastAsia" w:ascii="宋体" w:hAnsi="宋体" w:eastAsia="宋体" w:cs="宋体"/>
                <w:lang w:val="en-US" w:eastAsia="zh-CN"/>
              </w:rPr>
            </w:pPr>
            <w:r>
              <w:rPr>
                <w:rFonts w:hint="eastAsia" w:ascii="宋体" w:hAnsi="宋体" w:eastAsia="宋体" w:cs="宋体"/>
                <w:b/>
                <w:bCs/>
                <w:color w:val="auto"/>
                <w:kern w:val="0"/>
                <w:sz w:val="24"/>
              </w:rPr>
              <w:t>合格供应商的资格要求：</w:t>
            </w:r>
          </w:p>
          <w:p>
            <w:pPr>
              <w:widowControl/>
              <w:numPr>
                <w:ilvl w:val="0"/>
                <w:numId w:val="7"/>
              </w:numPr>
              <w:spacing w:line="240" w:lineRule="auto"/>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 xml:space="preserve">投标人必须符合《中华人民共和国政府采购法》第二十二条的相关规定； </w:t>
            </w:r>
            <w:r>
              <w:rPr>
                <w:rFonts w:hint="eastAsia" w:ascii="宋体" w:hAnsi="宋体" w:eastAsia="宋体" w:cs="宋体"/>
                <w:b/>
                <w:bCs/>
                <w:color w:val="auto"/>
                <w:sz w:val="24"/>
                <w:lang w:val="en-US" w:eastAsia="zh-CN"/>
              </w:rPr>
              <w:br w:type="textWrapping"/>
            </w:r>
            <w:r>
              <w:rPr>
                <w:rFonts w:hint="eastAsia" w:ascii="宋体" w:hAnsi="宋体" w:eastAsia="宋体" w:cs="宋体"/>
                <w:b/>
                <w:bCs/>
                <w:color w:val="auto"/>
                <w:sz w:val="24"/>
                <w:lang w:val="en-US" w:eastAsia="zh-CN"/>
              </w:rPr>
              <w:t>2.具有独立承担民事责任的能力；</w:t>
            </w:r>
            <w:r>
              <w:rPr>
                <w:rFonts w:hint="eastAsia" w:ascii="宋体" w:hAnsi="宋体" w:eastAsia="宋体" w:cs="宋体"/>
                <w:b/>
                <w:bCs/>
                <w:color w:val="auto"/>
                <w:sz w:val="24"/>
                <w:lang w:val="en-US" w:eastAsia="zh-CN"/>
              </w:rPr>
              <w:br w:type="textWrapping"/>
            </w:r>
            <w:r>
              <w:rPr>
                <w:rFonts w:hint="eastAsia" w:ascii="宋体" w:hAnsi="宋体" w:eastAsia="宋体" w:cs="宋体"/>
                <w:b/>
                <w:bCs/>
                <w:color w:val="auto"/>
                <w:sz w:val="24"/>
                <w:lang w:val="en-US" w:eastAsia="zh-CN"/>
              </w:rPr>
              <w:t>3.法人身份证明或法人授权委托书和被授权人身份有效证件；授权委托人近4个月缴纳社保证明（社保缴费凭证和个人明细表）</w:t>
            </w:r>
            <w:r>
              <w:rPr>
                <w:rFonts w:hint="eastAsia" w:ascii="宋体" w:hAnsi="宋体" w:eastAsia="宋体" w:cs="宋体"/>
                <w:b/>
                <w:bCs/>
                <w:color w:val="auto"/>
                <w:sz w:val="24"/>
                <w:lang w:val="en-US" w:eastAsia="zh-CN"/>
              </w:rPr>
              <w:br w:type="textWrapping"/>
            </w:r>
            <w:r>
              <w:rPr>
                <w:rFonts w:hint="eastAsia" w:ascii="宋体" w:hAnsi="宋体" w:eastAsia="宋体" w:cs="宋体"/>
                <w:b/>
                <w:bCs/>
                <w:color w:val="auto"/>
                <w:sz w:val="24"/>
                <w:lang w:val="en-US" w:eastAsia="zh-CN"/>
              </w:rPr>
              <w:t>4.提供会计事务所出具的2022年度财务审计报告书原件或影印件；新办企业提供银行资信证明）；</w:t>
            </w:r>
            <w:r>
              <w:rPr>
                <w:rFonts w:hint="eastAsia" w:ascii="宋体" w:hAnsi="宋体" w:eastAsia="宋体" w:cs="宋体"/>
                <w:b/>
                <w:bCs/>
                <w:color w:val="auto"/>
                <w:sz w:val="24"/>
                <w:lang w:val="en-US" w:eastAsia="zh-CN"/>
              </w:rPr>
              <w:br w:type="textWrapping"/>
            </w:r>
            <w:r>
              <w:rPr>
                <w:rFonts w:hint="eastAsia" w:ascii="宋体" w:hAnsi="宋体" w:eastAsia="宋体" w:cs="宋体"/>
                <w:b/>
                <w:bCs/>
                <w:color w:val="auto"/>
                <w:sz w:val="24"/>
                <w:lang w:val="en-US" w:eastAsia="zh-CN"/>
              </w:rPr>
              <w:t>5.税务部门出具的近四个月的完税证明（或由税务局出具的无拖欠税收证明，零申报需加盖税务机关鲜章）；</w:t>
            </w:r>
            <w:r>
              <w:rPr>
                <w:rFonts w:hint="eastAsia" w:ascii="宋体" w:hAnsi="宋体" w:eastAsia="宋体" w:cs="宋体"/>
                <w:b/>
                <w:bCs/>
                <w:color w:val="auto"/>
                <w:sz w:val="24"/>
                <w:lang w:val="en-US" w:eastAsia="zh-CN"/>
              </w:rPr>
              <w:br w:type="textWrapping"/>
            </w:r>
            <w:r>
              <w:rPr>
                <w:rFonts w:hint="eastAsia" w:ascii="宋体" w:hAnsi="宋体" w:eastAsia="宋体" w:cs="宋体"/>
                <w:b/>
                <w:bCs/>
                <w:color w:val="auto"/>
                <w:sz w:val="24"/>
                <w:lang w:val="en-US" w:eastAsia="zh-CN"/>
              </w:rPr>
              <w:t>6.投标人必须提供“信用中国”网站（www.creditchina.gov.cn）、中国政府采购网（www.ccgp.gov.cn）渠道信用记录失信执行人、重大税收违法案件当事人名单、政府采购严重违法失信行为记录名单的投标人，（提供查询结果网页截图并加盖供应商公章）；</w:t>
            </w:r>
            <w:r>
              <w:rPr>
                <w:rFonts w:hint="eastAsia" w:ascii="宋体" w:hAnsi="宋体" w:eastAsia="宋体" w:cs="宋体"/>
                <w:b/>
                <w:bCs/>
                <w:color w:val="auto"/>
                <w:sz w:val="24"/>
                <w:lang w:val="en-US" w:eastAsia="zh-CN"/>
              </w:rPr>
              <w:br w:type="textWrapping"/>
            </w:r>
            <w:r>
              <w:rPr>
                <w:rFonts w:hint="eastAsia" w:ascii="宋体" w:hAnsi="宋体" w:eastAsia="宋体" w:cs="宋体"/>
                <w:b/>
                <w:bCs/>
                <w:color w:val="auto"/>
                <w:sz w:val="24"/>
                <w:lang w:val="en-US" w:eastAsia="zh-CN"/>
              </w:rPr>
              <w:t>7.参加政府采购活动前三年内，在经营活动中没有重大违法记录声明；（自拟）投标单位（供应商）提供针对本次采购项目的《反商业贿赂承诺书》；</w:t>
            </w:r>
          </w:p>
          <w:p>
            <w:pPr>
              <w:widowControl/>
              <w:numPr>
                <w:ilvl w:val="0"/>
                <w:numId w:val="8"/>
              </w:numPr>
              <w:spacing w:line="240" w:lineRule="auto"/>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投标人具备检验检测机构资质认定证书（CMA）且CMA资质认定证书附表的相关内容，附表内容必须完全涵盖所投包组的所有待检类别及检验项目</w:t>
            </w:r>
          </w:p>
          <w:p>
            <w:pPr>
              <w:widowControl/>
              <w:numPr>
                <w:ilvl w:val="0"/>
                <w:numId w:val="8"/>
              </w:numPr>
              <w:spacing w:line="240" w:lineRule="auto"/>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投标保证金缴纳证明；</w:t>
            </w:r>
          </w:p>
          <w:p>
            <w:pPr>
              <w:widowControl/>
              <w:spacing w:line="240" w:lineRule="auto"/>
              <w:jc w:val="left"/>
              <w:rPr>
                <w:rFonts w:hint="eastAsia" w:ascii="宋体" w:hAnsi="宋体" w:eastAsia="宋体" w:cs="宋体"/>
                <w:color w:val="auto"/>
                <w:sz w:val="24"/>
              </w:rPr>
            </w:pPr>
            <w:r>
              <w:rPr>
                <w:rFonts w:hint="eastAsia" w:ascii="宋体" w:hAnsi="宋体" w:eastAsia="宋体" w:cs="宋体"/>
                <w:b/>
                <w:bCs/>
                <w:color w:val="auto"/>
                <w:sz w:val="24"/>
              </w:rPr>
              <w:t>提示：上述资质开标现场能够通过官方网络查证的，均视为合格供应商。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1.3.5</w:t>
            </w:r>
          </w:p>
        </w:tc>
        <w:tc>
          <w:tcPr>
            <w:tcW w:w="8363"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是否允许采购进口产品：</w:t>
            </w:r>
            <w:r>
              <w:rPr>
                <w:rFonts w:hint="eastAsia" w:ascii="宋体" w:hAnsi="宋体" w:eastAsia="宋体" w:cs="宋体"/>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1.3.6</w:t>
            </w:r>
          </w:p>
        </w:tc>
        <w:tc>
          <w:tcPr>
            <w:tcW w:w="8363"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是否为专门面向中小企业采购：</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否</w:t>
            </w:r>
            <w:r>
              <w:rPr>
                <w:rFonts w:hint="eastAsia" w:ascii="宋体" w:hAnsi="宋体" w:eastAsia="宋体" w:cs="宋体"/>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8363"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是否允许联合体磋商：</w:t>
            </w:r>
            <w:r>
              <w:rPr>
                <w:rFonts w:hint="eastAsia" w:ascii="宋体" w:hAnsi="宋体" w:eastAsia="宋体" w:cs="宋体"/>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1.4.8</w:t>
            </w:r>
          </w:p>
        </w:tc>
        <w:tc>
          <w:tcPr>
            <w:tcW w:w="8363" w:type="dxa"/>
            <w:vAlign w:val="center"/>
          </w:tcPr>
          <w:p>
            <w:pPr>
              <w:spacing w:line="240" w:lineRule="atLeast"/>
              <w:rPr>
                <w:rFonts w:hint="eastAsia" w:ascii="宋体" w:hAnsi="宋体" w:eastAsia="宋体" w:cs="宋体"/>
                <w:color w:val="auto"/>
                <w:sz w:val="24"/>
              </w:rPr>
            </w:pPr>
            <w:r>
              <w:rPr>
                <w:rFonts w:hint="eastAsia" w:ascii="宋体" w:hAnsi="宋体" w:eastAsia="宋体" w:cs="宋体"/>
                <w:color w:val="auto"/>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8363" w:type="dxa"/>
            <w:vAlign w:val="center"/>
          </w:tcPr>
          <w:p>
            <w:pPr>
              <w:pStyle w:val="5"/>
              <w:spacing w:line="400" w:lineRule="exact"/>
              <w:ind w:firstLine="0"/>
              <w:rPr>
                <w:rFonts w:hint="eastAsia" w:ascii="宋体" w:hAnsi="宋体" w:eastAsia="宋体" w:cs="宋体"/>
                <w:color w:val="auto"/>
                <w:szCs w:val="24"/>
              </w:rPr>
            </w:pPr>
            <w:r>
              <w:rPr>
                <w:rFonts w:hint="eastAsia" w:ascii="宋体" w:hAnsi="宋体" w:eastAsia="宋体" w:cs="宋体"/>
                <w:b/>
                <w:bCs/>
                <w:color w:val="auto"/>
                <w:kern w:val="2"/>
                <w:szCs w:val="24"/>
              </w:rPr>
              <w:t>项目预算金额：</w:t>
            </w:r>
            <w:r>
              <w:rPr>
                <w:rFonts w:hint="eastAsia" w:ascii="宋体" w:hAnsi="宋体" w:eastAsia="宋体" w:cs="宋体"/>
                <w:b/>
                <w:bCs/>
                <w:color w:val="auto"/>
                <w:kern w:val="2"/>
                <w:szCs w:val="24"/>
                <w:lang w:val="en-US" w:eastAsia="zh-CN"/>
              </w:rPr>
              <w:t>121.77万元</w:t>
            </w:r>
            <w:r>
              <w:rPr>
                <w:rFonts w:hint="eastAsia" w:ascii="宋体" w:hAnsi="宋体" w:eastAsia="宋体" w:cs="宋体"/>
                <w:b/>
                <w:bCs/>
                <w:color w:val="auto"/>
                <w:kern w:val="2"/>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12.1</w:t>
            </w:r>
          </w:p>
        </w:tc>
        <w:tc>
          <w:tcPr>
            <w:tcW w:w="8363" w:type="dxa"/>
            <w:vAlign w:val="center"/>
          </w:tcPr>
          <w:p>
            <w:pPr>
              <w:spacing w:line="480" w:lineRule="exact"/>
              <w:ind w:left="600" w:hanging="600" w:hangingChars="250"/>
              <w:rPr>
                <w:rFonts w:hint="eastAsia" w:ascii="宋体" w:hAnsi="宋体" w:eastAsia="宋体" w:cs="宋体"/>
                <w:sz w:val="24"/>
                <w:szCs w:val="24"/>
                <w:u w:val="single"/>
              </w:rPr>
            </w:pPr>
            <w:r>
              <w:rPr>
                <w:rFonts w:hint="eastAsia" w:ascii="宋体" w:hAnsi="宋体" w:eastAsia="宋体" w:cs="宋体"/>
                <w:sz w:val="24"/>
                <w:szCs w:val="24"/>
                <w:u w:val="single"/>
              </w:rPr>
              <w:t>保证金形式：</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保函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电汇  □支票</w:t>
            </w:r>
            <w:r>
              <w:rPr>
                <w:rFonts w:hint="eastAsia" w:ascii="宋体" w:hAnsi="宋体" w:eastAsia="宋体" w:cs="宋体"/>
                <w:sz w:val="24"/>
                <w:szCs w:val="24"/>
                <w:lang w:eastAsia="zh-CN"/>
              </w:rPr>
              <w:t>☑</w:t>
            </w:r>
            <w:r>
              <w:rPr>
                <w:rFonts w:hint="eastAsia" w:ascii="宋体" w:hAnsi="宋体" w:eastAsia="宋体" w:cs="宋体"/>
                <w:sz w:val="24"/>
                <w:szCs w:val="24"/>
                <w:u w:val="single"/>
              </w:rPr>
              <w:t>企业账户网银汇款</w:t>
            </w:r>
            <w:r>
              <w:rPr>
                <w:rFonts w:hint="eastAsia" w:ascii="宋体" w:hAnsi="宋体" w:eastAsia="宋体" w:cs="宋体"/>
                <w:i/>
                <w:sz w:val="24"/>
                <w:szCs w:val="24"/>
              </w:rPr>
              <w:t xml:space="preserve"> </w:t>
            </w:r>
          </w:p>
          <w:p>
            <w:pPr>
              <w:rPr>
                <w:rFonts w:hint="eastAsia" w:ascii="宋体" w:hAnsi="宋体" w:eastAsia="宋体" w:cs="宋体"/>
                <w:b/>
                <w:color w:val="auto"/>
                <w:sz w:val="24"/>
                <w:szCs w:val="24"/>
              </w:rPr>
            </w:pPr>
            <w:r>
              <w:rPr>
                <w:rFonts w:hint="eastAsia" w:ascii="宋体" w:hAnsi="宋体" w:eastAsia="宋体" w:cs="宋体"/>
                <w:b/>
                <w:bCs/>
                <w:color w:val="auto"/>
                <w:sz w:val="24"/>
                <w:szCs w:val="24"/>
              </w:rPr>
              <w:t>小写：</w:t>
            </w:r>
            <w:r>
              <w:rPr>
                <w:rFonts w:hint="eastAsia" w:ascii="宋体" w:hAnsi="宋体" w:eastAsia="宋体" w:cs="宋体"/>
                <w:b/>
                <w:bCs/>
                <w:color w:val="auto"/>
                <w:sz w:val="24"/>
                <w:szCs w:val="24"/>
                <w:lang w:val="en-US" w:eastAsia="zh-CN"/>
              </w:rPr>
              <w:t>24000.00</w:t>
            </w:r>
            <w:r>
              <w:rPr>
                <w:rFonts w:hint="eastAsia" w:ascii="宋体" w:hAnsi="宋体" w:eastAsia="宋体" w:cs="宋体"/>
                <w:b/>
                <w:bCs/>
                <w:color w:val="auto"/>
                <w:sz w:val="24"/>
                <w:szCs w:val="24"/>
              </w:rPr>
              <w:t>元(大写：</w:t>
            </w:r>
            <w:r>
              <w:rPr>
                <w:rFonts w:hint="eastAsia" w:ascii="宋体" w:hAnsi="宋体" w:eastAsia="宋体" w:cs="宋体"/>
                <w:b/>
                <w:bCs/>
                <w:color w:val="auto"/>
                <w:sz w:val="24"/>
                <w:szCs w:val="24"/>
                <w:lang w:eastAsia="zh-CN"/>
              </w:rPr>
              <w:t>贰万肆仟元整</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保证金收款人：</w:t>
            </w:r>
            <w:r>
              <w:rPr>
                <w:rFonts w:hint="eastAsia" w:ascii="宋体" w:hAnsi="宋体" w:eastAsia="宋体" w:cs="宋体"/>
                <w:sz w:val="24"/>
                <w:szCs w:val="24"/>
                <w:lang w:val="en-US" w:eastAsia="zh-CN"/>
              </w:rPr>
              <w:t>新疆西部疆南招标代理有限公司</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账户名：新疆西部疆南招标代理有限公司</w:t>
            </w:r>
          </w:p>
          <w:p>
            <w:pPr>
              <w:spacing w:line="240" w:lineRule="atLeas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纳税人识别号：91653125MA78JMDU9R</w:t>
            </w:r>
          </w:p>
          <w:p>
            <w:pPr>
              <w:spacing w:line="240" w:lineRule="atLeas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开户银行：:中国建设银行股份有限公司莎车支行</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账号：65050174638600001283</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　王强 　 电话：18097997586</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备注：1、打款时注明投标保证金项目名称或项目编号。</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缴纳截止时间（以保证金到达代理公司账户为准）为投标截止时间之前，收到从投标人基本账户以银行电汇形式交纳入代理公司账户，并备注投标保证金项目名称或项目编号，保证金收据复印件放入投标文件中（原件单独放置，资格审查时一并提交）。</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3、投标人提交投标保证金应充分考虑资金在途时间及换取投标</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保证金收据的时间。投标供应商凭银行凭据原件换取投标保证金收据，投标人在递交投标文件时，同时提供投标保证金收据，缴纳投标保证金后取得投标资格不得转让。到账截止时间：2023年4</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:00前</w:t>
            </w:r>
            <w:r>
              <w:rPr>
                <w:rFonts w:hint="eastAsia" w:ascii="宋体" w:hAnsi="宋体" w:eastAsia="宋体" w:cs="宋体"/>
                <w:sz w:val="24"/>
                <w:szCs w:val="24"/>
                <w:lang w:val="en-US" w:eastAsia="zh-CN"/>
              </w:rPr>
              <w:t>。</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注：莎车县最新的保函机构：</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所有政府采购项目的信用担保专业的担保机构</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莎车县宏远融资担保有限责任公司 </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联系人：张敏霞   联系电话：19990886689</w:t>
            </w:r>
          </w:p>
          <w:p>
            <w:pPr>
              <w:spacing w:line="240" w:lineRule="atLeas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地址：莎车县新城路16号</w:t>
            </w:r>
          </w:p>
          <w:p>
            <w:pPr>
              <w:spacing w:line="240" w:lineRule="atLeast"/>
              <w:rPr>
                <w:rFonts w:hint="eastAsia" w:ascii="宋体" w:hAnsi="宋体" w:eastAsia="宋体" w:cs="宋体"/>
                <w:color w:val="auto"/>
                <w:sz w:val="24"/>
                <w:szCs w:val="24"/>
              </w:rPr>
            </w:pPr>
            <w:r>
              <w:rPr>
                <w:rFonts w:hint="eastAsia" w:ascii="宋体" w:hAnsi="宋体" w:eastAsia="宋体" w:cs="宋体"/>
                <w:sz w:val="24"/>
                <w:szCs w:val="24"/>
                <w:lang w:val="en-US" w:eastAsia="zh-CN"/>
              </w:rPr>
              <w:t>邮箱：3119698907@qq.com“以上担保机构只是给投标商多一个选择，最终选择哪个机构由投标单位自己决定，不论选择哪个合法的担保机构，不影响正常项目投标。”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13.1</w:t>
            </w:r>
          </w:p>
        </w:tc>
        <w:tc>
          <w:tcPr>
            <w:tcW w:w="8363" w:type="dxa"/>
            <w:vAlign w:val="center"/>
          </w:tcPr>
          <w:p>
            <w:pPr>
              <w:spacing w:line="240" w:lineRule="atLeast"/>
              <w:rPr>
                <w:rFonts w:hint="eastAsia" w:ascii="宋体" w:hAnsi="宋体" w:eastAsia="宋体" w:cs="宋体"/>
                <w:color w:val="auto"/>
                <w:sz w:val="24"/>
                <w:szCs w:val="24"/>
                <w:u w:val="single"/>
              </w:rPr>
            </w:pPr>
            <w:r>
              <w:rPr>
                <w:rFonts w:hint="eastAsia" w:ascii="宋体" w:hAnsi="宋体" w:eastAsia="宋体" w:cs="宋体"/>
                <w:color w:val="auto"/>
                <w:sz w:val="24"/>
                <w:szCs w:val="24"/>
              </w:rPr>
              <w:t>磋商有效期：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0　</w:t>
            </w:r>
            <w:r>
              <w:rPr>
                <w:rFonts w:hint="eastAsia" w:ascii="宋体" w:hAnsi="宋体" w:eastAsia="宋体" w:cs="宋体"/>
                <w:color w:val="auto"/>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904" w:type="dxa"/>
            <w:vAlign w:val="center"/>
          </w:tcPr>
          <w:p>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14.1</w:t>
            </w:r>
          </w:p>
        </w:tc>
        <w:tc>
          <w:tcPr>
            <w:tcW w:w="8363" w:type="dxa"/>
            <w:vAlign w:val="center"/>
          </w:tcPr>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(2)本项目实行网上投标，采用电子投标文件(供应商须使用CA加密设备通过政采云电子投标客户端制作投标文件)。若供应商参与投标，自行承担投标一切费用。</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(3)各供应商应在开标前应确保成为新疆政府采购网正式注册入库供应 商，并完成CA数字证书申领。因未注册入库、未办理CA数字证书等原因造成无法投标或投标失败等后果由供应商自行承担。</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(4)供应商将政采云电子交易客户端下载、安装完成后 ，可通过账号密码或CA登录客户端进行投标文件制作。在使用政采云投标客户端时，建议使用WIN7及以上操作系统。客户端请至新疆政府采购网( </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"http://www.ccgp-xinjiang.gov.cn/"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http://www.ccgp-xinjiang.gov.cn/</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)下载专区查看，如有问题可拨打政采云客户服务热线 400-881-7190 进行咨询。</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(5)供应商在开标时须使用制作加密电子投标文件所使用的CA锁及电  脑，电脑须提前配置好浏览器 (建议使用谷歌浏览器)，以便开标时解锁。</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(6)投标保证金缴纳及确认时间：凡拟参加本次招标项目的供应商，必须在开标前将投标保证金汇入指定账户。投标保证金汇款凭证上用途栏应 注明:招标项目名称+标项号+投标保证金。否则，届时其投标将被拒绝。 </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(7)供应商对不见面开评标系统的技术操作咨询，可通过</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"https://edu.zcygov.cn/luban/xinjiang-e-biding"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https://edu.zcygov.cn/luban/xinjiang-e-biding</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 xml:space="preserve">自助查询，也可在政采云帮助中心常见问题解答和操作流程讲解视频中自助查询，网址为： </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"https://service.zcygov.cn/" \l "/help"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https://service.zcygov.cn/#/help</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 xml:space="preserve"> ，“项目采购”—“操作流程-电子招投标”—“政府采购项目电子交易管理操作指南-供应商”版面获取操作指南，同时对自助查询无法解决的问题可通过钉钉群及政采云在线客服 获取服务支持。供应商钉钉群号：政采云新疆供应商服务1号群：</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30349928 (如已加入1-11群，无需重复加入，十一个群联动直播) ，钉钉工具软件具有回放功能，直播培训结束后可在钉钉群中回放观看学习。</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(8)各供应商须在投标截止时间前完成在系统上递交电子投标文件。投标供应商的电子投标文件是经过CA证书加密后上传提交的，任何单位或个人均无法在投标截止时间(即开标时间)之前查看或篡改，不存在泄密风 险。(严格按照政采云电子投标流程制作并上传电子投标文件)</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各供应商在投标截止时间前将“投标文件”上传至政采云平台。投标文件包括“开标一览表表及资格证明文件”与“商务及技术文件”两部分合并成一册。投标文件应按照磋商文件规定的格式填写、签署和盖章，并以.jmbs格式上传至政采云开评标平台。   </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(10)所有投标供应商应在中标公告公示期结束后2个工作日内将纸质版投标文件邮寄至代理机构备案，纸质版投标文件包括“开标一览表表及 资格证明文件”和“商务及技术文件”两部分，两部分合订成一册递交。(邮寄标书事项会影响退还投标保证金)</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递交数量：正本：壹份、副本：叁份；电子文档1份(以正本为准，副本可以是正本的复印件)</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纸质投标文件的签署及规定：投标文件的正副本需打印或用不褪色墨水书 写，并由供应商的法定代表人或经其正式委托代理人按磋商文件规定在投</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标文件上签字或盖章，并加盖单位印章。</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(11)本项目解密时长为30分钟，如因自身原因导致无法正常解密，后果由供应商自行承担。</w:t>
            </w:r>
          </w:p>
          <w:p>
            <w:pPr>
              <w:spacing w:line="400" w:lineRule="exact"/>
              <w:rPr>
                <w:rFonts w:hint="eastAsia" w:ascii="宋体" w:hAnsi="宋体" w:eastAsia="宋体" w:cs="宋体"/>
                <w:color w:val="auto"/>
                <w:sz w:val="24"/>
                <w:szCs w:val="24"/>
              </w:rPr>
            </w:pPr>
            <w:r>
              <w:rPr>
                <w:rFonts w:hint="eastAsia" w:ascii="宋体" w:hAnsi="宋体" w:eastAsia="宋体" w:cs="宋体"/>
                <w:i w:val="0"/>
                <w:iCs w:val="0"/>
                <w:caps w:val="0"/>
                <w:color w:val="000000"/>
                <w:spacing w:val="0"/>
                <w:sz w:val="24"/>
                <w:szCs w:val="24"/>
              </w:rPr>
              <w:t>(12)须供应商提供备份的投标文件,后缀为.bfbs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16.1</w:t>
            </w:r>
          </w:p>
        </w:tc>
        <w:tc>
          <w:tcPr>
            <w:tcW w:w="8363" w:type="dxa"/>
            <w:vAlign w:val="center"/>
          </w:tcPr>
          <w:p>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磋商截止时间：202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点00分（北京时间）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18.1</w:t>
            </w:r>
          </w:p>
        </w:tc>
        <w:tc>
          <w:tcPr>
            <w:tcW w:w="8363" w:type="dxa"/>
            <w:vAlign w:val="center"/>
          </w:tcPr>
          <w:p>
            <w:pPr>
              <w:spacing w:line="240" w:lineRule="atLeast"/>
              <w:rPr>
                <w:rFonts w:hint="eastAsia" w:ascii="宋体" w:hAnsi="宋体" w:eastAsia="宋体" w:cs="宋体"/>
                <w:color w:val="auto"/>
                <w:kern w:val="0"/>
                <w:sz w:val="24"/>
                <w:szCs w:val="24"/>
              </w:rPr>
            </w:pPr>
            <w:r>
              <w:rPr>
                <w:rFonts w:hint="eastAsia" w:ascii="宋体" w:hAnsi="宋体" w:eastAsia="宋体" w:cs="宋体"/>
                <w:color w:val="auto"/>
                <w:sz w:val="24"/>
                <w:szCs w:val="24"/>
              </w:rPr>
              <w:t>磋商</w:t>
            </w:r>
            <w:r>
              <w:rPr>
                <w:rFonts w:hint="eastAsia" w:ascii="宋体" w:hAnsi="宋体" w:eastAsia="宋体" w:cs="宋体"/>
                <w:color w:val="auto"/>
                <w:kern w:val="0"/>
                <w:sz w:val="24"/>
                <w:szCs w:val="24"/>
              </w:rPr>
              <w:t>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bookmarkStart w:id="1046" w:name="_GoBack"/>
            <w:bookmarkEnd w:id="1046"/>
            <w:r>
              <w:rPr>
                <w:rFonts w:hint="eastAsia" w:ascii="宋体" w:hAnsi="宋体" w:eastAsia="宋体" w:cs="宋体"/>
                <w:color w:val="auto"/>
                <w:sz w:val="24"/>
                <w:szCs w:val="24"/>
              </w:rPr>
              <w:t>日1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点00分（北京时间）</w:t>
            </w:r>
          </w:p>
          <w:p>
            <w:pPr>
              <w:spacing w:line="240" w:lineRule="atLeas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磋商地点：政采云平台线</w:t>
            </w:r>
            <w:r>
              <w:rPr>
                <w:rFonts w:hint="eastAsia" w:ascii="宋体" w:hAnsi="宋体" w:eastAsia="宋体" w:cs="宋体"/>
                <w:color w:val="auto"/>
                <w:kern w:val="0"/>
                <w:sz w:val="24"/>
                <w:szCs w:val="24"/>
                <w:lang w:eastAsia="zh-CN"/>
              </w:rPr>
              <w:t>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20.5</w:t>
            </w:r>
          </w:p>
        </w:tc>
        <w:tc>
          <w:tcPr>
            <w:tcW w:w="8363" w:type="dxa"/>
            <w:vAlign w:val="center"/>
          </w:tcPr>
          <w:p>
            <w:pPr>
              <w:pStyle w:val="18"/>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服务内容：食品安全监督抽检检测服务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23.2</w:t>
            </w:r>
          </w:p>
        </w:tc>
        <w:tc>
          <w:tcPr>
            <w:tcW w:w="8363" w:type="dxa"/>
            <w:vAlign w:val="center"/>
          </w:tcPr>
          <w:p>
            <w:pPr>
              <w:spacing w:line="240" w:lineRule="atLeast"/>
              <w:rPr>
                <w:rFonts w:hint="eastAsia" w:ascii="宋体" w:hAnsi="宋体" w:eastAsia="宋体" w:cs="宋体"/>
                <w:i/>
                <w:color w:val="auto"/>
                <w:sz w:val="24"/>
                <w:szCs w:val="24"/>
              </w:rPr>
            </w:pPr>
            <w:r>
              <w:rPr>
                <w:rFonts w:hint="eastAsia" w:ascii="宋体" w:hAnsi="宋体" w:eastAsia="宋体" w:cs="宋体"/>
                <w:color w:val="auto"/>
                <w:sz w:val="24"/>
                <w:szCs w:val="24"/>
              </w:rPr>
              <w:t>评审方法：</w:t>
            </w:r>
            <w:r>
              <w:rPr>
                <w:rFonts w:hint="eastAsia" w:ascii="宋体" w:hAnsi="宋体" w:eastAsia="宋体" w:cs="宋体"/>
                <w:color w:val="auto"/>
                <w:sz w:val="24"/>
                <w:szCs w:val="24"/>
                <w:u w:val="single"/>
              </w:rPr>
              <w:t>　综合评分法　</w:t>
            </w:r>
            <w:r>
              <w:rPr>
                <w:rFonts w:hint="eastAsia" w:ascii="宋体" w:hAnsi="宋体" w:eastAsia="宋体" w:cs="宋体"/>
                <w:color w:val="auto"/>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1" w:hRule="atLeast"/>
          <w:jc w:val="center"/>
        </w:trPr>
        <w:tc>
          <w:tcPr>
            <w:tcW w:w="904" w:type="dxa"/>
            <w:vAlign w:val="center"/>
          </w:tcPr>
          <w:p>
            <w:pPr>
              <w:spacing w:line="240" w:lineRule="atLeast"/>
              <w:jc w:val="center"/>
              <w:rPr>
                <w:rFonts w:hint="eastAsia" w:ascii="宋体" w:hAnsi="宋体" w:eastAsia="宋体" w:cs="宋体"/>
                <w:color w:val="auto"/>
                <w:sz w:val="24"/>
                <w:lang w:val="en-US" w:eastAsia="zh-CN"/>
              </w:rPr>
            </w:pPr>
            <w:r>
              <w:rPr>
                <w:rFonts w:hint="eastAsia" w:ascii="宋体" w:hAnsi="宋体" w:eastAsia="宋体" w:cs="宋体"/>
                <w:color w:val="auto"/>
                <w:sz w:val="24"/>
              </w:rPr>
              <w:t>27</w:t>
            </w:r>
            <w:r>
              <w:rPr>
                <w:rFonts w:hint="eastAsia" w:ascii="宋体" w:hAnsi="宋体" w:eastAsia="宋体" w:cs="宋体"/>
                <w:color w:val="auto"/>
                <w:sz w:val="24"/>
                <w:lang w:val="en-US" w:eastAsia="zh-CN"/>
              </w:rPr>
              <w:t>.1</w:t>
            </w:r>
          </w:p>
        </w:tc>
        <w:tc>
          <w:tcPr>
            <w:tcW w:w="8363" w:type="dxa"/>
            <w:vAlign w:val="center"/>
          </w:tcPr>
          <w:p>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推荐成交候选供应商的数量：</w:t>
            </w:r>
            <w:r>
              <w:rPr>
                <w:rFonts w:hint="eastAsia" w:ascii="宋体" w:hAnsi="宋体" w:eastAsia="宋体" w:cs="宋体"/>
                <w:color w:val="auto"/>
                <w:sz w:val="24"/>
                <w:szCs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04" w:type="dxa"/>
            <w:vAlign w:val="center"/>
          </w:tcPr>
          <w:p>
            <w:pPr>
              <w:spacing w:line="240" w:lineRule="atLeas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27.2</w:t>
            </w:r>
          </w:p>
        </w:tc>
        <w:tc>
          <w:tcPr>
            <w:tcW w:w="8363" w:type="dxa"/>
            <w:vAlign w:val="center"/>
          </w:tcPr>
          <w:p>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评标小组构成：</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人其中招标人代表</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人，专家</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人；</w:t>
            </w:r>
          </w:p>
          <w:p>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评标小组成员确定方式：</w:t>
            </w:r>
            <w:r>
              <w:rPr>
                <w:rFonts w:hint="eastAsia" w:ascii="宋体" w:hAnsi="宋体" w:eastAsia="宋体" w:cs="宋体"/>
                <w:color w:val="auto"/>
                <w:sz w:val="24"/>
                <w:szCs w:val="24"/>
                <w:u w:val="single"/>
              </w:rPr>
              <w:t>专家随机抽取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04" w:type="dxa"/>
            <w:vAlign w:val="center"/>
          </w:tcPr>
          <w:p>
            <w:pPr>
              <w:spacing w:line="240" w:lineRule="atLeast"/>
              <w:jc w:val="center"/>
              <w:rPr>
                <w:rFonts w:hint="eastAsia" w:ascii="宋体" w:hAnsi="宋体" w:eastAsia="宋体" w:cs="宋体"/>
                <w:color w:val="auto"/>
                <w:sz w:val="24"/>
                <w:lang w:val="en-US" w:eastAsia="zh-CN"/>
              </w:rPr>
            </w:pPr>
            <w:r>
              <w:rPr>
                <w:rFonts w:hint="eastAsia" w:ascii="宋体" w:hAnsi="宋体" w:eastAsia="宋体" w:cs="宋体"/>
                <w:color w:val="auto"/>
                <w:sz w:val="24"/>
              </w:rPr>
              <w:t>27</w:t>
            </w:r>
            <w:r>
              <w:rPr>
                <w:rFonts w:hint="eastAsia" w:ascii="宋体" w:hAnsi="宋体" w:eastAsia="宋体" w:cs="宋体"/>
                <w:color w:val="auto"/>
                <w:sz w:val="24"/>
                <w:lang w:val="en-US" w:eastAsia="zh-CN"/>
              </w:rPr>
              <w:t>.3</w:t>
            </w:r>
          </w:p>
        </w:tc>
        <w:tc>
          <w:tcPr>
            <w:tcW w:w="8363" w:type="dxa"/>
            <w:vAlign w:val="center"/>
          </w:tcPr>
          <w:p>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招标人是否委托评审委员会直接确定成交人：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31.1</w:t>
            </w:r>
          </w:p>
        </w:tc>
        <w:tc>
          <w:tcPr>
            <w:tcW w:w="8363" w:type="dxa"/>
            <w:vAlign w:val="center"/>
          </w:tcPr>
          <w:p>
            <w:pPr>
              <w:spacing w:line="240" w:lineRule="atLeast"/>
              <w:rPr>
                <w:rFonts w:hint="eastAsia" w:ascii="宋体" w:hAnsi="宋体" w:eastAsia="宋体" w:cs="宋体"/>
                <w:b w:val="0"/>
                <w:bCs w:val="0"/>
                <w:i/>
                <w:color w:val="auto"/>
                <w:sz w:val="24"/>
                <w:szCs w:val="24"/>
                <w:u w:val="none"/>
                <w:lang w:eastAsia="zh-CN"/>
              </w:rPr>
            </w:pPr>
            <w:r>
              <w:rPr>
                <w:rFonts w:hint="eastAsia" w:ascii="宋体" w:hAnsi="宋体" w:eastAsia="宋体" w:cs="宋体"/>
                <w:color w:val="auto"/>
                <w:sz w:val="24"/>
                <w:szCs w:val="24"/>
              </w:rPr>
              <w:t>履约保证金金额：合同总价的</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　</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lang w:val="en-US" w:eastAsia="zh-CN"/>
              </w:rPr>
              <w:t>打入采购人账号</w:t>
            </w:r>
            <w:r>
              <w:rPr>
                <w:rFonts w:hint="eastAsia" w:ascii="宋体" w:hAnsi="宋体" w:eastAsia="宋体" w:cs="宋体"/>
                <w:b w:val="0"/>
                <w:bCs w:val="0"/>
                <w:color w:val="auto"/>
                <w:sz w:val="24"/>
                <w:szCs w:val="24"/>
                <w:u w:val="none"/>
                <w:lang w:eastAsia="zh-CN"/>
              </w:rPr>
              <w:t>）</w:t>
            </w:r>
          </w:p>
          <w:p>
            <w:pPr>
              <w:spacing w:line="240" w:lineRule="atLeast"/>
              <w:rPr>
                <w:rFonts w:hint="eastAsia" w:ascii="宋体" w:hAnsi="宋体" w:eastAsia="宋体" w:cs="宋体"/>
                <w:color w:val="auto"/>
                <w:sz w:val="24"/>
                <w:szCs w:val="24"/>
                <w:u w:val="single"/>
              </w:rPr>
            </w:pPr>
            <w:r>
              <w:rPr>
                <w:rFonts w:hint="eastAsia" w:ascii="宋体" w:hAnsi="宋体" w:eastAsia="宋体" w:cs="宋体"/>
                <w:color w:val="auto"/>
                <w:sz w:val="24"/>
                <w:szCs w:val="24"/>
              </w:rPr>
              <w:t>履约保证金形式：</w:t>
            </w:r>
            <w:r>
              <w:rPr>
                <w:rFonts w:hint="eastAsia" w:ascii="宋体" w:hAnsi="宋体" w:eastAsia="宋体" w:cs="宋体"/>
                <w:color w:val="auto"/>
                <w:sz w:val="24"/>
                <w:szCs w:val="24"/>
                <w:u w:val="single"/>
              </w:rPr>
              <w:t xml:space="preserve">合同约定  </w:t>
            </w:r>
          </w:p>
          <w:p>
            <w:pPr>
              <w:spacing w:line="240" w:lineRule="atLeas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提交履约保证金的时间：签订合同前2日历日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32</w:t>
            </w:r>
          </w:p>
        </w:tc>
        <w:tc>
          <w:tcPr>
            <w:tcW w:w="8363" w:type="dxa"/>
            <w:vAlign w:val="center"/>
          </w:tcPr>
          <w:p>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代理服务费收取：由中标单位支付，</w:t>
            </w:r>
            <w:r>
              <w:rPr>
                <w:rFonts w:hint="eastAsia" w:ascii="宋体" w:hAnsi="宋体" w:eastAsia="宋体" w:cs="宋体"/>
                <w:color w:val="auto"/>
                <w:sz w:val="24"/>
                <w:szCs w:val="24"/>
                <w:lang w:val="en-US" w:eastAsia="zh-CN"/>
              </w:rPr>
              <w:t>100万元以下按1.50%收取；100万元—300万元按1.10%收取；300万元—500万元按1.00%收取；500万元—1000万元按0.80%收取；1000万元—5000万元按0.50%收取；5000万元以上按0.25%收取。</w:t>
            </w:r>
          </w:p>
          <w:p>
            <w:pPr>
              <w:spacing w:line="240" w:lineRule="atLeast"/>
              <w:ind w:left="900" w:hanging="900" w:hangingChars="375"/>
              <w:rPr>
                <w:rFonts w:hint="eastAsia" w:ascii="宋体" w:hAnsi="宋体" w:eastAsia="宋体" w:cs="宋体"/>
                <w:sz w:val="24"/>
                <w:szCs w:val="24"/>
              </w:rPr>
            </w:pPr>
            <w:r>
              <w:rPr>
                <w:rFonts w:hint="eastAsia" w:ascii="宋体" w:hAnsi="宋体" w:eastAsia="宋体" w:cs="宋体"/>
                <w:sz w:val="24"/>
                <w:szCs w:val="24"/>
              </w:rPr>
              <w:t>支付形式：</w:t>
            </w:r>
            <w:r>
              <w:rPr>
                <w:rFonts w:hint="eastAsia" w:ascii="宋体" w:hAnsi="宋体" w:eastAsia="宋体" w:cs="宋体"/>
                <w:sz w:val="24"/>
                <w:szCs w:val="24"/>
                <w:u w:val="single"/>
                <w:lang w:eastAsia="zh-CN"/>
              </w:rPr>
              <w:t>对公转账</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240" w:lineRule="atLeast"/>
              <w:rPr>
                <w:rFonts w:hint="eastAsia" w:ascii="宋体" w:hAnsi="宋体" w:eastAsia="宋体" w:cs="宋体"/>
                <w:color w:val="auto"/>
                <w:sz w:val="24"/>
                <w:szCs w:val="24"/>
              </w:rPr>
            </w:pPr>
            <w:r>
              <w:rPr>
                <w:rFonts w:hint="eastAsia" w:ascii="宋体" w:hAnsi="宋体" w:eastAsia="宋体" w:cs="宋体"/>
                <w:sz w:val="24"/>
                <w:szCs w:val="24"/>
              </w:rPr>
              <w:t>支付时间：</w:t>
            </w:r>
            <w:r>
              <w:rPr>
                <w:rFonts w:hint="eastAsia" w:ascii="宋体" w:hAnsi="宋体" w:eastAsia="宋体" w:cs="宋体"/>
                <w:sz w:val="24"/>
                <w:szCs w:val="24"/>
                <w:u w:val="single"/>
                <w:lang w:eastAsia="zh-CN"/>
              </w:rPr>
              <w:t>领取中标通知书时由中标方支付一次性支付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904" w:type="dxa"/>
            <w:vAlign w:val="center"/>
          </w:tcPr>
          <w:p>
            <w:pPr>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33.1</w:t>
            </w:r>
          </w:p>
        </w:tc>
        <w:tc>
          <w:tcPr>
            <w:tcW w:w="8363" w:type="dxa"/>
            <w:vAlign w:val="center"/>
          </w:tcPr>
          <w:p>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本项目是否属于信用担保试点范围：</w:t>
            </w:r>
            <w:r>
              <w:rPr>
                <w:rFonts w:hint="eastAsia" w:ascii="宋体" w:hAnsi="宋体" w:eastAsia="宋体" w:cs="宋体"/>
                <w:color w:val="auto"/>
                <w:sz w:val="24"/>
                <w:szCs w:val="24"/>
                <w:u w:val="single"/>
              </w:rPr>
              <w:t xml:space="preserve">  否 </w:t>
            </w:r>
            <w:r>
              <w:rPr>
                <w:rFonts w:hint="eastAsia" w:ascii="宋体" w:hAnsi="宋体" w:eastAsia="宋体" w:cs="宋体"/>
                <w:color w:val="auto"/>
                <w:sz w:val="24"/>
                <w:szCs w:val="24"/>
              </w:rPr>
              <w:t xml:space="preserve"> </w:t>
            </w:r>
          </w:p>
        </w:tc>
      </w:tr>
    </w:tbl>
    <w:p>
      <w:pPr>
        <w:spacing w:line="240" w:lineRule="atLeast"/>
        <w:ind w:left="1080" w:leftChars="257" w:hanging="540"/>
        <w:rPr>
          <w:rFonts w:hint="eastAsia" w:ascii="宋体" w:hAnsi="宋体" w:eastAsia="宋体" w:cs="宋体"/>
          <w:color w:val="auto"/>
          <w:sz w:val="24"/>
        </w:rPr>
        <w:sectPr>
          <w:headerReference r:id="rId4" w:type="default"/>
          <w:headerReference r:id="rId5" w:type="even"/>
          <w:footerReference r:id="rId6" w:type="even"/>
          <w:pgSz w:w="11906" w:h="16838"/>
          <w:pgMar w:top="839" w:right="1440" w:bottom="1803" w:left="1440" w:header="851" w:footer="992" w:gutter="0"/>
          <w:pgNumType w:fmt="decimal"/>
          <w:cols w:space="720" w:num="1"/>
          <w:docGrid w:linePitch="312" w:charSpace="0"/>
        </w:sectPr>
      </w:pPr>
    </w:p>
    <w:p>
      <w:pPr>
        <w:widowControl/>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资格审查表</w:t>
      </w:r>
    </w:p>
    <w:tbl>
      <w:tblPr>
        <w:tblStyle w:val="21"/>
        <w:tblpPr w:leftFromText="180" w:rightFromText="180" w:vertAnchor="text" w:horzAnchor="page" w:tblpX="2063" w:tblpY="430"/>
        <w:tblOverlap w:val="never"/>
        <w:tblW w:w="13277" w:type="dxa"/>
        <w:jc w:val="center"/>
        <w:tblLayout w:type="fixed"/>
        <w:tblCellMar>
          <w:top w:w="0" w:type="dxa"/>
          <w:left w:w="108" w:type="dxa"/>
          <w:bottom w:w="0" w:type="dxa"/>
          <w:right w:w="108" w:type="dxa"/>
        </w:tblCellMar>
      </w:tblPr>
      <w:tblGrid>
        <w:gridCol w:w="607"/>
        <w:gridCol w:w="942"/>
        <w:gridCol w:w="1446"/>
        <w:gridCol w:w="1295"/>
        <w:gridCol w:w="1541"/>
        <w:gridCol w:w="2414"/>
        <w:gridCol w:w="2141"/>
        <w:gridCol w:w="2168"/>
        <w:gridCol w:w="723"/>
      </w:tblGrid>
      <w:tr>
        <w:tblPrEx>
          <w:tblCellMar>
            <w:top w:w="0" w:type="dxa"/>
            <w:left w:w="108" w:type="dxa"/>
            <w:bottom w:w="0" w:type="dxa"/>
            <w:right w:w="108" w:type="dxa"/>
          </w:tblCellMar>
        </w:tblPrEx>
        <w:trPr>
          <w:trHeight w:val="605" w:hRule="atLeast"/>
          <w:jc w:val="center"/>
        </w:trPr>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投标人名称</w:t>
            </w:r>
          </w:p>
        </w:tc>
        <w:tc>
          <w:tcPr>
            <w:tcW w:w="12670" w:type="dxa"/>
            <w:gridSpan w:val="8"/>
            <w:tcBorders>
              <w:top w:val="single" w:color="auto" w:sz="4" w:space="0"/>
              <w:left w:val="nil"/>
              <w:bottom w:val="single" w:color="auto" w:sz="4" w:space="0"/>
              <w:right w:val="single" w:color="auto" w:sz="4" w:space="0"/>
            </w:tcBorders>
            <w:noWrap w:val="0"/>
            <w:vAlign w:val="center"/>
          </w:tcPr>
          <w:p>
            <w:pPr>
              <w:spacing w:line="240" w:lineRule="atLeast"/>
              <w:jc w:val="right"/>
              <w:rPr>
                <w:rFonts w:hint="eastAsia" w:ascii="宋体" w:hAnsi="宋体" w:eastAsia="宋体" w:cs="宋体"/>
                <w:color w:val="auto"/>
                <w:sz w:val="24"/>
                <w:lang w:val="en-US" w:eastAsia="zh-CN"/>
              </w:rPr>
            </w:pPr>
            <w:r>
              <w:rPr>
                <w:rFonts w:hint="eastAsia" w:ascii="宋体" w:hAnsi="宋体" w:eastAsia="宋体" w:cs="宋体"/>
                <w:sz w:val="24"/>
              </w:rPr>
              <mc:AlternateContent>
                <mc:Choice Requires="wps">
                  <w:drawing>
                    <wp:anchor distT="0" distB="0" distL="114300" distR="114300" simplePos="0" relativeHeight="251665408" behindDoc="0" locked="0" layoutInCell="1" allowOverlap="1">
                      <wp:simplePos x="0" y="0"/>
                      <wp:positionH relativeFrom="column">
                        <wp:posOffset>7526655</wp:posOffset>
                      </wp:positionH>
                      <wp:positionV relativeFrom="paragraph">
                        <wp:posOffset>7620</wp:posOffset>
                      </wp:positionV>
                      <wp:extent cx="8890" cy="424180"/>
                      <wp:effectExtent l="4445" t="0" r="5715" b="13970"/>
                      <wp:wrapNone/>
                      <wp:docPr id="4" name="直接连接符 4"/>
                      <wp:cNvGraphicFramePr/>
                      <a:graphic xmlns:a="http://schemas.openxmlformats.org/drawingml/2006/main">
                        <a:graphicData uri="http://schemas.microsoft.com/office/word/2010/wordprocessingShape">
                          <wps:wsp>
                            <wps:cNvCnPr/>
                            <wps:spPr>
                              <a:xfrm flipV="1">
                                <a:off x="8155940" y="1656715"/>
                                <a:ext cx="8890" cy="424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592.65pt;margin-top:0.6pt;height:33.4pt;width:0.7pt;z-index:251665408;mso-width-relative:page;mso-height-relative:page;" filled="f" stroked="t" coordsize="21600,21600" o:gfxdata="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kStLdcAAAAKAQAADwAAAAAAAAABACAAAAAiAAAAZHJzL2Rvd25yZXYueG1s&#10;UEsBAhQAFAAAAAgAh07iQHLdfzH5AQAAyQMAAA4AAAAAAAAAAQAgAAAAJgEAAGRycy9lMm9Eb2Mu&#10;eG1sUEsFBgAAAAAGAAYAWQEAAJEFAAA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sz w:val="24"/>
                <w:lang w:val="en-US" w:eastAsia="zh-CN"/>
              </w:rPr>
              <w:t>审查</w:t>
            </w:r>
          </w:p>
          <w:p>
            <w:pPr>
              <w:spacing w:line="240" w:lineRule="atLeast"/>
              <w:jc w:val="righ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结果</w:t>
            </w:r>
          </w:p>
        </w:tc>
      </w:tr>
      <w:tr>
        <w:tblPrEx>
          <w:tblCellMar>
            <w:top w:w="0" w:type="dxa"/>
            <w:left w:w="108" w:type="dxa"/>
            <w:bottom w:w="0" w:type="dxa"/>
            <w:right w:w="108" w:type="dxa"/>
          </w:tblCellMar>
        </w:tblPrEx>
        <w:trPr>
          <w:trHeight w:val="4974"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p>
        </w:tc>
        <w:tc>
          <w:tcPr>
            <w:tcW w:w="942" w:type="dxa"/>
            <w:tcBorders>
              <w:top w:val="nil"/>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具有独立承担民事责任的能力；</w:t>
            </w:r>
          </w:p>
        </w:tc>
        <w:tc>
          <w:tcPr>
            <w:tcW w:w="1446" w:type="dxa"/>
            <w:tcBorders>
              <w:top w:val="nil"/>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法人身份证明或法人授权委托书和被授权人身份有效证件；</w:t>
            </w:r>
            <w:r>
              <w:rPr>
                <w:rFonts w:hint="eastAsia" w:ascii="宋体" w:hAnsi="宋体" w:eastAsia="宋体" w:cs="宋体"/>
                <w:color w:val="auto"/>
                <w:sz w:val="24"/>
                <w:szCs w:val="24"/>
                <w:lang w:val="en-US" w:eastAsia="zh-CN"/>
              </w:rPr>
              <w:t>授权委托人近4个月缴纳社保证明（社保缴费凭证和个人明细表）</w:t>
            </w:r>
          </w:p>
        </w:tc>
        <w:tc>
          <w:tcPr>
            <w:tcW w:w="1295" w:type="dxa"/>
            <w:tcBorders>
              <w:top w:val="nil"/>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提供会计事务所出具的2022年度财务审计报告书原件或影印件；新办企业提供银行资信证明）；</w:t>
            </w:r>
            <w:r>
              <w:rPr>
                <w:rFonts w:hint="eastAsia" w:ascii="宋体" w:hAnsi="宋体" w:eastAsia="宋体" w:cs="宋体"/>
                <w:color w:val="auto"/>
                <w:sz w:val="24"/>
                <w:lang w:val="en-US" w:eastAsia="zh-CN"/>
              </w:rPr>
              <w:br w:type="textWrapping"/>
            </w:r>
          </w:p>
        </w:tc>
        <w:tc>
          <w:tcPr>
            <w:tcW w:w="1541" w:type="dxa"/>
            <w:tcBorders>
              <w:top w:val="nil"/>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.税务部门出具的近四个月的完税证明（或由税务局出具的无拖欠税收证明，零申报需加盖税务机关鲜章）；）</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人必须提供“信用中国”网站（www.creditchina.gov.cn）、中国政府采购网（www.ccgp.gov.cn）渠道信用记录失信执行人、重大税收违法案件当事人名单、政府采购严重违法失信行为记录名单的投标人，（提供查询结果网页截图并加盖供应商公章）；</w:t>
            </w:r>
          </w:p>
        </w:tc>
        <w:tc>
          <w:tcPr>
            <w:tcW w:w="2141" w:type="dxa"/>
            <w:tcBorders>
              <w:top w:val="nil"/>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参加政府采购活动前三年内，在经营活动中没有重大违法记录声明；（自拟）投标单位（供应商）提供针对本次采购项目的《反商业贿赂承诺书》；</w:t>
            </w:r>
          </w:p>
        </w:tc>
        <w:tc>
          <w:tcPr>
            <w:tcW w:w="2168" w:type="dxa"/>
            <w:tcBorders>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投标人具备检验检测机构资质认定证书（CMA）且CMA资质认定证书附表的相关内容，附表内容必须完全涵盖所投包组的所有待检类别及检验项目</w:t>
            </w:r>
          </w:p>
          <w:p>
            <w:pPr>
              <w:spacing w:line="240" w:lineRule="atLeast"/>
              <w:rPr>
                <w:rFonts w:hint="eastAsia" w:ascii="宋体" w:hAnsi="宋体" w:eastAsia="宋体" w:cs="宋体"/>
                <w:color w:val="auto"/>
                <w:sz w:val="24"/>
                <w:lang w:val="en-US" w:eastAsia="zh-CN"/>
              </w:rPr>
            </w:pPr>
          </w:p>
        </w:tc>
        <w:tc>
          <w:tcPr>
            <w:tcW w:w="723"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p>
        </w:tc>
      </w:tr>
    </w:tbl>
    <w:p>
      <w:pPr>
        <w:pStyle w:val="20"/>
        <w:rPr>
          <w:rFonts w:hint="eastAsia" w:ascii="宋体" w:hAnsi="宋体" w:eastAsia="宋体" w:cs="宋体"/>
        </w:rPr>
        <w:sectPr>
          <w:pgSz w:w="16838" w:h="11906" w:orient="landscape"/>
          <w:pgMar w:top="1797" w:right="1440" w:bottom="1797" w:left="1440" w:header="851" w:footer="992" w:gutter="0"/>
          <w:pgNumType w:fmt="decimal"/>
          <w:cols w:space="720" w:num="1"/>
          <w:docGrid w:linePitch="312" w:charSpace="0"/>
        </w:sectPr>
      </w:pPr>
    </w:p>
    <w:p>
      <w:pPr>
        <w:pStyle w:val="3"/>
        <w:numPr>
          <w:ilvl w:val="0"/>
          <w:numId w:val="9"/>
        </w:numPr>
        <w:tabs>
          <w:tab w:val="left" w:pos="0"/>
        </w:tabs>
        <w:spacing w:before="0" w:after="0" w:line="240" w:lineRule="atLeast"/>
        <w:rPr>
          <w:rFonts w:hint="eastAsia" w:ascii="宋体" w:hAnsi="宋体" w:eastAsia="宋体" w:cs="宋体"/>
          <w:color w:val="auto"/>
          <w:szCs w:val="32"/>
          <w:lang w:val="en-US" w:eastAsia="zh-CN"/>
        </w:rPr>
      </w:pPr>
      <w:bookmarkStart w:id="528" w:name="_Toc518923126"/>
      <w:bookmarkStart w:id="529" w:name="_Toc7112"/>
      <w:bookmarkStart w:id="530" w:name="_Toc216582826"/>
      <w:bookmarkStart w:id="531" w:name="_Toc219175639"/>
      <w:bookmarkStart w:id="532" w:name="_Toc218935355"/>
      <w:r>
        <w:rPr>
          <w:rFonts w:hint="eastAsia" w:ascii="宋体" w:hAnsi="宋体" w:eastAsia="宋体" w:cs="宋体"/>
          <w:color w:val="auto"/>
          <w:szCs w:val="32"/>
          <w:lang w:val="en-US" w:eastAsia="zh-CN"/>
        </w:rPr>
        <w:t xml:space="preserve"> </w:t>
      </w:r>
      <w:bookmarkStart w:id="533" w:name="_Toc22849"/>
      <w:r>
        <w:rPr>
          <w:rFonts w:hint="eastAsia" w:ascii="宋体" w:hAnsi="宋体" w:eastAsia="宋体" w:cs="宋体"/>
          <w:color w:val="auto"/>
          <w:szCs w:val="32"/>
          <w:lang w:val="en-US" w:eastAsia="zh-CN"/>
        </w:rPr>
        <w:t>服务需求</w:t>
      </w:r>
      <w:bookmarkEnd w:id="528"/>
      <w:bookmarkEnd w:id="529"/>
      <w:bookmarkEnd w:id="533"/>
    </w:p>
    <w:p>
      <w:pPr>
        <w:pStyle w:val="16"/>
        <w:rPr>
          <w:rFonts w:hint="eastAsia" w:ascii="宋体" w:hAnsi="宋体" w:eastAsia="宋体" w:cs="宋体"/>
          <w:lang w:val="en-US" w:eastAsia="zh-CN"/>
        </w:rPr>
      </w:pPr>
    </w:p>
    <w:p>
      <w:pPr>
        <w:pStyle w:val="18"/>
        <w:numPr>
          <w:ilvl w:val="0"/>
          <w:numId w:val="10"/>
        </w:numPr>
        <w:spacing w:line="40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2023年度食品安全监督抽检检测服务项目</w:t>
      </w:r>
    </w:p>
    <w:p>
      <w:pPr>
        <w:pStyle w:val="18"/>
        <w:numPr>
          <w:ilvl w:val="0"/>
          <w:numId w:val="0"/>
        </w:numPr>
        <w:spacing w:line="400" w:lineRule="exac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二、服务期限：自合同签订之日起一年。</w:t>
      </w:r>
    </w:p>
    <w:p>
      <w:pPr>
        <w:pStyle w:val="5"/>
        <w:numPr>
          <w:ilvl w:val="0"/>
          <w:numId w:val="0"/>
        </w:numPr>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三、付款方式：以甲乙双方签订合同为准。</w:t>
      </w:r>
    </w:p>
    <w:p>
      <w:pPr>
        <w:pStyle w:val="5"/>
        <w:numPr>
          <w:ilvl w:val="0"/>
          <w:numId w:val="0"/>
        </w:numPr>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四、服务地点：采购单位指定地点。</w:t>
      </w:r>
    </w:p>
    <w:p>
      <w:pPr>
        <w:pStyle w:val="18"/>
        <w:spacing w:line="440" w:lineRule="exact"/>
        <w:rPr>
          <w:rFonts w:hint="eastAsia" w:ascii="宋体" w:hAnsi="宋体" w:eastAsia="宋体" w:cs="宋体"/>
          <w:sz w:val="24"/>
          <w:szCs w:val="24"/>
        </w:rPr>
      </w:pPr>
      <w:r>
        <w:rPr>
          <w:rFonts w:hint="eastAsia" w:ascii="宋体" w:hAnsi="宋体" w:eastAsia="宋体" w:cs="宋体"/>
          <w:sz w:val="24"/>
          <w:szCs w:val="24"/>
        </w:rPr>
        <w:t>项目要求：</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一、项目要求</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为有效预防食品安全事故发生，确保公众饮食安全，根据《2023年自治区市场监管系统食品安全抽检监测计划》的通知要求，完成</w:t>
      </w:r>
      <w:r>
        <w:rPr>
          <w:rFonts w:hint="eastAsia" w:ascii="宋体" w:hAnsi="宋体" w:cs="宋体"/>
          <w:color w:val="000000" w:themeColor="text1"/>
          <w:kern w:val="0"/>
          <w:sz w:val="24"/>
          <w:szCs w:val="24"/>
          <w:lang w:val="en-US" w:eastAsia="zh-CN" w:bidi="ar-SA"/>
          <w14:textFill>
            <w14:solidFill>
              <w14:schemeClr w14:val="tx1"/>
            </w14:solidFill>
          </w14:textFill>
        </w:rPr>
        <w:t>1353</w:t>
      </w:r>
      <w:r>
        <w:rPr>
          <w:rFonts w:hint="eastAsia" w:ascii="宋体" w:hAnsi="宋体" w:eastAsia="宋体" w:cs="宋体"/>
          <w:color w:val="auto"/>
          <w:kern w:val="0"/>
          <w:sz w:val="24"/>
          <w:szCs w:val="24"/>
          <w:lang w:val="en-US" w:eastAsia="zh-CN" w:bidi="ar-SA"/>
        </w:rPr>
        <w:t>批次食用农产品抽检任务。预定任务量不能随意增减、变更</w:t>
      </w:r>
      <w:r>
        <w:rPr>
          <w:rFonts w:hint="eastAsia" w:ascii="宋体" w:hAnsi="宋体" w:eastAsia="宋体" w:cs="宋体"/>
          <w:color w:val="000000" w:themeColor="text1"/>
          <w:kern w:val="0"/>
          <w:sz w:val="24"/>
          <w:szCs w:val="24"/>
          <w:lang w:val="en-US" w:eastAsia="zh-CN" w:bidi="ar-SA"/>
          <w14:textFill>
            <w14:solidFill>
              <w14:schemeClr w14:val="tx1"/>
            </w14:solidFill>
          </w14:textFill>
        </w:rPr>
        <w:t>，检验项目</w:t>
      </w:r>
      <w:r>
        <w:rPr>
          <w:rFonts w:hint="eastAsia" w:ascii="宋体" w:hAnsi="宋体" w:eastAsia="宋体" w:cs="宋体"/>
          <w:color w:val="auto"/>
          <w:kern w:val="0"/>
          <w:sz w:val="24"/>
          <w:szCs w:val="24"/>
          <w:lang w:val="en-US" w:eastAsia="zh-CN" w:bidi="ar-SA"/>
        </w:rPr>
        <w:t>为指定项目，必须做全项。（一）抽检对象、品种及项目</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主要对当地销售所有食用农产品、餐饮食品（覆盖全区中央厨房、集体用餐配送单位），以及当地小作坊食品进行抽检。小作坊食品根据各地登记备案品种实际，项目参照《食品安全监督抽检实施细则（2023年版）》执行检验和判定。县（市、区）局对各类学校、托幼、养老、福利等机构食堂实行抽检全覆盖，抽检一定比例的小餐饮、小食杂店、小摊贩食品，抽检品种及项目覆盖餐饮自制米面及其制品、肉制品、复合调味料、水产及水产制品、坚果及籽类食品、餐饮具、焙烤食品、其他餐饮食品，预包装食品等，项目参照《食品安全监督抽检实施细则（2023年版）》及《其他餐饮食品监督抽检实施细则（2023年版）》执行检验和判定。食用农产品抽检品种应尽量覆盖本行政区域内生产销售的蔬菜、水果、畜禽肉、水产品、鲜蛋等食用农产品。食用农产品品种、抽检项目根据《2023年自治级及以下食用农产品必检品种、项目表》结合实际监管需要确定，食用农产品应完成指定的必检品种和必检项目，还应完成选检项目不少于3个，自选品种和项目，应结合当地实际（综合考虑既往抽检情况、食品安全标准要求、舆情信息、农兽药使用等情况）并以问题为导向，自行确定。</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（二）抽样时间和频次</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监督抽检原则上全年均衡开展（即每月开展，同时覆盖所有传统节日等重要节点，自2月份开始，任务月度推进率不得低于10%，应于6月30日前完成至少50%的任务量，12月15日前完成所有抽检任务）。地（州、市）局抽检小作坊食品时，同一小作坊一次抽样不得超过两个品种（各1批次），抽样间隔不少于3个月；应根据当地食用农产品交易场所数量、消费量和季节特点等因素确定抽样频次和批次开展抽检；县（市、区）局应每月抽检当地市场销售量大的食用农产品；餐饮服务单位（含各类食堂）、食用农产品经营单位一次抽样不得超过三个品种（各1批次），抽样间隔不少于3个月。</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（三）抽样场所</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州、市）局要对本行政区域内食用农产品批发市场、销售食用农产品的超市、网络平台、校园周边、餐饮单位（覆盖中央厨房、集体用餐配送单位）以及当地小作坊进行食品抽样；县（市、区）局要对行政区域内的农贸市场、商场、超市、便利店、小餐饮、小食杂店、小摊贩等经营单位进行食品抽样。</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（四）承检机构</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检机构抽取食用农产品的应由市场监管人员共同抽样，为获得食品检验资质认定的机构，具备与承检任务中食品品种、检测项目、检品数量相适应的检验检测能力。抽样应使用移动终端并使用执法记录仪全程记录抽样过程，承检机构要出具合法有效的电子版检验报告。</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（五）抽样检验</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检机构抽样和检测等工作的实施应严格执行有关法律法规、规章以及《食品安全抽样检验管理办法》（总局第15号令）、《食用农产品抽样检验和核查处置规定》《食品安全监督抽检实施细则（2023年版）》《自治区食品安全监督抽检实施细则（2023年版）》；抽样过程应严格按照监督抽检工作程序，履行相应的法定手续，应使用规范的抽样文书。</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样品编号规则</w:t>
      </w:r>
      <w:r>
        <w:rPr>
          <w:rFonts w:hint="eastAsia" w:ascii="宋体" w:hAnsi="宋体" w:cs="宋体"/>
          <w:color w:val="auto"/>
          <w:kern w:val="0"/>
          <w:sz w:val="24"/>
          <w:szCs w:val="24"/>
          <w:lang w:val="en-US" w:eastAsia="zh-CN" w:bidi="ar-SA"/>
        </w:rPr>
        <w:t>：</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县（市、区）局学校食堂餐饮食品，报送分类A为：抽检监测（县级本级），报送分类B为：2023年新疆XX（县市区名称）学校食堂餐饮食品抽检计划，编号格式为：任务类型（XBJ）+年份（23）+地州市行政区划代码（65XXXX）+承检机构编号（四位）+流水号（五位）。</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县（市、区）局小餐饮、小食杂店、小摊贩食品，报送分类A为：抽检监测（县级专项），报送分类B为：2023年新疆XX（县市区名称）三小食品专项抽检计划，编号格式为：任务类型（XBJ）+年份（23）+地州市行政区划代码（65XXXX）+承检机构编号（四位）+流水号（五位）+特殊任务性质字母ZX（2位字母）。</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县（市、区）局你点我检抽检，报送分类A为：抽检监测（县级专项），报送分类B为：2023年新疆XX（县市区名称）你点我检专项抽检计划，编号格式为：任务类型（XBJ）+年份（23）+地州市行政区划代码（65XXXX）+承检机构编号（四位）+流水号（五位）+特殊任务性质字母ZX（2位字母）。</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县（市、区）局食用农产品，报送分类A为：县级食用农产品抽检，报送分类B为：2023年新疆XX（县市区名称）食用农产品抽检计划，编号格式为：任务类型（XBJ）+年份（23）+地县行政区划代码（65XXXX）+承检机构编号（四位）+流水号（五位）。</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承检机构编号在国家食品安全抽样检验信息系统机构信息中查询，系统中无编号的承检机构，需填写机构申请表报自治区局，由自治区局向国家总局申请机构编号。</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检验人员应按照食品安全标准和检验规范对食品进行检验，保证数据和结论客观、公正。承检机构对不合格样品必须进行复核，确保检验结果准确可靠。此外，检验报告编号应该与抽样编号保持一致（或是在检验报告封皮醒目处加注抽样编号），便于不合格样品的核查处置。</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（六）任务完成时限</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2023年12月15日前</w:t>
      </w:r>
      <w:r>
        <w:rPr>
          <w:rFonts w:hint="eastAsia" w:ascii="宋体" w:hAnsi="宋体" w:eastAsia="宋体" w:cs="宋体"/>
          <w:color w:val="auto"/>
          <w:kern w:val="0"/>
          <w:sz w:val="24"/>
          <w:szCs w:val="24"/>
          <w:lang w:val="en-US" w:eastAsia="zh-CN" w:bidi="ar-SA"/>
        </w:rPr>
        <w:t>。</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（七）服务承诺</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不得随意更改监督抽检信息，不得瞒报、谎报、漏报检验数据，不得擅自发布</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有关监督抽检的信息，不得在开展抽样工作前事先通知被抽检单位和接受被抽检单位的馈赠，不得利用监督抽检结果开展有偿活动、牟取不正当利益。</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（八）其他事项</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1.提供根据食品安全事故、热点舆情事件应对处置、案件查办等实际需要，及时组织应急、执法抽检等工作方案。</w:t>
      </w:r>
    </w:p>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bl>
      <w:tblPr>
        <w:tblStyle w:val="21"/>
        <w:tblW w:w="9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80"/>
        <w:gridCol w:w="2101"/>
        <w:gridCol w:w="1422"/>
        <w:gridCol w:w="1327"/>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6" w:hRule="atLeast"/>
        </w:trPr>
        <w:tc>
          <w:tcPr>
            <w:tcW w:w="7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抽检任务</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*学校、托幼、养老、福利等机构食堂餐饮食品</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*小餐饮、小食杂店、小摊贩食品</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食用农产品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你点我检</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453</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175</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697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1353</w:t>
            </w:r>
          </w:p>
        </w:tc>
      </w:tr>
    </w:tbl>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sectPr>
          <w:headerReference r:id="rId8" w:type="first"/>
          <w:footerReference r:id="rId11" w:type="first"/>
          <w:footerReference r:id="rId9" w:type="default"/>
          <w:headerReference r:id="rId7" w:type="even"/>
          <w:footerReference r:id="rId10" w:type="even"/>
          <w:pgSz w:w="11907" w:h="16840"/>
          <w:pgMar w:top="1474" w:right="1814" w:bottom="1474" w:left="1814" w:header="851" w:footer="851" w:gutter="0"/>
          <w:pgNumType w:fmt="decimal"/>
          <w:cols w:space="720" w:num="1"/>
          <w:docGrid w:linePitch="462" w:charSpace="0"/>
        </w:sectPr>
      </w:pPr>
    </w:p>
    <w:tbl>
      <w:tblPr>
        <w:tblStyle w:val="21"/>
        <w:tblW w:w="14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0"/>
        <w:gridCol w:w="872"/>
        <w:gridCol w:w="929"/>
        <w:gridCol w:w="929"/>
        <w:gridCol w:w="2156"/>
        <w:gridCol w:w="8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280" w:type="dxa"/>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餐饮食品抽检品种、项目表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食品大类（一级）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食品亚类（二级）</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食品品种（三级）</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食品细类（四级）</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抽检项目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6" w:hRule="atLeast"/>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餐饮食品</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米面及其制品(自制)</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小麦粉制品(自制)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馒头花卷(自制)</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苯甲酸及其钠盐（以苯甲酸计）、山梨酸及其钾盐（以山梨酸计）、糖精钠（以糖精计）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包子(自制)</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苯甲酸及其钠盐（以苯甲酸计）、山梨酸及其钾盐（以山梨酸计）、糖精钠（以糖精计）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*其他生制面制品(自制)a</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铅（以 Pb 计）、苯甲酸及其钠盐 （以苯甲酸计）、山梨酸及其钾盐 （以山梨酸计）、脱氢乙酸及其钠盐 （以脱氢乙酸计）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*凉皮类(自制)b</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脱氢乙酸及其钠盐（以脱氢乙酸计）、合成着色剂（柠檬黄、日落黄）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*其他熟制面制品(自制)c</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苯甲酸及其钠盐（以苯甲酸计）、山梨酸及其钾盐（以山梨酸计）、糖精钠（以糖精计）、脱氢乙酸及其钠盐（以脱氢乙酸计）、合成着色剂（柠檬黄、日落黄）（视产品具体色泽而定）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油饼油条(自制)d</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铝的残留量（干样品，以Al计）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*其他油炸面制品(自制)e</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铝的残留量(干样品,以Al计)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大米制品(</w:t>
            </w:r>
            <w:r>
              <w:rPr>
                <w:rFonts w:hint="eastAsia" w:ascii="宋体" w:hAnsi="宋体" w:cs="宋体"/>
                <w:i w:val="0"/>
                <w:iCs w:val="0"/>
                <w:color w:val="000000"/>
                <w:kern w:val="0"/>
                <w:sz w:val="24"/>
                <w:szCs w:val="24"/>
                <w:u w:val="none"/>
                <w:lang w:val="en-US" w:eastAsia="zh-CN" w:bidi="ar"/>
              </w:rPr>
              <w:t xml:space="preserve">自 </w:t>
            </w:r>
            <w:r>
              <w:rPr>
                <w:rFonts w:hint="eastAsia" w:ascii="宋体" w:hAnsi="宋体" w:eastAsia="宋体" w:cs="宋体"/>
                <w:i w:val="0"/>
                <w:iCs w:val="0"/>
                <w:color w:val="000000"/>
                <w:kern w:val="0"/>
                <w:sz w:val="24"/>
                <w:szCs w:val="24"/>
                <w:u w:val="none"/>
                <w:lang w:val="en-US" w:eastAsia="zh-CN" w:bidi="ar"/>
              </w:rPr>
              <w:t>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*米饭(自制)f</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铅（以Pb计）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焙烤食品(自制)</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焙烤食品(自制)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糕点(自制)g</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酸价（以脂肪计）（KOH）、过氧化值（以脂肪计）、山梨酸及其钾盐（以山梨酸计）、脱氢乙酸及其钠盐（以脱氢乙酸计）、丙酸及其钠盐、钙盐（以丙酸计）、防腐剂混合使用时各自用量占其最大使用量的比例之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肉制品(自制)</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熟肉制品(自制)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肉冻、皮冻(自制)</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铬（以Cr计）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*熏烧烤肉类(自制)h</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苯并[a]芘、铅（以Pb计）、铬(以Cr计)、亚硝酸盐（以亚硝酸钠计）、氯霉素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调味料(自制)</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调味料(自制)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火锅麻辣烫底料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(自制)</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罂粟碱、吗啡、可待因、那可丁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*蘸料(自制)i</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罂粟碱、吗啡、可待因、那可丁、黄曲霉毒素B1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*其他调味料(自制)j</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铅（以Pb计）、苏丹红I-IV、罗丹明B、脱氢乙酸及其钠盐（以脱氢乙酸计）、丙溴磷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水产制品(自制)</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预制水产制品(自制)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生食动物性水产品(自制)k</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铝的残留量（干样品，以Al计）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坚果及籽类食品(自制)</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坚果及籽类食品(自制)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花生制品(自制)</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黄曲霉毒素B1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饮料(自制)</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饮料(自制)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*果蔬汁饮料(自制)l</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苯甲酸及其钠盐（以苯甲酸计）、山梨酸及其钾盐（以山梨酸计）、糖精钠（以糖精计）、甜蜜素（以环己基氨基磺酸钠计）、脱氢乙酸及其钠盐（以脱氢乙酸计）、合成着色剂（苋菜红、胭脂红、柠檬黄、日落黄、亮蓝）、防腐剂混合使用时各自用量占其最大使用量的比例之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*其他饮料(自制)m</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苯甲酸及其钠盐（以苯甲酸计）、山梨酸及其钾盐（以山梨酸计）、糖精钠（以糖精计）、甜蜜素（以环己基氨基磺酸钠计）、脱氢乙酸及其钠盐（以脱氢乙酸计）、合成着色剂（苋菜红、胭脂红、柠檬黄、日落黄、亮蓝）、防腐剂混合使用时各自用量占其最大使用量的比例之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餐饮具</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复用餐饮具</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复用餐饮具(餐馆自行消毒)</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阴离子合成洗涤剂（以十二烷基苯磺酸钠计）、大肠菌群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复用餐饮具(集中清洗消毒服务单位消毒)</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阴离子合成洗涤剂（以十二烷基苯磺酸钠计）、大肠菌群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食用油、油脂及其制品(自制)</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食用油、油脂及其制品(自制)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*煎炸过程用油n</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酸价、极性组分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其他餐饮食品</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节令食品(自制)</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*粽子(自制)</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山梨酸及其钾盐（以山梨酸计）、脱氢乙酸及其钠盐（以脱氢乙酸计）、糖精钠（以糖精计）、安赛蜜、防腐剂混合使用时各自用量占其最大使用量的比例之和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*月饼(自制)</w:t>
            </w:r>
          </w:p>
        </w:tc>
        <w:tc>
          <w:tcPr>
            <w:tcW w:w="8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酸价、过氧化值、苯甲酸及其钠盐（以苯甲酸计）、山梨酸及其钾盐（以山梨酸计）、糖精钠（以糖精计）、脱氢乙酸及其钠盐（以脱氢乙酸计）、丙酸及其钠盐、钙盐（以丙酸计）、防腐剂混合使用时各自用量占其最大使用量的比例之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4280" w:type="dxa"/>
            <w:gridSpan w:val="6"/>
            <w:tcBorders>
              <w:top w:val="nil"/>
              <w:left w:val="nil"/>
              <w:bottom w:val="nil"/>
              <w:right w:val="nil"/>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备注:1.带*项目为自治区局结合既往抽检不合格、各地舆情情况确定。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2.a.其他生制面制品(自制)包括以小麦粉为主要原料，经和水、揉捏后未进行加热、蒸煮等处理的面制品，可抽取未煮的面条、饺子皮、馄饨皮、烧麦皮。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b.凉皮类(自制)包括以小麦粉为主要原料，制成的凉皮类，包含凉皮、酿皮、面皮等。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c.其他熟制面制品(自制)包括除上述类别熟制面制品外，含有小麦粉及其他原料，经和水、揉捏后并进行加热、蒸煮等熟制的面制品。可抽取烤面筋、黄面（新疆凉面）、牛筋面。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d.油饼油条(自制)包括以小麦粉为主要原料（包含添加少量杂粮面类），经过和面、醒发、成型，并经过油炸（浸油）熟制的油条和油饼，还可抽取包尔萨克、油香，不包括油煎馅饼、葱花饼、葱油饼（非油炸）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e.其他油炸面制品(自制)包括除了油条油饼外，以小麦粉为主要原料（包含添加少量杂粮面类），经过和面、醒发或不醒发、成型，并经过油炸（浸油）熟制的其他油炸面制品，可抽取麻叶、韭菜盒子（油炸）、馓子、甜甜圈、油炸小馒头、油炸发面饼、炸素丸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f.米饭(自制)包括以大米（指常见的大米，包括糯米、粳米、籼米、糙米等，不包含黑米、紫米等有色稻米）为主要原料,加水制作、不添加任何辅料的米饭。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g.糕点(自制）限抽取自制的，包括现制现售的非预包装糕点检测。冷加工糕点（餐饮自制冷调韧糕类糕点、冷调松糕类糕点、 蛋糕类糕点等）和热加工糕点（餐饮自制烘烤糕点、油炸糕点、水蒸糕点等）的抽样比例是1:1。糕点（预包装食品除外）可在餐饮自制、经营环节（如蛋糕房、西点屋、烘焙坊、甜品店等证照齐全的单位）抽取。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h.熏烧烤肉类(自制)包括以鲜(冻)畜禽肉及其副产品为主要原料，经过熏、烧、烤制成的肉制品，烤羊肉、烤鸭、烤鸡、烤肠（热狗）、脆皮五花肉。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i.蘸料(自制)包括自制的可直接食用的蘸料类，可抽取芝麻酱、辣椒酱、秘制酱料、海鲜酱、花生酱。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j.其他调味料(自制)可抽取餐饮环节含加工熏烧烤肉制品（餐饮）时使用的孜然粉、辣椒粉，还可抽取烧烤腌料、腌制料、小面调料、做菜的自制调味料。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k.生食动物性水产品(自制)限抽取“腌制水产品海蜇”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l.果蔬汁饮料(自制)包括以水果和(或)蔬菜(包括可食的根、茎、叶、花、果实)等为原料，经加工或发酵制成的液体饮料，可抽取橙汁、西瓜汁、柠檬水、百香果汁。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m.其他饮料（自制）包括含多种复杂原料混合的饮料，可抽取水蜜桃养乐多饮料、可乐、烧仙草、姜汁撞奶、酸梅汤、芒果益菌多饮料、杨枝甘露饮料、红茶饮料、绿茶饮料、咖啡及其饮料、果味饮料。将预包装果蔬汁浓浆，稀释调配而成的饮料，应为其他饮料（自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n.煎炸过程用油包括在餐饮单位抽取的煎炸过程用油，从煎炸用锅等容器内取出约2L（kg）样品于经营单位提供的干净瓷质或铁质容器内，现场冷却后，将约1L（kg）样品盛装于清洁干燥的样品容器内。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3.餐饮食品抽检项目的检测方法等详见《食品安全监督抽检实施细则（2023年版）》、《自治区食品安全监督抽检实施细则（2023年版）》（另行发布）。</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sectPr>
          <w:pgSz w:w="16840" w:h="11907" w:orient="landscape"/>
          <w:pgMar w:top="1814" w:right="1474" w:bottom="1814" w:left="1474" w:header="851" w:footer="851" w:gutter="0"/>
          <w:pgNumType w:fmt="decimal"/>
          <w:cols w:space="720" w:num="1"/>
          <w:docGrid w:linePitch="462" w:charSpace="0"/>
        </w:sectPr>
      </w:pPr>
    </w:p>
    <w:tbl>
      <w:tblPr>
        <w:tblStyle w:val="21"/>
        <w:tblW w:w="14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833"/>
        <w:gridCol w:w="856"/>
        <w:gridCol w:w="957"/>
        <w:gridCol w:w="1258"/>
        <w:gridCol w:w="8724"/>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3480" w:type="dxa"/>
            <w:gridSpan w:val="6"/>
            <w:tcBorders>
              <w:top w:val="nil"/>
              <w:left w:val="nil"/>
              <w:bottom w:val="single" w:color="000000" w:sz="4" w:space="0"/>
              <w:right w:val="nil"/>
            </w:tcBorders>
            <w:shd w:val="clear" w:color="auto" w:fill="auto"/>
            <w:noWrap/>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2023年地县食用农产品抽检品种、项目表</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食品大类（一级）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食品亚类</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（二级）</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食品品种</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（三级）</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食品细类</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（四级）</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必检项目</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可选项目</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食用农产品</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畜禽肉及副产品</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畜肉</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猪肉</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恩诺沙星</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挥发性盐基氮、呋喃唑酮代谢物、呋喃西林代谢物、氯霉素，五氯酚酸纳(以五氯酚计)、克伦特罗、莱克多巴胺、沙丁胺醇、喹乙醇、替米考星、磺胺类(总量)、甲氯苄啶、氟笨尼考，多西环素，土霉素，地塞米松，甲硝唑、氯丙嗪，土霉素/金霉素/四环素(组合含量)</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牛肉</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磺胺类(总量)</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挥发性盐基氮、呋喃唑酮代谢物、呋喃西林代谢物、氯霉素、五氯酚酸钠(以五氯酚计)、克伦特罗、莱克多巴胺、沙丁胺醇、恩诺沙星、甲氧苄啶、氟苯尼考、多西环素、土霉素、地塞米松、林可霉素、土霉素/金霉素/四环素(组合含量)</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羊肉</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恩诺沙星、氟苯尼考、磺胺类(总量)</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呋喃唑酮代谢物、呋喃西林代谢物、氯霉素、五氯酚酸钠(以五氯酚计)、克伦特罗、莱克多巴胺、沙丁胺醇、林可毒素、环丙氨嗪、土霉素/金霉素/四环素(组合含量)</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禽肉</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鸡肉</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氧氟沙星、甲氧苄啶、恩诺沙星</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挥发性盐基氮、呋喃唑酮代谢物、呋喃西林代谢物、呋喃它酮代谢物、氯霉素、五氯酚酸钠(以五氯酚计)、沙拉沙星、替米考星、磺胺类(总量)、氟苯尼考、多西环素、土霉素、金霉素、甲硝唑、尼卡巴嗪、培氟沙星、诺氟沙星、环丙氨嗪、土霉素/金霉素/四环素(组合含量)</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其他禽肉（重点品种：鸭子、鹅、鸽子）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呋喃唑酮代谢物、氯霉素、五氯酚酸钠(以五氯酚计)、氧氟沙星、氟苯尼考、多西环素、土霉素、甲硝唑、诺氟沙星、恩诺沙星、环丙氨嗪、土霉素/金霉素/四环素(组合含量)</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1"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蔬菜</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豆芽</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豆芽</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4-氯苯氧乙酸钠(以4-氯苯氧乙酸计)、6-苄基腺嘌呤(6-BA)</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铅(以Pb计)、亚硫酸盐(以SO2计)、总汞(以Hg计)</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鳞茎类蔬菜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韭菜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毒死蜱、腐霉利</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阿维菌素、狄氏剂、敌敌畏、啶虫脒、多菌灵、二甲戊灵、氟虫腈、镉(以Cd计)、甲胺磷、甲拌磷、甲基异柳磷、克百威、乐果、六六六、氯氟氰菊酯和高效氯氟氰菊酯、氯氰菊酯和高效氯氰菊酯、铅(以Pb计)、三唑磷、水胺硫磷、辛硫磷、氧乐果、乙酸甲胺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叶菜类蔬菜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普通白菜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啶虫脒、毒死蜱、</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阿维菌素、吡虫啉、狄氏剂、敌敌畏、氟虫腈、镉(以Cd计)、甲氨基阿维菌素苯甲酸盐、甲胺磷、甲拌磷、甲基异柳磷、克百威、氯氟氰菊酯和高效氯氟氰菊酯 、氯氰菊酯和高效氯氰菊酯、铅(以Pb计)、水胺硫磷、氧乐果、乙酰甲胺磷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油麦菜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阿维菌素、啶虫脒、毒死蜱、氟虫腈、甲胺磷、甲拌磷、腈菌唑、克百威、氯氟氰菊酯和高效氯氟氰菊酯、灭多威、噻虫嗪、水胺硫磷、乙酰甲胺磷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菠菜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铅(以Pb计)、镉(以Cd计)、铬(以Cr计)、阿维菌素、毒死蜱、氟虫腈、腐霉利、甲氨基阿维菌素苯甲酸盐、甲拌磷、克百威、乐果、六六六、氯氟氰菊酯和高效氯氟氰菊酯、氯氰菊酯和高效氯氰菊酯、氧乐果、乙酰甲胺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芹菜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毒死蜱、甲拌磷</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阿维菌素、百菌清、苯醚甲环唑、敌敌畏、啶虫脒、二甲戊灵、氟虫腈、镉(以Cd计)、甲胺磷、甲基异柳磷、腈菌唑、克百威、乐果、氯氟氰菊酯和高效氯氟氰菊酯、氯氰菊酯和高效氯氰菊酯、马拉硫磷、灭蝇胺、铅(以Pb计)、噻虫胺、噻虫嗪、三氯杀螨醇、水胺硫磷、辛硫磷、氧乐果、乙酰甲胺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茄果类蔬菜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甜椒</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噻虫胺</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阿维菌素、吡唑醚菌酯、吡虫啉、啶虫脒、毒死蜱、镉(以Cd计)、氯氟氰菊酯和高效氯氟氰菊酯、铅(以Pb计)、噻虫嗪、水胺硫磷、氧乐果、氟虫腈</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辣椒</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铅(以Pb计)、镉(以Cd计)、倍硫磷、吡虫啉、吡唑醚菌酯、丙溴磷、敌敌畏、啶虫脒、毒死蜱、氟虫腈、甲氨基阿维菌素苯甲酸盐、甲胺磷、甲拌磷、克百威、乐果、联苯菊酯、氯氟氰菊酯和高效氯氟氰菊酯、氯氰菊酯和高效氯氰菊酯、噻虫胺、噻虫嗪、三唑磷、杀扑磷、水胺硫磷、氧乐果、乙酰甲胺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瓜类蔬菜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黄瓜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阿维菌素、哒螨灵、敌敌畏、毒死蜱、腐霉利、甲氨基阿维菌素苯甲酸盐、甲拌磷、克百威、乐果、噻虫嗪、氧乐果、乙螨唑、乙酰甲胺磷、异丙威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豆类蔬菜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豇豆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倍硫磷、灭蝇胺</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阿维菌素、敌敌畏、啶虫脒、毒死蜱、氟虫腈、甲氨基阿维菌素苯甲酸盐、甲胺磷、甲拌磷、甲基异柳磷、克百威、氯氟氰菊酯和高效氯氟氰菊酯、氯氰菊酯和高效氯氰菊酯、氯唑磷、灭多威、噻虫胺、噻虫嗪、三唑磷、水胺硫磷、氧乐果、乙酰甲胺磷、乐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根茎类和薯芋类蔬菜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噻虫胺、噻虫嗪</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吡虫啉、毒死蜱、狄氏剂、敌敌畏、二氧化硫残留量、镉(以Cd计)、甲拌磷、克百威、氯氟氰菊酯和高效氯氟氰菊酯、氯氰菊酯和高效氯氰菊酯、氯唑磷、铅(以Pb计)、氧乐果、六六六、乙酰甲胺磷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水产品</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淡水产品</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淡水鱼</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恩诺沙星</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挥发性盐基氮、多氯联苯、孔雀石绿、氯霉素、氟苯尼考、呋喃唑酮代谢物、呋喃西林代谢物、呋喃妥因代谢物、磺胺类(总量)、甲氧苄啶、甲硝唑、地西泮、五氯酚酸钠(以五氯酚计)、氧氟沙星、诺氟沙星、培氟沙星</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1"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其他水产品</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其他水产品（重点品种：牛蛙）</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恩诺沙星a</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镉(以Cd计)b、孔雀石绿、氯霉素、呋喃唑酮代谢物、呋喃西林代谢物、呋喃妥因代谢物、磺胺类(总量)、氧氟沙星、诺氟沙星</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a.仅蛙科、鳖科食品动物检测</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b.限头足类、腹足类棘皮类检测。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水果类</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仁果类水果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苹果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敌敌畏、啶虫脒、毒死蜱、甲拌磷、克百威、氧乐果、丙溴磷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梨</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吡虫啉、敌敌畏、毒死蜱、多菌灵、克百威、氯氟氰菊酯和高效氯氟氰菊酯、氧乐果、水胺硫磷、苯醚甲环唑、咪鲜胺和咪鲜胺锰盐</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核果类水果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杏</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克百威、氧乐果、氟硅唑、腈苯唑、抗蚜威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枣</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多菌灵、氟虫腈、氰戊菊酯和 S-氰戊菊酯、氧乐果、糖精钠（以糖精钠）</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桃</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苯醚甲环唑、敌敌畏、多菌灵、氟硅唑、甲胺磷、克百威、氧乐果、溴氰菊酯、吡虫啉</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油桃</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多菌灵、甲胺磷、克百威、氧乐果、敌敌畏、苯醚甲环唑</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柑橘类水果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柑、橘</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联苯菊酯、丙溴磷</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马拉硫磷、苯醚甲环唑、氯氟氰菊酯和高效氯氟氰菊酯 、氯唑磷、毒死蜱、三唑磷、克百威、水胺硫磷、氧乐果、甲拌磷、2，4-滴和2，4-滴钠盐、狄氏剂、杀扑磷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橙</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丙溴磷、克百威、联苯菊酯、三唑磷、杀扑磷、水胺硫磷、氧乐果、2，4-滴和2，4-滴钠盐、苯醚甲环唑、狄氏剂、氯唑磷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浆果和其他小型水果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猕猴桃</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氯吡脲</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敌敌畏、多菌灵、氧乐果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葡萄</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苯醚甲环唑、氯氟氰菊酯和高效氯氟氰菊酯、己唑醇、克百威、氯氰菊酯和高效氯氰菊酯、霜霉威和霜霉威盐酸盐、氧乐果、氟虫腈、氯吡脲、联苯菊酯</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草莓</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烯酰吗啉</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多菌灵、阿维菌素、敌敌畏、克百威、氧乐果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热带和亚热带水果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芒果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吡唑醚菌酯戊唑醇</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苯醚甲环唑、多菌灵、嘧菌酯、氧乐果、噻虫胺、乙酰甲胺磷、吡虫啉</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香蕉</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吡虫啉、噻虫嗪、噻虫胺、腈茉唑</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联苯菊酯、狄氏剂、苯醚甲环唑、吡唑醚菌酯、多菌灵、氟虫腈、甲拌磷、氟环唑、烯唑醇、百菌清、嚓唑膦</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瓜果类水果</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西瓜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克百威、噻虫嗪、氧乐果、乙酰甲胺磷、苯醚甲环唑</w:t>
            </w:r>
          </w:p>
        </w:tc>
        <w:tc>
          <w:tcPr>
            <w:tcW w:w="1299" w:type="dxa"/>
            <w:tcBorders>
              <w:top w:val="single" w:color="000000" w:sz="4" w:space="0"/>
              <w:left w:val="nil"/>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甜瓜类</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克百威、烯酰吗啉、氧乐果、乙酰甲胺磷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鲜蛋</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鲜蛋</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鸡蛋</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甲硝唑、地美</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硝唑</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氯霉素、恩诺沙星、沙拉沙星、氧氟沙星、多西环素、氟苯尼考、甲砜霉素、甲氧苄啶、磺胺类(总量)、呋喃唑酮代谢物、氟虫腈</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生干坚果与籽类食品</w:t>
            </w:r>
          </w:p>
        </w:tc>
        <w:tc>
          <w:tcPr>
            <w:tcW w:w="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生干坚果与籽类食品</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生干坚果</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铅、酸价、糖精钠、二氧化硫残留量</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生干籽类</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黄曲霉毒素B1</w:t>
            </w:r>
          </w:p>
        </w:tc>
        <w:tc>
          <w:tcPr>
            <w:tcW w:w="8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酸价(以脂肪计)(KOH)、过氧化值(以脂肪计)、镉(以Cd计)、嘧菌酯、二氧化硫残留量</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仅花生检测黄曲霉毒素B1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 1.部分项目检测结果说明：恩诺沙星检验结果以恩诺沙星与环丙沙星之和计；孔雀石绿检验结果以孔雀石绿与隐色孔雀石绿之和计，以孔雀石绿表示；磺胺类（总量）包含的具体磺胺药物按食品安全监督抽检实施细则（2023年版）中相应食品类别要求检验。</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xml:space="preserve">   2.酸价、过氧化值依据GB 19300判定时，样品前处理按该标准附录B规定；脂肪含量低的莲子、板栗类等食品，其酸价、过氧化值不作要求；其中芝麻的酸价不纳入2023年监督抽检。</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xml:space="preserve">   3.可选项目选择原则：</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xml:space="preserve">   1）农业农村部公告594号，GB31650.1-2022《食品安全国家标准  食品中41种兽药最大残留限量》将于2023年2月1日实施，该标准中制定有限量的兽药及靶组织，有相应适用检测方法，且生产日期在2023年2月1日（含）之后的产品可纳入监督抽检；金刚烷胺、利巴韦林等药物在相关限量标准发布实施前不得纳入监督抽检；鉴于检测方法等问题，虾、蟹中呋喃西林代谢物不得纳入监督抽检。</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xml:space="preserve">   2）选检项目应根据当地农业投入品使用情况及既往抽检不合格、当地舆情情况选择，如在本表选检项目之外确定检测项目时，应注意：农药残留项目在GB 2763—2021标准中有该品种最大允许残留限量及相应指定检测方法；兽药项目在GB 31650-2019、GB 31650.1-2022有该动物类别相应组织部位的允许限量，或农业农村部公告250号有禁用要求，且有适用检测方法（检测范围应包含该动物相应组织部位），符合上述要求的农兽药项目方可纳入监督抽检。</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xml:space="preserve">   4.因生干籽类细类中包括除重点品种花生外的其他生干籽类产品，其他水产品中包含除重点品种牛蛙、鱿鱼外的其他水产品，因此“国抽信息系统”不作必检项限制，但各承检机构应按承检区域必检项目要求实施检验，不得漏检漏报。</w:t>
            </w:r>
            <w:r>
              <w:rPr>
                <w:rFonts w:hint="eastAsia" w:ascii="宋体" w:hAnsi="宋体" w:eastAsia="宋体" w:cs="宋体"/>
                <w:color w:val="auto"/>
                <w:kern w:val="0"/>
                <w:sz w:val="24"/>
                <w:szCs w:val="24"/>
                <w:lang w:val="en-US" w:eastAsia="zh-CN" w:bidi="ar-SA"/>
              </w:rPr>
              <w:br w:type="textWrapping"/>
            </w:r>
            <w:r>
              <w:rPr>
                <w:rFonts w:hint="eastAsia" w:ascii="宋体" w:hAnsi="宋体" w:eastAsia="宋体" w:cs="宋体"/>
                <w:color w:val="auto"/>
                <w:kern w:val="0"/>
                <w:sz w:val="24"/>
                <w:szCs w:val="24"/>
                <w:lang w:val="en-US" w:eastAsia="zh-CN" w:bidi="ar-SA"/>
              </w:rPr>
              <w:t xml:space="preserve">   5.抽样前，应制定抽样方案，抽取样品量、检验及复检备份所需样品量应根据采用的检测方法标准要求确定。                                                                                                                                                                                                                              6.所有项目参照《食品安全监督抽检实施细则（2023年版）》《自治区食品安全监督抽检实施细则（2023年版）》执行检验。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pPr>
          </w:p>
        </w:tc>
      </w:tr>
    </w:tbl>
    <w:p>
      <w:pPr>
        <w:pStyle w:val="29"/>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lang w:val="en-US" w:eastAsia="zh-CN" w:bidi="ar-SA"/>
        </w:rPr>
        <w:sectPr>
          <w:pgSz w:w="16840" w:h="11907" w:orient="landscape"/>
          <w:pgMar w:top="1814" w:right="1474" w:bottom="1814" w:left="1474" w:header="851" w:footer="851" w:gutter="0"/>
          <w:pgNumType w:fmt="decimal"/>
          <w:cols w:space="720" w:num="1"/>
          <w:docGrid w:linePitch="462" w:charSpace="0"/>
        </w:sectPr>
      </w:pPr>
    </w:p>
    <w:p>
      <w:pPr>
        <w:pStyle w:val="20"/>
        <w:ind w:left="0" w:leftChars="0" w:firstLine="0" w:firstLineChars="0"/>
        <w:rPr>
          <w:rFonts w:hint="eastAsia" w:ascii="宋体" w:hAnsi="宋体" w:eastAsia="宋体" w:cs="宋体"/>
          <w:color w:val="auto"/>
          <w:sz w:val="24"/>
          <w:szCs w:val="24"/>
        </w:rPr>
      </w:pPr>
      <w:bookmarkStart w:id="534" w:name="_Toc7699"/>
      <w:bookmarkStart w:id="535" w:name="_Toc23266"/>
    </w:p>
    <w:p>
      <w:pPr>
        <w:pStyle w:val="3"/>
        <w:tabs>
          <w:tab w:val="left" w:pos="0"/>
        </w:tabs>
        <w:spacing w:before="0" w:after="0" w:line="240" w:lineRule="atLeast"/>
        <w:ind w:firstLine="2650" w:firstLineChars="1100"/>
        <w:jc w:val="both"/>
        <w:rPr>
          <w:rFonts w:hint="eastAsia" w:ascii="宋体" w:hAnsi="宋体" w:eastAsia="宋体" w:cs="宋体"/>
          <w:color w:val="auto"/>
          <w:sz w:val="24"/>
          <w:szCs w:val="24"/>
        </w:rPr>
      </w:pPr>
      <w:bookmarkStart w:id="536" w:name="_Toc24111"/>
      <w:r>
        <w:rPr>
          <w:rFonts w:hint="eastAsia" w:ascii="宋体" w:hAnsi="宋体" w:eastAsia="宋体" w:cs="宋体"/>
          <w:color w:val="auto"/>
          <w:sz w:val="24"/>
          <w:szCs w:val="24"/>
        </w:rPr>
        <w:t xml:space="preserve">第6章 </w:t>
      </w:r>
      <w:bookmarkStart w:id="537" w:name="_Toc507399907"/>
      <w:bookmarkStart w:id="538" w:name="_Toc515647832"/>
      <w:bookmarkStart w:id="539" w:name="_Toc32647"/>
      <w:bookmarkStart w:id="540" w:name="_Toc7971"/>
      <w:r>
        <w:rPr>
          <w:rFonts w:hint="eastAsia" w:ascii="宋体" w:hAnsi="宋体" w:eastAsia="宋体" w:cs="宋体"/>
          <w:color w:val="auto"/>
          <w:sz w:val="24"/>
          <w:szCs w:val="24"/>
        </w:rPr>
        <w:t>评审方法和标准</w:t>
      </w:r>
      <w:bookmarkEnd w:id="530"/>
      <w:bookmarkEnd w:id="531"/>
      <w:bookmarkEnd w:id="532"/>
      <w:bookmarkEnd w:id="534"/>
      <w:bookmarkEnd w:id="535"/>
      <w:bookmarkEnd w:id="536"/>
      <w:bookmarkEnd w:id="537"/>
      <w:bookmarkEnd w:id="538"/>
      <w:bookmarkEnd w:id="539"/>
      <w:bookmarkEnd w:id="540"/>
    </w:p>
    <w:p>
      <w:pPr>
        <w:pStyle w:val="8"/>
        <w:tabs>
          <w:tab w:val="clear" w:pos="567"/>
        </w:tabs>
        <w:spacing w:before="0" w:line="240" w:lineRule="atLeast"/>
        <w:ind w:firstLine="540" w:firstLineChars="225"/>
        <w:rPr>
          <w:rFonts w:hint="eastAsia" w:ascii="宋体" w:hAnsi="宋体" w:eastAsia="宋体" w:cs="宋体"/>
          <w:color w:val="auto"/>
          <w:sz w:val="24"/>
          <w:szCs w:val="24"/>
        </w:rPr>
      </w:pP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本项目将按照磋商文件第一章供应商须知中“五 磋商开启及评审”、“六 确定成交”及本章的规定评标。</w:t>
      </w:r>
    </w:p>
    <w:p>
      <w:pPr>
        <w:pStyle w:val="8"/>
        <w:tabs>
          <w:tab w:val="clear" w:pos="567"/>
        </w:tabs>
        <w:spacing w:before="0" w:line="400" w:lineRule="exact"/>
        <w:ind w:firstLine="540" w:firstLineChars="225"/>
        <w:rPr>
          <w:rFonts w:hint="eastAsia" w:ascii="宋体" w:hAnsi="宋体" w:eastAsia="宋体" w:cs="宋体"/>
          <w:color w:val="auto"/>
          <w:sz w:val="24"/>
          <w:szCs w:val="24"/>
        </w:rPr>
      </w:pPr>
      <w:bookmarkStart w:id="541" w:name="_Toc8908"/>
      <w:r>
        <w:rPr>
          <w:rFonts w:hint="eastAsia" w:ascii="宋体" w:hAnsi="宋体" w:eastAsia="宋体" w:cs="宋体"/>
          <w:color w:val="auto"/>
          <w:sz w:val="24"/>
          <w:szCs w:val="24"/>
        </w:rPr>
        <w:t>2.2 开标程序</w:t>
      </w:r>
      <w:bookmarkEnd w:id="541"/>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2.2.1主持人按下列程序对响应文件进行开标：</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（1）宣布开标工作纪律；</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（2）介绍参加开标会的人员；</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（3）公布在响应截止时间前递交响应文件的投标人名称；</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（4）由采购人代表检查投标人代表的身份及投标保证金</w:t>
      </w:r>
      <w:r>
        <w:rPr>
          <w:rFonts w:hint="eastAsia" w:ascii="宋体" w:hAnsi="宋体" w:eastAsia="宋体" w:cs="宋体"/>
          <w:color w:val="auto"/>
          <w:sz w:val="24"/>
          <w:szCs w:val="24"/>
          <w:lang w:eastAsia="zh-CN"/>
        </w:rPr>
        <w:t>有效凭证</w:t>
      </w:r>
      <w:r>
        <w:rPr>
          <w:rFonts w:hint="eastAsia" w:ascii="宋体" w:hAnsi="宋体" w:eastAsia="宋体" w:cs="宋体"/>
          <w:color w:val="auto"/>
          <w:sz w:val="24"/>
          <w:szCs w:val="24"/>
        </w:rPr>
        <w:t>并宣布检查结果；</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）开标顺序：随机公布投标人名称、响应报价、及其他内容，并记录在案；</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）参加开标会的有关人员在评审记录上签字确认；</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）开标结束；</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）评标小组成员不得参加开标会议。</w:t>
      </w:r>
    </w:p>
    <w:p>
      <w:pPr>
        <w:pStyle w:val="8"/>
        <w:tabs>
          <w:tab w:val="clear" w:pos="567"/>
        </w:tabs>
        <w:spacing w:before="0" w:line="400" w:lineRule="exact"/>
        <w:ind w:firstLine="540" w:firstLineChars="225"/>
        <w:rPr>
          <w:rFonts w:hint="eastAsia" w:ascii="宋体" w:hAnsi="宋体" w:eastAsia="宋体" w:cs="宋体"/>
          <w:color w:val="auto"/>
          <w:sz w:val="24"/>
          <w:szCs w:val="24"/>
        </w:rPr>
      </w:pPr>
      <w:bookmarkStart w:id="542" w:name="_Toc389087478"/>
      <w:bookmarkStart w:id="543" w:name="_Toc389085275"/>
      <w:r>
        <w:rPr>
          <w:rFonts w:hint="eastAsia" w:ascii="宋体" w:hAnsi="宋体" w:eastAsia="宋体" w:cs="宋体"/>
          <w:color w:val="auto"/>
          <w:sz w:val="24"/>
          <w:szCs w:val="24"/>
        </w:rPr>
        <w:t>2.2.2在开标会上，判定响应文件不予受理或为无效响应的情形（由采购人负责判定）：</w:t>
      </w:r>
      <w:bookmarkEnd w:id="542"/>
      <w:bookmarkEnd w:id="543"/>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（一）判定响应文件不予受理的情形：</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（1）未按规定办理响应报名手续或未向采购代理机构购买招标文件的；</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（2）响应文件在响应截止时间以后送达或者未送达指定地点；</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响应文件上载明的投标人名称与报名时登记的投标人名称不一致（已在工商行政管理部门及建设行政主管部门办理了工商更名登记手续及相关证书更名手续，且在评审的1个工作日之前已向采购人和采购代理机构报备的除外）；</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（4）投标人的法定代表人或授权代理人未按招标文件要求提供身份证明文件的；</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（5）投标人未按要求出示投标保证金</w:t>
      </w:r>
      <w:r>
        <w:rPr>
          <w:rFonts w:hint="eastAsia" w:ascii="宋体" w:hAnsi="宋体" w:eastAsia="宋体" w:cs="宋体"/>
          <w:color w:val="auto"/>
          <w:sz w:val="24"/>
          <w:szCs w:val="24"/>
          <w:lang w:eastAsia="zh-CN"/>
        </w:rPr>
        <w:t>有效凭证</w:t>
      </w:r>
      <w:r>
        <w:rPr>
          <w:rFonts w:hint="eastAsia" w:ascii="宋体" w:hAnsi="宋体" w:eastAsia="宋体" w:cs="宋体"/>
          <w:color w:val="auto"/>
          <w:sz w:val="24"/>
          <w:szCs w:val="24"/>
        </w:rPr>
        <w:t>；</w:t>
      </w:r>
    </w:p>
    <w:p>
      <w:pPr>
        <w:pStyle w:val="8"/>
        <w:tabs>
          <w:tab w:val="clear" w:pos="567"/>
        </w:tabs>
        <w:spacing w:before="0" w:line="400" w:lineRule="exact"/>
        <w:ind w:firstLine="540" w:firstLineChars="22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注：响应文件出现上述情形被判定不予受理的，采购人将退回该响应文件。</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color w:val="auto"/>
          <w:sz w:val="24"/>
          <w:szCs w:val="24"/>
        </w:rPr>
        <w:t>宣布响应文件为无效响应的情形：</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响应文件中投标人名称与报名登记的名称不符的（已在工商行政管理部门及建设行政主管部门办理了工商更名登记手续及相关证书更名手续，且在评审的1个工作日之前已向采购代理机构和集中交易机构报备的除外）；</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注：响应文件出现上述情形在开标会上被宣布为无效响应后，不再经评标小组确认，亦不进入开标下一程序，该响应文件不予退回。</w:t>
      </w:r>
    </w:p>
    <w:p>
      <w:pPr>
        <w:pStyle w:val="8"/>
        <w:tabs>
          <w:tab w:val="clear" w:pos="567"/>
        </w:tabs>
        <w:spacing w:before="0" w:line="400" w:lineRule="exact"/>
        <w:ind w:firstLine="540" w:firstLineChars="225"/>
        <w:rPr>
          <w:rFonts w:hint="eastAsia" w:ascii="宋体" w:hAnsi="宋体" w:eastAsia="宋体" w:cs="宋体"/>
          <w:color w:val="auto"/>
          <w:sz w:val="24"/>
          <w:szCs w:val="24"/>
        </w:rPr>
      </w:pPr>
      <w:bookmarkStart w:id="544" w:name="_Toc31777"/>
      <w:r>
        <w:rPr>
          <w:rFonts w:hint="eastAsia" w:ascii="宋体" w:hAnsi="宋体" w:eastAsia="宋体" w:cs="宋体"/>
          <w:color w:val="auto"/>
          <w:sz w:val="24"/>
          <w:szCs w:val="24"/>
        </w:rPr>
        <w:t>2.3 开标异议</w:t>
      </w:r>
      <w:bookmarkEnd w:id="544"/>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2.3.1投标人对开标有异议的，应当在开标现场提出，采购人当场作出答复，并制作记录。</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2.3.2当开标过程发生争议无法确定响应文件的有效性时，则提交评审小组裁决。</w:t>
      </w:r>
    </w:p>
    <w:p>
      <w:pPr>
        <w:pStyle w:val="8"/>
        <w:tabs>
          <w:tab w:val="clear" w:pos="567"/>
        </w:tabs>
        <w:spacing w:before="0" w:line="400" w:lineRule="exact"/>
        <w:ind w:firstLine="540" w:firstLineChars="225"/>
        <w:rPr>
          <w:rFonts w:hint="eastAsia" w:ascii="宋体" w:hAnsi="宋体" w:eastAsia="宋体" w:cs="宋体"/>
          <w:color w:val="auto"/>
          <w:sz w:val="24"/>
          <w:szCs w:val="24"/>
        </w:rPr>
      </w:pPr>
      <w:bookmarkStart w:id="545" w:name="_Toc1213265"/>
      <w:r>
        <w:rPr>
          <w:rFonts w:hint="eastAsia" w:ascii="宋体" w:hAnsi="宋体" w:eastAsia="宋体" w:cs="宋体"/>
          <w:color w:val="auto"/>
          <w:sz w:val="24"/>
          <w:szCs w:val="24"/>
        </w:rPr>
        <w:t>3.评标小组</w:t>
      </w:r>
      <w:bookmarkEnd w:id="545"/>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3.1评标小组由采购人根据项目的相关文件及批复精神组建。</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3.2评标小组人数为5人以上单数组成，其中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3.3招投标工作，评标小组成员应当遵循“客观、公正、审慎”的原则。</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3.4评标小组根据招标文件规定的评审程序、评审方法和评审标准负责对具备实质性响应的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3.5采购人代表不得以评审专家身份参加本部门或本单位采购项目的评审。采购代理机构人员不得参加本机构代理的采购项目的评审。与投标人有利益关系的人将不被允许进入评标小组。</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3.6 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6" w:name="_Toc143596262"/>
      <w:bookmarkStart w:id="547" w:name="_Toc143596673"/>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3.7根据国家有关法律法规，本次评标将坚持“公开、公平、客观、公正、科学、审慎、择优”的评审原则。</w:t>
      </w:r>
    </w:p>
    <w:p>
      <w:pPr>
        <w:pStyle w:val="8"/>
        <w:tabs>
          <w:tab w:val="clear" w:pos="567"/>
        </w:tabs>
        <w:spacing w:before="0" w:line="400" w:lineRule="exact"/>
        <w:ind w:firstLine="540" w:firstLineChars="225"/>
        <w:rPr>
          <w:rFonts w:hint="eastAsia" w:ascii="宋体" w:hAnsi="宋体" w:eastAsia="宋体" w:cs="宋体"/>
          <w:color w:val="auto"/>
          <w:sz w:val="24"/>
          <w:szCs w:val="24"/>
        </w:rPr>
      </w:pPr>
      <w:bookmarkStart w:id="548" w:name="_Toc157182374"/>
      <w:bookmarkStart w:id="549" w:name="_Toc1213266"/>
      <w:bookmarkStart w:id="550" w:name="_Toc387416366"/>
      <w:bookmarkStart w:id="551" w:name="_Toc217102234"/>
      <w:bookmarkStart w:id="552" w:name="_Toc287112610"/>
      <w:bookmarkStart w:id="553" w:name="_Toc184891547"/>
      <w:bookmarkStart w:id="554" w:name="_Toc184891774"/>
      <w:r>
        <w:rPr>
          <w:rFonts w:hint="eastAsia" w:ascii="宋体" w:hAnsi="宋体" w:eastAsia="宋体" w:cs="宋体"/>
          <w:color w:val="auto"/>
          <w:sz w:val="24"/>
          <w:szCs w:val="24"/>
        </w:rPr>
        <w:t>4.评标办法和程序</w:t>
      </w:r>
      <w:bookmarkEnd w:id="546"/>
      <w:bookmarkEnd w:id="547"/>
      <w:bookmarkEnd w:id="548"/>
      <w:bookmarkEnd w:id="549"/>
      <w:bookmarkEnd w:id="550"/>
      <w:bookmarkEnd w:id="551"/>
      <w:bookmarkEnd w:id="552"/>
      <w:bookmarkEnd w:id="553"/>
      <w:bookmarkEnd w:id="554"/>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4.1采购人将邀请有关行政监督部门对本次公开招标进行监督。</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4.2本次招标采用综合评估法。</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4.3本评标办法的解释权在采购人。</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4.4 评标小组对各投标人的响应文件进行资格审查，响应文件满足招标文件资格要求的投标人，方视为合格的投标人。响应文件资格审查的的主要条件：</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（1）响应文件按招标文件要求签字或盖章；</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（2）内容齐全、关键内容字迹清晰可辨；</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（3）符合第四章“响应文件格式”要求；</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（4）投标人名称与报名时一致；</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（5）没有递交两份或多份内容不同的响应文件；</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（6）投标人符合招标文件规定的资格条件；</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（7）响应文件未通过审查的，评标小组可以宣布其响应无效。</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4.5评标小组按照《商务、技术经济评审表》的要求，各位评标小组成员单独就每个合格投标人的响应方案（包括合同、协议条款响应性）进行评审和比较，评出其技术评分、商务评分。步骤如下：</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（1）各评标小组成员对每一个方案分别评审，对每一评审项目，按评审标准在“评分”栏中填写分数，</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（2）最后小计得到方案评审分。</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4.6 价格分统一采用低价优先法计算，即满足招标文件要求且最后报价最低的投标人的价格为评标基准价，其价格分为满分。</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投标人的价格分统一按照下列公式计算：</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投标报价得分=（评标基准价/最后投标报价）X价格权值X100</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供应商的价格分统一按照下列公式计算：</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项目评审过程中，不得去掉最后报价中的最高报价和最低报价。</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价格评审得分保留小数点后两位，第三位四舍五入。综合得分最高者优先推荐。</w:t>
      </w:r>
    </w:p>
    <w:p>
      <w:pPr>
        <w:pStyle w:val="8"/>
        <w:tabs>
          <w:tab w:val="clear" w:pos="567"/>
        </w:tabs>
        <w:spacing w:before="0" w:line="40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4.7对各评标小组成员响应方案评分的算术平均值即为该投标人的技术得分和商务得分，再分别计算各投标人的报价得分后，即可得出投标人最终综合得分。</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注：1.磋商无效的情形：</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（1）单位负责人为同一人或者存在直接控股、管理关系的不同供应商，其相关磋商将被认定为磋商无效。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（2）若供应商须知资料表中未写明允许采购进口产品，如供应商所投产品为进口产品，其磋商将被认定为磋商无效。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（3）为本项目提供过整体设计、规范编制或者项目管理、监理、检测等</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的供应商，不得再参加本项目上述</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以外的其他采购活动。否则其磋商将被认定为磋商无效。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供应商在磋商过程中不得向采购人提供、给予任何有价值的物品，影响其正常决策行为。一经发现，其将被认定为磋商无效。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（4）供应商报价超过磋商文件规定的预算金额或者分项、分包最高限价的，其磋商将被认定为磋商无效。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（6）供应商应当对所投分包磋商文件中“</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需求”所列的所有内容进行磋商，如仅响应某一包中的部分内容，其该包磋商将被认定为磋商无效。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（7）供应商未按本须知第12.1和12.3条规定提交磋商保证金的，其磋商资格将被认定为无效。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（8）所有磋商均以人民币报价。供应商的磋商报价应遵守《中华人民共和国价格法》。同时，根据《中华人民共和国政府采购法》第二条的规定，为保证公平竞争，如有</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主体部分的赠与行为，其磋商将被认定为磋商无效。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（9）供应商所报的各分项磋商单价在合同履行过程中是固定不变的，不得以任何理由予以变更。任何包含价格调整要求的磋商，其磋商将被认定为磋商无效。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（10）磋商应在供应商须知资料表中规定时间内保持有效。磋商有效期不满足要求的磋商，其磋商将被认定为磋商无效。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（11）所有响应文件采用不可拆装的胶订方式装订，否则其磋商将被认定为磋商无效。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（12）采购人或采购代理机构将在开标前1个工作日至磋商截止后1小时的期间内查询供应商的信用记录。供应商存在不良信用记录的，其磋商将被认定为磋商无效。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（15）如发现下列情况之一的，其磋商将被认定为磋商无效：</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%后参与评审。对于同时属于小微企业、监狱企业或残疾人福利性单位的，不重复进行报价扣除。</w:t>
      </w:r>
    </w:p>
    <w:p>
      <w:pPr>
        <w:widowControl/>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3.联合协议中约定，小型、微型企业和监狱企业的协议合同金额占到联合体协议合同总金额30%以上的，可给予联合体</w:t>
      </w:r>
      <w:r>
        <w:rPr>
          <w:rFonts w:hint="eastAsia" w:ascii="宋体" w:hAnsi="宋体" w:eastAsia="宋体" w:cs="宋体"/>
          <w:color w:val="auto"/>
          <w:sz w:val="24"/>
          <w:szCs w:val="24"/>
          <w:u w:val="single"/>
        </w:rPr>
        <w:t xml:space="preserve"> 2%-3</w:t>
      </w:r>
      <w:r>
        <w:rPr>
          <w:rFonts w:hint="eastAsia" w:ascii="宋体" w:hAnsi="宋体" w:eastAsia="宋体" w:cs="宋体"/>
          <w:color w:val="auto"/>
          <w:sz w:val="24"/>
          <w:szCs w:val="24"/>
        </w:rPr>
        <w:t>%的价格扣除。</w:t>
      </w:r>
      <w:r>
        <w:rPr>
          <w:rFonts w:hint="eastAsia" w:ascii="宋体" w:hAnsi="宋体" w:eastAsia="宋体" w:cs="宋体"/>
          <w:b/>
          <w:bCs/>
          <w:color w:val="auto"/>
          <w:sz w:val="24"/>
          <w:szCs w:val="24"/>
        </w:rPr>
        <w:t>（本项目不适用）</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联合体各方均为小型、微型企业和监狱企业的，联合体视同为小型、微型企业和监狱企业。</w:t>
      </w:r>
    </w:p>
    <w:p>
      <w:pPr>
        <w:pStyle w:val="5"/>
        <w:spacing w:line="500" w:lineRule="exact"/>
        <w:ind w:firstLine="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.同品牌处理办法：</w:t>
      </w:r>
    </w:p>
    <w:p>
      <w:pPr>
        <w:pStyle w:val="5"/>
        <w:spacing w:line="500" w:lineRule="exact"/>
        <w:ind w:firstLine="0"/>
        <w:rPr>
          <w:rFonts w:hint="eastAsia" w:ascii="宋体" w:hAnsi="宋体" w:eastAsia="宋体" w:cs="宋体"/>
          <w:color w:val="auto"/>
          <w:sz w:val="24"/>
          <w:szCs w:val="24"/>
          <w:u w:val="single"/>
        </w:rPr>
      </w:pPr>
      <w:r>
        <w:rPr>
          <w:rFonts w:hint="eastAsia" w:ascii="宋体" w:hAnsi="宋体" w:eastAsia="宋体" w:cs="宋体"/>
          <w:color w:val="auto"/>
          <w:sz w:val="24"/>
          <w:szCs w:val="24"/>
        </w:rPr>
        <w:t>如采用综合评标法，则：</w:t>
      </w:r>
      <w:r>
        <w:rPr>
          <w:rFonts w:hint="eastAsia" w:ascii="宋体" w:hAnsi="宋体" w:eastAsia="宋体" w:cs="宋体"/>
          <w:color w:val="auto"/>
          <w:sz w:val="24"/>
          <w:szCs w:val="24"/>
          <w:u w:val="single"/>
        </w:rPr>
        <w:t>提供相同品牌产品且通过资格审查、符合性审查的不同供应商参加同一合同项下投标的，按一家供应商计算，评审后得分最高的同品牌供应商获得</w:t>
      </w:r>
      <w:r>
        <w:rPr>
          <w:rFonts w:hint="eastAsia" w:ascii="宋体" w:hAnsi="宋体" w:eastAsia="宋体" w:cs="宋体"/>
          <w:color w:val="auto"/>
          <w:sz w:val="24"/>
          <w:szCs w:val="24"/>
          <w:u w:val="single"/>
          <w:lang w:eastAsia="zh-CN"/>
        </w:rPr>
        <w:t>成交人</w:t>
      </w:r>
      <w:r>
        <w:rPr>
          <w:rFonts w:hint="eastAsia" w:ascii="宋体" w:hAnsi="宋体" w:eastAsia="宋体" w:cs="宋体"/>
          <w:color w:val="auto"/>
          <w:sz w:val="24"/>
          <w:szCs w:val="24"/>
          <w:u w:val="single"/>
        </w:rPr>
        <w:t>推荐资格;评审得分相同的，由采购人或者采购人委托</w:t>
      </w:r>
      <w:r>
        <w:rPr>
          <w:rFonts w:hint="eastAsia" w:ascii="宋体" w:hAnsi="宋体" w:eastAsia="宋体" w:cs="宋体"/>
          <w:color w:val="auto"/>
          <w:sz w:val="24"/>
          <w:szCs w:val="24"/>
          <w:u w:val="single"/>
          <w:lang w:eastAsia="zh-CN"/>
        </w:rPr>
        <w:t>磋商小组</w:t>
      </w:r>
      <w:r>
        <w:rPr>
          <w:rFonts w:hint="eastAsia" w:ascii="宋体" w:hAnsi="宋体" w:eastAsia="宋体" w:cs="宋体"/>
          <w:color w:val="auto"/>
          <w:sz w:val="24"/>
          <w:szCs w:val="24"/>
          <w:u w:val="single"/>
        </w:rPr>
        <w:t>按照</w:t>
      </w:r>
      <w:r>
        <w:rPr>
          <w:rFonts w:hint="eastAsia" w:ascii="宋体" w:hAnsi="宋体" w:eastAsia="宋体" w:cs="宋体"/>
          <w:color w:val="auto"/>
          <w:sz w:val="24"/>
          <w:szCs w:val="24"/>
          <w:u w:val="single"/>
          <w:lang w:eastAsia="zh-CN"/>
        </w:rPr>
        <w:t>磋商文件</w:t>
      </w:r>
      <w:r>
        <w:rPr>
          <w:rFonts w:hint="eastAsia" w:ascii="宋体" w:hAnsi="宋体" w:eastAsia="宋体" w:cs="宋体"/>
          <w:color w:val="auto"/>
          <w:sz w:val="24"/>
          <w:szCs w:val="24"/>
          <w:u w:val="single"/>
        </w:rPr>
        <w:t>规定的方式确定一个供应商获得</w:t>
      </w:r>
      <w:r>
        <w:rPr>
          <w:rFonts w:hint="eastAsia" w:ascii="宋体" w:hAnsi="宋体" w:eastAsia="宋体" w:cs="宋体"/>
          <w:color w:val="auto"/>
          <w:sz w:val="24"/>
          <w:szCs w:val="24"/>
          <w:u w:val="single"/>
          <w:lang w:eastAsia="zh-CN"/>
        </w:rPr>
        <w:t>成交人</w:t>
      </w:r>
      <w:r>
        <w:rPr>
          <w:rFonts w:hint="eastAsia" w:ascii="宋体" w:hAnsi="宋体" w:eastAsia="宋体" w:cs="宋体"/>
          <w:color w:val="auto"/>
          <w:sz w:val="24"/>
          <w:szCs w:val="24"/>
          <w:u w:val="single"/>
        </w:rPr>
        <w:t>推荐资格，</w:t>
      </w:r>
      <w:r>
        <w:rPr>
          <w:rFonts w:hint="eastAsia" w:ascii="宋体" w:hAnsi="宋体" w:eastAsia="宋体" w:cs="宋体"/>
          <w:color w:val="auto"/>
          <w:sz w:val="24"/>
          <w:szCs w:val="24"/>
          <w:u w:val="single"/>
          <w:lang w:eastAsia="zh-CN"/>
        </w:rPr>
        <w:t>磋商文件</w:t>
      </w:r>
      <w:r>
        <w:rPr>
          <w:rFonts w:hint="eastAsia" w:ascii="宋体" w:hAnsi="宋体" w:eastAsia="宋体" w:cs="宋体"/>
          <w:color w:val="auto"/>
          <w:sz w:val="24"/>
          <w:szCs w:val="24"/>
          <w:u w:val="single"/>
        </w:rPr>
        <w:t>未规定的采取随机抽取方式确定，其他同品牌供应商不作为</w:t>
      </w:r>
      <w:r>
        <w:rPr>
          <w:rFonts w:hint="eastAsia" w:ascii="宋体" w:hAnsi="宋体" w:eastAsia="宋体" w:cs="宋体"/>
          <w:color w:val="auto"/>
          <w:sz w:val="24"/>
          <w:szCs w:val="24"/>
          <w:u w:val="single"/>
          <w:lang w:eastAsia="zh-CN"/>
        </w:rPr>
        <w:t>成交</w:t>
      </w:r>
      <w:r>
        <w:rPr>
          <w:rFonts w:hint="eastAsia" w:ascii="宋体" w:hAnsi="宋体" w:eastAsia="宋体" w:cs="宋体"/>
          <w:color w:val="auto"/>
          <w:sz w:val="24"/>
          <w:szCs w:val="24"/>
          <w:u w:val="single"/>
        </w:rPr>
        <w:t>候选人。</w:t>
      </w:r>
    </w:p>
    <w:p>
      <w:pPr>
        <w:pStyle w:val="8"/>
        <w:tabs>
          <w:tab w:val="clear" w:pos="567"/>
        </w:tabs>
        <w:spacing w:before="0"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.成交候选人并列式时的处理方式：   </w:t>
      </w:r>
    </w:p>
    <w:p>
      <w:pPr>
        <w:pStyle w:val="5"/>
        <w:spacing w:line="400" w:lineRule="exact"/>
        <w:ind w:firstLine="0"/>
        <w:rPr>
          <w:rFonts w:hint="eastAsia" w:ascii="宋体" w:hAnsi="宋体" w:eastAsia="宋体" w:cs="宋体"/>
          <w:b/>
          <w:bCs/>
          <w:color w:val="auto"/>
          <w:sz w:val="24"/>
          <w:szCs w:val="24"/>
          <w:lang w:eastAsia="zh-CN"/>
        </w:rPr>
      </w:pPr>
      <w:r>
        <w:rPr>
          <w:rFonts w:hint="eastAsia" w:ascii="宋体" w:hAnsi="宋体" w:eastAsia="宋体" w:cs="宋体"/>
          <w:color w:val="auto"/>
          <w:kern w:val="2"/>
          <w:sz w:val="24"/>
          <w:szCs w:val="24"/>
        </w:rPr>
        <w:t>如采用综合评标法，则：</w:t>
      </w:r>
      <w:r>
        <w:rPr>
          <w:rFonts w:hint="eastAsia" w:ascii="宋体" w:hAnsi="宋体" w:eastAsia="宋体" w:cs="宋体"/>
          <w:color w:val="auto"/>
          <w:kern w:val="2"/>
          <w:sz w:val="24"/>
          <w:szCs w:val="24"/>
          <w:u w:val="single"/>
        </w:rPr>
        <w:t xml:space="preserve">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bookmarkStart w:id="555" w:name="_Toc18284"/>
    </w:p>
    <w:p>
      <w:pPr>
        <w:spacing w:line="300" w:lineRule="auto"/>
        <w:jc w:val="center"/>
        <w:outlineLvl w:val="9"/>
        <w:rPr>
          <w:rFonts w:hint="eastAsia" w:ascii="宋体" w:hAnsi="宋体" w:eastAsia="宋体" w:cs="宋体"/>
          <w:b/>
          <w:bCs/>
          <w:color w:val="auto"/>
          <w:sz w:val="24"/>
          <w:szCs w:val="24"/>
        </w:rPr>
      </w:pPr>
      <w:bookmarkStart w:id="556" w:name="_Toc5480"/>
      <w:bookmarkStart w:id="557" w:name="_Toc9048"/>
      <w:bookmarkStart w:id="558" w:name="_Toc7317"/>
    </w:p>
    <w:p>
      <w:pPr>
        <w:spacing w:line="300" w:lineRule="auto"/>
        <w:jc w:val="center"/>
        <w:outlineLvl w:val="9"/>
        <w:rPr>
          <w:rFonts w:hint="eastAsia" w:ascii="宋体" w:hAnsi="宋体" w:eastAsia="宋体" w:cs="宋体"/>
          <w:b/>
          <w:bCs/>
          <w:color w:val="auto"/>
          <w:sz w:val="24"/>
        </w:rPr>
      </w:pPr>
    </w:p>
    <w:p>
      <w:pPr>
        <w:spacing w:line="300" w:lineRule="auto"/>
        <w:ind w:firstLine="2650" w:firstLineChars="1100"/>
        <w:jc w:val="both"/>
        <w:outlineLvl w:val="9"/>
        <w:rPr>
          <w:rFonts w:hint="eastAsia" w:ascii="宋体" w:hAnsi="宋体" w:eastAsia="宋体" w:cs="宋体"/>
          <w:b/>
          <w:bCs/>
          <w:color w:val="auto"/>
          <w:sz w:val="24"/>
        </w:rPr>
      </w:pPr>
      <w:bookmarkStart w:id="559" w:name="_Toc6805"/>
    </w:p>
    <w:p>
      <w:pPr>
        <w:spacing w:line="300" w:lineRule="auto"/>
        <w:ind w:firstLine="2650" w:firstLineChars="1100"/>
        <w:jc w:val="both"/>
        <w:outlineLvl w:val="9"/>
        <w:rPr>
          <w:rFonts w:hint="eastAsia" w:ascii="宋体" w:hAnsi="宋体" w:eastAsia="宋体" w:cs="宋体"/>
          <w:b/>
          <w:bCs/>
          <w:color w:val="auto"/>
          <w:sz w:val="24"/>
        </w:rPr>
      </w:pPr>
    </w:p>
    <w:p>
      <w:pPr>
        <w:spacing w:line="300" w:lineRule="auto"/>
        <w:ind w:firstLine="2650" w:firstLineChars="1100"/>
        <w:jc w:val="both"/>
        <w:outlineLvl w:val="9"/>
        <w:rPr>
          <w:rFonts w:hint="eastAsia" w:ascii="宋体" w:hAnsi="宋体" w:eastAsia="宋体" w:cs="宋体"/>
          <w:b/>
          <w:bCs/>
          <w:color w:val="auto"/>
          <w:sz w:val="24"/>
        </w:rPr>
      </w:pPr>
    </w:p>
    <w:p>
      <w:pPr>
        <w:spacing w:line="300" w:lineRule="auto"/>
        <w:ind w:firstLine="2650" w:firstLineChars="1100"/>
        <w:jc w:val="both"/>
        <w:outlineLvl w:val="9"/>
        <w:rPr>
          <w:rFonts w:hint="eastAsia" w:ascii="宋体" w:hAnsi="宋体" w:eastAsia="宋体" w:cs="宋体"/>
          <w:b/>
          <w:bCs/>
          <w:color w:val="auto"/>
          <w:sz w:val="24"/>
        </w:rPr>
      </w:pPr>
    </w:p>
    <w:p>
      <w:pPr>
        <w:spacing w:line="300" w:lineRule="auto"/>
        <w:ind w:firstLine="2650" w:firstLineChars="1100"/>
        <w:jc w:val="both"/>
        <w:outlineLvl w:val="9"/>
        <w:rPr>
          <w:rFonts w:hint="eastAsia" w:ascii="宋体" w:hAnsi="宋体" w:eastAsia="宋体" w:cs="宋体"/>
          <w:b/>
          <w:bCs/>
          <w:color w:val="auto"/>
          <w:sz w:val="24"/>
        </w:rPr>
      </w:pPr>
    </w:p>
    <w:p>
      <w:pPr>
        <w:spacing w:line="300" w:lineRule="auto"/>
        <w:ind w:firstLine="2409" w:firstLineChars="1000"/>
        <w:jc w:val="both"/>
        <w:outlineLvl w:val="1"/>
        <w:rPr>
          <w:rFonts w:hint="eastAsia" w:ascii="宋体" w:hAnsi="宋体" w:eastAsia="宋体" w:cs="宋体"/>
          <w:b/>
          <w:bCs/>
          <w:color w:val="auto"/>
          <w:sz w:val="24"/>
        </w:rPr>
      </w:pPr>
      <w:r>
        <w:rPr>
          <w:rFonts w:hint="eastAsia" w:ascii="宋体" w:hAnsi="宋体" w:eastAsia="宋体" w:cs="宋体"/>
          <w:b/>
          <w:bCs/>
          <w:color w:val="auto"/>
          <w:sz w:val="24"/>
        </w:rPr>
        <w:t>初步评审—资格性审查表</w:t>
      </w:r>
      <w:bookmarkEnd w:id="555"/>
      <w:bookmarkEnd w:id="556"/>
      <w:bookmarkEnd w:id="557"/>
      <w:bookmarkEnd w:id="558"/>
      <w:bookmarkEnd w:id="559"/>
    </w:p>
    <w:tbl>
      <w:tblPr>
        <w:tblStyle w:val="21"/>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7225" w:type="dxa"/>
            <w:vMerge w:val="restart"/>
            <w:vAlign w:val="center"/>
          </w:tcPr>
          <w:p>
            <w:pPr>
              <w:spacing w:line="240" w:lineRule="auto"/>
              <w:jc w:val="center"/>
              <w:rPr>
                <w:rFonts w:hint="eastAsia" w:ascii="宋体" w:hAnsi="宋体" w:eastAsia="宋体" w:cs="宋体"/>
                <w:bCs/>
                <w:color w:val="auto"/>
                <w:sz w:val="24"/>
              </w:rPr>
            </w:pPr>
            <w:r>
              <w:rPr>
                <w:rFonts w:hint="eastAsia" w:ascii="宋体" w:hAnsi="宋体" w:eastAsia="宋体" w:cs="宋体"/>
                <w:bCs/>
                <w:color w:val="auto"/>
                <w:sz w:val="24"/>
              </w:rPr>
              <w:t>评审内容</w:t>
            </w:r>
          </w:p>
        </w:tc>
        <w:tc>
          <w:tcPr>
            <w:tcW w:w="2389" w:type="dxa"/>
            <w:gridSpan w:val="3"/>
            <w:vAlign w:val="center"/>
          </w:tcPr>
          <w:p>
            <w:pPr>
              <w:spacing w:line="240" w:lineRule="auto"/>
              <w:jc w:val="center"/>
              <w:rPr>
                <w:rFonts w:hint="eastAsia" w:ascii="宋体" w:hAnsi="宋体" w:eastAsia="宋体" w:cs="宋体"/>
                <w:b/>
                <w:color w:val="auto"/>
                <w:sz w:val="24"/>
              </w:rPr>
            </w:pPr>
            <w:r>
              <w:rPr>
                <w:rFonts w:hint="eastAsia" w:ascii="宋体" w:hAnsi="宋体" w:eastAsia="宋体" w:cs="宋体"/>
                <w:b/>
                <w:color w:val="auto"/>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53" w:type="dxa"/>
            <w:vMerge w:val="continue"/>
            <w:vAlign w:val="center"/>
          </w:tcPr>
          <w:p>
            <w:pPr>
              <w:spacing w:line="240" w:lineRule="auto"/>
              <w:jc w:val="center"/>
              <w:rPr>
                <w:rFonts w:hint="eastAsia" w:ascii="宋体" w:hAnsi="宋体" w:eastAsia="宋体" w:cs="宋体"/>
                <w:bCs/>
                <w:color w:val="auto"/>
                <w:sz w:val="24"/>
              </w:rPr>
            </w:pPr>
          </w:p>
        </w:tc>
        <w:tc>
          <w:tcPr>
            <w:tcW w:w="7225" w:type="dxa"/>
            <w:vMerge w:val="continue"/>
            <w:vAlign w:val="center"/>
          </w:tcPr>
          <w:p>
            <w:pPr>
              <w:spacing w:line="240" w:lineRule="auto"/>
              <w:jc w:val="center"/>
              <w:rPr>
                <w:rFonts w:hint="eastAsia" w:ascii="宋体" w:hAnsi="宋体" w:eastAsia="宋体" w:cs="宋体"/>
                <w:bCs/>
                <w:color w:val="auto"/>
                <w:sz w:val="24"/>
              </w:rPr>
            </w:pPr>
          </w:p>
        </w:tc>
        <w:tc>
          <w:tcPr>
            <w:tcW w:w="912" w:type="dxa"/>
            <w:vAlign w:val="center"/>
          </w:tcPr>
          <w:p>
            <w:pPr>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是否合格</w:t>
            </w:r>
          </w:p>
        </w:tc>
        <w:tc>
          <w:tcPr>
            <w:tcW w:w="750" w:type="dxa"/>
            <w:vAlign w:val="center"/>
          </w:tcPr>
          <w:p>
            <w:pPr>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是否合格</w:t>
            </w:r>
          </w:p>
        </w:tc>
        <w:tc>
          <w:tcPr>
            <w:tcW w:w="727" w:type="dxa"/>
            <w:vAlign w:val="center"/>
          </w:tcPr>
          <w:p>
            <w:pPr>
              <w:spacing w:line="240" w:lineRule="auto"/>
              <w:jc w:val="center"/>
              <w:rPr>
                <w:rFonts w:hint="eastAsia" w:ascii="宋体" w:hAnsi="宋体" w:eastAsia="宋体" w:cs="宋体"/>
                <w:color w:val="auto"/>
                <w:sz w:val="24"/>
              </w:rPr>
            </w:pPr>
            <w:r>
              <w:rPr>
                <w:rFonts w:hint="eastAsia" w:ascii="宋体" w:hAnsi="宋体" w:eastAsia="宋体" w:cs="宋体"/>
                <w:color w:val="auto"/>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pPr>
              <w:spacing w:line="400" w:lineRule="exact"/>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7225" w:type="dxa"/>
            <w:vAlign w:val="center"/>
          </w:tcPr>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具有独立承担民事责任的能力</w:t>
            </w:r>
            <w:r>
              <w:rPr>
                <w:rFonts w:hint="eastAsia" w:ascii="宋体" w:hAnsi="宋体" w:eastAsia="宋体" w:cs="宋体"/>
                <w:color w:val="auto"/>
                <w:sz w:val="24"/>
              </w:rPr>
              <w:t xml:space="preserve"> </w:t>
            </w:r>
          </w:p>
        </w:tc>
        <w:tc>
          <w:tcPr>
            <w:tcW w:w="912" w:type="dxa"/>
          </w:tcPr>
          <w:p>
            <w:pPr>
              <w:spacing w:line="400" w:lineRule="exact"/>
              <w:rPr>
                <w:rFonts w:hint="eastAsia" w:ascii="宋体" w:hAnsi="宋体" w:eastAsia="宋体" w:cs="宋体"/>
                <w:color w:val="auto"/>
                <w:sz w:val="24"/>
              </w:rPr>
            </w:pPr>
          </w:p>
        </w:tc>
        <w:tc>
          <w:tcPr>
            <w:tcW w:w="750" w:type="dxa"/>
          </w:tcPr>
          <w:p>
            <w:pPr>
              <w:spacing w:line="400" w:lineRule="exact"/>
              <w:rPr>
                <w:rFonts w:hint="eastAsia" w:ascii="宋体" w:hAnsi="宋体" w:eastAsia="宋体" w:cs="宋体"/>
                <w:color w:val="auto"/>
                <w:sz w:val="24"/>
              </w:rPr>
            </w:pPr>
          </w:p>
        </w:tc>
        <w:tc>
          <w:tcPr>
            <w:tcW w:w="727" w:type="dxa"/>
          </w:tcPr>
          <w:p>
            <w:pPr>
              <w:spacing w:line="40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53" w:type="dxa"/>
            <w:vAlign w:val="center"/>
          </w:tcPr>
          <w:p>
            <w:pPr>
              <w:spacing w:line="400" w:lineRule="exact"/>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7225" w:type="dxa"/>
            <w:vAlign w:val="center"/>
          </w:tcPr>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法人身份证明或法人授权委托书和被授权人身份有效证件；授权委托人近4个月缴纳社保证明（社保缴费凭证和个人明细表）</w:t>
            </w:r>
          </w:p>
        </w:tc>
        <w:tc>
          <w:tcPr>
            <w:tcW w:w="912" w:type="dxa"/>
          </w:tcPr>
          <w:p>
            <w:pPr>
              <w:spacing w:line="400" w:lineRule="exact"/>
              <w:rPr>
                <w:rFonts w:hint="eastAsia" w:ascii="宋体" w:hAnsi="宋体" w:eastAsia="宋体" w:cs="宋体"/>
                <w:color w:val="auto"/>
                <w:sz w:val="24"/>
              </w:rPr>
            </w:pPr>
          </w:p>
        </w:tc>
        <w:tc>
          <w:tcPr>
            <w:tcW w:w="750" w:type="dxa"/>
          </w:tcPr>
          <w:p>
            <w:pPr>
              <w:spacing w:line="400" w:lineRule="exact"/>
              <w:rPr>
                <w:rFonts w:hint="eastAsia" w:ascii="宋体" w:hAnsi="宋体" w:eastAsia="宋体" w:cs="宋体"/>
                <w:color w:val="auto"/>
                <w:sz w:val="24"/>
              </w:rPr>
            </w:pPr>
          </w:p>
        </w:tc>
        <w:tc>
          <w:tcPr>
            <w:tcW w:w="727" w:type="dxa"/>
          </w:tcPr>
          <w:p>
            <w:pPr>
              <w:spacing w:line="40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pacing w:line="400" w:lineRule="exact"/>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7225" w:type="dxa"/>
            <w:vAlign w:val="center"/>
          </w:tcPr>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提供会计事务所出具的2022年度财务审计报告书原件或影印件；新办企业提供银行资信证明）</w:t>
            </w:r>
          </w:p>
        </w:tc>
        <w:tc>
          <w:tcPr>
            <w:tcW w:w="912" w:type="dxa"/>
          </w:tcPr>
          <w:p>
            <w:pPr>
              <w:spacing w:line="400" w:lineRule="exact"/>
              <w:rPr>
                <w:rFonts w:hint="eastAsia" w:ascii="宋体" w:hAnsi="宋体" w:eastAsia="宋体" w:cs="宋体"/>
                <w:color w:val="auto"/>
                <w:sz w:val="24"/>
              </w:rPr>
            </w:pPr>
          </w:p>
        </w:tc>
        <w:tc>
          <w:tcPr>
            <w:tcW w:w="750" w:type="dxa"/>
          </w:tcPr>
          <w:p>
            <w:pPr>
              <w:spacing w:line="400" w:lineRule="exact"/>
              <w:rPr>
                <w:rFonts w:hint="eastAsia" w:ascii="宋体" w:hAnsi="宋体" w:eastAsia="宋体" w:cs="宋体"/>
                <w:color w:val="auto"/>
                <w:sz w:val="24"/>
              </w:rPr>
            </w:pPr>
          </w:p>
        </w:tc>
        <w:tc>
          <w:tcPr>
            <w:tcW w:w="727" w:type="dxa"/>
          </w:tcPr>
          <w:p>
            <w:pPr>
              <w:spacing w:line="40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3" w:type="dxa"/>
            <w:vAlign w:val="center"/>
          </w:tcPr>
          <w:p>
            <w:pPr>
              <w:spacing w:line="400" w:lineRule="exact"/>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7225" w:type="dxa"/>
            <w:vAlign w:val="center"/>
          </w:tcPr>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税务部门出具的近四个月的完税证明（或由税务局出具的无拖欠税收证明，零申报需加盖税务机关鲜章）；；</w:t>
            </w:r>
          </w:p>
        </w:tc>
        <w:tc>
          <w:tcPr>
            <w:tcW w:w="912" w:type="dxa"/>
          </w:tcPr>
          <w:p>
            <w:pPr>
              <w:spacing w:line="400" w:lineRule="exact"/>
              <w:rPr>
                <w:rFonts w:hint="eastAsia" w:ascii="宋体" w:hAnsi="宋体" w:eastAsia="宋体" w:cs="宋体"/>
                <w:color w:val="auto"/>
                <w:sz w:val="24"/>
              </w:rPr>
            </w:pPr>
          </w:p>
        </w:tc>
        <w:tc>
          <w:tcPr>
            <w:tcW w:w="750" w:type="dxa"/>
          </w:tcPr>
          <w:p>
            <w:pPr>
              <w:spacing w:line="400" w:lineRule="exact"/>
              <w:rPr>
                <w:rFonts w:hint="eastAsia" w:ascii="宋体" w:hAnsi="宋体" w:eastAsia="宋体" w:cs="宋体"/>
                <w:color w:val="auto"/>
                <w:sz w:val="24"/>
              </w:rPr>
            </w:pPr>
          </w:p>
        </w:tc>
        <w:tc>
          <w:tcPr>
            <w:tcW w:w="727" w:type="dxa"/>
          </w:tcPr>
          <w:p>
            <w:pPr>
              <w:spacing w:line="40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spacing w:line="460" w:lineRule="exact"/>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w:t>
            </w:r>
          </w:p>
        </w:tc>
        <w:tc>
          <w:tcPr>
            <w:tcW w:w="7225" w:type="dxa"/>
            <w:vAlign w:val="center"/>
          </w:tcPr>
          <w:p>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人必须提供“信用中国”网站（www.creditchina.gov.cn）、中国政府采购网（www.ccgp.gov.cn）渠道信用记录失信执行人、重大税收违法案件当事人名单、政府采购严重违法失信行为记录名单的投标人，（提供查询结果网页截图并加盖供应商公章）</w:t>
            </w:r>
          </w:p>
        </w:tc>
        <w:tc>
          <w:tcPr>
            <w:tcW w:w="912" w:type="dxa"/>
          </w:tcPr>
          <w:p>
            <w:pPr>
              <w:spacing w:line="400" w:lineRule="exact"/>
              <w:rPr>
                <w:rFonts w:hint="eastAsia" w:ascii="宋体" w:hAnsi="宋体" w:eastAsia="宋体" w:cs="宋体"/>
                <w:color w:val="auto"/>
                <w:sz w:val="24"/>
              </w:rPr>
            </w:pPr>
          </w:p>
        </w:tc>
        <w:tc>
          <w:tcPr>
            <w:tcW w:w="750" w:type="dxa"/>
          </w:tcPr>
          <w:p>
            <w:pPr>
              <w:spacing w:line="400" w:lineRule="exact"/>
              <w:rPr>
                <w:rFonts w:hint="eastAsia" w:ascii="宋体" w:hAnsi="宋体" w:eastAsia="宋体" w:cs="宋体"/>
                <w:color w:val="auto"/>
                <w:sz w:val="24"/>
              </w:rPr>
            </w:pPr>
          </w:p>
        </w:tc>
        <w:tc>
          <w:tcPr>
            <w:tcW w:w="727" w:type="dxa"/>
          </w:tcPr>
          <w:p>
            <w:pPr>
              <w:spacing w:line="40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spacing w:line="46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6</w:t>
            </w:r>
          </w:p>
        </w:tc>
        <w:tc>
          <w:tcPr>
            <w:tcW w:w="7225" w:type="dxa"/>
            <w:vAlign w:val="center"/>
          </w:tcPr>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参加政府采购活动前三年内，在经营活动中没有重大违法记录声明；（自拟）投标单位（供应商）提供针对本次采购项目的《反商业贿赂承诺书》；</w:t>
            </w:r>
          </w:p>
        </w:tc>
        <w:tc>
          <w:tcPr>
            <w:tcW w:w="912" w:type="dxa"/>
          </w:tcPr>
          <w:p>
            <w:pPr>
              <w:spacing w:line="400" w:lineRule="exact"/>
              <w:rPr>
                <w:rFonts w:hint="eastAsia" w:ascii="宋体" w:hAnsi="宋体" w:eastAsia="宋体" w:cs="宋体"/>
                <w:color w:val="auto"/>
                <w:sz w:val="24"/>
              </w:rPr>
            </w:pPr>
          </w:p>
        </w:tc>
        <w:tc>
          <w:tcPr>
            <w:tcW w:w="750" w:type="dxa"/>
          </w:tcPr>
          <w:p>
            <w:pPr>
              <w:spacing w:line="400" w:lineRule="exact"/>
              <w:rPr>
                <w:rFonts w:hint="eastAsia" w:ascii="宋体" w:hAnsi="宋体" w:eastAsia="宋体" w:cs="宋体"/>
                <w:color w:val="auto"/>
                <w:sz w:val="24"/>
              </w:rPr>
            </w:pPr>
          </w:p>
        </w:tc>
        <w:tc>
          <w:tcPr>
            <w:tcW w:w="727" w:type="dxa"/>
          </w:tcPr>
          <w:p>
            <w:pPr>
              <w:spacing w:line="40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spacing w:line="46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7</w:t>
            </w:r>
          </w:p>
        </w:tc>
        <w:tc>
          <w:tcPr>
            <w:tcW w:w="7225" w:type="dxa"/>
            <w:vAlign w:val="center"/>
          </w:tcPr>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投标人具备检验检测机构资质认定证书（CMA）且CMA资质认定证书附表的相关内容，附表内容必须完全涵盖所投包组的所有待检类别及检验项目</w:t>
            </w:r>
          </w:p>
        </w:tc>
        <w:tc>
          <w:tcPr>
            <w:tcW w:w="912" w:type="dxa"/>
          </w:tcPr>
          <w:p>
            <w:pPr>
              <w:spacing w:line="400" w:lineRule="exact"/>
              <w:rPr>
                <w:rFonts w:hint="eastAsia" w:ascii="宋体" w:hAnsi="宋体" w:eastAsia="宋体" w:cs="宋体"/>
                <w:color w:val="auto"/>
                <w:sz w:val="24"/>
              </w:rPr>
            </w:pPr>
          </w:p>
        </w:tc>
        <w:tc>
          <w:tcPr>
            <w:tcW w:w="750" w:type="dxa"/>
          </w:tcPr>
          <w:p>
            <w:pPr>
              <w:spacing w:line="400" w:lineRule="exact"/>
              <w:rPr>
                <w:rFonts w:hint="eastAsia" w:ascii="宋体" w:hAnsi="宋体" w:eastAsia="宋体" w:cs="宋体"/>
                <w:color w:val="auto"/>
                <w:sz w:val="24"/>
              </w:rPr>
            </w:pPr>
          </w:p>
        </w:tc>
        <w:tc>
          <w:tcPr>
            <w:tcW w:w="727" w:type="dxa"/>
          </w:tcPr>
          <w:p>
            <w:pPr>
              <w:spacing w:line="40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spacing w:line="400" w:lineRule="exact"/>
              <w:jc w:val="center"/>
              <w:rPr>
                <w:rFonts w:hint="eastAsia" w:ascii="宋体" w:hAnsi="宋体" w:eastAsia="宋体" w:cs="宋体"/>
                <w:color w:val="auto"/>
                <w:sz w:val="24"/>
              </w:rPr>
            </w:pPr>
          </w:p>
        </w:tc>
        <w:tc>
          <w:tcPr>
            <w:tcW w:w="7225" w:type="dxa"/>
            <w:vAlign w:val="center"/>
          </w:tcPr>
          <w:p>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结论</w:t>
            </w:r>
          </w:p>
        </w:tc>
        <w:tc>
          <w:tcPr>
            <w:tcW w:w="912" w:type="dxa"/>
          </w:tcPr>
          <w:p>
            <w:pPr>
              <w:spacing w:line="400" w:lineRule="exact"/>
              <w:rPr>
                <w:rFonts w:hint="eastAsia" w:ascii="宋体" w:hAnsi="宋体" w:eastAsia="宋体" w:cs="宋体"/>
                <w:color w:val="auto"/>
                <w:sz w:val="24"/>
              </w:rPr>
            </w:pPr>
          </w:p>
        </w:tc>
        <w:tc>
          <w:tcPr>
            <w:tcW w:w="750" w:type="dxa"/>
          </w:tcPr>
          <w:p>
            <w:pPr>
              <w:spacing w:line="400" w:lineRule="exact"/>
              <w:rPr>
                <w:rFonts w:hint="eastAsia" w:ascii="宋体" w:hAnsi="宋体" w:eastAsia="宋体" w:cs="宋体"/>
                <w:color w:val="auto"/>
                <w:sz w:val="24"/>
              </w:rPr>
            </w:pPr>
          </w:p>
        </w:tc>
        <w:tc>
          <w:tcPr>
            <w:tcW w:w="727" w:type="dxa"/>
          </w:tcPr>
          <w:p>
            <w:pPr>
              <w:spacing w:line="400" w:lineRule="exact"/>
              <w:rPr>
                <w:rFonts w:hint="eastAsia" w:ascii="宋体" w:hAnsi="宋体" w:eastAsia="宋体" w:cs="宋体"/>
                <w:color w:val="auto"/>
                <w:sz w:val="24"/>
              </w:rPr>
            </w:pPr>
          </w:p>
        </w:tc>
      </w:tr>
    </w:tbl>
    <w:p>
      <w:pPr>
        <w:spacing w:line="360" w:lineRule="exact"/>
        <w:rPr>
          <w:rFonts w:hint="eastAsia" w:ascii="宋体" w:hAnsi="宋体" w:eastAsia="宋体" w:cs="宋体"/>
          <w:color w:val="auto"/>
          <w:sz w:val="24"/>
        </w:rPr>
      </w:pPr>
      <w:r>
        <w:rPr>
          <w:rFonts w:hint="eastAsia" w:ascii="宋体" w:hAnsi="宋体" w:eastAsia="宋体" w:cs="宋体"/>
          <w:color w:val="auto"/>
          <w:sz w:val="24"/>
        </w:rPr>
        <w:t>说明：（1）上述各项中用“√”表示通过，“×”表示不通过；</w:t>
      </w:r>
    </w:p>
    <w:p>
      <w:pPr>
        <w:spacing w:line="360" w:lineRule="exact"/>
        <w:rPr>
          <w:rFonts w:hint="eastAsia" w:ascii="宋体" w:hAnsi="宋体" w:eastAsia="宋体" w:cs="宋体"/>
          <w:color w:val="auto"/>
          <w:sz w:val="24"/>
        </w:rPr>
      </w:pPr>
      <w:r>
        <w:rPr>
          <w:rFonts w:hint="eastAsia" w:ascii="宋体" w:hAnsi="宋体" w:eastAsia="宋体" w:cs="宋体"/>
          <w:color w:val="auto"/>
          <w:sz w:val="24"/>
        </w:rPr>
        <w:t>（2）上述各项中如有一项为“×”，则结论为“×”，表示该磋商文件中存在重大偏差，不能通过初步评审；评委对某一分项评审认为不合格时，必须要写明原因。</w:t>
      </w:r>
    </w:p>
    <w:p>
      <w:pPr>
        <w:spacing w:line="360" w:lineRule="exact"/>
        <w:rPr>
          <w:rFonts w:hint="eastAsia" w:ascii="宋体" w:hAnsi="宋体" w:eastAsia="宋体" w:cs="宋体"/>
          <w:color w:val="auto"/>
          <w:sz w:val="24"/>
        </w:rPr>
      </w:pPr>
      <w:r>
        <w:rPr>
          <w:rFonts w:hint="eastAsia" w:ascii="宋体" w:hAnsi="宋体" w:eastAsia="宋体" w:cs="宋体"/>
          <w:color w:val="auto"/>
          <w:sz w:val="24"/>
        </w:rPr>
        <w:t>（3）磋商文件最终合格与否，以所有评委的评审意见中少数服从多数为原则定论。</w:t>
      </w:r>
    </w:p>
    <w:p>
      <w:pPr>
        <w:spacing w:line="360" w:lineRule="auto"/>
        <w:rPr>
          <w:rFonts w:hint="eastAsia" w:ascii="宋体" w:hAnsi="宋体" w:eastAsia="宋体" w:cs="宋体"/>
          <w:b/>
          <w:color w:val="auto"/>
          <w:sz w:val="28"/>
          <w:szCs w:val="28"/>
        </w:rPr>
      </w:pPr>
      <w:r>
        <w:rPr>
          <w:rFonts w:hint="eastAsia" w:ascii="宋体" w:hAnsi="宋体" w:eastAsia="宋体" w:cs="宋体"/>
          <w:b/>
          <w:bCs/>
          <w:color w:val="auto"/>
          <w:sz w:val="24"/>
        </w:rPr>
        <w:t>备注：如果磋商文件中有一项未通过上述审查标准，评审委员会将认定整个磋商文件未响应磋商文件而予以废标处理。</w:t>
      </w:r>
      <w:bookmarkStart w:id="560" w:name="_Toc19552"/>
      <w:bookmarkStart w:id="561" w:name="_Toc22896"/>
    </w:p>
    <w:p>
      <w:pPr>
        <w:pStyle w:val="20"/>
        <w:ind w:left="0" w:leftChars="0" w:firstLine="0" w:firstLineChars="0"/>
        <w:rPr>
          <w:rFonts w:hint="eastAsia" w:ascii="宋体" w:hAnsi="宋体" w:eastAsia="宋体" w:cs="宋体"/>
          <w:color w:val="auto"/>
        </w:rPr>
      </w:pPr>
    </w:p>
    <w:p>
      <w:pPr>
        <w:pStyle w:val="5"/>
        <w:spacing w:line="300" w:lineRule="auto"/>
        <w:ind w:firstLine="0"/>
        <w:jc w:val="center"/>
        <w:outlineLvl w:val="1"/>
        <w:rPr>
          <w:rFonts w:hint="eastAsia" w:ascii="宋体" w:hAnsi="宋体" w:eastAsia="宋体" w:cs="宋体"/>
          <w:b/>
          <w:color w:val="auto"/>
          <w:sz w:val="28"/>
          <w:szCs w:val="28"/>
        </w:rPr>
      </w:pPr>
      <w:bookmarkStart w:id="562" w:name="_Toc10503"/>
      <w:bookmarkStart w:id="563" w:name="_Toc15668"/>
      <w:bookmarkStart w:id="564" w:name="_Toc12258"/>
      <w:r>
        <w:rPr>
          <w:rFonts w:hint="eastAsia" w:ascii="宋体" w:hAnsi="宋体" w:eastAsia="宋体" w:cs="宋体"/>
          <w:b/>
          <w:color w:val="auto"/>
          <w:sz w:val="28"/>
          <w:szCs w:val="28"/>
        </w:rPr>
        <w:t>初步评审—符合性审查表</w:t>
      </w:r>
      <w:bookmarkEnd w:id="560"/>
      <w:bookmarkEnd w:id="561"/>
      <w:bookmarkEnd w:id="562"/>
      <w:bookmarkEnd w:id="563"/>
      <w:bookmarkEnd w:id="564"/>
    </w:p>
    <w:tbl>
      <w:tblPr>
        <w:tblStyle w:val="21"/>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评审内容</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序号</w:t>
            </w:r>
          </w:p>
        </w:tc>
        <w:tc>
          <w:tcPr>
            <w:tcW w:w="6755" w:type="dxa"/>
            <w:noWrap w:val="0"/>
            <w:vAlign w:val="center"/>
          </w:tcPr>
          <w:p>
            <w:pPr>
              <w:jc w:val="center"/>
              <w:rPr>
                <w:rFonts w:hint="eastAsia" w:ascii="宋体" w:hAnsi="宋体" w:eastAsia="宋体" w:cs="宋体"/>
                <w:color w:val="auto"/>
                <w:kern w:val="2"/>
                <w:sz w:val="24"/>
                <w:szCs w:val="24"/>
                <w:lang w:val="en-US" w:eastAsia="zh-CN" w:bidi="ar-SA"/>
              </w:rPr>
            </w:pP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755" w:type="dxa"/>
            <w:noWrap w:val="0"/>
            <w:vAlign w:val="center"/>
          </w:tcPr>
          <w:p>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由政府立项核准、审批的采购项目, 投标报价未高于设定的采购预算价的；</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755" w:type="dxa"/>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投标人对同一招标项目作出两个以上报价未明确效力的</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755" w:type="dxa"/>
            <w:noWrap w:val="0"/>
            <w:vAlign w:val="top"/>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未按招标文件规定的格式填写，内容不全或关键字迹模糊、无法辨认的；</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48" w:type="dxa"/>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755" w:type="dxa"/>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投标人名称、组织机构与资格预审时不符，涉嫌以他人名义投标的；；</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8" w:type="dxa"/>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755" w:type="dxa"/>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评标委员会共同确定有实质上不响应招标文件要求的</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755" w:type="dxa"/>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投标文件没有投标单位法定代表人或其授权代表签字（章）和加盖投标单位公章的（投标文件正本的印章和签字不能为复印件）</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755" w:type="dxa"/>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投标的政府采购项目完成期限超过招标文件规定期限的；</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755" w:type="dxa"/>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投标文件附有采购人不能接受条件的；</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755" w:type="dxa"/>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不满足招标文件实质性要求的其他情形..</w:t>
            </w:r>
          </w:p>
        </w:tc>
        <w:tc>
          <w:tcPr>
            <w:tcW w:w="163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noWrap w:val="0"/>
            <w:vAlign w:val="center"/>
          </w:tcPr>
          <w:p>
            <w:pPr>
              <w:spacing w:line="360" w:lineRule="auto"/>
              <w:ind w:firstLine="432" w:firstLineChars="18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结论：通过评审打“√”，未通过评审打“×”</w:t>
            </w:r>
          </w:p>
        </w:tc>
        <w:tc>
          <w:tcPr>
            <w:tcW w:w="1637" w:type="dxa"/>
            <w:noWrap w:val="0"/>
            <w:vAlign w:val="center"/>
          </w:tcPr>
          <w:p>
            <w:pPr>
              <w:ind w:firstLine="432" w:firstLineChars="180"/>
              <w:jc w:val="center"/>
              <w:rPr>
                <w:rFonts w:hint="eastAsia" w:ascii="宋体" w:hAnsi="宋体" w:eastAsia="宋体" w:cs="宋体"/>
                <w:color w:val="auto"/>
                <w:kern w:val="2"/>
                <w:sz w:val="24"/>
                <w:szCs w:val="24"/>
                <w:lang w:val="en-US" w:eastAsia="zh-CN" w:bidi="ar-SA"/>
              </w:rPr>
            </w:pPr>
          </w:p>
        </w:tc>
      </w:tr>
    </w:tbl>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（1）上述各项中用“√”表示通过，“×”表示不通过；</w:t>
      </w:r>
    </w:p>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（2）上述各项中如有一项为“×”，则结论为“×”，表示该磋商文件中存在重大偏差，不能通过初步评审；评委对某一分项评审认为不合格时，必须要写明原因。</w:t>
      </w:r>
    </w:p>
    <w:p>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（3）磋商文件最终合格与否，以所有评委的评审意见中少数服从多数为原则定论。</w:t>
      </w:r>
    </w:p>
    <w:p>
      <w:pPr>
        <w:spacing w:line="240" w:lineRule="atLeast"/>
        <w:ind w:left="1080" w:leftChars="257" w:hanging="540"/>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备注：如果磋商文件中有一项未通过上述审查标准，评审委员会将认定整个磋商文件未响应磋商文件而予以废标处理。</w:t>
      </w:r>
      <w:bookmarkStart w:id="565" w:name="_Toc16953"/>
      <w:bookmarkStart w:id="566" w:name="_Toc23522"/>
      <w:bookmarkStart w:id="567" w:name="_Toc20930"/>
      <w:bookmarkStart w:id="568" w:name="_Toc10809"/>
      <w:bookmarkStart w:id="569" w:name="_Toc25310"/>
      <w:bookmarkStart w:id="570" w:name="_Toc507399904"/>
    </w:p>
    <w:p>
      <w:pPr>
        <w:spacing w:line="240" w:lineRule="atLeast"/>
        <w:ind w:left="1080" w:leftChars="257" w:hanging="540"/>
        <w:jc w:val="center"/>
        <w:outlineLvl w:val="9"/>
        <w:rPr>
          <w:rFonts w:hint="eastAsia" w:ascii="宋体" w:hAnsi="宋体" w:eastAsia="宋体" w:cs="宋体"/>
          <w:b/>
          <w:color w:val="auto"/>
          <w:sz w:val="24"/>
          <w:szCs w:val="24"/>
        </w:rPr>
      </w:pPr>
    </w:p>
    <w:p>
      <w:pPr>
        <w:spacing w:line="240" w:lineRule="atLeast"/>
        <w:ind w:firstLine="3132" w:firstLineChars="1300"/>
        <w:jc w:val="both"/>
        <w:outlineLvl w:val="9"/>
        <w:rPr>
          <w:rFonts w:hint="eastAsia" w:ascii="宋体" w:hAnsi="宋体" w:eastAsia="宋体" w:cs="宋体"/>
          <w:b/>
          <w:color w:val="auto"/>
          <w:sz w:val="24"/>
          <w:szCs w:val="24"/>
        </w:rPr>
      </w:pPr>
    </w:p>
    <w:p>
      <w:pPr>
        <w:spacing w:line="240" w:lineRule="atLeast"/>
        <w:ind w:firstLine="3654" w:firstLineChars="1300"/>
        <w:jc w:val="both"/>
        <w:outlineLvl w:val="9"/>
        <w:rPr>
          <w:rFonts w:hint="eastAsia" w:ascii="宋体" w:hAnsi="宋体" w:eastAsia="宋体" w:cs="宋体"/>
          <w:b/>
          <w:color w:val="auto"/>
          <w:sz w:val="28"/>
          <w:szCs w:val="28"/>
        </w:rPr>
      </w:pPr>
    </w:p>
    <w:p>
      <w:pPr>
        <w:spacing w:line="240" w:lineRule="atLeast"/>
        <w:ind w:firstLine="3654" w:firstLineChars="1300"/>
        <w:jc w:val="both"/>
        <w:outlineLvl w:val="9"/>
        <w:rPr>
          <w:rFonts w:hint="eastAsia" w:ascii="宋体" w:hAnsi="宋体" w:eastAsia="宋体" w:cs="宋体"/>
          <w:b/>
          <w:color w:val="auto"/>
          <w:sz w:val="28"/>
          <w:szCs w:val="28"/>
        </w:rPr>
      </w:pPr>
    </w:p>
    <w:p>
      <w:pPr>
        <w:spacing w:line="240" w:lineRule="atLeast"/>
        <w:jc w:val="both"/>
        <w:outlineLvl w:val="9"/>
        <w:rPr>
          <w:rFonts w:hint="eastAsia" w:ascii="宋体" w:hAnsi="宋体" w:eastAsia="宋体" w:cs="宋体"/>
          <w:b/>
          <w:color w:val="auto"/>
          <w:sz w:val="28"/>
          <w:szCs w:val="28"/>
        </w:rPr>
      </w:pPr>
    </w:p>
    <w:p>
      <w:pPr>
        <w:spacing w:line="240" w:lineRule="atLeast"/>
        <w:ind w:firstLine="3654" w:firstLineChars="1300"/>
        <w:jc w:val="both"/>
        <w:outlineLvl w:val="1"/>
        <w:rPr>
          <w:rFonts w:hint="eastAsia" w:ascii="宋体" w:hAnsi="宋体" w:eastAsia="宋体" w:cs="宋体"/>
          <w:b/>
          <w:color w:val="auto"/>
          <w:szCs w:val="21"/>
        </w:rPr>
      </w:pPr>
      <w:r>
        <w:rPr>
          <w:rFonts w:hint="eastAsia" w:ascii="宋体" w:hAnsi="宋体" w:eastAsia="宋体" w:cs="宋体"/>
          <w:b/>
          <w:color w:val="auto"/>
          <w:sz w:val="28"/>
          <w:szCs w:val="28"/>
        </w:rPr>
        <w:t>综合评分表</w:t>
      </w:r>
      <w:bookmarkEnd w:id="565"/>
      <w:bookmarkEnd w:id="566"/>
      <w:bookmarkEnd w:id="567"/>
      <w:bookmarkEnd w:id="568"/>
      <w:bookmarkEnd w:id="569"/>
      <w:r>
        <w:rPr>
          <w:rFonts w:hint="eastAsia" w:ascii="宋体" w:hAnsi="宋体" w:eastAsia="宋体" w:cs="宋体"/>
          <w:b/>
          <w:color w:val="auto"/>
          <w:sz w:val="28"/>
          <w:szCs w:val="28"/>
        </w:rPr>
        <w:t xml:space="preserve"> </w:t>
      </w:r>
    </w:p>
    <w:tbl>
      <w:tblPr>
        <w:tblStyle w:val="21"/>
        <w:tblpPr w:leftFromText="180" w:rightFromText="180" w:vertAnchor="text" w:horzAnchor="margin" w:tblpX="-407" w:tblpY="222"/>
        <w:tblW w:w="9555" w:type="dxa"/>
        <w:tblInd w:w="0" w:type="dxa"/>
        <w:tblLayout w:type="fixed"/>
        <w:tblCellMar>
          <w:top w:w="0" w:type="dxa"/>
          <w:left w:w="108" w:type="dxa"/>
          <w:bottom w:w="0" w:type="dxa"/>
          <w:right w:w="108" w:type="dxa"/>
        </w:tblCellMar>
      </w:tblPr>
      <w:tblGrid>
        <w:gridCol w:w="537"/>
        <w:gridCol w:w="948"/>
        <w:gridCol w:w="1152"/>
        <w:gridCol w:w="6918"/>
      </w:tblGrid>
      <w:tr>
        <w:tblPrEx>
          <w:tblCellMar>
            <w:top w:w="0" w:type="dxa"/>
            <w:left w:w="108" w:type="dxa"/>
            <w:bottom w:w="0" w:type="dxa"/>
            <w:right w:w="108" w:type="dxa"/>
          </w:tblCellMar>
        </w:tblPrEx>
        <w:trPr>
          <w:trHeight w:val="777" w:hRule="atLeast"/>
        </w:trPr>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序号</w:t>
            </w:r>
          </w:p>
        </w:tc>
        <w:tc>
          <w:tcPr>
            <w:tcW w:w="948"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评标因素</w:t>
            </w:r>
          </w:p>
        </w:tc>
        <w:tc>
          <w:tcPr>
            <w:tcW w:w="1152"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分值</w:t>
            </w:r>
          </w:p>
        </w:tc>
        <w:tc>
          <w:tcPr>
            <w:tcW w:w="6918" w:type="dxa"/>
            <w:tcBorders>
              <w:top w:val="single" w:color="auto" w:sz="4" w:space="0"/>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评分标准</w:t>
            </w:r>
          </w:p>
        </w:tc>
      </w:tr>
      <w:tr>
        <w:tblPrEx>
          <w:tblCellMar>
            <w:top w:w="0" w:type="dxa"/>
            <w:left w:w="108" w:type="dxa"/>
            <w:bottom w:w="0" w:type="dxa"/>
            <w:right w:w="108" w:type="dxa"/>
          </w:tblCellMar>
        </w:tblPrEx>
        <w:trPr>
          <w:trHeight w:val="376" w:hRule="atLeast"/>
        </w:trPr>
        <w:tc>
          <w:tcPr>
            <w:tcW w:w="537" w:type="dxa"/>
            <w:tcBorders>
              <w:top w:val="nil"/>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948" w:type="dxa"/>
            <w:tcBorders>
              <w:top w:val="nil"/>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得分</w:t>
            </w:r>
          </w:p>
        </w:tc>
        <w:tc>
          <w:tcPr>
            <w:tcW w:w="1152" w:type="dxa"/>
            <w:tcBorders>
              <w:top w:val="nil"/>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zh-CN" w:eastAsia="zh-CN" w:bidi="ar-SA"/>
              </w:rPr>
              <w:t>分）</w:t>
            </w:r>
          </w:p>
        </w:tc>
        <w:tc>
          <w:tcPr>
            <w:tcW w:w="6918" w:type="dxa"/>
            <w:tcBorders>
              <w:top w:val="nil"/>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满足招标文件要求且最后报价最低的供应商的价格为基准价，其价格分为满分,其他供应商的价格分按公式计算:报价得分=（基准价/最后报价）×1</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%×100</w:t>
            </w:r>
          </w:p>
        </w:tc>
      </w:tr>
      <w:tr>
        <w:tblPrEx>
          <w:tblCellMar>
            <w:top w:w="0" w:type="dxa"/>
            <w:left w:w="108" w:type="dxa"/>
            <w:bottom w:w="0" w:type="dxa"/>
            <w:right w:w="108" w:type="dxa"/>
          </w:tblCellMar>
        </w:tblPrEx>
        <w:trPr>
          <w:trHeight w:val="1341" w:hRule="atLeast"/>
        </w:trPr>
        <w:tc>
          <w:tcPr>
            <w:tcW w:w="537" w:type="dxa"/>
            <w:vMerge w:val="restart"/>
            <w:tcBorders>
              <w:top w:val="nil"/>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nil"/>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企业</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业绩</w:t>
            </w:r>
          </w:p>
        </w:tc>
        <w:tc>
          <w:tcPr>
            <w:tcW w:w="1152" w:type="dxa"/>
            <w:tcBorders>
              <w:top w:val="nil"/>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zh-CN" w:eastAsia="zh-CN" w:bidi="ar-SA"/>
              </w:rPr>
              <w:t>分）</w:t>
            </w:r>
          </w:p>
        </w:tc>
        <w:tc>
          <w:tcPr>
            <w:tcW w:w="6918" w:type="dxa"/>
            <w:tcBorders>
              <w:top w:val="nil"/>
              <w:left w:val="nil"/>
              <w:bottom w:val="single" w:color="auto" w:sz="4" w:space="0"/>
              <w:right w:val="single" w:color="auto" w:sz="4" w:space="0"/>
            </w:tcBorders>
            <w:noWrap w:val="0"/>
            <w:vAlign w:val="center"/>
          </w:tcPr>
          <w:p>
            <w:pPr>
              <w:spacing w:line="360" w:lineRule="auto"/>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根据投标人提供的最近三年内成功实施</w:t>
            </w:r>
            <w:r>
              <w:rPr>
                <w:rFonts w:hint="eastAsia" w:ascii="宋体" w:hAnsi="宋体" w:cs="宋体"/>
                <w:color w:val="auto"/>
                <w:kern w:val="2"/>
                <w:sz w:val="24"/>
                <w:szCs w:val="24"/>
                <w:lang w:val="en-US" w:eastAsia="zh-CN" w:bidi="ar-SA"/>
              </w:rPr>
              <w:t>类似</w:t>
            </w:r>
            <w:r>
              <w:rPr>
                <w:rFonts w:hint="eastAsia" w:ascii="宋体" w:hAnsi="宋体" w:eastAsia="宋体" w:cs="宋体"/>
                <w:color w:val="auto"/>
                <w:kern w:val="2"/>
                <w:sz w:val="24"/>
                <w:szCs w:val="24"/>
                <w:lang w:val="en-US" w:eastAsia="zh-CN" w:bidi="ar-SA"/>
              </w:rPr>
              <w:t>项目情况（须提供中标通知书、合同、网上截图等证明材料）每提供一套材料得2分，满分4分</w:t>
            </w:r>
          </w:p>
        </w:tc>
      </w:tr>
      <w:tr>
        <w:tblPrEx>
          <w:tblCellMar>
            <w:top w:w="0" w:type="dxa"/>
            <w:left w:w="108" w:type="dxa"/>
            <w:bottom w:w="0" w:type="dxa"/>
            <w:right w:w="108" w:type="dxa"/>
          </w:tblCellMar>
        </w:tblPrEx>
        <w:trPr>
          <w:trHeight w:val="90"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nil"/>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实力</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资质</w:t>
            </w:r>
          </w:p>
        </w:tc>
        <w:tc>
          <w:tcPr>
            <w:tcW w:w="1152" w:type="dxa"/>
            <w:vMerge w:val="restart"/>
            <w:tcBorders>
              <w:top w:val="nil"/>
              <w:left w:val="nil"/>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分）</w:t>
            </w:r>
          </w:p>
        </w:tc>
        <w:tc>
          <w:tcPr>
            <w:tcW w:w="6918" w:type="dxa"/>
            <w:tcBorders>
              <w:top w:val="nil"/>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有专职系统录入人员得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分；未提供证明材料、未参加过培训不得分。（</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w:t>
            </w:r>
          </w:p>
        </w:tc>
      </w:tr>
      <w:tr>
        <w:tblPrEx>
          <w:tblCellMar>
            <w:top w:w="0" w:type="dxa"/>
            <w:left w:w="108" w:type="dxa"/>
            <w:bottom w:w="0" w:type="dxa"/>
            <w:right w:w="108" w:type="dxa"/>
          </w:tblCellMar>
        </w:tblPrEx>
        <w:trPr>
          <w:trHeight w:val="1009"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响应</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程度</w:t>
            </w:r>
          </w:p>
        </w:tc>
        <w:tc>
          <w:tcPr>
            <w:tcW w:w="1152" w:type="dxa"/>
            <w:vMerge w:val="continue"/>
            <w:tcBorders>
              <w:left w:val="nil"/>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6918" w:type="dxa"/>
            <w:tcBorders>
              <w:top w:val="nil"/>
              <w:left w:val="nil"/>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根据投标人提供的检验项目响应表是否符合招标文件规定，完全响应得</w:t>
            </w: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分，偏离一项扣1分，扣完为止，未提供不得分。</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注:投标人提供的所投包组项目的资质附表复印件必须与原件附表内容一致，如不一致按偏离处理</w:t>
            </w:r>
          </w:p>
        </w:tc>
      </w:tr>
      <w:tr>
        <w:tblPrEx>
          <w:tblCellMar>
            <w:top w:w="0" w:type="dxa"/>
            <w:left w:w="108" w:type="dxa"/>
            <w:bottom w:w="0" w:type="dxa"/>
            <w:right w:w="108" w:type="dxa"/>
          </w:tblCellMar>
        </w:tblPrEx>
        <w:trPr>
          <w:trHeight w:val="2651" w:hRule="atLeast"/>
        </w:trPr>
        <w:tc>
          <w:tcPr>
            <w:tcW w:w="537" w:type="dxa"/>
            <w:vMerge w:val="restart"/>
            <w:tcBorders>
              <w:top w:val="single" w:color="auto" w:sz="4" w:space="0"/>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948" w:type="dxa"/>
            <w:vMerge w:val="restart"/>
            <w:tcBorders>
              <w:top w:val="single" w:color="auto" w:sz="4" w:space="0"/>
              <w:left w:val="nil"/>
              <w:bottom w:val="single" w:color="auto" w:sz="4" w:space="0"/>
              <w:right w:val="single" w:color="auto" w:sz="4" w:space="0"/>
            </w:tcBorders>
            <w:noWrap w:val="0"/>
            <w:vAlign w:val="top"/>
          </w:tcPr>
          <w:p>
            <w:pPr>
              <w:spacing w:line="360" w:lineRule="auto"/>
              <w:jc w:val="both"/>
              <w:rPr>
                <w:rFonts w:hint="eastAsia" w:ascii="宋体" w:hAnsi="宋体" w:eastAsia="宋体" w:cs="宋体"/>
                <w:color w:val="auto"/>
                <w:kern w:val="2"/>
                <w:sz w:val="24"/>
                <w:szCs w:val="24"/>
                <w:highlight w:val="none"/>
                <w:lang w:val="en-US" w:eastAsia="zh-CN" w:bidi="ar-SA"/>
              </w:rPr>
            </w:pPr>
          </w:p>
          <w:p>
            <w:pPr>
              <w:spacing w:line="360" w:lineRule="auto"/>
              <w:jc w:val="both"/>
              <w:rPr>
                <w:rFonts w:hint="eastAsia" w:ascii="宋体" w:hAnsi="宋体" w:eastAsia="宋体" w:cs="宋体"/>
                <w:color w:val="auto"/>
                <w:kern w:val="2"/>
                <w:sz w:val="24"/>
                <w:szCs w:val="24"/>
                <w:highlight w:val="none"/>
                <w:lang w:val="en-US" w:eastAsia="zh-CN" w:bidi="ar-SA"/>
              </w:rPr>
            </w:pPr>
          </w:p>
          <w:p>
            <w:pPr>
              <w:spacing w:line="360" w:lineRule="auto"/>
              <w:jc w:val="both"/>
              <w:rPr>
                <w:rFonts w:hint="eastAsia" w:ascii="宋体" w:hAnsi="宋体" w:eastAsia="宋体" w:cs="宋体"/>
                <w:color w:val="auto"/>
                <w:kern w:val="2"/>
                <w:sz w:val="24"/>
                <w:szCs w:val="24"/>
                <w:highlight w:val="none"/>
                <w:lang w:val="en-US" w:eastAsia="zh-CN" w:bidi="ar-SA"/>
              </w:rPr>
            </w:pPr>
          </w:p>
          <w:p>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项目服务方案</w:t>
            </w:r>
          </w:p>
        </w:tc>
        <w:tc>
          <w:tcPr>
            <w:tcW w:w="1152" w:type="dxa"/>
            <w:vMerge w:val="restart"/>
            <w:tcBorders>
              <w:top w:val="single" w:color="auto" w:sz="4" w:space="0"/>
              <w:left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highlight w:val="none"/>
                <w:lang w:val="en-US" w:eastAsia="zh-CN" w:bidi="ar-SA"/>
              </w:rPr>
            </w:pPr>
          </w:p>
          <w:p>
            <w:pPr>
              <w:spacing w:line="360" w:lineRule="auto"/>
              <w:jc w:val="left"/>
              <w:rPr>
                <w:rFonts w:hint="eastAsia" w:ascii="宋体" w:hAnsi="宋体" w:eastAsia="宋体" w:cs="宋体"/>
                <w:color w:val="auto"/>
                <w:kern w:val="2"/>
                <w:sz w:val="24"/>
                <w:szCs w:val="24"/>
                <w:highlight w:val="none"/>
                <w:lang w:val="en-US" w:eastAsia="zh-CN" w:bidi="ar-SA"/>
              </w:rPr>
            </w:pPr>
          </w:p>
          <w:p>
            <w:pPr>
              <w:spacing w:line="360" w:lineRule="auto"/>
              <w:jc w:val="left"/>
              <w:rPr>
                <w:rFonts w:hint="eastAsia" w:ascii="宋体" w:hAnsi="宋体" w:eastAsia="宋体" w:cs="宋体"/>
                <w:color w:val="auto"/>
                <w:kern w:val="2"/>
                <w:sz w:val="24"/>
                <w:szCs w:val="24"/>
                <w:highlight w:val="none"/>
                <w:lang w:val="en-US" w:eastAsia="zh-CN" w:bidi="ar-SA"/>
              </w:rPr>
            </w:pP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（13分）</w:t>
            </w:r>
          </w:p>
        </w:tc>
        <w:tc>
          <w:tcPr>
            <w:tcW w:w="691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抽检服务方案：</w:t>
            </w:r>
          </w:p>
          <w:p>
            <w:pPr>
              <w:spacing w:line="360"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none"/>
                <w:lang w:val="en-US" w:eastAsia="zh-CN" w:bidi="ar-SA"/>
              </w:rPr>
              <w:t>投标人根据招标文件提供的抽检清单，提供相对应的抽检服务方案（对本项目系统总体要求的理解，包括：针对本项目的抽检实施方案，内容包含（包含但不限于）工作目标、工作内容、工作方法、实施进程安排、重点难点分析）。方案完整、实施性高得10分，缺一项扣2分，方案不完整扣1分。</w:t>
            </w:r>
          </w:p>
        </w:tc>
      </w:tr>
      <w:tr>
        <w:tblPrEx>
          <w:tblCellMar>
            <w:top w:w="0" w:type="dxa"/>
            <w:left w:w="108" w:type="dxa"/>
            <w:bottom w:w="0" w:type="dxa"/>
            <w:right w:w="108" w:type="dxa"/>
          </w:tblCellMar>
        </w:tblPrEx>
        <w:trPr>
          <w:trHeight w:val="1375"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vMerge w:val="continue"/>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highlight w:val="none"/>
                <w:lang w:val="en-US" w:eastAsia="zh-CN" w:bidi="ar-SA"/>
              </w:rPr>
            </w:pPr>
          </w:p>
        </w:tc>
        <w:tc>
          <w:tcPr>
            <w:tcW w:w="1152" w:type="dxa"/>
            <w:vMerge w:val="continue"/>
            <w:tcBorders>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highlight w:val="none"/>
                <w:lang w:val="en-US" w:eastAsia="zh-CN" w:bidi="ar-SA"/>
              </w:rPr>
            </w:pPr>
          </w:p>
        </w:tc>
        <w:tc>
          <w:tcPr>
            <w:tcW w:w="691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质量控制方案：</w:t>
            </w:r>
          </w:p>
          <w:p>
            <w:pPr>
              <w:spacing w:line="360"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none"/>
                <w:lang w:val="en-US" w:eastAsia="zh-CN" w:bidi="ar-SA"/>
              </w:rPr>
              <w:t>包含但不限于质量控制体系、质量保证措施、后续服务承诺等，方案完整可行性高得3分，方案不完整扣1分， 缺一项扣2分</w:t>
            </w:r>
            <w:r>
              <w:rPr>
                <w:rFonts w:hint="eastAsia" w:ascii="宋体" w:hAnsi="宋体" w:cs="宋体"/>
                <w:color w:val="auto"/>
                <w:kern w:val="2"/>
                <w:sz w:val="24"/>
                <w:szCs w:val="24"/>
                <w:highlight w:val="none"/>
                <w:lang w:val="en-US" w:eastAsia="zh-CN" w:bidi="ar-SA"/>
              </w:rPr>
              <w:t>。</w:t>
            </w:r>
          </w:p>
        </w:tc>
      </w:tr>
      <w:tr>
        <w:tblPrEx>
          <w:tblCellMar>
            <w:top w:w="0" w:type="dxa"/>
            <w:left w:w="108" w:type="dxa"/>
            <w:bottom w:w="0" w:type="dxa"/>
            <w:right w:w="108" w:type="dxa"/>
          </w:tblCellMar>
        </w:tblPrEx>
        <w:trPr>
          <w:trHeight w:val="2180"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管理</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制度</w:t>
            </w:r>
          </w:p>
        </w:tc>
        <w:tc>
          <w:tcPr>
            <w:tcW w:w="11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w:t>
            </w:r>
          </w:p>
        </w:tc>
        <w:tc>
          <w:tcPr>
            <w:tcW w:w="691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管理制度完善、健全得1分；</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食品安全检验检测制度完善、健全得1分；</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责任追究制度完善、健全得1分:</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检验档案管理制度完善、健全得1分。(包括但不限于以上制度)缺一项扣1分</w:t>
            </w:r>
          </w:p>
        </w:tc>
      </w:tr>
      <w:tr>
        <w:tblPrEx>
          <w:tblCellMar>
            <w:top w:w="0" w:type="dxa"/>
            <w:left w:w="108" w:type="dxa"/>
            <w:bottom w:w="0" w:type="dxa"/>
            <w:right w:w="108" w:type="dxa"/>
          </w:tblCellMar>
        </w:tblPrEx>
        <w:trPr>
          <w:trHeight w:val="1144"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pStyle w:val="20"/>
              <w:rPr>
                <w:rFonts w:hint="eastAsia" w:ascii="宋体" w:hAnsi="宋体" w:eastAsia="宋体" w:cs="宋体"/>
                <w:color w:val="auto"/>
                <w:kern w:val="2"/>
                <w:sz w:val="24"/>
                <w:szCs w:val="24"/>
                <w:lang w:val="en-US" w:eastAsia="zh-CN" w:bidi="ar-SA"/>
              </w:rPr>
            </w:pPr>
          </w:p>
          <w:p>
            <w:pPr>
              <w:pStyle w:val="20"/>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检验设施设备</w:t>
            </w:r>
          </w:p>
        </w:tc>
        <w:tc>
          <w:tcPr>
            <w:tcW w:w="11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w:t>
            </w:r>
          </w:p>
        </w:tc>
        <w:tc>
          <w:tcPr>
            <w:tcW w:w="691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投标人需配备液相色谱-串联质谱仪（LC-MS/MS）、气相色谱-串联质谱仪（GC-MS/MS）、高效液相-示差检测器(RID)、高效液相-</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HYPERLINK "http://www.baidu.com/s?wd=%E4%BA%8C%E6%9E%81%E7%AE%A1%E9%98%B5%E5%88%97%E6%A3%80%E6%B5%8B%E5%99%A8&amp;tn=44039180_cpr&amp;fenlei=mv6quAkxTZn0IZRqIHckPjm4nH00T1Y3PADvuH0kmWbYujD4mH-b0ZwV5Hcvrjm3rH6sPfKWUMw85HfYnjn4nH6sgvPsT6KdThsqpZwYTjCEQLGCpyw9Uz4Bmy-bIi4WUvYETgN-TLwGUv3EnHRknWTdPHDLnW6kPW63PWfvn0" \t "_blank"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二极管阵列检测器</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(DAD)、高效液相-</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color w:val="auto"/>
                <w:kern w:val="2"/>
                <w:sz w:val="24"/>
                <w:szCs w:val="24"/>
                <w:lang w:val="en-US" w:eastAsia="zh-CN" w:bidi="ar-SA"/>
              </w:rPr>
              <w:instrText xml:space="preserve"> HYPERLINK "http://www.baidu.com/s?wd=%E4%BA%8C%E6%9E%81%E7%AE%A1%E9%98%B5%E5%88%97%E6%A3%80%E6%B5%8B%E5%99%A8&amp;tn=44039180_cpr&amp;fenlei=mv6quAkxTZn0IZRqIHckPjm4nH00T1Y3PADvuH0kmWbYujD4mH-b0ZwV5Hcvrjm3rH6sPfKWUMw85HfYnjn4nH6sgvPsT6KdThsqpZwYTjCEQLGCpyw9Uz4Bmy-bIi4WUvYETgN-TLwGUv3EnHRknWTdPHDLnW6kPW63PWfvn0" \t "_blank" </w:instrText>
            </w:r>
            <w:r>
              <w:rPr>
                <w:rFonts w:hint="eastAsia" w:ascii="宋体" w:hAnsi="宋体" w:eastAsia="宋体" w:cs="宋体"/>
                <w:color w:val="auto"/>
                <w:kern w:val="2"/>
                <w:sz w:val="24"/>
                <w:szCs w:val="24"/>
                <w:lang w:val="en-US" w:eastAsia="zh-CN" w:bidi="ar-SA"/>
              </w:rPr>
              <w:fldChar w:fldCharType="separate"/>
            </w:r>
            <w:r>
              <w:rPr>
                <w:rFonts w:hint="eastAsia" w:ascii="宋体" w:hAnsi="宋体" w:eastAsia="宋体" w:cs="宋体"/>
                <w:color w:val="auto"/>
                <w:kern w:val="2"/>
                <w:sz w:val="24"/>
                <w:szCs w:val="24"/>
                <w:lang w:val="en-US" w:eastAsia="zh-CN" w:bidi="ar-SA"/>
              </w:rPr>
              <w:t>荧光检测器</w:t>
            </w:r>
            <w:r>
              <w:rPr>
                <w:rFonts w:hint="eastAsia" w:ascii="宋体" w:hAnsi="宋体" w:eastAsia="宋体" w:cs="宋体"/>
                <w:color w:val="auto"/>
                <w:kern w:val="2"/>
                <w:sz w:val="24"/>
                <w:szCs w:val="24"/>
                <w:lang w:val="en-US" w:eastAsia="zh-CN" w:bidi="ar-SA"/>
              </w:rPr>
              <w:fldChar w:fldCharType="end"/>
            </w:r>
            <w:r>
              <w:rPr>
                <w:rFonts w:hint="eastAsia" w:ascii="宋体" w:hAnsi="宋体" w:eastAsia="宋体" w:cs="宋体"/>
                <w:color w:val="auto"/>
                <w:kern w:val="2"/>
                <w:sz w:val="24"/>
                <w:szCs w:val="24"/>
                <w:lang w:val="en-US" w:eastAsia="zh-CN" w:bidi="ar-SA"/>
              </w:rPr>
              <w:t>(FLD)、气相色谱仪-电子捕获检测器（ECD）、气相色谱仪-火焰光度检测器(FPD)、气相色谱仪-氢火焰离子化检测器(FID)、电感耦合等离子体质谱仪、液相-原子荧光联用仪、原子吸收分光光度计-石墨炉、原子荧光光谱仪、离子色谱仪，全部配备的得</w:t>
            </w:r>
            <w:r>
              <w:rPr>
                <w:rFonts w:hint="eastAsia" w:ascii="宋体" w:hAnsi="宋体" w:cs="宋体"/>
                <w:color w:val="auto"/>
                <w:kern w:val="2"/>
                <w:sz w:val="24"/>
                <w:szCs w:val="24"/>
                <w:lang w:val="en-US" w:eastAsia="zh-CN" w:bidi="ar-SA"/>
              </w:rPr>
              <w:t>13</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缺一项扣一分</w:t>
            </w:r>
            <w:r>
              <w:rPr>
                <w:rFonts w:hint="eastAsia" w:ascii="宋体" w:hAnsi="宋体" w:eastAsia="宋体" w:cs="宋体"/>
                <w:color w:val="auto"/>
                <w:kern w:val="2"/>
                <w:sz w:val="24"/>
                <w:szCs w:val="24"/>
                <w:lang w:val="en-US" w:eastAsia="zh-CN" w:bidi="ar-SA"/>
              </w:rPr>
              <w:t>。（需提供仪器设备清单、购置发票、相关实验室放置图片证明和仪器检定或校准合格证书等证明材料）</w:t>
            </w:r>
          </w:p>
        </w:tc>
      </w:tr>
      <w:tr>
        <w:tblPrEx>
          <w:tblCellMar>
            <w:top w:w="0" w:type="dxa"/>
            <w:left w:w="108" w:type="dxa"/>
            <w:bottom w:w="0" w:type="dxa"/>
            <w:right w:w="108" w:type="dxa"/>
          </w:tblCellMar>
        </w:tblPrEx>
        <w:trPr>
          <w:trHeight w:val="418"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样品运输及冷藏设备</w:t>
            </w:r>
          </w:p>
        </w:tc>
        <w:tc>
          <w:tcPr>
            <w:tcW w:w="11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（5分）</w:t>
            </w:r>
          </w:p>
        </w:tc>
        <w:tc>
          <w:tcPr>
            <w:tcW w:w="691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根据样品运输设备，如冷藏设备及车辆配置等情况进行比较；自有车辆或租赁4辆以上(含4辆)，冷藏设备6台以上(含6台)得(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分):自有车辆或租赁2-3辆(含2辆)，冷藏设备 4-5台以上得(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分)；自有车辆2辆以下(含2辆)，冷藏设备4台以下得(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分):其他情况(1 分)（须提供车辆行驶证，彩色图片，有效期内的保险合同，冷藏设备、专用抽样箱的证明材料，不提供不得分）</w:t>
            </w:r>
          </w:p>
        </w:tc>
      </w:tr>
      <w:tr>
        <w:tblPrEx>
          <w:tblCellMar>
            <w:top w:w="0" w:type="dxa"/>
            <w:left w:w="108" w:type="dxa"/>
            <w:bottom w:w="0" w:type="dxa"/>
            <w:right w:w="108" w:type="dxa"/>
          </w:tblCellMar>
        </w:tblPrEx>
        <w:trPr>
          <w:trHeight w:val="1700"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nil"/>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实验室场地</w:t>
            </w:r>
          </w:p>
        </w:tc>
        <w:tc>
          <w:tcPr>
            <w:tcW w:w="1152" w:type="dxa"/>
            <w:tcBorders>
              <w:top w:val="nil"/>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w:t>
            </w:r>
          </w:p>
        </w:tc>
        <w:tc>
          <w:tcPr>
            <w:tcW w:w="6918" w:type="dxa"/>
            <w:tcBorders>
              <w:top w:val="nil"/>
              <w:left w:val="nil"/>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根据各投标人实验室场地大小进行评审：实验室场地面积≥</w:t>
            </w:r>
            <w:r>
              <w:rPr>
                <w:rFonts w:hint="eastAsia" w:ascii="宋体" w:hAnsi="宋体" w:cs="宋体"/>
                <w:color w:val="auto"/>
                <w:kern w:val="2"/>
                <w:sz w:val="24"/>
                <w:szCs w:val="24"/>
                <w:lang w:val="en-US" w:eastAsia="zh-CN" w:bidi="ar-SA"/>
              </w:rPr>
              <w:t>6000㎡</w:t>
            </w:r>
            <w:r>
              <w:rPr>
                <w:rFonts w:hint="eastAsia" w:ascii="宋体" w:hAnsi="宋体" w:eastAsia="宋体" w:cs="宋体"/>
                <w:color w:val="000000" w:themeColor="text1"/>
                <w:kern w:val="2"/>
                <w:sz w:val="24"/>
                <w:szCs w:val="24"/>
                <w:lang w:val="en-US" w:eastAsia="zh-CN" w:bidi="ar-SA"/>
                <w14:textFill>
                  <w14:solidFill>
                    <w14:schemeClr w14:val="tx1"/>
                  </w14:solidFill>
                </w14:textFill>
              </w:rPr>
              <w:t>得</w:t>
            </w:r>
            <w:r>
              <w:rPr>
                <w:rFonts w:hint="eastAsia" w:ascii="宋体"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auto"/>
                <w:kern w:val="2"/>
                <w:sz w:val="24"/>
                <w:szCs w:val="24"/>
                <w:lang w:val="en-US" w:eastAsia="zh-CN" w:bidi="ar-SA"/>
              </w:rPr>
              <w:t>分； 实验室场地面积≥</w:t>
            </w:r>
            <w:r>
              <w:rPr>
                <w:rFonts w:hint="eastAsia" w:ascii="宋体" w:hAnsi="宋体" w:cs="宋体"/>
                <w:color w:val="auto"/>
                <w:kern w:val="2"/>
                <w:sz w:val="24"/>
                <w:szCs w:val="24"/>
                <w:lang w:val="en-US" w:eastAsia="zh-CN" w:bidi="ar-SA"/>
              </w:rPr>
              <w:t>5000㎡</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分； 实验室场地≥</w:t>
            </w:r>
            <w:r>
              <w:rPr>
                <w:rFonts w:hint="eastAsia" w:ascii="宋体" w:hAnsi="宋体" w:cs="宋体"/>
                <w:color w:val="auto"/>
                <w:kern w:val="2"/>
                <w:sz w:val="24"/>
                <w:szCs w:val="24"/>
                <w:lang w:val="en-US" w:eastAsia="zh-CN" w:bidi="ar-SA"/>
              </w:rPr>
              <w:t>3000㎡</w:t>
            </w:r>
            <w:r>
              <w:rPr>
                <w:rFonts w:hint="eastAsia" w:ascii="宋体" w:hAnsi="宋体" w:eastAsia="宋体" w:cs="宋体"/>
                <w:color w:val="auto"/>
                <w:kern w:val="2"/>
                <w:sz w:val="24"/>
                <w:szCs w:val="24"/>
                <w:lang w:val="en-US" w:eastAsia="zh-CN" w:bidi="ar-SA"/>
              </w:rPr>
              <w:t>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；其余得1分</w:t>
            </w:r>
            <w:r>
              <w:rPr>
                <w:rFonts w:hint="eastAsia" w:ascii="宋体" w:hAnsi="宋体" w:eastAsia="宋体" w:cs="宋体"/>
                <w:color w:val="auto"/>
                <w:kern w:val="2"/>
                <w:sz w:val="24"/>
                <w:szCs w:val="24"/>
                <w:lang w:val="en-US" w:eastAsia="zh-CN" w:bidi="ar-SA"/>
              </w:rPr>
              <w:t>。（ 注：需提供租赁合同及房产证等证明材料。）</w:t>
            </w:r>
          </w:p>
        </w:tc>
      </w:tr>
      <w:tr>
        <w:tblPrEx>
          <w:tblCellMar>
            <w:top w:w="0" w:type="dxa"/>
            <w:left w:w="108" w:type="dxa"/>
            <w:bottom w:w="0" w:type="dxa"/>
            <w:right w:w="108" w:type="dxa"/>
          </w:tblCellMar>
        </w:tblPrEx>
        <w:trPr>
          <w:trHeight w:val="712"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nil"/>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en-US" w:eastAsia="zh-CN" w:bidi="ar-SA"/>
              </w:rPr>
              <w:t>项目负责人及证书</w:t>
            </w:r>
          </w:p>
        </w:tc>
        <w:tc>
          <w:tcPr>
            <w:tcW w:w="1152" w:type="dxa"/>
            <w:tcBorders>
              <w:top w:val="nil"/>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tc>
        <w:tc>
          <w:tcPr>
            <w:tcW w:w="6918" w:type="dxa"/>
            <w:tcBorders>
              <w:top w:val="nil"/>
              <w:left w:val="nil"/>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项目负责人具备相关食品专业高级以上职称得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具备相关食品专业中级职称，得3分。(需提供职称证书和近4个月的社保证明) 不提供不得分</w:t>
            </w:r>
          </w:p>
        </w:tc>
      </w:tr>
      <w:tr>
        <w:tblPrEx>
          <w:tblCellMar>
            <w:top w:w="0" w:type="dxa"/>
            <w:left w:w="108" w:type="dxa"/>
            <w:bottom w:w="0" w:type="dxa"/>
            <w:right w:w="108" w:type="dxa"/>
          </w:tblCellMar>
        </w:tblPrEx>
        <w:trPr>
          <w:trHeight w:val="1155" w:hRule="atLeast"/>
        </w:trPr>
        <w:tc>
          <w:tcPr>
            <w:tcW w:w="537" w:type="dxa"/>
            <w:vMerge w:val="continue"/>
            <w:tcBorders>
              <w:left w:val="single" w:color="auto" w:sz="4" w:space="0"/>
              <w:bottom w:val="nil"/>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vMerge w:val="restart"/>
            <w:tcBorders>
              <w:top w:val="single" w:color="auto" w:sz="4" w:space="0"/>
              <w:left w:val="single" w:color="auto" w:sz="4" w:space="0"/>
              <w:bottom w:val="nil"/>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项目实施团队能力</w:t>
            </w:r>
          </w:p>
        </w:tc>
        <w:tc>
          <w:tcPr>
            <w:tcW w:w="1152" w:type="dxa"/>
            <w:vMerge w:val="restart"/>
            <w:tcBorders>
              <w:top w:val="single" w:color="auto" w:sz="4" w:space="0"/>
              <w:left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（10分）</w:t>
            </w:r>
          </w:p>
        </w:tc>
        <w:tc>
          <w:tcPr>
            <w:tcW w:w="6918" w:type="dxa"/>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投标人拟投入本项目的专业采样人员数量进行评定，采样人员</w:t>
            </w:r>
            <w:r>
              <w:rPr>
                <w:rFonts w:hint="eastAsia" w:ascii="宋体" w:hAnsi="宋体" w:cs="宋体"/>
                <w:color w:val="auto"/>
                <w:kern w:val="2"/>
                <w:sz w:val="24"/>
                <w:szCs w:val="24"/>
                <w:lang w:val="en-US" w:eastAsia="zh-CN" w:bidi="ar-SA"/>
              </w:rPr>
              <w:t>≥15</w:t>
            </w:r>
            <w:r>
              <w:rPr>
                <w:rFonts w:hint="eastAsia" w:ascii="宋体" w:hAnsi="宋体" w:eastAsia="宋体" w:cs="宋体"/>
                <w:color w:val="auto"/>
                <w:kern w:val="2"/>
                <w:sz w:val="24"/>
                <w:szCs w:val="24"/>
                <w:lang w:val="en-US" w:eastAsia="zh-CN" w:bidi="ar-SA"/>
              </w:rPr>
              <w:t>人得</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分，采样人员</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得3分，采样人员</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得1分，</w:t>
            </w: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人以下不得分，从事采样人员必须为本单位在职员工，并经过考核合格上岗，不得与检测人员重复计算，提供采样上岗证或采样培训证书。（需提供上述人员近4个月的社保证明）不提供不得分</w:t>
            </w:r>
          </w:p>
        </w:tc>
      </w:tr>
      <w:tr>
        <w:tblPrEx>
          <w:tblCellMar>
            <w:top w:w="0" w:type="dxa"/>
            <w:left w:w="108" w:type="dxa"/>
            <w:bottom w:w="0" w:type="dxa"/>
            <w:right w:w="108" w:type="dxa"/>
          </w:tblCellMar>
        </w:tblPrEx>
        <w:trPr>
          <w:trHeight w:val="384" w:hRule="atLeast"/>
        </w:trPr>
        <w:tc>
          <w:tcPr>
            <w:tcW w:w="537" w:type="dxa"/>
            <w:vMerge w:val="restart"/>
            <w:tcBorders>
              <w:top w:val="nil"/>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vMerge w:val="continue"/>
            <w:tcBorders>
              <w:top w:val="nil"/>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tc>
        <w:tc>
          <w:tcPr>
            <w:tcW w:w="1152" w:type="dxa"/>
            <w:vMerge w:val="continue"/>
            <w:tcBorders>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tc>
        <w:tc>
          <w:tcPr>
            <w:tcW w:w="6918" w:type="dxa"/>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投标人所配检验人员为专职从事食品检验人员的数量:10人及以下且有一名高级工程师</w:t>
            </w:r>
            <w:r>
              <w:rPr>
                <w:rFonts w:hint="eastAsia" w:ascii="宋体" w:hAnsi="宋体" w:cs="宋体"/>
                <w:color w:val="000000" w:themeColor="text1"/>
                <w:kern w:val="2"/>
                <w:sz w:val="24"/>
                <w:szCs w:val="24"/>
                <w:lang w:val="en-US" w:eastAsia="zh-CN" w:bidi="ar-SA"/>
                <w14:textFill>
                  <w14:solidFill>
                    <w14:schemeClr w14:val="tx1"/>
                  </w14:solidFill>
                </w14:textFill>
              </w:rPr>
              <w:t>得</w:t>
            </w:r>
            <w:r>
              <w:rPr>
                <w:rFonts w:hint="eastAsia" w:ascii="宋体" w:hAnsi="宋体" w:eastAsia="宋体" w:cs="宋体"/>
                <w:color w:val="000000" w:themeColor="text1"/>
                <w:kern w:val="2"/>
                <w:sz w:val="24"/>
                <w:szCs w:val="24"/>
                <w:lang w:val="en-US" w:eastAsia="zh-CN" w:bidi="ar-SA"/>
                <w14:textFill>
                  <w14:solidFill>
                    <w14:schemeClr w14:val="tx1"/>
                  </w14:solidFill>
                </w14:textFill>
              </w:rPr>
              <w:t>1分；15-20人且有两名高级工程师</w:t>
            </w:r>
            <w:r>
              <w:rPr>
                <w:rFonts w:hint="eastAsia" w:ascii="宋体" w:hAnsi="宋体" w:cs="宋体"/>
                <w:color w:val="000000" w:themeColor="text1"/>
                <w:kern w:val="2"/>
                <w:sz w:val="24"/>
                <w:szCs w:val="24"/>
                <w:lang w:val="en-US" w:eastAsia="zh-CN" w:bidi="ar-SA"/>
                <w14:textFill>
                  <w14:solidFill>
                    <w14:schemeClr w14:val="tx1"/>
                  </w14:solidFill>
                </w14:textFill>
              </w:rPr>
              <w:t>得</w:t>
            </w:r>
            <w:r>
              <w:rPr>
                <w:rFonts w:hint="eastAsia" w:ascii="宋体" w:hAnsi="宋体" w:eastAsia="宋体" w:cs="宋体"/>
                <w:color w:val="000000" w:themeColor="text1"/>
                <w:kern w:val="2"/>
                <w:sz w:val="24"/>
                <w:szCs w:val="24"/>
                <w:lang w:val="en-US" w:eastAsia="zh-CN" w:bidi="ar-SA"/>
                <w14:textFill>
                  <w14:solidFill>
                    <w14:schemeClr w14:val="tx1"/>
                  </w14:solidFill>
                </w14:textFill>
              </w:rPr>
              <w:t>3分；20人及以上且有三名及以上高级工程师</w:t>
            </w:r>
            <w:r>
              <w:rPr>
                <w:rFonts w:hint="eastAsia" w:ascii="宋体" w:hAnsi="宋体" w:cs="宋体"/>
                <w:color w:val="000000" w:themeColor="text1"/>
                <w:kern w:val="2"/>
                <w:sz w:val="24"/>
                <w:szCs w:val="24"/>
                <w:lang w:val="en-US" w:eastAsia="zh-CN" w:bidi="ar-SA"/>
                <w14:textFill>
                  <w14:solidFill>
                    <w14:schemeClr w14:val="tx1"/>
                  </w14:solidFill>
                </w14:textFill>
              </w:rPr>
              <w:t>得</w:t>
            </w:r>
            <w:r>
              <w:rPr>
                <w:rFonts w:hint="eastAsia" w:ascii="宋体" w:hAnsi="宋体" w:eastAsia="宋体" w:cs="宋体"/>
                <w:color w:val="000000" w:themeColor="text1"/>
                <w:kern w:val="2"/>
                <w:sz w:val="24"/>
                <w:szCs w:val="24"/>
                <w:lang w:val="en-US" w:eastAsia="zh-CN" w:bidi="ar-SA"/>
                <w14:textFill>
                  <w14:solidFill>
                    <w14:schemeClr w14:val="tx1"/>
                  </w14:solidFill>
                </w14:textFill>
              </w:rPr>
              <w:t>5分。</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注:需提供食品检验人员上岗证</w:t>
            </w:r>
            <w:r>
              <w:rPr>
                <w:rFonts w:hint="eastAsia" w:ascii="宋体" w:hAnsi="宋体" w:cs="宋体"/>
                <w:color w:val="auto"/>
                <w:kern w:val="2"/>
                <w:sz w:val="24"/>
                <w:szCs w:val="24"/>
                <w:lang w:val="en-US" w:eastAsia="zh-CN" w:bidi="ar-SA"/>
              </w:rPr>
              <w:t>及</w:t>
            </w:r>
            <w:r>
              <w:rPr>
                <w:rFonts w:hint="eastAsia" w:ascii="宋体" w:hAnsi="宋体" w:eastAsia="宋体" w:cs="宋体"/>
                <w:color w:val="auto"/>
                <w:kern w:val="2"/>
                <w:sz w:val="24"/>
                <w:szCs w:val="24"/>
                <w:lang w:val="en-US" w:eastAsia="zh-CN" w:bidi="ar-SA"/>
              </w:rPr>
              <w:t>近4个月的社保证明，不提供不得分</w:t>
            </w:r>
          </w:p>
        </w:tc>
      </w:tr>
      <w:tr>
        <w:tblPrEx>
          <w:tblCellMar>
            <w:top w:w="0" w:type="dxa"/>
            <w:left w:w="108" w:type="dxa"/>
            <w:bottom w:w="0" w:type="dxa"/>
            <w:right w:w="108" w:type="dxa"/>
          </w:tblCellMar>
        </w:tblPrEx>
        <w:trPr>
          <w:trHeight w:val="1178"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nil"/>
              <w:left w:val="single" w:color="auto" w:sz="4" w:space="0"/>
              <w:bottom w:val="single" w:color="auto" w:sz="4" w:space="0"/>
              <w:right w:val="single" w:color="auto" w:sz="4" w:space="0"/>
            </w:tcBorders>
            <w:noWrap w:val="0"/>
            <w:vAlign w:val="center"/>
          </w:tcPr>
          <w:p>
            <w:pPr>
              <w:pStyle w:val="11"/>
              <w:adjustRightInd w:val="0"/>
              <w:snapToGrid w:val="0"/>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投标人其他增值配套服务</w:t>
            </w:r>
          </w:p>
        </w:tc>
        <w:tc>
          <w:tcPr>
            <w:tcW w:w="1152" w:type="dxa"/>
            <w:tcBorders>
              <w:left w:val="single" w:color="auto" w:sz="4" w:space="0"/>
              <w:bottom w:val="single" w:color="auto" w:sz="4" w:space="0"/>
              <w:right w:val="single" w:color="auto" w:sz="4" w:space="0"/>
            </w:tcBorders>
            <w:noWrap w:val="0"/>
            <w:vAlign w:val="center"/>
          </w:tcPr>
          <w:p>
            <w:pPr>
              <w:pStyle w:val="11"/>
              <w:adjustRightInd w:val="0"/>
              <w:snapToGrid w:val="0"/>
              <w:spacing w:line="240" w:lineRule="auto"/>
              <w:jc w:val="center"/>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3</w:t>
            </w:r>
          </w:p>
        </w:tc>
        <w:tc>
          <w:tcPr>
            <w:tcW w:w="6918" w:type="dxa"/>
            <w:tcBorders>
              <w:top w:val="single" w:color="auto" w:sz="4" w:space="0"/>
              <w:left w:val="nil"/>
              <w:bottom w:val="single" w:color="auto" w:sz="4" w:space="0"/>
              <w:right w:val="single" w:color="auto" w:sz="4" w:space="0"/>
            </w:tcBorders>
            <w:noWrap w:val="0"/>
            <w:vAlign w:val="center"/>
          </w:tcPr>
          <w:p>
            <w:pPr>
              <w:pStyle w:val="47"/>
              <w:adjustRightInd w:val="0"/>
              <w:spacing w:afterLines="0" w:line="360" w:lineRule="auto"/>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根据投标人</w:t>
            </w:r>
            <w:r>
              <w:rPr>
                <w:rFonts w:hint="eastAsia" w:ascii="宋体" w:hAnsi="宋体" w:cs="宋体"/>
                <w:color w:val="auto"/>
                <w:kern w:val="2"/>
                <w:sz w:val="24"/>
                <w:szCs w:val="24"/>
                <w:lang w:val="en-US" w:eastAsia="zh-CN" w:bidi="ar-SA"/>
              </w:rPr>
              <w:t>是否</w:t>
            </w:r>
            <w:r>
              <w:rPr>
                <w:rFonts w:hint="eastAsia" w:ascii="宋体" w:hAnsi="宋体" w:eastAsia="宋体" w:cs="宋体"/>
                <w:color w:val="auto"/>
                <w:kern w:val="2"/>
                <w:sz w:val="24"/>
                <w:szCs w:val="24"/>
                <w:lang w:val="en-US" w:eastAsia="zh-CN" w:bidi="ar-SA"/>
              </w:rPr>
              <w:t>能提供检测结果分析报告情况打分，提供检测结果分析报告的得3分</w:t>
            </w:r>
            <w:r>
              <w:rPr>
                <w:rFonts w:hint="eastAsia" w:ascii="宋体" w:hAnsi="宋体" w:cs="宋体"/>
                <w:color w:val="auto"/>
                <w:kern w:val="2"/>
                <w:sz w:val="24"/>
                <w:szCs w:val="24"/>
                <w:lang w:val="en-US" w:eastAsia="zh-CN" w:bidi="ar-SA"/>
              </w:rPr>
              <w:t>，不提供不得分</w:t>
            </w:r>
            <w:r>
              <w:rPr>
                <w:rFonts w:hint="eastAsia" w:ascii="宋体" w:hAnsi="宋体" w:eastAsia="宋体" w:cs="宋体"/>
                <w:color w:val="auto"/>
                <w:kern w:val="2"/>
                <w:sz w:val="24"/>
                <w:szCs w:val="24"/>
                <w:lang w:val="en-US" w:eastAsia="zh-CN" w:bidi="ar-SA"/>
              </w:rPr>
              <w:t>。</w:t>
            </w:r>
          </w:p>
        </w:tc>
      </w:tr>
      <w:tr>
        <w:tblPrEx>
          <w:tblCellMar>
            <w:top w:w="0" w:type="dxa"/>
            <w:left w:w="108" w:type="dxa"/>
            <w:bottom w:w="0" w:type="dxa"/>
            <w:right w:w="108" w:type="dxa"/>
          </w:tblCellMar>
        </w:tblPrEx>
        <w:trPr>
          <w:trHeight w:val="1253" w:hRule="atLeast"/>
        </w:trPr>
        <w:tc>
          <w:tcPr>
            <w:tcW w:w="537" w:type="dxa"/>
            <w:vMerge w:val="continue"/>
            <w:tcBorders>
              <w:left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突发事件的应急响应方案</w:t>
            </w:r>
          </w:p>
        </w:tc>
        <w:tc>
          <w:tcPr>
            <w:tcW w:w="1152" w:type="dxa"/>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宋体" w:hAnsi="宋体" w:eastAsia="宋体" w:cs="宋体"/>
                <w:sz w:val="24"/>
                <w:szCs w:val="24"/>
                <w:lang w:val="en-US" w:eastAsia="zh-CN"/>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w:t>
            </w:r>
          </w:p>
        </w:tc>
        <w:tc>
          <w:tcPr>
            <w:tcW w:w="6918" w:type="dxa"/>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针对发生安全事故的应急预案，有清晰表明事故的责任权利义务着重提出应急处理预案、善后处理的方法和措施等内容，且所提供的应急方案供应详细完整、科学合理、可操作性强，符合本项目特点，得</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分；缺一项扣</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分，内容不完善扣</w:t>
            </w: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分。</w:t>
            </w:r>
          </w:p>
        </w:tc>
      </w:tr>
      <w:tr>
        <w:tblPrEx>
          <w:tblCellMar>
            <w:top w:w="0" w:type="dxa"/>
            <w:left w:w="108" w:type="dxa"/>
            <w:bottom w:w="0" w:type="dxa"/>
            <w:right w:w="108" w:type="dxa"/>
          </w:tblCellMar>
        </w:tblPrEx>
        <w:trPr>
          <w:trHeight w:val="4075" w:hRule="atLeast"/>
        </w:trPr>
        <w:tc>
          <w:tcPr>
            <w:tcW w:w="537" w:type="dxa"/>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kern w:val="2"/>
                <w:sz w:val="24"/>
                <w:szCs w:val="24"/>
                <w:lang w:val="en-US" w:eastAsia="zh-CN" w:bidi="ar-SA"/>
              </w:rPr>
            </w:pPr>
          </w:p>
        </w:tc>
        <w:tc>
          <w:tcPr>
            <w:tcW w:w="94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pStyle w:val="20"/>
              <w:rPr>
                <w:rFonts w:hint="eastAsia" w:ascii="宋体" w:hAnsi="宋体" w:eastAsia="宋体" w:cs="宋体"/>
                <w:color w:val="auto"/>
                <w:kern w:val="2"/>
                <w:sz w:val="24"/>
                <w:szCs w:val="24"/>
                <w:lang w:val="en-US" w:eastAsia="zh-CN" w:bidi="ar-SA"/>
              </w:rPr>
            </w:pPr>
          </w:p>
          <w:p>
            <w:pPr>
              <w:pStyle w:val="20"/>
              <w:rPr>
                <w:rFonts w:hint="eastAsia" w:ascii="宋体" w:hAnsi="宋体" w:eastAsia="宋体" w:cs="宋体"/>
                <w:color w:val="auto"/>
                <w:kern w:val="2"/>
                <w:sz w:val="24"/>
                <w:szCs w:val="24"/>
                <w:lang w:val="en-US" w:eastAsia="zh-CN" w:bidi="ar-SA"/>
              </w:rPr>
            </w:pPr>
          </w:p>
          <w:p>
            <w:pPr>
              <w:spacing w:line="360" w:lineRule="auto"/>
              <w:jc w:val="center"/>
              <w:rPr>
                <w:rFonts w:hint="eastAsia" w:ascii="宋体" w:hAnsi="宋体" w:cs="宋体"/>
                <w:color w:val="auto"/>
                <w:kern w:val="2"/>
                <w:sz w:val="24"/>
                <w:szCs w:val="24"/>
                <w:lang w:val="zh-CN" w:eastAsia="zh-CN" w:bidi="ar-SA"/>
              </w:rPr>
            </w:pPr>
            <w:r>
              <w:rPr>
                <w:rFonts w:hint="eastAsia" w:ascii="宋体" w:hAnsi="宋体" w:cs="宋体"/>
                <w:color w:val="auto"/>
                <w:kern w:val="2"/>
                <w:sz w:val="24"/>
                <w:szCs w:val="24"/>
                <w:lang w:val="zh-CN" w:eastAsia="zh-CN" w:bidi="ar-SA"/>
              </w:rPr>
              <w:t>售后</w:t>
            </w:r>
          </w:p>
          <w:p>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cs="宋体"/>
                <w:color w:val="auto"/>
                <w:kern w:val="2"/>
                <w:sz w:val="24"/>
                <w:szCs w:val="24"/>
                <w:lang w:val="zh-CN" w:eastAsia="zh-CN" w:bidi="ar-SA"/>
              </w:rPr>
              <w:t>服务</w:t>
            </w:r>
          </w:p>
        </w:tc>
        <w:tc>
          <w:tcPr>
            <w:tcW w:w="11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r>
              <w:rPr>
                <w:rFonts w:hint="eastAsia" w:ascii="宋体" w:hAnsi="宋体" w:cs="宋体"/>
                <w:color w:val="000000" w:themeColor="text1"/>
                <w:kern w:val="2"/>
                <w:sz w:val="24"/>
                <w:szCs w:val="24"/>
                <w:lang w:val="en-US" w:eastAsia="zh-CN" w:bidi="ar-SA"/>
                <w14:textFill>
                  <w14:solidFill>
                    <w14:schemeClr w14:val="tx1"/>
                  </w14:solidFill>
                </w14:textFill>
              </w:rPr>
              <w:t>9</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w:t>
            </w:r>
          </w:p>
        </w:tc>
        <w:tc>
          <w:tcPr>
            <w:tcW w:w="6918" w:type="dxa"/>
            <w:tcBorders>
              <w:top w:val="single" w:color="auto" w:sz="4" w:space="0"/>
              <w:left w:val="nil"/>
              <w:bottom w:val="single" w:color="auto" w:sz="4" w:space="0"/>
              <w:right w:val="single" w:color="auto" w:sz="4" w:space="0"/>
            </w:tcBorders>
            <w:noWrap w:val="0"/>
            <w:vAlign w:val="top"/>
          </w:tcPr>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1、能保障技术服务及售后服务的协调性、及时性，方式及响应时间，提供故障处理流程、维护保障流程及组织架构，能及时、有效地为客户提供优质服务</w:t>
            </w:r>
            <w:r>
              <w:rPr>
                <w:rFonts w:hint="eastAsia" w:ascii="宋体" w:hAnsi="宋体" w:cs="宋体"/>
                <w:color w:val="auto"/>
                <w:kern w:val="2"/>
                <w:sz w:val="24"/>
                <w:szCs w:val="24"/>
                <w:lang w:val="en-US" w:eastAsia="zh-CN" w:bidi="ar-SA"/>
              </w:rPr>
              <w:t>的</w:t>
            </w:r>
            <w:r>
              <w:rPr>
                <w:rFonts w:hint="eastAsia" w:ascii="宋体" w:hAnsi="宋体" w:eastAsia="宋体" w:cs="宋体"/>
                <w:color w:val="auto"/>
                <w:kern w:val="2"/>
                <w:sz w:val="24"/>
                <w:szCs w:val="24"/>
                <w:lang w:val="en-US" w:eastAsia="zh-CN" w:bidi="ar-SA"/>
              </w:rPr>
              <w:t>得2分，在此基础上承诺售后方案中事故救援时间、维护响应时间、出现操作或质量问题解决时间最短的得</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 xml:space="preserve"> 分，其次的得1分，其余不得分; </w:t>
            </w:r>
          </w:p>
          <w:p>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2、投标人针对本项目能够承诺保证有足够的人力、物力，保证按时按质完成委托的任务,并对提供成果的真实性、准确性负责，并有质量控制措施、违约责任及经济赔偿承诺，满分5分缺一项扣</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分，内容不完善扣一分。</w:t>
            </w:r>
          </w:p>
        </w:tc>
      </w:tr>
    </w:tbl>
    <w:p>
      <w:pPr>
        <w:snapToGrid w:val="0"/>
        <w:spacing w:line="360" w:lineRule="exact"/>
        <w:jc w:val="center"/>
        <w:rPr>
          <w:rFonts w:hint="eastAsia" w:ascii="宋体" w:hAnsi="宋体" w:eastAsia="宋体" w:cs="宋体"/>
          <w:bCs/>
          <w:color w:val="000000"/>
          <w:sz w:val="20"/>
          <w:szCs w:val="20"/>
          <w:lang w:val="en-US" w:eastAsia="zh-CN"/>
        </w:rPr>
      </w:pPr>
    </w:p>
    <w:p>
      <w:pPr>
        <w:spacing w:line="240" w:lineRule="atLeast"/>
        <w:ind w:firstLine="2409" w:firstLineChars="500"/>
        <w:jc w:val="both"/>
        <w:rPr>
          <w:rFonts w:hint="eastAsia" w:ascii="宋体" w:hAnsi="宋体" w:eastAsia="宋体" w:cs="宋体"/>
          <w:b/>
          <w:color w:val="auto"/>
          <w:sz w:val="48"/>
          <w:szCs w:val="48"/>
        </w:rPr>
      </w:pPr>
    </w:p>
    <w:p>
      <w:pPr>
        <w:spacing w:line="240" w:lineRule="atLeast"/>
        <w:ind w:firstLine="2409" w:firstLineChars="500"/>
        <w:jc w:val="both"/>
        <w:rPr>
          <w:rFonts w:hint="eastAsia" w:ascii="宋体" w:hAnsi="宋体" w:eastAsia="宋体" w:cs="宋体"/>
          <w:b/>
          <w:color w:val="auto"/>
          <w:sz w:val="48"/>
          <w:szCs w:val="48"/>
        </w:rPr>
      </w:pPr>
    </w:p>
    <w:p>
      <w:pPr>
        <w:spacing w:line="240" w:lineRule="atLeast"/>
        <w:ind w:firstLine="2409" w:firstLineChars="500"/>
        <w:jc w:val="both"/>
        <w:rPr>
          <w:rFonts w:hint="eastAsia" w:ascii="宋体" w:hAnsi="宋体" w:eastAsia="宋体" w:cs="宋体"/>
          <w:b/>
          <w:color w:val="auto"/>
          <w:sz w:val="48"/>
          <w:szCs w:val="48"/>
        </w:rPr>
      </w:pPr>
    </w:p>
    <w:p>
      <w:pPr>
        <w:spacing w:line="240" w:lineRule="atLeast"/>
        <w:ind w:firstLine="2409" w:firstLineChars="500"/>
        <w:jc w:val="both"/>
        <w:rPr>
          <w:rFonts w:hint="eastAsia" w:ascii="宋体" w:hAnsi="宋体" w:eastAsia="宋体" w:cs="宋体"/>
          <w:b/>
          <w:color w:val="auto"/>
          <w:sz w:val="48"/>
          <w:szCs w:val="48"/>
        </w:rPr>
      </w:pPr>
    </w:p>
    <w:p>
      <w:pPr>
        <w:spacing w:line="240" w:lineRule="atLeast"/>
        <w:ind w:firstLine="2409" w:firstLineChars="500"/>
        <w:jc w:val="both"/>
        <w:rPr>
          <w:rFonts w:hint="eastAsia" w:ascii="宋体" w:hAnsi="宋体" w:eastAsia="宋体" w:cs="宋体"/>
          <w:b/>
          <w:color w:val="auto"/>
          <w:sz w:val="48"/>
          <w:szCs w:val="48"/>
        </w:rPr>
      </w:pPr>
    </w:p>
    <w:p>
      <w:pPr>
        <w:spacing w:line="240" w:lineRule="atLeast"/>
        <w:ind w:firstLine="2409" w:firstLineChars="500"/>
        <w:jc w:val="both"/>
        <w:rPr>
          <w:rFonts w:hint="eastAsia" w:ascii="宋体" w:hAnsi="宋体" w:eastAsia="宋体" w:cs="宋体"/>
          <w:b/>
          <w:color w:val="auto"/>
          <w:sz w:val="48"/>
          <w:szCs w:val="48"/>
        </w:rPr>
      </w:pPr>
    </w:p>
    <w:p>
      <w:pPr>
        <w:spacing w:line="240" w:lineRule="atLeast"/>
        <w:ind w:firstLine="2409" w:firstLineChars="500"/>
        <w:jc w:val="both"/>
        <w:rPr>
          <w:rFonts w:hint="eastAsia" w:ascii="宋体" w:hAnsi="宋体" w:eastAsia="宋体" w:cs="宋体"/>
          <w:b/>
          <w:color w:val="auto"/>
          <w:sz w:val="48"/>
          <w:szCs w:val="48"/>
        </w:rPr>
      </w:pPr>
    </w:p>
    <w:p>
      <w:pPr>
        <w:spacing w:line="240" w:lineRule="atLeast"/>
        <w:ind w:firstLine="2409" w:firstLineChars="500"/>
        <w:jc w:val="both"/>
        <w:rPr>
          <w:rFonts w:hint="eastAsia" w:ascii="宋体" w:hAnsi="宋体" w:eastAsia="宋体" w:cs="宋体"/>
          <w:b/>
          <w:color w:val="auto"/>
          <w:sz w:val="48"/>
          <w:szCs w:val="48"/>
        </w:rPr>
      </w:pPr>
    </w:p>
    <w:p>
      <w:pPr>
        <w:spacing w:line="240" w:lineRule="atLeast"/>
        <w:ind w:left="1080" w:leftChars="257" w:hanging="540"/>
        <w:jc w:val="center"/>
        <w:rPr>
          <w:rFonts w:hint="eastAsia" w:ascii="宋体" w:hAnsi="宋体" w:eastAsia="宋体" w:cs="宋体"/>
          <w:b/>
          <w:bCs w:val="0"/>
          <w:sz w:val="44"/>
          <w:szCs w:val="44"/>
        </w:rPr>
      </w:pPr>
      <w:r>
        <w:rPr>
          <w:rFonts w:hint="eastAsia" w:ascii="宋体" w:hAnsi="宋体" w:eastAsia="宋体" w:cs="宋体"/>
          <w:b/>
          <w:bCs w:val="0"/>
          <w:sz w:val="44"/>
          <w:szCs w:val="44"/>
        </w:rPr>
        <w:t>2023年度食品安全监督抽检检测服务项目竞争性磋商文件</w:t>
      </w:r>
    </w:p>
    <w:p>
      <w:pPr>
        <w:pStyle w:val="5"/>
        <w:rPr>
          <w:rFonts w:hint="eastAsia" w:ascii="宋体" w:hAnsi="宋体" w:eastAsia="宋体" w:cs="宋体"/>
        </w:rPr>
      </w:pPr>
    </w:p>
    <w:p>
      <w:pPr>
        <w:spacing w:line="240" w:lineRule="atLeast"/>
        <w:ind w:left="1080" w:leftChars="257" w:hanging="540"/>
        <w:jc w:val="center"/>
        <w:rPr>
          <w:rFonts w:hint="eastAsia" w:ascii="宋体" w:hAnsi="宋体" w:eastAsia="宋体" w:cs="宋体"/>
          <w:bCs/>
          <w:sz w:val="36"/>
          <w:szCs w:val="36"/>
        </w:rPr>
      </w:pPr>
      <w:r>
        <w:rPr>
          <w:rFonts w:hint="eastAsia" w:ascii="宋体" w:hAnsi="宋体" w:eastAsia="宋体" w:cs="宋体"/>
          <w:bCs/>
          <w:sz w:val="36"/>
          <w:szCs w:val="36"/>
        </w:rPr>
        <w:t xml:space="preserve"> （项目编号：</w:t>
      </w:r>
      <w:r>
        <w:rPr>
          <w:rFonts w:hint="eastAsia" w:ascii="宋体" w:hAnsi="宋体" w:eastAsia="宋体" w:cs="宋体"/>
          <w:bCs/>
          <w:sz w:val="36"/>
          <w:szCs w:val="36"/>
          <w:lang w:eastAsia="zh-CN"/>
        </w:rPr>
        <w:t>KSSC(CS)-XB-202</w:t>
      </w:r>
      <w:r>
        <w:rPr>
          <w:rFonts w:hint="eastAsia" w:ascii="宋体" w:hAnsi="宋体" w:eastAsia="宋体" w:cs="宋体"/>
          <w:bCs/>
          <w:sz w:val="36"/>
          <w:szCs w:val="36"/>
          <w:lang w:val="en-US" w:eastAsia="zh-CN"/>
        </w:rPr>
        <w:t>3</w:t>
      </w:r>
      <w:r>
        <w:rPr>
          <w:rFonts w:hint="eastAsia" w:ascii="宋体" w:hAnsi="宋体" w:eastAsia="宋体" w:cs="宋体"/>
          <w:bCs/>
          <w:sz w:val="36"/>
          <w:szCs w:val="36"/>
          <w:lang w:eastAsia="zh-CN"/>
        </w:rPr>
        <w:t>-00</w:t>
      </w:r>
      <w:r>
        <w:rPr>
          <w:rFonts w:hint="eastAsia" w:ascii="宋体" w:hAnsi="宋体" w:eastAsia="宋体" w:cs="宋体"/>
          <w:bCs/>
          <w:sz w:val="36"/>
          <w:szCs w:val="36"/>
          <w:lang w:val="en-US" w:eastAsia="zh-CN"/>
        </w:rPr>
        <w:t>4</w:t>
      </w:r>
      <w:r>
        <w:rPr>
          <w:rFonts w:hint="eastAsia" w:ascii="宋体" w:hAnsi="宋体" w:eastAsia="宋体" w:cs="宋体"/>
          <w:bCs/>
          <w:sz w:val="36"/>
          <w:szCs w:val="36"/>
        </w:rPr>
        <w:t>）</w:t>
      </w:r>
    </w:p>
    <w:p>
      <w:pPr>
        <w:spacing w:line="240" w:lineRule="atLeast"/>
        <w:ind w:left="1080" w:leftChars="257" w:hanging="540"/>
        <w:jc w:val="center"/>
        <w:rPr>
          <w:rFonts w:hint="eastAsia" w:ascii="宋体" w:hAnsi="宋体" w:eastAsia="宋体" w:cs="宋体"/>
          <w:bCs/>
          <w:sz w:val="36"/>
          <w:szCs w:val="36"/>
        </w:rPr>
      </w:pPr>
    </w:p>
    <w:p>
      <w:pPr>
        <w:spacing w:line="240" w:lineRule="atLeast"/>
        <w:ind w:left="1080" w:leftChars="257" w:hanging="540"/>
        <w:jc w:val="center"/>
        <w:rPr>
          <w:rFonts w:hint="eastAsia" w:ascii="宋体" w:hAnsi="宋体" w:eastAsia="宋体" w:cs="宋体"/>
          <w:b/>
          <w:sz w:val="32"/>
          <w:szCs w:val="32"/>
        </w:rPr>
      </w:pPr>
    </w:p>
    <w:p>
      <w:pPr>
        <w:spacing w:line="240" w:lineRule="atLeast"/>
        <w:ind w:left="1080" w:leftChars="257" w:hanging="540"/>
        <w:jc w:val="center"/>
        <w:rPr>
          <w:rFonts w:hint="eastAsia" w:ascii="宋体" w:hAnsi="宋体" w:eastAsia="宋体" w:cs="宋体"/>
          <w:b/>
          <w:sz w:val="32"/>
          <w:szCs w:val="32"/>
        </w:rPr>
      </w:pPr>
    </w:p>
    <w:p>
      <w:pPr>
        <w:spacing w:line="240" w:lineRule="atLeast"/>
        <w:ind w:left="1080" w:leftChars="257" w:hanging="540"/>
        <w:jc w:val="center"/>
        <w:rPr>
          <w:rFonts w:hint="eastAsia" w:ascii="宋体" w:hAnsi="宋体" w:eastAsia="宋体" w:cs="宋体"/>
          <w:b/>
          <w:sz w:val="32"/>
          <w:szCs w:val="32"/>
        </w:rPr>
      </w:pPr>
    </w:p>
    <w:p>
      <w:pPr>
        <w:spacing w:line="240" w:lineRule="atLeast"/>
        <w:ind w:left="1080" w:leftChars="257" w:hanging="540"/>
        <w:jc w:val="center"/>
        <w:rPr>
          <w:rFonts w:hint="eastAsia" w:ascii="宋体" w:hAnsi="宋体" w:eastAsia="宋体" w:cs="宋体"/>
          <w:b/>
          <w:sz w:val="32"/>
          <w:szCs w:val="32"/>
        </w:rPr>
      </w:pPr>
    </w:p>
    <w:p>
      <w:pPr>
        <w:spacing w:line="240" w:lineRule="atLeast"/>
        <w:ind w:left="1080" w:leftChars="257" w:hanging="540"/>
        <w:jc w:val="center"/>
        <w:rPr>
          <w:rFonts w:hint="eastAsia" w:ascii="宋体" w:hAnsi="宋体" w:eastAsia="宋体" w:cs="宋体"/>
          <w:b/>
          <w:sz w:val="32"/>
          <w:szCs w:val="32"/>
        </w:rPr>
      </w:pPr>
    </w:p>
    <w:p>
      <w:pPr>
        <w:spacing w:line="240" w:lineRule="atLeast"/>
        <w:ind w:left="1080" w:leftChars="257" w:hanging="540"/>
        <w:rPr>
          <w:rFonts w:hint="eastAsia" w:ascii="宋体" w:hAnsi="宋体" w:eastAsia="宋体" w:cs="宋体"/>
          <w:b/>
          <w:sz w:val="28"/>
        </w:rPr>
      </w:pPr>
    </w:p>
    <w:p>
      <w:pPr>
        <w:spacing w:line="240" w:lineRule="atLeast"/>
        <w:ind w:left="1080" w:leftChars="257" w:hanging="540"/>
        <w:jc w:val="center"/>
        <w:rPr>
          <w:rFonts w:hint="eastAsia" w:ascii="宋体" w:hAnsi="宋体" w:eastAsia="宋体" w:cs="宋体"/>
          <w:b/>
          <w:sz w:val="48"/>
          <w:szCs w:val="48"/>
        </w:rPr>
      </w:pPr>
      <w:r>
        <w:rPr>
          <w:rFonts w:hint="eastAsia" w:ascii="宋体" w:hAnsi="宋体" w:eastAsia="宋体" w:cs="宋体"/>
          <w:b/>
          <w:sz w:val="48"/>
          <w:szCs w:val="48"/>
        </w:rPr>
        <w:t>第三册</w:t>
      </w:r>
    </w:p>
    <w:p>
      <w:pPr>
        <w:pStyle w:val="20"/>
        <w:ind w:firstLine="0" w:firstLineChars="0"/>
        <w:rPr>
          <w:rFonts w:hint="eastAsia" w:ascii="宋体" w:hAnsi="宋体" w:eastAsia="宋体" w:cs="宋体"/>
          <w:b/>
          <w:color w:val="auto"/>
          <w:sz w:val="52"/>
        </w:rPr>
      </w:pPr>
    </w:p>
    <w:p>
      <w:pPr>
        <w:pStyle w:val="20"/>
        <w:ind w:firstLine="0" w:firstLineChars="0"/>
        <w:rPr>
          <w:rFonts w:hint="eastAsia" w:ascii="宋体" w:hAnsi="宋体" w:eastAsia="宋体" w:cs="宋体"/>
          <w:b/>
          <w:color w:val="auto"/>
          <w:sz w:val="52"/>
        </w:rPr>
      </w:pPr>
    </w:p>
    <w:p>
      <w:pPr>
        <w:pStyle w:val="20"/>
        <w:ind w:firstLine="0" w:firstLineChars="0"/>
        <w:rPr>
          <w:rFonts w:hint="eastAsia" w:ascii="宋体" w:hAnsi="宋体" w:eastAsia="宋体" w:cs="宋体"/>
          <w:b/>
          <w:color w:val="auto"/>
          <w:sz w:val="52"/>
        </w:rPr>
      </w:pPr>
    </w:p>
    <w:p>
      <w:pPr>
        <w:pStyle w:val="20"/>
        <w:ind w:firstLine="0" w:firstLineChars="0"/>
        <w:rPr>
          <w:rFonts w:hint="eastAsia" w:ascii="宋体" w:hAnsi="宋体" w:eastAsia="宋体" w:cs="宋体"/>
          <w:b/>
          <w:color w:val="auto"/>
          <w:sz w:val="52"/>
        </w:rPr>
      </w:pPr>
    </w:p>
    <w:p>
      <w:pPr>
        <w:pStyle w:val="3"/>
        <w:tabs>
          <w:tab w:val="left" w:pos="0"/>
        </w:tabs>
        <w:spacing w:before="0" w:after="0" w:line="240" w:lineRule="auto"/>
        <w:jc w:val="both"/>
        <w:outlineLvl w:val="9"/>
        <w:rPr>
          <w:rFonts w:hint="eastAsia" w:ascii="宋体" w:hAnsi="宋体" w:eastAsia="宋体" w:cs="宋体"/>
          <w:color w:val="auto"/>
        </w:rPr>
      </w:pPr>
      <w:bookmarkStart w:id="571" w:name="_Toc4800"/>
      <w:bookmarkStart w:id="572" w:name="_Toc10536"/>
      <w:bookmarkStart w:id="573" w:name="_Toc4796"/>
      <w:bookmarkStart w:id="574" w:name="_Toc6865"/>
      <w:bookmarkStart w:id="575" w:name="_Toc515647833"/>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rPr>
      </w:pPr>
    </w:p>
    <w:p>
      <w:pPr>
        <w:pStyle w:val="3"/>
        <w:tabs>
          <w:tab w:val="left" w:pos="0"/>
        </w:tabs>
        <w:spacing w:before="0" w:after="0" w:line="240" w:lineRule="auto"/>
        <w:ind w:firstLine="2891" w:firstLineChars="900"/>
        <w:jc w:val="both"/>
        <w:rPr>
          <w:rFonts w:hint="eastAsia" w:ascii="宋体" w:hAnsi="宋体" w:eastAsia="宋体" w:cs="宋体"/>
          <w:color w:val="auto"/>
        </w:rPr>
      </w:pPr>
      <w:bookmarkStart w:id="576" w:name="_Toc7640"/>
      <w:r>
        <w:rPr>
          <w:rFonts w:hint="eastAsia" w:ascii="宋体" w:hAnsi="宋体" w:eastAsia="宋体" w:cs="宋体"/>
          <w:color w:val="auto"/>
        </w:rPr>
        <w:t>第7章</w:t>
      </w:r>
      <w:r>
        <w:rPr>
          <w:rFonts w:hint="eastAsia" w:ascii="宋体" w:hAnsi="宋体" w:eastAsia="宋体" w:cs="宋体"/>
          <w:color w:val="auto"/>
          <w:lang w:val="en-US" w:eastAsia="zh-CN"/>
        </w:rPr>
        <w:t xml:space="preserve"> </w:t>
      </w:r>
      <w:r>
        <w:rPr>
          <w:rFonts w:hint="eastAsia" w:ascii="宋体" w:hAnsi="宋体" w:eastAsia="宋体" w:cs="宋体"/>
          <w:color w:val="auto"/>
        </w:rPr>
        <w:t>政府采购合同</w:t>
      </w:r>
      <w:bookmarkEnd w:id="570"/>
      <w:bookmarkEnd w:id="571"/>
      <w:bookmarkEnd w:id="572"/>
      <w:bookmarkEnd w:id="573"/>
      <w:bookmarkEnd w:id="574"/>
      <w:bookmarkEnd w:id="575"/>
      <w:bookmarkEnd w:id="576"/>
      <w:bookmarkStart w:id="577" w:name="_Toc216513788"/>
      <w:bookmarkEnd w:id="577"/>
      <w:bookmarkStart w:id="578" w:name="_Hlt487972895"/>
      <w:bookmarkEnd w:id="578"/>
      <w:bookmarkStart w:id="579" w:name="_Toc487900382"/>
      <w:bookmarkEnd w:id="579"/>
    </w:p>
    <w:p>
      <w:pPr>
        <w:spacing w:line="240" w:lineRule="auto"/>
        <w:rPr>
          <w:rFonts w:hint="eastAsia" w:ascii="宋体" w:hAnsi="宋体" w:eastAsia="宋体" w:cs="宋体"/>
          <w:color w:val="auto"/>
          <w:sz w:val="24"/>
          <w:u w:val="single"/>
        </w:rPr>
      </w:pPr>
      <w:r>
        <w:rPr>
          <w:rFonts w:hint="eastAsia" w:ascii="宋体" w:hAnsi="宋体" w:eastAsia="宋体" w:cs="宋体"/>
          <w:color w:val="auto"/>
          <w:sz w:val="24"/>
        </w:rPr>
        <w:t>合同编号：</w:t>
      </w:r>
      <w:r>
        <w:rPr>
          <w:rFonts w:hint="eastAsia" w:ascii="宋体" w:hAnsi="宋体" w:eastAsia="宋体" w:cs="宋体"/>
          <w:color w:val="auto"/>
          <w:sz w:val="24"/>
          <w:u w:val="single"/>
        </w:rPr>
        <w:t xml:space="preserve">           </w:t>
      </w:r>
    </w:p>
    <w:p>
      <w:pPr>
        <w:spacing w:line="240" w:lineRule="auto"/>
        <w:jc w:val="center"/>
        <w:rPr>
          <w:rFonts w:hint="eastAsia" w:ascii="宋体" w:hAnsi="宋体" w:eastAsia="宋体" w:cs="宋体"/>
          <w:b/>
          <w:color w:val="auto"/>
          <w:sz w:val="28"/>
          <w:szCs w:val="28"/>
        </w:rPr>
      </w:pPr>
    </w:p>
    <w:p>
      <w:pPr>
        <w:spacing w:line="240" w:lineRule="auto"/>
        <w:jc w:val="center"/>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auto"/>
          <w:sz w:val="44"/>
          <w:szCs w:val="44"/>
        </w:rPr>
      </w:pPr>
      <w:bookmarkStart w:id="580" w:name="_Toc20116"/>
      <w:bookmarkStart w:id="581" w:name="_Toc19964"/>
      <w:bookmarkStart w:id="582" w:name="_Toc16623"/>
      <w:r>
        <w:rPr>
          <w:rFonts w:hint="eastAsia" w:ascii="宋体" w:hAnsi="宋体" w:eastAsia="宋体" w:cs="宋体"/>
          <w:b/>
          <w:color w:val="auto"/>
          <w:sz w:val="44"/>
          <w:szCs w:val="44"/>
        </w:rPr>
        <w:t>政府采购合同参考范本</w:t>
      </w:r>
      <w:bookmarkEnd w:id="580"/>
      <w:bookmarkEnd w:id="581"/>
      <w:bookmarkEnd w:id="582"/>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rPr>
      </w:pPr>
      <w:r>
        <w:rPr>
          <w:rFonts w:hint="eastAsia" w:ascii="宋体" w:hAnsi="宋体" w:eastAsia="宋体" w:cs="宋体"/>
          <w:b/>
          <w:color w:val="auto"/>
          <w:sz w:val="24"/>
        </w:rPr>
        <w:t>（服务类）</w:t>
      </w:r>
    </w:p>
    <w:p>
      <w:pPr>
        <w:pStyle w:val="31"/>
        <w:spacing w:line="400" w:lineRule="exact"/>
        <w:ind w:firstLine="0"/>
        <w:rPr>
          <w:rFonts w:hint="eastAsia" w:ascii="宋体" w:hAnsi="宋体" w:eastAsia="宋体" w:cs="宋体"/>
          <w:color w:val="auto"/>
          <w:szCs w:val="24"/>
        </w:rPr>
      </w:pPr>
    </w:p>
    <w:p>
      <w:pPr>
        <w:pStyle w:val="31"/>
        <w:spacing w:line="400" w:lineRule="exact"/>
        <w:ind w:firstLine="0"/>
        <w:rPr>
          <w:rFonts w:hint="eastAsia" w:ascii="宋体" w:hAnsi="宋体" w:eastAsia="宋体" w:cs="宋体"/>
          <w:color w:val="auto"/>
          <w:szCs w:val="24"/>
        </w:rPr>
      </w:pPr>
    </w:p>
    <w:p>
      <w:pPr>
        <w:pStyle w:val="31"/>
        <w:spacing w:line="400" w:lineRule="exact"/>
        <w:ind w:firstLine="0"/>
        <w:rPr>
          <w:rFonts w:hint="eastAsia" w:ascii="宋体" w:hAnsi="宋体" w:eastAsia="宋体" w:cs="宋体"/>
          <w:color w:val="auto"/>
          <w:szCs w:val="24"/>
        </w:rPr>
      </w:pPr>
    </w:p>
    <w:p>
      <w:pPr>
        <w:pStyle w:val="31"/>
        <w:spacing w:line="400" w:lineRule="exact"/>
        <w:ind w:firstLine="0"/>
        <w:jc w:val="center"/>
        <w:outlineLvl w:val="0"/>
        <w:rPr>
          <w:rFonts w:hint="eastAsia" w:ascii="宋体" w:hAnsi="宋体" w:eastAsia="宋体" w:cs="宋体"/>
          <w:b/>
          <w:color w:val="auto"/>
          <w:szCs w:val="24"/>
        </w:rPr>
      </w:pPr>
      <w:bookmarkStart w:id="583" w:name="_Toc565"/>
      <w:bookmarkStart w:id="584" w:name="_Toc23301"/>
      <w:bookmarkStart w:id="585" w:name="_Toc2340"/>
      <w:r>
        <w:rPr>
          <w:rFonts w:hint="eastAsia" w:ascii="宋体" w:hAnsi="宋体" w:eastAsia="宋体" w:cs="宋体"/>
          <w:b/>
          <w:color w:val="auto"/>
          <w:szCs w:val="24"/>
        </w:rPr>
        <w:t>第一部分 合同书</w:t>
      </w:r>
      <w:bookmarkEnd w:id="583"/>
      <w:bookmarkEnd w:id="584"/>
      <w:bookmarkEnd w:id="585"/>
    </w:p>
    <w:p>
      <w:pPr>
        <w:pStyle w:val="31"/>
        <w:spacing w:line="400" w:lineRule="exact"/>
        <w:ind w:firstLine="0"/>
        <w:rPr>
          <w:rFonts w:hint="eastAsia" w:ascii="宋体" w:hAnsi="宋体" w:eastAsia="宋体" w:cs="宋体"/>
          <w:color w:val="auto"/>
          <w:szCs w:val="24"/>
        </w:rPr>
      </w:pPr>
    </w:p>
    <w:p>
      <w:pPr>
        <w:pStyle w:val="31"/>
        <w:spacing w:line="400" w:lineRule="exact"/>
        <w:ind w:firstLine="0"/>
        <w:rPr>
          <w:rFonts w:hint="eastAsia" w:ascii="宋体" w:hAnsi="宋体" w:eastAsia="宋体" w:cs="宋体"/>
          <w:color w:val="auto"/>
          <w:szCs w:val="24"/>
        </w:rPr>
      </w:pPr>
    </w:p>
    <w:p>
      <w:pPr>
        <w:spacing w:before="120" w:line="400" w:lineRule="exact"/>
        <w:rPr>
          <w:rFonts w:hint="eastAsia" w:ascii="宋体" w:hAnsi="宋体" w:eastAsia="宋体" w:cs="宋体"/>
          <w:color w:val="auto"/>
          <w:sz w:val="24"/>
        </w:rPr>
      </w:pPr>
    </w:p>
    <w:p>
      <w:pPr>
        <w:spacing w:before="120" w:line="400" w:lineRule="exact"/>
        <w:ind w:left="960"/>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rPr>
        <w:t xml:space="preserve">                                   </w:t>
      </w:r>
    </w:p>
    <w:p>
      <w:pPr>
        <w:pStyle w:val="32"/>
        <w:spacing w:before="120" w:line="400" w:lineRule="exact"/>
        <w:rPr>
          <w:rFonts w:hint="eastAsia" w:ascii="宋体" w:hAnsi="宋体" w:eastAsia="宋体" w:cs="宋体"/>
          <w:color w:val="auto"/>
          <w:szCs w:val="24"/>
        </w:rPr>
      </w:pPr>
    </w:p>
    <w:p>
      <w:pPr>
        <w:spacing w:line="400" w:lineRule="exact"/>
        <w:rPr>
          <w:rFonts w:hint="eastAsia" w:ascii="宋体" w:hAnsi="宋体" w:eastAsia="宋体" w:cs="宋体"/>
          <w:color w:val="auto"/>
        </w:rPr>
      </w:pPr>
    </w:p>
    <w:p>
      <w:pPr>
        <w:spacing w:before="120" w:line="400" w:lineRule="exact"/>
        <w:ind w:left="960"/>
        <w:rPr>
          <w:rFonts w:hint="eastAsia"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 xml:space="preserve">                                       </w:t>
      </w:r>
    </w:p>
    <w:p>
      <w:pPr>
        <w:spacing w:before="120" w:line="400" w:lineRule="exact"/>
        <w:rPr>
          <w:rFonts w:hint="eastAsia" w:ascii="宋体" w:hAnsi="宋体" w:eastAsia="宋体" w:cs="宋体"/>
          <w:color w:val="auto"/>
          <w:sz w:val="24"/>
        </w:rPr>
      </w:pPr>
    </w:p>
    <w:p>
      <w:pPr>
        <w:spacing w:before="120" w:line="400" w:lineRule="exact"/>
        <w:ind w:left="960"/>
        <w:rPr>
          <w:rFonts w:hint="eastAsia" w:ascii="宋体" w:hAnsi="宋体" w:eastAsia="宋体" w:cs="宋体"/>
          <w:color w:val="auto"/>
          <w:sz w:val="24"/>
          <w:u w:val="single"/>
        </w:rPr>
      </w:pPr>
      <w:r>
        <w:rPr>
          <w:rFonts w:hint="eastAsia" w:ascii="宋体" w:hAnsi="宋体" w:eastAsia="宋体" w:cs="宋体"/>
          <w:color w:val="auto"/>
          <w:sz w:val="24"/>
        </w:rPr>
        <w:t>乙方：</w:t>
      </w:r>
      <w:r>
        <w:rPr>
          <w:rFonts w:hint="eastAsia" w:ascii="宋体" w:hAnsi="宋体" w:eastAsia="宋体" w:cs="宋体"/>
          <w:color w:val="auto"/>
          <w:sz w:val="24"/>
          <w:u w:val="single"/>
        </w:rPr>
        <w:t xml:space="preserve">                                       </w:t>
      </w:r>
    </w:p>
    <w:p>
      <w:pPr>
        <w:spacing w:before="120" w:line="400" w:lineRule="exact"/>
        <w:rPr>
          <w:rFonts w:hint="eastAsia" w:ascii="宋体" w:hAnsi="宋体" w:eastAsia="宋体" w:cs="宋体"/>
          <w:color w:val="auto"/>
          <w:sz w:val="24"/>
        </w:rPr>
      </w:pPr>
    </w:p>
    <w:p>
      <w:pPr>
        <w:spacing w:before="120" w:line="400" w:lineRule="exac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签订地：</w:t>
      </w:r>
      <w:r>
        <w:rPr>
          <w:rFonts w:hint="eastAsia" w:ascii="宋体" w:hAnsi="宋体" w:eastAsia="宋体" w:cs="宋体"/>
          <w:color w:val="auto"/>
          <w:sz w:val="24"/>
          <w:u w:val="single"/>
        </w:rPr>
        <w:t xml:space="preserve">                                     </w:t>
      </w:r>
    </w:p>
    <w:p>
      <w:pPr>
        <w:spacing w:before="120" w:line="400" w:lineRule="exact"/>
        <w:rPr>
          <w:rFonts w:hint="eastAsia" w:ascii="宋体" w:hAnsi="宋体" w:eastAsia="宋体" w:cs="宋体"/>
          <w:color w:val="auto"/>
          <w:sz w:val="24"/>
        </w:rPr>
      </w:pPr>
    </w:p>
    <w:p>
      <w:pPr>
        <w:spacing w:before="120" w:line="400" w:lineRule="exact"/>
        <w:ind w:firstLine="960" w:firstLineChars="400"/>
        <w:rPr>
          <w:rFonts w:hint="eastAsia" w:ascii="宋体" w:hAnsi="宋体" w:eastAsia="宋体" w:cs="宋体"/>
          <w:color w:val="auto"/>
          <w:sz w:val="24"/>
          <w:u w:val="single"/>
        </w:rPr>
      </w:pPr>
      <w:r>
        <w:rPr>
          <w:rFonts w:hint="eastAsia" w:ascii="宋体" w:hAnsi="宋体" w:eastAsia="宋体" w:cs="宋体"/>
          <w:color w:val="auto"/>
          <w:sz w:val="24"/>
        </w:rPr>
        <w:t>签订日期：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autoSpaceDE w:val="0"/>
        <w:autoSpaceDN w:val="0"/>
        <w:adjustRightInd w:val="0"/>
        <w:spacing w:line="400" w:lineRule="exact"/>
        <w:ind w:firstLine="640"/>
        <w:jc w:val="center"/>
        <w:rPr>
          <w:rFonts w:hint="eastAsia" w:ascii="宋体" w:hAnsi="宋体" w:eastAsia="宋体" w:cs="宋体"/>
          <w:color w:val="auto"/>
          <w:sz w:val="24"/>
        </w:rPr>
        <w:sectPr>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年</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日</w:t>
      </w:r>
      <w:r>
        <w:rPr>
          <w:rFonts w:hint="eastAsia" w:ascii="宋体" w:hAnsi="宋体" w:eastAsia="宋体" w:cs="宋体"/>
          <w:color w:val="auto"/>
          <w:sz w:val="24"/>
        </w:rPr>
        <w:t>，</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rPr>
        <w:t>以</w:t>
      </w:r>
      <w:r>
        <w:rPr>
          <w:rFonts w:hint="eastAsia" w:ascii="宋体" w:hAnsi="宋体" w:eastAsia="宋体" w:cs="宋体"/>
          <w:color w:val="auto"/>
          <w:sz w:val="24"/>
          <w:u w:val="single"/>
        </w:rPr>
        <w:t xml:space="preserve">   （政府采购方式）  </w:t>
      </w:r>
      <w:r>
        <w:rPr>
          <w:rFonts w:hint="eastAsia" w:ascii="宋体" w:hAnsi="宋体" w:eastAsia="宋体" w:cs="宋体"/>
          <w:color w:val="auto"/>
          <w:sz w:val="24"/>
        </w:rPr>
        <w:t>对</w:t>
      </w:r>
      <w:r>
        <w:rPr>
          <w:rFonts w:hint="eastAsia" w:ascii="宋体" w:hAnsi="宋体" w:eastAsia="宋体" w:cs="宋体"/>
          <w:color w:val="auto"/>
          <w:sz w:val="24"/>
          <w:u w:val="single"/>
        </w:rPr>
        <w:t xml:space="preserve">   （同前页项目名称）   </w:t>
      </w:r>
      <w:r>
        <w:rPr>
          <w:rFonts w:hint="eastAsia" w:ascii="宋体" w:hAnsi="宋体" w:eastAsia="宋体" w:cs="宋体"/>
          <w:color w:val="auto"/>
          <w:sz w:val="24"/>
        </w:rPr>
        <w:t>项目进行了采购。经</w:t>
      </w:r>
      <w:r>
        <w:rPr>
          <w:rFonts w:hint="eastAsia" w:ascii="宋体" w:hAnsi="宋体" w:eastAsia="宋体" w:cs="宋体"/>
          <w:color w:val="auto"/>
          <w:sz w:val="24"/>
          <w:u w:val="single"/>
        </w:rPr>
        <w:t xml:space="preserve">   （相关评定主体名称）   </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成交</w:t>
      </w:r>
      <w:r>
        <w:rPr>
          <w:rFonts w:hint="eastAsia" w:ascii="宋体" w:hAnsi="宋体" w:eastAsia="宋体" w:cs="宋体"/>
          <w:color w:val="auto"/>
          <w:sz w:val="24"/>
          <w:u w:val="single"/>
        </w:rPr>
        <w:t xml:space="preserve">供应商名称） </w:t>
      </w:r>
      <w:r>
        <w:rPr>
          <w:rFonts w:hint="eastAsia" w:ascii="宋体" w:hAnsi="宋体" w:eastAsia="宋体" w:cs="宋体"/>
          <w:color w:val="auto"/>
          <w:sz w:val="24"/>
        </w:rPr>
        <w:t>为该项目</w:t>
      </w:r>
      <w:r>
        <w:rPr>
          <w:rFonts w:hint="eastAsia" w:ascii="宋体" w:hAnsi="宋体" w:eastAsia="宋体" w:cs="宋体"/>
          <w:color w:val="auto"/>
          <w:sz w:val="24"/>
          <w:lang w:eastAsia="zh-CN"/>
        </w:rPr>
        <w:t>成交</w:t>
      </w:r>
      <w:r>
        <w:rPr>
          <w:rFonts w:hint="eastAsia" w:ascii="宋体" w:hAnsi="宋体" w:eastAsia="宋体" w:cs="宋体"/>
          <w:color w:val="auto"/>
          <w:sz w:val="24"/>
        </w:rPr>
        <w:t>供应商。现于</w:t>
      </w:r>
      <w:r>
        <w:rPr>
          <w:rFonts w:hint="eastAsia" w:ascii="宋体" w:hAnsi="宋体" w:eastAsia="宋体" w:cs="宋体"/>
          <w:color w:val="auto"/>
          <w:sz w:val="24"/>
          <w:lang w:eastAsia="zh-CN"/>
        </w:rPr>
        <w:t>成交</w:t>
      </w:r>
      <w:r>
        <w:rPr>
          <w:rFonts w:hint="eastAsia" w:ascii="宋体" w:hAnsi="宋体" w:eastAsia="宋体" w:cs="宋体"/>
          <w:color w:val="auto"/>
          <w:sz w:val="24"/>
        </w:rPr>
        <w:t>通知书发出之日起三十日内，按照采购文件确定的事项签订本合同。</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u w:val="single"/>
        </w:rPr>
        <w:t xml:space="preserve">   （采购人名称）   </w:t>
      </w:r>
      <w:r>
        <w:rPr>
          <w:rFonts w:hint="eastAsia" w:ascii="宋体" w:hAnsi="宋体" w:eastAsia="宋体" w:cs="宋体"/>
          <w:color w:val="auto"/>
          <w:sz w:val="24"/>
          <w:lang w:val="zh-CN"/>
        </w:rPr>
        <w:t>(以下简称：甲方)和</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成交</w:t>
      </w:r>
      <w:r>
        <w:rPr>
          <w:rFonts w:hint="eastAsia" w:ascii="宋体" w:hAnsi="宋体" w:eastAsia="宋体" w:cs="宋体"/>
          <w:color w:val="auto"/>
          <w:sz w:val="24"/>
          <w:u w:val="single"/>
        </w:rPr>
        <w:t xml:space="preserve">供应商名称）   </w:t>
      </w:r>
      <w:r>
        <w:rPr>
          <w:rFonts w:hint="eastAsia" w:ascii="宋体" w:hAnsi="宋体" w:eastAsia="宋体" w:cs="宋体"/>
          <w:color w:val="auto"/>
          <w:sz w:val="24"/>
          <w:lang w:val="zh-CN"/>
        </w:rPr>
        <w:t>(以下简称：乙方)协商一致，约定以下合同</w:t>
      </w:r>
      <w:r>
        <w:rPr>
          <w:rFonts w:hint="eastAsia" w:ascii="宋体" w:hAnsi="宋体" w:eastAsia="宋体" w:cs="宋体"/>
          <w:color w:val="auto"/>
          <w:sz w:val="24"/>
        </w:rPr>
        <w:t>条款，以兹共同遵守、全面履行。</w:t>
      </w:r>
    </w:p>
    <w:p>
      <w:pPr>
        <w:spacing w:line="400" w:lineRule="exact"/>
        <w:ind w:firstLine="482" w:firstLineChars="200"/>
        <w:outlineLvl w:val="1"/>
        <w:rPr>
          <w:rFonts w:hint="eastAsia" w:ascii="宋体" w:hAnsi="宋体" w:eastAsia="宋体" w:cs="宋体"/>
          <w:color w:val="auto"/>
          <w:sz w:val="24"/>
        </w:rPr>
      </w:pPr>
      <w:bookmarkStart w:id="586" w:name="_Toc32571"/>
      <w:bookmarkStart w:id="587" w:name="_Toc20041"/>
      <w:bookmarkStart w:id="588" w:name="_Toc1256"/>
      <w:bookmarkStart w:id="589" w:name="_Toc23100"/>
      <w:bookmarkStart w:id="590" w:name="_Toc13594"/>
      <w:bookmarkStart w:id="591" w:name="_Toc3665"/>
      <w:bookmarkStart w:id="592" w:name="_Toc4675"/>
      <w:bookmarkStart w:id="593" w:name="_Toc5753"/>
      <w:bookmarkStart w:id="594" w:name="_Toc18383"/>
      <w:bookmarkStart w:id="595" w:name="_Toc20566"/>
      <w:bookmarkStart w:id="596" w:name="_Toc8106"/>
      <w:bookmarkStart w:id="597" w:name="_Toc19273"/>
      <w:bookmarkStart w:id="598" w:name="_Toc20421"/>
      <w:bookmarkStart w:id="599" w:name="_Toc28855"/>
      <w:bookmarkStart w:id="600" w:name="_Toc15367"/>
      <w:r>
        <w:rPr>
          <w:rFonts w:hint="eastAsia" w:ascii="宋体" w:hAnsi="宋体" w:eastAsia="宋体" w:cs="宋体"/>
          <w:b/>
          <w:color w:val="auto"/>
          <w:sz w:val="24"/>
        </w:rPr>
        <w:t>1.1 合同组成部分</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1.1.1 本合同及其补充合同、变更协议；</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1.1.2 </w:t>
      </w:r>
      <w:r>
        <w:rPr>
          <w:rFonts w:hint="eastAsia" w:ascii="宋体" w:hAnsi="宋体" w:eastAsia="宋体" w:cs="宋体"/>
          <w:color w:val="auto"/>
          <w:sz w:val="24"/>
          <w:lang w:eastAsia="zh-CN"/>
        </w:rPr>
        <w:t>成交</w:t>
      </w:r>
      <w:r>
        <w:rPr>
          <w:rFonts w:hint="eastAsia" w:ascii="宋体" w:hAnsi="宋体" w:eastAsia="宋体" w:cs="宋体"/>
          <w:color w:val="auto"/>
          <w:sz w:val="24"/>
        </w:rPr>
        <w:t>通知书；</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1.1.3 </w:t>
      </w:r>
      <w:r>
        <w:rPr>
          <w:rFonts w:hint="eastAsia" w:ascii="宋体" w:hAnsi="宋体" w:eastAsia="宋体" w:cs="宋体"/>
          <w:color w:val="auto"/>
          <w:sz w:val="24"/>
          <w:lang w:eastAsia="zh-CN"/>
        </w:rPr>
        <w:t>磋商</w:t>
      </w:r>
      <w:r>
        <w:rPr>
          <w:rFonts w:hint="eastAsia" w:ascii="宋体" w:hAnsi="宋体" w:eastAsia="宋体" w:cs="宋体"/>
          <w:color w:val="auto"/>
          <w:sz w:val="24"/>
        </w:rPr>
        <w:t>文件（含澄清或者说明文件）；</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1.1.4 </w:t>
      </w:r>
      <w:r>
        <w:rPr>
          <w:rFonts w:hint="eastAsia" w:ascii="宋体" w:hAnsi="宋体" w:eastAsia="宋体" w:cs="宋体"/>
          <w:color w:val="auto"/>
          <w:sz w:val="24"/>
          <w:lang w:eastAsia="zh-CN"/>
        </w:rPr>
        <w:t>磋商文件</w:t>
      </w:r>
      <w:r>
        <w:rPr>
          <w:rFonts w:hint="eastAsia" w:ascii="宋体" w:hAnsi="宋体" w:eastAsia="宋体" w:cs="宋体"/>
          <w:color w:val="auto"/>
          <w:sz w:val="24"/>
        </w:rPr>
        <w:t>（含澄清或者修改文件）；</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1.1.5 其他相关采购文件。</w:t>
      </w:r>
    </w:p>
    <w:p>
      <w:pPr>
        <w:spacing w:line="400" w:lineRule="exact"/>
        <w:ind w:firstLine="482" w:firstLineChars="200"/>
        <w:outlineLvl w:val="1"/>
        <w:rPr>
          <w:rFonts w:hint="eastAsia" w:ascii="宋体" w:hAnsi="宋体" w:eastAsia="宋体" w:cs="宋体"/>
          <w:b/>
          <w:color w:val="auto"/>
          <w:sz w:val="24"/>
        </w:rPr>
      </w:pPr>
      <w:bookmarkStart w:id="601" w:name="_Toc6313"/>
      <w:bookmarkStart w:id="602" w:name="_Toc15104"/>
      <w:bookmarkStart w:id="603" w:name="_Toc6773"/>
      <w:bookmarkStart w:id="604" w:name="_Toc22185"/>
      <w:bookmarkStart w:id="605" w:name="_Toc15369"/>
      <w:bookmarkStart w:id="606" w:name="_Toc7878"/>
      <w:bookmarkStart w:id="607" w:name="_Toc2918"/>
      <w:bookmarkStart w:id="608" w:name="_Toc23275"/>
      <w:bookmarkStart w:id="609" w:name="_Toc18571"/>
      <w:bookmarkStart w:id="610" w:name="_Toc31498"/>
      <w:bookmarkStart w:id="611" w:name="_Toc27911"/>
      <w:bookmarkStart w:id="612" w:name="_Toc18585"/>
      <w:bookmarkStart w:id="613" w:name="_Toc6311"/>
      <w:bookmarkStart w:id="614" w:name="_Toc538"/>
      <w:bookmarkStart w:id="615" w:name="_Toc24493"/>
      <w:bookmarkStart w:id="616" w:name="_Toc1090"/>
      <w:r>
        <w:rPr>
          <w:rFonts w:hint="eastAsia" w:ascii="宋体" w:hAnsi="宋体" w:eastAsia="宋体" w:cs="宋体"/>
          <w:b/>
          <w:color w:val="auto"/>
          <w:sz w:val="24"/>
        </w:rPr>
        <w:t>1.2 标的</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pPr>
        <w:spacing w:line="4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1.2.1 标的名称：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4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1.2.2 标的数量：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1.2.3 标的质量：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400" w:lineRule="exact"/>
        <w:ind w:firstLine="482" w:firstLineChars="200"/>
        <w:outlineLvl w:val="1"/>
        <w:rPr>
          <w:rFonts w:hint="eastAsia" w:ascii="宋体" w:hAnsi="宋体" w:eastAsia="宋体" w:cs="宋体"/>
          <w:b/>
          <w:color w:val="auto"/>
          <w:sz w:val="24"/>
        </w:rPr>
      </w:pPr>
      <w:bookmarkStart w:id="617" w:name="_Toc4929"/>
      <w:bookmarkStart w:id="618" w:name="_Toc13918"/>
      <w:bookmarkStart w:id="619" w:name="_Toc13512"/>
      <w:bookmarkStart w:id="620" w:name="_Toc5635"/>
      <w:bookmarkStart w:id="621" w:name="_Toc10671"/>
      <w:bookmarkStart w:id="622" w:name="_Toc23026"/>
      <w:bookmarkStart w:id="623" w:name="_Toc2888"/>
      <w:bookmarkStart w:id="624" w:name="_Toc32314"/>
      <w:bookmarkStart w:id="625" w:name="_Toc13554"/>
      <w:bookmarkStart w:id="626" w:name="_Toc27077"/>
      <w:bookmarkStart w:id="627" w:name="_Toc17541"/>
      <w:bookmarkStart w:id="628" w:name="_Toc23906"/>
      <w:bookmarkStart w:id="629" w:name="_Toc21124"/>
      <w:bookmarkStart w:id="630" w:name="_Toc4932"/>
      <w:bookmarkStart w:id="631" w:name="_Toc1386"/>
      <w:bookmarkStart w:id="632" w:name="_Toc19129"/>
      <w:r>
        <w:rPr>
          <w:rFonts w:hint="eastAsia" w:ascii="宋体" w:hAnsi="宋体" w:eastAsia="宋体" w:cs="宋体"/>
          <w:b/>
          <w:color w:val="auto"/>
          <w:sz w:val="24"/>
        </w:rPr>
        <w:t>1.3 价款</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本合同总价为：￥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元人民币）。</w:t>
      </w:r>
    </w:p>
    <w:p>
      <w:pPr>
        <w:spacing w:line="4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3"/>
              <w:spacing w:line="4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340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分项名称</w:t>
            </w:r>
          </w:p>
        </w:tc>
        <w:tc>
          <w:tcPr>
            <w:tcW w:w="2552" w:type="dxa"/>
            <w:noWrap w:val="0"/>
            <w:vAlign w:val="center"/>
          </w:tcPr>
          <w:p>
            <w:pPr>
              <w:pStyle w:val="33"/>
              <w:spacing w:line="400" w:lineRule="exact"/>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c>
          <w:tcPr>
            <w:tcW w:w="340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c>
          <w:tcPr>
            <w:tcW w:w="255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c>
          <w:tcPr>
            <w:tcW w:w="340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c>
          <w:tcPr>
            <w:tcW w:w="255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c>
          <w:tcPr>
            <w:tcW w:w="340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c>
          <w:tcPr>
            <w:tcW w:w="255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c>
          <w:tcPr>
            <w:tcW w:w="340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c>
          <w:tcPr>
            <w:tcW w:w="255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3"/>
              <w:spacing w:line="400" w:lineRule="exact"/>
              <w:ind w:firstLine="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总价</w:t>
            </w:r>
          </w:p>
        </w:tc>
        <w:tc>
          <w:tcPr>
            <w:tcW w:w="2552" w:type="dxa"/>
            <w:noWrap w:val="0"/>
            <w:vAlign w:val="center"/>
          </w:tcPr>
          <w:p>
            <w:pPr>
              <w:pStyle w:val="33"/>
              <w:spacing w:line="400" w:lineRule="exact"/>
              <w:ind w:firstLine="200"/>
              <w:jc w:val="center"/>
              <w:rPr>
                <w:rFonts w:hint="eastAsia" w:ascii="宋体" w:hAnsi="宋体" w:eastAsia="宋体" w:cs="宋体"/>
                <w:color w:val="auto"/>
                <w:kern w:val="2"/>
                <w:sz w:val="24"/>
                <w:szCs w:val="24"/>
              </w:rPr>
            </w:pPr>
          </w:p>
        </w:tc>
      </w:tr>
    </w:tbl>
    <w:p>
      <w:pPr>
        <w:spacing w:line="400" w:lineRule="exact"/>
        <w:ind w:firstLine="482" w:firstLineChars="200"/>
        <w:outlineLvl w:val="1"/>
        <w:rPr>
          <w:rFonts w:hint="eastAsia" w:ascii="宋体" w:hAnsi="宋体" w:eastAsia="宋体" w:cs="宋体"/>
          <w:b/>
          <w:color w:val="auto"/>
          <w:sz w:val="24"/>
        </w:rPr>
      </w:pPr>
      <w:bookmarkStart w:id="633" w:name="_Toc3654"/>
      <w:bookmarkStart w:id="634" w:name="_Toc25910"/>
      <w:bookmarkStart w:id="635" w:name="_Toc17855"/>
      <w:bookmarkStart w:id="636" w:name="_Toc26916"/>
      <w:bookmarkStart w:id="637" w:name="_Toc8041"/>
      <w:bookmarkStart w:id="638" w:name="_Toc30158"/>
      <w:bookmarkStart w:id="639" w:name="_Toc21059"/>
      <w:bookmarkStart w:id="640" w:name="_Toc19221"/>
      <w:bookmarkStart w:id="641" w:name="_Toc23005"/>
      <w:bookmarkStart w:id="642" w:name="_Toc30506"/>
      <w:bookmarkStart w:id="643" w:name="_Toc14993"/>
      <w:bookmarkStart w:id="644" w:name="_Toc23173"/>
      <w:bookmarkStart w:id="645" w:name="_Toc6998"/>
      <w:bookmarkStart w:id="646" w:name="_Toc7832"/>
      <w:bookmarkStart w:id="647" w:name="_Toc32305"/>
      <w:bookmarkStart w:id="648" w:name="_Toc19143"/>
      <w:r>
        <w:rPr>
          <w:rFonts w:hint="eastAsia" w:ascii="宋体" w:hAnsi="宋体" w:eastAsia="宋体" w:cs="宋体"/>
          <w:b/>
          <w:color w:val="auto"/>
          <w:sz w:val="24"/>
        </w:rPr>
        <w:t>1.4 付款方式和发票开具方式</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1.4.1付款方式：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1.4.2 发票开具方式：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400" w:lineRule="exact"/>
        <w:ind w:firstLine="482" w:firstLineChars="200"/>
        <w:outlineLvl w:val="1"/>
        <w:rPr>
          <w:rFonts w:hint="eastAsia" w:ascii="宋体" w:hAnsi="宋体" w:eastAsia="宋体" w:cs="宋体"/>
          <w:b/>
          <w:color w:val="auto"/>
          <w:sz w:val="24"/>
        </w:rPr>
      </w:pPr>
      <w:bookmarkStart w:id="649" w:name="_Toc4301"/>
      <w:bookmarkStart w:id="650" w:name="_Toc8772"/>
      <w:bookmarkStart w:id="651" w:name="_Toc23903"/>
      <w:bookmarkStart w:id="652" w:name="_Toc12261"/>
      <w:bookmarkStart w:id="653" w:name="_Toc28212"/>
      <w:bookmarkStart w:id="654" w:name="_Toc3251"/>
      <w:bookmarkStart w:id="655" w:name="_Toc21606"/>
      <w:bookmarkStart w:id="656" w:name="_Toc11108"/>
      <w:bookmarkStart w:id="657" w:name="_Toc31421"/>
      <w:bookmarkStart w:id="658" w:name="_Toc32135"/>
      <w:bookmarkStart w:id="659" w:name="_Toc17889"/>
      <w:bookmarkStart w:id="660" w:name="_Toc7461"/>
      <w:bookmarkStart w:id="661" w:name="_Toc3625"/>
      <w:bookmarkStart w:id="662" w:name="_Toc24233"/>
      <w:bookmarkStart w:id="663" w:name="_Toc4760"/>
      <w:bookmarkStart w:id="664" w:name="_Toc3007"/>
      <w:r>
        <w:rPr>
          <w:rFonts w:hint="eastAsia" w:ascii="宋体" w:hAnsi="宋体" w:eastAsia="宋体" w:cs="宋体"/>
          <w:b/>
          <w:color w:val="auto"/>
          <w:sz w:val="24"/>
        </w:rPr>
        <w:t>1.5 履行期限、地点和方式</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spacing w:line="4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履行期限：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履行地点：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1.5.3 履行方式：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400" w:lineRule="exact"/>
        <w:ind w:firstLine="482" w:firstLineChars="200"/>
        <w:outlineLvl w:val="1"/>
        <w:rPr>
          <w:rFonts w:hint="eastAsia" w:ascii="宋体" w:hAnsi="宋体" w:eastAsia="宋体" w:cs="宋体"/>
          <w:color w:val="auto"/>
          <w:sz w:val="24"/>
          <w:u w:val="single"/>
        </w:rPr>
      </w:pPr>
      <w:bookmarkStart w:id="665" w:name="_Toc2375"/>
      <w:bookmarkStart w:id="666" w:name="_Toc3079"/>
      <w:bookmarkStart w:id="667" w:name="_Toc5418"/>
      <w:bookmarkStart w:id="668" w:name="_Toc24662"/>
      <w:bookmarkStart w:id="669" w:name="_Toc8586"/>
      <w:bookmarkStart w:id="670" w:name="_Toc5698"/>
      <w:bookmarkStart w:id="671" w:name="_Toc10490"/>
      <w:bookmarkStart w:id="672" w:name="_Toc27990"/>
      <w:bookmarkStart w:id="673" w:name="_Toc3290"/>
      <w:bookmarkStart w:id="674" w:name="_Toc5863"/>
      <w:bookmarkStart w:id="675" w:name="_Toc18474"/>
      <w:bookmarkStart w:id="676" w:name="_Toc16708"/>
      <w:bookmarkStart w:id="677" w:name="_Toc17443"/>
      <w:bookmarkStart w:id="678" w:name="_Toc12514"/>
      <w:bookmarkStart w:id="679" w:name="_Toc18326"/>
      <w:r>
        <w:rPr>
          <w:rFonts w:hint="eastAsia" w:ascii="宋体" w:hAnsi="宋体" w:eastAsia="宋体" w:cs="宋体"/>
          <w:b/>
          <w:color w:val="auto"/>
          <w:sz w:val="24"/>
        </w:rPr>
        <w:t>1.6 违约责任</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%计算，最高限额为本合同总价的</w:t>
      </w:r>
      <w:r>
        <w:rPr>
          <w:rFonts w:hint="eastAsia" w:ascii="宋体" w:hAnsi="宋体" w:eastAsia="宋体" w:cs="宋体"/>
          <w:color w:val="auto"/>
          <w:sz w:val="24"/>
          <w:u w:val="single"/>
        </w:rPr>
        <w:t xml:space="preserve">     </w:t>
      </w:r>
      <w:r>
        <w:rPr>
          <w:rFonts w:hint="eastAsia" w:ascii="宋体" w:hAnsi="宋体" w:eastAsia="宋体" w:cs="宋体"/>
          <w:color w:val="auto"/>
          <w:sz w:val="24"/>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1.6.6 如果出现政府采购监督管理部门在处理投诉事项期间，书面通知甲方暂停采购活动的情形，或者询问或质疑事项可能影响</w:t>
      </w:r>
      <w:r>
        <w:rPr>
          <w:rFonts w:hint="eastAsia" w:ascii="宋体" w:hAnsi="宋体" w:eastAsia="宋体" w:cs="宋体"/>
          <w:color w:val="auto"/>
          <w:sz w:val="24"/>
          <w:lang w:eastAsia="zh-CN"/>
        </w:rPr>
        <w:t>成交</w:t>
      </w:r>
      <w:r>
        <w:rPr>
          <w:rFonts w:hint="eastAsia" w:ascii="宋体" w:hAnsi="宋体" w:eastAsia="宋体" w:cs="宋体"/>
          <w:color w:val="auto"/>
          <w:sz w:val="24"/>
        </w:rPr>
        <w:t>结果的，导致甲方中止履行合同的情形，均不视为甲方违约。</w:t>
      </w:r>
    </w:p>
    <w:p>
      <w:pPr>
        <w:spacing w:line="400" w:lineRule="exact"/>
        <w:ind w:firstLine="482" w:firstLineChars="200"/>
        <w:outlineLvl w:val="1"/>
        <w:rPr>
          <w:rFonts w:hint="eastAsia" w:ascii="宋体" w:hAnsi="宋体" w:eastAsia="宋体" w:cs="宋体"/>
          <w:b/>
          <w:color w:val="auto"/>
          <w:sz w:val="24"/>
        </w:rPr>
      </w:pPr>
      <w:bookmarkStart w:id="680" w:name="_Toc4563"/>
      <w:bookmarkStart w:id="681" w:name="_Toc18683"/>
      <w:bookmarkStart w:id="682" w:name="_Toc29659"/>
      <w:bookmarkStart w:id="683" w:name="_Toc4448"/>
      <w:bookmarkStart w:id="684" w:name="_Toc21818"/>
      <w:bookmarkStart w:id="685" w:name="_Toc23069"/>
      <w:bookmarkStart w:id="686" w:name="_Toc13358"/>
      <w:bookmarkStart w:id="687" w:name="_Toc30329"/>
      <w:bookmarkStart w:id="688" w:name="_Toc12954"/>
      <w:bookmarkStart w:id="689" w:name="_Toc3964"/>
      <w:bookmarkStart w:id="690" w:name="_Toc9497"/>
      <w:bookmarkStart w:id="691" w:name="_Toc9782"/>
      <w:bookmarkStart w:id="692" w:name="_Toc32454"/>
      <w:bookmarkStart w:id="693" w:name="_Toc14940"/>
      <w:bookmarkStart w:id="694" w:name="_Toc13634"/>
      <w:bookmarkStart w:id="695" w:name="_Toc26807"/>
      <w:r>
        <w:rPr>
          <w:rFonts w:hint="eastAsia" w:ascii="宋体" w:hAnsi="宋体" w:eastAsia="宋体" w:cs="宋体"/>
          <w:b/>
          <w:color w:val="auto"/>
          <w:sz w:val="24"/>
        </w:rPr>
        <w:t>1.7 合同争议的解决</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1.7.1 将争议提交</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仲裁委员会依申请仲裁时其现行有效的仲裁规则裁决；</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1.7.2 向</w:t>
      </w:r>
      <w:r>
        <w:rPr>
          <w:rFonts w:hint="eastAsia" w:ascii="宋体" w:hAnsi="宋体" w:eastAsia="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rPr>
        <w:t>人民法院起诉。</w:t>
      </w:r>
    </w:p>
    <w:p>
      <w:pPr>
        <w:spacing w:line="400" w:lineRule="exact"/>
        <w:ind w:firstLine="482" w:firstLineChars="200"/>
        <w:outlineLvl w:val="1"/>
        <w:rPr>
          <w:rFonts w:hint="eastAsia" w:ascii="宋体" w:hAnsi="宋体" w:eastAsia="宋体" w:cs="宋体"/>
          <w:b/>
          <w:color w:val="auto"/>
          <w:sz w:val="24"/>
        </w:rPr>
      </w:pPr>
      <w:bookmarkStart w:id="696" w:name="_Toc15827"/>
      <w:bookmarkStart w:id="697" w:name="_Toc23784"/>
      <w:bookmarkStart w:id="698" w:name="_Toc1472"/>
      <w:bookmarkStart w:id="699" w:name="_Toc16417"/>
      <w:bookmarkStart w:id="700" w:name="_Toc17508"/>
      <w:bookmarkStart w:id="701" w:name="_Toc6048"/>
      <w:bookmarkStart w:id="702" w:name="_Toc20156"/>
      <w:bookmarkStart w:id="703" w:name="_Toc13186"/>
      <w:bookmarkStart w:id="704" w:name="_Toc26227"/>
      <w:bookmarkStart w:id="705" w:name="_Toc13173"/>
      <w:bookmarkStart w:id="706" w:name="_Toc18071"/>
      <w:bookmarkStart w:id="707" w:name="_Toc1048"/>
      <w:bookmarkStart w:id="708" w:name="_Toc6707"/>
      <w:bookmarkStart w:id="709" w:name="_Toc20743"/>
      <w:bookmarkStart w:id="710" w:name="_Toc12273"/>
      <w:bookmarkStart w:id="711" w:name="_Toc32664"/>
      <w:r>
        <w:rPr>
          <w:rFonts w:hint="eastAsia" w:ascii="宋体" w:hAnsi="宋体" w:eastAsia="宋体" w:cs="宋体"/>
          <w:b/>
          <w:color w:val="auto"/>
          <w:sz w:val="24"/>
        </w:rPr>
        <w:t>1.8 合同生效</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spacing w:line="40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本合同自双方当事人盖章或者签字时生效。</w:t>
      </w:r>
    </w:p>
    <w:p>
      <w:pPr>
        <w:autoSpaceDE w:val="0"/>
        <w:autoSpaceDN w:val="0"/>
        <w:adjustRightInd w:val="0"/>
        <w:spacing w:line="400" w:lineRule="exact"/>
        <w:rPr>
          <w:rFonts w:hint="eastAsia" w:ascii="宋体" w:hAnsi="宋体" w:eastAsia="宋体" w:cs="宋体"/>
          <w:color w:val="auto"/>
          <w:sz w:val="24"/>
          <w:lang w:val="zh-CN"/>
        </w:rPr>
      </w:pP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b/>
          <w:color w:val="auto"/>
          <w:sz w:val="24"/>
          <w:lang w:val="zh-CN"/>
        </w:rPr>
        <w:t>甲方</w:t>
      </w:r>
      <w:r>
        <w:rPr>
          <w:rFonts w:hint="eastAsia" w:ascii="宋体" w:hAnsi="宋体" w:eastAsia="宋体" w:cs="宋体"/>
          <w:color w:val="auto"/>
          <w:sz w:val="24"/>
          <w:lang w:val="zh-CN"/>
        </w:rPr>
        <w:t xml:space="preserve">：                             </w:t>
      </w:r>
      <w:r>
        <w:rPr>
          <w:rFonts w:hint="eastAsia" w:ascii="宋体" w:hAnsi="宋体" w:eastAsia="宋体" w:cs="宋体"/>
          <w:b/>
          <w:color w:val="auto"/>
          <w:sz w:val="24"/>
          <w:lang w:val="zh-CN"/>
        </w:rPr>
        <w:t xml:space="preserve">      乙方</w:t>
      </w:r>
      <w:r>
        <w:rPr>
          <w:rFonts w:hint="eastAsia" w:ascii="宋体" w:hAnsi="宋体" w:eastAsia="宋体" w:cs="宋体"/>
          <w:color w:val="auto"/>
          <w:sz w:val="24"/>
          <w:lang w:val="zh-CN"/>
        </w:rPr>
        <w:t>：</w:t>
      </w: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统一社会信用代码：                        统一社会信用代码或身份证号码：</w:t>
      </w:r>
    </w:p>
    <w:p>
      <w:pPr>
        <w:autoSpaceDE w:val="0"/>
        <w:autoSpaceDN w:val="0"/>
        <w:adjustRightInd w:val="0"/>
        <w:spacing w:line="400" w:lineRule="exact"/>
        <w:rPr>
          <w:rFonts w:hint="eastAsia" w:ascii="宋体" w:hAnsi="宋体" w:eastAsia="宋体" w:cs="宋体"/>
          <w:color w:val="auto"/>
          <w:sz w:val="24"/>
          <w:lang w:val="zh-CN"/>
        </w:rPr>
      </w:pP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住所：                                   住所：</w:t>
      </w: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法定代表人或                             法定代表人</w:t>
      </w: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授权代表（签字）：                        或授权代表（签字）: </w:t>
      </w: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联系人：                                 联系人：</w:t>
      </w: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约定送达地址：                           约定送达地址：</w:t>
      </w: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邮政编码：                               邮政编码：</w:t>
      </w: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电话:                                    电话: </w:t>
      </w:r>
    </w:p>
    <w:p>
      <w:pPr>
        <w:autoSpaceDE w:val="0"/>
        <w:autoSpaceDN w:val="0"/>
        <w:adjustRightInd w:val="0"/>
        <w:spacing w:line="400" w:lineRule="exact"/>
        <w:rPr>
          <w:rFonts w:hint="eastAsia" w:ascii="宋体" w:hAnsi="宋体" w:eastAsia="宋体" w:cs="宋体"/>
          <w:color w:val="auto"/>
          <w:sz w:val="24"/>
          <w:lang w:val="zh-CN"/>
        </w:rPr>
      </w:pPr>
      <w:r>
        <w:rPr>
          <w:rFonts w:hint="eastAsia" w:ascii="宋体" w:hAnsi="宋体" w:eastAsia="宋体" w:cs="宋体"/>
          <w:color w:val="auto"/>
          <w:sz w:val="24"/>
          <w:lang w:val="zh-CN"/>
        </w:rPr>
        <w:t>传真:                                    传真:</w:t>
      </w:r>
    </w:p>
    <w:p>
      <w:pPr>
        <w:autoSpaceDE w:val="0"/>
        <w:autoSpaceDN w:val="0"/>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lang w:val="zh-CN"/>
        </w:rPr>
        <w:t>电子邮箱：                               电子邮箱：</w:t>
      </w:r>
    </w:p>
    <w:p>
      <w:pPr>
        <w:autoSpaceDE w:val="0"/>
        <w:autoSpaceDN w:val="0"/>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开户银行：                               开户银行： </w:t>
      </w:r>
    </w:p>
    <w:p>
      <w:pPr>
        <w:autoSpaceDE w:val="0"/>
        <w:autoSpaceDN w:val="0"/>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开户名称：                               开户名称： </w:t>
      </w:r>
    </w:p>
    <w:p>
      <w:pPr>
        <w:autoSpaceDE w:val="0"/>
        <w:autoSpaceDN w:val="0"/>
        <w:adjustRightInd w:val="0"/>
        <w:spacing w:line="400" w:lineRule="exact"/>
        <w:rPr>
          <w:rFonts w:hint="eastAsia" w:ascii="宋体" w:hAnsi="宋体" w:eastAsia="宋体" w:cs="宋体"/>
          <w:color w:val="auto"/>
          <w:sz w:val="24"/>
        </w:rPr>
      </w:pPr>
      <w:r>
        <w:rPr>
          <w:rFonts w:hint="eastAsia" w:ascii="宋体" w:hAnsi="宋体" w:eastAsia="宋体" w:cs="宋体"/>
          <w:color w:val="auto"/>
          <w:sz w:val="24"/>
        </w:rPr>
        <w:t>开户账号：</w:t>
      </w:r>
      <w:r>
        <w:rPr>
          <w:rFonts w:hint="eastAsia" w:ascii="宋体" w:hAnsi="宋体" w:eastAsia="宋体" w:cs="宋体"/>
          <w:color w:val="auto"/>
          <w:sz w:val="24"/>
          <w:lang w:val="zh-CN"/>
        </w:rPr>
        <w:t xml:space="preserve">                               </w:t>
      </w:r>
      <w:r>
        <w:rPr>
          <w:rFonts w:hint="eastAsia" w:ascii="宋体" w:hAnsi="宋体" w:eastAsia="宋体" w:cs="宋体"/>
          <w:color w:val="auto"/>
          <w:sz w:val="24"/>
        </w:rPr>
        <w:t>开户账号：</w:t>
      </w:r>
    </w:p>
    <w:p>
      <w:pPr>
        <w:widowControl/>
        <w:spacing w:line="400" w:lineRule="exact"/>
        <w:jc w:val="left"/>
        <w:rPr>
          <w:rFonts w:hint="eastAsia" w:ascii="宋体" w:hAnsi="宋体" w:eastAsia="宋体" w:cs="宋体"/>
          <w:b/>
          <w:color w:val="auto"/>
        </w:rPr>
      </w:pPr>
      <w:bookmarkStart w:id="712" w:name="_Toc331685783"/>
    </w:p>
    <w:p>
      <w:pPr>
        <w:widowControl/>
        <w:spacing w:line="400" w:lineRule="exact"/>
        <w:jc w:val="left"/>
        <w:rPr>
          <w:rFonts w:hint="eastAsia" w:ascii="宋体" w:hAnsi="宋体" w:eastAsia="宋体" w:cs="宋体"/>
          <w:b/>
          <w:color w:val="auto"/>
        </w:rPr>
      </w:pPr>
    </w:p>
    <w:p>
      <w:pPr>
        <w:widowControl/>
        <w:spacing w:line="400" w:lineRule="exact"/>
        <w:jc w:val="left"/>
        <w:rPr>
          <w:rFonts w:hint="eastAsia" w:ascii="宋体" w:hAnsi="宋体" w:eastAsia="宋体" w:cs="宋体"/>
          <w:b/>
          <w:color w:val="auto"/>
          <w:kern w:val="0"/>
          <w:sz w:val="24"/>
        </w:rPr>
      </w:pPr>
    </w:p>
    <w:p>
      <w:pPr>
        <w:widowControl/>
        <w:spacing w:line="400" w:lineRule="exact"/>
        <w:jc w:val="left"/>
        <w:rPr>
          <w:rFonts w:hint="eastAsia" w:ascii="宋体" w:hAnsi="宋体" w:eastAsia="宋体" w:cs="宋体"/>
          <w:b/>
          <w:color w:val="auto"/>
          <w:kern w:val="0"/>
          <w:sz w:val="24"/>
        </w:rPr>
      </w:pPr>
    </w:p>
    <w:p>
      <w:pPr>
        <w:widowControl/>
        <w:spacing w:line="400" w:lineRule="exact"/>
        <w:jc w:val="left"/>
        <w:rPr>
          <w:rFonts w:hint="eastAsia" w:ascii="宋体" w:hAnsi="宋体" w:eastAsia="宋体" w:cs="宋体"/>
          <w:b/>
          <w:color w:val="auto"/>
          <w:kern w:val="0"/>
          <w:sz w:val="24"/>
        </w:rPr>
      </w:pPr>
    </w:p>
    <w:p>
      <w:pPr>
        <w:widowControl/>
        <w:spacing w:line="400" w:lineRule="exact"/>
        <w:jc w:val="left"/>
        <w:rPr>
          <w:rFonts w:hint="eastAsia" w:ascii="宋体" w:hAnsi="宋体" w:eastAsia="宋体" w:cs="宋体"/>
          <w:b/>
          <w:color w:val="auto"/>
          <w:kern w:val="0"/>
          <w:sz w:val="24"/>
        </w:rPr>
      </w:pPr>
    </w:p>
    <w:p>
      <w:pPr>
        <w:pStyle w:val="31"/>
        <w:spacing w:line="400" w:lineRule="exact"/>
        <w:ind w:left="0" w:leftChars="0" w:firstLine="0" w:firstLineChars="0"/>
        <w:jc w:val="center"/>
        <w:rPr>
          <w:rFonts w:hint="eastAsia" w:ascii="宋体" w:hAnsi="宋体" w:eastAsia="宋体" w:cs="宋体"/>
          <w:b/>
          <w:color w:val="auto"/>
          <w:szCs w:val="24"/>
        </w:rPr>
      </w:pPr>
    </w:p>
    <w:p>
      <w:pPr>
        <w:pStyle w:val="31"/>
        <w:spacing w:line="400" w:lineRule="exact"/>
        <w:ind w:left="0" w:leftChars="0" w:firstLine="0" w:firstLineChars="0"/>
        <w:jc w:val="center"/>
        <w:outlineLvl w:val="9"/>
        <w:rPr>
          <w:rFonts w:hint="eastAsia" w:ascii="宋体" w:hAnsi="宋体" w:eastAsia="宋体" w:cs="宋体"/>
          <w:b/>
          <w:color w:val="auto"/>
          <w:szCs w:val="24"/>
        </w:rPr>
      </w:pPr>
      <w:bookmarkStart w:id="713" w:name="_Toc24240"/>
      <w:bookmarkStart w:id="714" w:name="_Toc9527"/>
    </w:p>
    <w:p>
      <w:pPr>
        <w:pStyle w:val="31"/>
        <w:spacing w:line="400" w:lineRule="exact"/>
        <w:ind w:left="0" w:leftChars="0" w:firstLine="0" w:firstLineChars="0"/>
        <w:jc w:val="center"/>
        <w:outlineLvl w:val="9"/>
        <w:rPr>
          <w:rFonts w:hint="eastAsia" w:ascii="宋体" w:hAnsi="宋体" w:eastAsia="宋体" w:cs="宋体"/>
          <w:b/>
          <w:color w:val="auto"/>
          <w:szCs w:val="24"/>
        </w:rPr>
      </w:pPr>
    </w:p>
    <w:p>
      <w:pPr>
        <w:pStyle w:val="31"/>
        <w:spacing w:line="400" w:lineRule="exact"/>
        <w:ind w:left="0" w:leftChars="0" w:firstLine="0" w:firstLineChars="0"/>
        <w:jc w:val="center"/>
        <w:outlineLvl w:val="9"/>
        <w:rPr>
          <w:rFonts w:hint="eastAsia" w:ascii="宋体" w:hAnsi="宋体" w:eastAsia="宋体" w:cs="宋体"/>
          <w:b/>
          <w:color w:val="auto"/>
          <w:szCs w:val="24"/>
        </w:rPr>
      </w:pPr>
    </w:p>
    <w:p>
      <w:pPr>
        <w:pStyle w:val="31"/>
        <w:spacing w:line="400" w:lineRule="exact"/>
        <w:ind w:left="0" w:leftChars="0" w:firstLine="0" w:firstLineChars="0"/>
        <w:jc w:val="center"/>
        <w:outlineLvl w:val="9"/>
        <w:rPr>
          <w:rFonts w:hint="eastAsia" w:ascii="宋体" w:hAnsi="宋体" w:eastAsia="宋体" w:cs="宋体"/>
          <w:b/>
          <w:color w:val="auto"/>
          <w:szCs w:val="24"/>
        </w:rPr>
      </w:pPr>
    </w:p>
    <w:p>
      <w:pPr>
        <w:pStyle w:val="31"/>
        <w:spacing w:line="400" w:lineRule="exact"/>
        <w:ind w:left="0" w:leftChars="0" w:firstLine="0" w:firstLineChars="0"/>
        <w:jc w:val="center"/>
        <w:outlineLvl w:val="9"/>
        <w:rPr>
          <w:rFonts w:hint="eastAsia" w:ascii="宋体" w:hAnsi="宋体" w:eastAsia="宋体" w:cs="宋体"/>
          <w:b/>
          <w:color w:val="auto"/>
          <w:szCs w:val="24"/>
        </w:rPr>
      </w:pPr>
    </w:p>
    <w:p>
      <w:pPr>
        <w:pStyle w:val="31"/>
        <w:spacing w:line="400" w:lineRule="exact"/>
        <w:ind w:left="0" w:leftChars="0" w:firstLine="0" w:firstLineChars="0"/>
        <w:jc w:val="center"/>
        <w:outlineLvl w:val="0"/>
        <w:rPr>
          <w:rFonts w:hint="eastAsia" w:ascii="宋体" w:hAnsi="宋体" w:eastAsia="宋体" w:cs="宋体"/>
          <w:b/>
          <w:color w:val="auto"/>
          <w:szCs w:val="24"/>
        </w:rPr>
      </w:pPr>
      <w:bookmarkStart w:id="715" w:name="_Toc21768"/>
      <w:r>
        <w:rPr>
          <w:rFonts w:hint="eastAsia" w:ascii="宋体" w:hAnsi="宋体" w:eastAsia="宋体" w:cs="宋体"/>
          <w:b/>
          <w:color w:val="auto"/>
          <w:szCs w:val="24"/>
        </w:rPr>
        <w:t>第二部分 合同一般条款</w:t>
      </w:r>
      <w:bookmarkEnd w:id="712"/>
      <w:bookmarkEnd w:id="713"/>
      <w:bookmarkEnd w:id="714"/>
      <w:bookmarkEnd w:id="715"/>
    </w:p>
    <w:p>
      <w:pPr>
        <w:spacing w:line="400" w:lineRule="exact"/>
        <w:ind w:firstLine="482" w:firstLineChars="200"/>
        <w:outlineLvl w:val="1"/>
        <w:rPr>
          <w:rFonts w:hint="eastAsia" w:ascii="宋体" w:hAnsi="宋体" w:eastAsia="宋体" w:cs="宋体"/>
          <w:b/>
          <w:color w:val="auto"/>
          <w:sz w:val="24"/>
        </w:rPr>
      </w:pPr>
      <w:bookmarkStart w:id="716" w:name="_Toc13941"/>
      <w:bookmarkStart w:id="717" w:name="_Toc4990"/>
      <w:bookmarkStart w:id="718" w:name="_Toc487900349"/>
      <w:bookmarkStart w:id="719" w:name="_Ref467379205"/>
      <w:bookmarkStart w:id="720" w:name="_Ref467379195"/>
      <w:bookmarkStart w:id="721" w:name="_Toc9585"/>
      <w:bookmarkStart w:id="722" w:name="_Ref467379225"/>
      <w:bookmarkStart w:id="723" w:name="_Toc5117"/>
      <w:bookmarkStart w:id="724" w:name="_Toc19680"/>
      <w:bookmarkStart w:id="725" w:name="_Ref467379214"/>
      <w:bookmarkStart w:id="726" w:name="_Ref467378404"/>
      <w:bookmarkStart w:id="727" w:name="_Ref467379109"/>
      <w:bookmarkStart w:id="728" w:name="_Ref467379101"/>
      <w:bookmarkStart w:id="729" w:name="_Toc259093669"/>
      <w:bookmarkStart w:id="730" w:name="_Toc29074"/>
      <w:bookmarkStart w:id="731" w:name="_Ref467378463"/>
      <w:bookmarkStart w:id="732" w:name="_Toc10827"/>
      <w:bookmarkStart w:id="733" w:name="_Ref467378499"/>
      <w:bookmarkStart w:id="734" w:name="_Toc28701"/>
      <w:bookmarkStart w:id="735" w:name="_Ref467379094"/>
      <w:bookmarkStart w:id="736" w:name="_Toc21058"/>
      <w:bookmarkStart w:id="737" w:name="_Toc279701240"/>
      <w:bookmarkStart w:id="738" w:name="_Toc31297"/>
      <w:bookmarkStart w:id="739" w:name="_Toc16934"/>
      <w:bookmarkStart w:id="740" w:name="_Toc29024"/>
      <w:bookmarkStart w:id="741" w:name="_Toc17704"/>
      <w:bookmarkStart w:id="742" w:name="_Toc5228"/>
      <w:bookmarkStart w:id="743" w:name="_Toc25079"/>
      <w:bookmarkStart w:id="744" w:name="_Toc14021"/>
      <w:r>
        <w:rPr>
          <w:rFonts w:hint="eastAsia" w:ascii="宋体" w:hAnsi="宋体" w:eastAsia="宋体" w:cs="宋体"/>
          <w:b/>
          <w:color w:val="auto"/>
          <w:sz w:val="24"/>
        </w:rPr>
        <w:t>2.1 定义</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本合同中的下列词语应按以下内容进行解释：</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 “合同”系指采购人和</w:t>
      </w:r>
      <w:r>
        <w:rPr>
          <w:rFonts w:hint="eastAsia" w:ascii="宋体" w:hAnsi="宋体" w:eastAsia="宋体" w:cs="宋体"/>
          <w:color w:val="auto"/>
          <w:sz w:val="24"/>
          <w:lang w:eastAsia="zh-CN"/>
        </w:rPr>
        <w:t>成交</w:t>
      </w:r>
      <w:r>
        <w:rPr>
          <w:rFonts w:hint="eastAsia" w:ascii="宋体" w:hAnsi="宋体" w:eastAsia="宋体" w:cs="宋体"/>
          <w:color w:val="auto"/>
          <w:sz w:val="24"/>
        </w:rPr>
        <w:t>供应商签订的载明双方当事人所达成的协议，并包括所有的附件、附录和构成合同的其他文件。</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2.1.2 “合同价”系指根据合同约定，</w:t>
      </w:r>
      <w:r>
        <w:rPr>
          <w:rFonts w:hint="eastAsia" w:ascii="宋体" w:hAnsi="宋体" w:eastAsia="宋体" w:cs="宋体"/>
          <w:color w:val="auto"/>
          <w:sz w:val="24"/>
          <w:lang w:eastAsia="zh-CN"/>
        </w:rPr>
        <w:t>成交</w:t>
      </w:r>
      <w:r>
        <w:rPr>
          <w:rFonts w:hint="eastAsia" w:ascii="宋体" w:hAnsi="宋体" w:eastAsia="宋体" w:cs="宋体"/>
          <w:color w:val="auto"/>
          <w:sz w:val="24"/>
        </w:rPr>
        <w:t>供应商在完全履行合同义务后，采购人应支付给</w:t>
      </w:r>
      <w:r>
        <w:rPr>
          <w:rFonts w:hint="eastAsia" w:ascii="宋体" w:hAnsi="宋体" w:eastAsia="宋体" w:cs="宋体"/>
          <w:color w:val="auto"/>
          <w:sz w:val="24"/>
          <w:lang w:eastAsia="zh-CN"/>
        </w:rPr>
        <w:t>成交</w:t>
      </w:r>
      <w:r>
        <w:rPr>
          <w:rFonts w:hint="eastAsia" w:ascii="宋体" w:hAnsi="宋体" w:eastAsia="宋体" w:cs="宋体"/>
          <w:color w:val="auto"/>
          <w:sz w:val="24"/>
        </w:rPr>
        <w:t>供应商的价格。</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2.1.3 “服务”系指</w:t>
      </w:r>
      <w:r>
        <w:rPr>
          <w:rFonts w:hint="eastAsia" w:ascii="宋体" w:hAnsi="宋体" w:eastAsia="宋体" w:cs="宋体"/>
          <w:color w:val="auto"/>
          <w:sz w:val="24"/>
          <w:lang w:eastAsia="zh-CN"/>
        </w:rPr>
        <w:t>成交</w:t>
      </w:r>
      <w:r>
        <w:rPr>
          <w:rFonts w:hint="eastAsia" w:ascii="宋体" w:hAnsi="宋体" w:eastAsia="宋体" w:cs="宋体"/>
          <w:color w:val="auto"/>
          <w:sz w:val="24"/>
        </w:rPr>
        <w:t>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宋体" w:hAnsi="宋体" w:eastAsia="宋体" w:cs="宋体"/>
          <w:color w:val="auto"/>
          <w:sz w:val="24"/>
        </w:rPr>
      </w:pPr>
      <w:bookmarkStart w:id="745" w:name="_Ref467378840"/>
      <w:r>
        <w:rPr>
          <w:rFonts w:hint="eastAsia" w:ascii="宋体" w:hAnsi="宋体" w:eastAsia="宋体" w:cs="宋体"/>
          <w:color w:val="auto"/>
          <w:sz w:val="24"/>
        </w:rPr>
        <w:t>2.1.4 “甲方”系指与</w:t>
      </w:r>
      <w:r>
        <w:rPr>
          <w:rFonts w:hint="eastAsia" w:ascii="宋体" w:hAnsi="宋体" w:eastAsia="宋体" w:cs="宋体"/>
          <w:color w:val="auto"/>
          <w:sz w:val="24"/>
          <w:lang w:eastAsia="zh-CN"/>
        </w:rPr>
        <w:t>成交</w:t>
      </w:r>
      <w:r>
        <w:rPr>
          <w:rFonts w:hint="eastAsia" w:ascii="宋体" w:hAnsi="宋体" w:eastAsia="宋体" w:cs="宋体"/>
          <w:color w:val="auto"/>
          <w:sz w:val="24"/>
        </w:rPr>
        <w:t>供应商签署合同的采购人</w:t>
      </w:r>
      <w:bookmarkEnd w:id="745"/>
      <w:r>
        <w:rPr>
          <w:rFonts w:hint="eastAsia" w:ascii="宋体" w:hAnsi="宋体" w:eastAsia="宋体" w:cs="宋体"/>
          <w:color w:val="auto"/>
          <w:sz w:val="24"/>
        </w:rPr>
        <w:t>；采购人委托采购代理机构代表其与乙方签订合同的，采购人的授权委托书作为合同附件。</w:t>
      </w:r>
    </w:p>
    <w:p>
      <w:pPr>
        <w:spacing w:line="400" w:lineRule="exact"/>
        <w:ind w:firstLine="480" w:firstLineChars="200"/>
        <w:rPr>
          <w:rFonts w:hint="eastAsia" w:ascii="宋体" w:hAnsi="宋体" w:eastAsia="宋体" w:cs="宋体"/>
          <w:color w:val="auto"/>
          <w:sz w:val="24"/>
        </w:rPr>
      </w:pPr>
      <w:bookmarkStart w:id="746" w:name="_Ref467379400"/>
      <w:r>
        <w:rPr>
          <w:rFonts w:hint="eastAsia" w:ascii="宋体" w:hAnsi="宋体" w:eastAsia="宋体" w:cs="宋体"/>
          <w:color w:val="auto"/>
          <w:sz w:val="24"/>
        </w:rPr>
        <w:t>2.1.5 “乙方”系指根据合同约定提供服务的</w:t>
      </w:r>
      <w:r>
        <w:rPr>
          <w:rFonts w:hint="eastAsia" w:ascii="宋体" w:hAnsi="宋体" w:eastAsia="宋体" w:cs="宋体"/>
          <w:color w:val="auto"/>
          <w:sz w:val="24"/>
          <w:lang w:eastAsia="zh-CN"/>
        </w:rPr>
        <w:t>成交</w:t>
      </w:r>
      <w:r>
        <w:rPr>
          <w:rFonts w:hint="eastAsia" w:ascii="宋体" w:hAnsi="宋体" w:eastAsia="宋体" w:cs="宋体"/>
          <w:color w:val="auto"/>
          <w:sz w:val="24"/>
        </w:rPr>
        <w:t>供应商</w:t>
      </w:r>
      <w:bookmarkEnd w:id="746"/>
      <w:r>
        <w:rPr>
          <w:rFonts w:hint="eastAsia" w:ascii="宋体" w:hAnsi="宋体" w:eastAsia="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宋体" w:hAnsi="宋体" w:eastAsia="宋体" w:cs="宋体"/>
          <w:color w:val="auto"/>
          <w:sz w:val="24"/>
        </w:rPr>
      </w:pPr>
      <w:bookmarkStart w:id="747" w:name="_Ref467379436"/>
      <w:r>
        <w:rPr>
          <w:rFonts w:hint="eastAsia" w:ascii="宋体" w:hAnsi="宋体" w:eastAsia="宋体" w:cs="宋体"/>
          <w:color w:val="auto"/>
          <w:sz w:val="24"/>
        </w:rPr>
        <w:t>2.1.6 “现场”系指合同约定提供服务的地点。</w:t>
      </w:r>
      <w:bookmarkEnd w:id="747"/>
    </w:p>
    <w:p>
      <w:pPr>
        <w:spacing w:line="400" w:lineRule="exact"/>
        <w:ind w:firstLine="482" w:firstLineChars="200"/>
        <w:outlineLvl w:val="1"/>
        <w:rPr>
          <w:rFonts w:hint="eastAsia" w:ascii="宋体" w:hAnsi="宋体" w:eastAsia="宋体" w:cs="宋体"/>
          <w:b/>
          <w:color w:val="auto"/>
          <w:sz w:val="24"/>
        </w:rPr>
      </w:pPr>
      <w:bookmarkStart w:id="748" w:name="_Toc24501"/>
      <w:bookmarkStart w:id="749" w:name="_Toc28811"/>
      <w:bookmarkStart w:id="750" w:name="_Toc3769"/>
      <w:bookmarkStart w:id="751" w:name="_Toc31402"/>
      <w:bookmarkStart w:id="752" w:name="_Toc279701241"/>
      <w:bookmarkStart w:id="753" w:name="_Toc16752"/>
      <w:bookmarkStart w:id="754" w:name="_Toc15686"/>
      <w:bookmarkStart w:id="755" w:name="_Toc7411"/>
      <w:bookmarkStart w:id="756" w:name="_Toc10249"/>
      <w:bookmarkStart w:id="757" w:name="_Toc487900350"/>
      <w:bookmarkStart w:id="758" w:name="_Toc8861"/>
      <w:bookmarkStart w:id="759" w:name="_Toc23289"/>
      <w:bookmarkStart w:id="760" w:name="_Toc15954"/>
      <w:bookmarkStart w:id="761" w:name="_Toc22493"/>
      <w:bookmarkStart w:id="762" w:name="_Toc19539"/>
      <w:bookmarkStart w:id="763" w:name="_Toc6001"/>
      <w:bookmarkStart w:id="764" w:name="_Toc25980"/>
      <w:bookmarkStart w:id="765" w:name="_Toc21068"/>
      <w:bookmarkStart w:id="766" w:name="_Toc259093670"/>
      <w:r>
        <w:rPr>
          <w:rFonts w:hint="eastAsia" w:ascii="宋体" w:hAnsi="宋体" w:eastAsia="宋体" w:cs="宋体"/>
          <w:b/>
          <w:color w:val="auto"/>
          <w:sz w:val="24"/>
        </w:rPr>
        <w:t>2.2 技术规范</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1"/>
        <w:rPr>
          <w:rFonts w:hint="eastAsia" w:ascii="宋体" w:hAnsi="宋体" w:eastAsia="宋体" w:cs="宋体"/>
          <w:b/>
          <w:color w:val="auto"/>
          <w:sz w:val="24"/>
        </w:rPr>
      </w:pPr>
      <w:bookmarkStart w:id="767" w:name="_Toc4133"/>
      <w:bookmarkStart w:id="768" w:name="_Toc7280"/>
      <w:bookmarkStart w:id="769" w:name="_Toc259093671"/>
      <w:bookmarkStart w:id="770" w:name="_Toc13673"/>
      <w:bookmarkStart w:id="771" w:name="_Toc32402"/>
      <w:bookmarkStart w:id="772" w:name="_Toc12881"/>
      <w:bookmarkStart w:id="773" w:name="_Toc30138"/>
      <w:bookmarkStart w:id="774" w:name="_Toc9578"/>
      <w:bookmarkStart w:id="775" w:name="_Toc487900351"/>
      <w:bookmarkStart w:id="776" w:name="_Toc1059"/>
      <w:bookmarkStart w:id="777" w:name="_Toc279701242"/>
      <w:bookmarkStart w:id="778" w:name="_Toc27945"/>
      <w:bookmarkStart w:id="779" w:name="_Toc12412"/>
      <w:bookmarkStart w:id="780" w:name="_Toc24660"/>
      <w:bookmarkStart w:id="781" w:name="_Toc31307"/>
      <w:bookmarkStart w:id="782" w:name="_Toc12727"/>
      <w:bookmarkStart w:id="783" w:name="_Toc9161"/>
      <w:bookmarkStart w:id="784" w:name="_Toc22416"/>
      <w:bookmarkStart w:id="785" w:name="_Toc8378"/>
      <w:r>
        <w:rPr>
          <w:rFonts w:hint="eastAsia" w:ascii="宋体" w:hAnsi="宋体" w:eastAsia="宋体" w:cs="宋体"/>
          <w:b/>
          <w:color w:val="auto"/>
          <w:sz w:val="24"/>
        </w:rPr>
        <w:t>2.3 知识产权</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2.3.2 合同涉及技术成果的归属和收益的分成办法的，详见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pPr>
        <w:spacing w:line="400" w:lineRule="exact"/>
        <w:ind w:firstLine="482" w:firstLineChars="200"/>
        <w:outlineLvl w:val="1"/>
        <w:rPr>
          <w:rFonts w:hint="eastAsia" w:ascii="宋体" w:hAnsi="宋体" w:eastAsia="宋体" w:cs="宋体"/>
          <w:b/>
          <w:color w:val="auto"/>
          <w:sz w:val="24"/>
        </w:rPr>
      </w:pPr>
      <w:bookmarkStart w:id="786" w:name="_Toc30894"/>
      <w:r>
        <w:rPr>
          <w:rFonts w:hint="eastAsia" w:ascii="宋体" w:hAnsi="宋体" w:eastAsia="宋体" w:cs="宋体"/>
          <w:b/>
          <w:color w:val="auto"/>
          <w:sz w:val="24"/>
        </w:rPr>
        <w:t>2.4 履约检查和问题反馈</w:t>
      </w:r>
      <w:bookmarkEnd w:id="786"/>
    </w:p>
    <w:p>
      <w:pPr>
        <w:spacing w:line="400" w:lineRule="exact"/>
        <w:ind w:firstLine="480" w:firstLineChars="200"/>
        <w:rPr>
          <w:rFonts w:hint="eastAsia" w:ascii="宋体" w:hAnsi="宋体" w:eastAsia="宋体" w:cs="宋体"/>
          <w:color w:val="auto"/>
          <w:sz w:val="24"/>
        </w:rPr>
      </w:pPr>
      <w:bookmarkStart w:id="787" w:name="_Ref467379657"/>
      <w:r>
        <w:rPr>
          <w:rFonts w:hint="eastAsia" w:ascii="宋体" w:hAnsi="宋体" w:eastAsia="宋体" w:cs="宋体"/>
          <w:color w:val="auto"/>
          <w:sz w:val="24"/>
        </w:rPr>
        <w:t>2.4.1</w:t>
      </w:r>
      <w:bookmarkEnd w:id="787"/>
      <w:bookmarkStart w:id="788" w:name="_Toc186431854"/>
      <w:bookmarkStart w:id="789" w:name="_Toc279701247"/>
      <w:bookmarkStart w:id="790" w:name="_Toc487900357"/>
      <w:bookmarkStart w:id="791" w:name="_Ref467379793"/>
      <w:bookmarkStart w:id="792" w:name="_Toc259093676"/>
      <w:bookmarkStart w:id="793" w:name="_Ref467379807"/>
      <w:r>
        <w:rPr>
          <w:rFonts w:hint="eastAsia" w:ascii="宋体" w:hAnsi="宋体" w:eastAsia="宋体" w:cs="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2.4.2 合同履行期间，甲方有权将履行过程中出现的问题反馈给乙方，双方当事人应以书面形式约定需要完善和改进的内容</w:t>
      </w:r>
      <w:bookmarkEnd w:id="788"/>
      <w:bookmarkStart w:id="794" w:name="_Toc186431855"/>
      <w:r>
        <w:rPr>
          <w:rFonts w:hint="eastAsia" w:ascii="宋体" w:hAnsi="宋体" w:eastAsia="宋体" w:cs="宋体"/>
          <w:color w:val="auto"/>
          <w:sz w:val="24"/>
        </w:rPr>
        <w:t>。</w:t>
      </w:r>
    </w:p>
    <w:bookmarkEnd w:id="794"/>
    <w:p>
      <w:pPr>
        <w:spacing w:line="400" w:lineRule="exact"/>
        <w:ind w:firstLine="482" w:firstLineChars="200"/>
        <w:outlineLvl w:val="1"/>
        <w:rPr>
          <w:rFonts w:hint="eastAsia" w:ascii="宋体" w:hAnsi="宋体" w:eastAsia="宋体" w:cs="宋体"/>
          <w:b/>
          <w:color w:val="auto"/>
          <w:sz w:val="24"/>
        </w:rPr>
      </w:pPr>
      <w:bookmarkStart w:id="795" w:name="_Toc31233"/>
      <w:bookmarkStart w:id="796" w:name="_Toc28361"/>
      <w:bookmarkStart w:id="797" w:name="_Toc28557"/>
      <w:bookmarkStart w:id="798" w:name="_Toc16045"/>
      <w:bookmarkStart w:id="799" w:name="_Toc21474"/>
      <w:bookmarkStart w:id="800" w:name="_Toc32670"/>
      <w:bookmarkStart w:id="801" w:name="_Toc26555"/>
      <w:bookmarkStart w:id="802" w:name="_Toc6504"/>
      <w:bookmarkStart w:id="803" w:name="_Toc20061"/>
      <w:bookmarkStart w:id="804" w:name="_Toc22011"/>
      <w:bookmarkStart w:id="805" w:name="_Toc4237"/>
      <w:bookmarkStart w:id="806" w:name="_Toc12450"/>
      <w:bookmarkStart w:id="807" w:name="_Toc15567"/>
      <w:bookmarkStart w:id="808" w:name="_Toc32043"/>
      <w:bookmarkStart w:id="809" w:name="_Toc15447"/>
      <w:bookmarkStart w:id="810" w:name="_Toc31494"/>
      <w:r>
        <w:rPr>
          <w:rFonts w:hint="eastAsia" w:ascii="宋体" w:hAnsi="宋体" w:eastAsia="宋体" w:cs="宋体"/>
          <w:b/>
          <w:color w:val="auto"/>
          <w:sz w:val="24"/>
        </w:rPr>
        <w:t>2.5 结算方式和付款条件</w:t>
      </w:r>
      <w:bookmarkEnd w:id="789"/>
      <w:bookmarkEnd w:id="790"/>
      <w:bookmarkEnd w:id="791"/>
      <w:bookmarkEnd w:id="792"/>
      <w:bookmarkEnd w:id="793"/>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详见</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w:t>
      </w:r>
    </w:p>
    <w:p>
      <w:pPr>
        <w:spacing w:line="400" w:lineRule="exact"/>
        <w:ind w:firstLine="482" w:firstLineChars="200"/>
        <w:outlineLvl w:val="1"/>
        <w:rPr>
          <w:rFonts w:hint="eastAsia" w:ascii="宋体" w:hAnsi="宋体" w:eastAsia="宋体" w:cs="宋体"/>
          <w:b/>
          <w:color w:val="auto"/>
          <w:sz w:val="24"/>
        </w:rPr>
      </w:pPr>
      <w:bookmarkStart w:id="811" w:name="_Toc279701248"/>
      <w:bookmarkStart w:id="812" w:name="_Ref467379923"/>
      <w:bookmarkStart w:id="813" w:name="_Ref467379863"/>
      <w:bookmarkStart w:id="814" w:name="_Toc259093677"/>
      <w:bookmarkStart w:id="815" w:name="_Toc487900358"/>
      <w:bookmarkStart w:id="816" w:name="_Ref467379852"/>
      <w:bookmarkStart w:id="817" w:name="_Toc18990"/>
      <w:bookmarkStart w:id="818" w:name="_Toc3982"/>
      <w:bookmarkStart w:id="819" w:name="_Toc18186"/>
      <w:bookmarkStart w:id="820" w:name="_Toc13467"/>
      <w:bookmarkStart w:id="821" w:name="_Toc23122"/>
      <w:bookmarkStart w:id="822" w:name="_Toc19435"/>
      <w:bookmarkStart w:id="823" w:name="_Toc31145"/>
      <w:bookmarkStart w:id="824" w:name="_Toc9514"/>
      <w:bookmarkStart w:id="825" w:name="_Toc23530"/>
      <w:bookmarkStart w:id="826" w:name="_Toc23050"/>
      <w:bookmarkStart w:id="827" w:name="_Toc29402"/>
      <w:bookmarkStart w:id="828" w:name="_Toc30507"/>
      <w:bookmarkStart w:id="829" w:name="_Toc13154"/>
      <w:bookmarkStart w:id="830" w:name="_Toc20627"/>
      <w:bookmarkStart w:id="831" w:name="_Toc16163"/>
      <w:bookmarkStart w:id="832" w:name="_Toc25982"/>
      <w:r>
        <w:rPr>
          <w:rFonts w:hint="eastAsia" w:ascii="宋体" w:hAnsi="宋体" w:eastAsia="宋体" w:cs="宋体"/>
          <w:b/>
          <w:color w:val="auto"/>
          <w:sz w:val="24"/>
        </w:rPr>
        <w:t>2.6 技术资料</w:t>
      </w:r>
      <w:bookmarkEnd w:id="811"/>
      <w:bookmarkEnd w:id="812"/>
      <w:bookmarkEnd w:id="813"/>
      <w:bookmarkEnd w:id="814"/>
      <w:bookmarkEnd w:id="815"/>
      <w:bookmarkEnd w:id="816"/>
      <w:r>
        <w:rPr>
          <w:rFonts w:hint="eastAsia" w:ascii="宋体" w:hAnsi="宋体" w:eastAsia="宋体" w:cs="宋体"/>
          <w:b/>
          <w:color w:val="auto"/>
          <w:sz w:val="24"/>
        </w:rPr>
        <w:t>和保密义务</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2.6.1 乙方有权依据合同约定和项目需要，向甲方了解有关情况，调阅有关资料等，甲方应予积极配合；</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2.6.2 乙方有义务妥善保管和保护由甲方提供的前款信息和资料等；</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1"/>
        <w:rPr>
          <w:rFonts w:hint="eastAsia" w:ascii="宋体" w:hAnsi="宋体" w:eastAsia="宋体" w:cs="宋体"/>
          <w:b/>
          <w:color w:val="auto"/>
          <w:sz w:val="24"/>
        </w:rPr>
      </w:pPr>
      <w:bookmarkStart w:id="833" w:name="_Toc19069"/>
      <w:bookmarkStart w:id="834" w:name="_Toc24552"/>
      <w:bookmarkStart w:id="835" w:name="_Toc1948"/>
      <w:bookmarkStart w:id="836" w:name="_Toc1851"/>
      <w:bookmarkStart w:id="837" w:name="_Toc22614"/>
      <w:bookmarkStart w:id="838" w:name="_Toc339"/>
      <w:bookmarkStart w:id="839" w:name="_Toc13112"/>
      <w:bookmarkStart w:id="840" w:name="_Toc15010"/>
      <w:bookmarkStart w:id="841" w:name="_Toc20114"/>
      <w:bookmarkStart w:id="842" w:name="_Toc18372"/>
      <w:bookmarkStart w:id="843" w:name="_Toc32183"/>
      <w:bookmarkStart w:id="844" w:name="_Toc30162"/>
      <w:bookmarkStart w:id="845" w:name="_Toc487900362"/>
      <w:bookmarkStart w:id="846" w:name="_Toc279701252"/>
      <w:bookmarkStart w:id="847" w:name="_Toc259093681"/>
      <w:r>
        <w:rPr>
          <w:rFonts w:hint="eastAsia" w:ascii="宋体" w:hAnsi="宋体" w:eastAsia="宋体" w:cs="宋体"/>
          <w:b/>
          <w:color w:val="auto"/>
          <w:sz w:val="24"/>
        </w:rPr>
        <w:t>2.7 质量保证</w:t>
      </w:r>
      <w:bookmarkEnd w:id="833"/>
      <w:bookmarkEnd w:id="834"/>
      <w:bookmarkEnd w:id="835"/>
      <w:bookmarkEnd w:id="836"/>
      <w:bookmarkEnd w:id="837"/>
      <w:bookmarkEnd w:id="838"/>
      <w:bookmarkEnd w:id="839"/>
      <w:bookmarkEnd w:id="840"/>
      <w:bookmarkEnd w:id="841"/>
      <w:bookmarkEnd w:id="842"/>
      <w:bookmarkEnd w:id="843"/>
      <w:bookmarkEnd w:id="844"/>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2.7.1 乙方应建立和完善履行合同的内部质量保证体系，并提供相关内部规章制度给甲方，以便甲方进行监督检查；</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1"/>
        <w:rPr>
          <w:rFonts w:hint="eastAsia" w:ascii="宋体" w:hAnsi="宋体" w:eastAsia="宋体" w:cs="宋体"/>
          <w:b/>
          <w:color w:val="auto"/>
          <w:sz w:val="24"/>
        </w:rPr>
      </w:pPr>
      <w:bookmarkStart w:id="848" w:name="_Toc7710"/>
      <w:bookmarkStart w:id="849" w:name="_Toc11272"/>
      <w:bookmarkStart w:id="850" w:name="_Toc22267"/>
      <w:bookmarkStart w:id="851" w:name="_Toc8481"/>
      <w:bookmarkStart w:id="852" w:name="_Toc11034"/>
      <w:bookmarkStart w:id="853" w:name="_Toc14323"/>
      <w:bookmarkStart w:id="854" w:name="_Toc32424"/>
      <w:bookmarkStart w:id="855" w:name="_Toc10485"/>
      <w:bookmarkStart w:id="856" w:name="_Toc22198"/>
      <w:bookmarkStart w:id="857" w:name="_Toc1263"/>
      <w:bookmarkStart w:id="858" w:name="_Toc10063"/>
      <w:bookmarkStart w:id="859" w:name="_Toc28170"/>
      <w:r>
        <w:rPr>
          <w:rFonts w:hint="eastAsia" w:ascii="宋体" w:hAnsi="宋体" w:eastAsia="宋体" w:cs="宋体"/>
          <w:b/>
          <w:color w:val="auto"/>
          <w:sz w:val="24"/>
        </w:rPr>
        <w:t>2.8 延迟</w:t>
      </w:r>
      <w:bookmarkEnd w:id="845"/>
      <w:bookmarkEnd w:id="846"/>
      <w:bookmarkEnd w:id="847"/>
      <w:r>
        <w:rPr>
          <w:rFonts w:hint="eastAsia" w:ascii="宋体" w:hAnsi="宋体" w:eastAsia="宋体" w:cs="宋体"/>
          <w:b/>
          <w:color w:val="auto"/>
          <w:sz w:val="24"/>
        </w:rPr>
        <w:t>履行</w:t>
      </w:r>
      <w:bookmarkEnd w:id="848"/>
      <w:bookmarkEnd w:id="849"/>
      <w:bookmarkEnd w:id="850"/>
      <w:bookmarkEnd w:id="851"/>
      <w:bookmarkEnd w:id="852"/>
      <w:bookmarkEnd w:id="853"/>
      <w:bookmarkEnd w:id="854"/>
      <w:bookmarkEnd w:id="855"/>
      <w:bookmarkEnd w:id="856"/>
      <w:bookmarkEnd w:id="857"/>
      <w:bookmarkEnd w:id="858"/>
      <w:bookmarkEnd w:id="859"/>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1"/>
        <w:rPr>
          <w:rFonts w:hint="eastAsia" w:ascii="宋体" w:hAnsi="宋体" w:eastAsia="宋体" w:cs="宋体"/>
          <w:b/>
          <w:color w:val="auto"/>
          <w:sz w:val="24"/>
        </w:rPr>
      </w:pPr>
      <w:bookmarkStart w:id="860" w:name="_Toc12190"/>
      <w:bookmarkStart w:id="861" w:name="_Toc28004"/>
      <w:bookmarkStart w:id="862" w:name="_Toc3810"/>
      <w:bookmarkStart w:id="863" w:name="_Toc10750"/>
      <w:bookmarkStart w:id="864" w:name="_Toc12112"/>
      <w:bookmarkStart w:id="865" w:name="_Toc28758"/>
      <w:bookmarkStart w:id="866" w:name="_Toc10611"/>
      <w:bookmarkStart w:id="867" w:name="_Toc27101"/>
      <w:bookmarkStart w:id="868" w:name="_Toc20254"/>
      <w:bookmarkStart w:id="869" w:name="_Toc13769"/>
      <w:bookmarkStart w:id="870" w:name="_Toc3758"/>
      <w:bookmarkStart w:id="871" w:name="_Toc25613"/>
      <w:bookmarkStart w:id="872" w:name="_Toc279701254"/>
      <w:bookmarkStart w:id="873" w:name="_Toc259093683"/>
      <w:bookmarkStart w:id="874" w:name="_Toc487900364"/>
      <w:bookmarkStart w:id="875" w:name="_Ref467378121"/>
      <w:r>
        <w:rPr>
          <w:rFonts w:hint="eastAsia" w:ascii="宋体" w:hAnsi="宋体" w:eastAsia="宋体" w:cs="宋体"/>
          <w:b/>
          <w:color w:val="auto"/>
          <w:sz w:val="24"/>
        </w:rPr>
        <w:t>2.9 合同变更</w:t>
      </w:r>
      <w:bookmarkEnd w:id="860"/>
      <w:bookmarkEnd w:id="861"/>
      <w:bookmarkEnd w:id="862"/>
      <w:bookmarkEnd w:id="863"/>
      <w:bookmarkEnd w:id="864"/>
      <w:bookmarkEnd w:id="865"/>
      <w:bookmarkEnd w:id="866"/>
      <w:bookmarkEnd w:id="867"/>
      <w:bookmarkEnd w:id="868"/>
      <w:bookmarkEnd w:id="869"/>
      <w:bookmarkEnd w:id="870"/>
      <w:bookmarkEnd w:id="871"/>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2.9.2 合同继续履行将损害国家利益和社会公共利益的，双方当事人应当以书面形式变更合同。有过错的一方应当承担赔偿责任，双方当事人都有过错的，各自承担相应的责任。</w:t>
      </w:r>
      <w:bookmarkStart w:id="876" w:name="_Toc279701259"/>
      <w:bookmarkStart w:id="877" w:name="_Toc259093688"/>
      <w:bookmarkStart w:id="878" w:name="_Toc487900369"/>
    </w:p>
    <w:p>
      <w:pPr>
        <w:spacing w:line="400" w:lineRule="exact"/>
        <w:ind w:firstLine="482" w:firstLineChars="200"/>
        <w:outlineLvl w:val="1"/>
        <w:rPr>
          <w:rFonts w:hint="eastAsia" w:ascii="宋体" w:hAnsi="宋体" w:eastAsia="宋体" w:cs="宋体"/>
          <w:b/>
          <w:color w:val="auto"/>
          <w:sz w:val="24"/>
        </w:rPr>
      </w:pPr>
      <w:bookmarkStart w:id="879" w:name="_Toc4195"/>
      <w:bookmarkStart w:id="880" w:name="_Toc17116"/>
      <w:bookmarkStart w:id="881" w:name="_Toc14972"/>
      <w:bookmarkStart w:id="882" w:name="_Toc26689"/>
      <w:bookmarkStart w:id="883" w:name="_Toc6424"/>
      <w:bookmarkStart w:id="884" w:name="_Toc6143"/>
      <w:bookmarkStart w:id="885" w:name="_Toc30446"/>
      <w:bookmarkStart w:id="886" w:name="_Toc24271"/>
      <w:bookmarkStart w:id="887" w:name="_Toc23368"/>
      <w:bookmarkStart w:id="888" w:name="_Toc28640"/>
      <w:bookmarkStart w:id="889" w:name="_Toc18298"/>
      <w:bookmarkStart w:id="890" w:name="_Toc8222"/>
      <w:bookmarkStart w:id="891" w:name="_Toc25814"/>
      <w:bookmarkStart w:id="892" w:name="_Toc42"/>
      <w:bookmarkStart w:id="893" w:name="_Toc21830"/>
      <w:bookmarkStart w:id="894" w:name="_Toc10663"/>
      <w:r>
        <w:rPr>
          <w:rFonts w:hint="eastAsia" w:ascii="宋体" w:hAnsi="宋体" w:eastAsia="宋体" w:cs="宋体"/>
          <w:b/>
          <w:color w:val="auto"/>
          <w:sz w:val="24"/>
        </w:rPr>
        <w:t>2.10 合同转让</w:t>
      </w:r>
      <w:bookmarkEnd w:id="876"/>
      <w:bookmarkEnd w:id="877"/>
      <w:bookmarkEnd w:id="878"/>
      <w:r>
        <w:rPr>
          <w:rFonts w:hint="eastAsia" w:ascii="宋体" w:hAnsi="宋体" w:eastAsia="宋体" w:cs="宋体"/>
          <w:b/>
          <w:color w:val="auto"/>
          <w:sz w:val="24"/>
        </w:rPr>
        <w:t>和分包</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1"/>
        <w:rPr>
          <w:rFonts w:hint="eastAsia" w:ascii="宋体" w:hAnsi="宋体" w:eastAsia="宋体" w:cs="宋体"/>
          <w:b/>
          <w:color w:val="auto"/>
          <w:sz w:val="24"/>
        </w:rPr>
      </w:pPr>
      <w:bookmarkStart w:id="895" w:name="_Toc10912"/>
      <w:bookmarkStart w:id="896" w:name="_Toc32494"/>
      <w:bookmarkStart w:id="897" w:name="_Toc9462"/>
      <w:bookmarkStart w:id="898" w:name="_Toc23855"/>
      <w:bookmarkStart w:id="899" w:name="_Toc30847"/>
      <w:bookmarkStart w:id="900" w:name="_Toc25571"/>
      <w:bookmarkStart w:id="901" w:name="_Toc32622"/>
      <w:bookmarkStart w:id="902" w:name="_Toc15171"/>
      <w:bookmarkStart w:id="903" w:name="_Toc26633"/>
      <w:bookmarkStart w:id="904" w:name="_Toc4720"/>
      <w:bookmarkStart w:id="905" w:name="_Toc10203"/>
      <w:bookmarkStart w:id="906" w:name="_Toc24708"/>
      <w:bookmarkStart w:id="907" w:name="_Toc14371"/>
      <w:bookmarkStart w:id="908" w:name="_Toc31065"/>
      <w:bookmarkStart w:id="909" w:name="_Toc8431"/>
      <w:bookmarkStart w:id="910" w:name="_Toc9705"/>
      <w:r>
        <w:rPr>
          <w:rFonts w:hint="eastAsia" w:ascii="宋体" w:hAnsi="宋体" w:eastAsia="宋体" w:cs="宋体"/>
          <w:b/>
          <w:color w:val="auto"/>
          <w:sz w:val="24"/>
        </w:rPr>
        <w:t>2.11 不可抗力</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2.11.2 因不可抗力致使不能实现合同目的的，当事人可以解除合同；</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2.11.3 因不可抗力致使合同有变更必要的，双方当事人应在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约定时间内以书面形式变更合同；</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2.11.4受不可抗力影响的一方在不可抗力发生后，应在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约定时间内以书面形式通知对方当事人，并在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约定时间内，将有关部门出具的证明文件送达对方当事人。</w:t>
      </w:r>
    </w:p>
    <w:p>
      <w:pPr>
        <w:spacing w:line="400" w:lineRule="exact"/>
        <w:ind w:firstLine="482" w:firstLineChars="200"/>
        <w:outlineLvl w:val="1"/>
        <w:rPr>
          <w:rFonts w:hint="eastAsia" w:ascii="宋体" w:hAnsi="宋体" w:eastAsia="宋体" w:cs="宋体"/>
          <w:b/>
          <w:color w:val="auto"/>
          <w:sz w:val="24"/>
        </w:rPr>
      </w:pPr>
      <w:bookmarkStart w:id="911" w:name="_Toc259093684"/>
      <w:bookmarkStart w:id="912" w:name="_Toc14115"/>
      <w:bookmarkStart w:id="913" w:name="_Toc25783"/>
      <w:bookmarkStart w:id="914" w:name="_Toc32181"/>
      <w:bookmarkStart w:id="915" w:name="_Toc17127"/>
      <w:bookmarkStart w:id="916" w:name="_Toc279701255"/>
      <w:bookmarkStart w:id="917" w:name="_Toc6743"/>
      <w:bookmarkStart w:id="918" w:name="_Toc487900365"/>
      <w:bookmarkStart w:id="919" w:name="_Toc23373"/>
      <w:bookmarkStart w:id="920" w:name="_Toc24465"/>
      <w:bookmarkStart w:id="921" w:name="_Toc3156"/>
      <w:bookmarkStart w:id="922" w:name="_Toc15000"/>
      <w:bookmarkStart w:id="923" w:name="_Toc219"/>
      <w:bookmarkStart w:id="924" w:name="_Toc23854"/>
      <w:bookmarkStart w:id="925" w:name="_Toc12690"/>
      <w:bookmarkStart w:id="926" w:name="_Toc3638"/>
      <w:bookmarkStart w:id="927" w:name="_Toc1959"/>
      <w:bookmarkStart w:id="928" w:name="_Toc14370"/>
      <w:bookmarkStart w:id="929" w:name="_Toc11275"/>
      <w:r>
        <w:rPr>
          <w:rFonts w:hint="eastAsia" w:ascii="宋体" w:hAnsi="宋体" w:eastAsia="宋体" w:cs="宋体"/>
          <w:b/>
          <w:color w:val="auto"/>
          <w:sz w:val="24"/>
        </w:rPr>
        <w:t>2.12 税费</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与合同有关的一切税费，均按照中华人民共和国法律的相关规定缴纳。</w:t>
      </w:r>
    </w:p>
    <w:p>
      <w:pPr>
        <w:spacing w:line="400" w:lineRule="exact"/>
        <w:ind w:firstLine="482" w:firstLineChars="200"/>
        <w:outlineLvl w:val="1"/>
        <w:rPr>
          <w:rFonts w:hint="eastAsia" w:ascii="宋体" w:hAnsi="宋体" w:eastAsia="宋体" w:cs="宋体"/>
          <w:b/>
          <w:color w:val="auto"/>
          <w:sz w:val="24"/>
        </w:rPr>
      </w:pPr>
      <w:bookmarkStart w:id="930" w:name="_Toc487900368"/>
      <w:bookmarkStart w:id="931" w:name="_Toc12415"/>
      <w:bookmarkStart w:id="932" w:name="_Toc27492"/>
      <w:bookmarkStart w:id="933" w:name="_Toc24809"/>
      <w:bookmarkStart w:id="934" w:name="_Toc26883"/>
      <w:bookmarkStart w:id="935" w:name="_Toc279701258"/>
      <w:bookmarkStart w:id="936" w:name="_Toc4896"/>
      <w:bookmarkStart w:id="937" w:name="_Toc15966"/>
      <w:bookmarkStart w:id="938" w:name="_Toc19880"/>
      <w:bookmarkStart w:id="939" w:name="_Toc5894"/>
      <w:bookmarkStart w:id="940" w:name="_Toc7315"/>
      <w:bookmarkStart w:id="941" w:name="_Toc10398"/>
      <w:bookmarkStart w:id="942" w:name="_Toc25525"/>
      <w:bookmarkStart w:id="943" w:name="_Toc259093687"/>
      <w:bookmarkStart w:id="944" w:name="_Toc30105"/>
      <w:bookmarkStart w:id="945" w:name="_Toc31237"/>
      <w:bookmarkStart w:id="946" w:name="_Toc14814"/>
      <w:bookmarkStart w:id="947" w:name="_Toc3759"/>
      <w:bookmarkStart w:id="948" w:name="_Toc14494"/>
      <w:r>
        <w:rPr>
          <w:rFonts w:hint="eastAsia" w:ascii="宋体" w:hAnsi="宋体" w:eastAsia="宋体" w:cs="宋体"/>
          <w:b/>
          <w:color w:val="auto"/>
          <w:sz w:val="24"/>
        </w:rPr>
        <w:t>2.13 乙方破产</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1"/>
        <w:rPr>
          <w:rFonts w:hint="eastAsia" w:ascii="宋体" w:hAnsi="宋体" w:eastAsia="宋体" w:cs="宋体"/>
          <w:b/>
          <w:color w:val="auto"/>
          <w:sz w:val="24"/>
        </w:rPr>
      </w:pPr>
      <w:bookmarkStart w:id="949" w:name="_Toc2016"/>
      <w:bookmarkStart w:id="950" w:name="_Toc26320"/>
      <w:bookmarkStart w:id="951" w:name="_Toc1675"/>
      <w:bookmarkStart w:id="952" w:name="_Toc18650"/>
      <w:bookmarkStart w:id="953" w:name="_Toc8069"/>
      <w:bookmarkStart w:id="954" w:name="_Toc1123"/>
      <w:bookmarkStart w:id="955" w:name="_Toc13023"/>
      <w:bookmarkStart w:id="956" w:name="_Toc23323"/>
      <w:bookmarkStart w:id="957" w:name="_Toc4845"/>
      <w:bookmarkStart w:id="958" w:name="_Toc15650"/>
      <w:bookmarkStart w:id="959" w:name="_Toc6032"/>
      <w:bookmarkStart w:id="960" w:name="_Toc16867"/>
      <w:bookmarkStart w:id="961" w:name="_Toc31298"/>
      <w:bookmarkStart w:id="962" w:name="_Toc25092"/>
      <w:r>
        <w:rPr>
          <w:rFonts w:hint="eastAsia" w:ascii="宋体" w:hAnsi="宋体" w:eastAsia="宋体" w:cs="宋体"/>
          <w:b/>
          <w:color w:val="auto"/>
          <w:sz w:val="24"/>
        </w:rPr>
        <w:t>2.14 合同中止、终止</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2.14.1 双方当事人不得擅自中止或者终止合同；</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1"/>
        <w:rPr>
          <w:rFonts w:hint="eastAsia" w:ascii="宋体" w:hAnsi="宋体" w:eastAsia="宋体" w:cs="宋体"/>
          <w:b/>
          <w:color w:val="auto"/>
          <w:sz w:val="24"/>
        </w:rPr>
      </w:pPr>
      <w:bookmarkStart w:id="963" w:name="_Toc17363"/>
      <w:bookmarkStart w:id="964" w:name="_Toc16529"/>
      <w:bookmarkStart w:id="965" w:name="_Toc14653"/>
      <w:bookmarkStart w:id="966" w:name="_Toc295"/>
      <w:bookmarkStart w:id="967" w:name="_Toc25753"/>
      <w:bookmarkStart w:id="968" w:name="_Toc31348"/>
      <w:bookmarkStart w:id="969" w:name="_Toc25815"/>
      <w:bookmarkStart w:id="970" w:name="_Toc22475"/>
      <w:bookmarkStart w:id="971" w:name="_Toc30002"/>
      <w:bookmarkStart w:id="972" w:name="_Toc22355"/>
      <w:bookmarkStart w:id="973" w:name="_Toc12981"/>
      <w:bookmarkStart w:id="974" w:name="_Toc12473"/>
      <w:bookmarkStart w:id="975" w:name="_Toc14525"/>
      <w:bookmarkStart w:id="976" w:name="_Toc1969"/>
      <w:r>
        <w:rPr>
          <w:rFonts w:hint="eastAsia" w:ascii="宋体" w:hAnsi="宋体" w:eastAsia="宋体" w:cs="宋体"/>
          <w:b/>
          <w:color w:val="auto"/>
          <w:sz w:val="24"/>
        </w:rPr>
        <w:t>2.15 检验和验收</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tabs>
          <w:tab w:val="left" w:pos="360"/>
          <w:tab w:val="left" w:pos="540"/>
          <w:tab w:val="left" w:pos="1080"/>
        </w:tabs>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2.15.1 乙方按照</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的约定，定期提交服务报告，甲方按照</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的约定进行定期验收；</w:t>
      </w:r>
    </w:p>
    <w:p>
      <w:pPr>
        <w:tabs>
          <w:tab w:val="left" w:pos="360"/>
          <w:tab w:val="left" w:pos="540"/>
          <w:tab w:val="left" w:pos="1080"/>
        </w:tabs>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2.15.3 检验和验收标准、程序等具体内容以及前述验收书的效力详见</w:t>
      </w:r>
      <w:r>
        <w:rPr>
          <w:rFonts w:hint="eastAsia" w:ascii="宋体" w:hAnsi="宋体" w:eastAsia="宋体" w:cs="宋体"/>
          <w:b/>
          <w:i/>
          <w:color w:val="auto"/>
          <w:sz w:val="24"/>
          <w:u w:val="single"/>
        </w:rPr>
        <w:t>合同专用条款</w:t>
      </w:r>
      <w:r>
        <w:rPr>
          <w:rFonts w:hint="eastAsia" w:ascii="宋体" w:hAnsi="宋体" w:eastAsia="宋体" w:cs="宋体"/>
          <w:i/>
          <w:color w:val="auto"/>
          <w:sz w:val="24"/>
        </w:rPr>
        <w:t>。</w:t>
      </w:r>
    </w:p>
    <w:bookmarkEnd w:id="872"/>
    <w:bookmarkEnd w:id="873"/>
    <w:bookmarkEnd w:id="874"/>
    <w:bookmarkEnd w:id="875"/>
    <w:p>
      <w:pPr>
        <w:spacing w:line="400" w:lineRule="exact"/>
        <w:ind w:firstLine="482" w:firstLineChars="200"/>
        <w:outlineLvl w:val="1"/>
        <w:rPr>
          <w:rFonts w:hint="eastAsia" w:ascii="宋体" w:hAnsi="宋体" w:eastAsia="宋体" w:cs="宋体"/>
          <w:b/>
          <w:color w:val="auto"/>
          <w:sz w:val="24"/>
        </w:rPr>
      </w:pPr>
      <w:bookmarkStart w:id="977" w:name="_Toc487900371"/>
      <w:bookmarkStart w:id="978" w:name="_Toc279701261"/>
      <w:bookmarkStart w:id="979" w:name="_Toc259093690"/>
      <w:bookmarkStart w:id="980" w:name="_Toc22987"/>
      <w:bookmarkStart w:id="981" w:name="_Toc31892"/>
      <w:bookmarkStart w:id="982" w:name="_Toc6307"/>
      <w:bookmarkStart w:id="983" w:name="_Toc10525"/>
      <w:bookmarkStart w:id="984" w:name="_Toc29667"/>
      <w:bookmarkStart w:id="985" w:name="_Toc10819"/>
      <w:bookmarkStart w:id="986" w:name="_Toc13544"/>
      <w:bookmarkStart w:id="987" w:name="_Toc25198"/>
      <w:bookmarkStart w:id="988" w:name="_Toc9808"/>
      <w:bookmarkStart w:id="989" w:name="_Toc13486"/>
      <w:bookmarkStart w:id="990" w:name="_Toc26095"/>
      <w:bookmarkStart w:id="991" w:name="_Toc1691"/>
      <w:bookmarkStart w:id="992" w:name="_Toc166"/>
      <w:bookmarkStart w:id="993" w:name="_Toc2308"/>
      <w:bookmarkStart w:id="994" w:name="_Toc3309"/>
      <w:bookmarkStart w:id="995" w:name="_Toc12666"/>
      <w:r>
        <w:rPr>
          <w:rFonts w:hint="eastAsia" w:ascii="宋体" w:hAnsi="宋体" w:eastAsia="宋体" w:cs="宋体"/>
          <w:b/>
          <w:color w:val="auto"/>
          <w:sz w:val="24"/>
        </w:rPr>
        <w:t>2.16 通知</w:t>
      </w:r>
      <w:bookmarkEnd w:id="977"/>
      <w:bookmarkEnd w:id="978"/>
      <w:bookmarkEnd w:id="979"/>
      <w:r>
        <w:rPr>
          <w:rFonts w:hint="eastAsia" w:ascii="宋体" w:hAnsi="宋体" w:eastAsia="宋体" w:cs="宋体"/>
          <w:b/>
          <w:color w:val="auto"/>
          <w:sz w:val="24"/>
        </w:rPr>
        <w:t>和送达</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pPr>
        <w:spacing w:line="400" w:lineRule="exact"/>
        <w:ind w:firstLine="480" w:firstLineChars="200"/>
        <w:rPr>
          <w:rFonts w:hint="eastAsia" w:ascii="宋体" w:hAnsi="宋体" w:eastAsia="宋体" w:cs="宋体"/>
          <w:color w:val="auto"/>
          <w:sz w:val="24"/>
        </w:rPr>
      </w:pPr>
      <w:bookmarkStart w:id="996" w:name="_Toc7073"/>
      <w:bookmarkStart w:id="997" w:name="_Toc29220"/>
      <w:bookmarkStart w:id="998" w:name="_Toc259093691"/>
      <w:bookmarkStart w:id="999" w:name="_Toc279701262"/>
      <w:bookmarkStart w:id="1000" w:name="_Toc487900372"/>
      <w:r>
        <w:rPr>
          <w:rFonts w:hint="eastAsia" w:ascii="宋体" w:hAnsi="宋体" w:eastAsia="宋体" w:cs="宋体"/>
          <w:color w:val="auto"/>
          <w:sz w:val="24"/>
        </w:rPr>
        <w:t>2.16.1 任何一方因履行合同而以合同第一部分尾部所列明的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发出的所有通知、文件、材料，均视为已向对方当事人送达；任何一方变更上述送达方式或者地址的，应于</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个工作日内书面通知对方当事人，在对方当事人收到有关变更通知之前，变更前的约定送达方式或者地址仍视为有效。</w:t>
      </w:r>
      <w:bookmarkEnd w:id="996"/>
      <w:bookmarkEnd w:id="997"/>
    </w:p>
    <w:p>
      <w:pPr>
        <w:spacing w:line="400" w:lineRule="exact"/>
        <w:ind w:firstLine="480" w:firstLineChars="200"/>
        <w:rPr>
          <w:rFonts w:hint="eastAsia" w:ascii="宋体" w:hAnsi="宋体" w:eastAsia="宋体" w:cs="宋体"/>
          <w:color w:val="auto"/>
          <w:sz w:val="24"/>
        </w:rPr>
      </w:pPr>
      <w:bookmarkStart w:id="1001" w:name="_Toc27674"/>
      <w:bookmarkStart w:id="1002" w:name="_Toc18401"/>
      <w:r>
        <w:rPr>
          <w:rFonts w:hint="eastAsia" w:ascii="宋体" w:hAnsi="宋体" w:eastAsia="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001"/>
      <w:bookmarkEnd w:id="1002"/>
    </w:p>
    <w:bookmarkEnd w:id="998"/>
    <w:bookmarkEnd w:id="999"/>
    <w:bookmarkEnd w:id="1000"/>
    <w:p>
      <w:pPr>
        <w:spacing w:line="400" w:lineRule="exact"/>
        <w:ind w:firstLine="482" w:firstLineChars="200"/>
        <w:outlineLvl w:val="1"/>
        <w:rPr>
          <w:rFonts w:hint="eastAsia" w:ascii="宋体" w:hAnsi="宋体" w:eastAsia="宋体" w:cs="宋体"/>
          <w:b/>
          <w:color w:val="auto"/>
          <w:sz w:val="24"/>
        </w:rPr>
      </w:pPr>
      <w:bookmarkStart w:id="1003" w:name="_Toc18708"/>
      <w:bookmarkStart w:id="1004" w:name="_Toc10103"/>
      <w:bookmarkStart w:id="1005" w:name="_Toc12254"/>
      <w:bookmarkStart w:id="1006" w:name="_Toc13433"/>
      <w:bookmarkStart w:id="1007" w:name="_Toc18929"/>
      <w:bookmarkStart w:id="1008" w:name="_Toc1846"/>
      <w:bookmarkStart w:id="1009" w:name="_Toc27644"/>
      <w:bookmarkStart w:id="1010" w:name="_Toc16009"/>
      <w:bookmarkStart w:id="1011" w:name="_Toc279701263"/>
      <w:bookmarkStart w:id="1012" w:name="_Toc259093692"/>
      <w:bookmarkStart w:id="1013" w:name="_Toc5063"/>
      <w:bookmarkStart w:id="1014" w:name="_Toc18906"/>
      <w:bookmarkStart w:id="1015" w:name="_Toc31615"/>
      <w:bookmarkStart w:id="1016" w:name="_Toc20808"/>
      <w:bookmarkStart w:id="1017" w:name="_Toc556"/>
      <w:bookmarkStart w:id="1018" w:name="_Toc7739"/>
      <w:bookmarkStart w:id="1019" w:name="_Toc28906"/>
      <w:bookmarkStart w:id="1020" w:name="_Toc4407"/>
      <w:bookmarkStart w:id="1021" w:name="_Toc487900373"/>
      <w:r>
        <w:rPr>
          <w:rFonts w:hint="eastAsia" w:ascii="宋体" w:hAnsi="宋体" w:eastAsia="宋体" w:cs="宋体"/>
          <w:b/>
          <w:color w:val="auto"/>
          <w:sz w:val="24"/>
        </w:rPr>
        <w:t>2.17 合同使用的文字和适用的法律</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2.17.1 合同使用汉语书就、变更和解释；</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2.17.2 合同适用中华人民共和国法律。</w:t>
      </w:r>
    </w:p>
    <w:p>
      <w:pPr>
        <w:spacing w:line="400" w:lineRule="exact"/>
        <w:ind w:firstLine="482" w:firstLineChars="200"/>
        <w:outlineLvl w:val="1"/>
        <w:rPr>
          <w:rFonts w:hint="eastAsia" w:ascii="宋体" w:hAnsi="宋体" w:eastAsia="宋体" w:cs="宋体"/>
          <w:b/>
          <w:color w:val="auto"/>
          <w:sz w:val="24"/>
        </w:rPr>
      </w:pPr>
      <w:bookmarkStart w:id="1022" w:name="_Toc279701264"/>
      <w:bookmarkStart w:id="1023" w:name="_Toc18902"/>
      <w:bookmarkStart w:id="1024" w:name="_Toc1492"/>
      <w:bookmarkStart w:id="1025" w:name="_Toc20271"/>
      <w:bookmarkStart w:id="1026" w:name="_Toc15033"/>
      <w:bookmarkStart w:id="1027" w:name="_Toc22266"/>
      <w:bookmarkStart w:id="1028" w:name="_Toc32540"/>
      <w:bookmarkStart w:id="1029" w:name="_Toc7323"/>
      <w:bookmarkStart w:id="1030" w:name="_Toc27403"/>
      <w:bookmarkStart w:id="1031" w:name="_Toc27127"/>
      <w:bookmarkStart w:id="1032" w:name="_Toc259093693"/>
      <w:bookmarkStart w:id="1033" w:name="_Toc20559"/>
      <w:bookmarkStart w:id="1034" w:name="_Toc30312"/>
      <w:bookmarkStart w:id="1035" w:name="_Toc26691"/>
      <w:bookmarkStart w:id="1036" w:name="_Toc13680"/>
      <w:bookmarkStart w:id="1037" w:name="_Toc31884"/>
      <w:bookmarkStart w:id="1038" w:name="_Toc30096"/>
      <w:bookmarkStart w:id="1039" w:name="_Toc32512"/>
      <w:bookmarkStart w:id="1040" w:name="_Toc487900374"/>
      <w:r>
        <w:rPr>
          <w:rFonts w:hint="eastAsia" w:ascii="宋体" w:hAnsi="宋体" w:eastAsia="宋体" w:cs="宋体"/>
          <w:b/>
          <w:color w:val="auto"/>
          <w:sz w:val="24"/>
        </w:rPr>
        <w:t>2.18 履约保证金</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2.18.1 采购文件要求乙方提交履约保证金的，乙方应按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约定的方式，以支票、汇票、本票或者金融机构、担保机构出具的保函等非现金形式，提交不超过合同价10%的履约保证金；</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2.18.2 履约保证金在</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约定期间内不予退还或者应完全有效，前述约定期间届满之日起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个工作日内，甲方应将履约保证金退还乙方；</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40"/>
    <w:p>
      <w:pPr>
        <w:spacing w:line="400" w:lineRule="exact"/>
        <w:ind w:firstLine="482" w:firstLineChars="200"/>
        <w:outlineLvl w:val="1"/>
        <w:rPr>
          <w:rFonts w:hint="eastAsia" w:ascii="宋体" w:hAnsi="宋体" w:eastAsia="宋体" w:cs="宋体"/>
          <w:b/>
          <w:color w:val="auto"/>
          <w:sz w:val="24"/>
        </w:rPr>
      </w:pPr>
      <w:bookmarkStart w:id="1041" w:name="_Toc17313"/>
      <w:r>
        <w:rPr>
          <w:rFonts w:hint="eastAsia" w:ascii="宋体" w:hAnsi="宋体" w:eastAsia="宋体" w:cs="宋体"/>
          <w:b/>
          <w:color w:val="auto"/>
          <w:sz w:val="24"/>
        </w:rPr>
        <w:t>2.19 合同份数</w:t>
      </w:r>
      <w:bookmarkEnd w:id="1041"/>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合同份数按</w:t>
      </w:r>
      <w:r>
        <w:rPr>
          <w:rFonts w:hint="eastAsia" w:ascii="宋体" w:hAnsi="宋体" w:eastAsia="宋体" w:cs="宋体"/>
          <w:b/>
          <w:i/>
          <w:color w:val="auto"/>
          <w:sz w:val="24"/>
          <w:u w:val="single"/>
        </w:rPr>
        <w:t>合同专用条款</w:t>
      </w:r>
      <w:r>
        <w:rPr>
          <w:rFonts w:hint="eastAsia" w:ascii="宋体" w:hAnsi="宋体" w:eastAsia="宋体" w:cs="宋体"/>
          <w:color w:val="auto"/>
          <w:sz w:val="24"/>
        </w:rPr>
        <w:t>规定，每份均具有同等法律效力。</w:t>
      </w:r>
      <w:bookmarkStart w:id="1042" w:name="_Toc331685784"/>
    </w:p>
    <w:p>
      <w:pPr>
        <w:spacing w:line="400" w:lineRule="exact"/>
        <w:ind w:firstLine="422" w:firstLineChars="200"/>
        <w:outlineLvl w:val="0"/>
        <w:rPr>
          <w:rFonts w:hint="eastAsia" w:ascii="宋体" w:hAnsi="宋体" w:eastAsia="宋体" w:cs="宋体"/>
          <w:b/>
          <w:color w:val="auto"/>
          <w:szCs w:val="24"/>
        </w:rPr>
      </w:pPr>
      <w:bookmarkStart w:id="1043" w:name="_Toc7421"/>
      <w:bookmarkStart w:id="1044" w:name="_Toc29326"/>
      <w:bookmarkStart w:id="1045" w:name="_Toc6402"/>
      <w:r>
        <w:rPr>
          <w:rFonts w:hint="eastAsia" w:ascii="宋体" w:hAnsi="宋体" w:eastAsia="宋体" w:cs="宋体"/>
          <w:b/>
          <w:color w:val="auto"/>
          <w:szCs w:val="24"/>
        </w:rPr>
        <w:t>第三部分  合同专用条款</w:t>
      </w:r>
      <w:bookmarkEnd w:id="1042"/>
      <w:bookmarkEnd w:id="1043"/>
      <w:bookmarkEnd w:id="1044"/>
      <w:bookmarkEnd w:id="1045"/>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条款号</w:t>
            </w:r>
          </w:p>
        </w:tc>
        <w:tc>
          <w:tcPr>
            <w:tcW w:w="7633" w:type="dxa"/>
            <w:noWrap w:val="0"/>
            <w:vAlign w:val="center"/>
          </w:tcPr>
          <w:p>
            <w:pPr>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宋体" w:hAnsi="宋体" w:eastAsia="宋体" w:cs="宋体"/>
                <w:color w:val="auto"/>
                <w:sz w:val="24"/>
              </w:rPr>
            </w:pPr>
          </w:p>
        </w:tc>
        <w:tc>
          <w:tcPr>
            <w:tcW w:w="7633" w:type="dxa"/>
            <w:noWrap w:val="0"/>
            <w:vAlign w:val="center"/>
          </w:tcPr>
          <w:p>
            <w:pPr>
              <w:spacing w:line="400" w:lineRule="exact"/>
              <w:rPr>
                <w:rFonts w:hint="eastAsia" w:ascii="宋体" w:hAnsi="宋体" w:eastAsia="宋体" w:cs="宋体"/>
                <w:color w:val="auto"/>
                <w:sz w:val="24"/>
              </w:rPr>
            </w:pPr>
          </w:p>
        </w:tc>
      </w:tr>
    </w:tbl>
    <w:p>
      <w:pPr>
        <w:spacing w:after="156" w:line="400" w:lineRule="exact"/>
        <w:ind w:firstLine="480"/>
        <w:rPr>
          <w:rFonts w:hint="eastAsia" w:ascii="宋体" w:hAnsi="宋体" w:eastAsia="宋体" w:cs="宋体"/>
          <w:color w:val="auto"/>
        </w:rPr>
      </w:pPr>
    </w:p>
    <w:p>
      <w:pPr>
        <w:rPr>
          <w:rFonts w:hint="eastAsia" w:ascii="宋体" w:hAnsi="宋体" w:eastAsia="宋体" w:cs="宋体"/>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FF000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zJFsMBAACO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U/MkWwwEAAI4DAAAOAAAAAAAAAAEAIAAAAB4BAABkcnMvZTJvRG9jLnhtbFBL&#10;BQYAAAAABgAGAFkBAABTBQ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v:textbox>
            </v:shape>
          </w:pict>
        </mc:Fallback>
      </mc:AlternateContent>
    </w:r>
  </w:p>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FE68B"/>
    <w:multiLevelType w:val="singleLevel"/>
    <w:tmpl w:val="865FE68B"/>
    <w:lvl w:ilvl="0" w:tentative="0">
      <w:start w:val="1"/>
      <w:numFmt w:val="decimal"/>
      <w:suff w:val="nothing"/>
      <w:lvlText w:val="%1、"/>
      <w:lvlJc w:val="left"/>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155E6A8F"/>
    <w:multiLevelType w:val="multilevel"/>
    <w:tmpl w:val="155E6A8F"/>
    <w:lvl w:ilvl="0" w:tentative="0">
      <w:start w:val="1"/>
      <w:numFmt w:val="decimal"/>
      <w:lvlText w:val="（%1）"/>
      <w:lvlJc w:val="left"/>
      <w:pPr>
        <w:tabs>
          <w:tab w:val="left" w:pos="1571"/>
        </w:tabs>
        <w:ind w:left="157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1FC36654"/>
    <w:multiLevelType w:val="singleLevel"/>
    <w:tmpl w:val="1FC36654"/>
    <w:lvl w:ilvl="0" w:tentative="0">
      <w:start w:val="1"/>
      <w:numFmt w:val="chineseCounting"/>
      <w:suff w:val="nothing"/>
      <w:lvlText w:val="%1、"/>
      <w:lvlJc w:val="left"/>
      <w:rPr>
        <w:rFonts w:hint="eastAsia"/>
      </w:r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4186A749"/>
    <w:multiLevelType w:val="singleLevel"/>
    <w:tmpl w:val="4186A749"/>
    <w:lvl w:ilvl="0" w:tentative="0">
      <w:start w:val="8"/>
      <w:numFmt w:val="decimal"/>
      <w:suff w:val="nothing"/>
      <w:lvlText w:val="%1、"/>
      <w:lvlJc w:val="left"/>
    </w:lvl>
  </w:abstractNum>
  <w:abstractNum w:abstractNumId="7">
    <w:nsid w:val="48BFA080"/>
    <w:multiLevelType w:val="singleLevel"/>
    <w:tmpl w:val="48BFA080"/>
    <w:lvl w:ilvl="0" w:tentative="0">
      <w:start w:val="1"/>
      <w:numFmt w:val="decimal"/>
      <w:suff w:val="nothing"/>
      <w:lvlText w:val="（%1）"/>
      <w:lvlJc w:val="left"/>
    </w:lvl>
  </w:abstractNum>
  <w:abstractNum w:abstractNumId="8">
    <w:nsid w:val="5C580807"/>
    <w:multiLevelType w:val="singleLevel"/>
    <w:tmpl w:val="5C580807"/>
    <w:lvl w:ilvl="0" w:tentative="0">
      <w:start w:val="5"/>
      <w:numFmt w:val="chineseCounting"/>
      <w:suff w:val="space"/>
      <w:lvlText w:val="第%1章"/>
      <w:lvlJc w:val="left"/>
      <w:rPr>
        <w:rFonts w:hint="eastAsia"/>
      </w:rPr>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5"/>
  </w:num>
  <w:num w:numId="2">
    <w:abstractNumId w:val="9"/>
  </w:num>
  <w:num w:numId="3">
    <w:abstractNumId w:val="1"/>
  </w:num>
  <w:num w:numId="4">
    <w:abstractNumId w:val="3"/>
  </w:num>
  <w:num w:numId="5">
    <w:abstractNumId w:val="2"/>
  </w:num>
  <w:num w:numId="6">
    <w:abstractNumId w:val="7"/>
  </w:num>
  <w:num w:numId="7">
    <w:abstractNumId w:val="0"/>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zhjYzg5ZjhhOGIzYzYzNDFkOTMzZjczMTZkZjAifQ=="/>
  </w:docVars>
  <w:rsids>
    <w:rsidRoot w:val="42AD3D69"/>
    <w:rsid w:val="009962AD"/>
    <w:rsid w:val="00F24032"/>
    <w:rsid w:val="016B610B"/>
    <w:rsid w:val="01A05EF1"/>
    <w:rsid w:val="01E15621"/>
    <w:rsid w:val="02674B69"/>
    <w:rsid w:val="02877B63"/>
    <w:rsid w:val="02964AA0"/>
    <w:rsid w:val="02E573F8"/>
    <w:rsid w:val="02E66F74"/>
    <w:rsid w:val="036B23C2"/>
    <w:rsid w:val="038F4DB7"/>
    <w:rsid w:val="03A435A6"/>
    <w:rsid w:val="03C00933"/>
    <w:rsid w:val="041D5108"/>
    <w:rsid w:val="048836AA"/>
    <w:rsid w:val="048A4DAF"/>
    <w:rsid w:val="049C41A2"/>
    <w:rsid w:val="04B13632"/>
    <w:rsid w:val="04BA34FD"/>
    <w:rsid w:val="04DA1301"/>
    <w:rsid w:val="04DA34FE"/>
    <w:rsid w:val="05565929"/>
    <w:rsid w:val="065871FA"/>
    <w:rsid w:val="06C91DC3"/>
    <w:rsid w:val="06CF5C1F"/>
    <w:rsid w:val="06DD5ADE"/>
    <w:rsid w:val="071426AF"/>
    <w:rsid w:val="072A2CA6"/>
    <w:rsid w:val="07887F7B"/>
    <w:rsid w:val="07B92942"/>
    <w:rsid w:val="07DD5B36"/>
    <w:rsid w:val="081A2157"/>
    <w:rsid w:val="085F315A"/>
    <w:rsid w:val="08A03F97"/>
    <w:rsid w:val="08DA747A"/>
    <w:rsid w:val="0947339C"/>
    <w:rsid w:val="097E757C"/>
    <w:rsid w:val="09C50098"/>
    <w:rsid w:val="09FC1035"/>
    <w:rsid w:val="0A72656D"/>
    <w:rsid w:val="0A8E7A21"/>
    <w:rsid w:val="0A92658E"/>
    <w:rsid w:val="0AC65FB1"/>
    <w:rsid w:val="0B393D63"/>
    <w:rsid w:val="0B3D3627"/>
    <w:rsid w:val="0B42042F"/>
    <w:rsid w:val="0B650D0C"/>
    <w:rsid w:val="0BA77430"/>
    <w:rsid w:val="0C031724"/>
    <w:rsid w:val="0C236371"/>
    <w:rsid w:val="0C641578"/>
    <w:rsid w:val="0CC453BA"/>
    <w:rsid w:val="0CE74D03"/>
    <w:rsid w:val="0D292D6B"/>
    <w:rsid w:val="0D4B0766"/>
    <w:rsid w:val="0E1F03BA"/>
    <w:rsid w:val="0E230A3C"/>
    <w:rsid w:val="0F0769DB"/>
    <w:rsid w:val="0F0D011B"/>
    <w:rsid w:val="0F497D55"/>
    <w:rsid w:val="0F5A0425"/>
    <w:rsid w:val="0F6F5860"/>
    <w:rsid w:val="0F9211D1"/>
    <w:rsid w:val="0FC9388A"/>
    <w:rsid w:val="104A795C"/>
    <w:rsid w:val="10511217"/>
    <w:rsid w:val="10BD7DB0"/>
    <w:rsid w:val="10CE03BA"/>
    <w:rsid w:val="110935F8"/>
    <w:rsid w:val="112F3534"/>
    <w:rsid w:val="1186049B"/>
    <w:rsid w:val="11FA3F9F"/>
    <w:rsid w:val="126F7714"/>
    <w:rsid w:val="12853FB0"/>
    <w:rsid w:val="129C13EE"/>
    <w:rsid w:val="13BB3C50"/>
    <w:rsid w:val="13D450EE"/>
    <w:rsid w:val="13D76FEF"/>
    <w:rsid w:val="13EE6612"/>
    <w:rsid w:val="14064374"/>
    <w:rsid w:val="144E2F5B"/>
    <w:rsid w:val="147A3B4D"/>
    <w:rsid w:val="148B568F"/>
    <w:rsid w:val="149F77E2"/>
    <w:rsid w:val="14A72F02"/>
    <w:rsid w:val="14B64D39"/>
    <w:rsid w:val="14CB744B"/>
    <w:rsid w:val="15D7598C"/>
    <w:rsid w:val="15F46570"/>
    <w:rsid w:val="16B93296"/>
    <w:rsid w:val="16C721A0"/>
    <w:rsid w:val="17964E94"/>
    <w:rsid w:val="1817265B"/>
    <w:rsid w:val="18204449"/>
    <w:rsid w:val="18B00C6E"/>
    <w:rsid w:val="18D016F3"/>
    <w:rsid w:val="19C06A29"/>
    <w:rsid w:val="1A23464E"/>
    <w:rsid w:val="1A4902E8"/>
    <w:rsid w:val="1B793B73"/>
    <w:rsid w:val="1B882F3C"/>
    <w:rsid w:val="1BA645AC"/>
    <w:rsid w:val="1C7469FC"/>
    <w:rsid w:val="1C947B15"/>
    <w:rsid w:val="1CC55D5F"/>
    <w:rsid w:val="1CC96A79"/>
    <w:rsid w:val="1CE543B7"/>
    <w:rsid w:val="1D214F0A"/>
    <w:rsid w:val="1D460D4C"/>
    <w:rsid w:val="1D9616DD"/>
    <w:rsid w:val="1DEC0180"/>
    <w:rsid w:val="1F19407F"/>
    <w:rsid w:val="1F602B71"/>
    <w:rsid w:val="1F684B89"/>
    <w:rsid w:val="1FC54F3C"/>
    <w:rsid w:val="1FD355D3"/>
    <w:rsid w:val="1FD43E5F"/>
    <w:rsid w:val="202947C2"/>
    <w:rsid w:val="206A45EF"/>
    <w:rsid w:val="209422EE"/>
    <w:rsid w:val="20CD7CC7"/>
    <w:rsid w:val="21017902"/>
    <w:rsid w:val="211203C4"/>
    <w:rsid w:val="211B3A99"/>
    <w:rsid w:val="215B7FBB"/>
    <w:rsid w:val="21A43EAC"/>
    <w:rsid w:val="21BD079E"/>
    <w:rsid w:val="221048F4"/>
    <w:rsid w:val="22942930"/>
    <w:rsid w:val="229A68D5"/>
    <w:rsid w:val="22D61C1B"/>
    <w:rsid w:val="22F13545"/>
    <w:rsid w:val="23517A14"/>
    <w:rsid w:val="23A453D1"/>
    <w:rsid w:val="23C95B0E"/>
    <w:rsid w:val="240539E4"/>
    <w:rsid w:val="241A4F58"/>
    <w:rsid w:val="25197DB2"/>
    <w:rsid w:val="25AB0F3F"/>
    <w:rsid w:val="25D45B7A"/>
    <w:rsid w:val="26931297"/>
    <w:rsid w:val="26C53CDE"/>
    <w:rsid w:val="26EF38ED"/>
    <w:rsid w:val="26F62D04"/>
    <w:rsid w:val="26FC0988"/>
    <w:rsid w:val="274500CC"/>
    <w:rsid w:val="28755CCF"/>
    <w:rsid w:val="28802AED"/>
    <w:rsid w:val="28927D55"/>
    <w:rsid w:val="28D2007C"/>
    <w:rsid w:val="292003F2"/>
    <w:rsid w:val="293B63EA"/>
    <w:rsid w:val="29556680"/>
    <w:rsid w:val="29882BBD"/>
    <w:rsid w:val="29A45160"/>
    <w:rsid w:val="29C37C52"/>
    <w:rsid w:val="29C663D3"/>
    <w:rsid w:val="2A0127C2"/>
    <w:rsid w:val="2A466044"/>
    <w:rsid w:val="2A56459A"/>
    <w:rsid w:val="2A66182C"/>
    <w:rsid w:val="2A8E14F5"/>
    <w:rsid w:val="2A916130"/>
    <w:rsid w:val="2AFB58BE"/>
    <w:rsid w:val="2B0522B5"/>
    <w:rsid w:val="2BB676CE"/>
    <w:rsid w:val="2C294D60"/>
    <w:rsid w:val="2C696754"/>
    <w:rsid w:val="2C9B12E5"/>
    <w:rsid w:val="2CA45348"/>
    <w:rsid w:val="2CBC10BC"/>
    <w:rsid w:val="2CC97A35"/>
    <w:rsid w:val="2D105867"/>
    <w:rsid w:val="2D1E3ACC"/>
    <w:rsid w:val="2D4F58EB"/>
    <w:rsid w:val="2D53133D"/>
    <w:rsid w:val="2DB50CB4"/>
    <w:rsid w:val="2DD41BE2"/>
    <w:rsid w:val="2E122F5C"/>
    <w:rsid w:val="2E6D7D4A"/>
    <w:rsid w:val="2E782125"/>
    <w:rsid w:val="2F3073A2"/>
    <w:rsid w:val="2F767BE0"/>
    <w:rsid w:val="2F795845"/>
    <w:rsid w:val="2F9503A9"/>
    <w:rsid w:val="2FAA27FE"/>
    <w:rsid w:val="2FFF2ACE"/>
    <w:rsid w:val="30AC0CDB"/>
    <w:rsid w:val="31210A01"/>
    <w:rsid w:val="31492B13"/>
    <w:rsid w:val="320C1F27"/>
    <w:rsid w:val="32337C6B"/>
    <w:rsid w:val="32353E64"/>
    <w:rsid w:val="324E33EF"/>
    <w:rsid w:val="33B66A43"/>
    <w:rsid w:val="33C91A53"/>
    <w:rsid w:val="33D62515"/>
    <w:rsid w:val="33E27D14"/>
    <w:rsid w:val="33FC60C5"/>
    <w:rsid w:val="34522F76"/>
    <w:rsid w:val="34783630"/>
    <w:rsid w:val="351E210B"/>
    <w:rsid w:val="352258B4"/>
    <w:rsid w:val="35512178"/>
    <w:rsid w:val="35E75E64"/>
    <w:rsid w:val="36151BC8"/>
    <w:rsid w:val="36623A3A"/>
    <w:rsid w:val="36876487"/>
    <w:rsid w:val="36CD7D5C"/>
    <w:rsid w:val="36E637FB"/>
    <w:rsid w:val="37220F38"/>
    <w:rsid w:val="377A1824"/>
    <w:rsid w:val="379C19AA"/>
    <w:rsid w:val="37C9571F"/>
    <w:rsid w:val="37D5164D"/>
    <w:rsid w:val="381D7B77"/>
    <w:rsid w:val="382E5720"/>
    <w:rsid w:val="38C75D75"/>
    <w:rsid w:val="39A9310D"/>
    <w:rsid w:val="39F62842"/>
    <w:rsid w:val="3A4D2336"/>
    <w:rsid w:val="3A535679"/>
    <w:rsid w:val="3A6D7FD9"/>
    <w:rsid w:val="3A723E58"/>
    <w:rsid w:val="3A7703AA"/>
    <w:rsid w:val="3A7E3172"/>
    <w:rsid w:val="3AC1538B"/>
    <w:rsid w:val="3ADD47A6"/>
    <w:rsid w:val="3B6B1CDD"/>
    <w:rsid w:val="3BE57352"/>
    <w:rsid w:val="3CDD4090"/>
    <w:rsid w:val="3D1F5E8B"/>
    <w:rsid w:val="3D3F3D43"/>
    <w:rsid w:val="3D431558"/>
    <w:rsid w:val="3D7F319F"/>
    <w:rsid w:val="3DCB385D"/>
    <w:rsid w:val="3E025203"/>
    <w:rsid w:val="3EB940EB"/>
    <w:rsid w:val="3F112648"/>
    <w:rsid w:val="3F871112"/>
    <w:rsid w:val="40687EC1"/>
    <w:rsid w:val="40956614"/>
    <w:rsid w:val="413B7605"/>
    <w:rsid w:val="414A44CC"/>
    <w:rsid w:val="414F6747"/>
    <w:rsid w:val="41980304"/>
    <w:rsid w:val="41C9275F"/>
    <w:rsid w:val="41F23E87"/>
    <w:rsid w:val="42167A9F"/>
    <w:rsid w:val="421745AC"/>
    <w:rsid w:val="42431466"/>
    <w:rsid w:val="42940609"/>
    <w:rsid w:val="42AD3D69"/>
    <w:rsid w:val="42AD5CF8"/>
    <w:rsid w:val="43137C62"/>
    <w:rsid w:val="43681831"/>
    <w:rsid w:val="43683E4D"/>
    <w:rsid w:val="439648C4"/>
    <w:rsid w:val="439B3FB1"/>
    <w:rsid w:val="442864A7"/>
    <w:rsid w:val="444C00E0"/>
    <w:rsid w:val="44920E59"/>
    <w:rsid w:val="44EA4997"/>
    <w:rsid w:val="44FA102E"/>
    <w:rsid w:val="45357B80"/>
    <w:rsid w:val="45562557"/>
    <w:rsid w:val="4588024F"/>
    <w:rsid w:val="45EF5026"/>
    <w:rsid w:val="468C06DE"/>
    <w:rsid w:val="46A008A7"/>
    <w:rsid w:val="46FC3E79"/>
    <w:rsid w:val="476245FD"/>
    <w:rsid w:val="479F5784"/>
    <w:rsid w:val="47C83930"/>
    <w:rsid w:val="47CA2474"/>
    <w:rsid w:val="48132B17"/>
    <w:rsid w:val="488B4F51"/>
    <w:rsid w:val="495B3D54"/>
    <w:rsid w:val="49A02ED2"/>
    <w:rsid w:val="49B43ABA"/>
    <w:rsid w:val="49C72959"/>
    <w:rsid w:val="49E517E7"/>
    <w:rsid w:val="4A383249"/>
    <w:rsid w:val="4AD43198"/>
    <w:rsid w:val="4B9F0EEC"/>
    <w:rsid w:val="4BB127B9"/>
    <w:rsid w:val="4BBE2935"/>
    <w:rsid w:val="4CB14543"/>
    <w:rsid w:val="4D1D1345"/>
    <w:rsid w:val="4D2B055C"/>
    <w:rsid w:val="4D944FD9"/>
    <w:rsid w:val="4E513F07"/>
    <w:rsid w:val="4E5D03BC"/>
    <w:rsid w:val="4E911231"/>
    <w:rsid w:val="4EC53EA0"/>
    <w:rsid w:val="4ED924CA"/>
    <w:rsid w:val="4EEE4EC9"/>
    <w:rsid w:val="4F470A76"/>
    <w:rsid w:val="500C225D"/>
    <w:rsid w:val="501232BD"/>
    <w:rsid w:val="501C550D"/>
    <w:rsid w:val="509F1FBC"/>
    <w:rsid w:val="50BE7128"/>
    <w:rsid w:val="51183177"/>
    <w:rsid w:val="516C4AA2"/>
    <w:rsid w:val="516C6D8F"/>
    <w:rsid w:val="518B1C76"/>
    <w:rsid w:val="51B74A17"/>
    <w:rsid w:val="51D963EB"/>
    <w:rsid w:val="525C7AFA"/>
    <w:rsid w:val="5284286B"/>
    <w:rsid w:val="52C077E0"/>
    <w:rsid w:val="531B187F"/>
    <w:rsid w:val="5345660E"/>
    <w:rsid w:val="53A901E4"/>
    <w:rsid w:val="53C059E1"/>
    <w:rsid w:val="55027715"/>
    <w:rsid w:val="551A43EE"/>
    <w:rsid w:val="556B01AD"/>
    <w:rsid w:val="55923A51"/>
    <w:rsid w:val="559B075C"/>
    <w:rsid w:val="55B37118"/>
    <w:rsid w:val="55BC062A"/>
    <w:rsid w:val="55FB292B"/>
    <w:rsid w:val="562601F2"/>
    <w:rsid w:val="56543ABB"/>
    <w:rsid w:val="56803AE0"/>
    <w:rsid w:val="56CB2389"/>
    <w:rsid w:val="578F7719"/>
    <w:rsid w:val="57FD063E"/>
    <w:rsid w:val="58123903"/>
    <w:rsid w:val="58697A86"/>
    <w:rsid w:val="589C02CC"/>
    <w:rsid w:val="58AE7F66"/>
    <w:rsid w:val="594F6D04"/>
    <w:rsid w:val="598F728F"/>
    <w:rsid w:val="5A4E7398"/>
    <w:rsid w:val="5A512AA2"/>
    <w:rsid w:val="5A5D5726"/>
    <w:rsid w:val="5B1713A2"/>
    <w:rsid w:val="5C1F7F74"/>
    <w:rsid w:val="5C2A1CBD"/>
    <w:rsid w:val="5CD53EC0"/>
    <w:rsid w:val="5CDF6D98"/>
    <w:rsid w:val="5D225163"/>
    <w:rsid w:val="5D2C3ED9"/>
    <w:rsid w:val="5DF455D1"/>
    <w:rsid w:val="5F7B274B"/>
    <w:rsid w:val="603F737C"/>
    <w:rsid w:val="604262B4"/>
    <w:rsid w:val="60427028"/>
    <w:rsid w:val="606B64BE"/>
    <w:rsid w:val="610A06FE"/>
    <w:rsid w:val="611638CD"/>
    <w:rsid w:val="611813A6"/>
    <w:rsid w:val="61204735"/>
    <w:rsid w:val="61342DDB"/>
    <w:rsid w:val="613F7712"/>
    <w:rsid w:val="62C84D44"/>
    <w:rsid w:val="632F7FC1"/>
    <w:rsid w:val="64194F0E"/>
    <w:rsid w:val="642B7F63"/>
    <w:rsid w:val="64864600"/>
    <w:rsid w:val="65F64447"/>
    <w:rsid w:val="66237B91"/>
    <w:rsid w:val="663663F2"/>
    <w:rsid w:val="669004F3"/>
    <w:rsid w:val="67916189"/>
    <w:rsid w:val="67EC18C6"/>
    <w:rsid w:val="688778D3"/>
    <w:rsid w:val="68B072C2"/>
    <w:rsid w:val="68D67C21"/>
    <w:rsid w:val="68E77006"/>
    <w:rsid w:val="690F3E79"/>
    <w:rsid w:val="694A2E62"/>
    <w:rsid w:val="695B1BB0"/>
    <w:rsid w:val="69A75565"/>
    <w:rsid w:val="69DB2C81"/>
    <w:rsid w:val="6A3C575A"/>
    <w:rsid w:val="6A7B1377"/>
    <w:rsid w:val="6A8E72B2"/>
    <w:rsid w:val="6AB10C61"/>
    <w:rsid w:val="6AC44211"/>
    <w:rsid w:val="6B0633E8"/>
    <w:rsid w:val="6B11223C"/>
    <w:rsid w:val="6BA361E0"/>
    <w:rsid w:val="6BE81CC1"/>
    <w:rsid w:val="6C544935"/>
    <w:rsid w:val="6CCB1727"/>
    <w:rsid w:val="6CFF5B49"/>
    <w:rsid w:val="6D280DDA"/>
    <w:rsid w:val="6D290526"/>
    <w:rsid w:val="6D9B4A4A"/>
    <w:rsid w:val="6E5530FD"/>
    <w:rsid w:val="6E7401F0"/>
    <w:rsid w:val="6ECC13D1"/>
    <w:rsid w:val="6F0F0AF5"/>
    <w:rsid w:val="6F754E90"/>
    <w:rsid w:val="6F9B193C"/>
    <w:rsid w:val="6FA42810"/>
    <w:rsid w:val="701A3215"/>
    <w:rsid w:val="70B74BA3"/>
    <w:rsid w:val="70D43791"/>
    <w:rsid w:val="726736CE"/>
    <w:rsid w:val="726B196F"/>
    <w:rsid w:val="72850ECC"/>
    <w:rsid w:val="72C7509F"/>
    <w:rsid w:val="73600FE4"/>
    <w:rsid w:val="73AE52A7"/>
    <w:rsid w:val="73DB5143"/>
    <w:rsid w:val="73DB61FF"/>
    <w:rsid w:val="74210EE3"/>
    <w:rsid w:val="748746F5"/>
    <w:rsid w:val="74893672"/>
    <w:rsid w:val="74A34235"/>
    <w:rsid w:val="74BD7B61"/>
    <w:rsid w:val="74EB735B"/>
    <w:rsid w:val="75715B69"/>
    <w:rsid w:val="75D61490"/>
    <w:rsid w:val="76C7728E"/>
    <w:rsid w:val="76EE3DE7"/>
    <w:rsid w:val="776453FE"/>
    <w:rsid w:val="77CA5BD0"/>
    <w:rsid w:val="795759A9"/>
    <w:rsid w:val="79A63F26"/>
    <w:rsid w:val="79A6483B"/>
    <w:rsid w:val="79AC026F"/>
    <w:rsid w:val="79D21471"/>
    <w:rsid w:val="7A173F28"/>
    <w:rsid w:val="7A213C26"/>
    <w:rsid w:val="7A4565F1"/>
    <w:rsid w:val="7A4A4077"/>
    <w:rsid w:val="7A8B2C3D"/>
    <w:rsid w:val="7A8D51B8"/>
    <w:rsid w:val="7A8D53CC"/>
    <w:rsid w:val="7A9675F8"/>
    <w:rsid w:val="7AAB6240"/>
    <w:rsid w:val="7B0B72F2"/>
    <w:rsid w:val="7B6810A5"/>
    <w:rsid w:val="7B6E340E"/>
    <w:rsid w:val="7B711EFD"/>
    <w:rsid w:val="7B8C1D86"/>
    <w:rsid w:val="7C217021"/>
    <w:rsid w:val="7C414FA2"/>
    <w:rsid w:val="7C8D7976"/>
    <w:rsid w:val="7CB45C91"/>
    <w:rsid w:val="7D19049F"/>
    <w:rsid w:val="7D267317"/>
    <w:rsid w:val="7D9406AA"/>
    <w:rsid w:val="7DF778A1"/>
    <w:rsid w:val="7DFA69C8"/>
    <w:rsid w:val="7E235299"/>
    <w:rsid w:val="7E431CF0"/>
    <w:rsid w:val="7E580603"/>
    <w:rsid w:val="7ED8038F"/>
    <w:rsid w:val="7F5B022A"/>
    <w:rsid w:val="7FC31C00"/>
    <w:rsid w:val="7FF0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7">
    <w:name w:val="annotation text"/>
    <w:basedOn w:val="1"/>
    <w:qFormat/>
    <w:uiPriority w:val="0"/>
    <w:pPr>
      <w:jc w:val="left"/>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toc 3"/>
    <w:basedOn w:val="1"/>
    <w:next w:val="1"/>
    <w:qFormat/>
    <w:uiPriority w:val="39"/>
    <w:pPr>
      <w:tabs>
        <w:tab w:val="left" w:pos="1260"/>
        <w:tab w:val="right" w:leader="dot" w:pos="8630"/>
      </w:tabs>
      <w:ind w:left="840" w:leftChars="4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List"/>
    <w:basedOn w:val="1"/>
    <w:qFormat/>
    <w:uiPriority w:val="99"/>
    <w:pPr>
      <w:spacing w:beforeLines="100" w:line="360" w:lineRule="auto"/>
      <w:jc w:val="center"/>
    </w:pPr>
    <w:rPr>
      <w:rFonts w:ascii="宋体" w:hAnsi="宋体"/>
      <w:b/>
      <w:sz w:val="28"/>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39"/>
    <w:pPr>
      <w:ind w:left="420" w:leftChars="200"/>
    </w:pPr>
  </w:style>
  <w:style w:type="paragraph" w:styleId="18">
    <w:name w:val="Normal (Web)"/>
    <w:basedOn w:val="1"/>
    <w:next w:val="19"/>
    <w:unhideWhenUsed/>
    <w:qFormat/>
    <w:uiPriority w:val="99"/>
    <w:rPr>
      <w:sz w:val="24"/>
    </w:rPr>
  </w:style>
  <w:style w:type="paragraph" w:customStyle="1" w:styleId="1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0">
    <w:name w:val="Body Text First Indent 2"/>
    <w:basedOn w:val="9"/>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HTML Sample"/>
    <w:basedOn w:val="23"/>
    <w:qFormat/>
    <w:uiPriority w:val="0"/>
    <w:rPr>
      <w:rFonts w:ascii="Courier New" w:hAnsi="Courier New"/>
    </w:rPr>
  </w:style>
  <w:style w:type="paragraph" w:customStyle="1" w:styleId="2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列出段落1"/>
    <w:basedOn w:val="1"/>
    <w:qFormat/>
    <w:uiPriority w:val="34"/>
    <w:pPr>
      <w:widowControl/>
      <w:ind w:firstLine="420" w:firstLineChars="200"/>
      <w:jc w:val="left"/>
    </w:pPr>
    <w:rPr>
      <w:kern w:val="0"/>
      <w:sz w:val="24"/>
    </w:rPr>
  </w:style>
  <w:style w:type="paragraph" w:customStyle="1" w:styleId="30">
    <w:name w:val="图例"/>
    <w:basedOn w:val="1"/>
    <w:qFormat/>
    <w:uiPriority w:val="0"/>
    <w:pPr>
      <w:spacing w:before="120" w:after="120" w:line="360" w:lineRule="auto"/>
      <w:jc w:val="center"/>
    </w:pPr>
    <w:rPr>
      <w:rFonts w:eastAsia="仿宋_GB2312"/>
      <w:b/>
      <w:sz w:val="24"/>
    </w:rPr>
  </w:style>
  <w:style w:type="paragraph" w:customStyle="1" w:styleId="3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2">
    <w:name w:val="索引 11"/>
    <w:basedOn w:val="1"/>
    <w:next w:val="1"/>
    <w:qFormat/>
    <w:uiPriority w:val="0"/>
    <w:pPr>
      <w:spacing w:line="360" w:lineRule="auto"/>
    </w:pPr>
    <w:rPr>
      <w:rFonts w:ascii="仿宋_GB2312" w:eastAsia="仿宋_GB2312"/>
      <w:sz w:val="24"/>
      <w:szCs w:val="20"/>
    </w:rPr>
  </w:style>
  <w:style w:type="paragraph" w:customStyle="1" w:styleId="33">
    <w:name w:val="纯文本1"/>
    <w:basedOn w:val="1"/>
    <w:qFormat/>
    <w:uiPriority w:val="0"/>
    <w:rPr>
      <w:rFonts w:ascii="宋体" w:hAnsi="Courier New"/>
      <w:kern w:val="0"/>
      <w:sz w:val="20"/>
      <w:szCs w:val="20"/>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WPSOffice手动目录 2"/>
    <w:qFormat/>
    <w:uiPriority w:val="0"/>
    <w:pPr>
      <w:ind w:leftChars="200"/>
    </w:pPr>
    <w:rPr>
      <w:rFonts w:asciiTheme="minorHAnsi" w:hAnsiTheme="minorHAnsi" w:eastAsiaTheme="minorEastAsia" w:cstheme="minorBidi"/>
      <w:sz w:val="20"/>
      <w:szCs w:val="20"/>
    </w:rPr>
  </w:style>
  <w:style w:type="paragraph" w:customStyle="1" w:styleId="3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font101"/>
    <w:basedOn w:val="23"/>
    <w:qFormat/>
    <w:uiPriority w:val="0"/>
    <w:rPr>
      <w:rFonts w:hint="default" w:ascii="方正小标宋简体" w:hAnsi="方正小标宋简体" w:eastAsia="方正小标宋简体" w:cs="方正小标宋简体"/>
      <w:color w:val="000000"/>
      <w:sz w:val="12"/>
      <w:szCs w:val="12"/>
      <w:u w:val="none"/>
      <w:vertAlign w:val="superscript"/>
    </w:rPr>
  </w:style>
  <w:style w:type="character" w:customStyle="1" w:styleId="38">
    <w:name w:val="font112"/>
    <w:basedOn w:val="23"/>
    <w:qFormat/>
    <w:uiPriority w:val="0"/>
    <w:rPr>
      <w:rFonts w:hint="default" w:ascii="方正小标宋简体" w:hAnsi="方正小标宋简体" w:eastAsia="方正小标宋简体" w:cs="方正小标宋简体"/>
      <w:color w:val="000000"/>
      <w:sz w:val="18"/>
      <w:szCs w:val="18"/>
      <w:u w:val="none"/>
      <w:vertAlign w:val="superscript"/>
    </w:rPr>
  </w:style>
  <w:style w:type="character" w:customStyle="1" w:styleId="39">
    <w:name w:val="font01"/>
    <w:basedOn w:val="23"/>
    <w:qFormat/>
    <w:uiPriority w:val="0"/>
    <w:rPr>
      <w:rFonts w:hint="default" w:ascii="方正小标宋简体" w:hAnsi="方正小标宋简体" w:eastAsia="方正小标宋简体" w:cs="方正小标宋简体"/>
      <w:color w:val="000000"/>
      <w:sz w:val="18"/>
      <w:szCs w:val="18"/>
      <w:u w:val="none"/>
    </w:rPr>
  </w:style>
  <w:style w:type="character" w:customStyle="1" w:styleId="40">
    <w:name w:val="font121"/>
    <w:basedOn w:val="23"/>
    <w:qFormat/>
    <w:uiPriority w:val="0"/>
    <w:rPr>
      <w:rFonts w:hint="default" w:ascii="方正小标宋简体" w:hAnsi="方正小标宋简体" w:eastAsia="方正小标宋简体" w:cs="方正小标宋简体"/>
      <w:color w:val="000000"/>
      <w:sz w:val="12"/>
      <w:szCs w:val="12"/>
      <w:u w:val="none"/>
    </w:rPr>
  </w:style>
  <w:style w:type="character" w:customStyle="1" w:styleId="41">
    <w:name w:val="font122"/>
    <w:basedOn w:val="23"/>
    <w:qFormat/>
    <w:uiPriority w:val="0"/>
    <w:rPr>
      <w:rFonts w:hint="default" w:ascii="方正仿宋_GB2312" w:hAnsi="方正仿宋_GB2312" w:eastAsia="方正仿宋_GB2312" w:cs="方正仿宋_GB2312"/>
      <w:color w:val="000000"/>
      <w:sz w:val="20"/>
      <w:szCs w:val="20"/>
      <w:u w:val="none"/>
    </w:rPr>
  </w:style>
  <w:style w:type="character" w:customStyle="1" w:styleId="42">
    <w:name w:val="font161"/>
    <w:basedOn w:val="23"/>
    <w:qFormat/>
    <w:uiPriority w:val="0"/>
    <w:rPr>
      <w:rFonts w:hint="default" w:ascii="方正仿宋_GB2312" w:hAnsi="方正仿宋_GB2312" w:eastAsia="方正仿宋_GB2312" w:cs="方正仿宋_GB2312"/>
      <w:color w:val="000000"/>
      <w:sz w:val="20"/>
      <w:szCs w:val="20"/>
      <w:u w:val="none"/>
      <w:vertAlign w:val="subscript"/>
    </w:rPr>
  </w:style>
  <w:style w:type="character" w:customStyle="1" w:styleId="43">
    <w:name w:val="font171"/>
    <w:basedOn w:val="23"/>
    <w:qFormat/>
    <w:uiPriority w:val="0"/>
    <w:rPr>
      <w:rFonts w:hint="default" w:ascii="方正小标宋简体" w:hAnsi="方正小标宋简体" w:eastAsia="方正小标宋简体" w:cs="方正小标宋简体"/>
      <w:color w:val="000000"/>
      <w:sz w:val="12"/>
      <w:szCs w:val="12"/>
      <w:u w:val="none"/>
      <w:vertAlign w:val="superscript"/>
    </w:rPr>
  </w:style>
  <w:style w:type="character" w:customStyle="1" w:styleId="44">
    <w:name w:val="font181"/>
    <w:basedOn w:val="23"/>
    <w:qFormat/>
    <w:uiPriority w:val="0"/>
    <w:rPr>
      <w:rFonts w:hint="default" w:ascii="方正小标宋简体" w:hAnsi="方正小标宋简体" w:eastAsia="方正小标宋简体" w:cs="方正小标宋简体"/>
      <w:color w:val="000000"/>
      <w:sz w:val="18"/>
      <w:szCs w:val="18"/>
      <w:u w:val="none"/>
      <w:vertAlign w:val="superscript"/>
    </w:rPr>
  </w:style>
  <w:style w:type="character" w:customStyle="1" w:styleId="45">
    <w:name w:val="font131"/>
    <w:basedOn w:val="23"/>
    <w:qFormat/>
    <w:uiPriority w:val="0"/>
    <w:rPr>
      <w:rFonts w:hint="default" w:ascii="方正小标宋简体" w:hAnsi="方正小标宋简体" w:eastAsia="方正小标宋简体" w:cs="方正小标宋简体"/>
      <w:color w:val="000000"/>
      <w:sz w:val="18"/>
      <w:szCs w:val="18"/>
      <w:u w:val="none"/>
    </w:rPr>
  </w:style>
  <w:style w:type="character" w:customStyle="1" w:styleId="46">
    <w:name w:val="font191"/>
    <w:basedOn w:val="23"/>
    <w:qFormat/>
    <w:uiPriority w:val="0"/>
    <w:rPr>
      <w:rFonts w:hint="default" w:ascii="方正小标宋简体" w:hAnsi="方正小标宋简体" w:eastAsia="方正小标宋简体" w:cs="方正小标宋简体"/>
      <w:color w:val="000000"/>
      <w:sz w:val="12"/>
      <w:szCs w:val="12"/>
      <w:u w:val="none"/>
    </w:rPr>
  </w:style>
  <w:style w:type="paragraph" w:customStyle="1" w:styleId="47">
    <w:name w:val="正文段"/>
    <w:basedOn w:val="1"/>
    <w:qFormat/>
    <w:uiPriority w:val="0"/>
    <w:pPr>
      <w:widowControl/>
      <w:snapToGrid w:val="0"/>
      <w:spacing w:afterLines="50"/>
      <w:ind w:firstLine="200" w:firstLineChars="200"/>
    </w:pPr>
    <w:rPr>
      <w:kern w:val="0"/>
      <w:sz w:val="24"/>
    </w:rPr>
  </w:style>
  <w:style w:type="character" w:customStyle="1" w:styleId="48">
    <w:name w:val="font91"/>
    <w:basedOn w:val="23"/>
    <w:qFormat/>
    <w:uiPriority w:val="0"/>
    <w:rPr>
      <w:rFonts w:hint="eastAsia" w:ascii="宋体" w:hAnsi="宋体" w:eastAsia="宋体" w:cs="宋体"/>
      <w:color w:val="000000"/>
      <w:sz w:val="20"/>
      <w:szCs w:val="20"/>
      <w:u w:val="none"/>
      <w:vertAlign w:val="superscript"/>
    </w:rPr>
  </w:style>
  <w:style w:type="character" w:customStyle="1" w:styleId="49">
    <w:name w:val="font71"/>
    <w:basedOn w:val="23"/>
    <w:qFormat/>
    <w:uiPriority w:val="0"/>
    <w:rPr>
      <w:rFonts w:hint="default" w:ascii="Times New Roman" w:hAnsi="Times New Roman" w:cs="Times New Roman"/>
      <w:color w:val="000000"/>
      <w:sz w:val="20"/>
      <w:szCs w:val="20"/>
      <w:u w:val="none"/>
    </w:rPr>
  </w:style>
  <w:style w:type="character" w:customStyle="1" w:styleId="50">
    <w:name w:val="font81"/>
    <w:basedOn w:val="23"/>
    <w:qFormat/>
    <w:uiPriority w:val="0"/>
    <w:rPr>
      <w:rFonts w:ascii="方正书宋_GBK" w:hAnsi="方正书宋_GBK" w:eastAsia="方正书宋_GBK" w:cs="方正书宋_GBK"/>
      <w:color w:val="000000"/>
      <w:sz w:val="20"/>
      <w:szCs w:val="20"/>
      <w:u w:val="none"/>
    </w:rPr>
  </w:style>
  <w:style w:type="character" w:customStyle="1" w:styleId="51">
    <w:name w:val="font51"/>
    <w:basedOn w:val="23"/>
    <w:qFormat/>
    <w:uiPriority w:val="0"/>
    <w:rPr>
      <w:rFonts w:hint="eastAsia" w:ascii="宋体" w:hAnsi="宋体" w:eastAsia="宋体" w:cs="宋体"/>
      <w:color w:val="000000"/>
      <w:sz w:val="20"/>
      <w:szCs w:val="20"/>
      <w:u w:val="none"/>
    </w:rPr>
  </w:style>
  <w:style w:type="character" w:customStyle="1" w:styleId="52">
    <w:name w:val="font41"/>
    <w:basedOn w:val="23"/>
    <w:qFormat/>
    <w:uiPriority w:val="0"/>
    <w:rPr>
      <w:rFonts w:hint="default" w:ascii="方正小标宋简体" w:hAnsi="方正小标宋简体" w:eastAsia="方正小标宋简体" w:cs="方正小标宋简体"/>
      <w:color w:val="000000"/>
      <w:sz w:val="18"/>
      <w:szCs w:val="18"/>
      <w:u w:val="none"/>
    </w:rPr>
  </w:style>
  <w:style w:type="character" w:customStyle="1" w:styleId="53">
    <w:name w:val="font111"/>
    <w:basedOn w:val="23"/>
    <w:qFormat/>
    <w:uiPriority w:val="0"/>
    <w:rPr>
      <w:rFonts w:hint="default" w:ascii="方正小标宋简体" w:hAnsi="方正小标宋简体" w:eastAsia="方正小标宋简体" w:cs="方正小标宋简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42863</Words>
  <Characters>45545</Characters>
  <Lines>0</Lines>
  <Paragraphs>0</Paragraphs>
  <TotalTime>42</TotalTime>
  <ScaleCrop>false</ScaleCrop>
  <LinksUpToDate>false</LinksUpToDate>
  <CharactersWithSpaces>50303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2021-04-05T10:08:00Z</dcterms:created>
  <dc:creator>WPS_1559535789</dc:creator>
  <cp:lastModifiedBy>Administrator</cp:lastModifiedBy>
  <cp:lastPrinted>2023-04-10T11:44:00Z</cp:lastPrinted>
  <dcterms:modified xsi:type="dcterms:W3CDTF">2023-04-18T02:12:11Z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E1525853C9CB48E28AC5A5F1361CD1B6</vt:lpwstr>
  </property>
</Properties>
</file>