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auto"/>
          <w:highlight w:val="none"/>
        </w:rPr>
      </w:pPr>
      <w:r>
        <w:rPr>
          <w:rFonts w:hint="eastAsia" w:ascii="宋体" w:hAnsi="宋体"/>
          <w:color w:val="auto"/>
          <w:highlight w:val="none"/>
        </w:rPr>
        <w:t xml:space="preserve">  </w:t>
      </w:r>
    </w:p>
    <w:p>
      <w:pPr>
        <w:widowControl/>
        <w:shd w:val="clear" w:color="auto" w:fill="FFFFFF"/>
        <w:spacing w:line="360" w:lineRule="atLeast"/>
        <w:ind w:firstLine="540"/>
        <w:jc w:val="center"/>
        <w:rPr>
          <w:rFonts w:hint="eastAsia" w:ascii="宋体" w:hAnsi="宋体" w:cs="宋体"/>
          <w:bCs/>
          <w:color w:val="auto"/>
          <w:sz w:val="44"/>
          <w:szCs w:val="44"/>
          <w:highlight w:val="none"/>
        </w:rPr>
      </w:pPr>
    </w:p>
    <w:p>
      <w:pPr>
        <w:widowControl/>
        <w:shd w:val="clear" w:color="auto" w:fill="FFFFFF"/>
        <w:spacing w:line="360" w:lineRule="atLeast"/>
        <w:ind w:firstLine="540"/>
        <w:jc w:val="center"/>
        <w:rPr>
          <w:rFonts w:hint="eastAsia" w:ascii="宋体" w:hAnsi="宋体" w:cs="宋体"/>
          <w:b/>
          <w:color w:val="auto"/>
          <w:kern w:val="0"/>
          <w:sz w:val="72"/>
          <w:szCs w:val="72"/>
          <w:highlight w:val="none"/>
          <w:shd w:val="clear" w:color="auto" w:fill="FFFFFF"/>
        </w:rPr>
      </w:pPr>
    </w:p>
    <w:p>
      <w:pPr>
        <w:snapToGrid w:val="0"/>
        <w:spacing w:line="360" w:lineRule="auto"/>
        <w:ind w:right="17"/>
        <w:jc w:val="center"/>
        <w:rPr>
          <w:rFonts w:hint="eastAsia" w:ascii="宋体" w:hAnsi="宋体"/>
          <w:b/>
          <w:color w:val="auto"/>
          <w:spacing w:val="60"/>
          <w:sz w:val="84"/>
          <w:szCs w:val="84"/>
          <w:highlight w:val="none"/>
        </w:rPr>
      </w:pPr>
      <w:r>
        <w:rPr>
          <w:rFonts w:hint="eastAsia" w:ascii="宋体" w:hAnsi="宋体"/>
          <w:b/>
          <w:color w:val="auto"/>
          <w:spacing w:val="60"/>
          <w:sz w:val="84"/>
          <w:szCs w:val="84"/>
          <w:highlight w:val="none"/>
        </w:rPr>
        <w:t>竞争性磋商文件</w:t>
      </w:r>
    </w:p>
    <w:p>
      <w:pPr>
        <w:snapToGrid w:val="0"/>
        <w:spacing w:line="360" w:lineRule="auto"/>
        <w:ind w:right="17"/>
        <w:jc w:val="left"/>
        <w:rPr>
          <w:rFonts w:hint="eastAsia" w:ascii="宋体" w:hAnsi="宋体"/>
          <w:bCs/>
          <w:color w:val="auto"/>
          <w:sz w:val="30"/>
          <w:szCs w:val="30"/>
          <w:highlight w:val="none"/>
        </w:rPr>
      </w:pPr>
    </w:p>
    <w:p>
      <w:pPr>
        <w:snapToGrid w:val="0"/>
        <w:spacing w:line="360" w:lineRule="auto"/>
        <w:ind w:left="1400" w:right="17" w:hanging="1400" w:hangingChars="500"/>
        <w:jc w:val="left"/>
        <w:rPr>
          <w:rFonts w:hint="eastAsia" w:eastAsia="宋体"/>
          <w:bCs/>
          <w:color w:val="auto"/>
          <w:sz w:val="28"/>
          <w:szCs w:val="28"/>
          <w:highlight w:val="none"/>
          <w:lang w:eastAsia="zh-CN"/>
        </w:rPr>
      </w:pPr>
      <w:r>
        <w:rPr>
          <w:rFonts w:hint="eastAsia" w:ascii="宋体" w:hAnsi="宋体"/>
          <w:bCs/>
          <w:color w:val="auto"/>
          <w:sz w:val="28"/>
          <w:szCs w:val="28"/>
          <w:highlight w:val="none"/>
        </w:rPr>
        <w:t>项目名称：</w:t>
      </w:r>
      <w:r>
        <w:rPr>
          <w:rFonts w:hint="eastAsia" w:ascii="宋体" w:hAnsi="宋体"/>
          <w:bCs/>
          <w:color w:val="auto"/>
          <w:sz w:val="28"/>
          <w:szCs w:val="28"/>
          <w:highlight w:val="none"/>
          <w:lang w:eastAsia="zh-CN"/>
        </w:rPr>
        <w:t>新疆农业大学机电工程学院教学实验平台建设项目</w:t>
      </w:r>
    </w:p>
    <w:p>
      <w:pPr>
        <w:snapToGrid w:val="0"/>
        <w:spacing w:line="360" w:lineRule="auto"/>
        <w:ind w:right="17"/>
        <w:jc w:val="left"/>
        <w:rPr>
          <w:rFonts w:hint="default" w:eastAsia="宋体"/>
          <w:bCs/>
          <w:color w:val="auto"/>
          <w:sz w:val="28"/>
          <w:szCs w:val="28"/>
          <w:highlight w:val="none"/>
          <w:lang w:val="en-US" w:eastAsia="zh-CN"/>
        </w:rPr>
      </w:pPr>
      <w:r>
        <w:rPr>
          <w:rFonts w:hint="eastAsia"/>
          <w:bCs/>
          <w:color w:val="auto"/>
          <w:sz w:val="28"/>
          <w:szCs w:val="28"/>
          <w:highlight w:val="none"/>
        </w:rPr>
        <w:t>采购项目编号：</w:t>
      </w:r>
      <w:r>
        <w:rPr>
          <w:rFonts w:hint="eastAsia"/>
          <w:bCs/>
          <w:color w:val="auto"/>
          <w:sz w:val="28"/>
          <w:szCs w:val="28"/>
          <w:highlight w:val="none"/>
          <w:lang w:eastAsia="zh-CN"/>
        </w:rPr>
        <w:t>XJHS-2023Y-023-1</w:t>
      </w:r>
    </w:p>
    <w:p>
      <w:pPr>
        <w:pStyle w:val="21"/>
        <w:tabs>
          <w:tab w:val="left" w:pos="8460"/>
        </w:tabs>
        <w:snapToGrid w:val="0"/>
        <w:spacing w:line="360" w:lineRule="auto"/>
        <w:ind w:right="-334" w:rightChars="-159"/>
        <w:rPr>
          <w:rFonts w:hint="eastAsia"/>
          <w:b/>
          <w:bCs/>
          <w:color w:val="auto"/>
          <w:sz w:val="30"/>
          <w:szCs w:val="30"/>
          <w:highlight w:val="none"/>
        </w:rPr>
      </w:pPr>
    </w:p>
    <w:p>
      <w:pPr>
        <w:pStyle w:val="21"/>
        <w:tabs>
          <w:tab w:val="left" w:pos="8460"/>
        </w:tabs>
        <w:snapToGrid w:val="0"/>
        <w:spacing w:line="360" w:lineRule="auto"/>
        <w:ind w:right="-334" w:rightChars="-159"/>
        <w:rPr>
          <w:rFonts w:hint="eastAsia"/>
          <w:b/>
          <w:bCs/>
          <w:color w:val="auto"/>
          <w:sz w:val="30"/>
          <w:szCs w:val="30"/>
          <w:highlight w:val="none"/>
        </w:rPr>
      </w:pPr>
    </w:p>
    <w:p>
      <w:pPr>
        <w:snapToGrid w:val="0"/>
        <w:spacing w:line="360" w:lineRule="auto"/>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采购人：</w:t>
      </w:r>
      <w:r>
        <w:rPr>
          <w:rFonts w:hint="eastAsia" w:ascii="宋体" w:hAnsi="宋体"/>
          <w:bCs/>
          <w:color w:val="auto"/>
          <w:sz w:val="28"/>
          <w:szCs w:val="28"/>
          <w:highlight w:val="none"/>
          <w:lang w:eastAsia="zh-CN"/>
        </w:rPr>
        <w:t>新疆农业大学</w:t>
      </w:r>
    </w:p>
    <w:p>
      <w:pPr>
        <w:snapToGrid w:val="0"/>
        <w:spacing w:line="360" w:lineRule="auto"/>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李波</w:t>
      </w:r>
    </w:p>
    <w:p>
      <w:pPr>
        <w:snapToGrid w:val="0"/>
        <w:spacing w:line="360" w:lineRule="auto"/>
        <w:jc w:val="left"/>
        <w:rPr>
          <w:rFonts w:hint="default" w:ascii="宋体" w:hAnsi="宋体"/>
          <w:color w:val="auto"/>
          <w:sz w:val="28"/>
          <w:szCs w:val="28"/>
          <w:highlight w:val="none"/>
          <w:lang w:val="en-US"/>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13579876450</w:t>
      </w:r>
    </w:p>
    <w:p>
      <w:pPr>
        <w:snapToGrid w:val="0"/>
        <w:spacing w:line="360" w:lineRule="auto"/>
        <w:jc w:val="left"/>
        <w:rPr>
          <w:rFonts w:ascii="宋体" w:hAnsi="宋体"/>
          <w:color w:val="auto"/>
          <w:sz w:val="28"/>
          <w:szCs w:val="28"/>
          <w:highlight w:val="none"/>
        </w:rPr>
      </w:pPr>
      <w:r>
        <w:rPr>
          <w:rFonts w:hint="eastAsia" w:ascii="宋体" w:hAnsi="宋体"/>
          <w:color w:val="auto"/>
          <w:sz w:val="28"/>
          <w:szCs w:val="28"/>
          <w:highlight w:val="none"/>
        </w:rPr>
        <w:t>地址：</w:t>
      </w:r>
      <w:r>
        <w:rPr>
          <w:rFonts w:hint="eastAsia" w:ascii="宋体" w:hAnsi="宋体"/>
          <w:color w:val="auto"/>
          <w:sz w:val="28"/>
          <w:szCs w:val="28"/>
          <w:highlight w:val="none"/>
          <w:lang w:eastAsia="zh-CN"/>
        </w:rPr>
        <w:t>农大东路311号</w:t>
      </w:r>
    </w:p>
    <w:p>
      <w:pPr>
        <w:snapToGrid w:val="0"/>
        <w:spacing w:line="360" w:lineRule="auto"/>
        <w:jc w:val="left"/>
        <w:rPr>
          <w:rFonts w:ascii="宋体" w:hAnsi="宋体"/>
          <w:color w:val="auto"/>
          <w:sz w:val="28"/>
          <w:szCs w:val="28"/>
          <w:highlight w:val="none"/>
        </w:rPr>
      </w:pPr>
    </w:p>
    <w:p>
      <w:pPr>
        <w:snapToGrid w:val="0"/>
        <w:spacing w:line="360" w:lineRule="auto"/>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代理机构：</w:t>
      </w:r>
      <w:r>
        <w:rPr>
          <w:rFonts w:hint="eastAsia" w:ascii="宋体" w:hAnsi="宋体"/>
          <w:color w:val="auto"/>
          <w:sz w:val="28"/>
          <w:szCs w:val="28"/>
          <w:highlight w:val="none"/>
          <w:lang w:eastAsia="zh-CN"/>
        </w:rPr>
        <w:t>新疆泓升项目管理有限公司</w:t>
      </w:r>
    </w:p>
    <w:p>
      <w:pPr>
        <w:snapToGrid w:val="0"/>
        <w:spacing w:line="360" w:lineRule="auto"/>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联系人：</w:t>
      </w:r>
      <w:r>
        <w:rPr>
          <w:rFonts w:hint="eastAsia" w:ascii="宋体" w:hAnsi="宋体"/>
          <w:color w:val="auto"/>
          <w:sz w:val="28"/>
          <w:szCs w:val="28"/>
          <w:highlight w:val="none"/>
          <w:lang w:eastAsia="zh-CN"/>
        </w:rPr>
        <w:t>黄森</w:t>
      </w:r>
    </w:p>
    <w:p>
      <w:pPr>
        <w:snapToGrid w:val="0"/>
        <w:spacing w:line="360" w:lineRule="auto"/>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15609913520</w:t>
      </w:r>
    </w:p>
    <w:p>
      <w:pPr>
        <w:snapToGrid w:val="0"/>
        <w:spacing w:line="360" w:lineRule="auto"/>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地址：</w:t>
      </w:r>
      <w:r>
        <w:rPr>
          <w:rFonts w:hint="eastAsia" w:ascii="宋体" w:hAnsi="宋体"/>
          <w:color w:val="auto"/>
          <w:sz w:val="28"/>
          <w:szCs w:val="28"/>
          <w:highlight w:val="none"/>
          <w:lang w:eastAsia="zh-CN"/>
        </w:rPr>
        <w:t>乌鲁木齐市德汇万达广场E2写字楼1802室</w:t>
      </w:r>
    </w:p>
    <w:p>
      <w:pPr>
        <w:snapToGrid w:val="0"/>
        <w:spacing w:line="360" w:lineRule="auto"/>
        <w:ind w:right="17" w:firstLine="980" w:firstLineChars="350"/>
        <w:jc w:val="left"/>
        <w:rPr>
          <w:rFonts w:hint="eastAsia" w:ascii="宋体" w:hAnsi="宋体"/>
          <w:color w:val="auto"/>
          <w:sz w:val="28"/>
          <w:szCs w:val="28"/>
          <w:highlight w:val="none"/>
        </w:rPr>
      </w:pPr>
    </w:p>
    <w:p>
      <w:pPr>
        <w:pStyle w:val="14"/>
        <w:snapToGrid w:val="0"/>
        <w:spacing w:line="360" w:lineRule="auto"/>
        <w:jc w:val="center"/>
        <w:rPr>
          <w:rFonts w:hint="eastAsia" w:hAnsi="宋体"/>
          <w:color w:val="auto"/>
          <w:sz w:val="30"/>
          <w:szCs w:val="30"/>
          <w:highlight w:val="none"/>
        </w:rPr>
      </w:pPr>
    </w:p>
    <w:p>
      <w:pPr>
        <w:pStyle w:val="14"/>
        <w:snapToGrid w:val="0"/>
        <w:spacing w:line="360" w:lineRule="auto"/>
        <w:jc w:val="center"/>
        <w:rPr>
          <w:rFonts w:hint="eastAsia" w:ascii="宋体" w:hAnsi="宋体"/>
          <w:b/>
          <w:color w:val="auto"/>
          <w:sz w:val="32"/>
          <w:szCs w:val="32"/>
          <w:highlight w:val="none"/>
        </w:rPr>
      </w:pPr>
      <w:r>
        <w:rPr>
          <w:rFonts w:hint="eastAsia" w:hAnsi="宋体"/>
          <w:color w:val="auto"/>
          <w:sz w:val="30"/>
          <w:szCs w:val="30"/>
          <w:highlight w:val="none"/>
        </w:rPr>
        <w:t>二〇二</w:t>
      </w:r>
      <w:r>
        <w:rPr>
          <w:rFonts w:hint="eastAsia" w:hAnsi="宋体"/>
          <w:color w:val="auto"/>
          <w:sz w:val="30"/>
          <w:szCs w:val="30"/>
          <w:highlight w:val="none"/>
          <w:lang w:val="en-US" w:eastAsia="zh-CN"/>
        </w:rPr>
        <w:t>三</w:t>
      </w:r>
      <w:r>
        <w:rPr>
          <w:rFonts w:hint="eastAsia" w:hAnsi="宋体"/>
          <w:color w:val="auto"/>
          <w:sz w:val="30"/>
          <w:szCs w:val="30"/>
          <w:highlight w:val="none"/>
        </w:rPr>
        <w:t>年</w:t>
      </w:r>
      <w:r>
        <w:rPr>
          <w:rFonts w:hint="eastAsia" w:hAnsi="宋体"/>
          <w:color w:val="auto"/>
          <w:sz w:val="30"/>
          <w:szCs w:val="30"/>
          <w:highlight w:val="none"/>
          <w:lang w:val="en-US" w:eastAsia="zh-CN"/>
        </w:rPr>
        <w:t>四</w:t>
      </w:r>
      <w:r>
        <w:rPr>
          <w:rFonts w:hint="eastAsia" w:hAnsi="宋体"/>
          <w:color w:val="auto"/>
          <w:sz w:val="30"/>
          <w:szCs w:val="30"/>
          <w:highlight w:val="none"/>
        </w:rPr>
        <w:t>月</w:t>
      </w:r>
    </w:p>
    <w:p>
      <w:pPr>
        <w:snapToGrid w:val="0"/>
        <w:spacing w:line="360" w:lineRule="auto"/>
        <w:jc w:val="center"/>
        <w:rPr>
          <w:rFonts w:hint="eastAsia" w:ascii="宋体" w:hAnsi="宋体"/>
          <w:b/>
          <w:color w:val="auto"/>
          <w:sz w:val="32"/>
          <w:szCs w:val="32"/>
          <w:highlight w:val="none"/>
        </w:rPr>
        <w:sectPr>
          <w:footerReference r:id="rId3" w:type="default"/>
          <w:pgSz w:w="11911" w:h="16838"/>
          <w:pgMar w:top="1440" w:right="1633" w:bottom="1440" w:left="1633" w:header="0" w:footer="879" w:gutter="0"/>
          <w:cols w:space="720" w:num="1"/>
          <w:rtlGutter w:val="0"/>
          <w:docGrid w:linePitch="0" w:charSpace="0"/>
        </w:sectPr>
      </w:pPr>
    </w:p>
    <w:p>
      <w:pPr>
        <w:rPr>
          <w:color w:val="auto"/>
          <w:highlight w:val="none"/>
        </w:rPr>
      </w:pPr>
    </w:p>
    <w:p>
      <w:pPr>
        <w:snapToGrid w:val="0"/>
        <w:spacing w:line="360" w:lineRule="auto"/>
        <w:jc w:val="center"/>
        <w:outlineLvl w:val="0"/>
        <w:rPr>
          <w:rFonts w:hint="eastAsia" w:ascii="宋体" w:hAnsi="宋体" w:eastAsia="宋体" w:cs="Times New Roman"/>
          <w:b w:val="0"/>
          <w:bCs/>
          <w:color w:val="auto"/>
          <w:sz w:val="30"/>
          <w:szCs w:val="30"/>
          <w:highlight w:val="none"/>
        </w:rPr>
      </w:pPr>
      <w:r>
        <w:rPr>
          <w:rFonts w:hint="eastAsia" w:ascii="宋体" w:hAnsi="宋体" w:eastAsia="宋体" w:cs="Times New Roman"/>
          <w:b w:val="0"/>
          <w:bCs/>
          <w:color w:val="auto"/>
          <w:sz w:val="30"/>
          <w:szCs w:val="30"/>
          <w:highlight w:val="none"/>
        </w:rPr>
        <w:t>目</w:t>
      </w:r>
      <w:r>
        <w:rPr>
          <w:rFonts w:hint="eastAsia" w:ascii="宋体" w:hAnsi="宋体" w:eastAsia="宋体" w:cs="Times New Roman"/>
          <w:b w:val="0"/>
          <w:bCs/>
          <w:color w:val="auto"/>
          <w:sz w:val="30"/>
          <w:szCs w:val="30"/>
          <w:highlight w:val="none"/>
          <w:lang w:val="en-US" w:eastAsia="zh-CN"/>
        </w:rPr>
        <w:t xml:space="preserve"> </w:t>
      </w:r>
      <w:r>
        <w:rPr>
          <w:rFonts w:hint="eastAsia" w:ascii="宋体" w:hAnsi="宋体" w:eastAsia="宋体" w:cs="Times New Roman"/>
          <w:b w:val="0"/>
          <w:bCs/>
          <w:color w:val="auto"/>
          <w:sz w:val="30"/>
          <w:szCs w:val="30"/>
          <w:highlight w:val="none"/>
        </w:rPr>
        <w:t>录</w:t>
      </w:r>
    </w:p>
    <w:p>
      <w:pPr>
        <w:pStyle w:val="10"/>
        <w:ind w:left="0" w:leftChars="0" w:firstLine="0" w:firstLineChars="0"/>
        <w:rPr>
          <w:color w:val="auto"/>
          <w:highlight w:val="none"/>
        </w:rPr>
      </w:pPr>
    </w:p>
    <w:p>
      <w:pPr>
        <w:pStyle w:val="89"/>
        <w:tabs>
          <w:tab w:val="right" w:leader="dot" w:pos="8305"/>
        </w:tabs>
        <w:rPr>
          <w:color w:val="auto"/>
          <w:highlight w:val="none"/>
        </w:rPr>
      </w:pPr>
      <w:r>
        <w:rPr>
          <w:rFonts w:ascii="Calibri" w:hAnsi="Calibri"/>
          <w:color w:val="auto"/>
          <w:szCs w:val="24"/>
          <w:highlight w:val="none"/>
        </w:rPr>
        <w:fldChar w:fldCharType="begin"/>
      </w:r>
      <w:r>
        <w:rPr>
          <w:rFonts w:ascii="Calibri" w:hAnsi="Calibri"/>
          <w:color w:val="auto"/>
          <w:szCs w:val="24"/>
          <w:highlight w:val="none"/>
        </w:rPr>
        <w:instrText xml:space="preserve">TOC \o "1-1" \h \u </w:instrText>
      </w:r>
      <w:r>
        <w:rPr>
          <w:rFonts w:ascii="Calibri" w:hAnsi="Calibri"/>
          <w:color w:val="auto"/>
          <w:szCs w:val="24"/>
          <w:highlight w:val="none"/>
        </w:rPr>
        <w:fldChar w:fldCharType="separate"/>
      </w:r>
    </w:p>
    <w:p>
      <w:pPr>
        <w:pStyle w:val="89"/>
        <w:tabs>
          <w:tab w:val="right" w:leader="dot" w:pos="8305"/>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_Toc22261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第一部分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_Toc22261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- 1 -</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89"/>
        <w:tabs>
          <w:tab w:val="right" w:leader="dot" w:pos="8305"/>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_Toc24415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第二部分  供应商须知前附表</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_Toc24415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- 4 -</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89"/>
        <w:tabs>
          <w:tab w:val="right" w:leader="dot" w:pos="8305"/>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_Toc3729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第三部分</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服务合同（参考格式）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_Toc3729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- 30 -</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89"/>
        <w:tabs>
          <w:tab w:val="right" w:leader="dot" w:pos="8305"/>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_Toc9739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第四部分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_Toc9739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- 34 -</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89"/>
        <w:tabs>
          <w:tab w:val="right" w:leader="dot" w:pos="8305"/>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_Toc20810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第五部分  磋商响应文件格式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_Toc20810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38</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89"/>
        <w:tabs>
          <w:tab w:val="right" w:leader="dot" w:pos="8305"/>
        </w:tabs>
        <w:rPr>
          <w:color w:val="auto"/>
          <w:highlight w:val="none"/>
        </w:rPr>
      </w:pPr>
    </w:p>
    <w:p>
      <w:pPr>
        <w:pStyle w:val="89"/>
        <w:tabs>
          <w:tab w:val="right" w:leader="dot" w:pos="8305"/>
        </w:tabs>
        <w:rPr>
          <w:color w:val="auto"/>
          <w:highlight w:val="none"/>
        </w:rPr>
      </w:pPr>
    </w:p>
    <w:p>
      <w:pPr>
        <w:rPr>
          <w:rFonts w:ascii="Calibri" w:hAnsi="Calibri"/>
          <w:color w:val="auto"/>
          <w:szCs w:val="24"/>
          <w:highlight w:val="none"/>
        </w:rPr>
      </w:pPr>
      <w:r>
        <w:rPr>
          <w:rFonts w:ascii="Calibri" w:hAnsi="Calibri"/>
          <w:color w:val="auto"/>
          <w:szCs w:val="24"/>
          <w:highlight w:val="none"/>
        </w:rPr>
        <w:fldChar w:fldCharType="end"/>
      </w:r>
    </w:p>
    <w:p>
      <w:pPr>
        <w:rPr>
          <w:color w:val="auto"/>
          <w:highlight w:val="none"/>
        </w:rPr>
      </w:pPr>
    </w:p>
    <w:p>
      <w:pPr>
        <w:rPr>
          <w:color w:val="auto"/>
          <w:highlight w:val="none"/>
        </w:rPr>
      </w:pPr>
    </w:p>
    <w:p>
      <w:pPr>
        <w:snapToGrid w:val="0"/>
        <w:spacing w:line="360" w:lineRule="auto"/>
        <w:jc w:val="center"/>
        <w:rPr>
          <w:rFonts w:hint="eastAsia"/>
          <w:color w:val="auto"/>
          <w:highlight w:val="none"/>
        </w:rPr>
      </w:pPr>
      <w:r>
        <w:rPr>
          <w:rFonts w:hint="eastAsia"/>
          <w:color w:val="auto"/>
          <w:highlight w:val="none"/>
        </w:rPr>
        <w:tab/>
      </w:r>
    </w:p>
    <w:p>
      <w:pPr>
        <w:snapToGrid w:val="0"/>
        <w:spacing w:line="360" w:lineRule="auto"/>
        <w:rPr>
          <w:rFonts w:hint="eastAsia" w:ascii="宋体" w:hAnsi="宋体"/>
          <w:bCs/>
          <w:color w:val="auto"/>
          <w:sz w:val="36"/>
          <w:szCs w:val="36"/>
          <w:highlight w:val="none"/>
        </w:rPr>
      </w:pPr>
    </w:p>
    <w:p>
      <w:pPr>
        <w:snapToGrid w:val="0"/>
        <w:spacing w:line="360" w:lineRule="auto"/>
        <w:rPr>
          <w:rFonts w:hint="eastAsia" w:ascii="宋体" w:hAnsi="宋体"/>
          <w:bCs/>
          <w:color w:val="auto"/>
          <w:sz w:val="36"/>
          <w:szCs w:val="36"/>
          <w:highlight w:val="none"/>
        </w:rPr>
      </w:pPr>
    </w:p>
    <w:p>
      <w:pPr>
        <w:snapToGrid w:val="0"/>
        <w:spacing w:line="360" w:lineRule="auto"/>
        <w:rPr>
          <w:rFonts w:hint="eastAsia" w:ascii="宋体" w:hAnsi="宋体"/>
          <w:bCs/>
          <w:color w:val="auto"/>
          <w:sz w:val="36"/>
          <w:szCs w:val="36"/>
          <w:highlight w:val="none"/>
        </w:rPr>
      </w:pPr>
    </w:p>
    <w:p>
      <w:pPr>
        <w:snapToGrid w:val="0"/>
        <w:spacing w:line="360" w:lineRule="auto"/>
        <w:jc w:val="center"/>
        <w:outlineLvl w:val="0"/>
        <w:rPr>
          <w:rFonts w:hint="eastAsia" w:ascii="宋体" w:hAnsi="宋体"/>
          <w:b/>
          <w:color w:val="auto"/>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rtlGutter w:val="0"/>
          <w:docGrid w:linePitch="312" w:charSpace="0"/>
        </w:sectPr>
      </w:pPr>
      <w:bookmarkStart w:id="0" w:name="_Toc21101"/>
      <w:bookmarkStart w:id="1" w:name="_Toc22261"/>
    </w:p>
    <w:p>
      <w:pPr>
        <w:snapToGrid w:val="0"/>
        <w:spacing w:line="360" w:lineRule="auto"/>
        <w:jc w:val="center"/>
        <w:outlineLvl w:val="0"/>
        <w:rPr>
          <w:rFonts w:ascii="宋体" w:hAnsi="宋体"/>
          <w:b/>
          <w:color w:val="auto"/>
          <w:sz w:val="24"/>
          <w:szCs w:val="24"/>
          <w:highlight w:val="none"/>
        </w:rPr>
      </w:pPr>
      <w:r>
        <w:rPr>
          <w:rFonts w:hint="eastAsia" w:ascii="宋体" w:hAnsi="宋体"/>
          <w:b/>
          <w:color w:val="auto"/>
          <w:sz w:val="30"/>
          <w:szCs w:val="30"/>
          <w:highlight w:val="none"/>
        </w:rPr>
        <w:t>第一部分   竞争性磋商公告</w:t>
      </w:r>
      <w:bookmarkEnd w:id="0"/>
      <w:bookmarkEnd w:id="1"/>
    </w:p>
    <w:p>
      <w:pPr>
        <w:pStyle w:val="7"/>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sz w:val="32"/>
          <w:szCs w:val="32"/>
          <w:lang w:eastAsia="zh-CN"/>
        </w:rPr>
        <w:t>新疆农业大学机电工程学院教学实验平台建设项目</w:t>
      </w:r>
      <w:r>
        <w:rPr>
          <w:rFonts w:hint="eastAsia" w:ascii="宋体" w:hAnsi="宋体" w:eastAsia="宋体" w:cs="宋体"/>
          <w:sz w:val="32"/>
          <w:szCs w:val="32"/>
          <w:lang w:val="en-US" w:eastAsia="zh-CN"/>
        </w:rPr>
        <w:t>竞争性磋商</w:t>
      </w:r>
      <w:r>
        <w:rPr>
          <w:rFonts w:hint="eastAsia" w:ascii="宋体" w:hAnsi="宋体" w:eastAsia="宋体" w:cs="宋体"/>
          <w:sz w:val="32"/>
          <w:szCs w:val="32"/>
        </w:rPr>
        <w:t>公告</w:t>
      </w:r>
    </w:p>
    <w:p>
      <w:pPr>
        <w:keepNext w:val="0"/>
        <w:keepLines w:val="0"/>
        <w:widowControl/>
        <w:suppressLineNumbers w:val="0"/>
        <w:spacing w:before="100" w:beforeAutospacing="1" w:after="100" w:afterAutospacing="1"/>
        <w:ind w:right="72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项目概况</w:t>
      </w:r>
    </w:p>
    <w:p>
      <w:pPr>
        <w:keepNext w:val="0"/>
        <w:keepLines w:val="0"/>
        <w:widowControl/>
        <w:suppressLineNumbers w:val="0"/>
        <w:spacing w:before="100" w:beforeAutospacing="1" w:after="100" w:afterAutospacing="1" w:line="360" w:lineRule="auto"/>
        <w:ind w:right="720"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新疆农业大学机电工程学院教学实验平台建设项目 采购项目的潜在供应商应在政采云平台获取采购文件，并于2023年5月10日16点00分（北京时间）前提交响应文件。</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一、项目基本情况</w:t>
      </w:r>
    </w:p>
    <w:p>
      <w:pPr>
        <w:keepNext w:val="0"/>
        <w:keepLines w:val="0"/>
        <w:widowControl/>
        <w:suppressLineNumbers w:val="0"/>
        <w:spacing w:before="100" w:beforeAutospacing="1" w:after="100" w:afterAutospacing="1"/>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项目编号：</w:t>
      </w:r>
      <w:r>
        <w:rPr>
          <w:rFonts w:hint="eastAsia" w:ascii="宋体" w:hAnsi="宋体" w:cs="宋体"/>
          <w:kern w:val="0"/>
          <w:sz w:val="24"/>
          <w:szCs w:val="24"/>
          <w:lang w:val="en-US" w:eastAsia="zh-CN" w:bidi="ar-SA"/>
        </w:rPr>
        <w:t>XJHS-2023Y-023-1</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项目名称：新疆农业大学机电工程学院教学实验平台建设项目</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采购方式：竞争性磋商</w:t>
      </w:r>
    </w:p>
    <w:p>
      <w:pPr>
        <w:keepNext w:val="0"/>
        <w:keepLines w:val="0"/>
        <w:widowControl/>
        <w:suppressLineNumbers w:val="0"/>
        <w:spacing w:before="100" w:beforeAutospacing="1" w:after="100" w:afterAutospacing="1"/>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预算金额（元）：190000</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最高限价（元）：190000</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采购需求：详见磋商文件</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合同履行期限：详见磋商文件</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本项目(不接受)联合体投标。</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二、申请人的资格要求：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2.落实政府采购政策需满足的资格要求：供应商为中小企业</w:t>
      </w:r>
    </w:p>
    <w:p>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（1）、投标人须是中华人民共和国境内注册的，具有有效的营业执照；</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2）、投标人不得为“信用中国网站（www.creditchina.gov.cn）中列入失信被执行人和税收违法黑名单的供应商，不得为中国政府采购网（www.ccgp.gov.cn）政府采购严重违法失信行为记录名单中被财政部门禁止参加政府采购活动的供应商。</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三、获取招标文件</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时间：2023年4月28日至2023年5月8日，每天上午10:00至14:00，下午15:00至19:00。（北京时间，法定节假日除外）</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地点：政采云平台（https://www.zcygov.cn/）</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方式：供应商登陆政采云平台 https://www.zcygov.cn/进入“项目采购”栏目， 在获取 磋商文件菜单中选择所要投标的项目，申请获取磋商文件。</w:t>
      </w:r>
    </w:p>
    <w:p>
      <w:pPr>
        <w:keepNext w:val="0"/>
        <w:keepLines w:val="0"/>
        <w:widowControl/>
        <w:suppressLineNumbers w:val="0"/>
        <w:spacing w:before="100" w:beforeAutospacing="1" w:after="100" w:afterAutospacing="1"/>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售价：0</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四、响应文件提交</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截止时间：2023年5月10日16点00分（北京时间）</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地点：政采云平台（https://www.zcygov.cn/）</w:t>
      </w:r>
    </w:p>
    <w:p>
      <w:pPr>
        <w:keepNext w:val="0"/>
        <w:keepLines w:val="0"/>
        <w:widowControl/>
        <w:numPr>
          <w:ilvl w:val="0"/>
          <w:numId w:val="2"/>
        </w:numPr>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响应文件开启</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开启时间：2023年5月10日16点00分（北京时间）</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地点：政采云平台（https://www.zcygov.cn/）</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六、公告期限</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自本公告发布之日起5个工作日</w:t>
      </w:r>
    </w:p>
    <w:p>
      <w:pPr>
        <w:keepNext w:val="0"/>
        <w:keepLines w:val="0"/>
        <w:widowControl/>
        <w:numPr>
          <w:ilvl w:val="0"/>
          <w:numId w:val="0"/>
        </w:numPr>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七、其他补充事宜</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1、请投标单位随时关注本项目的澄清、答疑、变更事项。</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2、本项目实行电子招投标，供应商须登录政采云平台申请获取招标文件，并通过政采云电子投标客户端制作投标文件，同时自行承担与投标有关的一切费用。</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3、各供应商应在开标前应确保成为政采云平台供应商，并完成 CA 数字证书(符合国密标准) 申领。因未注册入库、未办理CA数字证书等原因造成无法投标或投标失败等后果由供应商自行承担。</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keepNext w:val="0"/>
        <w:keepLines w:val="0"/>
        <w:widowControl/>
        <w:suppressLineNumbers w:val="0"/>
        <w:spacing w:before="100" w:beforeAutospacing="1" w:after="100"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八、凡对本次采购提出询问，请按以下方式联系。</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称：新疆农业大学</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 址：农大东路311号</w:t>
      </w:r>
    </w:p>
    <w:p>
      <w:pPr>
        <w:spacing w:line="360" w:lineRule="auto"/>
        <w:ind w:firstLine="240" w:firstLineChars="100"/>
        <w:rPr>
          <w:rFonts w:hint="default" w:ascii="宋体" w:hAnsi="宋体" w:eastAsia="宋体" w:cs="宋体"/>
          <w:sz w:val="24"/>
          <w:szCs w:val="24"/>
          <w:lang w:val="en-US"/>
        </w:rPr>
      </w:pPr>
      <w:r>
        <w:rPr>
          <w:rFonts w:hint="eastAsia" w:ascii="宋体" w:hAnsi="宋体" w:eastAsia="宋体" w:cs="宋体"/>
          <w:sz w:val="24"/>
          <w:szCs w:val="24"/>
        </w:rPr>
        <w:t>联系方式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李波 13579876450</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2.采购代理机构信息</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称：新疆泓升项目管理有限公司</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乌鲁木齐市德汇万达广场E2写字楼1802室</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3.项目联系方式</w:t>
      </w:r>
    </w:p>
    <w:p>
      <w:pP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黄森</w:t>
      </w:r>
    </w:p>
    <w:p>
      <w:pPr>
        <w:spacing w:line="360" w:lineRule="auto"/>
        <w:ind w:firstLine="240" w:firstLineChars="100"/>
        <w:rPr>
          <w:rFonts w:hint="eastAsia" w:eastAsia="宋体"/>
          <w:color w:val="auto"/>
          <w:highlight w:val="none"/>
          <w:lang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15609913520</w:t>
      </w:r>
    </w:p>
    <w:p>
      <w:pPr>
        <w:snapToGrid w:val="0"/>
        <w:spacing w:line="360" w:lineRule="auto"/>
        <w:jc w:val="center"/>
        <w:outlineLvl w:val="0"/>
        <w:rPr>
          <w:rFonts w:hint="eastAsia" w:ascii="宋体" w:hAnsi="宋体"/>
          <w:b/>
          <w:color w:val="auto"/>
          <w:sz w:val="30"/>
          <w:szCs w:val="30"/>
          <w:highlight w:val="none"/>
        </w:rPr>
      </w:pPr>
      <w:r>
        <w:rPr>
          <w:rFonts w:hint="eastAsia" w:ascii="宋体" w:hAnsi="宋体" w:cs="宋体"/>
          <w:b/>
          <w:bCs/>
          <w:color w:val="auto"/>
          <w:sz w:val="24"/>
          <w:szCs w:val="24"/>
          <w:highlight w:val="none"/>
        </w:rPr>
        <w:br w:type="page"/>
      </w:r>
      <w:bookmarkStart w:id="2" w:name="_Toc9179"/>
      <w:bookmarkStart w:id="3" w:name="_Toc24415"/>
      <w:r>
        <w:rPr>
          <w:rFonts w:hint="eastAsia" w:ascii="宋体" w:hAnsi="宋体"/>
          <w:b/>
          <w:color w:val="auto"/>
          <w:sz w:val="30"/>
          <w:szCs w:val="30"/>
          <w:highlight w:val="none"/>
        </w:rPr>
        <w:t>第二部分   供应商须知前附表</w:t>
      </w:r>
      <w:bookmarkEnd w:id="2"/>
      <w:bookmarkEnd w:id="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noWrap w:val="0"/>
            <w:vAlign w:val="center"/>
          </w:tcPr>
          <w:p>
            <w:pPr>
              <w:snapToGrid w:val="0"/>
              <w:spacing w:line="360" w:lineRule="auto"/>
              <w:ind w:right="105" w:rightChars="50"/>
              <w:rPr>
                <w:rFonts w:hint="eastAsia" w:ascii="宋体" w:hAnsi="宋体"/>
                <w:b/>
                <w:bCs/>
                <w:color w:val="auto"/>
                <w:sz w:val="24"/>
                <w:szCs w:val="24"/>
                <w:highlight w:val="none"/>
              </w:rPr>
            </w:pPr>
            <w:r>
              <w:rPr>
                <w:rFonts w:hint="eastAsia" w:ascii="宋体" w:hAnsi="宋体"/>
                <w:b/>
                <w:bCs/>
                <w:color w:val="auto"/>
                <w:sz w:val="24"/>
                <w:szCs w:val="24"/>
                <w:highlight w:val="none"/>
              </w:rPr>
              <w:t>项目</w:t>
            </w:r>
          </w:p>
        </w:tc>
        <w:tc>
          <w:tcPr>
            <w:tcW w:w="9245" w:type="dxa"/>
            <w:noWrap w:val="0"/>
            <w:vAlign w:val="center"/>
          </w:tcPr>
          <w:p>
            <w:pPr>
              <w:snapToGrid w:val="0"/>
              <w:spacing w:line="360" w:lineRule="auto"/>
              <w:ind w:right="105" w:rightChars="50"/>
              <w:jc w:val="center"/>
              <w:rPr>
                <w:rFonts w:hint="eastAsia" w:ascii="宋体" w:hAnsi="宋体"/>
                <w:b/>
                <w:bCs/>
                <w:color w:val="auto"/>
                <w:sz w:val="24"/>
                <w:szCs w:val="24"/>
                <w:highlight w:val="none"/>
              </w:rPr>
            </w:pPr>
            <w:r>
              <w:rPr>
                <w:rFonts w:hint="eastAsia" w:ascii="宋体" w:hAnsi="宋体"/>
                <w:b/>
                <w:bCs/>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9245" w:type="dxa"/>
            <w:noWrap w:val="0"/>
            <w:vAlign w:val="center"/>
          </w:tcPr>
          <w:p>
            <w:p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新疆农业大学机电工程学院教学实验平台建设项目</w:t>
            </w:r>
          </w:p>
          <w:p>
            <w:pPr>
              <w:autoSpaceDE w:val="0"/>
              <w:autoSpaceDN w:val="0"/>
              <w:adjustRightInd w:val="0"/>
              <w:spacing w:line="360" w:lineRule="auto"/>
              <w:rPr>
                <w:rFonts w:hint="eastAsia" w:eastAsia="宋体"/>
                <w:color w:val="auto"/>
                <w:highlight w:val="none"/>
                <w:lang w:eastAsia="zh-CN"/>
              </w:rPr>
            </w:pPr>
            <w:r>
              <w:rPr>
                <w:rFonts w:hint="eastAsia" w:ascii="宋体" w:hAnsi="宋体" w:cs="宋体"/>
                <w:color w:val="auto"/>
                <w:sz w:val="24"/>
                <w:szCs w:val="24"/>
                <w:highlight w:val="none"/>
              </w:rPr>
              <w:t>采购项目编号：</w:t>
            </w:r>
            <w:r>
              <w:rPr>
                <w:rFonts w:hint="eastAsia" w:ascii="宋体" w:hAnsi="宋体" w:cs="宋体"/>
                <w:color w:val="auto"/>
                <w:sz w:val="24"/>
                <w:szCs w:val="24"/>
                <w:highlight w:val="none"/>
                <w:lang w:eastAsia="zh-CN"/>
              </w:rPr>
              <w:t>XJHS-2023Y-023-1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磋商内容：包含磋商文件、补充答疑文件、采购需求等全部采购及服务内容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9245" w:type="dxa"/>
            <w:noWrap w:val="0"/>
            <w:vAlign w:val="center"/>
          </w:tcPr>
          <w:p>
            <w:pPr>
              <w:pStyle w:val="21"/>
              <w:spacing w:before="75" w:after="75" w:line="400" w:lineRule="exact"/>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磋商供应商资格要求：</w:t>
            </w:r>
          </w:p>
          <w:p>
            <w:pPr>
              <w:pStyle w:val="21"/>
              <w:spacing w:before="75" w:after="75" w:line="400" w:lineRule="exact"/>
              <w:jc w:val="both"/>
              <w:rPr>
                <w:rFonts w:hint="eastAsia" w:eastAsia="宋体"/>
                <w:color w:val="auto"/>
                <w:highlight w:val="none"/>
                <w:lang w:val="en-US" w:eastAsia="zh-CN"/>
              </w:rPr>
            </w:pPr>
            <w:r>
              <w:rPr>
                <w:rFonts w:hint="eastAsia" w:eastAsia="宋体"/>
                <w:color w:val="auto"/>
                <w:highlight w:val="none"/>
                <w:lang w:val="en-US" w:eastAsia="zh-CN"/>
              </w:rPr>
              <w:t>1.满足《中华人民共和国政府采购法》第二十二条规定；</w:t>
            </w:r>
          </w:p>
          <w:p>
            <w:pPr>
              <w:pStyle w:val="21"/>
              <w:spacing w:before="75" w:after="75" w:line="400" w:lineRule="exact"/>
              <w:jc w:val="both"/>
              <w:rPr>
                <w:rFonts w:hint="eastAsia" w:eastAsia="宋体"/>
                <w:color w:val="auto"/>
                <w:highlight w:val="none"/>
                <w:lang w:val="en-US" w:eastAsia="zh-CN"/>
              </w:rPr>
            </w:pPr>
            <w:r>
              <w:rPr>
                <w:rFonts w:hint="eastAsia" w:eastAsia="宋体"/>
                <w:color w:val="auto"/>
                <w:highlight w:val="none"/>
                <w:lang w:val="en-US" w:eastAsia="zh-CN"/>
              </w:rPr>
              <w:t>2.落实政府采购政策需满足的资格要求：供应商为中小企业</w:t>
            </w:r>
          </w:p>
          <w:p>
            <w:pPr>
              <w:pStyle w:val="21"/>
              <w:spacing w:before="75" w:after="75" w:line="400" w:lineRule="exact"/>
              <w:jc w:val="both"/>
              <w:rPr>
                <w:rFonts w:hint="eastAsia" w:eastAsia="宋体"/>
                <w:color w:val="auto"/>
                <w:highlight w:val="none"/>
                <w:lang w:val="en-US" w:eastAsia="zh-CN"/>
              </w:rPr>
            </w:pPr>
            <w:r>
              <w:rPr>
                <w:rFonts w:hint="eastAsia" w:eastAsia="宋体"/>
                <w:color w:val="auto"/>
                <w:highlight w:val="none"/>
                <w:lang w:val="en-US" w:eastAsia="zh-CN"/>
              </w:rPr>
              <w:t>3.本项目的特定资格要求：</w:t>
            </w:r>
          </w:p>
          <w:p>
            <w:pPr>
              <w:pStyle w:val="21"/>
              <w:spacing w:before="75" w:after="75" w:line="400" w:lineRule="exact"/>
              <w:jc w:val="both"/>
              <w:rPr>
                <w:rFonts w:hint="eastAsia" w:eastAsia="宋体"/>
                <w:color w:val="auto"/>
                <w:highlight w:val="none"/>
                <w:lang w:val="en-US" w:eastAsia="zh-CN"/>
              </w:rPr>
            </w:pPr>
            <w:r>
              <w:rPr>
                <w:rFonts w:hint="eastAsia" w:eastAsia="宋体"/>
                <w:color w:val="auto"/>
                <w:highlight w:val="none"/>
                <w:lang w:val="en-US" w:eastAsia="zh-CN"/>
              </w:rPr>
              <w:t>（1）、</w:t>
            </w:r>
            <w:r>
              <w:rPr>
                <w:rFonts w:hint="eastAsia" w:ascii="宋体" w:hAnsi="宋体" w:eastAsia="宋体" w:cs="宋体"/>
                <w:b w:val="0"/>
                <w:bCs w:val="0"/>
                <w:sz w:val="24"/>
                <w:szCs w:val="24"/>
                <w:lang w:val="en-US" w:eastAsia="zh-CN"/>
              </w:rPr>
              <w:t>投标人须是中华人民共和国境内注册的，具有有效的营业执照；</w:t>
            </w:r>
          </w:p>
          <w:p>
            <w:pPr>
              <w:pStyle w:val="21"/>
              <w:spacing w:before="75" w:after="75" w:line="400" w:lineRule="exact"/>
              <w:jc w:val="both"/>
              <w:rPr>
                <w:rFonts w:hint="default" w:eastAsia="宋体"/>
                <w:color w:val="auto"/>
                <w:highlight w:val="none"/>
                <w:lang w:val="en-US" w:eastAsia="zh-CN"/>
              </w:rPr>
            </w:pPr>
            <w:r>
              <w:rPr>
                <w:rFonts w:hint="eastAsia" w:eastAsia="宋体"/>
                <w:color w:val="auto"/>
                <w:highlight w:val="none"/>
                <w:lang w:val="en-US" w:eastAsia="zh-CN"/>
              </w:rPr>
              <w:t>（2）、投标人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信用查询时间:磋商响应文件提交截止时间前一天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竞争性磋商文件费用：0元。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9245" w:type="dxa"/>
            <w:noWrap w:val="0"/>
            <w:vAlign w:val="center"/>
          </w:tcPr>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投标保证金的金额：人民币</w:t>
            </w:r>
            <w:r>
              <w:rPr>
                <w:rFonts w:hint="eastAsia" w:ascii="宋体" w:hAnsi="宋体" w:cs="宋体"/>
                <w:b w:val="0"/>
                <w:bCs/>
                <w:color w:val="auto"/>
                <w:sz w:val="24"/>
                <w:szCs w:val="24"/>
                <w:highlight w:val="none"/>
                <w:lang w:val="en-US" w:eastAsia="zh-CN"/>
              </w:rPr>
              <w:t>1900</w:t>
            </w:r>
            <w:r>
              <w:rPr>
                <w:rFonts w:hint="eastAsia" w:ascii="宋体" w:hAnsi="宋体" w:cs="宋体"/>
                <w:b w:val="0"/>
                <w:bCs/>
                <w:color w:val="auto"/>
                <w:sz w:val="24"/>
                <w:szCs w:val="24"/>
                <w:highlight w:val="none"/>
              </w:rPr>
              <w:t>元</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于202</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5月10日</w:t>
            </w:r>
            <w:r>
              <w:rPr>
                <w:rFonts w:hint="eastAsia" w:ascii="宋体" w:hAnsi="宋体" w:cs="宋体"/>
                <w:b w:val="0"/>
                <w:bCs/>
                <w:color w:val="auto"/>
                <w:sz w:val="24"/>
                <w:szCs w:val="24"/>
                <w:highlight w:val="none"/>
              </w:rPr>
              <w:t>16时00分前（北京时间，以到账时间为准)从投标人基本账户以支票、银行电汇、网银形式汇至指定账户，投标人递交投标保证金应充分考虑资金在途时间。</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开户单位名称：新疆泓升项目管理有限公司</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开户银行：中国农业银行股份有限公司乌鲁木齐长江路支行</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账户账号：30002401040008748</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开户行行号：103881000244</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投标保证金的形式：银行电汇、网银</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汇款后请把汇款凭证复印件放在投标文件中，无需到公司换取收据。</w:t>
            </w:r>
          </w:p>
          <w:p>
            <w:pPr>
              <w:spacing w:line="360" w:lineRule="auto"/>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退还投标保证金找招标文件中的项目负责人办理。</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注：供应商递交磋商保证金时，须注明所投项目名称及采购项目编号。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采购预算：</w:t>
            </w:r>
            <w:r>
              <w:rPr>
                <w:rFonts w:hint="eastAsia" w:ascii="宋体" w:hAnsi="宋体" w:cs="宋体"/>
                <w:color w:val="auto"/>
                <w:sz w:val="24"/>
                <w:szCs w:val="24"/>
                <w:highlight w:val="none"/>
                <w:lang w:val="en-US" w:eastAsia="zh-CN"/>
              </w:rPr>
              <w:t>190000</w:t>
            </w:r>
            <w:r>
              <w:rPr>
                <w:rFonts w:hint="eastAsia"/>
                <w:color w:val="auto"/>
                <w:sz w:val="24"/>
                <w:szCs w:val="24"/>
                <w:highlight w:val="none"/>
              </w:rPr>
              <w:t>元（大写：</w:t>
            </w:r>
            <w:r>
              <w:rPr>
                <w:rFonts w:hint="eastAsia"/>
                <w:color w:val="auto"/>
                <w:sz w:val="24"/>
                <w:szCs w:val="24"/>
                <w:highlight w:val="none"/>
                <w:lang w:val="en-US" w:eastAsia="zh-CN"/>
              </w:rPr>
              <w:t>叁拾万</w:t>
            </w:r>
            <w:r>
              <w:rPr>
                <w:rFonts w:hint="eastAsia"/>
                <w:color w:val="auto"/>
                <w:sz w:val="24"/>
                <w:szCs w:val="24"/>
                <w:highlight w:val="none"/>
              </w:rPr>
              <w:t>元整）超出此限价按无效投标处理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9245" w:type="dxa"/>
            <w:noWrap w:val="0"/>
            <w:vAlign w:val="center"/>
          </w:tcPr>
          <w:p>
            <w:pPr>
              <w:numPr>
                <w:ilvl w:val="0"/>
                <w:numId w:val="3"/>
              </w:num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电子投标文件递交：</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应于</w:t>
            </w:r>
            <w:r>
              <w:rPr>
                <w:rFonts w:hint="eastAsia" w:ascii="宋体" w:hAnsi="宋体" w:eastAsia="宋体" w:cs="宋体"/>
                <w:b w:val="0"/>
                <w:bCs/>
                <w:color w:val="auto"/>
                <w:sz w:val="24"/>
                <w:szCs w:val="24"/>
                <w:highlight w:val="none"/>
                <w:lang w:eastAsia="zh-CN"/>
              </w:rPr>
              <w:t>202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年</w:t>
            </w:r>
            <w:r>
              <w:rPr>
                <w:rFonts w:hint="eastAsia" w:ascii="宋体" w:hAnsi="宋体" w:eastAsia="宋体" w:cs="宋体"/>
                <w:b w:val="0"/>
                <w:bCs/>
                <w:color w:val="auto"/>
                <w:sz w:val="24"/>
                <w:szCs w:val="24"/>
                <w:highlight w:val="none"/>
                <w:lang w:val="en-US" w:eastAsia="zh-CN"/>
              </w:rPr>
              <w:t>5月10日16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0时之前将电子投标文件上传到“政采云”平台。应按照本项目招标文件和政采云平台的要求编制、加密传输投标文件。供应商对不见面开评标系统的技术操作咨询，可通过https://edu.zcygov.cn/luban/xinjiang-e-biding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 作指南，同时对自助查询无法解决的问题可通过钉钉群及政采云在线客服获取服务支持。</w:t>
            </w:r>
          </w:p>
          <w:p>
            <w:pPr>
              <w:numPr>
                <w:ilvl w:val="0"/>
                <w:numId w:val="0"/>
              </w:num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（2）投标现场无需递交投标文件，中标单位公示完之后需提供：</w:t>
            </w:r>
          </w:p>
          <w:p>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纸质版投标文件：正本一份、副本四份。</w:t>
            </w:r>
          </w:p>
          <w:p>
            <w:pPr>
              <w:spacing w:line="360" w:lineRule="auto"/>
              <w:jc w:val="left"/>
              <w:rPr>
                <w:rFonts w:hint="eastAsia" w:ascii="宋体" w:hAnsi="宋体" w:cs="宋体"/>
                <w:color w:val="auto"/>
                <w:sz w:val="24"/>
                <w:szCs w:val="24"/>
                <w:highlight w:val="yellow"/>
              </w:rPr>
            </w:pPr>
            <w:r>
              <w:rPr>
                <w:rFonts w:hint="eastAsia" w:ascii="宋体" w:hAnsi="宋体" w:eastAsia="宋体" w:cs="宋体"/>
                <w:b w:val="0"/>
                <w:bCs/>
                <w:color w:val="auto"/>
                <w:sz w:val="24"/>
                <w:szCs w:val="24"/>
                <w:highlight w:val="none"/>
              </w:rPr>
              <w:t>投标文件电子版：以</w:t>
            </w:r>
            <w:r>
              <w:rPr>
                <w:rFonts w:hint="eastAsia" w:ascii="宋体" w:hAnsi="宋体" w:eastAsia="宋体" w:cs="宋体"/>
                <w:b w:val="0"/>
                <w:bCs/>
                <w:color w:val="auto"/>
                <w:sz w:val="24"/>
                <w:szCs w:val="24"/>
                <w:highlight w:val="none"/>
                <w:lang w:val="en-US" w:eastAsia="zh-CN"/>
              </w:rPr>
              <w:t>u</w:t>
            </w:r>
            <w:r>
              <w:rPr>
                <w:rFonts w:hint="eastAsia" w:ascii="宋体" w:hAnsi="宋体" w:eastAsia="宋体" w:cs="宋体"/>
                <w:b w:val="0"/>
                <w:bCs/>
                <w:color w:val="auto"/>
                <w:sz w:val="24"/>
                <w:szCs w:val="24"/>
                <w:highlight w:val="none"/>
              </w:rPr>
              <w:t>盘为介质的投标文件电子版</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9245" w:type="dxa"/>
            <w:noWrap w:val="0"/>
            <w:vAlign w:val="center"/>
          </w:tcPr>
          <w:p>
            <w:pPr>
              <w:spacing w:line="44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本项目实行网上投标，采用电子投标文件。若供应商参与投标，自行承担投标一切费用。</w:t>
            </w:r>
          </w:p>
          <w:p>
            <w:pPr>
              <w:spacing w:line="44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40" w:lineRule="exact"/>
              <w:rPr>
                <w:rFonts w:hint="eastAsia" w:ascii="宋体" w:hAnsi="宋体" w:cs="宋体"/>
                <w:b/>
                <w:color w:val="auto"/>
                <w:sz w:val="24"/>
                <w:szCs w:val="24"/>
                <w:highlight w:val="yellow"/>
              </w:rPr>
            </w:pPr>
            <w:r>
              <w:rPr>
                <w:rFonts w:hint="eastAsia" w:ascii="宋体" w:hAnsi="宋体" w:cs="宋体"/>
                <w:b w:val="0"/>
                <w:bCs/>
                <w:color w:val="auto"/>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磋商报价：供应商的报价应为所确定的招标范围内的全部工作内容的价格体现。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9245"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由采购人或采 购代理机构现场请示项目主管部门处理。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noWrap w:val="0"/>
            <w:vAlign w:val="center"/>
          </w:tcPr>
          <w:p>
            <w:pPr>
              <w:snapToGrid w:val="0"/>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9245"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磋商响应文件的递交截止时间：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5月10日</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noWrap w:val="0"/>
            <w:vAlign w:val="center"/>
          </w:tcPr>
          <w:p>
            <w:pPr>
              <w:snapToGrid w:val="0"/>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9245"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磋商响应文件递交地点：</w:t>
            </w:r>
            <w:r>
              <w:rPr>
                <w:rFonts w:hint="eastAsia" w:ascii="宋体" w:hAnsi="宋体" w:eastAsia="宋体" w:cs="宋体"/>
                <w:kern w:val="0"/>
                <w:sz w:val="24"/>
                <w:szCs w:val="24"/>
                <w:lang w:val="en-US" w:eastAsia="zh-CN" w:bidi="ar-SA"/>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1" w:type="dxa"/>
            <w:noWrap w:val="0"/>
            <w:vAlign w:val="center"/>
          </w:tcPr>
          <w:p>
            <w:pPr>
              <w:snapToGrid w:val="0"/>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9245"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磋商响应时间：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5月10日</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:00（北京时间）</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磋商地点：</w:t>
            </w:r>
            <w:r>
              <w:rPr>
                <w:rFonts w:hint="eastAsia" w:ascii="宋体" w:hAnsi="宋体" w:eastAsia="宋体" w:cs="宋体"/>
                <w:kern w:val="0"/>
                <w:sz w:val="24"/>
                <w:szCs w:val="24"/>
                <w:lang w:val="en-US" w:eastAsia="zh-CN" w:bidi="ar-SA"/>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noWrap w:val="0"/>
            <w:vAlign w:val="center"/>
          </w:tcPr>
          <w:p>
            <w:pPr>
              <w:snapToGrid w:val="0"/>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9245" w:type="dxa"/>
            <w:noWrap w:val="0"/>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成交原则：依据提交最后报价的供应商，由磋商小组采用综合评分法对提交最后报价的供应商的磋商响应文件和最后报价进行综合评分。</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综合评分法，是指磋商响应文件满足磋商文件全部实质性要求且按评审因素的量化指标评审得分最高的供应商为成交候选供应商的评审方法。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snapToGrid w:val="0"/>
              <w:spacing w:line="360" w:lineRule="auto"/>
              <w:ind w:right="105" w:rightChars="50"/>
              <w:jc w:val="center"/>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9245" w:type="dxa"/>
            <w:noWrap w:val="0"/>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磋商小组的组建：由采购人代表和评审专家共3人以上单数组成，其中评审专家人数不得少于磋商小组成员总数的2/3。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noWrap w:val="0"/>
            <w:vAlign w:val="center"/>
          </w:tcPr>
          <w:p>
            <w:pPr>
              <w:snapToGrid w:val="0"/>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9245" w:type="dxa"/>
            <w:noWrap w:val="0"/>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政府采购政策支持：</w:t>
            </w:r>
          </w:p>
          <w:p>
            <w:pPr>
              <w:numPr>
                <w:ilvl w:val="0"/>
                <w:numId w:val="0"/>
              </w:num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本项目为非专门面向中小企业（含中型、小型、微型企业）</w:t>
            </w:r>
            <w:r>
              <w:rPr>
                <w:rFonts w:hint="eastAsia" w:ascii="宋体" w:hAnsi="宋体"/>
                <w:color w:val="auto"/>
                <w:sz w:val="24"/>
                <w:highlight w:val="none"/>
              </w:rPr>
              <w:t>采购项目，根据《政府采购促进中小企业发展暂行办法》（财库[2011]181号）的规定，评标时将给予此类企业进行价格</w:t>
            </w:r>
            <w:r>
              <w:rPr>
                <w:rFonts w:hint="eastAsia" w:ascii="宋体" w:hAnsi="宋体"/>
                <w:color w:val="auto"/>
                <w:sz w:val="24"/>
                <w:highlight w:val="none"/>
                <w:lang w:val="en-US" w:eastAsia="zh-CN"/>
              </w:rPr>
              <w:t>10</w:t>
            </w:r>
            <w:r>
              <w:rPr>
                <w:rFonts w:hint="eastAsia" w:ascii="宋体" w:hAnsi="宋体"/>
                <w:color w:val="auto"/>
                <w:sz w:val="24"/>
                <w:highlight w:val="none"/>
              </w:rPr>
              <w:t>%的优惠，监狱企业、残疾人福利性单位视同为小微企业，用优惠后的价格参与评审。</w:t>
            </w:r>
          </w:p>
          <w:p>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olor w:val="auto"/>
                <w:sz w:val="24"/>
                <w:highlight w:val="none"/>
              </w:rPr>
              <w:t>2、落实其他政府采购政策条款。具体办法详见评分办法。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9245" w:type="dxa"/>
            <w:noWrap w:val="0"/>
            <w:vAlign w:val="center"/>
          </w:tcPr>
          <w:p>
            <w:pPr>
              <w:spacing w:line="360" w:lineRule="auto"/>
              <w:jc w:val="left"/>
              <w:rPr>
                <w:rFonts w:hint="eastAsia" w:ascii="宋体" w:hAnsi="宋体"/>
                <w:color w:val="auto"/>
                <w:sz w:val="24"/>
                <w:highlight w:val="none"/>
              </w:rPr>
            </w:pPr>
            <w:r>
              <w:rPr>
                <w:rFonts w:hint="eastAsia" w:ascii="宋体" w:hAnsi="宋体"/>
                <w:color w:val="auto"/>
                <w:sz w:val="24"/>
                <w:highlight w:val="none"/>
              </w:rPr>
              <w:t>供货期：自合同签订之日起</w:t>
            </w:r>
            <w:r>
              <w:rPr>
                <w:rFonts w:hint="eastAsia" w:ascii="宋体" w:hAnsi="宋体"/>
                <w:color w:val="auto"/>
                <w:sz w:val="24"/>
                <w:highlight w:val="none"/>
                <w:lang w:val="en-US" w:eastAsia="zh-CN"/>
              </w:rPr>
              <w:t>90</w:t>
            </w:r>
            <w:r>
              <w:rPr>
                <w:rFonts w:hint="eastAsia" w:ascii="宋体" w:hAnsi="宋体"/>
                <w:color w:val="auto"/>
                <w:sz w:val="24"/>
                <w:highlight w:val="none"/>
              </w:rPr>
              <w:t>日内供货并安装完毕</w:t>
            </w:r>
          </w:p>
          <w:p>
            <w:pPr>
              <w:spacing w:line="360" w:lineRule="auto"/>
              <w:jc w:val="left"/>
              <w:rPr>
                <w:rFonts w:hint="eastAsia" w:ascii="宋体" w:hAnsi="宋体"/>
                <w:color w:val="auto"/>
                <w:sz w:val="24"/>
                <w:highlight w:val="none"/>
              </w:rPr>
            </w:pPr>
            <w:r>
              <w:rPr>
                <w:rFonts w:hint="eastAsia" w:ascii="宋体" w:hAnsi="宋体"/>
                <w:color w:val="auto"/>
                <w:sz w:val="24"/>
                <w:highlight w:val="none"/>
              </w:rPr>
              <w:t>质保期：1年</w:t>
            </w:r>
          </w:p>
          <w:p>
            <w:pPr>
              <w:spacing w:line="360" w:lineRule="auto"/>
              <w:jc w:val="left"/>
              <w:rPr>
                <w:rFonts w:hint="eastAsia" w:ascii="宋体" w:hAnsi="宋体"/>
                <w:color w:val="auto"/>
                <w:sz w:val="24"/>
                <w:highlight w:val="none"/>
              </w:rPr>
            </w:pPr>
            <w:r>
              <w:rPr>
                <w:rFonts w:hint="eastAsia" w:ascii="宋体" w:hAnsi="宋体"/>
                <w:color w:val="auto"/>
                <w:sz w:val="24"/>
                <w:highlight w:val="none"/>
              </w:rPr>
              <w:t>供货地点：采购人指定地点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noWrap w:val="0"/>
            <w:vAlign w:val="center"/>
          </w:tcPr>
          <w:p>
            <w:pPr>
              <w:snapToGrid w:val="0"/>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付款方式：中标后先付30%预付款，产品到货验收合格之后付65%，剩余的合同总金额5%的货款，甲方使用设备壹年后，如无质量问题，甲方无息支付给乙方；甲方付款前，乙方应当按照甲方要求提供相应发票，否则甲方有权不予付款且不承担任何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是否允许提交备选方案：不允许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踏勘现场：采购人不组织踏勘现场，供应商可自行踏勘。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公告发布媒体：新疆政府采购网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9245" w:type="dxa"/>
            <w:noWrap w:val="0"/>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磋商文件的澄清和修改：</w:t>
            </w:r>
          </w:p>
          <w:p>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noWrap w:val="0"/>
            <w:vAlign w:val="center"/>
          </w:tcPr>
          <w:p>
            <w:pPr>
              <w:snapToGrid w:val="0"/>
              <w:spacing w:line="360" w:lineRule="auto"/>
              <w:ind w:right="105" w:rightChars="50"/>
              <w:jc w:val="center"/>
              <w:rPr>
                <w:rFonts w:hint="default"/>
                <w:lang w:val="en-US" w:eastAsia="zh-CN"/>
              </w:rPr>
            </w:pPr>
            <w:r>
              <w:rPr>
                <w:rFonts w:hint="eastAsia"/>
                <w:lang w:val="en-US" w:eastAsia="zh-CN"/>
              </w:rPr>
              <w:t>24</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采购代理服务费：成交供应商应向政府采购代理机构缴纳代理服务费，</w:t>
            </w:r>
            <w:r>
              <w:rPr>
                <w:rFonts w:hint="eastAsia" w:ascii="宋体" w:hAnsi="宋体" w:cs="宋体"/>
                <w:bCs/>
                <w:color w:val="auto"/>
                <w:sz w:val="24"/>
                <w:szCs w:val="24"/>
                <w:highlight w:val="none"/>
              </w:rPr>
              <w:t>政府采购代理服务费按</w:t>
            </w:r>
            <w:r>
              <w:rPr>
                <w:rFonts w:hint="eastAsia" w:ascii="宋体" w:hAnsi="宋体" w:cs="宋体"/>
                <w:color w:val="auto"/>
                <w:sz w:val="24"/>
                <w:szCs w:val="24"/>
                <w:highlight w:val="none"/>
              </w:rPr>
              <w:t>国家发改委计价格[</w:t>
            </w:r>
            <w:r>
              <w:rPr>
                <w:rFonts w:ascii="宋体" w:hAnsi="宋体" w:cs="宋体"/>
                <w:color w:val="auto"/>
                <w:sz w:val="24"/>
                <w:szCs w:val="24"/>
                <w:highlight w:val="none"/>
              </w:rPr>
              <w:t>2002</w:t>
            </w:r>
            <w:r>
              <w:rPr>
                <w:rFonts w:hint="eastAsia" w:ascii="宋体" w:hAnsi="宋体" w:cs="宋体"/>
                <w:color w:val="auto"/>
                <w:sz w:val="24"/>
                <w:szCs w:val="24"/>
                <w:highlight w:val="none"/>
              </w:rPr>
              <w:t>]</w:t>
            </w:r>
            <w:r>
              <w:rPr>
                <w:rFonts w:ascii="宋体" w:hAnsi="宋体" w:cs="宋体"/>
                <w:color w:val="auto"/>
                <w:sz w:val="24"/>
                <w:szCs w:val="24"/>
                <w:highlight w:val="none"/>
              </w:rPr>
              <w:t>1980号文</w:t>
            </w:r>
            <w:r>
              <w:rPr>
                <w:rFonts w:hint="eastAsia" w:ascii="宋体" w:hAnsi="宋体" w:cs="宋体"/>
                <w:color w:val="auto"/>
                <w:sz w:val="24"/>
                <w:szCs w:val="24"/>
                <w:highlight w:val="none"/>
                <w:lang w:eastAsia="zh-CN"/>
              </w:rPr>
              <w:t>、</w:t>
            </w:r>
            <w:r>
              <w:rPr>
                <w:rFonts w:hint="eastAsia" w:ascii="宋体" w:hAnsi="宋体" w:eastAsia="宋体" w:cs="宋体"/>
                <w:color w:val="auto"/>
                <w:sz w:val="24"/>
                <w:highlight w:val="none"/>
              </w:rPr>
              <w:t>发改办价格[2003]857号文计取</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磋商有效期：</w:t>
            </w:r>
            <w:r>
              <w:rPr>
                <w:rFonts w:hint="eastAsia" w:ascii="宋体" w:hAnsi="宋体"/>
                <w:color w:val="auto"/>
                <w:sz w:val="24"/>
                <w:szCs w:val="24"/>
                <w:highlight w:val="none"/>
              </w:rPr>
              <w:t>磋商响应文件截止之日起</w:t>
            </w:r>
            <w:r>
              <w:rPr>
                <w:rFonts w:ascii="宋体" w:hAnsi="宋体"/>
                <w:color w:val="auto"/>
                <w:sz w:val="24"/>
                <w:szCs w:val="24"/>
                <w:highlight w:val="none"/>
              </w:rPr>
              <w:t>9</w:t>
            </w:r>
            <w:r>
              <w:rPr>
                <w:rFonts w:hint="eastAsia" w:ascii="宋体" w:hAnsi="宋体"/>
                <w:color w:val="auto"/>
                <w:sz w:val="24"/>
                <w:szCs w:val="24"/>
                <w:highlight w:val="none"/>
              </w:rPr>
              <w:t>0天</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snapToGrid w:val="0"/>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9245" w:type="dxa"/>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b/>
                <w:color w:val="auto"/>
                <w:sz w:val="24"/>
                <w:highlight w:val="none"/>
              </w:rPr>
              <w:t>备注：</w:t>
            </w:r>
            <w:r>
              <w:rPr>
                <w:rFonts w:hint="eastAsia" w:ascii="宋体" w:hAnsi="宋体" w:eastAsia="宋体" w:cs="宋体"/>
                <w:color w:val="auto"/>
                <w:sz w:val="24"/>
                <w:szCs w:val="24"/>
                <w:highlight w:val="none"/>
              </w:rPr>
              <w:t>（1）供应商所报服务等同或不得低于磋商文件要求的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要求。任何对磋商文件的忽略或误解不能作为响应文件存在缺陷或瑕疵的理由，其风险由供应商承担。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）供应商应保证，在中华人民共和国境内使用投标成果、服务或其任何一部分时，不会产生因第三方提出侵犯其专利权或其它知识产权而引起的法律和经济纠纷。</w:t>
            </w:r>
          </w:p>
        </w:tc>
      </w:tr>
    </w:tbl>
    <w:p>
      <w:pPr>
        <w:snapToGrid w:val="0"/>
        <w:spacing w:line="500" w:lineRule="exact"/>
        <w:jc w:val="left"/>
        <w:outlineLvl w:val="1"/>
        <w:rPr>
          <w:rFonts w:hint="eastAsia" w:ascii="宋体" w:hAnsi="宋体"/>
          <w:b/>
          <w:color w:val="auto"/>
          <w:sz w:val="24"/>
          <w:szCs w:val="24"/>
          <w:highlight w:val="none"/>
          <w:lang w:val="en-US" w:eastAsia="zh-CN"/>
        </w:rPr>
      </w:pPr>
      <w:bookmarkStart w:id="4" w:name="_Toc27351"/>
      <w:r>
        <w:rPr>
          <w:rFonts w:hint="eastAsia" w:ascii="宋体" w:hAnsi="宋体"/>
          <w:b/>
          <w:color w:val="auto"/>
          <w:sz w:val="24"/>
          <w:szCs w:val="24"/>
          <w:highlight w:val="none"/>
          <w:lang w:eastAsia="zh-CN"/>
        </w:rPr>
        <w:t>说明</w:t>
      </w:r>
      <w:r>
        <w:rPr>
          <w:rFonts w:hint="eastAsia" w:ascii="宋体" w:hAnsi="宋体"/>
          <w:b/>
          <w:color w:val="auto"/>
          <w:sz w:val="24"/>
          <w:szCs w:val="24"/>
          <w:highlight w:val="none"/>
          <w:lang w:val="en-US" w:eastAsia="zh-CN"/>
        </w:rPr>
        <w:t>:当正文中的内容与前附表规定的内容不一致时，以前附表的规定为准。</w:t>
      </w:r>
    </w:p>
    <w:p>
      <w:pPr>
        <w:snapToGrid w:val="0"/>
        <w:spacing w:line="500" w:lineRule="exact"/>
        <w:jc w:val="left"/>
        <w:outlineLvl w:val="1"/>
        <w:rPr>
          <w:rFonts w:hint="eastAsia" w:ascii="宋体" w:hAnsi="宋体"/>
          <w:b/>
          <w:color w:val="auto"/>
          <w:sz w:val="24"/>
          <w:szCs w:val="24"/>
          <w:highlight w:val="none"/>
        </w:rPr>
      </w:pPr>
    </w:p>
    <w:p>
      <w:pPr>
        <w:keepNext w:val="0"/>
        <w:keepLines w:val="0"/>
        <w:pageBreakBefore/>
        <w:widowControl w:val="0"/>
        <w:kinsoku/>
        <w:wordWrap/>
        <w:overflowPunct/>
        <w:topLinePunct w:val="0"/>
        <w:autoSpaceDE/>
        <w:autoSpaceDN/>
        <w:bidi w:val="0"/>
        <w:adjustRightInd/>
        <w:snapToGrid w:val="0"/>
        <w:spacing w:line="500" w:lineRule="exact"/>
        <w:jc w:val="center"/>
        <w:textAlignment w:val="auto"/>
        <w:outlineLvl w:val="1"/>
        <w:rPr>
          <w:rFonts w:hint="eastAsia" w:ascii="宋体" w:hAnsi="宋体" w:cs="Arial"/>
          <w:color w:val="auto"/>
          <w:sz w:val="24"/>
          <w:szCs w:val="24"/>
          <w:highlight w:val="none"/>
        </w:rPr>
      </w:pPr>
      <w:r>
        <w:rPr>
          <w:rFonts w:hint="eastAsia" w:ascii="宋体" w:hAnsi="宋体"/>
          <w:b/>
          <w:color w:val="auto"/>
          <w:sz w:val="24"/>
          <w:szCs w:val="24"/>
          <w:highlight w:val="none"/>
        </w:rPr>
        <w:t>一、总则</w:t>
      </w:r>
      <w:bookmarkEnd w:id="4"/>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（一）总则</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  项目说明</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 本项目的说明详见供应商须知前附表（以下简称“前附表”）所述。</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 本招标项目已经批准，采购单位为</w:t>
      </w:r>
      <w:r>
        <w:rPr>
          <w:rFonts w:hint="eastAsia" w:ascii="宋体" w:hAnsi="宋体"/>
          <w:color w:val="auto"/>
          <w:sz w:val="24"/>
          <w:szCs w:val="24"/>
          <w:highlight w:val="none"/>
          <w:u w:val="single"/>
          <w:lang w:eastAsia="zh-CN"/>
        </w:rPr>
        <w:t>新疆农业大学</w:t>
      </w:r>
      <w:r>
        <w:rPr>
          <w:rFonts w:hint="eastAsia" w:ascii="宋体" w:hAnsi="宋体"/>
          <w:color w:val="auto"/>
          <w:sz w:val="24"/>
          <w:szCs w:val="24"/>
          <w:highlight w:val="none"/>
        </w:rPr>
        <w:t>，该项目已具备招标条件。</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宋体" w:hAnsi="宋体"/>
          <w:b/>
          <w:color w:val="auto"/>
          <w:sz w:val="24"/>
          <w:szCs w:val="24"/>
          <w:highlight w:val="none"/>
        </w:rPr>
        <w:t>成交后不允许转包、违法分包</w:t>
      </w:r>
      <w:r>
        <w:rPr>
          <w:rFonts w:hint="eastAsia" w:ascii="宋体" w:hAnsi="宋体"/>
          <w:color w:val="auto"/>
          <w:sz w:val="24"/>
          <w:szCs w:val="24"/>
          <w:highlight w:val="none"/>
        </w:rPr>
        <w:t>。</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 资格后审包括下列的内容</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1.4.1 供应商</w:t>
      </w:r>
      <w:r>
        <w:rPr>
          <w:rFonts w:hint="eastAsia" w:ascii="宋体" w:hAnsi="宋体"/>
          <w:color w:val="auto"/>
          <w:sz w:val="24"/>
          <w:szCs w:val="24"/>
          <w:highlight w:val="none"/>
          <w:lang w:val="en-US" w:eastAsia="zh-CN"/>
        </w:rPr>
        <w:t>须</w:t>
      </w:r>
      <w:r>
        <w:rPr>
          <w:rFonts w:hint="eastAsia" w:ascii="宋体" w:hAnsi="宋体"/>
          <w:color w:val="auto"/>
          <w:sz w:val="24"/>
          <w:szCs w:val="24"/>
          <w:highlight w:val="none"/>
        </w:rPr>
        <w:t>满足“前附表”规定的资格要求 ；</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1.4.2 磋商响应文件有要求供应商法定代表人或其授权代表签字或盖章和加盖供应商公章要求的，供应商须按要求盖章或签字；</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1.4.3</w:t>
      </w:r>
      <w:r>
        <w:rPr>
          <w:rFonts w:hint="eastAsia" w:ascii="宋体" w:hAnsi="宋体"/>
          <w:color w:val="auto"/>
          <w:sz w:val="24"/>
          <w:szCs w:val="24"/>
          <w:highlight w:val="none"/>
          <w:lang w:val="en-US" w:eastAsia="zh-CN"/>
        </w:rPr>
        <w:t>供货期、质保期</w:t>
      </w:r>
      <w:r>
        <w:rPr>
          <w:rFonts w:hint="eastAsia" w:ascii="宋体" w:hAnsi="宋体"/>
          <w:color w:val="auto"/>
          <w:sz w:val="24"/>
          <w:szCs w:val="24"/>
          <w:highlight w:val="none"/>
        </w:rPr>
        <w:t>符合磋商文件要求；</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1.4.4 磋商地点符合磋商文件规定；</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1.4.5 磋商内容、质量满足磋商文件要求；</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1.4.6 磋商响应文件中所提条件均符合采购人的要求；</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1.4.7 符合磋商文件中规定的其他实质性要求；</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1.4.8 无法律、法规和规章禁止的其他情况。</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（二）采购方式</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w:t>
      </w:r>
      <w:r>
        <w:rPr>
          <w:rFonts w:ascii="宋体" w:hAnsi="宋体"/>
          <w:color w:val="auto"/>
          <w:sz w:val="24"/>
          <w:szCs w:val="24"/>
          <w:highlight w:val="none"/>
        </w:rPr>
        <w:t xml:space="preserve"> </w:t>
      </w:r>
      <w:r>
        <w:rPr>
          <w:rFonts w:hint="eastAsia" w:ascii="宋体" w:hAnsi="宋体"/>
          <w:color w:val="auto"/>
          <w:sz w:val="24"/>
          <w:szCs w:val="24"/>
          <w:highlight w:val="none"/>
        </w:rPr>
        <w:t>本项目采取</w:t>
      </w:r>
      <w:r>
        <w:rPr>
          <w:rFonts w:hint="eastAsia" w:ascii="宋体" w:hAnsi="宋体"/>
          <w:color w:val="auto"/>
          <w:sz w:val="24"/>
          <w:szCs w:val="24"/>
          <w:highlight w:val="none"/>
          <w:u w:val="single"/>
        </w:rPr>
        <w:t>竞争性磋商方式</w:t>
      </w:r>
      <w:r>
        <w:rPr>
          <w:rFonts w:hint="eastAsia" w:ascii="宋体" w:hAnsi="宋体"/>
          <w:color w:val="auto"/>
          <w:sz w:val="24"/>
          <w:szCs w:val="24"/>
          <w:highlight w:val="none"/>
        </w:rPr>
        <w:t>采购。</w:t>
      </w:r>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（三）合格的供应商</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 合格的供应商必须是有能力按照本竞争性磋商文件规定的要求提供服务 ，且具有独立承担民事等法律责任的法人或其它经济组织，本次磋商不接受联合体投标。</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 供应商应按照磋商文件的要求编制磋商响应文件。磋商响应文件应当对磋商文件提出的要求和条件做出实质性响应。</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3.3已按规定交纳磋商保证金。</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3.4单位负责人为同一人或者存在直接控股、管理关系的不同供应商，不得参加同一合同项下的政府采购活动。</w:t>
      </w:r>
    </w:p>
    <w:p>
      <w:pPr>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 为采购项目提供整体设计、规范编制或者项目管理、监理、检测等服务的供应商，不得再参加本项目的采购活动。</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（四）适用法律</w:t>
      </w:r>
    </w:p>
    <w:p>
      <w:pPr>
        <w:pStyle w:val="16"/>
        <w:snapToGrid w:val="0"/>
        <w:spacing w:line="500" w:lineRule="exact"/>
        <w:ind w:left="0" w:leftChars="0" w:firstLine="240" w:firstLineChars="100"/>
        <w:rPr>
          <w:rFonts w:hint="eastAsia" w:ascii="宋体" w:hAnsi="宋体"/>
          <w:color w:val="auto"/>
          <w:szCs w:val="24"/>
          <w:highlight w:val="none"/>
        </w:rPr>
      </w:pPr>
      <w:r>
        <w:rPr>
          <w:rFonts w:hint="eastAsia" w:ascii="宋体" w:hAnsi="宋体"/>
          <w:b w:val="0"/>
          <w:color w:val="auto"/>
          <w:szCs w:val="24"/>
          <w:highlight w:val="none"/>
          <w:u w:val="none"/>
        </w:rPr>
        <w:t>4.1</w:t>
      </w:r>
      <w:r>
        <w:rPr>
          <w:rFonts w:hint="eastAsia" w:ascii="宋体" w:hAnsi="宋体"/>
          <w:color w:val="auto"/>
          <w:szCs w:val="24"/>
          <w:highlight w:val="none"/>
          <w:u w:val="none"/>
        </w:rPr>
        <w:t xml:space="preserve"> </w:t>
      </w:r>
      <w:r>
        <w:rPr>
          <w:rFonts w:hint="eastAsia" w:ascii="宋体" w:hAnsi="宋体"/>
          <w:color w:val="auto"/>
          <w:szCs w:val="24"/>
          <w:highlight w:val="none"/>
        </w:rPr>
        <w:t>本次磋商及由本次磋商产生的合同受中华人民共和国的相关法律、法规制约和保护。</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（五）竞争性磋商费用</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5.1 供应商应自行承担所有参加磋商有关的费用。</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（六）竞争性磋商文件的约束力</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6.1 供应商一旦报名参加本项目竞标，即被认为接受了本竞争性磋商文件中的所有条件和规定。</w:t>
      </w:r>
    </w:p>
    <w:p>
      <w:pPr>
        <w:snapToGrid w:val="0"/>
        <w:spacing w:line="500" w:lineRule="exact"/>
        <w:ind w:firstLine="200"/>
        <w:jc w:val="center"/>
        <w:outlineLvl w:val="1"/>
        <w:rPr>
          <w:rFonts w:hint="eastAsia" w:ascii="宋体" w:hAnsi="宋体"/>
          <w:b/>
          <w:color w:val="auto"/>
          <w:sz w:val="24"/>
          <w:szCs w:val="24"/>
          <w:highlight w:val="none"/>
        </w:rPr>
      </w:pPr>
      <w:bookmarkStart w:id="5" w:name="_Toc31468"/>
      <w:r>
        <w:rPr>
          <w:rFonts w:hint="eastAsia" w:ascii="宋体" w:hAnsi="宋体"/>
          <w:b/>
          <w:color w:val="auto"/>
          <w:sz w:val="24"/>
          <w:szCs w:val="24"/>
          <w:highlight w:val="none"/>
        </w:rPr>
        <w:t>二、竞争性磋商文件</w:t>
      </w:r>
      <w:bookmarkEnd w:id="5"/>
    </w:p>
    <w:p>
      <w:pPr>
        <w:snapToGrid w:val="0"/>
        <w:spacing w:line="50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（七）竞争性磋商文件构成</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bCs/>
          <w:color w:val="auto"/>
          <w:sz w:val="24"/>
          <w:szCs w:val="24"/>
          <w:highlight w:val="none"/>
        </w:rPr>
        <w:t>7.1</w:t>
      </w:r>
      <w:r>
        <w:rPr>
          <w:rFonts w:ascii="宋体" w:hAnsi="宋体"/>
          <w:bCs/>
          <w:color w:val="auto"/>
          <w:sz w:val="24"/>
          <w:szCs w:val="24"/>
          <w:highlight w:val="none"/>
        </w:rPr>
        <w:t xml:space="preserve"> </w:t>
      </w:r>
      <w:r>
        <w:rPr>
          <w:rFonts w:hint="eastAsia" w:ascii="宋体" w:hAnsi="宋体"/>
          <w:bCs/>
          <w:color w:val="auto"/>
          <w:sz w:val="24"/>
          <w:szCs w:val="24"/>
          <w:highlight w:val="none"/>
        </w:rPr>
        <w:t>竞争性磋商文件包括内容：</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7.1.1竞争性磋商公告；</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7.1.2供应商须知前附表及须知；</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7.1.3服务合同格式（参考）；</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7.1.4采购需求 ；</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7.1.5磋商响应文件格式。</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7.2 供应商获取竞争性磋商文件后，应仔细检查竞争性磋商文件页数和附件数量，如发现有缺漏，请即时与采购代理机构联系补全。如果供应商不按上述要求操作而造成不良后果，采购人及采购代理机构不承担责任。</w:t>
      </w:r>
    </w:p>
    <w:p>
      <w:pPr>
        <w:snapToGrid w:val="0"/>
        <w:spacing w:line="500" w:lineRule="exact"/>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（八）竞争性磋商文件的澄清</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（九）竞争性磋商文件的修改</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9.1 </w:t>
      </w:r>
      <w:r>
        <w:rPr>
          <w:rFonts w:hint="eastAsia" w:ascii="宋体" w:hAnsi="宋体"/>
          <w:bCs/>
          <w:color w:val="auto"/>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9.2 </w:t>
      </w:r>
      <w:r>
        <w:rPr>
          <w:rFonts w:hint="eastAsia" w:ascii="宋体" w:hAnsi="宋体"/>
          <w:color w:val="auto"/>
          <w:sz w:val="24"/>
          <w:szCs w:val="24"/>
          <w:highlight w:val="none"/>
        </w:rPr>
        <w:t>竞争性磋商文件的修改将以书面形式通知所有已报名供应商，并对竞标供应商具有约束力。</w:t>
      </w:r>
      <w:r>
        <w:rPr>
          <w:rFonts w:hint="eastAsia" w:ascii="宋体" w:hAnsi="宋体"/>
          <w:b/>
          <w:color w:val="auto"/>
          <w:sz w:val="24"/>
          <w:szCs w:val="24"/>
          <w:highlight w:val="none"/>
          <w:u w:val="single"/>
        </w:rPr>
        <w:t>供应商收到修改文件后，应于1日内回复采购人，逾期不回的，视同已收。</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9.3 </w:t>
      </w:r>
      <w:r>
        <w:rPr>
          <w:rFonts w:hint="eastAsia" w:ascii="宋体" w:hAnsi="宋体"/>
          <w:color w:val="auto"/>
          <w:sz w:val="24"/>
          <w:szCs w:val="24"/>
          <w:highlight w:val="none"/>
        </w:rPr>
        <w:t>为使供应商有充分的时间对竞争性磋商文件的修改部分进行分析、研究，采购人有权推迟磋商响应文件接收截止日期和磋商时间，并将此变更书面通知所有购买竞争性磋商文件的供应商。</w:t>
      </w:r>
    </w:p>
    <w:p>
      <w:pPr>
        <w:snapToGrid w:val="0"/>
        <w:spacing w:line="50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9.4 </w:t>
      </w:r>
      <w:r>
        <w:rPr>
          <w:rFonts w:hint="eastAsia" w:ascii="宋体" w:hAnsi="宋体"/>
          <w:color w:val="auto"/>
          <w:sz w:val="24"/>
          <w:szCs w:val="24"/>
          <w:highlight w:val="none"/>
        </w:rPr>
        <w:t>采购人发出的所有补充、修改和变更文件均作为竞争性磋商文件的组成部分，与竞争性磋商文件具有同等法律效力。</w:t>
      </w:r>
    </w:p>
    <w:p>
      <w:pPr>
        <w:snapToGrid w:val="0"/>
        <w:spacing w:line="500" w:lineRule="exact"/>
        <w:ind w:firstLine="480" w:firstLineChars="200"/>
        <w:jc w:val="left"/>
        <w:rPr>
          <w:rFonts w:hint="eastAsia" w:ascii="宋体" w:hAnsi="宋体"/>
          <w:color w:val="auto"/>
          <w:sz w:val="24"/>
          <w:szCs w:val="24"/>
          <w:highlight w:val="none"/>
        </w:rPr>
      </w:pPr>
    </w:p>
    <w:p>
      <w:pPr>
        <w:snapToGrid w:val="0"/>
        <w:spacing w:line="500" w:lineRule="exact"/>
        <w:ind w:firstLine="200"/>
        <w:jc w:val="center"/>
        <w:outlineLvl w:val="1"/>
        <w:rPr>
          <w:rFonts w:hint="eastAsia" w:ascii="宋体" w:hAnsi="宋体"/>
          <w:b/>
          <w:color w:val="auto"/>
          <w:sz w:val="24"/>
          <w:szCs w:val="24"/>
          <w:highlight w:val="none"/>
        </w:rPr>
      </w:pPr>
      <w:bookmarkStart w:id="6" w:name="_Toc1863"/>
      <w:r>
        <w:rPr>
          <w:rFonts w:hint="eastAsia" w:ascii="宋体" w:hAnsi="宋体"/>
          <w:b/>
          <w:color w:val="auto"/>
          <w:sz w:val="24"/>
          <w:szCs w:val="24"/>
          <w:highlight w:val="none"/>
        </w:rPr>
        <w:t>三、磋商响应文件的编制</w:t>
      </w:r>
      <w:bookmarkEnd w:id="6"/>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（十）磋商响应文件的编制要求</w:t>
      </w:r>
    </w:p>
    <w:p>
      <w:pPr>
        <w:snapToGrid w:val="0"/>
        <w:spacing w:line="50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pPr>
        <w:snapToGrid w:val="0"/>
        <w:spacing w:line="50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（十一）磋商响应文件构成</w:t>
      </w:r>
    </w:p>
    <w:p>
      <w:pPr>
        <w:spacing w:line="500" w:lineRule="exact"/>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11.1</w:t>
      </w:r>
      <w:r>
        <w:rPr>
          <w:rFonts w:hint="eastAsia" w:ascii="宋体" w:hAnsi="宋体"/>
          <w:color w:val="auto"/>
          <w:sz w:val="24"/>
          <w:szCs w:val="24"/>
          <w:highlight w:val="none"/>
        </w:rPr>
        <w:t>磋商响应书</w:t>
      </w:r>
    </w:p>
    <w:p>
      <w:pPr>
        <w:spacing w:line="500" w:lineRule="exact"/>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11.2开标一览表</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11.3政策适用性说明（符合要求填写）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11.4供应商基本情况表</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11.5法定代表人身份证明书</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11.6法定代表人授权委托书</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11.7关于《中华人民共和国政府采购法》第二十二条的承诺书</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11.8供应商的资格声明</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11.9供应商资格要求</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11.10采购需求响应偏离表</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11.11供应商类似项目业绩表</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11.13节能、环境标志产品优惠明细表(若有，请如实填写)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11.13节能、环境标志产品证明材料(若有，请如实填写)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11.14小微企业生产或销售的产品优惠明细表(若有，请如实填写)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11.15中小微企业声明函（符合本声明函填写）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11.16监狱企业声明函（符合本声明函填写）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11.17残疾人福利性单位声明函（符合本声明函填写）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11.18评审中所需资料</w:t>
      </w:r>
    </w:p>
    <w:p>
      <w:pPr>
        <w:autoSpaceDE w:val="0"/>
        <w:autoSpaceDN w:val="0"/>
        <w:adjustRightInd w:val="0"/>
        <w:spacing w:line="500" w:lineRule="exact"/>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11.19供应商认为有必要提供的其他资料</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（十二）磋商响应文件格式</w:t>
      </w:r>
    </w:p>
    <w:p>
      <w:pPr>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12.1 供应商需按照上述磋商响应文件构成顺序编制磋商响应文件，并编制目录、页码，并按竞争性磋商文件中提供的格式填写、签署。措施文件未提供格式的，供应商可自行拓展。</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（十三）竞标报价</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本招标项目使用的货币为</w:t>
      </w:r>
      <w:r>
        <w:rPr>
          <w:rFonts w:hint="eastAsia" w:ascii="宋体" w:hAnsi="宋体"/>
          <w:color w:val="auto"/>
          <w:sz w:val="24"/>
          <w:szCs w:val="24"/>
          <w:highlight w:val="none"/>
          <w:u w:val="single"/>
        </w:rPr>
        <w:t xml:space="preserve"> 人民币 </w:t>
      </w:r>
      <w:r>
        <w:rPr>
          <w:rFonts w:hint="eastAsia" w:ascii="宋体" w:hAnsi="宋体"/>
          <w:color w:val="auto"/>
          <w:sz w:val="24"/>
          <w:szCs w:val="24"/>
          <w:highlight w:val="none"/>
        </w:rPr>
        <w:t xml:space="preserve">，实施时亦以 </w:t>
      </w:r>
      <w:r>
        <w:rPr>
          <w:rFonts w:hint="eastAsia" w:ascii="宋体" w:hAnsi="宋体"/>
          <w:color w:val="auto"/>
          <w:sz w:val="24"/>
          <w:szCs w:val="24"/>
          <w:highlight w:val="none"/>
          <w:u w:val="single"/>
        </w:rPr>
        <w:t xml:space="preserve">人民币 </w:t>
      </w:r>
      <w:r>
        <w:rPr>
          <w:rFonts w:hint="eastAsia" w:ascii="宋体" w:hAnsi="宋体"/>
          <w:color w:val="auto"/>
          <w:sz w:val="24"/>
          <w:szCs w:val="24"/>
          <w:highlight w:val="none"/>
        </w:rPr>
        <w:t>支付。</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13.2 </w:t>
      </w:r>
      <w:r>
        <w:rPr>
          <w:rFonts w:hint="eastAsia" w:ascii="宋体" w:hAnsi="宋体"/>
          <w:color w:val="auto"/>
          <w:sz w:val="24"/>
          <w:szCs w:val="24"/>
          <w:highlight w:val="none"/>
        </w:rPr>
        <w:t>竞标报价为</w:t>
      </w:r>
      <w:r>
        <w:rPr>
          <w:rFonts w:hint="eastAsia" w:ascii="宋体" w:hAnsi="宋体" w:cs="宋体"/>
          <w:color w:val="auto"/>
          <w:sz w:val="24"/>
          <w:szCs w:val="24"/>
          <w:highlight w:val="none"/>
        </w:rPr>
        <w:t>供应商的报价应为所确定的招标范围内的全部工作内容的价格体现。</w:t>
      </w:r>
      <w:r>
        <w:rPr>
          <w:rFonts w:hint="eastAsia" w:ascii="宋体" w:hAnsi="宋体"/>
          <w:color w:val="auto"/>
          <w:sz w:val="24"/>
          <w:szCs w:val="24"/>
          <w:highlight w:val="none"/>
        </w:rPr>
        <w:t>任何有选择的报价将不予接受（除非采购人另有约定），否则，在评标时将其视为无效投标。</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13.3 开标一览表（报价表）标明的价格在签订合同及合同执行过程中是固定不变的，不得以任何理由予以变更（除非采购人另有约定）。</w:t>
      </w:r>
    </w:p>
    <w:p>
      <w:pPr>
        <w:snapToGrid w:val="0"/>
        <w:spacing w:line="50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13.4 </w:t>
      </w:r>
      <w:r>
        <w:rPr>
          <w:rFonts w:hint="eastAsia" w:ascii="宋体" w:hAnsi="宋体"/>
          <w:color w:val="auto"/>
          <w:sz w:val="24"/>
          <w:szCs w:val="24"/>
          <w:highlight w:val="none"/>
        </w:rPr>
        <w:t>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pPr>
        <w:snapToGrid w:val="0"/>
        <w:spacing w:line="500" w:lineRule="exact"/>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（十四）磋商保证金</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14.1 </w:t>
      </w:r>
      <w:r>
        <w:rPr>
          <w:rFonts w:hint="eastAsia" w:ascii="宋体" w:hAnsi="宋体"/>
          <w:color w:val="auto"/>
          <w:sz w:val="24"/>
          <w:szCs w:val="24"/>
          <w:highlight w:val="none"/>
        </w:rPr>
        <w:t>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14.2 </w:t>
      </w:r>
      <w:r>
        <w:rPr>
          <w:rFonts w:hint="eastAsia" w:ascii="宋体" w:hAnsi="宋体"/>
          <w:color w:val="auto"/>
          <w:sz w:val="24"/>
          <w:szCs w:val="24"/>
          <w:highlight w:val="none"/>
        </w:rPr>
        <w:t>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14.3 </w:t>
      </w:r>
      <w:r>
        <w:rPr>
          <w:rFonts w:hint="eastAsia" w:ascii="宋体" w:hAnsi="宋体"/>
          <w:color w:val="auto"/>
          <w:sz w:val="24"/>
          <w:szCs w:val="24"/>
          <w:highlight w:val="none"/>
        </w:rPr>
        <w:t>磋商保证金不接受银行保函。凡未提交磋商保证金的投标，将被视为非实质性响应性投标而被拒绝。</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14.4 </w:t>
      </w:r>
      <w:r>
        <w:rPr>
          <w:rFonts w:hint="eastAsia" w:ascii="宋体" w:hAnsi="宋体"/>
          <w:color w:val="auto"/>
          <w:sz w:val="24"/>
          <w:szCs w:val="24"/>
          <w:highlight w:val="none"/>
        </w:rPr>
        <w:t>联合体投标的，可以由联合体中的一方或者共同提交磋商保证金。以一方名义提交磋商保证金的，对联合体各方均具有约束力。</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14.5 </w:t>
      </w:r>
      <w:r>
        <w:rPr>
          <w:rFonts w:hint="eastAsia" w:ascii="宋体" w:hAnsi="宋体"/>
          <w:color w:val="auto"/>
          <w:sz w:val="24"/>
          <w:szCs w:val="24"/>
          <w:highlight w:val="none"/>
        </w:rPr>
        <w:t>未成交供应商的磋商保证金，将在成交通知书发出5个工作日内退还。因违反规定被没收的磋商保证金不予退回。</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14.6 </w:t>
      </w:r>
      <w:r>
        <w:rPr>
          <w:rFonts w:hint="eastAsia" w:ascii="宋体" w:hAnsi="宋体"/>
          <w:color w:val="auto"/>
          <w:sz w:val="24"/>
          <w:szCs w:val="24"/>
          <w:highlight w:val="none"/>
        </w:rPr>
        <w:t>成交供应商的磋商保证金，须按磋商要求与采购人签订合同并缴纳履约担保，提供与采购签署的合同复印件（须加盖成交供应商公章）、及按磋商要求向采购人提交履约担保证明资料（加盖成交供应商公章），向招标机构付清政府采购代理服务费后5个工作日内予以退还。</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14.7 </w:t>
      </w:r>
      <w:r>
        <w:rPr>
          <w:rFonts w:hint="eastAsia" w:ascii="宋体" w:hAnsi="宋体"/>
          <w:color w:val="auto"/>
          <w:sz w:val="24"/>
          <w:szCs w:val="24"/>
          <w:highlight w:val="none"/>
        </w:rPr>
        <w:t>下列任何情况发生时，磋商保证金将可能被没收：</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14.</w:t>
      </w:r>
      <w:r>
        <w:rPr>
          <w:rFonts w:hint="eastAsia" w:ascii="宋体" w:hAnsi="宋体"/>
          <w:color w:val="auto"/>
          <w:sz w:val="24"/>
          <w:szCs w:val="24"/>
          <w:highlight w:val="none"/>
        </w:rPr>
        <w:t>7.1 供应商在规定的磋商有效期内撤回其投标；</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14.</w:t>
      </w:r>
      <w:r>
        <w:rPr>
          <w:rFonts w:hint="eastAsia" w:ascii="宋体" w:hAnsi="宋体"/>
          <w:color w:val="auto"/>
          <w:sz w:val="24"/>
          <w:szCs w:val="24"/>
          <w:highlight w:val="none"/>
        </w:rPr>
        <w:t>7.2 成交供应商无正当理由拒绝按规定与采购人签订合同或未能在规定期限内签署合同的或未按采购文件要求提交履约保证金的；</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14.8 </w:t>
      </w:r>
      <w:r>
        <w:rPr>
          <w:rFonts w:hint="eastAsia" w:ascii="宋体" w:hAnsi="宋体"/>
          <w:color w:val="auto"/>
          <w:sz w:val="24"/>
          <w:szCs w:val="24"/>
          <w:highlight w:val="none"/>
        </w:rPr>
        <w:t>供应商办理磋商保证金退款申请手续须提供以下资料：</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14.8.</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 xml:space="preserve"> 供应商给代理机构开具的收款收据（收款单位开具并加盖收款单位财务章）；同时须提供清晰的开户银行名称、银行账号及收款单位名称。</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14.</w:t>
      </w:r>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退还成交供应商方磋商保证金时，成交供应商方还须提供与采购人签订的合同原件一份（原件核查无误后退还）和已加盖成交方公章的合同全本复印件一份（代理机构存档备查）。</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（十五）磋商有效期</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15.</w:t>
      </w:r>
      <w:r>
        <w:rPr>
          <w:rFonts w:hint="eastAsia" w:ascii="宋体" w:hAnsi="宋体"/>
          <w:color w:val="auto"/>
          <w:sz w:val="24"/>
          <w:szCs w:val="24"/>
          <w:highlight w:val="none"/>
        </w:rPr>
        <w:t>1 磋商有效期为竞争性磋商文件规定的供应商提交磋商响应文件截止之日起</w:t>
      </w:r>
      <w:r>
        <w:rPr>
          <w:rFonts w:ascii="宋体" w:hAnsi="宋体"/>
          <w:color w:val="auto"/>
          <w:sz w:val="24"/>
          <w:szCs w:val="24"/>
          <w:highlight w:val="none"/>
          <w:u w:val="single"/>
        </w:rPr>
        <w:t>9</w:t>
      </w:r>
      <w:r>
        <w:rPr>
          <w:rFonts w:hint="eastAsia" w:ascii="宋体" w:hAnsi="宋体"/>
          <w:color w:val="auto"/>
          <w:sz w:val="24"/>
          <w:szCs w:val="24"/>
          <w:highlight w:val="none"/>
          <w:u w:val="single"/>
        </w:rPr>
        <w:t>0</w:t>
      </w:r>
      <w:r>
        <w:rPr>
          <w:rFonts w:hint="eastAsia" w:ascii="宋体" w:hAnsi="宋体"/>
          <w:color w:val="auto"/>
          <w:sz w:val="24"/>
          <w:szCs w:val="24"/>
          <w:highlight w:val="none"/>
        </w:rPr>
        <w:t>天。磋商有效期不满足竞争性磋商文件要求的将视为非响应性文件而予以拒绝。</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pPr>
        <w:snapToGrid w:val="0"/>
        <w:spacing w:line="50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（十六）磋商响应文件份数</w:t>
      </w:r>
    </w:p>
    <w:p>
      <w:pPr>
        <w:snapToGrid w:val="0"/>
        <w:spacing w:line="5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 响应文件的组成（投标现场无需递交投标文件，中标单位公示完之后需提供）:</w:t>
      </w:r>
    </w:p>
    <w:p>
      <w:pPr>
        <w:snapToGrid w:val="0"/>
        <w:spacing w:line="5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纸质版投标文件：一式</w:t>
      </w:r>
      <w:r>
        <w:rPr>
          <w:rFonts w:hint="eastAsia" w:ascii="宋体" w:hAnsi="宋体" w:eastAsia="宋体" w:cs="Times New Roman"/>
          <w:color w:val="auto"/>
          <w:sz w:val="24"/>
          <w:szCs w:val="24"/>
          <w:highlight w:val="none"/>
          <w:lang w:val="en-US" w:eastAsia="zh-CN"/>
        </w:rPr>
        <w:t>四</w:t>
      </w:r>
      <w:r>
        <w:rPr>
          <w:rFonts w:hint="eastAsia" w:ascii="宋体" w:hAnsi="宋体" w:eastAsia="宋体" w:cs="Times New Roman"/>
          <w:color w:val="auto"/>
          <w:sz w:val="24"/>
          <w:szCs w:val="24"/>
          <w:highlight w:val="none"/>
        </w:rPr>
        <w:t>份，其中正本</w:t>
      </w:r>
      <w:r>
        <w:rPr>
          <w:rFonts w:hint="eastAsia" w:ascii="宋体" w:hAnsi="宋体" w:eastAsia="宋体" w:cs="Times New Roman"/>
          <w:color w:val="auto"/>
          <w:sz w:val="24"/>
          <w:szCs w:val="24"/>
          <w:highlight w:val="none"/>
          <w:lang w:val="en-US" w:eastAsia="zh-CN"/>
        </w:rPr>
        <w:t>一</w:t>
      </w:r>
      <w:r>
        <w:rPr>
          <w:rFonts w:hint="eastAsia" w:ascii="宋体" w:hAnsi="宋体" w:eastAsia="宋体" w:cs="Times New Roman"/>
          <w:color w:val="auto"/>
          <w:sz w:val="24"/>
          <w:szCs w:val="24"/>
          <w:highlight w:val="none"/>
        </w:rPr>
        <w:t>份，副本</w:t>
      </w:r>
      <w:r>
        <w:rPr>
          <w:rFonts w:hint="eastAsia" w:ascii="宋体" w:hAnsi="宋体"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rPr>
        <w:t>份，需编制目录及页码，在每一份响应文件上要明确注明“正本”或“副本”字样，如正、副本之间有差异，以正本为准。</w:t>
      </w:r>
    </w:p>
    <w:p>
      <w:pPr>
        <w:snapToGrid w:val="0"/>
        <w:spacing w:line="5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投标文件电子版：以</w:t>
      </w:r>
      <w:r>
        <w:rPr>
          <w:rFonts w:hint="eastAsia" w:ascii="宋体" w:hAnsi="宋体" w:eastAsia="宋体" w:cs="Times New Roman"/>
          <w:color w:val="auto"/>
          <w:sz w:val="24"/>
          <w:szCs w:val="24"/>
          <w:highlight w:val="none"/>
          <w:lang w:val="en-US" w:eastAsia="zh-CN"/>
        </w:rPr>
        <w:t>u</w:t>
      </w:r>
      <w:r>
        <w:rPr>
          <w:rFonts w:hint="eastAsia" w:ascii="宋体" w:hAnsi="宋体" w:eastAsia="宋体" w:cs="Times New Roman"/>
          <w:color w:val="auto"/>
          <w:sz w:val="24"/>
          <w:szCs w:val="24"/>
          <w:highlight w:val="none"/>
        </w:rPr>
        <w:t>盘为介质投标文件的电子版</w:t>
      </w:r>
      <w:r>
        <w:rPr>
          <w:rFonts w:hint="eastAsia" w:ascii="宋体" w:hAnsi="宋体" w:eastAsia="宋体" w:cs="Times New Roman"/>
          <w:color w:val="auto"/>
          <w:sz w:val="24"/>
          <w:szCs w:val="24"/>
          <w:highlight w:val="none"/>
          <w:lang w:val="en-US" w:eastAsia="zh-CN"/>
        </w:rPr>
        <w:t>一</w:t>
      </w:r>
      <w:r>
        <w:rPr>
          <w:rFonts w:hint="eastAsia" w:ascii="宋体" w:hAnsi="宋体" w:eastAsia="宋体" w:cs="Times New Roman"/>
          <w:color w:val="auto"/>
          <w:sz w:val="24"/>
          <w:szCs w:val="24"/>
          <w:highlight w:val="none"/>
        </w:rPr>
        <w:t>份。</w:t>
      </w:r>
    </w:p>
    <w:p>
      <w:pPr>
        <w:snapToGrid w:val="0"/>
        <w:spacing w:line="500" w:lineRule="exact"/>
        <w:ind w:firstLine="480" w:firstLineChars="200"/>
        <w:jc w:val="left"/>
        <w:rPr>
          <w:rFonts w:hint="eastAsia" w:ascii="宋体" w:hAnsi="宋体" w:eastAsia="宋体" w:cs="宋体"/>
          <w:b/>
          <w:sz w:val="24"/>
          <w:szCs w:val="24"/>
        </w:rPr>
      </w:pPr>
      <w:r>
        <w:rPr>
          <w:rFonts w:hint="eastAsia" w:ascii="宋体" w:hAnsi="宋体" w:eastAsia="宋体" w:cs="Times New Roman"/>
          <w:color w:val="auto"/>
          <w:sz w:val="24"/>
          <w:szCs w:val="24"/>
          <w:highlight w:val="none"/>
        </w:rPr>
        <w:t>15、</w:t>
      </w:r>
      <w:r>
        <w:rPr>
          <w:rFonts w:hint="eastAsia" w:ascii="宋体" w:hAnsi="宋体" w:eastAsia="宋体" w:cs="宋体"/>
          <w:b/>
          <w:sz w:val="24"/>
          <w:szCs w:val="24"/>
        </w:rPr>
        <w:t>说明：</w:t>
      </w:r>
      <w:r>
        <w:rPr>
          <w:rFonts w:hint="eastAsia" w:ascii="宋体" w:hAnsi="宋体" w:eastAsia="宋体" w:cs="宋体"/>
          <w:b/>
          <w:sz w:val="24"/>
          <w:szCs w:val="24"/>
          <w:lang w:val="en-US" w:eastAsia="zh-CN"/>
        </w:rPr>
        <w:t>上传</w:t>
      </w:r>
      <w:r>
        <w:rPr>
          <w:rFonts w:hint="eastAsia" w:ascii="宋体" w:hAnsi="宋体" w:eastAsia="宋体" w:cs="宋体"/>
          <w:b/>
          <w:sz w:val="24"/>
          <w:szCs w:val="24"/>
        </w:rPr>
        <w:t>证件、证书等资料</w:t>
      </w:r>
      <w:r>
        <w:rPr>
          <w:rFonts w:hint="eastAsia" w:ascii="宋体" w:hAnsi="宋体" w:eastAsia="宋体" w:cs="宋体"/>
          <w:b/>
          <w:sz w:val="24"/>
          <w:szCs w:val="24"/>
          <w:lang w:val="en-US" w:eastAsia="zh-CN"/>
        </w:rPr>
        <w:t>须是</w:t>
      </w:r>
      <w:r>
        <w:rPr>
          <w:rFonts w:hint="eastAsia" w:ascii="宋体" w:hAnsi="宋体" w:eastAsia="宋体" w:cs="宋体"/>
          <w:b/>
          <w:sz w:val="24"/>
          <w:szCs w:val="24"/>
        </w:rPr>
        <w:t>原件的扫描件，供应商应如实提供资料，并保证真实可靠，不得弄虚作假。如供应商隐瞒事实真相、弄虚作假，一经查实，取消该供应商的磋商资格，若成交的，取消其成交资格。</w:t>
      </w:r>
    </w:p>
    <w:p>
      <w:pPr>
        <w:snapToGrid w:val="0"/>
        <w:spacing w:line="500" w:lineRule="exact"/>
        <w:ind w:firstLine="480" w:firstLineChars="200"/>
        <w:jc w:val="left"/>
        <w:rPr>
          <w:rFonts w:hint="eastAsia" w:ascii="宋体" w:hAnsi="宋体"/>
          <w:color w:val="auto"/>
          <w:sz w:val="24"/>
          <w:szCs w:val="24"/>
          <w:highlight w:val="none"/>
        </w:rPr>
      </w:pPr>
    </w:p>
    <w:p>
      <w:pPr>
        <w:snapToGrid w:val="0"/>
        <w:spacing w:line="500" w:lineRule="exact"/>
        <w:ind w:firstLine="482" w:firstLineChars="200"/>
        <w:jc w:val="left"/>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（十七）磋商响应文件</w:t>
      </w:r>
      <w:r>
        <w:rPr>
          <w:rFonts w:hint="eastAsia" w:ascii="宋体" w:hAnsi="宋体"/>
          <w:b/>
          <w:bCs/>
          <w:color w:val="auto"/>
          <w:sz w:val="24"/>
          <w:szCs w:val="24"/>
          <w:highlight w:val="none"/>
          <w:lang w:val="en-US" w:eastAsia="zh-CN"/>
        </w:rPr>
        <w:t>格式</w:t>
      </w:r>
    </w:p>
    <w:p>
      <w:pPr>
        <w:snapToGrid w:val="0"/>
        <w:spacing w:line="500" w:lineRule="exact"/>
        <w:ind w:firstLine="480" w:firstLineChars="200"/>
        <w:rPr>
          <w:rFonts w:hint="eastAsia" w:ascii="宋体" w:hAnsi="宋体" w:cs="Arial"/>
          <w:b/>
          <w:color w:val="auto"/>
          <w:sz w:val="24"/>
          <w:szCs w:val="24"/>
          <w:highlight w:val="none"/>
        </w:rPr>
      </w:pPr>
      <w:r>
        <w:rPr>
          <w:rFonts w:ascii="宋体" w:hAnsi="宋体" w:cs="Arial"/>
          <w:color w:val="auto"/>
          <w:sz w:val="24"/>
          <w:szCs w:val="24"/>
          <w:highlight w:val="none"/>
        </w:rPr>
        <w:t xml:space="preserve">17.1 </w:t>
      </w:r>
      <w:r>
        <w:rPr>
          <w:rFonts w:hint="eastAsia" w:ascii="宋体" w:hAnsi="宋体" w:eastAsia="宋体" w:cs="宋体"/>
          <w:sz w:val="24"/>
          <w:szCs w:val="24"/>
        </w:rPr>
        <w:t>供应商应按磋商文件提供的格式</w:t>
      </w:r>
      <w:r>
        <w:rPr>
          <w:rFonts w:hint="eastAsia" w:ascii="宋体" w:hAnsi="宋体" w:eastAsia="宋体" w:cs="宋体"/>
          <w:sz w:val="24"/>
          <w:szCs w:val="24"/>
          <w:lang w:val="en-US" w:eastAsia="zh-CN"/>
        </w:rPr>
        <w:t>编写</w:t>
      </w:r>
      <w:r>
        <w:rPr>
          <w:rFonts w:hint="eastAsia" w:ascii="宋体" w:hAnsi="宋体" w:eastAsia="宋体" w:cs="宋体"/>
          <w:sz w:val="24"/>
          <w:szCs w:val="24"/>
        </w:rPr>
        <w:t>。</w:t>
      </w:r>
    </w:p>
    <w:p>
      <w:pPr>
        <w:snapToGrid w:val="0"/>
        <w:spacing w:line="500" w:lineRule="exact"/>
        <w:ind w:firstLine="482" w:firstLineChars="200"/>
        <w:rPr>
          <w:rFonts w:ascii="宋体" w:hAnsi="宋体"/>
          <w:b/>
          <w:color w:val="auto"/>
          <w:sz w:val="24"/>
          <w:szCs w:val="24"/>
          <w:highlight w:val="none"/>
        </w:rPr>
      </w:pPr>
    </w:p>
    <w:p>
      <w:pPr>
        <w:snapToGrid w:val="0"/>
        <w:spacing w:line="500" w:lineRule="exact"/>
        <w:ind w:firstLine="200"/>
        <w:jc w:val="center"/>
        <w:outlineLvl w:val="1"/>
        <w:rPr>
          <w:rFonts w:hint="eastAsia" w:ascii="宋体" w:hAnsi="宋体"/>
          <w:b/>
          <w:color w:val="auto"/>
          <w:sz w:val="24"/>
          <w:szCs w:val="24"/>
          <w:highlight w:val="none"/>
        </w:rPr>
      </w:pPr>
      <w:bookmarkStart w:id="7" w:name="_Toc10581"/>
      <w:r>
        <w:rPr>
          <w:rFonts w:hint="eastAsia" w:ascii="宋体" w:hAnsi="宋体"/>
          <w:b/>
          <w:color w:val="auto"/>
          <w:sz w:val="24"/>
          <w:szCs w:val="24"/>
          <w:highlight w:val="none"/>
        </w:rPr>
        <w:t>四、磋商响应文件的递交</w:t>
      </w:r>
      <w:bookmarkEnd w:id="7"/>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（十八）磋商响应文件递交截止日期及方式</w:t>
      </w:r>
    </w:p>
    <w:p>
      <w:pPr>
        <w:snapToGrid w:val="0"/>
        <w:spacing w:line="500" w:lineRule="exact"/>
        <w:ind w:firstLine="480" w:firstLineChars="200"/>
        <w:rPr>
          <w:rFonts w:hint="eastAsia" w:ascii="宋体" w:hAnsi="宋体" w:cs="Arial"/>
          <w:color w:val="auto"/>
          <w:sz w:val="24"/>
          <w:szCs w:val="24"/>
          <w:highlight w:val="none"/>
        </w:rPr>
      </w:pPr>
      <w:r>
        <w:rPr>
          <w:rFonts w:ascii="宋体" w:hAnsi="宋体" w:cs="Arial"/>
          <w:color w:val="auto"/>
          <w:sz w:val="24"/>
          <w:szCs w:val="24"/>
          <w:highlight w:val="none"/>
        </w:rPr>
        <w:t xml:space="preserve">18.1 </w:t>
      </w:r>
      <w:r>
        <w:rPr>
          <w:rFonts w:hint="eastAsia" w:ascii="宋体" w:hAnsi="宋体" w:cs="Arial"/>
          <w:color w:val="auto"/>
          <w:sz w:val="24"/>
          <w:szCs w:val="24"/>
          <w:highlight w:val="none"/>
        </w:rPr>
        <w:t>所有磋商响应文件都必须在竞争性磋商文件规定的递交截止时间前</w:t>
      </w:r>
      <w:r>
        <w:rPr>
          <w:rFonts w:hint="eastAsia" w:ascii="宋体" w:hAnsi="宋体" w:cs="Arial"/>
          <w:color w:val="auto"/>
          <w:sz w:val="24"/>
          <w:szCs w:val="24"/>
          <w:highlight w:val="none"/>
          <w:lang w:val="en-US" w:eastAsia="zh-CN"/>
        </w:rPr>
        <w:t>上传政采云平台</w:t>
      </w:r>
      <w:r>
        <w:rPr>
          <w:rFonts w:hint="eastAsia" w:ascii="宋体" w:hAnsi="宋体"/>
          <w:color w:val="auto"/>
          <w:sz w:val="24"/>
          <w:szCs w:val="24"/>
          <w:highlight w:val="none"/>
        </w:rPr>
        <w:t>。</w:t>
      </w:r>
    </w:p>
    <w:p>
      <w:pPr>
        <w:snapToGrid w:val="0"/>
        <w:spacing w:line="500" w:lineRule="exact"/>
        <w:ind w:firstLine="480" w:firstLineChars="200"/>
        <w:rPr>
          <w:rFonts w:hint="eastAsia" w:ascii="宋体" w:hAnsi="宋体" w:cs="Arial"/>
          <w:b/>
          <w:color w:val="auto"/>
          <w:sz w:val="24"/>
          <w:szCs w:val="24"/>
          <w:highlight w:val="none"/>
        </w:rPr>
      </w:pPr>
      <w:r>
        <w:rPr>
          <w:rFonts w:ascii="宋体" w:hAnsi="宋体" w:cs="Arial"/>
          <w:color w:val="auto"/>
          <w:sz w:val="24"/>
          <w:szCs w:val="24"/>
          <w:highlight w:val="none"/>
        </w:rPr>
        <w:t xml:space="preserve">18.2 </w:t>
      </w:r>
      <w:r>
        <w:rPr>
          <w:rFonts w:hint="eastAsia" w:ascii="宋体" w:hAnsi="宋体"/>
          <w:color w:val="auto"/>
          <w:sz w:val="24"/>
          <w:szCs w:val="24"/>
          <w:highlight w:val="none"/>
        </w:rPr>
        <w:t>采购代理机构将</w:t>
      </w:r>
      <w:r>
        <w:rPr>
          <w:rFonts w:hint="eastAsia" w:ascii="宋体" w:hAnsi="宋体" w:cs="Arial"/>
          <w:color w:val="auto"/>
          <w:sz w:val="24"/>
          <w:szCs w:val="24"/>
          <w:highlight w:val="none"/>
        </w:rPr>
        <w:t>在竞争性磋商文件规定的时间和地点组织磋商会议</w:t>
      </w:r>
      <w:r>
        <w:rPr>
          <w:rFonts w:hint="eastAsia" w:ascii="宋体" w:hAnsi="宋体" w:cs="Arial"/>
          <w:b/>
          <w:color w:val="auto"/>
          <w:sz w:val="24"/>
          <w:szCs w:val="24"/>
          <w:highlight w:val="none"/>
        </w:rPr>
        <w:t>。</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（十九）迟交的磋商响应文件</w:t>
      </w:r>
    </w:p>
    <w:p>
      <w:pPr>
        <w:snapToGrid w:val="0"/>
        <w:spacing w:line="500" w:lineRule="exact"/>
        <w:ind w:firstLine="480" w:firstLineChars="200"/>
        <w:rPr>
          <w:rFonts w:hint="eastAsia" w:ascii="宋体" w:hAnsi="宋体" w:cs="Arial"/>
          <w:color w:val="auto"/>
          <w:sz w:val="24"/>
          <w:szCs w:val="24"/>
          <w:highlight w:val="none"/>
        </w:rPr>
      </w:pPr>
      <w:r>
        <w:rPr>
          <w:rFonts w:ascii="宋体" w:hAnsi="宋体" w:cs="Arial"/>
          <w:color w:val="auto"/>
          <w:sz w:val="24"/>
          <w:szCs w:val="24"/>
          <w:highlight w:val="none"/>
        </w:rPr>
        <w:t xml:space="preserve">19.1 </w:t>
      </w:r>
      <w:r>
        <w:rPr>
          <w:rFonts w:hint="eastAsia" w:ascii="宋体" w:hAnsi="宋体" w:cs="Arial"/>
          <w:color w:val="auto"/>
          <w:sz w:val="24"/>
          <w:szCs w:val="24"/>
          <w:highlight w:val="none"/>
        </w:rPr>
        <w:t>采购人将拒绝接收在规定的截止日期后递交的任何磋商响应文件。</w:t>
      </w:r>
      <w:bookmarkStart w:id="8" w:name="_Toc213839733"/>
    </w:p>
    <w:p>
      <w:pPr>
        <w:snapToGrid w:val="0"/>
        <w:spacing w:line="500" w:lineRule="exact"/>
        <w:ind w:firstLine="482" w:firstLineChars="200"/>
        <w:rPr>
          <w:rFonts w:hint="eastAsia" w:ascii="宋体" w:hAnsi="宋体" w:cs="Arial"/>
          <w:b/>
          <w:color w:val="auto"/>
          <w:sz w:val="24"/>
          <w:szCs w:val="24"/>
          <w:highlight w:val="none"/>
        </w:rPr>
      </w:pPr>
      <w:r>
        <w:rPr>
          <w:rFonts w:hint="eastAsia" w:ascii="宋体" w:hAnsi="宋体" w:cs="Arial"/>
          <w:b/>
          <w:color w:val="auto"/>
          <w:sz w:val="24"/>
          <w:szCs w:val="24"/>
          <w:highlight w:val="none"/>
        </w:rPr>
        <w:t>（二十）磋商响应文件的修改</w:t>
      </w:r>
      <w:bookmarkEnd w:id="8"/>
    </w:p>
    <w:p>
      <w:pPr>
        <w:snapToGrid w:val="0"/>
        <w:spacing w:line="50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pPr>
        <w:snapToGrid w:val="0"/>
        <w:spacing w:line="50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20.2供应商对磋商响应文件的补充、修改或撤回，应按本磋商文件的规定编制、标识和提交。</w:t>
      </w:r>
    </w:p>
    <w:p>
      <w:pPr>
        <w:snapToGrid w:val="0"/>
        <w:spacing w:line="500" w:lineRule="exact"/>
        <w:ind w:firstLine="200"/>
        <w:jc w:val="center"/>
        <w:outlineLvl w:val="1"/>
        <w:rPr>
          <w:rFonts w:hint="eastAsia" w:ascii="宋体" w:hAnsi="宋体"/>
          <w:b/>
          <w:color w:val="auto"/>
          <w:sz w:val="24"/>
          <w:szCs w:val="24"/>
          <w:highlight w:val="none"/>
        </w:rPr>
      </w:pPr>
      <w:bookmarkStart w:id="10" w:name="_Toc14072"/>
      <w:r>
        <w:rPr>
          <w:rFonts w:hint="eastAsia" w:ascii="宋体" w:hAnsi="宋体"/>
          <w:b/>
          <w:color w:val="auto"/>
          <w:sz w:val="24"/>
          <w:szCs w:val="24"/>
          <w:highlight w:val="none"/>
        </w:rPr>
        <w:t>五、无效标、废标条款</w:t>
      </w:r>
      <w:bookmarkEnd w:id="10"/>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（二十一）无效竞标条款</w:t>
      </w:r>
    </w:p>
    <w:p>
      <w:pPr>
        <w:snapToGrid w:val="0"/>
        <w:spacing w:line="500" w:lineRule="exact"/>
        <w:ind w:firstLine="480" w:firstLineChars="200"/>
        <w:jc w:val="left"/>
        <w:rPr>
          <w:rFonts w:hint="eastAsia" w:ascii="宋体" w:hAnsi="宋体"/>
          <w:color w:val="auto"/>
          <w:sz w:val="24"/>
          <w:szCs w:val="24"/>
          <w:highlight w:val="none"/>
          <w:lang w:val="zh-CN"/>
        </w:rPr>
      </w:pPr>
      <w:bookmarkStart w:id="11" w:name="_Toc520282245"/>
      <w:r>
        <w:rPr>
          <w:rFonts w:hint="eastAsia" w:ascii="宋体" w:hAnsi="宋体"/>
          <w:color w:val="auto"/>
          <w:sz w:val="24"/>
          <w:szCs w:val="24"/>
          <w:highlight w:val="none"/>
        </w:rPr>
        <w:t>21.1</w:t>
      </w:r>
      <w:r>
        <w:rPr>
          <w:rFonts w:hint="eastAsia" w:ascii="宋体" w:hAnsi="宋体"/>
          <w:color w:val="auto"/>
          <w:sz w:val="24"/>
          <w:szCs w:val="24"/>
          <w:highlight w:val="none"/>
          <w:lang w:val="zh-CN"/>
        </w:rPr>
        <w:t>未按竞争性磋商文件规定的形式和金额交纳磋商保证金的；</w:t>
      </w:r>
      <w:bookmarkEnd w:id="11"/>
    </w:p>
    <w:p>
      <w:pPr>
        <w:snapToGrid w:val="0"/>
        <w:spacing w:line="500" w:lineRule="exact"/>
        <w:ind w:firstLine="480" w:firstLineChars="200"/>
        <w:jc w:val="left"/>
        <w:rPr>
          <w:rFonts w:hint="eastAsia" w:ascii="宋体" w:hAnsi="宋体"/>
          <w:color w:val="auto"/>
          <w:sz w:val="24"/>
          <w:szCs w:val="24"/>
          <w:highlight w:val="none"/>
          <w:lang w:val="zh-CN"/>
        </w:rPr>
      </w:pPr>
      <w:bookmarkStart w:id="12" w:name="_Toc520282246"/>
      <w:r>
        <w:rPr>
          <w:rFonts w:hint="eastAsia" w:ascii="宋体" w:hAnsi="宋体"/>
          <w:color w:val="auto"/>
          <w:sz w:val="24"/>
          <w:szCs w:val="24"/>
          <w:highlight w:val="none"/>
        </w:rPr>
        <w:t>21.2</w:t>
      </w:r>
      <w:r>
        <w:rPr>
          <w:rFonts w:hint="eastAsia" w:ascii="宋体" w:hAnsi="宋体"/>
          <w:color w:val="auto"/>
          <w:sz w:val="24"/>
          <w:szCs w:val="24"/>
          <w:highlight w:val="none"/>
          <w:lang w:val="zh-CN"/>
        </w:rPr>
        <w:t>未按照竞争性磋商文件规定要求签署、盖章的；</w:t>
      </w:r>
      <w:bookmarkEnd w:id="12"/>
    </w:p>
    <w:p>
      <w:pPr>
        <w:snapToGrid w:val="0"/>
        <w:spacing w:line="500" w:lineRule="exact"/>
        <w:ind w:firstLine="480" w:firstLineChars="200"/>
        <w:jc w:val="left"/>
        <w:rPr>
          <w:rFonts w:hint="eastAsia" w:ascii="宋体" w:hAnsi="宋体"/>
          <w:color w:val="auto"/>
          <w:sz w:val="24"/>
          <w:szCs w:val="24"/>
          <w:highlight w:val="none"/>
        </w:rPr>
      </w:pPr>
      <w:bookmarkStart w:id="13" w:name="_Toc520282247"/>
      <w:r>
        <w:rPr>
          <w:rFonts w:hint="eastAsia" w:ascii="宋体" w:hAnsi="宋体"/>
          <w:color w:val="auto"/>
          <w:sz w:val="24"/>
          <w:szCs w:val="24"/>
          <w:highlight w:val="none"/>
        </w:rPr>
        <w:t>21.3</w:t>
      </w:r>
      <w:r>
        <w:rPr>
          <w:rFonts w:hint="eastAsia" w:ascii="宋体" w:hAnsi="宋体"/>
          <w:color w:val="auto"/>
          <w:sz w:val="24"/>
          <w:szCs w:val="24"/>
          <w:highlight w:val="none"/>
          <w:lang w:val="zh-CN"/>
        </w:rPr>
        <w:t>未满足</w:t>
      </w:r>
      <w:r>
        <w:rPr>
          <w:rFonts w:hint="eastAsia" w:ascii="宋体" w:hAnsi="宋体"/>
          <w:color w:val="auto"/>
          <w:sz w:val="24"/>
          <w:szCs w:val="24"/>
          <w:highlight w:val="none"/>
        </w:rPr>
        <w:t>竞争性磋商文件规定资格要求的；</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21.4未满足“投标须知”规定的实质性要求的；</w:t>
      </w:r>
    </w:p>
    <w:p>
      <w:pPr>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21.5同一供应商提交两个以上不同的磋商响应文件或者竞标报价的（竞争性磋商文件要求允许提交备选方案的除外）；</w:t>
      </w:r>
    </w:p>
    <w:p>
      <w:pPr>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21.6磋商响应文件载明的磋商响应内容小于竞争性磋商文件规定的采购内容的(缺漏竞争性磋商文件所要求的内容)；</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21.7磋商有效期</w:t>
      </w:r>
      <w:r>
        <w:rPr>
          <w:rFonts w:hint="eastAsia" w:ascii="宋体" w:hAnsi="宋体"/>
          <w:color w:val="auto"/>
          <w:sz w:val="24"/>
          <w:szCs w:val="24"/>
          <w:highlight w:val="none"/>
          <w:lang w:val="zh-CN"/>
        </w:rPr>
        <w:t>不满足要求</w:t>
      </w:r>
      <w:r>
        <w:rPr>
          <w:rFonts w:hint="eastAsia" w:ascii="宋体" w:hAnsi="宋体"/>
          <w:color w:val="auto"/>
          <w:sz w:val="24"/>
          <w:szCs w:val="24"/>
          <w:highlight w:val="none"/>
        </w:rPr>
        <w:t>的；</w:t>
      </w:r>
    </w:p>
    <w:p>
      <w:pPr>
        <w:snapToGrid w:val="0"/>
        <w:spacing w:line="500" w:lineRule="exact"/>
        <w:ind w:firstLine="480" w:firstLineChars="200"/>
        <w:jc w:val="left"/>
        <w:rPr>
          <w:rFonts w:hint="eastAsia" w:ascii="宋体" w:hAnsi="宋体"/>
          <w:color w:val="auto"/>
          <w:sz w:val="24"/>
          <w:szCs w:val="24"/>
          <w:highlight w:val="none"/>
          <w:lang w:val="zh-CN"/>
        </w:rPr>
      </w:pPr>
      <w:r>
        <w:rPr>
          <w:rFonts w:hint="eastAsia" w:ascii="宋体" w:hAnsi="宋体"/>
          <w:color w:val="auto"/>
          <w:sz w:val="24"/>
          <w:szCs w:val="24"/>
          <w:highlight w:val="none"/>
        </w:rPr>
        <w:t>21.8</w:t>
      </w:r>
      <w:r>
        <w:rPr>
          <w:rFonts w:hint="eastAsia" w:ascii="宋体" w:hAnsi="宋体"/>
          <w:color w:val="auto"/>
          <w:sz w:val="24"/>
          <w:szCs w:val="24"/>
          <w:highlight w:val="none"/>
          <w:lang w:val="zh-CN"/>
        </w:rPr>
        <w:t>未满足竞争性磋商文件中商务及技术条款的实质性要求；</w:t>
      </w:r>
      <w:bookmarkEnd w:id="13"/>
    </w:p>
    <w:p>
      <w:pPr>
        <w:snapToGrid w:val="0"/>
        <w:spacing w:line="500" w:lineRule="exact"/>
        <w:ind w:firstLine="480" w:firstLineChars="200"/>
        <w:jc w:val="left"/>
        <w:rPr>
          <w:rFonts w:hint="eastAsia" w:ascii="宋体" w:hAnsi="宋体"/>
          <w:color w:val="auto"/>
          <w:sz w:val="24"/>
          <w:szCs w:val="24"/>
          <w:highlight w:val="none"/>
          <w:lang w:val="zh-CN"/>
        </w:rPr>
      </w:pPr>
      <w:bookmarkStart w:id="14" w:name="_Toc520282248"/>
      <w:r>
        <w:rPr>
          <w:rFonts w:hint="eastAsia" w:ascii="宋体" w:hAnsi="宋体"/>
          <w:color w:val="auto"/>
          <w:sz w:val="24"/>
          <w:szCs w:val="24"/>
          <w:highlight w:val="none"/>
        </w:rPr>
        <w:t>21.9</w:t>
      </w:r>
      <w:r>
        <w:rPr>
          <w:rFonts w:hint="eastAsia" w:ascii="宋体" w:hAnsi="宋体"/>
          <w:color w:val="auto"/>
          <w:sz w:val="24"/>
          <w:szCs w:val="24"/>
          <w:highlight w:val="none"/>
          <w:lang w:val="zh-CN"/>
        </w:rPr>
        <w:t>与其他供应商串通投标，或者与采购人串通投标妨碍其他供应商竞争行为，损害采购人或者其他供应商合法权益的；</w:t>
      </w:r>
      <w:bookmarkEnd w:id="14"/>
    </w:p>
    <w:p>
      <w:pPr>
        <w:snapToGrid w:val="0"/>
        <w:spacing w:line="500" w:lineRule="exact"/>
        <w:ind w:firstLine="480" w:firstLineChars="200"/>
        <w:jc w:val="left"/>
        <w:rPr>
          <w:rFonts w:hint="eastAsia" w:ascii="宋体" w:hAnsi="宋体"/>
          <w:color w:val="auto"/>
          <w:sz w:val="24"/>
          <w:szCs w:val="24"/>
          <w:highlight w:val="none"/>
          <w:lang w:val="zh-CN"/>
        </w:rPr>
      </w:pPr>
      <w:bookmarkStart w:id="15" w:name="_Toc520282249"/>
      <w:r>
        <w:rPr>
          <w:rFonts w:hint="eastAsia" w:ascii="宋体" w:hAnsi="宋体"/>
          <w:color w:val="auto"/>
          <w:sz w:val="24"/>
          <w:szCs w:val="24"/>
          <w:highlight w:val="none"/>
        </w:rPr>
        <w:t>21.10</w:t>
      </w:r>
      <w:r>
        <w:rPr>
          <w:rFonts w:hint="eastAsia" w:ascii="宋体" w:hAnsi="宋体"/>
          <w:color w:val="auto"/>
          <w:sz w:val="24"/>
          <w:szCs w:val="24"/>
          <w:highlight w:val="none"/>
          <w:lang w:val="zh-CN"/>
        </w:rPr>
        <w:t>属于竞争性磋商文件规定的其他无效投标情形；</w:t>
      </w:r>
      <w:bookmarkEnd w:id="15"/>
    </w:p>
    <w:p>
      <w:pPr>
        <w:snapToGrid w:val="0"/>
        <w:spacing w:line="500" w:lineRule="exact"/>
        <w:ind w:firstLine="480" w:firstLineChars="200"/>
        <w:jc w:val="left"/>
        <w:rPr>
          <w:rFonts w:hint="eastAsia" w:ascii="宋体" w:hAnsi="宋体"/>
          <w:color w:val="auto"/>
          <w:sz w:val="24"/>
          <w:szCs w:val="24"/>
          <w:highlight w:val="none"/>
          <w:lang w:val="zh-CN"/>
        </w:rPr>
      </w:pPr>
      <w:bookmarkStart w:id="16" w:name="_Toc520282250"/>
      <w:r>
        <w:rPr>
          <w:rFonts w:hint="eastAsia" w:ascii="宋体" w:hAnsi="宋体"/>
          <w:color w:val="auto"/>
          <w:sz w:val="24"/>
          <w:szCs w:val="24"/>
          <w:highlight w:val="none"/>
        </w:rPr>
        <w:t>21.11</w:t>
      </w:r>
      <w:r>
        <w:rPr>
          <w:rFonts w:hint="eastAsia" w:ascii="宋体" w:hAnsi="宋体"/>
          <w:color w:val="auto"/>
          <w:sz w:val="24"/>
          <w:szCs w:val="24"/>
          <w:highlight w:val="none"/>
          <w:lang w:val="zh-CN"/>
        </w:rPr>
        <w:t>评标委员会认为供应商的价格明显低于其他通过符合性检查供应商的按价格，有可能影响履约的，且供应商未按照规定证明其报价合理性的；</w:t>
      </w:r>
      <w:bookmarkEnd w:id="16"/>
    </w:p>
    <w:p>
      <w:pPr>
        <w:snapToGrid w:val="0"/>
        <w:spacing w:line="500" w:lineRule="exact"/>
        <w:ind w:firstLine="480" w:firstLineChars="200"/>
        <w:jc w:val="left"/>
        <w:rPr>
          <w:rFonts w:hint="eastAsia" w:ascii="宋体" w:hAnsi="宋体"/>
          <w:color w:val="auto"/>
          <w:sz w:val="24"/>
          <w:szCs w:val="24"/>
          <w:highlight w:val="none"/>
          <w:lang w:val="zh-CN"/>
        </w:rPr>
      </w:pPr>
      <w:bookmarkStart w:id="17" w:name="_Toc520282251"/>
      <w:r>
        <w:rPr>
          <w:rFonts w:hint="eastAsia" w:ascii="宋体" w:hAnsi="宋体"/>
          <w:color w:val="auto"/>
          <w:sz w:val="24"/>
          <w:szCs w:val="24"/>
          <w:highlight w:val="none"/>
        </w:rPr>
        <w:t>21.12</w:t>
      </w:r>
      <w:r>
        <w:rPr>
          <w:rFonts w:hint="eastAsia" w:ascii="宋体" w:hAnsi="宋体"/>
          <w:color w:val="auto"/>
          <w:sz w:val="24"/>
          <w:szCs w:val="24"/>
          <w:highlight w:val="none"/>
          <w:lang w:val="zh-CN"/>
        </w:rPr>
        <w:t>磋商响应文件含有采购人不能接受的附加条件的；</w:t>
      </w:r>
      <w:bookmarkEnd w:id="17"/>
    </w:p>
    <w:p>
      <w:pPr>
        <w:snapToGrid w:val="0"/>
        <w:spacing w:line="500" w:lineRule="exact"/>
        <w:ind w:firstLine="480" w:firstLineChars="200"/>
        <w:jc w:val="left"/>
        <w:rPr>
          <w:rFonts w:hint="eastAsia" w:ascii="宋体" w:hAnsi="宋体"/>
          <w:color w:val="auto"/>
          <w:sz w:val="24"/>
          <w:szCs w:val="24"/>
          <w:highlight w:val="none"/>
        </w:rPr>
      </w:pPr>
      <w:bookmarkStart w:id="18" w:name="_Toc520282252"/>
      <w:r>
        <w:rPr>
          <w:rFonts w:hint="eastAsia" w:ascii="宋体" w:hAnsi="宋体"/>
          <w:color w:val="auto"/>
          <w:sz w:val="24"/>
          <w:szCs w:val="24"/>
          <w:highlight w:val="none"/>
        </w:rPr>
        <w:t>21.13</w:t>
      </w:r>
      <w:r>
        <w:rPr>
          <w:rFonts w:hint="eastAsia" w:ascii="宋体" w:hAnsi="宋体"/>
          <w:color w:val="auto"/>
          <w:sz w:val="24"/>
          <w:szCs w:val="24"/>
          <w:highlight w:val="none"/>
          <w:lang w:val="zh-CN"/>
        </w:rPr>
        <w:t>不符合法规和竞争性磋商文件中规定的其他实质性要求的。</w:t>
      </w:r>
      <w:bookmarkEnd w:id="18"/>
    </w:p>
    <w:p>
      <w:pPr>
        <w:snapToGrid w:val="0"/>
        <w:spacing w:line="5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（二十二）废标条款</w:t>
      </w:r>
    </w:p>
    <w:p>
      <w:pPr>
        <w:snapToGrid w:val="0"/>
        <w:spacing w:line="500" w:lineRule="exact"/>
        <w:ind w:firstLine="480" w:firstLineChars="200"/>
        <w:jc w:val="left"/>
        <w:rPr>
          <w:rFonts w:hint="eastAsia" w:ascii="宋体" w:hAnsi="宋体"/>
          <w:bCs/>
          <w:color w:val="auto"/>
          <w:sz w:val="24"/>
          <w:szCs w:val="24"/>
          <w:highlight w:val="none"/>
        </w:rPr>
      </w:pPr>
      <w:r>
        <w:rPr>
          <w:rFonts w:ascii="宋体" w:hAnsi="宋体"/>
          <w:bCs/>
          <w:color w:val="auto"/>
          <w:sz w:val="24"/>
          <w:szCs w:val="24"/>
          <w:highlight w:val="none"/>
        </w:rPr>
        <w:t xml:space="preserve">22.1 </w:t>
      </w:r>
      <w:r>
        <w:rPr>
          <w:rFonts w:hint="eastAsia" w:ascii="宋体" w:hAnsi="宋体"/>
          <w:bCs/>
          <w:color w:val="auto"/>
          <w:sz w:val="24"/>
          <w:szCs w:val="24"/>
          <w:highlight w:val="none"/>
        </w:rPr>
        <w:t>开标后，符合专业条件的供应商或者对竞争性磋商文件作实质响应的供应商不足三家的；</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22.2 </w:t>
      </w:r>
      <w:r>
        <w:rPr>
          <w:rFonts w:hint="eastAsia" w:ascii="宋体" w:hAnsi="宋体"/>
          <w:color w:val="auto"/>
          <w:sz w:val="24"/>
          <w:szCs w:val="24"/>
          <w:highlight w:val="none"/>
        </w:rPr>
        <w:t>出现影响采购公正的违法、违规行为的；</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22.3 </w:t>
      </w:r>
      <w:r>
        <w:rPr>
          <w:rFonts w:hint="eastAsia" w:ascii="宋体" w:hAnsi="宋体"/>
          <w:color w:val="auto"/>
          <w:sz w:val="24"/>
          <w:szCs w:val="24"/>
          <w:highlight w:val="none"/>
        </w:rPr>
        <w:t>供应商的报价均超过了采购预算，采购人不能支付的；</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22.4 </w:t>
      </w:r>
      <w:r>
        <w:rPr>
          <w:rFonts w:hint="eastAsia" w:ascii="宋体" w:hAnsi="宋体"/>
          <w:color w:val="auto"/>
          <w:sz w:val="24"/>
          <w:szCs w:val="24"/>
          <w:highlight w:val="none"/>
        </w:rPr>
        <w:t>因重大变故，采购任务取消的。</w:t>
      </w:r>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（二十三）参与供应商不得少于三家</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23.1 根据《政府采购竞争性磋商采购方式管理暂行办法》的规定，参与项目的供应商不得少于三家。</w:t>
      </w:r>
    </w:p>
    <w:p>
      <w:pPr>
        <w:snapToGrid w:val="0"/>
        <w:spacing w:line="500" w:lineRule="exact"/>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（二十四）取消成交候选人资格条款</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24.1 </w:t>
      </w:r>
      <w:r>
        <w:rPr>
          <w:rFonts w:hint="eastAsia" w:ascii="宋体" w:hAnsi="宋体"/>
          <w:color w:val="auto"/>
          <w:sz w:val="24"/>
          <w:szCs w:val="24"/>
          <w:highlight w:val="none"/>
        </w:rPr>
        <w:t>提供虚假材料谋取成交的；</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 xml:space="preserve">.2 </w:t>
      </w:r>
      <w:r>
        <w:rPr>
          <w:rFonts w:hint="eastAsia" w:ascii="宋体" w:hAnsi="宋体"/>
          <w:color w:val="auto"/>
          <w:sz w:val="24"/>
          <w:szCs w:val="24"/>
          <w:highlight w:val="none"/>
        </w:rPr>
        <w:t>采取不正当手段诋毁、排挤其他供应商的；</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24.3 与采购人、其他供应商或者采购代理机构恶意串通的；</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24.4 </w:t>
      </w:r>
      <w:r>
        <w:rPr>
          <w:rFonts w:hint="eastAsia" w:ascii="宋体" w:hAnsi="宋体"/>
          <w:color w:val="auto"/>
          <w:sz w:val="24"/>
          <w:szCs w:val="24"/>
          <w:highlight w:val="none"/>
        </w:rPr>
        <w:t>向采购人、采购代理机构行贿或者提供其他不正当利益的；</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24.5 </w:t>
      </w:r>
      <w:r>
        <w:rPr>
          <w:rFonts w:hint="eastAsia" w:ascii="宋体" w:hAnsi="宋体"/>
          <w:color w:val="auto"/>
          <w:sz w:val="24"/>
          <w:szCs w:val="24"/>
          <w:highlight w:val="none"/>
        </w:rPr>
        <w:t>在规定的时间内未按磋商要求与采购人签订采购合同或未按采购文件要求提交履约担保的；</w:t>
      </w:r>
    </w:p>
    <w:p>
      <w:pPr>
        <w:snapToGrid w:val="0"/>
        <w:spacing w:line="50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24.6 </w:t>
      </w:r>
      <w:r>
        <w:rPr>
          <w:rFonts w:hint="eastAsia" w:ascii="宋体" w:hAnsi="宋体"/>
          <w:color w:val="auto"/>
          <w:sz w:val="24"/>
          <w:szCs w:val="24"/>
          <w:highlight w:val="none"/>
        </w:rPr>
        <w:t>法律、法规规定的其他情况。</w:t>
      </w:r>
    </w:p>
    <w:p>
      <w:pPr>
        <w:snapToGrid w:val="0"/>
        <w:spacing w:line="500" w:lineRule="exact"/>
        <w:ind w:firstLine="200"/>
        <w:jc w:val="center"/>
        <w:outlineLvl w:val="1"/>
        <w:rPr>
          <w:rFonts w:hint="eastAsia" w:ascii="宋体" w:hAnsi="宋体"/>
          <w:b/>
          <w:color w:val="auto"/>
          <w:sz w:val="24"/>
          <w:szCs w:val="24"/>
          <w:highlight w:val="none"/>
        </w:rPr>
      </w:pPr>
      <w:bookmarkStart w:id="19" w:name="_Toc5909"/>
      <w:r>
        <w:rPr>
          <w:rFonts w:hint="eastAsia" w:ascii="宋体" w:hAnsi="宋体"/>
          <w:b/>
          <w:color w:val="auto"/>
          <w:sz w:val="24"/>
          <w:szCs w:val="24"/>
          <w:highlight w:val="none"/>
        </w:rPr>
        <w:t>六、磋商程序及最终报价</w:t>
      </w:r>
      <w:bookmarkEnd w:id="9"/>
      <w:bookmarkEnd w:id="19"/>
    </w:p>
    <w:p>
      <w:pPr>
        <w:snapToGrid w:val="0"/>
        <w:spacing w:line="500" w:lineRule="exact"/>
        <w:ind w:firstLine="472" w:firstLineChars="196"/>
        <w:rPr>
          <w:rFonts w:hint="eastAsia" w:ascii="宋体" w:hAnsi="宋体"/>
          <w:b/>
          <w:bCs/>
          <w:color w:val="auto"/>
          <w:sz w:val="24"/>
          <w:szCs w:val="24"/>
          <w:highlight w:val="none"/>
        </w:rPr>
      </w:pPr>
      <w:r>
        <w:rPr>
          <w:rFonts w:hint="eastAsia" w:ascii="宋体" w:hAnsi="宋体"/>
          <w:b/>
          <w:bCs/>
          <w:color w:val="auto"/>
          <w:sz w:val="24"/>
          <w:szCs w:val="24"/>
          <w:highlight w:val="none"/>
        </w:rPr>
        <w:t>（二十五）磋商原则</w:t>
      </w:r>
    </w:p>
    <w:p>
      <w:pPr>
        <w:adjustRightInd w:val="0"/>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评、定标依据《中华人民共和国政府采购法》、《政府采购竞争性磋商采购方式管理暂行办法》等相关规定，遵循公开、公平、公正、竞争的原则。</w:t>
      </w:r>
    </w:p>
    <w:p>
      <w:pPr>
        <w:adjustRightInd w:val="0"/>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25.1 </w:t>
      </w:r>
      <w:r>
        <w:rPr>
          <w:rFonts w:hint="eastAsia" w:ascii="宋体" w:hAnsi="宋体"/>
          <w:color w:val="auto"/>
          <w:sz w:val="24"/>
          <w:szCs w:val="24"/>
          <w:highlight w:val="none"/>
        </w:rPr>
        <w:t>严格执行《中华人民共和国政府采购法》及自治区有关法规、政策、维护采购人、供应商的合法权益，选择对采购人最为有利的供应商或候选供应商。</w:t>
      </w:r>
    </w:p>
    <w:p>
      <w:pPr>
        <w:adjustRightInd w:val="0"/>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25.2 </w:t>
      </w:r>
      <w:r>
        <w:rPr>
          <w:rFonts w:hint="eastAsia" w:ascii="宋体" w:hAnsi="宋体"/>
          <w:color w:val="auto"/>
          <w:sz w:val="24"/>
          <w:szCs w:val="24"/>
          <w:highlight w:val="none"/>
        </w:rPr>
        <w:t>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25.3 </w:t>
      </w:r>
      <w:r>
        <w:rPr>
          <w:rFonts w:hint="eastAsia" w:ascii="宋体" w:hAnsi="宋体"/>
          <w:color w:val="auto"/>
          <w:sz w:val="24"/>
          <w:szCs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25.4 </w:t>
      </w:r>
      <w:r>
        <w:rPr>
          <w:rFonts w:hint="eastAsia" w:ascii="宋体" w:hAnsi="宋体"/>
          <w:color w:val="auto"/>
          <w:sz w:val="24"/>
          <w:szCs w:val="24"/>
          <w:highlight w:val="none"/>
        </w:rPr>
        <w:t>坚持价格合理、综合评优的原则，不以最低报价作为中标唯一标准。</w:t>
      </w:r>
    </w:p>
    <w:p>
      <w:pPr>
        <w:adjustRightInd w:val="0"/>
        <w:snapToGrid w:val="0"/>
        <w:spacing w:line="500" w:lineRule="exact"/>
        <w:ind w:firstLine="482" w:firstLineChars="200"/>
        <w:rPr>
          <w:rFonts w:hint="eastAsia" w:ascii="宋体" w:hAnsi="宋体"/>
          <w:b/>
          <w:color w:val="auto"/>
          <w:sz w:val="24"/>
          <w:szCs w:val="24"/>
          <w:highlight w:val="none"/>
        </w:rPr>
      </w:pPr>
      <w:r>
        <w:rPr>
          <w:rFonts w:hint="eastAsia" w:ascii="宋体" w:hAnsi="宋体"/>
          <w:b/>
          <w:bCs/>
          <w:color w:val="auto"/>
          <w:sz w:val="24"/>
          <w:szCs w:val="24"/>
          <w:highlight w:val="none"/>
        </w:rPr>
        <w:t>（二十六）</w:t>
      </w:r>
      <w:r>
        <w:rPr>
          <w:rFonts w:hint="eastAsia" w:ascii="宋体" w:hAnsi="宋体"/>
          <w:b/>
          <w:color w:val="auto"/>
          <w:sz w:val="24"/>
          <w:szCs w:val="24"/>
          <w:highlight w:val="none"/>
        </w:rPr>
        <w:t>磋商小组</w:t>
      </w:r>
    </w:p>
    <w:p>
      <w:pPr>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26.1 采购人根据本项目的特点，于开标前</w:t>
      </w:r>
      <w:r>
        <w:rPr>
          <w:rFonts w:ascii="宋体" w:hAnsi="宋体"/>
          <w:color w:val="auto"/>
          <w:sz w:val="24"/>
          <w:szCs w:val="24"/>
          <w:highlight w:val="none"/>
        </w:rPr>
        <w:t>48</w:t>
      </w:r>
      <w:r>
        <w:rPr>
          <w:rFonts w:hint="eastAsia" w:ascii="宋体" w:hAnsi="宋体"/>
          <w:color w:val="auto"/>
          <w:sz w:val="24"/>
          <w:szCs w:val="24"/>
          <w:highlight w:val="none"/>
        </w:rPr>
        <w:t>小时内，从新疆政府采购网政采云评审专家库中随机抽取组建磋商小组，</w:t>
      </w:r>
      <w:r>
        <w:rPr>
          <w:rFonts w:hint="eastAsia" w:ascii="宋体" w:hAnsi="宋体" w:cs="宋体"/>
          <w:color w:val="auto"/>
          <w:sz w:val="24"/>
          <w:szCs w:val="24"/>
          <w:highlight w:val="none"/>
        </w:rPr>
        <w:t>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26.2 </w:t>
      </w:r>
      <w:r>
        <w:rPr>
          <w:rFonts w:hint="eastAsia" w:ascii="宋体" w:hAnsi="宋体"/>
          <w:color w:val="auto"/>
          <w:sz w:val="24"/>
          <w:szCs w:val="24"/>
          <w:highlight w:val="none"/>
        </w:rPr>
        <w:t>磋商小组在监督部门的监督下独立完成磋商工作，负责对磋商响应文件进行审查、质询、评审、推选成交候选供应商。</w:t>
      </w:r>
    </w:p>
    <w:p>
      <w:pPr>
        <w:tabs>
          <w:tab w:val="left" w:pos="5744"/>
        </w:tabs>
        <w:snapToGrid w:val="0"/>
        <w:spacing w:line="5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（二十七）磋商程序</w:t>
      </w:r>
      <w:r>
        <w:rPr>
          <w:rFonts w:hint="eastAsia" w:ascii="宋体" w:hAnsi="宋体"/>
          <w:b/>
          <w:bCs/>
          <w:color w:val="auto"/>
          <w:sz w:val="24"/>
          <w:szCs w:val="24"/>
          <w:highlight w:val="none"/>
        </w:rPr>
        <w:tab/>
      </w:r>
    </w:p>
    <w:p>
      <w:pPr>
        <w:widowControl/>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27.1 </w:t>
      </w:r>
      <w:r>
        <w:rPr>
          <w:rFonts w:hint="eastAsia" w:ascii="宋体" w:hAnsi="宋体"/>
          <w:color w:val="auto"/>
          <w:sz w:val="24"/>
          <w:szCs w:val="24"/>
          <w:highlight w:val="none"/>
        </w:rPr>
        <w:t>代理机构按竞争性磋商文件规定的时间、地点组织开标、磋商。采购单位代表及有关工作人员参加，政府采购监管部门视情况参与。</w:t>
      </w:r>
    </w:p>
    <w:p>
      <w:pPr>
        <w:widowControl/>
        <w:snapToGrid w:val="0"/>
        <w:spacing w:line="500" w:lineRule="exact"/>
        <w:ind w:firstLine="480" w:firstLineChars="200"/>
        <w:rPr>
          <w:rFonts w:hint="eastAsia" w:ascii="宋体" w:hAnsi="宋体"/>
          <w:b/>
          <w:color w:val="auto"/>
          <w:sz w:val="24"/>
          <w:szCs w:val="24"/>
          <w:highlight w:val="none"/>
          <w:u w:val="single"/>
        </w:rPr>
      </w:pPr>
      <w:r>
        <w:rPr>
          <w:rFonts w:ascii="宋体" w:hAnsi="宋体"/>
          <w:color w:val="auto"/>
          <w:sz w:val="24"/>
          <w:szCs w:val="24"/>
          <w:highlight w:val="none"/>
        </w:rPr>
        <w:t xml:space="preserve">27.2 </w:t>
      </w:r>
      <w:r>
        <w:rPr>
          <w:rFonts w:hint="eastAsia" w:ascii="宋体" w:hAnsi="宋体"/>
          <w:color w:val="auto"/>
          <w:sz w:val="24"/>
          <w:szCs w:val="24"/>
          <w:highlight w:val="none"/>
        </w:rPr>
        <w:t>招标会将于供应商须知前附表规定的时间和地点召开，邀请供应商参加。磋商小组成员不得参加开标活动。</w:t>
      </w:r>
      <w:r>
        <w:rPr>
          <w:rFonts w:hint="eastAsia" w:ascii="宋体" w:hAnsi="宋体"/>
          <w:b/>
          <w:color w:val="auto"/>
          <w:sz w:val="24"/>
          <w:szCs w:val="24"/>
          <w:highlight w:val="none"/>
        </w:rPr>
        <w:t>在开标</w:t>
      </w:r>
      <w:r>
        <w:rPr>
          <w:rFonts w:hint="eastAsia" w:ascii="宋体" w:hAnsi="宋体"/>
          <w:b/>
          <w:color w:val="auto"/>
          <w:sz w:val="24"/>
          <w:szCs w:val="24"/>
          <w:highlight w:val="none"/>
          <w:lang w:val="en-US" w:eastAsia="zh-CN"/>
        </w:rPr>
        <w:t>截止时间</w:t>
      </w:r>
      <w:r>
        <w:rPr>
          <w:rFonts w:hint="eastAsia" w:ascii="宋体" w:hAnsi="宋体"/>
          <w:b/>
          <w:color w:val="auto"/>
          <w:sz w:val="24"/>
          <w:szCs w:val="24"/>
          <w:highlight w:val="none"/>
        </w:rPr>
        <w:t>前不得</w:t>
      </w:r>
      <w:r>
        <w:rPr>
          <w:rFonts w:hint="eastAsia" w:ascii="宋体" w:hAnsi="宋体"/>
          <w:b/>
          <w:color w:val="auto"/>
          <w:sz w:val="24"/>
          <w:szCs w:val="24"/>
          <w:highlight w:val="none"/>
          <w:lang w:val="en-US" w:eastAsia="zh-CN"/>
        </w:rPr>
        <w:t>解密</w:t>
      </w:r>
      <w:r>
        <w:rPr>
          <w:rFonts w:hint="eastAsia" w:ascii="宋体" w:hAnsi="宋体"/>
          <w:b/>
          <w:color w:val="auto"/>
          <w:sz w:val="24"/>
          <w:szCs w:val="24"/>
          <w:highlight w:val="none"/>
        </w:rPr>
        <w:t>磋商响应文件。</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27.3 </w:t>
      </w:r>
      <w:r>
        <w:rPr>
          <w:rFonts w:hint="eastAsia" w:ascii="宋体" w:hAnsi="宋体"/>
          <w:color w:val="auto"/>
          <w:sz w:val="24"/>
          <w:szCs w:val="24"/>
          <w:highlight w:val="none"/>
        </w:rPr>
        <w:t>开标会议由代理机构主持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合格供应商不足3家的，不得评标。对检查未通过的，采购人将拒绝并原封退回其磋商响应文件。</w:t>
      </w:r>
    </w:p>
    <w:p>
      <w:pPr>
        <w:snapToGrid w:val="0"/>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27.4. 在本项目竞争性磋商文件规定的查询时间之外，网站信息发生的任何变更均不作为资格审查依据。</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27.5</w:t>
      </w:r>
      <w:r>
        <w:rPr>
          <w:rFonts w:ascii="宋体" w:hAnsi="宋体"/>
          <w:color w:val="auto"/>
          <w:sz w:val="24"/>
          <w:szCs w:val="24"/>
          <w:highlight w:val="none"/>
        </w:rPr>
        <w:t xml:space="preserve"> </w:t>
      </w:r>
      <w:r>
        <w:rPr>
          <w:rFonts w:hint="eastAsia" w:ascii="宋体" w:hAnsi="宋体"/>
          <w:color w:val="auto"/>
          <w:sz w:val="24"/>
          <w:szCs w:val="24"/>
          <w:highlight w:val="none"/>
        </w:rPr>
        <w:t>供应商代表对开标过程和开标记录有疑义，以及认为采购人、采购代理机构相关工作人员有需要回避的情形的，应当场提出询问或者回避申请。供应商未参加开标的，视同认可开标结果。</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27.</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磋商会议由磋商小组组长主持。磋商小组首先对各磋商响应文件进行初步审查，初步审查包括资格性审查和符合性审查，未通过审查的为无效标。</w:t>
      </w:r>
    </w:p>
    <w:p>
      <w:pPr>
        <w:snapToGrid w:val="0"/>
        <w:spacing w:line="500" w:lineRule="exact"/>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⑴资格性检查：磋商小组将根据法律法规和竞争性磋商文件的规定，对磋商响应文件的资格证明文件、磋商保证金等进行审查，以确定供应商是否具备竞争性磋商资格。</w:t>
      </w:r>
    </w:p>
    <w:p>
      <w:pPr>
        <w:widowControl/>
        <w:tabs>
          <w:tab w:val="left" w:pos="540"/>
        </w:tabs>
        <w:snapToGrid w:val="0"/>
        <w:spacing w:line="50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⑵符合性检查：依据竞争性磋商文件的规定，从磋商响应文件的有效性、完整性和对竞争性磋商文件的响应程度进行审查，以确定是否对竞争性磋商文件的要求做出了实质性的响应，</w:t>
      </w:r>
      <w:r>
        <w:rPr>
          <w:rFonts w:hint="eastAsia" w:ascii="宋体" w:hAnsi="宋体"/>
          <w:color w:val="auto"/>
          <w:sz w:val="24"/>
          <w:szCs w:val="24"/>
          <w:highlight w:val="none"/>
        </w:rPr>
        <w:t>存在重大偏离的磋商响应文件为无效标。所谓重大偏离是指供应商磋商响应文件中所述服务质量、技术、规格、数量、服务期等和服务明显不能满足竞争性磋商文件要求。</w:t>
      </w:r>
      <w:r>
        <w:rPr>
          <w:rFonts w:hint="eastAsia" w:ascii="宋体" w:hAnsi="宋体"/>
          <w:color w:val="auto"/>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pPr>
        <w:snapToGrid w:val="0"/>
        <w:spacing w:line="500" w:lineRule="exact"/>
        <w:ind w:firstLine="480" w:firstLineChars="200"/>
        <w:rPr>
          <w:rFonts w:hint="eastAsia" w:ascii="宋体" w:hAnsi="宋体" w:cs="Arial"/>
          <w:color w:val="auto"/>
          <w:sz w:val="24"/>
          <w:szCs w:val="24"/>
          <w:highlight w:val="none"/>
        </w:rPr>
      </w:pPr>
      <w:r>
        <w:rPr>
          <w:rFonts w:ascii="宋体" w:hAnsi="宋体" w:cs="Arial"/>
          <w:color w:val="auto"/>
          <w:sz w:val="24"/>
          <w:szCs w:val="24"/>
          <w:highlight w:val="none"/>
        </w:rPr>
        <w:t>27.</w:t>
      </w:r>
      <w:r>
        <w:rPr>
          <w:rFonts w:hint="eastAsia" w:ascii="宋体" w:hAnsi="宋体" w:cs="Arial"/>
          <w:color w:val="auto"/>
          <w:sz w:val="24"/>
          <w:szCs w:val="24"/>
          <w:highlight w:val="none"/>
        </w:rPr>
        <w:t>7</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磋商小组判断“磋商响应文件”的响应性，仅基于“磋商响应文件”本身而不靠外部证据。对非实质性响应的磋商响应文件，供应商不能通过修正或撤销不符之处，而使其成为实质性响应。</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Ansi="宋体"/>
          <w:color w:val="auto"/>
          <w:sz w:val="24"/>
          <w:szCs w:val="24"/>
          <w:highlight w:val="none"/>
        </w:rPr>
        <w:t>27.</w:t>
      </w:r>
      <w:r>
        <w:rPr>
          <w:rFonts w:hint="eastAsia" w:hAnsi="宋体"/>
          <w:color w:val="auto"/>
          <w:sz w:val="24"/>
          <w:szCs w:val="24"/>
          <w:highlight w:val="none"/>
        </w:rPr>
        <w:t>8</w:t>
      </w:r>
      <w:r>
        <w:rPr>
          <w:rFonts w:hAnsi="宋体"/>
          <w:color w:val="auto"/>
          <w:sz w:val="24"/>
          <w:szCs w:val="24"/>
          <w:highlight w:val="none"/>
        </w:rPr>
        <w:t xml:space="preserve"> </w:t>
      </w:r>
      <w:r>
        <w:rPr>
          <w:rFonts w:hint="eastAsia" w:hAnsi="宋体"/>
          <w:color w:val="auto"/>
          <w:sz w:val="24"/>
          <w:szCs w:val="24"/>
          <w:highlight w:val="none"/>
        </w:rPr>
        <w:t>磋商小组根据竞争性磋商文件要求，讨论、通过磋商工作流程和磋商要点。</w:t>
      </w:r>
    </w:p>
    <w:p>
      <w:pPr>
        <w:pStyle w:val="14"/>
        <w:snapToGrid w:val="0"/>
        <w:spacing w:line="500" w:lineRule="exact"/>
        <w:ind w:firstLine="480" w:firstLineChars="200"/>
        <w:rPr>
          <w:rFonts w:hint="eastAsia" w:hAnsi="宋体"/>
          <w:color w:val="auto"/>
          <w:sz w:val="24"/>
          <w:szCs w:val="24"/>
          <w:highlight w:val="none"/>
        </w:rPr>
      </w:pPr>
      <w:r>
        <w:rPr>
          <w:rFonts w:hAnsi="宋体"/>
          <w:color w:val="auto"/>
          <w:sz w:val="24"/>
          <w:szCs w:val="24"/>
          <w:highlight w:val="none"/>
        </w:rPr>
        <w:t>27.</w:t>
      </w:r>
      <w:r>
        <w:rPr>
          <w:rFonts w:hint="eastAsia" w:hAnsi="宋体"/>
          <w:color w:val="auto"/>
          <w:sz w:val="24"/>
          <w:szCs w:val="24"/>
          <w:highlight w:val="none"/>
        </w:rPr>
        <w:t>9</w:t>
      </w:r>
      <w:r>
        <w:rPr>
          <w:rFonts w:hAnsi="宋体"/>
          <w:color w:val="auto"/>
          <w:sz w:val="24"/>
          <w:szCs w:val="24"/>
          <w:highlight w:val="none"/>
        </w:rPr>
        <w:t xml:space="preserve"> </w:t>
      </w:r>
      <w:r>
        <w:rPr>
          <w:rFonts w:hint="eastAsia" w:hAnsi="宋体"/>
          <w:color w:val="auto"/>
          <w:sz w:val="24"/>
          <w:szCs w:val="24"/>
          <w:highlight w:val="none"/>
        </w:rPr>
        <w:t>采购人按照供应商签到时间顺序通知有效供应商磋商。</w:t>
      </w:r>
    </w:p>
    <w:p>
      <w:pPr>
        <w:pStyle w:val="14"/>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u w:val="single"/>
        </w:rPr>
        <w:t>参与二次及多次报价及服务承诺的人员须是供应商法定代表人或其授权代表人。供应商未及时参与磋商或多次报价的，视为自动放弃参与磋商的资格。</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27.10</w:t>
      </w:r>
      <w:r>
        <w:rPr>
          <w:rFonts w:hint="eastAsia" w:hAnsi="宋体"/>
          <w:b/>
          <w:bCs/>
          <w:color w:val="auto"/>
          <w:sz w:val="24"/>
          <w:szCs w:val="24"/>
          <w:highlight w:val="none"/>
        </w:rPr>
        <w:t>第一轮磋商：</w:t>
      </w:r>
      <w:r>
        <w:rPr>
          <w:rFonts w:hint="eastAsia" w:hAnsi="宋体"/>
          <w:color w:val="auto"/>
          <w:sz w:val="24"/>
          <w:szCs w:val="24"/>
          <w:highlight w:val="none"/>
        </w:rPr>
        <w:t>磋商小组所有成员集中按已确定的磋商顺序，与单一供应商分别就符合采购需求、质量、服务等进行磋商，并了解其报价组成情况，磋商结束后，磋商小组进行合议。</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27.11</w:t>
      </w:r>
      <w:r>
        <w:rPr>
          <w:rFonts w:hint="eastAsia" w:hAnsi="宋体"/>
          <w:b/>
          <w:bCs/>
          <w:color w:val="auto"/>
          <w:sz w:val="24"/>
          <w:szCs w:val="24"/>
          <w:highlight w:val="none"/>
        </w:rPr>
        <w:t>磋商文件修正：</w:t>
      </w:r>
      <w:r>
        <w:rPr>
          <w:rFonts w:hint="eastAsia" w:hAnsi="宋体"/>
          <w:color w:val="auto"/>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供应商根据磋商情况和磋商文件修改书面通知，对原磋商响应文件进行修正，并在规定时间内将修正文件由供应商或其授权委托人签字或盖章后</w:t>
      </w:r>
      <w:r>
        <w:rPr>
          <w:rFonts w:hint="eastAsia" w:hAnsi="宋体"/>
          <w:color w:val="auto"/>
          <w:sz w:val="24"/>
          <w:szCs w:val="24"/>
          <w:highlight w:val="none"/>
          <w:lang w:val="en-US" w:eastAsia="zh-CN"/>
        </w:rPr>
        <w:t>上传至系统</w:t>
      </w:r>
      <w:r>
        <w:rPr>
          <w:rFonts w:hint="eastAsia" w:hAnsi="宋体"/>
          <w:color w:val="auto"/>
          <w:sz w:val="24"/>
          <w:szCs w:val="24"/>
          <w:highlight w:val="none"/>
        </w:rPr>
        <w:t>。逾时未交的，视同放弃磋商。修正文件与磋商响应文件同具法律效力。</w:t>
      </w:r>
    </w:p>
    <w:p>
      <w:pPr>
        <w:pStyle w:val="14"/>
        <w:tabs>
          <w:tab w:val="left" w:pos="1260"/>
        </w:tabs>
        <w:snapToGrid w:val="0"/>
        <w:spacing w:line="500" w:lineRule="exact"/>
        <w:ind w:firstLine="482" w:firstLineChars="200"/>
        <w:rPr>
          <w:rFonts w:hint="eastAsia" w:hAnsi="宋体"/>
          <w:color w:val="auto"/>
          <w:sz w:val="24"/>
          <w:szCs w:val="24"/>
          <w:highlight w:val="none"/>
        </w:rPr>
      </w:pPr>
      <w:r>
        <w:rPr>
          <w:rFonts w:hint="eastAsia" w:hAnsi="宋体"/>
          <w:b/>
          <w:bCs/>
          <w:color w:val="auto"/>
          <w:sz w:val="24"/>
          <w:szCs w:val="24"/>
          <w:highlight w:val="none"/>
        </w:rPr>
        <w:t>27.12第二轮磋商：</w:t>
      </w:r>
      <w:r>
        <w:rPr>
          <w:rFonts w:hint="eastAsia" w:hAnsi="宋体"/>
          <w:color w:val="auto"/>
          <w:sz w:val="24"/>
          <w:szCs w:val="24"/>
          <w:highlight w:val="none"/>
        </w:rPr>
        <w:t>磋商小组就修正后的磋商响应文件与磋商响应供应商分别进行磋商。如未实</w:t>
      </w:r>
      <w:r>
        <w:rPr>
          <w:rFonts w:hint="eastAsia" w:hAnsi="宋体"/>
          <w:b w:val="0"/>
          <w:bCs w:val="0"/>
          <w:color w:val="auto"/>
          <w:sz w:val="24"/>
          <w:szCs w:val="24"/>
          <w:highlight w:val="none"/>
        </w:rPr>
        <w:t>质性提高采购需求中的技术、服务要求以及合同草案条款情况下，供应商第二轮磋商总报价及分项报价均不得超过第一轮报价，否则其本次报价无效并以其前一轮的报价为有效报价。采购代</w:t>
      </w:r>
      <w:r>
        <w:rPr>
          <w:rFonts w:hint="eastAsia" w:hAnsi="宋体"/>
          <w:color w:val="auto"/>
          <w:sz w:val="24"/>
          <w:szCs w:val="24"/>
          <w:highlight w:val="none"/>
        </w:rPr>
        <w:t>理机构对磋商过程和磋商内容进行记录，磋商小组和磋商响应供应商在记录上签字确认。</w:t>
      </w:r>
    </w:p>
    <w:p>
      <w:pPr>
        <w:pStyle w:val="14"/>
        <w:tabs>
          <w:tab w:val="left" w:pos="1260"/>
        </w:tabs>
        <w:snapToGrid w:val="0"/>
        <w:spacing w:line="500" w:lineRule="exact"/>
        <w:ind w:firstLine="480" w:firstLineChars="200"/>
        <w:rPr>
          <w:rFonts w:hint="eastAsia" w:hAnsi="宋体"/>
          <w:b w:val="0"/>
          <w:bCs w:val="0"/>
          <w:color w:val="auto"/>
          <w:sz w:val="24"/>
          <w:szCs w:val="24"/>
          <w:highlight w:val="none"/>
        </w:rPr>
      </w:pPr>
      <w:r>
        <w:rPr>
          <w:rFonts w:hint="eastAsia" w:hAnsi="宋体"/>
          <w:b w:val="0"/>
          <w:bCs w:val="0"/>
          <w:color w:val="auto"/>
          <w:sz w:val="24"/>
          <w:szCs w:val="24"/>
          <w:highlight w:val="none"/>
        </w:rPr>
        <w:t>第二轮磋商后磋商小组未能确定成交候选人的，按27.11磋商文件修正的要求，对磋商文件修正后进行第三轮磋商。</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27.13</w:t>
      </w:r>
      <w:r>
        <w:rPr>
          <w:rFonts w:hint="eastAsia" w:hAnsi="宋体"/>
          <w:b/>
          <w:bCs/>
          <w:color w:val="auto"/>
          <w:sz w:val="24"/>
          <w:szCs w:val="24"/>
          <w:highlight w:val="none"/>
        </w:rPr>
        <w:t>最终报价：</w:t>
      </w:r>
      <w:r>
        <w:rPr>
          <w:rFonts w:hint="eastAsia" w:hAnsi="宋体"/>
          <w:color w:val="auto"/>
          <w:sz w:val="24"/>
          <w:szCs w:val="24"/>
          <w:highlight w:val="none"/>
        </w:rPr>
        <w:t>最终的磋商结束后，所有磋商响应供应商作最终报价，在规定时间内递交磋商小组，最终报价是供应商磋商响应文件的有效组成部分。由磋商小组采用综合评分法对提交最后报价的供应商的响应文件和最后报价进行综合评分。</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pPr>
        <w:pStyle w:val="14"/>
        <w:tabs>
          <w:tab w:val="left" w:pos="1260"/>
        </w:tabs>
        <w:snapToGrid w:val="0"/>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 xml:space="preserve">27.15已提交响应文件的供应商，在提交最后报价之前，可以根据磋商情况退出磋商。采购人、采购代理机构应当退还退出磋商的供应商的磋商保证金。   </w:t>
      </w:r>
    </w:p>
    <w:p>
      <w:pPr>
        <w:snapToGrid w:val="0"/>
        <w:spacing w:line="500" w:lineRule="exact"/>
        <w:ind w:firstLine="472" w:firstLineChars="197"/>
        <w:rPr>
          <w:rFonts w:ascii="宋体" w:hAnsi="宋体"/>
          <w:bCs/>
          <w:color w:val="auto"/>
          <w:sz w:val="24"/>
          <w:szCs w:val="24"/>
          <w:highlight w:val="none"/>
        </w:rPr>
      </w:pPr>
      <w:r>
        <w:rPr>
          <w:rFonts w:hint="eastAsia" w:ascii="宋体" w:hAnsi="宋体"/>
          <w:bCs/>
          <w:color w:val="auto"/>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napToGrid w:val="0"/>
        <w:spacing w:line="500" w:lineRule="exact"/>
        <w:ind w:firstLine="472" w:firstLineChars="197"/>
        <w:rPr>
          <w:rFonts w:hint="eastAsia" w:ascii="宋体" w:hAnsi="宋体"/>
          <w:bCs/>
          <w:color w:val="auto"/>
          <w:sz w:val="24"/>
          <w:szCs w:val="24"/>
          <w:highlight w:val="none"/>
        </w:rPr>
      </w:pPr>
      <w:r>
        <w:rPr>
          <w:rFonts w:ascii="宋体" w:hAnsi="宋体"/>
          <w:bCs/>
          <w:color w:val="auto"/>
          <w:sz w:val="24"/>
          <w:szCs w:val="24"/>
          <w:highlight w:val="none"/>
        </w:rPr>
        <w:t>27.1</w:t>
      </w:r>
      <w:r>
        <w:rPr>
          <w:rFonts w:hint="eastAsia" w:ascii="宋体" w:hAnsi="宋体"/>
          <w:bCs/>
          <w:color w:val="auto"/>
          <w:sz w:val="24"/>
          <w:szCs w:val="24"/>
          <w:highlight w:val="none"/>
        </w:rPr>
        <w:t>7</w:t>
      </w:r>
      <w:r>
        <w:rPr>
          <w:rFonts w:ascii="宋体" w:hAnsi="宋体"/>
          <w:bCs/>
          <w:color w:val="auto"/>
          <w:sz w:val="24"/>
          <w:szCs w:val="24"/>
          <w:highlight w:val="none"/>
        </w:rPr>
        <w:t xml:space="preserve"> </w:t>
      </w:r>
      <w:r>
        <w:rPr>
          <w:rFonts w:hint="eastAsia" w:ascii="宋体" w:hAnsi="宋体"/>
          <w:bCs/>
          <w:color w:val="auto"/>
          <w:sz w:val="24"/>
          <w:szCs w:val="24"/>
          <w:highlight w:val="none"/>
        </w:rPr>
        <w:t>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pStyle w:val="14"/>
        <w:snapToGrid w:val="0"/>
        <w:spacing w:line="500" w:lineRule="exact"/>
        <w:ind w:firstLine="354" w:firstLineChars="147"/>
        <w:rPr>
          <w:rFonts w:hint="eastAsia" w:hAnsi="宋体"/>
          <w:b/>
          <w:color w:val="auto"/>
          <w:sz w:val="24"/>
          <w:szCs w:val="24"/>
          <w:highlight w:val="none"/>
        </w:rPr>
      </w:pPr>
      <w:bookmarkStart w:id="20" w:name="_Toc213839741"/>
      <w:r>
        <w:rPr>
          <w:rFonts w:hint="eastAsia" w:hAnsi="宋体"/>
          <w:b/>
          <w:color w:val="auto"/>
          <w:sz w:val="24"/>
          <w:szCs w:val="24"/>
          <w:highlight w:val="none"/>
        </w:rPr>
        <w:t>（二十八）最终报价</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28.1 磋商结束后，磋商小组将要求所有有效供应商在规定时间内提交最终报价及服务承诺。</w:t>
      </w:r>
    </w:p>
    <w:p>
      <w:pPr>
        <w:snapToGrid w:val="0"/>
        <w:spacing w:line="500" w:lineRule="exact"/>
        <w:ind w:firstLine="354" w:firstLineChars="147"/>
        <w:rPr>
          <w:rFonts w:hint="eastAsia" w:ascii="宋体" w:hAnsi="宋体"/>
          <w:b/>
          <w:color w:val="auto"/>
          <w:sz w:val="24"/>
          <w:szCs w:val="24"/>
          <w:highlight w:val="none"/>
        </w:rPr>
      </w:pPr>
      <w:r>
        <w:rPr>
          <w:rFonts w:hint="eastAsia" w:ascii="宋体" w:hAnsi="宋体"/>
          <w:b/>
          <w:color w:val="auto"/>
          <w:sz w:val="24"/>
          <w:szCs w:val="24"/>
          <w:highlight w:val="none"/>
        </w:rPr>
        <w:t>（二十九）确定成交候选供应商</w:t>
      </w:r>
    </w:p>
    <w:p>
      <w:pPr>
        <w:snapToGrid w:val="0"/>
        <w:spacing w:line="500" w:lineRule="exact"/>
        <w:ind w:firstLine="472" w:firstLineChars="197"/>
        <w:rPr>
          <w:rFonts w:hint="eastAsia" w:ascii="宋体" w:hAnsi="宋体"/>
          <w:color w:val="auto"/>
          <w:sz w:val="24"/>
          <w:szCs w:val="24"/>
          <w:highlight w:val="none"/>
        </w:rPr>
      </w:pPr>
      <w:r>
        <w:rPr>
          <w:rFonts w:hint="eastAsia" w:ascii="宋体" w:hAnsi="宋体"/>
          <w:color w:val="auto"/>
          <w:sz w:val="24"/>
          <w:szCs w:val="24"/>
          <w:highlight w:val="none"/>
        </w:rPr>
        <w:t>29.1 经磋商确定最终采购需求和提交最后报价的供应商后，由磋商小组采用综合评分法对提交最后报价的供应商的磋商响应文件和最后报价进行综合评分。</w:t>
      </w:r>
    </w:p>
    <w:p>
      <w:pPr>
        <w:snapToGrid w:val="0"/>
        <w:spacing w:line="500" w:lineRule="exact"/>
        <w:ind w:firstLine="472" w:firstLineChars="197"/>
        <w:rPr>
          <w:rFonts w:ascii="宋体" w:hAnsi="宋体"/>
          <w:bCs/>
          <w:color w:val="auto"/>
          <w:sz w:val="24"/>
          <w:szCs w:val="24"/>
          <w:highlight w:val="none"/>
        </w:rPr>
      </w:pPr>
      <w:r>
        <w:rPr>
          <w:rFonts w:hint="eastAsia" w:ascii="宋体" w:hAnsi="宋体"/>
          <w:bCs/>
          <w:color w:val="auto"/>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snapToGrid w:val="0"/>
        <w:spacing w:line="5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（三十）磋商过程</w:t>
      </w:r>
      <w:bookmarkEnd w:id="20"/>
      <w:r>
        <w:rPr>
          <w:rFonts w:hint="eastAsia" w:ascii="宋体" w:hAnsi="宋体"/>
          <w:b/>
          <w:color w:val="auto"/>
          <w:sz w:val="24"/>
          <w:szCs w:val="24"/>
          <w:highlight w:val="none"/>
        </w:rPr>
        <w:t>保密</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30.1 </w:t>
      </w:r>
      <w:r>
        <w:rPr>
          <w:rFonts w:hint="eastAsia" w:ascii="宋体" w:hAnsi="宋体"/>
          <w:color w:val="auto"/>
          <w:sz w:val="24"/>
          <w:szCs w:val="24"/>
          <w:highlight w:val="none"/>
        </w:rPr>
        <w:t>在宣布成交结果之前，凡属于审查、澄清、评价、比较竞争性磋商文件等有关信息，相关当事人均不得泄露给任何磋商供应商或与磋商工作无关的人员。</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30.2 </w:t>
      </w:r>
      <w:r>
        <w:rPr>
          <w:rFonts w:hint="eastAsia" w:ascii="宋体" w:hAnsi="宋体"/>
          <w:color w:val="auto"/>
          <w:sz w:val="24"/>
          <w:szCs w:val="24"/>
          <w:highlight w:val="none"/>
        </w:rPr>
        <w:t>供应商不得探听上述信息，不得以任何行为影响磋商过程，否则其磋商响应文件将被作为无效磋商响应文件。</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30.3 在磋商期间，代理机构有专门工作人员与供应商进行联络。</w:t>
      </w:r>
    </w:p>
    <w:p>
      <w:pPr>
        <w:snapToGrid w:val="0"/>
        <w:spacing w:line="5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30.4 </w:t>
      </w:r>
      <w:r>
        <w:rPr>
          <w:rFonts w:hint="eastAsia" w:ascii="宋体" w:hAnsi="宋体"/>
          <w:color w:val="auto"/>
          <w:sz w:val="24"/>
          <w:szCs w:val="24"/>
          <w:highlight w:val="none"/>
        </w:rPr>
        <w:t>采购人和磋商小组不向未成交的供应商解释未成交原因，也不对磋商过程中的细节问题进行公布。</w:t>
      </w:r>
    </w:p>
    <w:p>
      <w:pPr>
        <w:snapToGrid w:val="0"/>
        <w:spacing w:line="500" w:lineRule="exact"/>
        <w:ind w:firstLine="200"/>
        <w:jc w:val="center"/>
        <w:outlineLvl w:val="1"/>
        <w:rPr>
          <w:rFonts w:hint="eastAsia" w:ascii="宋体" w:hAnsi="宋体"/>
          <w:b/>
          <w:color w:val="auto"/>
          <w:sz w:val="24"/>
          <w:szCs w:val="24"/>
          <w:highlight w:val="none"/>
        </w:rPr>
      </w:pPr>
      <w:r>
        <w:rPr>
          <w:rFonts w:hint="eastAsia" w:ascii="宋体" w:hAnsi="宋体"/>
          <w:b/>
          <w:color w:val="auto"/>
          <w:sz w:val="24"/>
          <w:szCs w:val="24"/>
          <w:highlight w:val="none"/>
        </w:rPr>
        <w:br w:type="page"/>
      </w:r>
      <w:bookmarkStart w:id="21" w:name="_Toc28256"/>
      <w:r>
        <w:rPr>
          <w:rFonts w:hint="eastAsia" w:ascii="宋体" w:hAnsi="宋体"/>
          <w:b/>
          <w:color w:val="auto"/>
          <w:sz w:val="24"/>
          <w:szCs w:val="24"/>
          <w:highlight w:val="none"/>
        </w:rPr>
        <w:t>七、评标办法</w:t>
      </w:r>
      <w:bookmarkEnd w:id="21"/>
    </w:p>
    <w:p>
      <w:pPr>
        <w:snapToGrid w:val="0"/>
        <w:spacing w:line="440" w:lineRule="exact"/>
        <w:rPr>
          <w:rFonts w:hint="eastAsia" w:ascii="宋体" w:hAnsi="宋体"/>
          <w:b/>
          <w:bCs/>
          <w:color w:val="auto"/>
          <w:sz w:val="24"/>
          <w:szCs w:val="24"/>
          <w:highlight w:val="none"/>
        </w:rPr>
      </w:pPr>
      <w:r>
        <w:rPr>
          <w:rFonts w:hint="eastAsia" w:ascii="宋体" w:hAnsi="宋体"/>
          <w:b/>
          <w:color w:val="auto"/>
          <w:sz w:val="24"/>
          <w:szCs w:val="24"/>
          <w:highlight w:val="none"/>
        </w:rPr>
        <w:t>（三十一）</w:t>
      </w:r>
      <w:r>
        <w:rPr>
          <w:rFonts w:hint="eastAsia" w:ascii="宋体" w:hAnsi="宋体"/>
          <w:b/>
          <w:bCs/>
          <w:color w:val="auto"/>
          <w:sz w:val="24"/>
          <w:szCs w:val="24"/>
          <w:highlight w:val="none"/>
        </w:rPr>
        <w:t>初步</w:t>
      </w:r>
      <w:r>
        <w:rPr>
          <w:rFonts w:hint="eastAsia" w:ascii="宋体" w:hAnsi="宋体"/>
          <w:b/>
          <w:color w:val="auto"/>
          <w:sz w:val="24"/>
          <w:szCs w:val="24"/>
          <w:highlight w:val="none"/>
        </w:rPr>
        <w:t>评审</w:t>
      </w:r>
    </w:p>
    <w:p>
      <w:pPr>
        <w:snapToGrid w:val="0"/>
        <w:spacing w:line="440" w:lineRule="exact"/>
        <w:jc w:val="center"/>
        <w:rPr>
          <w:rFonts w:hint="eastAsia" w:ascii="宋体" w:hAnsi="宋体"/>
          <w:b/>
          <w:color w:val="auto"/>
          <w:sz w:val="24"/>
          <w:szCs w:val="24"/>
          <w:highlight w:val="none"/>
        </w:rPr>
      </w:pPr>
      <w:r>
        <w:rPr>
          <w:rFonts w:hint="eastAsia" w:ascii="宋体" w:hAnsi="宋体"/>
          <w:b/>
          <w:bCs/>
          <w:color w:val="auto"/>
          <w:sz w:val="24"/>
          <w:szCs w:val="24"/>
          <w:highlight w:val="none"/>
        </w:rPr>
        <w:t>初步评审（资格</w:t>
      </w:r>
      <w:r>
        <w:rPr>
          <w:rFonts w:hint="eastAsia" w:ascii="宋体" w:hAnsi="宋体"/>
          <w:b/>
          <w:bCs/>
          <w:color w:val="auto"/>
          <w:sz w:val="24"/>
          <w:szCs w:val="24"/>
          <w:highlight w:val="none"/>
          <w:lang w:val="en-US" w:eastAsia="zh-CN"/>
        </w:rPr>
        <w:t>审查标准</w:t>
      </w:r>
      <w:r>
        <w:rPr>
          <w:rFonts w:hint="eastAsia" w:ascii="宋体" w:hAnsi="宋体"/>
          <w:b/>
          <w:bCs/>
          <w:color w:val="auto"/>
          <w:sz w:val="24"/>
          <w:szCs w:val="24"/>
          <w:highlight w:val="none"/>
        </w:rPr>
        <w:t>）</w:t>
      </w:r>
    </w:p>
    <w:tbl>
      <w:tblPr>
        <w:tblStyle w:val="2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noWrap w:val="0"/>
            <w:vAlign w:val="center"/>
          </w:tcPr>
          <w:p>
            <w:pPr>
              <w:shd w:val="clear" w:color="auto" w:fill="FFFFFF"/>
              <w:spacing w:line="34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序号</w:t>
            </w:r>
          </w:p>
        </w:tc>
        <w:tc>
          <w:tcPr>
            <w:tcW w:w="5780" w:type="dxa"/>
            <w:tcBorders>
              <w:bottom w:val="single" w:color="auto" w:sz="4" w:space="0"/>
            </w:tcBorders>
            <w:noWrap w:val="0"/>
            <w:vAlign w:val="center"/>
          </w:tcPr>
          <w:p>
            <w:pPr>
              <w:shd w:val="clear" w:color="auto" w:fill="FFFFFF"/>
              <w:spacing w:line="340" w:lineRule="exact"/>
              <w:jc w:val="center"/>
              <w:rPr>
                <w:rFonts w:hint="eastAsia" w:ascii="宋体" w:hAnsi="宋体"/>
                <w:b/>
                <w:color w:val="auto"/>
                <w:sz w:val="24"/>
                <w:szCs w:val="24"/>
                <w:highlight w:val="none"/>
              </w:rPr>
            </w:pPr>
            <w:r>
              <w:rPr>
                <w:rFonts w:hint="eastAsia" w:ascii="宋体" w:hAnsi="宋体"/>
                <w:bCs/>
                <w:color w:val="auto"/>
                <w:sz w:val="24"/>
                <w:szCs w:val="24"/>
                <w:highlight w:val="none"/>
              </w:rPr>
              <w:t>评审内容及标准</w:t>
            </w:r>
          </w:p>
        </w:tc>
        <w:tc>
          <w:tcPr>
            <w:tcW w:w="854" w:type="dxa"/>
            <w:tcBorders>
              <w:bottom w:val="single" w:color="auto" w:sz="4" w:space="0"/>
            </w:tcBorders>
            <w:noWrap w:val="0"/>
            <w:vAlign w:val="center"/>
          </w:tcPr>
          <w:p>
            <w:pPr>
              <w:shd w:val="clear" w:color="auto" w:fill="FFFFFF"/>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供应商1</w:t>
            </w:r>
          </w:p>
        </w:tc>
        <w:tc>
          <w:tcPr>
            <w:tcW w:w="852" w:type="dxa"/>
            <w:tcBorders>
              <w:bottom w:val="single" w:color="auto" w:sz="4" w:space="0"/>
            </w:tcBorders>
            <w:noWrap w:val="0"/>
            <w:vAlign w:val="center"/>
          </w:tcPr>
          <w:p>
            <w:pPr>
              <w:shd w:val="clear" w:color="auto" w:fill="FFFFFF"/>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供应商2</w:t>
            </w:r>
          </w:p>
        </w:tc>
        <w:tc>
          <w:tcPr>
            <w:tcW w:w="851" w:type="dxa"/>
            <w:tcBorders>
              <w:bottom w:val="single" w:color="auto" w:sz="4" w:space="0"/>
            </w:tcBorders>
            <w:noWrap w:val="0"/>
            <w:vAlign w:val="center"/>
          </w:tcPr>
          <w:p>
            <w:pPr>
              <w:shd w:val="clear" w:color="auto" w:fill="FFFFFF"/>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供应商3</w:t>
            </w:r>
          </w:p>
        </w:tc>
        <w:tc>
          <w:tcPr>
            <w:tcW w:w="792" w:type="dxa"/>
            <w:tcBorders>
              <w:bottom w:val="single" w:color="auto" w:sz="4" w:space="0"/>
            </w:tcBorders>
            <w:noWrap w:val="0"/>
            <w:vAlign w:val="center"/>
          </w:tcPr>
          <w:p>
            <w:pPr>
              <w:shd w:val="clear" w:color="auto" w:fill="FFFFFF"/>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noWrap w:val="0"/>
            <w:vAlign w:val="center"/>
          </w:tcPr>
          <w:p>
            <w:pPr>
              <w:shd w:val="clear" w:color="auto" w:fill="FFFFFF"/>
              <w:spacing w:line="340" w:lineRule="exac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5780" w:type="dxa"/>
            <w:noWrap w:val="0"/>
            <w:vAlign w:val="center"/>
          </w:tcPr>
          <w:p>
            <w:pPr>
              <w:shd w:val="clear" w:color="auto" w:fill="FFFFFF"/>
              <w:spacing w:line="340" w:lineRule="exac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满足《中华人民共和国政府采购法》第二十二条规定；</w:t>
            </w:r>
          </w:p>
        </w:tc>
        <w:tc>
          <w:tcPr>
            <w:tcW w:w="854" w:type="dxa"/>
            <w:noWrap w:val="0"/>
            <w:vAlign w:val="center"/>
          </w:tcPr>
          <w:p>
            <w:pPr>
              <w:shd w:val="clear" w:color="auto" w:fill="FFFFFF"/>
              <w:spacing w:line="340" w:lineRule="exact"/>
              <w:rPr>
                <w:rFonts w:ascii="宋体" w:hAnsi="宋体"/>
                <w:color w:val="auto"/>
                <w:sz w:val="24"/>
                <w:szCs w:val="24"/>
                <w:highlight w:val="none"/>
              </w:rPr>
            </w:pPr>
          </w:p>
        </w:tc>
        <w:tc>
          <w:tcPr>
            <w:tcW w:w="852" w:type="dxa"/>
            <w:noWrap w:val="0"/>
            <w:vAlign w:val="center"/>
          </w:tcPr>
          <w:p>
            <w:pPr>
              <w:shd w:val="clear" w:color="auto" w:fill="FFFFFF"/>
              <w:spacing w:line="340" w:lineRule="exact"/>
              <w:rPr>
                <w:rFonts w:ascii="宋体" w:hAnsi="宋体"/>
                <w:color w:val="auto"/>
                <w:sz w:val="24"/>
                <w:szCs w:val="24"/>
                <w:highlight w:val="none"/>
              </w:rPr>
            </w:pPr>
          </w:p>
        </w:tc>
        <w:tc>
          <w:tcPr>
            <w:tcW w:w="851" w:type="dxa"/>
            <w:noWrap w:val="0"/>
            <w:vAlign w:val="center"/>
          </w:tcPr>
          <w:p>
            <w:pPr>
              <w:shd w:val="clear" w:color="auto" w:fill="FFFFFF"/>
              <w:spacing w:line="340" w:lineRule="exact"/>
              <w:rPr>
                <w:rFonts w:ascii="宋体" w:hAnsi="宋体"/>
                <w:color w:val="auto"/>
                <w:sz w:val="24"/>
                <w:szCs w:val="24"/>
                <w:highlight w:val="none"/>
              </w:rPr>
            </w:pPr>
          </w:p>
        </w:tc>
        <w:tc>
          <w:tcPr>
            <w:tcW w:w="792" w:type="dxa"/>
            <w:noWrap w:val="0"/>
            <w:vAlign w:val="center"/>
          </w:tcPr>
          <w:p>
            <w:pPr>
              <w:shd w:val="clear" w:color="auto" w:fill="FFFFFF"/>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noWrap w:val="0"/>
            <w:vAlign w:val="center"/>
          </w:tcPr>
          <w:p>
            <w:pPr>
              <w:shd w:val="clear" w:color="auto" w:fill="FFFFFF"/>
              <w:spacing w:line="34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5780" w:type="dxa"/>
            <w:noWrap w:val="0"/>
            <w:vAlign w:val="center"/>
          </w:tcPr>
          <w:p>
            <w:pPr>
              <w:shd w:val="clear" w:color="auto" w:fill="FFFFFF"/>
              <w:spacing w:line="340" w:lineRule="exact"/>
              <w:rPr>
                <w:rFonts w:hint="eastAsia" w:ascii="宋体" w:hAnsi="宋体" w:eastAsia="宋体" w:cs="Times New Roman"/>
                <w:bCs/>
                <w:color w:val="auto"/>
                <w:sz w:val="24"/>
                <w:szCs w:val="24"/>
                <w:highlight w:val="none"/>
              </w:rPr>
            </w:pPr>
            <w:r>
              <w:rPr>
                <w:rFonts w:hint="eastAsia" w:ascii="宋体" w:hAnsi="宋体" w:eastAsia="宋体" w:cs="宋体"/>
                <w:b w:val="0"/>
                <w:bCs w:val="0"/>
                <w:sz w:val="24"/>
                <w:szCs w:val="24"/>
                <w:lang w:val="en-US" w:eastAsia="zh-CN"/>
              </w:rPr>
              <w:t>投标人须是中华人民共和国境内注册的，具有有效的营业执照；</w:t>
            </w:r>
          </w:p>
        </w:tc>
        <w:tc>
          <w:tcPr>
            <w:tcW w:w="854" w:type="dxa"/>
            <w:noWrap w:val="0"/>
            <w:vAlign w:val="center"/>
          </w:tcPr>
          <w:p>
            <w:pPr>
              <w:shd w:val="clear" w:color="auto" w:fill="FFFFFF"/>
              <w:spacing w:line="340" w:lineRule="exact"/>
              <w:rPr>
                <w:rFonts w:ascii="宋体" w:hAnsi="宋体"/>
                <w:color w:val="auto"/>
                <w:sz w:val="24"/>
                <w:szCs w:val="24"/>
                <w:highlight w:val="none"/>
              </w:rPr>
            </w:pPr>
          </w:p>
        </w:tc>
        <w:tc>
          <w:tcPr>
            <w:tcW w:w="852" w:type="dxa"/>
            <w:noWrap w:val="0"/>
            <w:vAlign w:val="center"/>
          </w:tcPr>
          <w:p>
            <w:pPr>
              <w:shd w:val="clear" w:color="auto" w:fill="FFFFFF"/>
              <w:spacing w:line="340" w:lineRule="exact"/>
              <w:rPr>
                <w:rFonts w:ascii="宋体" w:hAnsi="宋体"/>
                <w:color w:val="auto"/>
                <w:sz w:val="24"/>
                <w:szCs w:val="24"/>
                <w:highlight w:val="none"/>
              </w:rPr>
            </w:pPr>
          </w:p>
        </w:tc>
        <w:tc>
          <w:tcPr>
            <w:tcW w:w="851" w:type="dxa"/>
            <w:noWrap w:val="0"/>
            <w:vAlign w:val="center"/>
          </w:tcPr>
          <w:p>
            <w:pPr>
              <w:shd w:val="clear" w:color="auto" w:fill="FFFFFF"/>
              <w:spacing w:line="340" w:lineRule="exact"/>
              <w:rPr>
                <w:rFonts w:ascii="宋体" w:hAnsi="宋体"/>
                <w:color w:val="auto"/>
                <w:sz w:val="24"/>
                <w:szCs w:val="24"/>
                <w:highlight w:val="none"/>
              </w:rPr>
            </w:pPr>
          </w:p>
        </w:tc>
        <w:tc>
          <w:tcPr>
            <w:tcW w:w="792" w:type="dxa"/>
            <w:noWrap w:val="0"/>
            <w:vAlign w:val="center"/>
          </w:tcPr>
          <w:p>
            <w:pPr>
              <w:shd w:val="clear" w:color="auto" w:fill="FFFFFF"/>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noWrap w:val="0"/>
            <w:vAlign w:val="center"/>
          </w:tcPr>
          <w:p>
            <w:pPr>
              <w:shd w:val="clear" w:color="auto" w:fill="FFFFFF"/>
              <w:spacing w:line="34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5780" w:type="dxa"/>
            <w:noWrap w:val="0"/>
            <w:vAlign w:val="center"/>
          </w:tcPr>
          <w:p>
            <w:pPr>
              <w:shd w:val="clear" w:color="auto" w:fill="FFFFFF"/>
              <w:spacing w:line="340" w:lineRule="exact"/>
              <w:rPr>
                <w:rFonts w:hint="eastAsia" w:ascii="宋体" w:hAnsi="宋体" w:eastAsia="宋体" w:cs="Times New Roman"/>
                <w:bCs/>
                <w:color w:val="auto"/>
                <w:sz w:val="24"/>
                <w:szCs w:val="24"/>
                <w:highlight w:val="none"/>
              </w:rPr>
            </w:pPr>
            <w:r>
              <w:rPr>
                <w:rFonts w:hint="eastAsia" w:ascii="宋体" w:hAnsi="宋体" w:eastAsia="宋体" w:cs="宋体"/>
                <w:b w:val="0"/>
                <w:bCs w:val="0"/>
                <w:sz w:val="24"/>
                <w:szCs w:val="24"/>
                <w:lang w:val="en-US" w:eastAsia="zh-CN"/>
              </w:rPr>
              <w:t>投标人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宋体" w:hAnsi="宋体" w:eastAsia="宋体" w:cs="Times New Roman"/>
                <w:bCs/>
                <w:color w:val="auto"/>
                <w:sz w:val="24"/>
                <w:szCs w:val="24"/>
                <w:highlight w:val="none"/>
              </w:rPr>
              <w:t>。</w:t>
            </w:r>
          </w:p>
        </w:tc>
        <w:tc>
          <w:tcPr>
            <w:tcW w:w="854" w:type="dxa"/>
            <w:noWrap w:val="0"/>
            <w:vAlign w:val="center"/>
          </w:tcPr>
          <w:p>
            <w:pPr>
              <w:shd w:val="clear" w:color="auto" w:fill="FFFFFF"/>
              <w:spacing w:line="340" w:lineRule="exact"/>
              <w:rPr>
                <w:rFonts w:ascii="宋体" w:hAnsi="宋体"/>
                <w:color w:val="auto"/>
                <w:sz w:val="24"/>
                <w:szCs w:val="24"/>
                <w:highlight w:val="none"/>
              </w:rPr>
            </w:pPr>
          </w:p>
        </w:tc>
        <w:tc>
          <w:tcPr>
            <w:tcW w:w="852" w:type="dxa"/>
            <w:noWrap w:val="0"/>
            <w:vAlign w:val="center"/>
          </w:tcPr>
          <w:p>
            <w:pPr>
              <w:shd w:val="clear" w:color="auto" w:fill="FFFFFF"/>
              <w:spacing w:line="340" w:lineRule="exact"/>
              <w:rPr>
                <w:rFonts w:ascii="宋体" w:hAnsi="宋体"/>
                <w:color w:val="auto"/>
                <w:sz w:val="24"/>
                <w:szCs w:val="24"/>
                <w:highlight w:val="none"/>
              </w:rPr>
            </w:pPr>
          </w:p>
        </w:tc>
        <w:tc>
          <w:tcPr>
            <w:tcW w:w="851" w:type="dxa"/>
            <w:noWrap w:val="0"/>
            <w:vAlign w:val="center"/>
          </w:tcPr>
          <w:p>
            <w:pPr>
              <w:shd w:val="clear" w:color="auto" w:fill="FFFFFF"/>
              <w:spacing w:line="340" w:lineRule="exact"/>
              <w:rPr>
                <w:rFonts w:ascii="宋体" w:hAnsi="宋体"/>
                <w:color w:val="auto"/>
                <w:sz w:val="24"/>
                <w:szCs w:val="24"/>
                <w:highlight w:val="none"/>
              </w:rPr>
            </w:pPr>
          </w:p>
        </w:tc>
        <w:tc>
          <w:tcPr>
            <w:tcW w:w="792" w:type="dxa"/>
            <w:noWrap w:val="0"/>
            <w:vAlign w:val="center"/>
          </w:tcPr>
          <w:p>
            <w:pPr>
              <w:shd w:val="clear" w:color="auto" w:fill="FFFFFF"/>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noWrap w:val="0"/>
            <w:vAlign w:val="center"/>
          </w:tcPr>
          <w:p>
            <w:pPr>
              <w:shd w:val="clear" w:color="auto" w:fill="FFFFFF"/>
              <w:spacing w:line="340" w:lineRule="exact"/>
              <w:rPr>
                <w:rFonts w:ascii="宋体" w:hAnsi="宋体"/>
                <w:b/>
                <w:color w:val="auto"/>
                <w:sz w:val="24"/>
                <w:szCs w:val="24"/>
                <w:highlight w:val="none"/>
              </w:rPr>
            </w:pPr>
            <w:bookmarkStart w:id="202" w:name="_GoBack"/>
            <w:bookmarkEnd w:id="202"/>
            <w:r>
              <w:rPr>
                <w:rFonts w:hint="eastAsia" w:ascii="宋体" w:hAnsi="宋体"/>
                <w:color w:val="auto"/>
                <w:sz w:val="24"/>
                <w:szCs w:val="24"/>
                <w:highlight w:val="none"/>
              </w:rPr>
              <w:t>结论：是否通过</w:t>
            </w:r>
            <w:r>
              <w:rPr>
                <w:rFonts w:hint="eastAsia" w:ascii="宋体" w:hAnsi="宋体"/>
                <w:b/>
                <w:color w:val="auto"/>
                <w:sz w:val="24"/>
                <w:szCs w:val="24"/>
                <w:highlight w:val="none"/>
              </w:rPr>
              <w:t>（</w:t>
            </w:r>
            <w:r>
              <w:rPr>
                <w:rFonts w:hint="eastAsia" w:ascii="宋体" w:hAnsi="宋体"/>
                <w:bCs/>
                <w:color w:val="auto"/>
                <w:sz w:val="24"/>
                <w:szCs w:val="24"/>
                <w:highlight w:val="none"/>
              </w:rPr>
              <w:t>资格</w:t>
            </w:r>
            <w:r>
              <w:rPr>
                <w:rFonts w:hint="eastAsia" w:ascii="宋体" w:hAnsi="宋体"/>
                <w:bCs/>
                <w:color w:val="auto"/>
                <w:sz w:val="24"/>
                <w:szCs w:val="24"/>
                <w:highlight w:val="none"/>
                <w:lang w:val="en-US" w:eastAsia="zh-CN"/>
              </w:rPr>
              <w:t>审查</w:t>
            </w:r>
            <w:r>
              <w:rPr>
                <w:rFonts w:hint="eastAsia" w:ascii="宋体" w:hAnsi="宋体"/>
                <w:color w:val="auto"/>
                <w:sz w:val="24"/>
                <w:szCs w:val="24"/>
                <w:highlight w:val="none"/>
              </w:rPr>
              <w:t>合格后方可进入符合性审查阶段</w:t>
            </w:r>
            <w:r>
              <w:rPr>
                <w:rFonts w:hint="eastAsia" w:ascii="宋体" w:hAnsi="宋体"/>
                <w:b/>
                <w:color w:val="auto"/>
                <w:sz w:val="24"/>
                <w:szCs w:val="24"/>
                <w:highlight w:val="none"/>
              </w:rPr>
              <w:t>）</w:t>
            </w:r>
          </w:p>
        </w:tc>
        <w:tc>
          <w:tcPr>
            <w:tcW w:w="854" w:type="dxa"/>
            <w:noWrap w:val="0"/>
            <w:vAlign w:val="center"/>
          </w:tcPr>
          <w:p>
            <w:pPr>
              <w:shd w:val="clear" w:color="auto" w:fill="FFFFFF"/>
              <w:spacing w:line="340" w:lineRule="exact"/>
              <w:rPr>
                <w:rFonts w:hint="eastAsia" w:ascii="宋体" w:hAnsi="宋体"/>
                <w:color w:val="auto"/>
                <w:sz w:val="24"/>
                <w:szCs w:val="24"/>
                <w:highlight w:val="none"/>
              </w:rPr>
            </w:pPr>
          </w:p>
        </w:tc>
        <w:tc>
          <w:tcPr>
            <w:tcW w:w="852" w:type="dxa"/>
            <w:noWrap w:val="0"/>
            <w:vAlign w:val="center"/>
          </w:tcPr>
          <w:p>
            <w:pPr>
              <w:shd w:val="clear" w:color="auto" w:fill="FFFFFF"/>
              <w:spacing w:line="340" w:lineRule="exact"/>
              <w:rPr>
                <w:rFonts w:hint="eastAsia" w:ascii="宋体" w:hAnsi="宋体"/>
                <w:color w:val="auto"/>
                <w:sz w:val="24"/>
                <w:szCs w:val="24"/>
                <w:highlight w:val="none"/>
              </w:rPr>
            </w:pPr>
          </w:p>
        </w:tc>
        <w:tc>
          <w:tcPr>
            <w:tcW w:w="851" w:type="dxa"/>
            <w:noWrap w:val="0"/>
            <w:vAlign w:val="center"/>
          </w:tcPr>
          <w:p>
            <w:pPr>
              <w:shd w:val="clear" w:color="auto" w:fill="FFFFFF"/>
              <w:spacing w:line="340" w:lineRule="exact"/>
              <w:rPr>
                <w:rFonts w:hint="eastAsia" w:ascii="宋体" w:hAnsi="宋体"/>
                <w:color w:val="auto"/>
                <w:sz w:val="24"/>
                <w:szCs w:val="24"/>
                <w:highlight w:val="none"/>
              </w:rPr>
            </w:pPr>
          </w:p>
        </w:tc>
        <w:tc>
          <w:tcPr>
            <w:tcW w:w="792" w:type="dxa"/>
            <w:noWrap w:val="0"/>
            <w:vAlign w:val="center"/>
          </w:tcPr>
          <w:p>
            <w:pPr>
              <w:shd w:val="clear" w:color="auto" w:fill="FFFFFF"/>
              <w:spacing w:line="340" w:lineRule="exact"/>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9831" w:type="dxa"/>
            <w:gridSpan w:val="6"/>
            <w:noWrap w:val="0"/>
            <w:vAlign w:val="center"/>
          </w:tcPr>
          <w:p>
            <w:pPr>
              <w:shd w:val="clear" w:color="auto" w:fill="FFFFFF"/>
              <w:spacing w:line="340" w:lineRule="exact"/>
              <w:rPr>
                <w:rFonts w:ascii="宋体" w:hAnsi="宋体"/>
                <w:b/>
                <w:color w:val="auto"/>
                <w:sz w:val="24"/>
                <w:szCs w:val="24"/>
                <w:highlight w:val="none"/>
              </w:rPr>
            </w:pPr>
            <w:r>
              <w:rPr>
                <w:rFonts w:hint="eastAsia" w:ascii="宋体" w:hAnsi="宋体"/>
                <w:b/>
                <w:color w:val="auto"/>
                <w:sz w:val="24"/>
                <w:szCs w:val="24"/>
                <w:highlight w:val="none"/>
                <w:lang w:eastAsia="zh-CN"/>
              </w:rPr>
              <w:t>评标委员会</w:t>
            </w:r>
            <w:r>
              <w:rPr>
                <w:rFonts w:hint="eastAsia" w:ascii="宋体" w:hAnsi="宋体"/>
                <w:b/>
                <w:color w:val="auto"/>
                <w:sz w:val="24"/>
                <w:szCs w:val="24"/>
                <w:highlight w:val="none"/>
              </w:rPr>
              <w:t>签名：</w:t>
            </w:r>
          </w:p>
          <w:p>
            <w:pPr>
              <w:shd w:val="clear" w:color="auto" w:fill="FFFFFF"/>
              <w:spacing w:line="340" w:lineRule="exact"/>
              <w:rPr>
                <w:rFonts w:ascii="宋体" w:hAnsi="宋体"/>
                <w:color w:val="auto"/>
                <w:sz w:val="24"/>
                <w:szCs w:val="24"/>
                <w:highlight w:val="none"/>
              </w:rPr>
            </w:pPr>
            <w:r>
              <w:rPr>
                <w:rFonts w:hint="eastAsia" w:ascii="宋体" w:hAnsi="宋体"/>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noWrap w:val="0"/>
            <w:vAlign w:val="center"/>
          </w:tcPr>
          <w:p>
            <w:pPr>
              <w:shd w:val="clear" w:color="auto" w:fill="FFFFFF"/>
              <w:spacing w:line="340" w:lineRule="exact"/>
              <w:rPr>
                <w:rFonts w:ascii="宋体" w:hAnsi="宋体"/>
                <w:b/>
                <w:color w:val="auto"/>
                <w:sz w:val="24"/>
                <w:szCs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将认定整个</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不响应</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文件而予以投标无效，并且不允许供应商通过修改或撤销其不符合要求的差异或保留，使之成为具有响应性的投标。通过审核的以“√”标记；未通过的以“×”标记，并予以说明。</w:t>
            </w:r>
          </w:p>
        </w:tc>
      </w:tr>
    </w:tbl>
    <w:p>
      <w:pPr>
        <w:keepNext w:val="0"/>
        <w:keepLines w:val="0"/>
        <w:pageBreakBefore/>
        <w:widowControl w:val="0"/>
        <w:kinsoku/>
        <w:wordWrap/>
        <w:overflowPunct/>
        <w:topLinePunct w:val="0"/>
        <w:autoSpaceDE/>
        <w:autoSpaceDN/>
        <w:bidi w:val="0"/>
        <w:adjustRightInd/>
        <w:snapToGrid w:val="0"/>
        <w:spacing w:line="440" w:lineRule="exact"/>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初步评审（符合性审查）</w:t>
      </w:r>
    </w:p>
    <w:tbl>
      <w:tblPr>
        <w:tblStyle w:val="2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5610"/>
        <w:gridCol w:w="705"/>
        <w:gridCol w:w="765"/>
        <w:gridCol w:w="76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noWrap w:val="0"/>
            <w:vAlign w:val="center"/>
          </w:tcPr>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项目</w:t>
            </w:r>
          </w:p>
        </w:tc>
        <w:tc>
          <w:tcPr>
            <w:tcW w:w="6147" w:type="dxa"/>
            <w:gridSpan w:val="2"/>
            <w:tcBorders>
              <w:bottom w:val="single" w:color="auto" w:sz="4" w:space="0"/>
            </w:tcBorders>
            <w:noWrap w:val="0"/>
            <w:vAlign w:val="center"/>
          </w:tcPr>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评  审  内  容</w:t>
            </w:r>
          </w:p>
        </w:tc>
        <w:tc>
          <w:tcPr>
            <w:tcW w:w="705" w:type="dxa"/>
            <w:tcBorders>
              <w:bottom w:val="single" w:color="auto" w:sz="4" w:space="0"/>
            </w:tcBorders>
            <w:noWrap w:val="0"/>
            <w:vAlign w:val="center"/>
          </w:tcPr>
          <w:p>
            <w:pPr>
              <w:shd w:val="clear" w:color="auto" w:fill="FFFFFF"/>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供应商1</w:t>
            </w:r>
          </w:p>
        </w:tc>
        <w:tc>
          <w:tcPr>
            <w:tcW w:w="765" w:type="dxa"/>
            <w:tcBorders>
              <w:bottom w:val="single" w:color="auto" w:sz="4" w:space="0"/>
            </w:tcBorders>
            <w:noWrap w:val="0"/>
            <w:vAlign w:val="center"/>
          </w:tcPr>
          <w:p>
            <w:pPr>
              <w:shd w:val="clear" w:color="auto" w:fill="FFFFFF"/>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供应商2</w:t>
            </w:r>
          </w:p>
        </w:tc>
        <w:tc>
          <w:tcPr>
            <w:tcW w:w="765" w:type="dxa"/>
            <w:tcBorders>
              <w:bottom w:val="single" w:color="auto" w:sz="4" w:space="0"/>
            </w:tcBorders>
            <w:noWrap w:val="0"/>
            <w:vAlign w:val="center"/>
          </w:tcPr>
          <w:p>
            <w:pPr>
              <w:shd w:val="clear" w:color="auto" w:fill="FFFFFF"/>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供应商3</w:t>
            </w:r>
          </w:p>
        </w:tc>
        <w:tc>
          <w:tcPr>
            <w:tcW w:w="774" w:type="dxa"/>
            <w:tcBorders>
              <w:bottom w:val="single" w:color="auto" w:sz="4" w:space="0"/>
            </w:tcBorders>
            <w:noWrap w:val="0"/>
            <w:vAlign w:val="center"/>
          </w:tcPr>
          <w:p>
            <w:pPr>
              <w:shd w:val="clear" w:color="auto" w:fill="FFFFFF"/>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675" w:type="dxa"/>
            <w:vMerge w:val="restart"/>
            <w:noWrap w:val="0"/>
            <w:vAlign w:val="center"/>
          </w:tcPr>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初</w:t>
            </w:r>
          </w:p>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步</w:t>
            </w:r>
          </w:p>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评</w:t>
            </w:r>
          </w:p>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审</w:t>
            </w:r>
          </w:p>
          <w:p>
            <w:pPr>
              <w:shd w:val="clear" w:color="auto" w:fill="FFFFFF"/>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w:t>
            </w:r>
          </w:p>
          <w:p>
            <w:pPr>
              <w:shd w:val="clear" w:color="auto" w:fill="FFFFFF"/>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符合性审查</w:t>
            </w:r>
          </w:p>
          <w:p>
            <w:pPr>
              <w:shd w:val="clear" w:color="auto" w:fill="FFFFFF"/>
              <w:spacing w:line="440" w:lineRule="exact"/>
              <w:jc w:val="center"/>
              <w:rPr>
                <w:rFonts w:ascii="宋体" w:hAnsi="宋体"/>
                <w:color w:val="auto"/>
                <w:sz w:val="24"/>
                <w:szCs w:val="24"/>
                <w:highlight w:val="none"/>
              </w:rPr>
            </w:pPr>
            <w:r>
              <w:rPr>
                <w:rFonts w:hint="eastAsia" w:ascii="宋体" w:hAnsi="宋体"/>
                <w:b/>
                <w:color w:val="auto"/>
                <w:sz w:val="24"/>
                <w:szCs w:val="24"/>
                <w:highlight w:val="none"/>
              </w:rPr>
              <w:t>︺</w:t>
            </w:r>
          </w:p>
        </w:tc>
        <w:tc>
          <w:tcPr>
            <w:tcW w:w="537" w:type="dxa"/>
            <w:noWrap w:val="0"/>
            <w:vAlign w:val="center"/>
          </w:tcPr>
          <w:p>
            <w:pPr>
              <w:shd w:val="clear" w:color="auto" w:fill="FFFFFF"/>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5610" w:type="dxa"/>
            <w:noWrap w:val="0"/>
            <w:vAlign w:val="center"/>
          </w:tcPr>
          <w:p>
            <w:pPr>
              <w:shd w:val="clear" w:color="auto" w:fill="FFFFFF"/>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投标报价是否按照招标文件格式填写，投标报价是否唯一</w:t>
            </w:r>
            <w:r>
              <w:rPr>
                <w:rFonts w:hint="eastAsia" w:ascii="宋体" w:hAnsi="宋体"/>
                <w:color w:val="auto"/>
                <w:sz w:val="24"/>
                <w:szCs w:val="24"/>
                <w:highlight w:val="none"/>
                <w:lang w:eastAsia="zh-CN"/>
              </w:rPr>
              <w:t>；</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ascii="宋体" w:hAnsi="宋体"/>
                <w:color w:val="auto"/>
                <w:szCs w:val="21"/>
                <w:highlight w:val="none"/>
              </w:rPr>
            </w:pPr>
            <w:r>
              <w:rPr>
                <w:rFonts w:hint="eastAsia" w:ascii="宋体" w:hAnsi="宋体"/>
                <w:color w:val="auto"/>
                <w:sz w:val="24"/>
                <w:szCs w:val="24"/>
                <w:highlight w:val="none"/>
              </w:rPr>
              <w:t>2</w:t>
            </w:r>
          </w:p>
        </w:tc>
        <w:tc>
          <w:tcPr>
            <w:tcW w:w="5610" w:type="dxa"/>
            <w:noWrap w:val="0"/>
            <w:vAlign w:val="center"/>
          </w:tcPr>
          <w:p>
            <w:pPr>
              <w:shd w:val="clear" w:color="auto" w:fill="FFFFFF"/>
              <w:rPr>
                <w:rFonts w:ascii="宋体" w:hAnsi="宋体"/>
                <w:color w:val="auto"/>
                <w:szCs w:val="21"/>
                <w:highlight w:val="none"/>
              </w:rPr>
            </w:pPr>
            <w:r>
              <w:rPr>
                <w:rFonts w:hint="eastAsia" w:ascii="宋体" w:hAnsi="宋体"/>
                <w:color w:val="auto"/>
                <w:sz w:val="24"/>
                <w:szCs w:val="24"/>
                <w:highlight w:val="none"/>
              </w:rPr>
              <w:t>是否提供磋商响应书且</w:t>
            </w:r>
            <w:r>
              <w:rPr>
                <w:rFonts w:hint="eastAsia" w:ascii="宋体" w:hAnsi="宋体"/>
                <w:color w:val="auto"/>
                <w:sz w:val="24"/>
                <w:szCs w:val="24"/>
                <w:highlight w:val="none"/>
                <w:lang w:val="zh-CN"/>
              </w:rPr>
              <w:t>按照竞争性磋商文件规定格式完整提供</w:t>
            </w:r>
            <w:r>
              <w:rPr>
                <w:rFonts w:hint="eastAsia" w:ascii="宋体" w:hAnsi="宋体"/>
                <w:color w:val="auto"/>
                <w:sz w:val="24"/>
                <w:szCs w:val="24"/>
                <w:highlight w:val="none"/>
              </w:rPr>
              <w:t>；</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lang w:val="zh-CN"/>
              </w:rPr>
              <w:t>磋商响应文件中法定代表人身份证明书是否按竞争性磋商文件规定格式完整提供</w:t>
            </w:r>
            <w:r>
              <w:rPr>
                <w:rFonts w:hint="eastAsia" w:ascii="宋体" w:hAnsi="宋体"/>
                <w:color w:val="auto"/>
                <w:sz w:val="24"/>
                <w:szCs w:val="24"/>
                <w:highlight w:val="none"/>
              </w:rPr>
              <w:t>；</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lang w:val="zh-CN"/>
              </w:rPr>
              <w:t>磋商响应文件中法定代表人授权委托书是否按竞争性磋商文件规定格式完整提供</w:t>
            </w:r>
            <w:r>
              <w:rPr>
                <w:rFonts w:hint="eastAsia" w:ascii="宋体" w:hAnsi="宋体"/>
                <w:color w:val="auto"/>
                <w:sz w:val="24"/>
                <w:szCs w:val="24"/>
                <w:highlight w:val="none"/>
              </w:rPr>
              <w:t>；</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rPr>
              <w:t>磋商响应文件是否按竞争性磋商文件要求盖章</w:t>
            </w:r>
            <w:r>
              <w:rPr>
                <w:rFonts w:hint="eastAsia" w:ascii="宋体" w:hAnsi="宋体"/>
                <w:color w:val="auto"/>
                <w:sz w:val="24"/>
                <w:szCs w:val="24"/>
                <w:highlight w:val="none"/>
                <w:lang w:val="en-US" w:eastAsia="zh-CN"/>
              </w:rPr>
              <w:t>或签字</w:t>
            </w:r>
            <w:r>
              <w:rPr>
                <w:rFonts w:hint="eastAsia" w:ascii="宋体" w:hAnsi="宋体"/>
                <w:color w:val="auto"/>
                <w:sz w:val="24"/>
                <w:szCs w:val="24"/>
                <w:highlight w:val="none"/>
              </w:rPr>
              <w:t>；</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ascii="宋体" w:hAnsi="宋体"/>
                <w:color w:val="auto"/>
                <w:sz w:val="24"/>
                <w:szCs w:val="24"/>
                <w:highlight w:val="none"/>
              </w:rPr>
            </w:pPr>
            <w:r>
              <w:rPr>
                <w:rFonts w:hint="eastAsia" w:ascii="宋体" w:hAnsi="宋体"/>
                <w:color w:val="auto"/>
                <w:sz w:val="24"/>
                <w:szCs w:val="24"/>
                <w:highlight w:val="none"/>
              </w:rPr>
              <w:t>6</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rPr>
              <w:t>磋商保证金的缴纳主体是否与供应商一致、提供投标担保符合竞争性磋商文件要求；</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ascii="宋体" w:hAnsi="宋体"/>
                <w:color w:val="auto"/>
                <w:sz w:val="24"/>
                <w:szCs w:val="24"/>
                <w:highlight w:val="none"/>
              </w:rPr>
            </w:pPr>
            <w:r>
              <w:rPr>
                <w:rFonts w:hint="eastAsia" w:ascii="宋体" w:hAnsi="宋体"/>
                <w:color w:val="auto"/>
                <w:sz w:val="24"/>
                <w:szCs w:val="24"/>
                <w:highlight w:val="none"/>
              </w:rPr>
              <w:t>7</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rPr>
              <w:t>磋商响应文件的</w:t>
            </w:r>
            <w:r>
              <w:rPr>
                <w:rFonts w:hint="eastAsia" w:ascii="宋体" w:hAnsi="宋体"/>
                <w:color w:val="auto"/>
                <w:sz w:val="24"/>
                <w:szCs w:val="24"/>
                <w:highlight w:val="none"/>
                <w:lang w:val="en-US" w:eastAsia="zh-CN"/>
              </w:rPr>
              <w:t>供货</w:t>
            </w:r>
            <w:r>
              <w:rPr>
                <w:rFonts w:hint="eastAsia" w:ascii="宋体" w:hAnsi="宋体"/>
                <w:color w:val="auto"/>
                <w:sz w:val="24"/>
                <w:szCs w:val="24"/>
                <w:highlight w:val="none"/>
              </w:rPr>
              <w:t>期</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质保期</w:t>
            </w:r>
            <w:r>
              <w:rPr>
                <w:rFonts w:hint="eastAsia" w:ascii="宋体" w:hAnsi="宋体"/>
                <w:color w:val="auto"/>
                <w:sz w:val="24"/>
                <w:szCs w:val="24"/>
                <w:highlight w:val="none"/>
              </w:rPr>
              <w:t>是否满足竞争性磋商文件规定期限；</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ascii="宋体" w:hAnsi="宋体"/>
                <w:color w:val="auto"/>
                <w:sz w:val="24"/>
                <w:szCs w:val="24"/>
                <w:highlight w:val="none"/>
              </w:rPr>
            </w:pPr>
            <w:r>
              <w:rPr>
                <w:rFonts w:hint="eastAsia" w:ascii="宋体" w:hAnsi="宋体"/>
                <w:color w:val="auto"/>
                <w:sz w:val="24"/>
                <w:szCs w:val="24"/>
                <w:highlight w:val="none"/>
              </w:rPr>
              <w:t>8</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rPr>
              <w:t>磋商有效期是否满足竞争性磋商文件要求的；</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9</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rPr>
              <w:t>磋商响应文件是否附有采购人不能接受的条件；</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noWrap w:val="0"/>
            <w:vAlign w:val="center"/>
          </w:tcPr>
          <w:p>
            <w:pPr>
              <w:shd w:val="clear" w:color="auto" w:fill="FFFFFF"/>
              <w:spacing w:line="440" w:lineRule="exact"/>
              <w:jc w:val="center"/>
              <w:rPr>
                <w:rFonts w:ascii="宋体" w:hAnsi="宋体"/>
                <w:color w:val="auto"/>
                <w:sz w:val="24"/>
                <w:szCs w:val="24"/>
                <w:highlight w:val="none"/>
              </w:rPr>
            </w:pPr>
          </w:p>
        </w:tc>
        <w:tc>
          <w:tcPr>
            <w:tcW w:w="537" w:type="dxa"/>
            <w:noWrap w:val="0"/>
            <w:vAlign w:val="center"/>
          </w:tcPr>
          <w:p>
            <w:pPr>
              <w:shd w:val="clear" w:color="auto" w:fill="FFFFFF"/>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p>
        </w:tc>
        <w:tc>
          <w:tcPr>
            <w:tcW w:w="5610" w:type="dxa"/>
            <w:noWrap w:val="0"/>
            <w:vAlign w:val="center"/>
          </w:tcPr>
          <w:p>
            <w:pPr>
              <w:shd w:val="clear" w:color="auto" w:fill="FFFFFF"/>
              <w:rPr>
                <w:rFonts w:hint="eastAsia" w:ascii="宋体" w:hAnsi="宋体"/>
                <w:color w:val="auto"/>
                <w:szCs w:val="21"/>
                <w:highlight w:val="none"/>
              </w:rPr>
            </w:pPr>
            <w:r>
              <w:rPr>
                <w:rFonts w:hint="eastAsia" w:ascii="宋体" w:hAnsi="宋体"/>
                <w:color w:val="auto"/>
                <w:sz w:val="24"/>
                <w:szCs w:val="24"/>
                <w:highlight w:val="none"/>
              </w:rPr>
              <w:t>是否满足竞争性磋商文件实质性要求的其他情形。</w:t>
            </w:r>
          </w:p>
        </w:tc>
        <w:tc>
          <w:tcPr>
            <w:tcW w:w="70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65" w:type="dxa"/>
            <w:noWrap w:val="0"/>
            <w:vAlign w:val="center"/>
          </w:tcPr>
          <w:p>
            <w:pPr>
              <w:shd w:val="clear" w:color="auto" w:fill="FFFFFF"/>
              <w:spacing w:line="440" w:lineRule="exact"/>
              <w:rPr>
                <w:rFonts w:ascii="宋体" w:hAnsi="宋体"/>
                <w:color w:val="auto"/>
                <w:sz w:val="24"/>
                <w:szCs w:val="24"/>
                <w:highlight w:val="none"/>
              </w:rPr>
            </w:pPr>
          </w:p>
        </w:tc>
        <w:tc>
          <w:tcPr>
            <w:tcW w:w="774" w:type="dxa"/>
            <w:noWrap w:val="0"/>
            <w:vAlign w:val="center"/>
          </w:tcPr>
          <w:p>
            <w:pPr>
              <w:shd w:val="clear" w:color="auto" w:fill="FFFFFF"/>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noWrap w:val="0"/>
            <w:vAlign w:val="center"/>
          </w:tcPr>
          <w:p>
            <w:pPr>
              <w:shd w:val="clear" w:color="auto" w:fill="FFFFFF"/>
              <w:spacing w:line="440" w:lineRule="exact"/>
              <w:rPr>
                <w:rFonts w:ascii="宋体" w:hAnsi="宋体"/>
                <w:b/>
                <w:color w:val="auto"/>
                <w:sz w:val="24"/>
                <w:szCs w:val="24"/>
                <w:highlight w:val="none"/>
              </w:rPr>
            </w:pPr>
            <w:r>
              <w:rPr>
                <w:rFonts w:hint="eastAsia" w:ascii="宋体" w:hAnsi="宋体"/>
                <w:color w:val="auto"/>
                <w:sz w:val="24"/>
                <w:szCs w:val="24"/>
                <w:highlight w:val="none"/>
              </w:rPr>
              <w:t>结论：是否通过初步评审</w:t>
            </w:r>
            <w:r>
              <w:rPr>
                <w:rFonts w:hint="eastAsia" w:ascii="宋体" w:hAnsi="宋体"/>
                <w:b/>
                <w:color w:val="auto"/>
                <w:sz w:val="24"/>
                <w:szCs w:val="24"/>
                <w:highlight w:val="none"/>
              </w:rPr>
              <w:t>（</w:t>
            </w:r>
            <w:r>
              <w:rPr>
                <w:rFonts w:hint="eastAsia" w:ascii="宋体" w:hAnsi="宋体"/>
                <w:color w:val="auto"/>
                <w:sz w:val="24"/>
                <w:szCs w:val="24"/>
                <w:highlight w:val="none"/>
              </w:rPr>
              <w:t>初步评审合格后方可进入详细评审阶段</w:t>
            </w:r>
            <w:r>
              <w:rPr>
                <w:rFonts w:hint="eastAsia" w:ascii="宋体" w:hAnsi="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9831" w:type="dxa"/>
            <w:gridSpan w:val="7"/>
            <w:noWrap w:val="0"/>
            <w:vAlign w:val="center"/>
          </w:tcPr>
          <w:p>
            <w:pPr>
              <w:shd w:val="clear" w:color="auto" w:fill="FFFFFF"/>
              <w:spacing w:line="340" w:lineRule="exact"/>
              <w:rPr>
                <w:rFonts w:ascii="宋体" w:hAnsi="宋体"/>
                <w:b/>
                <w:color w:val="auto"/>
                <w:sz w:val="24"/>
                <w:szCs w:val="24"/>
                <w:highlight w:val="none"/>
              </w:rPr>
            </w:pPr>
            <w:r>
              <w:rPr>
                <w:rFonts w:hint="eastAsia" w:ascii="宋体" w:hAnsi="宋体"/>
                <w:b/>
                <w:color w:val="auto"/>
                <w:sz w:val="24"/>
                <w:szCs w:val="24"/>
                <w:highlight w:val="none"/>
                <w:lang w:eastAsia="zh-CN"/>
              </w:rPr>
              <w:t>评标委员会</w:t>
            </w:r>
            <w:r>
              <w:rPr>
                <w:rFonts w:hint="eastAsia" w:ascii="宋体" w:hAnsi="宋体"/>
                <w:b/>
                <w:color w:val="auto"/>
                <w:sz w:val="24"/>
                <w:szCs w:val="24"/>
                <w:highlight w:val="none"/>
              </w:rPr>
              <w:t>签名：</w:t>
            </w:r>
          </w:p>
          <w:p>
            <w:pPr>
              <w:shd w:val="clear" w:color="auto" w:fill="FFFFFF"/>
              <w:spacing w:line="440" w:lineRule="exact"/>
              <w:rPr>
                <w:rFonts w:ascii="宋体" w:hAnsi="宋体"/>
                <w:color w:val="auto"/>
                <w:sz w:val="24"/>
                <w:szCs w:val="24"/>
                <w:highlight w:val="none"/>
              </w:rPr>
            </w:pPr>
            <w:r>
              <w:rPr>
                <w:rFonts w:hint="eastAsia" w:ascii="宋体" w:hAnsi="宋体"/>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noWrap w:val="0"/>
            <w:vAlign w:val="center"/>
          </w:tcPr>
          <w:p>
            <w:pPr>
              <w:shd w:val="clear" w:color="auto" w:fill="FFFFFF"/>
              <w:spacing w:line="440" w:lineRule="exact"/>
              <w:rPr>
                <w:rFonts w:ascii="宋体" w:hAnsi="宋体"/>
                <w:b/>
                <w:color w:val="auto"/>
                <w:sz w:val="24"/>
                <w:szCs w:val="24"/>
                <w:highlight w:val="none"/>
              </w:rPr>
            </w:pPr>
            <w:r>
              <w:rPr>
                <w:rFonts w:hint="eastAsia" w:ascii="宋体" w:hAnsi="宋体"/>
                <w:color w:val="auto"/>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pPr>
        <w:pStyle w:val="86"/>
        <w:numPr>
          <w:ilvl w:val="0"/>
          <w:numId w:val="4"/>
        </w:numPr>
        <w:shd w:val="clear" w:color="auto" w:fill="FFFFFF"/>
        <w:spacing w:line="44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br w:type="page"/>
      </w:r>
      <w:bookmarkStart w:id="22" w:name="_Hlk521877884"/>
      <w:r>
        <w:rPr>
          <w:rFonts w:hint="eastAsia" w:ascii="宋体" w:hAnsi="宋体"/>
          <w:b/>
          <w:color w:val="auto"/>
          <w:sz w:val="24"/>
          <w:szCs w:val="24"/>
          <w:highlight w:val="none"/>
        </w:rPr>
        <w:t>详细评审</w:t>
      </w:r>
      <w:bookmarkEnd w:id="22"/>
      <w:r>
        <w:rPr>
          <w:rFonts w:hint="eastAsia" w:ascii="宋体" w:hAnsi="宋体"/>
          <w:b/>
          <w:color w:val="auto"/>
          <w:sz w:val="24"/>
          <w:szCs w:val="24"/>
          <w:highlight w:val="none"/>
          <w:lang w:val="en-US" w:eastAsia="zh-CN"/>
        </w:rPr>
        <w:t xml:space="preserve">  </w:t>
      </w:r>
    </w:p>
    <w:tbl>
      <w:tblPr>
        <w:tblStyle w:val="23"/>
        <w:tblpPr w:leftFromText="180" w:rightFromText="180" w:vertAnchor="text" w:horzAnchor="page" w:tblpX="1324" w:tblpY="2"/>
        <w:tblOverlap w:val="never"/>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834"/>
        <w:gridCol w:w="6437"/>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9" w:type="dxa"/>
            <w:gridSpan w:val="4"/>
            <w:noWrap w:val="0"/>
            <w:vAlign w:val="top"/>
          </w:tcPr>
          <w:p>
            <w:pP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技术部分（占总分值的</w:t>
            </w:r>
            <w:r>
              <w:rPr>
                <w:rFonts w:hint="eastAsia" w:ascii="宋体" w:hAnsi="宋体" w:eastAsia="宋体" w:cs="宋体"/>
                <w:b/>
                <w:color w:val="auto"/>
                <w:sz w:val="24"/>
                <w:szCs w:val="24"/>
                <w:highlight w:val="none"/>
                <w:lang w:val="en-US" w:eastAsia="zh-CN"/>
              </w:rPr>
              <w:t>55</w:t>
            </w:r>
            <w:r>
              <w:rPr>
                <w:rFonts w:hint="eastAsia" w:ascii="宋体" w:hAnsi="宋体" w:eastAsia="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642" w:type="dxa"/>
            <w:noWrap w:val="0"/>
            <w:vAlign w:val="top"/>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4" w:type="dxa"/>
            <w:noWrap w:val="0"/>
            <w:vAlign w:val="top"/>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6437" w:type="dxa"/>
            <w:noWrap w:val="0"/>
            <w:vAlign w:val="top"/>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646" w:type="dxa"/>
            <w:noWrap w:val="0"/>
            <w:vAlign w:val="top"/>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42"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4" w:type="dxa"/>
            <w:noWrap w:val="0"/>
            <w:vAlign w:val="center"/>
          </w:tcPr>
          <w:p>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技术指标</w:t>
            </w:r>
          </w:p>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437"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所投产品技术参数符合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采购需求的</w:t>
            </w:r>
            <w:r>
              <w:rPr>
                <w:rFonts w:hint="eastAsia" w:ascii="宋体" w:hAnsi="宋体" w:eastAsia="宋体" w:cs="宋体"/>
                <w:color w:val="auto"/>
                <w:sz w:val="24"/>
                <w:szCs w:val="24"/>
                <w:highlight w:val="none"/>
                <w:lang w:eastAsia="zh-CN"/>
              </w:rPr>
              <w:t>要求，计</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技术参数负偏离的，每条扣2分；扣完为止。</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投标人需按招标参数中的要求，提供证明材料复印件加盖投标人公章。投标参数不得照抄采购文件参数，照抄按无效标处理。</w:t>
            </w:r>
          </w:p>
        </w:tc>
        <w:tc>
          <w:tcPr>
            <w:tcW w:w="646" w:type="dxa"/>
            <w:noWrap w:val="0"/>
            <w:vAlign w:val="top"/>
          </w:tcPr>
          <w:p>
            <w:pPr>
              <w:tabs>
                <w:tab w:val="left" w:pos="2880"/>
              </w:tabs>
              <w:spacing w:line="46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42"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34"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项目整体服务方案</w:t>
            </w:r>
          </w:p>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437" w:type="dxa"/>
            <w:noWrap w:val="0"/>
            <w:vAlign w:val="center"/>
          </w:tcPr>
          <w:p>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服务方案的设计合理性、技术先进性、方案完整性、实用性、规范性、可扩展性等指标进行评分，分以下三挡打分：优得10分；良得7分；差得3分。</w:t>
            </w:r>
          </w:p>
        </w:tc>
        <w:tc>
          <w:tcPr>
            <w:tcW w:w="646" w:type="dxa"/>
            <w:noWrap w:val="0"/>
            <w:vAlign w:val="top"/>
          </w:tcPr>
          <w:p>
            <w:pPr>
              <w:tabs>
                <w:tab w:val="left" w:pos="2880"/>
              </w:tabs>
              <w:spacing w:line="460" w:lineRule="atLeast"/>
              <w:jc w:val="left"/>
              <w:rPr>
                <w:rFonts w:hint="eastAsia" w:ascii="宋体" w:hAnsi="宋体" w:eastAsia="宋体" w:cs="宋体"/>
                <w:b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42"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34"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项目交付实施方案</w:t>
            </w:r>
          </w:p>
          <w:p>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437"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详细的运送、安装调试计划及实施各阶段的人员配备情况。项目方案制定是否合理、规范、可操作性强。在项目组织、实施、进度安排、工作流程、管理、协调反馈等关键步骤，是否任务清楚、计划明确。根据所提供内容综合评分：优得10分；良得7分；差得3分。</w:t>
            </w:r>
          </w:p>
        </w:tc>
        <w:tc>
          <w:tcPr>
            <w:tcW w:w="646" w:type="dxa"/>
            <w:noWrap w:val="0"/>
            <w:vAlign w:val="top"/>
          </w:tcPr>
          <w:p>
            <w:pPr>
              <w:tabs>
                <w:tab w:val="left" w:pos="2880"/>
              </w:tabs>
              <w:spacing w:line="46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4" w:hRule="atLeast"/>
          <w:jc w:val="center"/>
        </w:trPr>
        <w:tc>
          <w:tcPr>
            <w:tcW w:w="642"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34" w:type="dxa"/>
            <w:noWrap w:val="0"/>
            <w:vAlign w:val="center"/>
          </w:tcPr>
          <w:p>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w:t>
            </w:r>
          </w:p>
          <w:p>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6437"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1、投标人在项目实施地有售后服务机构的，提供有关证明材料。得2分。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投标单位的质保承诺、售后服务体系、售后服务响应时间、服务情况等，有后续功能定制开发的技术能力，参考其它相关行业功能并能够提出建设性建议，提供长期良好的本地化服务保障。根据所提供内容评分：优得5分；良得3分；差得1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3、应有完善的售后服务体系，根据本次项目实际需求提供售后服务方案，售后服务方案应能满足本项目的部署需求。根据售后服务方案的完整性、响应时间进行评分，优得3分，一般得1分，差不得分。</w:t>
            </w:r>
          </w:p>
        </w:tc>
        <w:tc>
          <w:tcPr>
            <w:tcW w:w="646" w:type="dxa"/>
            <w:noWrap w:val="0"/>
            <w:vAlign w:val="top"/>
          </w:tcPr>
          <w:p>
            <w:pPr>
              <w:tabs>
                <w:tab w:val="left" w:pos="2880"/>
              </w:tabs>
              <w:spacing w:line="46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42" w:type="dxa"/>
            <w:noWrap w:val="0"/>
            <w:vAlign w:val="center"/>
          </w:tcPr>
          <w:p>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3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培训服务方案（5分）</w:t>
            </w:r>
          </w:p>
        </w:tc>
        <w:tc>
          <w:tcPr>
            <w:tcW w:w="6437" w:type="dxa"/>
            <w:noWrap w:val="0"/>
            <w:vAlign w:val="top"/>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提供操作培训和维护培训及其他形式培训，培训方案完整合理，由评委进行打分；优得5分，一般得3分，差不得分。</w:t>
            </w:r>
          </w:p>
        </w:tc>
        <w:tc>
          <w:tcPr>
            <w:tcW w:w="646" w:type="dxa"/>
            <w:noWrap w:val="0"/>
            <w:vAlign w:val="top"/>
          </w:tcPr>
          <w:p>
            <w:pPr>
              <w:tabs>
                <w:tab w:val="left" w:pos="2880"/>
              </w:tabs>
              <w:spacing w:line="460" w:lineRule="atLeast"/>
              <w:jc w:val="left"/>
              <w:rPr>
                <w:rFonts w:hint="eastAsia" w:ascii="宋体" w:hAnsi="宋体" w:eastAsia="宋体" w:cs="宋体"/>
                <w:color w:val="auto"/>
                <w:sz w:val="24"/>
                <w:szCs w:val="24"/>
                <w:highlight w:val="none"/>
              </w:rPr>
            </w:pPr>
          </w:p>
        </w:tc>
      </w:tr>
    </w:tbl>
    <w:p>
      <w:pPr>
        <w:pStyle w:val="10"/>
        <w:ind w:left="0" w:leftChars="0" w:firstLine="0" w:firstLineChars="0"/>
        <w:rPr>
          <w:rFonts w:hint="eastAsia" w:ascii="宋体" w:hAnsi="宋体" w:eastAsia="宋体" w:cs="宋体"/>
          <w:b/>
          <w:bCs/>
          <w:color w:val="auto"/>
          <w:sz w:val="18"/>
          <w:szCs w:val="18"/>
          <w:highlight w:val="none"/>
        </w:rPr>
      </w:pPr>
    </w:p>
    <w:p>
      <w:pPr>
        <w:pStyle w:val="10"/>
        <w:ind w:left="0" w:leftChars="0" w:firstLine="0" w:firstLineChars="0"/>
        <w:rPr>
          <w:rFonts w:hint="eastAsia" w:ascii="宋体" w:hAnsi="宋体" w:eastAsia="宋体" w:cs="宋体"/>
          <w:b/>
          <w:bCs/>
          <w:color w:val="auto"/>
          <w:sz w:val="18"/>
          <w:szCs w:val="18"/>
          <w:highlight w:val="none"/>
        </w:rPr>
      </w:pPr>
    </w:p>
    <w:tbl>
      <w:tblPr>
        <w:tblStyle w:val="23"/>
        <w:tblpPr w:leftFromText="180" w:rightFromText="180" w:vertAnchor="text" w:horzAnchor="page" w:tblpX="1732" w:tblpY="113"/>
        <w:tblOverlap w:val="never"/>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943"/>
        <w:gridCol w:w="6010"/>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pP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商务部分（占总分值的</w:t>
            </w: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1"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44"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3229"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293"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31"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44" w:type="pct"/>
            <w:noWrap w:val="0"/>
            <w:vAlign w:val="center"/>
          </w:tcPr>
          <w:p>
            <w:pPr>
              <w:numPr>
                <w:ilvl w:val="0"/>
                <w:numId w:val="0"/>
              </w:num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类似业绩（9分）</w:t>
            </w:r>
          </w:p>
        </w:tc>
        <w:tc>
          <w:tcPr>
            <w:tcW w:w="3229" w:type="pct"/>
            <w:noWrap w:val="0"/>
            <w:vAlign w:val="center"/>
          </w:tcPr>
          <w:p>
            <w:pPr>
              <w:numPr>
                <w:ilvl w:val="0"/>
                <w:numId w:val="0"/>
              </w:numPr>
              <w:tabs>
                <w:tab w:val="left" w:pos="2880"/>
              </w:tabs>
              <w:spacing w:line="46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提供近三年（2020年3月1日至今）类似项目业绩，1个有效业绩3分，满分9分。注：（有效业绩需附合同或中标通知书复印件）。</w:t>
            </w:r>
          </w:p>
        </w:tc>
        <w:tc>
          <w:tcPr>
            <w:tcW w:w="293"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31"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44" w:type="pct"/>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质保期（3分）</w:t>
            </w:r>
          </w:p>
        </w:tc>
        <w:tc>
          <w:tcPr>
            <w:tcW w:w="3229" w:type="pct"/>
            <w:noWrap w:val="0"/>
            <w:vAlign w:val="center"/>
          </w:tcPr>
          <w:p>
            <w:pPr>
              <w:numPr>
                <w:ilvl w:val="0"/>
                <w:numId w:val="0"/>
              </w:numPr>
              <w:tabs>
                <w:tab w:val="left" w:pos="2880"/>
              </w:tabs>
              <w:spacing w:line="460" w:lineRule="atLeast"/>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质保期满足文件要求</w:t>
            </w:r>
            <w:r>
              <w:rPr>
                <w:rFonts w:hint="eastAsia" w:ascii="宋体" w:hAnsi="宋体" w:eastAsia="宋体" w:cs="宋体"/>
                <w:color w:val="auto"/>
                <w:kern w:val="2"/>
                <w:sz w:val="24"/>
                <w:szCs w:val="24"/>
                <w:highlight w:val="none"/>
                <w:lang w:val="en-US" w:eastAsia="zh-CN" w:bidi="ar-SA"/>
              </w:rPr>
              <w:t>得1分</w:t>
            </w:r>
            <w:r>
              <w:rPr>
                <w:rFonts w:hint="default" w:ascii="宋体" w:hAnsi="宋体" w:eastAsia="宋体" w:cs="宋体"/>
                <w:color w:val="auto"/>
                <w:kern w:val="2"/>
                <w:sz w:val="24"/>
                <w:szCs w:val="24"/>
                <w:highlight w:val="none"/>
                <w:lang w:val="en-US" w:eastAsia="zh-CN" w:bidi="ar-SA"/>
              </w:rPr>
              <w:t>，每增加一年加</w:t>
            </w: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分，最高</w:t>
            </w:r>
            <w:r>
              <w:rPr>
                <w:rFonts w:hint="eastAsia" w:ascii="宋体" w:hAnsi="宋体" w:eastAsia="宋体" w:cs="宋体"/>
                <w:color w:val="auto"/>
                <w:kern w:val="2"/>
                <w:sz w:val="24"/>
                <w:szCs w:val="24"/>
                <w:highlight w:val="none"/>
                <w:lang w:val="en-US" w:eastAsia="zh-CN" w:bidi="ar-SA"/>
              </w:rPr>
              <w:t>得3</w:t>
            </w:r>
            <w:r>
              <w:rPr>
                <w:rFonts w:hint="default" w:ascii="宋体" w:hAnsi="宋体" w:eastAsia="宋体" w:cs="宋体"/>
                <w:color w:val="auto"/>
                <w:kern w:val="2"/>
                <w:sz w:val="24"/>
                <w:szCs w:val="24"/>
                <w:highlight w:val="none"/>
                <w:lang w:val="en-US" w:eastAsia="zh-CN" w:bidi="ar-SA"/>
              </w:rPr>
              <w:t>分。</w:t>
            </w:r>
          </w:p>
        </w:tc>
        <w:tc>
          <w:tcPr>
            <w:tcW w:w="293"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31" w:type="pct"/>
            <w:noWrap w:val="0"/>
            <w:vAlign w:val="center"/>
          </w:tcPr>
          <w:p>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44" w:type="pct"/>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标函质量（3分）</w:t>
            </w:r>
          </w:p>
        </w:tc>
        <w:tc>
          <w:tcPr>
            <w:tcW w:w="3229" w:type="pct"/>
            <w:noWrap w:val="0"/>
            <w:vAlign w:val="center"/>
          </w:tcPr>
          <w:p>
            <w:pPr>
              <w:numPr>
                <w:ilvl w:val="0"/>
                <w:numId w:val="0"/>
              </w:numPr>
              <w:tabs>
                <w:tab w:val="left" w:pos="2880"/>
              </w:tabs>
              <w:spacing w:line="460" w:lineRule="atLeast"/>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根据投标文件的材料完整规范、内容齐全、表达准确、条理清晰，内容无前后矛盾，关联正确酌情给分</w:t>
            </w:r>
            <w:r>
              <w:rPr>
                <w:rFonts w:hint="eastAsia" w:ascii="宋体" w:hAnsi="宋体" w:eastAsia="宋体" w:cs="宋体"/>
                <w:color w:val="auto"/>
                <w:kern w:val="2"/>
                <w:sz w:val="24"/>
                <w:szCs w:val="24"/>
                <w:highlight w:val="none"/>
                <w:lang w:val="en-US" w:eastAsia="zh-CN" w:bidi="ar-SA"/>
              </w:rPr>
              <w:t>，优得3分，良得2分，一般得1分，差不得分</w:t>
            </w:r>
            <w:r>
              <w:rPr>
                <w:rFonts w:hint="default" w:ascii="宋体" w:hAnsi="宋体" w:eastAsia="宋体" w:cs="宋体"/>
                <w:color w:val="auto"/>
                <w:kern w:val="2"/>
                <w:sz w:val="24"/>
                <w:szCs w:val="24"/>
                <w:highlight w:val="none"/>
                <w:lang w:val="en-US" w:eastAsia="zh-CN" w:bidi="ar-SA"/>
              </w:rPr>
              <w:t>。</w:t>
            </w:r>
          </w:p>
        </w:tc>
        <w:tc>
          <w:tcPr>
            <w:tcW w:w="293"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pP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经济部分（占总分值的</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44"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3229"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293"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44"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3229" w:type="pct"/>
            <w:noWrap w:val="0"/>
            <w:vAlign w:val="center"/>
          </w:tcPr>
          <w:p>
            <w:pP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文件要求且报价最低的价格为基准价，其价格分为满分。</w:t>
            </w:r>
          </w:p>
          <w:p>
            <w:pP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其他供应商的价格分统一按照下列公式计算：</w:t>
            </w:r>
          </w:p>
          <w:p>
            <w:pP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报价得分=（基准价／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报价）×价格权值×100（小数点保留两位）</w:t>
            </w:r>
          </w:p>
        </w:tc>
        <w:tc>
          <w:tcPr>
            <w:tcW w:w="293" w:type="pct"/>
            <w:noWrap w:val="0"/>
            <w:vAlign w:val="center"/>
          </w:tcPr>
          <w:p>
            <w:pPr>
              <w:tabs>
                <w:tab w:val="left" w:pos="2880"/>
              </w:tabs>
              <w:spacing w:line="460" w:lineRule="atLeast"/>
              <w:jc w:val="center"/>
              <w:rPr>
                <w:rFonts w:hint="eastAsia" w:ascii="宋体" w:hAnsi="宋体" w:eastAsia="宋体" w:cs="宋体"/>
                <w:color w:val="auto"/>
                <w:sz w:val="24"/>
                <w:szCs w:val="24"/>
                <w:highlight w:val="none"/>
              </w:rPr>
            </w:pPr>
          </w:p>
        </w:tc>
      </w:tr>
    </w:tbl>
    <w:p>
      <w:pPr>
        <w:snapToGrid w:val="0"/>
        <w:spacing w:line="5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特别提醒：</w:t>
      </w:r>
      <w:r>
        <w:rPr>
          <w:rFonts w:hint="eastAsia" w:ascii="宋体" w:hAnsi="宋体" w:eastAsia="宋体" w:cs="Times New Roman"/>
          <w:color w:val="auto"/>
          <w:sz w:val="24"/>
          <w:szCs w:val="24"/>
          <w:highlight w:val="none"/>
        </w:rPr>
        <w:t>因落实政府采购政策进行价格调整的，以调整后的价格计算磋商基准价和磋商报价。磋商小组将根据政府采购政策支持对最后报价进行价格折扣，折扣的价格将作为评审价格。</w:t>
      </w:r>
      <w:r>
        <w:rPr>
          <w:rFonts w:hint="eastAsia" w:ascii="宋体" w:hAnsi="宋体" w:eastAsia="宋体" w:cs="Times New Roman"/>
          <w:color w:val="auto"/>
          <w:sz w:val="24"/>
          <w:szCs w:val="24"/>
          <w:highlight w:val="none"/>
          <w:lang w:val="zh-CN"/>
        </w:rPr>
        <w:t>供应商的评审</w:t>
      </w:r>
      <w:r>
        <w:rPr>
          <w:rFonts w:hint="eastAsia" w:ascii="宋体" w:hAnsi="宋体" w:eastAsia="宋体" w:cs="Times New Roman"/>
          <w:color w:val="auto"/>
          <w:sz w:val="24"/>
          <w:szCs w:val="24"/>
          <w:highlight w:val="none"/>
        </w:rPr>
        <w:t>价格由</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代表签字确认。</w:t>
      </w:r>
    </w:p>
    <w:tbl>
      <w:tblPr>
        <w:tblStyle w:val="23"/>
        <w:tblpPr w:leftFromText="180" w:rightFromText="180" w:vertAnchor="text" w:horzAnchor="page" w:tblpX="1674" w:tblpY="44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6" w:hRule="atLeast"/>
        </w:trPr>
        <w:tc>
          <w:tcPr>
            <w:tcW w:w="9702" w:type="dxa"/>
            <w:tcBorders>
              <w:top w:val="single" w:color="auto" w:sz="4" w:space="0"/>
              <w:bottom w:val="single" w:color="auto" w:sz="4" w:space="0"/>
            </w:tcBorders>
            <w:noWrap w:val="0"/>
            <w:vAlign w:val="center"/>
          </w:tcPr>
          <w:p>
            <w:pPr>
              <w:snapToGrid w:val="0"/>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根据中华人民共和国财政部、中华人民共和国工业和信息化部《政府采购促进中小企业发展暂行办法》（财库</w:t>
            </w:r>
            <w:r>
              <w:rPr>
                <w:rFonts w:ascii="宋体" w:hAnsi="宋体"/>
                <w:color w:val="auto"/>
                <w:sz w:val="24"/>
                <w:szCs w:val="24"/>
                <w:highlight w:val="none"/>
              </w:rPr>
              <w:t>[2011]181</w:t>
            </w:r>
            <w:r>
              <w:rPr>
                <w:rFonts w:hint="eastAsia" w:ascii="宋体" w:hAnsi="宋体"/>
                <w:color w:val="auto"/>
                <w:sz w:val="24"/>
                <w:szCs w:val="24"/>
                <w:highlight w:val="none"/>
              </w:rPr>
              <w:t>号）文件的规定，</w:t>
            </w:r>
            <w:r>
              <w:rPr>
                <w:rFonts w:hint="eastAsia" w:ascii="宋体" w:hAnsi="宋体"/>
                <w:bCs/>
                <w:color w:val="auto"/>
                <w:sz w:val="24"/>
                <w:szCs w:val="24"/>
                <w:highlight w:val="none"/>
              </w:rPr>
              <w:t>属于中小企业</w:t>
            </w:r>
            <w:r>
              <w:rPr>
                <w:rFonts w:hint="eastAsia" w:ascii="宋体" w:hAnsi="宋体"/>
                <w:color w:val="auto"/>
                <w:sz w:val="24"/>
                <w:szCs w:val="24"/>
                <w:highlight w:val="none"/>
              </w:rPr>
              <w:t>评审优惠内容及幅度如下：</w:t>
            </w:r>
          </w:p>
          <w:p>
            <w:pPr>
              <w:snapToGrid w:val="0"/>
              <w:spacing w:line="440" w:lineRule="exact"/>
              <w:ind w:firstLine="241" w:firstLineChars="100"/>
              <w:rPr>
                <w:rFonts w:ascii="宋体" w:hAnsi="宋体"/>
                <w:color w:val="auto"/>
                <w:sz w:val="24"/>
                <w:szCs w:val="24"/>
                <w:highlight w:val="none"/>
              </w:rPr>
            </w:pPr>
            <w:r>
              <w:rPr>
                <w:rFonts w:hint="eastAsia" w:ascii="宋体" w:hAnsi="宋体"/>
                <w:b/>
                <w:color w:val="auto"/>
                <w:sz w:val="24"/>
                <w:szCs w:val="24"/>
                <w:highlight w:val="none"/>
              </w:rPr>
              <w:t>（一）</w:t>
            </w:r>
            <w:r>
              <w:rPr>
                <w:rFonts w:hint="eastAsia" w:ascii="宋体" w:hAnsi="宋体"/>
                <w:color w:val="auto"/>
                <w:sz w:val="24"/>
                <w:szCs w:val="24"/>
                <w:highlight w:val="none"/>
              </w:rPr>
              <w:t>中小企业（含中型、小型、微型企业）应当</w:t>
            </w:r>
            <w:r>
              <w:rPr>
                <w:rFonts w:hint="eastAsia" w:ascii="宋体" w:hAnsi="宋体"/>
                <w:b/>
                <w:color w:val="auto"/>
                <w:sz w:val="24"/>
                <w:szCs w:val="24"/>
                <w:highlight w:val="none"/>
              </w:rPr>
              <w:t>同时符合</w:t>
            </w:r>
            <w:r>
              <w:rPr>
                <w:rFonts w:hint="eastAsia" w:ascii="宋体" w:hAnsi="宋体"/>
                <w:color w:val="auto"/>
                <w:sz w:val="24"/>
                <w:szCs w:val="24"/>
                <w:highlight w:val="none"/>
              </w:rPr>
              <w:t>以下条件：</w:t>
            </w:r>
          </w:p>
          <w:p>
            <w:pPr>
              <w:pStyle w:val="92"/>
              <w:spacing w:line="440" w:lineRule="exact"/>
              <w:ind w:left="846" w:leftChars="403"/>
              <w:rPr>
                <w:rFonts w:ascii="宋体" w:hAnsi="宋体"/>
                <w:color w:val="auto"/>
                <w:sz w:val="24"/>
                <w:highlight w:val="none"/>
              </w:rPr>
            </w:pPr>
            <w:r>
              <w:rPr>
                <w:rFonts w:hint="eastAsia" w:ascii="宋体" w:hAnsi="宋体"/>
                <w:color w:val="auto"/>
                <w:sz w:val="24"/>
                <w:highlight w:val="none"/>
              </w:rPr>
              <w:t>①符合中小企业划分标准（按《关于印发中小企业划型标准规定的通知》（工信部联企业〔</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300</w:t>
            </w:r>
            <w:r>
              <w:rPr>
                <w:rFonts w:hint="eastAsia" w:ascii="宋体" w:hAnsi="宋体"/>
                <w:color w:val="auto"/>
                <w:sz w:val="24"/>
                <w:highlight w:val="none"/>
              </w:rPr>
              <w:t>号）执行）；</w:t>
            </w:r>
          </w:p>
          <w:p>
            <w:pPr>
              <w:pStyle w:val="92"/>
              <w:spacing w:line="440" w:lineRule="exact"/>
              <w:ind w:left="846" w:leftChars="403"/>
              <w:rPr>
                <w:rFonts w:ascii="宋体" w:hAnsi="宋体"/>
                <w:color w:val="auto"/>
                <w:sz w:val="24"/>
                <w:highlight w:val="none"/>
              </w:rPr>
            </w:pPr>
            <w:r>
              <w:rPr>
                <w:rFonts w:hint="eastAsia" w:ascii="宋体" w:hAnsi="宋体"/>
                <w:color w:val="auto"/>
                <w:sz w:val="24"/>
                <w:highlight w:val="none"/>
              </w:rPr>
              <w:t>②提供本企业制造的货物、承担的项目或者服务，或者提供其他中小企业制造的货物。本项所称货物不包括使用大型企业注册商标的货物；</w:t>
            </w:r>
          </w:p>
          <w:p>
            <w:pPr>
              <w:pStyle w:val="92"/>
              <w:spacing w:line="440" w:lineRule="exact"/>
              <w:ind w:left="846" w:leftChars="403"/>
              <w:rPr>
                <w:rFonts w:ascii="宋体" w:hAnsi="宋体"/>
                <w:color w:val="auto"/>
                <w:sz w:val="24"/>
                <w:highlight w:val="none"/>
              </w:rPr>
            </w:pPr>
            <w:r>
              <w:rPr>
                <w:rFonts w:hint="eastAsia" w:ascii="宋体" w:hAnsi="宋体"/>
                <w:color w:val="auto"/>
                <w:sz w:val="24"/>
                <w:highlight w:val="none"/>
              </w:rPr>
              <w:t>③小型、微型企业提供中型企业制造的货物的，视同为中型企业。</w:t>
            </w:r>
          </w:p>
          <w:p>
            <w:pPr>
              <w:snapToGrid w:val="0"/>
              <w:spacing w:line="440" w:lineRule="exact"/>
              <w:ind w:firstLine="361" w:firstLineChars="150"/>
              <w:rPr>
                <w:rFonts w:ascii="宋体" w:hAnsi="宋体"/>
                <w:color w:val="auto"/>
                <w:sz w:val="24"/>
                <w:szCs w:val="24"/>
                <w:highlight w:val="none"/>
              </w:rPr>
            </w:pPr>
            <w:r>
              <w:rPr>
                <w:rFonts w:hint="eastAsia" w:ascii="宋体" w:hAnsi="宋体"/>
                <w:b/>
                <w:color w:val="auto"/>
                <w:sz w:val="24"/>
                <w:szCs w:val="24"/>
                <w:highlight w:val="none"/>
              </w:rPr>
              <w:t>（二）</w:t>
            </w:r>
            <w:r>
              <w:rPr>
                <w:rFonts w:hint="eastAsia" w:ascii="宋体" w:hAnsi="宋体"/>
                <w:color w:val="auto"/>
                <w:sz w:val="24"/>
                <w:szCs w:val="24"/>
                <w:highlight w:val="none"/>
              </w:rPr>
              <w:t>价格扣除办法：</w:t>
            </w:r>
          </w:p>
          <w:p>
            <w:pPr>
              <w:pStyle w:val="92"/>
              <w:spacing w:line="440" w:lineRule="exact"/>
              <w:ind w:left="657" w:leftChars="313" w:firstLine="240" w:firstLineChars="10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对于非专门面向中小企业的项目，对小型和微型企业（或联合体各方均为小型、</w:t>
            </w:r>
          </w:p>
          <w:p>
            <w:pPr>
              <w:pStyle w:val="92"/>
              <w:spacing w:line="440" w:lineRule="exact"/>
              <w:rPr>
                <w:rFonts w:ascii="宋体" w:hAnsi="宋体"/>
                <w:color w:val="auto"/>
                <w:sz w:val="24"/>
                <w:highlight w:val="none"/>
              </w:rPr>
            </w:pPr>
            <w:r>
              <w:rPr>
                <w:rFonts w:hint="eastAsia" w:ascii="宋体" w:hAnsi="宋体"/>
                <w:color w:val="auto"/>
                <w:sz w:val="24"/>
                <w:highlight w:val="none"/>
              </w:rPr>
              <w:t>微型企业的，残疾人福利性单位、监狱企业视为小微企业）产品的价格给予</w:t>
            </w:r>
            <w:r>
              <w:rPr>
                <w:rFonts w:ascii="宋体" w:hAnsi="宋体"/>
                <w:color w:val="auto"/>
                <w:sz w:val="24"/>
                <w:highlight w:val="none"/>
              </w:rPr>
              <w:t>6%</w:t>
            </w:r>
            <w:r>
              <w:rPr>
                <w:rFonts w:hint="eastAsia" w:ascii="宋体" w:hAnsi="宋体"/>
                <w:color w:val="auto"/>
                <w:sz w:val="24"/>
                <w:highlight w:val="none"/>
              </w:rPr>
              <w:t>的扣除，用扣除后的价格参与价格的评审。</w:t>
            </w:r>
          </w:p>
          <w:p>
            <w:pPr>
              <w:snapToGrid w:val="0"/>
              <w:spacing w:line="440" w:lineRule="exact"/>
              <w:ind w:firstLine="361" w:firstLineChars="150"/>
              <w:rPr>
                <w:rFonts w:ascii="宋体" w:hAnsi="宋体"/>
                <w:color w:val="auto"/>
                <w:sz w:val="24"/>
                <w:szCs w:val="24"/>
                <w:highlight w:val="none"/>
              </w:rPr>
            </w:pPr>
            <w:r>
              <w:rPr>
                <w:rFonts w:hint="eastAsia" w:ascii="宋体" w:hAnsi="宋体"/>
                <w:b/>
                <w:color w:val="auto"/>
                <w:sz w:val="24"/>
                <w:szCs w:val="24"/>
                <w:highlight w:val="none"/>
              </w:rPr>
              <w:t>（三）</w:t>
            </w:r>
            <w:r>
              <w:rPr>
                <w:rFonts w:hint="eastAsia" w:ascii="宋体" w:hAnsi="宋体"/>
                <w:color w:val="auto"/>
                <w:sz w:val="24"/>
                <w:szCs w:val="24"/>
                <w:highlight w:val="none"/>
              </w:rPr>
              <w:t>小型和微型企业适用价格扣除办法时应提供的相关资料：</w:t>
            </w:r>
          </w:p>
          <w:p>
            <w:pPr>
              <w:pStyle w:val="92"/>
              <w:spacing w:line="440" w:lineRule="exact"/>
              <w:ind w:left="84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供应商《中小企业声明函》或残疾人福利性单位声明函；</w:t>
            </w:r>
          </w:p>
          <w:p>
            <w:pPr>
              <w:pStyle w:val="92"/>
              <w:spacing w:line="440" w:lineRule="exact"/>
              <w:ind w:firstLine="480" w:firstLineChars="200"/>
              <w:rPr>
                <w:rFonts w:ascii="宋体" w:hAnsi="宋体"/>
                <w:b/>
                <w:color w:val="auto"/>
                <w:sz w:val="24"/>
                <w:highlight w:val="none"/>
              </w:rPr>
            </w:pPr>
            <w:r>
              <w:rPr>
                <w:rFonts w:hint="eastAsia" w:ascii="宋体" w:hAnsi="宋体"/>
                <w:color w:val="auto"/>
                <w:sz w:val="24"/>
                <w:highlight w:val="none"/>
              </w:rPr>
              <w:t>供应商应同时提供以上材料，否则将不给予价格扣除。若所供应产品为进口产品的，不适用《政府采购促进中小企业发展暂行办法》。残疾人福利性单位仅需提供声明函，不须要提供其他证明材料。</w:t>
            </w:r>
          </w:p>
        </w:tc>
      </w:tr>
    </w:tbl>
    <w:p>
      <w:pPr>
        <w:tabs>
          <w:tab w:val="left" w:pos="0"/>
        </w:tabs>
        <w:adjustRightInd w:val="0"/>
        <w:snapToGrid w:val="0"/>
        <w:spacing w:line="440" w:lineRule="exact"/>
        <w:rPr>
          <w:rFonts w:ascii="宋体" w:hAnsi="宋体"/>
          <w:b/>
          <w:bCs/>
          <w:color w:val="auto"/>
          <w:kern w:val="0"/>
          <w:sz w:val="24"/>
          <w:szCs w:val="24"/>
          <w:highlight w:val="none"/>
        </w:rPr>
      </w:pPr>
      <w:r>
        <w:rPr>
          <w:rFonts w:hint="eastAsia" w:ascii="宋体" w:hAnsi="宋体"/>
          <w:b/>
          <w:bCs/>
          <w:color w:val="auto"/>
          <w:kern w:val="0"/>
          <w:sz w:val="24"/>
          <w:szCs w:val="24"/>
          <w:highlight w:val="none"/>
        </w:rPr>
        <w:t>中小企业价格折扣比例及方法</w:t>
      </w:r>
    </w:p>
    <w:p>
      <w:pPr>
        <w:pStyle w:val="86"/>
        <w:shd w:val="clear" w:color="auto" w:fill="FFFFFF"/>
        <w:spacing w:line="440" w:lineRule="exact"/>
        <w:rPr>
          <w:rFonts w:hint="eastAsia" w:ascii="宋体" w:hAnsi="宋体"/>
          <w:color w:val="auto"/>
          <w:sz w:val="24"/>
          <w:szCs w:val="24"/>
          <w:highlight w:val="none"/>
        </w:rPr>
      </w:pPr>
    </w:p>
    <w:p>
      <w:pPr>
        <w:snapToGrid w:val="0"/>
        <w:spacing w:line="500" w:lineRule="exact"/>
        <w:ind w:firstLine="200"/>
        <w:jc w:val="center"/>
        <w:outlineLvl w:val="1"/>
        <w:rPr>
          <w:rFonts w:hint="eastAsia" w:ascii="宋体" w:hAnsi="宋体"/>
          <w:b/>
          <w:color w:val="auto"/>
          <w:sz w:val="24"/>
          <w:szCs w:val="24"/>
          <w:highlight w:val="none"/>
        </w:rPr>
      </w:pPr>
      <w:bookmarkStart w:id="23" w:name="_Toc32023"/>
      <w:r>
        <w:rPr>
          <w:rFonts w:hint="eastAsia" w:ascii="宋体" w:hAnsi="宋体"/>
          <w:b/>
          <w:color w:val="auto"/>
          <w:sz w:val="24"/>
          <w:szCs w:val="24"/>
          <w:highlight w:val="none"/>
        </w:rPr>
        <w:t>八、成交及合同签订</w:t>
      </w:r>
      <w:bookmarkEnd w:id="23"/>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（三十二）成交供应商</w:t>
      </w:r>
    </w:p>
    <w:p>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pPr>
        <w:snapToGrid w:val="0"/>
        <w:spacing w:line="500" w:lineRule="exact"/>
        <w:ind w:firstLine="482" w:firstLineChars="200"/>
        <w:rPr>
          <w:rFonts w:hint="eastAsia" w:ascii="宋体" w:hAnsi="宋体" w:cs="Arial"/>
          <w:color w:val="auto"/>
          <w:sz w:val="24"/>
          <w:szCs w:val="24"/>
          <w:highlight w:val="none"/>
        </w:rPr>
      </w:pPr>
      <w:r>
        <w:rPr>
          <w:rFonts w:hint="eastAsia" w:ascii="宋体" w:hAnsi="宋体"/>
          <w:b/>
          <w:bCs/>
          <w:color w:val="auto"/>
          <w:sz w:val="24"/>
          <w:szCs w:val="24"/>
          <w:highlight w:val="none"/>
        </w:rPr>
        <w:t>（三十三）资格条件</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33.1 </w:t>
      </w:r>
      <w:r>
        <w:rPr>
          <w:rFonts w:hint="eastAsia" w:ascii="宋体" w:hAnsi="宋体"/>
          <w:color w:val="auto"/>
          <w:sz w:val="24"/>
          <w:szCs w:val="24"/>
          <w:highlight w:val="none"/>
        </w:rPr>
        <w:t>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33.2 </w:t>
      </w:r>
      <w:r>
        <w:rPr>
          <w:rFonts w:hint="eastAsia" w:ascii="宋体" w:hAnsi="宋体"/>
          <w:color w:val="auto"/>
          <w:sz w:val="24"/>
          <w:szCs w:val="24"/>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33.3 </w:t>
      </w:r>
      <w:r>
        <w:rPr>
          <w:rFonts w:hint="eastAsia" w:ascii="宋体" w:hAnsi="宋体"/>
          <w:color w:val="auto"/>
          <w:sz w:val="24"/>
          <w:szCs w:val="24"/>
          <w:highlight w:val="none"/>
        </w:rPr>
        <w:t>如果成交候选供应商被确认为不具备执行合同的能力，采购人将考虑按同样的程序审查下一个成交候选供应商。</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（三十四）成交通知书</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34.1 </w:t>
      </w:r>
      <w:r>
        <w:rPr>
          <w:rFonts w:hint="eastAsia" w:ascii="宋体" w:hAnsi="宋体"/>
          <w:color w:val="auto"/>
          <w:sz w:val="24"/>
          <w:szCs w:val="24"/>
          <w:highlight w:val="none"/>
        </w:rPr>
        <w:t>成交结果在原磋商公告发布媒体上发布后，公示期1个工作日，采购人将同时向成交供应商发出成交通知书。</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34.2 </w:t>
      </w:r>
      <w:r>
        <w:rPr>
          <w:rFonts w:hint="eastAsia" w:ascii="宋体" w:hAnsi="宋体"/>
          <w:color w:val="auto"/>
          <w:sz w:val="24"/>
          <w:szCs w:val="24"/>
          <w:highlight w:val="none"/>
        </w:rPr>
        <w:t>成交人应及时到政府采购人领取成交通知书，成交通知书是签订合同的依据和组成部分。</w:t>
      </w:r>
    </w:p>
    <w:p>
      <w:pPr>
        <w:snapToGrid w:val="0"/>
        <w:spacing w:line="500" w:lineRule="exact"/>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（三十五）签订合同</w:t>
      </w:r>
    </w:p>
    <w:p>
      <w:pPr>
        <w:snapToGrid w:val="0"/>
        <w:spacing w:line="500" w:lineRule="exact"/>
        <w:ind w:firstLine="480" w:firstLineChars="200"/>
        <w:jc w:val="left"/>
        <w:rPr>
          <w:rFonts w:hint="eastAsia" w:ascii="宋体" w:hAnsi="宋体"/>
          <w:b/>
          <w:color w:val="auto"/>
          <w:sz w:val="24"/>
          <w:szCs w:val="24"/>
          <w:highlight w:val="none"/>
        </w:rPr>
      </w:pPr>
      <w:r>
        <w:rPr>
          <w:rFonts w:hint="eastAsia" w:ascii="宋体" w:hAnsi="宋体"/>
          <w:color w:val="auto"/>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宋体" w:hAnsi="宋体"/>
          <w:b w:val="0"/>
          <w:bCs/>
          <w:color w:val="auto"/>
          <w:sz w:val="24"/>
          <w:szCs w:val="24"/>
          <w:highlight w:val="none"/>
        </w:rPr>
        <w:t>合同经采购人、成交供应商双方审核盖章后实施。</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35.2 成交供应商无正当理由未在规定时间内与采购人签订合同的或未按磋商文件要求提交履约担保的，采购人有权建议取消其成交资格，并报请监管部门将对其依法处理。</w:t>
      </w:r>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（三十六）政府采购代理服务费和履约保证金</w:t>
      </w:r>
    </w:p>
    <w:p>
      <w:pPr>
        <w:snapToGrid w:val="0"/>
        <w:spacing w:line="500" w:lineRule="exact"/>
        <w:ind w:firstLine="480" w:firstLineChars="200"/>
        <w:jc w:val="left"/>
        <w:rPr>
          <w:rFonts w:hint="eastAsia" w:ascii="宋体" w:hAnsi="宋体" w:eastAsia="宋体"/>
          <w:color w:val="auto"/>
          <w:sz w:val="24"/>
          <w:szCs w:val="24"/>
          <w:highlight w:val="none"/>
          <w:lang w:val="en-US" w:eastAsia="zh-CN"/>
        </w:rPr>
      </w:pPr>
      <w:r>
        <w:rPr>
          <w:rFonts w:ascii="宋体" w:hAnsi="宋体"/>
          <w:color w:val="auto"/>
          <w:sz w:val="24"/>
          <w:szCs w:val="24"/>
          <w:highlight w:val="none"/>
        </w:rPr>
        <w:t>36.1</w:t>
      </w:r>
      <w:r>
        <w:rPr>
          <w:rFonts w:hint="eastAsia" w:ascii="宋体" w:hAnsi="宋体" w:cs="宋体"/>
          <w:color w:val="auto"/>
          <w:sz w:val="24"/>
          <w:szCs w:val="24"/>
          <w:highlight w:val="none"/>
        </w:rPr>
        <w:t>成交供应商应向政府采购代理机构缴纳代理服务费，</w:t>
      </w:r>
      <w:r>
        <w:rPr>
          <w:rFonts w:hint="eastAsia" w:ascii="宋体" w:hAnsi="宋体" w:cs="宋体"/>
          <w:bCs/>
          <w:color w:val="auto"/>
          <w:sz w:val="24"/>
          <w:szCs w:val="24"/>
          <w:highlight w:val="none"/>
        </w:rPr>
        <w:t>政府采购代理服务费按</w:t>
      </w:r>
      <w:r>
        <w:rPr>
          <w:rFonts w:hint="eastAsia" w:ascii="宋体" w:hAnsi="宋体" w:cs="宋体"/>
          <w:color w:val="auto"/>
          <w:sz w:val="24"/>
          <w:szCs w:val="24"/>
          <w:highlight w:val="none"/>
        </w:rPr>
        <w:t>国家发改委计价格[</w:t>
      </w:r>
      <w:r>
        <w:rPr>
          <w:rFonts w:ascii="宋体" w:hAnsi="宋体" w:cs="宋体"/>
          <w:color w:val="auto"/>
          <w:sz w:val="24"/>
          <w:szCs w:val="24"/>
          <w:highlight w:val="none"/>
        </w:rPr>
        <w:t>2002</w:t>
      </w:r>
      <w:r>
        <w:rPr>
          <w:rFonts w:hint="eastAsia" w:ascii="宋体" w:hAnsi="宋体" w:cs="宋体"/>
          <w:color w:val="auto"/>
          <w:sz w:val="24"/>
          <w:szCs w:val="24"/>
          <w:highlight w:val="none"/>
        </w:rPr>
        <w:t>]</w:t>
      </w:r>
      <w:r>
        <w:rPr>
          <w:rFonts w:ascii="宋体" w:hAnsi="宋体" w:cs="宋体"/>
          <w:color w:val="auto"/>
          <w:sz w:val="24"/>
          <w:szCs w:val="24"/>
          <w:highlight w:val="none"/>
        </w:rPr>
        <w:t>1980号文</w:t>
      </w:r>
      <w:r>
        <w:rPr>
          <w:rFonts w:hint="eastAsia" w:ascii="宋体" w:hAnsi="宋体" w:cs="宋体"/>
          <w:color w:val="auto"/>
          <w:sz w:val="24"/>
          <w:szCs w:val="24"/>
          <w:highlight w:val="none"/>
          <w:lang w:eastAsia="zh-CN"/>
        </w:rPr>
        <w:t>、</w:t>
      </w:r>
      <w:r>
        <w:rPr>
          <w:rFonts w:hint="eastAsia" w:ascii="宋体" w:hAnsi="宋体" w:eastAsia="宋体" w:cs="宋体"/>
          <w:color w:val="auto"/>
          <w:sz w:val="24"/>
          <w:highlight w:val="none"/>
        </w:rPr>
        <w:t>发改办价格[2003]857号文计取</w:t>
      </w:r>
      <w:r>
        <w:rPr>
          <w:rFonts w:hint="eastAsia" w:ascii="宋体" w:hAnsi="宋体" w:eastAsia="宋体" w:cs="宋体"/>
          <w:color w:val="auto"/>
          <w:sz w:val="24"/>
          <w:highlight w:val="none"/>
          <w:lang w:eastAsia="zh-CN"/>
        </w:rPr>
        <w:t>。</w:t>
      </w:r>
    </w:p>
    <w:p>
      <w:pPr>
        <w:snapToGrid w:val="0"/>
        <w:spacing w:line="500" w:lineRule="exact"/>
        <w:ind w:left="359" w:leftChars="171"/>
        <w:jc w:val="left"/>
        <w:rPr>
          <w:rFonts w:hint="eastAsia" w:ascii="宋体" w:hAnsi="宋体"/>
          <w:color w:val="auto"/>
          <w:sz w:val="24"/>
          <w:szCs w:val="24"/>
          <w:highlight w:val="none"/>
        </w:rPr>
      </w:pPr>
      <w:r>
        <w:rPr>
          <w:rFonts w:ascii="宋体" w:hAnsi="宋体"/>
          <w:color w:val="auto"/>
          <w:sz w:val="24"/>
          <w:szCs w:val="24"/>
          <w:highlight w:val="none"/>
        </w:rPr>
        <w:t xml:space="preserve">36.2 </w:t>
      </w:r>
      <w:r>
        <w:rPr>
          <w:rFonts w:hint="eastAsia" w:ascii="宋体" w:hAnsi="宋体"/>
          <w:color w:val="auto"/>
          <w:sz w:val="24"/>
          <w:szCs w:val="24"/>
          <w:highlight w:val="none"/>
        </w:rPr>
        <w:t>成交供应商需在签订合同时需按磋商文件要求向采购人提交履约担保。</w:t>
      </w:r>
    </w:p>
    <w:p>
      <w:pPr>
        <w:snapToGrid w:val="0"/>
        <w:spacing w:line="500" w:lineRule="exact"/>
        <w:ind w:firstLine="200"/>
        <w:jc w:val="center"/>
        <w:outlineLvl w:val="1"/>
        <w:rPr>
          <w:rFonts w:hint="eastAsia" w:ascii="宋体" w:hAnsi="宋体"/>
          <w:b/>
          <w:color w:val="auto"/>
          <w:sz w:val="24"/>
          <w:szCs w:val="24"/>
          <w:highlight w:val="none"/>
        </w:rPr>
      </w:pPr>
      <w:bookmarkStart w:id="24" w:name="_Toc6848"/>
      <w:r>
        <w:rPr>
          <w:rFonts w:hint="eastAsia" w:ascii="宋体" w:hAnsi="宋体"/>
          <w:b/>
          <w:color w:val="auto"/>
          <w:sz w:val="24"/>
          <w:szCs w:val="24"/>
          <w:highlight w:val="none"/>
        </w:rPr>
        <w:t>九、验收及付款</w:t>
      </w:r>
      <w:bookmarkEnd w:id="24"/>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（三十七）验收</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37.1 </w:t>
      </w:r>
      <w:r>
        <w:rPr>
          <w:rFonts w:hint="eastAsia" w:ascii="宋体" w:hAnsi="宋体"/>
          <w:color w:val="auto"/>
          <w:sz w:val="24"/>
          <w:szCs w:val="24"/>
          <w:highlight w:val="none"/>
        </w:rPr>
        <w:t>采购单位组建验收小组，验收小组由采购单位三人以上组成，按</w:t>
      </w:r>
      <w:r>
        <w:rPr>
          <w:rFonts w:hint="eastAsia" w:ascii="宋体" w:hAnsi="宋体"/>
          <w:bCs/>
          <w:color w:val="auto"/>
          <w:sz w:val="24"/>
          <w:szCs w:val="24"/>
          <w:highlight w:val="none"/>
        </w:rPr>
        <w:t>采购合同约定的时间组织验收。</w:t>
      </w:r>
    </w:p>
    <w:p>
      <w:pPr>
        <w:snapToGrid w:val="0"/>
        <w:spacing w:line="500" w:lineRule="exact"/>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（三十八）项目办结及付款</w:t>
      </w:r>
    </w:p>
    <w:p>
      <w:pPr>
        <w:snapToGrid w:val="0"/>
        <w:spacing w:line="500" w:lineRule="exact"/>
        <w:ind w:firstLine="480" w:firstLineChars="200"/>
        <w:jc w:val="left"/>
        <w:rPr>
          <w:rFonts w:hint="eastAsia" w:ascii="宋体" w:hAnsi="宋体"/>
          <w:b/>
          <w:bCs/>
          <w:color w:val="auto"/>
          <w:sz w:val="24"/>
          <w:szCs w:val="24"/>
          <w:highlight w:val="none"/>
        </w:rPr>
      </w:pPr>
      <w:r>
        <w:rPr>
          <w:rFonts w:hint="eastAsia" w:ascii="宋体" w:hAnsi="宋体"/>
          <w:color w:val="auto"/>
          <w:sz w:val="24"/>
          <w:szCs w:val="24"/>
          <w:highlight w:val="none"/>
        </w:rPr>
        <w:t>38.1 采购人凭项目合同、验收报告和提供采购人要求的发票原件后，在合同约定的时间内办理采购款支付手续。</w:t>
      </w:r>
    </w:p>
    <w:p>
      <w:pPr>
        <w:snapToGrid w:val="0"/>
        <w:spacing w:line="500" w:lineRule="exact"/>
        <w:ind w:firstLine="200"/>
        <w:jc w:val="center"/>
        <w:outlineLvl w:val="1"/>
        <w:rPr>
          <w:rFonts w:hint="eastAsia" w:ascii="宋体" w:hAnsi="宋体"/>
          <w:b/>
          <w:color w:val="auto"/>
          <w:sz w:val="24"/>
          <w:szCs w:val="24"/>
          <w:highlight w:val="none"/>
        </w:rPr>
      </w:pPr>
      <w:bookmarkStart w:id="25" w:name="_Toc17033"/>
      <w:r>
        <w:rPr>
          <w:rFonts w:hint="eastAsia" w:ascii="宋体" w:hAnsi="宋体"/>
          <w:b/>
          <w:color w:val="auto"/>
          <w:sz w:val="24"/>
          <w:szCs w:val="24"/>
          <w:highlight w:val="none"/>
        </w:rPr>
        <w:t>十、质疑与投诉</w:t>
      </w:r>
      <w:bookmarkEnd w:id="25"/>
    </w:p>
    <w:p>
      <w:pPr>
        <w:snapToGrid w:val="0"/>
        <w:spacing w:line="500" w:lineRule="exact"/>
        <w:ind w:firstLine="472" w:firstLineChars="196"/>
        <w:outlineLvl w:val="0"/>
        <w:rPr>
          <w:rFonts w:hint="eastAsia" w:ascii="宋体" w:hAnsi="宋体"/>
          <w:b/>
          <w:bCs/>
          <w:color w:val="auto"/>
          <w:sz w:val="24"/>
          <w:szCs w:val="24"/>
          <w:highlight w:val="none"/>
        </w:rPr>
      </w:pPr>
      <w:bookmarkStart w:id="26" w:name="_Toc8717"/>
      <w:bookmarkStart w:id="27" w:name="_Toc19410"/>
      <w:r>
        <w:rPr>
          <w:rFonts w:hint="eastAsia" w:ascii="宋体" w:hAnsi="宋体"/>
          <w:b/>
          <w:bCs/>
          <w:color w:val="auto"/>
          <w:sz w:val="24"/>
          <w:szCs w:val="24"/>
          <w:highlight w:val="none"/>
        </w:rPr>
        <w:t>（三十九）质疑与投诉</w:t>
      </w:r>
      <w:bookmarkEnd w:id="26"/>
      <w:bookmarkEnd w:id="27"/>
    </w:p>
    <w:p>
      <w:pPr>
        <w:snapToGrid w:val="0"/>
        <w:spacing w:line="500" w:lineRule="exact"/>
        <w:ind w:firstLine="482" w:firstLineChars="200"/>
        <w:outlineLvl w:val="0"/>
        <w:rPr>
          <w:rFonts w:ascii="宋体" w:hAnsi="宋体"/>
          <w:color w:val="auto"/>
          <w:sz w:val="24"/>
          <w:szCs w:val="24"/>
          <w:highlight w:val="none"/>
        </w:rPr>
      </w:pPr>
      <w:bookmarkStart w:id="28" w:name="_Toc30957"/>
      <w:bookmarkStart w:id="29" w:name="_Toc25914"/>
      <w:r>
        <w:rPr>
          <w:rFonts w:ascii="宋体" w:hAnsi="宋体"/>
          <w:b/>
          <w:bCs/>
          <w:color w:val="auto"/>
          <w:sz w:val="24"/>
          <w:szCs w:val="24"/>
          <w:highlight w:val="none"/>
        </w:rPr>
        <w:t xml:space="preserve">39.1 </w:t>
      </w:r>
      <w:r>
        <w:rPr>
          <w:rFonts w:hint="eastAsia" w:ascii="宋体" w:hAnsi="宋体"/>
          <w:b/>
          <w:bCs/>
          <w:color w:val="auto"/>
          <w:sz w:val="24"/>
          <w:szCs w:val="24"/>
          <w:highlight w:val="none"/>
        </w:rPr>
        <w:t>质疑的提出</w:t>
      </w:r>
      <w:bookmarkEnd w:id="28"/>
      <w:bookmarkEnd w:id="29"/>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1）供应商认为竞磋文件、招标过程和中标、成交结果使自己的权益受到损害的，可以在知道或者应知其权益受到损害之日起七个工作日内，以书面形式向采购人提出质疑。</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2）质疑函的必备内容</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①供应商提交的质疑函必须注明单位名称、详细地址、可供查询的单位和法定代表人的电话号码；</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②所参加项目的具体质疑事项及事实依据；</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③提起质疑的日期；</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④质疑函须加盖单位公章和法定代表人签章。</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）质疑应符合下列条件：</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①质疑人是参与所质疑项目的招标活动供应商；</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②质疑函内容符合相关的规定；</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③在规定的有效期限内提起质疑；</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④招投标监管部门规定的其他条件。</w:t>
      </w:r>
    </w:p>
    <w:p>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4）采购人在收到供应商的书面质疑后七个工作日内作出答复，并以书面形式通知质疑供应商和其他有关供应商，但答复的内容不涉及商业秘密。</w:t>
      </w:r>
    </w:p>
    <w:p>
      <w:pPr>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napToGrid w:val="0"/>
        <w:spacing w:line="5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附表一</w:t>
      </w:r>
    </w:p>
    <w:p>
      <w:pPr>
        <w:snapToGrid w:val="0"/>
        <w:spacing w:line="440" w:lineRule="exact"/>
        <w:jc w:val="center"/>
        <w:rPr>
          <w:rFonts w:hint="eastAsia" w:ascii="宋体" w:hAnsi="宋体"/>
          <w:b/>
          <w:bCs/>
          <w:color w:val="auto"/>
          <w:sz w:val="24"/>
          <w:szCs w:val="24"/>
          <w:highlight w:val="none"/>
        </w:rPr>
      </w:pPr>
      <w:r>
        <w:rPr>
          <w:rFonts w:hint="eastAsia" w:ascii="宋体" w:hAnsi="宋体"/>
          <w:b/>
          <w:bCs/>
          <w:color w:val="auto"/>
          <w:sz w:val="24"/>
          <w:szCs w:val="24"/>
          <w:highlight w:val="none"/>
        </w:rPr>
        <w:t>质 疑 书</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(政府采购代理机构名称)：</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依据《中华人民共和国政府采购法》第五十二条规定，认为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u w:val="single"/>
        </w:rPr>
        <w:t xml:space="preserve">  (事宜经过)            </w:t>
      </w:r>
      <w:r>
        <w:rPr>
          <w:rFonts w:hint="eastAsia" w:ascii="宋体" w:hAnsi="宋体"/>
          <w:bCs/>
          <w:color w:val="auto"/>
          <w:sz w:val="24"/>
          <w:szCs w:val="24"/>
          <w:highlight w:val="none"/>
        </w:rPr>
        <w:t>；2、</w:t>
      </w:r>
      <w:r>
        <w:rPr>
          <w:rFonts w:hint="eastAsia" w:ascii="宋体" w:hAnsi="宋体"/>
          <w:bCs/>
          <w:color w:val="auto"/>
          <w:sz w:val="24"/>
          <w:szCs w:val="24"/>
          <w:highlight w:val="none"/>
          <w:u w:val="single"/>
        </w:rPr>
        <w:t xml:space="preserve">  (事宜经过)            </w:t>
      </w:r>
      <w:r>
        <w:rPr>
          <w:rFonts w:hint="eastAsia" w:ascii="宋体" w:hAnsi="宋体"/>
          <w:bCs/>
          <w:color w:val="auto"/>
          <w:sz w:val="24"/>
          <w:szCs w:val="24"/>
          <w:highlight w:val="none"/>
        </w:rPr>
        <w:t>；……</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我们认为，以上几项，违背了政府采购法规的有关规定，其中第1项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违背《</w:t>
      </w:r>
      <w:r>
        <w:rPr>
          <w:rFonts w:hint="eastAsia" w:ascii="宋体" w:hAnsi="宋体"/>
          <w:bCs/>
          <w:color w:val="auto"/>
          <w:sz w:val="24"/>
          <w:szCs w:val="24"/>
          <w:highlight w:val="none"/>
          <w:u w:val="single"/>
        </w:rPr>
        <w:t xml:space="preserve">           法</w:t>
      </w:r>
      <w:r>
        <w:rPr>
          <w:rFonts w:hint="eastAsia" w:ascii="宋体" w:hAnsi="宋体"/>
          <w:bCs/>
          <w:color w:val="auto"/>
          <w:sz w:val="24"/>
          <w:szCs w:val="24"/>
          <w:highlight w:val="none"/>
        </w:rPr>
        <w:t>》第</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条的“</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”规定，第2项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违背《</w:t>
      </w:r>
      <w:r>
        <w:rPr>
          <w:rFonts w:hint="eastAsia" w:ascii="宋体" w:hAnsi="宋体"/>
          <w:bCs/>
          <w:color w:val="auto"/>
          <w:sz w:val="24"/>
          <w:szCs w:val="24"/>
          <w:highlight w:val="none"/>
          <w:u w:val="single"/>
        </w:rPr>
        <w:t xml:space="preserve">              法</w:t>
      </w:r>
      <w:r>
        <w:rPr>
          <w:rFonts w:hint="eastAsia" w:ascii="宋体" w:hAnsi="宋体"/>
          <w:bCs/>
          <w:color w:val="auto"/>
          <w:sz w:val="24"/>
          <w:szCs w:val="24"/>
          <w:highlight w:val="none"/>
        </w:rPr>
        <w:t>》第</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条的规定，请予审查纠正为盼。</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质疑人(全称并加</w:t>
      </w:r>
      <w:r>
        <w:rPr>
          <w:rFonts w:hint="eastAsia" w:ascii="宋体" w:hAnsi="宋体"/>
          <w:bCs/>
          <w:color w:val="auto"/>
          <w:sz w:val="24"/>
          <w:szCs w:val="24"/>
          <w:highlight w:val="none"/>
          <w:u w:val="single"/>
        </w:rPr>
        <w:t>盖</w:t>
      </w:r>
      <w:r>
        <w:rPr>
          <w:rFonts w:hint="eastAsia" w:ascii="宋体" w:hAnsi="宋体"/>
          <w:bCs/>
          <w:color w:val="auto"/>
          <w:sz w:val="24"/>
          <w:szCs w:val="24"/>
          <w:highlight w:val="none"/>
        </w:rPr>
        <w:t>公章)：</w:t>
      </w:r>
      <w:r>
        <w:rPr>
          <w:rFonts w:hint="eastAsia" w:ascii="宋体" w:hAnsi="宋体"/>
          <w:bCs/>
          <w:color w:val="auto"/>
          <w:sz w:val="24"/>
          <w:szCs w:val="24"/>
          <w:highlight w:val="none"/>
          <w:u w:val="single"/>
        </w:rPr>
        <w:t xml:space="preserve">          </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法定代表人签字：</w:t>
      </w:r>
      <w:r>
        <w:rPr>
          <w:rFonts w:hint="eastAsia" w:ascii="宋体" w:hAnsi="宋体"/>
          <w:bCs/>
          <w:color w:val="auto"/>
          <w:sz w:val="24"/>
          <w:szCs w:val="24"/>
          <w:highlight w:val="none"/>
          <w:u w:val="single"/>
        </w:rPr>
        <w:t xml:space="preserve">          </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委托人签字：</w:t>
      </w:r>
      <w:r>
        <w:rPr>
          <w:rFonts w:hint="eastAsia" w:ascii="宋体" w:hAnsi="宋体"/>
          <w:bCs/>
          <w:color w:val="auto"/>
          <w:sz w:val="24"/>
          <w:szCs w:val="24"/>
          <w:highlight w:val="none"/>
          <w:u w:val="single"/>
        </w:rPr>
        <w:t xml:space="preserve">          </w:t>
      </w:r>
    </w:p>
    <w:p>
      <w:pPr>
        <w:snapToGrid w:val="0"/>
        <w:spacing w:line="44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地址：</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联系电话：</w:t>
      </w:r>
      <w:r>
        <w:rPr>
          <w:rFonts w:hint="eastAsia" w:ascii="宋体" w:hAnsi="宋体"/>
          <w:bCs/>
          <w:color w:val="auto"/>
          <w:sz w:val="24"/>
          <w:szCs w:val="24"/>
          <w:highlight w:val="none"/>
          <w:u w:val="single"/>
        </w:rPr>
        <w:t xml:space="preserve">     </w:t>
      </w:r>
    </w:p>
    <w:p>
      <w:pPr>
        <w:snapToGrid w:val="0"/>
        <w:spacing w:line="44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邮编：</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传真：</w:t>
      </w:r>
      <w:r>
        <w:rPr>
          <w:rFonts w:hint="eastAsia" w:ascii="宋体" w:hAnsi="宋体"/>
          <w:bCs/>
          <w:color w:val="auto"/>
          <w:sz w:val="24"/>
          <w:szCs w:val="24"/>
          <w:highlight w:val="none"/>
          <w:u w:val="single"/>
        </w:rPr>
        <w:t xml:space="preserve">         </w:t>
      </w:r>
    </w:p>
    <w:p>
      <w:pPr>
        <w:snapToGrid w:val="0"/>
        <w:spacing w:line="44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日期：</w:t>
      </w:r>
      <w:r>
        <w:rPr>
          <w:rFonts w:hint="eastAsia" w:ascii="宋体" w:hAnsi="宋体"/>
          <w:bCs/>
          <w:color w:val="auto"/>
          <w:sz w:val="24"/>
          <w:szCs w:val="24"/>
          <w:highlight w:val="none"/>
          <w:u w:val="single"/>
        </w:rPr>
        <w:t xml:space="preserve">                     </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注：质疑人提供的资料应包括但不限于以下内容：</w:t>
      </w:r>
    </w:p>
    <w:p>
      <w:pP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1、加盖供应商单位公章法定代表人授权书；</w:t>
      </w:r>
    </w:p>
    <w:p>
      <w:pPr>
        <w:snapToGrid w:val="0"/>
        <w:spacing w:line="440" w:lineRule="exact"/>
        <w:rPr>
          <w:rFonts w:hint="eastAsia" w:ascii="宋体" w:hAnsi="宋体" w:cs="宋体"/>
          <w:color w:val="auto"/>
          <w:sz w:val="24"/>
          <w:szCs w:val="24"/>
          <w:highlight w:val="none"/>
        </w:rPr>
      </w:pPr>
      <w:r>
        <w:rPr>
          <w:rFonts w:hint="eastAsia" w:ascii="宋体" w:hAnsi="宋体"/>
          <w:bCs/>
          <w:color w:val="auto"/>
          <w:sz w:val="24"/>
          <w:szCs w:val="24"/>
          <w:highlight w:val="none"/>
        </w:rPr>
        <w:t>2、明确的请求和供应商单位加盖公章证明材料。</w:t>
      </w:r>
    </w:p>
    <w:p>
      <w:pPr>
        <w:snapToGrid w:val="0"/>
        <w:spacing w:line="440" w:lineRule="exact"/>
        <w:rPr>
          <w:rFonts w:hint="eastAsia" w:ascii="宋体" w:hAnsi="宋体" w:cs="宋体"/>
          <w:color w:val="auto"/>
          <w:sz w:val="24"/>
          <w:szCs w:val="24"/>
          <w:highlight w:val="none"/>
        </w:rPr>
      </w:pPr>
    </w:p>
    <w:p>
      <w:pPr>
        <w:snapToGrid w:val="0"/>
        <w:spacing w:line="440" w:lineRule="exact"/>
        <w:rPr>
          <w:rFonts w:hint="eastAsia" w:ascii="宋体" w:hAnsi="宋体" w:cs="宋体"/>
          <w:b/>
          <w:color w:val="auto"/>
          <w:sz w:val="24"/>
          <w:szCs w:val="24"/>
          <w:highlight w:val="none"/>
        </w:rPr>
      </w:pPr>
    </w:p>
    <w:p>
      <w:pPr>
        <w:snapToGrid w:val="0"/>
        <w:spacing w:line="440" w:lineRule="exact"/>
        <w:rPr>
          <w:rFonts w:hint="eastAsia" w:ascii="宋体" w:hAnsi="宋体" w:cs="宋体"/>
          <w:b/>
          <w:color w:val="auto"/>
          <w:sz w:val="24"/>
          <w:szCs w:val="24"/>
          <w:highlight w:val="none"/>
        </w:rPr>
      </w:pPr>
    </w:p>
    <w:p>
      <w:pPr>
        <w:snapToGrid w:val="0"/>
        <w:spacing w:line="440" w:lineRule="exact"/>
        <w:rPr>
          <w:rFonts w:hint="eastAsia" w:ascii="宋体" w:hAnsi="宋体" w:cs="宋体"/>
          <w:b/>
          <w:color w:val="auto"/>
          <w:sz w:val="24"/>
          <w:szCs w:val="24"/>
          <w:highlight w:val="none"/>
        </w:rPr>
      </w:pPr>
    </w:p>
    <w:p>
      <w:pPr>
        <w:snapToGrid w:val="0"/>
        <w:spacing w:line="440" w:lineRule="exact"/>
        <w:rPr>
          <w:rFonts w:hint="eastAsia" w:ascii="宋体" w:hAnsi="宋体" w:cs="宋体"/>
          <w:b/>
          <w:color w:val="auto"/>
          <w:sz w:val="24"/>
          <w:szCs w:val="24"/>
          <w:highlight w:val="none"/>
        </w:rPr>
      </w:pPr>
      <w:r>
        <w:rPr>
          <w:rFonts w:ascii="宋体" w:hAnsi="宋体" w:cs="宋体"/>
          <w:b/>
          <w:color w:val="auto"/>
          <w:sz w:val="24"/>
          <w:szCs w:val="24"/>
          <w:highlight w:val="none"/>
        </w:rPr>
        <w:br w:type="page"/>
      </w:r>
      <w:r>
        <w:rPr>
          <w:rFonts w:hint="eastAsia" w:ascii="宋体" w:hAnsi="宋体" w:cs="宋体"/>
          <w:b/>
          <w:color w:val="auto"/>
          <w:sz w:val="24"/>
          <w:szCs w:val="24"/>
          <w:highlight w:val="none"/>
        </w:rPr>
        <w:t>附表二</w:t>
      </w:r>
    </w:p>
    <w:p>
      <w:pPr>
        <w:snapToGrid w:val="0"/>
        <w:spacing w:line="440" w:lineRule="exact"/>
        <w:ind w:firstLine="482" w:firstLineChars="200"/>
        <w:jc w:val="center"/>
        <w:outlineLvl w:val="0"/>
        <w:rPr>
          <w:rFonts w:hint="eastAsia" w:ascii="宋体" w:hAnsi="宋体"/>
          <w:color w:val="auto"/>
          <w:sz w:val="24"/>
          <w:szCs w:val="24"/>
          <w:highlight w:val="none"/>
        </w:rPr>
      </w:pPr>
      <w:bookmarkStart w:id="30" w:name="_Toc16258"/>
      <w:bookmarkStart w:id="31" w:name="_Toc5031"/>
      <w:r>
        <w:rPr>
          <w:rFonts w:hint="eastAsia" w:ascii="宋体" w:hAnsi="宋体"/>
          <w:b/>
          <w:bCs/>
          <w:color w:val="auto"/>
          <w:sz w:val="24"/>
          <w:szCs w:val="24"/>
          <w:highlight w:val="none"/>
        </w:rPr>
        <w:t>质疑内容</w:t>
      </w:r>
      <w:bookmarkEnd w:id="30"/>
      <w:bookmarkEnd w:id="31"/>
    </w:p>
    <w:tbl>
      <w:tblPr>
        <w:tblStyle w:val="23"/>
        <w:tblW w:w="0" w:type="auto"/>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line="440" w:lineRule="exact"/>
              <w:ind w:firstLine="480" w:firstLineChars="200"/>
              <w:outlineLvl w:val="0"/>
              <w:rPr>
                <w:rFonts w:ascii="宋体" w:hAnsi="宋体"/>
                <w:color w:val="auto"/>
                <w:sz w:val="24"/>
                <w:szCs w:val="24"/>
                <w:highlight w:val="none"/>
              </w:rPr>
            </w:pPr>
            <w:bookmarkStart w:id="32" w:name="_Toc2338"/>
            <w:bookmarkStart w:id="33" w:name="_Toc21078"/>
            <w:r>
              <w:rPr>
                <w:rFonts w:hint="eastAsia" w:ascii="宋体" w:hAnsi="宋体"/>
                <w:color w:val="auto"/>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napToGrid w:val="0"/>
              <w:spacing w:line="440" w:lineRule="exact"/>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line="440" w:lineRule="exact"/>
              <w:ind w:firstLine="480" w:firstLineChars="200"/>
              <w:outlineLvl w:val="0"/>
              <w:rPr>
                <w:rFonts w:ascii="宋体" w:hAnsi="宋体"/>
                <w:color w:val="auto"/>
                <w:sz w:val="24"/>
                <w:szCs w:val="24"/>
                <w:highlight w:val="none"/>
              </w:rPr>
            </w:pPr>
            <w:bookmarkStart w:id="34" w:name="_Toc5211"/>
            <w:bookmarkStart w:id="35" w:name="_Toc19856"/>
            <w:r>
              <w:rPr>
                <w:rFonts w:hint="eastAsia" w:ascii="宋体" w:hAnsi="宋体"/>
                <w:color w:val="auto"/>
                <w:sz w:val="24"/>
                <w:szCs w:val="24"/>
                <w:highlight w:val="none"/>
              </w:rPr>
              <w:t>采购项目编号</w:t>
            </w:r>
            <w:bookmarkEnd w:id="34"/>
            <w:bookmarkEnd w:id="35"/>
          </w:p>
        </w:tc>
        <w:tc>
          <w:tcPr>
            <w:tcW w:w="68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napToGrid w:val="0"/>
              <w:spacing w:line="440" w:lineRule="exact"/>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line="440" w:lineRule="exact"/>
              <w:ind w:firstLine="480" w:firstLineChars="200"/>
              <w:outlineLvl w:val="0"/>
              <w:rPr>
                <w:rFonts w:ascii="宋体" w:hAnsi="宋体"/>
                <w:color w:val="auto"/>
                <w:sz w:val="24"/>
                <w:szCs w:val="24"/>
                <w:highlight w:val="none"/>
              </w:rPr>
            </w:pPr>
            <w:bookmarkStart w:id="36" w:name="_Toc9705"/>
            <w:bookmarkStart w:id="37" w:name="_Toc19055"/>
            <w:r>
              <w:rPr>
                <w:rFonts w:hint="eastAsia" w:ascii="宋体" w:hAnsi="宋体"/>
                <w:color w:val="auto"/>
                <w:sz w:val="24"/>
                <w:szCs w:val="24"/>
                <w:highlight w:val="none"/>
              </w:rPr>
              <w:t>具体的质疑事项及事实依据</w:t>
            </w:r>
            <w:bookmarkEnd w:id="36"/>
            <w:bookmarkEnd w:id="37"/>
          </w:p>
        </w:tc>
        <w:tc>
          <w:tcPr>
            <w:tcW w:w="771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snapToGrid w:val="0"/>
              <w:spacing w:line="276" w:lineRule="auto"/>
              <w:ind w:firstLine="482" w:firstLineChars="200"/>
              <w:outlineLvl w:val="0"/>
              <w:rPr>
                <w:rFonts w:ascii="宋体" w:hAnsi="宋体"/>
                <w:color w:val="auto"/>
                <w:sz w:val="24"/>
                <w:szCs w:val="24"/>
                <w:highlight w:val="none"/>
              </w:rPr>
            </w:pPr>
            <w:bookmarkStart w:id="38" w:name="_Toc11039"/>
            <w:bookmarkStart w:id="39" w:name="_Toc13573"/>
            <w:r>
              <w:rPr>
                <w:rFonts w:hint="eastAsia" w:ascii="宋体" w:hAnsi="宋体"/>
                <w:b/>
                <w:bCs/>
                <w:color w:val="auto"/>
                <w:sz w:val="24"/>
                <w:szCs w:val="24"/>
                <w:highlight w:val="none"/>
              </w:rPr>
              <w:t>一、质疑事项1：</w:t>
            </w:r>
            <w:bookmarkEnd w:id="38"/>
            <w:bookmarkEnd w:id="39"/>
          </w:p>
          <w:p>
            <w:pPr>
              <w:snapToGrid w:val="0"/>
              <w:spacing w:line="276" w:lineRule="auto"/>
              <w:ind w:firstLine="480" w:firstLineChars="200"/>
              <w:outlineLvl w:val="0"/>
              <w:rPr>
                <w:rFonts w:ascii="宋体" w:hAnsi="宋体"/>
                <w:color w:val="auto"/>
                <w:sz w:val="24"/>
                <w:szCs w:val="24"/>
                <w:highlight w:val="none"/>
              </w:rPr>
            </w:pPr>
            <w:bookmarkStart w:id="40" w:name="_Toc23129"/>
            <w:bookmarkStart w:id="41" w:name="_Toc25614"/>
            <w:r>
              <w:rPr>
                <w:rFonts w:hint="eastAsia" w:ascii="宋体" w:hAnsi="宋体"/>
                <w:color w:val="auto"/>
                <w:sz w:val="24"/>
                <w:szCs w:val="24"/>
                <w:highlight w:val="none"/>
              </w:rPr>
              <w:t>主要内容：</w:t>
            </w:r>
            <w:bookmarkEnd w:id="40"/>
            <w:bookmarkEnd w:id="41"/>
          </w:p>
          <w:p>
            <w:pPr>
              <w:snapToGrid w:val="0"/>
              <w:spacing w:line="276" w:lineRule="auto"/>
              <w:ind w:firstLine="480" w:firstLineChars="200"/>
              <w:outlineLvl w:val="0"/>
              <w:rPr>
                <w:rFonts w:ascii="宋体" w:hAnsi="宋体"/>
                <w:color w:val="auto"/>
                <w:sz w:val="24"/>
                <w:szCs w:val="24"/>
                <w:highlight w:val="none"/>
              </w:rPr>
            </w:pPr>
            <w:bookmarkStart w:id="42" w:name="_Toc4921"/>
            <w:bookmarkStart w:id="43" w:name="_Toc2762"/>
            <w:r>
              <w:rPr>
                <w:rFonts w:hint="eastAsia" w:ascii="宋体" w:hAnsi="宋体"/>
                <w:color w:val="auto"/>
                <w:sz w:val="24"/>
                <w:szCs w:val="24"/>
                <w:highlight w:val="none"/>
              </w:rPr>
              <w:t>事实依据：</w:t>
            </w:r>
            <w:bookmarkEnd w:id="42"/>
            <w:bookmarkEnd w:id="43"/>
          </w:p>
          <w:p>
            <w:pPr>
              <w:snapToGrid w:val="0"/>
              <w:spacing w:line="276" w:lineRule="auto"/>
              <w:ind w:firstLine="480" w:firstLineChars="200"/>
              <w:outlineLvl w:val="0"/>
              <w:rPr>
                <w:rFonts w:ascii="宋体" w:hAnsi="宋体"/>
                <w:color w:val="auto"/>
                <w:sz w:val="24"/>
                <w:szCs w:val="24"/>
                <w:highlight w:val="none"/>
              </w:rPr>
            </w:pPr>
            <w:bookmarkStart w:id="44" w:name="_Toc24639"/>
            <w:bookmarkStart w:id="45" w:name="_Toc9636"/>
            <w:r>
              <w:rPr>
                <w:rFonts w:hint="eastAsia" w:ascii="宋体" w:hAnsi="宋体"/>
                <w:color w:val="auto"/>
                <w:sz w:val="24"/>
                <w:szCs w:val="24"/>
                <w:highlight w:val="none"/>
              </w:rPr>
              <w:t>适应法规条款：</w:t>
            </w:r>
            <w:bookmarkEnd w:id="44"/>
            <w:bookmarkEnd w:id="45"/>
          </w:p>
          <w:p>
            <w:pPr>
              <w:snapToGrid w:val="0"/>
              <w:spacing w:line="276" w:lineRule="auto"/>
              <w:ind w:firstLine="480" w:firstLineChars="200"/>
              <w:outlineLvl w:val="0"/>
              <w:rPr>
                <w:rFonts w:ascii="宋体" w:hAnsi="宋体"/>
                <w:color w:val="auto"/>
                <w:sz w:val="24"/>
                <w:szCs w:val="24"/>
                <w:highlight w:val="none"/>
              </w:rPr>
            </w:pPr>
            <w:bookmarkStart w:id="46" w:name="_Toc4949"/>
            <w:bookmarkStart w:id="47" w:name="_Toc17715"/>
            <w:r>
              <w:rPr>
                <w:rFonts w:hint="eastAsia" w:ascii="宋体" w:hAnsi="宋体"/>
                <w:color w:val="auto"/>
                <w:sz w:val="24"/>
                <w:szCs w:val="24"/>
                <w:highlight w:val="none"/>
              </w:rPr>
              <w:t>佐证材料：</w:t>
            </w:r>
            <w:bookmarkEnd w:id="46"/>
            <w:bookmarkEnd w:id="47"/>
          </w:p>
          <w:p>
            <w:pPr>
              <w:snapToGrid w:val="0"/>
              <w:spacing w:line="276" w:lineRule="auto"/>
              <w:ind w:firstLine="482" w:firstLineChars="200"/>
              <w:outlineLvl w:val="0"/>
              <w:rPr>
                <w:rFonts w:ascii="宋体" w:hAnsi="宋体"/>
                <w:color w:val="auto"/>
                <w:sz w:val="24"/>
                <w:szCs w:val="24"/>
                <w:highlight w:val="none"/>
              </w:rPr>
            </w:pPr>
            <w:bookmarkStart w:id="48" w:name="_Toc30791"/>
            <w:bookmarkStart w:id="49" w:name="_Toc28263"/>
            <w:r>
              <w:rPr>
                <w:rFonts w:hint="eastAsia" w:ascii="宋体" w:hAnsi="宋体"/>
                <w:b/>
                <w:bCs/>
                <w:color w:val="auto"/>
                <w:sz w:val="24"/>
                <w:szCs w:val="24"/>
                <w:highlight w:val="none"/>
              </w:rPr>
              <w:t>二、质疑事项2：</w:t>
            </w:r>
            <w:bookmarkEnd w:id="48"/>
            <w:bookmarkEnd w:id="49"/>
          </w:p>
          <w:p>
            <w:pPr>
              <w:snapToGrid w:val="0"/>
              <w:spacing w:line="276" w:lineRule="auto"/>
              <w:ind w:firstLine="480" w:firstLineChars="200"/>
              <w:outlineLvl w:val="0"/>
              <w:rPr>
                <w:rFonts w:ascii="宋体" w:hAnsi="宋体"/>
                <w:color w:val="auto"/>
                <w:sz w:val="24"/>
                <w:szCs w:val="24"/>
                <w:highlight w:val="none"/>
              </w:rPr>
            </w:pPr>
            <w:bookmarkStart w:id="50" w:name="_Toc10041"/>
            <w:bookmarkStart w:id="51" w:name="_Toc5157"/>
            <w:r>
              <w:rPr>
                <w:rFonts w:hint="eastAsia" w:ascii="宋体" w:hAnsi="宋体"/>
                <w:color w:val="auto"/>
                <w:sz w:val="24"/>
                <w:szCs w:val="24"/>
                <w:highlight w:val="none"/>
              </w:rPr>
              <w:t>主要内容：</w:t>
            </w:r>
            <w:bookmarkEnd w:id="50"/>
            <w:bookmarkEnd w:id="51"/>
          </w:p>
          <w:p>
            <w:pPr>
              <w:snapToGrid w:val="0"/>
              <w:spacing w:line="276" w:lineRule="auto"/>
              <w:ind w:firstLine="480" w:firstLineChars="200"/>
              <w:outlineLvl w:val="0"/>
              <w:rPr>
                <w:rFonts w:ascii="宋体" w:hAnsi="宋体"/>
                <w:color w:val="auto"/>
                <w:sz w:val="24"/>
                <w:szCs w:val="24"/>
                <w:highlight w:val="none"/>
              </w:rPr>
            </w:pPr>
            <w:bookmarkStart w:id="52" w:name="_Toc2440"/>
            <w:bookmarkStart w:id="53" w:name="_Toc576"/>
            <w:r>
              <w:rPr>
                <w:rFonts w:hint="eastAsia" w:ascii="宋体" w:hAnsi="宋体"/>
                <w:color w:val="auto"/>
                <w:sz w:val="24"/>
                <w:szCs w:val="24"/>
                <w:highlight w:val="none"/>
              </w:rPr>
              <w:t>事实依据：</w:t>
            </w:r>
            <w:bookmarkEnd w:id="52"/>
            <w:bookmarkEnd w:id="53"/>
          </w:p>
          <w:p>
            <w:pPr>
              <w:snapToGrid w:val="0"/>
              <w:spacing w:line="276" w:lineRule="auto"/>
              <w:ind w:firstLine="480" w:firstLineChars="200"/>
              <w:outlineLvl w:val="0"/>
              <w:rPr>
                <w:rFonts w:ascii="宋体" w:hAnsi="宋体"/>
                <w:color w:val="auto"/>
                <w:sz w:val="24"/>
                <w:szCs w:val="24"/>
                <w:highlight w:val="none"/>
              </w:rPr>
            </w:pPr>
            <w:bookmarkStart w:id="54" w:name="_Toc32283"/>
            <w:bookmarkStart w:id="55" w:name="_Toc19804"/>
            <w:r>
              <w:rPr>
                <w:rFonts w:hint="eastAsia" w:ascii="宋体" w:hAnsi="宋体"/>
                <w:color w:val="auto"/>
                <w:sz w:val="24"/>
                <w:szCs w:val="24"/>
                <w:highlight w:val="none"/>
              </w:rPr>
              <w:t>适应法规条款：</w:t>
            </w:r>
            <w:bookmarkEnd w:id="54"/>
            <w:bookmarkEnd w:id="55"/>
          </w:p>
          <w:p>
            <w:pPr>
              <w:snapToGrid w:val="0"/>
              <w:spacing w:line="276" w:lineRule="auto"/>
              <w:ind w:firstLine="480" w:firstLineChars="200"/>
              <w:outlineLvl w:val="0"/>
              <w:rPr>
                <w:rFonts w:ascii="宋体" w:hAnsi="宋体"/>
                <w:color w:val="auto"/>
                <w:sz w:val="24"/>
                <w:szCs w:val="24"/>
                <w:highlight w:val="none"/>
              </w:rPr>
            </w:pPr>
            <w:bookmarkStart w:id="56" w:name="_Toc21267"/>
            <w:bookmarkStart w:id="57" w:name="_Toc20847"/>
            <w:r>
              <w:rPr>
                <w:rFonts w:hint="eastAsia" w:ascii="宋体" w:hAnsi="宋体"/>
                <w:color w:val="auto"/>
                <w:sz w:val="24"/>
                <w:szCs w:val="24"/>
                <w:highlight w:val="none"/>
              </w:rPr>
              <w:t>佐证材料： </w:t>
            </w:r>
            <w:bookmarkEnd w:id="56"/>
            <w:bookmarkEnd w:id="57"/>
          </w:p>
          <w:p>
            <w:pPr>
              <w:snapToGrid w:val="0"/>
              <w:spacing w:line="276" w:lineRule="auto"/>
              <w:ind w:firstLine="482" w:firstLineChars="200"/>
              <w:outlineLvl w:val="0"/>
              <w:rPr>
                <w:rFonts w:hint="eastAsia" w:ascii="宋体" w:hAnsi="宋体"/>
                <w:color w:val="auto"/>
                <w:sz w:val="24"/>
                <w:szCs w:val="24"/>
                <w:highlight w:val="none"/>
              </w:rPr>
            </w:pPr>
            <w:bookmarkStart w:id="58" w:name="_Toc27781"/>
            <w:bookmarkStart w:id="59" w:name="_Toc25584"/>
            <w:r>
              <w:rPr>
                <w:rFonts w:hint="eastAsia" w:ascii="宋体" w:hAnsi="宋体"/>
                <w:b/>
                <w:bCs/>
                <w:color w:val="auto"/>
                <w:sz w:val="24"/>
                <w:szCs w:val="24"/>
                <w:highlight w:val="none"/>
              </w:rPr>
              <w:t>三、同上</w:t>
            </w:r>
            <w:bookmarkEnd w:id="58"/>
            <w:bookmarkEnd w:id="59"/>
          </w:p>
        </w:tc>
      </w:tr>
    </w:tbl>
    <w:p>
      <w:pPr>
        <w:snapToGrid w:val="0"/>
        <w:spacing w:line="440" w:lineRule="exact"/>
        <w:ind w:firstLine="482" w:firstLineChars="200"/>
        <w:outlineLvl w:val="0"/>
        <w:rPr>
          <w:rFonts w:ascii="宋体" w:hAnsi="宋体"/>
          <w:b/>
          <w:bCs/>
          <w:color w:val="auto"/>
          <w:sz w:val="24"/>
          <w:szCs w:val="24"/>
          <w:highlight w:val="none"/>
        </w:rPr>
      </w:pPr>
      <w:bookmarkStart w:id="60" w:name="_Toc1484"/>
      <w:bookmarkStart w:id="61" w:name="_Toc9069"/>
      <w:r>
        <w:rPr>
          <w:rFonts w:ascii="宋体" w:hAnsi="宋体"/>
          <w:b/>
          <w:bCs/>
          <w:color w:val="auto"/>
          <w:sz w:val="24"/>
          <w:szCs w:val="24"/>
          <w:highlight w:val="none"/>
        </w:rPr>
        <w:t>质疑人</w:t>
      </w:r>
      <w:r>
        <w:rPr>
          <w:rFonts w:hint="eastAsia" w:ascii="宋体" w:hAnsi="宋体"/>
          <w:b/>
          <w:bCs/>
          <w:color w:val="auto"/>
          <w:sz w:val="24"/>
          <w:szCs w:val="24"/>
          <w:highlight w:val="none"/>
        </w:rPr>
        <w:t>（盖公章）：</w:t>
      </w:r>
      <w:bookmarkEnd w:id="60"/>
      <w:bookmarkEnd w:id="61"/>
    </w:p>
    <w:p>
      <w:pPr>
        <w:snapToGrid w:val="0"/>
        <w:spacing w:line="440" w:lineRule="exact"/>
        <w:ind w:firstLine="482" w:firstLineChars="200"/>
        <w:outlineLvl w:val="0"/>
        <w:rPr>
          <w:rFonts w:ascii="宋体" w:hAnsi="宋体"/>
          <w:b/>
          <w:bCs/>
          <w:color w:val="auto"/>
          <w:sz w:val="24"/>
          <w:szCs w:val="24"/>
          <w:highlight w:val="none"/>
        </w:rPr>
      </w:pPr>
      <w:bookmarkStart w:id="62" w:name="_Toc18025"/>
      <w:bookmarkStart w:id="63" w:name="_Toc15635"/>
      <w:r>
        <w:rPr>
          <w:rFonts w:ascii="宋体" w:hAnsi="宋体"/>
          <w:b/>
          <w:bCs/>
          <w:color w:val="auto"/>
          <w:sz w:val="24"/>
          <w:szCs w:val="24"/>
          <w:highlight w:val="none"/>
        </w:rPr>
        <w:t>法定发表人</w:t>
      </w:r>
      <w:r>
        <w:rPr>
          <w:rFonts w:hint="eastAsia" w:ascii="宋体" w:hAnsi="宋体"/>
          <w:b/>
          <w:bCs/>
          <w:color w:val="auto"/>
          <w:sz w:val="24"/>
          <w:szCs w:val="24"/>
          <w:highlight w:val="none"/>
        </w:rPr>
        <w:t>（签字、盖章）：</w:t>
      </w:r>
      <w:bookmarkEnd w:id="62"/>
      <w:bookmarkEnd w:id="63"/>
    </w:p>
    <w:p>
      <w:pPr>
        <w:snapToGrid w:val="0"/>
        <w:spacing w:line="440" w:lineRule="exact"/>
        <w:ind w:firstLine="482" w:firstLineChars="200"/>
        <w:outlineLvl w:val="0"/>
        <w:rPr>
          <w:rFonts w:ascii="宋体" w:hAnsi="宋体"/>
          <w:b/>
          <w:bCs/>
          <w:color w:val="auto"/>
          <w:sz w:val="24"/>
          <w:szCs w:val="24"/>
          <w:highlight w:val="none"/>
        </w:rPr>
      </w:pPr>
      <w:bookmarkStart w:id="64" w:name="_Toc9674"/>
      <w:bookmarkStart w:id="65" w:name="_Toc12827"/>
      <w:r>
        <w:rPr>
          <w:rFonts w:ascii="宋体" w:hAnsi="宋体"/>
          <w:b/>
          <w:bCs/>
          <w:color w:val="auto"/>
          <w:sz w:val="24"/>
          <w:szCs w:val="24"/>
          <w:highlight w:val="none"/>
        </w:rPr>
        <w:t>授权代理人</w:t>
      </w:r>
      <w:r>
        <w:rPr>
          <w:rFonts w:hint="eastAsia" w:ascii="宋体" w:hAnsi="宋体"/>
          <w:b/>
          <w:bCs/>
          <w:color w:val="auto"/>
          <w:sz w:val="24"/>
          <w:szCs w:val="24"/>
          <w:highlight w:val="none"/>
        </w:rPr>
        <w:t>（签字）：</w:t>
      </w:r>
      <w:bookmarkEnd w:id="64"/>
      <w:bookmarkEnd w:id="65"/>
    </w:p>
    <w:p>
      <w:pPr>
        <w:snapToGrid w:val="0"/>
        <w:spacing w:line="440" w:lineRule="exact"/>
        <w:ind w:firstLine="482" w:firstLineChars="200"/>
        <w:outlineLvl w:val="0"/>
        <w:rPr>
          <w:rFonts w:hint="eastAsia" w:ascii="宋体" w:hAnsi="宋体"/>
          <w:b/>
          <w:bCs/>
          <w:color w:val="auto"/>
          <w:sz w:val="24"/>
          <w:szCs w:val="24"/>
          <w:highlight w:val="none"/>
        </w:rPr>
      </w:pPr>
      <w:bookmarkStart w:id="66" w:name="_Toc10390"/>
      <w:bookmarkStart w:id="67" w:name="_Toc21978"/>
      <w:r>
        <w:rPr>
          <w:rFonts w:ascii="宋体" w:hAnsi="宋体"/>
          <w:b/>
          <w:bCs/>
          <w:color w:val="auto"/>
          <w:sz w:val="24"/>
          <w:szCs w:val="24"/>
          <w:highlight w:val="none"/>
        </w:rPr>
        <w:t>日期</w:t>
      </w:r>
      <w:r>
        <w:rPr>
          <w:rFonts w:hint="eastAsia" w:ascii="宋体" w:hAnsi="宋体"/>
          <w:b/>
          <w:bCs/>
          <w:color w:val="auto"/>
          <w:sz w:val="24"/>
          <w:szCs w:val="24"/>
          <w:highlight w:val="none"/>
        </w:rPr>
        <w:t>：</w:t>
      </w:r>
      <w:r>
        <w:rPr>
          <w:rFonts w:ascii="宋体" w:hAnsi="宋体"/>
          <w:b/>
          <w:bCs/>
          <w:color w:val="auto"/>
          <w:sz w:val="24"/>
          <w:szCs w:val="24"/>
          <w:highlight w:val="none"/>
        </w:rPr>
        <w:t>年</w:t>
      </w:r>
      <w:r>
        <w:rPr>
          <w:rFonts w:hint="eastAsia" w:ascii="宋体" w:hAnsi="宋体"/>
          <w:b/>
          <w:bCs/>
          <w:color w:val="auto"/>
          <w:sz w:val="24"/>
          <w:szCs w:val="24"/>
          <w:highlight w:val="none"/>
        </w:rPr>
        <w:t xml:space="preserve">  月 日</w:t>
      </w:r>
      <w:bookmarkEnd w:id="66"/>
      <w:bookmarkEnd w:id="67"/>
    </w:p>
    <w:p>
      <w:pPr>
        <w:snapToGrid w:val="0"/>
        <w:spacing w:line="440" w:lineRule="exact"/>
        <w:ind w:firstLine="482" w:firstLineChars="200"/>
        <w:outlineLvl w:val="0"/>
        <w:rPr>
          <w:rFonts w:ascii="宋体" w:hAnsi="宋体"/>
          <w:color w:val="auto"/>
          <w:sz w:val="24"/>
          <w:szCs w:val="24"/>
          <w:highlight w:val="none"/>
        </w:rPr>
      </w:pPr>
      <w:bookmarkStart w:id="68" w:name="_Toc3990"/>
      <w:bookmarkStart w:id="69" w:name="_Toc10187"/>
      <w:r>
        <w:rPr>
          <w:rFonts w:hint="eastAsia" w:ascii="宋体" w:hAnsi="宋体"/>
          <w:b/>
          <w:bCs/>
          <w:color w:val="auto"/>
          <w:sz w:val="24"/>
          <w:szCs w:val="24"/>
          <w:highlight w:val="none"/>
        </w:rPr>
        <w:t>备注：</w:t>
      </w:r>
      <w:bookmarkEnd w:id="68"/>
      <w:bookmarkEnd w:id="69"/>
    </w:p>
    <w:p>
      <w:pPr>
        <w:snapToGrid w:val="0"/>
        <w:spacing w:line="440" w:lineRule="exact"/>
        <w:ind w:firstLine="480" w:firstLineChars="200"/>
        <w:outlineLvl w:val="0"/>
        <w:rPr>
          <w:rFonts w:ascii="宋体" w:hAnsi="宋体"/>
          <w:color w:val="auto"/>
          <w:sz w:val="24"/>
          <w:szCs w:val="24"/>
          <w:highlight w:val="none"/>
        </w:rPr>
      </w:pPr>
      <w:bookmarkStart w:id="70" w:name="_Toc21980"/>
      <w:bookmarkStart w:id="71" w:name="_Toc26970"/>
      <w:r>
        <w:rPr>
          <w:rFonts w:hint="eastAsia" w:ascii="宋体" w:hAnsi="宋体"/>
          <w:color w:val="auto"/>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pPr>
        <w:snapToGrid w:val="0"/>
        <w:spacing w:line="440" w:lineRule="exact"/>
        <w:ind w:firstLine="480" w:firstLineChars="200"/>
        <w:outlineLvl w:val="0"/>
        <w:rPr>
          <w:rFonts w:ascii="宋体" w:hAnsi="宋体"/>
          <w:color w:val="auto"/>
          <w:sz w:val="24"/>
          <w:szCs w:val="24"/>
          <w:highlight w:val="none"/>
        </w:rPr>
      </w:pPr>
      <w:bookmarkStart w:id="72" w:name="_Toc29109"/>
      <w:bookmarkStart w:id="73" w:name="_Toc29931"/>
      <w:r>
        <w:rPr>
          <w:rFonts w:hint="eastAsia" w:ascii="宋体" w:hAnsi="宋体"/>
          <w:color w:val="auto"/>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pPr>
        <w:snapToGrid w:val="0"/>
        <w:spacing w:line="440" w:lineRule="exact"/>
        <w:ind w:firstLine="480" w:firstLineChars="200"/>
        <w:outlineLvl w:val="0"/>
        <w:rPr>
          <w:rFonts w:ascii="宋体" w:hAnsi="宋体"/>
          <w:color w:val="auto"/>
          <w:sz w:val="24"/>
          <w:szCs w:val="24"/>
          <w:highlight w:val="none"/>
        </w:rPr>
      </w:pPr>
      <w:bookmarkStart w:id="74" w:name="_Toc22283"/>
      <w:bookmarkStart w:id="75" w:name="_Toc22526"/>
      <w:r>
        <w:rPr>
          <w:rFonts w:hint="eastAsia" w:ascii="宋体" w:hAnsi="宋体"/>
          <w:color w:val="auto"/>
          <w:sz w:val="24"/>
          <w:szCs w:val="24"/>
          <w:highlight w:val="none"/>
        </w:rPr>
        <w:t>3、“具体的质疑事项及事实依据”一栏填写不下时，质疑人可另附页（A4），但附纸要求加盖质疑人公章。</w:t>
      </w:r>
      <w:bookmarkEnd w:id="74"/>
      <w:bookmarkEnd w:id="75"/>
    </w:p>
    <w:p>
      <w:pPr>
        <w:snapToGrid w:val="0"/>
        <w:spacing w:line="440" w:lineRule="exact"/>
        <w:ind w:firstLine="480" w:firstLineChars="200"/>
        <w:outlineLvl w:val="0"/>
        <w:rPr>
          <w:rFonts w:ascii="宋体" w:hAnsi="宋体"/>
          <w:color w:val="auto"/>
          <w:sz w:val="24"/>
          <w:szCs w:val="24"/>
          <w:highlight w:val="none"/>
        </w:rPr>
      </w:pPr>
      <w:bookmarkStart w:id="76" w:name="_Toc13249"/>
      <w:bookmarkStart w:id="77" w:name="_Toc29680"/>
      <w:r>
        <w:rPr>
          <w:rFonts w:hint="eastAsia" w:ascii="宋体" w:hAnsi="宋体"/>
          <w:color w:val="auto"/>
          <w:sz w:val="24"/>
          <w:szCs w:val="24"/>
          <w:highlight w:val="none"/>
        </w:rPr>
        <w:t>4、与质疑事项有关的材料应与质疑函合并装订。</w:t>
      </w:r>
      <w:bookmarkEnd w:id="76"/>
      <w:bookmarkEnd w:id="77"/>
    </w:p>
    <w:p>
      <w:pPr>
        <w:snapToGrid w:val="0"/>
        <w:spacing w:line="440" w:lineRule="exact"/>
        <w:ind w:firstLine="480" w:firstLineChars="200"/>
        <w:jc w:val="left"/>
        <w:rPr>
          <w:rFonts w:hint="eastAsia" w:ascii="宋体" w:hAnsi="宋体"/>
          <w:b/>
          <w:bCs/>
          <w:color w:val="auto"/>
          <w:sz w:val="24"/>
          <w:szCs w:val="24"/>
          <w:highlight w:val="none"/>
        </w:rPr>
      </w:pPr>
      <w:r>
        <w:rPr>
          <w:rFonts w:hint="eastAsia" w:ascii="宋体" w:hAnsi="宋体"/>
          <w:color w:val="auto"/>
          <w:sz w:val="24"/>
          <w:szCs w:val="24"/>
          <w:highlight w:val="none"/>
        </w:rPr>
        <w:t>5、</w:t>
      </w:r>
      <w:r>
        <w:rPr>
          <w:rFonts w:hint="eastAsia" w:ascii="宋体" w:hAnsi="宋体"/>
          <w:b/>
          <w:bCs/>
          <w:color w:val="auto"/>
          <w:sz w:val="24"/>
          <w:szCs w:val="24"/>
          <w:highlight w:val="none"/>
        </w:rPr>
        <w:t>质疑函一式三份。</w:t>
      </w:r>
    </w:p>
    <w:p>
      <w:pPr>
        <w:pStyle w:val="6"/>
        <w:jc w:val="center"/>
        <w:rPr>
          <w:rFonts w:hint="eastAsia" w:ascii="宋体" w:hAnsi="宋体" w:cs="宋体"/>
          <w:color w:val="auto"/>
          <w:sz w:val="28"/>
          <w:szCs w:val="28"/>
          <w:highlight w:val="none"/>
        </w:rPr>
      </w:pPr>
      <w:r>
        <w:rPr>
          <w:rFonts w:ascii="宋体" w:hAnsi="宋体"/>
          <w:b w:val="0"/>
          <w:bCs/>
          <w:color w:val="auto"/>
          <w:sz w:val="24"/>
          <w:szCs w:val="24"/>
          <w:highlight w:val="none"/>
        </w:rPr>
        <w:br w:type="page"/>
      </w:r>
      <w:bookmarkStart w:id="78" w:name="_Toc4069"/>
      <w:bookmarkStart w:id="79" w:name="_Toc3729"/>
      <w:r>
        <w:rPr>
          <w:rFonts w:hint="eastAsia" w:ascii="宋体" w:hAnsi="宋体" w:cs="宋体"/>
          <w:color w:val="auto"/>
          <w:sz w:val="28"/>
          <w:szCs w:val="28"/>
          <w:highlight w:val="none"/>
        </w:rPr>
        <w:t>第三部分</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服务合同</w:t>
      </w:r>
    </w:p>
    <w:p>
      <w:pPr>
        <w:pStyle w:val="6"/>
        <w:jc w:val="cente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w:t>
      </w:r>
      <w:r>
        <w:rPr>
          <w:rFonts w:hint="eastAsia" w:ascii="宋体" w:hAnsi="宋体" w:cs="宋体"/>
          <w:b w:val="0"/>
          <w:bCs/>
          <w:color w:val="auto"/>
          <w:sz w:val="28"/>
          <w:szCs w:val="28"/>
          <w:highlight w:val="none"/>
          <w:lang w:val="en-US" w:eastAsia="zh-CN"/>
        </w:rPr>
        <w:t>以甲乙双方实际签订为准</w:t>
      </w:r>
      <w:r>
        <w:rPr>
          <w:rFonts w:hint="eastAsia" w:ascii="宋体" w:hAnsi="宋体" w:cs="宋体"/>
          <w:b w:val="0"/>
          <w:bCs/>
          <w:color w:val="auto"/>
          <w:sz w:val="28"/>
          <w:szCs w:val="28"/>
          <w:highlight w:val="none"/>
        </w:rPr>
        <w:t>）</w:t>
      </w:r>
      <w:bookmarkEnd w:id="78"/>
      <w:bookmarkEnd w:id="79"/>
    </w:p>
    <w:p>
      <w:pPr>
        <w:tabs>
          <w:tab w:val="left" w:pos="5551"/>
        </w:tabs>
        <w:autoSpaceDE w:val="0"/>
        <w:autoSpaceDN w:val="0"/>
        <w:spacing w:line="436" w:lineRule="auto"/>
        <w:ind w:left="631" w:right="748" w:firstLine="480"/>
        <w:jc w:val="left"/>
        <w:rPr>
          <w:rFonts w:hint="eastAsia" w:ascii="宋体" w:hAnsi="宋体" w:cs="宋体"/>
          <w:color w:val="auto"/>
          <w:sz w:val="24"/>
          <w:szCs w:val="24"/>
          <w:highlight w:val="none"/>
          <w:lang w:val="zh-CN" w:bidi="zh-CN"/>
        </w:rPr>
      </w:pPr>
    </w:p>
    <w:p>
      <w:pPr>
        <w:pStyle w:val="10"/>
        <w:rPr>
          <w:rFonts w:hint="eastAsia" w:ascii="宋体" w:hAnsi="宋体" w:cs="宋体"/>
          <w:color w:val="auto"/>
          <w:kern w:val="0"/>
          <w:sz w:val="24"/>
          <w:highlight w:val="none"/>
          <w:lang w:val="zh-CN"/>
        </w:rPr>
      </w:pPr>
    </w:p>
    <w:p>
      <w:pPr>
        <w:snapToGrid w:val="0"/>
        <w:spacing w:line="360" w:lineRule="auto"/>
        <w:jc w:val="center"/>
        <w:outlineLvl w:val="0"/>
        <w:rPr>
          <w:rFonts w:hint="eastAsia" w:ascii="宋体" w:hAnsi="宋体"/>
          <w:b/>
          <w:color w:val="auto"/>
          <w:sz w:val="32"/>
          <w:szCs w:val="32"/>
          <w:highlight w:val="none"/>
        </w:rPr>
      </w:pPr>
      <w:r>
        <w:rPr>
          <w:rFonts w:hint="eastAsia" w:ascii="宋体" w:hAnsi="宋体" w:cs="宋体"/>
          <w:color w:val="auto"/>
          <w:kern w:val="0"/>
          <w:sz w:val="24"/>
          <w:highlight w:val="none"/>
          <w:lang w:val="zh-CN"/>
        </w:rPr>
        <w:br w:type="page"/>
      </w:r>
      <w:bookmarkStart w:id="80" w:name="_Toc28365"/>
      <w:bookmarkStart w:id="81" w:name="_Toc9739"/>
      <w:r>
        <w:rPr>
          <w:rFonts w:hint="eastAsia" w:ascii="宋体" w:hAnsi="宋体"/>
          <w:b/>
          <w:color w:val="auto"/>
          <w:sz w:val="32"/>
          <w:szCs w:val="32"/>
          <w:highlight w:val="none"/>
        </w:rPr>
        <w:t>第四部分 采购需求</w:t>
      </w:r>
      <w:bookmarkEnd w:id="80"/>
      <w:bookmarkEnd w:id="81"/>
    </w:p>
    <w:p>
      <w:pPr>
        <w:pStyle w:val="16"/>
        <w:numPr>
          <w:ilvl w:val="0"/>
          <w:numId w:val="0"/>
        </w:numPr>
        <w:jc w:val="both"/>
        <w:rPr>
          <w:rFonts w:hint="eastAsia"/>
          <w:b/>
          <w:sz w:val="32"/>
          <w:szCs w:val="32"/>
        </w:rPr>
      </w:pP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419"/>
        <w:gridCol w:w="241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457" w:type="pct"/>
            <w:vMerge w:val="restart"/>
            <w:noWrap w:val="0"/>
            <w:vAlign w:val="center"/>
          </w:tcPr>
          <w:p>
            <w:pPr>
              <w:pStyle w:val="87"/>
              <w:ind w:leftChars="-79" w:hanging="167" w:hangingChars="79"/>
              <w:jc w:val="center"/>
              <w:rPr>
                <w:rFonts w:hint="eastAsia" w:ascii="宋体" w:hAnsi="宋体" w:eastAsia="宋体" w:cs="宋体"/>
                <w:b/>
                <w:bCs/>
                <w:sz w:val="21"/>
                <w:szCs w:val="21"/>
              </w:rPr>
            </w:pPr>
            <w:r>
              <w:rPr>
                <w:rFonts w:hint="eastAsia" w:ascii="宋体" w:hAnsi="宋体" w:eastAsia="宋体" w:cs="宋体"/>
                <w:b/>
                <w:bCs/>
                <w:sz w:val="21"/>
                <w:szCs w:val="21"/>
              </w:rPr>
              <w:t>序</w:t>
            </w:r>
          </w:p>
          <w:p>
            <w:pPr>
              <w:pStyle w:val="87"/>
              <w:ind w:leftChars="-79" w:hanging="167" w:hangingChars="79"/>
              <w:jc w:val="center"/>
              <w:rPr>
                <w:rFonts w:hint="eastAsia" w:ascii="宋体" w:hAnsi="宋体" w:eastAsia="宋体" w:cs="宋体"/>
                <w:b/>
                <w:bCs/>
                <w:sz w:val="21"/>
                <w:szCs w:val="21"/>
              </w:rPr>
            </w:pPr>
            <w:r>
              <w:rPr>
                <w:rFonts w:hint="eastAsia" w:ascii="宋体" w:hAnsi="宋体" w:eastAsia="宋体" w:cs="宋体"/>
                <w:b/>
                <w:bCs/>
                <w:sz w:val="21"/>
                <w:szCs w:val="21"/>
              </w:rPr>
              <w:t>号</w:t>
            </w:r>
          </w:p>
        </w:tc>
        <w:tc>
          <w:tcPr>
            <w:tcW w:w="2494" w:type="pct"/>
            <w:vMerge w:val="restart"/>
            <w:noWrap w:val="0"/>
            <w:vAlign w:val="center"/>
          </w:tcPr>
          <w:p>
            <w:pPr>
              <w:pStyle w:val="87"/>
              <w:jc w:val="center"/>
              <w:rPr>
                <w:rFonts w:hint="eastAsia" w:ascii="宋体" w:hAnsi="宋体" w:eastAsia="宋体" w:cs="宋体"/>
                <w:b/>
                <w:bCs/>
                <w:sz w:val="21"/>
                <w:szCs w:val="21"/>
              </w:rPr>
            </w:pPr>
            <w:r>
              <w:rPr>
                <w:rFonts w:hint="eastAsia" w:ascii="宋体" w:hAnsi="宋体" w:eastAsia="宋体" w:cs="宋体"/>
                <w:b/>
                <w:bCs/>
                <w:sz w:val="21"/>
                <w:szCs w:val="21"/>
              </w:rPr>
              <w:t>名 称</w:t>
            </w:r>
          </w:p>
        </w:tc>
        <w:tc>
          <w:tcPr>
            <w:tcW w:w="1363" w:type="pct"/>
            <w:vMerge w:val="restart"/>
            <w:noWrap w:val="0"/>
            <w:vAlign w:val="center"/>
          </w:tcPr>
          <w:p>
            <w:pPr>
              <w:pStyle w:val="87"/>
              <w:jc w:val="center"/>
              <w:rPr>
                <w:rFonts w:hint="eastAsia" w:ascii="宋体" w:hAnsi="宋体" w:eastAsia="宋体" w:cs="宋体"/>
                <w:b/>
                <w:bCs/>
                <w:sz w:val="21"/>
                <w:szCs w:val="21"/>
              </w:rPr>
            </w:pPr>
            <w:r>
              <w:rPr>
                <w:rFonts w:hint="eastAsia" w:ascii="宋体" w:hAnsi="宋体" w:eastAsia="宋体" w:cs="宋体"/>
                <w:b/>
                <w:bCs/>
                <w:sz w:val="21"/>
                <w:szCs w:val="21"/>
              </w:rPr>
              <w:t>规格及参数</w:t>
            </w:r>
          </w:p>
        </w:tc>
        <w:tc>
          <w:tcPr>
            <w:tcW w:w="684" w:type="pct"/>
            <w:vMerge w:val="restart"/>
            <w:noWrap w:val="0"/>
            <w:vAlign w:val="center"/>
          </w:tcPr>
          <w:p>
            <w:pPr>
              <w:pStyle w:val="87"/>
              <w:jc w:val="center"/>
              <w:rPr>
                <w:rFonts w:hint="eastAsia"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457" w:type="pct"/>
            <w:vMerge w:val="continue"/>
            <w:noWrap w:val="0"/>
            <w:vAlign w:val="center"/>
          </w:tcPr>
          <w:p>
            <w:pPr>
              <w:pStyle w:val="87"/>
              <w:jc w:val="center"/>
              <w:rPr>
                <w:rFonts w:hint="eastAsia" w:ascii="宋体" w:hAnsi="宋体" w:eastAsia="宋体" w:cs="宋体"/>
                <w:sz w:val="21"/>
                <w:szCs w:val="21"/>
              </w:rPr>
            </w:pPr>
          </w:p>
        </w:tc>
        <w:tc>
          <w:tcPr>
            <w:tcW w:w="2494" w:type="pct"/>
            <w:vMerge w:val="continue"/>
            <w:noWrap w:val="0"/>
            <w:vAlign w:val="center"/>
          </w:tcPr>
          <w:p>
            <w:pPr>
              <w:pStyle w:val="87"/>
              <w:jc w:val="center"/>
              <w:rPr>
                <w:rFonts w:hint="eastAsia" w:ascii="宋体" w:hAnsi="宋体" w:eastAsia="宋体" w:cs="宋体"/>
                <w:sz w:val="21"/>
                <w:szCs w:val="21"/>
              </w:rPr>
            </w:pPr>
          </w:p>
        </w:tc>
        <w:tc>
          <w:tcPr>
            <w:tcW w:w="1363" w:type="pct"/>
            <w:vMerge w:val="continue"/>
            <w:noWrap w:val="0"/>
            <w:vAlign w:val="center"/>
          </w:tcPr>
          <w:p>
            <w:pPr>
              <w:pStyle w:val="87"/>
              <w:jc w:val="center"/>
              <w:rPr>
                <w:rFonts w:hint="eastAsia" w:ascii="宋体" w:hAnsi="宋体" w:eastAsia="宋体" w:cs="宋体"/>
                <w:sz w:val="21"/>
                <w:szCs w:val="21"/>
              </w:rPr>
            </w:pPr>
          </w:p>
        </w:tc>
        <w:tc>
          <w:tcPr>
            <w:tcW w:w="684" w:type="pct"/>
            <w:vMerge w:val="continue"/>
            <w:noWrap w:val="0"/>
            <w:vAlign w:val="center"/>
          </w:tcPr>
          <w:p>
            <w:pPr>
              <w:pStyle w:val="87"/>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rPr>
            </w:pPr>
            <w:r>
              <w:rPr>
                <w:rFonts w:hint="eastAsia" w:ascii="宋体" w:hAnsi="宋体" w:eastAsia="宋体" w:cs="Times New Roman"/>
                <w:sz w:val="21"/>
                <w:lang w:val="en-US" w:eastAsia="zh-CN"/>
              </w:rPr>
              <w:t>齿轮跳动检查仪</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M0.3-2</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rPr>
            </w:pPr>
            <w:r>
              <w:rPr>
                <w:rFonts w:hint="eastAsia" w:ascii="宋体" w:hAnsi="宋体" w:eastAsia="宋体" w:cs="Times New Roman"/>
                <w:sz w:val="21"/>
                <w:lang w:val="en-US" w:eastAsia="zh-CN"/>
              </w:rPr>
              <w:t>粗糙度比样块</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rPr>
            </w:pPr>
            <w:r>
              <w:rPr>
                <w:rFonts w:hint="eastAsia" w:ascii="宋体" w:hAnsi="宋体" w:eastAsia="宋体" w:cs="Times New Roman"/>
                <w:sz w:val="21"/>
                <w:lang w:val="en-US" w:eastAsia="zh-CN"/>
              </w:rPr>
              <w:t>偏摆检查仪</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3025</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Times New Roman"/>
                <w:sz w:val="21"/>
                <w:lang w:val="en-US" w:eastAsia="zh-CN"/>
              </w:rPr>
              <w:t>气动量仪</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LFK-5X-2</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Times New Roman"/>
                <w:sz w:val="21"/>
                <w:lang w:val="en-US" w:eastAsia="zh-CN"/>
              </w:rPr>
              <w:t>正置式金相显微镜</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MJ22</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Times New Roman"/>
                <w:sz w:val="21"/>
                <w:lang w:val="en-US" w:eastAsia="zh-CN"/>
              </w:rPr>
              <w:t>金相数显试样磨抛机</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MP-1S</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Times New Roman"/>
                <w:sz w:val="21"/>
                <w:lang w:val="en-US" w:eastAsia="zh-CN"/>
              </w:rPr>
              <w:t>机构运动简图测绘模型</w:t>
            </w:r>
          </w:p>
        </w:tc>
        <w:tc>
          <w:tcPr>
            <w:tcW w:w="1363"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highlight w:val="none"/>
              </w:rPr>
            </w:pPr>
            <w:r>
              <w:rPr>
                <w:rFonts w:hint="eastAsia" w:ascii="宋体" w:hAnsi="宋体" w:eastAsia="宋体" w:cs="Times New Roman"/>
                <w:sz w:val="21"/>
                <w:lang w:val="en-US" w:eastAsia="zh-CN"/>
              </w:rPr>
              <w:t>JXJ-A、B</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Times New Roman"/>
                <w:sz w:val="21"/>
                <w:lang w:val="en-US" w:eastAsia="zh-CN"/>
              </w:rPr>
              <w:t>三维扫描仪</w:t>
            </w:r>
          </w:p>
        </w:tc>
        <w:tc>
          <w:tcPr>
            <w:tcW w:w="1363"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color w:val="000000"/>
                <w:sz w:val="22"/>
                <w:szCs w:val="22"/>
                <w:lang w:val="en-US" w:eastAsia="zh-CN"/>
              </w:rPr>
              <w:t>pop2</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 w:type="pct"/>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494" w:type="pct"/>
            <w:tcBorders>
              <w:top w:val="single" w:color="auto" w:sz="4" w:space="0"/>
            </w:tcBorders>
            <w:noWrap w:val="0"/>
            <w:vAlign w:val="center"/>
          </w:tcPr>
          <w:p>
            <w:pPr>
              <w:pStyle w:val="87"/>
              <w:keepNext w:val="0"/>
              <w:keepLines w:val="0"/>
              <w:pageBreakBefore w:val="0"/>
              <w:widowControl w:val="0"/>
              <w:kinsoku/>
              <w:wordWrap/>
              <w:overflowPunct/>
              <w:topLinePunct w:val="0"/>
              <w:autoSpaceDE w:val="0"/>
              <w:autoSpaceDN w:val="0"/>
              <w:bidi w:val="0"/>
              <w:adjustRightInd w:val="0"/>
              <w:snapToGrid w:val="0"/>
              <w:spacing w:before="79" w:beforeLines="25" w:after="79" w:afterLines="25"/>
              <w:jc w:val="center"/>
              <w:textAlignment w:val="auto"/>
              <w:rPr>
                <w:rFonts w:hint="eastAsia" w:ascii="宋体" w:hAnsi="宋体" w:eastAsia="宋体" w:cs="宋体"/>
                <w:sz w:val="21"/>
                <w:szCs w:val="21"/>
                <w:lang w:val="en-US" w:eastAsia="zh-CN"/>
              </w:rPr>
            </w:pPr>
            <w:r>
              <w:rPr>
                <w:rFonts w:hint="eastAsia" w:ascii="宋体" w:hAnsi="宋体" w:eastAsia="宋体" w:cs="Times New Roman"/>
                <w:sz w:val="21"/>
                <w:lang w:val="en-US" w:eastAsia="zh-CN"/>
              </w:rPr>
              <w:t>手持式全彩3d扫描仪</w:t>
            </w:r>
          </w:p>
        </w:tc>
        <w:tc>
          <w:tcPr>
            <w:tcW w:w="1363" w:type="pc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2"/>
                <w:szCs w:val="22"/>
                <w:lang w:val="en-US" w:eastAsia="zh-CN"/>
              </w:rPr>
              <w:t>Sensepro</w:t>
            </w:r>
          </w:p>
        </w:tc>
        <w:tc>
          <w:tcPr>
            <w:tcW w:w="684"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2"/>
                <w:szCs w:val="22"/>
                <w:lang w:val="en-US" w:eastAsia="zh-CN"/>
              </w:rPr>
              <w:t>1</w:t>
            </w:r>
          </w:p>
        </w:tc>
      </w:tr>
    </w:tbl>
    <w:p>
      <w:pPr>
        <w:spacing w:line="360" w:lineRule="auto"/>
        <w:ind w:left="570"/>
        <w:rPr>
          <w:rFonts w:hint="eastAsia" w:ascii="宋体" w:hAnsi="宋体" w:eastAsia="宋体" w:cs="宋体"/>
          <w:b/>
          <w:sz w:val="21"/>
          <w:szCs w:val="21"/>
        </w:rPr>
      </w:pPr>
    </w:p>
    <w:p>
      <w:pPr>
        <w:numPr>
          <w:ilvl w:val="0"/>
          <w:numId w:val="0"/>
        </w:num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技术要求及规格参数</w:t>
      </w:r>
    </w:p>
    <w:p>
      <w:pPr>
        <w:autoSpaceDE w:val="0"/>
        <w:autoSpaceDN w:val="0"/>
        <w:adjustRightInd w:val="0"/>
        <w:rPr>
          <w:rFonts w:hint="eastAsia" w:ascii="宋体" w:hAnsi="宋体"/>
          <w:b/>
        </w:rPr>
      </w:pPr>
      <w:r>
        <w:rPr>
          <w:rFonts w:hint="eastAsia" w:ascii="宋体" w:hAnsi="宋体"/>
          <w:b/>
        </w:rPr>
        <w:t>技术规格及性能指标：</w:t>
      </w:r>
    </w:p>
    <w:p>
      <w:pPr>
        <w:rPr>
          <w:rFonts w:hint="eastAsia"/>
          <w:b/>
        </w:rPr>
      </w:pPr>
      <w:r>
        <w:rPr>
          <w:rFonts w:hint="eastAsia"/>
          <w:b/>
        </w:rPr>
        <w:t>1   工作条件</w:t>
      </w:r>
    </w:p>
    <w:p>
      <w:pPr>
        <w:rPr>
          <w:rFonts w:hint="eastAsia"/>
        </w:rPr>
      </w:pPr>
      <w:r>
        <w:rPr>
          <w:rFonts w:hint="eastAsia"/>
        </w:rPr>
        <w:t>1.1  环境温度：</w:t>
      </w:r>
      <w:r>
        <w:t>-10</w:t>
      </w:r>
      <w:r>
        <w:rPr>
          <w:rFonts w:hint="eastAsia"/>
        </w:rPr>
        <w:t>℃～</w:t>
      </w:r>
      <w:r>
        <w:t>+40</w:t>
      </w:r>
      <w:r>
        <w:rPr>
          <w:rFonts w:hint="eastAsia"/>
        </w:rPr>
        <w:t>℃</w:t>
      </w:r>
    </w:p>
    <w:p>
      <w:pPr>
        <w:rPr>
          <w:rFonts w:hint="eastAsia"/>
        </w:rPr>
      </w:pPr>
      <w:r>
        <w:rPr>
          <w:rFonts w:hint="eastAsia"/>
        </w:rPr>
        <w:t>1.2  相对湿度：＜8</w:t>
      </w:r>
      <w:r>
        <w:t>5%(25</w:t>
      </w:r>
      <w:r>
        <w:rPr>
          <w:rFonts w:hint="eastAsia"/>
        </w:rPr>
        <w:t>℃</w:t>
      </w:r>
      <w:r>
        <w:t>)</w:t>
      </w:r>
    </w:p>
    <w:p>
      <w:pPr>
        <w:rPr>
          <w:rFonts w:hint="eastAsia"/>
        </w:rPr>
      </w:pPr>
      <w:r>
        <w:rPr>
          <w:rFonts w:hint="eastAsia"/>
        </w:rPr>
        <w:t>1.3  海拔＜40</w:t>
      </w:r>
      <w:r>
        <w:t>00m</w:t>
      </w:r>
    </w:p>
    <w:p>
      <w:pPr>
        <w:rPr>
          <w:rFonts w:hint="eastAsia"/>
          <w:b/>
        </w:rPr>
      </w:pPr>
      <w:r>
        <w:rPr>
          <w:rFonts w:hint="eastAsia"/>
          <w:b/>
        </w:rPr>
        <w:t>2   技术性能指标</w:t>
      </w:r>
    </w:p>
    <w:p>
      <w:pPr>
        <w:autoSpaceDE w:val="0"/>
        <w:autoSpaceDN w:val="0"/>
        <w:adjustRightInd w:val="0"/>
        <w:rPr>
          <w:rFonts w:hint="eastAsia"/>
          <w:color w:val="000000"/>
          <w:sz w:val="22"/>
          <w:szCs w:val="22"/>
        </w:rPr>
      </w:pPr>
      <w:r>
        <w:rPr>
          <w:b/>
          <w:szCs w:val="21"/>
        </w:rPr>
        <w:t>2.</w:t>
      </w:r>
      <w:r>
        <w:rPr>
          <w:rFonts w:hint="eastAsia"/>
          <w:b/>
          <w:szCs w:val="21"/>
          <w:lang w:val="en-US" w:eastAsia="zh-CN"/>
        </w:rPr>
        <w:t>1</w:t>
      </w:r>
      <w:r>
        <w:rPr>
          <w:rFonts w:hint="eastAsia"/>
          <w:b/>
          <w:szCs w:val="21"/>
        </w:rPr>
        <w:t xml:space="preserve"> </w:t>
      </w:r>
      <w:r>
        <w:rPr>
          <w:rFonts w:hint="eastAsia" w:ascii="宋体" w:hAnsi="宋体" w:eastAsia="宋体" w:cs="Times New Roman"/>
          <w:sz w:val="21"/>
          <w:lang w:val="en-US" w:eastAsia="zh-CN"/>
        </w:rPr>
        <w:t>齿轮跳动检查仪</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lang w:val="en-US" w:eastAsia="zh-CN"/>
        </w:rPr>
        <w:t>仪器用于齿轮跳动误差测量</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6"/>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被测齿轮模数</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1-6mm</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被测工件直径≤300m</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两顶针间距离≤418mm</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测量支架转动范围：±0°</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指示表分度值：0.001mm</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不得有影响使用性能的外部缺陷</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紧固件应紧固可靠不能有松动现</w:t>
      </w:r>
      <w:r>
        <w:rPr>
          <w:rFonts w:hint="eastAsia" w:ascii="宋体" w:hAnsi="宋体" w:eastAsia="宋体" w:cs="Times New Roman"/>
          <w:color w:val="000000"/>
          <w:szCs w:val="21"/>
          <w:lang w:val="en-US" w:eastAsia="zh-CN"/>
        </w:rPr>
        <w:t>；</w:t>
      </w:r>
    </w:p>
    <w:p>
      <w:pPr>
        <w:widowControl/>
        <w:numPr>
          <w:ilvl w:val="0"/>
          <w:numId w:val="6"/>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活动部分工作时应灵活、平稳、没有卡滞现象。</w:t>
      </w:r>
    </w:p>
    <w:p>
      <w:pPr>
        <w:autoSpaceDE w:val="0"/>
        <w:autoSpaceDN w:val="0"/>
        <w:adjustRightInd w:val="0"/>
        <w:rPr>
          <w:b/>
          <w:szCs w:val="21"/>
        </w:rPr>
      </w:pPr>
    </w:p>
    <w:p>
      <w:pPr>
        <w:autoSpaceDE w:val="0"/>
        <w:autoSpaceDN w:val="0"/>
        <w:adjustRightInd w:val="0"/>
        <w:rPr>
          <w:rFonts w:hint="eastAsia"/>
          <w:color w:val="000000"/>
          <w:sz w:val="22"/>
          <w:szCs w:val="22"/>
        </w:rPr>
      </w:pPr>
      <w:r>
        <w:rPr>
          <w:b/>
          <w:szCs w:val="21"/>
        </w:rPr>
        <w:t>2.</w:t>
      </w:r>
      <w:r>
        <w:rPr>
          <w:rFonts w:hint="eastAsia"/>
          <w:b/>
          <w:szCs w:val="21"/>
          <w:lang w:val="en-US" w:eastAsia="zh-CN"/>
        </w:rPr>
        <w:t>2</w:t>
      </w:r>
      <w:r>
        <w:rPr>
          <w:rFonts w:hint="eastAsia"/>
          <w:b/>
          <w:szCs w:val="21"/>
        </w:rPr>
        <w:t xml:space="preserve"> </w:t>
      </w:r>
      <w:r>
        <w:rPr>
          <w:rFonts w:hint="eastAsia" w:ascii="宋体" w:hAnsi="宋体" w:eastAsia="宋体" w:cs="Times New Roman"/>
          <w:sz w:val="21"/>
          <w:lang w:val="en-US" w:eastAsia="zh-CN"/>
        </w:rPr>
        <w:t>粗糙度比样块</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lang w:val="en-US" w:eastAsia="zh-CN"/>
        </w:rPr>
        <w:t>仪器用于零件表面粗糙度测量</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7"/>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材质：优质碳素钢；</w:t>
      </w:r>
    </w:p>
    <w:p>
      <w:pPr>
        <w:widowControl/>
        <w:numPr>
          <w:ilvl w:val="0"/>
          <w:numId w:val="7"/>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磨平：4块粗糙度分别</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0.8、</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0.4、</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0.2、</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0.1；</w:t>
      </w:r>
    </w:p>
    <w:p>
      <w:pPr>
        <w:widowControl/>
        <w:numPr>
          <w:ilvl w:val="0"/>
          <w:numId w:val="7"/>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车外圆：4块粗糙度分别</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6.3、</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3.2、</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1.6、</w:t>
      </w:r>
      <w:r>
        <w:rPr>
          <w:rFonts w:hint="default" w:ascii="宋体" w:hAnsi="宋体" w:eastAsia="宋体" w:cs="Times New Roman"/>
          <w:color w:val="000000"/>
          <w:szCs w:val="21"/>
          <w:lang w:val="en-US" w:eastAsia="zh-CN"/>
        </w:rPr>
        <w:t>Ra</w:t>
      </w:r>
      <w:r>
        <w:rPr>
          <w:rFonts w:hint="eastAsia" w:ascii="宋体" w:hAnsi="宋体" w:eastAsia="宋体" w:cs="Times New Roman"/>
          <w:color w:val="000000"/>
          <w:szCs w:val="21"/>
          <w:lang w:val="en-US" w:eastAsia="zh-CN"/>
        </w:rPr>
        <w:t>0.8；</w:t>
      </w:r>
    </w:p>
    <w:p>
      <w:pPr>
        <w:widowControl/>
        <w:numPr>
          <w:ilvl w:val="0"/>
          <w:numId w:val="7"/>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不得有影响使用性能的外部缺陷。</w:t>
      </w:r>
    </w:p>
    <w:p>
      <w:pPr>
        <w:autoSpaceDE w:val="0"/>
        <w:autoSpaceDN w:val="0"/>
        <w:adjustRightInd w:val="0"/>
        <w:rPr>
          <w:b/>
          <w:szCs w:val="21"/>
        </w:rPr>
      </w:pPr>
    </w:p>
    <w:p>
      <w:pPr>
        <w:autoSpaceDE w:val="0"/>
        <w:autoSpaceDN w:val="0"/>
        <w:adjustRightInd w:val="0"/>
        <w:rPr>
          <w:rFonts w:hint="eastAsia"/>
          <w:color w:val="000000"/>
          <w:sz w:val="22"/>
          <w:szCs w:val="22"/>
        </w:rPr>
      </w:pPr>
      <w:r>
        <w:rPr>
          <w:b/>
          <w:szCs w:val="21"/>
        </w:rPr>
        <w:t>2.</w:t>
      </w:r>
      <w:r>
        <w:rPr>
          <w:rFonts w:hint="eastAsia"/>
          <w:b/>
          <w:szCs w:val="21"/>
          <w:lang w:val="en-US" w:eastAsia="zh-CN"/>
        </w:rPr>
        <w:t>3</w:t>
      </w:r>
      <w:r>
        <w:rPr>
          <w:rFonts w:hint="eastAsia"/>
          <w:b/>
          <w:szCs w:val="21"/>
        </w:rPr>
        <w:t xml:space="preserve"> </w:t>
      </w:r>
      <w:r>
        <w:rPr>
          <w:rFonts w:hint="eastAsia" w:ascii="宋体" w:hAnsi="宋体" w:eastAsia="宋体" w:cs="Times New Roman"/>
          <w:sz w:val="21"/>
          <w:lang w:val="en-US" w:eastAsia="zh-CN"/>
        </w:rPr>
        <w:t>偏摆检查仪</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lang w:val="en-US" w:eastAsia="zh-CN"/>
        </w:rPr>
        <w:t>仪器用</w:t>
      </w:r>
      <w:r>
        <w:rPr>
          <w:rFonts w:hint="eastAsia" w:ascii="宋体" w:hAnsi="宋体" w:eastAsia="宋体" w:cs="黑体"/>
          <w:color w:val="000000"/>
          <w:kern w:val="2"/>
          <w:sz w:val="21"/>
          <w:szCs w:val="21"/>
          <w:lang w:val="en-US" w:eastAsia="zh-CN" w:bidi="ar-SA"/>
        </w:rPr>
        <w:t>于</w:t>
      </w:r>
      <w:r>
        <w:rPr>
          <w:rFonts w:ascii="宋体" w:hAnsi="宋体" w:eastAsia="宋体" w:cs="黑体"/>
          <w:color w:val="000000"/>
          <w:kern w:val="2"/>
          <w:sz w:val="21"/>
          <w:szCs w:val="21"/>
          <w:lang w:val="en-US" w:eastAsia="zh-CN" w:bidi="ar-SA"/>
        </w:rPr>
        <w:t>直线度和平行度及垂直度集三线为一体的</w:t>
      </w:r>
      <w:r>
        <w:rPr>
          <w:rFonts w:hint="default" w:ascii="宋体" w:hAnsi="宋体" w:eastAsia="宋体" w:cs="黑体"/>
          <w:color w:val="000000"/>
          <w:kern w:val="2"/>
          <w:sz w:val="21"/>
          <w:szCs w:val="21"/>
          <w:lang w:val="en-US" w:eastAsia="zh-CN" w:bidi="ar-SA"/>
        </w:rPr>
        <w:t>检测</w:t>
      </w:r>
      <w:r>
        <w:rPr>
          <w:rFonts w:hint="eastAsia" w:ascii="宋体" w:hAnsi="宋体" w:eastAsia="宋体" w:cs="黑体"/>
          <w:color w:val="000000"/>
          <w:kern w:val="2"/>
          <w:sz w:val="21"/>
          <w:szCs w:val="21"/>
          <w:lang w:val="en-US" w:eastAsia="zh-CN" w:bidi="ar-SA"/>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8"/>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偏摆检查仪</w:t>
      </w:r>
      <w:r>
        <w:rPr>
          <w:rFonts w:hint="default" w:ascii="宋体" w:hAnsi="宋体" w:eastAsia="宋体" w:cs="Times New Roman"/>
          <w:color w:val="000000"/>
          <w:szCs w:val="21"/>
          <w:lang w:val="en-US" w:eastAsia="zh-CN"/>
        </w:rPr>
        <w:t>莫氏2号_60°锥面对莫氏锥的径向圆跳动≤</w:t>
      </w:r>
      <w:r>
        <w:rPr>
          <w:rFonts w:hint="eastAsia" w:ascii="宋体" w:hAnsi="宋体" w:eastAsia="宋体" w:cs="Times New Roman"/>
          <w:color w:val="000000"/>
          <w:szCs w:val="21"/>
          <w:lang w:val="en-US" w:eastAsia="zh-CN"/>
        </w:rPr>
        <w:t>0.005mm；</w:t>
      </w:r>
    </w:p>
    <w:p>
      <w:pPr>
        <w:widowControl/>
        <w:numPr>
          <w:ilvl w:val="0"/>
          <w:numId w:val="8"/>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偏摆检查仪_轴线在</w:t>
      </w:r>
      <w:r>
        <w:rPr>
          <w:rFonts w:hint="eastAsia" w:ascii="宋体" w:hAnsi="宋体" w:eastAsia="宋体" w:cs="Times New Roman"/>
          <w:color w:val="000000"/>
          <w:szCs w:val="21"/>
          <w:lang w:val="en-US" w:eastAsia="zh-CN"/>
        </w:rPr>
        <w:t>100mm</w:t>
      </w:r>
      <w:r>
        <w:rPr>
          <w:rFonts w:hint="default" w:ascii="宋体" w:hAnsi="宋体" w:eastAsia="宋体" w:cs="Times New Roman"/>
          <w:color w:val="000000"/>
          <w:szCs w:val="21"/>
          <w:lang w:val="en-US" w:eastAsia="zh-CN"/>
        </w:rPr>
        <w:t>范围内对导轨的平行度（水平垂直方向）≤</w:t>
      </w:r>
      <w:r>
        <w:rPr>
          <w:rFonts w:hint="eastAsia" w:ascii="宋体" w:hAnsi="宋体" w:eastAsia="宋体" w:cs="Times New Roman"/>
          <w:color w:val="000000"/>
          <w:szCs w:val="21"/>
          <w:lang w:val="en-US" w:eastAsia="zh-CN"/>
        </w:rPr>
        <w:t>0.006mm；</w:t>
      </w:r>
    </w:p>
    <w:p>
      <w:pPr>
        <w:widowControl/>
        <w:numPr>
          <w:ilvl w:val="0"/>
          <w:numId w:val="8"/>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偏摆检查仪被测零件</w:t>
      </w:r>
      <w:r>
        <w:rPr>
          <w:rFonts w:hint="eastAsia" w:ascii="宋体" w:hAnsi="宋体" w:eastAsia="宋体" w:cs="Times New Roman"/>
          <w:color w:val="000000"/>
          <w:szCs w:val="21"/>
          <w:lang w:val="en-US" w:eastAsia="zh-CN"/>
        </w:rPr>
        <w:t>最</w:t>
      </w:r>
      <w:r>
        <w:rPr>
          <w:rFonts w:hint="default" w:ascii="宋体" w:hAnsi="宋体" w:eastAsia="宋体" w:cs="Times New Roman"/>
          <w:color w:val="000000"/>
          <w:szCs w:val="21"/>
          <w:lang w:val="en-US" w:eastAsia="zh-CN"/>
        </w:rPr>
        <w:t>大直径</w:t>
      </w:r>
      <w:r>
        <w:rPr>
          <w:rFonts w:hint="eastAsia" w:ascii="宋体" w:hAnsi="宋体" w:eastAsia="宋体" w:cs="Times New Roman"/>
          <w:color w:val="000000"/>
          <w:szCs w:val="21"/>
          <w:lang w:val="en-US" w:eastAsia="zh-CN"/>
        </w:rPr>
        <w:t>500mm；</w:t>
      </w:r>
    </w:p>
    <w:p>
      <w:pPr>
        <w:widowControl/>
        <w:numPr>
          <w:ilvl w:val="0"/>
          <w:numId w:val="8"/>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偏摆检查仪测量</w:t>
      </w:r>
      <w:r>
        <w:rPr>
          <w:rFonts w:hint="eastAsia" w:ascii="宋体" w:hAnsi="宋体" w:eastAsia="宋体" w:cs="Times New Roman"/>
          <w:color w:val="000000"/>
          <w:szCs w:val="21"/>
          <w:lang w:val="en-US" w:eastAsia="zh-CN"/>
        </w:rPr>
        <w:t>最大</w:t>
      </w:r>
      <w:r>
        <w:rPr>
          <w:rFonts w:hint="default" w:ascii="宋体" w:hAnsi="宋体" w:eastAsia="宋体" w:cs="Times New Roman"/>
          <w:color w:val="000000"/>
          <w:szCs w:val="21"/>
          <w:lang w:val="en-US" w:eastAsia="zh-CN"/>
        </w:rPr>
        <w:t>长度</w:t>
      </w:r>
      <w:r>
        <w:rPr>
          <w:rFonts w:hint="eastAsia" w:ascii="宋体" w:hAnsi="宋体" w:eastAsia="宋体" w:cs="Times New Roman"/>
          <w:color w:val="000000"/>
          <w:szCs w:val="21"/>
          <w:lang w:val="en-US" w:eastAsia="zh-CN"/>
        </w:rPr>
        <w:t>1000mm；</w:t>
      </w:r>
    </w:p>
    <w:p>
      <w:pPr>
        <w:widowControl/>
        <w:numPr>
          <w:ilvl w:val="0"/>
          <w:numId w:val="8"/>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不得有影响使用性能的外部缺陷</w:t>
      </w:r>
      <w:r>
        <w:rPr>
          <w:rFonts w:hint="eastAsia" w:ascii="宋体" w:hAnsi="宋体" w:eastAsia="宋体" w:cs="Times New Roman"/>
          <w:color w:val="000000"/>
          <w:szCs w:val="21"/>
          <w:lang w:val="en-US" w:eastAsia="zh-CN"/>
        </w:rPr>
        <w:t>；</w:t>
      </w:r>
    </w:p>
    <w:p>
      <w:pPr>
        <w:widowControl/>
        <w:numPr>
          <w:ilvl w:val="0"/>
          <w:numId w:val="8"/>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紧固件应紧固可靠不能有松动现</w:t>
      </w:r>
      <w:r>
        <w:rPr>
          <w:rFonts w:hint="eastAsia" w:ascii="宋体" w:hAnsi="宋体" w:eastAsia="宋体" w:cs="Times New Roman"/>
          <w:color w:val="000000"/>
          <w:szCs w:val="21"/>
          <w:lang w:val="en-US" w:eastAsia="zh-CN"/>
        </w:rPr>
        <w:t>；</w:t>
      </w:r>
    </w:p>
    <w:p>
      <w:pPr>
        <w:widowControl/>
        <w:numPr>
          <w:ilvl w:val="0"/>
          <w:numId w:val="8"/>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活动部分工作时应灵活、平稳、没有卡滞现象。</w:t>
      </w:r>
    </w:p>
    <w:p>
      <w:pPr>
        <w:autoSpaceDE w:val="0"/>
        <w:autoSpaceDN w:val="0"/>
        <w:adjustRightInd w:val="0"/>
        <w:rPr>
          <w:b/>
          <w:szCs w:val="21"/>
        </w:rPr>
      </w:pPr>
    </w:p>
    <w:p>
      <w:pPr>
        <w:autoSpaceDE w:val="0"/>
        <w:autoSpaceDN w:val="0"/>
        <w:adjustRightInd w:val="0"/>
        <w:rPr>
          <w:rFonts w:hint="default"/>
          <w:color w:val="000000"/>
          <w:sz w:val="22"/>
          <w:szCs w:val="22"/>
          <w:lang w:val="en-US"/>
        </w:rPr>
      </w:pPr>
      <w:r>
        <w:rPr>
          <w:b/>
          <w:szCs w:val="21"/>
        </w:rPr>
        <w:t>2.</w:t>
      </w:r>
      <w:r>
        <w:rPr>
          <w:rFonts w:hint="eastAsia"/>
          <w:b/>
          <w:szCs w:val="21"/>
          <w:lang w:val="en-US" w:eastAsia="zh-CN"/>
        </w:rPr>
        <w:t>4</w:t>
      </w:r>
      <w:r>
        <w:rPr>
          <w:rFonts w:hint="eastAsia"/>
          <w:b/>
          <w:szCs w:val="21"/>
        </w:rPr>
        <w:t xml:space="preserve"> </w:t>
      </w:r>
      <w:r>
        <w:rPr>
          <w:rFonts w:hint="eastAsia" w:ascii="宋体" w:hAnsi="宋体" w:eastAsia="宋体" w:cs="Times New Roman"/>
          <w:sz w:val="21"/>
          <w:lang w:val="en-US" w:eastAsia="zh-CN"/>
        </w:rPr>
        <w:t>气动量仪</w:t>
      </w:r>
    </w:p>
    <w:p>
      <w:pPr>
        <w:widowControl/>
        <w:spacing w:line="360" w:lineRule="auto"/>
        <w:ind w:firstLine="420" w:firstLineChars="200"/>
        <w:jc w:val="left"/>
        <w:rPr>
          <w:rFonts w:ascii="宋体" w:hAnsi="宋体"/>
          <w:color w:val="000000"/>
          <w:szCs w:val="21"/>
        </w:rPr>
      </w:pPr>
      <w:r>
        <w:rPr>
          <w:rFonts w:hint="eastAsia" w:ascii="宋体" w:hAnsi="宋体" w:eastAsia="宋体" w:cs="Times New Roman"/>
          <w:color w:val="000000"/>
          <w:szCs w:val="21"/>
          <w:lang w:val="en-US" w:eastAsia="zh-CN"/>
        </w:rPr>
        <w:t>可实现测量：内径、外径、厚度、高度、深度、锥度、平面度、直线度、圆度、平行度、同轴度、槽宽、中心距、垂直度等</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9"/>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基本放大倍数(倍)</w:t>
      </w:r>
      <w:r>
        <w:rPr>
          <w:rFonts w:hint="eastAsia" w:ascii="宋体" w:hAnsi="宋体" w:eastAsia="宋体" w:cs="Times New Roman"/>
          <w:color w:val="000000"/>
          <w:szCs w:val="21"/>
          <w:lang w:val="en-US" w:eastAsia="zh-CN"/>
        </w:rPr>
        <w:t>：10000；</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示值范围(μm)</w:t>
      </w:r>
      <w:r>
        <w:rPr>
          <w:rFonts w:hint="eastAsia" w:ascii="宋体" w:hAnsi="宋体" w:eastAsia="宋体" w:cs="Times New Roman"/>
          <w:color w:val="000000"/>
          <w:szCs w:val="21"/>
          <w:lang w:val="en-US" w:eastAsia="zh-CN"/>
        </w:rPr>
        <w:t>：22；</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有效示值范围(被测件公差围)</w:t>
      </w:r>
      <w:r>
        <w:rPr>
          <w:rFonts w:hint="eastAsia" w:ascii="宋体" w:hAnsi="宋体" w:eastAsia="宋体" w:cs="Times New Roman"/>
          <w:color w:val="000000"/>
          <w:szCs w:val="21"/>
          <w:lang w:val="en-US" w:eastAsia="zh-CN"/>
        </w:rPr>
        <w:t>：16；</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刻度尺刻度值(μm)</w:t>
      </w:r>
      <w:r>
        <w:rPr>
          <w:rFonts w:hint="eastAsia" w:ascii="宋体" w:hAnsi="宋体" w:eastAsia="宋体" w:cs="Times New Roman"/>
          <w:color w:val="000000"/>
          <w:szCs w:val="21"/>
          <w:lang w:val="en-US" w:eastAsia="zh-CN"/>
        </w:rPr>
        <w:t>：0.5；</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刻度尺刻度间距(mm)</w:t>
      </w:r>
      <w:r>
        <w:rPr>
          <w:rFonts w:hint="eastAsia" w:ascii="宋体" w:hAnsi="宋体" w:eastAsia="宋体" w:cs="Times New Roman"/>
          <w:color w:val="000000"/>
          <w:szCs w:val="21"/>
          <w:lang w:val="en-US" w:eastAsia="zh-CN"/>
        </w:rPr>
        <w:t>：5；</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刻度尺全刻度格数</w:t>
      </w:r>
      <w:r>
        <w:rPr>
          <w:rFonts w:hint="eastAsia" w:ascii="宋体" w:hAnsi="宋体" w:eastAsia="宋体" w:cs="Times New Roman"/>
          <w:color w:val="000000"/>
          <w:szCs w:val="21"/>
          <w:lang w:val="en-US" w:eastAsia="zh-CN"/>
        </w:rPr>
        <w:t>：44；</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测量接口：量规进气端气管接口（Φ6接入）</w:t>
      </w:r>
      <w:r>
        <w:rPr>
          <w:rFonts w:hint="eastAsia" w:ascii="宋体" w:hAnsi="宋体" w:eastAsia="宋体" w:cs="Times New Roman"/>
          <w:color w:val="000000"/>
          <w:szCs w:val="21"/>
          <w:lang w:val="en-US" w:eastAsia="zh-CN"/>
        </w:rPr>
        <w:t>；</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控制调节：调节测量行程时使用，调节完毕后需锁紧</w:t>
      </w:r>
      <w:r>
        <w:rPr>
          <w:rFonts w:hint="eastAsia" w:ascii="宋体" w:hAnsi="宋体" w:eastAsia="宋体" w:cs="Times New Roman"/>
          <w:color w:val="000000"/>
          <w:szCs w:val="21"/>
          <w:lang w:val="en-US" w:eastAsia="zh-CN"/>
        </w:rPr>
        <w:t>；</w:t>
      </w:r>
    </w:p>
    <w:p>
      <w:pPr>
        <w:widowControl/>
        <w:numPr>
          <w:ilvl w:val="0"/>
          <w:numId w:val="9"/>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进气接口：量仪进气输入接口（Φ8接入）</w:t>
      </w:r>
      <w:r>
        <w:rPr>
          <w:rFonts w:hint="eastAsia" w:ascii="宋体" w:hAnsi="宋体" w:eastAsia="宋体" w:cs="Times New Roman"/>
          <w:color w:val="000000"/>
          <w:szCs w:val="21"/>
          <w:lang w:val="en-US" w:eastAsia="zh-CN"/>
        </w:rPr>
        <w:t>；</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工作电源：单相三线～22</w:t>
      </w:r>
      <w:r>
        <w:rPr>
          <w:rFonts w:hint="default" w:ascii="宋体" w:hAnsi="宋体" w:eastAsia="宋体" w:cs="Times New Roman"/>
          <w:color w:val="000000"/>
          <w:szCs w:val="21"/>
          <w:lang w:val="en-US" w:eastAsia="zh-CN"/>
        </w:rPr>
        <w:t>0</w:t>
      </w:r>
      <w:r>
        <w:rPr>
          <w:rFonts w:hint="eastAsia" w:ascii="宋体" w:hAnsi="宋体" w:eastAsia="宋体" w:cs="Times New Roman"/>
          <w:color w:val="000000"/>
          <w:szCs w:val="21"/>
          <w:lang w:val="en-US" w:eastAsia="zh-CN"/>
        </w:rPr>
        <w:t>V</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10</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50Hz</w:t>
      </w:r>
      <w:r>
        <w:rPr>
          <w:rFonts w:hint="eastAsia" w:ascii="宋体" w:hAnsi="宋体" w:eastAsia="宋体" w:cs="Times New Roman"/>
          <w:color w:val="000000"/>
          <w:szCs w:val="21"/>
          <w:lang w:val="en-US" w:eastAsia="zh-CN"/>
        </w:rPr>
        <w:t>；</w:t>
      </w:r>
    </w:p>
    <w:p>
      <w:pPr>
        <w:widowControl/>
        <w:numPr>
          <w:ilvl w:val="0"/>
          <w:numId w:val="9"/>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不得有影响使用性能的外部缺陷</w:t>
      </w:r>
      <w:r>
        <w:rPr>
          <w:rFonts w:hint="eastAsia" w:ascii="宋体" w:hAnsi="宋体" w:eastAsia="宋体" w:cs="Times New Roman"/>
          <w:color w:val="000000"/>
          <w:szCs w:val="21"/>
          <w:lang w:val="en-US" w:eastAsia="zh-CN"/>
        </w:rPr>
        <w:t>；</w:t>
      </w:r>
    </w:p>
    <w:p>
      <w:pPr>
        <w:widowControl/>
        <w:numPr>
          <w:ilvl w:val="0"/>
          <w:numId w:val="9"/>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活动部分工作时应灵活、平稳、没有卡滞现象</w:t>
      </w:r>
      <w:r>
        <w:rPr>
          <w:rFonts w:hint="eastAsia" w:ascii="宋体" w:hAnsi="宋体" w:eastAsia="宋体" w:cs="Times New Roman"/>
          <w:color w:val="000000"/>
          <w:szCs w:val="21"/>
          <w:lang w:val="en-US" w:eastAsia="zh-CN"/>
        </w:rPr>
        <w:t>。</w:t>
      </w:r>
    </w:p>
    <w:p>
      <w:pPr>
        <w:autoSpaceDE w:val="0"/>
        <w:autoSpaceDN w:val="0"/>
        <w:adjustRightInd w:val="0"/>
        <w:rPr>
          <w:b/>
          <w:szCs w:val="21"/>
        </w:rPr>
      </w:pPr>
    </w:p>
    <w:p>
      <w:pPr>
        <w:autoSpaceDE w:val="0"/>
        <w:autoSpaceDN w:val="0"/>
        <w:adjustRightInd w:val="0"/>
        <w:rPr>
          <w:rFonts w:hint="eastAsia"/>
          <w:color w:val="000000"/>
          <w:sz w:val="22"/>
          <w:szCs w:val="22"/>
        </w:rPr>
      </w:pPr>
      <w:r>
        <w:rPr>
          <w:b/>
          <w:szCs w:val="21"/>
        </w:rPr>
        <w:t>2.</w:t>
      </w:r>
      <w:r>
        <w:rPr>
          <w:rFonts w:hint="eastAsia"/>
          <w:b/>
          <w:szCs w:val="21"/>
          <w:lang w:val="en-US" w:eastAsia="zh-CN"/>
        </w:rPr>
        <w:t>5</w:t>
      </w:r>
      <w:r>
        <w:rPr>
          <w:rFonts w:hint="eastAsia"/>
          <w:b/>
          <w:szCs w:val="21"/>
        </w:rPr>
        <w:t xml:space="preserve"> </w:t>
      </w:r>
      <w:r>
        <w:rPr>
          <w:rFonts w:hint="eastAsia" w:ascii="宋体" w:hAnsi="宋体" w:eastAsia="宋体" w:cs="Times New Roman"/>
          <w:sz w:val="21"/>
          <w:lang w:val="en-US" w:eastAsia="zh-CN"/>
        </w:rPr>
        <w:t>正置式金相显微镜</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lang w:val="en-US" w:eastAsia="zh-CN"/>
        </w:rPr>
        <w:t>仪器用于零件表面粗糙度测量</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10"/>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目镜</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WF10×／18</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WF10×／18 （带0.1mm刻尺及十字分划）</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物镜</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无穷远平场金相物镜5×／0.10</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无穷远平场金相物镜10×／0.25</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无穷远长距平场金相物镜40×／0.65</w:t>
      </w:r>
      <w:r>
        <w:rPr>
          <w:rFonts w:hint="eastAsia" w:ascii="宋体" w:hAnsi="宋体" w:eastAsia="宋体" w:cs="Times New Roman"/>
          <w:color w:val="000000"/>
          <w:szCs w:val="21"/>
          <w:lang w:val="en-US" w:eastAsia="zh-CN"/>
        </w:rPr>
        <w:t xml:space="preserve"> </w:t>
      </w:r>
      <w:r>
        <w:rPr>
          <w:rFonts w:hint="default" w:ascii="宋体" w:hAnsi="宋体" w:eastAsia="宋体" w:cs="Times New Roman"/>
          <w:color w:val="000000"/>
          <w:szCs w:val="21"/>
          <w:lang w:val="en-US" w:eastAsia="zh-CN"/>
        </w:rPr>
        <w:t> W.D=3.90mm</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观察筒</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铰链式双目镜组，30°倾斜，瞳距调节50～75mm</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转换器</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内定位四孔转换器</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载物台</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机械移动载物台，面积150 mm×140 mm，移动范围78 mm×55 mm</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粗微调焦装置</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粗微同轴调焦，粗调行程25mm，微调格值2µm，粗调带松紧调节</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照明系统</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反射柯拉照明系统，6V20W卤素灯，亮度可调</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接口</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1X/C</w:t>
      </w:r>
      <w:r>
        <w:rPr>
          <w:rFonts w:hint="eastAsia" w:ascii="宋体" w:hAnsi="宋体" w:eastAsia="宋体" w:cs="Times New Roman"/>
          <w:color w:val="000000"/>
          <w:szCs w:val="21"/>
          <w:lang w:val="en-US" w:eastAsia="zh-CN"/>
        </w:rPr>
        <w:t>或</w:t>
      </w:r>
      <w:r>
        <w:rPr>
          <w:rFonts w:hint="default" w:ascii="宋体" w:hAnsi="宋体" w:eastAsia="宋体" w:cs="Times New Roman"/>
          <w:color w:val="000000"/>
          <w:szCs w:val="21"/>
          <w:lang w:val="en-US" w:eastAsia="zh-CN"/>
        </w:rPr>
        <w:t>0.5X/C-接口</w:t>
      </w:r>
      <w:r>
        <w:rPr>
          <w:rFonts w:hint="eastAsia" w:ascii="宋体" w:hAnsi="宋体" w:eastAsia="宋体" w:cs="Times New Roman"/>
          <w:color w:val="000000"/>
          <w:szCs w:val="21"/>
          <w:lang w:val="en-US" w:eastAsia="zh-CN"/>
        </w:rPr>
        <w:t>；</w:t>
      </w:r>
    </w:p>
    <w:p>
      <w:pPr>
        <w:widowControl/>
        <w:numPr>
          <w:ilvl w:val="0"/>
          <w:numId w:val="10"/>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工作电源：单相三线～22</w:t>
      </w:r>
      <w:r>
        <w:rPr>
          <w:rFonts w:hint="default" w:ascii="宋体" w:hAnsi="宋体" w:eastAsia="宋体" w:cs="Times New Roman"/>
          <w:color w:val="000000"/>
          <w:szCs w:val="21"/>
          <w:lang w:val="en-US" w:eastAsia="zh-CN"/>
        </w:rPr>
        <w:t>0</w:t>
      </w:r>
      <w:r>
        <w:rPr>
          <w:rFonts w:hint="eastAsia" w:ascii="宋体" w:hAnsi="宋体" w:eastAsia="宋体" w:cs="Times New Roman"/>
          <w:color w:val="000000"/>
          <w:szCs w:val="21"/>
          <w:lang w:val="en-US" w:eastAsia="zh-CN"/>
        </w:rPr>
        <w:t>V</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10</w:t>
      </w: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w:t>
      </w:r>
      <w:r>
        <w:rPr>
          <w:rFonts w:hint="default" w:ascii="宋体" w:hAnsi="宋体" w:eastAsia="宋体" w:cs="Times New Roman"/>
          <w:color w:val="000000"/>
          <w:szCs w:val="21"/>
          <w:lang w:val="en-US" w:eastAsia="zh-CN"/>
        </w:rPr>
        <w:t>50Hz</w:t>
      </w:r>
      <w:r>
        <w:rPr>
          <w:rFonts w:hint="eastAsia" w:ascii="宋体" w:hAnsi="宋体" w:eastAsia="宋体" w:cs="Times New Roman"/>
          <w:color w:val="000000"/>
          <w:szCs w:val="21"/>
          <w:lang w:val="en-US" w:eastAsia="zh-CN"/>
        </w:rPr>
        <w:t>。</w:t>
      </w:r>
    </w:p>
    <w:p>
      <w:pPr>
        <w:autoSpaceDE w:val="0"/>
        <w:autoSpaceDN w:val="0"/>
        <w:adjustRightInd w:val="0"/>
        <w:rPr>
          <w:b/>
          <w:szCs w:val="21"/>
        </w:rPr>
      </w:pPr>
    </w:p>
    <w:p>
      <w:pPr>
        <w:autoSpaceDE w:val="0"/>
        <w:autoSpaceDN w:val="0"/>
        <w:adjustRightInd w:val="0"/>
        <w:rPr>
          <w:rFonts w:hint="eastAsia"/>
          <w:color w:val="000000"/>
          <w:sz w:val="22"/>
          <w:szCs w:val="22"/>
        </w:rPr>
      </w:pPr>
      <w:r>
        <w:rPr>
          <w:b/>
          <w:szCs w:val="21"/>
        </w:rPr>
        <w:t>2.</w:t>
      </w:r>
      <w:r>
        <w:rPr>
          <w:rFonts w:hint="eastAsia"/>
          <w:b/>
          <w:szCs w:val="21"/>
          <w:lang w:val="en-US" w:eastAsia="zh-CN"/>
        </w:rPr>
        <w:t>6</w:t>
      </w:r>
      <w:r>
        <w:rPr>
          <w:rFonts w:hint="eastAsia"/>
          <w:b/>
          <w:szCs w:val="21"/>
        </w:rPr>
        <w:t xml:space="preserve"> </w:t>
      </w:r>
      <w:r>
        <w:rPr>
          <w:rFonts w:hint="eastAsia" w:ascii="宋体" w:hAnsi="宋体" w:eastAsia="宋体" w:cs="Times New Roman"/>
          <w:sz w:val="21"/>
          <w:lang w:val="en-US" w:eastAsia="zh-CN"/>
        </w:rPr>
        <w:t>金相数显试样磨抛机</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lang w:val="en-US" w:eastAsia="zh-CN"/>
        </w:rPr>
        <w:t>设备用于金相试样打磨与抛光</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11"/>
        </w:numPr>
        <w:spacing w:line="360" w:lineRule="auto"/>
        <w:ind w:firstLine="420" w:firstLineChars="200"/>
        <w:jc w:val="left"/>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结构</w:t>
      </w:r>
      <w:r>
        <w:rPr>
          <w:rFonts w:hint="eastAsia" w:ascii="Times New Roman" w:hAnsi="Times New Roman" w:eastAsia="宋体" w:cs="Times New Roman"/>
          <w:lang w:val="en-US" w:eastAsia="zh-CN"/>
        </w:rPr>
        <w:t>形式</w:t>
      </w:r>
      <w:r>
        <w:rPr>
          <w:rFonts w:hint="default" w:ascii="Times New Roman" w:hAnsi="Times New Roman" w:eastAsia="宋体" w:cs="Times New Roman"/>
          <w:lang w:val="en-US" w:eastAsia="zh-CN"/>
        </w:rPr>
        <w:t xml:space="preserve"> ：单盘台式</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磨抛盘直径： φ250mm</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磨抛盘转速： 50-1000r/min（无级调速）、150、300、600、800r/min(四级变速)</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default" w:ascii="Times New Roman" w:hAnsi="Times New Roman" w:eastAsia="宋体" w:cs="Times New Roman"/>
        </w:rPr>
      </w:pPr>
      <w:r>
        <w:rPr>
          <w:rFonts w:hint="default" w:ascii="Times New Roman" w:hAnsi="Times New Roman" w:eastAsia="宋体" w:cs="Times New Roman"/>
          <w:lang w:val="en-US" w:eastAsia="zh-CN"/>
        </w:rPr>
        <w:t>抛盘跳动值 ：≤2%</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default" w:ascii="Times New Roman" w:hAnsi="Times New Roman" w:eastAsia="宋体" w:cs="Times New Roman"/>
        </w:rPr>
      </w:pPr>
      <w:r>
        <w:rPr>
          <w:rFonts w:hint="default" w:ascii="Times New Roman" w:hAnsi="Times New Roman" w:eastAsia="宋体" w:cs="Times New Roman"/>
          <w:lang w:val="en-US" w:eastAsia="zh-CN"/>
        </w:rPr>
        <w:t>电动机： YSS7124、550W</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default" w:ascii="Times New Roman" w:hAnsi="Times New Roman" w:eastAsia="宋体" w:cs="Times New Roman"/>
        </w:rPr>
      </w:pPr>
      <w:r>
        <w:rPr>
          <w:rFonts w:hint="default" w:ascii="Times New Roman" w:hAnsi="Times New Roman" w:eastAsia="宋体" w:cs="Times New Roman"/>
          <w:lang w:val="en-US" w:eastAsia="zh-CN"/>
        </w:rPr>
        <w:t>外形尺寸： 730*450*370 mm</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default" w:ascii="Times New Roman" w:hAnsi="Times New Roman" w:eastAsia="宋体" w:cs="Times New Roman"/>
        </w:rPr>
      </w:pPr>
      <w:r>
        <w:rPr>
          <w:rFonts w:hint="default" w:ascii="Times New Roman" w:hAnsi="Times New Roman" w:eastAsia="宋体" w:cs="Times New Roman"/>
          <w:lang w:val="en-US" w:eastAsia="zh-CN"/>
        </w:rPr>
        <w:t>冷却系统</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本机带有冷却装置，可以在研磨、抛光时对试样进行冷却，以防止因试样过热而破坏金相组织</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eastAsia" w:ascii="Times New Roman" w:hAnsi="Times New Roman" w:eastAsia="宋体" w:cs="Times New Roman"/>
          <w:lang w:eastAsia="zh-CN"/>
        </w:rPr>
      </w:pPr>
      <w:r>
        <w:rPr>
          <w:rFonts w:hint="default" w:ascii="Times New Roman" w:hAnsi="Times New Roman" w:eastAsia="宋体" w:cs="Times New Roman"/>
          <w:lang w:val="en-US" w:eastAsia="zh-CN"/>
        </w:rPr>
        <w:t> 控制系统</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本机通过变频器调速，可直接获得50-1000转/分钟之间的转速</w:t>
      </w:r>
      <w:r>
        <w:rPr>
          <w:rFonts w:hint="eastAsia" w:ascii="Times New Roman" w:hAnsi="Times New Roman" w:eastAsia="宋体" w:cs="Times New Roman"/>
          <w:lang w:val="en-US" w:eastAsia="zh-CN"/>
        </w:rPr>
        <w:t>；</w:t>
      </w:r>
    </w:p>
    <w:p>
      <w:pPr>
        <w:widowControl/>
        <w:numPr>
          <w:ilvl w:val="0"/>
          <w:numId w:val="11"/>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Times New Roman" w:hAnsi="Times New Roman" w:eastAsia="宋体" w:cs="Times New Roman"/>
        </w:rPr>
        <w:t>工作电源：</w:t>
      </w:r>
      <w:r>
        <w:rPr>
          <w:rFonts w:hint="eastAsia" w:ascii="Times New Roman" w:hAnsi="Times New Roman" w:eastAsia="宋体" w:cs="Times New Roman"/>
          <w:lang w:val="en-US" w:eastAsia="zh-CN"/>
        </w:rPr>
        <w:t>单</w:t>
      </w:r>
      <w:r>
        <w:rPr>
          <w:rFonts w:hint="eastAsia" w:ascii="Times New Roman" w:hAnsi="Times New Roman" w:eastAsia="宋体" w:cs="Times New Roman"/>
        </w:rPr>
        <w:t>相</w:t>
      </w:r>
      <w:r>
        <w:rPr>
          <w:rFonts w:hint="eastAsia" w:ascii="Times New Roman" w:hAnsi="Times New Roman" w:eastAsia="宋体" w:cs="Times New Roman"/>
          <w:lang w:val="en-US" w:eastAsia="zh-CN"/>
        </w:rPr>
        <w:t>三</w:t>
      </w:r>
      <w:r>
        <w:rPr>
          <w:rFonts w:hint="eastAsia" w:ascii="Times New Roman" w:hAnsi="Times New Roman" w:eastAsia="宋体" w:cs="Times New Roman"/>
        </w:rPr>
        <w:t>线～</w:t>
      </w:r>
      <w:r>
        <w:rPr>
          <w:rFonts w:hint="eastAsia" w:ascii="Times New Roman" w:hAnsi="Times New Roman" w:eastAsia="宋体" w:cs="Times New Roman"/>
          <w:lang w:val="en-US" w:eastAsia="zh-CN"/>
        </w:rPr>
        <w:t>22</w:t>
      </w:r>
      <w:r>
        <w:rPr>
          <w:rFonts w:hint="eastAsia" w:ascii="Times New Roman" w:hAnsi="Times New Roman" w:eastAsia="宋体" w:cs="Times New Roman"/>
        </w:rPr>
        <w:t>0V±10%</w:t>
      </w:r>
      <w:r>
        <w:rPr>
          <w:rFonts w:hint="eastAsia" w:ascii="Times New Roman" w:hAnsi="Times New Roman" w:eastAsia="宋体" w:cs="Times New Roman"/>
          <w:lang w:eastAsia="zh-CN"/>
        </w:rPr>
        <w:t>，</w:t>
      </w:r>
      <w:r>
        <w:rPr>
          <w:rFonts w:hint="eastAsia" w:ascii="Times New Roman" w:hAnsi="Times New Roman" w:eastAsia="宋体" w:cs="Times New Roman"/>
        </w:rPr>
        <w:t>50Hz</w:t>
      </w:r>
      <w:r>
        <w:rPr>
          <w:rFonts w:hint="eastAsia" w:ascii="Times New Roman" w:hAnsi="Times New Roman" w:eastAsia="宋体" w:cs="Times New Roman"/>
          <w:lang w:eastAsia="zh-CN"/>
        </w:rPr>
        <w:t>；</w:t>
      </w:r>
    </w:p>
    <w:p>
      <w:pPr>
        <w:widowControl/>
        <w:numPr>
          <w:ilvl w:val="0"/>
          <w:numId w:val="11"/>
        </w:numPr>
        <w:spacing w:line="360" w:lineRule="auto"/>
        <w:ind w:firstLine="420" w:firstLineChars="200"/>
        <w:jc w:val="left"/>
        <w:rPr>
          <w:rFonts w:hint="eastAsia" w:ascii="宋体" w:hAnsi="宋体" w:eastAsia="宋体" w:cs="Times New Roman"/>
          <w:color w:val="000000"/>
          <w:szCs w:val="21"/>
          <w:lang w:val="en-US" w:eastAsia="zh-CN"/>
        </w:rPr>
      </w:pPr>
      <w:r>
        <w:rPr>
          <w:rFonts w:hint="default" w:ascii="Times New Roman" w:hAnsi="Times New Roman" w:eastAsia="宋体" w:cs="Times New Roman"/>
          <w:lang w:val="en-US" w:eastAsia="zh-CN"/>
        </w:rPr>
        <w:t>活动部分工作时应灵活、平稳、没有卡滞现象</w:t>
      </w:r>
      <w:r>
        <w:rPr>
          <w:rFonts w:hint="eastAsia" w:ascii="Times New Roman" w:hAnsi="Times New Roman" w:eastAsia="宋体" w:cs="Times New Roman"/>
          <w:lang w:val="en-US" w:eastAsia="zh-CN"/>
        </w:rPr>
        <w:t>。</w:t>
      </w:r>
    </w:p>
    <w:p>
      <w:pPr>
        <w:autoSpaceDE w:val="0"/>
        <w:autoSpaceDN w:val="0"/>
        <w:adjustRightInd w:val="0"/>
        <w:rPr>
          <w:b/>
          <w:szCs w:val="21"/>
        </w:rPr>
      </w:pPr>
    </w:p>
    <w:p>
      <w:pPr>
        <w:autoSpaceDE w:val="0"/>
        <w:autoSpaceDN w:val="0"/>
        <w:adjustRightInd w:val="0"/>
        <w:rPr>
          <w:rFonts w:hint="eastAsia"/>
          <w:color w:val="000000"/>
          <w:sz w:val="22"/>
          <w:szCs w:val="22"/>
        </w:rPr>
      </w:pPr>
      <w:r>
        <w:rPr>
          <w:b/>
          <w:szCs w:val="21"/>
        </w:rPr>
        <w:t>2.</w:t>
      </w:r>
      <w:r>
        <w:rPr>
          <w:rFonts w:hint="eastAsia"/>
          <w:b/>
          <w:szCs w:val="21"/>
          <w:lang w:val="en-US" w:eastAsia="zh-CN"/>
        </w:rPr>
        <w:t>7</w:t>
      </w:r>
      <w:r>
        <w:rPr>
          <w:rFonts w:hint="eastAsia"/>
          <w:b/>
          <w:szCs w:val="21"/>
        </w:rPr>
        <w:t xml:space="preserve"> </w:t>
      </w:r>
      <w:r>
        <w:rPr>
          <w:rFonts w:hint="eastAsia" w:ascii="宋体" w:hAnsi="宋体" w:eastAsia="宋体" w:cs="Times New Roman"/>
          <w:sz w:val="21"/>
          <w:lang w:val="en-US" w:eastAsia="zh-CN"/>
        </w:rPr>
        <w:t>机构运动简图测绘模型</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lang w:val="en-US" w:eastAsia="zh-CN"/>
        </w:rPr>
        <w:t>仪器用于零件表面粗糙度测量</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rPr>
        <w:t>实验</w:t>
      </w:r>
      <w:r>
        <w:rPr>
          <w:rFonts w:hint="eastAsia" w:ascii="宋体" w:hAnsi="宋体"/>
          <w:b/>
          <w:szCs w:val="21"/>
          <w:lang w:val="en-US" w:eastAsia="zh-CN"/>
        </w:rPr>
        <w:t>仪器</w:t>
      </w:r>
      <w:r>
        <w:rPr>
          <w:rFonts w:ascii="宋体" w:hAnsi="宋体"/>
          <w:b/>
          <w:szCs w:val="21"/>
        </w:rPr>
        <w:t>要求：</w:t>
      </w:r>
    </w:p>
    <w:p>
      <w:pPr>
        <w:widowControl/>
        <w:numPr>
          <w:ilvl w:val="0"/>
          <w:numId w:val="12"/>
        </w:numPr>
        <w:spacing w:line="360" w:lineRule="auto"/>
        <w:ind w:firstLine="420" w:firstLineChars="2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材质：铁碳合金；</w:t>
      </w:r>
    </w:p>
    <w:p>
      <w:pPr>
        <w:widowControl/>
        <w:numPr>
          <w:ilvl w:val="0"/>
          <w:numId w:val="12"/>
        </w:numPr>
        <w:spacing w:line="360" w:lineRule="auto"/>
        <w:ind w:firstLine="420" w:firstLineChars="200"/>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复合轮系：齿轮数大于5；</w:t>
      </w:r>
    </w:p>
    <w:p>
      <w:pPr>
        <w:widowControl/>
        <w:numPr>
          <w:ilvl w:val="0"/>
          <w:numId w:val="12"/>
        </w:numPr>
        <w:spacing w:line="360" w:lineRule="auto"/>
        <w:ind w:firstLine="420" w:firstLineChars="200"/>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复合机构：连杆齿轮机构或连杆凸轮机构；</w:t>
      </w:r>
    </w:p>
    <w:p>
      <w:pPr>
        <w:widowControl/>
        <w:numPr>
          <w:ilvl w:val="0"/>
          <w:numId w:val="12"/>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不得有影响使用性能的外部缺陷</w:t>
      </w:r>
      <w:r>
        <w:rPr>
          <w:rFonts w:hint="eastAsia" w:ascii="宋体" w:hAnsi="宋体" w:eastAsia="宋体" w:cs="Times New Roman"/>
          <w:color w:val="000000"/>
          <w:szCs w:val="21"/>
          <w:lang w:val="en-US" w:eastAsia="zh-CN"/>
        </w:rPr>
        <w:t>；</w:t>
      </w:r>
    </w:p>
    <w:p>
      <w:pPr>
        <w:widowControl/>
        <w:numPr>
          <w:ilvl w:val="0"/>
          <w:numId w:val="12"/>
        </w:numPr>
        <w:spacing w:line="360" w:lineRule="auto"/>
        <w:ind w:firstLine="420" w:firstLineChars="200"/>
        <w:jc w:val="left"/>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活动部分工作时应灵活、平稳、没有卡滞现象。</w:t>
      </w:r>
    </w:p>
    <w:p>
      <w:pPr>
        <w:autoSpaceDE w:val="0"/>
        <w:autoSpaceDN w:val="0"/>
        <w:adjustRightInd w:val="0"/>
        <w:rPr>
          <w:b/>
          <w:szCs w:val="21"/>
        </w:rPr>
      </w:pPr>
    </w:p>
    <w:p>
      <w:pPr>
        <w:autoSpaceDE w:val="0"/>
        <w:autoSpaceDN w:val="0"/>
        <w:adjustRightInd w:val="0"/>
        <w:rPr>
          <w:rFonts w:hint="eastAsia"/>
          <w:color w:val="000000"/>
          <w:sz w:val="22"/>
          <w:szCs w:val="22"/>
        </w:rPr>
      </w:pPr>
      <w:r>
        <w:rPr>
          <w:b/>
          <w:szCs w:val="21"/>
        </w:rPr>
        <w:t>2.</w:t>
      </w:r>
      <w:r>
        <w:rPr>
          <w:rFonts w:hint="eastAsia"/>
          <w:b/>
          <w:szCs w:val="21"/>
          <w:lang w:val="en-US" w:eastAsia="zh-CN"/>
        </w:rPr>
        <w:t>8</w:t>
      </w:r>
      <w:r>
        <w:rPr>
          <w:rFonts w:hint="eastAsia"/>
          <w:b/>
          <w:szCs w:val="21"/>
        </w:rPr>
        <w:t xml:space="preserve"> </w:t>
      </w:r>
      <w:r>
        <w:rPr>
          <w:rFonts w:hint="eastAsia" w:ascii="宋体" w:hAnsi="宋体" w:eastAsia="宋体" w:cs="宋体"/>
          <w:color w:val="000000"/>
          <w:sz w:val="22"/>
          <w:szCs w:val="22"/>
          <w:lang w:val="en-US" w:eastAsia="zh-CN"/>
        </w:rPr>
        <w:t>三维扫描仪pop2</w:t>
      </w:r>
    </w:p>
    <w:p>
      <w:pPr>
        <w:spacing w:line="360" w:lineRule="auto"/>
        <w:ind w:firstLine="420" w:firstLineChars="200"/>
        <w:rPr>
          <w:rFonts w:ascii="宋体" w:hAnsi="宋体"/>
          <w:color w:val="000000"/>
          <w:szCs w:val="21"/>
        </w:rPr>
      </w:pPr>
      <w:r>
        <w:rPr>
          <w:rFonts w:hint="eastAsia" w:ascii="宋体" w:hAnsi="宋体"/>
          <w:szCs w:val="21"/>
        </w:rPr>
        <w:t>投标供应商需</w:t>
      </w:r>
      <w:r>
        <w:rPr>
          <w:rFonts w:ascii="宋体" w:hAnsi="宋体"/>
          <w:szCs w:val="21"/>
        </w:rPr>
        <w:t>提供</w:t>
      </w:r>
      <w:r>
        <w:rPr>
          <w:rFonts w:hint="eastAsia" w:ascii="宋体" w:hAnsi="宋体"/>
          <w:szCs w:val="21"/>
        </w:rPr>
        <w:t>相</w:t>
      </w:r>
      <w:r>
        <w:rPr>
          <w:rFonts w:ascii="宋体" w:hAnsi="宋体"/>
          <w:szCs w:val="21"/>
        </w:rPr>
        <w:t>对应的</w:t>
      </w:r>
      <w:r>
        <w:rPr>
          <w:rFonts w:hint="eastAsia" w:ascii="宋体" w:hAnsi="宋体"/>
          <w:szCs w:val="21"/>
        </w:rPr>
        <w:t>技</w:t>
      </w:r>
      <w:r>
        <w:rPr>
          <w:rFonts w:ascii="宋体" w:hAnsi="宋体"/>
          <w:szCs w:val="21"/>
        </w:rPr>
        <w:t>术图纸、图片、软件等</w:t>
      </w:r>
      <w:r>
        <w:rPr>
          <w:rFonts w:hint="eastAsia" w:ascii="宋体" w:hAnsi="宋体"/>
          <w:szCs w:val="21"/>
        </w:rPr>
        <w:t>，并提供</w:t>
      </w:r>
      <w:r>
        <w:rPr>
          <w:rFonts w:hint="eastAsia" w:ascii="宋体" w:hAnsi="宋体"/>
          <w:szCs w:val="21"/>
          <w:lang w:val="en-US" w:eastAsia="zh-CN"/>
        </w:rPr>
        <w:t>产品说明与使用培训材料。</w:t>
      </w:r>
      <w:r>
        <w:rPr>
          <w:rFonts w:hint="eastAsia" w:ascii="宋体" w:hAnsi="宋体"/>
          <w:color w:val="000000"/>
          <w:szCs w:val="21"/>
          <w:lang w:val="en-US" w:eastAsia="zh-CN"/>
        </w:rPr>
        <w:t>设备为固定式使用，使用时使用支架进行固定并扫描，扫描数据通过接口传输至计算机，并通过配套软件进行显示与处理</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lang w:val="en-US" w:eastAsia="zh-CN"/>
        </w:rPr>
        <w:t>设备性能参数</w:t>
      </w:r>
      <w:r>
        <w:rPr>
          <w:rFonts w:ascii="宋体" w:hAnsi="宋体"/>
          <w:b/>
          <w:szCs w:val="21"/>
        </w:rPr>
        <w:t>要求：</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lang w:val="en-US" w:eastAsia="zh-CN"/>
        </w:rPr>
        <w:t>设备质量：≤500g</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设备尺寸</w:t>
      </w:r>
      <w:r>
        <w:rPr>
          <w:rFonts w:hint="eastAsia" w:ascii="宋体" w:hAnsi="宋体" w:eastAsia="宋体" w:cs="黑体"/>
          <w:color w:val="000000"/>
          <w:szCs w:val="21"/>
          <w:lang w:eastAsia="zh-CN"/>
        </w:rPr>
        <w:t>：</w:t>
      </w:r>
      <w:r>
        <w:rPr>
          <w:rFonts w:hint="eastAsia" w:ascii="宋体" w:hAnsi="宋体" w:eastAsia="宋体" w:cs="黑体"/>
          <w:color w:val="000000"/>
          <w:szCs w:val="21"/>
        </w:rPr>
        <w:t>12.9cm×17.8cm×3.3cm</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单幅扫描精度</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0.</w:t>
      </w:r>
      <w:r>
        <w:rPr>
          <w:rFonts w:hint="eastAsia" w:ascii="宋体" w:hAnsi="宋体" w:eastAsia="宋体" w:cs="黑体"/>
          <w:color w:val="000000"/>
          <w:szCs w:val="21"/>
        </w:rPr>
        <w:t>1mm</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单幅扫描范压</w:t>
      </w:r>
      <w:r>
        <w:rPr>
          <w:rFonts w:hint="eastAsia" w:ascii="宋体" w:hAnsi="宋体" w:eastAsia="宋体" w:cs="黑体"/>
          <w:color w:val="000000"/>
          <w:szCs w:val="21"/>
          <w:lang w:eastAsia="zh-CN"/>
        </w:rPr>
        <w:t>：</w:t>
      </w:r>
      <w:r>
        <w:rPr>
          <w:rFonts w:hint="eastAsia" w:ascii="宋体" w:hAnsi="宋体" w:eastAsia="宋体" w:cs="黑体"/>
          <w:color w:val="000000"/>
          <w:szCs w:val="21"/>
        </w:rPr>
        <w:t>210mm×130mm</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工作距离</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15</w:t>
      </w:r>
      <w:r>
        <w:rPr>
          <w:rFonts w:hint="eastAsia" w:ascii="宋体" w:hAnsi="宋体" w:eastAsia="宋体" w:cs="黑体"/>
          <w:color w:val="000000"/>
          <w:szCs w:val="21"/>
        </w:rPr>
        <w:t>0-</w:t>
      </w:r>
      <w:r>
        <w:rPr>
          <w:rFonts w:hint="eastAsia" w:ascii="宋体" w:hAnsi="宋体" w:eastAsia="宋体" w:cs="黑体"/>
          <w:color w:val="000000"/>
          <w:szCs w:val="21"/>
          <w:lang w:val="en-US" w:eastAsia="zh-CN"/>
        </w:rPr>
        <w:t>4</w:t>
      </w:r>
      <w:r>
        <w:rPr>
          <w:rFonts w:hint="eastAsia" w:ascii="宋体" w:hAnsi="宋体" w:eastAsia="宋体" w:cs="黑体"/>
          <w:color w:val="000000"/>
          <w:szCs w:val="21"/>
        </w:rPr>
        <w:t>00mm</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光源停级</w:t>
      </w:r>
      <w:r>
        <w:rPr>
          <w:rFonts w:hint="eastAsia" w:ascii="宋体" w:hAnsi="宋体" w:eastAsia="宋体" w:cs="黑体"/>
          <w:color w:val="000000"/>
          <w:szCs w:val="21"/>
          <w:lang w:eastAsia="zh-CN"/>
        </w:rPr>
        <w:t>：</w:t>
      </w:r>
      <w:r>
        <w:rPr>
          <w:rFonts w:hint="eastAsia" w:ascii="宋体" w:hAnsi="宋体" w:eastAsia="宋体" w:cs="黑体"/>
          <w:color w:val="000000"/>
          <w:szCs w:val="21"/>
        </w:rPr>
        <w:t>1级红外激光(人眼安全)</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最小扫描体积</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2</w:t>
      </w:r>
      <w:r>
        <w:rPr>
          <w:rFonts w:hint="eastAsia" w:ascii="宋体" w:hAnsi="宋体" w:eastAsia="宋体" w:cs="黑体"/>
          <w:color w:val="000000"/>
          <w:szCs w:val="21"/>
        </w:rPr>
        <w:t>0×</w:t>
      </w:r>
      <w:r>
        <w:rPr>
          <w:rFonts w:hint="eastAsia" w:ascii="宋体" w:hAnsi="宋体" w:eastAsia="宋体" w:cs="黑体"/>
          <w:color w:val="000000"/>
          <w:szCs w:val="21"/>
          <w:lang w:val="en-US" w:eastAsia="zh-CN"/>
        </w:rPr>
        <w:t>2</w:t>
      </w:r>
      <w:r>
        <w:rPr>
          <w:rFonts w:hint="eastAsia" w:ascii="宋体" w:hAnsi="宋体" w:eastAsia="宋体" w:cs="黑体"/>
          <w:color w:val="000000"/>
          <w:szCs w:val="21"/>
        </w:rPr>
        <w:t>0×</w:t>
      </w:r>
      <w:r>
        <w:rPr>
          <w:rFonts w:hint="eastAsia" w:ascii="宋体" w:hAnsi="宋体" w:eastAsia="宋体" w:cs="黑体"/>
          <w:color w:val="000000"/>
          <w:szCs w:val="21"/>
          <w:lang w:val="en-US" w:eastAsia="zh-CN"/>
        </w:rPr>
        <w:t>2</w:t>
      </w:r>
      <w:r>
        <w:rPr>
          <w:rFonts w:hint="eastAsia" w:ascii="宋体" w:hAnsi="宋体" w:eastAsia="宋体" w:cs="黑体"/>
          <w:color w:val="000000"/>
          <w:szCs w:val="21"/>
        </w:rPr>
        <w:t>0mm</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拼接方式</w:t>
      </w:r>
      <w:r>
        <w:rPr>
          <w:rFonts w:hint="eastAsia" w:ascii="宋体" w:hAnsi="宋体" w:eastAsia="宋体" w:cs="黑体"/>
          <w:color w:val="000000"/>
          <w:szCs w:val="21"/>
          <w:lang w:eastAsia="zh-CN"/>
        </w:rPr>
        <w:t>：</w:t>
      </w:r>
      <w:r>
        <w:rPr>
          <w:rFonts w:hint="eastAsia" w:ascii="宋体" w:hAnsi="宋体" w:eastAsia="宋体" w:cs="黑体"/>
          <w:color w:val="000000"/>
          <w:szCs w:val="21"/>
        </w:rPr>
        <w:t>特征拼接;标记点拼接</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扫描速度</w:t>
      </w:r>
      <w:r>
        <w:rPr>
          <w:rFonts w:hint="eastAsia" w:ascii="宋体" w:hAnsi="宋体" w:eastAsia="宋体" w:cs="黑体"/>
          <w:color w:val="000000"/>
          <w:szCs w:val="21"/>
          <w:lang w:eastAsia="zh-CN"/>
        </w:rPr>
        <w:t>：</w:t>
      </w:r>
      <w:r>
        <w:rPr>
          <w:rFonts w:hint="eastAsia" w:ascii="宋体" w:hAnsi="宋体" w:eastAsia="宋体" w:cs="黑体"/>
          <w:color w:val="000000"/>
          <w:szCs w:val="21"/>
        </w:rPr>
        <w:t>10FPS</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输出格式</w:t>
      </w:r>
      <w:r>
        <w:rPr>
          <w:rFonts w:hint="eastAsia" w:ascii="宋体" w:hAnsi="宋体" w:eastAsia="宋体" w:cs="黑体"/>
          <w:color w:val="000000"/>
          <w:szCs w:val="21"/>
          <w:lang w:eastAsia="zh-CN"/>
        </w:rPr>
        <w:t>：</w:t>
      </w:r>
      <w:r>
        <w:rPr>
          <w:rFonts w:hint="eastAsia" w:ascii="宋体" w:hAnsi="宋体" w:eastAsia="宋体" w:cs="黑体"/>
          <w:color w:val="000000"/>
          <w:szCs w:val="21"/>
        </w:rPr>
        <w:t>STL、PLY、OBJ</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lang w:val="en-US" w:eastAsia="zh-CN"/>
        </w:rPr>
        <w:t>应用技术：红外线双目结构光</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rPr>
        <w:t>最大扫描体积</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无</w:t>
      </w:r>
      <w:r>
        <w:rPr>
          <w:rFonts w:hint="eastAsia" w:ascii="宋体" w:hAnsi="宋体" w:eastAsia="宋体" w:cs="黑体"/>
          <w:color w:val="000000"/>
          <w:szCs w:val="21"/>
        </w:rPr>
        <w:t>限制，只是非常大的会比较难扫描，同比精度也会有所下降</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lang w:val="en-US" w:eastAsia="zh-CN"/>
        </w:rPr>
        <w:t>彩色</w:t>
      </w:r>
      <w:r>
        <w:rPr>
          <w:rFonts w:hint="eastAsia" w:ascii="宋体" w:hAnsi="宋体" w:eastAsia="宋体" w:cs="黑体"/>
          <w:color w:val="000000"/>
          <w:szCs w:val="21"/>
        </w:rPr>
        <w:t>扫描</w:t>
      </w:r>
      <w:r>
        <w:rPr>
          <w:rFonts w:hint="eastAsia" w:ascii="宋体" w:hAnsi="宋体" w:eastAsia="宋体" w:cs="黑体"/>
          <w:color w:val="000000"/>
          <w:szCs w:val="21"/>
          <w:lang w:eastAsia="zh-CN"/>
        </w:rPr>
        <w:t>：</w:t>
      </w:r>
      <w:r>
        <w:rPr>
          <w:rFonts w:hint="eastAsia" w:ascii="宋体" w:hAnsi="宋体" w:eastAsia="宋体" w:cs="黑体"/>
          <w:color w:val="000000"/>
          <w:szCs w:val="21"/>
        </w:rPr>
        <w:t>支持</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lang w:val="en-US" w:eastAsia="zh-CN"/>
        </w:rPr>
        <w:t>输出数据：可用于直接打印的3D模型</w:t>
      </w:r>
    </w:p>
    <w:p>
      <w:pPr>
        <w:pStyle w:val="82"/>
        <w:widowControl/>
        <w:numPr>
          <w:ilvl w:val="0"/>
          <w:numId w:val="13"/>
        </w:numPr>
        <w:spacing w:line="360" w:lineRule="auto"/>
        <w:ind w:left="900" w:leftChars="200" w:hangingChars="200"/>
        <w:rPr>
          <w:rFonts w:hint="eastAsia" w:ascii="宋体" w:hAnsi="宋体" w:eastAsia="宋体" w:cs="黑体"/>
          <w:color w:val="000000"/>
          <w:szCs w:val="21"/>
        </w:rPr>
      </w:pPr>
      <w:r>
        <w:rPr>
          <w:rFonts w:hint="eastAsia" w:ascii="宋体" w:hAnsi="宋体" w:eastAsia="宋体" w:cs="黑体"/>
          <w:color w:val="000000"/>
          <w:szCs w:val="21"/>
          <w:lang w:val="en-US" w:eastAsia="zh-CN"/>
        </w:rPr>
        <w:t>接口：</w:t>
      </w:r>
      <w:r>
        <w:rPr>
          <w:rFonts w:hint="eastAsia" w:ascii="宋体" w:hAnsi="宋体" w:eastAsia="宋体" w:cs="黑体"/>
          <w:color w:val="000000"/>
          <w:szCs w:val="21"/>
        </w:rPr>
        <w:t>US</w:t>
      </w:r>
      <w:r>
        <w:rPr>
          <w:rFonts w:hint="eastAsia" w:ascii="宋体" w:hAnsi="宋体" w:eastAsia="宋体" w:cs="黑体"/>
          <w:color w:val="000000"/>
          <w:szCs w:val="21"/>
          <w:lang w:val="en-US" w:eastAsia="zh-CN"/>
        </w:rPr>
        <w:t>B2</w:t>
      </w:r>
      <w:r>
        <w:rPr>
          <w:rFonts w:hint="eastAsia" w:ascii="宋体" w:hAnsi="宋体" w:eastAsia="宋体" w:cs="黑体"/>
          <w:color w:val="000000"/>
          <w:szCs w:val="21"/>
        </w:rPr>
        <w:t>.0</w:t>
      </w:r>
      <w:r>
        <w:rPr>
          <w:rFonts w:hint="eastAsia" w:ascii="宋体" w:hAnsi="宋体" w:eastAsia="宋体" w:cs="黑体"/>
          <w:color w:val="000000"/>
          <w:szCs w:val="21"/>
          <w:lang w:val="en-US" w:eastAsia="zh-CN"/>
        </w:rPr>
        <w:t>及以上</w:t>
      </w:r>
    </w:p>
    <w:p>
      <w:pPr>
        <w:pStyle w:val="82"/>
        <w:numPr>
          <w:ilvl w:val="0"/>
          <w:numId w:val="5"/>
        </w:numPr>
        <w:spacing w:line="360" w:lineRule="auto"/>
        <w:ind w:firstLineChars="0"/>
        <w:rPr>
          <w:rFonts w:ascii="宋体" w:hAnsi="宋体"/>
          <w:b/>
          <w:szCs w:val="21"/>
        </w:rPr>
      </w:pPr>
      <w:r>
        <w:rPr>
          <w:rFonts w:hint="eastAsia" w:ascii="宋体" w:hAnsi="宋体"/>
          <w:b/>
          <w:szCs w:val="21"/>
          <w:lang w:val="en-US" w:eastAsia="zh-CN"/>
        </w:rPr>
        <w:t>设备使用</w:t>
      </w:r>
      <w:r>
        <w:rPr>
          <w:rFonts w:ascii="宋体" w:hAnsi="宋体"/>
          <w:b/>
          <w:szCs w:val="21"/>
        </w:rPr>
        <w:t>要求：</w:t>
      </w:r>
    </w:p>
    <w:p>
      <w:pPr>
        <w:pStyle w:val="82"/>
        <w:widowControl/>
        <w:numPr>
          <w:ilvl w:val="0"/>
          <w:numId w:val="14"/>
        </w:numPr>
        <w:spacing w:line="360" w:lineRule="auto"/>
        <w:ind w:left="840" w:leftChars="200" w:hangingChars="200"/>
        <w:rPr>
          <w:rFonts w:hint="eastAsia" w:ascii="宋体" w:hAnsi="宋体" w:eastAsia="宋体" w:cs="宋体"/>
          <w:sz w:val="21"/>
          <w:szCs w:val="21"/>
        </w:rPr>
      </w:pPr>
      <w:r>
        <w:rPr>
          <w:rFonts w:hint="eastAsia" w:ascii="宋体" w:hAnsi="宋体" w:eastAsia="宋体" w:cs="宋体"/>
          <w:sz w:val="21"/>
          <w:szCs w:val="21"/>
          <w:lang w:val="en-US" w:eastAsia="zh-CN"/>
        </w:rPr>
        <w:t>系</w:t>
      </w:r>
      <w:r>
        <w:rPr>
          <w:rFonts w:hint="eastAsia" w:ascii="宋体" w:hAnsi="宋体" w:eastAsia="宋体" w:cs="宋体"/>
          <w:sz w:val="21"/>
          <w:szCs w:val="21"/>
        </w:rPr>
        <w:t>统支持</w:t>
      </w:r>
      <w:r>
        <w:rPr>
          <w:rFonts w:hint="eastAsia" w:ascii="宋体" w:hAnsi="宋体" w:eastAsia="宋体" w:cs="宋体"/>
          <w:sz w:val="21"/>
          <w:szCs w:val="21"/>
          <w:lang w:eastAsia="zh-CN"/>
        </w:rPr>
        <w:t>：</w:t>
      </w:r>
      <w:r>
        <w:rPr>
          <w:rFonts w:hint="eastAsia" w:ascii="宋体" w:hAnsi="宋体" w:eastAsia="宋体" w:cs="宋体"/>
          <w:sz w:val="21"/>
          <w:szCs w:val="21"/>
        </w:rPr>
        <w:t>windows 8</w:t>
      </w:r>
      <w:r>
        <w:rPr>
          <w:rFonts w:hint="eastAsia" w:ascii="宋体" w:hAnsi="宋体" w:eastAsia="宋体" w:cs="宋体"/>
          <w:sz w:val="21"/>
          <w:szCs w:val="21"/>
          <w:lang w:val="en-US" w:eastAsia="zh-CN"/>
        </w:rPr>
        <w:t>\</w:t>
      </w:r>
      <w:r>
        <w:rPr>
          <w:rFonts w:hint="eastAsia" w:ascii="宋体" w:hAnsi="宋体" w:eastAsia="宋体" w:cs="宋体"/>
          <w:sz w:val="21"/>
          <w:szCs w:val="21"/>
        </w:rPr>
        <w:t>10, 64</w:t>
      </w:r>
      <w:r>
        <w:rPr>
          <w:rFonts w:hint="eastAsia" w:ascii="宋体" w:hAnsi="宋体" w:eastAsia="宋体" w:cs="宋体"/>
          <w:sz w:val="21"/>
          <w:szCs w:val="21"/>
          <w:lang w:val="en-US" w:eastAsia="zh-CN"/>
        </w:rPr>
        <w:t>·</w:t>
      </w:r>
      <w:r>
        <w:rPr>
          <w:rFonts w:hint="eastAsia" w:ascii="宋体" w:hAnsi="宋体" w:eastAsia="宋体" w:cs="宋体"/>
          <w:sz w:val="21"/>
          <w:szCs w:val="21"/>
        </w:rPr>
        <w:t>bit</w:t>
      </w:r>
    </w:p>
    <w:p>
      <w:pPr>
        <w:pStyle w:val="82"/>
        <w:widowControl/>
        <w:numPr>
          <w:ilvl w:val="0"/>
          <w:numId w:val="14"/>
        </w:numPr>
        <w:spacing w:line="360" w:lineRule="auto"/>
        <w:ind w:left="840" w:leftChars="200" w:hangingChars="200"/>
        <w:rPr>
          <w:rFonts w:hint="eastAsia" w:ascii="宋体" w:hAnsi="宋体" w:eastAsia="宋体" w:cs="宋体"/>
          <w:sz w:val="21"/>
          <w:szCs w:val="21"/>
        </w:rPr>
      </w:pPr>
      <w:r>
        <w:rPr>
          <w:rFonts w:hint="eastAsia" w:ascii="宋体" w:hAnsi="宋体" w:eastAsia="宋体" w:cs="宋体"/>
          <w:sz w:val="21"/>
          <w:szCs w:val="21"/>
        </w:rPr>
        <w:t>电脑最任配置要求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i</w:t>
      </w:r>
      <w:r>
        <w:rPr>
          <w:rFonts w:hint="eastAsia" w:ascii="宋体" w:hAnsi="宋体" w:eastAsia="宋体" w:cs="宋体"/>
          <w:sz w:val="21"/>
          <w:szCs w:val="21"/>
        </w:rPr>
        <w:t>5-6代及更高，内存8G，显存&gt;1G</w:t>
      </w:r>
    </w:p>
    <w:p>
      <w:pPr>
        <w:pStyle w:val="82"/>
        <w:widowControl/>
        <w:numPr>
          <w:ilvl w:val="0"/>
          <w:numId w:val="14"/>
        </w:numPr>
        <w:spacing w:line="360" w:lineRule="auto"/>
        <w:ind w:left="840" w:leftChars="200" w:hangingChars="200"/>
        <w:rPr>
          <w:rFonts w:hint="eastAsia" w:ascii="宋体" w:hAnsi="宋体" w:eastAsia="宋体" w:cs="宋体"/>
          <w:sz w:val="21"/>
          <w:szCs w:val="21"/>
        </w:rPr>
      </w:pPr>
      <w:r>
        <w:rPr>
          <w:rFonts w:hint="eastAsia" w:ascii="宋体" w:hAnsi="宋体" w:eastAsia="宋体" w:cs="宋体"/>
          <w:sz w:val="21"/>
          <w:szCs w:val="21"/>
        </w:rPr>
        <w:t>推荐配置</w:t>
      </w:r>
      <w:r>
        <w:rPr>
          <w:rFonts w:hint="eastAsia" w:ascii="宋体" w:hAnsi="宋体" w:eastAsia="宋体" w:cs="宋体"/>
          <w:sz w:val="21"/>
          <w:szCs w:val="21"/>
          <w:lang w:val="en-US" w:eastAsia="zh-CN"/>
        </w:rPr>
        <w:t>:i</w:t>
      </w:r>
      <w:r>
        <w:rPr>
          <w:rFonts w:hint="eastAsia" w:ascii="宋体" w:hAnsi="宋体" w:eastAsia="宋体" w:cs="宋体"/>
          <w:sz w:val="21"/>
          <w:szCs w:val="21"/>
        </w:rPr>
        <w:t>7-6代及更高，8G内存，显存&gt;2G</w:t>
      </w:r>
    </w:p>
    <w:p>
      <w:pPr>
        <w:pStyle w:val="82"/>
        <w:widowControl/>
        <w:numPr>
          <w:ilvl w:val="0"/>
          <w:numId w:val="14"/>
        </w:numPr>
        <w:spacing w:line="360" w:lineRule="auto"/>
        <w:ind w:left="840" w:leftChars="200" w:hangingChars="200"/>
        <w:rPr>
          <w:rFonts w:hint="eastAsia" w:ascii="宋体" w:hAnsi="宋体" w:eastAsia="宋体" w:cs="宋体"/>
          <w:sz w:val="21"/>
          <w:szCs w:val="21"/>
        </w:rPr>
      </w:pPr>
      <w:r>
        <w:rPr>
          <w:rFonts w:hint="eastAsia" w:ascii="宋体" w:hAnsi="宋体" w:eastAsia="宋体" w:cs="宋体"/>
          <w:sz w:val="21"/>
          <w:szCs w:val="21"/>
          <w:lang w:val="en-US" w:eastAsia="zh-CN"/>
        </w:rPr>
        <w:t>显示分辨率</w:t>
      </w:r>
      <w:r>
        <w:rPr>
          <w:rFonts w:hint="eastAsia" w:ascii="宋体" w:hAnsi="宋体" w:eastAsia="宋体" w:cs="宋体"/>
          <w:sz w:val="21"/>
          <w:szCs w:val="21"/>
        </w:rPr>
        <w:t>要求</w:t>
      </w:r>
      <w:r>
        <w:rPr>
          <w:rFonts w:hint="eastAsia" w:ascii="宋体" w:hAnsi="宋体" w:eastAsia="宋体" w:cs="宋体"/>
          <w:sz w:val="21"/>
          <w:szCs w:val="21"/>
          <w:lang w:eastAsia="zh-CN"/>
        </w:rPr>
        <w:t>：</w:t>
      </w:r>
      <w:r>
        <w:rPr>
          <w:rFonts w:hint="eastAsia" w:ascii="宋体" w:hAnsi="宋体" w:eastAsia="宋体" w:cs="宋体"/>
          <w:sz w:val="21"/>
          <w:szCs w:val="21"/>
        </w:rPr>
        <w:t>1280×720及以上</w:t>
      </w:r>
    </w:p>
    <w:p>
      <w:pPr>
        <w:pStyle w:val="82"/>
        <w:numPr>
          <w:ilvl w:val="0"/>
          <w:numId w:val="5"/>
        </w:numPr>
        <w:spacing w:line="360" w:lineRule="auto"/>
        <w:ind w:firstLineChars="0"/>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设备包装要求</w:t>
      </w:r>
    </w:p>
    <w:p>
      <w:pPr>
        <w:ind w:firstLine="420" w:firstLineChars="200"/>
        <w:rPr>
          <w:rFonts w:hint="default" w:ascii="Times New Roman" w:hAnsi="Times New Roman" w:eastAsia="宋体" w:cs="Times New Roman"/>
          <w:lang w:val="en-US"/>
        </w:rPr>
      </w:pPr>
      <w:r>
        <w:rPr>
          <w:rFonts w:hint="eastAsia" w:ascii="Times New Roman" w:hAnsi="Times New Roman" w:eastAsia="宋体" w:cs="Times New Roman"/>
          <w:lang w:val="en-US" w:eastAsia="zh-CN"/>
        </w:rPr>
        <w:t>设备配备专用设备箱或设备包，并配专用支架。</w:t>
      </w:r>
    </w:p>
    <w:p>
      <w:pPr>
        <w:autoSpaceDE w:val="0"/>
        <w:autoSpaceDN w:val="0"/>
        <w:adjustRightInd w:val="0"/>
        <w:rPr>
          <w:rFonts w:hint="eastAsia"/>
          <w:color w:val="000000"/>
          <w:sz w:val="22"/>
          <w:szCs w:val="22"/>
          <w:lang w:val="en-US" w:eastAsia="zh-CN"/>
        </w:rPr>
      </w:pPr>
    </w:p>
    <w:p>
      <w:pPr>
        <w:autoSpaceDE w:val="0"/>
        <w:autoSpaceDN w:val="0"/>
        <w:adjustRightInd w:val="0"/>
        <w:rPr>
          <w:rFonts w:hint="eastAsia"/>
          <w:color w:val="000000"/>
          <w:sz w:val="22"/>
          <w:szCs w:val="22"/>
        </w:rPr>
      </w:pPr>
      <w:r>
        <w:rPr>
          <w:rFonts w:hint="eastAsia"/>
          <w:color w:val="000000"/>
          <w:sz w:val="22"/>
          <w:szCs w:val="22"/>
          <w:lang w:val="en-US" w:eastAsia="zh-CN"/>
        </w:rPr>
        <w:t xml:space="preserve">2.9 </w:t>
      </w:r>
      <w:r>
        <w:rPr>
          <w:rFonts w:hint="eastAsia" w:ascii="宋体" w:hAnsi="宋体" w:eastAsia="宋体" w:cs="宋体"/>
          <w:color w:val="000000"/>
          <w:sz w:val="22"/>
          <w:szCs w:val="22"/>
          <w:lang w:val="en-US" w:eastAsia="zh-CN"/>
        </w:rPr>
        <w:t>手持式全彩3d扫描仪Sensepro</w:t>
      </w:r>
    </w:p>
    <w:p>
      <w:pPr>
        <w:spacing w:line="360" w:lineRule="auto"/>
        <w:ind w:firstLine="420" w:firstLineChars="200"/>
        <w:rPr>
          <w:rFonts w:ascii="宋体" w:hAnsi="宋体"/>
          <w:color w:val="000000"/>
          <w:szCs w:val="21"/>
        </w:rPr>
      </w:pPr>
      <w:r>
        <w:rPr>
          <w:rFonts w:hint="eastAsia" w:ascii="宋体" w:hAnsi="宋体"/>
          <w:szCs w:val="21"/>
        </w:rPr>
        <w:t>投标供应商需</w:t>
      </w:r>
      <w:r>
        <w:rPr>
          <w:rFonts w:ascii="宋体" w:hAnsi="宋体"/>
          <w:szCs w:val="21"/>
        </w:rPr>
        <w:t>提供</w:t>
      </w:r>
      <w:r>
        <w:rPr>
          <w:rFonts w:hint="eastAsia" w:ascii="宋体" w:hAnsi="宋体"/>
          <w:szCs w:val="21"/>
        </w:rPr>
        <w:t>相</w:t>
      </w:r>
      <w:r>
        <w:rPr>
          <w:rFonts w:ascii="宋体" w:hAnsi="宋体"/>
          <w:szCs w:val="21"/>
        </w:rPr>
        <w:t>对应的</w:t>
      </w:r>
      <w:r>
        <w:rPr>
          <w:rFonts w:hint="eastAsia" w:ascii="宋体" w:hAnsi="宋体"/>
          <w:szCs w:val="21"/>
        </w:rPr>
        <w:t>技</w:t>
      </w:r>
      <w:r>
        <w:rPr>
          <w:rFonts w:ascii="宋体" w:hAnsi="宋体"/>
          <w:szCs w:val="21"/>
        </w:rPr>
        <w:t>术图纸、图片、软件等</w:t>
      </w:r>
      <w:r>
        <w:rPr>
          <w:rFonts w:hint="eastAsia" w:ascii="宋体" w:hAnsi="宋体"/>
          <w:szCs w:val="21"/>
        </w:rPr>
        <w:t>，并提供</w:t>
      </w:r>
      <w:r>
        <w:rPr>
          <w:rFonts w:hint="eastAsia" w:ascii="宋体" w:hAnsi="宋体"/>
          <w:szCs w:val="21"/>
          <w:lang w:val="en-US" w:eastAsia="zh-CN"/>
        </w:rPr>
        <w:t>产品说明与使用培训材料。</w:t>
      </w:r>
      <w:r>
        <w:rPr>
          <w:rFonts w:hint="eastAsia" w:ascii="宋体" w:hAnsi="宋体"/>
          <w:color w:val="000000"/>
          <w:szCs w:val="21"/>
          <w:lang w:val="en-US" w:eastAsia="zh-CN"/>
        </w:rPr>
        <w:t>设备为整体手持式，使用时为手持，也可使用支架进行固定扫描，扫描数据通过接口传输至计算机，并通过配套软件进行显示与处理</w:t>
      </w:r>
      <w:r>
        <w:rPr>
          <w:rFonts w:hint="eastAsia" w:ascii="宋体" w:hAnsi="宋体"/>
          <w:color w:val="000000"/>
          <w:szCs w:val="21"/>
        </w:rPr>
        <w:t>。</w:t>
      </w:r>
    </w:p>
    <w:p>
      <w:pPr>
        <w:pStyle w:val="82"/>
        <w:numPr>
          <w:ilvl w:val="0"/>
          <w:numId w:val="5"/>
        </w:numPr>
        <w:spacing w:line="360" w:lineRule="auto"/>
        <w:ind w:firstLineChars="0"/>
        <w:rPr>
          <w:rFonts w:ascii="宋体" w:hAnsi="宋体"/>
          <w:b/>
          <w:szCs w:val="21"/>
        </w:rPr>
      </w:pPr>
      <w:r>
        <w:rPr>
          <w:rFonts w:hint="eastAsia" w:ascii="宋体" w:hAnsi="宋体"/>
          <w:b/>
          <w:szCs w:val="21"/>
          <w:lang w:val="en-US" w:eastAsia="zh-CN"/>
        </w:rPr>
        <w:t>设备性能参数</w:t>
      </w:r>
      <w:r>
        <w:rPr>
          <w:rFonts w:ascii="宋体" w:hAnsi="宋体"/>
          <w:b/>
          <w:szCs w:val="21"/>
        </w:rPr>
        <w:t>要求：</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lang w:val="en-US" w:eastAsia="zh-CN"/>
        </w:rPr>
        <w:t>设备质量：≤1000g</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设备尺寸</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15.5</w:t>
      </w:r>
      <w:r>
        <w:rPr>
          <w:rFonts w:hint="eastAsia" w:ascii="宋体" w:hAnsi="宋体" w:eastAsia="宋体" w:cs="黑体"/>
          <w:color w:val="000000"/>
          <w:szCs w:val="21"/>
        </w:rPr>
        <w:t>cm×</w:t>
      </w:r>
      <w:r>
        <w:rPr>
          <w:rFonts w:hint="eastAsia" w:ascii="宋体" w:hAnsi="宋体" w:eastAsia="宋体" w:cs="黑体"/>
          <w:color w:val="000000"/>
          <w:szCs w:val="21"/>
          <w:lang w:val="en-US" w:eastAsia="zh-CN"/>
        </w:rPr>
        <w:t>3.8</w:t>
      </w:r>
      <w:r>
        <w:rPr>
          <w:rFonts w:hint="eastAsia" w:ascii="宋体" w:hAnsi="宋体" w:eastAsia="宋体" w:cs="黑体"/>
          <w:color w:val="000000"/>
          <w:szCs w:val="21"/>
        </w:rPr>
        <w:t>cm×</w:t>
      </w:r>
      <w:r>
        <w:rPr>
          <w:rFonts w:hint="eastAsia" w:ascii="宋体" w:hAnsi="宋体" w:eastAsia="宋体" w:cs="黑体"/>
          <w:color w:val="000000"/>
          <w:szCs w:val="21"/>
          <w:lang w:val="en-US" w:eastAsia="zh-CN"/>
        </w:rPr>
        <w:t>2.6</w:t>
      </w:r>
      <w:r>
        <w:rPr>
          <w:rFonts w:hint="eastAsia" w:ascii="宋体" w:hAnsi="宋体" w:eastAsia="宋体" w:cs="黑体"/>
          <w:color w:val="000000"/>
          <w:szCs w:val="21"/>
        </w:rPr>
        <w:t>cm</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单幅扫描精度</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0.</w:t>
      </w:r>
      <w:r>
        <w:rPr>
          <w:rFonts w:hint="eastAsia" w:ascii="宋体" w:hAnsi="宋体" w:eastAsia="宋体" w:cs="黑体"/>
          <w:color w:val="000000"/>
          <w:szCs w:val="21"/>
        </w:rPr>
        <w:t>0</w:t>
      </w:r>
      <w:r>
        <w:rPr>
          <w:rFonts w:hint="eastAsia" w:ascii="宋体" w:hAnsi="宋体" w:eastAsia="宋体" w:cs="黑体"/>
          <w:color w:val="000000"/>
          <w:szCs w:val="21"/>
          <w:lang w:val="en-US" w:eastAsia="zh-CN"/>
        </w:rPr>
        <w:t>5</w:t>
      </w:r>
      <w:r>
        <w:rPr>
          <w:rFonts w:hint="eastAsia" w:ascii="宋体" w:hAnsi="宋体" w:eastAsia="宋体" w:cs="黑体"/>
          <w:color w:val="000000"/>
          <w:szCs w:val="21"/>
        </w:rPr>
        <w:t>mm</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深度分牌率</w:t>
      </w:r>
      <w:r>
        <w:rPr>
          <w:rFonts w:hint="eastAsia" w:ascii="宋体" w:hAnsi="宋体" w:eastAsia="宋体" w:cs="黑体"/>
          <w:color w:val="000000"/>
          <w:szCs w:val="21"/>
          <w:lang w:eastAsia="zh-CN"/>
        </w:rPr>
        <w:t>：</w:t>
      </w:r>
      <w:r>
        <w:rPr>
          <w:rFonts w:hint="eastAsia" w:ascii="宋体" w:hAnsi="宋体" w:eastAsia="宋体" w:cs="黑体"/>
          <w:color w:val="000000"/>
          <w:szCs w:val="21"/>
        </w:rPr>
        <w:t>64万点/秒</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体积精度</w:t>
      </w:r>
      <w:r>
        <w:rPr>
          <w:rFonts w:hint="eastAsia" w:ascii="宋体" w:hAnsi="宋体" w:eastAsia="宋体" w:cs="黑体"/>
          <w:color w:val="000000"/>
          <w:szCs w:val="21"/>
          <w:lang w:eastAsia="zh-CN"/>
        </w:rPr>
        <w:t>：</w:t>
      </w:r>
      <w:r>
        <w:rPr>
          <w:rFonts w:hint="eastAsia" w:ascii="宋体" w:hAnsi="宋体" w:eastAsia="宋体" w:cs="黑体"/>
          <w:color w:val="000000"/>
          <w:szCs w:val="21"/>
        </w:rPr>
        <w:t>0.5mm/m</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深度图像大小</w:t>
      </w:r>
      <w:r>
        <w:rPr>
          <w:rFonts w:hint="eastAsia" w:ascii="宋体" w:hAnsi="宋体" w:eastAsia="宋体" w:cs="黑体"/>
          <w:color w:val="000000"/>
          <w:szCs w:val="21"/>
          <w:lang w:eastAsia="zh-CN"/>
        </w:rPr>
        <w:t>：</w:t>
      </w:r>
      <w:r>
        <w:rPr>
          <w:rFonts w:hint="eastAsia" w:ascii="宋体" w:hAnsi="宋体" w:eastAsia="宋体" w:cs="黑体"/>
          <w:color w:val="000000"/>
          <w:szCs w:val="21"/>
        </w:rPr>
        <w:t>640×400px</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单幅扫描范压</w:t>
      </w:r>
      <w:r>
        <w:rPr>
          <w:rFonts w:hint="eastAsia" w:ascii="宋体" w:hAnsi="宋体" w:eastAsia="宋体" w:cs="黑体"/>
          <w:color w:val="000000"/>
          <w:szCs w:val="21"/>
          <w:lang w:eastAsia="zh-CN"/>
        </w:rPr>
        <w:t>：</w:t>
      </w:r>
      <w:r>
        <w:rPr>
          <w:rFonts w:hint="eastAsia" w:ascii="宋体" w:hAnsi="宋体" w:eastAsia="宋体" w:cs="黑体"/>
          <w:color w:val="000000"/>
          <w:szCs w:val="21"/>
        </w:rPr>
        <w:t>210mm×130mm</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彩色图像大小</w:t>
      </w:r>
      <w:r>
        <w:rPr>
          <w:rFonts w:hint="eastAsia" w:ascii="宋体" w:hAnsi="宋体" w:eastAsia="宋体" w:cs="黑体"/>
          <w:color w:val="000000"/>
          <w:szCs w:val="21"/>
          <w:lang w:eastAsia="zh-CN"/>
        </w:rPr>
        <w:t>：</w:t>
      </w:r>
      <w:r>
        <w:rPr>
          <w:rFonts w:hint="eastAsia" w:ascii="宋体" w:hAnsi="宋体" w:eastAsia="宋体" w:cs="黑体"/>
          <w:color w:val="000000"/>
          <w:szCs w:val="21"/>
        </w:rPr>
        <w:t>1920×1080px</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工作距离</w:t>
      </w:r>
      <w:r>
        <w:rPr>
          <w:rFonts w:hint="eastAsia" w:ascii="宋体" w:hAnsi="宋体" w:eastAsia="宋体" w:cs="黑体"/>
          <w:color w:val="000000"/>
          <w:szCs w:val="21"/>
          <w:lang w:eastAsia="zh-CN"/>
        </w:rPr>
        <w:t>：</w:t>
      </w:r>
      <w:r>
        <w:rPr>
          <w:rFonts w:hint="eastAsia" w:ascii="宋体" w:hAnsi="宋体" w:eastAsia="宋体" w:cs="黑体"/>
          <w:color w:val="000000"/>
          <w:szCs w:val="21"/>
        </w:rPr>
        <w:t>200-800mm</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光源停级</w:t>
      </w:r>
      <w:r>
        <w:rPr>
          <w:rFonts w:hint="eastAsia" w:ascii="宋体" w:hAnsi="宋体" w:eastAsia="宋体" w:cs="黑体"/>
          <w:color w:val="000000"/>
          <w:szCs w:val="21"/>
          <w:lang w:eastAsia="zh-CN"/>
        </w:rPr>
        <w:t>：</w:t>
      </w:r>
      <w:r>
        <w:rPr>
          <w:rFonts w:hint="eastAsia" w:ascii="宋体" w:hAnsi="宋体" w:eastAsia="宋体" w:cs="黑体"/>
          <w:color w:val="000000"/>
          <w:szCs w:val="21"/>
        </w:rPr>
        <w:t>1级红外激光(人眼安全)</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最小扫描体积</w:t>
      </w:r>
      <w:r>
        <w:rPr>
          <w:rFonts w:hint="eastAsia" w:ascii="宋体" w:hAnsi="宋体" w:eastAsia="宋体" w:cs="黑体"/>
          <w:color w:val="000000"/>
          <w:szCs w:val="21"/>
          <w:lang w:eastAsia="zh-CN"/>
        </w:rPr>
        <w:t>：</w:t>
      </w:r>
      <w:r>
        <w:rPr>
          <w:rFonts w:hint="eastAsia" w:ascii="宋体" w:hAnsi="宋体" w:eastAsia="宋体" w:cs="黑体"/>
          <w:color w:val="000000"/>
          <w:szCs w:val="21"/>
        </w:rPr>
        <w:t>50×50×50mm</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lang w:val="en-US" w:eastAsia="zh-CN"/>
        </w:rPr>
        <w:t>应用技术：红外线双目结构光</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拼接方式</w:t>
      </w:r>
      <w:r>
        <w:rPr>
          <w:rFonts w:hint="eastAsia" w:ascii="宋体" w:hAnsi="宋体" w:eastAsia="宋体" w:cs="黑体"/>
          <w:color w:val="000000"/>
          <w:szCs w:val="21"/>
          <w:lang w:eastAsia="zh-CN"/>
        </w:rPr>
        <w:t>：</w:t>
      </w:r>
      <w:r>
        <w:rPr>
          <w:rFonts w:hint="eastAsia" w:ascii="宋体" w:hAnsi="宋体" w:eastAsia="宋体" w:cs="黑体"/>
          <w:color w:val="000000"/>
          <w:szCs w:val="21"/>
        </w:rPr>
        <w:t>特征拼接;标记点拼接</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最大扫描体积</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无</w:t>
      </w:r>
      <w:r>
        <w:rPr>
          <w:rFonts w:hint="eastAsia" w:ascii="宋体" w:hAnsi="宋体" w:eastAsia="宋体" w:cs="黑体"/>
          <w:color w:val="000000"/>
          <w:szCs w:val="21"/>
        </w:rPr>
        <w:t>限制，只是非常大的会比较难扫描，同比精度也会有所下降</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扫描速度</w:t>
      </w:r>
      <w:r>
        <w:rPr>
          <w:rFonts w:hint="eastAsia" w:ascii="宋体" w:hAnsi="宋体" w:eastAsia="宋体" w:cs="黑体"/>
          <w:color w:val="000000"/>
          <w:szCs w:val="21"/>
          <w:lang w:eastAsia="zh-CN"/>
        </w:rPr>
        <w:t>：</w:t>
      </w:r>
      <w:r>
        <w:rPr>
          <w:rFonts w:hint="eastAsia" w:ascii="宋体" w:hAnsi="宋体" w:eastAsia="宋体" w:cs="黑体"/>
          <w:color w:val="000000"/>
          <w:szCs w:val="21"/>
        </w:rPr>
        <w:t>10FPS</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输出格式</w:t>
      </w:r>
      <w:r>
        <w:rPr>
          <w:rFonts w:hint="eastAsia" w:ascii="宋体" w:hAnsi="宋体" w:eastAsia="宋体" w:cs="黑体"/>
          <w:color w:val="000000"/>
          <w:szCs w:val="21"/>
          <w:lang w:eastAsia="zh-CN"/>
        </w:rPr>
        <w:t>：</w:t>
      </w:r>
      <w:r>
        <w:rPr>
          <w:rFonts w:hint="eastAsia" w:ascii="宋体" w:hAnsi="宋体" w:eastAsia="宋体" w:cs="黑体"/>
          <w:color w:val="000000"/>
          <w:szCs w:val="21"/>
        </w:rPr>
        <w:t>STL、PLY、OBJ</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rPr>
        <w:t>纹理扫描</w:t>
      </w:r>
      <w:r>
        <w:rPr>
          <w:rFonts w:hint="eastAsia" w:ascii="宋体" w:hAnsi="宋体" w:eastAsia="宋体" w:cs="黑体"/>
          <w:color w:val="000000"/>
          <w:szCs w:val="21"/>
          <w:lang w:eastAsia="zh-CN"/>
        </w:rPr>
        <w:t>：</w:t>
      </w:r>
      <w:r>
        <w:rPr>
          <w:rFonts w:hint="eastAsia" w:ascii="宋体" w:hAnsi="宋体" w:eastAsia="宋体" w:cs="黑体"/>
          <w:color w:val="000000"/>
          <w:szCs w:val="21"/>
        </w:rPr>
        <w:t>支持</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lang w:val="en-US" w:eastAsia="zh-CN"/>
        </w:rPr>
        <w:t>输出数据：可用于直接打印的3D模型</w:t>
      </w:r>
    </w:p>
    <w:p>
      <w:pPr>
        <w:pStyle w:val="82"/>
        <w:widowControl/>
        <w:numPr>
          <w:ilvl w:val="0"/>
          <w:numId w:val="15"/>
        </w:numPr>
        <w:spacing w:line="360" w:lineRule="auto"/>
        <w:ind w:leftChars="200" w:firstLine="0" w:firstLineChars="0"/>
        <w:rPr>
          <w:rFonts w:hint="eastAsia" w:ascii="宋体" w:hAnsi="宋体" w:eastAsia="宋体" w:cs="黑体"/>
          <w:color w:val="000000"/>
          <w:szCs w:val="21"/>
        </w:rPr>
      </w:pPr>
      <w:r>
        <w:rPr>
          <w:rFonts w:hint="eastAsia" w:ascii="宋体" w:hAnsi="宋体" w:eastAsia="宋体" w:cs="黑体"/>
          <w:color w:val="000000"/>
          <w:szCs w:val="21"/>
          <w:lang w:val="en-US" w:eastAsia="zh-CN"/>
        </w:rPr>
        <w:t>接口：</w:t>
      </w:r>
      <w:r>
        <w:rPr>
          <w:rFonts w:hint="eastAsia" w:ascii="宋体" w:hAnsi="宋体" w:eastAsia="宋体" w:cs="黑体"/>
          <w:color w:val="000000"/>
          <w:szCs w:val="21"/>
        </w:rPr>
        <w:t>US</w:t>
      </w:r>
      <w:r>
        <w:rPr>
          <w:rFonts w:hint="eastAsia" w:ascii="宋体" w:hAnsi="宋体" w:eastAsia="宋体" w:cs="黑体"/>
          <w:color w:val="000000"/>
          <w:szCs w:val="21"/>
          <w:lang w:val="en-US" w:eastAsia="zh-CN"/>
        </w:rPr>
        <w:t>B</w:t>
      </w:r>
      <w:r>
        <w:rPr>
          <w:rFonts w:hint="eastAsia" w:ascii="宋体" w:hAnsi="宋体" w:eastAsia="宋体" w:cs="黑体"/>
          <w:color w:val="000000"/>
          <w:szCs w:val="21"/>
        </w:rPr>
        <w:t>3.0</w:t>
      </w:r>
    </w:p>
    <w:p>
      <w:pPr>
        <w:pStyle w:val="82"/>
        <w:numPr>
          <w:ilvl w:val="0"/>
          <w:numId w:val="5"/>
        </w:numPr>
        <w:spacing w:line="360" w:lineRule="auto"/>
        <w:ind w:firstLineChars="0"/>
        <w:rPr>
          <w:rFonts w:ascii="宋体" w:hAnsi="宋体"/>
          <w:b/>
          <w:szCs w:val="21"/>
        </w:rPr>
      </w:pPr>
      <w:r>
        <w:rPr>
          <w:rFonts w:hint="eastAsia" w:ascii="宋体" w:hAnsi="宋体"/>
          <w:b/>
          <w:szCs w:val="21"/>
          <w:lang w:val="en-US" w:eastAsia="zh-CN"/>
        </w:rPr>
        <w:t>设备使用</w:t>
      </w:r>
      <w:r>
        <w:rPr>
          <w:rFonts w:ascii="宋体" w:hAnsi="宋体"/>
          <w:b/>
          <w:szCs w:val="21"/>
        </w:rPr>
        <w:t>要求：</w:t>
      </w:r>
    </w:p>
    <w:p>
      <w:pPr>
        <w:pStyle w:val="82"/>
        <w:widowControl/>
        <w:numPr>
          <w:ilvl w:val="0"/>
          <w:numId w:val="16"/>
        </w:numPr>
        <w:spacing w:line="360" w:lineRule="auto"/>
        <w:ind w:left="0" w:leftChars="0" w:firstLineChars="0"/>
        <w:rPr>
          <w:rFonts w:hint="eastAsia" w:ascii="宋体" w:hAnsi="宋体" w:eastAsia="宋体" w:cs="黑体"/>
          <w:color w:val="000000"/>
          <w:szCs w:val="21"/>
        </w:rPr>
      </w:pPr>
      <w:r>
        <w:rPr>
          <w:rFonts w:hint="eastAsia" w:ascii="宋体" w:hAnsi="宋体" w:eastAsia="宋体" w:cs="黑体"/>
          <w:color w:val="000000"/>
          <w:szCs w:val="21"/>
        </w:rPr>
        <w:t>输出可直接打印数据</w:t>
      </w:r>
      <w:r>
        <w:rPr>
          <w:rFonts w:hint="eastAsia" w:ascii="宋体" w:hAnsi="宋体" w:eastAsia="宋体" w:cs="黑体"/>
          <w:color w:val="000000"/>
          <w:szCs w:val="21"/>
          <w:lang w:eastAsia="zh-CN"/>
        </w:rPr>
        <w:t>：</w:t>
      </w:r>
      <w:r>
        <w:rPr>
          <w:rFonts w:hint="eastAsia" w:ascii="宋体" w:hAnsi="宋体" w:eastAsia="宋体" w:cs="黑体"/>
          <w:color w:val="000000"/>
          <w:szCs w:val="21"/>
        </w:rPr>
        <w:t>支持</w:t>
      </w:r>
    </w:p>
    <w:p>
      <w:pPr>
        <w:pStyle w:val="82"/>
        <w:widowControl/>
        <w:numPr>
          <w:ilvl w:val="0"/>
          <w:numId w:val="16"/>
        </w:numPr>
        <w:spacing w:line="360" w:lineRule="auto"/>
        <w:ind w:left="0" w:leftChars="0" w:firstLineChars="0"/>
        <w:rPr>
          <w:rFonts w:hint="eastAsia" w:ascii="宋体" w:hAnsi="宋体" w:eastAsia="宋体" w:cs="黑体"/>
          <w:color w:val="000000"/>
          <w:szCs w:val="21"/>
        </w:rPr>
      </w:pPr>
      <w:r>
        <w:rPr>
          <w:rFonts w:hint="eastAsia" w:ascii="宋体" w:hAnsi="宋体" w:eastAsia="宋体" w:cs="黑体"/>
          <w:color w:val="000000"/>
          <w:szCs w:val="21"/>
          <w:lang w:val="en-US" w:eastAsia="zh-CN"/>
        </w:rPr>
        <w:t>系</w:t>
      </w:r>
      <w:r>
        <w:rPr>
          <w:rFonts w:hint="eastAsia" w:ascii="宋体" w:hAnsi="宋体" w:eastAsia="宋体" w:cs="黑体"/>
          <w:color w:val="000000"/>
          <w:szCs w:val="21"/>
        </w:rPr>
        <w:t>统支持</w:t>
      </w:r>
      <w:r>
        <w:rPr>
          <w:rFonts w:hint="eastAsia" w:ascii="宋体" w:hAnsi="宋体" w:eastAsia="宋体" w:cs="黑体"/>
          <w:color w:val="000000"/>
          <w:szCs w:val="21"/>
          <w:lang w:eastAsia="zh-CN"/>
        </w:rPr>
        <w:t>：</w:t>
      </w:r>
      <w:r>
        <w:rPr>
          <w:rFonts w:hint="eastAsia" w:ascii="宋体" w:hAnsi="宋体" w:eastAsia="宋体" w:cs="黑体"/>
          <w:color w:val="000000"/>
          <w:szCs w:val="21"/>
        </w:rPr>
        <w:t>windows 8</w:t>
      </w:r>
      <w:r>
        <w:rPr>
          <w:rFonts w:hint="eastAsia" w:ascii="宋体" w:hAnsi="宋体" w:eastAsia="宋体" w:cs="黑体"/>
          <w:color w:val="000000"/>
          <w:szCs w:val="21"/>
          <w:lang w:val="en-US" w:eastAsia="zh-CN"/>
        </w:rPr>
        <w:t>\</w:t>
      </w:r>
      <w:r>
        <w:rPr>
          <w:rFonts w:hint="eastAsia" w:ascii="宋体" w:hAnsi="宋体" w:eastAsia="宋体" w:cs="黑体"/>
          <w:color w:val="000000"/>
          <w:szCs w:val="21"/>
        </w:rPr>
        <w:t>10, 64</w:t>
      </w:r>
      <w:r>
        <w:rPr>
          <w:rFonts w:hint="eastAsia" w:ascii="宋体" w:hAnsi="宋体" w:eastAsia="宋体" w:cs="黑体"/>
          <w:color w:val="000000"/>
          <w:szCs w:val="21"/>
          <w:lang w:val="en-US" w:eastAsia="zh-CN"/>
        </w:rPr>
        <w:t>·</w:t>
      </w:r>
      <w:r>
        <w:rPr>
          <w:rFonts w:hint="eastAsia" w:ascii="宋体" w:hAnsi="宋体" w:eastAsia="宋体" w:cs="黑体"/>
          <w:color w:val="000000"/>
          <w:szCs w:val="21"/>
        </w:rPr>
        <w:t>bit</w:t>
      </w:r>
    </w:p>
    <w:p>
      <w:pPr>
        <w:pStyle w:val="82"/>
        <w:widowControl/>
        <w:numPr>
          <w:ilvl w:val="0"/>
          <w:numId w:val="16"/>
        </w:numPr>
        <w:spacing w:line="360" w:lineRule="auto"/>
        <w:ind w:left="0" w:leftChars="0" w:firstLineChars="0"/>
        <w:rPr>
          <w:rFonts w:hint="eastAsia" w:ascii="宋体" w:hAnsi="宋体" w:eastAsia="宋体" w:cs="黑体"/>
          <w:color w:val="000000"/>
          <w:szCs w:val="21"/>
        </w:rPr>
      </w:pPr>
      <w:r>
        <w:rPr>
          <w:rFonts w:hint="eastAsia" w:ascii="宋体" w:hAnsi="宋体" w:eastAsia="宋体" w:cs="黑体"/>
          <w:color w:val="000000"/>
          <w:szCs w:val="21"/>
        </w:rPr>
        <w:t>电脑最任配置要求</w:t>
      </w:r>
      <w:r>
        <w:rPr>
          <w:rFonts w:hint="eastAsia" w:ascii="宋体" w:hAnsi="宋体" w:eastAsia="宋体" w:cs="黑体"/>
          <w:color w:val="000000"/>
          <w:szCs w:val="21"/>
          <w:lang w:eastAsia="zh-CN"/>
        </w:rPr>
        <w:t>：</w:t>
      </w:r>
      <w:r>
        <w:rPr>
          <w:rFonts w:hint="eastAsia" w:ascii="宋体" w:hAnsi="宋体" w:eastAsia="宋体" w:cs="黑体"/>
          <w:color w:val="000000"/>
          <w:szCs w:val="21"/>
          <w:lang w:val="en-US" w:eastAsia="zh-CN"/>
        </w:rPr>
        <w:t>i</w:t>
      </w:r>
      <w:r>
        <w:rPr>
          <w:rFonts w:hint="eastAsia" w:ascii="宋体" w:hAnsi="宋体" w:eastAsia="宋体" w:cs="黑体"/>
          <w:color w:val="000000"/>
          <w:szCs w:val="21"/>
        </w:rPr>
        <w:t>5-6代及更高，内存8G，显存&gt;1G</w:t>
      </w:r>
    </w:p>
    <w:p>
      <w:pPr>
        <w:pStyle w:val="82"/>
        <w:widowControl/>
        <w:numPr>
          <w:ilvl w:val="0"/>
          <w:numId w:val="16"/>
        </w:numPr>
        <w:spacing w:line="360" w:lineRule="auto"/>
        <w:ind w:left="0" w:leftChars="0" w:firstLineChars="0"/>
        <w:rPr>
          <w:rFonts w:hint="eastAsia" w:ascii="宋体" w:hAnsi="宋体" w:eastAsia="宋体" w:cs="黑体"/>
          <w:color w:val="000000"/>
          <w:szCs w:val="21"/>
        </w:rPr>
      </w:pPr>
      <w:r>
        <w:rPr>
          <w:rFonts w:hint="eastAsia" w:ascii="宋体" w:hAnsi="宋体" w:eastAsia="宋体" w:cs="黑体"/>
          <w:color w:val="000000"/>
          <w:szCs w:val="21"/>
        </w:rPr>
        <w:t>推荐配置</w:t>
      </w:r>
      <w:r>
        <w:rPr>
          <w:rFonts w:hint="eastAsia" w:ascii="宋体" w:hAnsi="宋体" w:eastAsia="宋体" w:cs="黑体"/>
          <w:color w:val="000000"/>
          <w:szCs w:val="21"/>
          <w:lang w:val="en-US" w:eastAsia="zh-CN"/>
        </w:rPr>
        <w:t>:i</w:t>
      </w:r>
      <w:r>
        <w:rPr>
          <w:rFonts w:hint="eastAsia" w:ascii="宋体" w:hAnsi="宋体" w:eastAsia="宋体" w:cs="黑体"/>
          <w:color w:val="000000"/>
          <w:szCs w:val="21"/>
        </w:rPr>
        <w:t>7-6代及更高，8G内存，显存&gt;2G</w:t>
      </w:r>
    </w:p>
    <w:p>
      <w:pPr>
        <w:pStyle w:val="82"/>
        <w:widowControl/>
        <w:numPr>
          <w:ilvl w:val="0"/>
          <w:numId w:val="16"/>
        </w:numPr>
        <w:spacing w:line="360" w:lineRule="auto"/>
        <w:ind w:left="0" w:leftChars="0" w:firstLineChars="0"/>
        <w:rPr>
          <w:rFonts w:hint="eastAsia" w:ascii="宋体" w:hAnsi="宋体" w:eastAsia="宋体" w:cs="黑体"/>
          <w:color w:val="000000"/>
          <w:szCs w:val="21"/>
        </w:rPr>
      </w:pPr>
      <w:r>
        <w:rPr>
          <w:rFonts w:hint="eastAsia" w:ascii="宋体" w:hAnsi="宋体" w:eastAsia="宋体" w:cs="黑体"/>
          <w:color w:val="000000"/>
          <w:szCs w:val="21"/>
          <w:lang w:val="en-US" w:eastAsia="zh-CN"/>
        </w:rPr>
        <w:t>显示分辨率</w:t>
      </w:r>
      <w:r>
        <w:rPr>
          <w:rFonts w:hint="eastAsia" w:ascii="宋体" w:hAnsi="宋体" w:eastAsia="宋体" w:cs="黑体"/>
          <w:color w:val="000000"/>
          <w:szCs w:val="21"/>
        </w:rPr>
        <w:t>要求</w:t>
      </w:r>
      <w:r>
        <w:rPr>
          <w:rFonts w:hint="eastAsia" w:ascii="宋体" w:hAnsi="宋体" w:eastAsia="宋体" w:cs="黑体"/>
          <w:color w:val="000000"/>
          <w:szCs w:val="21"/>
          <w:lang w:eastAsia="zh-CN"/>
        </w:rPr>
        <w:t>：</w:t>
      </w:r>
      <w:r>
        <w:rPr>
          <w:rFonts w:hint="eastAsia" w:ascii="宋体" w:hAnsi="宋体" w:eastAsia="宋体" w:cs="黑体"/>
          <w:color w:val="000000"/>
          <w:szCs w:val="21"/>
        </w:rPr>
        <w:t>1280×720及以上</w:t>
      </w:r>
    </w:p>
    <w:p>
      <w:pPr>
        <w:pStyle w:val="82"/>
        <w:numPr>
          <w:ilvl w:val="0"/>
          <w:numId w:val="5"/>
        </w:numPr>
        <w:spacing w:line="360" w:lineRule="auto"/>
        <w:ind w:firstLineChars="0"/>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设备包装要求</w:t>
      </w:r>
    </w:p>
    <w:p>
      <w:pPr>
        <w:ind w:firstLine="420" w:firstLineChars="200"/>
        <w:rPr>
          <w:rFonts w:hint="default" w:ascii="Times New Roman" w:hAnsi="Times New Roman" w:eastAsia="宋体" w:cs="Times New Roman"/>
          <w:lang w:val="en-US"/>
        </w:rPr>
      </w:pPr>
      <w:r>
        <w:rPr>
          <w:rFonts w:hint="eastAsia" w:ascii="Times New Roman" w:hAnsi="Times New Roman" w:eastAsia="宋体" w:cs="Times New Roman"/>
          <w:lang w:val="en-US" w:eastAsia="zh-CN"/>
        </w:rPr>
        <w:t>设备配备专用设备箱或设备包，并配专用支架。</w:t>
      </w:r>
    </w:p>
    <w:p>
      <w:pPr>
        <w:widowControl/>
        <w:numPr>
          <w:ilvl w:val="0"/>
          <w:numId w:val="0"/>
        </w:numPr>
        <w:spacing w:line="360" w:lineRule="auto"/>
        <w:jc w:val="left"/>
        <w:rPr>
          <w:rFonts w:hint="default" w:ascii="宋体" w:hAnsi="宋体" w:eastAsia="宋体" w:cs="Times New Roman"/>
          <w:color w:val="000000"/>
          <w:szCs w:val="21"/>
          <w:lang w:val="en-US" w:eastAsia="zh-CN"/>
        </w:rPr>
      </w:pPr>
    </w:p>
    <w:p>
      <w:pPr>
        <w:spacing w:line="360" w:lineRule="auto"/>
        <w:rPr>
          <w:rFonts w:hint="eastAsia"/>
          <w:b/>
        </w:rPr>
      </w:pPr>
      <w:r>
        <w:rPr>
          <w:rFonts w:hint="eastAsia"/>
          <w:b/>
        </w:rPr>
        <w:t>3  售后服务</w:t>
      </w:r>
    </w:p>
    <w:p>
      <w:pPr>
        <w:spacing w:line="360" w:lineRule="auto"/>
        <w:rPr>
          <w:rFonts w:hint="eastAsia" w:eastAsia="宋体"/>
          <w:lang w:eastAsia="zh-CN"/>
        </w:rPr>
      </w:pPr>
      <w:r>
        <w:rPr>
          <w:rFonts w:hint="eastAsia"/>
        </w:rPr>
        <w:t>3.1  产品质量按中华人民共和国有关质量标准实行“三包”服务</w:t>
      </w:r>
      <w:r>
        <w:rPr>
          <w:rFonts w:hint="eastAsia"/>
          <w:lang w:eastAsia="zh-CN"/>
        </w:rPr>
        <w:t>；</w:t>
      </w:r>
    </w:p>
    <w:p>
      <w:pPr>
        <w:spacing w:line="360" w:lineRule="auto"/>
        <w:rPr>
          <w:rFonts w:hint="eastAsia" w:eastAsia="宋体"/>
          <w:lang w:eastAsia="zh-CN"/>
        </w:rPr>
      </w:pPr>
      <w:r>
        <w:rPr>
          <w:rFonts w:hint="eastAsia"/>
        </w:rPr>
        <w:t>3.2  生产厂为用户提供产品</w:t>
      </w:r>
      <w:r>
        <w:rPr>
          <w:rFonts w:hint="eastAsia"/>
          <w:lang w:val="en-US" w:eastAsia="zh-CN"/>
        </w:rPr>
        <w:t>5年</w:t>
      </w:r>
      <w:r>
        <w:rPr>
          <w:rFonts w:hint="eastAsia"/>
        </w:rPr>
        <w:t>技术服务</w:t>
      </w:r>
      <w:r>
        <w:rPr>
          <w:rFonts w:hint="eastAsia"/>
          <w:lang w:eastAsia="zh-CN"/>
        </w:rPr>
        <w:t>；</w:t>
      </w:r>
    </w:p>
    <w:p>
      <w:pPr>
        <w:spacing w:line="360" w:lineRule="auto"/>
        <w:rPr>
          <w:rFonts w:hint="eastAsia"/>
        </w:rPr>
      </w:pPr>
      <w:r>
        <w:rPr>
          <w:rFonts w:hint="eastAsia"/>
        </w:rPr>
        <w:t>3.3  产品出现故障在24小时内响应，48小时内到现场履行维修服务义务。</w:t>
      </w:r>
    </w:p>
    <w:p>
      <w:pPr>
        <w:spacing w:line="360" w:lineRule="auto"/>
        <w:rPr>
          <w:rFonts w:hint="eastAsia"/>
          <w:b/>
        </w:rPr>
      </w:pPr>
      <w:r>
        <w:rPr>
          <w:rFonts w:hint="eastAsia"/>
          <w:b/>
        </w:rPr>
        <w:t>4  产品质量标准</w:t>
      </w:r>
    </w:p>
    <w:p>
      <w:pPr>
        <w:autoSpaceDE w:val="0"/>
        <w:autoSpaceDN w:val="0"/>
        <w:adjustRightInd w:val="0"/>
        <w:spacing w:line="360" w:lineRule="auto"/>
        <w:rPr>
          <w:szCs w:val="21"/>
        </w:rPr>
      </w:pPr>
      <w:r>
        <w:rPr>
          <w:rFonts w:hint="eastAsia"/>
          <w:szCs w:val="21"/>
        </w:rPr>
        <w:t>1） 生产厂应提供产品的质量鉴定报告书</w:t>
      </w:r>
    </w:p>
    <w:p>
      <w:pPr>
        <w:autoSpaceDE w:val="0"/>
        <w:autoSpaceDN w:val="0"/>
        <w:adjustRightInd w:val="0"/>
        <w:spacing w:line="360" w:lineRule="auto"/>
        <w:rPr>
          <w:szCs w:val="21"/>
        </w:rPr>
      </w:pPr>
      <w:r>
        <w:rPr>
          <w:rFonts w:hint="eastAsia"/>
          <w:szCs w:val="21"/>
        </w:rPr>
        <w:t>2） 生产厂应提供产品出厂质量检验相关文件</w:t>
      </w:r>
    </w:p>
    <w:p>
      <w:pPr>
        <w:autoSpaceDE w:val="0"/>
        <w:autoSpaceDN w:val="0"/>
        <w:adjustRightInd w:val="0"/>
        <w:spacing w:line="360" w:lineRule="auto"/>
        <w:rPr>
          <w:szCs w:val="21"/>
        </w:rPr>
      </w:pPr>
      <w:r>
        <w:rPr>
          <w:rFonts w:hint="eastAsia"/>
          <w:szCs w:val="21"/>
        </w:rPr>
        <w:t>3） 符合中华人民共和国相关的国家标准</w:t>
      </w:r>
    </w:p>
    <w:p>
      <w:pPr>
        <w:spacing w:line="360" w:lineRule="auto"/>
        <w:rPr>
          <w:rFonts w:hint="default" w:eastAsia="宋体"/>
          <w:b/>
          <w:lang w:val="en-US" w:eastAsia="zh-CN"/>
        </w:rPr>
      </w:pPr>
      <w:r>
        <w:rPr>
          <w:rFonts w:hint="eastAsia"/>
          <w:b/>
        </w:rPr>
        <w:t>5  总订货数量：</w:t>
      </w:r>
      <w:r>
        <w:rPr>
          <w:rFonts w:hint="eastAsia"/>
          <w:b/>
          <w:lang w:val="en-US" w:eastAsia="zh-CN"/>
        </w:rPr>
        <w:t>采购清单</w:t>
      </w:r>
    </w:p>
    <w:p>
      <w:pPr>
        <w:spacing w:line="360" w:lineRule="auto"/>
        <w:rPr>
          <w:rFonts w:hint="eastAsia" w:eastAsia="宋体"/>
          <w:b/>
          <w:lang w:eastAsia="zh-CN"/>
        </w:rPr>
      </w:pPr>
      <w:r>
        <w:rPr>
          <w:rFonts w:hint="eastAsia"/>
          <w:b/>
        </w:rPr>
        <w:t>6  到货</w:t>
      </w:r>
      <w:r>
        <w:rPr>
          <w:rFonts w:hint="eastAsia"/>
          <w:b/>
          <w:lang w:val="en-US" w:eastAsia="zh-CN"/>
        </w:rPr>
        <w:t>地点</w:t>
      </w:r>
    </w:p>
    <w:p>
      <w:pPr>
        <w:autoSpaceDE w:val="0"/>
        <w:autoSpaceDN w:val="0"/>
        <w:adjustRightInd w:val="0"/>
        <w:spacing w:line="360" w:lineRule="auto"/>
        <w:rPr>
          <w:rFonts w:hint="eastAsia" w:ascii="宋体" w:hAnsi="宋体" w:eastAsia="宋体" w:cs="宋体"/>
          <w:sz w:val="21"/>
          <w:szCs w:val="21"/>
        </w:rPr>
      </w:pPr>
      <w:r>
        <w:rPr>
          <w:rFonts w:hint="eastAsia"/>
        </w:rPr>
        <w:t>6.1  中国新疆乌鲁木齐新疆农业大学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Cs/>
          <w:color w:val="auto"/>
          <w:sz w:val="24"/>
          <w:szCs w:val="24"/>
          <w:highlight w:val="none"/>
        </w:rPr>
      </w:pPr>
    </w:p>
    <w:p>
      <w:pPr>
        <w:spacing w:line="440" w:lineRule="exact"/>
        <w:jc w:val="center"/>
        <w:outlineLvl w:val="0"/>
        <w:rPr>
          <w:rFonts w:hint="eastAsia" w:ascii="宋体" w:hAnsi="宋体"/>
          <w:b/>
          <w:bCs/>
          <w:color w:val="auto"/>
          <w:sz w:val="32"/>
          <w:szCs w:val="32"/>
          <w:highlight w:val="none"/>
        </w:rPr>
      </w:pPr>
      <w:bookmarkStart w:id="82" w:name="_Toc18940"/>
      <w:bookmarkStart w:id="83" w:name="_Toc20810"/>
      <w:r>
        <w:rPr>
          <w:rFonts w:hint="eastAsia" w:ascii="宋体" w:hAnsi="宋体"/>
          <w:b/>
          <w:bCs/>
          <w:color w:val="auto"/>
          <w:sz w:val="32"/>
          <w:szCs w:val="32"/>
          <w:highlight w:val="none"/>
        </w:rPr>
        <w:br w:type="page"/>
      </w:r>
      <w:r>
        <w:rPr>
          <w:rFonts w:hint="eastAsia" w:ascii="宋体" w:hAnsi="宋体"/>
          <w:b/>
          <w:bCs/>
          <w:color w:val="auto"/>
          <w:sz w:val="32"/>
          <w:szCs w:val="32"/>
          <w:highlight w:val="none"/>
        </w:rPr>
        <w:t>第五部分  磋商响应文件格式</w:t>
      </w:r>
      <w:bookmarkEnd w:id="82"/>
      <w:bookmarkEnd w:id="83"/>
    </w:p>
    <w:p>
      <w:pPr>
        <w:shd w:val="clear" w:color="auto" w:fill="FFFFFF"/>
        <w:spacing w:line="500" w:lineRule="exact"/>
        <w:jc w:val="center"/>
        <w:rPr>
          <w:rFonts w:hint="eastAsia" w:ascii="宋体" w:hAnsi="宋体"/>
          <w:b/>
          <w:bCs/>
          <w:color w:val="auto"/>
          <w:sz w:val="24"/>
          <w:szCs w:val="24"/>
          <w:highlight w:val="none"/>
        </w:rPr>
      </w:pPr>
    </w:p>
    <w:p>
      <w:pPr>
        <w:widowControl/>
        <w:jc w:val="left"/>
        <w:rPr>
          <w:rFonts w:ascii="宋体" w:hAnsi="宋体"/>
          <w:b/>
          <w:bCs/>
          <w:color w:val="auto"/>
          <w:sz w:val="18"/>
          <w:szCs w:val="18"/>
          <w:highlight w:val="none"/>
        </w:rPr>
      </w:pPr>
    </w:p>
    <w:p>
      <w:pPr>
        <w:shd w:val="clear" w:color="auto" w:fill="FFFFFF"/>
        <w:spacing w:line="500" w:lineRule="exact"/>
        <w:ind w:right="480"/>
        <w:rPr>
          <w:rFonts w:ascii="宋体" w:hAnsi="宋体"/>
          <w:color w:val="auto"/>
          <w:sz w:val="24"/>
          <w:szCs w:val="24"/>
          <w:highlight w:val="none"/>
        </w:rPr>
      </w:pPr>
      <w:r>
        <w:rPr>
          <w:rFonts w:hint="eastAsia" w:ascii="宋体" w:hAnsi="宋体"/>
          <w:color w:val="auto"/>
          <w:sz w:val="24"/>
          <w:szCs w:val="24"/>
          <w:highlight w:val="none"/>
        </w:rPr>
        <w:t xml:space="preserve">（封面示例）                                                     </w:t>
      </w:r>
    </w:p>
    <w:p>
      <w:pPr>
        <w:shd w:val="clear" w:color="auto" w:fill="FFFFFF"/>
        <w:spacing w:line="360" w:lineRule="exact"/>
        <w:rPr>
          <w:rFonts w:ascii="宋体" w:hAnsi="宋体"/>
          <w:color w:val="auto"/>
          <w:sz w:val="24"/>
          <w:szCs w:val="24"/>
          <w:highlight w:val="none"/>
          <w:u w:val="single"/>
        </w:rPr>
      </w:pPr>
    </w:p>
    <w:p>
      <w:pPr>
        <w:shd w:val="clear" w:color="auto" w:fill="FFFFFF"/>
        <w:spacing w:line="360" w:lineRule="exact"/>
        <w:jc w:val="center"/>
        <w:rPr>
          <w:rFonts w:ascii="宋体" w:hAnsi="宋体"/>
          <w:b/>
          <w:bCs/>
          <w:color w:val="auto"/>
          <w:sz w:val="24"/>
          <w:szCs w:val="24"/>
          <w:highlight w:val="none"/>
        </w:rPr>
      </w:pPr>
    </w:p>
    <w:p>
      <w:pPr>
        <w:shd w:val="clear" w:color="auto" w:fill="FFFFFF"/>
        <w:spacing w:line="500" w:lineRule="exact"/>
        <w:jc w:val="center"/>
        <w:rPr>
          <w:rFonts w:ascii="宋体" w:hAnsi="宋体"/>
          <w:b/>
          <w:bCs/>
          <w:color w:val="auto"/>
          <w:sz w:val="24"/>
          <w:szCs w:val="24"/>
          <w:highlight w:val="none"/>
        </w:rPr>
      </w:pPr>
    </w:p>
    <w:p>
      <w:pPr>
        <w:shd w:val="clear" w:color="auto" w:fill="FFFFFF"/>
        <w:spacing w:line="500" w:lineRule="exact"/>
        <w:jc w:val="center"/>
        <w:outlineLvl w:val="0"/>
        <w:rPr>
          <w:rFonts w:ascii="宋体" w:hAnsi="宋体"/>
          <w:b/>
          <w:bCs/>
          <w:color w:val="auto"/>
          <w:sz w:val="24"/>
          <w:szCs w:val="24"/>
          <w:highlight w:val="none"/>
        </w:rPr>
      </w:pPr>
      <w:bookmarkStart w:id="84" w:name="_Toc29521"/>
      <w:bookmarkStart w:id="85" w:name="_Toc32311"/>
      <w:r>
        <w:rPr>
          <w:rFonts w:hint="eastAsia" w:ascii="宋体" w:hAnsi="宋体"/>
          <w:b/>
          <w:bCs/>
          <w:color w:val="auto"/>
          <w:sz w:val="24"/>
          <w:szCs w:val="24"/>
          <w:highlight w:val="none"/>
        </w:rPr>
        <w:t>磋商响应文件</w:t>
      </w:r>
      <w:bookmarkEnd w:id="84"/>
      <w:bookmarkEnd w:id="85"/>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p>
    <w:p>
      <w:pPr>
        <w:shd w:val="clear" w:color="auto" w:fill="FFFFFF"/>
        <w:spacing w:line="50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采购人：</w:t>
      </w:r>
    </w:p>
    <w:p>
      <w:pPr>
        <w:shd w:val="clear" w:color="auto" w:fill="FFFFFF"/>
        <w:spacing w:line="500" w:lineRule="exact"/>
        <w:ind w:firstLine="240" w:firstLineChars="1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项目名称：</w:t>
      </w:r>
    </w:p>
    <w:p>
      <w:pPr>
        <w:shd w:val="clear" w:color="auto" w:fill="FFFFFF"/>
        <w:spacing w:line="500" w:lineRule="exact"/>
        <w:ind w:firstLine="240" w:firstLineChars="1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采购项目编号：</w:t>
      </w:r>
    </w:p>
    <w:p>
      <w:pPr>
        <w:shd w:val="clear" w:color="auto" w:fill="FFFFFF"/>
        <w:spacing w:line="500" w:lineRule="exact"/>
        <w:ind w:firstLine="240" w:firstLineChars="100"/>
        <w:rPr>
          <w:rFonts w:hint="eastAsia" w:ascii="宋体" w:hAnsi="宋体"/>
          <w:color w:val="auto"/>
          <w:sz w:val="24"/>
          <w:szCs w:val="24"/>
          <w:highlight w:val="none"/>
          <w:lang w:val="zh-CN"/>
        </w:rPr>
      </w:pPr>
      <w:r>
        <w:rPr>
          <w:rFonts w:hint="eastAsia" w:ascii="宋体" w:hAnsi="宋体" w:cs="宋体"/>
          <w:color w:val="auto"/>
          <w:sz w:val="24"/>
          <w:szCs w:val="24"/>
          <w:highlight w:val="none"/>
          <w:lang w:val="zh-CN"/>
        </w:rPr>
        <w:t>供应商（盖公章）：</w:t>
      </w:r>
    </w:p>
    <w:p>
      <w:pPr>
        <w:shd w:val="clear" w:color="auto" w:fill="FFFFFF"/>
        <w:spacing w:line="500" w:lineRule="exact"/>
        <w:ind w:firstLine="240" w:firstLineChars="100"/>
        <w:rPr>
          <w:rFonts w:ascii="宋体" w:hAnsi="宋体" w:cs="宋体"/>
          <w:color w:val="auto"/>
          <w:sz w:val="24"/>
          <w:szCs w:val="24"/>
          <w:highlight w:val="none"/>
          <w:lang w:val="zh-CN"/>
        </w:rPr>
      </w:pPr>
      <w:r>
        <w:rPr>
          <w:rFonts w:ascii="宋体" w:hAnsi="宋体" w:cs="宋体"/>
          <w:color w:val="auto"/>
          <w:sz w:val="24"/>
          <w:szCs w:val="24"/>
          <w:highlight w:val="none"/>
          <w:lang w:val="zh-CN"/>
        </w:rPr>
        <w:t>法定代表人</w:t>
      </w:r>
      <w:r>
        <w:rPr>
          <w:rFonts w:hint="eastAsia" w:ascii="宋体" w:hAnsi="宋体" w:cs="宋体"/>
          <w:color w:val="auto"/>
          <w:sz w:val="24"/>
          <w:szCs w:val="24"/>
          <w:highlight w:val="none"/>
          <w:lang w:val="zh-CN"/>
        </w:rPr>
        <w:t>（签字或盖章）:</w:t>
      </w:r>
    </w:p>
    <w:p>
      <w:pPr>
        <w:shd w:val="clear" w:color="auto" w:fill="FFFFFF"/>
        <w:spacing w:line="500" w:lineRule="exact"/>
        <w:ind w:firstLine="240" w:firstLineChars="1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被</w:t>
      </w:r>
      <w:r>
        <w:rPr>
          <w:rFonts w:ascii="宋体" w:hAnsi="宋体" w:cs="宋体"/>
          <w:color w:val="auto"/>
          <w:sz w:val="24"/>
          <w:szCs w:val="24"/>
          <w:highlight w:val="none"/>
          <w:lang w:val="zh-CN"/>
        </w:rPr>
        <w:t>授权代理人</w:t>
      </w:r>
      <w:r>
        <w:rPr>
          <w:rFonts w:hint="eastAsia" w:ascii="宋体" w:hAnsi="宋体" w:cs="宋体"/>
          <w:color w:val="auto"/>
          <w:sz w:val="24"/>
          <w:szCs w:val="24"/>
          <w:highlight w:val="none"/>
          <w:lang w:val="zh-CN"/>
        </w:rPr>
        <w:t>（签字）:</w:t>
      </w:r>
    </w:p>
    <w:p>
      <w:pPr>
        <w:shd w:val="clear" w:color="auto" w:fill="FFFFFF"/>
        <w:spacing w:line="500" w:lineRule="exact"/>
        <w:ind w:firstLine="240" w:firstLineChars="100"/>
        <w:rPr>
          <w:rFonts w:ascii="宋体" w:hAnsi="宋体" w:cs="宋体"/>
          <w:color w:val="auto"/>
          <w:sz w:val="24"/>
          <w:szCs w:val="24"/>
          <w:highlight w:val="none"/>
          <w:lang w:val="zh-CN"/>
        </w:rPr>
      </w:pPr>
      <w:r>
        <w:rPr>
          <w:rFonts w:ascii="宋体" w:hAnsi="宋体" w:cs="宋体"/>
          <w:color w:val="auto"/>
          <w:sz w:val="24"/>
          <w:szCs w:val="24"/>
          <w:highlight w:val="none"/>
          <w:lang w:val="zh-CN"/>
        </w:rPr>
        <w:t>地址</w:t>
      </w:r>
      <w:r>
        <w:rPr>
          <w:rFonts w:hint="eastAsia" w:ascii="宋体" w:hAnsi="宋体" w:cs="宋体"/>
          <w:color w:val="auto"/>
          <w:sz w:val="24"/>
          <w:szCs w:val="24"/>
          <w:highlight w:val="none"/>
          <w:lang w:val="zh-CN"/>
        </w:rPr>
        <w:t>：</w:t>
      </w:r>
    </w:p>
    <w:p>
      <w:pPr>
        <w:shd w:val="clear" w:color="auto" w:fill="FFFFFF"/>
        <w:spacing w:line="500" w:lineRule="exact"/>
        <w:ind w:firstLine="240" w:firstLineChars="1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联系人：</w:t>
      </w:r>
    </w:p>
    <w:p>
      <w:pPr>
        <w:shd w:val="clear" w:color="auto" w:fill="FFFFFF"/>
        <w:spacing w:line="500" w:lineRule="exact"/>
        <w:ind w:firstLine="240" w:firstLineChars="1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联系电话：</w:t>
      </w:r>
    </w:p>
    <w:p>
      <w:pPr>
        <w:shd w:val="clear" w:color="auto" w:fill="FFFFFF"/>
        <w:spacing w:line="500" w:lineRule="exact"/>
        <w:ind w:firstLine="240" w:firstLineChars="100"/>
        <w:jc w:val="center"/>
        <w:rPr>
          <w:rFonts w:hint="eastAsia" w:ascii="宋体" w:hAnsi="宋体"/>
          <w:color w:val="auto"/>
          <w:sz w:val="24"/>
          <w:highlight w:val="none"/>
          <w:lang w:val="zh-CN"/>
        </w:rPr>
      </w:pPr>
    </w:p>
    <w:p>
      <w:pPr>
        <w:shd w:val="clear" w:color="auto" w:fill="FFFFFF"/>
        <w:spacing w:line="500" w:lineRule="exact"/>
        <w:ind w:firstLine="240" w:firstLineChars="100"/>
        <w:jc w:val="center"/>
        <w:outlineLvl w:val="0"/>
        <w:rPr>
          <w:rFonts w:ascii="宋体" w:hAnsi="宋体"/>
          <w:b/>
          <w:color w:val="auto"/>
          <w:sz w:val="24"/>
          <w:szCs w:val="24"/>
          <w:highlight w:val="none"/>
        </w:rPr>
      </w:pPr>
      <w:bookmarkStart w:id="86" w:name="_Toc71"/>
      <w:bookmarkStart w:id="87" w:name="_Toc8292"/>
      <w:r>
        <w:rPr>
          <w:rFonts w:ascii="宋体" w:hAnsi="宋体"/>
          <w:color w:val="auto"/>
          <w:sz w:val="24"/>
          <w:szCs w:val="24"/>
          <w:highlight w:val="none"/>
        </w:rPr>
        <w:br w:type="page"/>
      </w:r>
      <w:r>
        <w:rPr>
          <w:rFonts w:hint="eastAsia" w:ascii="宋体" w:hAnsi="宋体"/>
          <w:b/>
          <w:color w:val="auto"/>
          <w:sz w:val="24"/>
          <w:szCs w:val="24"/>
          <w:highlight w:val="none"/>
        </w:rPr>
        <w:t xml:space="preserve">目 </w:t>
      </w:r>
      <w:r>
        <w:rPr>
          <w:rFonts w:ascii="宋体" w:hAnsi="宋体"/>
          <w:b/>
          <w:color w:val="auto"/>
          <w:sz w:val="24"/>
          <w:szCs w:val="24"/>
          <w:highlight w:val="none"/>
        </w:rPr>
        <w:t xml:space="preserve"> </w:t>
      </w:r>
      <w:r>
        <w:rPr>
          <w:rFonts w:hint="eastAsia" w:ascii="宋体" w:hAnsi="宋体"/>
          <w:b/>
          <w:color w:val="auto"/>
          <w:sz w:val="24"/>
          <w:szCs w:val="24"/>
          <w:highlight w:val="none"/>
        </w:rPr>
        <w:t>录</w:t>
      </w:r>
      <w:bookmarkEnd w:id="86"/>
      <w:bookmarkEnd w:id="87"/>
    </w:p>
    <w:p>
      <w:pPr>
        <w:shd w:val="clear" w:color="auto" w:fill="FFFFFF"/>
        <w:spacing w:line="500" w:lineRule="exact"/>
        <w:ind w:firstLine="482" w:firstLineChars="200"/>
        <w:rPr>
          <w:rFonts w:ascii="宋体" w:hAnsi="宋体"/>
          <w:bCs/>
          <w:color w:val="auto"/>
          <w:kern w:val="0"/>
          <w:sz w:val="24"/>
          <w:szCs w:val="24"/>
          <w:highlight w:val="none"/>
        </w:rPr>
      </w:pPr>
      <w:r>
        <w:rPr>
          <w:rFonts w:hint="eastAsia" w:ascii="宋体" w:hAnsi="宋体"/>
          <w:b/>
          <w:bCs/>
          <w:color w:val="auto"/>
          <w:kern w:val="0"/>
          <w:sz w:val="24"/>
          <w:szCs w:val="24"/>
          <w:highlight w:val="none"/>
        </w:rPr>
        <w:t>主要包括</w:t>
      </w:r>
      <w:r>
        <w:rPr>
          <w:rFonts w:hint="eastAsia" w:ascii="宋体" w:hAnsi="宋体"/>
          <w:b/>
          <w:color w:val="auto"/>
          <w:sz w:val="24"/>
          <w:szCs w:val="24"/>
          <w:highlight w:val="none"/>
        </w:rPr>
        <w:t>但不限于以下内容：</w:t>
      </w:r>
    </w:p>
    <w:p>
      <w:pPr>
        <w:spacing w:line="500" w:lineRule="exact"/>
        <w:ind w:firstLine="480" w:firstLineChars="200"/>
        <w:outlineLvl w:val="0"/>
        <w:rPr>
          <w:rFonts w:hint="eastAsia" w:ascii="宋体" w:hAnsi="宋体"/>
          <w:bCs/>
          <w:color w:val="auto"/>
          <w:kern w:val="0"/>
          <w:sz w:val="24"/>
          <w:szCs w:val="24"/>
          <w:highlight w:val="none"/>
        </w:rPr>
      </w:pPr>
      <w:bookmarkStart w:id="88" w:name="_Toc27828"/>
      <w:bookmarkStart w:id="89" w:name="_Toc24618"/>
      <w:r>
        <w:rPr>
          <w:rFonts w:ascii="宋体" w:hAnsi="宋体"/>
          <w:bCs/>
          <w:color w:val="auto"/>
          <w:kern w:val="0"/>
          <w:sz w:val="24"/>
          <w:szCs w:val="24"/>
          <w:highlight w:val="none"/>
        </w:rPr>
        <w:t>1</w:t>
      </w:r>
      <w:r>
        <w:rPr>
          <w:rFonts w:hint="eastAsia" w:ascii="宋体" w:hAnsi="宋体"/>
          <w:bCs/>
          <w:color w:val="auto"/>
          <w:kern w:val="0"/>
          <w:sz w:val="24"/>
          <w:szCs w:val="24"/>
          <w:highlight w:val="none"/>
        </w:rPr>
        <w:t>、磋商响应书</w:t>
      </w:r>
      <w:bookmarkEnd w:id="88"/>
      <w:bookmarkEnd w:id="89"/>
    </w:p>
    <w:p>
      <w:pPr>
        <w:spacing w:line="500" w:lineRule="exact"/>
        <w:ind w:firstLine="480" w:firstLineChars="200"/>
        <w:outlineLvl w:val="0"/>
        <w:rPr>
          <w:rFonts w:hint="eastAsia" w:ascii="宋体" w:hAnsi="宋体"/>
          <w:bCs/>
          <w:color w:val="auto"/>
          <w:kern w:val="0"/>
          <w:sz w:val="24"/>
          <w:szCs w:val="24"/>
          <w:highlight w:val="none"/>
        </w:rPr>
      </w:pPr>
      <w:bookmarkStart w:id="90" w:name="_Toc8945"/>
      <w:bookmarkStart w:id="91" w:name="_Toc2661"/>
      <w:r>
        <w:rPr>
          <w:rFonts w:ascii="宋体" w:hAnsi="宋体"/>
          <w:bCs/>
          <w:color w:val="auto"/>
          <w:kern w:val="0"/>
          <w:sz w:val="24"/>
          <w:szCs w:val="24"/>
          <w:highlight w:val="none"/>
        </w:rPr>
        <w:t>2</w:t>
      </w:r>
      <w:r>
        <w:rPr>
          <w:rFonts w:hint="eastAsia" w:ascii="宋体" w:hAnsi="宋体"/>
          <w:bCs/>
          <w:color w:val="auto"/>
          <w:kern w:val="0"/>
          <w:sz w:val="24"/>
          <w:szCs w:val="24"/>
          <w:highlight w:val="none"/>
        </w:rPr>
        <w:t>、开标一览表</w:t>
      </w:r>
      <w:bookmarkEnd w:id="90"/>
      <w:bookmarkEnd w:id="91"/>
    </w:p>
    <w:p>
      <w:pPr>
        <w:spacing w:line="500" w:lineRule="exact"/>
        <w:ind w:firstLine="480" w:firstLineChars="200"/>
        <w:outlineLvl w:val="0"/>
        <w:rPr>
          <w:rFonts w:hint="eastAsia" w:ascii="宋体" w:hAnsi="宋体" w:eastAsia="宋体"/>
          <w:color w:val="auto"/>
          <w:sz w:val="24"/>
          <w:szCs w:val="24"/>
          <w:highlight w:val="none"/>
          <w:lang w:val="en-US" w:eastAsia="zh-CN"/>
        </w:rPr>
      </w:pPr>
      <w:bookmarkStart w:id="92" w:name="_Toc26530"/>
      <w:bookmarkStart w:id="93" w:name="_Toc8557"/>
      <w:r>
        <w:rPr>
          <w:rFonts w:hint="eastAsia" w:ascii="宋体" w:hAnsi="宋体"/>
          <w:color w:val="auto"/>
          <w:sz w:val="24"/>
          <w:szCs w:val="24"/>
          <w:highlight w:val="none"/>
          <w:lang w:val="en-US" w:eastAsia="zh-CN"/>
        </w:rPr>
        <w:t>3、</w:t>
      </w:r>
      <w:r>
        <w:rPr>
          <w:rFonts w:hint="eastAsia" w:ascii="宋体" w:hAnsi="宋体" w:eastAsia="宋体" w:cs="宋体"/>
          <w:color w:val="auto"/>
          <w:sz w:val="24"/>
          <w:highlight w:val="none"/>
        </w:rPr>
        <w:t>政策适用性说明（符合要求填写）</w:t>
      </w:r>
      <w:bookmarkEnd w:id="92"/>
      <w:bookmarkEnd w:id="93"/>
    </w:p>
    <w:p>
      <w:pPr>
        <w:spacing w:line="500" w:lineRule="exact"/>
        <w:ind w:firstLine="480" w:firstLineChars="200"/>
        <w:outlineLvl w:val="0"/>
        <w:rPr>
          <w:rFonts w:hint="eastAsia" w:ascii="宋体" w:hAnsi="宋体"/>
          <w:color w:val="auto"/>
          <w:sz w:val="24"/>
          <w:szCs w:val="24"/>
          <w:highlight w:val="none"/>
        </w:rPr>
      </w:pPr>
      <w:bookmarkStart w:id="94" w:name="_Toc18773"/>
      <w:bookmarkStart w:id="95" w:name="_Toc18800"/>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、供应商基本情况表</w:t>
      </w:r>
      <w:bookmarkEnd w:id="94"/>
      <w:bookmarkEnd w:id="95"/>
    </w:p>
    <w:p>
      <w:pPr>
        <w:spacing w:line="500" w:lineRule="exact"/>
        <w:ind w:firstLine="480" w:firstLineChars="200"/>
        <w:outlineLvl w:val="0"/>
        <w:rPr>
          <w:rFonts w:ascii="宋体" w:hAnsi="宋体"/>
          <w:color w:val="auto"/>
          <w:kern w:val="0"/>
          <w:sz w:val="24"/>
          <w:szCs w:val="24"/>
          <w:highlight w:val="none"/>
        </w:rPr>
      </w:pPr>
      <w:bookmarkStart w:id="96" w:name="_Toc23190"/>
      <w:bookmarkStart w:id="97" w:name="_Toc13394"/>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w:t>
      </w:r>
      <w:r>
        <w:rPr>
          <w:rFonts w:hint="eastAsia" w:ascii="宋体" w:hAnsi="宋体"/>
          <w:color w:val="auto"/>
          <w:kern w:val="0"/>
          <w:sz w:val="24"/>
          <w:szCs w:val="24"/>
          <w:highlight w:val="none"/>
        </w:rPr>
        <w:t>法定代表人身份证明书</w:t>
      </w:r>
      <w:bookmarkEnd w:id="96"/>
      <w:bookmarkEnd w:id="97"/>
    </w:p>
    <w:p>
      <w:pPr>
        <w:autoSpaceDE w:val="0"/>
        <w:autoSpaceDN w:val="0"/>
        <w:adjustRightInd w:val="0"/>
        <w:spacing w:line="500" w:lineRule="exact"/>
        <w:ind w:firstLine="480" w:firstLineChars="200"/>
        <w:jc w:val="left"/>
        <w:outlineLvl w:val="0"/>
        <w:rPr>
          <w:rFonts w:ascii="宋体" w:hAnsi="宋体"/>
          <w:bCs/>
          <w:color w:val="auto"/>
          <w:sz w:val="24"/>
          <w:szCs w:val="24"/>
          <w:highlight w:val="none"/>
        </w:rPr>
      </w:pPr>
      <w:bookmarkStart w:id="98" w:name="_Toc2591"/>
      <w:bookmarkStart w:id="99" w:name="_Toc19693"/>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bCs/>
          <w:color w:val="auto"/>
          <w:sz w:val="24"/>
          <w:szCs w:val="24"/>
          <w:highlight w:val="none"/>
        </w:rPr>
        <w:t>法定代表人授权委托书</w:t>
      </w:r>
      <w:bookmarkEnd w:id="98"/>
      <w:bookmarkEnd w:id="99"/>
    </w:p>
    <w:p>
      <w:pPr>
        <w:autoSpaceDE w:val="0"/>
        <w:autoSpaceDN w:val="0"/>
        <w:adjustRightInd w:val="0"/>
        <w:spacing w:line="500" w:lineRule="exact"/>
        <w:ind w:firstLine="480" w:firstLineChars="200"/>
        <w:jc w:val="left"/>
        <w:outlineLvl w:val="0"/>
        <w:rPr>
          <w:rFonts w:ascii="宋体" w:hAnsi="宋体"/>
          <w:color w:val="auto"/>
          <w:sz w:val="24"/>
          <w:szCs w:val="24"/>
          <w:highlight w:val="none"/>
        </w:rPr>
      </w:pPr>
      <w:bookmarkStart w:id="100" w:name="_Toc32389"/>
      <w:bookmarkStart w:id="101" w:name="_Toc12629"/>
      <w:r>
        <w:rPr>
          <w:rFonts w:hint="eastAsia" w:ascii="宋体" w:hAnsi="宋体"/>
          <w:color w:val="auto"/>
          <w:sz w:val="24"/>
          <w:szCs w:val="24"/>
          <w:highlight w:val="none"/>
          <w:lang w:val="en-US" w:eastAsia="zh-CN"/>
        </w:rPr>
        <w:t>7</w:t>
      </w:r>
      <w:r>
        <w:rPr>
          <w:rFonts w:ascii="宋体" w:hAnsi="宋体"/>
          <w:color w:val="auto"/>
          <w:sz w:val="24"/>
          <w:szCs w:val="24"/>
          <w:highlight w:val="none"/>
        </w:rPr>
        <w:t>、</w:t>
      </w:r>
      <w:bookmarkEnd w:id="100"/>
      <w:bookmarkEnd w:id="101"/>
      <w:r>
        <w:rPr>
          <w:rFonts w:hint="eastAsia" w:ascii="宋体" w:hAnsi="宋体"/>
          <w:color w:val="auto"/>
          <w:sz w:val="24"/>
          <w:szCs w:val="24"/>
          <w:highlight w:val="none"/>
        </w:rPr>
        <w:t>关于《中华人民共和国政府采购法》第二十二条的承诺书</w:t>
      </w:r>
    </w:p>
    <w:p>
      <w:pPr>
        <w:autoSpaceDE w:val="0"/>
        <w:autoSpaceDN w:val="0"/>
        <w:adjustRightInd w:val="0"/>
        <w:spacing w:line="500" w:lineRule="exact"/>
        <w:ind w:firstLine="480" w:firstLineChars="200"/>
        <w:jc w:val="left"/>
        <w:outlineLvl w:val="0"/>
        <w:rPr>
          <w:rFonts w:ascii="宋体" w:hAnsi="宋体"/>
          <w:bCs/>
          <w:color w:val="auto"/>
          <w:sz w:val="24"/>
          <w:szCs w:val="24"/>
          <w:highlight w:val="none"/>
        </w:rPr>
      </w:pPr>
      <w:bookmarkStart w:id="102" w:name="_Toc21633"/>
      <w:bookmarkStart w:id="103" w:name="_Toc2207"/>
      <w:r>
        <w:rPr>
          <w:rFonts w:hint="eastAsia" w:ascii="宋体" w:hAnsi="宋体"/>
          <w:bCs/>
          <w:color w:val="auto"/>
          <w:sz w:val="24"/>
          <w:szCs w:val="24"/>
          <w:highlight w:val="none"/>
          <w:lang w:val="en-US" w:eastAsia="zh-CN"/>
        </w:rPr>
        <w:t>8</w:t>
      </w:r>
      <w:r>
        <w:rPr>
          <w:rFonts w:ascii="宋体" w:hAnsi="宋体"/>
          <w:bCs/>
          <w:color w:val="auto"/>
          <w:sz w:val="24"/>
          <w:szCs w:val="24"/>
          <w:highlight w:val="none"/>
        </w:rPr>
        <w:t>、</w:t>
      </w:r>
      <w:r>
        <w:rPr>
          <w:rFonts w:hint="eastAsia" w:ascii="宋体" w:hAnsi="宋体"/>
          <w:bCs/>
          <w:color w:val="auto"/>
          <w:sz w:val="24"/>
          <w:szCs w:val="24"/>
          <w:highlight w:val="none"/>
        </w:rPr>
        <w:t>供应商的资格声明</w:t>
      </w:r>
      <w:bookmarkEnd w:id="102"/>
      <w:bookmarkEnd w:id="103"/>
    </w:p>
    <w:p>
      <w:pPr>
        <w:autoSpaceDE w:val="0"/>
        <w:autoSpaceDN w:val="0"/>
        <w:adjustRightInd w:val="0"/>
        <w:spacing w:line="500" w:lineRule="exact"/>
        <w:ind w:firstLine="480" w:firstLineChars="200"/>
        <w:jc w:val="left"/>
        <w:outlineLvl w:val="0"/>
        <w:rPr>
          <w:rFonts w:ascii="宋体" w:hAnsi="宋体"/>
          <w:color w:val="auto"/>
          <w:sz w:val="24"/>
          <w:szCs w:val="24"/>
          <w:highlight w:val="none"/>
        </w:rPr>
      </w:pPr>
      <w:bookmarkStart w:id="104" w:name="_Toc15488"/>
      <w:bookmarkStart w:id="105" w:name="_Toc1140"/>
      <w:r>
        <w:rPr>
          <w:rFonts w:hint="eastAsia" w:ascii="宋体" w:hAnsi="宋体"/>
          <w:color w:val="auto"/>
          <w:sz w:val="24"/>
          <w:szCs w:val="24"/>
          <w:highlight w:val="none"/>
          <w:lang w:val="en-US" w:eastAsia="zh-CN"/>
        </w:rPr>
        <w:t>9</w:t>
      </w:r>
      <w:r>
        <w:rPr>
          <w:rFonts w:ascii="宋体" w:hAnsi="宋体"/>
          <w:color w:val="auto"/>
          <w:sz w:val="24"/>
          <w:szCs w:val="24"/>
          <w:highlight w:val="none"/>
        </w:rPr>
        <w:t>、供应商资格要求</w:t>
      </w:r>
      <w:bookmarkEnd w:id="104"/>
      <w:bookmarkEnd w:id="105"/>
    </w:p>
    <w:p>
      <w:pPr>
        <w:autoSpaceDE w:val="0"/>
        <w:autoSpaceDN w:val="0"/>
        <w:adjustRightInd w:val="0"/>
        <w:spacing w:line="500" w:lineRule="exact"/>
        <w:ind w:firstLine="480" w:firstLineChars="200"/>
        <w:jc w:val="left"/>
        <w:outlineLvl w:val="0"/>
        <w:rPr>
          <w:rFonts w:hint="eastAsia" w:ascii="宋体" w:hAnsi="宋体" w:eastAsia="宋体"/>
          <w:color w:val="auto"/>
          <w:sz w:val="24"/>
          <w:szCs w:val="24"/>
          <w:highlight w:val="none"/>
          <w:lang w:eastAsia="zh-CN"/>
        </w:rPr>
      </w:pPr>
      <w:bookmarkStart w:id="106" w:name="_Toc25487"/>
      <w:bookmarkStart w:id="107" w:name="_Toc17981"/>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bookmarkEnd w:id="106"/>
      <w:bookmarkEnd w:id="107"/>
      <w:r>
        <w:rPr>
          <w:rFonts w:hint="eastAsia" w:ascii="宋体" w:hAnsi="宋体"/>
          <w:color w:val="auto"/>
          <w:sz w:val="24"/>
          <w:szCs w:val="24"/>
          <w:highlight w:val="none"/>
          <w:lang w:eastAsia="zh-CN"/>
        </w:rPr>
        <w:t>采购需求响应偏离表</w:t>
      </w:r>
    </w:p>
    <w:p>
      <w:pPr>
        <w:autoSpaceDE w:val="0"/>
        <w:autoSpaceDN w:val="0"/>
        <w:adjustRightInd w:val="0"/>
        <w:spacing w:line="500" w:lineRule="exact"/>
        <w:ind w:firstLine="480" w:firstLineChars="200"/>
        <w:jc w:val="left"/>
        <w:outlineLvl w:val="0"/>
        <w:rPr>
          <w:rFonts w:hint="eastAsia" w:ascii="宋体" w:hAnsi="宋体" w:eastAsia="宋体"/>
          <w:color w:val="auto"/>
          <w:sz w:val="24"/>
          <w:szCs w:val="24"/>
          <w:highlight w:val="none"/>
          <w:lang w:eastAsia="zh-CN"/>
        </w:rPr>
      </w:pPr>
      <w:bookmarkStart w:id="108" w:name="_Toc9913"/>
      <w:bookmarkStart w:id="109" w:name="_Toc19480"/>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bookmarkEnd w:id="108"/>
      <w:bookmarkEnd w:id="109"/>
      <w:r>
        <w:rPr>
          <w:rFonts w:hint="eastAsia" w:ascii="宋体" w:hAnsi="宋体"/>
          <w:color w:val="auto"/>
          <w:sz w:val="24"/>
          <w:szCs w:val="24"/>
          <w:highlight w:val="none"/>
          <w:lang w:eastAsia="zh-CN"/>
        </w:rPr>
        <w:t>供应商类似项目业绩表</w:t>
      </w:r>
    </w:p>
    <w:p>
      <w:pPr>
        <w:autoSpaceDE w:val="0"/>
        <w:autoSpaceDN w:val="0"/>
        <w:adjustRightInd w:val="0"/>
        <w:spacing w:line="500" w:lineRule="exact"/>
        <w:ind w:firstLine="480" w:firstLineChars="200"/>
        <w:jc w:val="left"/>
        <w:outlineLvl w:val="0"/>
        <w:rPr>
          <w:rFonts w:hint="eastAsia" w:ascii="宋体" w:hAnsi="宋体" w:eastAsia="宋体" w:cs="宋体"/>
          <w:color w:val="auto"/>
          <w:sz w:val="24"/>
          <w:highlight w:val="none"/>
          <w:lang w:val="en-US" w:eastAsia="zh-CN"/>
        </w:rPr>
      </w:pPr>
      <w:bookmarkStart w:id="110" w:name="_Toc6096"/>
      <w:bookmarkStart w:id="111" w:name="_Toc26929"/>
      <w:r>
        <w:rPr>
          <w:rFonts w:hint="eastAsia" w:ascii="宋体" w:hAnsi="宋体" w:eastAsia="宋体" w:cs="宋体"/>
          <w:color w:val="auto"/>
          <w:sz w:val="24"/>
          <w:highlight w:val="none"/>
          <w:lang w:val="en-US" w:eastAsia="zh-CN"/>
        </w:rPr>
        <w:t>12、节能、环境标志产品优惠明细表(若有，请如实填写)</w:t>
      </w:r>
      <w:bookmarkEnd w:id="110"/>
      <w:bookmarkEnd w:id="111"/>
    </w:p>
    <w:p>
      <w:pPr>
        <w:autoSpaceDE w:val="0"/>
        <w:autoSpaceDN w:val="0"/>
        <w:adjustRightInd w:val="0"/>
        <w:spacing w:line="500" w:lineRule="exact"/>
        <w:ind w:firstLine="480" w:firstLineChars="200"/>
        <w:jc w:val="left"/>
        <w:outlineLvl w:val="0"/>
        <w:rPr>
          <w:rFonts w:hint="eastAsia" w:ascii="宋体" w:hAnsi="宋体" w:eastAsia="宋体" w:cs="宋体"/>
          <w:color w:val="auto"/>
          <w:sz w:val="24"/>
          <w:highlight w:val="none"/>
          <w:lang w:val="en-US" w:eastAsia="zh-CN"/>
        </w:rPr>
      </w:pPr>
      <w:bookmarkStart w:id="112" w:name="_Toc2403"/>
      <w:bookmarkStart w:id="113" w:name="_Toc13747"/>
      <w:r>
        <w:rPr>
          <w:rFonts w:hint="eastAsia" w:ascii="宋体" w:hAnsi="宋体" w:eastAsia="宋体" w:cs="宋体"/>
          <w:color w:val="auto"/>
          <w:sz w:val="24"/>
          <w:highlight w:val="none"/>
          <w:lang w:val="en-US" w:eastAsia="zh-CN"/>
        </w:rPr>
        <w:t>13、节能、环境标志产品证明材料</w:t>
      </w:r>
      <w:bookmarkEnd w:id="112"/>
      <w:bookmarkEnd w:id="113"/>
      <w:r>
        <w:rPr>
          <w:rFonts w:hint="eastAsia" w:ascii="宋体" w:hAnsi="宋体" w:eastAsia="宋体" w:cs="宋体"/>
          <w:color w:val="auto"/>
          <w:sz w:val="24"/>
          <w:highlight w:val="none"/>
          <w:lang w:val="en-US" w:eastAsia="zh-CN"/>
        </w:rPr>
        <w:t>(若有，请如实填写)</w:t>
      </w:r>
    </w:p>
    <w:p>
      <w:pPr>
        <w:autoSpaceDE w:val="0"/>
        <w:autoSpaceDN w:val="0"/>
        <w:adjustRightInd w:val="0"/>
        <w:spacing w:line="500" w:lineRule="exact"/>
        <w:ind w:firstLine="480" w:firstLineChars="200"/>
        <w:jc w:val="left"/>
        <w:outlineLvl w:val="0"/>
        <w:rPr>
          <w:rFonts w:hint="eastAsia" w:ascii="宋体" w:hAnsi="宋体" w:eastAsia="宋体" w:cs="宋体"/>
          <w:color w:val="auto"/>
          <w:sz w:val="24"/>
          <w:highlight w:val="none"/>
          <w:lang w:val="en-US" w:eastAsia="zh-CN"/>
        </w:rPr>
      </w:pPr>
      <w:bookmarkStart w:id="114" w:name="_Toc18534"/>
      <w:bookmarkStart w:id="115" w:name="_Toc5468"/>
      <w:r>
        <w:rPr>
          <w:rFonts w:hint="eastAsia" w:ascii="宋体" w:hAnsi="宋体" w:eastAsia="宋体" w:cs="宋体"/>
          <w:color w:val="auto"/>
          <w:sz w:val="24"/>
          <w:highlight w:val="none"/>
          <w:lang w:val="en-US" w:eastAsia="zh-CN"/>
        </w:rPr>
        <w:t>14、小微企业生产或销售的产品优惠明细表(若有，请如实填写)</w:t>
      </w:r>
      <w:bookmarkEnd w:id="114"/>
      <w:bookmarkEnd w:id="115"/>
    </w:p>
    <w:p>
      <w:pPr>
        <w:autoSpaceDE w:val="0"/>
        <w:autoSpaceDN w:val="0"/>
        <w:adjustRightInd w:val="0"/>
        <w:spacing w:line="500" w:lineRule="exact"/>
        <w:ind w:firstLine="480" w:firstLineChars="200"/>
        <w:jc w:val="left"/>
        <w:outlineLvl w:val="0"/>
        <w:rPr>
          <w:rFonts w:hint="eastAsia" w:ascii="宋体" w:hAnsi="宋体" w:eastAsia="宋体" w:cs="宋体"/>
          <w:color w:val="auto"/>
          <w:sz w:val="24"/>
          <w:highlight w:val="none"/>
          <w:lang w:val="en-US" w:eastAsia="zh-CN"/>
        </w:rPr>
      </w:pPr>
      <w:bookmarkStart w:id="116" w:name="_Toc23127"/>
      <w:bookmarkStart w:id="117" w:name="_Toc25608"/>
      <w:r>
        <w:rPr>
          <w:rFonts w:hint="eastAsia" w:ascii="宋体" w:hAnsi="宋体" w:eastAsia="宋体" w:cs="宋体"/>
          <w:color w:val="auto"/>
          <w:sz w:val="24"/>
          <w:highlight w:val="none"/>
          <w:lang w:val="en-US" w:eastAsia="zh-CN"/>
        </w:rPr>
        <w:t>15、中小微企业声明函（符合本声明函填写）</w:t>
      </w:r>
      <w:bookmarkEnd w:id="116"/>
      <w:bookmarkEnd w:id="117"/>
    </w:p>
    <w:p>
      <w:pPr>
        <w:autoSpaceDE w:val="0"/>
        <w:autoSpaceDN w:val="0"/>
        <w:adjustRightInd w:val="0"/>
        <w:spacing w:line="500" w:lineRule="exact"/>
        <w:ind w:firstLine="480" w:firstLineChars="200"/>
        <w:jc w:val="left"/>
        <w:outlineLvl w:val="0"/>
        <w:rPr>
          <w:rFonts w:hint="eastAsia" w:ascii="宋体" w:hAnsi="宋体" w:eastAsia="宋体" w:cs="宋体"/>
          <w:color w:val="auto"/>
          <w:sz w:val="24"/>
          <w:highlight w:val="none"/>
          <w:lang w:val="en-US" w:eastAsia="zh-CN"/>
        </w:rPr>
      </w:pPr>
      <w:bookmarkStart w:id="118" w:name="_Toc22791"/>
      <w:bookmarkStart w:id="119" w:name="_Toc14206"/>
      <w:r>
        <w:rPr>
          <w:rFonts w:hint="eastAsia" w:ascii="宋体" w:hAnsi="宋体" w:eastAsia="宋体" w:cs="宋体"/>
          <w:color w:val="auto"/>
          <w:sz w:val="24"/>
          <w:highlight w:val="none"/>
          <w:lang w:val="en-US" w:eastAsia="zh-CN"/>
        </w:rPr>
        <w:t>16、监狱企业声明函（符合本声明函填写）</w:t>
      </w:r>
      <w:bookmarkEnd w:id="118"/>
      <w:bookmarkEnd w:id="119"/>
    </w:p>
    <w:p>
      <w:pPr>
        <w:autoSpaceDE w:val="0"/>
        <w:autoSpaceDN w:val="0"/>
        <w:adjustRightInd w:val="0"/>
        <w:spacing w:line="500" w:lineRule="exact"/>
        <w:ind w:firstLine="480" w:firstLineChars="200"/>
        <w:jc w:val="left"/>
        <w:outlineLvl w:val="0"/>
        <w:rPr>
          <w:rFonts w:hint="eastAsia" w:ascii="宋体" w:hAnsi="宋体"/>
          <w:color w:val="auto"/>
          <w:sz w:val="24"/>
          <w:szCs w:val="24"/>
          <w:highlight w:val="none"/>
        </w:rPr>
      </w:pPr>
      <w:bookmarkStart w:id="120" w:name="_Toc6942"/>
      <w:bookmarkStart w:id="121" w:name="_Toc9565"/>
      <w:r>
        <w:rPr>
          <w:rFonts w:hint="eastAsia" w:ascii="宋体" w:hAnsi="宋体" w:eastAsia="宋体" w:cs="宋体"/>
          <w:color w:val="auto"/>
          <w:sz w:val="24"/>
          <w:highlight w:val="none"/>
          <w:lang w:val="en-US" w:eastAsia="zh-CN"/>
        </w:rPr>
        <w:t>17、残疾人福利性单位声明函（符合本声明函填写）</w:t>
      </w:r>
      <w:bookmarkEnd w:id="120"/>
      <w:bookmarkEnd w:id="121"/>
    </w:p>
    <w:p>
      <w:pPr>
        <w:autoSpaceDE w:val="0"/>
        <w:autoSpaceDN w:val="0"/>
        <w:adjustRightInd w:val="0"/>
        <w:spacing w:line="500" w:lineRule="exact"/>
        <w:ind w:firstLine="480" w:firstLineChars="200"/>
        <w:jc w:val="left"/>
        <w:outlineLvl w:val="0"/>
        <w:rPr>
          <w:rFonts w:hint="eastAsia" w:ascii="宋体" w:hAnsi="宋体"/>
          <w:color w:val="auto"/>
          <w:sz w:val="24"/>
          <w:szCs w:val="24"/>
          <w:highlight w:val="none"/>
        </w:rPr>
      </w:pPr>
      <w:bookmarkStart w:id="122" w:name="_Toc28393"/>
      <w:bookmarkStart w:id="123" w:name="_Toc18263"/>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、评审中所需资料</w:t>
      </w:r>
      <w:bookmarkEnd w:id="122"/>
      <w:bookmarkEnd w:id="123"/>
    </w:p>
    <w:p>
      <w:pPr>
        <w:autoSpaceDE w:val="0"/>
        <w:autoSpaceDN w:val="0"/>
        <w:adjustRightInd w:val="0"/>
        <w:spacing w:line="500" w:lineRule="exact"/>
        <w:ind w:firstLine="480" w:firstLineChars="200"/>
        <w:jc w:val="left"/>
        <w:outlineLvl w:val="0"/>
        <w:rPr>
          <w:rFonts w:ascii="宋体" w:hAnsi="宋体"/>
          <w:color w:val="auto"/>
          <w:sz w:val="24"/>
          <w:szCs w:val="24"/>
          <w:highlight w:val="none"/>
        </w:rPr>
      </w:pPr>
      <w:bookmarkStart w:id="124" w:name="_Toc9318"/>
      <w:bookmarkStart w:id="125" w:name="_Toc13562"/>
      <w:r>
        <w:rPr>
          <w:rFonts w:hint="eastAsia" w:ascii="宋体" w:hAnsi="宋体"/>
          <w:color w:val="auto"/>
          <w:sz w:val="24"/>
          <w:szCs w:val="24"/>
          <w:highlight w:val="none"/>
          <w:lang w:val="en-US" w:eastAsia="zh-CN"/>
        </w:rPr>
        <w:t>19</w:t>
      </w:r>
      <w:r>
        <w:rPr>
          <w:rFonts w:ascii="宋体" w:hAnsi="宋体"/>
          <w:color w:val="auto"/>
          <w:sz w:val="24"/>
          <w:szCs w:val="24"/>
          <w:highlight w:val="none"/>
        </w:rPr>
        <w:t>、供应商认为有必要提供的其他资料</w:t>
      </w:r>
      <w:bookmarkEnd w:id="124"/>
      <w:bookmarkEnd w:id="125"/>
    </w:p>
    <w:p>
      <w:pPr>
        <w:spacing w:line="500" w:lineRule="exact"/>
        <w:ind w:firstLine="472" w:firstLineChars="196"/>
        <w:rPr>
          <w:rFonts w:ascii="宋体" w:hAnsi="宋体"/>
          <w:b/>
          <w:bCs/>
          <w:color w:val="auto"/>
          <w:sz w:val="24"/>
          <w:szCs w:val="24"/>
          <w:highlight w:val="none"/>
        </w:rPr>
      </w:pPr>
      <w:r>
        <w:rPr>
          <w:rFonts w:hint="eastAsia" w:ascii="宋体" w:hAnsi="宋体"/>
          <w:b/>
          <w:color w:val="auto"/>
          <w:sz w:val="24"/>
          <w:szCs w:val="24"/>
          <w:highlight w:val="none"/>
        </w:rPr>
        <w:t>（注：供应商须按招标要求提供，磋商响应文件应当使用磋商文件所提供磋商响应文件格式（表格可按照同样格式扩展）。未提供格式的，需要时由供应商用文字或者表格、图片等其它形式提供。）</w:t>
      </w:r>
    </w:p>
    <w:p>
      <w:pPr>
        <w:widowControl/>
        <w:jc w:val="left"/>
        <w:rPr>
          <w:rFonts w:ascii="宋体" w:hAnsi="宋体"/>
          <w:color w:val="auto"/>
          <w:sz w:val="24"/>
          <w:szCs w:val="24"/>
          <w:highlight w:val="none"/>
        </w:rPr>
      </w:pPr>
      <w:r>
        <w:rPr>
          <w:rFonts w:ascii="宋体" w:hAnsi="宋体"/>
          <w:color w:val="auto"/>
          <w:sz w:val="18"/>
          <w:szCs w:val="18"/>
          <w:highlight w:val="none"/>
        </w:rPr>
        <w:br w:type="page"/>
      </w:r>
    </w:p>
    <w:p>
      <w:pPr>
        <w:shd w:val="clear" w:color="auto" w:fill="FFFFFF"/>
        <w:spacing w:line="360" w:lineRule="exact"/>
        <w:outlineLvl w:val="0"/>
        <w:rPr>
          <w:rFonts w:hint="eastAsia" w:ascii="宋体" w:hAnsi="宋体"/>
          <w:b/>
          <w:color w:val="auto"/>
          <w:sz w:val="24"/>
          <w:szCs w:val="24"/>
          <w:highlight w:val="none"/>
        </w:rPr>
      </w:pPr>
      <w:bookmarkStart w:id="126" w:name="_Toc9753"/>
      <w:bookmarkStart w:id="127" w:name="_Toc31865"/>
      <w:r>
        <w:rPr>
          <w:rFonts w:hint="eastAsia" w:ascii="宋体" w:hAnsi="宋体"/>
          <w:b/>
          <w:color w:val="auto"/>
          <w:sz w:val="24"/>
          <w:szCs w:val="24"/>
          <w:highlight w:val="none"/>
        </w:rPr>
        <w:t>附件1</w:t>
      </w:r>
      <w:bookmarkEnd w:id="126"/>
      <w:bookmarkEnd w:id="127"/>
    </w:p>
    <w:p>
      <w:pPr>
        <w:shd w:val="clear" w:color="auto" w:fill="FFFFFF"/>
        <w:spacing w:line="500" w:lineRule="exact"/>
        <w:ind w:right="420"/>
        <w:jc w:val="center"/>
        <w:rPr>
          <w:rFonts w:hint="eastAsia" w:ascii="宋体" w:hAnsi="宋体"/>
          <w:b/>
          <w:color w:val="auto"/>
          <w:sz w:val="24"/>
          <w:szCs w:val="24"/>
          <w:highlight w:val="none"/>
        </w:rPr>
      </w:pPr>
      <w:r>
        <w:rPr>
          <w:rFonts w:hint="eastAsia" w:ascii="宋体" w:hAnsi="宋体"/>
          <w:b/>
          <w:color w:val="auto"/>
          <w:sz w:val="24"/>
          <w:szCs w:val="24"/>
          <w:highlight w:val="none"/>
        </w:rPr>
        <w:t>磋商响应书</w:t>
      </w:r>
    </w:p>
    <w:p>
      <w:pPr>
        <w:shd w:val="clear" w:color="auto" w:fill="FFFFFF"/>
        <w:spacing w:line="440" w:lineRule="exact"/>
        <w:ind w:right="420"/>
        <w:jc w:val="left"/>
        <w:rPr>
          <w:rFonts w:ascii="宋体" w:hAnsi="宋体"/>
          <w:color w:val="auto"/>
          <w:sz w:val="24"/>
          <w:szCs w:val="24"/>
          <w:highlight w:val="none"/>
          <w:u w:val="singl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采购人名称</w:t>
      </w:r>
      <w:r>
        <w:rPr>
          <w:rFonts w:hint="eastAsia" w:ascii="宋体" w:hAnsi="宋体"/>
          <w:color w:val="auto"/>
          <w:sz w:val="24"/>
          <w:szCs w:val="24"/>
          <w:highlight w:val="none"/>
        </w:rPr>
        <w:t>）：</w:t>
      </w:r>
    </w:p>
    <w:p>
      <w:pPr>
        <w:shd w:val="clear" w:color="auto" w:fill="FFFFFF"/>
        <w:spacing w:line="440" w:lineRule="exact"/>
        <w:ind w:left="1" w:firstLine="489" w:firstLineChars="204"/>
        <w:rPr>
          <w:rFonts w:ascii="宋体" w:hAnsi="宋体"/>
          <w:color w:val="auto"/>
          <w:sz w:val="24"/>
          <w:szCs w:val="24"/>
          <w:highlight w:val="none"/>
        </w:rPr>
      </w:pPr>
      <w:r>
        <w:rPr>
          <w:rFonts w:hint="eastAsia" w:ascii="宋体" w:hAnsi="宋体"/>
          <w:color w:val="auto"/>
          <w:sz w:val="24"/>
          <w:szCs w:val="24"/>
          <w:highlight w:val="none"/>
        </w:rPr>
        <w:t>我方收到并研究了贵方</w:t>
      </w:r>
      <w:r>
        <w:rPr>
          <w:rFonts w:hint="eastAsia" w:ascii="宋体" w:hAnsi="宋体"/>
          <w:color w:val="auto"/>
          <w:sz w:val="24"/>
          <w:szCs w:val="24"/>
          <w:highlight w:val="none"/>
          <w:u w:val="single"/>
        </w:rPr>
        <w:t xml:space="preserve">   （项目名称、采购项目编号）</w:t>
      </w:r>
      <w:r>
        <w:rPr>
          <w:rFonts w:hint="eastAsia" w:ascii="宋体" w:hAnsi="宋体"/>
          <w:color w:val="auto"/>
          <w:sz w:val="24"/>
          <w:szCs w:val="24"/>
          <w:highlight w:val="none"/>
        </w:rPr>
        <w:t>项目的磋商文件，愿意按照磋商文件规定的内容承担该项目的投标任务，严格执行我方所承诺的责任和义务。为此，我方郑重声明以下诸点，并负法律责任。</w:t>
      </w:r>
    </w:p>
    <w:p>
      <w:pPr>
        <w:shd w:val="clear" w:color="auto" w:fill="FFFFFF"/>
        <w:spacing w:line="440" w:lineRule="exact"/>
        <w:ind w:left="1" w:firstLine="489" w:firstLineChars="204"/>
        <w:rPr>
          <w:rFonts w:ascii="宋体" w:hAnsi="宋体"/>
          <w:color w:val="auto"/>
          <w:sz w:val="24"/>
          <w:szCs w:val="24"/>
          <w:highlight w:val="none"/>
        </w:rPr>
      </w:pPr>
      <w:r>
        <w:rPr>
          <w:rFonts w:hint="eastAsia" w:ascii="宋体" w:hAnsi="宋体"/>
          <w:color w:val="auto"/>
          <w:sz w:val="24"/>
          <w:szCs w:val="24"/>
          <w:highlight w:val="none"/>
        </w:rPr>
        <w:t>1、我方提交磋商响应文件，我方愿按《中华人民共和国政府采购法》及其他有关法律、法规的规定，自觉履行自己的全部责任。</w:t>
      </w:r>
    </w:p>
    <w:p>
      <w:pPr>
        <w:shd w:val="clear" w:color="auto" w:fill="FFFFFF"/>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2、我方同意在磋商有效期内遵守本磋商响应文件，在此期限期满前的任何时间，本磋商响应文件一直对我们具有约束力；</w:t>
      </w:r>
    </w:p>
    <w:p>
      <w:pPr>
        <w:shd w:val="clear" w:color="auto" w:fill="FFFFFF"/>
        <w:spacing w:line="440" w:lineRule="exact"/>
        <w:ind w:right="420"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3、如果我方磋商响应文件被接受，我方将按照磋商文件的规定，我方保证将按招标要求和磋商响应文件中的承诺按期、按质、按量交付使用方；</w:t>
      </w:r>
    </w:p>
    <w:p>
      <w:pPr>
        <w:shd w:val="clear" w:color="auto" w:fill="FFFFFF"/>
        <w:spacing w:line="440" w:lineRule="exact"/>
        <w:ind w:right="420"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、如果我方中标，我方将在磋商文件规定的时间内签订委托合同并按招标要求提供履约担保。如果我方违约，除磋商保证金不予退还外，贵方有权终止我方中标并选择其它成交供应商。</w:t>
      </w:r>
    </w:p>
    <w:p>
      <w:pPr>
        <w:shd w:val="clear" w:color="auto" w:fill="FFFFFF"/>
        <w:spacing w:line="440" w:lineRule="exact"/>
        <w:ind w:right="420" w:firstLine="480" w:firstLineChars="200"/>
        <w:jc w:val="left"/>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、如果我方中标，我方将在磋商文件规定的时间内签订服务合同。如果我方违约，</w:t>
      </w:r>
      <w:r>
        <w:rPr>
          <w:rFonts w:ascii="宋体" w:hAnsi="宋体"/>
          <w:color w:val="auto"/>
          <w:sz w:val="24"/>
          <w:szCs w:val="24"/>
          <w:highlight w:val="none"/>
        </w:rPr>
        <w:t>借故拒签合同或拖延签订的，则采购人将废除授标，</w:t>
      </w:r>
      <w:r>
        <w:rPr>
          <w:rFonts w:hint="eastAsia" w:ascii="宋体" w:hAnsi="宋体"/>
          <w:color w:val="auto"/>
          <w:sz w:val="24"/>
          <w:szCs w:val="24"/>
          <w:highlight w:val="none"/>
        </w:rPr>
        <w:t>磋商保证金</w:t>
      </w:r>
      <w:r>
        <w:rPr>
          <w:rFonts w:ascii="宋体" w:hAnsi="宋体"/>
          <w:color w:val="auto"/>
          <w:sz w:val="24"/>
          <w:szCs w:val="24"/>
          <w:highlight w:val="none"/>
        </w:rPr>
        <w:t>不予退还，给采购人造成的损失超过投</w:t>
      </w:r>
      <w:r>
        <w:rPr>
          <w:rFonts w:hint="eastAsia" w:ascii="宋体" w:hAnsi="宋体"/>
          <w:color w:val="auto"/>
          <w:sz w:val="24"/>
          <w:szCs w:val="24"/>
          <w:highlight w:val="none"/>
        </w:rPr>
        <w:t>保证金</w:t>
      </w:r>
      <w:r>
        <w:rPr>
          <w:rFonts w:ascii="宋体" w:hAnsi="宋体"/>
          <w:color w:val="auto"/>
          <w:sz w:val="24"/>
          <w:szCs w:val="24"/>
          <w:highlight w:val="none"/>
        </w:rPr>
        <w:t>保数额的，还应当对超过部分予以赔偿，同时依法承担相应法律责任</w:t>
      </w:r>
      <w:r>
        <w:rPr>
          <w:rFonts w:hint="eastAsia" w:ascii="宋体" w:hAnsi="宋体"/>
          <w:color w:val="auto"/>
          <w:sz w:val="24"/>
          <w:szCs w:val="24"/>
          <w:highlight w:val="none"/>
        </w:rPr>
        <w:t>，</w:t>
      </w:r>
      <w:r>
        <w:rPr>
          <w:rFonts w:ascii="宋体" w:hAnsi="宋体"/>
          <w:color w:val="auto"/>
          <w:sz w:val="24"/>
          <w:szCs w:val="24"/>
          <w:highlight w:val="none"/>
        </w:rPr>
        <w:t>采购人可另行选择成交供应商</w:t>
      </w:r>
      <w:r>
        <w:rPr>
          <w:rFonts w:hint="eastAsia" w:ascii="宋体" w:hAnsi="宋体"/>
          <w:color w:val="auto"/>
          <w:sz w:val="24"/>
          <w:szCs w:val="24"/>
          <w:highlight w:val="none"/>
        </w:rPr>
        <w:t>。</w:t>
      </w:r>
    </w:p>
    <w:p>
      <w:pPr>
        <w:shd w:val="clear" w:color="auto" w:fill="FFFFFF"/>
        <w:spacing w:line="440" w:lineRule="exact"/>
        <w:ind w:right="420" w:firstLine="480" w:firstLineChars="200"/>
        <w:jc w:val="left"/>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、一旦我方中标，我方愿意按招标要求承担政府采购代理服务费。</w:t>
      </w:r>
    </w:p>
    <w:p>
      <w:pPr>
        <w:shd w:val="clear" w:color="auto" w:fill="FFFFFF"/>
        <w:spacing w:line="440" w:lineRule="exact"/>
        <w:ind w:right="420" w:firstLine="480" w:firstLineChars="200"/>
        <w:jc w:val="left"/>
        <w:rPr>
          <w:rFonts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、贵方的中标通知书和本磋商响应文件将构成约束双方的合同。</w:t>
      </w:r>
    </w:p>
    <w:p>
      <w:pPr>
        <w:shd w:val="clear" w:color="auto" w:fill="FFFFFF"/>
        <w:spacing w:line="440" w:lineRule="exact"/>
        <w:ind w:right="420" w:firstLine="480" w:firstLineChars="200"/>
        <w:jc w:val="left"/>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、如果我方未中标，贵方没有必要对我方做出任何解释和说明，我方将充分尊重和理解贵方的选择。</w:t>
      </w:r>
    </w:p>
    <w:p>
      <w:pPr>
        <w:shd w:val="clear" w:color="auto" w:fill="FFFFFF"/>
        <w:spacing w:line="440" w:lineRule="exact"/>
        <w:ind w:right="420" w:firstLine="480"/>
        <w:jc w:val="left"/>
        <w:rPr>
          <w:rFonts w:hint="eastAsia" w:ascii="宋体" w:hAnsi="宋体"/>
          <w:color w:val="auto"/>
          <w:sz w:val="24"/>
          <w:szCs w:val="24"/>
          <w:highlight w:val="none"/>
        </w:rPr>
      </w:pPr>
      <w:r>
        <w:rPr>
          <w:rFonts w:hint="eastAsia" w:ascii="宋体" w:hAnsi="宋体"/>
          <w:color w:val="auto"/>
          <w:sz w:val="24"/>
          <w:szCs w:val="24"/>
          <w:highlight w:val="none"/>
        </w:rPr>
        <w:t>9、我方的磋商响应文件自提交磋商响应文件截止之日起有效期</w:t>
      </w:r>
      <w:r>
        <w:rPr>
          <w:rFonts w:hint="eastAsia" w:ascii="宋体" w:hAnsi="宋体"/>
          <w:color w:val="auto"/>
          <w:sz w:val="24"/>
          <w:szCs w:val="24"/>
          <w:highlight w:val="none"/>
          <w:u w:val="single"/>
        </w:rPr>
        <w:t xml:space="preserve"> 90  </w:t>
      </w:r>
      <w:r>
        <w:rPr>
          <w:rFonts w:hint="eastAsia" w:ascii="宋体" w:hAnsi="宋体"/>
          <w:color w:val="auto"/>
          <w:sz w:val="24"/>
          <w:szCs w:val="24"/>
          <w:highlight w:val="none"/>
        </w:rPr>
        <w:t>天。</w:t>
      </w:r>
    </w:p>
    <w:p>
      <w:pPr>
        <w:shd w:val="clear" w:color="auto" w:fill="FFFFFF"/>
        <w:spacing w:line="440" w:lineRule="exact"/>
        <w:ind w:right="420" w:firstLine="480"/>
        <w:jc w:val="left"/>
        <w:rPr>
          <w:rFonts w:hint="eastAsia" w:ascii="宋体" w:hAnsi="宋体"/>
          <w:color w:val="auto"/>
          <w:sz w:val="24"/>
          <w:szCs w:val="24"/>
          <w:highlight w:val="none"/>
        </w:rPr>
      </w:pPr>
    </w:p>
    <w:p>
      <w:pPr>
        <w:pStyle w:val="91"/>
        <w:shd w:val="clear" w:color="auto" w:fill="FFFFFF"/>
        <w:snapToGrid w:val="0"/>
        <w:spacing w:line="440" w:lineRule="exact"/>
        <w:rPr>
          <w:rFonts w:ascii="宋体" w:hAnsi="宋体"/>
          <w:color w:val="auto"/>
          <w:sz w:val="24"/>
          <w:highlight w:val="none"/>
        </w:rPr>
      </w:pPr>
      <w:r>
        <w:rPr>
          <w:rFonts w:hint="eastAsia" w:ascii="宋体" w:hAnsi="宋体"/>
          <w:color w:val="auto"/>
          <w:sz w:val="24"/>
          <w:highlight w:val="none"/>
        </w:rPr>
        <w:t>供应商（盖公章）：</w:t>
      </w:r>
    </w:p>
    <w:p>
      <w:pPr>
        <w:shd w:val="clear" w:color="auto" w:fill="FFFFFF"/>
        <w:spacing w:line="440" w:lineRule="exact"/>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shd w:val="clear" w:color="auto" w:fill="FFFFFF"/>
        <w:adjustRightInd w:val="0"/>
        <w:snapToGrid w:val="0"/>
        <w:spacing w:line="440" w:lineRule="exact"/>
        <w:ind w:right="480"/>
        <w:rPr>
          <w:rFonts w:ascii="宋体" w:hAnsi="宋体"/>
          <w:color w:val="auto"/>
          <w:sz w:val="24"/>
          <w:szCs w:val="24"/>
          <w:highlight w:val="none"/>
        </w:rPr>
      </w:pPr>
      <w:r>
        <w:rPr>
          <w:rFonts w:hint="eastAsia" w:ascii="宋体" w:hAnsi="宋体"/>
          <w:color w:val="auto"/>
          <w:sz w:val="24"/>
          <w:szCs w:val="24"/>
          <w:highlight w:val="none"/>
        </w:rPr>
        <w:t>日期：  年  月   日</w:t>
      </w:r>
    </w:p>
    <w:p>
      <w:pPr>
        <w:shd w:val="clear" w:color="auto" w:fill="FFFFFF"/>
        <w:spacing w:line="360" w:lineRule="exact"/>
        <w:ind w:right="420"/>
        <w:jc w:val="left"/>
        <w:outlineLvl w:val="0"/>
        <w:rPr>
          <w:rFonts w:hint="eastAsia" w:ascii="宋体" w:hAnsi="宋体"/>
          <w:b/>
          <w:color w:val="auto"/>
          <w:sz w:val="24"/>
          <w:szCs w:val="24"/>
          <w:highlight w:val="none"/>
        </w:rPr>
      </w:pPr>
      <w:r>
        <w:rPr>
          <w:rFonts w:ascii="宋体" w:hAnsi="宋体"/>
          <w:color w:val="auto"/>
          <w:sz w:val="24"/>
          <w:szCs w:val="24"/>
          <w:highlight w:val="none"/>
        </w:rPr>
        <w:br w:type="page"/>
      </w:r>
      <w:bookmarkStart w:id="128" w:name="_Toc18033"/>
      <w:bookmarkStart w:id="129" w:name="_Toc10540"/>
      <w:r>
        <w:rPr>
          <w:rFonts w:hint="eastAsia" w:ascii="宋体" w:hAnsi="宋体"/>
          <w:b/>
          <w:color w:val="auto"/>
          <w:sz w:val="24"/>
          <w:szCs w:val="24"/>
          <w:highlight w:val="none"/>
        </w:rPr>
        <w:t>附件</w:t>
      </w:r>
      <w:bookmarkEnd w:id="128"/>
      <w:bookmarkEnd w:id="129"/>
      <w:r>
        <w:rPr>
          <w:rFonts w:hint="eastAsia"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lang w:val="en-US" w:eastAsia="zh-CN"/>
        </w:rPr>
        <w:t>-1</w:t>
      </w:r>
    </w:p>
    <w:p>
      <w:pPr>
        <w:shd w:val="clear" w:color="auto" w:fill="FFFFFF"/>
        <w:spacing w:line="500" w:lineRule="exact"/>
        <w:ind w:right="420"/>
        <w:jc w:val="center"/>
        <w:rPr>
          <w:rFonts w:hint="eastAsia" w:ascii="宋体" w:hAnsi="宋体"/>
          <w:b/>
          <w:color w:val="auto"/>
          <w:sz w:val="24"/>
          <w:szCs w:val="24"/>
          <w:highlight w:val="none"/>
        </w:rPr>
      </w:pPr>
      <w:r>
        <w:rPr>
          <w:rFonts w:hint="eastAsia" w:ascii="宋体" w:hAnsi="宋体"/>
          <w:b/>
          <w:color w:val="auto"/>
          <w:sz w:val="24"/>
          <w:szCs w:val="24"/>
          <w:highlight w:val="none"/>
        </w:rPr>
        <w:t>开标一览表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noWrap w:val="0"/>
            <w:vAlign w:val="center"/>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01" w:type="dxa"/>
            <w:noWrap w:val="0"/>
            <w:vAlign w:val="center"/>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542" w:type="dxa"/>
            <w:noWrap w:val="0"/>
            <w:vAlign w:val="center"/>
          </w:tcPr>
          <w:p>
            <w:pPr>
              <w:spacing w:line="500" w:lineRule="exact"/>
              <w:rPr>
                <w:rFonts w:ascii="宋体" w:hAnsi="宋体" w:cs="宋体"/>
                <w:color w:val="auto"/>
                <w:sz w:val="24"/>
                <w:szCs w:val="24"/>
                <w:highlight w:val="none"/>
              </w:rPr>
            </w:pPr>
          </w:p>
        </w:tc>
        <w:tc>
          <w:tcPr>
            <w:tcW w:w="1236" w:type="dxa"/>
            <w:noWrap w:val="0"/>
            <w:vAlign w:val="center"/>
          </w:tcPr>
          <w:p>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724" w:type="dxa"/>
            <w:noWrap w:val="0"/>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noWrap w:val="0"/>
            <w:vAlign w:val="center"/>
          </w:tcPr>
          <w:p>
            <w:pPr>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701" w:type="dxa"/>
            <w:noWrap w:val="0"/>
            <w:vAlign w:val="center"/>
          </w:tcPr>
          <w:p>
            <w:pPr>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w:t>
            </w:r>
          </w:p>
        </w:tc>
        <w:tc>
          <w:tcPr>
            <w:tcW w:w="5502" w:type="dxa"/>
            <w:gridSpan w:val="3"/>
            <w:noWrap w:val="0"/>
            <w:vAlign w:val="center"/>
          </w:tcPr>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pPr>
              <w:spacing w:line="500" w:lineRule="exact"/>
              <w:rPr>
                <w:rFonts w:ascii="宋体" w:hAnsi="宋体" w:cs="宋体"/>
                <w:color w:val="auto"/>
                <w:sz w:val="24"/>
                <w:szCs w:val="24"/>
                <w:highlight w:val="non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noWrap w:val="0"/>
            <w:vAlign w:val="center"/>
          </w:tcPr>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701" w:type="dxa"/>
            <w:noWrap w:val="0"/>
            <w:vAlign w:val="center"/>
          </w:tcPr>
          <w:p>
            <w:pPr>
              <w:spacing w:line="5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供货期</w:t>
            </w:r>
          </w:p>
        </w:tc>
        <w:tc>
          <w:tcPr>
            <w:tcW w:w="5502" w:type="dxa"/>
            <w:gridSpan w:val="3"/>
            <w:noWrap w:val="0"/>
            <w:vAlign w:val="center"/>
          </w:tcPr>
          <w:p>
            <w:pPr>
              <w:spacing w:line="500" w:lineRule="exact"/>
              <w:jc w:val="left"/>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noWrap w:val="0"/>
            <w:vAlign w:val="center"/>
          </w:tcPr>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701" w:type="dxa"/>
            <w:noWrap w:val="0"/>
            <w:vAlign w:val="center"/>
          </w:tcPr>
          <w:p>
            <w:pPr>
              <w:spacing w:line="5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5502" w:type="dxa"/>
            <w:gridSpan w:val="3"/>
            <w:noWrap w:val="0"/>
            <w:vAlign w:val="center"/>
          </w:tcPr>
          <w:p>
            <w:pPr>
              <w:spacing w:line="500" w:lineRule="exact"/>
              <w:jc w:val="left"/>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noWrap w:val="0"/>
            <w:vAlign w:val="center"/>
          </w:tcPr>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701" w:type="dxa"/>
            <w:noWrap w:val="0"/>
            <w:vAlign w:val="center"/>
          </w:tcPr>
          <w:p>
            <w:pPr>
              <w:spacing w:line="5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供货地点</w:t>
            </w:r>
          </w:p>
        </w:tc>
        <w:tc>
          <w:tcPr>
            <w:tcW w:w="5502" w:type="dxa"/>
            <w:gridSpan w:val="3"/>
            <w:noWrap w:val="0"/>
            <w:vAlign w:val="center"/>
          </w:tcPr>
          <w:p>
            <w:pPr>
              <w:spacing w:line="500" w:lineRule="exact"/>
              <w:jc w:val="left"/>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noWrap w:val="0"/>
            <w:vAlign w:val="center"/>
          </w:tcPr>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701" w:type="dxa"/>
            <w:noWrap w:val="0"/>
            <w:vAlign w:val="center"/>
          </w:tcPr>
          <w:p>
            <w:pPr>
              <w:spacing w:line="5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磋商有效期</w:t>
            </w:r>
          </w:p>
        </w:tc>
        <w:tc>
          <w:tcPr>
            <w:tcW w:w="5502" w:type="dxa"/>
            <w:gridSpan w:val="3"/>
            <w:noWrap w:val="0"/>
            <w:vAlign w:val="center"/>
          </w:tcPr>
          <w:p>
            <w:pPr>
              <w:spacing w:line="500" w:lineRule="exact"/>
              <w:jc w:val="left"/>
              <w:rPr>
                <w:rFonts w:hint="eastAsia" w:ascii="宋体" w:hAnsi="宋体"/>
                <w:color w:val="auto"/>
                <w:sz w:val="24"/>
                <w:szCs w:val="24"/>
                <w:highlight w:val="none"/>
              </w:rPr>
            </w:pPr>
            <w:r>
              <w:rPr>
                <w:rFonts w:hint="eastAsia" w:ascii="宋体" w:hAnsi="宋体"/>
                <w:color w:val="auto"/>
                <w:sz w:val="24"/>
                <w:szCs w:val="24"/>
                <w:highlight w:val="none"/>
              </w:rPr>
              <w:t>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noWrap w:val="0"/>
            <w:vAlign w:val="center"/>
          </w:tcPr>
          <w:p>
            <w:pPr>
              <w:pStyle w:val="14"/>
              <w:spacing w:line="360" w:lineRule="auto"/>
              <w:jc w:val="center"/>
              <w:rPr>
                <w:rFonts w:hAnsi="宋体" w:cs="宋体"/>
                <w:color w:val="auto"/>
                <w:sz w:val="24"/>
                <w:szCs w:val="24"/>
                <w:highlight w:val="none"/>
              </w:rPr>
            </w:pPr>
            <w:r>
              <w:rPr>
                <w:rFonts w:hint="eastAsia" w:hAnsi="宋体" w:cs="宋体"/>
                <w:color w:val="auto"/>
                <w:sz w:val="24"/>
                <w:szCs w:val="24"/>
                <w:highlight w:val="none"/>
              </w:rPr>
              <w:t>备注</w:t>
            </w:r>
          </w:p>
        </w:tc>
        <w:tc>
          <w:tcPr>
            <w:tcW w:w="5502" w:type="dxa"/>
            <w:gridSpan w:val="3"/>
            <w:noWrap w:val="0"/>
            <w:vAlign w:val="center"/>
          </w:tcPr>
          <w:p>
            <w:pPr>
              <w:pStyle w:val="14"/>
              <w:spacing w:line="360" w:lineRule="auto"/>
              <w:jc w:val="center"/>
              <w:rPr>
                <w:rFonts w:hAnsi="宋体" w:cs="宋体"/>
                <w:color w:val="auto"/>
                <w:sz w:val="24"/>
                <w:szCs w:val="24"/>
                <w:highlight w:val="none"/>
              </w:rPr>
            </w:pPr>
          </w:p>
        </w:tc>
      </w:tr>
    </w:tbl>
    <w:p>
      <w:pPr>
        <w:shd w:val="clear" w:color="auto" w:fill="FFFFFF"/>
        <w:tabs>
          <w:tab w:val="left" w:pos="3780"/>
        </w:tabs>
        <w:spacing w:line="500" w:lineRule="exact"/>
        <w:ind w:firstLine="480" w:firstLineChars="200"/>
        <w:rPr>
          <w:rFonts w:ascii="宋体" w:hAnsi="宋体"/>
          <w:color w:val="auto"/>
          <w:sz w:val="24"/>
          <w:szCs w:val="24"/>
          <w:highlight w:val="none"/>
        </w:rPr>
      </w:pPr>
    </w:p>
    <w:p>
      <w:pPr>
        <w:shd w:val="clear" w:color="auto" w:fill="FFFFFF"/>
        <w:tabs>
          <w:tab w:val="left" w:pos="3780"/>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供应商（盖公章）：</w:t>
      </w:r>
    </w:p>
    <w:p>
      <w:pPr>
        <w:shd w:val="clear" w:color="auto" w:fill="FFFFFF"/>
        <w:tabs>
          <w:tab w:val="left" w:pos="3780"/>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shd w:val="clear" w:color="auto" w:fill="FFFFFF"/>
        <w:tabs>
          <w:tab w:val="left" w:pos="3780"/>
        </w:tabs>
        <w:spacing w:line="50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pPr>
        <w:shd w:val="clear" w:color="auto" w:fill="FFFFFF"/>
        <w:tabs>
          <w:tab w:val="left" w:pos="3780"/>
        </w:tabs>
        <w:spacing w:line="500" w:lineRule="exact"/>
        <w:ind w:firstLine="5400" w:firstLineChars="2250"/>
        <w:rPr>
          <w:rFonts w:ascii="宋体" w:hAnsi="宋体"/>
          <w:color w:val="auto"/>
          <w:sz w:val="24"/>
          <w:szCs w:val="24"/>
          <w:highlight w:val="none"/>
        </w:rPr>
      </w:pPr>
    </w:p>
    <w:p>
      <w:pPr>
        <w:shd w:val="clear" w:color="auto" w:fill="FFFFFF"/>
        <w:spacing w:line="500" w:lineRule="exact"/>
        <w:ind w:firstLine="489" w:firstLineChars="204"/>
        <w:outlineLvl w:val="0"/>
        <w:rPr>
          <w:rFonts w:ascii="宋体" w:hAnsi="宋体"/>
          <w:color w:val="auto"/>
          <w:sz w:val="24"/>
          <w:szCs w:val="24"/>
          <w:highlight w:val="none"/>
        </w:rPr>
      </w:pPr>
      <w:bookmarkStart w:id="130" w:name="_Toc15420"/>
      <w:bookmarkStart w:id="131" w:name="_Toc4411"/>
      <w:r>
        <w:rPr>
          <w:rFonts w:hint="eastAsia" w:ascii="宋体" w:hAnsi="宋体"/>
          <w:color w:val="auto"/>
          <w:sz w:val="24"/>
          <w:szCs w:val="24"/>
          <w:highlight w:val="none"/>
        </w:rPr>
        <w:t>1、“供货期”指合同生效之日起，多少天内完成合同规定的全部工作内容；</w:t>
      </w:r>
      <w:bookmarkEnd w:id="130"/>
      <w:bookmarkEnd w:id="131"/>
    </w:p>
    <w:p>
      <w:pPr>
        <w:shd w:val="clear" w:color="auto" w:fill="FFFFFF"/>
        <w:spacing w:line="500" w:lineRule="exact"/>
        <w:ind w:firstLine="489" w:firstLineChars="204"/>
        <w:rPr>
          <w:rFonts w:hint="eastAsia" w:ascii="宋体" w:hAnsi="宋体"/>
          <w:color w:val="auto"/>
          <w:sz w:val="24"/>
          <w:szCs w:val="24"/>
          <w:highlight w:val="none"/>
        </w:rPr>
      </w:pPr>
      <w:r>
        <w:rPr>
          <w:rFonts w:hint="eastAsia" w:ascii="宋体" w:hAnsi="宋体"/>
          <w:color w:val="auto"/>
          <w:sz w:val="24"/>
          <w:szCs w:val="24"/>
          <w:highlight w:val="none"/>
        </w:rPr>
        <w:t>2、供应商如果需要对竞标报价或其它内容加以说明，可在备注中填写。</w:t>
      </w:r>
    </w:p>
    <w:p>
      <w:pPr>
        <w:shd w:val="clear" w:color="auto" w:fill="FFFFFF"/>
        <w:adjustRightInd w:val="0"/>
        <w:snapToGrid w:val="0"/>
        <w:spacing w:line="500" w:lineRule="exact"/>
        <w:ind w:right="480"/>
        <w:rPr>
          <w:rFonts w:ascii="宋体" w:hAnsi="宋体"/>
          <w:color w:val="auto"/>
          <w:sz w:val="24"/>
          <w:szCs w:val="24"/>
          <w:highlight w:val="none"/>
        </w:rPr>
      </w:pPr>
    </w:p>
    <w:p>
      <w:pPr>
        <w:keepNext w:val="0"/>
        <w:keepLines w:val="0"/>
        <w:pageBreakBefore/>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附件2-2</w:t>
      </w:r>
    </w:p>
    <w:p>
      <w:pPr>
        <w:tabs>
          <w:tab w:val="left" w:pos="5100"/>
        </w:tabs>
        <w:spacing w:line="440" w:lineRule="exact"/>
        <w:ind w:firstLine="352" w:firstLineChars="147"/>
        <w:rPr>
          <w:rFonts w:hint="eastAsia" w:ascii="宋体" w:hAnsi="宋体"/>
          <w:bCs/>
          <w:sz w:val="24"/>
          <w:szCs w:val="24"/>
        </w:rPr>
      </w:pPr>
    </w:p>
    <w:p>
      <w:pPr>
        <w:tabs>
          <w:tab w:val="left" w:pos="5100"/>
        </w:tabs>
        <w:spacing w:line="440" w:lineRule="exact"/>
        <w:ind w:firstLine="352" w:firstLineChars="147"/>
        <w:rPr>
          <w:rFonts w:ascii="宋体" w:hAnsi="宋体"/>
          <w:bCs/>
          <w:color w:val="auto"/>
          <w:kern w:val="2"/>
        </w:rPr>
      </w:pPr>
      <w:r>
        <w:rPr>
          <w:rFonts w:hint="eastAsia" w:ascii="宋体" w:hAnsi="宋体"/>
          <w:bCs/>
          <w:sz w:val="24"/>
          <w:szCs w:val="24"/>
        </w:rPr>
        <w:t>项目名称：</w:t>
      </w:r>
      <w:r>
        <w:rPr>
          <w:rFonts w:ascii="宋体" w:hAnsi="宋体"/>
          <w:bCs/>
          <w:sz w:val="24"/>
          <w:szCs w:val="24"/>
        </w:rPr>
        <w:t xml:space="preserve">               </w:t>
      </w:r>
      <w:r>
        <w:rPr>
          <w:rFonts w:ascii="宋体" w:hAnsi="宋体"/>
        </w:rPr>
        <w:t xml:space="preserve">  </w:t>
      </w:r>
      <w:r>
        <w:rPr>
          <w:rFonts w:hint="eastAsia" w:ascii="宋体" w:hAnsi="宋体"/>
          <w:lang w:val="en-US" w:eastAsia="zh-CN"/>
        </w:rPr>
        <w:t xml:space="preserve">                   </w:t>
      </w:r>
      <w:r>
        <w:rPr>
          <w:rFonts w:hint="eastAsia" w:ascii="宋体" w:hAnsi="宋体" w:eastAsia="宋体" w:cs="Times New Roman"/>
          <w:bCs/>
          <w:sz w:val="24"/>
          <w:szCs w:val="24"/>
        </w:rPr>
        <w:t xml:space="preserve"> </w:t>
      </w:r>
      <w:r>
        <w:rPr>
          <w:rFonts w:hint="eastAsia" w:ascii="宋体" w:hAnsi="宋体" w:eastAsia="宋体" w:cs="Times New Roman"/>
          <w:bCs/>
          <w:sz w:val="24"/>
          <w:szCs w:val="24"/>
          <w:lang w:val="en-US" w:eastAsia="zh-CN"/>
        </w:rPr>
        <w:t>项目</w:t>
      </w:r>
      <w:r>
        <w:rPr>
          <w:rFonts w:hint="eastAsia" w:ascii="宋体" w:hAnsi="宋体" w:eastAsia="宋体" w:cs="Times New Roman"/>
          <w:bCs/>
          <w:sz w:val="24"/>
          <w:szCs w:val="24"/>
        </w:rPr>
        <w:t>编号：</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ascii="宋体" w:hAnsi="宋体"/>
                <w:sz w:val="24"/>
                <w:szCs w:val="24"/>
              </w:rPr>
            </w:pPr>
            <w:r>
              <w:rPr>
                <w:rFonts w:hint="eastAsia" w:ascii="宋体" w:hAnsi="宋体"/>
                <w:sz w:val="24"/>
                <w:szCs w:val="24"/>
              </w:rPr>
              <w:t>序号</w:t>
            </w:r>
          </w:p>
        </w:tc>
        <w:tc>
          <w:tcPr>
            <w:tcW w:w="1864" w:type="dxa"/>
            <w:noWrap w:val="0"/>
            <w:vAlign w:val="center"/>
          </w:tcPr>
          <w:p>
            <w:pPr>
              <w:spacing w:line="440" w:lineRule="exact"/>
              <w:jc w:val="center"/>
              <w:rPr>
                <w:rFonts w:ascii="宋体" w:hAnsi="宋体"/>
                <w:sz w:val="24"/>
                <w:szCs w:val="24"/>
              </w:rPr>
            </w:pPr>
            <w:r>
              <w:rPr>
                <w:rFonts w:hint="eastAsia" w:ascii="宋体" w:hAnsi="宋体"/>
                <w:sz w:val="24"/>
                <w:szCs w:val="24"/>
              </w:rPr>
              <w:t>名称</w:t>
            </w:r>
          </w:p>
        </w:tc>
        <w:tc>
          <w:tcPr>
            <w:tcW w:w="1650" w:type="dxa"/>
            <w:noWrap w:val="0"/>
            <w:vAlign w:val="center"/>
          </w:tcPr>
          <w:p>
            <w:pPr>
              <w:spacing w:line="440" w:lineRule="exact"/>
              <w:jc w:val="center"/>
              <w:rPr>
                <w:rFonts w:ascii="宋体" w:hAnsi="宋体"/>
                <w:sz w:val="24"/>
                <w:szCs w:val="24"/>
              </w:rPr>
            </w:pPr>
            <w:r>
              <w:rPr>
                <w:rFonts w:hint="eastAsia" w:ascii="宋体" w:hAnsi="宋体"/>
                <w:sz w:val="24"/>
                <w:szCs w:val="24"/>
              </w:rPr>
              <w:t>规格</w:t>
            </w:r>
            <w:r>
              <w:rPr>
                <w:rFonts w:hint="eastAsia" w:ascii="宋体" w:hAnsi="宋体"/>
                <w:sz w:val="24"/>
                <w:szCs w:val="24"/>
                <w:lang w:val="en-US" w:eastAsia="zh-CN"/>
              </w:rPr>
              <w:t>及</w:t>
            </w:r>
            <w:r>
              <w:rPr>
                <w:rFonts w:hint="eastAsia" w:ascii="宋体" w:hAnsi="宋体"/>
                <w:sz w:val="24"/>
                <w:szCs w:val="24"/>
              </w:rPr>
              <w:t>参数</w:t>
            </w:r>
          </w:p>
        </w:tc>
        <w:tc>
          <w:tcPr>
            <w:tcW w:w="960" w:type="dxa"/>
            <w:noWrap w:val="0"/>
            <w:vAlign w:val="center"/>
          </w:tcPr>
          <w:p>
            <w:pPr>
              <w:spacing w:line="440" w:lineRule="exact"/>
              <w:jc w:val="center"/>
              <w:rPr>
                <w:rFonts w:ascii="宋体" w:hAnsi="宋体"/>
                <w:sz w:val="24"/>
                <w:szCs w:val="24"/>
              </w:rPr>
            </w:pPr>
            <w:r>
              <w:rPr>
                <w:rFonts w:hint="eastAsia" w:ascii="宋体" w:hAnsi="宋体"/>
                <w:sz w:val="24"/>
                <w:szCs w:val="24"/>
              </w:rPr>
              <w:t>单位</w:t>
            </w:r>
          </w:p>
        </w:tc>
        <w:tc>
          <w:tcPr>
            <w:tcW w:w="1129" w:type="dxa"/>
            <w:noWrap w:val="0"/>
            <w:vAlign w:val="center"/>
          </w:tcPr>
          <w:p>
            <w:pPr>
              <w:spacing w:line="440" w:lineRule="exact"/>
              <w:jc w:val="center"/>
              <w:rPr>
                <w:rFonts w:ascii="宋体" w:hAnsi="宋体"/>
                <w:sz w:val="24"/>
                <w:szCs w:val="24"/>
              </w:rPr>
            </w:pPr>
            <w:r>
              <w:rPr>
                <w:rFonts w:hint="eastAsia" w:ascii="宋体" w:hAnsi="宋体"/>
                <w:sz w:val="24"/>
                <w:szCs w:val="24"/>
              </w:rPr>
              <w:t>数量</w:t>
            </w:r>
          </w:p>
        </w:tc>
        <w:tc>
          <w:tcPr>
            <w:tcW w:w="1265" w:type="dxa"/>
            <w:noWrap w:val="0"/>
            <w:vAlign w:val="center"/>
          </w:tcPr>
          <w:p>
            <w:pPr>
              <w:spacing w:line="440" w:lineRule="exact"/>
              <w:jc w:val="center"/>
              <w:rPr>
                <w:rFonts w:ascii="宋体" w:hAnsi="宋体"/>
                <w:sz w:val="24"/>
                <w:szCs w:val="24"/>
              </w:rPr>
            </w:pPr>
            <w:r>
              <w:rPr>
                <w:rFonts w:hint="eastAsia" w:ascii="宋体" w:hAnsi="宋体"/>
                <w:sz w:val="24"/>
                <w:szCs w:val="24"/>
              </w:rPr>
              <w:t>单价</w:t>
            </w:r>
          </w:p>
        </w:tc>
        <w:tc>
          <w:tcPr>
            <w:tcW w:w="991" w:type="dxa"/>
            <w:noWrap w:val="0"/>
            <w:vAlign w:val="center"/>
          </w:tcPr>
          <w:p>
            <w:pPr>
              <w:spacing w:line="440" w:lineRule="exact"/>
              <w:jc w:val="center"/>
              <w:rPr>
                <w:rFonts w:ascii="宋体" w:hAnsi="宋体"/>
                <w:sz w:val="24"/>
                <w:szCs w:val="24"/>
              </w:rPr>
            </w:pPr>
            <w:r>
              <w:rPr>
                <w:rFonts w:hint="eastAsia" w:ascii="宋体" w:hAnsi="宋体"/>
                <w:sz w:val="24"/>
                <w:szCs w:val="24"/>
              </w:rPr>
              <w:t>总价</w:t>
            </w:r>
          </w:p>
        </w:tc>
        <w:tc>
          <w:tcPr>
            <w:tcW w:w="1127" w:type="dxa"/>
            <w:noWrap w:val="0"/>
            <w:vAlign w:val="center"/>
          </w:tcPr>
          <w:p>
            <w:pPr>
              <w:spacing w:line="440" w:lineRule="exact"/>
              <w:jc w:val="center"/>
              <w:rPr>
                <w:rFonts w:ascii="宋体" w:hAnsi="宋体"/>
                <w:sz w:val="24"/>
                <w:szCs w:val="24"/>
              </w:rPr>
            </w:pPr>
            <w:r>
              <w:rPr>
                <w:rFonts w:hint="eastAsia" w:ascii="宋体" w:hAnsi="宋体"/>
                <w:sz w:val="24"/>
                <w:szCs w:val="24"/>
              </w:rPr>
              <w:t>品牌及</w:t>
            </w:r>
          </w:p>
          <w:p>
            <w:pPr>
              <w:spacing w:line="440" w:lineRule="exact"/>
              <w:jc w:val="center"/>
              <w:rPr>
                <w:rFonts w:ascii="宋体" w:hAnsi="宋体"/>
                <w:sz w:val="24"/>
                <w:szCs w:val="24"/>
              </w:rPr>
            </w:pPr>
            <w:r>
              <w:rPr>
                <w:rFonts w:hint="eastAsia" w:ascii="宋体" w:hAnsi="宋体"/>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ascii="宋体" w:hAnsi="宋体"/>
                <w:sz w:val="24"/>
                <w:szCs w:val="24"/>
              </w:rPr>
            </w:pPr>
          </w:p>
        </w:tc>
        <w:tc>
          <w:tcPr>
            <w:tcW w:w="1864" w:type="dxa"/>
            <w:noWrap w:val="0"/>
            <w:vAlign w:val="center"/>
          </w:tcPr>
          <w:p>
            <w:pPr>
              <w:spacing w:line="440" w:lineRule="exact"/>
              <w:rPr>
                <w:rFonts w:ascii="宋体" w:hAnsi="宋体"/>
                <w:sz w:val="24"/>
                <w:szCs w:val="24"/>
              </w:rPr>
            </w:pPr>
          </w:p>
        </w:tc>
        <w:tc>
          <w:tcPr>
            <w:tcW w:w="1650" w:type="dxa"/>
            <w:noWrap w:val="0"/>
            <w:vAlign w:val="center"/>
          </w:tcPr>
          <w:p>
            <w:pPr>
              <w:spacing w:line="440" w:lineRule="exact"/>
              <w:rPr>
                <w:rFonts w:ascii="宋体" w:hAnsi="宋体"/>
                <w:sz w:val="24"/>
                <w:szCs w:val="24"/>
              </w:rPr>
            </w:pPr>
          </w:p>
        </w:tc>
        <w:tc>
          <w:tcPr>
            <w:tcW w:w="960" w:type="dxa"/>
            <w:noWrap w:val="0"/>
            <w:vAlign w:val="center"/>
          </w:tcPr>
          <w:p>
            <w:pPr>
              <w:spacing w:line="440" w:lineRule="exact"/>
              <w:rPr>
                <w:rFonts w:ascii="宋体" w:hAnsi="宋体"/>
                <w:sz w:val="24"/>
                <w:szCs w:val="24"/>
              </w:rPr>
            </w:pPr>
          </w:p>
        </w:tc>
        <w:tc>
          <w:tcPr>
            <w:tcW w:w="1129" w:type="dxa"/>
            <w:noWrap w:val="0"/>
            <w:vAlign w:val="center"/>
          </w:tcPr>
          <w:p>
            <w:pPr>
              <w:spacing w:line="440" w:lineRule="exact"/>
              <w:rPr>
                <w:rFonts w:ascii="宋体" w:hAnsi="宋体"/>
                <w:sz w:val="24"/>
                <w:szCs w:val="24"/>
              </w:rPr>
            </w:pPr>
          </w:p>
        </w:tc>
        <w:tc>
          <w:tcPr>
            <w:tcW w:w="1265" w:type="dxa"/>
            <w:noWrap w:val="0"/>
            <w:vAlign w:val="center"/>
          </w:tcPr>
          <w:p>
            <w:pPr>
              <w:spacing w:line="440" w:lineRule="exact"/>
              <w:rPr>
                <w:rFonts w:ascii="宋体" w:hAnsi="宋体"/>
                <w:sz w:val="24"/>
                <w:szCs w:val="24"/>
              </w:rPr>
            </w:pPr>
          </w:p>
        </w:tc>
        <w:tc>
          <w:tcPr>
            <w:tcW w:w="991" w:type="dxa"/>
            <w:noWrap w:val="0"/>
            <w:vAlign w:val="center"/>
          </w:tcPr>
          <w:p>
            <w:pPr>
              <w:spacing w:line="440" w:lineRule="exact"/>
              <w:rPr>
                <w:rFonts w:ascii="宋体" w:hAnsi="宋体"/>
                <w:sz w:val="24"/>
                <w:szCs w:val="24"/>
              </w:rPr>
            </w:pPr>
          </w:p>
        </w:tc>
        <w:tc>
          <w:tcPr>
            <w:tcW w:w="1127" w:type="dxa"/>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ascii="宋体" w:hAnsi="宋体"/>
                <w:sz w:val="24"/>
                <w:szCs w:val="24"/>
              </w:rPr>
            </w:pPr>
            <w:r>
              <w:rPr>
                <w:rFonts w:hint="eastAsia" w:ascii="宋体" w:hAnsi="宋体"/>
                <w:sz w:val="24"/>
                <w:szCs w:val="24"/>
              </w:rPr>
              <w:t>合计金额（小写）</w:t>
            </w:r>
          </w:p>
        </w:tc>
        <w:tc>
          <w:tcPr>
            <w:tcW w:w="7122" w:type="dxa"/>
            <w:gridSpan w:val="6"/>
            <w:noWrap w:val="0"/>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ascii="宋体" w:hAnsi="宋体"/>
                <w:sz w:val="24"/>
                <w:szCs w:val="24"/>
              </w:rPr>
            </w:pPr>
            <w:r>
              <w:rPr>
                <w:rFonts w:hint="eastAsia" w:ascii="宋体" w:hAnsi="宋体"/>
                <w:sz w:val="24"/>
                <w:szCs w:val="24"/>
              </w:rPr>
              <w:t>合计金额（大写）：</w:t>
            </w:r>
          </w:p>
        </w:tc>
        <w:tc>
          <w:tcPr>
            <w:tcW w:w="7122" w:type="dxa"/>
            <w:gridSpan w:val="6"/>
            <w:noWrap w:val="0"/>
            <w:vAlign w:val="center"/>
          </w:tcPr>
          <w:p>
            <w:pPr>
              <w:spacing w:line="440" w:lineRule="exact"/>
              <w:rPr>
                <w:rFonts w:ascii="宋体" w:hAnsi="宋体"/>
                <w:sz w:val="24"/>
                <w:szCs w:val="24"/>
              </w:rPr>
            </w:pPr>
          </w:p>
        </w:tc>
      </w:tr>
    </w:tbl>
    <w:p>
      <w:pPr>
        <w:spacing w:line="460" w:lineRule="atLeast"/>
        <w:rPr>
          <w:rFonts w:hint="eastAsia" w:ascii="宋体" w:hAnsi="宋体"/>
          <w:b/>
          <w:sz w:val="24"/>
          <w:szCs w:val="24"/>
        </w:rPr>
      </w:pPr>
    </w:p>
    <w:p>
      <w:pPr>
        <w:spacing w:line="440" w:lineRule="exact"/>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供应商（盖公章）：</w:t>
      </w:r>
    </w:p>
    <w:p>
      <w:pPr>
        <w:spacing w:line="440" w:lineRule="exact"/>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法定代表人（签字或盖章）：</w:t>
      </w:r>
    </w:p>
    <w:p>
      <w:pPr>
        <w:spacing w:line="440" w:lineRule="exact"/>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日期： 年  月  日</w:t>
      </w:r>
    </w:p>
    <w:p>
      <w:pPr>
        <w:spacing w:line="440" w:lineRule="exact"/>
        <w:rPr>
          <w:rFonts w:hint="eastAsia" w:ascii="宋体" w:hAnsi="宋体"/>
          <w:b/>
          <w:sz w:val="24"/>
          <w:szCs w:val="24"/>
        </w:rPr>
      </w:pPr>
    </w:p>
    <w:p>
      <w:pPr>
        <w:spacing w:line="440" w:lineRule="exact"/>
        <w:rPr>
          <w:rFonts w:ascii="宋体" w:hAnsi="宋体"/>
          <w:b/>
          <w:sz w:val="24"/>
          <w:szCs w:val="24"/>
        </w:rPr>
      </w:pPr>
      <w:r>
        <w:rPr>
          <w:rFonts w:hint="eastAsia" w:ascii="宋体" w:hAnsi="宋体"/>
          <w:b/>
          <w:sz w:val="24"/>
          <w:szCs w:val="24"/>
        </w:rPr>
        <w:t>注：</w:t>
      </w:r>
      <w:r>
        <w:rPr>
          <w:rFonts w:ascii="宋体" w:hAnsi="宋体"/>
          <w:b/>
          <w:sz w:val="24"/>
          <w:szCs w:val="24"/>
        </w:rPr>
        <w:t>1</w:t>
      </w:r>
      <w:r>
        <w:rPr>
          <w:rFonts w:hint="eastAsia" w:ascii="宋体" w:hAnsi="宋体"/>
          <w:b/>
          <w:sz w:val="24"/>
          <w:szCs w:val="24"/>
        </w:rPr>
        <w:t>、合计金额应为各分项价格之和。</w:t>
      </w:r>
    </w:p>
    <w:p>
      <w:pPr>
        <w:spacing w:line="44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、上述报价包含一切由供方承担的费用。</w:t>
      </w:r>
    </w:p>
    <w:p>
      <w:pPr>
        <w:spacing w:line="440" w:lineRule="exact"/>
        <w:ind w:firstLine="472" w:firstLineChars="196"/>
        <w:rPr>
          <w:rFonts w:hint="eastAsia" w:ascii="宋体" w:hAnsi="宋体" w:eastAsia="宋体" w:cs="Times New Roman"/>
          <w:b/>
          <w:sz w:val="24"/>
          <w:szCs w:val="24"/>
        </w:rPr>
      </w:pPr>
      <w:r>
        <w:rPr>
          <w:rFonts w:hint="eastAsia" w:ascii="宋体" w:hAnsi="宋体"/>
          <w:b/>
          <w:sz w:val="24"/>
          <w:szCs w:val="24"/>
        </w:rPr>
        <w:t>3、请各投标人在本表中详细写明所有产品型号规格、主要技术参数、数量、</w:t>
      </w:r>
      <w:r>
        <w:rPr>
          <w:rFonts w:hint="eastAsia" w:ascii="宋体" w:hAnsi="宋体" w:eastAsia="宋体" w:cs="Times New Roman"/>
          <w:b/>
          <w:sz w:val="24"/>
          <w:szCs w:val="24"/>
        </w:rPr>
        <w:t>综合单价、总价及品牌和产地。</w:t>
      </w:r>
    </w:p>
    <w:p>
      <w:pPr>
        <w:shd w:val="clear" w:color="auto" w:fill="FFFFFF"/>
        <w:spacing w:line="500" w:lineRule="exact"/>
        <w:ind w:right="420"/>
        <w:jc w:val="left"/>
        <w:rPr>
          <w:rFonts w:ascii="宋体" w:hAnsi="宋体"/>
          <w:color w:val="auto"/>
          <w:sz w:val="24"/>
          <w:szCs w:val="24"/>
          <w:highlight w:val="none"/>
          <w:u w:val="single"/>
        </w:rPr>
      </w:pPr>
      <w:r>
        <w:rPr>
          <w:rFonts w:hint="eastAsia" w:ascii="宋体" w:hAnsi="宋体" w:eastAsia="宋体" w:cs="Times New Roman"/>
          <w:b/>
          <w:sz w:val="24"/>
          <w:szCs w:val="24"/>
        </w:rPr>
        <w:t>4、单价必须包括</w:t>
      </w:r>
      <w:r>
        <w:rPr>
          <w:rFonts w:hint="eastAsia" w:ascii="宋体" w:hAnsi="宋体" w:eastAsia="宋体" w:cs="Times New Roman"/>
          <w:b/>
          <w:sz w:val="24"/>
          <w:szCs w:val="24"/>
          <w:lang w:val="en-US" w:eastAsia="zh-CN"/>
        </w:rPr>
        <w:t>货物报价</w:t>
      </w:r>
      <w:r>
        <w:rPr>
          <w:rFonts w:hint="eastAsia" w:ascii="宋体" w:hAnsi="宋体" w:eastAsia="宋体" w:cs="Times New Roman"/>
          <w:b/>
          <w:sz w:val="24"/>
          <w:szCs w:val="24"/>
        </w:rPr>
        <w:t>（含税金）、运输费</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装卸费、保管、搬运、验收、拆装、备品备件、售后服务、质检、检验、等及其它必需服务的报价。</w:t>
      </w:r>
    </w:p>
    <w:p>
      <w:pPr>
        <w:shd w:val="clear" w:color="auto" w:fill="FFFFFF"/>
        <w:spacing w:line="360" w:lineRule="auto"/>
        <w:ind w:right="420"/>
        <w:jc w:val="left"/>
        <w:rPr>
          <w:rFonts w:hint="eastAsia" w:ascii="宋体" w:hAnsi="宋体" w:eastAsia="宋体" w:cs="宋体"/>
          <w:b/>
          <w:color w:val="auto"/>
          <w:sz w:val="24"/>
          <w:highlight w:val="none"/>
          <w:lang w:eastAsia="zh-CN"/>
        </w:rPr>
      </w:pPr>
      <w:r>
        <w:rPr>
          <w:rFonts w:ascii="宋体" w:hAnsi="宋体"/>
          <w:color w:val="auto"/>
          <w:sz w:val="24"/>
          <w:szCs w:val="24"/>
          <w:highlight w:val="none"/>
        </w:rPr>
        <w:br w:type="page"/>
      </w:r>
      <w:bookmarkStart w:id="132" w:name="_Toc9850"/>
      <w:bookmarkStart w:id="133" w:name="_Toc18869"/>
      <w:r>
        <w:rPr>
          <w:rFonts w:hint="eastAsia" w:ascii="宋体" w:hAnsi="宋体" w:eastAsia="宋体" w:cs="宋体"/>
          <w:b/>
          <w:color w:val="auto"/>
          <w:sz w:val="24"/>
          <w:highlight w:val="none"/>
        </w:rPr>
        <w:t>附件</w:t>
      </w:r>
      <w:bookmarkEnd w:id="132"/>
      <w:bookmarkEnd w:id="133"/>
      <w:r>
        <w:rPr>
          <w:rFonts w:hint="eastAsia" w:ascii="宋体" w:hAnsi="宋体" w:eastAsia="宋体" w:cs="宋体"/>
          <w:b/>
          <w:color w:val="auto"/>
          <w:sz w:val="24"/>
          <w:highlight w:val="none"/>
          <w:lang w:val="en-US" w:eastAsia="zh-CN"/>
        </w:rPr>
        <w:t>3</w:t>
      </w:r>
    </w:p>
    <w:p>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color w:val="auto"/>
          <w:sz w:val="24"/>
          <w:szCs w:val="24"/>
          <w:highlight w:val="none"/>
        </w:rPr>
        <w:t>政策适用性说明</w:t>
      </w:r>
      <w:r>
        <w:rPr>
          <w:rFonts w:hint="eastAsia" w:ascii="宋体" w:hAnsi="宋体" w:eastAsia="宋体" w:cs="宋体"/>
          <w:b/>
          <w:color w:val="auto"/>
          <w:sz w:val="24"/>
          <w:szCs w:val="24"/>
          <w:highlight w:val="none"/>
          <w:lang w:eastAsia="zh-CN"/>
        </w:rPr>
        <w:t>（符合要求填写）</w:t>
      </w:r>
    </w:p>
    <w:p>
      <w:pPr>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主要产品/技术名称</w:t>
            </w:r>
          </w:p>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制造商</w:t>
            </w:r>
            <w:r>
              <w:rPr>
                <w:rFonts w:hint="eastAsia" w:ascii="宋体" w:hAnsi="宋体" w:eastAsia="宋体" w:cs="宋体"/>
                <w:b w:val="0"/>
                <w:bCs/>
                <w:color w:val="auto"/>
                <w:kern w:val="0"/>
                <w:sz w:val="24"/>
                <w:szCs w:val="24"/>
                <w:highlight w:val="none"/>
              </w:rPr>
              <w:br w:type="textWrapping"/>
            </w:r>
            <w:r>
              <w:rPr>
                <w:rFonts w:hint="eastAsia" w:ascii="宋体" w:hAnsi="宋体" w:eastAsia="宋体" w:cs="宋体"/>
                <w:b w:val="0"/>
                <w:bCs/>
                <w:color w:val="auto"/>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节能</w:t>
            </w:r>
            <w:r>
              <w:rPr>
                <w:rFonts w:hint="eastAsia" w:ascii="宋体" w:hAnsi="宋体" w:eastAsia="宋体" w:cs="宋体"/>
                <w:b w:val="0"/>
                <w:bCs/>
                <w:color w:val="auto"/>
                <w:kern w:val="0"/>
                <w:sz w:val="24"/>
                <w:szCs w:val="24"/>
                <w:highlight w:val="none"/>
              </w:rPr>
              <w:br w:type="textWrapping"/>
            </w:r>
            <w:r>
              <w:rPr>
                <w:rFonts w:hint="eastAsia" w:ascii="宋体" w:hAnsi="宋体" w:eastAsia="宋体" w:cs="宋体"/>
                <w:b w:val="0"/>
                <w:bCs/>
                <w:color w:val="auto"/>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kern w:val="0"/>
                <w:sz w:val="24"/>
                <w:szCs w:val="24"/>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企业为小型或微型企业时才需要填“企业类型”栏，填写内容为“小型”或“微型”；</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期清单”的产品（产品被列入多期清单的，以最新一期为准），同时提供有效期内的下述文件（均为复印件，加盖报价供应商公章）：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"http://hzs.nd/"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kern w:val="0"/>
          <w:sz w:val="24"/>
          <w:szCs w:val="24"/>
          <w:highlight w:val="none"/>
        </w:rPr>
        <w:t>http://hzs.nd</w: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 xml:space="preserve"> rc.gv.cn/）和中国质量认证中心网站（http://www.cqc.com.cn/）上发布；</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3、如不填写或填写不全，后果自行承担。</w:t>
      </w:r>
    </w:p>
    <w:p>
      <w:pPr>
        <w:spacing w:line="440" w:lineRule="exact"/>
        <w:rPr>
          <w:rFonts w:hint="eastAsia" w:ascii="宋体" w:hAnsi="宋体" w:eastAsia="宋体" w:cs="Times New Roman"/>
          <w:b w:val="0"/>
          <w:bCs/>
          <w:sz w:val="24"/>
          <w:szCs w:val="24"/>
        </w:rPr>
      </w:pPr>
    </w:p>
    <w:p>
      <w:pPr>
        <w:spacing w:line="440" w:lineRule="exact"/>
        <w:ind w:firstLine="4080" w:firstLineChars="1700"/>
        <w:rPr>
          <w:rFonts w:hint="eastAsia" w:ascii="宋体" w:hAnsi="宋体" w:eastAsia="宋体" w:cs="Times New Roman"/>
          <w:b w:val="0"/>
          <w:bCs/>
          <w:sz w:val="24"/>
          <w:szCs w:val="24"/>
        </w:rPr>
      </w:pPr>
      <w:r>
        <w:rPr>
          <w:rFonts w:hint="eastAsia" w:ascii="宋体" w:hAnsi="宋体" w:eastAsia="宋体" w:cs="Times New Roman"/>
          <w:b w:val="0"/>
          <w:bCs/>
          <w:sz w:val="24"/>
          <w:szCs w:val="24"/>
        </w:rPr>
        <w:t xml:space="preserve">供应商（盖章）： </w:t>
      </w:r>
    </w:p>
    <w:p>
      <w:pPr>
        <w:spacing w:line="440" w:lineRule="exact"/>
        <w:jc w:val="right"/>
        <w:rPr>
          <w:rFonts w:hint="eastAsia" w:ascii="宋体" w:hAnsi="宋体" w:eastAsia="宋体" w:cs="Times New Roman"/>
          <w:b w:val="0"/>
          <w:bCs/>
          <w:sz w:val="24"/>
          <w:szCs w:val="24"/>
          <w:lang w:eastAsia="zh-CN"/>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eastAsia="宋体" w:cs="Times New Roman"/>
          <w:b w:val="0"/>
          <w:bCs/>
          <w:sz w:val="24"/>
          <w:szCs w:val="24"/>
        </w:rPr>
        <w:t>（签字</w:t>
      </w:r>
      <w:r>
        <w:rPr>
          <w:rFonts w:hint="eastAsia" w:ascii="宋体" w:hAnsi="宋体" w:eastAsia="宋体" w:cs="Times New Roman"/>
          <w:b w:val="0"/>
          <w:bCs/>
          <w:sz w:val="24"/>
          <w:szCs w:val="24"/>
          <w:lang w:val="en-US" w:eastAsia="zh-CN"/>
        </w:rPr>
        <w:t>或盖章</w:t>
      </w: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eastAsia="zh-CN"/>
        </w:rPr>
        <w:t>：</w:t>
      </w:r>
    </w:p>
    <w:p>
      <w:pPr>
        <w:spacing w:line="440" w:lineRule="exact"/>
        <w:ind w:firstLine="4560" w:firstLineChars="1900"/>
        <w:rPr>
          <w:rFonts w:hint="eastAsia" w:ascii="宋体" w:hAnsi="宋体" w:eastAsia="宋体" w:cs="Times New Roman"/>
          <w:b w:val="0"/>
          <w:bCs/>
          <w:sz w:val="24"/>
          <w:szCs w:val="24"/>
        </w:rPr>
      </w:pPr>
      <w:r>
        <w:rPr>
          <w:rFonts w:hint="eastAsia" w:ascii="宋体" w:hAnsi="宋体" w:eastAsia="宋体" w:cs="Times New Roman"/>
          <w:b w:val="0"/>
          <w:bCs/>
          <w:sz w:val="24"/>
          <w:szCs w:val="24"/>
        </w:rPr>
        <w:t>日</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期：</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年</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月</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日</w:t>
      </w:r>
    </w:p>
    <w:p>
      <w:pPr>
        <w:shd w:val="clear" w:color="auto" w:fill="FFFFFF"/>
        <w:spacing w:line="360" w:lineRule="exact"/>
        <w:ind w:right="420"/>
        <w:jc w:val="left"/>
        <w:outlineLvl w:val="0"/>
        <w:rPr>
          <w:rFonts w:hint="eastAsia" w:ascii="宋体" w:hAnsi="宋体" w:eastAsia="宋体"/>
          <w:b/>
          <w:color w:val="auto"/>
          <w:sz w:val="24"/>
          <w:szCs w:val="24"/>
          <w:highlight w:val="none"/>
          <w:lang w:eastAsia="zh-CN"/>
        </w:rPr>
      </w:pPr>
      <w:r>
        <w:rPr>
          <w:rFonts w:ascii="宋体" w:hAnsi="宋体"/>
          <w:color w:val="auto"/>
          <w:sz w:val="24"/>
          <w:szCs w:val="24"/>
          <w:highlight w:val="none"/>
        </w:rPr>
        <w:br w:type="page"/>
      </w:r>
      <w:bookmarkStart w:id="134" w:name="_Toc9578"/>
      <w:bookmarkStart w:id="135" w:name="_Toc18469"/>
      <w:r>
        <w:rPr>
          <w:rFonts w:hint="eastAsia" w:ascii="宋体" w:hAnsi="宋体"/>
          <w:b/>
          <w:color w:val="auto"/>
          <w:sz w:val="24"/>
          <w:szCs w:val="24"/>
          <w:highlight w:val="none"/>
        </w:rPr>
        <w:t>附件</w:t>
      </w:r>
      <w:bookmarkEnd w:id="134"/>
      <w:bookmarkEnd w:id="135"/>
      <w:r>
        <w:rPr>
          <w:rFonts w:hint="eastAsia" w:ascii="宋体" w:hAnsi="宋体"/>
          <w:b/>
          <w:color w:val="auto"/>
          <w:sz w:val="24"/>
          <w:szCs w:val="24"/>
          <w:highlight w:val="none"/>
          <w:lang w:val="en-US" w:eastAsia="zh-CN"/>
        </w:rPr>
        <w:t>4</w:t>
      </w:r>
    </w:p>
    <w:p>
      <w:pPr>
        <w:shd w:val="clear" w:color="auto" w:fill="FFFFFF"/>
        <w:spacing w:line="500" w:lineRule="exact"/>
        <w:jc w:val="center"/>
        <w:rPr>
          <w:color w:val="auto"/>
          <w:highlight w:val="none"/>
        </w:rPr>
      </w:pPr>
      <w:r>
        <w:rPr>
          <w:rFonts w:hint="eastAsia" w:ascii="宋体" w:hAnsi="宋体"/>
          <w:b/>
          <w:bCs/>
          <w:color w:val="auto"/>
          <w:sz w:val="24"/>
          <w:szCs w:val="24"/>
          <w:highlight w:val="none"/>
        </w:rPr>
        <w:t>供应商基本情况表</w:t>
      </w:r>
    </w:p>
    <w:tbl>
      <w:tblPr>
        <w:tblStyle w:val="23"/>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单位名称</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详细地址</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单位</w:t>
            </w:r>
          </w:p>
          <w:p>
            <w:pPr>
              <w:snapToGrid w:val="0"/>
              <w:spacing w:line="400" w:lineRule="exact"/>
              <w:jc w:val="center"/>
              <w:rPr>
                <w:rFonts w:ascii="宋体"/>
                <w:sz w:val="24"/>
              </w:rPr>
            </w:pPr>
            <w:r>
              <w:rPr>
                <w:rFonts w:hint="eastAsia" w:ascii="宋体"/>
                <w:sz w:val="24"/>
              </w:rPr>
              <w:t>简历</w:t>
            </w:r>
          </w:p>
          <w:p>
            <w:pPr>
              <w:snapToGrid w:val="0"/>
              <w:spacing w:line="400" w:lineRule="exact"/>
              <w:jc w:val="center"/>
              <w:rPr>
                <w:rFonts w:ascii="宋体"/>
                <w:sz w:val="24"/>
              </w:rPr>
            </w:pPr>
            <w:r>
              <w:rPr>
                <w:rFonts w:hint="eastAsia" w:ascii="宋体"/>
                <w:sz w:val="24"/>
              </w:rPr>
              <w:t>及机构</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单位</w:t>
            </w:r>
          </w:p>
          <w:p>
            <w:pPr>
              <w:snapToGrid w:val="0"/>
              <w:spacing w:line="400" w:lineRule="exact"/>
              <w:jc w:val="center"/>
              <w:rPr>
                <w:rFonts w:ascii="宋体"/>
                <w:sz w:val="24"/>
              </w:rPr>
            </w:pPr>
            <w:r>
              <w:rPr>
                <w:rFonts w:hint="eastAsia" w:ascii="宋体"/>
                <w:sz w:val="24"/>
              </w:rPr>
              <w:t>优势</w:t>
            </w:r>
          </w:p>
          <w:p>
            <w:pPr>
              <w:snapToGrid w:val="0"/>
              <w:spacing w:line="400" w:lineRule="exact"/>
              <w:jc w:val="center"/>
              <w:rPr>
                <w:rFonts w:ascii="宋体"/>
                <w:sz w:val="24"/>
              </w:rPr>
            </w:pPr>
            <w:r>
              <w:rPr>
                <w:rFonts w:hint="eastAsia" w:ascii="宋体"/>
                <w:sz w:val="24"/>
              </w:rPr>
              <w:t>及特长</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单</w:t>
            </w:r>
          </w:p>
          <w:p>
            <w:pPr>
              <w:snapToGrid w:val="0"/>
              <w:spacing w:line="400" w:lineRule="exact"/>
              <w:jc w:val="center"/>
              <w:rPr>
                <w:rFonts w:ascii="宋体"/>
                <w:sz w:val="24"/>
              </w:rPr>
            </w:pPr>
            <w:r>
              <w:rPr>
                <w:rFonts w:hint="eastAsia" w:ascii="宋体"/>
                <w:sz w:val="24"/>
              </w:rPr>
              <w:t>位</w:t>
            </w:r>
          </w:p>
          <w:p>
            <w:pPr>
              <w:snapToGrid w:val="0"/>
              <w:spacing w:line="400" w:lineRule="exact"/>
              <w:jc w:val="center"/>
              <w:rPr>
                <w:rFonts w:ascii="宋体"/>
                <w:sz w:val="24"/>
              </w:rPr>
            </w:pPr>
            <w:r>
              <w:rPr>
                <w:rFonts w:hint="eastAsia" w:ascii="宋体"/>
                <w:sz w:val="24"/>
              </w:rPr>
              <w:t>概</w:t>
            </w:r>
          </w:p>
          <w:p>
            <w:pPr>
              <w:snapToGrid w:val="0"/>
              <w:spacing w:line="400" w:lineRule="exact"/>
              <w:jc w:val="center"/>
              <w:rPr>
                <w:rFonts w:ascii="宋体"/>
                <w:sz w:val="24"/>
              </w:rPr>
            </w:pPr>
            <w:r>
              <w:rPr>
                <w:rFonts w:hint="eastAsia" w:ascii="宋体"/>
                <w:sz w:val="24"/>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职工</w:t>
            </w:r>
          </w:p>
          <w:p>
            <w:pPr>
              <w:snapToGrid w:val="0"/>
              <w:spacing w:line="400" w:lineRule="exact"/>
              <w:jc w:val="center"/>
              <w:rPr>
                <w:rFonts w:ascii="宋体"/>
                <w:sz w:val="24"/>
              </w:rPr>
            </w:pPr>
            <w:r>
              <w:rPr>
                <w:rFonts w:hint="eastAsia" w:ascii="宋体"/>
                <w:sz w:val="24"/>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生产工人人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工程技术人员人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流动</w:t>
            </w:r>
          </w:p>
          <w:p>
            <w:pPr>
              <w:snapToGrid w:val="0"/>
              <w:spacing w:line="400" w:lineRule="exact"/>
              <w:jc w:val="center"/>
              <w:rPr>
                <w:rFonts w:ascii="宋体"/>
                <w:sz w:val="24"/>
              </w:rPr>
            </w:pPr>
            <w:r>
              <w:rPr>
                <w:rFonts w:hint="eastAsia" w:ascii="宋体"/>
                <w:sz w:val="24"/>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资</w:t>
            </w:r>
          </w:p>
          <w:p>
            <w:pPr>
              <w:snapToGrid w:val="0"/>
              <w:spacing w:line="400" w:lineRule="exact"/>
              <w:jc w:val="center"/>
              <w:rPr>
                <w:rFonts w:ascii="宋体"/>
                <w:sz w:val="24"/>
              </w:rPr>
            </w:pPr>
            <w:r>
              <w:rPr>
                <w:rFonts w:hint="eastAsia" w:ascii="宋体"/>
                <w:sz w:val="24"/>
              </w:rPr>
              <w:t>金</w:t>
            </w:r>
          </w:p>
          <w:p>
            <w:pPr>
              <w:snapToGrid w:val="0"/>
              <w:spacing w:line="400" w:lineRule="exact"/>
              <w:jc w:val="center"/>
              <w:rPr>
                <w:rFonts w:ascii="宋体"/>
                <w:sz w:val="24"/>
              </w:rPr>
            </w:pPr>
            <w:r>
              <w:rPr>
                <w:rFonts w:hint="eastAsia" w:ascii="宋体"/>
                <w:sz w:val="24"/>
              </w:rPr>
              <w:t>来</w:t>
            </w:r>
          </w:p>
          <w:p>
            <w:pPr>
              <w:snapToGrid w:val="0"/>
              <w:spacing w:line="400" w:lineRule="exact"/>
              <w:jc w:val="center"/>
              <w:rPr>
                <w:rFonts w:ascii="宋体"/>
                <w:sz w:val="24"/>
              </w:rPr>
            </w:pPr>
            <w:r>
              <w:rPr>
                <w:rFonts w:hint="eastAsia" w:ascii="宋体"/>
                <w:sz w:val="24"/>
              </w:rPr>
              <w:t>源</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 xml:space="preserve">      万元</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 xml:space="preserve">     万元</w:t>
            </w:r>
          </w:p>
        </w:tc>
      </w:tr>
      <w:tr>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固定</w:t>
            </w:r>
          </w:p>
          <w:p>
            <w:pPr>
              <w:snapToGrid w:val="0"/>
              <w:spacing w:line="400" w:lineRule="exact"/>
              <w:jc w:val="center"/>
              <w:rPr>
                <w:rFonts w:ascii="宋体"/>
                <w:sz w:val="24"/>
              </w:rPr>
            </w:pPr>
            <w:r>
              <w:rPr>
                <w:rFonts w:hint="eastAsia" w:ascii="宋体"/>
                <w:sz w:val="24"/>
              </w:rPr>
              <w:t>资产</w:t>
            </w: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资</w:t>
            </w:r>
          </w:p>
          <w:p>
            <w:pPr>
              <w:snapToGrid w:val="0"/>
              <w:spacing w:line="400" w:lineRule="exact"/>
              <w:jc w:val="center"/>
              <w:rPr>
                <w:rFonts w:ascii="宋体"/>
                <w:sz w:val="24"/>
              </w:rPr>
            </w:pPr>
            <w:r>
              <w:rPr>
                <w:rFonts w:hint="eastAsia" w:ascii="宋体"/>
                <w:sz w:val="24"/>
              </w:rPr>
              <w:t>金</w:t>
            </w:r>
          </w:p>
          <w:p>
            <w:pPr>
              <w:snapToGrid w:val="0"/>
              <w:spacing w:line="400" w:lineRule="exact"/>
              <w:jc w:val="center"/>
              <w:rPr>
                <w:rFonts w:ascii="宋体"/>
                <w:sz w:val="24"/>
              </w:rPr>
            </w:pPr>
            <w:r>
              <w:rPr>
                <w:rFonts w:hint="eastAsia" w:ascii="宋体"/>
                <w:sz w:val="24"/>
              </w:rPr>
              <w:t>性</w:t>
            </w:r>
          </w:p>
          <w:p>
            <w:pPr>
              <w:snapToGrid w:val="0"/>
              <w:spacing w:line="400" w:lineRule="exact"/>
              <w:jc w:val="center"/>
              <w:rPr>
                <w:rFonts w:ascii="宋体"/>
                <w:sz w:val="24"/>
              </w:rPr>
            </w:pPr>
            <w:r>
              <w:rPr>
                <w:rFonts w:hint="eastAsia" w:ascii="宋体"/>
                <w:sz w:val="24"/>
              </w:rPr>
              <w:t>质</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 xml:space="preserve">     万元</w:t>
            </w:r>
          </w:p>
        </w:tc>
      </w:tr>
      <w:tr>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 xml:space="preserve">     万元</w:t>
            </w:r>
          </w:p>
        </w:tc>
      </w:tr>
      <w:tr>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企业</w:t>
            </w:r>
          </w:p>
          <w:p>
            <w:pPr>
              <w:snapToGrid w:val="0"/>
              <w:spacing w:line="400" w:lineRule="exact"/>
              <w:jc w:val="center"/>
              <w:rPr>
                <w:rFonts w:ascii="宋体"/>
                <w:sz w:val="24"/>
              </w:rPr>
            </w:pPr>
            <w:r>
              <w:rPr>
                <w:rFonts w:hint="eastAsia" w:ascii="宋体"/>
                <w:sz w:val="24"/>
              </w:rPr>
              <w:t>财务</w:t>
            </w:r>
          </w:p>
          <w:p>
            <w:pPr>
              <w:snapToGrid w:val="0"/>
              <w:spacing w:line="400" w:lineRule="exact"/>
              <w:jc w:val="center"/>
              <w:rPr>
                <w:rFonts w:ascii="宋体"/>
                <w:sz w:val="24"/>
              </w:rPr>
            </w:pPr>
            <w:r>
              <w:rPr>
                <w:rFonts w:hint="eastAsia" w:ascii="宋体"/>
                <w:sz w:val="24"/>
              </w:rPr>
              <w:t>状况</w:t>
            </w:r>
          </w:p>
          <w:p>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年度</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利润总额</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负债总额</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2020年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2021年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2022年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主要产品</w:t>
            </w:r>
          </w:p>
          <w:p>
            <w:pPr>
              <w:snapToGrid w:val="0"/>
              <w:spacing w:line="400" w:lineRule="exact"/>
              <w:jc w:val="center"/>
              <w:rPr>
                <w:rFonts w:ascii="宋体"/>
                <w:sz w:val="24"/>
              </w:rPr>
            </w:pPr>
            <w:r>
              <w:rPr>
                <w:rFonts w:hint="eastAsia" w:ascii="宋体"/>
                <w:sz w:val="24"/>
              </w:rPr>
              <w:t>/项目情况</w:t>
            </w: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r>
              <w:rPr>
                <w:rFonts w:hint="eastAsia" w:ascii="宋体"/>
                <w:sz w:val="24"/>
              </w:rPr>
              <w:t>主要用户</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rPr>
            </w:pPr>
          </w:p>
        </w:tc>
      </w:tr>
    </w:tbl>
    <w:p>
      <w:pPr>
        <w:shd w:val="clear" w:color="auto" w:fill="FFFFFF"/>
        <w:spacing w:line="500" w:lineRule="exact"/>
        <w:ind w:firstLine="960" w:firstLineChars="400"/>
        <w:outlineLvl w:val="0"/>
        <w:rPr>
          <w:rFonts w:ascii="宋体" w:hAnsi="宋体"/>
          <w:b/>
          <w:sz w:val="24"/>
          <w:szCs w:val="24"/>
        </w:rPr>
      </w:pPr>
      <w:r>
        <w:rPr>
          <w:rFonts w:hint="eastAsia" w:ascii="宋体"/>
          <w:sz w:val="24"/>
        </w:rPr>
        <w:t>供应商</w:t>
      </w:r>
      <w:r>
        <w:rPr>
          <w:rFonts w:ascii="宋体"/>
          <w:sz w:val="24"/>
        </w:rPr>
        <w:t>:(</w:t>
      </w:r>
      <w:r>
        <w:rPr>
          <w:rFonts w:hint="eastAsia" w:ascii="宋体"/>
          <w:sz w:val="24"/>
        </w:rPr>
        <w:t>公章</w:t>
      </w:r>
      <w:r>
        <w:rPr>
          <w:rFonts w:ascii="宋体"/>
          <w:sz w:val="24"/>
        </w:rPr>
        <w:t xml:space="preserve">)                                  </w:t>
      </w:r>
      <w:r>
        <w:rPr>
          <w:rFonts w:hint="eastAsia" w:ascii="宋体"/>
          <w:sz w:val="24"/>
        </w:rPr>
        <w:t>日期</w:t>
      </w:r>
      <w:r>
        <w:rPr>
          <w:rFonts w:ascii="宋体"/>
          <w:sz w:val="24"/>
        </w:rPr>
        <w:t>:</w:t>
      </w:r>
    </w:p>
    <w:p>
      <w:pPr>
        <w:shd w:val="clear" w:color="auto" w:fill="FFFFFF"/>
        <w:spacing w:line="500" w:lineRule="exact"/>
        <w:outlineLvl w:val="0"/>
        <w:rPr>
          <w:rFonts w:hint="eastAsia" w:ascii="宋体" w:hAnsi="宋体" w:eastAsia="宋体"/>
          <w:b/>
          <w:bCs/>
          <w:color w:val="auto"/>
          <w:sz w:val="24"/>
          <w:szCs w:val="24"/>
          <w:highlight w:val="none"/>
          <w:lang w:eastAsia="zh-CN"/>
        </w:rPr>
      </w:pPr>
      <w:r>
        <w:rPr>
          <w:rFonts w:ascii="宋体" w:hAnsi="宋体"/>
          <w:b/>
          <w:bCs/>
          <w:color w:val="auto"/>
          <w:sz w:val="24"/>
          <w:szCs w:val="24"/>
          <w:highlight w:val="none"/>
        </w:rPr>
        <w:br w:type="page"/>
      </w:r>
      <w:bookmarkStart w:id="136" w:name="_Toc14127"/>
      <w:bookmarkStart w:id="137" w:name="_Toc9379"/>
      <w:r>
        <w:rPr>
          <w:rFonts w:hint="eastAsia" w:ascii="宋体" w:hAnsi="宋体"/>
          <w:b/>
          <w:bCs/>
          <w:color w:val="auto"/>
          <w:sz w:val="24"/>
          <w:szCs w:val="24"/>
          <w:highlight w:val="none"/>
        </w:rPr>
        <w:t>附件</w:t>
      </w:r>
      <w:bookmarkEnd w:id="136"/>
      <w:bookmarkEnd w:id="137"/>
      <w:r>
        <w:rPr>
          <w:rFonts w:hint="eastAsia" w:ascii="宋体" w:hAnsi="宋体"/>
          <w:b/>
          <w:bCs/>
          <w:color w:val="auto"/>
          <w:sz w:val="24"/>
          <w:szCs w:val="24"/>
          <w:highlight w:val="none"/>
          <w:lang w:val="en-US" w:eastAsia="zh-CN"/>
        </w:rPr>
        <w:t>5</w:t>
      </w:r>
    </w:p>
    <w:p>
      <w:pPr>
        <w:shd w:val="clear" w:color="auto" w:fill="FFFFFF"/>
        <w:spacing w:line="500" w:lineRule="exact"/>
        <w:jc w:val="center"/>
        <w:rPr>
          <w:rFonts w:ascii="宋体" w:hAnsi="宋体"/>
          <w:b/>
          <w:color w:val="auto"/>
          <w:sz w:val="24"/>
          <w:szCs w:val="24"/>
          <w:highlight w:val="none"/>
        </w:rPr>
      </w:pPr>
      <w:r>
        <w:rPr>
          <w:rFonts w:hint="eastAsia" w:ascii="宋体" w:hAnsi="宋体"/>
          <w:b/>
          <w:color w:val="auto"/>
          <w:sz w:val="24"/>
          <w:szCs w:val="24"/>
          <w:highlight w:val="none"/>
        </w:rPr>
        <w:t>法定代表人身份证明书</w:t>
      </w: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单位名称：</w:t>
      </w:r>
    </w:p>
    <w:p>
      <w:pPr>
        <w:shd w:val="clear" w:color="auto" w:fill="FFFFFF"/>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所属行业：</w:t>
      </w: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地址：</w:t>
      </w:r>
    </w:p>
    <w:p>
      <w:pPr>
        <w:shd w:val="clear" w:color="auto" w:fill="FFFFFF"/>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营业期限：</w:t>
      </w:r>
    </w:p>
    <w:p>
      <w:pPr>
        <w:shd w:val="clear" w:color="auto" w:fill="FFFFFF"/>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成立时间：</w:t>
      </w:r>
    </w:p>
    <w:p>
      <w:pPr>
        <w:shd w:val="clear" w:color="auto" w:fill="FFFFFF"/>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经营范围：</w:t>
      </w: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姓名：    性别：   年龄：     职务：</w:t>
      </w: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w:t>
      </w:r>
      <w:r>
        <w:rPr>
          <w:rFonts w:hint="eastAsia" w:ascii="宋体" w:hAnsi="宋体"/>
          <w:color w:val="auto"/>
          <w:sz w:val="24"/>
          <w:szCs w:val="24"/>
          <w:highlight w:val="none"/>
        </w:rPr>
        <w:t>的法定代表人。</w:t>
      </w:r>
    </w:p>
    <w:p>
      <w:pPr>
        <w:shd w:val="clear" w:color="auto" w:fill="FFFFFF"/>
        <w:spacing w:line="50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r>
        <w:rPr>
          <w:rFonts w:ascii="宋体" w:hAns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p>
    <w:p>
      <w:pPr>
        <w:shd w:val="clear" w:color="auto" w:fill="FFFFFF"/>
        <w:spacing w:line="360" w:lineRule="exact"/>
        <w:rPr>
          <w:rFonts w:ascii="宋体" w:hAnsi="宋体"/>
          <w:color w:val="auto"/>
          <w:sz w:val="24"/>
          <w:szCs w:val="24"/>
          <w:highlight w:val="none"/>
        </w:rPr>
      </w:pPr>
      <w:r>
        <w:rPr>
          <w:rFonts w:hint="eastAsia" w:ascii="宋体" w:hAnsi="宋体"/>
          <w:color w:val="auto"/>
          <w:sz w:val="24"/>
          <w:szCs w:val="24"/>
          <w:highlight w:val="none"/>
        </w:rPr>
        <w:t>特此证明。</w:t>
      </w: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供应商（盖公章）：</w:t>
      </w:r>
    </w:p>
    <w:p>
      <w:pPr>
        <w:shd w:val="clear" w:color="auto" w:fill="FFFFFF"/>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法定代表人（签字或盖章）：</w:t>
      </w:r>
    </w:p>
    <w:p>
      <w:pPr>
        <w:shd w:val="clear" w:color="auto" w:fill="FFFFFF"/>
        <w:tabs>
          <w:tab w:val="left" w:pos="3780"/>
        </w:tabs>
        <w:spacing w:line="500" w:lineRule="exact"/>
        <w:rPr>
          <w:rFonts w:ascii="宋体" w:hAnsi="宋体"/>
          <w:color w:val="auto"/>
          <w:sz w:val="24"/>
          <w:szCs w:val="24"/>
          <w:highlight w:val="none"/>
        </w:rPr>
      </w:pPr>
      <w:r>
        <w:rPr>
          <w:rFonts w:hint="eastAsia" w:ascii="宋体" w:hAnsi="宋体"/>
          <w:color w:val="auto"/>
          <w:sz w:val="24"/>
          <w:szCs w:val="24"/>
          <w:highlight w:val="none"/>
        </w:rPr>
        <w:t>日期：   年   月   日</w:t>
      </w:r>
    </w:p>
    <w:p>
      <w:pPr>
        <w:shd w:val="clear" w:color="auto" w:fill="FFFFFF"/>
        <w:spacing w:line="500" w:lineRule="exact"/>
        <w:rPr>
          <w:rFonts w:ascii="宋体" w:hAnsi="宋体"/>
          <w:b/>
          <w:bCs/>
          <w:color w:val="auto"/>
          <w:sz w:val="24"/>
          <w:szCs w:val="24"/>
          <w:highlight w:val="none"/>
        </w:rPr>
      </w:pPr>
    </w:p>
    <w:p>
      <w:pPr>
        <w:shd w:val="clear" w:color="auto" w:fill="FFFFFF"/>
        <w:spacing w:line="500" w:lineRule="exact"/>
        <w:outlineLvl w:val="0"/>
        <w:rPr>
          <w:rFonts w:hint="eastAsia" w:ascii="宋体" w:hAnsi="宋体" w:eastAsia="宋体"/>
          <w:b/>
          <w:bCs/>
          <w:color w:val="auto"/>
          <w:sz w:val="24"/>
          <w:szCs w:val="24"/>
          <w:highlight w:val="none"/>
          <w:lang w:eastAsia="zh-CN"/>
        </w:rPr>
      </w:pPr>
      <w:r>
        <w:rPr>
          <w:rFonts w:ascii="宋体" w:hAnsi="宋体"/>
          <w:b/>
          <w:bCs/>
          <w:color w:val="auto"/>
          <w:sz w:val="24"/>
          <w:szCs w:val="24"/>
          <w:highlight w:val="none"/>
        </w:rPr>
        <w:br w:type="page"/>
      </w:r>
      <w:bookmarkStart w:id="138" w:name="_Toc15715"/>
      <w:bookmarkStart w:id="139" w:name="_Toc29145"/>
      <w:r>
        <w:rPr>
          <w:rFonts w:hint="eastAsia" w:ascii="宋体" w:hAnsi="宋体"/>
          <w:b/>
          <w:bCs/>
          <w:color w:val="auto"/>
          <w:sz w:val="24"/>
          <w:szCs w:val="24"/>
          <w:highlight w:val="none"/>
        </w:rPr>
        <w:t>附件</w:t>
      </w:r>
      <w:bookmarkEnd w:id="138"/>
      <w:bookmarkEnd w:id="139"/>
      <w:r>
        <w:rPr>
          <w:rFonts w:hint="eastAsia" w:ascii="宋体" w:hAnsi="宋体"/>
          <w:b/>
          <w:bCs/>
          <w:color w:val="auto"/>
          <w:sz w:val="24"/>
          <w:szCs w:val="24"/>
          <w:highlight w:val="none"/>
          <w:lang w:val="en-US" w:eastAsia="zh-CN"/>
        </w:rPr>
        <w:t>6</w:t>
      </w:r>
    </w:p>
    <w:p>
      <w:pPr>
        <w:shd w:val="clear" w:color="auto" w:fill="FFFFFF"/>
        <w:spacing w:line="50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法定代表人授权委托书</w:t>
      </w:r>
    </w:p>
    <w:p>
      <w:pPr>
        <w:shd w:val="clear" w:color="auto" w:fill="FFFFFF"/>
        <w:spacing w:line="500" w:lineRule="exact"/>
        <w:jc w:val="center"/>
        <w:rPr>
          <w:rFonts w:ascii="宋体" w:hAnsi="宋体"/>
          <w:b/>
          <w:bCs/>
          <w:color w:val="auto"/>
          <w:sz w:val="24"/>
          <w:szCs w:val="24"/>
          <w:highlight w:val="none"/>
        </w:rPr>
      </w:pPr>
    </w:p>
    <w:p>
      <w:pPr>
        <w:shd w:val="clear" w:color="auto" w:fill="FFFFFF"/>
        <w:spacing w:line="500" w:lineRule="exact"/>
        <w:ind w:firstLine="453" w:firstLineChars="189"/>
        <w:rPr>
          <w:rFonts w:ascii="宋体" w:hAnsi="宋体"/>
          <w:bCs/>
          <w:color w:val="auto"/>
          <w:sz w:val="24"/>
          <w:szCs w:val="24"/>
          <w:highlight w:val="none"/>
          <w:u w:val="single"/>
        </w:rPr>
      </w:pPr>
      <w:r>
        <w:rPr>
          <w:rFonts w:hint="eastAsia" w:ascii="宋体" w:hAnsi="宋体"/>
          <w:bCs/>
          <w:color w:val="auto"/>
          <w:sz w:val="24"/>
          <w:szCs w:val="24"/>
          <w:highlight w:val="none"/>
        </w:rPr>
        <w:t>本授权委托书声明：我系</w:t>
      </w:r>
      <w:r>
        <w:rPr>
          <w:rFonts w:hint="eastAsia" w:ascii="宋体" w:hAnsi="宋体"/>
          <w:bCs/>
          <w:color w:val="auto"/>
          <w:sz w:val="24"/>
          <w:szCs w:val="24"/>
          <w:highlight w:val="none"/>
          <w:u w:val="single"/>
        </w:rPr>
        <w:t xml:space="preserve">                             （供应商）</w:t>
      </w:r>
      <w:r>
        <w:rPr>
          <w:rFonts w:hint="eastAsia" w:ascii="宋体" w:hAnsi="宋体"/>
          <w:bCs/>
          <w:color w:val="auto"/>
          <w:sz w:val="24"/>
          <w:szCs w:val="24"/>
          <w:highlight w:val="none"/>
        </w:rPr>
        <w:t>的法定代表人，现授权委托</w:t>
      </w:r>
      <w:r>
        <w:rPr>
          <w:rFonts w:hint="eastAsia" w:ascii="宋体" w:hAnsi="宋体"/>
          <w:bCs/>
          <w:color w:val="auto"/>
          <w:sz w:val="24"/>
          <w:szCs w:val="24"/>
          <w:highlight w:val="none"/>
          <w:u w:val="single"/>
        </w:rPr>
        <w:t xml:space="preserve">           （供应商）</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为我的代理人，以</w:t>
      </w:r>
      <w:r>
        <w:rPr>
          <w:rFonts w:hint="eastAsia" w:ascii="宋体" w:hAnsi="宋体"/>
          <w:bCs/>
          <w:color w:val="auto"/>
          <w:sz w:val="24"/>
          <w:szCs w:val="24"/>
          <w:highlight w:val="none"/>
          <w:u w:val="single"/>
        </w:rPr>
        <w:t>（供应商）</w:t>
      </w:r>
      <w:r>
        <w:rPr>
          <w:rFonts w:hint="eastAsia" w:ascii="宋体" w:hAnsi="宋体"/>
          <w:bCs/>
          <w:color w:val="auto"/>
          <w:sz w:val="24"/>
          <w:szCs w:val="24"/>
          <w:highlight w:val="none"/>
        </w:rPr>
        <w:t>的名义参加</w:t>
      </w:r>
      <w:r>
        <w:rPr>
          <w:rFonts w:hint="eastAsia" w:ascii="宋体" w:hAnsi="宋体"/>
          <w:bCs/>
          <w:color w:val="auto"/>
          <w:sz w:val="24"/>
          <w:szCs w:val="24"/>
          <w:highlight w:val="none"/>
          <w:u w:val="single"/>
        </w:rPr>
        <w:t>（项目名称和采购项目编号）</w:t>
      </w:r>
      <w:r>
        <w:rPr>
          <w:rFonts w:hint="eastAsia" w:ascii="宋体" w:hAnsi="宋体"/>
          <w:bCs/>
          <w:color w:val="auto"/>
          <w:sz w:val="24"/>
          <w:szCs w:val="24"/>
          <w:highlight w:val="none"/>
        </w:rPr>
        <w:t>招标项目的投标活动。代理人在参加整个招标投标活动所签署的一切文件和处理与之相关的一切事物，我均予承认。</w:t>
      </w:r>
    </w:p>
    <w:p>
      <w:pPr>
        <w:shd w:val="clear" w:color="auto" w:fill="FFFFFF"/>
        <w:spacing w:line="50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代理人：   性别：  年龄：</w:t>
      </w:r>
    </w:p>
    <w:p>
      <w:pPr>
        <w:shd w:val="clear" w:color="auto" w:fill="FFFFFF"/>
        <w:spacing w:line="500" w:lineRule="exact"/>
        <w:ind w:firstLine="453" w:firstLineChars="189"/>
        <w:rPr>
          <w:rFonts w:ascii="宋体" w:hAnsi="宋体"/>
          <w:bCs/>
          <w:color w:val="auto"/>
          <w:sz w:val="24"/>
          <w:szCs w:val="24"/>
          <w:highlight w:val="none"/>
          <w:u w:val="single"/>
        </w:rPr>
      </w:pPr>
      <w:r>
        <w:rPr>
          <w:rFonts w:hint="eastAsia" w:ascii="宋体" w:hAnsi="宋体"/>
          <w:bCs/>
          <w:color w:val="auto"/>
          <w:sz w:val="24"/>
          <w:szCs w:val="24"/>
          <w:highlight w:val="none"/>
        </w:rPr>
        <w:t>部  门：  职务：</w:t>
      </w:r>
    </w:p>
    <w:p>
      <w:pPr>
        <w:shd w:val="clear" w:color="auto" w:fill="FFFFFF"/>
        <w:spacing w:line="360" w:lineRule="exact"/>
        <w:rPr>
          <w:rFonts w:ascii="宋体" w:hAnsi="宋体"/>
          <w:bCs/>
          <w:color w:val="auto"/>
          <w:sz w:val="24"/>
          <w:szCs w:val="24"/>
          <w:highlight w:val="none"/>
        </w:rPr>
      </w:pPr>
      <w:r>
        <w:rPr>
          <w:rFonts w:ascii="宋体" w:hAnsi="宋体"/>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宋体" w:hAnsi="宋体"/>
          <w:bCs/>
          <w:color w:val="auto"/>
          <w:sz w:val="24"/>
          <w:szCs w:val="24"/>
          <w:highlight w:val="none"/>
        </w:rPr>
      </w:pPr>
    </w:p>
    <w:p>
      <w:pPr>
        <w:shd w:val="clear" w:color="auto" w:fill="FFFFFF"/>
        <w:spacing w:line="360" w:lineRule="exact"/>
        <w:rPr>
          <w:rFonts w:ascii="宋体" w:hAnsi="宋体"/>
          <w:bCs/>
          <w:color w:val="auto"/>
          <w:sz w:val="24"/>
          <w:szCs w:val="24"/>
          <w:highlight w:val="none"/>
        </w:rPr>
      </w:pPr>
    </w:p>
    <w:p>
      <w:pPr>
        <w:shd w:val="clear" w:color="auto" w:fill="FFFFFF"/>
        <w:spacing w:line="360" w:lineRule="exact"/>
        <w:rPr>
          <w:rFonts w:ascii="宋体" w:hAnsi="宋体"/>
          <w:bCs/>
          <w:color w:val="auto"/>
          <w:sz w:val="24"/>
          <w:szCs w:val="24"/>
          <w:highlight w:val="none"/>
        </w:rPr>
      </w:pPr>
    </w:p>
    <w:p>
      <w:pPr>
        <w:shd w:val="clear" w:color="auto" w:fill="FFFFFF"/>
        <w:spacing w:line="360" w:lineRule="exact"/>
        <w:rPr>
          <w:rFonts w:ascii="宋体" w:hAnsi="宋体"/>
          <w:bCs/>
          <w:color w:val="auto"/>
          <w:sz w:val="24"/>
          <w:szCs w:val="24"/>
          <w:highlight w:val="none"/>
        </w:rPr>
      </w:pPr>
    </w:p>
    <w:p>
      <w:pPr>
        <w:shd w:val="clear" w:color="auto" w:fill="FFFFFF"/>
        <w:spacing w:line="360" w:lineRule="exact"/>
        <w:rPr>
          <w:rFonts w:ascii="宋体" w:hAnsi="宋体"/>
          <w:bCs/>
          <w:color w:val="auto"/>
          <w:sz w:val="24"/>
          <w:szCs w:val="24"/>
          <w:highlight w:val="none"/>
        </w:rPr>
      </w:pPr>
    </w:p>
    <w:p>
      <w:pPr>
        <w:shd w:val="clear" w:color="auto" w:fill="FFFFFF"/>
        <w:spacing w:line="360" w:lineRule="exact"/>
        <w:rPr>
          <w:rFonts w:ascii="宋体" w:hAnsi="宋体"/>
          <w:bCs/>
          <w:color w:val="auto"/>
          <w:sz w:val="24"/>
          <w:szCs w:val="24"/>
          <w:highlight w:val="none"/>
        </w:rPr>
      </w:pPr>
    </w:p>
    <w:p>
      <w:pPr>
        <w:pStyle w:val="91"/>
        <w:shd w:val="clear" w:color="auto" w:fill="FFFFFF"/>
        <w:snapToGrid w:val="0"/>
        <w:spacing w:line="360" w:lineRule="exact"/>
        <w:rPr>
          <w:rFonts w:ascii="宋体" w:hAnsi="宋体"/>
          <w:color w:val="auto"/>
          <w:sz w:val="24"/>
          <w:highlight w:val="none"/>
        </w:rPr>
      </w:pPr>
    </w:p>
    <w:p>
      <w:pPr>
        <w:pStyle w:val="91"/>
        <w:shd w:val="clear" w:color="auto" w:fill="FFFFFF"/>
        <w:snapToGrid w:val="0"/>
        <w:spacing w:line="360" w:lineRule="exact"/>
        <w:rPr>
          <w:rFonts w:ascii="宋体" w:hAnsi="宋体"/>
          <w:color w:val="auto"/>
          <w:sz w:val="24"/>
          <w:highlight w:val="none"/>
        </w:rPr>
      </w:pPr>
    </w:p>
    <w:p>
      <w:pPr>
        <w:pStyle w:val="91"/>
        <w:shd w:val="clear" w:color="auto" w:fill="FFFFFF"/>
        <w:snapToGrid w:val="0"/>
        <w:spacing w:line="500" w:lineRule="exact"/>
        <w:rPr>
          <w:rFonts w:ascii="宋体" w:hAnsi="宋体"/>
          <w:color w:val="auto"/>
          <w:sz w:val="24"/>
          <w:highlight w:val="none"/>
        </w:rPr>
      </w:pPr>
    </w:p>
    <w:p>
      <w:pPr>
        <w:pStyle w:val="91"/>
        <w:shd w:val="clear" w:color="auto" w:fill="FFFFFF"/>
        <w:snapToGrid w:val="0"/>
        <w:spacing w:line="500" w:lineRule="exact"/>
        <w:rPr>
          <w:rFonts w:ascii="宋体" w:hAnsi="宋体"/>
          <w:color w:val="auto"/>
          <w:sz w:val="24"/>
          <w:highlight w:val="none"/>
        </w:rPr>
      </w:pPr>
      <w:r>
        <w:rPr>
          <w:rFonts w:hint="eastAsia" w:ascii="宋体" w:hAnsi="宋体"/>
          <w:color w:val="auto"/>
          <w:sz w:val="24"/>
          <w:highlight w:val="none"/>
        </w:rPr>
        <w:t>供应商（盖公章）：</w:t>
      </w: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被授权代理人（签字或盖章）：</w:t>
      </w:r>
    </w:p>
    <w:p>
      <w:pPr>
        <w:shd w:val="clear" w:color="auto" w:fill="FFFFFF"/>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日期：  年  月  日</w:t>
      </w:r>
    </w:p>
    <w:p>
      <w:pPr>
        <w:widowControl/>
        <w:jc w:val="left"/>
        <w:rPr>
          <w:rFonts w:ascii="宋体" w:hAnsi="宋体"/>
          <w:color w:val="auto"/>
          <w:sz w:val="24"/>
          <w:szCs w:val="24"/>
          <w:highlight w:val="none"/>
        </w:rPr>
      </w:pPr>
    </w:p>
    <w:p>
      <w:pPr>
        <w:widowControl/>
        <w:jc w:val="left"/>
        <w:outlineLvl w:val="0"/>
        <w:rPr>
          <w:rFonts w:hint="eastAsia" w:ascii="宋体" w:hAnsi="宋体" w:eastAsia="宋体"/>
          <w:color w:val="auto"/>
          <w:sz w:val="24"/>
          <w:szCs w:val="24"/>
          <w:highlight w:val="none"/>
          <w:lang w:eastAsia="zh-CN"/>
        </w:rPr>
      </w:pPr>
      <w:r>
        <w:rPr>
          <w:rFonts w:ascii="宋体" w:hAnsi="宋体"/>
          <w:color w:val="auto"/>
          <w:sz w:val="24"/>
          <w:szCs w:val="24"/>
          <w:highlight w:val="none"/>
        </w:rPr>
        <w:br w:type="page"/>
      </w:r>
      <w:bookmarkStart w:id="140" w:name="_Toc14769"/>
      <w:bookmarkStart w:id="141" w:name="_Toc11414"/>
      <w:r>
        <w:rPr>
          <w:rFonts w:hint="eastAsia" w:ascii="宋体" w:hAnsi="宋体"/>
          <w:b/>
          <w:bCs/>
          <w:color w:val="auto"/>
          <w:sz w:val="24"/>
          <w:szCs w:val="24"/>
          <w:highlight w:val="none"/>
        </w:rPr>
        <w:t>附件</w:t>
      </w:r>
      <w:bookmarkEnd w:id="140"/>
      <w:bookmarkEnd w:id="141"/>
      <w:r>
        <w:rPr>
          <w:rFonts w:hint="eastAsia" w:ascii="宋体" w:hAnsi="宋体"/>
          <w:b/>
          <w:bCs/>
          <w:color w:val="auto"/>
          <w:sz w:val="24"/>
          <w:szCs w:val="24"/>
          <w:highlight w:val="none"/>
          <w:lang w:val="en-US" w:eastAsia="zh-CN"/>
        </w:rPr>
        <w:t>7</w:t>
      </w:r>
    </w:p>
    <w:p>
      <w:pPr>
        <w:shd w:val="clear" w:color="auto" w:fill="FFFFFF"/>
        <w:spacing w:line="500" w:lineRule="exact"/>
        <w:jc w:val="center"/>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关于</w:t>
      </w:r>
      <w:r>
        <w:rPr>
          <w:rFonts w:hint="eastAsia" w:ascii="宋体" w:hAnsi="宋体" w:cs="Times New Roman"/>
          <w:b/>
          <w:bCs/>
          <w:color w:val="auto"/>
          <w:sz w:val="24"/>
          <w:szCs w:val="24"/>
          <w:highlight w:val="none"/>
        </w:rPr>
        <w:t>《中华人民共和国政府采购法》第二十二条</w:t>
      </w:r>
      <w:r>
        <w:rPr>
          <w:rFonts w:hint="eastAsia" w:ascii="宋体" w:hAnsi="宋体" w:cs="Times New Roman"/>
          <w:b/>
          <w:bCs/>
          <w:color w:val="auto"/>
          <w:sz w:val="24"/>
          <w:szCs w:val="24"/>
          <w:highlight w:val="none"/>
          <w:lang w:val="en-US" w:eastAsia="zh-CN"/>
        </w:rPr>
        <w:t>的</w:t>
      </w:r>
      <w:r>
        <w:rPr>
          <w:rFonts w:hint="eastAsia" w:ascii="宋体" w:hAnsi="宋体" w:cs="Times New Roman"/>
          <w:b/>
          <w:bCs/>
          <w:color w:val="auto"/>
          <w:sz w:val="24"/>
          <w:szCs w:val="24"/>
          <w:highlight w:val="none"/>
        </w:rPr>
        <w:t>承诺</w:t>
      </w:r>
      <w:r>
        <w:rPr>
          <w:rFonts w:hint="eastAsia" w:ascii="宋体" w:hAnsi="宋体" w:cs="Times New Roman"/>
          <w:b/>
          <w:bCs/>
          <w:color w:val="auto"/>
          <w:sz w:val="24"/>
          <w:szCs w:val="24"/>
          <w:highlight w:val="none"/>
          <w:lang w:val="en-US" w:eastAsia="zh-CN"/>
        </w:rPr>
        <w:t>书</w:t>
      </w:r>
    </w:p>
    <w:p>
      <w:pPr>
        <w:shd w:val="clear" w:color="auto" w:fill="FFFFFF"/>
        <w:spacing w:line="500" w:lineRule="exact"/>
        <w:ind w:firstLine="453" w:firstLineChars="189"/>
        <w:rPr>
          <w:rFonts w:hint="eastAsia" w:ascii="宋体" w:hAnsi="宋体" w:cs="Times New Roman"/>
          <w:bCs/>
          <w:color w:val="auto"/>
          <w:sz w:val="24"/>
          <w:szCs w:val="24"/>
          <w:highlight w:val="none"/>
        </w:rPr>
      </w:pPr>
    </w:p>
    <w:p>
      <w:pPr>
        <w:shd w:val="clear" w:color="auto" w:fill="FFFFFF"/>
        <w:spacing w:line="500" w:lineRule="exact"/>
        <w:ind w:firstLine="453" w:firstLineChars="189"/>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rPr>
        <w:t>致：</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招标人</w:t>
      </w:r>
      <w:r>
        <w:rPr>
          <w:rFonts w:hint="eastAsia" w:ascii="宋体" w:hAnsi="宋体" w:cs="Times New Roman"/>
          <w:bCs/>
          <w:color w:val="auto"/>
          <w:sz w:val="24"/>
          <w:szCs w:val="24"/>
          <w:highlight w:val="none"/>
          <w:lang w:eastAsia="zh-CN"/>
        </w:rPr>
        <w:t>）</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rPr>
        <w:t>参加贵方组织的</w:t>
      </w:r>
      <w:r>
        <w:rPr>
          <w:rFonts w:hint="eastAsia" w:ascii="宋体" w:hAnsi="宋体" w:cs="Times New Roman"/>
          <w:bCs/>
          <w:color w:val="auto"/>
          <w:sz w:val="24"/>
          <w:szCs w:val="24"/>
          <w:highlight w:val="none"/>
          <w:u w:val="single"/>
          <w:lang w:val="en-US" w:eastAsia="zh-CN"/>
        </w:rPr>
        <w:t xml:space="preserve">项目名称：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u w:val="single"/>
          <w:lang w:val="en-US" w:eastAsia="zh-CN"/>
        </w:rPr>
        <w:t xml:space="preserve">项目编号：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rPr>
        <w:t>的投标活动，</w:t>
      </w:r>
      <w:r>
        <w:rPr>
          <w:rFonts w:hint="eastAsia" w:ascii="宋体" w:hAnsi="宋体" w:cs="Times New Roman"/>
          <w:bCs/>
          <w:color w:val="auto"/>
          <w:sz w:val="24"/>
          <w:szCs w:val="24"/>
          <w:highlight w:val="none"/>
          <w:lang w:val="en-US" w:eastAsia="zh-CN"/>
        </w:rPr>
        <w:t>为便于贵方公正、择优的确定中标人，我方就本次投标有关事项声明如下</w:t>
      </w:r>
      <w:r>
        <w:rPr>
          <w:rFonts w:hint="eastAsia" w:ascii="宋体" w:hAnsi="宋体" w:cs="Times New Roman"/>
          <w:bCs/>
          <w:color w:val="auto"/>
          <w:sz w:val="24"/>
          <w:szCs w:val="24"/>
          <w:highlight w:val="none"/>
        </w:rPr>
        <w:t>：</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（1）具有独立承担民事责任的能力；</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（2）具有良好的商业信誉和健全的财务会计制度；</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（3）具有履行合同所必需的设备和专业技术能力；</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（4）有依法缴纳税收和社会保障资金的良好记录；</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（5）参加政府采购活动前三年内，在经营活动中没有重大违法记录；</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（6）法律、行政法规规定的其他条件。</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我公司已完全了解本招标文件中规定的技术要求和商务条款。如违反以上承诺，本公司愿承担一切法律责任。</w:t>
      </w:r>
    </w:p>
    <w:p>
      <w:pPr>
        <w:shd w:val="clear" w:color="auto" w:fill="FFFFFF"/>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特此承诺。</w:t>
      </w:r>
    </w:p>
    <w:p>
      <w:pPr>
        <w:shd w:val="clear" w:color="auto" w:fill="FFFFFF"/>
        <w:spacing w:line="500" w:lineRule="exact"/>
        <w:ind w:firstLine="3120" w:firstLineChars="1300"/>
        <w:jc w:val="left"/>
        <w:rPr>
          <w:rFonts w:hint="eastAsia" w:ascii="宋体" w:hAnsi="宋体"/>
          <w:color w:val="auto"/>
          <w:sz w:val="24"/>
          <w:szCs w:val="24"/>
          <w:highlight w:val="none"/>
        </w:rPr>
      </w:pPr>
    </w:p>
    <w:p>
      <w:pPr>
        <w:shd w:val="clear" w:color="auto" w:fill="FFFFFF"/>
        <w:spacing w:line="48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承诺人（公章）：</w:t>
      </w:r>
      <w:r>
        <w:rPr>
          <w:rFonts w:hint="eastAsia" w:ascii="宋体" w:hAnsi="宋体"/>
          <w:color w:val="auto"/>
          <w:sz w:val="24"/>
          <w:szCs w:val="24"/>
          <w:highlight w:val="none"/>
          <w:u w:val="single"/>
        </w:rPr>
        <w:t xml:space="preserve">     （供应商全称）  </w:t>
      </w:r>
    </w:p>
    <w:p>
      <w:pPr>
        <w:shd w:val="clear" w:color="auto" w:fill="FFFFFF"/>
        <w:spacing w:line="480" w:lineRule="auto"/>
        <w:jc w:val="lef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pPr>
        <w:widowControl/>
        <w:jc w:val="left"/>
        <w:outlineLvl w:val="0"/>
        <w:rPr>
          <w:rFonts w:hint="eastAsia" w:ascii="宋体" w:hAnsi="宋体" w:eastAsia="宋体"/>
          <w:color w:val="auto"/>
          <w:sz w:val="24"/>
          <w:szCs w:val="24"/>
          <w:highlight w:val="none"/>
          <w:lang w:eastAsia="zh-CN"/>
        </w:rPr>
      </w:pPr>
      <w:r>
        <w:rPr>
          <w:rFonts w:ascii="宋体" w:hAnsi="宋体"/>
          <w:color w:val="auto"/>
          <w:sz w:val="24"/>
          <w:szCs w:val="24"/>
          <w:highlight w:val="none"/>
        </w:rPr>
        <w:br w:type="page"/>
      </w:r>
      <w:bookmarkStart w:id="142" w:name="_Toc30189"/>
      <w:bookmarkStart w:id="143" w:name="_Toc5047"/>
      <w:r>
        <w:rPr>
          <w:rFonts w:hint="eastAsia" w:ascii="宋体" w:hAnsi="宋体"/>
          <w:b/>
          <w:bCs/>
          <w:color w:val="auto"/>
          <w:sz w:val="24"/>
          <w:szCs w:val="24"/>
          <w:highlight w:val="none"/>
        </w:rPr>
        <w:t>附件</w:t>
      </w:r>
      <w:bookmarkEnd w:id="142"/>
      <w:bookmarkEnd w:id="143"/>
      <w:r>
        <w:rPr>
          <w:rFonts w:hint="eastAsia" w:ascii="宋体" w:hAnsi="宋体"/>
          <w:b/>
          <w:bCs/>
          <w:color w:val="auto"/>
          <w:sz w:val="24"/>
          <w:szCs w:val="24"/>
          <w:highlight w:val="none"/>
          <w:lang w:val="en-US" w:eastAsia="zh-CN"/>
        </w:rPr>
        <w:t>8</w:t>
      </w:r>
    </w:p>
    <w:p>
      <w:pPr>
        <w:shd w:val="clear" w:color="auto" w:fill="FFFFFF"/>
        <w:spacing w:line="50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供应商的资格声明</w:t>
      </w: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u w:val="single"/>
        </w:rPr>
        <w:t>（采购人）</w:t>
      </w:r>
      <w:r>
        <w:rPr>
          <w:rFonts w:hint="eastAsia" w:ascii="宋体" w:hAnsi="宋体"/>
          <w:color w:val="auto"/>
          <w:sz w:val="24"/>
          <w:szCs w:val="24"/>
          <w:highlight w:val="none"/>
        </w:rPr>
        <w:t>：</w:t>
      </w:r>
    </w:p>
    <w:p>
      <w:pPr>
        <w:shd w:val="clear" w:color="auto" w:fill="FFFFFF"/>
        <w:spacing w:line="500" w:lineRule="exact"/>
        <w:rPr>
          <w:rFonts w:ascii="宋体" w:hAnsi="宋体"/>
          <w:color w:val="auto"/>
          <w:sz w:val="24"/>
          <w:szCs w:val="24"/>
          <w:highlight w:val="none"/>
        </w:rPr>
      </w:pPr>
      <w:r>
        <w:rPr>
          <w:rFonts w:hint="eastAsia" w:ascii="宋体" w:hAnsi="宋体"/>
          <w:color w:val="auto"/>
          <w:sz w:val="24"/>
          <w:szCs w:val="24"/>
          <w:highlight w:val="none"/>
        </w:rPr>
        <w:t xml:space="preserve">    关于贵方发出的采购文件，本供应商愿意参加投标，并证明资格文件中和所要求的说明是真实和准确无误的。</w:t>
      </w:r>
    </w:p>
    <w:p>
      <w:pPr>
        <w:shd w:val="clear" w:color="auto" w:fill="FFFFFF"/>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本供应商对可能要求的进一步的资格资料表示理解和同意，并同意按贵方的要求提供任何有关资料。</w:t>
      </w:r>
    </w:p>
    <w:p>
      <w:pPr>
        <w:shd w:val="clear" w:color="auto" w:fill="FFFFFF"/>
        <w:spacing w:line="500" w:lineRule="exact"/>
        <w:rPr>
          <w:rFonts w:ascii="宋体" w:hAnsi="宋体"/>
          <w:color w:val="auto"/>
          <w:sz w:val="24"/>
          <w:szCs w:val="24"/>
          <w:highlight w:val="none"/>
        </w:rPr>
      </w:pPr>
    </w:p>
    <w:p>
      <w:pPr>
        <w:shd w:val="clear" w:color="auto" w:fill="FFFFFF"/>
        <w:spacing w:line="500" w:lineRule="exact"/>
        <w:jc w:val="left"/>
        <w:rPr>
          <w:rFonts w:ascii="宋体" w:hAnsi="宋体"/>
          <w:color w:val="auto"/>
          <w:sz w:val="24"/>
          <w:szCs w:val="24"/>
          <w:highlight w:val="none"/>
        </w:rPr>
      </w:pPr>
      <w:r>
        <w:rPr>
          <w:rFonts w:hint="eastAsia" w:ascii="宋体" w:hAnsi="宋体"/>
          <w:color w:val="auto"/>
          <w:sz w:val="24"/>
          <w:szCs w:val="24"/>
          <w:highlight w:val="none"/>
        </w:rPr>
        <w:t>供应商（盖公章）：</w:t>
      </w:r>
    </w:p>
    <w:p>
      <w:pPr>
        <w:shd w:val="clear" w:color="auto" w:fill="FFFFFF"/>
        <w:spacing w:line="500" w:lineRule="exact"/>
        <w:jc w:val="left"/>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shd w:val="clear" w:color="auto" w:fill="FFFFFF"/>
        <w:spacing w:line="500" w:lineRule="exact"/>
        <w:jc w:val="left"/>
        <w:rPr>
          <w:rFonts w:ascii="宋体" w:hAnsi="宋体"/>
          <w:color w:val="auto"/>
          <w:sz w:val="24"/>
          <w:szCs w:val="24"/>
          <w:highlight w:val="none"/>
        </w:rPr>
      </w:pPr>
      <w:r>
        <w:rPr>
          <w:rFonts w:hint="eastAsia" w:ascii="宋体" w:hAnsi="宋体"/>
          <w:color w:val="auto"/>
          <w:sz w:val="24"/>
          <w:szCs w:val="24"/>
          <w:highlight w:val="none"/>
        </w:rPr>
        <w:t>日期： 年  月  日</w:t>
      </w:r>
    </w:p>
    <w:p>
      <w:pPr>
        <w:shd w:val="clear" w:color="auto" w:fill="FFFFFF"/>
        <w:tabs>
          <w:tab w:val="left" w:pos="996"/>
        </w:tabs>
        <w:spacing w:line="500" w:lineRule="exact"/>
        <w:rPr>
          <w:rFonts w:ascii="宋体" w:hAnsi="宋体"/>
          <w:color w:val="auto"/>
          <w:sz w:val="24"/>
          <w:szCs w:val="24"/>
          <w:highlight w:val="none"/>
        </w:rPr>
      </w:pPr>
      <w:r>
        <w:rPr>
          <w:rFonts w:ascii="宋体" w:hAnsi="宋体"/>
          <w:color w:val="auto"/>
          <w:sz w:val="24"/>
          <w:szCs w:val="24"/>
          <w:highlight w:val="none"/>
        </w:rPr>
        <w:tab/>
      </w:r>
    </w:p>
    <w:p>
      <w:pPr>
        <w:spacing w:line="500" w:lineRule="exact"/>
        <w:outlineLvl w:val="0"/>
        <w:rPr>
          <w:rFonts w:hint="default" w:ascii="宋体" w:hAnsi="宋体" w:eastAsia="宋体"/>
          <w:b/>
          <w:bCs/>
          <w:color w:val="auto"/>
          <w:sz w:val="24"/>
          <w:szCs w:val="24"/>
          <w:highlight w:val="none"/>
          <w:lang w:val="en-US" w:eastAsia="zh-CN"/>
        </w:rPr>
      </w:pPr>
      <w:r>
        <w:rPr>
          <w:rFonts w:ascii="宋体" w:hAnsi="宋体"/>
          <w:bCs/>
          <w:color w:val="auto"/>
          <w:sz w:val="24"/>
          <w:szCs w:val="24"/>
          <w:highlight w:val="none"/>
        </w:rPr>
        <w:br w:type="page"/>
      </w:r>
      <w:bookmarkStart w:id="144" w:name="_Toc7637"/>
      <w:bookmarkStart w:id="145" w:name="_Toc10322"/>
      <w:r>
        <w:rPr>
          <w:rFonts w:hint="eastAsia" w:ascii="宋体" w:hAnsi="宋体"/>
          <w:b/>
          <w:bCs/>
          <w:color w:val="auto"/>
          <w:sz w:val="24"/>
          <w:szCs w:val="24"/>
          <w:highlight w:val="none"/>
        </w:rPr>
        <w:t>附件</w:t>
      </w:r>
      <w:bookmarkEnd w:id="144"/>
      <w:bookmarkEnd w:id="145"/>
      <w:r>
        <w:rPr>
          <w:rFonts w:hint="eastAsia" w:ascii="宋体" w:hAnsi="宋体"/>
          <w:b/>
          <w:bCs/>
          <w:color w:val="auto"/>
          <w:sz w:val="24"/>
          <w:szCs w:val="24"/>
          <w:highlight w:val="none"/>
          <w:lang w:val="en-US" w:eastAsia="zh-CN"/>
        </w:rPr>
        <w:t>9</w:t>
      </w:r>
    </w:p>
    <w:p>
      <w:pPr>
        <w:shd w:val="clear" w:color="auto" w:fill="FFFFFF"/>
        <w:tabs>
          <w:tab w:val="left" w:pos="996"/>
        </w:tabs>
        <w:spacing w:line="500" w:lineRule="exact"/>
        <w:jc w:val="center"/>
        <w:rPr>
          <w:rFonts w:ascii="宋体" w:hAnsi="宋体"/>
          <w:b/>
          <w:color w:val="auto"/>
          <w:sz w:val="24"/>
          <w:szCs w:val="24"/>
          <w:highlight w:val="none"/>
        </w:rPr>
      </w:pPr>
      <w:bookmarkStart w:id="146" w:name="_Hlk7871365"/>
      <w:r>
        <w:rPr>
          <w:rFonts w:hint="eastAsia" w:ascii="宋体" w:hAnsi="宋体"/>
          <w:b/>
          <w:color w:val="auto"/>
          <w:sz w:val="24"/>
          <w:szCs w:val="24"/>
          <w:highlight w:val="none"/>
        </w:rPr>
        <w:t>供应商资格要求</w:t>
      </w:r>
    </w:p>
    <w:bookmarkEnd w:id="146"/>
    <w:p>
      <w:pPr>
        <w:shd w:val="clear" w:color="auto" w:fill="FFFFFF"/>
        <w:tabs>
          <w:tab w:val="left" w:pos="996"/>
        </w:tabs>
        <w:spacing w:line="500" w:lineRule="exact"/>
        <w:jc w:val="center"/>
        <w:rPr>
          <w:rFonts w:hint="eastAsia" w:ascii="宋体" w:hAnsi="宋体"/>
          <w:b/>
          <w:color w:val="auto"/>
          <w:sz w:val="24"/>
          <w:szCs w:val="24"/>
          <w:highlight w:val="none"/>
        </w:rPr>
      </w:pPr>
    </w:p>
    <w:p>
      <w:pPr>
        <w:widowControl/>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提供以下证明资料（但不限于）：</w:t>
      </w:r>
    </w:p>
    <w:p>
      <w:pPr>
        <w:pStyle w:val="82"/>
        <w:widowControl/>
        <w:numPr>
          <w:ilvl w:val="0"/>
          <w:numId w:val="17"/>
        </w:numPr>
        <w:spacing w:line="480" w:lineRule="auto"/>
        <w:ind w:firstLineChars="0"/>
        <w:rPr>
          <w:color w:val="auto"/>
          <w:highlight w:val="none"/>
          <w:u w:val="none"/>
        </w:rPr>
      </w:pPr>
      <w:r>
        <w:rPr>
          <w:rFonts w:hint="eastAsia"/>
          <w:color w:val="auto"/>
          <w:highlight w:val="none"/>
          <w:u w:val="none"/>
        </w:rPr>
        <w:t>营业执照；</w:t>
      </w:r>
    </w:p>
    <w:p>
      <w:pPr>
        <w:pStyle w:val="82"/>
        <w:widowControl/>
        <w:numPr>
          <w:ilvl w:val="0"/>
          <w:numId w:val="17"/>
        </w:numPr>
        <w:spacing w:line="480" w:lineRule="auto"/>
        <w:ind w:firstLineChars="0"/>
        <w:rPr>
          <w:color w:val="auto"/>
          <w:highlight w:val="none"/>
          <w:u w:val="none"/>
        </w:rPr>
      </w:pPr>
      <w:r>
        <w:rPr>
          <w:rFonts w:hint="eastAsia"/>
          <w:color w:val="auto"/>
          <w:highlight w:val="none"/>
          <w:u w:val="none"/>
        </w:rPr>
        <w:t>信用信息查询截图；</w:t>
      </w:r>
    </w:p>
    <w:p>
      <w:pPr>
        <w:pStyle w:val="82"/>
        <w:widowControl/>
        <w:numPr>
          <w:ilvl w:val="0"/>
          <w:numId w:val="17"/>
        </w:numPr>
        <w:spacing w:line="480" w:lineRule="auto"/>
        <w:ind w:firstLineChars="0"/>
        <w:rPr>
          <w:color w:val="auto"/>
          <w:highlight w:val="none"/>
          <w:u w:val="none"/>
        </w:rPr>
      </w:pPr>
      <w:r>
        <w:rPr>
          <w:rFonts w:hint="eastAsia"/>
          <w:color w:val="auto"/>
          <w:highlight w:val="none"/>
          <w:u w:val="none"/>
        </w:rPr>
        <w:t>保证金缴纳凭证。</w:t>
      </w:r>
    </w:p>
    <w:p>
      <w:pPr>
        <w:widowControl/>
        <w:jc w:val="left"/>
        <w:outlineLvl w:val="0"/>
        <w:rPr>
          <w:rFonts w:hint="default" w:ascii="宋体" w:hAnsi="宋体" w:eastAsia="宋体" w:cs="宋体"/>
          <w:b/>
          <w:bCs/>
          <w:color w:val="auto"/>
          <w:sz w:val="24"/>
          <w:highlight w:val="none"/>
          <w:lang w:val="en-US" w:eastAsia="zh-CN"/>
        </w:rPr>
      </w:pPr>
      <w:r>
        <w:rPr>
          <w:rFonts w:ascii="宋体" w:hAnsi="宋体"/>
          <w:bCs/>
          <w:color w:val="auto"/>
          <w:sz w:val="24"/>
          <w:szCs w:val="24"/>
          <w:highlight w:val="none"/>
        </w:rPr>
        <w:br w:type="page"/>
      </w:r>
      <w:bookmarkStart w:id="147" w:name="_Toc15389"/>
      <w:bookmarkStart w:id="148" w:name="_Toc27361"/>
      <w:bookmarkStart w:id="149" w:name="_Toc520282777"/>
      <w:r>
        <w:rPr>
          <w:rFonts w:hint="eastAsia" w:ascii="宋体" w:hAnsi="宋体" w:cs="宋体"/>
          <w:b/>
          <w:bCs/>
          <w:color w:val="auto"/>
          <w:sz w:val="24"/>
          <w:highlight w:val="none"/>
        </w:rPr>
        <w:t>附件</w:t>
      </w:r>
      <w:r>
        <w:rPr>
          <w:rFonts w:hint="eastAsia" w:ascii="宋体" w:hAnsi="宋体" w:cs="宋体"/>
          <w:b/>
          <w:bCs/>
          <w:color w:val="auto"/>
          <w:sz w:val="24"/>
          <w:highlight w:val="none"/>
          <w:lang w:val="en-US" w:eastAsia="zh-CN"/>
        </w:rPr>
        <w:t>1</w:t>
      </w:r>
      <w:bookmarkEnd w:id="147"/>
      <w:bookmarkEnd w:id="148"/>
      <w:r>
        <w:rPr>
          <w:rFonts w:hint="eastAsia" w:ascii="宋体" w:hAnsi="宋体" w:cs="宋体"/>
          <w:b/>
          <w:bCs/>
          <w:color w:val="auto"/>
          <w:sz w:val="24"/>
          <w:highlight w:val="none"/>
          <w:lang w:val="en-US" w:eastAsia="zh-CN"/>
        </w:rPr>
        <w:t>0</w:t>
      </w:r>
    </w:p>
    <w:bookmarkEnd w:id="149"/>
    <w:p>
      <w:pPr>
        <w:widowControl/>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采购需求响应偏离表</w:t>
      </w:r>
    </w:p>
    <w:p>
      <w:pPr>
        <w:tabs>
          <w:tab w:val="left" w:pos="3226"/>
        </w:tabs>
        <w:autoSpaceDE w:val="0"/>
        <w:autoSpaceDN w:val="0"/>
        <w:adjustRightInd w:val="0"/>
        <w:spacing w:before="43"/>
        <w:ind w:right="420"/>
        <w:jc w:val="center"/>
        <w:outlineLvl w:val="9"/>
        <w:rPr>
          <w:rFonts w:ascii="宋体" w:hAnsi="宋体" w:cs="宋体"/>
          <w:b/>
          <w:bCs/>
          <w:color w:val="auto"/>
          <w:kern w:val="0"/>
          <w:szCs w:val="21"/>
          <w:highlight w:val="none"/>
          <w:lang w:val="zh-CN"/>
        </w:rPr>
      </w:pPr>
    </w:p>
    <w:p>
      <w:pPr>
        <w:shd w:val="clear" w:color="auto" w:fill="FFFFFF"/>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                             采购项目编号：</w:t>
      </w:r>
    </w:p>
    <w:p>
      <w:pPr>
        <w:shd w:val="clear" w:color="auto" w:fill="FFFFFF"/>
        <w:spacing w:line="500" w:lineRule="exact"/>
        <w:ind w:firstLine="480" w:firstLineChars="200"/>
        <w:rPr>
          <w:rFonts w:ascii="宋体" w:hAnsi="宋体" w:cs="宋体"/>
          <w:color w:val="auto"/>
          <w:kern w:val="0"/>
          <w:szCs w:val="21"/>
          <w:highlight w:val="none"/>
          <w:lang w:val="zh-CN"/>
        </w:rPr>
      </w:pPr>
      <w:r>
        <w:rPr>
          <w:rFonts w:hint="eastAsia" w:ascii="宋体" w:hAnsi="宋体" w:cs="宋体"/>
          <w:color w:val="auto"/>
          <w:sz w:val="24"/>
          <w:highlight w:val="none"/>
        </w:rPr>
        <w:t>标项名称：</w:t>
      </w:r>
      <w:r>
        <w:rPr>
          <w:rFonts w:hint="eastAsia" w:ascii="宋体" w:hAnsi="宋体" w:cs="宋体"/>
          <w:color w:val="auto"/>
          <w:kern w:val="0"/>
          <w:szCs w:val="21"/>
          <w:highlight w:val="none"/>
          <w:lang w:val="zh-CN"/>
        </w:rPr>
        <w:tab/>
      </w:r>
    </w:p>
    <w:tbl>
      <w:tblPr>
        <w:tblStyle w:val="23"/>
        <w:tblW w:w="0" w:type="auto"/>
        <w:tblInd w:w="264" w:type="dxa"/>
        <w:tblLayout w:type="fixed"/>
        <w:tblCellMar>
          <w:top w:w="0" w:type="dxa"/>
          <w:left w:w="0" w:type="dxa"/>
          <w:bottom w:w="0" w:type="dxa"/>
          <w:right w:w="0" w:type="dxa"/>
        </w:tblCellMar>
      </w:tblPr>
      <w:tblGrid>
        <w:gridCol w:w="828"/>
        <w:gridCol w:w="1479"/>
        <w:gridCol w:w="2025"/>
        <w:gridCol w:w="1681"/>
        <w:gridCol w:w="1455"/>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before="28"/>
              <w:ind w:left="172"/>
              <w:jc w:val="center"/>
              <w:outlineLvl w:val="0"/>
              <w:rPr>
                <w:rFonts w:ascii="宋体" w:hAnsi="宋体" w:cs="宋体"/>
                <w:color w:val="auto"/>
                <w:kern w:val="0"/>
                <w:sz w:val="24"/>
                <w:highlight w:val="none"/>
                <w:lang w:val="zh-CN"/>
              </w:rPr>
            </w:pPr>
            <w:bookmarkStart w:id="150" w:name="_Toc520282779"/>
            <w:bookmarkStart w:id="151" w:name="_Toc13868"/>
            <w:bookmarkStart w:id="152" w:name="_Toc10090"/>
            <w:r>
              <w:rPr>
                <w:rFonts w:hint="eastAsia" w:ascii="宋体" w:hAnsi="宋体" w:cs="宋体"/>
                <w:color w:val="auto"/>
                <w:kern w:val="0"/>
                <w:sz w:val="24"/>
                <w:highlight w:val="none"/>
                <w:lang w:val="zh-CN"/>
              </w:rPr>
              <w:t>序号</w:t>
            </w:r>
            <w:bookmarkEnd w:id="150"/>
            <w:bookmarkEnd w:id="151"/>
            <w:bookmarkEnd w:id="152"/>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before="28"/>
              <w:ind w:left="148"/>
              <w:jc w:val="center"/>
              <w:outlineLvl w:val="0"/>
              <w:rPr>
                <w:rFonts w:ascii="宋体" w:hAnsi="宋体" w:cs="宋体"/>
                <w:color w:val="auto"/>
                <w:kern w:val="0"/>
                <w:sz w:val="24"/>
                <w:highlight w:val="none"/>
                <w:lang w:val="zh-CN"/>
              </w:rPr>
            </w:pPr>
            <w:bookmarkStart w:id="153" w:name="_Toc16947"/>
            <w:bookmarkStart w:id="154" w:name="_Toc15647"/>
            <w:r>
              <w:rPr>
                <w:rFonts w:hint="eastAsia" w:ascii="宋体" w:hAnsi="宋体" w:cs="宋体"/>
                <w:color w:val="auto"/>
                <w:kern w:val="0"/>
                <w:sz w:val="24"/>
                <w:highlight w:val="none"/>
                <w:lang w:val="zh-CN"/>
              </w:rPr>
              <w:t>采购内容</w:t>
            </w:r>
            <w:bookmarkEnd w:id="153"/>
            <w:bookmarkEnd w:id="154"/>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before="28"/>
              <w:jc w:val="center"/>
              <w:outlineLvl w:val="0"/>
              <w:rPr>
                <w:rFonts w:ascii="宋体" w:hAnsi="宋体" w:cs="宋体"/>
                <w:color w:val="auto"/>
                <w:kern w:val="0"/>
                <w:sz w:val="24"/>
                <w:highlight w:val="none"/>
                <w:lang w:val="zh-CN"/>
              </w:rPr>
            </w:pPr>
            <w:bookmarkStart w:id="155" w:name="_Toc1205"/>
            <w:bookmarkStart w:id="156" w:name="_Toc21056"/>
            <w:r>
              <w:rPr>
                <w:rFonts w:hint="eastAsia" w:ascii="宋体" w:hAnsi="宋体" w:cs="宋体"/>
                <w:color w:val="auto"/>
                <w:kern w:val="0"/>
                <w:sz w:val="24"/>
                <w:highlight w:val="none"/>
                <w:lang w:val="zh-CN"/>
              </w:rPr>
              <w:t>采购需求要求</w:t>
            </w:r>
            <w:bookmarkEnd w:id="155"/>
            <w:bookmarkEnd w:id="156"/>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before="28"/>
              <w:ind w:left="148"/>
              <w:jc w:val="center"/>
              <w:outlineLvl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before="28"/>
              <w:ind w:left="208"/>
              <w:jc w:val="center"/>
              <w:outlineLvl w:val="0"/>
              <w:rPr>
                <w:rFonts w:ascii="宋体" w:hAnsi="宋体" w:cs="宋体"/>
                <w:color w:val="auto"/>
                <w:kern w:val="0"/>
                <w:sz w:val="24"/>
                <w:highlight w:val="none"/>
              </w:rPr>
            </w:pPr>
            <w:bookmarkStart w:id="157" w:name="_Toc520282784"/>
            <w:bookmarkStart w:id="158" w:name="_Toc25396"/>
            <w:bookmarkStart w:id="159" w:name="_Toc21247"/>
            <w:r>
              <w:rPr>
                <w:rFonts w:hint="eastAsia" w:ascii="宋体" w:hAnsi="宋体" w:cs="宋体"/>
                <w:color w:val="auto"/>
                <w:kern w:val="0"/>
                <w:sz w:val="24"/>
                <w:highlight w:val="none"/>
                <w:lang w:val="zh-CN"/>
              </w:rPr>
              <w:t>偏离</w:t>
            </w:r>
            <w:bookmarkEnd w:id="157"/>
            <w:r>
              <w:rPr>
                <w:rFonts w:hint="eastAsia" w:ascii="宋体" w:hAnsi="宋体" w:cs="宋体"/>
                <w:color w:val="auto"/>
                <w:kern w:val="0"/>
                <w:sz w:val="24"/>
                <w:highlight w:val="none"/>
              </w:rPr>
              <w:t>/响应</w:t>
            </w:r>
            <w:bookmarkEnd w:id="158"/>
            <w:bookmarkEnd w:id="159"/>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before="28"/>
              <w:ind w:left="208"/>
              <w:jc w:val="center"/>
              <w:outlineLvl w:val="0"/>
              <w:rPr>
                <w:rFonts w:ascii="宋体" w:hAnsi="宋体" w:cs="宋体"/>
                <w:color w:val="auto"/>
                <w:kern w:val="0"/>
                <w:sz w:val="24"/>
                <w:highlight w:val="none"/>
                <w:lang w:val="zh-CN"/>
              </w:rPr>
            </w:pPr>
            <w:bookmarkStart w:id="160" w:name="_Toc29103"/>
            <w:bookmarkStart w:id="161" w:name="_Toc520282785"/>
            <w:bookmarkStart w:id="162" w:name="_Toc20595"/>
            <w:r>
              <w:rPr>
                <w:rFonts w:hint="eastAsia" w:ascii="宋体" w:hAnsi="宋体" w:cs="宋体"/>
                <w:color w:val="auto"/>
                <w:kern w:val="0"/>
                <w:sz w:val="24"/>
                <w:highlight w:val="none"/>
                <w:lang w:val="zh-CN"/>
              </w:rPr>
              <w:t>说明</w:t>
            </w:r>
            <w:bookmarkEnd w:id="160"/>
            <w:bookmarkEnd w:id="161"/>
            <w:bookmarkEnd w:id="162"/>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bl>
    <w:p>
      <w:pPr>
        <w:shd w:val="clear" w:color="auto" w:fill="FFFFFF"/>
        <w:tabs>
          <w:tab w:val="left" w:pos="996"/>
        </w:tabs>
        <w:spacing w:line="480" w:lineRule="auto"/>
        <w:ind w:firstLine="480" w:firstLineChars="200"/>
        <w:rPr>
          <w:rFonts w:hint="eastAsia" w:ascii="宋体" w:hAnsi="宋体" w:cs="宋体"/>
          <w:color w:val="auto"/>
          <w:sz w:val="24"/>
          <w:highlight w:val="none"/>
        </w:rPr>
      </w:pPr>
    </w:p>
    <w:p>
      <w:pPr>
        <w:shd w:val="clear" w:color="auto" w:fill="FFFFFF"/>
        <w:tabs>
          <w:tab w:val="left" w:pos="996"/>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供应商（盖公章）：</w:t>
      </w:r>
    </w:p>
    <w:p>
      <w:pPr>
        <w:shd w:val="clear" w:color="auto" w:fill="FFFFFF"/>
        <w:tabs>
          <w:tab w:val="left" w:pos="996"/>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法定代表人（签字或盖章）：</w:t>
      </w:r>
    </w:p>
    <w:p>
      <w:pPr>
        <w:spacing w:line="360" w:lineRule="auto"/>
        <w:ind w:firstLine="480" w:firstLineChars="200"/>
        <w:jc w:val="left"/>
        <w:rPr>
          <w:rFonts w:hint="eastAsia" w:ascii="宋体" w:hAnsi="宋体" w:eastAsia="宋体" w:cs="Times New Roman"/>
          <w:color w:val="auto"/>
          <w:sz w:val="24"/>
          <w:szCs w:val="24"/>
          <w:highlight w:val="none"/>
        </w:rPr>
      </w:pPr>
    </w:p>
    <w:p>
      <w:pPr>
        <w:spacing w:line="360" w:lineRule="auto"/>
        <w:ind w:firstLine="480" w:firstLineChars="200"/>
        <w:jc w:val="left"/>
        <w:rPr>
          <w:rFonts w:ascii="宋体" w:hAnsi="Calibri" w:eastAsia="宋体" w:cs="Times New Roman"/>
          <w:color w:val="auto"/>
          <w:sz w:val="24"/>
          <w:szCs w:val="24"/>
          <w:highlight w:val="none"/>
        </w:rPr>
      </w:pPr>
      <w:r>
        <w:rPr>
          <w:rFonts w:hint="eastAsia" w:ascii="宋体" w:hAnsi="宋体" w:eastAsia="宋体" w:cs="Times New Roman"/>
          <w:color w:val="auto"/>
          <w:sz w:val="24"/>
          <w:szCs w:val="24"/>
          <w:highlight w:val="none"/>
        </w:rPr>
        <w:t>备注：供应商采购需求响应有差异的，则在此表中列明实际响应的内容提要并加以说明，以便查对。无差异说明表示完全响应。</w:t>
      </w:r>
    </w:p>
    <w:p>
      <w:pPr>
        <w:rPr>
          <w:color w:val="auto"/>
          <w:highlight w:val="none"/>
        </w:rPr>
      </w:pPr>
    </w:p>
    <w:p>
      <w:pPr>
        <w:outlineLvl w:val="0"/>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br w:type="page"/>
      </w:r>
      <w:bookmarkStart w:id="163" w:name="_Toc28526"/>
      <w:bookmarkStart w:id="164" w:name="_Toc23457"/>
      <w:r>
        <w:rPr>
          <w:rFonts w:hint="eastAsia" w:ascii="宋体" w:hAnsi="宋体" w:cs="宋体"/>
          <w:b/>
          <w:bCs/>
          <w:color w:val="auto"/>
          <w:sz w:val="24"/>
          <w:highlight w:val="none"/>
        </w:rPr>
        <w:t>附件</w:t>
      </w:r>
      <w:r>
        <w:rPr>
          <w:rFonts w:hint="eastAsia" w:ascii="宋体" w:hAnsi="宋体" w:cs="宋体"/>
          <w:b/>
          <w:bCs/>
          <w:color w:val="auto"/>
          <w:sz w:val="24"/>
          <w:highlight w:val="none"/>
          <w:lang w:val="en-US" w:eastAsia="zh-CN"/>
        </w:rPr>
        <w:t>1</w:t>
      </w:r>
      <w:bookmarkEnd w:id="163"/>
      <w:bookmarkEnd w:id="164"/>
      <w:r>
        <w:rPr>
          <w:rFonts w:hint="eastAsia" w:ascii="宋体" w:hAnsi="宋体" w:cs="宋体"/>
          <w:b/>
          <w:bCs/>
          <w:color w:val="auto"/>
          <w:sz w:val="24"/>
          <w:highlight w:val="none"/>
          <w:lang w:val="en-US" w:eastAsia="zh-CN"/>
        </w:rPr>
        <w:t>1</w:t>
      </w:r>
    </w:p>
    <w:p>
      <w:pPr>
        <w:shd w:val="clear" w:color="auto" w:fill="FFFFFF"/>
        <w:spacing w:line="500" w:lineRule="exact"/>
        <w:jc w:val="center"/>
        <w:rPr>
          <w:rFonts w:hint="eastAsia" w:ascii="宋体" w:hAnsi="宋体" w:eastAsia="宋体" w:cs="宋体"/>
          <w:b/>
          <w:bCs/>
          <w:color w:val="auto"/>
          <w:sz w:val="24"/>
          <w:highlight w:val="none"/>
          <w:lang w:eastAsia="zh-CN"/>
        </w:rPr>
      </w:pPr>
      <w:r>
        <w:rPr>
          <w:rFonts w:hint="eastAsia" w:ascii="宋体" w:hAnsi="宋体" w:cs="宋体"/>
          <w:b/>
          <w:color w:val="auto"/>
          <w:sz w:val="24"/>
          <w:highlight w:val="none"/>
          <w:lang w:eastAsia="zh-CN"/>
        </w:rPr>
        <w:t>供应商类似项目业绩表</w:t>
      </w:r>
    </w:p>
    <w:tbl>
      <w:tblPr>
        <w:tblStyle w:val="23"/>
        <w:tblW w:w="0" w:type="auto"/>
        <w:tblInd w:w="-459" w:type="dxa"/>
        <w:tblLayout w:type="fixed"/>
        <w:tblCellMar>
          <w:top w:w="0" w:type="dxa"/>
          <w:left w:w="108" w:type="dxa"/>
          <w:bottom w:w="0" w:type="dxa"/>
          <w:right w:w="108" w:type="dxa"/>
        </w:tblCellMar>
      </w:tblPr>
      <w:tblGrid>
        <w:gridCol w:w="930"/>
        <w:gridCol w:w="1815"/>
        <w:gridCol w:w="2265"/>
        <w:gridCol w:w="1395"/>
        <w:gridCol w:w="1230"/>
        <w:gridCol w:w="1380"/>
      </w:tblGrid>
      <w:tr>
        <w:tblPrEx>
          <w:tblCellMar>
            <w:top w:w="0" w:type="dxa"/>
            <w:left w:w="108" w:type="dxa"/>
            <w:bottom w:w="0" w:type="dxa"/>
            <w:right w:w="108" w:type="dxa"/>
          </w:tblCellMar>
        </w:tblPrEx>
        <w:trPr>
          <w:trHeight w:val="1355"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outlineLvl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序号</w:t>
            </w: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outlineLvl w:val="0"/>
              <w:rPr>
                <w:rFonts w:ascii="宋体" w:hAnsi="宋体" w:cs="宋体"/>
                <w:color w:val="auto"/>
                <w:kern w:val="0"/>
                <w:sz w:val="24"/>
                <w:highlight w:val="none"/>
                <w:lang w:val="zh-CN"/>
              </w:rPr>
            </w:pPr>
            <w:bookmarkStart w:id="165" w:name="_Toc18631"/>
            <w:bookmarkStart w:id="166" w:name="_Toc12085"/>
            <w:r>
              <w:rPr>
                <w:rFonts w:hint="eastAsia" w:ascii="宋体" w:hAnsi="宋体" w:cs="宋体"/>
                <w:color w:val="auto"/>
                <w:kern w:val="0"/>
                <w:sz w:val="24"/>
                <w:highlight w:val="none"/>
                <w:lang w:val="zh-CN"/>
              </w:rPr>
              <w:t>采购单位</w:t>
            </w:r>
            <w:bookmarkEnd w:id="165"/>
            <w:bookmarkEnd w:id="166"/>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outlineLvl w:val="0"/>
              <w:rPr>
                <w:rFonts w:ascii="宋体" w:hAnsi="宋体" w:cs="宋体"/>
                <w:color w:val="auto"/>
                <w:kern w:val="0"/>
                <w:sz w:val="24"/>
                <w:highlight w:val="none"/>
                <w:lang w:val="zh-CN"/>
              </w:rPr>
            </w:pPr>
            <w:bookmarkStart w:id="167" w:name="_Toc6801"/>
            <w:bookmarkStart w:id="168" w:name="_Toc5614"/>
            <w:bookmarkStart w:id="169" w:name="_Toc520282834"/>
            <w:r>
              <w:rPr>
                <w:rFonts w:hint="eastAsia" w:ascii="宋体" w:hAnsi="宋体" w:cs="宋体"/>
                <w:color w:val="auto"/>
                <w:kern w:val="0"/>
                <w:sz w:val="24"/>
                <w:highlight w:val="none"/>
                <w:lang w:val="zh-CN"/>
              </w:rPr>
              <w:t>项目名称服务地点</w:t>
            </w:r>
            <w:bookmarkEnd w:id="167"/>
            <w:bookmarkEnd w:id="168"/>
            <w:bookmarkEnd w:id="169"/>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outlineLvl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outlineLvl w:val="0"/>
              <w:rPr>
                <w:rFonts w:ascii="宋体" w:hAnsi="宋体" w:cs="宋体"/>
                <w:color w:val="auto"/>
                <w:kern w:val="0"/>
                <w:sz w:val="24"/>
                <w:highlight w:val="none"/>
                <w:lang w:val="zh-CN"/>
              </w:rPr>
            </w:pPr>
            <w:bookmarkStart w:id="170" w:name="_Toc520282837"/>
            <w:bookmarkStart w:id="171" w:name="_Toc21856"/>
            <w:bookmarkStart w:id="172" w:name="_Toc31871"/>
            <w:r>
              <w:rPr>
                <w:rFonts w:hint="eastAsia" w:ascii="宋体" w:hAnsi="宋体" w:cs="宋体"/>
                <w:color w:val="auto"/>
                <w:kern w:val="0"/>
                <w:sz w:val="24"/>
                <w:highlight w:val="none"/>
                <w:lang w:val="zh-CN"/>
              </w:rPr>
              <w:t>合同</w:t>
            </w:r>
            <w:bookmarkEnd w:id="170"/>
            <w:bookmarkEnd w:id="171"/>
            <w:bookmarkEnd w:id="172"/>
            <w:r>
              <w:rPr>
                <w:rFonts w:hint="eastAsia" w:ascii="宋体" w:hAnsi="宋体" w:cs="宋体"/>
                <w:color w:val="auto"/>
                <w:ker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outlineLvl w:val="0"/>
              <w:rPr>
                <w:rFonts w:ascii="宋体" w:hAnsi="宋体" w:cs="宋体"/>
                <w:color w:val="auto"/>
                <w:kern w:val="0"/>
                <w:sz w:val="24"/>
                <w:highlight w:val="none"/>
                <w:lang w:val="zh-CN"/>
              </w:rPr>
            </w:pPr>
            <w:bookmarkStart w:id="173" w:name="_Toc26176"/>
            <w:bookmarkStart w:id="174" w:name="_Toc3357"/>
            <w:bookmarkStart w:id="175" w:name="_Toc520282840"/>
            <w:r>
              <w:rPr>
                <w:rFonts w:hint="eastAsia" w:ascii="宋体" w:hAnsi="宋体" w:cs="宋体"/>
                <w:color w:val="auto"/>
                <w:kern w:val="0"/>
                <w:sz w:val="24"/>
                <w:highlight w:val="none"/>
                <w:lang w:val="zh-CN"/>
              </w:rPr>
              <w:t>履约情况</w:t>
            </w:r>
            <w:bookmarkEnd w:id="173"/>
            <w:bookmarkEnd w:id="174"/>
            <w:bookmarkEnd w:id="175"/>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864"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pPr>
              <w:autoSpaceDE w:val="0"/>
              <w:autoSpaceDN w:val="0"/>
              <w:adjustRightInd w:val="0"/>
              <w:jc w:val="left"/>
              <w:outlineLvl w:val="9"/>
              <w:rPr>
                <w:rFonts w:ascii="宋体" w:hAnsi="宋体" w:cs="宋体"/>
                <w:color w:val="auto"/>
                <w:kern w:val="0"/>
                <w:sz w:val="24"/>
                <w:highlight w:val="none"/>
                <w:lang w:val="zh-CN"/>
              </w:rPr>
            </w:pPr>
          </w:p>
        </w:tc>
      </w:tr>
    </w:tbl>
    <w:p>
      <w:pPr>
        <w:pStyle w:val="91"/>
        <w:shd w:val="clear" w:color="auto" w:fill="FFFFFF"/>
        <w:snapToGrid w:val="0"/>
        <w:spacing w:line="500" w:lineRule="exact"/>
        <w:ind w:firstLine="480" w:firstLineChars="200"/>
        <w:rPr>
          <w:rFonts w:ascii="宋体" w:hAnsi="宋体" w:cs="宋体"/>
          <w:color w:val="auto"/>
          <w:sz w:val="24"/>
          <w:highlight w:val="none"/>
        </w:rPr>
      </w:pPr>
    </w:p>
    <w:p>
      <w:pPr>
        <w:pStyle w:val="91"/>
        <w:shd w:val="clear" w:color="auto" w:fill="FFFFFF"/>
        <w:snapToGrid w:val="0"/>
        <w:spacing w:line="500" w:lineRule="exact"/>
        <w:ind w:firstLine="480" w:firstLineChars="200"/>
        <w:rPr>
          <w:rFonts w:ascii="宋体" w:hAnsi="宋体" w:cs="宋体"/>
          <w:color w:val="auto"/>
          <w:sz w:val="24"/>
          <w:highlight w:val="none"/>
        </w:rPr>
      </w:pPr>
    </w:p>
    <w:p>
      <w:pPr>
        <w:pStyle w:val="91"/>
        <w:shd w:val="clear" w:color="auto" w:fill="FFFFFF"/>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供应商（盖公章）：</w:t>
      </w:r>
    </w:p>
    <w:p>
      <w:pPr>
        <w:shd w:val="clear" w:color="auto" w:fill="FFFFFF"/>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法定代表人（签字或盖章）：</w:t>
      </w:r>
    </w:p>
    <w:p>
      <w:pPr>
        <w:shd w:val="clear" w:color="auto" w:fill="FFFFFF"/>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  年  月  日</w:t>
      </w:r>
    </w:p>
    <w:p>
      <w:pPr>
        <w:widowControl/>
        <w:spacing w:line="360" w:lineRule="auto"/>
        <w:jc w:val="left"/>
        <w:outlineLvl w:val="0"/>
        <w:rPr>
          <w:rFonts w:hint="default" w:ascii="宋体" w:hAnsi="宋体" w:eastAsia="宋体" w:cs="宋体"/>
          <w:b/>
          <w:bCs/>
          <w:color w:val="auto"/>
          <w:sz w:val="24"/>
          <w:highlight w:val="none"/>
          <w:lang w:val="en-US" w:eastAsia="zh-CN"/>
        </w:rPr>
      </w:pPr>
      <w:r>
        <w:rPr>
          <w:rFonts w:hint="eastAsia" w:ascii="宋体" w:hAnsi="宋体" w:cs="宋体"/>
          <w:bCs/>
          <w:color w:val="auto"/>
          <w:sz w:val="24"/>
          <w:highlight w:val="none"/>
        </w:rPr>
        <w:br w:type="page"/>
      </w:r>
      <w:bookmarkStart w:id="176" w:name="_Toc19"/>
      <w:bookmarkStart w:id="177" w:name="_Toc23479"/>
      <w:r>
        <w:rPr>
          <w:rFonts w:hint="eastAsia" w:ascii="宋体" w:hAnsi="宋体" w:eastAsia="宋体" w:cs="宋体"/>
          <w:b/>
          <w:bCs/>
          <w:color w:val="auto"/>
          <w:sz w:val="24"/>
          <w:highlight w:val="none"/>
        </w:rPr>
        <w:t>附件</w:t>
      </w:r>
      <w:bookmarkEnd w:id="176"/>
      <w:bookmarkEnd w:id="177"/>
      <w:r>
        <w:rPr>
          <w:rFonts w:hint="eastAsia" w:ascii="宋体" w:hAnsi="宋体" w:eastAsia="宋体" w:cs="宋体"/>
          <w:b/>
          <w:bCs/>
          <w:color w:val="auto"/>
          <w:sz w:val="24"/>
          <w:highlight w:val="none"/>
          <w:lang w:val="en-US" w:eastAsia="zh-CN"/>
        </w:rPr>
        <w:t>12</w:t>
      </w:r>
    </w:p>
    <w:p>
      <w:pPr>
        <w:pStyle w:val="7"/>
        <w:jc w:val="center"/>
        <w:rPr>
          <w:rFonts w:ascii="宋体" w:hAnsi="宋体" w:eastAsia="宋体" w:cs="宋体"/>
          <w:bCs w:val="0"/>
          <w:color w:val="auto"/>
          <w:sz w:val="24"/>
          <w:szCs w:val="24"/>
          <w:highlight w:val="none"/>
        </w:rPr>
      </w:pPr>
      <w:bookmarkStart w:id="178" w:name="_Toc29890"/>
      <w:r>
        <w:rPr>
          <w:rFonts w:hint="eastAsia" w:ascii="宋体" w:hAnsi="宋体" w:eastAsia="宋体" w:cs="宋体"/>
          <w:bCs w:val="0"/>
          <w:color w:val="auto"/>
          <w:sz w:val="24"/>
          <w:szCs w:val="24"/>
          <w:highlight w:val="none"/>
        </w:rPr>
        <w:t>节能、环境标志产品优惠明细表</w:t>
      </w:r>
      <w:bookmarkEnd w:id="178"/>
    </w:p>
    <w:p>
      <w:pPr>
        <w:spacing w:line="440" w:lineRule="exact"/>
        <w:jc w:val="center"/>
        <w:rPr>
          <w:rFonts w:hint="eastAsia" w:ascii="宋体" w:hAnsi="宋体"/>
          <w:b/>
          <w:color w:val="auto"/>
          <w:sz w:val="24"/>
          <w:szCs w:val="24"/>
          <w:highlight w:val="none"/>
        </w:rPr>
      </w:pPr>
      <w:r>
        <w:rPr>
          <w:rFonts w:ascii="宋体" w:hAnsi="宋体"/>
          <w:b/>
          <w:color w:val="auto"/>
          <w:sz w:val="24"/>
          <w:szCs w:val="24"/>
          <w:highlight w:val="none"/>
        </w:rPr>
        <w:t>(</w:t>
      </w:r>
      <w:r>
        <w:rPr>
          <w:rFonts w:hint="eastAsia" w:ascii="宋体" w:hAnsi="宋体"/>
          <w:b/>
          <w:color w:val="auto"/>
          <w:sz w:val="24"/>
          <w:szCs w:val="24"/>
          <w:highlight w:val="none"/>
        </w:rPr>
        <w:t>若有，请如实填写</w:t>
      </w:r>
      <w:r>
        <w:rPr>
          <w:rFonts w:ascii="宋体" w:hAnsi="宋体"/>
          <w:b/>
          <w:color w:val="auto"/>
          <w:sz w:val="24"/>
          <w:szCs w:val="24"/>
          <w:highlight w:val="none"/>
        </w:rPr>
        <w:t>)</w:t>
      </w:r>
    </w:p>
    <w:p>
      <w:pPr>
        <w:spacing w:line="440" w:lineRule="exact"/>
        <w:ind w:firstLine="120" w:firstLineChars="50"/>
        <w:rPr>
          <w:rFonts w:ascii="宋体" w:hAnsi="宋体"/>
          <w:color w:val="auto"/>
          <w:sz w:val="24"/>
          <w:highlight w:val="none"/>
          <w:u w:val="single"/>
        </w:rPr>
      </w:pPr>
      <w:r>
        <w:rPr>
          <w:rFonts w:hint="eastAsia" w:ascii="宋体" w:hAnsi="宋体"/>
          <w:color w:val="auto"/>
          <w:sz w:val="24"/>
          <w:highlight w:val="none"/>
        </w:rPr>
        <w:t>投标人名称（公章）：</w:t>
      </w:r>
      <w:r>
        <w:rPr>
          <w:rFonts w:hint="eastAsia" w:ascii="宋体" w:hAnsi="宋体"/>
          <w:color w:val="auto"/>
          <w:sz w:val="24"/>
          <w:highlight w:val="none"/>
          <w:u w:val="single"/>
        </w:rPr>
        <w:t xml:space="preserve">　　　　　         </w:t>
      </w:r>
      <w:r>
        <w:rPr>
          <w:rFonts w:hint="eastAsia" w:ascii="宋体" w:hAnsi="宋体"/>
          <w:color w:val="auto"/>
          <w:sz w:val="24"/>
          <w:highlight w:val="none"/>
        </w:rPr>
        <w:t>招标编号：</w:t>
      </w:r>
      <w:r>
        <w:rPr>
          <w:rFonts w:hint="eastAsia" w:ascii="宋体" w:hAnsi="宋体"/>
          <w:color w:val="auto"/>
          <w:sz w:val="24"/>
          <w:highlight w:val="none"/>
          <w:u w:val="single"/>
        </w:rPr>
        <w:t xml:space="preserve">　　　　           </w:t>
      </w:r>
    </w:p>
    <w:p>
      <w:pPr>
        <w:spacing w:line="440" w:lineRule="exact"/>
        <w:ind w:firstLine="120" w:firstLineChars="50"/>
        <w:rPr>
          <w:rFonts w:ascii="宋体" w:hAnsi="宋体"/>
          <w:color w:val="auto"/>
          <w:sz w:val="24"/>
          <w:highlight w:val="none"/>
        </w:rPr>
      </w:pPr>
      <w:r>
        <w:rPr>
          <w:rFonts w:hint="eastAsia" w:ascii="宋体" w:hAnsi="宋体"/>
          <w:color w:val="auto"/>
          <w:sz w:val="24"/>
          <w:highlight w:val="none"/>
        </w:rPr>
        <w:t>所投内容/分包：</w:t>
      </w:r>
      <w:r>
        <w:rPr>
          <w:rFonts w:hint="eastAsia" w:ascii="宋体" w:hAnsi="宋体"/>
          <w:color w:val="auto"/>
          <w:sz w:val="24"/>
          <w:highlight w:val="none"/>
          <w:u w:val="single"/>
        </w:rPr>
        <w:t xml:space="preserve">　　　　           </w:t>
      </w:r>
      <w:r>
        <w:rPr>
          <w:rFonts w:hint="eastAsia" w:ascii="宋体" w:hAnsi="宋体"/>
          <w:color w:val="auto"/>
          <w:sz w:val="24"/>
          <w:highlight w:val="none"/>
        </w:rPr>
        <w:t>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）节能产品明细清单</w:t>
      </w:r>
      <w:r>
        <w:rPr>
          <w:rFonts w:ascii="宋体" w:hAnsi="宋体"/>
          <w:color w:val="auto"/>
          <w:sz w:val="24"/>
          <w:szCs w:val="24"/>
          <w:highlight w:val="none"/>
        </w:rPr>
        <w:t xml:space="preserve">                  </w:t>
      </w:r>
      <w:r>
        <w:rPr>
          <w:rFonts w:hint="eastAsia" w:ascii="宋体" w:hAnsi="宋体"/>
          <w:color w:val="auto"/>
          <w:sz w:val="24"/>
          <w:szCs w:val="24"/>
          <w:highlight w:val="none"/>
        </w:rPr>
        <w:t>报价货币种类</w:t>
      </w:r>
      <w:r>
        <w:rPr>
          <w:rFonts w:ascii="宋体" w:hAnsi="宋体"/>
          <w:color w:val="auto"/>
          <w:sz w:val="24"/>
          <w:szCs w:val="24"/>
          <w:highlight w:val="none"/>
          <w:u w:val="single"/>
        </w:rPr>
        <w:t xml:space="preserve">      </w:t>
      </w:r>
      <w:r>
        <w:rPr>
          <w:rFonts w:hint="eastAsia" w:ascii="宋体" w:hAnsi="宋体"/>
          <w:color w:val="auto"/>
          <w:sz w:val="24"/>
          <w:szCs w:val="24"/>
          <w:highlight w:val="none"/>
        </w:rPr>
        <w:t>金额单位：元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制造商</w:t>
            </w:r>
          </w:p>
        </w:tc>
        <w:tc>
          <w:tcPr>
            <w:tcW w:w="65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2044"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产品名称、规格型号</w:t>
            </w:r>
          </w:p>
        </w:tc>
        <w:tc>
          <w:tcPr>
            <w:tcW w:w="1348"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节字标志认证证书号</w:t>
            </w:r>
          </w:p>
        </w:tc>
        <w:tc>
          <w:tcPr>
            <w:tcW w:w="2113"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节能产品认证证书有效截止日期</w:t>
            </w:r>
          </w:p>
        </w:tc>
        <w:tc>
          <w:tcPr>
            <w:tcW w:w="897"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776"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946" w:type="dxa"/>
            <w:gridSpan w:val="2"/>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ascii="宋体" w:hAnsi="宋体"/>
                <w:color w:val="auto"/>
                <w:sz w:val="24"/>
                <w:szCs w:val="24"/>
                <w:highlight w:val="none"/>
              </w:rPr>
            </w:pPr>
          </w:p>
        </w:tc>
        <w:tc>
          <w:tcPr>
            <w:tcW w:w="650" w:type="dxa"/>
            <w:noWrap w:val="0"/>
            <w:vAlign w:val="center"/>
          </w:tcPr>
          <w:p>
            <w:pPr>
              <w:spacing w:line="440" w:lineRule="exact"/>
              <w:jc w:val="center"/>
              <w:rPr>
                <w:rFonts w:ascii="宋体" w:hAnsi="宋体"/>
                <w:color w:val="auto"/>
                <w:sz w:val="24"/>
                <w:szCs w:val="24"/>
                <w:highlight w:val="none"/>
              </w:rPr>
            </w:pPr>
          </w:p>
        </w:tc>
        <w:tc>
          <w:tcPr>
            <w:tcW w:w="2044" w:type="dxa"/>
            <w:noWrap w:val="0"/>
            <w:vAlign w:val="center"/>
          </w:tcPr>
          <w:p>
            <w:pPr>
              <w:spacing w:line="440" w:lineRule="exact"/>
              <w:jc w:val="center"/>
              <w:rPr>
                <w:rFonts w:ascii="宋体" w:hAnsi="宋体"/>
                <w:color w:val="auto"/>
                <w:sz w:val="24"/>
                <w:szCs w:val="24"/>
                <w:highlight w:val="none"/>
              </w:rPr>
            </w:pPr>
          </w:p>
        </w:tc>
        <w:tc>
          <w:tcPr>
            <w:tcW w:w="1348" w:type="dxa"/>
            <w:noWrap w:val="0"/>
            <w:vAlign w:val="center"/>
          </w:tcPr>
          <w:p>
            <w:pPr>
              <w:spacing w:line="440" w:lineRule="exact"/>
              <w:jc w:val="center"/>
              <w:rPr>
                <w:rFonts w:ascii="宋体" w:hAnsi="宋体"/>
                <w:color w:val="auto"/>
                <w:sz w:val="24"/>
                <w:szCs w:val="24"/>
                <w:highlight w:val="none"/>
              </w:rPr>
            </w:pPr>
          </w:p>
        </w:tc>
        <w:tc>
          <w:tcPr>
            <w:tcW w:w="2113" w:type="dxa"/>
            <w:noWrap w:val="0"/>
            <w:vAlign w:val="center"/>
          </w:tcPr>
          <w:p>
            <w:pPr>
              <w:spacing w:line="440" w:lineRule="exact"/>
              <w:jc w:val="center"/>
              <w:rPr>
                <w:rFonts w:ascii="宋体" w:hAnsi="宋体"/>
                <w:color w:val="auto"/>
                <w:sz w:val="24"/>
                <w:szCs w:val="24"/>
                <w:highlight w:val="none"/>
              </w:rPr>
            </w:pPr>
          </w:p>
        </w:tc>
        <w:tc>
          <w:tcPr>
            <w:tcW w:w="897" w:type="dxa"/>
            <w:noWrap w:val="0"/>
            <w:vAlign w:val="center"/>
          </w:tcPr>
          <w:p>
            <w:pPr>
              <w:spacing w:line="440" w:lineRule="exact"/>
              <w:jc w:val="center"/>
              <w:rPr>
                <w:rFonts w:ascii="宋体" w:hAnsi="宋体"/>
                <w:color w:val="auto"/>
                <w:sz w:val="24"/>
                <w:szCs w:val="24"/>
                <w:highlight w:val="none"/>
              </w:rPr>
            </w:pPr>
          </w:p>
        </w:tc>
        <w:tc>
          <w:tcPr>
            <w:tcW w:w="776" w:type="dxa"/>
            <w:noWrap w:val="0"/>
            <w:vAlign w:val="center"/>
          </w:tcPr>
          <w:p>
            <w:pPr>
              <w:spacing w:line="440" w:lineRule="exact"/>
              <w:jc w:val="center"/>
              <w:rPr>
                <w:rFonts w:ascii="宋体" w:hAnsi="宋体"/>
                <w:color w:val="auto"/>
                <w:sz w:val="24"/>
                <w:szCs w:val="24"/>
                <w:highlight w:val="none"/>
              </w:rPr>
            </w:pPr>
          </w:p>
        </w:tc>
        <w:tc>
          <w:tcPr>
            <w:tcW w:w="946" w:type="dxa"/>
            <w:gridSpan w:val="2"/>
            <w:noWrap w:val="0"/>
            <w:vAlign w:val="center"/>
          </w:tcPr>
          <w:p>
            <w:pPr>
              <w:spacing w:line="44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ascii="宋体" w:hAnsi="宋体"/>
                <w:color w:val="auto"/>
                <w:sz w:val="24"/>
                <w:szCs w:val="24"/>
                <w:highlight w:val="none"/>
              </w:rPr>
            </w:pPr>
          </w:p>
        </w:tc>
        <w:tc>
          <w:tcPr>
            <w:tcW w:w="650" w:type="dxa"/>
            <w:noWrap w:val="0"/>
            <w:vAlign w:val="center"/>
          </w:tcPr>
          <w:p>
            <w:pPr>
              <w:spacing w:line="440" w:lineRule="exact"/>
              <w:jc w:val="center"/>
              <w:rPr>
                <w:rFonts w:ascii="宋体" w:hAnsi="宋体"/>
                <w:color w:val="auto"/>
                <w:sz w:val="24"/>
                <w:szCs w:val="24"/>
                <w:highlight w:val="none"/>
              </w:rPr>
            </w:pPr>
          </w:p>
        </w:tc>
        <w:tc>
          <w:tcPr>
            <w:tcW w:w="2044" w:type="dxa"/>
            <w:noWrap w:val="0"/>
            <w:vAlign w:val="center"/>
          </w:tcPr>
          <w:p>
            <w:pPr>
              <w:spacing w:line="440" w:lineRule="exact"/>
              <w:jc w:val="center"/>
              <w:rPr>
                <w:rFonts w:ascii="宋体" w:hAnsi="宋体"/>
                <w:color w:val="auto"/>
                <w:sz w:val="24"/>
                <w:szCs w:val="24"/>
                <w:highlight w:val="none"/>
              </w:rPr>
            </w:pPr>
          </w:p>
        </w:tc>
        <w:tc>
          <w:tcPr>
            <w:tcW w:w="1348" w:type="dxa"/>
            <w:noWrap w:val="0"/>
            <w:vAlign w:val="center"/>
          </w:tcPr>
          <w:p>
            <w:pPr>
              <w:spacing w:line="440" w:lineRule="exact"/>
              <w:jc w:val="center"/>
              <w:rPr>
                <w:rFonts w:ascii="宋体" w:hAnsi="宋体"/>
                <w:color w:val="auto"/>
                <w:sz w:val="24"/>
                <w:szCs w:val="24"/>
                <w:highlight w:val="none"/>
              </w:rPr>
            </w:pPr>
          </w:p>
        </w:tc>
        <w:tc>
          <w:tcPr>
            <w:tcW w:w="2113" w:type="dxa"/>
            <w:noWrap w:val="0"/>
            <w:vAlign w:val="center"/>
          </w:tcPr>
          <w:p>
            <w:pPr>
              <w:spacing w:line="440" w:lineRule="exact"/>
              <w:jc w:val="center"/>
              <w:rPr>
                <w:rFonts w:ascii="宋体" w:hAnsi="宋体"/>
                <w:color w:val="auto"/>
                <w:sz w:val="24"/>
                <w:szCs w:val="24"/>
                <w:highlight w:val="none"/>
              </w:rPr>
            </w:pPr>
          </w:p>
        </w:tc>
        <w:tc>
          <w:tcPr>
            <w:tcW w:w="897" w:type="dxa"/>
            <w:noWrap w:val="0"/>
            <w:vAlign w:val="center"/>
          </w:tcPr>
          <w:p>
            <w:pPr>
              <w:spacing w:line="440" w:lineRule="exact"/>
              <w:jc w:val="center"/>
              <w:rPr>
                <w:rFonts w:ascii="宋体" w:hAnsi="宋体"/>
                <w:color w:val="auto"/>
                <w:sz w:val="24"/>
                <w:szCs w:val="24"/>
                <w:highlight w:val="none"/>
              </w:rPr>
            </w:pPr>
          </w:p>
        </w:tc>
        <w:tc>
          <w:tcPr>
            <w:tcW w:w="776" w:type="dxa"/>
            <w:noWrap w:val="0"/>
            <w:vAlign w:val="center"/>
          </w:tcPr>
          <w:p>
            <w:pPr>
              <w:spacing w:line="440" w:lineRule="exact"/>
              <w:jc w:val="center"/>
              <w:rPr>
                <w:rFonts w:ascii="宋体" w:hAnsi="宋体"/>
                <w:color w:val="auto"/>
                <w:sz w:val="24"/>
                <w:szCs w:val="24"/>
                <w:highlight w:val="none"/>
              </w:rPr>
            </w:pPr>
          </w:p>
        </w:tc>
        <w:tc>
          <w:tcPr>
            <w:tcW w:w="946" w:type="dxa"/>
            <w:gridSpan w:val="2"/>
            <w:noWrap w:val="0"/>
            <w:vAlign w:val="center"/>
          </w:tcPr>
          <w:p>
            <w:pPr>
              <w:spacing w:line="44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noWrap w:val="0"/>
            <w:vAlign w:val="center"/>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合计金额</w:t>
            </w:r>
          </w:p>
        </w:tc>
        <w:tc>
          <w:tcPr>
            <w:tcW w:w="2611" w:type="dxa"/>
            <w:gridSpan w:val="3"/>
            <w:noWrap w:val="0"/>
            <w:vAlign w:val="center"/>
          </w:tcPr>
          <w:p>
            <w:pPr>
              <w:spacing w:line="440" w:lineRule="exact"/>
              <w:rPr>
                <w:rFonts w:ascii="宋体" w:hAnsi="宋体"/>
                <w:color w:val="auto"/>
                <w:sz w:val="24"/>
                <w:szCs w:val="24"/>
                <w:highlight w:val="none"/>
              </w:rPr>
            </w:pPr>
          </w:p>
        </w:tc>
      </w:tr>
    </w:tbl>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）环保产品明细清单</w:t>
      </w:r>
      <w:r>
        <w:rPr>
          <w:rFonts w:ascii="宋体" w:hAnsi="宋体"/>
          <w:color w:val="auto"/>
          <w:sz w:val="24"/>
          <w:szCs w:val="24"/>
          <w:highlight w:val="none"/>
        </w:rPr>
        <w:t xml:space="preserve">          </w:t>
      </w:r>
      <w:r>
        <w:rPr>
          <w:rFonts w:hint="eastAsia" w:ascii="宋体" w:hAnsi="宋体"/>
          <w:color w:val="auto"/>
          <w:sz w:val="24"/>
          <w:szCs w:val="24"/>
          <w:highlight w:val="none"/>
        </w:rPr>
        <w:t>报价货币种类</w:t>
      </w:r>
      <w:r>
        <w:rPr>
          <w:rFonts w:ascii="宋体" w:hAnsi="宋体"/>
          <w:color w:val="auto"/>
          <w:sz w:val="24"/>
          <w:szCs w:val="24"/>
          <w:highlight w:val="none"/>
          <w:u w:val="single"/>
        </w:rPr>
        <w:t xml:space="preserve">      </w:t>
      </w:r>
      <w:r>
        <w:rPr>
          <w:rFonts w:hint="eastAsia" w:ascii="宋体" w:hAnsi="宋体"/>
          <w:color w:val="auto"/>
          <w:sz w:val="24"/>
          <w:szCs w:val="24"/>
          <w:highlight w:val="none"/>
        </w:rPr>
        <w:t>金额单位：元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制造商</w:t>
            </w:r>
          </w:p>
        </w:tc>
        <w:tc>
          <w:tcPr>
            <w:tcW w:w="1058"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433"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产品名称、规格型号</w:t>
            </w:r>
          </w:p>
        </w:tc>
        <w:tc>
          <w:tcPr>
            <w:tcW w:w="1851"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中国环境标志认证证书编号</w:t>
            </w:r>
          </w:p>
        </w:tc>
        <w:tc>
          <w:tcPr>
            <w:tcW w:w="1853"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认证证书有效截止日期</w:t>
            </w:r>
          </w:p>
        </w:tc>
        <w:tc>
          <w:tcPr>
            <w:tcW w:w="749"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84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1013"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ascii="宋体" w:hAnsi="宋体"/>
                <w:color w:val="auto"/>
                <w:sz w:val="24"/>
                <w:szCs w:val="24"/>
                <w:highlight w:val="none"/>
              </w:rPr>
            </w:pPr>
          </w:p>
        </w:tc>
        <w:tc>
          <w:tcPr>
            <w:tcW w:w="1058" w:type="dxa"/>
            <w:noWrap w:val="0"/>
            <w:vAlign w:val="center"/>
          </w:tcPr>
          <w:p>
            <w:pPr>
              <w:spacing w:line="440" w:lineRule="exact"/>
              <w:jc w:val="center"/>
              <w:rPr>
                <w:rFonts w:ascii="宋体" w:hAnsi="宋体"/>
                <w:color w:val="auto"/>
                <w:sz w:val="24"/>
                <w:szCs w:val="24"/>
                <w:highlight w:val="none"/>
              </w:rPr>
            </w:pPr>
          </w:p>
        </w:tc>
        <w:tc>
          <w:tcPr>
            <w:tcW w:w="1433" w:type="dxa"/>
            <w:noWrap w:val="0"/>
            <w:vAlign w:val="center"/>
          </w:tcPr>
          <w:p>
            <w:pPr>
              <w:spacing w:line="440" w:lineRule="exact"/>
              <w:jc w:val="center"/>
              <w:rPr>
                <w:rFonts w:ascii="宋体" w:hAnsi="宋体"/>
                <w:color w:val="auto"/>
                <w:sz w:val="24"/>
                <w:szCs w:val="24"/>
                <w:highlight w:val="none"/>
              </w:rPr>
            </w:pPr>
          </w:p>
        </w:tc>
        <w:tc>
          <w:tcPr>
            <w:tcW w:w="1851" w:type="dxa"/>
            <w:noWrap w:val="0"/>
            <w:vAlign w:val="center"/>
          </w:tcPr>
          <w:p>
            <w:pPr>
              <w:spacing w:line="440" w:lineRule="exact"/>
              <w:jc w:val="center"/>
              <w:rPr>
                <w:rFonts w:ascii="宋体" w:hAnsi="宋体"/>
                <w:color w:val="auto"/>
                <w:sz w:val="24"/>
                <w:szCs w:val="24"/>
                <w:highlight w:val="none"/>
              </w:rPr>
            </w:pPr>
          </w:p>
        </w:tc>
        <w:tc>
          <w:tcPr>
            <w:tcW w:w="1853" w:type="dxa"/>
            <w:noWrap w:val="0"/>
            <w:vAlign w:val="center"/>
          </w:tcPr>
          <w:p>
            <w:pPr>
              <w:spacing w:line="440" w:lineRule="exact"/>
              <w:jc w:val="center"/>
              <w:rPr>
                <w:rFonts w:ascii="宋体" w:hAnsi="宋体"/>
                <w:color w:val="auto"/>
                <w:sz w:val="24"/>
                <w:szCs w:val="24"/>
                <w:highlight w:val="none"/>
              </w:rPr>
            </w:pPr>
          </w:p>
        </w:tc>
        <w:tc>
          <w:tcPr>
            <w:tcW w:w="749" w:type="dxa"/>
            <w:noWrap w:val="0"/>
            <w:vAlign w:val="center"/>
          </w:tcPr>
          <w:p>
            <w:pPr>
              <w:spacing w:line="440" w:lineRule="exact"/>
              <w:jc w:val="center"/>
              <w:rPr>
                <w:rFonts w:ascii="宋体" w:hAnsi="宋体"/>
                <w:color w:val="auto"/>
                <w:sz w:val="24"/>
                <w:szCs w:val="24"/>
                <w:highlight w:val="none"/>
              </w:rPr>
            </w:pPr>
          </w:p>
        </w:tc>
        <w:tc>
          <w:tcPr>
            <w:tcW w:w="840" w:type="dxa"/>
            <w:noWrap w:val="0"/>
            <w:vAlign w:val="center"/>
          </w:tcPr>
          <w:p>
            <w:pPr>
              <w:spacing w:line="440" w:lineRule="exact"/>
              <w:jc w:val="center"/>
              <w:rPr>
                <w:rFonts w:ascii="宋体" w:hAnsi="宋体"/>
                <w:color w:val="auto"/>
                <w:sz w:val="24"/>
                <w:szCs w:val="24"/>
                <w:highlight w:val="none"/>
              </w:rPr>
            </w:pPr>
          </w:p>
        </w:tc>
        <w:tc>
          <w:tcPr>
            <w:tcW w:w="1013" w:type="dxa"/>
            <w:noWrap w:val="0"/>
            <w:vAlign w:val="center"/>
          </w:tcPr>
          <w:p>
            <w:pPr>
              <w:spacing w:line="44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ascii="宋体" w:hAnsi="宋体"/>
                <w:color w:val="auto"/>
                <w:sz w:val="24"/>
                <w:szCs w:val="24"/>
                <w:highlight w:val="none"/>
              </w:rPr>
            </w:pPr>
          </w:p>
        </w:tc>
        <w:tc>
          <w:tcPr>
            <w:tcW w:w="1058" w:type="dxa"/>
            <w:noWrap w:val="0"/>
            <w:vAlign w:val="center"/>
          </w:tcPr>
          <w:p>
            <w:pPr>
              <w:spacing w:line="440" w:lineRule="exact"/>
              <w:jc w:val="center"/>
              <w:rPr>
                <w:rFonts w:ascii="宋体" w:hAnsi="宋体"/>
                <w:color w:val="auto"/>
                <w:sz w:val="24"/>
                <w:szCs w:val="24"/>
                <w:highlight w:val="none"/>
              </w:rPr>
            </w:pPr>
          </w:p>
        </w:tc>
        <w:tc>
          <w:tcPr>
            <w:tcW w:w="1433" w:type="dxa"/>
            <w:noWrap w:val="0"/>
            <w:vAlign w:val="center"/>
          </w:tcPr>
          <w:p>
            <w:pPr>
              <w:spacing w:line="440" w:lineRule="exact"/>
              <w:jc w:val="center"/>
              <w:rPr>
                <w:rFonts w:ascii="宋体" w:hAnsi="宋体"/>
                <w:color w:val="auto"/>
                <w:sz w:val="24"/>
                <w:szCs w:val="24"/>
                <w:highlight w:val="none"/>
              </w:rPr>
            </w:pPr>
          </w:p>
        </w:tc>
        <w:tc>
          <w:tcPr>
            <w:tcW w:w="1851" w:type="dxa"/>
            <w:noWrap w:val="0"/>
            <w:vAlign w:val="center"/>
          </w:tcPr>
          <w:p>
            <w:pPr>
              <w:spacing w:line="440" w:lineRule="exact"/>
              <w:jc w:val="center"/>
              <w:rPr>
                <w:rFonts w:ascii="宋体" w:hAnsi="宋体"/>
                <w:color w:val="auto"/>
                <w:sz w:val="24"/>
                <w:szCs w:val="24"/>
                <w:highlight w:val="none"/>
              </w:rPr>
            </w:pPr>
          </w:p>
        </w:tc>
        <w:tc>
          <w:tcPr>
            <w:tcW w:w="1853" w:type="dxa"/>
            <w:noWrap w:val="0"/>
            <w:vAlign w:val="center"/>
          </w:tcPr>
          <w:p>
            <w:pPr>
              <w:spacing w:line="440" w:lineRule="exact"/>
              <w:jc w:val="center"/>
              <w:rPr>
                <w:rFonts w:ascii="宋体" w:hAnsi="宋体"/>
                <w:color w:val="auto"/>
                <w:sz w:val="24"/>
                <w:szCs w:val="24"/>
                <w:highlight w:val="none"/>
              </w:rPr>
            </w:pPr>
          </w:p>
        </w:tc>
        <w:tc>
          <w:tcPr>
            <w:tcW w:w="749" w:type="dxa"/>
            <w:noWrap w:val="0"/>
            <w:vAlign w:val="center"/>
          </w:tcPr>
          <w:p>
            <w:pPr>
              <w:spacing w:line="440" w:lineRule="exact"/>
              <w:jc w:val="center"/>
              <w:rPr>
                <w:rFonts w:ascii="宋体" w:hAnsi="宋体"/>
                <w:color w:val="auto"/>
                <w:sz w:val="24"/>
                <w:szCs w:val="24"/>
                <w:highlight w:val="none"/>
              </w:rPr>
            </w:pPr>
          </w:p>
        </w:tc>
        <w:tc>
          <w:tcPr>
            <w:tcW w:w="840" w:type="dxa"/>
            <w:noWrap w:val="0"/>
            <w:vAlign w:val="center"/>
          </w:tcPr>
          <w:p>
            <w:pPr>
              <w:spacing w:line="440" w:lineRule="exact"/>
              <w:jc w:val="center"/>
              <w:rPr>
                <w:rFonts w:ascii="宋体" w:hAnsi="宋体"/>
                <w:color w:val="auto"/>
                <w:sz w:val="24"/>
                <w:szCs w:val="24"/>
                <w:highlight w:val="none"/>
              </w:rPr>
            </w:pPr>
          </w:p>
        </w:tc>
        <w:tc>
          <w:tcPr>
            <w:tcW w:w="1013" w:type="dxa"/>
            <w:noWrap w:val="0"/>
            <w:vAlign w:val="center"/>
          </w:tcPr>
          <w:p>
            <w:pPr>
              <w:spacing w:line="44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合计金额</w:t>
            </w:r>
          </w:p>
        </w:tc>
        <w:tc>
          <w:tcPr>
            <w:tcW w:w="2602" w:type="dxa"/>
            <w:gridSpan w:val="3"/>
            <w:noWrap w:val="0"/>
            <w:vAlign w:val="center"/>
          </w:tcPr>
          <w:p>
            <w:pPr>
              <w:spacing w:line="440" w:lineRule="exact"/>
              <w:rPr>
                <w:rFonts w:ascii="宋体" w:hAnsi="宋体"/>
                <w:color w:val="auto"/>
                <w:sz w:val="24"/>
                <w:szCs w:val="24"/>
                <w:highlight w:val="none"/>
              </w:rPr>
            </w:pPr>
          </w:p>
        </w:tc>
      </w:tr>
    </w:tbl>
    <w:p>
      <w:pPr>
        <w:tabs>
          <w:tab w:val="left" w:pos="13000"/>
        </w:tabs>
        <w:spacing w:line="440" w:lineRule="exact"/>
        <w:rPr>
          <w:rFonts w:ascii="宋体" w:hAnsi="宋体"/>
          <w:color w:val="auto"/>
          <w:sz w:val="24"/>
          <w:szCs w:val="24"/>
          <w:highlight w:val="none"/>
        </w:rPr>
      </w:pPr>
      <w:r>
        <w:rPr>
          <w:rFonts w:hint="eastAsia" w:ascii="宋体" w:hAnsi="宋体"/>
          <w:color w:val="auto"/>
          <w:sz w:val="24"/>
          <w:szCs w:val="24"/>
          <w:highlight w:val="none"/>
        </w:rPr>
        <w:t>注：</w:t>
      </w:r>
    </w:p>
    <w:p>
      <w:pPr>
        <w:tabs>
          <w:tab w:val="left" w:pos="13000"/>
        </w:tabs>
        <w:spacing w:line="440" w:lineRule="exact"/>
        <w:rPr>
          <w:rFonts w:ascii="宋体" w:hAnsi="宋体"/>
          <w:b/>
          <w:color w:val="auto"/>
          <w:sz w:val="24"/>
          <w:szCs w:val="24"/>
          <w:highlight w:val="none"/>
        </w:rPr>
      </w:pPr>
      <w:r>
        <w:rPr>
          <w:rFonts w:hint="eastAsia" w:ascii="宋体" w:hAnsi="宋体"/>
          <w:b/>
          <w:color w:val="auto"/>
          <w:sz w:val="24"/>
          <w:szCs w:val="24"/>
          <w:highlight w:val="none"/>
        </w:rPr>
        <w:t>若无货物属于优先采购节能、环境标志产品的，则不填写此表。</w:t>
      </w:r>
    </w:p>
    <w:p>
      <w:pPr>
        <w:adjustRightInd w:val="0"/>
        <w:snapToGrid w:val="0"/>
        <w:spacing w:line="440" w:lineRule="exact"/>
        <w:rPr>
          <w:rFonts w:ascii="宋体" w:hAnsi="宋体"/>
          <w:color w:val="auto"/>
          <w:sz w:val="24"/>
          <w:szCs w:val="24"/>
          <w:highlight w:val="none"/>
        </w:rPr>
      </w:pP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（盖单位章）：</w:t>
      </w:r>
    </w:p>
    <w:p>
      <w:pPr>
        <w:adjustRightInd w:val="0"/>
        <w:snapToGrid w:val="0"/>
        <w:spacing w:line="440" w:lineRule="exact"/>
        <w:rPr>
          <w:rFonts w:ascii="宋体" w:hAnsi="宋体"/>
          <w:color w:val="auto"/>
          <w:sz w:val="24"/>
          <w:szCs w:val="24"/>
          <w:highlight w:val="none"/>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cs="宋体"/>
          <w:color w:val="auto"/>
          <w:sz w:val="24"/>
          <w:highlight w:val="none"/>
        </w:rPr>
        <w:t>（签字或盖章）</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adjustRightInd w:val="0"/>
        <w:snapToGrid w:val="0"/>
        <w:spacing w:line="440" w:lineRule="exact"/>
        <w:ind w:right="24"/>
        <w:rPr>
          <w:rFonts w:ascii="宋体" w:hAnsi="宋体"/>
          <w:color w:val="auto"/>
          <w:sz w:val="24"/>
          <w:szCs w:val="24"/>
          <w:highlight w:val="none"/>
        </w:rPr>
      </w:pP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pacing w:line="360" w:lineRule="auto"/>
        <w:jc w:val="left"/>
        <w:outlineLvl w:val="0"/>
        <w:rPr>
          <w:rFonts w:hint="eastAsia" w:ascii="宋体" w:hAnsi="宋体" w:eastAsia="宋体" w:cs="宋体"/>
          <w:b/>
          <w:bCs/>
          <w:color w:val="auto"/>
          <w:sz w:val="24"/>
          <w:highlight w:val="none"/>
          <w:lang w:eastAsia="zh-CN"/>
        </w:rPr>
      </w:pPr>
      <w:bookmarkStart w:id="179" w:name="_Toc10102"/>
      <w:bookmarkStart w:id="180" w:name="_Toc13039"/>
      <w:r>
        <w:rPr>
          <w:rFonts w:hint="eastAsia" w:ascii="宋体" w:hAnsi="宋体" w:eastAsia="宋体" w:cs="宋体"/>
          <w:b/>
          <w:bCs/>
          <w:color w:val="auto"/>
          <w:sz w:val="24"/>
          <w:highlight w:val="none"/>
        </w:rPr>
        <w:t>附件1</w:t>
      </w:r>
      <w:bookmarkEnd w:id="179"/>
      <w:bookmarkEnd w:id="180"/>
      <w:r>
        <w:rPr>
          <w:rFonts w:hint="eastAsia" w:ascii="宋体" w:hAnsi="宋体" w:eastAsia="宋体" w:cs="宋体"/>
          <w:b/>
          <w:bCs/>
          <w:color w:val="auto"/>
          <w:sz w:val="24"/>
          <w:highlight w:val="none"/>
          <w:lang w:val="en-US" w:eastAsia="zh-CN"/>
        </w:rPr>
        <w:t>3</w:t>
      </w:r>
    </w:p>
    <w:p>
      <w:pPr>
        <w:pStyle w:val="7"/>
        <w:jc w:val="center"/>
        <w:rPr>
          <w:rFonts w:hint="eastAsia" w:ascii="宋体" w:hAnsi="宋体" w:eastAsia="宋体" w:cs="宋体"/>
          <w:bCs w:val="0"/>
          <w:color w:val="auto"/>
          <w:sz w:val="24"/>
          <w:szCs w:val="24"/>
          <w:highlight w:val="none"/>
        </w:rPr>
      </w:pPr>
      <w:bookmarkStart w:id="181" w:name="_Toc12486"/>
      <w:r>
        <w:rPr>
          <w:rFonts w:hint="eastAsia" w:ascii="宋体" w:hAnsi="宋体" w:eastAsia="宋体" w:cs="宋体"/>
          <w:bCs w:val="0"/>
          <w:color w:val="auto"/>
          <w:sz w:val="24"/>
          <w:szCs w:val="24"/>
          <w:highlight w:val="none"/>
        </w:rPr>
        <w:t>节能、环境标志产品证明材料</w:t>
      </w:r>
      <w:bookmarkEnd w:id="181"/>
      <w:r>
        <w:rPr>
          <w:rFonts w:hint="eastAsia" w:ascii="宋体" w:hAnsi="宋体" w:eastAsia="宋体" w:cs="宋体"/>
          <w:color w:val="auto"/>
          <w:sz w:val="24"/>
          <w:highlight w:val="none"/>
          <w:lang w:val="en-US" w:eastAsia="zh-CN"/>
        </w:rPr>
        <w:t>(若有，请如实填写)</w:t>
      </w:r>
    </w:p>
    <w:p>
      <w:pPr>
        <w:widowControl/>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节能产品：应在中国政府采购网（ ht tp://www.ccgp.gov.cn ）</w:t>
      </w:r>
    </w:p>
    <w:p>
      <w:pPr>
        <w:widowControl/>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环境标志产品：应在中国政府采购网（ http://www.ccgp.gov.cn ）</w:t>
      </w:r>
    </w:p>
    <w:p>
      <w:pPr>
        <w:widowControl/>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属优先采购节能、环境标志产品须从以上权威媒体网站上查询并打印结果。</w:t>
      </w:r>
    </w:p>
    <w:p>
      <w:pPr>
        <w:widowControl/>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证明材料加盖投标人公章。</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pacing w:line="360" w:lineRule="auto"/>
        <w:jc w:val="left"/>
        <w:outlineLvl w:val="0"/>
        <w:rPr>
          <w:rFonts w:hint="eastAsia" w:ascii="宋体" w:hAnsi="宋体" w:eastAsia="宋体" w:cs="宋体"/>
          <w:b/>
          <w:bCs/>
          <w:color w:val="auto"/>
          <w:sz w:val="24"/>
          <w:highlight w:val="none"/>
          <w:lang w:val="en-US" w:eastAsia="zh-CN"/>
        </w:rPr>
      </w:pPr>
      <w:bookmarkStart w:id="182" w:name="_Toc30080"/>
      <w:bookmarkStart w:id="183" w:name="_Toc26335"/>
      <w:r>
        <w:rPr>
          <w:rFonts w:hint="eastAsia" w:ascii="宋体" w:hAnsi="宋体" w:eastAsia="宋体" w:cs="宋体"/>
          <w:b/>
          <w:bCs/>
          <w:color w:val="auto"/>
          <w:sz w:val="24"/>
          <w:highlight w:val="none"/>
        </w:rPr>
        <w:t>附件1</w:t>
      </w:r>
      <w:bookmarkEnd w:id="182"/>
      <w:bookmarkEnd w:id="183"/>
      <w:r>
        <w:rPr>
          <w:rFonts w:hint="eastAsia" w:ascii="宋体" w:hAnsi="宋体" w:eastAsia="宋体" w:cs="宋体"/>
          <w:b/>
          <w:bCs/>
          <w:color w:val="auto"/>
          <w:sz w:val="24"/>
          <w:highlight w:val="none"/>
          <w:lang w:val="en-US" w:eastAsia="zh-CN"/>
        </w:rPr>
        <w:t>4</w:t>
      </w:r>
    </w:p>
    <w:p>
      <w:pPr>
        <w:pStyle w:val="7"/>
        <w:jc w:val="center"/>
        <w:rPr>
          <w:rFonts w:hint="eastAsia" w:ascii="宋体" w:hAnsi="宋体" w:eastAsia="宋体" w:cs="宋体"/>
          <w:bCs w:val="0"/>
          <w:color w:val="auto"/>
          <w:sz w:val="24"/>
          <w:szCs w:val="24"/>
          <w:highlight w:val="none"/>
        </w:rPr>
      </w:pPr>
      <w:bookmarkStart w:id="184" w:name="_Toc30338"/>
      <w:r>
        <w:rPr>
          <w:rFonts w:hint="eastAsia" w:ascii="宋体" w:hAnsi="宋体" w:eastAsia="宋体" w:cs="宋体"/>
          <w:bCs w:val="0"/>
          <w:color w:val="auto"/>
          <w:sz w:val="24"/>
          <w:szCs w:val="24"/>
          <w:highlight w:val="none"/>
        </w:rPr>
        <w:t>小微企业生产或销售的产品优惠明细表</w:t>
      </w:r>
      <w:bookmarkEnd w:id="184"/>
    </w:p>
    <w:p>
      <w:pPr>
        <w:jc w:val="center"/>
        <w:rPr>
          <w:rFonts w:ascii="宋体" w:hAnsi="宋体"/>
          <w:bCs/>
          <w:color w:val="auto"/>
          <w:sz w:val="24"/>
          <w:szCs w:val="24"/>
          <w:highlight w:val="none"/>
        </w:rPr>
      </w:pPr>
      <w:r>
        <w:rPr>
          <w:rFonts w:hint="eastAsia" w:ascii="宋体" w:hAnsi="宋体"/>
          <w:bCs/>
          <w:color w:val="auto"/>
          <w:sz w:val="24"/>
          <w:szCs w:val="24"/>
          <w:highlight w:val="none"/>
        </w:rPr>
        <w:t>（若有，请如实填写）</w:t>
      </w:r>
    </w:p>
    <w:p>
      <w:pPr>
        <w:pStyle w:val="78"/>
        <w:tabs>
          <w:tab w:val="left" w:pos="480"/>
          <w:tab w:val="clear" w:pos="839"/>
        </w:tabs>
        <w:spacing w:line="440" w:lineRule="exact"/>
        <w:ind w:left="1680" w:leftChars="800" w:firstLine="4320" w:firstLineChars="1800"/>
        <w:rPr>
          <w:rFonts w:hint="eastAsia" w:ascii="宋体" w:hAnsi="宋体" w:eastAsia="宋体" w:cs="宋体"/>
          <w:b w:val="0"/>
          <w:bCs/>
          <w:color w:val="auto"/>
          <w:sz w:val="24"/>
          <w:szCs w:val="24"/>
          <w:highlight w:val="none"/>
        </w:rPr>
      </w:pPr>
      <w:bookmarkStart w:id="185" w:name="_Toc29274"/>
      <w:r>
        <w:rPr>
          <w:rFonts w:hint="eastAsia" w:ascii="宋体" w:hAnsi="宋体" w:eastAsia="宋体" w:cs="宋体"/>
          <w:b w:val="0"/>
          <w:bCs/>
          <w:color w:val="auto"/>
          <w:sz w:val="24"/>
          <w:szCs w:val="24"/>
          <w:highlight w:val="none"/>
        </w:rPr>
        <w:t>报价货币种类：</w:t>
      </w:r>
      <w:bookmarkEnd w:id="185"/>
      <w:r>
        <w:rPr>
          <w:rFonts w:hint="eastAsia" w:ascii="宋体" w:hAnsi="宋体" w:eastAsia="宋体" w:cs="宋体"/>
          <w:b w:val="0"/>
          <w:bCs/>
          <w:color w:val="auto"/>
          <w:sz w:val="24"/>
          <w:szCs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标段（包）</w:t>
            </w:r>
          </w:p>
        </w:tc>
        <w:tc>
          <w:tcPr>
            <w:tcW w:w="2012"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小型和微型企业产品名称</w:t>
            </w:r>
          </w:p>
        </w:tc>
        <w:tc>
          <w:tcPr>
            <w:tcW w:w="1123"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1050"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报价（元）</w:t>
            </w: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价格评审扣除金额（元）</w:t>
            </w: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品牌型号规格</w:t>
            </w:r>
          </w:p>
        </w:tc>
        <w:tc>
          <w:tcPr>
            <w:tcW w:w="1766" w:type="dxa"/>
            <w:noWrap w:val="0"/>
            <w:vAlign w:val="center"/>
          </w:tcPr>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制造商</w:t>
            </w:r>
          </w:p>
          <w:p>
            <w:pPr>
              <w:tabs>
                <w:tab w:val="left" w:pos="5355"/>
              </w:tabs>
              <w:spacing w:line="380" w:lineRule="atLeast"/>
              <w:jc w:val="center"/>
              <w:rPr>
                <w:rFonts w:ascii="宋体" w:hAnsi="宋体"/>
                <w:color w:val="auto"/>
                <w:sz w:val="24"/>
                <w:szCs w:val="24"/>
                <w:highlight w:val="none"/>
              </w:rPr>
            </w:pPr>
            <w:r>
              <w:rPr>
                <w:rFonts w:hint="eastAsia" w:ascii="宋体" w:hAnsi="宋体"/>
                <w:color w:val="auto"/>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ascii="宋体" w:hAnsi="宋体"/>
                <w:color w:val="auto"/>
                <w:sz w:val="24"/>
                <w:szCs w:val="24"/>
                <w:highlight w:val="none"/>
              </w:rPr>
            </w:pPr>
          </w:p>
        </w:tc>
        <w:tc>
          <w:tcPr>
            <w:tcW w:w="2012" w:type="dxa"/>
            <w:noWrap w:val="0"/>
            <w:vAlign w:val="center"/>
          </w:tcPr>
          <w:p>
            <w:pPr>
              <w:tabs>
                <w:tab w:val="left" w:pos="5355"/>
              </w:tabs>
              <w:spacing w:line="380" w:lineRule="atLeast"/>
              <w:jc w:val="center"/>
              <w:rPr>
                <w:rFonts w:ascii="宋体" w:hAnsi="宋体"/>
                <w:color w:val="auto"/>
                <w:sz w:val="24"/>
                <w:szCs w:val="24"/>
                <w:highlight w:val="none"/>
              </w:rPr>
            </w:pPr>
          </w:p>
        </w:tc>
        <w:tc>
          <w:tcPr>
            <w:tcW w:w="1123" w:type="dxa"/>
            <w:noWrap w:val="0"/>
            <w:vAlign w:val="center"/>
          </w:tcPr>
          <w:p>
            <w:pPr>
              <w:tabs>
                <w:tab w:val="left" w:pos="5355"/>
              </w:tabs>
              <w:spacing w:line="380" w:lineRule="atLeast"/>
              <w:jc w:val="center"/>
              <w:rPr>
                <w:rFonts w:ascii="宋体" w:hAnsi="宋体"/>
                <w:color w:val="auto"/>
                <w:sz w:val="24"/>
                <w:szCs w:val="24"/>
                <w:highlight w:val="none"/>
              </w:rPr>
            </w:pPr>
          </w:p>
        </w:tc>
        <w:tc>
          <w:tcPr>
            <w:tcW w:w="1050" w:type="dxa"/>
            <w:noWrap w:val="0"/>
            <w:vAlign w:val="center"/>
          </w:tcPr>
          <w:p>
            <w:pPr>
              <w:tabs>
                <w:tab w:val="left" w:pos="5355"/>
              </w:tabs>
              <w:spacing w:line="380" w:lineRule="atLeast"/>
              <w:jc w:val="center"/>
              <w:rPr>
                <w:rFonts w:ascii="宋体" w:hAnsi="宋体"/>
                <w:color w:val="auto"/>
                <w:sz w:val="24"/>
                <w:szCs w:val="24"/>
                <w:highlight w:val="none"/>
              </w:rPr>
            </w:pP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p>
        </w:tc>
        <w:tc>
          <w:tcPr>
            <w:tcW w:w="1766" w:type="dxa"/>
            <w:noWrap w:val="0"/>
            <w:vAlign w:val="center"/>
          </w:tcPr>
          <w:p>
            <w:pPr>
              <w:tabs>
                <w:tab w:val="left" w:pos="5355"/>
              </w:tabs>
              <w:spacing w:line="38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color w:val="auto"/>
                <w:sz w:val="24"/>
                <w:szCs w:val="24"/>
                <w:highlight w:val="none"/>
              </w:rPr>
            </w:pPr>
          </w:p>
        </w:tc>
        <w:tc>
          <w:tcPr>
            <w:tcW w:w="2012" w:type="dxa"/>
            <w:noWrap w:val="0"/>
            <w:vAlign w:val="top"/>
          </w:tcPr>
          <w:p>
            <w:pPr>
              <w:tabs>
                <w:tab w:val="left" w:pos="5355"/>
              </w:tabs>
              <w:spacing w:line="380" w:lineRule="atLeast"/>
              <w:jc w:val="center"/>
              <w:rPr>
                <w:rFonts w:ascii="宋体" w:hAnsi="宋体"/>
                <w:color w:val="auto"/>
                <w:sz w:val="24"/>
                <w:szCs w:val="24"/>
                <w:highlight w:val="none"/>
              </w:rPr>
            </w:pPr>
          </w:p>
        </w:tc>
        <w:tc>
          <w:tcPr>
            <w:tcW w:w="1123" w:type="dxa"/>
            <w:noWrap w:val="0"/>
            <w:vAlign w:val="center"/>
          </w:tcPr>
          <w:p>
            <w:pPr>
              <w:tabs>
                <w:tab w:val="left" w:pos="5355"/>
              </w:tabs>
              <w:spacing w:line="380" w:lineRule="atLeast"/>
              <w:jc w:val="center"/>
              <w:rPr>
                <w:rFonts w:ascii="宋体" w:hAnsi="宋体"/>
                <w:color w:val="auto"/>
                <w:sz w:val="24"/>
                <w:szCs w:val="24"/>
                <w:highlight w:val="none"/>
              </w:rPr>
            </w:pPr>
          </w:p>
        </w:tc>
        <w:tc>
          <w:tcPr>
            <w:tcW w:w="1050" w:type="dxa"/>
            <w:noWrap w:val="0"/>
            <w:vAlign w:val="center"/>
          </w:tcPr>
          <w:p>
            <w:pPr>
              <w:tabs>
                <w:tab w:val="left" w:pos="5355"/>
              </w:tabs>
              <w:spacing w:line="380" w:lineRule="atLeast"/>
              <w:jc w:val="center"/>
              <w:rPr>
                <w:rFonts w:ascii="宋体" w:hAnsi="宋体"/>
                <w:color w:val="auto"/>
                <w:sz w:val="24"/>
                <w:szCs w:val="24"/>
                <w:highlight w:val="none"/>
              </w:rPr>
            </w:pP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p>
        </w:tc>
        <w:tc>
          <w:tcPr>
            <w:tcW w:w="1766" w:type="dxa"/>
            <w:noWrap w:val="0"/>
            <w:vAlign w:val="center"/>
          </w:tcPr>
          <w:p>
            <w:pPr>
              <w:tabs>
                <w:tab w:val="left" w:pos="5355"/>
              </w:tabs>
              <w:spacing w:line="38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color w:val="auto"/>
                <w:sz w:val="24"/>
                <w:szCs w:val="24"/>
                <w:highlight w:val="none"/>
              </w:rPr>
            </w:pPr>
          </w:p>
        </w:tc>
        <w:tc>
          <w:tcPr>
            <w:tcW w:w="2012" w:type="dxa"/>
            <w:noWrap w:val="0"/>
            <w:vAlign w:val="top"/>
          </w:tcPr>
          <w:p>
            <w:pPr>
              <w:tabs>
                <w:tab w:val="left" w:pos="5355"/>
              </w:tabs>
              <w:spacing w:line="380" w:lineRule="atLeast"/>
              <w:jc w:val="center"/>
              <w:rPr>
                <w:rFonts w:ascii="宋体" w:hAnsi="宋体"/>
                <w:color w:val="auto"/>
                <w:sz w:val="24"/>
                <w:szCs w:val="24"/>
                <w:highlight w:val="none"/>
              </w:rPr>
            </w:pPr>
          </w:p>
        </w:tc>
        <w:tc>
          <w:tcPr>
            <w:tcW w:w="1123" w:type="dxa"/>
            <w:noWrap w:val="0"/>
            <w:vAlign w:val="center"/>
          </w:tcPr>
          <w:p>
            <w:pPr>
              <w:tabs>
                <w:tab w:val="left" w:pos="5355"/>
              </w:tabs>
              <w:spacing w:line="380" w:lineRule="atLeast"/>
              <w:jc w:val="center"/>
              <w:rPr>
                <w:rFonts w:ascii="宋体" w:hAnsi="宋体"/>
                <w:color w:val="auto"/>
                <w:sz w:val="24"/>
                <w:szCs w:val="24"/>
                <w:highlight w:val="none"/>
              </w:rPr>
            </w:pPr>
          </w:p>
        </w:tc>
        <w:tc>
          <w:tcPr>
            <w:tcW w:w="1050" w:type="dxa"/>
            <w:noWrap w:val="0"/>
            <w:vAlign w:val="center"/>
          </w:tcPr>
          <w:p>
            <w:pPr>
              <w:tabs>
                <w:tab w:val="left" w:pos="5355"/>
              </w:tabs>
              <w:spacing w:line="380" w:lineRule="atLeast"/>
              <w:jc w:val="center"/>
              <w:rPr>
                <w:rFonts w:ascii="宋体" w:hAnsi="宋体"/>
                <w:color w:val="auto"/>
                <w:sz w:val="24"/>
                <w:szCs w:val="24"/>
                <w:highlight w:val="none"/>
              </w:rPr>
            </w:pP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p>
        </w:tc>
        <w:tc>
          <w:tcPr>
            <w:tcW w:w="1348" w:type="dxa"/>
            <w:noWrap w:val="0"/>
            <w:vAlign w:val="center"/>
          </w:tcPr>
          <w:p>
            <w:pPr>
              <w:tabs>
                <w:tab w:val="left" w:pos="5355"/>
              </w:tabs>
              <w:spacing w:line="380" w:lineRule="atLeast"/>
              <w:jc w:val="center"/>
              <w:rPr>
                <w:rFonts w:ascii="宋体" w:hAnsi="宋体"/>
                <w:color w:val="auto"/>
                <w:sz w:val="24"/>
                <w:szCs w:val="24"/>
                <w:highlight w:val="none"/>
              </w:rPr>
            </w:pPr>
          </w:p>
        </w:tc>
        <w:tc>
          <w:tcPr>
            <w:tcW w:w="1766" w:type="dxa"/>
            <w:noWrap w:val="0"/>
            <w:vAlign w:val="center"/>
          </w:tcPr>
          <w:p>
            <w:pPr>
              <w:tabs>
                <w:tab w:val="left" w:pos="5355"/>
              </w:tabs>
              <w:spacing w:line="38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宋体" w:hAnsi="宋体"/>
                <w:color w:val="auto"/>
                <w:sz w:val="24"/>
                <w:szCs w:val="24"/>
                <w:highlight w:val="none"/>
              </w:rPr>
            </w:pPr>
          </w:p>
        </w:tc>
        <w:tc>
          <w:tcPr>
            <w:tcW w:w="8647" w:type="dxa"/>
            <w:gridSpan w:val="6"/>
            <w:noWrap w:val="0"/>
            <w:vAlign w:val="center"/>
          </w:tcPr>
          <w:p>
            <w:pPr>
              <w:tabs>
                <w:tab w:val="left" w:pos="5355"/>
              </w:tabs>
              <w:spacing w:line="380" w:lineRule="atLeast"/>
              <w:rPr>
                <w:rFonts w:ascii="宋体" w:hAnsi="宋体"/>
                <w:color w:val="auto"/>
                <w:sz w:val="24"/>
                <w:szCs w:val="24"/>
                <w:highlight w:val="none"/>
              </w:rPr>
            </w:pPr>
            <w:r>
              <w:rPr>
                <w:rFonts w:hint="eastAsia" w:ascii="宋体" w:hAnsi="宋体"/>
                <w:color w:val="auto"/>
                <w:sz w:val="24"/>
                <w:szCs w:val="24"/>
                <w:highlight w:val="none"/>
              </w:rPr>
              <w:t>本标段（包）总计：</w:t>
            </w:r>
            <w:r>
              <w:rPr>
                <w:rFonts w:ascii="宋体" w:hAnsi="宋体"/>
                <w:color w:val="auto"/>
                <w:sz w:val="24"/>
                <w:szCs w:val="24"/>
                <w:highlight w:val="none"/>
              </w:rPr>
              <w:t xml:space="preserve">           </w:t>
            </w:r>
            <w:r>
              <w:rPr>
                <w:rFonts w:hint="eastAsia" w:ascii="宋体" w:hAnsi="宋体"/>
                <w:color w:val="auto"/>
                <w:sz w:val="24"/>
                <w:szCs w:val="24"/>
                <w:highlight w:val="none"/>
              </w:rPr>
              <w:t>（元）</w:t>
            </w:r>
          </w:p>
        </w:tc>
      </w:tr>
    </w:tbl>
    <w:p>
      <w:pPr>
        <w:pStyle w:val="78"/>
        <w:tabs>
          <w:tab w:val="left" w:pos="480"/>
          <w:tab w:val="clear" w:pos="839"/>
        </w:tabs>
        <w:spacing w:line="440" w:lineRule="exact"/>
        <w:ind w:left="0" w:firstLine="0"/>
        <w:outlineLvl w:val="9"/>
        <w:rPr>
          <w:bCs/>
          <w:color w:val="auto"/>
          <w:sz w:val="24"/>
          <w:szCs w:val="24"/>
          <w:highlight w:val="none"/>
        </w:rPr>
      </w:pPr>
    </w:p>
    <w:p>
      <w:pPr>
        <w:tabs>
          <w:tab w:val="left" w:pos="13000"/>
        </w:tabs>
        <w:spacing w:line="440" w:lineRule="exact"/>
        <w:rPr>
          <w:rFonts w:ascii="宋体" w:hAnsi="宋体"/>
          <w:color w:val="auto"/>
          <w:sz w:val="24"/>
          <w:szCs w:val="24"/>
          <w:highlight w:val="none"/>
        </w:rPr>
      </w:pPr>
      <w:r>
        <w:rPr>
          <w:rFonts w:hint="eastAsia" w:ascii="宋体" w:hAnsi="宋体"/>
          <w:color w:val="auto"/>
          <w:sz w:val="24"/>
          <w:szCs w:val="24"/>
          <w:highlight w:val="none"/>
        </w:rPr>
        <w:t>注：</w:t>
      </w:r>
    </w:p>
    <w:p>
      <w:pPr>
        <w:spacing w:line="440" w:lineRule="exact"/>
        <w:ind w:firstLine="42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、当一个标段（包）内有多个属于小型和微型企业的产品时，</w:t>
      </w:r>
      <w:r>
        <w:rPr>
          <w:rFonts w:ascii="宋体" w:hAnsi="宋体"/>
          <w:color w:val="auto"/>
          <w:sz w:val="24"/>
          <w:szCs w:val="24"/>
          <w:highlight w:val="none"/>
        </w:rPr>
        <w:t xml:space="preserve"> </w:t>
      </w:r>
      <w:r>
        <w:rPr>
          <w:rFonts w:hint="eastAsia" w:ascii="宋体" w:hAnsi="宋体"/>
          <w:color w:val="auto"/>
          <w:sz w:val="24"/>
          <w:szCs w:val="24"/>
          <w:highlight w:val="none"/>
        </w:rPr>
        <w:t>投标人应按序号详细填写。</w:t>
      </w:r>
    </w:p>
    <w:p>
      <w:pPr>
        <w:spacing w:line="440" w:lineRule="exact"/>
        <w:ind w:left="420" w:left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、栏目</w:t>
      </w:r>
      <w:r>
        <w:rPr>
          <w:rFonts w:ascii="宋体" w:hAnsi="宋体"/>
          <w:color w:val="auto"/>
          <w:sz w:val="24"/>
          <w:szCs w:val="24"/>
          <w:highlight w:val="none"/>
        </w:rPr>
        <w:t>5=</w:t>
      </w:r>
      <w:r>
        <w:rPr>
          <w:rFonts w:hint="eastAsia" w:ascii="宋体" w:hAnsi="宋体"/>
          <w:color w:val="auto"/>
          <w:sz w:val="24"/>
          <w:szCs w:val="24"/>
          <w:highlight w:val="none"/>
        </w:rPr>
        <w:t>栏目</w:t>
      </w:r>
      <w:r>
        <w:rPr>
          <w:rFonts w:ascii="宋体" w:hAnsi="宋体"/>
          <w:color w:val="auto"/>
          <w:sz w:val="24"/>
          <w:szCs w:val="24"/>
          <w:highlight w:val="none"/>
        </w:rPr>
        <w:t>4</w:t>
      </w:r>
      <w:r>
        <w:rPr>
          <w:rFonts w:hint="eastAsia" w:ascii="宋体" w:hAnsi="宋体"/>
          <w:color w:val="auto"/>
          <w:sz w:val="24"/>
          <w:szCs w:val="24"/>
          <w:highlight w:val="none"/>
        </w:rPr>
        <w:t>×招标文件规定的价格扣除比率的优惠幅度。</w:t>
      </w:r>
    </w:p>
    <w:p>
      <w:pPr>
        <w:spacing w:line="440" w:lineRule="exact"/>
        <w:ind w:firstLine="420"/>
        <w:rPr>
          <w:rFonts w:ascii="宋体" w:hAnsi="宋体"/>
          <w:b/>
          <w:bCs/>
          <w:color w:val="auto"/>
          <w:sz w:val="24"/>
          <w:szCs w:val="24"/>
          <w:highlight w:val="none"/>
        </w:rPr>
      </w:pPr>
      <w:r>
        <w:rPr>
          <w:rFonts w:ascii="宋体" w:hAnsi="宋体"/>
          <w:b/>
          <w:bCs/>
          <w:color w:val="auto"/>
          <w:sz w:val="24"/>
          <w:szCs w:val="24"/>
          <w:highlight w:val="none"/>
        </w:rPr>
        <w:t>3</w:t>
      </w:r>
      <w:r>
        <w:rPr>
          <w:rFonts w:hint="eastAsia" w:ascii="宋体" w:hAnsi="宋体"/>
          <w:b/>
          <w:bCs/>
          <w:color w:val="auto"/>
          <w:sz w:val="24"/>
          <w:szCs w:val="24"/>
          <w:highlight w:val="none"/>
        </w:rPr>
        <w:t>、若所供应的产品不具备此类评审优惠条件，本“中小价格扣除明细表”</w:t>
      </w:r>
      <w:r>
        <w:rPr>
          <w:rFonts w:ascii="宋体" w:hAnsi="宋体"/>
          <w:b/>
          <w:bCs/>
          <w:color w:val="auto"/>
          <w:sz w:val="24"/>
          <w:szCs w:val="24"/>
          <w:highlight w:val="none"/>
        </w:rPr>
        <w:t xml:space="preserve"> </w:t>
      </w:r>
      <w:r>
        <w:rPr>
          <w:rFonts w:hint="eastAsia" w:ascii="宋体" w:hAnsi="宋体"/>
          <w:b/>
          <w:bCs/>
          <w:color w:val="auto"/>
          <w:sz w:val="24"/>
          <w:szCs w:val="24"/>
          <w:highlight w:val="none"/>
        </w:rPr>
        <w:t>不必填写。</w:t>
      </w:r>
    </w:p>
    <w:p>
      <w:pPr>
        <w:spacing w:line="440" w:lineRule="exact"/>
        <w:ind w:firstLine="600"/>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（盖章）：</w:t>
      </w:r>
    </w:p>
    <w:p>
      <w:pPr>
        <w:adjustRightInd w:val="0"/>
        <w:snapToGrid w:val="0"/>
        <w:spacing w:line="360" w:lineRule="auto"/>
        <w:jc w:val="right"/>
        <w:rPr>
          <w:rFonts w:ascii="宋体" w:hAnsi="宋体"/>
          <w:color w:val="auto"/>
          <w:sz w:val="24"/>
          <w:szCs w:val="24"/>
          <w:highlight w:val="none"/>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cs="宋体"/>
          <w:color w:val="auto"/>
          <w:sz w:val="24"/>
          <w:highlight w:val="none"/>
        </w:rPr>
        <w:t>（签字或盖章）</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p>
    <w:p>
      <w:pPr>
        <w:adjustRightInd w:val="0"/>
        <w:snapToGrid w:val="0"/>
        <w:jc w:val="right"/>
        <w:rPr>
          <w:rFonts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pacing w:line="360" w:lineRule="auto"/>
        <w:jc w:val="left"/>
        <w:outlineLvl w:val="0"/>
        <w:rPr>
          <w:rFonts w:hint="eastAsia" w:ascii="宋体" w:hAnsi="宋体" w:eastAsia="宋体" w:cs="宋体"/>
          <w:b/>
          <w:bCs/>
          <w:color w:val="auto"/>
          <w:sz w:val="24"/>
          <w:highlight w:val="none"/>
          <w:lang w:val="en-US" w:eastAsia="zh-CN"/>
        </w:rPr>
      </w:pPr>
      <w:bookmarkStart w:id="186" w:name="_Toc31974"/>
      <w:bookmarkStart w:id="187" w:name="_Toc15606"/>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1</w:t>
      </w:r>
      <w:bookmarkEnd w:id="186"/>
      <w:bookmarkEnd w:id="187"/>
      <w:r>
        <w:rPr>
          <w:rFonts w:hint="eastAsia" w:ascii="宋体" w:hAnsi="宋体" w:eastAsia="宋体" w:cs="宋体"/>
          <w:b/>
          <w:bCs/>
          <w:color w:val="auto"/>
          <w:sz w:val="24"/>
          <w:highlight w:val="none"/>
          <w:lang w:val="en-US" w:eastAsia="zh-CN"/>
        </w:rPr>
        <w:t>5</w:t>
      </w:r>
    </w:p>
    <w:p>
      <w:pPr>
        <w:pStyle w:val="7"/>
        <w:jc w:val="center"/>
        <w:rPr>
          <w:rFonts w:hint="eastAsia" w:ascii="宋体" w:hAnsi="宋体" w:eastAsia="宋体" w:cs="宋体"/>
          <w:bCs w:val="0"/>
          <w:color w:val="auto"/>
          <w:sz w:val="24"/>
          <w:szCs w:val="24"/>
          <w:highlight w:val="none"/>
        </w:rPr>
      </w:pPr>
      <w:bookmarkStart w:id="188" w:name="_Toc13047"/>
      <w:r>
        <w:rPr>
          <w:rFonts w:hint="eastAsia" w:ascii="宋体" w:hAnsi="宋体" w:eastAsia="宋体" w:cs="宋体"/>
          <w:bCs w:val="0"/>
          <w:color w:val="auto"/>
          <w:sz w:val="24"/>
          <w:szCs w:val="24"/>
          <w:highlight w:val="none"/>
        </w:rPr>
        <w:t>中小微企业声明函（符合本声明函填写）</w:t>
      </w:r>
      <w:bookmarkEnd w:id="188"/>
    </w:p>
    <w:p>
      <w:pPr>
        <w:widowControl/>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w:t>
      </w:r>
      <w:r>
        <w:rPr>
          <w:rFonts w:hint="eastAsia" w:ascii="宋体" w:hAnsi="宋体" w:eastAsia="宋体" w:cs="宋体"/>
          <w:color w:val="auto"/>
          <w:kern w:val="0"/>
          <w:sz w:val="24"/>
          <w:szCs w:val="24"/>
          <w:highlight w:val="none"/>
          <w:lang w:val="en-US" w:eastAsia="zh-CN"/>
        </w:rPr>
        <w:t>货物</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 xml:space="preserve"> 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 xml:space="preserve"> ， 属于</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其他未列明</w:t>
      </w:r>
      <w:r>
        <w:rPr>
          <w:rFonts w:hint="eastAsia" w:ascii="宋体" w:hAnsi="宋体" w:eastAsia="宋体" w:cs="宋体"/>
          <w:color w:val="auto"/>
          <w:kern w:val="0"/>
          <w:sz w:val="24"/>
          <w:szCs w:val="24"/>
          <w:highlight w:val="none"/>
          <w:u w:val="single"/>
        </w:rPr>
        <w:t>行业）行业</w:t>
      </w:r>
      <w:r>
        <w:rPr>
          <w:rFonts w:hint="eastAsia" w:ascii="宋体" w:hAnsi="宋体" w:eastAsia="宋体" w:cs="宋体"/>
          <w:color w:val="auto"/>
          <w:kern w:val="0"/>
          <w:sz w:val="24"/>
          <w:szCs w:val="24"/>
          <w:highlight w:val="none"/>
        </w:rPr>
        <w:t>； 制造商为</w:t>
      </w:r>
      <w:r>
        <w:rPr>
          <w:rFonts w:hint="eastAsia" w:ascii="宋体" w:hAnsi="宋体" w:eastAsia="宋体" w:cs="宋体"/>
          <w:color w:val="auto"/>
          <w:kern w:val="0"/>
          <w:sz w:val="24"/>
          <w:szCs w:val="24"/>
          <w:highlight w:val="none"/>
          <w:u w:val="single"/>
        </w:rPr>
        <w:t>（ 企业名称）</w:t>
      </w:r>
      <w:r>
        <w:rPr>
          <w:rFonts w:hint="eastAsia" w:ascii="宋体" w:hAnsi="宋体" w:eastAsia="宋体" w:cs="宋体"/>
          <w:color w:val="auto"/>
          <w:kern w:val="0"/>
          <w:sz w:val="24"/>
          <w:szCs w:val="24"/>
          <w:highlight w:val="none"/>
        </w:rPr>
        <w:t>， 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 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 属于（</w:t>
      </w:r>
      <w:r>
        <w:rPr>
          <w:rFonts w:hint="eastAsia" w:ascii="宋体" w:hAnsi="宋体" w:eastAsia="宋体" w:cs="宋体"/>
          <w:color w:val="auto"/>
          <w:kern w:val="0"/>
          <w:sz w:val="24"/>
          <w:szCs w:val="24"/>
          <w:highlight w:val="none"/>
          <w:u w:val="single"/>
        </w:rPr>
        <w:t>中型企业、 小型企业、 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 xml:space="preserve"> ， 属于</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其他未列明</w:t>
      </w:r>
      <w:r>
        <w:rPr>
          <w:rFonts w:hint="eastAsia" w:ascii="宋体" w:hAnsi="宋体" w:eastAsia="宋体" w:cs="宋体"/>
          <w:color w:val="auto"/>
          <w:kern w:val="0"/>
          <w:sz w:val="24"/>
          <w:szCs w:val="24"/>
          <w:highlight w:val="none"/>
          <w:u w:val="single"/>
        </w:rPr>
        <w:t>行业）</w:t>
      </w:r>
      <w:r>
        <w:rPr>
          <w:rFonts w:hint="eastAsia" w:ascii="宋体" w:hAnsi="宋体" w:eastAsia="宋体" w:cs="宋体"/>
          <w:color w:val="auto"/>
          <w:kern w:val="0"/>
          <w:sz w:val="24"/>
          <w:szCs w:val="24"/>
          <w:highlight w:val="none"/>
        </w:rPr>
        <w:t>行业； 制造商为</w:t>
      </w:r>
      <w:r>
        <w:rPr>
          <w:rFonts w:hint="eastAsia" w:ascii="宋体" w:hAnsi="宋体" w:eastAsia="宋体" w:cs="宋体"/>
          <w:color w:val="auto"/>
          <w:kern w:val="0"/>
          <w:sz w:val="24"/>
          <w:szCs w:val="24"/>
          <w:highlight w:val="none"/>
          <w:u w:val="single"/>
        </w:rPr>
        <w:t>（ 企业名称）</w:t>
      </w:r>
      <w:r>
        <w:rPr>
          <w:rFonts w:hint="eastAsia" w:ascii="宋体" w:hAnsi="宋体" w:eastAsia="宋体" w:cs="宋体"/>
          <w:color w:val="auto"/>
          <w:kern w:val="0"/>
          <w:sz w:val="24"/>
          <w:szCs w:val="24"/>
          <w:highlight w:val="none"/>
        </w:rPr>
        <w:t>， 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 营业收为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属于</w:t>
      </w:r>
      <w:r>
        <w:rPr>
          <w:rFonts w:hint="eastAsia" w:ascii="宋体" w:hAnsi="宋体" w:eastAsia="宋体" w:cs="宋体"/>
          <w:color w:val="auto"/>
          <w:kern w:val="0"/>
          <w:sz w:val="24"/>
          <w:szCs w:val="24"/>
          <w:highlight w:val="none"/>
          <w:u w:val="single"/>
        </w:rPr>
        <w:t>（中型企业、 小型企业、 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hint="eastAsia" w:ascii="宋体" w:hAnsi="宋体" w:eastAsia="宋体" w:cs="宋体"/>
          <w:color w:val="auto"/>
          <w:kern w:val="0"/>
          <w:sz w:val="24"/>
          <w:szCs w:val="24"/>
          <w:highlight w:val="none"/>
        </w:rPr>
      </w:pPr>
    </w:p>
    <w:p>
      <w:pPr>
        <w:widowControl/>
        <w:wordWrap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 xml:space="preserve">（盖章）：        </w:t>
      </w:r>
    </w:p>
    <w:p>
      <w:pPr>
        <w:widowControl/>
        <w:wordWrap w:val="0"/>
        <w:spacing w:line="360" w:lineRule="auto"/>
        <w:ind w:right="480"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日 期：         </w:t>
      </w:r>
    </w:p>
    <w:p>
      <w:pPr>
        <w:widowControl/>
        <w:spacing w:line="360" w:lineRule="auto"/>
        <w:ind w:right="480" w:firstLine="480" w:firstLineChars="200"/>
        <w:jc w:val="right"/>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 营业收入、 资产总额填报上一年度数据， 无上一年度数据的新成立企业可不填报。</w:t>
      </w:r>
    </w:p>
    <w:p>
      <w:pPr>
        <w:pStyle w:val="1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（若响应文件中无上述文件，则在评审时不考虑对该小、微企业的相关优惠。）</w:t>
      </w: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widowControl/>
        <w:spacing w:line="360" w:lineRule="auto"/>
        <w:jc w:val="left"/>
        <w:outlineLvl w:val="0"/>
        <w:rPr>
          <w:rFonts w:hint="eastAsia" w:ascii="宋体" w:hAnsi="宋体" w:eastAsia="宋体" w:cs="宋体"/>
          <w:b/>
          <w:bCs/>
          <w:color w:val="auto"/>
          <w:sz w:val="24"/>
          <w:highlight w:val="none"/>
          <w:lang w:eastAsia="zh-CN"/>
        </w:rPr>
      </w:pPr>
      <w:bookmarkStart w:id="189" w:name="_Toc18665"/>
      <w:bookmarkStart w:id="190" w:name="_Toc24530"/>
      <w:r>
        <w:rPr>
          <w:rFonts w:hint="eastAsia" w:ascii="宋体" w:hAnsi="宋体" w:eastAsia="宋体" w:cs="宋体"/>
          <w:b/>
          <w:bCs/>
          <w:color w:val="auto"/>
          <w:sz w:val="24"/>
          <w:highlight w:val="none"/>
        </w:rPr>
        <w:t>附件1</w:t>
      </w:r>
      <w:bookmarkEnd w:id="189"/>
      <w:bookmarkEnd w:id="190"/>
      <w:r>
        <w:rPr>
          <w:rFonts w:hint="eastAsia" w:ascii="宋体" w:hAnsi="宋体" w:eastAsia="宋体" w:cs="宋体"/>
          <w:b/>
          <w:bCs/>
          <w:color w:val="auto"/>
          <w:sz w:val="24"/>
          <w:highlight w:val="none"/>
          <w:lang w:val="en-US" w:eastAsia="zh-CN"/>
        </w:rPr>
        <w:t>6</w:t>
      </w:r>
    </w:p>
    <w:p>
      <w:pPr>
        <w:pStyle w:val="7"/>
        <w:jc w:val="center"/>
        <w:rPr>
          <w:rFonts w:hint="eastAsia" w:ascii="宋体" w:hAnsi="宋体" w:eastAsia="宋体" w:cs="宋体"/>
          <w:bCs w:val="0"/>
          <w:color w:val="auto"/>
          <w:sz w:val="24"/>
          <w:szCs w:val="24"/>
          <w:highlight w:val="none"/>
        </w:rPr>
      </w:pPr>
      <w:bookmarkStart w:id="191" w:name="_Toc15242"/>
      <w:r>
        <w:rPr>
          <w:rFonts w:hint="eastAsia" w:ascii="宋体" w:hAnsi="宋体" w:eastAsia="宋体" w:cs="宋体"/>
          <w:bCs w:val="0"/>
          <w:color w:val="auto"/>
          <w:sz w:val="24"/>
          <w:szCs w:val="24"/>
          <w:highlight w:val="none"/>
        </w:rPr>
        <w:t>监狱企业声明函（符合本声明函填写）</w:t>
      </w:r>
      <w:bookmarkEnd w:id="191"/>
    </w:p>
    <w:p>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（监狱企业适用）</w:t>
      </w:r>
    </w:p>
    <w:p>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本公司郑重声明，根据《关于政府采购支持监狱企业发展有关问题的通知》（财库</w:t>
      </w:r>
      <w:r>
        <w:rPr>
          <w:rFonts w:ascii="宋体" w:hAnsi="宋体"/>
          <w:color w:val="auto"/>
          <w:kern w:val="0"/>
          <w:sz w:val="24"/>
          <w:highlight w:val="none"/>
        </w:rPr>
        <w:t>[2014]68</w:t>
      </w:r>
      <w:r>
        <w:rPr>
          <w:rFonts w:hint="eastAsia" w:ascii="宋体" w:hAnsi="宋体"/>
          <w:color w:val="auto"/>
          <w:kern w:val="0"/>
          <w:sz w:val="24"/>
          <w:highlight w:val="none"/>
        </w:rPr>
        <w:t>号）的规定，本公司为监狱企业。</w:t>
      </w:r>
    </w:p>
    <w:p>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本公司参加</w:t>
      </w:r>
      <w:r>
        <w:rPr>
          <w:rFonts w:ascii="宋体" w:hAnsi="宋体"/>
          <w:color w:val="auto"/>
          <w:kern w:val="0"/>
          <w:sz w:val="24"/>
          <w:highlight w:val="none"/>
        </w:rPr>
        <w:t>______</w:t>
      </w:r>
      <w:r>
        <w:rPr>
          <w:rFonts w:hint="eastAsia" w:ascii="宋体" w:hAnsi="宋体"/>
          <w:color w:val="auto"/>
          <w:kern w:val="0"/>
          <w:sz w:val="24"/>
          <w:highlight w:val="none"/>
        </w:rPr>
        <w:t>单位的</w:t>
      </w:r>
      <w:r>
        <w:rPr>
          <w:rFonts w:ascii="宋体" w:hAnsi="宋体"/>
          <w:color w:val="auto"/>
          <w:kern w:val="0"/>
          <w:sz w:val="24"/>
          <w:highlight w:val="none"/>
        </w:rPr>
        <w:t>______</w:t>
      </w:r>
      <w:r>
        <w:rPr>
          <w:rFonts w:hint="eastAsia" w:ascii="宋体" w:hAnsi="宋体"/>
          <w:color w:val="auto"/>
          <w:kern w:val="0"/>
          <w:sz w:val="24"/>
          <w:highlight w:val="none"/>
        </w:rPr>
        <w:t>项目采购活动，采购活动提供本企业（填写制造的货物，由本企业承担工程、提供服务）。</w:t>
      </w:r>
    </w:p>
    <w:p>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本条所称货物不包括使用大型企业注册商标的货物和服务。</w:t>
      </w:r>
    </w:p>
    <w:p>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本公司对上述声明的真实性负责。如有虚假，将依法承担相应责任。</w:t>
      </w:r>
    </w:p>
    <w:p>
      <w:pPr>
        <w:spacing w:line="360" w:lineRule="auto"/>
        <w:ind w:firstLine="4860" w:firstLineChars="2025"/>
        <w:rPr>
          <w:rFonts w:ascii="宋体" w:hAnsi="宋体"/>
          <w:color w:val="auto"/>
          <w:kern w:val="0"/>
          <w:sz w:val="24"/>
          <w:highlight w:val="none"/>
        </w:rPr>
      </w:pPr>
    </w:p>
    <w:p>
      <w:pPr>
        <w:spacing w:line="360" w:lineRule="auto"/>
        <w:ind w:firstLine="4320" w:firstLineChars="1800"/>
        <w:rPr>
          <w:rFonts w:ascii="宋体" w:hAnsi="宋体"/>
          <w:color w:val="auto"/>
          <w:kern w:val="0"/>
          <w:sz w:val="24"/>
          <w:highlight w:val="none"/>
        </w:rPr>
      </w:pP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盖</w:t>
      </w:r>
      <w:r>
        <w:rPr>
          <w:rFonts w:hint="eastAsia" w:ascii="宋体" w:hAnsi="宋体"/>
          <w:color w:val="auto"/>
          <w:kern w:val="0"/>
          <w:sz w:val="24"/>
          <w:highlight w:val="none"/>
        </w:rPr>
        <w:t>章）：</w:t>
      </w:r>
    </w:p>
    <w:p>
      <w:pPr>
        <w:spacing w:line="360" w:lineRule="auto"/>
        <w:ind w:firstLine="4320" w:firstLineChars="1800"/>
        <w:rPr>
          <w:rFonts w:ascii="宋体" w:hAnsi="宋体"/>
          <w:color w:val="auto"/>
          <w:kern w:val="0"/>
          <w:sz w:val="24"/>
          <w:highlight w:val="none"/>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cs="宋体"/>
          <w:color w:val="auto"/>
          <w:sz w:val="24"/>
          <w:highlight w:val="none"/>
        </w:rPr>
        <w:t>（签字或盖章）</w:t>
      </w:r>
      <w:r>
        <w:rPr>
          <w:rFonts w:hint="eastAsia" w:ascii="宋体" w:hAnsi="宋体"/>
          <w:color w:val="auto"/>
          <w:kern w:val="0"/>
          <w:sz w:val="24"/>
          <w:highlight w:val="none"/>
        </w:rPr>
        <w:t>：</w:t>
      </w:r>
    </w:p>
    <w:p>
      <w:pPr>
        <w:tabs>
          <w:tab w:val="left" w:pos="2880"/>
        </w:tabs>
        <w:spacing w:line="460" w:lineRule="atLeast"/>
        <w:ind w:firstLine="4320" w:firstLineChars="1800"/>
        <w:rPr>
          <w:rFonts w:ascii="宋体" w:hAnsi="宋体"/>
          <w:color w:val="auto"/>
          <w:sz w:val="24"/>
          <w:szCs w:val="24"/>
          <w:highlight w:val="none"/>
        </w:rPr>
      </w:pPr>
      <w:r>
        <w:rPr>
          <w:rFonts w:hint="eastAsia" w:ascii="宋体" w:hAnsi="宋体"/>
          <w:color w:val="auto"/>
          <w:kern w:val="0"/>
          <w:sz w:val="24"/>
          <w:highlight w:val="none"/>
        </w:rPr>
        <w:t>日期：</w:t>
      </w:r>
    </w:p>
    <w:p>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注：后附监狱企业资格证明文件</w:t>
      </w:r>
    </w:p>
    <w:p>
      <w:pPr>
        <w:spacing w:line="440" w:lineRule="exac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highlight w:val="none"/>
        </w:rPr>
        <w:t xml:space="preserve"> </w:t>
      </w:r>
      <w:r>
        <w:rPr>
          <w:rFonts w:hint="eastAsia" w:ascii="宋体" w:hAnsi="宋体"/>
          <w:color w:val="auto"/>
          <w:sz w:val="24"/>
          <w:highlight w:val="none"/>
        </w:rPr>
        <w:t>省级以上监狱管理局、戒毒管理局（含新疆生产建设兵团）出具的属于监狱企业的证明文件；</w:t>
      </w:r>
    </w:p>
    <w:p>
      <w:pPr>
        <w:tabs>
          <w:tab w:val="left" w:pos="2880"/>
        </w:tabs>
        <w:spacing w:line="460" w:lineRule="atLeast"/>
        <w:jc w:val="left"/>
        <w:rPr>
          <w:rFonts w:hint="eastAsia" w:ascii="宋体" w:hAnsi="宋体" w:cs="宋体"/>
          <w:b/>
          <w:color w:val="auto"/>
          <w:kern w:val="0"/>
          <w:sz w:val="24"/>
          <w:highlight w:val="none"/>
        </w:rPr>
      </w:pPr>
      <w:r>
        <w:rPr>
          <w:rFonts w:hint="eastAsia" w:ascii="宋体" w:hAnsi="宋体"/>
          <w:color w:val="auto"/>
          <w:sz w:val="24"/>
          <w:highlight w:val="none"/>
        </w:rPr>
        <w:t>2.证明材料加盖供应商公章。</w:t>
      </w:r>
    </w:p>
    <w:p>
      <w:pPr>
        <w:rPr>
          <w:rFonts w:hint="eastAsia" w:ascii="宋体" w:hAnsi="宋体" w:eastAsia="宋体" w:cs="宋体"/>
          <w:b/>
          <w:bCs/>
          <w:color w:val="auto"/>
          <w:sz w:val="24"/>
          <w:highlight w:val="none"/>
        </w:rPr>
      </w:pPr>
      <w:r>
        <w:rPr>
          <w:rFonts w:hint="eastAsia" w:ascii="宋体" w:hAnsi="宋体"/>
          <w:b/>
          <w:bCs/>
          <w:color w:val="auto"/>
          <w:kern w:val="0"/>
          <w:sz w:val="24"/>
          <w:highlight w:val="none"/>
        </w:rPr>
        <w:t>（若响应性文件中无上述证明文件，则在评审时不考虑对该监狱企业的相关优惠。）</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pacing w:line="360" w:lineRule="auto"/>
        <w:jc w:val="left"/>
        <w:outlineLvl w:val="0"/>
        <w:rPr>
          <w:rFonts w:hint="default" w:ascii="宋体" w:hAnsi="宋体" w:eastAsia="宋体" w:cs="宋体"/>
          <w:b/>
          <w:bCs/>
          <w:color w:val="auto"/>
          <w:sz w:val="24"/>
          <w:highlight w:val="none"/>
          <w:lang w:val="en-US" w:eastAsia="zh-CN"/>
        </w:rPr>
      </w:pPr>
      <w:bookmarkStart w:id="192" w:name="_Toc21303"/>
      <w:bookmarkStart w:id="193" w:name="_Toc3738"/>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1</w:t>
      </w:r>
      <w:bookmarkEnd w:id="192"/>
      <w:bookmarkEnd w:id="193"/>
      <w:r>
        <w:rPr>
          <w:rFonts w:hint="eastAsia" w:ascii="宋体" w:hAnsi="宋体" w:eastAsia="宋体" w:cs="宋体"/>
          <w:b/>
          <w:bCs/>
          <w:color w:val="auto"/>
          <w:sz w:val="24"/>
          <w:highlight w:val="none"/>
          <w:lang w:val="en-US" w:eastAsia="zh-CN"/>
        </w:rPr>
        <w:t>7</w:t>
      </w:r>
    </w:p>
    <w:p>
      <w:pPr>
        <w:pStyle w:val="7"/>
        <w:jc w:val="center"/>
        <w:rPr>
          <w:rFonts w:hint="eastAsia" w:ascii="宋体" w:hAnsi="宋体" w:eastAsia="宋体" w:cs="宋体"/>
          <w:bCs w:val="0"/>
          <w:color w:val="auto"/>
          <w:sz w:val="24"/>
          <w:szCs w:val="24"/>
          <w:highlight w:val="none"/>
        </w:rPr>
      </w:pPr>
      <w:bookmarkStart w:id="194" w:name="_Toc22175"/>
      <w:r>
        <w:rPr>
          <w:rFonts w:hint="eastAsia" w:ascii="宋体" w:hAnsi="宋体" w:eastAsia="宋体" w:cs="宋体"/>
          <w:bCs w:val="0"/>
          <w:color w:val="auto"/>
          <w:sz w:val="24"/>
          <w:szCs w:val="24"/>
          <w:highlight w:val="none"/>
        </w:rPr>
        <w:t>残疾人福利性单位声明函（符合本声明函填写）</w:t>
      </w:r>
      <w:bookmarkEnd w:id="194"/>
    </w:p>
    <w:p>
      <w:pPr>
        <w:widowControl/>
        <w:adjustRightInd w:val="0"/>
        <w:snapToGrid w:val="0"/>
        <w:spacing w:line="440" w:lineRule="exact"/>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本单位郑重声明，根据《财政部</w:t>
      </w:r>
      <w:r>
        <w:rPr>
          <w:rFonts w:ascii="宋体" w:hAnsi="宋体" w:cs="宋体"/>
          <w:color w:val="auto"/>
          <w:spacing w:val="6"/>
          <w:kern w:val="0"/>
          <w:sz w:val="24"/>
          <w:szCs w:val="24"/>
          <w:highlight w:val="none"/>
        </w:rPr>
        <w:t xml:space="preserve"> </w:t>
      </w:r>
      <w:r>
        <w:rPr>
          <w:rFonts w:hint="eastAsia" w:ascii="宋体" w:hAnsi="宋体" w:cs="宋体"/>
          <w:color w:val="auto"/>
          <w:spacing w:val="6"/>
          <w:kern w:val="0"/>
          <w:sz w:val="24"/>
          <w:szCs w:val="24"/>
          <w:highlight w:val="none"/>
        </w:rPr>
        <w:t>民政部</w:t>
      </w:r>
      <w:r>
        <w:rPr>
          <w:rFonts w:ascii="宋体" w:hAnsi="宋体" w:cs="宋体"/>
          <w:color w:val="auto"/>
          <w:spacing w:val="6"/>
          <w:kern w:val="0"/>
          <w:sz w:val="24"/>
          <w:szCs w:val="24"/>
          <w:highlight w:val="none"/>
        </w:rPr>
        <w:t xml:space="preserve"> </w:t>
      </w:r>
      <w:r>
        <w:rPr>
          <w:rFonts w:hint="eastAsia" w:ascii="宋体" w:hAnsi="宋体" w:cs="宋体"/>
          <w:color w:val="auto"/>
          <w:spacing w:val="6"/>
          <w:kern w:val="0"/>
          <w:sz w:val="24"/>
          <w:szCs w:val="24"/>
          <w:highlight w:val="none"/>
        </w:rPr>
        <w:t>中国残疾人联合会关于促进残疾人就业政府采购政策的通知》（财库〔</w:t>
      </w:r>
      <w:r>
        <w:rPr>
          <w:rFonts w:ascii="宋体" w:hAnsi="宋体" w:cs="宋体"/>
          <w:color w:val="auto"/>
          <w:spacing w:val="6"/>
          <w:kern w:val="0"/>
          <w:sz w:val="24"/>
          <w:szCs w:val="24"/>
          <w:highlight w:val="none"/>
        </w:rPr>
        <w:t>2017</w:t>
      </w:r>
      <w:r>
        <w:rPr>
          <w:rFonts w:hint="eastAsia" w:ascii="宋体" w:hAnsi="宋体" w:cs="宋体"/>
          <w:color w:val="auto"/>
          <w:spacing w:val="6"/>
          <w:kern w:val="0"/>
          <w:sz w:val="24"/>
          <w:szCs w:val="24"/>
          <w:highlight w:val="none"/>
        </w:rPr>
        <w:t>〕</w:t>
      </w:r>
      <w:r>
        <w:rPr>
          <w:rFonts w:ascii="宋体" w:hAnsi="宋体" w:cs="宋体"/>
          <w:color w:val="auto"/>
          <w:spacing w:val="6"/>
          <w:kern w:val="0"/>
          <w:sz w:val="24"/>
          <w:szCs w:val="24"/>
          <w:highlight w:val="none"/>
        </w:rPr>
        <w:t xml:space="preserve"> 141</w:t>
      </w:r>
      <w:r>
        <w:rPr>
          <w:rFonts w:hint="eastAsia" w:ascii="宋体" w:hAnsi="宋体" w:cs="宋体"/>
          <w:color w:val="auto"/>
          <w:spacing w:val="6"/>
          <w:kern w:val="0"/>
          <w:sz w:val="24"/>
          <w:szCs w:val="24"/>
          <w:highlight w:val="none"/>
        </w:rPr>
        <w:t>号）的规定，本单位为符合条件的残疾人福利性单位，且本单位参加</w:t>
      </w:r>
      <w:r>
        <w:rPr>
          <w:rFonts w:ascii="宋体" w:hAnsi="宋体" w:cs="宋体"/>
          <w:color w:val="auto"/>
          <w:spacing w:val="6"/>
          <w:kern w:val="0"/>
          <w:sz w:val="24"/>
          <w:szCs w:val="24"/>
          <w:highlight w:val="none"/>
        </w:rPr>
        <w:t>______</w:t>
      </w:r>
      <w:r>
        <w:rPr>
          <w:rFonts w:hint="eastAsia" w:ascii="宋体" w:hAnsi="宋体" w:cs="宋体"/>
          <w:color w:val="auto"/>
          <w:spacing w:val="6"/>
          <w:kern w:val="0"/>
          <w:sz w:val="24"/>
          <w:szCs w:val="24"/>
          <w:highlight w:val="none"/>
        </w:rPr>
        <w:t>单位的</w:t>
      </w:r>
      <w:r>
        <w:rPr>
          <w:rFonts w:ascii="宋体" w:hAnsi="宋体" w:cs="宋体"/>
          <w:color w:val="auto"/>
          <w:spacing w:val="6"/>
          <w:kern w:val="0"/>
          <w:sz w:val="24"/>
          <w:szCs w:val="24"/>
          <w:highlight w:val="none"/>
        </w:rPr>
        <w:t>______</w:t>
      </w:r>
      <w:r>
        <w:rPr>
          <w:rFonts w:hint="eastAsia" w:ascii="宋体" w:hAnsi="宋体" w:cs="宋体"/>
          <w:color w:val="auto"/>
          <w:spacing w:val="6"/>
          <w:kern w:val="0"/>
          <w:sz w:val="24"/>
          <w:szCs w:val="24"/>
          <w:highlight w:val="none"/>
        </w:rPr>
        <w:t>项目采购活动提供本单位制造的货物（由本单位承担工程</w:t>
      </w:r>
      <w:r>
        <w:rPr>
          <w:rFonts w:ascii="宋体" w:hAnsi="宋体" w:cs="宋体"/>
          <w:color w:val="auto"/>
          <w:spacing w:val="6"/>
          <w:kern w:val="0"/>
          <w:sz w:val="24"/>
          <w:szCs w:val="24"/>
          <w:highlight w:val="none"/>
        </w:rPr>
        <w:t>/</w:t>
      </w:r>
      <w:r>
        <w:rPr>
          <w:rFonts w:hint="eastAsia" w:ascii="宋体" w:hAnsi="宋体" w:cs="宋体"/>
          <w:color w:val="auto"/>
          <w:spacing w:val="6"/>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本单位对上述声明的真实性负责。如有虚假，将依法承担相应责任。</w:t>
      </w:r>
      <w:r>
        <w:rPr>
          <w:rFonts w:ascii="宋体" w:hAnsi="宋体" w:cs="宋体"/>
          <w:color w:val="auto"/>
          <w:spacing w:val="6"/>
          <w:kern w:val="0"/>
          <w:sz w:val="24"/>
          <w:szCs w:val="24"/>
          <w:highlight w:val="none"/>
        </w:rPr>
        <w:t xml:space="preserve"> </w:t>
      </w:r>
    </w:p>
    <w:p>
      <w:pPr>
        <w:widowControl/>
        <w:adjustRightInd w:val="0"/>
        <w:snapToGrid w:val="0"/>
        <w:spacing w:line="440" w:lineRule="exact"/>
        <w:ind w:firstLine="504" w:firstLineChars="200"/>
        <w:jc w:val="left"/>
        <w:rPr>
          <w:rFonts w:ascii="宋体" w:hAnsi="宋体" w:cs="宋体"/>
          <w:color w:val="auto"/>
          <w:spacing w:val="6"/>
          <w:kern w:val="0"/>
          <w:sz w:val="24"/>
          <w:szCs w:val="24"/>
          <w:highlight w:val="none"/>
        </w:rPr>
      </w:pPr>
    </w:p>
    <w:p>
      <w:pPr>
        <w:widowControl/>
        <w:adjustRightInd w:val="0"/>
        <w:snapToGrid w:val="0"/>
        <w:spacing w:line="440" w:lineRule="exact"/>
        <w:ind w:firstLine="5544" w:firstLineChars="2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单位名称（盖章）：</w:t>
      </w:r>
    </w:p>
    <w:p>
      <w:pPr>
        <w:widowControl/>
        <w:adjustRightInd w:val="0"/>
        <w:snapToGrid w:val="0"/>
        <w:spacing w:line="440" w:lineRule="exact"/>
        <w:ind w:firstLine="504" w:firstLineChars="200"/>
        <w:jc w:val="left"/>
        <w:rPr>
          <w:rFonts w:ascii="宋体" w:hAnsi="宋体" w:cs="宋体"/>
          <w:color w:val="auto"/>
          <w:spacing w:val="6"/>
          <w:kern w:val="0"/>
          <w:sz w:val="24"/>
          <w:szCs w:val="24"/>
          <w:highlight w:val="none"/>
        </w:rPr>
      </w:pPr>
      <w:r>
        <w:rPr>
          <w:rFonts w:ascii="宋体" w:hAnsi="宋体" w:cs="宋体"/>
          <w:color w:val="auto"/>
          <w:spacing w:val="6"/>
          <w:kern w:val="0"/>
          <w:sz w:val="24"/>
          <w:szCs w:val="24"/>
          <w:highlight w:val="none"/>
        </w:rPr>
        <w:t xml:space="preserve">                                      </w:t>
      </w:r>
      <w:r>
        <w:rPr>
          <w:rFonts w:hint="eastAsia" w:ascii="宋体" w:hAnsi="宋体" w:cs="宋体"/>
          <w:color w:val="auto"/>
          <w:spacing w:val="6"/>
          <w:kern w:val="0"/>
          <w:sz w:val="24"/>
          <w:szCs w:val="24"/>
          <w:highlight w:val="none"/>
        </w:rPr>
        <w:t>日</w:t>
      </w:r>
      <w:r>
        <w:rPr>
          <w:rFonts w:ascii="宋体" w:hAnsi="宋体" w:cs="宋体"/>
          <w:color w:val="auto"/>
          <w:spacing w:val="6"/>
          <w:kern w:val="0"/>
          <w:sz w:val="24"/>
          <w:szCs w:val="24"/>
          <w:highlight w:val="none"/>
        </w:rPr>
        <w:t xml:space="preserve">  </w:t>
      </w:r>
      <w:r>
        <w:rPr>
          <w:rFonts w:hint="eastAsia" w:ascii="宋体" w:hAnsi="宋体" w:cs="宋体"/>
          <w:color w:val="auto"/>
          <w:spacing w:val="6"/>
          <w:kern w:val="0"/>
          <w:sz w:val="24"/>
          <w:szCs w:val="24"/>
          <w:highlight w:val="none"/>
        </w:rPr>
        <w:t>期：</w:t>
      </w:r>
    </w:p>
    <w:p>
      <w:pPr>
        <w:widowControl/>
        <w:jc w:val="left"/>
        <w:outlineLvl w:val="0"/>
        <w:rPr>
          <w:rFonts w:hint="default" w:ascii="宋体" w:hAnsi="宋体" w:eastAsia="宋体"/>
          <w:b/>
          <w:bCs/>
          <w:color w:val="auto"/>
          <w:sz w:val="24"/>
          <w:szCs w:val="24"/>
          <w:highlight w:val="none"/>
          <w:lang w:val="en-US" w:eastAsia="zh-CN"/>
        </w:rPr>
      </w:pPr>
      <w:r>
        <w:rPr>
          <w:rFonts w:hint="eastAsia" w:ascii="宋体" w:hAnsi="宋体" w:cs="宋体"/>
          <w:bCs/>
          <w:color w:val="auto"/>
          <w:sz w:val="24"/>
          <w:highlight w:val="none"/>
        </w:rPr>
        <w:br w:type="page"/>
      </w:r>
      <w:bookmarkStart w:id="195" w:name="_Toc1114"/>
      <w:bookmarkStart w:id="196" w:name="_Toc19534"/>
      <w:r>
        <w:rPr>
          <w:rFonts w:hint="eastAsia" w:ascii="宋体" w:hAnsi="宋体"/>
          <w:b/>
          <w:bCs/>
          <w:color w:val="auto"/>
          <w:sz w:val="24"/>
          <w:szCs w:val="24"/>
          <w:highlight w:val="none"/>
        </w:rPr>
        <w:t>附件</w:t>
      </w:r>
      <w:bookmarkEnd w:id="195"/>
      <w:bookmarkEnd w:id="196"/>
      <w:r>
        <w:rPr>
          <w:rFonts w:hint="eastAsia" w:ascii="宋体" w:hAnsi="宋体"/>
          <w:b/>
          <w:bCs/>
          <w:color w:val="auto"/>
          <w:sz w:val="24"/>
          <w:szCs w:val="24"/>
          <w:highlight w:val="none"/>
          <w:lang w:val="en-US" w:eastAsia="zh-CN"/>
        </w:rPr>
        <w:t>18</w:t>
      </w:r>
    </w:p>
    <w:p>
      <w:pPr>
        <w:shd w:val="clear" w:color="auto" w:fill="FFFFFF"/>
        <w:tabs>
          <w:tab w:val="left" w:pos="996"/>
        </w:tabs>
        <w:spacing w:line="500" w:lineRule="exact"/>
        <w:jc w:val="center"/>
        <w:rPr>
          <w:rFonts w:ascii="宋体" w:hAnsi="宋体"/>
          <w:b/>
          <w:color w:val="auto"/>
          <w:sz w:val="24"/>
          <w:szCs w:val="24"/>
          <w:highlight w:val="none"/>
        </w:rPr>
      </w:pPr>
      <w:bookmarkStart w:id="197" w:name="_Hlk7871373"/>
      <w:r>
        <w:rPr>
          <w:rFonts w:hint="eastAsia" w:ascii="宋体" w:hAnsi="宋体"/>
          <w:b/>
          <w:color w:val="auto"/>
          <w:sz w:val="24"/>
          <w:szCs w:val="24"/>
          <w:highlight w:val="none"/>
        </w:rPr>
        <w:t>评审中所需资料</w:t>
      </w:r>
    </w:p>
    <w:bookmarkEnd w:id="197"/>
    <w:p>
      <w:pPr>
        <w:shd w:val="clear" w:color="auto" w:fill="FFFFFF"/>
        <w:tabs>
          <w:tab w:val="left" w:pos="996"/>
        </w:tabs>
        <w:spacing w:line="480" w:lineRule="auto"/>
        <w:jc w:val="center"/>
        <w:rPr>
          <w:rFonts w:hint="eastAsia" w:ascii="宋体" w:hAnsi="宋体"/>
          <w:b/>
          <w:bCs/>
          <w:color w:val="auto"/>
          <w:sz w:val="24"/>
          <w:szCs w:val="24"/>
          <w:highlight w:val="none"/>
        </w:rPr>
      </w:pPr>
    </w:p>
    <w:p>
      <w:pPr>
        <w:shd w:val="clear" w:color="auto" w:fill="FFFFFF"/>
        <w:tabs>
          <w:tab w:val="left" w:pos="996"/>
        </w:tabs>
        <w:spacing w:line="480" w:lineRule="auto"/>
        <w:jc w:val="center"/>
        <w:rPr>
          <w:rFonts w:hint="eastAsia" w:ascii="宋体" w:hAnsi="宋体"/>
          <w:b/>
          <w:bCs/>
          <w:color w:val="auto"/>
          <w:sz w:val="24"/>
          <w:szCs w:val="24"/>
          <w:highlight w:val="none"/>
        </w:rPr>
      </w:pPr>
      <w:r>
        <w:rPr>
          <w:rFonts w:hint="eastAsia" w:ascii="宋体" w:hAnsi="宋体"/>
          <w:b/>
          <w:bCs/>
          <w:color w:val="auto"/>
          <w:sz w:val="24"/>
          <w:szCs w:val="24"/>
          <w:highlight w:val="none"/>
        </w:rPr>
        <w:t>由供应商自行编写，无具体格式。</w:t>
      </w:r>
    </w:p>
    <w:p>
      <w:pPr>
        <w:shd w:val="clear" w:color="auto" w:fill="FFFFFF"/>
        <w:tabs>
          <w:tab w:val="left" w:pos="996"/>
        </w:tabs>
        <w:spacing w:line="500" w:lineRule="exact"/>
        <w:jc w:val="left"/>
        <w:outlineLvl w:val="0"/>
        <w:rPr>
          <w:rFonts w:hint="default" w:ascii="宋体" w:hAnsi="宋体" w:eastAsia="宋体"/>
          <w:b/>
          <w:bCs/>
          <w:color w:val="auto"/>
          <w:sz w:val="24"/>
          <w:szCs w:val="24"/>
          <w:highlight w:val="none"/>
          <w:lang w:val="en-US" w:eastAsia="zh-CN"/>
        </w:rPr>
      </w:pPr>
      <w:r>
        <w:rPr>
          <w:rFonts w:ascii="宋体" w:hAnsi="宋体"/>
          <w:color w:val="auto"/>
          <w:sz w:val="24"/>
          <w:szCs w:val="24"/>
          <w:highlight w:val="none"/>
        </w:rPr>
        <w:br w:type="page"/>
      </w:r>
      <w:bookmarkStart w:id="198" w:name="_Toc3583"/>
      <w:bookmarkStart w:id="199" w:name="_Toc1107"/>
      <w:r>
        <w:rPr>
          <w:rFonts w:hint="eastAsia" w:ascii="宋体" w:hAnsi="宋体"/>
          <w:b/>
          <w:bCs/>
          <w:color w:val="auto"/>
          <w:sz w:val="24"/>
          <w:szCs w:val="24"/>
          <w:highlight w:val="none"/>
        </w:rPr>
        <w:t>附件</w:t>
      </w:r>
      <w:bookmarkEnd w:id="198"/>
      <w:bookmarkEnd w:id="199"/>
      <w:r>
        <w:rPr>
          <w:rFonts w:hint="eastAsia" w:ascii="宋体" w:hAnsi="宋体"/>
          <w:b/>
          <w:bCs/>
          <w:color w:val="auto"/>
          <w:sz w:val="24"/>
          <w:szCs w:val="24"/>
          <w:highlight w:val="none"/>
          <w:lang w:val="en-US" w:eastAsia="zh-CN"/>
        </w:rPr>
        <w:t>19</w:t>
      </w:r>
    </w:p>
    <w:p>
      <w:pPr>
        <w:widowControl/>
        <w:spacing w:line="360" w:lineRule="auto"/>
        <w:ind w:left="720"/>
        <w:jc w:val="center"/>
        <w:outlineLvl w:val="0"/>
      </w:pPr>
      <w:bookmarkStart w:id="200" w:name="_Toc32680"/>
      <w:bookmarkStart w:id="201" w:name="_Toc14687"/>
      <w:r>
        <w:rPr>
          <w:rFonts w:ascii="宋体" w:hAnsi="宋体"/>
          <w:b/>
          <w:color w:val="auto"/>
          <w:sz w:val="24"/>
          <w:szCs w:val="24"/>
          <w:highlight w:val="none"/>
        </w:rPr>
        <w:t>供应商认为有必要提供的其他资料</w:t>
      </w:r>
      <w:bookmarkEnd w:id="200"/>
      <w:bookmarkEnd w:id="201"/>
    </w:p>
    <w:sectPr>
      <w:footerReference r:id="rId8" w:type="default"/>
      <w:pgSz w:w="11911" w:h="16838"/>
      <w:pgMar w:top="1440" w:right="1633" w:bottom="1440" w:left="1633" w:header="0" w:footer="879" w:gutter="0"/>
      <w:pgNumType w:fmt="numberInDash"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OQv/SAQAAo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45C/9IBAACjAwAADgAAAAAAAAABACAAAAAi&#10;AQAAZHJzL2Uyb0RvYy54bWxQSwUGAAAAAAYABgBZAQAAZgUAAAAA&#10;">
              <v:fill on="f" focussize="0,0"/>
              <v:stroke on="f" weight="1.25pt"/>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jc w:val="center"/>
                          </w:pPr>
                          <w:r>
                            <w:fldChar w:fldCharType="begin"/>
                          </w:r>
                          <w:r>
                            <w:instrText xml:space="preserve">PAGE   \* MERGEFORMAT</w:instrText>
                          </w:r>
                          <w:r>
                            <w:fldChar w:fldCharType="separate"/>
                          </w:r>
                          <w:r>
                            <w:rPr>
                              <w:lang w:val="zh-CN"/>
                            </w:rPr>
                            <w:t>-</w:t>
                          </w:r>
                          <w:r>
                            <w:t xml:space="preserve"> 33 -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9aufSAQAAo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ixzODAT79/nf48&#10;nR5/kuskT++hxqx7j3lx+OQGXJr5HvAysR5kMOmLfAjGUdzjWVwxRMLTo2pZVSWGOMZmB/GLl+c+&#10;QPwsnCHJaGjA6WVR2eErxDF1TknVrLtVWucJakt6RL2sri/zi3MI0bXFIonF2G2y4rAdJmpb1x6R&#10;WY8r0FCLG0+J/mJR4bQtsxFmYzsbex/UrsvrlFoB/3EfsZ3cZaowwk6FcXaZ57RnaTn+9nPWy7+1&#10;f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v1q59IBAACjAwAADgAAAAAAAAABACAAAAAi&#10;AQAAZHJzL2Uyb0RvYy54bWxQSwUGAAAAAAYABgBZAQAAZgUAAAAA&#10;">
              <v:fill on="f" focussize="0,0"/>
              <v:stroke on="f" weight="1.25pt"/>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w:t>
                    </w:r>
                    <w:r>
                      <w:t xml:space="preserve"> 33 -</w:t>
                    </w:r>
                    <w:r>
                      <w:fldChar w:fldCharType="end"/>
                    </w:r>
                  </w:p>
                </w:txbxContent>
              </v:textbox>
            </v:shape>
          </w:pict>
        </mc:Fallback>
      </mc:AlternateContent>
    </w:r>
  </w:p>
  <w:p>
    <w:pPr>
      <w:pStyle w:val="18"/>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1"/>
        <w:left w:val="none" w:color="auto" w:sz="0" w:space="4"/>
        <w:bottom w:val="none" w:color="auto" w:sz="0" w:space="1"/>
        <w:right w:val="none" w:color="auto" w:sz="0" w:space="4"/>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41610"/>
    <w:multiLevelType w:val="singleLevel"/>
    <w:tmpl w:val="97F41610"/>
    <w:lvl w:ilvl="0" w:tentative="0">
      <w:start w:val="1"/>
      <w:numFmt w:val="decimal"/>
      <w:lvlText w:val="%1."/>
      <w:lvlJc w:val="left"/>
      <w:pPr>
        <w:tabs>
          <w:tab w:val="left" w:pos="312"/>
        </w:tabs>
      </w:pPr>
    </w:lvl>
  </w:abstractNum>
  <w:abstractNum w:abstractNumId="1">
    <w:nsid w:val="D1C92C5B"/>
    <w:multiLevelType w:val="singleLevel"/>
    <w:tmpl w:val="D1C92C5B"/>
    <w:lvl w:ilvl="0" w:tentative="0">
      <w:start w:val="1"/>
      <w:numFmt w:val="decimal"/>
      <w:lvlText w:val="%1."/>
      <w:lvlJc w:val="left"/>
      <w:pPr>
        <w:tabs>
          <w:tab w:val="left" w:pos="312"/>
        </w:tabs>
      </w:pPr>
    </w:lvl>
  </w:abstractNum>
  <w:abstractNum w:abstractNumId="2">
    <w:nsid w:val="DCDD0964"/>
    <w:multiLevelType w:val="singleLevel"/>
    <w:tmpl w:val="DCDD0964"/>
    <w:lvl w:ilvl="0" w:tentative="0">
      <w:start w:val="1"/>
      <w:numFmt w:val="decimal"/>
      <w:lvlText w:val="%1."/>
      <w:lvlJc w:val="left"/>
      <w:pPr>
        <w:tabs>
          <w:tab w:val="left" w:pos="312"/>
        </w:tabs>
      </w:pPr>
    </w:lvl>
  </w:abstractNum>
  <w:abstractNum w:abstractNumId="3">
    <w:nsid w:val="E77CBCA4"/>
    <w:multiLevelType w:val="singleLevel"/>
    <w:tmpl w:val="E77CBCA4"/>
    <w:lvl w:ilvl="0" w:tentative="0">
      <w:start w:val="1"/>
      <w:numFmt w:val="decimal"/>
      <w:suff w:val="nothing"/>
      <w:lvlText w:val="（%1）"/>
      <w:lvlJc w:val="left"/>
    </w:lvl>
  </w:abstractNum>
  <w:abstractNum w:abstractNumId="4">
    <w:nsid w:val="EA1D55C2"/>
    <w:multiLevelType w:val="singleLevel"/>
    <w:tmpl w:val="EA1D55C2"/>
    <w:lvl w:ilvl="0" w:tentative="0">
      <w:start w:val="3"/>
      <w:numFmt w:val="decimal"/>
      <w:lvlText w:val="%1."/>
      <w:lvlJc w:val="left"/>
      <w:pPr>
        <w:tabs>
          <w:tab w:val="left" w:pos="312"/>
        </w:tabs>
      </w:pPr>
    </w:lvl>
  </w:abstractNum>
  <w:abstractNum w:abstractNumId="5">
    <w:nsid w:val="014C757A"/>
    <w:multiLevelType w:val="multilevel"/>
    <w:tmpl w:val="014C75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F2E7D64"/>
    <w:multiLevelType w:val="singleLevel"/>
    <w:tmpl w:val="3F2E7D64"/>
    <w:lvl w:ilvl="0" w:tentative="0">
      <w:start w:val="5"/>
      <w:numFmt w:val="chineseCounting"/>
      <w:suff w:val="nothing"/>
      <w:lvlText w:val="%1、"/>
      <w:lvlJc w:val="left"/>
      <w:rPr>
        <w:rFonts w:hint="eastAsia"/>
      </w:rPr>
    </w:lvl>
  </w:abstractNum>
  <w:abstractNum w:abstractNumId="7">
    <w:nsid w:val="4499C0D1"/>
    <w:multiLevelType w:val="singleLevel"/>
    <w:tmpl w:val="4499C0D1"/>
    <w:lvl w:ilvl="0" w:tentative="0">
      <w:start w:val="1"/>
      <w:numFmt w:val="decimal"/>
      <w:lvlText w:val="%1."/>
      <w:lvlJc w:val="left"/>
      <w:pPr>
        <w:tabs>
          <w:tab w:val="left" w:pos="312"/>
        </w:tabs>
      </w:pPr>
    </w:lvl>
  </w:abstractNum>
  <w:abstractNum w:abstractNumId="8">
    <w:nsid w:val="47114054"/>
    <w:multiLevelType w:val="singleLevel"/>
    <w:tmpl w:val="47114054"/>
    <w:lvl w:ilvl="0" w:tentative="0">
      <w:start w:val="1"/>
      <w:numFmt w:val="decimal"/>
      <w:lvlText w:val="%1."/>
      <w:lvlJc w:val="left"/>
      <w:pPr>
        <w:tabs>
          <w:tab w:val="left" w:pos="312"/>
        </w:tabs>
      </w:pPr>
    </w:lvl>
  </w:abstractNum>
  <w:abstractNum w:abstractNumId="9">
    <w:nsid w:val="480A6713"/>
    <w:multiLevelType w:val="multilevel"/>
    <w:tmpl w:val="480A67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B717B28"/>
    <w:multiLevelType w:val="multilevel"/>
    <w:tmpl w:val="4B717B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C510DB9"/>
    <w:multiLevelType w:val="multilevel"/>
    <w:tmpl w:val="4C510D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E05BA4E"/>
    <w:multiLevelType w:val="singleLevel"/>
    <w:tmpl w:val="4E05BA4E"/>
    <w:lvl w:ilvl="0" w:tentative="0">
      <w:start w:val="1"/>
      <w:numFmt w:val="decimal"/>
      <w:lvlText w:val="%1."/>
      <w:lvlJc w:val="left"/>
      <w:pPr>
        <w:tabs>
          <w:tab w:val="left" w:pos="312"/>
        </w:tabs>
      </w:pPr>
    </w:lvl>
  </w:abstractNum>
  <w:abstractNum w:abstractNumId="13">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5AEC404"/>
    <w:multiLevelType w:val="singleLevel"/>
    <w:tmpl w:val="75AEC404"/>
    <w:lvl w:ilvl="0" w:tentative="0">
      <w:start w:val="1"/>
      <w:numFmt w:val="decimal"/>
      <w:lvlText w:val="%1."/>
      <w:lvlJc w:val="left"/>
      <w:pPr>
        <w:tabs>
          <w:tab w:val="left" w:pos="312"/>
        </w:tabs>
        <w:ind w:left="-420"/>
      </w:pPr>
    </w:lvl>
  </w:abstractNum>
  <w:abstractNum w:abstractNumId="15">
    <w:nsid w:val="77494AA2"/>
    <w:multiLevelType w:val="singleLevel"/>
    <w:tmpl w:val="77494AA2"/>
    <w:lvl w:ilvl="0" w:tentative="0">
      <w:start w:val="2"/>
      <w:numFmt w:val="chineseCounting"/>
      <w:suff w:val="nothing"/>
      <w:lvlText w:val="%1、"/>
      <w:lvlJc w:val="left"/>
      <w:rPr>
        <w:rFonts w:hint="eastAsia"/>
      </w:rPr>
    </w:lvl>
  </w:abstractNum>
  <w:abstractNum w:abstractNumId="16">
    <w:nsid w:val="7DD15589"/>
    <w:multiLevelType w:val="singleLevel"/>
    <w:tmpl w:val="7DD15589"/>
    <w:lvl w:ilvl="0" w:tentative="0">
      <w:start w:val="1"/>
      <w:numFmt w:val="decimal"/>
      <w:lvlText w:val="%1."/>
      <w:lvlJc w:val="left"/>
      <w:pPr>
        <w:tabs>
          <w:tab w:val="left" w:pos="312"/>
        </w:tabs>
      </w:pPr>
    </w:lvl>
  </w:abstractNum>
  <w:num w:numId="1">
    <w:abstractNumId w:val="4"/>
  </w:num>
  <w:num w:numId="2">
    <w:abstractNumId w:val="6"/>
  </w:num>
  <w:num w:numId="3">
    <w:abstractNumId w:val="3"/>
  </w:num>
  <w:num w:numId="4">
    <w:abstractNumId w:val="15"/>
  </w:num>
  <w:num w:numId="5">
    <w:abstractNumId w:val="10"/>
  </w:num>
  <w:num w:numId="6">
    <w:abstractNumId w:val="7"/>
  </w:num>
  <w:num w:numId="7">
    <w:abstractNumId w:val="1"/>
  </w:num>
  <w:num w:numId="8">
    <w:abstractNumId w:val="16"/>
  </w:num>
  <w:num w:numId="9">
    <w:abstractNumId w:val="2"/>
  </w:num>
  <w:num w:numId="10">
    <w:abstractNumId w:val="0"/>
  </w:num>
  <w:num w:numId="11">
    <w:abstractNumId w:val="8"/>
  </w:num>
  <w:num w:numId="12">
    <w:abstractNumId w:val="12"/>
  </w:num>
  <w:num w:numId="13">
    <w:abstractNumId w:val="5"/>
  </w:num>
  <w:num w:numId="14">
    <w:abstractNumId w:val="9"/>
  </w:num>
  <w:num w:numId="15">
    <w:abstractNumId w:val="11"/>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NDM4ZGY0ZTIzMWM4NzVhMjRlMjFkZjhhN2RlYmE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5494"/>
    <w:rsid w:val="00070428"/>
    <w:rsid w:val="0007052D"/>
    <w:rsid w:val="0007065C"/>
    <w:rsid w:val="00071080"/>
    <w:rsid w:val="00071821"/>
    <w:rsid w:val="00071EE4"/>
    <w:rsid w:val="00076439"/>
    <w:rsid w:val="00076C3D"/>
    <w:rsid w:val="00077A10"/>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912C0"/>
    <w:rsid w:val="003917B7"/>
    <w:rsid w:val="003924BA"/>
    <w:rsid w:val="003933C1"/>
    <w:rsid w:val="00393F65"/>
    <w:rsid w:val="003959A3"/>
    <w:rsid w:val="0039788F"/>
    <w:rsid w:val="003A0BAE"/>
    <w:rsid w:val="003A1F35"/>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574A"/>
    <w:rsid w:val="007E5DBC"/>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1964"/>
    <w:rsid w:val="00BB784A"/>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C4391"/>
    <w:rsid w:val="00CC4393"/>
    <w:rsid w:val="00CC439C"/>
    <w:rsid w:val="00CC4EF1"/>
    <w:rsid w:val="00CC7646"/>
    <w:rsid w:val="00CD0350"/>
    <w:rsid w:val="00CD0A4A"/>
    <w:rsid w:val="00CD0C51"/>
    <w:rsid w:val="00CD1284"/>
    <w:rsid w:val="00CD151E"/>
    <w:rsid w:val="00CD3064"/>
    <w:rsid w:val="00CD6E93"/>
    <w:rsid w:val="00CD6F4F"/>
    <w:rsid w:val="00CD7808"/>
    <w:rsid w:val="00CE06C8"/>
    <w:rsid w:val="00CE13A5"/>
    <w:rsid w:val="00CE2C36"/>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FBF"/>
    <w:rsid w:val="00D21AAA"/>
    <w:rsid w:val="00D21F86"/>
    <w:rsid w:val="00D24592"/>
    <w:rsid w:val="00D24A4E"/>
    <w:rsid w:val="00D253BF"/>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455A1A"/>
    <w:rsid w:val="01630AC4"/>
    <w:rsid w:val="01BA1DA2"/>
    <w:rsid w:val="01E97B75"/>
    <w:rsid w:val="025C62E5"/>
    <w:rsid w:val="02E24E06"/>
    <w:rsid w:val="02E87117"/>
    <w:rsid w:val="03056021"/>
    <w:rsid w:val="03067D73"/>
    <w:rsid w:val="030E1EDE"/>
    <w:rsid w:val="03100B2F"/>
    <w:rsid w:val="03101B4C"/>
    <w:rsid w:val="0336564F"/>
    <w:rsid w:val="036315A8"/>
    <w:rsid w:val="03820B0D"/>
    <w:rsid w:val="03D278CE"/>
    <w:rsid w:val="04793A64"/>
    <w:rsid w:val="04AC6F11"/>
    <w:rsid w:val="04CF60EE"/>
    <w:rsid w:val="04EB3CD9"/>
    <w:rsid w:val="04F17A55"/>
    <w:rsid w:val="04F40D78"/>
    <w:rsid w:val="04F907FB"/>
    <w:rsid w:val="0508393B"/>
    <w:rsid w:val="05180377"/>
    <w:rsid w:val="0520350B"/>
    <w:rsid w:val="05212F78"/>
    <w:rsid w:val="05401243"/>
    <w:rsid w:val="0577117A"/>
    <w:rsid w:val="05A55DF4"/>
    <w:rsid w:val="05FB6CC1"/>
    <w:rsid w:val="060F76EE"/>
    <w:rsid w:val="06410F33"/>
    <w:rsid w:val="068247C2"/>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AA3BE7"/>
    <w:rsid w:val="07BA1BA8"/>
    <w:rsid w:val="07E5131D"/>
    <w:rsid w:val="07E806E8"/>
    <w:rsid w:val="07FC4898"/>
    <w:rsid w:val="080569DD"/>
    <w:rsid w:val="081936D0"/>
    <w:rsid w:val="085B4073"/>
    <w:rsid w:val="08DD2784"/>
    <w:rsid w:val="08FD674C"/>
    <w:rsid w:val="08FE0F7A"/>
    <w:rsid w:val="0902174A"/>
    <w:rsid w:val="09042942"/>
    <w:rsid w:val="09342BCF"/>
    <w:rsid w:val="09630B57"/>
    <w:rsid w:val="09876AD2"/>
    <w:rsid w:val="099E5B23"/>
    <w:rsid w:val="09A713C7"/>
    <w:rsid w:val="09C0448D"/>
    <w:rsid w:val="09C93764"/>
    <w:rsid w:val="09D042BD"/>
    <w:rsid w:val="09F05C2F"/>
    <w:rsid w:val="0A126EFD"/>
    <w:rsid w:val="0A1F7E09"/>
    <w:rsid w:val="0A263A52"/>
    <w:rsid w:val="0A35793C"/>
    <w:rsid w:val="0A3F24BC"/>
    <w:rsid w:val="0A4056C9"/>
    <w:rsid w:val="0A465068"/>
    <w:rsid w:val="0A5215C6"/>
    <w:rsid w:val="0A5764C7"/>
    <w:rsid w:val="0A667254"/>
    <w:rsid w:val="0AF54C2C"/>
    <w:rsid w:val="0B524831"/>
    <w:rsid w:val="0B8A6710"/>
    <w:rsid w:val="0B9238CE"/>
    <w:rsid w:val="0B9334F0"/>
    <w:rsid w:val="0BA355D1"/>
    <w:rsid w:val="0BAB3543"/>
    <w:rsid w:val="0BD77972"/>
    <w:rsid w:val="0BF46EB9"/>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7543DC"/>
    <w:rsid w:val="0EB208AB"/>
    <w:rsid w:val="0EC136EA"/>
    <w:rsid w:val="0ECE3CF5"/>
    <w:rsid w:val="0F235864"/>
    <w:rsid w:val="0F2C1D70"/>
    <w:rsid w:val="0F554233"/>
    <w:rsid w:val="0F570A4B"/>
    <w:rsid w:val="0F6543D3"/>
    <w:rsid w:val="0F7B7146"/>
    <w:rsid w:val="0F8852DA"/>
    <w:rsid w:val="0FE33AB7"/>
    <w:rsid w:val="0FED0F9E"/>
    <w:rsid w:val="0FF67A78"/>
    <w:rsid w:val="0FF97A38"/>
    <w:rsid w:val="10084C10"/>
    <w:rsid w:val="101D642E"/>
    <w:rsid w:val="10437189"/>
    <w:rsid w:val="10645478"/>
    <w:rsid w:val="107C485E"/>
    <w:rsid w:val="10923340"/>
    <w:rsid w:val="10B325BC"/>
    <w:rsid w:val="110343D2"/>
    <w:rsid w:val="1105643F"/>
    <w:rsid w:val="111F342F"/>
    <w:rsid w:val="112678F2"/>
    <w:rsid w:val="113302D5"/>
    <w:rsid w:val="11355638"/>
    <w:rsid w:val="1139145C"/>
    <w:rsid w:val="11484C6D"/>
    <w:rsid w:val="11560804"/>
    <w:rsid w:val="11634F6A"/>
    <w:rsid w:val="116E676E"/>
    <w:rsid w:val="1181341B"/>
    <w:rsid w:val="119800BE"/>
    <w:rsid w:val="11E41348"/>
    <w:rsid w:val="12376A7B"/>
    <w:rsid w:val="12644410"/>
    <w:rsid w:val="12773901"/>
    <w:rsid w:val="12BE0E11"/>
    <w:rsid w:val="13057820"/>
    <w:rsid w:val="130B5A0A"/>
    <w:rsid w:val="132E5836"/>
    <w:rsid w:val="1342060B"/>
    <w:rsid w:val="13476A19"/>
    <w:rsid w:val="135950FD"/>
    <w:rsid w:val="13C04EA4"/>
    <w:rsid w:val="13C8146C"/>
    <w:rsid w:val="13DF588E"/>
    <w:rsid w:val="13E64E0D"/>
    <w:rsid w:val="13F83EAD"/>
    <w:rsid w:val="142245F5"/>
    <w:rsid w:val="14242F5B"/>
    <w:rsid w:val="143F2DBB"/>
    <w:rsid w:val="145F13FD"/>
    <w:rsid w:val="14635DBD"/>
    <w:rsid w:val="14953F1B"/>
    <w:rsid w:val="14CF78D8"/>
    <w:rsid w:val="150119B8"/>
    <w:rsid w:val="15396F94"/>
    <w:rsid w:val="15516D0A"/>
    <w:rsid w:val="1558270A"/>
    <w:rsid w:val="15786770"/>
    <w:rsid w:val="15786F27"/>
    <w:rsid w:val="157C0E6A"/>
    <w:rsid w:val="158128E0"/>
    <w:rsid w:val="15973EF0"/>
    <w:rsid w:val="159D3819"/>
    <w:rsid w:val="15C87DC2"/>
    <w:rsid w:val="15E2204B"/>
    <w:rsid w:val="1615044B"/>
    <w:rsid w:val="161729E0"/>
    <w:rsid w:val="163B5304"/>
    <w:rsid w:val="16445CA6"/>
    <w:rsid w:val="164C5380"/>
    <w:rsid w:val="16605119"/>
    <w:rsid w:val="16870790"/>
    <w:rsid w:val="16BE560D"/>
    <w:rsid w:val="17045E63"/>
    <w:rsid w:val="1709212E"/>
    <w:rsid w:val="1745083A"/>
    <w:rsid w:val="174D7F3F"/>
    <w:rsid w:val="175F3859"/>
    <w:rsid w:val="17714B81"/>
    <w:rsid w:val="178652E9"/>
    <w:rsid w:val="179B5D3A"/>
    <w:rsid w:val="179E1661"/>
    <w:rsid w:val="17A37E03"/>
    <w:rsid w:val="17AF0188"/>
    <w:rsid w:val="17B26963"/>
    <w:rsid w:val="17C4644F"/>
    <w:rsid w:val="17CD58FA"/>
    <w:rsid w:val="17D978CC"/>
    <w:rsid w:val="18117EBD"/>
    <w:rsid w:val="18157EF7"/>
    <w:rsid w:val="18307BF5"/>
    <w:rsid w:val="183B0682"/>
    <w:rsid w:val="185763F9"/>
    <w:rsid w:val="18AD32E9"/>
    <w:rsid w:val="18B525ED"/>
    <w:rsid w:val="18BD451D"/>
    <w:rsid w:val="18C26AAD"/>
    <w:rsid w:val="18F8084E"/>
    <w:rsid w:val="194738B6"/>
    <w:rsid w:val="19694CBC"/>
    <w:rsid w:val="1975663B"/>
    <w:rsid w:val="19A643D8"/>
    <w:rsid w:val="19B71B3F"/>
    <w:rsid w:val="19C05FB5"/>
    <w:rsid w:val="19C641E2"/>
    <w:rsid w:val="19D13BB0"/>
    <w:rsid w:val="1A0F1154"/>
    <w:rsid w:val="1A3838EE"/>
    <w:rsid w:val="1A8D13C4"/>
    <w:rsid w:val="1AC70D0E"/>
    <w:rsid w:val="1AC96737"/>
    <w:rsid w:val="1AFC01A8"/>
    <w:rsid w:val="1B646C7A"/>
    <w:rsid w:val="1B6E62FA"/>
    <w:rsid w:val="1BFC01FF"/>
    <w:rsid w:val="1C137F14"/>
    <w:rsid w:val="1C517AF9"/>
    <w:rsid w:val="1C58538F"/>
    <w:rsid w:val="1C636D5F"/>
    <w:rsid w:val="1C9710D7"/>
    <w:rsid w:val="1CB7015D"/>
    <w:rsid w:val="1CC7424C"/>
    <w:rsid w:val="1D152FDC"/>
    <w:rsid w:val="1D1B5442"/>
    <w:rsid w:val="1D3D1750"/>
    <w:rsid w:val="1D6B69BD"/>
    <w:rsid w:val="1D7D14A6"/>
    <w:rsid w:val="1D89487D"/>
    <w:rsid w:val="1D937180"/>
    <w:rsid w:val="1D9C5199"/>
    <w:rsid w:val="1DD94A3B"/>
    <w:rsid w:val="1DEC45D0"/>
    <w:rsid w:val="1E0A6315"/>
    <w:rsid w:val="1ECB1018"/>
    <w:rsid w:val="1ED65854"/>
    <w:rsid w:val="1EDD57B2"/>
    <w:rsid w:val="1EEC7AAC"/>
    <w:rsid w:val="1F116AC5"/>
    <w:rsid w:val="1F1B7934"/>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EA12F1"/>
    <w:rsid w:val="20ED615D"/>
    <w:rsid w:val="21054E07"/>
    <w:rsid w:val="210A1E0D"/>
    <w:rsid w:val="21103395"/>
    <w:rsid w:val="2131482D"/>
    <w:rsid w:val="215D1CBF"/>
    <w:rsid w:val="21860CCB"/>
    <w:rsid w:val="21AF6F62"/>
    <w:rsid w:val="21C519A3"/>
    <w:rsid w:val="21D53CB4"/>
    <w:rsid w:val="21D95A57"/>
    <w:rsid w:val="21EF1A6B"/>
    <w:rsid w:val="22045C5E"/>
    <w:rsid w:val="22241935"/>
    <w:rsid w:val="22992119"/>
    <w:rsid w:val="22D621F6"/>
    <w:rsid w:val="22EC5646"/>
    <w:rsid w:val="22F058E6"/>
    <w:rsid w:val="22F65DF4"/>
    <w:rsid w:val="22FF7411"/>
    <w:rsid w:val="232B6A60"/>
    <w:rsid w:val="235402FE"/>
    <w:rsid w:val="238002CA"/>
    <w:rsid w:val="23E16791"/>
    <w:rsid w:val="23E304EF"/>
    <w:rsid w:val="24425D58"/>
    <w:rsid w:val="24B30097"/>
    <w:rsid w:val="24C0710A"/>
    <w:rsid w:val="25094517"/>
    <w:rsid w:val="25182F61"/>
    <w:rsid w:val="252F2291"/>
    <w:rsid w:val="253E0C1C"/>
    <w:rsid w:val="25586BAB"/>
    <w:rsid w:val="256C324C"/>
    <w:rsid w:val="25B22D0B"/>
    <w:rsid w:val="25B325FB"/>
    <w:rsid w:val="25B54911"/>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B4784F"/>
    <w:rsid w:val="27FD40D4"/>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E59B1"/>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C4602A"/>
    <w:rsid w:val="2CD8221A"/>
    <w:rsid w:val="2D06251D"/>
    <w:rsid w:val="2D113E56"/>
    <w:rsid w:val="2D1465EB"/>
    <w:rsid w:val="2D522EBC"/>
    <w:rsid w:val="2D5477E6"/>
    <w:rsid w:val="2D6214F2"/>
    <w:rsid w:val="2D8A4CE1"/>
    <w:rsid w:val="2D9507CF"/>
    <w:rsid w:val="2DAF11E1"/>
    <w:rsid w:val="2DAF3E40"/>
    <w:rsid w:val="2DB6320A"/>
    <w:rsid w:val="2DB74C3B"/>
    <w:rsid w:val="2E007023"/>
    <w:rsid w:val="2E0759C7"/>
    <w:rsid w:val="2E0931A4"/>
    <w:rsid w:val="2E236DC1"/>
    <w:rsid w:val="2E2C2010"/>
    <w:rsid w:val="2E392B2B"/>
    <w:rsid w:val="2EAE1C04"/>
    <w:rsid w:val="2EB6515C"/>
    <w:rsid w:val="2EC113FF"/>
    <w:rsid w:val="2ED038FB"/>
    <w:rsid w:val="2F0C7091"/>
    <w:rsid w:val="2F317C76"/>
    <w:rsid w:val="2F6D6F42"/>
    <w:rsid w:val="2F726AA9"/>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7156C"/>
    <w:rsid w:val="326A1DB1"/>
    <w:rsid w:val="32930B88"/>
    <w:rsid w:val="32C34468"/>
    <w:rsid w:val="32E13E1E"/>
    <w:rsid w:val="334933FE"/>
    <w:rsid w:val="3369018F"/>
    <w:rsid w:val="338468F5"/>
    <w:rsid w:val="33AA6BB6"/>
    <w:rsid w:val="33C54116"/>
    <w:rsid w:val="33D00119"/>
    <w:rsid w:val="34084704"/>
    <w:rsid w:val="34347E21"/>
    <w:rsid w:val="34624B7D"/>
    <w:rsid w:val="346831B7"/>
    <w:rsid w:val="3492701B"/>
    <w:rsid w:val="34982C61"/>
    <w:rsid w:val="34BE52DE"/>
    <w:rsid w:val="34D677AF"/>
    <w:rsid w:val="34E64694"/>
    <w:rsid w:val="35116F5F"/>
    <w:rsid w:val="351450C9"/>
    <w:rsid w:val="353330E4"/>
    <w:rsid w:val="35354844"/>
    <w:rsid w:val="35385C88"/>
    <w:rsid w:val="353F5BB5"/>
    <w:rsid w:val="35481451"/>
    <w:rsid w:val="35561E2B"/>
    <w:rsid w:val="355C4A1F"/>
    <w:rsid w:val="3578581E"/>
    <w:rsid w:val="35857419"/>
    <w:rsid w:val="35875CD7"/>
    <w:rsid w:val="35C8466C"/>
    <w:rsid w:val="35CE3D8F"/>
    <w:rsid w:val="3602502C"/>
    <w:rsid w:val="361A75B2"/>
    <w:rsid w:val="36B97803"/>
    <w:rsid w:val="36C57C65"/>
    <w:rsid w:val="36D20E72"/>
    <w:rsid w:val="36F82FBB"/>
    <w:rsid w:val="36FA3427"/>
    <w:rsid w:val="372417BB"/>
    <w:rsid w:val="37445638"/>
    <w:rsid w:val="374F6512"/>
    <w:rsid w:val="378E0F6A"/>
    <w:rsid w:val="38085DBF"/>
    <w:rsid w:val="3823159E"/>
    <w:rsid w:val="38353D64"/>
    <w:rsid w:val="385E6DA2"/>
    <w:rsid w:val="387D1F11"/>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850737"/>
    <w:rsid w:val="3A9E4A8D"/>
    <w:rsid w:val="3AF5453F"/>
    <w:rsid w:val="3B0A24EB"/>
    <w:rsid w:val="3B213892"/>
    <w:rsid w:val="3BD00FAF"/>
    <w:rsid w:val="3BD1253C"/>
    <w:rsid w:val="3BD94903"/>
    <w:rsid w:val="3BDC7979"/>
    <w:rsid w:val="3C0A464D"/>
    <w:rsid w:val="3C847300"/>
    <w:rsid w:val="3CA9251C"/>
    <w:rsid w:val="3CB75A2A"/>
    <w:rsid w:val="3CD425CC"/>
    <w:rsid w:val="3CD4307D"/>
    <w:rsid w:val="3CF7689E"/>
    <w:rsid w:val="3D460CC9"/>
    <w:rsid w:val="3D6F0FE4"/>
    <w:rsid w:val="3D856884"/>
    <w:rsid w:val="3D9F16AD"/>
    <w:rsid w:val="3DED63EF"/>
    <w:rsid w:val="3E5C4C15"/>
    <w:rsid w:val="3E73181B"/>
    <w:rsid w:val="3E986124"/>
    <w:rsid w:val="3EA62F6B"/>
    <w:rsid w:val="3EBA21A2"/>
    <w:rsid w:val="3EC83719"/>
    <w:rsid w:val="3EF07B2A"/>
    <w:rsid w:val="3EF16C24"/>
    <w:rsid w:val="3F0A7B4D"/>
    <w:rsid w:val="3F536E72"/>
    <w:rsid w:val="3F5A5DF8"/>
    <w:rsid w:val="3F682495"/>
    <w:rsid w:val="3F6F5A12"/>
    <w:rsid w:val="3F7D06A9"/>
    <w:rsid w:val="3F89775A"/>
    <w:rsid w:val="40211D12"/>
    <w:rsid w:val="403223B5"/>
    <w:rsid w:val="40383331"/>
    <w:rsid w:val="405E1A1A"/>
    <w:rsid w:val="408B20B7"/>
    <w:rsid w:val="409F500E"/>
    <w:rsid w:val="40D21025"/>
    <w:rsid w:val="40E35408"/>
    <w:rsid w:val="40E70C87"/>
    <w:rsid w:val="4116685A"/>
    <w:rsid w:val="4144132E"/>
    <w:rsid w:val="414560ED"/>
    <w:rsid w:val="4160303A"/>
    <w:rsid w:val="41730B93"/>
    <w:rsid w:val="417D77C6"/>
    <w:rsid w:val="417F6E03"/>
    <w:rsid w:val="41820512"/>
    <w:rsid w:val="41A802BD"/>
    <w:rsid w:val="41AC5406"/>
    <w:rsid w:val="41AF2D7B"/>
    <w:rsid w:val="42162688"/>
    <w:rsid w:val="422D44CF"/>
    <w:rsid w:val="423650F9"/>
    <w:rsid w:val="426C5E38"/>
    <w:rsid w:val="42ED6214"/>
    <w:rsid w:val="43396CB1"/>
    <w:rsid w:val="433B3A4C"/>
    <w:rsid w:val="433D2460"/>
    <w:rsid w:val="439532EA"/>
    <w:rsid w:val="43CE363D"/>
    <w:rsid w:val="43F64B4C"/>
    <w:rsid w:val="44044389"/>
    <w:rsid w:val="440D1349"/>
    <w:rsid w:val="442235E1"/>
    <w:rsid w:val="44832484"/>
    <w:rsid w:val="449B0C56"/>
    <w:rsid w:val="44A077D5"/>
    <w:rsid w:val="44A142A6"/>
    <w:rsid w:val="44B40FFF"/>
    <w:rsid w:val="4516018B"/>
    <w:rsid w:val="455064CB"/>
    <w:rsid w:val="455C6481"/>
    <w:rsid w:val="456552E9"/>
    <w:rsid w:val="45901428"/>
    <w:rsid w:val="459210DB"/>
    <w:rsid w:val="45FD05DD"/>
    <w:rsid w:val="46285655"/>
    <w:rsid w:val="4637255B"/>
    <w:rsid w:val="464B1A18"/>
    <w:rsid w:val="464B225F"/>
    <w:rsid w:val="469063CF"/>
    <w:rsid w:val="46925930"/>
    <w:rsid w:val="46927983"/>
    <w:rsid w:val="46A136A7"/>
    <w:rsid w:val="46D0277B"/>
    <w:rsid w:val="46E663B3"/>
    <w:rsid w:val="47004B35"/>
    <w:rsid w:val="47055811"/>
    <w:rsid w:val="47173550"/>
    <w:rsid w:val="47387046"/>
    <w:rsid w:val="47A2368C"/>
    <w:rsid w:val="47D149D8"/>
    <w:rsid w:val="48144862"/>
    <w:rsid w:val="481E7EA7"/>
    <w:rsid w:val="48267635"/>
    <w:rsid w:val="4842767D"/>
    <w:rsid w:val="484653A1"/>
    <w:rsid w:val="485A64CD"/>
    <w:rsid w:val="48654A26"/>
    <w:rsid w:val="486D6CC0"/>
    <w:rsid w:val="488C2B7C"/>
    <w:rsid w:val="489A2240"/>
    <w:rsid w:val="48C75206"/>
    <w:rsid w:val="48D53CF6"/>
    <w:rsid w:val="491B78AA"/>
    <w:rsid w:val="491E6220"/>
    <w:rsid w:val="49B55A70"/>
    <w:rsid w:val="49F75D45"/>
    <w:rsid w:val="4A1F72D7"/>
    <w:rsid w:val="4A245DBD"/>
    <w:rsid w:val="4A515805"/>
    <w:rsid w:val="4A847973"/>
    <w:rsid w:val="4AAF7284"/>
    <w:rsid w:val="4AB91C3E"/>
    <w:rsid w:val="4B2D3438"/>
    <w:rsid w:val="4B320EAF"/>
    <w:rsid w:val="4B341FB6"/>
    <w:rsid w:val="4B530D48"/>
    <w:rsid w:val="4B610837"/>
    <w:rsid w:val="4B664419"/>
    <w:rsid w:val="4B7C4154"/>
    <w:rsid w:val="4B926840"/>
    <w:rsid w:val="4B9B6198"/>
    <w:rsid w:val="4BAE749A"/>
    <w:rsid w:val="4BC92DAE"/>
    <w:rsid w:val="4BE35810"/>
    <w:rsid w:val="4BE966D4"/>
    <w:rsid w:val="4BFD7343"/>
    <w:rsid w:val="4C222CCE"/>
    <w:rsid w:val="4C2E0CBD"/>
    <w:rsid w:val="4C724691"/>
    <w:rsid w:val="4CB61EA0"/>
    <w:rsid w:val="4CFF328B"/>
    <w:rsid w:val="4D2F0355"/>
    <w:rsid w:val="4D583A38"/>
    <w:rsid w:val="4D6720AB"/>
    <w:rsid w:val="4D692FBF"/>
    <w:rsid w:val="4D763645"/>
    <w:rsid w:val="4D777B1C"/>
    <w:rsid w:val="4D872AA0"/>
    <w:rsid w:val="4D8A47C8"/>
    <w:rsid w:val="4DA95BDC"/>
    <w:rsid w:val="4DC87BBC"/>
    <w:rsid w:val="4DE34B29"/>
    <w:rsid w:val="4DEA4FBB"/>
    <w:rsid w:val="4DF50A6C"/>
    <w:rsid w:val="4DFD1705"/>
    <w:rsid w:val="4DFF6D01"/>
    <w:rsid w:val="4E0B34B3"/>
    <w:rsid w:val="4E541588"/>
    <w:rsid w:val="4E795448"/>
    <w:rsid w:val="4E9E400B"/>
    <w:rsid w:val="4EA2112B"/>
    <w:rsid w:val="4EAC6947"/>
    <w:rsid w:val="4ECD2961"/>
    <w:rsid w:val="4ED11092"/>
    <w:rsid w:val="4ED55503"/>
    <w:rsid w:val="4EE11DF1"/>
    <w:rsid w:val="4EF9123C"/>
    <w:rsid w:val="4F056F4F"/>
    <w:rsid w:val="4F184117"/>
    <w:rsid w:val="4F3664CA"/>
    <w:rsid w:val="4F716F60"/>
    <w:rsid w:val="4F7B132D"/>
    <w:rsid w:val="4F887979"/>
    <w:rsid w:val="4FAC3F88"/>
    <w:rsid w:val="4FC84F74"/>
    <w:rsid w:val="4FD9061A"/>
    <w:rsid w:val="4FE75A4D"/>
    <w:rsid w:val="4FE803A1"/>
    <w:rsid w:val="4FFC28DD"/>
    <w:rsid w:val="502F02A9"/>
    <w:rsid w:val="502F5B9E"/>
    <w:rsid w:val="50503078"/>
    <w:rsid w:val="50574B72"/>
    <w:rsid w:val="508758F2"/>
    <w:rsid w:val="50947BE7"/>
    <w:rsid w:val="50CE44F4"/>
    <w:rsid w:val="513011BE"/>
    <w:rsid w:val="513D6FDD"/>
    <w:rsid w:val="518708F8"/>
    <w:rsid w:val="519D4573"/>
    <w:rsid w:val="51A71019"/>
    <w:rsid w:val="51B20427"/>
    <w:rsid w:val="51C70BCC"/>
    <w:rsid w:val="51E71054"/>
    <w:rsid w:val="520E79D3"/>
    <w:rsid w:val="52441514"/>
    <w:rsid w:val="52504B06"/>
    <w:rsid w:val="525262EA"/>
    <w:rsid w:val="525562FA"/>
    <w:rsid w:val="52695E52"/>
    <w:rsid w:val="529677A7"/>
    <w:rsid w:val="52AB4F03"/>
    <w:rsid w:val="52CA5B6F"/>
    <w:rsid w:val="52EF20F1"/>
    <w:rsid w:val="532403B5"/>
    <w:rsid w:val="534C0656"/>
    <w:rsid w:val="53560256"/>
    <w:rsid w:val="535C725F"/>
    <w:rsid w:val="53AE6148"/>
    <w:rsid w:val="53B00426"/>
    <w:rsid w:val="53E23B76"/>
    <w:rsid w:val="540013E0"/>
    <w:rsid w:val="540D0FAB"/>
    <w:rsid w:val="544D6C9A"/>
    <w:rsid w:val="54536316"/>
    <w:rsid w:val="545D7919"/>
    <w:rsid w:val="54AE4AED"/>
    <w:rsid w:val="54EB7B69"/>
    <w:rsid w:val="557607E4"/>
    <w:rsid w:val="55A63543"/>
    <w:rsid w:val="55E46B6D"/>
    <w:rsid w:val="56276421"/>
    <w:rsid w:val="56360FFF"/>
    <w:rsid w:val="566D5D78"/>
    <w:rsid w:val="567B6366"/>
    <w:rsid w:val="570A3D5B"/>
    <w:rsid w:val="5736037E"/>
    <w:rsid w:val="57640497"/>
    <w:rsid w:val="5764080A"/>
    <w:rsid w:val="577D1BEF"/>
    <w:rsid w:val="57C06EDF"/>
    <w:rsid w:val="57CB1ACF"/>
    <w:rsid w:val="57E17978"/>
    <w:rsid w:val="57F57929"/>
    <w:rsid w:val="58545DF3"/>
    <w:rsid w:val="58681720"/>
    <w:rsid w:val="5879602B"/>
    <w:rsid w:val="587C6DDF"/>
    <w:rsid w:val="588365F2"/>
    <w:rsid w:val="58885E59"/>
    <w:rsid w:val="58E9024A"/>
    <w:rsid w:val="58ED63B6"/>
    <w:rsid w:val="59350301"/>
    <w:rsid w:val="59473EA0"/>
    <w:rsid w:val="59997F35"/>
    <w:rsid w:val="599A54A5"/>
    <w:rsid w:val="59DA4DB4"/>
    <w:rsid w:val="59DE353D"/>
    <w:rsid w:val="59E051FD"/>
    <w:rsid w:val="59E304DF"/>
    <w:rsid w:val="5A13349F"/>
    <w:rsid w:val="5A261BFE"/>
    <w:rsid w:val="5A344E03"/>
    <w:rsid w:val="5A5117F5"/>
    <w:rsid w:val="5A772779"/>
    <w:rsid w:val="5A85429B"/>
    <w:rsid w:val="5A996061"/>
    <w:rsid w:val="5AFE0749"/>
    <w:rsid w:val="5B1A6935"/>
    <w:rsid w:val="5B1F728F"/>
    <w:rsid w:val="5B661C01"/>
    <w:rsid w:val="5B8D37E2"/>
    <w:rsid w:val="5BD522B9"/>
    <w:rsid w:val="5C2F03CB"/>
    <w:rsid w:val="5C3B6DCB"/>
    <w:rsid w:val="5C593045"/>
    <w:rsid w:val="5C777F55"/>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CE7502"/>
    <w:rsid w:val="60D64DFA"/>
    <w:rsid w:val="60E115FE"/>
    <w:rsid w:val="60E27A91"/>
    <w:rsid w:val="611A2A5C"/>
    <w:rsid w:val="611F2ACA"/>
    <w:rsid w:val="612E60D6"/>
    <w:rsid w:val="617259BC"/>
    <w:rsid w:val="617A0A8D"/>
    <w:rsid w:val="61BC4810"/>
    <w:rsid w:val="61D45D62"/>
    <w:rsid w:val="62262282"/>
    <w:rsid w:val="62835C66"/>
    <w:rsid w:val="629A2753"/>
    <w:rsid w:val="62B666AF"/>
    <w:rsid w:val="62E1441F"/>
    <w:rsid w:val="62E24221"/>
    <w:rsid w:val="62EE0740"/>
    <w:rsid w:val="6307759A"/>
    <w:rsid w:val="636E5863"/>
    <w:rsid w:val="637B7C12"/>
    <w:rsid w:val="637F761C"/>
    <w:rsid w:val="639C4A2B"/>
    <w:rsid w:val="63B85AD0"/>
    <w:rsid w:val="63C316CE"/>
    <w:rsid w:val="63C46CE9"/>
    <w:rsid w:val="63D548D0"/>
    <w:rsid w:val="64021414"/>
    <w:rsid w:val="64243D8F"/>
    <w:rsid w:val="6441723E"/>
    <w:rsid w:val="645F4364"/>
    <w:rsid w:val="647C4B15"/>
    <w:rsid w:val="649422EF"/>
    <w:rsid w:val="64B52FFF"/>
    <w:rsid w:val="64B618B5"/>
    <w:rsid w:val="64BA69E7"/>
    <w:rsid w:val="64C80B16"/>
    <w:rsid w:val="64E37CC8"/>
    <w:rsid w:val="64F273DF"/>
    <w:rsid w:val="653F699B"/>
    <w:rsid w:val="65454C2D"/>
    <w:rsid w:val="654A5CBA"/>
    <w:rsid w:val="655776C7"/>
    <w:rsid w:val="655D5E4D"/>
    <w:rsid w:val="656D6B9F"/>
    <w:rsid w:val="65783894"/>
    <w:rsid w:val="65A01086"/>
    <w:rsid w:val="65AB7EF8"/>
    <w:rsid w:val="65B4114E"/>
    <w:rsid w:val="660541EF"/>
    <w:rsid w:val="660E60C4"/>
    <w:rsid w:val="661E554F"/>
    <w:rsid w:val="66410434"/>
    <w:rsid w:val="66B943B4"/>
    <w:rsid w:val="66D9794E"/>
    <w:rsid w:val="66F05966"/>
    <w:rsid w:val="671A5858"/>
    <w:rsid w:val="676505A0"/>
    <w:rsid w:val="67737FDF"/>
    <w:rsid w:val="67CE1F0B"/>
    <w:rsid w:val="67FA0A31"/>
    <w:rsid w:val="68045A14"/>
    <w:rsid w:val="68311C00"/>
    <w:rsid w:val="686F14D5"/>
    <w:rsid w:val="687C47D5"/>
    <w:rsid w:val="68975742"/>
    <w:rsid w:val="68AE5E7A"/>
    <w:rsid w:val="68B615CB"/>
    <w:rsid w:val="68BB15E7"/>
    <w:rsid w:val="68C67448"/>
    <w:rsid w:val="68D9547F"/>
    <w:rsid w:val="68E45EBF"/>
    <w:rsid w:val="68E503C2"/>
    <w:rsid w:val="68EB3CEF"/>
    <w:rsid w:val="69210899"/>
    <w:rsid w:val="692A51E4"/>
    <w:rsid w:val="69344211"/>
    <w:rsid w:val="6945547D"/>
    <w:rsid w:val="69537A82"/>
    <w:rsid w:val="69641165"/>
    <w:rsid w:val="6992472C"/>
    <w:rsid w:val="69D63A7F"/>
    <w:rsid w:val="6A270164"/>
    <w:rsid w:val="6A270421"/>
    <w:rsid w:val="6A640FBF"/>
    <w:rsid w:val="6A69177D"/>
    <w:rsid w:val="6AC6616F"/>
    <w:rsid w:val="6AE25466"/>
    <w:rsid w:val="6AEB454C"/>
    <w:rsid w:val="6AFA21EC"/>
    <w:rsid w:val="6B4B77EA"/>
    <w:rsid w:val="6B563166"/>
    <w:rsid w:val="6B6905F7"/>
    <w:rsid w:val="6B713F07"/>
    <w:rsid w:val="6B8C6632"/>
    <w:rsid w:val="6B942897"/>
    <w:rsid w:val="6BAB63AF"/>
    <w:rsid w:val="6BDA2C78"/>
    <w:rsid w:val="6BDB0AF9"/>
    <w:rsid w:val="6C6E7F90"/>
    <w:rsid w:val="6C937657"/>
    <w:rsid w:val="6C984B66"/>
    <w:rsid w:val="6CE77C9E"/>
    <w:rsid w:val="6CFE7A1D"/>
    <w:rsid w:val="6CFF0F58"/>
    <w:rsid w:val="6D587FBF"/>
    <w:rsid w:val="6D6D156A"/>
    <w:rsid w:val="6D93085D"/>
    <w:rsid w:val="6DA45FF4"/>
    <w:rsid w:val="6DB77894"/>
    <w:rsid w:val="6DC6674B"/>
    <w:rsid w:val="6DD075CC"/>
    <w:rsid w:val="6E076D05"/>
    <w:rsid w:val="6E086A9F"/>
    <w:rsid w:val="6E313A74"/>
    <w:rsid w:val="6E8A0B6A"/>
    <w:rsid w:val="6EB5741D"/>
    <w:rsid w:val="6ECC3FC3"/>
    <w:rsid w:val="6F08390E"/>
    <w:rsid w:val="6F3B697C"/>
    <w:rsid w:val="6F6B0876"/>
    <w:rsid w:val="6F757064"/>
    <w:rsid w:val="6F92207A"/>
    <w:rsid w:val="6FA83099"/>
    <w:rsid w:val="6FD20C89"/>
    <w:rsid w:val="6FE00AC2"/>
    <w:rsid w:val="6FF00F65"/>
    <w:rsid w:val="7021222E"/>
    <w:rsid w:val="702256DD"/>
    <w:rsid w:val="70235DEC"/>
    <w:rsid w:val="70692F10"/>
    <w:rsid w:val="70855F6D"/>
    <w:rsid w:val="70BD4694"/>
    <w:rsid w:val="70CA560E"/>
    <w:rsid w:val="70FA3B67"/>
    <w:rsid w:val="71287D99"/>
    <w:rsid w:val="713163AF"/>
    <w:rsid w:val="714A3DFD"/>
    <w:rsid w:val="71942E78"/>
    <w:rsid w:val="71967069"/>
    <w:rsid w:val="71B97219"/>
    <w:rsid w:val="71D47F47"/>
    <w:rsid w:val="720938A5"/>
    <w:rsid w:val="720C4CE2"/>
    <w:rsid w:val="7211192F"/>
    <w:rsid w:val="72117C71"/>
    <w:rsid w:val="72253F59"/>
    <w:rsid w:val="72303688"/>
    <w:rsid w:val="72407358"/>
    <w:rsid w:val="72591954"/>
    <w:rsid w:val="726F0D12"/>
    <w:rsid w:val="729369EF"/>
    <w:rsid w:val="72BE0C21"/>
    <w:rsid w:val="72CE627A"/>
    <w:rsid w:val="72DD0CA4"/>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116419"/>
    <w:rsid w:val="7531137E"/>
    <w:rsid w:val="754F3080"/>
    <w:rsid w:val="75933D7A"/>
    <w:rsid w:val="75D90FA9"/>
    <w:rsid w:val="762607B0"/>
    <w:rsid w:val="765048D2"/>
    <w:rsid w:val="76586C21"/>
    <w:rsid w:val="765F1739"/>
    <w:rsid w:val="766F4280"/>
    <w:rsid w:val="769B08D2"/>
    <w:rsid w:val="769E029C"/>
    <w:rsid w:val="76FE7385"/>
    <w:rsid w:val="77040121"/>
    <w:rsid w:val="77074FBA"/>
    <w:rsid w:val="77100549"/>
    <w:rsid w:val="771C38A3"/>
    <w:rsid w:val="774747D0"/>
    <w:rsid w:val="77712E2E"/>
    <w:rsid w:val="77E751FE"/>
    <w:rsid w:val="780F7780"/>
    <w:rsid w:val="78170E12"/>
    <w:rsid w:val="78575AD9"/>
    <w:rsid w:val="7865284E"/>
    <w:rsid w:val="786C6326"/>
    <w:rsid w:val="788058B3"/>
    <w:rsid w:val="78A764DE"/>
    <w:rsid w:val="78C36DE0"/>
    <w:rsid w:val="790A5F70"/>
    <w:rsid w:val="793119AE"/>
    <w:rsid w:val="793303EF"/>
    <w:rsid w:val="793766AD"/>
    <w:rsid w:val="79397558"/>
    <w:rsid w:val="795A4A47"/>
    <w:rsid w:val="796A40F0"/>
    <w:rsid w:val="797A595E"/>
    <w:rsid w:val="798A2F90"/>
    <w:rsid w:val="79DE4AC7"/>
    <w:rsid w:val="79F61D75"/>
    <w:rsid w:val="7A003E98"/>
    <w:rsid w:val="7A1267E6"/>
    <w:rsid w:val="7A2D3EA4"/>
    <w:rsid w:val="7A331B30"/>
    <w:rsid w:val="7A53292B"/>
    <w:rsid w:val="7A5A7FE5"/>
    <w:rsid w:val="7A5C7DEA"/>
    <w:rsid w:val="7A777AC1"/>
    <w:rsid w:val="7A7A53B1"/>
    <w:rsid w:val="7A8356F5"/>
    <w:rsid w:val="7A8E0023"/>
    <w:rsid w:val="7ACC3F7C"/>
    <w:rsid w:val="7AD02C89"/>
    <w:rsid w:val="7AE572F8"/>
    <w:rsid w:val="7B1D5654"/>
    <w:rsid w:val="7B2B7BA7"/>
    <w:rsid w:val="7B332E64"/>
    <w:rsid w:val="7B5739B9"/>
    <w:rsid w:val="7B6C0926"/>
    <w:rsid w:val="7B8E24C7"/>
    <w:rsid w:val="7B9E0FB2"/>
    <w:rsid w:val="7BAC1017"/>
    <w:rsid w:val="7BAF2DE9"/>
    <w:rsid w:val="7BB919A3"/>
    <w:rsid w:val="7BD415F7"/>
    <w:rsid w:val="7C157862"/>
    <w:rsid w:val="7C2117FF"/>
    <w:rsid w:val="7C8F4421"/>
    <w:rsid w:val="7D4848D3"/>
    <w:rsid w:val="7DAF0B47"/>
    <w:rsid w:val="7E2516BD"/>
    <w:rsid w:val="7E3A4559"/>
    <w:rsid w:val="7E6D1B39"/>
    <w:rsid w:val="7E852A49"/>
    <w:rsid w:val="7EE20267"/>
    <w:rsid w:val="7F076DA4"/>
    <w:rsid w:val="7F2900ED"/>
    <w:rsid w:val="7F456CA1"/>
    <w:rsid w:val="7F645481"/>
    <w:rsid w:val="7FA32023"/>
    <w:rsid w:val="7FC96E84"/>
    <w:rsid w:val="7FE802AB"/>
    <w:rsid w:val="7FFA18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qFormat="1" w:unhideWhenUsed="0" w:uiPriority="0" w:semiHidden="0" w:name="HTML Preformatted"/>
    <w:lsdException w:uiPriority="99" w:semiHidden="0" w:name="HTML Sample"/>
    <w:lsdException w:uiPriority="99" w:name="HTML Typewriter"/>
    <w:lsdException w:uiPriority="99" w:semiHidden="0"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7">
    <w:name w:val="heading 2"/>
    <w:basedOn w:val="1"/>
    <w:next w:val="1"/>
    <w:link w:val="40"/>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8">
    <w:name w:val="heading 3"/>
    <w:basedOn w:val="1"/>
    <w:next w:val="1"/>
    <w:link w:val="39"/>
    <w:qFormat/>
    <w:uiPriority w:val="0"/>
    <w:pPr>
      <w:tabs>
        <w:tab w:val="left" w:pos="540"/>
      </w:tabs>
      <w:adjustRightInd w:val="0"/>
      <w:snapToGrid w:val="0"/>
      <w:spacing w:line="360" w:lineRule="auto"/>
      <w:jc w:val="left"/>
      <w:outlineLvl w:val="2"/>
    </w:pPr>
    <w:rPr>
      <w:b/>
      <w:sz w:val="24"/>
      <w:szCs w:val="20"/>
    </w:rPr>
  </w:style>
  <w:style w:type="character" w:default="1" w:styleId="25">
    <w:name w:val="Default Paragraph Font"/>
    <w:unhideWhenUsed/>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0"/>
      <w:sz w:val="20"/>
      <w:szCs w:val="24"/>
    </w:rPr>
  </w:style>
  <w:style w:type="paragraph" w:styleId="3">
    <w:name w:val="Body Text Indent"/>
    <w:basedOn w:val="1"/>
    <w:uiPriority w:val="0"/>
    <w:pPr>
      <w:spacing w:after="120"/>
      <w:ind w:left="420" w:leftChars="200"/>
    </w:pPr>
  </w:style>
  <w:style w:type="paragraph" w:styleId="4">
    <w:name w:val="Body Text"/>
    <w:basedOn w:val="1"/>
    <w:next w:val="5"/>
    <w:uiPriority w:val="0"/>
    <w:pPr>
      <w:spacing w:after="120"/>
    </w:pPr>
  </w:style>
  <w:style w:type="paragraph" w:customStyle="1" w:styleId="5">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9">
    <w:name w:val="List 3"/>
    <w:basedOn w:val="1"/>
    <w:uiPriority w:val="0"/>
    <w:pPr>
      <w:ind w:left="1260" w:hanging="420"/>
    </w:pPr>
    <w:rPr>
      <w:color w:val="000000"/>
      <w:kern w:val="1"/>
      <w:sz w:val="24"/>
      <w:szCs w:val="20"/>
    </w:rPr>
  </w:style>
  <w:style w:type="paragraph" w:styleId="10">
    <w:name w:val="Normal Indent"/>
    <w:basedOn w:val="1"/>
    <w:uiPriority w:val="0"/>
    <w:pPr>
      <w:ind w:firstLine="420"/>
    </w:pPr>
    <w:rPr>
      <w:color w:val="000000"/>
      <w:kern w:val="1"/>
      <w:szCs w:val="20"/>
    </w:rPr>
  </w:style>
  <w:style w:type="paragraph" w:styleId="11">
    <w:name w:val="toa heading"/>
    <w:basedOn w:val="1"/>
    <w:next w:val="1"/>
    <w:qFormat/>
    <w:uiPriority w:val="0"/>
    <w:pPr>
      <w:spacing w:before="120"/>
    </w:pPr>
    <w:rPr>
      <w:rFonts w:ascii="Arial" w:hAnsi="Arial"/>
      <w:sz w:val="24"/>
      <w:szCs w:val="20"/>
    </w:rPr>
  </w:style>
  <w:style w:type="paragraph" w:styleId="12">
    <w:name w:val="annotation text"/>
    <w:basedOn w:val="1"/>
    <w:link w:val="41"/>
    <w:unhideWhenUsed/>
    <w:qFormat/>
    <w:uiPriority w:val="99"/>
    <w:pPr>
      <w:jc w:val="left"/>
    </w:pPr>
  </w:style>
  <w:style w:type="paragraph" w:styleId="13">
    <w:name w:val="Body Text 3"/>
    <w:basedOn w:val="1"/>
    <w:qFormat/>
    <w:uiPriority w:val="0"/>
    <w:pPr>
      <w:spacing w:after="120"/>
    </w:pPr>
    <w:rPr>
      <w:sz w:val="16"/>
      <w:szCs w:val="16"/>
    </w:rPr>
  </w:style>
  <w:style w:type="paragraph" w:styleId="14">
    <w:name w:val="Plain Text"/>
    <w:basedOn w:val="1"/>
    <w:link w:val="42"/>
    <w:uiPriority w:val="0"/>
    <w:rPr>
      <w:rFonts w:ascii="宋体" w:hAnsi="Courier New"/>
      <w:sz w:val="11"/>
      <w:szCs w:val="20"/>
    </w:rPr>
  </w:style>
  <w:style w:type="paragraph" w:styleId="15">
    <w:name w:val="Date"/>
    <w:basedOn w:val="1"/>
    <w:next w:val="1"/>
    <w:uiPriority w:val="0"/>
    <w:pPr>
      <w:ind w:left="100" w:leftChars="2500"/>
    </w:pPr>
  </w:style>
  <w:style w:type="paragraph" w:styleId="16">
    <w:name w:val="Body Text Indent 2"/>
    <w:basedOn w:val="1"/>
    <w:link w:val="43"/>
    <w:uiPriority w:val="0"/>
    <w:pPr>
      <w:spacing w:line="360" w:lineRule="auto"/>
      <w:ind w:left="179" w:leftChars="85" w:hanging="1"/>
    </w:pPr>
    <w:rPr>
      <w:b/>
      <w:sz w:val="24"/>
      <w:szCs w:val="20"/>
      <w:u w:val="single"/>
    </w:rPr>
  </w:style>
  <w:style w:type="paragraph" w:styleId="17">
    <w:name w:val="Balloon Text"/>
    <w:basedOn w:val="1"/>
    <w:link w:val="44"/>
    <w:unhideWhenUsed/>
    <w:qFormat/>
    <w:uiPriority w:val="99"/>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annotation subject"/>
    <w:basedOn w:val="12"/>
    <w:next w:val="12"/>
    <w:link w:val="47"/>
    <w:unhideWhenUsed/>
    <w:uiPriority w:val="99"/>
    <w:rPr>
      <w:b/>
      <w:bCs/>
    </w:r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unhideWhenUsed/>
    <w:uiPriority w:val="99"/>
    <w:rPr>
      <w:color w:val="2D64B3"/>
      <w:u w:val="none"/>
    </w:rPr>
  </w:style>
  <w:style w:type="character" w:styleId="29">
    <w:name w:val="Emphasis"/>
    <w:qFormat/>
    <w:uiPriority w:val="0"/>
    <w:rPr>
      <w:color w:val="CC0000"/>
    </w:rPr>
  </w:style>
  <w:style w:type="character" w:styleId="30">
    <w:name w:val="HTML Definition"/>
    <w:unhideWhenUsed/>
    <w:uiPriority w:val="99"/>
  </w:style>
  <w:style w:type="character" w:styleId="31">
    <w:name w:val="HTML Variable"/>
    <w:unhideWhenUsed/>
    <w:uiPriority w:val="99"/>
  </w:style>
  <w:style w:type="character" w:styleId="32">
    <w:name w:val="Hyperlink"/>
    <w:qFormat/>
    <w:uiPriority w:val="0"/>
    <w:rPr>
      <w:color w:val="0000FF"/>
      <w:u w:val="single"/>
    </w:rPr>
  </w:style>
  <w:style w:type="character" w:styleId="33">
    <w:name w:val="HTML Code"/>
    <w:unhideWhenUsed/>
    <w:uiPriority w:val="99"/>
    <w:rPr>
      <w:rFonts w:ascii="Arial" w:hAnsi="Arial" w:cs="Arial"/>
      <w:sz w:val="20"/>
    </w:rPr>
  </w:style>
  <w:style w:type="character" w:styleId="34">
    <w:name w:val="annotation reference"/>
    <w:unhideWhenUsed/>
    <w:qFormat/>
    <w:uiPriority w:val="0"/>
    <w:rPr>
      <w:sz w:val="21"/>
      <w:szCs w:val="21"/>
    </w:rPr>
  </w:style>
  <w:style w:type="character" w:styleId="35">
    <w:name w:val="HTML Cite"/>
    <w:unhideWhenUsed/>
    <w:uiPriority w:val="99"/>
  </w:style>
  <w:style w:type="character" w:styleId="36">
    <w:name w:val="HTML Keyboard"/>
    <w:unhideWhenUsed/>
    <w:uiPriority w:val="99"/>
    <w:rPr>
      <w:rFonts w:ascii="Arial" w:hAnsi="Arial" w:cs="Arial"/>
      <w:sz w:val="20"/>
    </w:rPr>
  </w:style>
  <w:style w:type="character" w:styleId="37">
    <w:name w:val="HTML Sample"/>
    <w:unhideWhenUsed/>
    <w:uiPriority w:val="99"/>
    <w:rPr>
      <w:rFonts w:hint="eastAsia" w:ascii="Arial" w:hAnsi="Arial" w:cs="Arial"/>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9">
    <w:name w:val="标题 3 字符"/>
    <w:link w:val="8"/>
    <w:qFormat/>
    <w:uiPriority w:val="0"/>
    <w:rPr>
      <w:rFonts w:ascii="Times New Roman" w:hAnsi="Times New Roman"/>
      <w:b/>
      <w:kern w:val="2"/>
      <w:sz w:val="24"/>
    </w:rPr>
  </w:style>
  <w:style w:type="character" w:customStyle="1" w:styleId="40">
    <w:name w:val="标题 2 字符"/>
    <w:link w:val="7"/>
    <w:qFormat/>
    <w:uiPriority w:val="0"/>
    <w:rPr>
      <w:rFonts w:ascii="Arial" w:hAnsi="Arial"/>
      <w:b/>
      <w:kern w:val="2"/>
      <w:sz w:val="28"/>
    </w:rPr>
  </w:style>
  <w:style w:type="character" w:customStyle="1" w:styleId="41">
    <w:name w:val="批注文字 字符"/>
    <w:link w:val="12"/>
    <w:semiHidden/>
    <w:uiPriority w:val="99"/>
    <w:rPr>
      <w:kern w:val="2"/>
      <w:sz w:val="21"/>
      <w:szCs w:val="22"/>
    </w:rPr>
  </w:style>
  <w:style w:type="character" w:customStyle="1" w:styleId="42">
    <w:name w:val="纯文本 字符"/>
    <w:link w:val="14"/>
    <w:qFormat/>
    <w:uiPriority w:val="0"/>
    <w:rPr>
      <w:rFonts w:ascii="宋体" w:hAnsi="Courier New"/>
      <w:kern w:val="2"/>
      <w:sz w:val="11"/>
    </w:rPr>
  </w:style>
  <w:style w:type="character" w:customStyle="1" w:styleId="43">
    <w:name w:val="正文文本缩进 2 字符"/>
    <w:link w:val="16"/>
    <w:uiPriority w:val="0"/>
    <w:rPr>
      <w:rFonts w:ascii="Times New Roman" w:hAnsi="Times New Roman"/>
      <w:b/>
      <w:kern w:val="2"/>
      <w:sz w:val="24"/>
      <w:u w:val="single"/>
    </w:rPr>
  </w:style>
  <w:style w:type="character" w:customStyle="1" w:styleId="44">
    <w:name w:val="批注框文本 字符"/>
    <w:link w:val="17"/>
    <w:semiHidden/>
    <w:qFormat/>
    <w:uiPriority w:val="99"/>
    <w:rPr>
      <w:kern w:val="2"/>
      <w:sz w:val="18"/>
      <w:szCs w:val="18"/>
    </w:rPr>
  </w:style>
  <w:style w:type="character" w:customStyle="1" w:styleId="45">
    <w:name w:val="页脚 字符1"/>
    <w:link w:val="18"/>
    <w:qFormat/>
    <w:uiPriority w:val="99"/>
    <w:rPr>
      <w:kern w:val="2"/>
      <w:sz w:val="18"/>
      <w:szCs w:val="18"/>
    </w:rPr>
  </w:style>
  <w:style w:type="character" w:customStyle="1" w:styleId="46">
    <w:name w:val="页眉 字符"/>
    <w:link w:val="19"/>
    <w:qFormat/>
    <w:uiPriority w:val="99"/>
    <w:rPr>
      <w:kern w:val="2"/>
      <w:sz w:val="18"/>
      <w:szCs w:val="18"/>
    </w:rPr>
  </w:style>
  <w:style w:type="character" w:customStyle="1" w:styleId="47">
    <w:name w:val="批注主题 字符"/>
    <w:link w:val="22"/>
    <w:semiHidden/>
    <w:uiPriority w:val="99"/>
    <w:rPr>
      <w:b/>
      <w:bCs/>
      <w:kern w:val="2"/>
      <w:sz w:val="21"/>
      <w:szCs w:val="22"/>
    </w:rPr>
  </w:style>
  <w:style w:type="character" w:customStyle="1" w:styleId="48">
    <w:name w:val="bds_more1"/>
    <w:basedOn w:val="25"/>
    <w:qFormat/>
    <w:uiPriority w:val="0"/>
  </w:style>
  <w:style w:type="character" w:customStyle="1" w:styleId="49">
    <w:name w:val="普通文字1 Char"/>
    <w:uiPriority w:val="0"/>
    <w:rPr>
      <w:rFonts w:ascii="宋体" w:hAnsi="Courier New" w:eastAsia="宋体"/>
      <w:kern w:val="2"/>
      <w:sz w:val="21"/>
      <w:lang w:val="en-US" w:eastAsia="zh-CN" w:bidi="ar-SA"/>
    </w:rPr>
  </w:style>
  <w:style w:type="character" w:customStyle="1" w:styleId="50">
    <w:name w:val="legend"/>
    <w:uiPriority w:val="0"/>
    <w:rPr>
      <w:rFonts w:ascii="Arial" w:hAnsi="Arial" w:cs="Arial"/>
      <w:b/>
      <w:color w:val="73B304"/>
      <w:sz w:val="16"/>
      <w:szCs w:val="16"/>
      <w:shd w:val="clear" w:color="auto" w:fill="FFFFFF"/>
    </w:rPr>
  </w:style>
  <w:style w:type="character" w:customStyle="1" w:styleId="51">
    <w:name w:val="release-day"/>
    <w:qFormat/>
    <w:uiPriority w:val="0"/>
    <w:rPr>
      <w:bdr w:val="single" w:color="BDEBB0" w:sz="4" w:space="0"/>
      <w:shd w:val="clear" w:color="auto" w:fill="F5FFF1"/>
    </w:rPr>
  </w:style>
  <w:style w:type="character" w:customStyle="1" w:styleId="52">
    <w:name w:val="未处理的提及"/>
    <w:unhideWhenUsed/>
    <w:qFormat/>
    <w:uiPriority w:val="99"/>
    <w:rPr>
      <w:color w:val="605E5C"/>
      <w:shd w:val="clear" w:color="auto" w:fill="E1DFDD"/>
    </w:rPr>
  </w:style>
  <w:style w:type="character" w:customStyle="1" w:styleId="53">
    <w:name w:val="num"/>
    <w:qFormat/>
    <w:uiPriority w:val="0"/>
    <w:rPr>
      <w:b/>
      <w:color w:val="FF7800"/>
    </w:rPr>
  </w:style>
  <w:style w:type="character" w:customStyle="1" w:styleId="54">
    <w:name w:val="Header Char"/>
    <w:locked/>
    <w:uiPriority w:val="0"/>
    <w:rPr>
      <w:rFonts w:eastAsia="宋体"/>
      <w:kern w:val="2"/>
      <w:sz w:val="18"/>
      <w:szCs w:val="18"/>
      <w:lang w:val="en-US" w:eastAsia="zh-CN" w:bidi="ar-SA"/>
    </w:rPr>
  </w:style>
  <w:style w:type="character" w:customStyle="1" w:styleId="55">
    <w:name w:val="bds_more2"/>
    <w:basedOn w:val="25"/>
    <w:qFormat/>
    <w:uiPriority w:val="0"/>
  </w:style>
  <w:style w:type="character" w:customStyle="1" w:styleId="56">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57">
    <w:name w:val="bds_nopic1"/>
    <w:basedOn w:val="25"/>
    <w:uiPriority w:val="0"/>
  </w:style>
  <w:style w:type="character" w:customStyle="1" w:styleId="58">
    <w:name w:val="普通文字 Char Char2"/>
    <w:semiHidden/>
    <w:uiPriority w:val="0"/>
    <w:rPr>
      <w:rFonts w:ascii="宋体" w:hAnsi="Courier New" w:eastAsia="宋体"/>
      <w:kern w:val="2"/>
      <w:sz w:val="21"/>
      <w:szCs w:val="21"/>
      <w:lang w:val="en-US" w:eastAsia="zh-CN" w:bidi="ar-SA"/>
    </w:rPr>
  </w:style>
  <w:style w:type="character" w:customStyle="1" w:styleId="59">
    <w:name w:val="页脚 字符"/>
    <w:uiPriority w:val="99"/>
  </w:style>
  <w:style w:type="character" w:customStyle="1" w:styleId="60">
    <w:name w:val="15"/>
    <w:uiPriority w:val="0"/>
    <w:rPr>
      <w:rFonts w:hint="eastAsia" w:ascii="仿宋_GB2312" w:eastAsia="仿宋_GB2312"/>
      <w:b/>
      <w:bCs/>
      <w:sz w:val="32"/>
      <w:szCs w:val="32"/>
    </w:rPr>
  </w:style>
  <w:style w:type="character" w:customStyle="1" w:styleId="61">
    <w:name w:val="txtcontent11"/>
    <w:uiPriority w:val="0"/>
    <w:rPr>
      <w:rFonts w:hint="default" w:ascii="ˎ̥" w:hAnsi="ˎ̥"/>
      <w:color w:val="000000"/>
      <w:sz w:val="21"/>
      <w:szCs w:val="21"/>
    </w:rPr>
  </w:style>
  <w:style w:type="character" w:customStyle="1" w:styleId="62">
    <w:name w:val="纯文本 Char1"/>
    <w:semiHidden/>
    <w:uiPriority w:val="99"/>
    <w:rPr>
      <w:rFonts w:ascii="宋体" w:hAnsi="Courier New" w:cs="Courier New"/>
      <w:kern w:val="2"/>
      <w:sz w:val="21"/>
      <w:szCs w:val="21"/>
    </w:rPr>
  </w:style>
  <w:style w:type="character" w:customStyle="1" w:styleId="63">
    <w:name w:val="正文缩进2格 Char Char"/>
    <w:link w:val="64"/>
    <w:uiPriority w:val="0"/>
    <w:rPr>
      <w:rFonts w:ascii="仿宋_GB2312" w:hAnsi="宋体" w:eastAsia="仿宋_GB2312"/>
      <w:kern w:val="2"/>
      <w:sz w:val="31"/>
      <w:szCs w:val="28"/>
      <w:lang w:val="en-US" w:eastAsia="zh-CN" w:bidi="ar-SA"/>
    </w:rPr>
  </w:style>
  <w:style w:type="paragraph" w:customStyle="1" w:styleId="64">
    <w:name w:val="正文缩进2格"/>
    <w:basedOn w:val="1"/>
    <w:link w:val="63"/>
    <w:uiPriority w:val="0"/>
    <w:pPr>
      <w:spacing w:line="600" w:lineRule="exact"/>
      <w:ind w:firstLine="639" w:firstLineChars="206"/>
    </w:pPr>
    <w:rPr>
      <w:rFonts w:ascii="仿宋_GB2312" w:hAnsi="宋体" w:eastAsia="仿宋_GB2312"/>
      <w:sz w:val="31"/>
      <w:szCs w:val="28"/>
    </w:rPr>
  </w:style>
  <w:style w:type="character" w:customStyle="1" w:styleId="65">
    <w:name w:val=" Char Char10"/>
    <w:uiPriority w:val="0"/>
    <w:rPr>
      <w:rFonts w:ascii="宋体" w:hAnsi="Courier New" w:eastAsia="宋体"/>
      <w:kern w:val="2"/>
      <w:sz w:val="21"/>
      <w:szCs w:val="24"/>
      <w:lang w:val="en-US" w:eastAsia="zh-CN" w:bidi="ar-SA"/>
    </w:rPr>
  </w:style>
  <w:style w:type="character" w:customStyle="1" w:styleId="66">
    <w:name w:val="NormalCharacter"/>
    <w:semiHidden/>
    <w:qFormat/>
    <w:uiPriority w:val="0"/>
  </w:style>
  <w:style w:type="character" w:customStyle="1" w:styleId="67">
    <w:name w:val="bds_nopic"/>
    <w:basedOn w:val="25"/>
    <w:uiPriority w:val="0"/>
  </w:style>
  <w:style w:type="character" w:customStyle="1" w:styleId="68">
    <w:name w:val="bds_nopic2"/>
    <w:basedOn w:val="25"/>
    <w:qFormat/>
    <w:uiPriority w:val="0"/>
  </w:style>
  <w:style w:type="character" w:customStyle="1" w:styleId="69">
    <w:name w:val="bds_more"/>
    <w:qFormat/>
    <w:uiPriority w:val="0"/>
    <w:rPr>
      <w:rFonts w:hint="eastAsia" w:ascii="宋体" w:hAnsi="宋体" w:eastAsia="宋体" w:cs="宋体"/>
    </w:rPr>
  </w:style>
  <w:style w:type="paragraph" w:customStyle="1" w:styleId="70">
    <w:name w:val="p22"/>
    <w:basedOn w:val="1"/>
    <w:qFormat/>
    <w:uiPriority w:val="0"/>
    <w:pPr>
      <w:widowControl/>
    </w:pPr>
    <w:rPr>
      <w:kern w:val="0"/>
      <w:szCs w:val="21"/>
    </w:rPr>
  </w:style>
  <w:style w:type="paragraph" w:customStyle="1" w:styleId="71">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72">
    <w:name w:val="列出段落1"/>
    <w:basedOn w:val="1"/>
    <w:qFormat/>
    <w:uiPriority w:val="34"/>
    <w:pPr>
      <w:ind w:firstLine="420" w:firstLineChars="200"/>
    </w:pPr>
    <w:rPr>
      <w:rFonts w:ascii="Times New Roman" w:hAnsi="Times New Roman" w:eastAsia="宋体" w:cs="Times New Roman"/>
      <w:szCs w:val="24"/>
    </w:rPr>
  </w:style>
  <w:style w:type="paragraph" w:customStyle="1" w:styleId="73">
    <w:name w:val="样式 标题 3 + (中文) 黑体 小四 非加粗 段前: 7.8 磅 段后: 0 磅 行距: 固定值 20 磅"/>
    <w:basedOn w:val="8"/>
    <w:qFormat/>
    <w:uiPriority w:val="0"/>
    <w:pPr>
      <w:keepNext/>
      <w:keepLines/>
      <w:tabs>
        <w:tab w:val="clear" w:pos="540"/>
      </w:tabs>
      <w:adjustRightInd/>
      <w:snapToGrid/>
      <w:spacing w:line="400" w:lineRule="exact"/>
      <w:jc w:val="both"/>
    </w:pPr>
    <w:rPr>
      <w:rFonts w:eastAsia="黑体" w:cs="宋体"/>
      <w:b w:val="0"/>
    </w:rPr>
  </w:style>
  <w:style w:type="paragraph" w:customStyle="1" w:styleId="74">
    <w:name w:val="Table Paragraph"/>
    <w:basedOn w:val="1"/>
    <w:qFormat/>
    <w:uiPriority w:val="1"/>
    <w:rPr>
      <w:rFonts w:ascii="宋体" w:hAnsi="宋体" w:eastAsia="宋体" w:cs="宋体"/>
      <w:lang w:val="zh-CN" w:eastAsia="zh-CN" w:bidi="zh-CN"/>
    </w:rPr>
  </w:style>
  <w:style w:type="paragraph" w:customStyle="1" w:styleId="7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6">
    <w:name w:val="p0"/>
    <w:basedOn w:val="1"/>
    <w:qFormat/>
    <w:uiPriority w:val="0"/>
    <w:pPr>
      <w:widowControl/>
    </w:pPr>
    <w:rPr>
      <w:rFonts w:ascii="Times New Roman" w:hAnsi="Times New Roman"/>
      <w:kern w:val="0"/>
      <w:szCs w:val="21"/>
    </w:rPr>
  </w:style>
  <w:style w:type="paragraph" w:customStyle="1" w:styleId="77">
    <w:name w:val=" Char Char Char Char"/>
    <w:basedOn w:val="1"/>
    <w:qFormat/>
    <w:uiPriority w:val="0"/>
    <w:pPr>
      <w:widowControl/>
      <w:spacing w:after="160" w:line="240" w:lineRule="exact"/>
      <w:jc w:val="left"/>
    </w:pPr>
    <w:rPr>
      <w:rFonts w:ascii="Verdana" w:hAnsi="Verdana"/>
      <w:kern w:val="0"/>
      <w:szCs w:val="20"/>
    </w:rPr>
  </w:style>
  <w:style w:type="paragraph" w:customStyle="1" w:styleId="78">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7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WPSOffice手动目录 2"/>
    <w:qFormat/>
    <w:uiPriority w:val="0"/>
    <w:pPr>
      <w:ind w:leftChars="200"/>
    </w:pPr>
    <w:rPr>
      <w:rFonts w:ascii="Times New Roman" w:hAnsi="Times New Roman" w:eastAsia="宋体" w:cs="Times New Roman"/>
      <w:sz w:val="20"/>
      <w:szCs w:val="20"/>
    </w:rPr>
  </w:style>
  <w:style w:type="paragraph" w:customStyle="1" w:styleId="81">
    <w:name w:val=" Char Char Char"/>
    <w:basedOn w:val="1"/>
    <w:qFormat/>
    <w:uiPriority w:val="0"/>
    <w:rPr>
      <w:rFonts w:ascii="Tahoma" w:hAnsi="Tahoma"/>
      <w:sz w:val="24"/>
      <w:szCs w:val="20"/>
    </w:rPr>
  </w:style>
  <w:style w:type="paragraph" w:styleId="82">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83">
    <w:name w:val="p21"/>
    <w:basedOn w:val="1"/>
    <w:qFormat/>
    <w:uiPriority w:val="0"/>
    <w:pPr>
      <w:widowControl/>
    </w:pPr>
    <w:rPr>
      <w:kern w:val="0"/>
      <w:szCs w:val="21"/>
    </w:rPr>
  </w:style>
  <w:style w:type="paragraph" w:customStyle="1" w:styleId="8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5">
    <w:name w:val="保留正文"/>
    <w:basedOn w:val="4"/>
    <w:qFormat/>
    <w:uiPriority w:val="0"/>
    <w:pPr>
      <w:keepNext/>
      <w:spacing w:after="160"/>
    </w:pPr>
    <w:rPr>
      <w:szCs w:val="24"/>
    </w:rPr>
  </w:style>
  <w:style w:type="paragraph" w:customStyle="1" w:styleId="86">
    <w:name w:val="WPS Plain"/>
    <w:qFormat/>
    <w:uiPriority w:val="0"/>
    <w:rPr>
      <w:rFonts w:ascii="Times New Roman" w:hAnsi="Times New Roman" w:eastAsia="宋体" w:cs="Times New Roman"/>
      <w:sz w:val="21"/>
      <w:szCs w:val="22"/>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 w:type="paragraph" w:customStyle="1" w:styleId="9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92">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Char"/>
    <w:basedOn w:val="1"/>
    <w:qFormat/>
    <w:uiPriority w:val="0"/>
    <w:pPr>
      <w:tabs>
        <w:tab w:val="left" w:pos="360"/>
      </w:tabs>
    </w:pPr>
    <w:rPr>
      <w:sz w:val="24"/>
      <w:szCs w:val="24"/>
    </w:rPr>
  </w:style>
  <w:style w:type="paragraph" w:customStyle="1" w:styleId="94">
    <w:name w:val="_Style 89"/>
    <w:basedOn w:val="1"/>
    <w:qFormat/>
    <w:uiPriority w:val="0"/>
    <w:pPr>
      <w:tabs>
        <w:tab w:val="left" w:pos="360"/>
      </w:tabs>
    </w:pPr>
    <w:rPr>
      <w:rFonts w:ascii="Times New Roman" w:hAnsi="Times New Roman"/>
      <w:sz w:val="24"/>
      <w:szCs w:val="24"/>
    </w:rPr>
  </w:style>
  <w:style w:type="character" w:customStyle="1" w:styleId="95">
    <w:name w:val="font41"/>
    <w:qFormat/>
    <w:uiPriority w:val="0"/>
    <w:rPr>
      <w:rFonts w:hint="eastAsia" w:ascii="宋体" w:hAnsi="宋体" w:eastAsia="宋体" w:cs="宋体"/>
      <w:color w:val="000000"/>
      <w:sz w:val="32"/>
      <w:szCs w:val="32"/>
      <w:u w:val="none"/>
    </w:rPr>
  </w:style>
  <w:style w:type="character" w:customStyle="1" w:styleId="96">
    <w:name w:val="font31"/>
    <w:qFormat/>
    <w:uiPriority w:val="0"/>
    <w:rPr>
      <w:rFonts w:hint="default" w:ascii="Times New Roman" w:hAnsi="Times New Roman" w:cs="Times New Roman"/>
      <w:color w:val="000000"/>
      <w:sz w:val="32"/>
      <w:szCs w:val="32"/>
      <w:u w:val="none"/>
    </w:rPr>
  </w:style>
  <w:style w:type="table" w:customStyle="1" w:styleId="9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60</Pages>
  <Words>24173</Words>
  <Characters>26202</Characters>
  <Lines>200</Lines>
  <Paragraphs>56</Paragraphs>
  <TotalTime>8</TotalTime>
  <ScaleCrop>false</ScaleCrop>
  <LinksUpToDate>false</LinksUpToDate>
  <CharactersWithSpaces>27839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2019-08-11T03:55:00Z</dcterms:created>
  <dc:creator>陈晓东</dc:creator>
  <cp:lastModifiedBy>春風十里</cp:lastModifiedBy>
  <cp:lastPrinted>2021-06-10T03:08:00Z</cp:lastPrinted>
  <dcterms:modified xsi:type="dcterms:W3CDTF">2023-04-26T11:46:56Z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D218101AF5EE4EBCA0AE15FEE60E2F5A_13</vt:lpwstr>
  </property>
</Properties>
</file>