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52"/>
          <w:szCs w:val="52"/>
        </w:rPr>
      </w:pPr>
      <w:bookmarkStart w:id="37" w:name="_GoBack"/>
      <w:bookmarkEnd w:id="37"/>
    </w:p>
    <w:p>
      <w:pPr>
        <w:pStyle w:val="2"/>
        <w:rPr>
          <w:rFonts w:hint="eastAsia"/>
        </w:rPr>
      </w:pPr>
    </w:p>
    <w:p>
      <w:pPr>
        <w:jc w:val="center"/>
        <w:rPr>
          <w:rFonts w:hint="eastAsia" w:ascii="宋体" w:hAnsi="宋体" w:eastAsia="宋体" w:cs="宋体"/>
          <w:b/>
          <w:bCs/>
          <w:sz w:val="52"/>
          <w:szCs w:val="52"/>
        </w:rPr>
      </w:pPr>
      <w:r>
        <w:rPr>
          <w:rFonts w:hint="eastAsia" w:ascii="宋体" w:hAnsi="宋体" w:eastAsia="宋体" w:cs="宋体"/>
          <w:b/>
          <w:bCs/>
          <w:sz w:val="52"/>
          <w:szCs w:val="52"/>
        </w:rPr>
        <w:t>莎车县公安局350兆数字集群</w:t>
      </w:r>
    </w:p>
    <w:p>
      <w:pPr>
        <w:jc w:val="center"/>
        <w:rPr>
          <w:rFonts w:hint="eastAsia" w:ascii="宋体" w:hAnsi="宋体" w:eastAsia="宋体" w:cs="宋体"/>
          <w:b/>
          <w:bCs/>
          <w:sz w:val="52"/>
          <w:szCs w:val="52"/>
        </w:rPr>
      </w:pPr>
      <w:r>
        <w:rPr>
          <w:rFonts w:hint="eastAsia" w:ascii="宋体" w:hAnsi="宋体" w:eastAsia="宋体" w:cs="宋体"/>
          <w:b/>
          <w:bCs/>
          <w:sz w:val="52"/>
          <w:szCs w:val="52"/>
        </w:rPr>
        <w:t>对讲机基站补点项目</w:t>
      </w:r>
    </w:p>
    <w:p>
      <w:pPr>
        <w:jc w:val="center"/>
        <w:rPr>
          <w:rFonts w:hint="eastAsia" w:ascii="宋体" w:hAnsi="宋体" w:eastAsia="宋体" w:cs="宋体"/>
          <w:b/>
          <w:bCs/>
          <w:sz w:val="52"/>
          <w:szCs w:val="52"/>
        </w:rPr>
      </w:pPr>
    </w:p>
    <w:p>
      <w:pPr>
        <w:jc w:val="both"/>
        <w:rPr>
          <w:rFonts w:hint="eastAsia" w:ascii="宋体" w:hAnsi="宋体" w:eastAsia="宋体" w:cs="宋体"/>
          <w:b/>
          <w:bCs/>
          <w:sz w:val="52"/>
          <w:szCs w:val="52"/>
          <w:lang w:val="en-US" w:eastAsia="zh-CN"/>
        </w:rPr>
      </w:pPr>
    </w:p>
    <w:p>
      <w:pPr>
        <w:jc w:val="both"/>
        <w:rPr>
          <w:rFonts w:hint="eastAsia" w:ascii="宋体" w:hAnsi="宋体" w:eastAsia="宋体" w:cs="宋体"/>
          <w:b/>
          <w:bCs/>
          <w:sz w:val="52"/>
          <w:szCs w:val="52"/>
          <w:lang w:val="en-US" w:eastAsia="zh-CN"/>
        </w:rPr>
      </w:pPr>
    </w:p>
    <w:p>
      <w:pPr>
        <w:jc w:val="center"/>
        <w:rPr>
          <w:rFonts w:hint="default" w:ascii="宋体" w:hAnsi="宋体" w:eastAsia="宋体" w:cs="宋体"/>
          <w:b/>
          <w:bCs/>
          <w:sz w:val="36"/>
          <w:szCs w:val="36"/>
          <w:lang w:val="en-US" w:eastAsia="zh-CN"/>
        </w:rPr>
      </w:pPr>
      <w:r>
        <w:rPr>
          <w:rFonts w:hint="eastAsia" w:ascii="宋体" w:hAnsi="宋体" w:eastAsia="宋体" w:cs="宋体"/>
          <w:b/>
          <w:bCs/>
          <w:sz w:val="52"/>
          <w:szCs w:val="52"/>
          <w:lang w:val="en-US" w:eastAsia="zh-CN"/>
        </w:rPr>
        <w:t>单一来源采购文件</w:t>
      </w:r>
    </w:p>
    <w:p>
      <w:pPr>
        <w:rPr>
          <w:rFonts w:hint="eastAsia" w:ascii="宋体" w:hAnsi="宋体" w:eastAsia="宋体" w:cs="宋体"/>
          <w:sz w:val="36"/>
          <w:szCs w:val="36"/>
        </w:rPr>
      </w:pPr>
      <w:bookmarkStart w:id="0" w:name="_Toc23346"/>
    </w:p>
    <w:p>
      <w:pPr>
        <w:rPr>
          <w:rFonts w:hint="eastAsia" w:ascii="宋体" w:hAnsi="宋体" w:eastAsia="宋体" w:cs="宋体"/>
          <w:sz w:val="36"/>
          <w:szCs w:val="36"/>
        </w:rPr>
      </w:pPr>
    </w:p>
    <w:p>
      <w:pPr>
        <w:rPr>
          <w:rFonts w:hint="eastAsia" w:ascii="宋体" w:hAnsi="宋体" w:eastAsia="宋体" w:cs="宋体"/>
          <w:sz w:val="36"/>
          <w:szCs w:val="36"/>
        </w:rPr>
      </w:pPr>
    </w:p>
    <w:p>
      <w:pPr>
        <w:rPr>
          <w:rFonts w:hint="eastAsia" w:ascii="宋体" w:hAnsi="宋体" w:eastAsia="宋体" w:cs="宋体"/>
          <w:sz w:val="36"/>
          <w:szCs w:val="36"/>
        </w:rPr>
      </w:pPr>
    </w:p>
    <w:p>
      <w:pPr>
        <w:ind w:firstLine="383" w:firstLineChars="100"/>
        <w:rPr>
          <w:rFonts w:hint="eastAsia" w:ascii="宋体" w:hAnsi="宋体" w:eastAsia="宋体" w:cs="宋体"/>
          <w:b/>
          <w:snapToGrid w:val="0"/>
          <w:kern w:val="0"/>
          <w:sz w:val="36"/>
          <w:szCs w:val="36"/>
          <w:highlight w:val="none"/>
          <w:u w:val="single"/>
          <w:lang w:val="en-US" w:eastAsia="zh-CN" w:bidi="ar-SA"/>
        </w:rPr>
      </w:pPr>
      <w:r>
        <w:rPr>
          <w:rFonts w:hint="eastAsia" w:ascii="宋体" w:hAnsi="宋体" w:eastAsia="宋体" w:cs="宋体"/>
          <w:b/>
          <w:bCs/>
          <w:sz w:val="36"/>
          <w:szCs w:val="36"/>
        </w:rPr>
        <w:t>项目名称</w:t>
      </w:r>
      <w:r>
        <w:rPr>
          <w:rFonts w:hint="eastAsia" w:ascii="宋体" w:hAnsi="宋体" w:eastAsia="宋体" w:cs="宋体"/>
          <w:sz w:val="36"/>
          <w:szCs w:val="36"/>
        </w:rPr>
        <w:t>：</w:t>
      </w:r>
      <w:bookmarkEnd w:id="0"/>
      <w:r>
        <w:rPr>
          <w:rFonts w:hint="eastAsia" w:ascii="宋体" w:hAnsi="宋体" w:eastAsia="宋体" w:cs="宋体"/>
          <w:b/>
          <w:snapToGrid w:val="0"/>
          <w:kern w:val="0"/>
          <w:sz w:val="36"/>
          <w:szCs w:val="36"/>
          <w:highlight w:val="none"/>
          <w:u w:val="single"/>
          <w:lang w:val="en-US" w:eastAsia="zh-CN" w:bidi="ar-SA"/>
        </w:rPr>
        <w:t>莎车县公安局350兆数字集群对</w:t>
      </w:r>
    </w:p>
    <w:p>
      <w:pPr>
        <w:ind w:firstLine="2298" w:firstLineChars="600"/>
        <w:rPr>
          <w:rFonts w:hint="eastAsia" w:ascii="宋体" w:hAnsi="宋体" w:eastAsia="宋体" w:cs="宋体"/>
          <w:b/>
          <w:snapToGrid w:val="0"/>
          <w:kern w:val="0"/>
          <w:sz w:val="36"/>
          <w:szCs w:val="36"/>
          <w:highlight w:val="none"/>
          <w:u w:val="single"/>
          <w:lang w:val="en-US" w:eastAsia="zh-CN" w:bidi="ar-SA"/>
        </w:rPr>
      </w:pPr>
      <w:r>
        <w:rPr>
          <w:rFonts w:hint="eastAsia" w:ascii="宋体" w:hAnsi="宋体" w:eastAsia="宋体" w:cs="宋体"/>
          <w:b/>
          <w:snapToGrid w:val="0"/>
          <w:kern w:val="0"/>
          <w:sz w:val="36"/>
          <w:szCs w:val="36"/>
          <w:highlight w:val="none"/>
          <w:u w:val="single"/>
          <w:lang w:val="en-US" w:eastAsia="zh-CN" w:bidi="ar-SA"/>
        </w:rPr>
        <w:t>讲机基站补点项目</w:t>
      </w:r>
    </w:p>
    <w:p>
      <w:pPr>
        <w:pStyle w:val="2"/>
        <w:ind w:left="0" w:leftChars="0" w:firstLine="383" w:firstLineChars="100"/>
        <w:rPr>
          <w:rFonts w:hint="eastAsia" w:ascii="宋体" w:hAnsi="宋体" w:eastAsia="宋体" w:cs="宋体"/>
          <w:b/>
          <w:snapToGrid w:val="0"/>
          <w:kern w:val="0"/>
          <w:sz w:val="36"/>
          <w:szCs w:val="36"/>
          <w:highlight w:val="none"/>
          <w:u w:val="single"/>
          <w:lang w:val="en-US" w:eastAsia="zh-CN" w:bidi="ar-SA"/>
        </w:rPr>
      </w:pPr>
      <w:r>
        <w:rPr>
          <w:rFonts w:hint="eastAsia" w:ascii="宋体" w:hAnsi="宋体" w:eastAsia="宋体" w:cs="宋体"/>
          <w:b/>
          <w:snapToGrid w:val="0"/>
          <w:kern w:val="0"/>
          <w:sz w:val="36"/>
          <w:szCs w:val="36"/>
          <w:highlight w:val="none"/>
          <w:u w:val="none"/>
          <w:lang w:val="en-US" w:eastAsia="zh-CN" w:bidi="ar-SA"/>
        </w:rPr>
        <w:t>项目编号：</w:t>
      </w:r>
      <w:r>
        <w:rPr>
          <w:rFonts w:hint="eastAsia" w:ascii="宋体" w:hAnsi="宋体" w:eastAsia="宋体" w:cs="宋体"/>
          <w:b/>
          <w:snapToGrid w:val="0"/>
          <w:kern w:val="0"/>
          <w:sz w:val="36"/>
          <w:szCs w:val="36"/>
          <w:highlight w:val="none"/>
          <w:u w:val="single"/>
          <w:lang w:val="en-US" w:eastAsia="zh-CN" w:bidi="ar-SA"/>
        </w:rPr>
        <w:t>KSHM-SCXCG-2021-01</w:t>
      </w:r>
    </w:p>
    <w:p>
      <w:pPr>
        <w:pStyle w:val="4"/>
        <w:ind w:firstLine="383" w:firstLineChars="100"/>
        <w:rPr>
          <w:rFonts w:hint="eastAsia" w:ascii="宋体" w:hAnsi="宋体" w:eastAsia="宋体" w:cs="宋体"/>
          <w:sz w:val="36"/>
          <w:szCs w:val="36"/>
          <w:highlight w:val="none"/>
          <w:u w:val="single"/>
        </w:rPr>
      </w:pPr>
      <w:bookmarkStart w:id="1" w:name="_Toc28492"/>
      <w:r>
        <w:rPr>
          <w:rFonts w:hint="eastAsia" w:ascii="宋体" w:hAnsi="宋体" w:eastAsia="宋体" w:cs="宋体"/>
          <w:sz w:val="36"/>
          <w:szCs w:val="36"/>
          <w:highlight w:val="none"/>
        </w:rPr>
        <w:t>采购方式：</w:t>
      </w:r>
      <w:r>
        <w:rPr>
          <w:rFonts w:hint="eastAsia" w:ascii="宋体" w:hAnsi="宋体" w:eastAsia="宋体" w:cs="宋体"/>
          <w:sz w:val="36"/>
          <w:szCs w:val="36"/>
          <w:highlight w:val="none"/>
          <w:u w:val="single"/>
        </w:rPr>
        <w:t>单一来源采购</w:t>
      </w:r>
      <w:bookmarkEnd w:id="1"/>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u w:val="none"/>
        </w:rPr>
        <w:t xml:space="preserve"> </w:t>
      </w:r>
    </w:p>
    <w:p>
      <w:pPr>
        <w:ind w:firstLine="383" w:firstLineChars="100"/>
        <w:rPr>
          <w:rFonts w:hint="eastAsia" w:ascii="宋体" w:hAnsi="宋体" w:eastAsia="宋体" w:cs="宋体"/>
          <w:b/>
          <w:snapToGrid w:val="0"/>
          <w:kern w:val="0"/>
          <w:sz w:val="36"/>
          <w:szCs w:val="36"/>
          <w:highlight w:val="none"/>
          <w:u w:val="none"/>
          <w:lang w:val="en-US" w:eastAsia="zh-CN"/>
        </w:rPr>
      </w:pPr>
      <w:r>
        <w:rPr>
          <w:rFonts w:hint="eastAsia" w:ascii="宋体" w:hAnsi="宋体" w:eastAsia="宋体" w:cs="宋体"/>
          <w:b/>
          <w:snapToGrid w:val="0"/>
          <w:kern w:val="0"/>
          <w:sz w:val="36"/>
          <w:szCs w:val="36"/>
          <w:highlight w:val="none"/>
          <w:u w:val="none"/>
        </w:rPr>
        <w:t>采</w:t>
      </w:r>
      <w:r>
        <w:rPr>
          <w:rFonts w:hint="eastAsia" w:ascii="宋体" w:hAnsi="宋体" w:eastAsia="宋体" w:cs="宋体"/>
          <w:b/>
          <w:snapToGrid w:val="0"/>
          <w:kern w:val="0"/>
          <w:sz w:val="36"/>
          <w:szCs w:val="36"/>
          <w:highlight w:val="none"/>
          <w:u w:val="none"/>
          <w:lang w:val="en-US" w:eastAsia="zh-CN"/>
        </w:rPr>
        <w:t xml:space="preserve"> </w:t>
      </w:r>
      <w:r>
        <w:rPr>
          <w:rFonts w:hint="eastAsia" w:ascii="宋体" w:hAnsi="宋体" w:eastAsia="宋体" w:cs="宋体"/>
          <w:b/>
          <w:snapToGrid w:val="0"/>
          <w:kern w:val="0"/>
          <w:sz w:val="36"/>
          <w:szCs w:val="36"/>
          <w:highlight w:val="none"/>
          <w:u w:val="none"/>
        </w:rPr>
        <w:t>购</w:t>
      </w:r>
      <w:r>
        <w:rPr>
          <w:rFonts w:hint="eastAsia" w:ascii="宋体" w:hAnsi="宋体" w:eastAsia="宋体" w:cs="宋体"/>
          <w:b/>
          <w:snapToGrid w:val="0"/>
          <w:kern w:val="0"/>
          <w:sz w:val="36"/>
          <w:szCs w:val="36"/>
          <w:highlight w:val="none"/>
          <w:u w:val="none"/>
          <w:lang w:val="en-US" w:eastAsia="zh-CN"/>
        </w:rPr>
        <w:t xml:space="preserve"> </w:t>
      </w:r>
      <w:r>
        <w:rPr>
          <w:rFonts w:hint="eastAsia" w:ascii="宋体" w:hAnsi="宋体" w:eastAsia="宋体" w:cs="宋体"/>
          <w:b/>
          <w:snapToGrid w:val="0"/>
          <w:kern w:val="0"/>
          <w:sz w:val="36"/>
          <w:szCs w:val="36"/>
          <w:highlight w:val="none"/>
          <w:u w:val="none"/>
        </w:rPr>
        <w:t>人：</w:t>
      </w:r>
      <w:r>
        <w:rPr>
          <w:rFonts w:hint="eastAsia" w:ascii="宋体" w:hAnsi="宋体" w:eastAsia="宋体" w:cs="宋体"/>
          <w:b/>
          <w:snapToGrid w:val="0"/>
          <w:kern w:val="0"/>
          <w:sz w:val="36"/>
          <w:szCs w:val="36"/>
          <w:highlight w:val="none"/>
          <w:u w:val="single"/>
          <w:lang w:val="en-US" w:eastAsia="zh-CN"/>
        </w:rPr>
        <w:t>莎车县公安局</w:t>
      </w:r>
    </w:p>
    <w:p>
      <w:pPr>
        <w:pStyle w:val="2"/>
        <w:ind w:left="0" w:leftChars="0" w:firstLine="383" w:firstLineChars="100"/>
        <w:rPr>
          <w:rFonts w:hint="eastAsia" w:ascii="宋体" w:hAnsi="宋体" w:eastAsia="宋体" w:cs="宋体"/>
          <w:b/>
          <w:snapToGrid w:val="0"/>
          <w:kern w:val="0"/>
          <w:sz w:val="36"/>
          <w:szCs w:val="36"/>
          <w:highlight w:val="none"/>
          <w:u w:val="single"/>
          <w:lang w:val="en-US" w:eastAsia="zh-CN"/>
        </w:rPr>
      </w:pPr>
      <w:r>
        <w:rPr>
          <w:rFonts w:hint="eastAsia" w:ascii="宋体" w:hAnsi="宋体" w:eastAsia="宋体" w:cs="宋体"/>
          <w:b/>
          <w:snapToGrid w:val="0"/>
          <w:kern w:val="0"/>
          <w:sz w:val="36"/>
          <w:szCs w:val="36"/>
          <w:highlight w:val="none"/>
          <w:u w:val="none"/>
        </w:rPr>
        <w:t>采购代理公司：</w:t>
      </w:r>
      <w:r>
        <w:rPr>
          <w:rFonts w:hint="eastAsia" w:ascii="宋体" w:hAnsi="宋体" w:eastAsia="宋体" w:cs="宋体"/>
          <w:b/>
          <w:snapToGrid w:val="0"/>
          <w:kern w:val="0"/>
          <w:sz w:val="36"/>
          <w:szCs w:val="36"/>
          <w:highlight w:val="none"/>
          <w:u w:val="single"/>
          <w:lang w:val="en-US" w:eastAsia="zh-CN"/>
        </w:rPr>
        <w:t>喀什华迈工程管理咨询有限公司</w:t>
      </w:r>
    </w:p>
    <w:p>
      <w:pPr>
        <w:pStyle w:val="2"/>
        <w:rPr>
          <w:rFonts w:hint="eastAsia" w:ascii="楷体_GB2312" w:hAnsi="Arial" w:eastAsia="楷体_GB2312" w:cs="Times New Roman"/>
          <w:b/>
          <w:snapToGrid w:val="0"/>
          <w:kern w:val="0"/>
          <w:sz w:val="36"/>
          <w:szCs w:val="36"/>
          <w:highlight w:val="none"/>
          <w:u w:val="none"/>
          <w:lang w:val="en-US" w:eastAsia="zh-CN"/>
        </w:rPr>
      </w:pPr>
    </w:p>
    <w:p>
      <w:pPr>
        <w:jc w:val="center"/>
        <w:rPr>
          <w:rFonts w:hint="eastAsia" w:ascii="方正小标宋简体" w:hAnsi="宋体" w:eastAsia="方正小标宋简体"/>
          <w:bCs/>
          <w:kern w:val="0"/>
          <w:sz w:val="32"/>
          <w:szCs w:val="32"/>
        </w:rPr>
      </w:pPr>
      <w:r>
        <w:rPr>
          <w:rFonts w:hint="eastAsia" w:ascii="宋体" w:hAnsi="宋体" w:eastAsia="宋体" w:cs="宋体"/>
          <w:bCs/>
          <w:kern w:val="0"/>
          <w:sz w:val="32"/>
          <w:szCs w:val="32"/>
        </w:rPr>
        <w:t>特别提示：谈判报价注意事项</w:t>
      </w:r>
    </w:p>
    <w:p>
      <w:pPr>
        <w:pStyle w:val="12"/>
        <w:spacing w:line="560" w:lineRule="exact"/>
        <w:ind w:left="1303" w:firstLine="0"/>
        <w:jc w:val="both"/>
        <w:rPr>
          <w:rFonts w:hint="eastAsia" w:ascii="黑体" w:hAnsi="宋体" w:eastAsia="黑体"/>
          <w:color w:val="auto"/>
          <w:sz w:val="28"/>
          <w:szCs w:val="28"/>
        </w:rPr>
      </w:pPr>
    </w:p>
    <w:p>
      <w:pPr>
        <w:pStyle w:val="12"/>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供应商应特别留意采购文件上载明的报价文件递交开始截止时间，逾期送达（含邮寄送达）的报价文件概不接受。</w:t>
      </w:r>
    </w:p>
    <w:p>
      <w:pPr>
        <w:pStyle w:val="12"/>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供应商须交纳谈判保证金，保证金应在报价截止时间前以非现金形式提交。未按规定提交保证金的，报价无效。</w:t>
      </w:r>
    </w:p>
    <w:p>
      <w:pPr>
        <w:pStyle w:val="12"/>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请仔细检查采购文件要求提交的相关证书的有效期和审核信息。</w:t>
      </w:r>
    </w:p>
    <w:p>
      <w:pPr>
        <w:pStyle w:val="12"/>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请仔细检查报价文件是否按要求盖公章、签名、签署日期、胶装成册。报价文件需签名之处必须由当事人亲笔签署。</w:t>
      </w:r>
    </w:p>
    <w:p>
      <w:pPr>
        <w:pStyle w:val="12"/>
        <w:numPr>
          <w:ilvl w:val="0"/>
          <w:numId w:val="1"/>
        </w:numPr>
        <w:spacing w:line="400" w:lineRule="exact"/>
        <w:ind w:firstLine="522" w:firstLineChars="199"/>
        <w:jc w:val="both"/>
        <w:textAlignment w:val="auto"/>
        <w:rPr>
          <w:rFonts w:hint="eastAsia" w:ascii="黑体" w:hAnsi="宋体" w:eastAsia="黑体"/>
          <w:snapToGrid w:val="0"/>
          <w:color w:val="auto"/>
        </w:rPr>
      </w:pPr>
      <w:r>
        <w:rPr>
          <w:rFonts w:hint="eastAsia" w:ascii="黑体" w:hAnsi="宋体" w:eastAsia="黑体"/>
          <w:snapToGrid w:val="0"/>
          <w:color w:val="auto"/>
        </w:rPr>
        <w:t>带★号的条款均为实质性响应指标要求，必须全部响应。若有一项带“★”的指标要求未响应或不满足，均视为非实质性响应采购文件。</w:t>
      </w:r>
    </w:p>
    <w:p>
      <w:pPr>
        <w:pStyle w:val="12"/>
        <w:numPr>
          <w:ilvl w:val="0"/>
          <w:numId w:val="1"/>
        </w:numPr>
        <w:spacing w:line="400" w:lineRule="exact"/>
        <w:ind w:firstLine="522" w:firstLineChars="199"/>
        <w:jc w:val="both"/>
        <w:textAlignment w:val="auto"/>
        <w:rPr>
          <w:rFonts w:hint="eastAsia" w:ascii="宋体" w:hAnsi="宋体"/>
          <w:snapToGrid w:val="0"/>
          <w:color w:val="auto"/>
          <w:sz w:val="28"/>
          <w:szCs w:val="28"/>
        </w:rPr>
      </w:pPr>
      <w:r>
        <w:rPr>
          <w:rFonts w:hint="eastAsia" w:ascii="黑体" w:hAnsi="宋体" w:eastAsia="黑体"/>
          <w:snapToGrid w:val="0"/>
          <w:color w:val="auto"/>
        </w:rPr>
        <w:t>供应商发现购买采购文件时提交的相关资料被盗用或复制，应遵循法律途径解决，追究侵权者责任。</w:t>
      </w:r>
    </w:p>
    <w:p>
      <w:pPr>
        <w:widowControl/>
        <w:jc w:val="left"/>
        <w:rPr>
          <w:rFonts w:ascii="华文中宋" w:hAnsi="华文中宋" w:eastAsia="华文中宋" w:cs="宋体"/>
          <w:b/>
          <w:bCs/>
          <w:snapToGrid w:val="0"/>
          <w:kern w:val="0"/>
          <w:sz w:val="24"/>
        </w:rPr>
        <w:sectPr>
          <w:footerReference r:id="rId3" w:type="default"/>
          <w:pgSz w:w="11907" w:h="16840"/>
          <w:pgMar w:top="1418" w:right="1134" w:bottom="1134" w:left="1418" w:header="851" w:footer="567" w:gutter="0"/>
          <w:pgNumType w:start="0"/>
          <w:cols w:space="720" w:num="1"/>
          <w:docGrid w:type="linesAndChars" w:linePitch="376" w:charSpace="4889"/>
        </w:sectPr>
      </w:pPr>
    </w:p>
    <w:p>
      <w:pPr>
        <w:spacing w:before="0" w:beforeLines="0" w:after="0" w:afterLines="0" w:line="240" w:lineRule="auto"/>
        <w:ind w:left="0" w:leftChars="0" w:right="0" w:rightChars="0" w:firstLine="0" w:firstLineChars="0"/>
        <w:jc w:val="center"/>
        <w:rPr>
          <w:sz w:val="44"/>
          <w:szCs w:val="52"/>
          <w:highlight w:val="none"/>
        </w:rPr>
      </w:pPr>
      <w:r>
        <w:rPr>
          <w:rFonts w:ascii="宋体" w:hAnsi="宋体" w:eastAsia="宋体"/>
          <w:sz w:val="44"/>
          <w:szCs w:val="52"/>
          <w:highlight w:val="none"/>
        </w:rPr>
        <w:t>目录</w:t>
      </w:r>
    </w:p>
    <w:p>
      <w:pPr>
        <w:pStyle w:val="13"/>
        <w:tabs>
          <w:tab w:val="right" w:leader="dot" w:pos="9355"/>
        </w:tabs>
        <w:rPr>
          <w:rFonts w:hint="eastAsia" w:ascii="Times New Roman" w:hAnsi="Times New Roman" w:eastAsia="方正小标宋简体" w:cs="Times New Roman"/>
          <w:bCs/>
          <w:szCs w:val="44"/>
          <w:highlight w:val="none"/>
        </w:rPr>
      </w:pPr>
      <w:r>
        <w:rPr>
          <w:rFonts w:hint="eastAsia"/>
          <w:highlight w:val="none"/>
        </w:rPr>
        <w:fldChar w:fldCharType="begin"/>
      </w:r>
      <w:r>
        <w:rPr>
          <w:rFonts w:hint="eastAsia"/>
          <w:highlight w:val="none"/>
        </w:rPr>
        <w:instrText xml:space="preserve">TOC \o "1-3" \h \u </w:instrText>
      </w:r>
      <w:r>
        <w:rPr>
          <w:rFonts w:hint="eastAsia"/>
          <w:highlight w:val="none"/>
        </w:rPr>
        <w:fldChar w:fldCharType="separate"/>
      </w:r>
    </w:p>
    <w:p>
      <w:pPr>
        <w:pStyle w:val="14"/>
        <w:tabs>
          <w:tab w:val="right" w:leader="dot" w:pos="9355"/>
        </w:tabs>
        <w:rPr>
          <w:rFonts w:hint="eastAsia" w:ascii="Times New Roman" w:hAnsi="Times New Roman" w:eastAsia="方正小标宋简体" w:cs="Times New Roman"/>
          <w:bCs/>
          <w:sz w:val="21"/>
          <w:szCs w:val="48"/>
          <w:highlight w:val="none"/>
        </w:rPr>
      </w:pPr>
      <w:r>
        <w:rPr>
          <w:rFonts w:hint="eastAsia" w:ascii="Times New Roman" w:hAnsi="Times New Roman" w:eastAsia="方正小标宋简体" w:cs="Times New Roman"/>
          <w:bCs/>
          <w:sz w:val="21"/>
          <w:szCs w:val="48"/>
          <w:highlight w:val="none"/>
        </w:rPr>
        <w:fldChar w:fldCharType="begin"/>
      </w:r>
      <w:r>
        <w:rPr>
          <w:rFonts w:hint="eastAsia" w:ascii="Times New Roman" w:hAnsi="Times New Roman" w:eastAsia="方正小标宋简体" w:cs="Times New Roman"/>
          <w:bCs/>
          <w:sz w:val="21"/>
          <w:szCs w:val="48"/>
          <w:highlight w:val="none"/>
        </w:rPr>
        <w:instrText xml:space="preserve"> HYPERLINK \l _Toc16437 </w:instrText>
      </w:r>
      <w:r>
        <w:rPr>
          <w:rFonts w:hint="eastAsia" w:ascii="Times New Roman" w:hAnsi="Times New Roman" w:eastAsia="方正小标宋简体" w:cs="Times New Roman"/>
          <w:bCs/>
          <w:sz w:val="21"/>
          <w:szCs w:val="48"/>
          <w:highlight w:val="none"/>
        </w:rPr>
        <w:fldChar w:fldCharType="separate"/>
      </w:r>
      <w:r>
        <w:rPr>
          <w:rFonts w:hint="eastAsia" w:ascii="Times New Roman" w:hAnsi="Times New Roman" w:eastAsia="方正小标宋简体" w:cs="Times New Roman"/>
          <w:bCs/>
          <w:sz w:val="21"/>
          <w:szCs w:val="48"/>
          <w:highlight w:val="none"/>
        </w:rPr>
        <w:t>第一部分  谈判邀请函</w:t>
      </w:r>
      <w:r>
        <w:rPr>
          <w:rFonts w:hint="eastAsia" w:ascii="Times New Roman" w:hAnsi="Times New Roman" w:eastAsia="方正小标宋简体" w:cs="Times New Roman"/>
          <w:bCs/>
          <w:sz w:val="21"/>
          <w:szCs w:val="48"/>
          <w:highlight w:val="none"/>
        </w:rPr>
        <w:tab/>
      </w:r>
      <w:r>
        <w:rPr>
          <w:rFonts w:hint="eastAsia" w:eastAsia="方正小标宋简体" w:cs="Times New Roman"/>
          <w:bCs/>
          <w:sz w:val="21"/>
          <w:szCs w:val="48"/>
          <w:highlight w:val="none"/>
          <w:lang w:val="en-US" w:eastAsia="zh-CN"/>
        </w:rPr>
        <w:t>3</w:t>
      </w:r>
      <w:r>
        <w:rPr>
          <w:rFonts w:hint="eastAsia" w:ascii="Times New Roman" w:hAnsi="Times New Roman" w:eastAsia="方正小标宋简体" w:cs="Times New Roman"/>
          <w:bCs/>
          <w:sz w:val="21"/>
          <w:szCs w:val="48"/>
          <w:highlight w:val="none"/>
        </w:rPr>
        <w:fldChar w:fldCharType="end"/>
      </w:r>
    </w:p>
    <w:p>
      <w:pPr>
        <w:pStyle w:val="14"/>
        <w:tabs>
          <w:tab w:val="right" w:leader="dot" w:pos="9355"/>
        </w:tabs>
        <w:rPr>
          <w:rFonts w:hint="eastAsia" w:ascii="Times New Roman" w:hAnsi="Times New Roman" w:eastAsia="方正小标宋简体" w:cs="Times New Roman"/>
          <w:bCs/>
          <w:sz w:val="21"/>
          <w:szCs w:val="48"/>
          <w:highlight w:val="none"/>
          <w:lang w:val="en-US" w:eastAsia="zh-CN"/>
        </w:rPr>
      </w:pPr>
      <w:r>
        <w:rPr>
          <w:rFonts w:hint="eastAsia" w:ascii="Times New Roman" w:hAnsi="Times New Roman" w:eastAsia="方正小标宋简体" w:cs="Times New Roman"/>
          <w:bCs/>
          <w:sz w:val="21"/>
          <w:szCs w:val="48"/>
          <w:highlight w:val="none"/>
          <w:lang w:val="en-US" w:eastAsia="zh-CN"/>
        </w:rPr>
        <w:t xml:space="preserve">第二部分  </w:t>
      </w:r>
      <w:r>
        <w:rPr>
          <w:rFonts w:hint="eastAsia" w:ascii="Times New Roman" w:hAnsi="Times New Roman" w:eastAsia="方正小标宋简体" w:cs="Times New Roman"/>
          <w:bCs/>
          <w:snapToGrid/>
          <w:sz w:val="21"/>
          <w:szCs w:val="48"/>
          <w:highlight w:val="none"/>
          <w:lang w:val="zh-CN"/>
        </w:rPr>
        <w:t>商务和技术需求</w:t>
      </w:r>
      <w:r>
        <w:rPr>
          <w:rFonts w:hint="eastAsia" w:ascii="Times New Roman" w:hAnsi="Times New Roman" w:eastAsia="方正小标宋简体" w:cs="Times New Roman"/>
          <w:bCs/>
          <w:snapToGrid/>
          <w:sz w:val="21"/>
          <w:szCs w:val="48"/>
          <w:highlight w:val="none"/>
          <w:lang w:val="en-US" w:eastAsia="zh-CN"/>
        </w:rPr>
        <w:t>...................................................................</w:t>
      </w:r>
      <w:r>
        <w:rPr>
          <w:rFonts w:hint="eastAsia" w:eastAsia="方正小标宋简体" w:cs="Times New Roman"/>
          <w:bCs/>
          <w:snapToGrid/>
          <w:sz w:val="21"/>
          <w:szCs w:val="48"/>
          <w:highlight w:val="none"/>
          <w:lang w:val="en-US" w:eastAsia="zh-CN"/>
        </w:rPr>
        <w:t xml:space="preserve"> </w:t>
      </w:r>
      <w:r>
        <w:rPr>
          <w:rFonts w:hint="eastAsia" w:ascii="Times New Roman" w:hAnsi="Times New Roman" w:eastAsia="方正小标宋简体" w:cs="Times New Roman"/>
          <w:bCs/>
          <w:snapToGrid/>
          <w:sz w:val="21"/>
          <w:szCs w:val="48"/>
          <w:highlight w:val="none"/>
          <w:lang w:val="en-US" w:eastAsia="zh-CN"/>
        </w:rPr>
        <w:t>............................................................</w:t>
      </w:r>
      <w:r>
        <w:rPr>
          <w:rFonts w:hint="eastAsia" w:eastAsia="方正小标宋简体" w:cs="Times New Roman"/>
          <w:bCs/>
          <w:snapToGrid/>
          <w:sz w:val="21"/>
          <w:szCs w:val="48"/>
          <w:highlight w:val="none"/>
          <w:lang w:val="en-US" w:eastAsia="zh-CN"/>
        </w:rPr>
        <w:t>5</w:t>
      </w:r>
    </w:p>
    <w:p>
      <w:pPr>
        <w:pStyle w:val="14"/>
        <w:tabs>
          <w:tab w:val="right" w:leader="dot" w:pos="9355"/>
        </w:tabs>
        <w:rPr>
          <w:rFonts w:hint="eastAsia" w:eastAsia="宋体"/>
          <w:sz w:val="21"/>
          <w:szCs w:val="21"/>
          <w:highlight w:val="none"/>
          <w:lang w:val="en-US" w:eastAsia="zh-CN"/>
        </w:rPr>
      </w:pPr>
      <w:r>
        <w:rPr>
          <w:rFonts w:hint="eastAsia"/>
          <w:sz w:val="21"/>
          <w:szCs w:val="21"/>
          <w:highlight w:val="none"/>
        </w:rPr>
        <w:fldChar w:fldCharType="begin"/>
      </w:r>
      <w:r>
        <w:rPr>
          <w:rFonts w:hint="eastAsia"/>
          <w:sz w:val="21"/>
          <w:szCs w:val="21"/>
          <w:highlight w:val="none"/>
        </w:rPr>
        <w:instrText xml:space="preserve"> HYPERLINK \l _Toc15573 </w:instrText>
      </w:r>
      <w:r>
        <w:rPr>
          <w:rFonts w:hint="eastAsia"/>
          <w:sz w:val="21"/>
          <w:szCs w:val="21"/>
          <w:highlight w:val="none"/>
        </w:rPr>
        <w:fldChar w:fldCharType="separate"/>
      </w:r>
      <w:r>
        <w:rPr>
          <w:rFonts w:hint="eastAsia" w:eastAsia="方正小标宋简体"/>
          <w:sz w:val="21"/>
          <w:szCs w:val="48"/>
          <w:highlight w:val="none"/>
        </w:rPr>
        <w:t>第三部分</w:t>
      </w:r>
      <w:r>
        <w:rPr>
          <w:rFonts w:eastAsia="方正小标宋简体"/>
          <w:sz w:val="21"/>
          <w:szCs w:val="48"/>
          <w:highlight w:val="none"/>
        </w:rPr>
        <w:t xml:space="preserve">  </w:t>
      </w:r>
      <w:r>
        <w:rPr>
          <w:rFonts w:hint="eastAsia" w:eastAsia="方正小标宋简体"/>
          <w:sz w:val="21"/>
          <w:szCs w:val="48"/>
          <w:highlight w:val="none"/>
          <w:lang w:val="zh-CN"/>
        </w:rPr>
        <w:t>供应商</w:t>
      </w:r>
      <w:r>
        <w:rPr>
          <w:rFonts w:hint="eastAsia" w:eastAsia="方正小标宋简体"/>
          <w:sz w:val="21"/>
          <w:szCs w:val="48"/>
          <w:highlight w:val="none"/>
        </w:rPr>
        <w:t>须知</w:t>
      </w:r>
      <w:r>
        <w:rPr>
          <w:sz w:val="21"/>
          <w:szCs w:val="21"/>
          <w:highlight w:val="none"/>
        </w:rPr>
        <w:tab/>
      </w:r>
      <w:r>
        <w:rPr>
          <w:rFonts w:hint="eastAsia"/>
          <w:sz w:val="21"/>
          <w:szCs w:val="21"/>
          <w:highlight w:val="none"/>
          <w:lang w:val="en-US" w:eastAsia="zh-CN"/>
        </w:rPr>
        <w:t>1</w:t>
      </w:r>
      <w:r>
        <w:rPr>
          <w:rFonts w:hint="eastAsia"/>
          <w:sz w:val="21"/>
          <w:szCs w:val="21"/>
          <w:highlight w:val="none"/>
        </w:rPr>
        <w:fldChar w:fldCharType="end"/>
      </w:r>
      <w:r>
        <w:rPr>
          <w:rFonts w:hint="eastAsia"/>
          <w:sz w:val="21"/>
          <w:szCs w:val="21"/>
          <w:highlight w:val="none"/>
          <w:lang w:val="en-US" w:eastAsia="zh-CN"/>
        </w:rPr>
        <w:t>7</w:t>
      </w:r>
    </w:p>
    <w:p>
      <w:pPr>
        <w:pStyle w:val="14"/>
        <w:tabs>
          <w:tab w:val="right" w:leader="dot" w:pos="9355"/>
        </w:tabs>
        <w:rPr>
          <w:sz w:val="21"/>
          <w:szCs w:val="21"/>
          <w:highlight w:val="none"/>
        </w:rPr>
      </w:pPr>
      <w:r>
        <w:rPr>
          <w:rFonts w:hint="eastAsia"/>
          <w:sz w:val="21"/>
          <w:szCs w:val="21"/>
          <w:highlight w:val="none"/>
        </w:rPr>
        <w:fldChar w:fldCharType="begin"/>
      </w:r>
      <w:r>
        <w:rPr>
          <w:rFonts w:hint="eastAsia"/>
          <w:sz w:val="21"/>
          <w:szCs w:val="21"/>
          <w:highlight w:val="none"/>
        </w:rPr>
        <w:instrText xml:space="preserve"> HYPERLINK \l _Toc3574 </w:instrText>
      </w:r>
      <w:r>
        <w:rPr>
          <w:rFonts w:hint="eastAsia"/>
          <w:sz w:val="21"/>
          <w:szCs w:val="21"/>
          <w:highlight w:val="none"/>
        </w:rPr>
        <w:fldChar w:fldCharType="separate"/>
      </w:r>
      <w:r>
        <w:rPr>
          <w:rFonts w:hint="eastAsia" w:eastAsia="方正小标宋简体"/>
          <w:bCs/>
          <w:sz w:val="21"/>
          <w:szCs w:val="48"/>
          <w:highlight w:val="none"/>
        </w:rPr>
        <w:t>第四部分</w:t>
      </w:r>
      <w:r>
        <w:rPr>
          <w:rFonts w:eastAsia="方正小标宋简体"/>
          <w:bCs/>
          <w:sz w:val="21"/>
          <w:szCs w:val="48"/>
          <w:highlight w:val="none"/>
        </w:rPr>
        <w:t xml:space="preserve">  </w:t>
      </w:r>
      <w:r>
        <w:rPr>
          <w:rFonts w:hint="eastAsia" w:eastAsia="方正小标宋简体"/>
          <w:bCs/>
          <w:sz w:val="21"/>
          <w:szCs w:val="48"/>
          <w:highlight w:val="none"/>
        </w:rPr>
        <w:t>合同样本</w:t>
      </w:r>
      <w:r>
        <w:rPr>
          <w:sz w:val="21"/>
          <w:szCs w:val="21"/>
          <w:highlight w:val="none"/>
        </w:rPr>
        <w:tab/>
      </w:r>
      <w:r>
        <w:rPr>
          <w:sz w:val="21"/>
          <w:szCs w:val="21"/>
          <w:highlight w:val="none"/>
        </w:rPr>
        <w:fldChar w:fldCharType="begin"/>
      </w:r>
      <w:r>
        <w:rPr>
          <w:sz w:val="21"/>
          <w:szCs w:val="21"/>
          <w:highlight w:val="none"/>
        </w:rPr>
        <w:instrText xml:space="preserve"> PAGEREF _Toc3574 \h </w:instrText>
      </w:r>
      <w:r>
        <w:rPr>
          <w:sz w:val="21"/>
          <w:szCs w:val="21"/>
          <w:highlight w:val="none"/>
        </w:rPr>
        <w:fldChar w:fldCharType="separate"/>
      </w:r>
      <w:r>
        <w:rPr>
          <w:sz w:val="21"/>
          <w:szCs w:val="21"/>
          <w:highlight w:val="none"/>
        </w:rPr>
        <w:t>27</w:t>
      </w:r>
      <w:r>
        <w:rPr>
          <w:sz w:val="21"/>
          <w:szCs w:val="21"/>
          <w:highlight w:val="none"/>
        </w:rPr>
        <w:fldChar w:fldCharType="end"/>
      </w:r>
      <w:r>
        <w:rPr>
          <w:rFonts w:hint="eastAsia"/>
          <w:sz w:val="21"/>
          <w:szCs w:val="21"/>
          <w:highlight w:val="none"/>
        </w:rPr>
        <w:fldChar w:fldCharType="end"/>
      </w:r>
    </w:p>
    <w:p>
      <w:pPr>
        <w:pStyle w:val="14"/>
        <w:tabs>
          <w:tab w:val="right" w:leader="dot" w:pos="9355"/>
        </w:tabs>
        <w:rPr>
          <w:rFonts w:hint="eastAsia" w:eastAsia="宋体"/>
          <w:highlight w:val="none"/>
          <w:lang w:val="en-US" w:eastAsia="zh-CN"/>
        </w:rPr>
      </w:pPr>
      <w:r>
        <w:rPr>
          <w:rFonts w:hint="eastAsia"/>
          <w:sz w:val="21"/>
          <w:szCs w:val="21"/>
          <w:highlight w:val="none"/>
        </w:rPr>
        <w:fldChar w:fldCharType="begin"/>
      </w:r>
      <w:r>
        <w:rPr>
          <w:rFonts w:hint="eastAsia"/>
          <w:sz w:val="21"/>
          <w:szCs w:val="21"/>
          <w:highlight w:val="none"/>
        </w:rPr>
        <w:instrText xml:space="preserve"> HYPERLINK \l _Toc25211 </w:instrText>
      </w:r>
      <w:r>
        <w:rPr>
          <w:rFonts w:hint="eastAsia"/>
          <w:sz w:val="21"/>
          <w:szCs w:val="21"/>
          <w:highlight w:val="none"/>
        </w:rPr>
        <w:fldChar w:fldCharType="separate"/>
      </w:r>
      <w:r>
        <w:rPr>
          <w:rFonts w:hint="eastAsia" w:eastAsia="方正小标宋简体"/>
          <w:sz w:val="21"/>
          <w:szCs w:val="36"/>
          <w:highlight w:val="none"/>
        </w:rPr>
        <w:t>第五部分</w:t>
      </w:r>
      <w:r>
        <w:rPr>
          <w:rFonts w:eastAsia="方正小标宋简体"/>
          <w:sz w:val="21"/>
          <w:szCs w:val="36"/>
          <w:highlight w:val="none"/>
        </w:rPr>
        <w:t xml:space="preserve">  </w:t>
      </w:r>
      <w:r>
        <w:rPr>
          <w:rFonts w:hint="eastAsia" w:eastAsia="方正小标宋简体"/>
          <w:sz w:val="21"/>
          <w:szCs w:val="36"/>
          <w:highlight w:val="none"/>
        </w:rPr>
        <w:t>附件</w:t>
      </w:r>
      <w:r>
        <w:rPr>
          <w:rFonts w:eastAsia="方正小标宋简体"/>
          <w:sz w:val="21"/>
          <w:szCs w:val="36"/>
          <w:highlight w:val="none"/>
        </w:rPr>
        <w:t>/</w:t>
      </w:r>
      <w:r>
        <w:rPr>
          <w:rFonts w:hint="eastAsia" w:eastAsia="方正小标宋简体"/>
          <w:sz w:val="21"/>
          <w:szCs w:val="36"/>
          <w:highlight w:val="none"/>
        </w:rPr>
        <w:t>投标文件格式</w:t>
      </w:r>
      <w:r>
        <w:rPr>
          <w:sz w:val="21"/>
          <w:szCs w:val="21"/>
          <w:highlight w:val="none"/>
        </w:rPr>
        <w:tab/>
      </w:r>
      <w:r>
        <w:rPr>
          <w:rFonts w:hint="eastAsia"/>
          <w:sz w:val="21"/>
          <w:szCs w:val="21"/>
          <w:highlight w:val="none"/>
          <w:lang w:val="en-US" w:eastAsia="zh-CN"/>
        </w:rPr>
        <w:t>4</w:t>
      </w:r>
      <w:r>
        <w:rPr>
          <w:rFonts w:hint="eastAsia"/>
          <w:sz w:val="21"/>
          <w:szCs w:val="21"/>
          <w:highlight w:val="none"/>
        </w:rPr>
        <w:fldChar w:fldCharType="end"/>
      </w:r>
      <w:r>
        <w:rPr>
          <w:rFonts w:hint="eastAsia"/>
          <w:sz w:val="21"/>
          <w:szCs w:val="21"/>
          <w:highlight w:val="none"/>
          <w:lang w:val="en-US" w:eastAsia="zh-CN"/>
        </w:rPr>
        <w:t>0</w:t>
      </w:r>
    </w:p>
    <w:p>
      <w:pPr>
        <w:pStyle w:val="14"/>
        <w:tabs>
          <w:tab w:val="right" w:leader="dot" w:pos="9355"/>
        </w:tabs>
        <w:rPr>
          <w:highlight w:val="none"/>
        </w:rPr>
      </w:pPr>
    </w:p>
    <w:p>
      <w:pPr>
        <w:pStyle w:val="2"/>
        <w:rPr>
          <w:rFonts w:hint="eastAsia"/>
        </w:rPr>
      </w:pPr>
      <w:r>
        <w:rPr>
          <w:rFonts w:hint="eastAsia"/>
          <w:highlight w:val="none"/>
        </w:rPr>
        <w:fldChar w:fldCharType="end"/>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spacing w:before="240" w:after="240" w:line="480" w:lineRule="auto"/>
        <w:rPr>
          <w:rFonts w:hint="eastAsia" w:ascii="宋体" w:hAnsi="宋体"/>
          <w:sz w:val="30"/>
          <w:szCs w:val="30"/>
        </w:rPr>
      </w:pPr>
      <w:bookmarkStart w:id="2" w:name="_Toc521176490"/>
      <w:bookmarkStart w:id="3" w:name="_Toc16437"/>
    </w:p>
    <w:p>
      <w:pPr>
        <w:rPr>
          <w:rFonts w:hint="eastAsia"/>
        </w:rPr>
      </w:pPr>
    </w:p>
    <w:p>
      <w:pPr>
        <w:pStyle w:val="3"/>
        <w:spacing w:before="240" w:after="240" w:line="480" w:lineRule="auto"/>
        <w:rPr>
          <w:rFonts w:hint="eastAsia" w:ascii="宋体" w:hAnsi="宋体"/>
          <w:sz w:val="30"/>
          <w:szCs w:val="30"/>
        </w:rPr>
      </w:pPr>
      <w:r>
        <w:rPr>
          <w:rFonts w:hint="eastAsia" w:ascii="宋体" w:hAnsi="宋体"/>
          <w:sz w:val="30"/>
          <w:szCs w:val="30"/>
        </w:rPr>
        <w:t>第一部分  谈判邀请函</w:t>
      </w:r>
      <w:bookmarkEnd w:id="2"/>
      <w:bookmarkEnd w:id="3"/>
    </w:p>
    <w:p>
      <w:pPr>
        <w:adjustRightInd w:val="0"/>
        <w:snapToGrid w:val="0"/>
        <w:spacing w:line="360" w:lineRule="auto"/>
        <w:ind w:firstLine="480" w:firstLineChars="200"/>
        <w:rPr>
          <w:rFonts w:hint="eastAsia" w:ascii="宋体" w:hAnsi="宋体"/>
          <w:sz w:val="24"/>
        </w:rPr>
      </w:pPr>
      <w:r>
        <w:rPr>
          <w:rFonts w:hint="eastAsia" w:ascii="宋体" w:hAnsi="宋体"/>
          <w:sz w:val="24"/>
          <w:u w:val="single"/>
          <w:lang w:val="en-US" w:eastAsia="zh-CN"/>
        </w:rPr>
        <w:t>喀什华迈工程管理咨询有限公司</w:t>
      </w:r>
      <w:r>
        <w:rPr>
          <w:rFonts w:hint="eastAsia" w:ascii="宋体" w:hAnsi="宋体"/>
          <w:sz w:val="24"/>
        </w:rPr>
        <w:t>受</w:t>
      </w:r>
      <w:r>
        <w:rPr>
          <w:rFonts w:hint="eastAsia" w:ascii="宋体" w:hAnsi="宋体"/>
          <w:sz w:val="24"/>
          <w:u w:val="single"/>
          <w:lang w:val="en-US" w:eastAsia="zh-CN"/>
        </w:rPr>
        <w:t>莎车县公安局</w:t>
      </w:r>
      <w:r>
        <w:rPr>
          <w:rFonts w:hint="eastAsia" w:ascii="宋体" w:hAnsi="宋体"/>
          <w:sz w:val="24"/>
        </w:rPr>
        <w:t>的委托，就以下项目进行单一来源采购，特邀请贵方前来报价和谈判并签订暂定价采购合同。本次报价，报价方须按照要求提供产品价格构成明细。</w:t>
      </w:r>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rPr>
      </w:pPr>
      <w:r>
        <w:rPr>
          <w:rFonts w:hint="eastAsia" w:ascii="仿宋" w:hAnsi="仿宋" w:eastAsia="仿宋"/>
          <w:sz w:val="28"/>
          <w:szCs w:val="28"/>
        </w:rPr>
        <w:t>采</w:t>
      </w:r>
      <w:r>
        <w:rPr>
          <w:rFonts w:hint="eastAsia" w:ascii="仿宋" w:hAnsi="仿宋" w:eastAsia="仿宋"/>
          <w:sz w:val="28"/>
          <w:szCs w:val="28"/>
          <w:lang w:val="en-US" w:eastAsia="zh-CN"/>
        </w:rPr>
        <w:t xml:space="preserve"> </w:t>
      </w:r>
      <w:r>
        <w:rPr>
          <w:rFonts w:hint="eastAsia" w:ascii="仿宋" w:hAnsi="仿宋" w:eastAsia="仿宋"/>
          <w:sz w:val="28"/>
          <w:szCs w:val="28"/>
        </w:rPr>
        <w:t>购</w:t>
      </w:r>
      <w:r>
        <w:rPr>
          <w:rFonts w:hint="eastAsia" w:ascii="仿宋" w:hAnsi="仿宋" w:eastAsia="仿宋"/>
          <w:sz w:val="28"/>
          <w:szCs w:val="28"/>
          <w:lang w:val="en-US" w:eastAsia="zh-CN"/>
        </w:rPr>
        <w:t xml:space="preserve"> </w:t>
      </w:r>
      <w:r>
        <w:rPr>
          <w:rFonts w:hint="eastAsia" w:ascii="仿宋" w:hAnsi="仿宋" w:eastAsia="仿宋"/>
          <w:sz w:val="28"/>
          <w:szCs w:val="28"/>
        </w:rPr>
        <w:t>人：</w:t>
      </w:r>
      <w:r>
        <w:rPr>
          <w:rFonts w:hint="eastAsia" w:ascii="仿宋" w:hAnsi="仿宋" w:eastAsia="仿宋"/>
          <w:sz w:val="28"/>
          <w:szCs w:val="28"/>
          <w:u w:val="single"/>
          <w:lang w:val="en-US" w:eastAsia="zh-CN"/>
        </w:rPr>
        <w:t>莎车县公安局</w:t>
      </w:r>
    </w:p>
    <w:p>
      <w:pPr>
        <w:ind w:firstLine="560" w:firstLineChars="200"/>
        <w:rPr>
          <w:rFonts w:hint="eastAsia"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　莎车县公安局</w:t>
      </w:r>
      <w:r>
        <w:rPr>
          <w:rFonts w:hint="eastAsia" w:ascii="仿宋" w:hAnsi="仿宋" w:eastAsia="仿宋"/>
          <w:sz w:val="28"/>
          <w:szCs w:val="28"/>
          <w:u w:val="single"/>
          <w:lang w:val="en-US" w:eastAsia="zh-CN"/>
        </w:rPr>
        <w:t>350</w:t>
      </w:r>
      <w:r>
        <w:rPr>
          <w:rFonts w:hint="eastAsia" w:ascii="仿宋" w:hAnsi="仿宋" w:eastAsia="仿宋"/>
          <w:sz w:val="28"/>
          <w:szCs w:val="28"/>
          <w:u w:val="single"/>
        </w:rPr>
        <w:t>兆数字集群对讲机基站补点项目　</w:t>
      </w:r>
    </w:p>
    <w:p>
      <w:pPr>
        <w:ind w:firstLine="560" w:firstLineChars="200"/>
        <w:rPr>
          <w:rFonts w:hint="eastAsia" w:ascii="仿宋" w:hAnsi="仿宋" w:eastAsia="仿宋"/>
          <w:sz w:val="28"/>
          <w:szCs w:val="28"/>
          <w:u w:val="single"/>
        </w:rPr>
      </w:pPr>
    </w:p>
    <w:tbl>
      <w:tblPr>
        <w:tblStyle w:val="10"/>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28"/>
        <w:gridCol w:w="904"/>
        <w:gridCol w:w="1452"/>
        <w:gridCol w:w="880"/>
        <w:gridCol w:w="936"/>
        <w:gridCol w:w="956"/>
        <w:gridCol w:w="947"/>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包号</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货物名称</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规格型号</w:t>
            </w:r>
          </w:p>
        </w:tc>
        <w:tc>
          <w:tcPr>
            <w:tcW w:w="1452"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预算金额（元）</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计量</w:t>
            </w:r>
          </w:p>
          <w:p>
            <w:pPr>
              <w:spacing w:line="570" w:lineRule="exact"/>
              <w:jc w:val="center"/>
              <w:rPr>
                <w:snapToGrid w:val="0"/>
                <w:sz w:val="28"/>
                <w:szCs w:val="28"/>
                <w:highlight w:val="none"/>
              </w:rPr>
            </w:pPr>
            <w:r>
              <w:rPr>
                <w:rFonts w:hint="eastAsia"/>
                <w:snapToGrid w:val="0"/>
                <w:sz w:val="28"/>
                <w:szCs w:val="28"/>
                <w:highlight w:val="none"/>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数量</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交货</w:t>
            </w:r>
          </w:p>
          <w:p>
            <w:pPr>
              <w:spacing w:line="570" w:lineRule="exact"/>
              <w:jc w:val="center"/>
              <w:rPr>
                <w:snapToGrid w:val="0"/>
                <w:sz w:val="28"/>
                <w:szCs w:val="28"/>
                <w:highlight w:val="none"/>
              </w:rPr>
            </w:pPr>
            <w:r>
              <w:rPr>
                <w:rFonts w:hint="eastAsia"/>
                <w:snapToGrid w:val="0"/>
                <w:sz w:val="28"/>
                <w:szCs w:val="28"/>
                <w:highlight w:val="none"/>
              </w:rPr>
              <w:t>时间</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交货地点</w:t>
            </w: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napToGrid w:val="0"/>
                <w:sz w:val="28"/>
                <w:szCs w:val="28"/>
                <w:highlight w:val="none"/>
              </w:rPr>
            </w:pPr>
            <w:r>
              <w:rPr>
                <w:rFonts w:hint="eastAsia"/>
                <w:snapToGrid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1</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hint="eastAsia"/>
                <w:highlight w:val="none"/>
                <w:lang w:val="en-US" w:eastAsia="zh-CN"/>
              </w:rPr>
            </w:pPr>
            <w:r>
              <w:rPr>
                <w:rFonts w:hint="eastAsia"/>
                <w:highlight w:val="none"/>
              </w:rPr>
              <w:t>莎车县公安局</w:t>
            </w:r>
            <w:r>
              <w:rPr>
                <w:rFonts w:hint="eastAsia"/>
                <w:highlight w:val="none"/>
                <w:lang w:val="en-US" w:eastAsia="zh-CN"/>
              </w:rPr>
              <w:t>350</w:t>
            </w:r>
            <w:r>
              <w:rPr>
                <w:rFonts w:hint="eastAsia"/>
                <w:highlight w:val="none"/>
              </w:rPr>
              <w:t>兆数字集群对讲机基站补点项目</w:t>
            </w:r>
          </w:p>
          <w:p>
            <w:pPr>
              <w:spacing w:line="570" w:lineRule="exact"/>
              <w:jc w:val="center"/>
              <w:rPr>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详见招标文件</w:t>
            </w:r>
          </w:p>
        </w:tc>
        <w:tc>
          <w:tcPr>
            <w:tcW w:w="1452"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hint="default" w:eastAsiaTheme="minorEastAsia"/>
                <w:highlight w:val="none"/>
                <w:lang w:val="en-US" w:eastAsia="zh-CN"/>
              </w:rPr>
            </w:pPr>
            <w:r>
              <w:rPr>
                <w:rFonts w:hint="eastAsia"/>
                <w:highlight w:val="none"/>
                <w:lang w:val="en-US" w:eastAsia="zh-CN"/>
              </w:rPr>
              <w:t>1270750</w:t>
            </w: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批</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szCs w:val="21"/>
                <w:highlight w:val="none"/>
              </w:rPr>
            </w:pPr>
            <w:r>
              <w:rPr>
                <w:rFonts w:hint="eastAsia"/>
                <w:szCs w:val="21"/>
                <w:highlight w:val="none"/>
              </w:rPr>
              <w:t>1</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合同签订后</w:t>
            </w:r>
            <w:r>
              <w:rPr>
                <w:rFonts w:hint="eastAsia"/>
                <w:highlight w:val="none"/>
                <w:lang w:val="en-US" w:eastAsia="zh-CN"/>
              </w:rPr>
              <w:t>30</w:t>
            </w:r>
            <w:r>
              <w:rPr>
                <w:rFonts w:hint="eastAsia"/>
                <w:highlight w:val="none"/>
              </w:rPr>
              <w:t>天内</w:t>
            </w: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r>
              <w:rPr>
                <w:rFonts w:hint="eastAsia"/>
                <w:highlight w:val="none"/>
              </w:rPr>
              <w:t>甲方指定地点</w:t>
            </w: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570" w:lineRule="exact"/>
              <w:jc w:val="center"/>
              <w:rPr>
                <w:rFonts w:eastAsia="黑体"/>
                <w:highlight w:val="none"/>
              </w:rPr>
            </w:pPr>
            <w:r>
              <w:rPr>
                <w:rFonts w:hint="eastAsia"/>
                <w:snapToGrid w:val="0"/>
                <w:sz w:val="28"/>
                <w:szCs w:val="28"/>
                <w:highlight w:val="none"/>
              </w:rPr>
              <w:t>说明</w:t>
            </w:r>
          </w:p>
        </w:tc>
        <w:tc>
          <w:tcPr>
            <w:tcW w:w="8334" w:type="dxa"/>
            <w:gridSpan w:val="8"/>
            <w:tcBorders>
              <w:top w:val="single" w:color="auto" w:sz="4" w:space="0"/>
              <w:left w:val="single" w:color="auto" w:sz="4" w:space="0"/>
              <w:bottom w:val="single" w:color="auto" w:sz="4" w:space="0"/>
              <w:right w:val="single" w:color="auto" w:sz="4" w:space="0"/>
            </w:tcBorders>
            <w:noWrap w:val="0"/>
            <w:vAlign w:val="center"/>
          </w:tcPr>
          <w:p>
            <w:pPr>
              <w:spacing w:line="570" w:lineRule="exact"/>
              <w:rPr>
                <w:rFonts w:ascii="宋体" w:hAnsi="宋体"/>
                <w:highlight w:val="none"/>
              </w:rPr>
            </w:pPr>
            <w:r>
              <w:rPr>
                <w:rFonts w:hint="eastAsia" w:ascii="宋体" w:hAnsi="宋体"/>
                <w:highlight w:val="none"/>
              </w:rPr>
              <w:t>1. 投标人须对所投包内所有产品和数量进行投标报价，否则视为无效投标。</w:t>
            </w:r>
          </w:p>
          <w:p>
            <w:pPr>
              <w:spacing w:line="570" w:lineRule="exact"/>
              <w:jc w:val="left"/>
              <w:rPr>
                <w:rFonts w:ascii="宋体" w:hAnsi="宋体"/>
                <w:highlight w:val="none"/>
              </w:rPr>
            </w:pPr>
            <w:r>
              <w:rPr>
                <w:rFonts w:hint="eastAsia" w:ascii="宋体" w:hAnsi="宋体"/>
                <w:highlight w:val="none"/>
              </w:rPr>
              <w:t>2. 运杂费：</w:t>
            </w:r>
            <w:r>
              <w:rPr>
                <w:rFonts w:hint="eastAsia" w:ascii="宋体" w:hAnsi="宋体"/>
                <w:highlight w:val="none"/>
                <w:u w:val="single"/>
              </w:rPr>
              <w:t xml:space="preserve">                                                      </w:t>
            </w:r>
            <w:r>
              <w:rPr>
                <w:rFonts w:hint="eastAsia" w:ascii="宋体" w:hAnsi="宋体"/>
                <w:highlight w:val="none"/>
              </w:rPr>
              <w:t>。</w:t>
            </w:r>
          </w:p>
        </w:tc>
      </w:tr>
    </w:tbl>
    <w:p>
      <w:pPr>
        <w:ind w:firstLine="560" w:firstLineChars="200"/>
        <w:rPr>
          <w:rFonts w:hint="eastAsia" w:ascii="仿宋" w:hAnsi="仿宋" w:eastAsia="仿宋"/>
          <w:sz w:val="28"/>
          <w:szCs w:val="28"/>
        </w:rPr>
      </w:pPr>
    </w:p>
    <w:p>
      <w:pPr>
        <w:spacing w:line="360" w:lineRule="auto"/>
        <w:ind w:firstLine="560" w:firstLineChars="200"/>
        <w:rPr>
          <w:rFonts w:hint="eastAsia" w:ascii="黑体" w:hAnsi="黑体" w:eastAsia="黑体"/>
          <w:sz w:val="28"/>
          <w:szCs w:val="28"/>
        </w:rPr>
      </w:pPr>
      <w:r>
        <w:rPr>
          <w:rFonts w:hint="eastAsia" w:ascii="仿宋" w:hAnsi="仿宋" w:eastAsia="仿宋"/>
          <w:sz w:val="28"/>
          <w:szCs w:val="28"/>
        </w:rPr>
        <w:t>采用单一来源采购方式的原因及说明：根据《中华人民共和国政府采购法实施条例》第二十七条和《政府采购法》第三十一条第一项规定的情形，是指因货物或者服务使用不可替代的专利、专有技术，或者公共服务项目具有特殊要求，导致只能从某一特定供应商处采购。</w:t>
      </w:r>
    </w:p>
    <w:p>
      <w:pPr>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lang w:val="en-US" w:eastAsia="zh-CN"/>
        </w:rPr>
        <w:t>广州维德科技有限公司</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eastAsia="zh-CN"/>
        </w:rPr>
        <w:t>广州市天河区东莞庄路161号自编13栋</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三、公示期限</w:t>
      </w:r>
    </w:p>
    <w:p>
      <w:pPr>
        <w:tabs>
          <w:tab w:val="left" w:pos="936"/>
          <w:tab w:val="left" w:pos="1053"/>
          <w:tab w:val="left" w:pos="1521"/>
        </w:tabs>
        <w:spacing w:line="360" w:lineRule="auto"/>
        <w:ind w:firstLine="560" w:firstLineChars="200"/>
        <w:jc w:val="left"/>
        <w:rPr>
          <w:rFonts w:hint="eastAsia" w:ascii="仿宋" w:hAnsi="仿宋" w:eastAsia="仿宋"/>
          <w:sz w:val="28"/>
          <w:szCs w:val="28"/>
          <w:u w:val="single"/>
        </w:rPr>
      </w:pPr>
      <w:r>
        <w:rPr>
          <w:rFonts w:hint="eastAsia" w:ascii="仿宋" w:hAnsi="仿宋" w:eastAsia="仿宋"/>
          <w:sz w:val="28"/>
          <w:szCs w:val="28"/>
          <w:u w:val="single"/>
          <w:lang w:val="en-US" w:eastAsia="zh-CN"/>
        </w:rPr>
        <w:t>2021</w:t>
      </w:r>
      <w:r>
        <w:rPr>
          <w:rFonts w:hint="eastAsia" w:ascii="仿宋" w:hAnsi="仿宋" w:eastAsia="仿宋"/>
          <w:sz w:val="28"/>
          <w:szCs w:val="28"/>
          <w:u w:val="single"/>
        </w:rPr>
        <w:t>年　</w:t>
      </w:r>
      <w:r>
        <w:rPr>
          <w:rFonts w:hint="eastAsia" w:ascii="仿宋" w:hAnsi="仿宋" w:eastAsia="仿宋"/>
          <w:sz w:val="28"/>
          <w:szCs w:val="28"/>
          <w:u w:val="single"/>
          <w:lang w:val="en-US" w:eastAsia="zh-CN"/>
        </w:rPr>
        <w:t xml:space="preserve">8 </w:t>
      </w:r>
      <w:r>
        <w:rPr>
          <w:rFonts w:hint="eastAsia" w:ascii="仿宋" w:hAnsi="仿宋" w:eastAsia="仿宋"/>
          <w:sz w:val="28"/>
          <w:szCs w:val="28"/>
          <w:u w:val="single"/>
        </w:rPr>
        <w:t>月</w:t>
      </w:r>
      <w:r>
        <w:rPr>
          <w:rFonts w:hint="eastAsia" w:ascii="仿宋" w:hAnsi="仿宋" w:eastAsia="仿宋"/>
          <w:sz w:val="28"/>
          <w:szCs w:val="28"/>
          <w:u w:val="single"/>
          <w:lang w:val="en-US" w:eastAsia="zh-CN"/>
        </w:rPr>
        <w:t>18</w:t>
      </w:r>
      <w:r>
        <w:rPr>
          <w:rFonts w:hint="eastAsia" w:ascii="仿宋" w:hAnsi="仿宋" w:eastAsia="仿宋"/>
          <w:sz w:val="28"/>
          <w:szCs w:val="28"/>
          <w:u w:val="single"/>
        </w:rPr>
        <w:t xml:space="preserve">日  </w:t>
      </w:r>
      <w:r>
        <w:rPr>
          <w:rFonts w:hint="eastAsia" w:ascii="仿宋" w:hAnsi="仿宋" w:eastAsia="仿宋"/>
          <w:sz w:val="28"/>
          <w:szCs w:val="28"/>
        </w:rPr>
        <w:t>至</w:t>
      </w:r>
      <w:r>
        <w:rPr>
          <w:rFonts w:hint="eastAsia" w:ascii="仿宋" w:hAnsi="仿宋" w:eastAsia="仿宋"/>
          <w:sz w:val="28"/>
          <w:szCs w:val="28"/>
          <w:u w:val="single"/>
        </w:rPr>
        <w:t>　</w:t>
      </w:r>
      <w:r>
        <w:rPr>
          <w:rFonts w:hint="eastAsia" w:ascii="仿宋" w:hAnsi="仿宋" w:eastAsia="仿宋"/>
          <w:sz w:val="28"/>
          <w:szCs w:val="28"/>
          <w:u w:val="single"/>
          <w:lang w:val="en-US" w:eastAsia="zh-CN"/>
        </w:rPr>
        <w:t>2021</w:t>
      </w:r>
      <w:r>
        <w:rPr>
          <w:rFonts w:hint="eastAsia" w:ascii="仿宋" w:hAnsi="仿宋" w:eastAsia="仿宋"/>
          <w:sz w:val="28"/>
          <w:szCs w:val="28"/>
          <w:u w:val="single"/>
        </w:rPr>
        <w:t>年　</w:t>
      </w:r>
      <w:r>
        <w:rPr>
          <w:rFonts w:hint="eastAsia" w:ascii="仿宋" w:hAnsi="仿宋" w:eastAsia="仿宋"/>
          <w:sz w:val="28"/>
          <w:szCs w:val="28"/>
          <w:u w:val="single"/>
          <w:lang w:val="en-US" w:eastAsia="zh-CN"/>
        </w:rPr>
        <w:t>8</w:t>
      </w:r>
      <w:r>
        <w:rPr>
          <w:rFonts w:hint="eastAsia" w:ascii="仿宋" w:hAnsi="仿宋" w:eastAsia="仿宋"/>
          <w:sz w:val="28"/>
          <w:szCs w:val="28"/>
          <w:u w:val="single"/>
        </w:rPr>
        <w:t>月　</w:t>
      </w:r>
      <w:r>
        <w:rPr>
          <w:rFonts w:hint="eastAsia" w:ascii="仿宋" w:hAnsi="仿宋" w:eastAsia="仿宋"/>
          <w:sz w:val="28"/>
          <w:szCs w:val="28"/>
          <w:u w:val="single"/>
          <w:lang w:val="en-US" w:eastAsia="zh-CN"/>
        </w:rPr>
        <w:t>24</w:t>
      </w:r>
      <w:r>
        <w:rPr>
          <w:rFonts w:hint="eastAsia" w:ascii="仿宋" w:hAnsi="仿宋" w:eastAsia="仿宋"/>
          <w:sz w:val="28"/>
          <w:szCs w:val="28"/>
          <w:u w:val="single"/>
        </w:rPr>
        <w:t>日</w:t>
      </w:r>
    </w:p>
    <w:p>
      <w:pPr>
        <w:rPr>
          <w:rFonts w:hint="eastAsia" w:ascii="黑体" w:hAnsi="黑体" w:eastAsia="黑体"/>
          <w:sz w:val="28"/>
          <w:szCs w:val="28"/>
        </w:rPr>
      </w:pPr>
      <w:r>
        <w:rPr>
          <w:rFonts w:hint="eastAsia" w:ascii="黑体" w:hAnsi="黑体" w:eastAsia="黑体"/>
          <w:sz w:val="28"/>
          <w:szCs w:val="28"/>
          <w:lang w:val="en-US" w:eastAsia="zh-CN"/>
        </w:rPr>
        <w:t>四</w:t>
      </w:r>
      <w:r>
        <w:rPr>
          <w:rFonts w:hint="eastAsia" w:ascii="黑体" w:hAnsi="黑体" w:eastAsia="黑体"/>
          <w:sz w:val="28"/>
          <w:szCs w:val="28"/>
        </w:rPr>
        <w:t>、谈判时间、地点</w:t>
      </w:r>
    </w:p>
    <w:p>
      <w:pPr>
        <w:pStyle w:val="8"/>
        <w:spacing w:line="240" w:lineRule="auto"/>
        <w:ind w:firstLine="1024" w:firstLineChars="427"/>
        <w:rPr>
          <w:rFonts w:hint="eastAsia"/>
          <w:highlight w:val="none"/>
        </w:rPr>
      </w:pPr>
      <w:r>
        <w:rPr>
          <w:rFonts w:hint="eastAsia"/>
          <w:highlight w:val="none"/>
        </w:rPr>
        <w:t>（一）时间：202</w:t>
      </w:r>
      <w:r>
        <w:rPr>
          <w:rFonts w:hint="eastAsia"/>
          <w:highlight w:val="none"/>
          <w:lang w:eastAsia="zh-CN"/>
        </w:rPr>
        <w:t>1</w:t>
      </w:r>
      <w:r>
        <w:rPr>
          <w:rFonts w:hint="eastAsia"/>
          <w:highlight w:val="none"/>
        </w:rPr>
        <w:t>年</w:t>
      </w:r>
      <w:r>
        <w:rPr>
          <w:rFonts w:hint="default"/>
          <w:highlight w:val="none"/>
          <w:lang w:eastAsia="zh-CN"/>
        </w:rPr>
        <w:t>8</w:t>
      </w:r>
      <w:r>
        <w:rPr>
          <w:rFonts w:hint="eastAsia"/>
          <w:highlight w:val="none"/>
        </w:rPr>
        <w:t>月</w:t>
      </w:r>
      <w:r>
        <w:rPr>
          <w:rFonts w:hint="default"/>
          <w:highlight w:val="none"/>
        </w:rPr>
        <w:t>2</w:t>
      </w:r>
      <w:r>
        <w:rPr>
          <w:rFonts w:hint="eastAsia"/>
          <w:highlight w:val="none"/>
          <w:lang w:val="en-US" w:eastAsia="zh-CN"/>
        </w:rPr>
        <w:t>5</w:t>
      </w:r>
      <w:r>
        <w:rPr>
          <w:rFonts w:hint="eastAsia"/>
          <w:highlight w:val="none"/>
        </w:rPr>
        <w:t>日11：00（北京时间）</w:t>
      </w:r>
    </w:p>
    <w:p>
      <w:pPr>
        <w:pStyle w:val="8"/>
        <w:spacing w:line="240" w:lineRule="auto"/>
        <w:ind w:firstLine="1024" w:firstLineChars="427"/>
        <w:rPr>
          <w:rFonts w:hint="default" w:ascii="宋体" w:hAnsi="宋体"/>
          <w:sz w:val="24"/>
          <w:highlight w:val="none"/>
          <w:lang w:val="en-US" w:eastAsia="zh-CN"/>
        </w:rPr>
      </w:pPr>
      <w:r>
        <w:rPr>
          <w:rFonts w:hint="eastAsia"/>
          <w:highlight w:val="none"/>
        </w:rPr>
        <w:t>（二）地点：</w:t>
      </w:r>
      <w:r>
        <w:rPr>
          <w:rFonts w:hint="eastAsia" w:ascii="宋体" w:hAnsi="宋体"/>
          <w:sz w:val="24"/>
          <w:highlight w:val="none"/>
        </w:rPr>
        <w:t>喀什地区</w:t>
      </w:r>
      <w:r>
        <w:rPr>
          <w:rFonts w:hint="default"/>
          <w:sz w:val="24"/>
          <w:highlight w:val="none"/>
          <w:lang w:eastAsia="zh-CN"/>
        </w:rPr>
        <w:t>莎</w:t>
      </w:r>
      <w:r>
        <w:rPr>
          <w:rFonts w:hint="eastAsia"/>
          <w:sz w:val="24"/>
          <w:highlight w:val="none"/>
          <w:lang w:val="en-US" w:eastAsia="zh-CN"/>
        </w:rPr>
        <w:t>车宾馆3号开标室。（莎车县新城路4号）</w:t>
      </w:r>
    </w:p>
    <w:p>
      <w:pPr>
        <w:pStyle w:val="8"/>
        <w:spacing w:line="240" w:lineRule="auto"/>
        <w:ind w:firstLine="1024" w:firstLineChars="427"/>
        <w:rPr>
          <w:rFonts w:hint="eastAsia"/>
          <w:highlight w:val="none"/>
        </w:rPr>
      </w:pPr>
      <w:r>
        <w:rPr>
          <w:rFonts w:hint="eastAsia"/>
          <w:highlight w:val="none"/>
        </w:rPr>
        <w:t>(三) 参加谈判时，报价方授权代表人需要携带本人身份证（原件）及法人代表授权书（原件）</w:t>
      </w:r>
    </w:p>
    <w:p>
      <w:pPr>
        <w:pStyle w:val="16"/>
        <w:ind w:left="-10" w:leftChars="-5" w:firstLine="560"/>
        <w:rPr>
          <w:rFonts w:ascii="仿宋" w:hAnsi="仿宋" w:eastAsia="仿宋"/>
          <w:sz w:val="28"/>
          <w:szCs w:val="28"/>
        </w:rPr>
      </w:pPr>
    </w:p>
    <w:p>
      <w:pPr>
        <w:numPr>
          <w:ilvl w:val="0"/>
          <w:numId w:val="2"/>
        </w:numPr>
        <w:spacing w:line="360" w:lineRule="auto"/>
        <w:rPr>
          <w:rFonts w:hint="eastAsia" w:ascii="黑体" w:hAnsi="黑体" w:eastAsia="黑体"/>
          <w:sz w:val="28"/>
          <w:szCs w:val="28"/>
        </w:rPr>
      </w:pPr>
      <w:r>
        <w:rPr>
          <w:rFonts w:ascii="黑体" w:hAnsi="黑体" w:eastAsia="黑体"/>
          <w:sz w:val="28"/>
          <w:szCs w:val="28"/>
        </w:rPr>
        <w:t>其他</w:t>
      </w:r>
      <w:r>
        <w:rPr>
          <w:rFonts w:hint="eastAsia" w:ascii="黑体" w:hAnsi="黑体" w:eastAsia="黑体"/>
          <w:sz w:val="28"/>
          <w:szCs w:val="28"/>
        </w:rPr>
        <w:t>补充事宜：</w:t>
      </w:r>
    </w:p>
    <w:p>
      <w:pPr>
        <w:pStyle w:val="2"/>
        <w:numPr>
          <w:ilvl w:val="0"/>
          <w:numId w:val="0"/>
        </w:numPr>
        <w:spacing w:line="360" w:lineRule="auto"/>
        <w:rPr>
          <w:rFonts w:hint="eastAsia"/>
        </w:rPr>
      </w:pPr>
    </w:p>
    <w:p>
      <w:pPr>
        <w:numPr>
          <w:ilvl w:val="0"/>
          <w:numId w:val="0"/>
        </w:numPr>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无</w:t>
      </w:r>
    </w:p>
    <w:p>
      <w:pPr>
        <w:spacing w:line="360" w:lineRule="auto"/>
        <w:rPr>
          <w:rFonts w:ascii="黑体" w:hAnsi="黑体" w:eastAsia="黑体"/>
          <w:sz w:val="28"/>
          <w:szCs w:val="28"/>
        </w:rPr>
      </w:pPr>
      <w:r>
        <w:rPr>
          <w:rFonts w:hint="eastAsia" w:ascii="黑体" w:hAnsi="黑体" w:eastAsia="黑体"/>
          <w:sz w:val="28"/>
          <w:szCs w:val="28"/>
          <w:lang w:val="en-US" w:eastAsia="zh-CN"/>
        </w:rPr>
        <w:t>六</w:t>
      </w:r>
      <w:r>
        <w:rPr>
          <w:rFonts w:hint="eastAsia" w:ascii="黑体" w:hAnsi="黑体" w:eastAsia="黑体"/>
          <w:sz w:val="28"/>
          <w:szCs w:val="28"/>
        </w:rPr>
        <w:t>、联系方式</w:t>
      </w:r>
    </w:p>
    <w:p>
      <w:pPr>
        <w:spacing w:line="360" w:lineRule="auto"/>
        <w:ind w:firstLine="565" w:firstLineChars="202"/>
        <w:rPr>
          <w:rFonts w:hint="default" w:ascii="仿宋" w:hAnsi="仿宋" w:eastAsia="仿宋"/>
          <w:sz w:val="28"/>
          <w:szCs w:val="28"/>
          <w:lang w:val="en-US" w:eastAsia="zh-CN"/>
        </w:rPr>
      </w:pPr>
      <w:r>
        <w:rPr>
          <w:rFonts w:hint="eastAsia" w:ascii="仿宋" w:hAnsi="仿宋" w:eastAsia="仿宋"/>
          <w:sz w:val="28"/>
          <w:szCs w:val="28"/>
        </w:rPr>
        <w:t>1.采购人</w:t>
      </w:r>
      <w:r>
        <w:rPr>
          <w:rFonts w:hint="eastAsia" w:ascii="仿宋" w:hAnsi="仿宋" w:eastAsia="仿宋"/>
          <w:sz w:val="28"/>
          <w:szCs w:val="28"/>
          <w:lang w:eastAsia="zh-CN"/>
        </w:rPr>
        <w:t>：</w:t>
      </w:r>
      <w:r>
        <w:rPr>
          <w:rFonts w:hint="eastAsia" w:ascii="仿宋" w:hAnsi="仿宋" w:eastAsia="仿宋"/>
          <w:sz w:val="28"/>
          <w:szCs w:val="28"/>
          <w:lang w:val="en-US" w:eastAsia="zh-CN"/>
        </w:rPr>
        <w:t>莎车县公安局</w:t>
      </w:r>
    </w:p>
    <w:p>
      <w:pPr>
        <w:spacing w:line="360" w:lineRule="auto"/>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r>
        <w:rPr>
          <w:rFonts w:hint="eastAsia" w:ascii="仿宋" w:hAnsi="仿宋" w:eastAsia="仿宋"/>
          <w:sz w:val="28"/>
          <w:szCs w:val="28"/>
          <w:u w:val="single"/>
          <w:lang w:val="en-US" w:eastAsia="zh-CN"/>
        </w:rPr>
        <w:t>梁海涛</w:t>
      </w:r>
      <w:r>
        <w:rPr>
          <w:rFonts w:hint="eastAsia" w:ascii="仿宋" w:hAnsi="仿宋" w:eastAsia="仿宋"/>
          <w:sz w:val="28"/>
          <w:szCs w:val="28"/>
          <w:u w:val="single"/>
        </w:rPr>
        <w:t>　　　　　　　　　</w:t>
      </w:r>
    </w:p>
    <w:p>
      <w:pPr>
        <w:spacing w:line="360" w:lineRule="auto"/>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莎车县浦莎大道9号　　　　</w:t>
      </w:r>
    </w:p>
    <w:p>
      <w:pPr>
        <w:spacing w:line="360" w:lineRule="auto"/>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18999634717　　　　　　</w:t>
      </w:r>
    </w:p>
    <w:p>
      <w:pPr>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.采购代理机构</w:t>
      </w:r>
      <w:r>
        <w:rPr>
          <w:rFonts w:hint="eastAsia" w:ascii="仿宋" w:hAnsi="仿宋" w:eastAsia="仿宋"/>
          <w:sz w:val="28"/>
          <w:szCs w:val="28"/>
          <w:lang w:eastAsia="zh-CN"/>
        </w:rPr>
        <w:t>：</w:t>
      </w:r>
      <w:r>
        <w:rPr>
          <w:rFonts w:hint="eastAsia" w:ascii="宋体" w:hAnsi="宋体"/>
          <w:sz w:val="24"/>
          <w:highlight w:val="none"/>
          <w:lang w:val="en-US" w:eastAsia="zh-CN"/>
        </w:rPr>
        <w:t>喀什华迈工程管理咨询有限公司</w:t>
      </w:r>
    </w:p>
    <w:p>
      <w:pPr>
        <w:spacing w:line="360" w:lineRule="auto"/>
        <w:ind w:firstLine="565" w:firstLineChars="202"/>
        <w:rPr>
          <w:rFonts w:hint="eastAsia" w:ascii="仿宋" w:hAnsi="仿宋" w:eastAsia="仿宋"/>
          <w:sz w:val="28"/>
          <w:szCs w:val="28"/>
          <w:lang w:val="en-US" w:eastAsia="zh-CN"/>
        </w:rPr>
      </w:pPr>
      <w:r>
        <w:rPr>
          <w:rFonts w:hint="eastAsia" w:ascii="仿宋" w:hAnsi="仿宋" w:eastAsia="仿宋"/>
          <w:sz w:val="28"/>
          <w:szCs w:val="28"/>
        </w:rPr>
        <w:t>联 系 人：</w:t>
      </w:r>
      <w:r>
        <w:rPr>
          <w:rFonts w:hint="eastAsia" w:ascii="仿宋" w:hAnsi="仿宋" w:eastAsia="仿宋"/>
          <w:sz w:val="28"/>
          <w:szCs w:val="28"/>
          <w:u w:val="single"/>
          <w:lang w:val="en-US" w:eastAsia="zh-CN"/>
        </w:rPr>
        <w:t>李红梅</w:t>
      </w:r>
    </w:p>
    <w:p>
      <w:pPr>
        <w:spacing w:line="360" w:lineRule="auto"/>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宋体" w:hAnsi="宋体"/>
          <w:sz w:val="24"/>
          <w:highlight w:val="none"/>
          <w:u w:val="single"/>
        </w:rPr>
        <w:t>新疆喀什</w:t>
      </w:r>
      <w:r>
        <w:rPr>
          <w:rFonts w:hint="eastAsia" w:ascii="宋体" w:hAnsi="宋体"/>
          <w:sz w:val="24"/>
          <w:highlight w:val="none"/>
          <w:u w:val="single"/>
          <w:lang w:val="en-US" w:eastAsia="zh-CN"/>
        </w:rPr>
        <w:t>市深喀大道浙商大厦17楼1719</w:t>
      </w:r>
      <w:r>
        <w:rPr>
          <w:rFonts w:hint="eastAsia" w:ascii="宋体" w:hAnsi="宋体"/>
          <w:sz w:val="24"/>
          <w:highlight w:val="none"/>
          <w:u w:val="single"/>
        </w:rPr>
        <w:t>室</w:t>
      </w:r>
    </w:p>
    <w:p>
      <w:pPr>
        <w:spacing w:line="360" w:lineRule="auto"/>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lang w:val="en-US" w:eastAsia="zh-CN"/>
        </w:rPr>
        <w:t>19351341010</w:t>
      </w:r>
      <w:r>
        <w:rPr>
          <w:rFonts w:hint="eastAsia" w:ascii="仿宋" w:hAnsi="仿宋" w:eastAsia="仿宋"/>
          <w:sz w:val="28"/>
          <w:szCs w:val="28"/>
          <w:u w:val="single"/>
        </w:rPr>
        <w:t>　　　　　　　　　　　</w:t>
      </w:r>
    </w:p>
    <w:p>
      <w:pPr>
        <w:spacing w:line="360" w:lineRule="auto"/>
        <w:rPr>
          <w:rFonts w:ascii="黑体" w:hAnsi="黑体" w:eastAsia="黑体"/>
          <w:sz w:val="28"/>
          <w:szCs w:val="28"/>
        </w:rPr>
      </w:pPr>
      <w:r>
        <w:rPr>
          <w:rFonts w:hint="eastAsia" w:ascii="黑体" w:hAnsi="黑体" w:eastAsia="黑体"/>
          <w:sz w:val="28"/>
          <w:szCs w:val="28"/>
          <w:lang w:val="en-US" w:eastAsia="zh-CN"/>
        </w:rPr>
        <w:t>七</w:t>
      </w:r>
      <w:r>
        <w:rPr>
          <w:rFonts w:ascii="黑体" w:hAnsi="黑体" w:eastAsia="黑体"/>
          <w:sz w:val="28"/>
          <w:szCs w:val="28"/>
        </w:rPr>
        <w:t>、</w:t>
      </w:r>
      <w:r>
        <w:rPr>
          <w:rFonts w:hint="eastAsia" w:ascii="黑体" w:hAnsi="黑体" w:eastAsia="黑体"/>
          <w:sz w:val="28"/>
          <w:szCs w:val="28"/>
        </w:rPr>
        <w:t>附件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专业人员论证意见（格式见附件）</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3"/>
        <w:numPr>
          <w:ilvl w:val="0"/>
          <w:numId w:val="3"/>
        </w:numPr>
        <w:spacing w:before="120" w:after="120" w:line="360" w:lineRule="auto"/>
        <w:rPr>
          <w:rFonts w:hint="eastAsia"/>
          <w:snapToGrid w:val="0"/>
          <w:highlight w:val="none"/>
          <w:lang w:val="zh-CN"/>
        </w:rPr>
      </w:pPr>
      <w:r>
        <w:rPr>
          <w:snapToGrid w:val="0"/>
          <w:highlight w:val="none"/>
          <w:lang w:val="zh-CN"/>
        </w:rPr>
        <w:t xml:space="preserve"> </w:t>
      </w:r>
      <w:r>
        <w:rPr>
          <w:rFonts w:hint="eastAsia"/>
          <w:snapToGrid w:val="0"/>
          <w:highlight w:val="none"/>
          <w:lang w:val="zh-CN"/>
        </w:rPr>
        <w:t>商务和技术需求</w:t>
      </w:r>
    </w:p>
    <w:p>
      <w:pPr>
        <w:pStyle w:val="16"/>
        <w:widowControl w:val="0"/>
        <w:numPr>
          <w:ilvl w:val="0"/>
          <w:numId w:val="4"/>
        </w:numPr>
        <w:autoSpaceDE w:val="0"/>
        <w:autoSpaceDN w:val="0"/>
        <w:adjustRightInd w:val="0"/>
        <w:spacing w:line="560" w:lineRule="exact"/>
        <w:jc w:val="center"/>
        <w:outlineLvl w:val="1"/>
        <w:rPr>
          <w:rFonts w:ascii="Times New Roman" w:hAnsi="Times New Roman" w:eastAsia="黑体"/>
          <w:sz w:val="28"/>
          <w:szCs w:val="28"/>
          <w:lang w:eastAsia="zh-CN"/>
        </w:rPr>
      </w:pPr>
      <w:bookmarkStart w:id="4" w:name="_Toc25322"/>
      <w:r>
        <w:rPr>
          <w:rFonts w:ascii="Times New Roman" w:hAnsi="Times New Roman" w:eastAsia="黑体"/>
          <w:sz w:val="28"/>
          <w:szCs w:val="28"/>
          <w:lang w:eastAsia="zh-CN"/>
        </w:rPr>
        <w:t>货物一览表</w:t>
      </w:r>
      <w:bookmarkStart w:id="5" w:name="_Toc285612596"/>
      <w:r>
        <w:rPr>
          <w:rFonts w:ascii="Times New Roman" w:hAnsi="Times New Roman" w:eastAsia="黑体"/>
          <w:sz w:val="28"/>
          <w:szCs w:val="28"/>
          <w:lang w:eastAsia="zh-CN"/>
        </w:rPr>
        <w:t>及技术要求</w:t>
      </w:r>
      <w:bookmarkEnd w:id="4"/>
    </w:p>
    <w:bookmarkEnd w:id="5"/>
    <w:tbl>
      <w:tblPr>
        <w:tblStyle w:val="10"/>
        <w:tblW w:w="91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819"/>
        <w:gridCol w:w="1404"/>
        <w:gridCol w:w="2718"/>
        <w:gridCol w:w="820"/>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日期：</w:t>
            </w:r>
          </w:p>
        </w:tc>
        <w:tc>
          <w:tcPr>
            <w:tcW w:w="1820" w:type="dxa"/>
            <w:shd w:val="clear" w:color="auto" w:fill="auto"/>
            <w:vAlign w:val="center"/>
          </w:tcPr>
          <w:p>
            <w:pPr>
              <w:widowControl/>
              <w:jc w:val="left"/>
              <w:rPr>
                <w:rFonts w:ascii="宋体" w:hAnsi="宋体" w:cs="宋体"/>
                <w:color w:val="000000"/>
                <w:kern w:val="0"/>
                <w:sz w:val="24"/>
                <w:szCs w:val="24"/>
              </w:rPr>
            </w:pPr>
          </w:p>
        </w:tc>
        <w:tc>
          <w:tcPr>
            <w:tcW w:w="140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c>
          <w:tcPr>
            <w:tcW w:w="27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shd w:val="clear" w:color="auto" w:fill="auto"/>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c>
          <w:tcPr>
            <w:tcW w:w="1620" w:type="dxa"/>
            <w:shd w:val="clear" w:color="auto" w:fill="auto"/>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shd w:val="clear" w:color="000000" w:fill="D9D9D9"/>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820" w:type="dxa"/>
            <w:shd w:val="clear" w:color="000000" w:fill="D9D9D9"/>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设备名称</w:t>
            </w:r>
          </w:p>
        </w:tc>
        <w:tc>
          <w:tcPr>
            <w:tcW w:w="1400" w:type="dxa"/>
            <w:shd w:val="clear" w:color="000000" w:fill="D9D9D9"/>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型号</w:t>
            </w:r>
          </w:p>
        </w:tc>
        <w:tc>
          <w:tcPr>
            <w:tcW w:w="2720" w:type="dxa"/>
            <w:shd w:val="clear" w:color="000000" w:fill="D9D9D9"/>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规格参数</w:t>
            </w:r>
          </w:p>
        </w:tc>
        <w:tc>
          <w:tcPr>
            <w:tcW w:w="820" w:type="dxa"/>
            <w:shd w:val="clear" w:color="000000" w:fill="D9D9D9"/>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c>
          <w:tcPr>
            <w:tcW w:w="1620" w:type="dxa"/>
            <w:shd w:val="clear" w:color="000000" w:fill="D9D9D9"/>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00" w:type="dxa"/>
            <w:gridSpan w:val="4"/>
            <w:shd w:val="clear" w:color="auto" w:fill="auto"/>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一、县局节点增加设备：</w:t>
            </w:r>
          </w:p>
        </w:tc>
        <w:tc>
          <w:tcPr>
            <w:tcW w:w="820" w:type="dxa"/>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0" w:type="dxa"/>
            <w:shd w:val="clear" w:color="auto" w:fill="auto"/>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汇接交机升级（Victel节点会议软件V1.135）</w:t>
            </w:r>
          </w:p>
        </w:tc>
        <w:tc>
          <w:tcPr>
            <w:tcW w:w="14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V1.35</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对既有的节点软件进行扩容升级</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项</w:t>
            </w:r>
          </w:p>
        </w:tc>
        <w:tc>
          <w:tcPr>
            <w:tcW w:w="1620" w:type="dxa"/>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6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E1链路模块</w:t>
            </w:r>
          </w:p>
        </w:tc>
        <w:tc>
          <w:tcPr>
            <w:tcW w:w="140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ALK130-10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E1输入阻抗:75Ω（非平衡）</w:t>
            </w:r>
          </w:p>
        </w:tc>
        <w:tc>
          <w:tcPr>
            <w:tcW w:w="82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台</w:t>
            </w:r>
          </w:p>
        </w:tc>
        <w:tc>
          <w:tcPr>
            <w:tcW w:w="16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每新增1个基站，对应节点增配1套链路模块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E1接口速率:2048Kbps</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维德数字综合交换控制软件V1.0</w:t>
            </w:r>
          </w:p>
        </w:tc>
        <w:tc>
          <w:tcPr>
            <w:tcW w:w="14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V1.0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综合交换控制软件</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套</w:t>
            </w:r>
          </w:p>
        </w:tc>
        <w:tc>
          <w:tcPr>
            <w:tcW w:w="1620" w:type="dxa"/>
            <w:shd w:val="clear" w:color="000000"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00" w:type="dxa"/>
            <w:gridSpan w:val="4"/>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二、新建</w:t>
            </w: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套</w:t>
            </w:r>
            <w:r>
              <w:rPr>
                <w:rFonts w:hint="eastAsia" w:ascii="宋体" w:hAnsi="宋体" w:cs="宋体"/>
                <w:b/>
                <w:bCs/>
                <w:color w:val="000000"/>
                <w:kern w:val="0"/>
                <w:sz w:val="24"/>
                <w:szCs w:val="24"/>
                <w:lang w:val="en-US" w:eastAsia="zh-CN"/>
              </w:rPr>
              <w:t>5</w:t>
            </w:r>
            <w:r>
              <w:rPr>
                <w:rFonts w:hint="eastAsia" w:ascii="宋体" w:hAnsi="宋体" w:cs="宋体"/>
                <w:b/>
                <w:bCs/>
                <w:color w:val="000000"/>
                <w:kern w:val="0"/>
                <w:sz w:val="24"/>
                <w:szCs w:val="24"/>
              </w:rPr>
              <w:t>载频基站</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0" w:type="dxa"/>
            <w:shd w:val="clear" w:color="000000"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基站控制器</w:t>
            </w:r>
          </w:p>
        </w:tc>
        <w:tc>
          <w:tcPr>
            <w:tcW w:w="140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ALK200-00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联网方式:支持E1/IP链路</w:t>
            </w:r>
          </w:p>
        </w:tc>
        <w:tc>
          <w:tcPr>
            <w:tcW w:w="82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台</w:t>
            </w:r>
          </w:p>
        </w:tc>
        <w:tc>
          <w:tcPr>
            <w:tcW w:w="1620" w:type="dxa"/>
            <w:vMerge w:val="restart"/>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E1输入阻抗:75Ω（非平衡）</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E1接口速率:2048Kbps</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IP接口速率:10M/100M自适应</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IP接口类型:标准RJ45</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6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数模双制式集群信道机</w:t>
            </w:r>
          </w:p>
        </w:tc>
        <w:tc>
          <w:tcPr>
            <w:tcW w:w="140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ALK861</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支持软件控制，具备数模双制式，双工间隔：10 MHz。</w:t>
            </w:r>
          </w:p>
        </w:tc>
        <w:tc>
          <w:tcPr>
            <w:tcW w:w="82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载频</w:t>
            </w:r>
          </w:p>
        </w:tc>
        <w:tc>
          <w:tcPr>
            <w:tcW w:w="16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单本地结构。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频道间隔：12.5 KHz 、25 KHz可选</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调制方式：F3E、4FSK</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发射功率：50W（可调）</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接收灵敏度：≤-118dBm</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维德数字调度通信系统控制软件V1.0</w:t>
            </w:r>
          </w:p>
        </w:tc>
        <w:tc>
          <w:tcPr>
            <w:tcW w:w="14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V1.0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数字调度通信系统控制软件</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套</w:t>
            </w:r>
          </w:p>
        </w:tc>
        <w:tc>
          <w:tcPr>
            <w:tcW w:w="1620" w:type="dxa"/>
            <w:shd w:val="clear" w:color="000000"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8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卫星时钟板</w:t>
            </w:r>
          </w:p>
        </w:tc>
        <w:tc>
          <w:tcPr>
            <w:tcW w:w="14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ALK340-10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实现卫星时钟同步，GPS时钟稳定度&lt;1.0E-9，GPS时钟稳定工作时间&lt;180S</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块</w:t>
            </w:r>
          </w:p>
        </w:tc>
        <w:tc>
          <w:tcPr>
            <w:tcW w:w="1620" w:type="dxa"/>
            <w:shd w:val="clear" w:color="000000"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8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天馈合路总成设备(路)</w:t>
            </w:r>
          </w:p>
        </w:tc>
        <w:tc>
          <w:tcPr>
            <w:tcW w:w="140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ALK950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隔离度:70dB</w:t>
            </w:r>
          </w:p>
        </w:tc>
        <w:tc>
          <w:tcPr>
            <w:tcW w:w="82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路</w:t>
            </w:r>
          </w:p>
        </w:tc>
        <w:tc>
          <w:tcPr>
            <w:tcW w:w="1620" w:type="dxa"/>
            <w:vMerge w:val="restart"/>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端口间隔离度:25dB</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驻波比:1.5</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阻抗:50Ω</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8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维德合分路总成控制软件</w:t>
            </w:r>
          </w:p>
        </w:tc>
        <w:tc>
          <w:tcPr>
            <w:tcW w:w="14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V1.0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维德合分路总成控制软件</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套</w:t>
            </w:r>
          </w:p>
        </w:tc>
        <w:tc>
          <w:tcPr>
            <w:tcW w:w="1620" w:type="dxa"/>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8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天馈分路总成设备(路)</w:t>
            </w:r>
          </w:p>
        </w:tc>
        <w:tc>
          <w:tcPr>
            <w:tcW w:w="140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ALK960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驻波比:1.5</w:t>
            </w:r>
          </w:p>
        </w:tc>
        <w:tc>
          <w:tcPr>
            <w:tcW w:w="82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路</w:t>
            </w:r>
          </w:p>
        </w:tc>
        <w:tc>
          <w:tcPr>
            <w:tcW w:w="1620" w:type="dxa"/>
            <w:vMerge w:val="restart"/>
            <w:shd w:val="clear" w:color="000000"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天放增益:15dB</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阻抗:50Ω</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8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维德合分路总成控制软件V1.0</w:t>
            </w:r>
          </w:p>
        </w:tc>
        <w:tc>
          <w:tcPr>
            <w:tcW w:w="14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V1.0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维德合分路总成控制软件</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套</w:t>
            </w:r>
          </w:p>
        </w:tc>
        <w:tc>
          <w:tcPr>
            <w:tcW w:w="1620" w:type="dxa"/>
            <w:shd w:val="clear" w:color="000000"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8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8dB基站天线（副）</w:t>
            </w:r>
          </w:p>
        </w:tc>
        <w:tc>
          <w:tcPr>
            <w:tcW w:w="140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ALK910-80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增益：10.2dBi</w:t>
            </w:r>
          </w:p>
        </w:tc>
        <w:tc>
          <w:tcPr>
            <w:tcW w:w="82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副</w:t>
            </w:r>
          </w:p>
        </w:tc>
        <w:tc>
          <w:tcPr>
            <w:tcW w:w="1620" w:type="dxa"/>
            <w:vMerge w:val="restart"/>
            <w:shd w:val="clear" w:color="000000" w:fill="FFFFFF"/>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驻波比：≤1.5</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阻抗：50Ω</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极化方式：垂直</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820" w:type="dxa"/>
            <w:vMerge w:val="restart"/>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7/8寸馈管馈线（米）</w:t>
            </w:r>
          </w:p>
        </w:tc>
        <w:tc>
          <w:tcPr>
            <w:tcW w:w="140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ALK920-18</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衰减：≤ 4.25dB/100m</w:t>
            </w:r>
          </w:p>
        </w:tc>
        <w:tc>
          <w:tcPr>
            <w:tcW w:w="820" w:type="dxa"/>
            <w:vMerge w:val="restart"/>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300</w:t>
            </w:r>
            <w:r>
              <w:rPr>
                <w:rFonts w:hint="eastAsia" w:ascii="宋体" w:hAnsi="宋体" w:cs="宋体"/>
                <w:color w:val="000000"/>
                <w:kern w:val="0"/>
                <w:sz w:val="24"/>
                <w:szCs w:val="24"/>
              </w:rPr>
              <w:t>米</w:t>
            </w:r>
          </w:p>
        </w:tc>
        <w:tc>
          <w:tcPr>
            <w:tcW w:w="1620" w:type="dxa"/>
            <w:vMerge w:val="restart"/>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vMerge w:val="continue"/>
            <w:vAlign w:val="center"/>
          </w:tcPr>
          <w:p>
            <w:pPr>
              <w:widowControl/>
              <w:jc w:val="left"/>
              <w:rPr>
                <w:rFonts w:ascii="宋体" w:hAnsi="宋体" w:cs="宋体"/>
                <w:color w:val="000000"/>
                <w:kern w:val="0"/>
                <w:sz w:val="24"/>
                <w:szCs w:val="24"/>
              </w:rPr>
            </w:pPr>
          </w:p>
        </w:tc>
        <w:tc>
          <w:tcPr>
            <w:tcW w:w="1820" w:type="dxa"/>
            <w:vMerge w:val="continue"/>
            <w:vAlign w:val="center"/>
          </w:tcPr>
          <w:p>
            <w:pPr>
              <w:widowControl/>
              <w:jc w:val="left"/>
              <w:rPr>
                <w:rFonts w:ascii="宋体" w:hAnsi="宋体" w:cs="宋体"/>
                <w:color w:val="000000"/>
                <w:kern w:val="0"/>
                <w:sz w:val="24"/>
                <w:szCs w:val="24"/>
              </w:rPr>
            </w:pPr>
          </w:p>
        </w:tc>
        <w:tc>
          <w:tcPr>
            <w:tcW w:w="1400" w:type="dxa"/>
            <w:vMerge w:val="continue"/>
            <w:vAlign w:val="center"/>
          </w:tcPr>
          <w:p>
            <w:pPr>
              <w:widowControl/>
              <w:jc w:val="left"/>
              <w:rPr>
                <w:rFonts w:ascii="宋体" w:hAnsi="宋体" w:cs="宋体"/>
                <w:color w:val="000000"/>
                <w:kern w:val="0"/>
                <w:sz w:val="24"/>
                <w:szCs w:val="24"/>
              </w:rPr>
            </w:pP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驻波比：≤ 1.5</w:t>
            </w:r>
          </w:p>
        </w:tc>
        <w:tc>
          <w:tcPr>
            <w:tcW w:w="820" w:type="dxa"/>
            <w:vMerge w:val="continue"/>
            <w:vAlign w:val="center"/>
          </w:tcPr>
          <w:p>
            <w:pPr>
              <w:widowControl/>
              <w:jc w:val="left"/>
              <w:rPr>
                <w:rFonts w:ascii="宋体" w:hAnsi="宋体" w:cs="宋体"/>
                <w:color w:val="000000"/>
                <w:kern w:val="0"/>
                <w:sz w:val="24"/>
                <w:szCs w:val="24"/>
              </w:rPr>
            </w:pPr>
          </w:p>
        </w:tc>
        <w:tc>
          <w:tcPr>
            <w:tcW w:w="1620" w:type="dxa"/>
            <w:vMerge w:val="continue"/>
            <w:vAlign w:val="center"/>
          </w:tcPr>
          <w:p>
            <w:pPr>
              <w:widowControl/>
              <w:jc w:val="left"/>
              <w:rPr>
                <w:rFonts w:ascii="宋体" w:hAnsi="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8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32U标准机柜（台）</w:t>
            </w:r>
          </w:p>
        </w:tc>
        <w:tc>
          <w:tcPr>
            <w:tcW w:w="14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ALK990</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32U机柜</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台</w:t>
            </w:r>
          </w:p>
        </w:tc>
        <w:tc>
          <w:tcPr>
            <w:tcW w:w="1620" w:type="dxa"/>
            <w:shd w:val="clear" w:color="000000" w:fill="FFFFFF"/>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6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　</w:t>
            </w:r>
          </w:p>
        </w:tc>
        <w:tc>
          <w:tcPr>
            <w:tcW w:w="18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40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720" w:type="dxa"/>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620" w:type="dxa"/>
            <w:shd w:val="clear" w:color="000000" w:fill="FFFFFF"/>
            <w:vAlign w:val="center"/>
          </w:tcPr>
          <w:p>
            <w:pPr>
              <w:widowControl/>
              <w:jc w:val="left"/>
              <w:rPr>
                <w:rFonts w:ascii="宋体" w:hAnsi="宋体" w:cs="宋体"/>
                <w:b/>
                <w:bCs/>
                <w:color w:val="000000"/>
                <w:kern w:val="0"/>
                <w:sz w:val="24"/>
                <w:szCs w:val="24"/>
              </w:rPr>
            </w:pPr>
            <w:bookmarkStart w:id="6" w:name="RANGE!K42"/>
            <w:r>
              <w:rPr>
                <w:rFonts w:hint="eastAsia" w:ascii="宋体" w:hAnsi="宋体" w:cs="宋体"/>
                <w:b/>
                <w:bCs/>
                <w:color w:val="000000"/>
                <w:kern w:val="0"/>
                <w:sz w:val="24"/>
                <w:szCs w:val="24"/>
              </w:rPr>
              <w:t>　</w:t>
            </w:r>
            <w:bookmarkEnd w:id="6"/>
          </w:p>
        </w:tc>
      </w:tr>
    </w:tbl>
    <w:p>
      <w:pPr>
        <w:pStyle w:val="16"/>
        <w:widowControl w:val="0"/>
        <w:spacing w:line="560" w:lineRule="exact"/>
        <w:ind w:left="0" w:firstLine="562" w:firstLineChars="200"/>
        <w:jc w:val="both"/>
        <w:rPr>
          <w:rFonts w:ascii="Times New Roman" w:hAnsi="宋体"/>
          <w:b/>
          <w:color w:val="0000FF"/>
          <w:sz w:val="28"/>
          <w:szCs w:val="28"/>
          <w:lang w:val="zh-CN" w:eastAsia="zh-CN"/>
        </w:rPr>
      </w:pPr>
    </w:p>
    <w:p>
      <w:pPr>
        <w:pStyle w:val="16"/>
        <w:widowControl w:val="0"/>
        <w:spacing w:line="560" w:lineRule="exact"/>
        <w:ind w:left="0" w:firstLine="562" w:firstLineChars="200"/>
        <w:jc w:val="both"/>
        <w:rPr>
          <w:rFonts w:ascii="Times New Roman" w:hAnsi="Times New Roman"/>
          <w:color w:val="0000FF"/>
          <w:sz w:val="28"/>
          <w:szCs w:val="28"/>
          <w:lang w:eastAsia="zh-CN"/>
        </w:rPr>
        <w:sectPr>
          <w:headerReference r:id="rId4" w:type="default"/>
          <w:footerReference r:id="rId5" w:type="default"/>
          <w:pgSz w:w="11906" w:h="16838"/>
          <w:pgMar w:top="1418" w:right="1134" w:bottom="1418" w:left="1418" w:header="851" w:footer="851" w:gutter="0"/>
          <w:cols w:space="720" w:num="1"/>
          <w:docGrid w:linePitch="388" w:charSpace="-1260"/>
        </w:sectPr>
      </w:pPr>
      <w:r>
        <w:rPr>
          <w:rFonts w:ascii="Times New Roman" w:hAnsi="宋体"/>
          <w:b/>
          <w:color w:val="0000FF"/>
          <w:sz w:val="28"/>
          <w:szCs w:val="28"/>
          <w:lang w:val="zh-CN" w:eastAsia="zh-CN"/>
        </w:rPr>
        <w:t>※</w:t>
      </w:r>
      <w:r>
        <w:rPr>
          <w:rFonts w:ascii="Times New Roman" w:hAnsi="Times New Roman"/>
          <w:color w:val="0000FF"/>
          <w:sz w:val="28"/>
          <w:szCs w:val="28"/>
          <w:lang w:val="zh-CN" w:eastAsia="zh-CN"/>
        </w:rPr>
        <w:t>关键重要技术指标参数以★标记</w:t>
      </w:r>
      <w:r>
        <w:rPr>
          <w:rFonts w:hint="eastAsia" w:ascii="Times New Roman" w:hAnsi="Times New Roman"/>
          <w:color w:val="0000FF"/>
          <w:sz w:val="28"/>
          <w:szCs w:val="28"/>
          <w:lang w:val="zh-CN" w:eastAsia="zh-CN"/>
        </w:rPr>
        <w:t>（有1项不满足即按无效投标处理）</w:t>
      </w:r>
      <w:r>
        <w:rPr>
          <w:rFonts w:ascii="Times New Roman" w:hAnsi="Times New Roman"/>
          <w:color w:val="0000FF"/>
          <w:sz w:val="28"/>
          <w:szCs w:val="28"/>
          <w:lang w:val="zh-CN" w:eastAsia="zh-CN"/>
        </w:rPr>
        <w:t>，一般技术指标参数不作标记。投标人须提供技术支持资料</w:t>
      </w:r>
      <w:r>
        <w:rPr>
          <w:rFonts w:ascii="Times New Roman" w:hAnsi="Times New Roman"/>
          <w:color w:val="0000FF"/>
          <w:sz w:val="28"/>
          <w:szCs w:val="28"/>
          <w:lang w:eastAsia="zh-CN"/>
        </w:rPr>
        <w:t>，包括制造商公开发布的资料（含制造商出具的产品规格表或检测机构出具的检测报告等）</w:t>
      </w:r>
    </w:p>
    <w:p>
      <w:pPr>
        <w:spacing w:before="120" w:beforeLines="50" w:line="360" w:lineRule="auto"/>
        <w:ind w:firstLine="240" w:firstLineChars="100"/>
        <w:rPr>
          <w:rFonts w:hint="eastAsia" w:ascii="宋体" w:hAnsi="宋体"/>
          <w:sz w:val="24"/>
          <w:highlight w:val="none"/>
        </w:rPr>
      </w:pPr>
      <w:r>
        <w:rPr>
          <w:rFonts w:hint="eastAsia" w:ascii="宋体" w:hAnsi="宋体"/>
          <w:sz w:val="24"/>
          <w:highlight w:val="none"/>
        </w:rPr>
        <w:t>4、单一来源理由：</w:t>
      </w:r>
    </w:p>
    <w:p>
      <w:pPr>
        <w:spacing w:line="360" w:lineRule="auto"/>
        <w:ind w:firstLine="480" w:firstLineChars="200"/>
        <w:rPr>
          <w:rFonts w:ascii="宋体" w:hAnsi="宋体"/>
          <w:snapToGrid w:val="0"/>
          <w:kern w:val="0"/>
          <w:sz w:val="24"/>
          <w:highlight w:val="none"/>
        </w:rPr>
      </w:pPr>
      <w:r>
        <w:rPr>
          <w:rFonts w:hint="eastAsia" w:ascii="宋体" w:hAnsi="宋体"/>
          <w:snapToGrid w:val="0"/>
          <w:kern w:val="0"/>
          <w:sz w:val="24"/>
          <w:highlight w:val="none"/>
        </w:rPr>
        <w:t>本项目</w:t>
      </w:r>
      <w:r>
        <w:rPr>
          <w:rFonts w:hint="eastAsia" w:ascii="宋体" w:hAnsi="宋体"/>
          <w:snapToGrid w:val="0"/>
          <w:kern w:val="0"/>
          <w:sz w:val="24"/>
          <w:highlight w:val="none"/>
          <w:lang w:val="en-US" w:eastAsia="zh-CN"/>
        </w:rPr>
        <w:t>是</w:t>
      </w:r>
      <w:r>
        <w:rPr>
          <w:rFonts w:hint="eastAsia" w:ascii="宋体" w:hAnsi="宋体"/>
          <w:snapToGrid w:val="0"/>
          <w:kern w:val="0"/>
          <w:sz w:val="24"/>
          <w:highlight w:val="none"/>
        </w:rPr>
        <w:t>续建项目，</w:t>
      </w:r>
      <w:r>
        <w:rPr>
          <w:rFonts w:hint="eastAsia" w:ascii="宋体" w:hAnsi="宋体"/>
          <w:snapToGrid w:val="0"/>
          <w:kern w:val="0"/>
          <w:sz w:val="24"/>
          <w:highlight w:val="none"/>
          <w:lang w:val="en-US" w:eastAsia="zh-CN"/>
        </w:rPr>
        <w:t>前</w:t>
      </w:r>
      <w:r>
        <w:rPr>
          <w:rFonts w:hint="eastAsia" w:ascii="宋体" w:hAnsi="宋体"/>
          <w:snapToGrid w:val="0"/>
          <w:kern w:val="0"/>
          <w:sz w:val="24"/>
          <w:highlight w:val="none"/>
        </w:rPr>
        <w:t>期项目通过公开招标由</w:t>
      </w:r>
      <w:r>
        <w:rPr>
          <w:rFonts w:hint="eastAsia" w:ascii="宋体" w:hAnsi="宋体"/>
          <w:snapToGrid w:val="0"/>
          <w:color w:val="auto"/>
          <w:kern w:val="0"/>
          <w:sz w:val="24"/>
          <w:highlight w:val="none"/>
          <w:lang w:val="en-US" w:eastAsia="zh-CN"/>
        </w:rPr>
        <w:t>广州维德科技有限公司</w:t>
      </w:r>
      <w:r>
        <w:rPr>
          <w:rFonts w:hint="eastAsia" w:ascii="宋体" w:hAnsi="宋体"/>
          <w:snapToGrid w:val="0"/>
          <w:kern w:val="0"/>
          <w:sz w:val="24"/>
          <w:highlight w:val="none"/>
        </w:rPr>
        <w:t>承建，该公司对原平台有唯一的</w:t>
      </w:r>
      <w:r>
        <w:rPr>
          <w:rFonts w:hint="eastAsia" w:ascii="宋体" w:hAnsi="宋体"/>
          <w:snapToGrid w:val="0"/>
          <w:kern w:val="0"/>
          <w:sz w:val="24"/>
          <w:highlight w:val="none"/>
          <w:lang w:val="en-US" w:eastAsia="zh-CN"/>
        </w:rPr>
        <w:t>知识</w:t>
      </w:r>
      <w:r>
        <w:rPr>
          <w:rFonts w:hint="eastAsia" w:ascii="宋体" w:hAnsi="宋体"/>
          <w:snapToGrid w:val="0"/>
          <w:kern w:val="0"/>
          <w:sz w:val="24"/>
          <w:highlight w:val="none"/>
        </w:rPr>
        <w:t>产权和源代码所有权，综合考虑平台拓展开发需要，使用同一家公司产品和建设不需要对原有硬件进行更改，在同一数据架构下能完全实现一二期项目数据的无缝对接，可最大程度缩短项目建设周期，减少系统建设过程中存在的沟通、协调和对接等环节，在同一数据架构运行下可确保信息平台数据的安全有效运行，而且一期已搭建线上线下培训服务体系，二期建设在一期运维体系基础上，可提供更好的平台应用后续服务，因此该项目采用单一来源方式采购。</w:t>
      </w:r>
    </w:p>
    <w:p>
      <w:pPr>
        <w:spacing w:line="360" w:lineRule="auto"/>
        <w:ind w:firstLine="480" w:firstLineChars="200"/>
        <w:rPr>
          <w:rFonts w:hint="eastAsia" w:ascii="宋体" w:hAnsi="宋体"/>
          <w:snapToGrid w:val="0"/>
          <w:kern w:val="0"/>
          <w:sz w:val="24"/>
          <w:highlight w:val="none"/>
        </w:rPr>
      </w:pPr>
      <w:r>
        <w:rPr>
          <w:rFonts w:hint="eastAsia" w:ascii="宋体" w:hAnsi="宋体"/>
          <w:snapToGrid w:val="0"/>
          <w:kern w:val="0"/>
          <w:sz w:val="24"/>
          <w:highlight w:val="none"/>
        </w:rPr>
        <w:t>供应商名称及</w:t>
      </w:r>
      <w:r>
        <w:rPr>
          <w:rFonts w:hint="eastAsia" w:ascii="宋体" w:hAnsi="宋体"/>
          <w:snapToGrid w:val="0"/>
          <w:color w:val="auto"/>
          <w:kern w:val="0"/>
          <w:sz w:val="24"/>
          <w:highlight w:val="none"/>
        </w:rPr>
        <w:t>地址：</w:t>
      </w:r>
      <w:r>
        <w:rPr>
          <w:rFonts w:hint="eastAsia" w:ascii="宋体" w:hAnsi="宋体"/>
          <w:snapToGrid w:val="0"/>
          <w:color w:val="auto"/>
          <w:kern w:val="0"/>
          <w:sz w:val="24"/>
          <w:highlight w:val="none"/>
          <w:lang w:val="en-US" w:eastAsia="zh-CN"/>
        </w:rPr>
        <w:t>广州维德科技有限公司</w:t>
      </w: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val="en-US" w:eastAsia="zh-CN"/>
        </w:rPr>
        <w:t>广州市天河区东莞庄路161号自编13栋</w:t>
      </w:r>
      <w:r>
        <w:rPr>
          <w:rFonts w:ascii="宋体" w:hAnsi="宋体"/>
          <w:snapToGrid w:val="0"/>
          <w:kern w:val="0"/>
          <w:sz w:val="24"/>
          <w:highlight w:val="none"/>
        </w:rPr>
        <w:t>。</w:t>
      </w:r>
    </w:p>
    <w:p>
      <w:pPr>
        <w:pStyle w:val="16"/>
        <w:widowControl w:val="0"/>
        <w:autoSpaceDE w:val="0"/>
        <w:autoSpaceDN w:val="0"/>
        <w:adjustRightInd w:val="0"/>
        <w:spacing w:line="560" w:lineRule="exact"/>
        <w:ind w:left="0" w:firstLine="560" w:firstLineChars="200"/>
        <w:jc w:val="both"/>
        <w:outlineLvl w:val="1"/>
        <w:rPr>
          <w:rFonts w:ascii="黑体" w:hAnsi="黑体" w:eastAsia="黑体"/>
          <w:color w:val="0000FF"/>
          <w:sz w:val="28"/>
          <w:szCs w:val="28"/>
          <w:lang w:eastAsia="zh-CN"/>
        </w:rPr>
      </w:pPr>
      <w:bookmarkStart w:id="7" w:name="_Toc25632"/>
      <w:r>
        <w:rPr>
          <w:rFonts w:hint="eastAsia" w:ascii="黑体" w:hAnsi="黑体" w:eastAsia="黑体"/>
          <w:color w:val="0000FF"/>
          <w:sz w:val="28"/>
          <w:szCs w:val="28"/>
          <w:lang w:eastAsia="zh-CN"/>
        </w:rPr>
        <w:t>二、</w:t>
      </w:r>
      <w:r>
        <w:rPr>
          <w:rFonts w:ascii="黑体" w:hAnsi="黑体" w:eastAsia="黑体"/>
          <w:color w:val="0000FF"/>
          <w:sz w:val="28"/>
          <w:szCs w:val="28"/>
          <w:lang w:eastAsia="zh-CN"/>
        </w:rPr>
        <w:t>商务要求</w:t>
      </w:r>
      <w:bookmarkEnd w:id="7"/>
    </w:p>
    <w:p>
      <w:pPr>
        <w:numPr>
          <w:ilvl w:val="0"/>
          <w:numId w:val="0"/>
        </w:numPr>
        <w:spacing w:line="600" w:lineRule="exact"/>
        <w:ind w:firstLine="280" w:firstLineChars="100"/>
        <w:rPr>
          <w:rFonts w:asciiTheme="majorEastAsia" w:hAnsiTheme="majorEastAsia" w:eastAsiaTheme="majorEastAsia" w:cstheme="majorEastAsia"/>
          <w:sz w:val="28"/>
          <w:szCs w:val="28"/>
          <w:highlight w:val="none"/>
        </w:rPr>
      </w:pPr>
      <w:r>
        <w:rPr>
          <w:rFonts w:ascii="Times New Roman" w:hAnsi="Times New Roman"/>
          <w:color w:val="0000FF"/>
          <w:sz w:val="28"/>
          <w:szCs w:val="28"/>
          <w:highlight w:val="none"/>
          <w:lang w:eastAsia="zh-CN"/>
        </w:rPr>
        <w:t xml:space="preserve">（一）交货时间： </w:t>
      </w:r>
      <w:r>
        <w:rPr>
          <w:rFonts w:hint="eastAsia" w:ascii="Times New Roman" w:hAnsi="Times New Roman"/>
          <w:color w:val="0000FF"/>
          <w:sz w:val="28"/>
          <w:szCs w:val="28"/>
          <w:highlight w:val="none"/>
          <w:u w:val="single"/>
          <w:lang w:eastAsia="zh-CN"/>
        </w:rPr>
        <w:t>交货时间为合同签订后</w:t>
      </w:r>
      <w:r>
        <w:rPr>
          <w:rFonts w:hint="eastAsia" w:ascii="Times New Roman" w:hAnsi="Times New Roman"/>
          <w:color w:val="0000FF"/>
          <w:sz w:val="28"/>
          <w:szCs w:val="28"/>
          <w:highlight w:val="none"/>
          <w:u w:val="single"/>
          <w:lang w:val="en-US" w:eastAsia="zh-CN"/>
        </w:rPr>
        <w:t>30</w:t>
      </w:r>
      <w:r>
        <w:rPr>
          <w:rFonts w:hint="eastAsia" w:ascii="Times New Roman" w:hAnsi="Times New Roman"/>
          <w:color w:val="0000FF"/>
          <w:sz w:val="28"/>
          <w:szCs w:val="28"/>
          <w:highlight w:val="none"/>
          <w:u w:val="single"/>
          <w:lang w:eastAsia="zh-CN"/>
        </w:rPr>
        <w:t>天内，</w:t>
      </w:r>
      <w:r>
        <w:rPr>
          <w:rFonts w:hint="eastAsia" w:ascii="Times New Roman" w:hAnsi="Times New Roman"/>
          <w:color w:val="0000FF"/>
          <w:sz w:val="28"/>
          <w:szCs w:val="28"/>
          <w:highlight w:val="none"/>
          <w:u w:val="single"/>
          <w:lang w:val="en-US" w:eastAsia="zh-CN"/>
        </w:rPr>
        <w:t>其中</w:t>
      </w:r>
      <w:r>
        <w:rPr>
          <w:rFonts w:hint="eastAsia" w:asciiTheme="majorEastAsia" w:hAnsiTheme="majorEastAsia" w:eastAsiaTheme="majorEastAsia" w:cstheme="majorEastAsia"/>
          <w:sz w:val="28"/>
          <w:szCs w:val="28"/>
          <w:highlight w:val="none"/>
          <w:lang w:val="en-US" w:eastAsia="zh-CN"/>
        </w:rPr>
        <w:t>供货周期20日，施工周期10日，供应商负责架设安装，站点及传输链路由采购方确定。</w:t>
      </w:r>
    </w:p>
    <w:p>
      <w:pPr>
        <w:pStyle w:val="16"/>
        <w:widowControl w:val="0"/>
        <w:spacing w:line="560" w:lineRule="exact"/>
        <w:ind w:left="11" w:firstLine="560" w:firstLineChars="200"/>
        <w:jc w:val="both"/>
        <w:rPr>
          <w:rFonts w:ascii="Times New Roman" w:hAnsi="Times New Roman"/>
          <w:color w:val="0000FF"/>
          <w:sz w:val="28"/>
          <w:szCs w:val="28"/>
          <w:highlight w:val="none"/>
          <w:lang w:eastAsia="zh-CN"/>
        </w:rPr>
      </w:pPr>
      <w:r>
        <w:rPr>
          <w:rFonts w:hint="eastAsia" w:ascii="Times New Roman" w:hAnsi="Times New Roman"/>
          <w:color w:val="0000FF"/>
          <w:sz w:val="28"/>
          <w:szCs w:val="28"/>
          <w:highlight w:val="none"/>
          <w:lang w:eastAsia="zh-CN"/>
        </w:rPr>
        <w:t>（二）</w:t>
      </w:r>
      <w:r>
        <w:rPr>
          <w:rFonts w:ascii="Times New Roman" w:hAnsi="Times New Roman"/>
          <w:color w:val="0000FF"/>
          <w:sz w:val="28"/>
          <w:szCs w:val="28"/>
          <w:highlight w:val="none"/>
          <w:lang w:eastAsia="zh-CN"/>
        </w:rPr>
        <w:t>地点与方式</w:t>
      </w:r>
      <w:r>
        <w:rPr>
          <w:rFonts w:hint="eastAsia" w:ascii="Times New Roman" w:hAnsi="Times New Roman"/>
          <w:color w:val="0000FF"/>
          <w:sz w:val="28"/>
          <w:szCs w:val="28"/>
          <w:highlight w:val="none"/>
          <w:lang w:eastAsia="zh-CN"/>
        </w:rPr>
        <w:t>：</w:t>
      </w:r>
      <w:r>
        <w:rPr>
          <w:rFonts w:hint="eastAsia" w:ascii="Times New Roman" w:hAnsi="Times New Roman"/>
          <w:color w:val="0000FF"/>
          <w:sz w:val="28"/>
          <w:szCs w:val="28"/>
          <w:highlight w:val="none"/>
          <w:u w:val="single"/>
          <w:lang w:eastAsia="zh-CN"/>
        </w:rPr>
        <w:t>新疆</w:t>
      </w:r>
      <w:r>
        <w:rPr>
          <w:rFonts w:hint="eastAsia" w:ascii="Times New Roman" w:hAnsi="Times New Roman"/>
          <w:color w:val="0000FF"/>
          <w:sz w:val="28"/>
          <w:szCs w:val="28"/>
          <w:highlight w:val="none"/>
          <w:u w:val="single"/>
          <w:lang w:val="en-US" w:eastAsia="zh-CN"/>
        </w:rPr>
        <w:t>喀什地区莎车县</w:t>
      </w:r>
      <w:r>
        <w:rPr>
          <w:rFonts w:hint="eastAsia" w:ascii="Times New Roman" w:hAnsi="Times New Roman"/>
          <w:color w:val="0000FF"/>
          <w:sz w:val="28"/>
          <w:szCs w:val="28"/>
          <w:highlight w:val="none"/>
          <w:u w:val="single"/>
          <w:lang w:eastAsia="zh-CN"/>
        </w:rPr>
        <w:t>安装调试完毕（具体以签订合同为准）</w:t>
      </w:r>
      <w:r>
        <w:rPr>
          <w:rFonts w:ascii="Times New Roman" w:hAnsi="Times New Roman"/>
          <w:color w:val="0000FF"/>
          <w:sz w:val="28"/>
          <w:szCs w:val="28"/>
          <w:highlight w:val="none"/>
          <w:u w:val="single"/>
          <w:lang w:eastAsia="zh-CN"/>
        </w:rPr>
        <w:t>。</w:t>
      </w:r>
    </w:p>
    <w:p>
      <w:pPr>
        <w:pStyle w:val="16"/>
        <w:widowControl w:val="0"/>
        <w:spacing w:line="560" w:lineRule="exact"/>
        <w:ind w:left="11" w:firstLine="560" w:firstLineChars="200"/>
        <w:jc w:val="both"/>
        <w:rPr>
          <w:rFonts w:hint="eastAsia" w:ascii="Times New Roman" w:hAnsi="Times New Roman"/>
          <w:color w:val="0000FF"/>
          <w:sz w:val="28"/>
          <w:szCs w:val="28"/>
          <w:highlight w:val="none"/>
          <w:lang w:eastAsia="zh-CN"/>
        </w:rPr>
      </w:pPr>
      <w:r>
        <w:rPr>
          <w:rFonts w:ascii="Times New Roman" w:hAnsi="Times New Roman"/>
          <w:color w:val="0000FF"/>
          <w:sz w:val="28"/>
          <w:szCs w:val="28"/>
          <w:highlight w:val="none"/>
          <w:lang w:eastAsia="zh-CN"/>
        </w:rPr>
        <w:t>（</w:t>
      </w:r>
      <w:r>
        <w:rPr>
          <w:rFonts w:hint="eastAsia" w:ascii="Times New Roman" w:hAnsi="Times New Roman"/>
          <w:color w:val="0000FF"/>
          <w:sz w:val="28"/>
          <w:szCs w:val="28"/>
          <w:highlight w:val="none"/>
          <w:lang w:eastAsia="zh-CN"/>
        </w:rPr>
        <w:t>三</w:t>
      </w:r>
      <w:r>
        <w:rPr>
          <w:rFonts w:ascii="Times New Roman" w:hAnsi="Times New Roman"/>
          <w:color w:val="0000FF"/>
          <w:sz w:val="28"/>
          <w:szCs w:val="28"/>
          <w:highlight w:val="none"/>
          <w:lang w:eastAsia="zh-CN"/>
        </w:rPr>
        <w:t>）售后服务：</w:t>
      </w:r>
    </w:p>
    <w:p>
      <w:pPr>
        <w:numPr>
          <w:ilvl w:val="0"/>
          <w:numId w:val="5"/>
        </w:num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提供</w:t>
      </w:r>
      <w:r>
        <w:rPr>
          <w:rFonts w:hint="eastAsia" w:asciiTheme="majorEastAsia" w:hAnsiTheme="majorEastAsia" w:eastAsiaTheme="majorEastAsia" w:cstheme="majorEastAsia"/>
          <w:sz w:val="28"/>
          <w:szCs w:val="28"/>
          <w:lang w:val="en-US" w:eastAsia="zh-CN"/>
        </w:rPr>
        <w:t>3年质保</w:t>
      </w:r>
      <w:r>
        <w:rPr>
          <w:rFonts w:hint="eastAsia" w:asciiTheme="majorEastAsia" w:hAnsiTheme="majorEastAsia" w:eastAsiaTheme="majorEastAsia" w:cstheme="majorEastAsia"/>
          <w:sz w:val="28"/>
          <w:szCs w:val="28"/>
        </w:rPr>
        <w:t>保修服务，维护内容包括免费升级、故障排除、性能调优、技术咨询等。</w:t>
      </w:r>
    </w:p>
    <w:p>
      <w:pPr>
        <w:numPr>
          <w:ilvl w:val="0"/>
          <w:numId w:val="5"/>
        </w:num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质保期内对我方提供的货物实行质量“三包”服务。</w:t>
      </w:r>
    </w:p>
    <w:p>
      <w:pPr>
        <w:numPr>
          <w:ilvl w:val="0"/>
          <w:numId w:val="5"/>
        </w:num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质保期内，提供2小时响应服务，保证在接到使用方通知后12小时内到达现场进行更换、维修。如有部件损坏，将立即予以更换、维修。如不能及时修复的，将提供相同型号的设备给采购人使用，一直到设备故障维修好为止。</w:t>
      </w:r>
    </w:p>
    <w:p>
      <w:pPr>
        <w:numPr>
          <w:ilvl w:val="0"/>
          <w:numId w:val="5"/>
        </w:numPr>
        <w:spacing w:line="6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系统中主要设备和系统软件长期提供良好的技术支持及零配件的优惠供应。方式包括：电话技术服务、现场技术服务、技术升级服务等。</w:t>
      </w:r>
    </w:p>
    <w:p>
      <w:pPr>
        <w:pStyle w:val="16"/>
        <w:widowControl w:val="0"/>
        <w:spacing w:line="560" w:lineRule="exact"/>
        <w:ind w:left="11" w:firstLine="560" w:firstLineChars="200"/>
        <w:jc w:val="both"/>
        <w:rPr>
          <w:rFonts w:ascii="Times New Roman" w:hAnsi="Times New Roman"/>
          <w:b/>
          <w:sz w:val="28"/>
          <w:szCs w:val="28"/>
          <w:highlight w:val="none"/>
          <w:lang w:eastAsia="zh-CN"/>
        </w:rPr>
      </w:pPr>
      <w:r>
        <w:rPr>
          <w:rFonts w:ascii="Times New Roman" w:hAnsi="宋体"/>
          <w:sz w:val="28"/>
          <w:szCs w:val="28"/>
          <w:highlight w:val="none"/>
          <w:lang w:val="zh-CN" w:eastAsia="zh-CN"/>
        </w:rPr>
        <w:t>（</w:t>
      </w:r>
      <w:r>
        <w:rPr>
          <w:rFonts w:hint="eastAsia" w:ascii="Times New Roman" w:hAnsi="宋体"/>
          <w:sz w:val="28"/>
          <w:szCs w:val="28"/>
          <w:highlight w:val="none"/>
          <w:lang w:val="zh-CN" w:eastAsia="zh-CN"/>
        </w:rPr>
        <w:t>四</w:t>
      </w:r>
      <w:r>
        <w:rPr>
          <w:rFonts w:ascii="Times New Roman" w:hAnsi="宋体"/>
          <w:sz w:val="28"/>
          <w:szCs w:val="28"/>
          <w:highlight w:val="none"/>
          <w:lang w:val="zh-CN" w:eastAsia="zh-CN"/>
        </w:rPr>
        <w:t>）</w:t>
      </w:r>
      <w:r>
        <w:rPr>
          <w:rFonts w:ascii="Times New Roman" w:hAnsi="宋体"/>
          <w:sz w:val="28"/>
          <w:szCs w:val="28"/>
          <w:highlight w:val="none"/>
          <w:lang w:eastAsia="zh-CN"/>
        </w:rPr>
        <w:t>专利权和保密要求</w:t>
      </w:r>
    </w:p>
    <w:p>
      <w:pPr>
        <w:tabs>
          <w:tab w:val="left" w:pos="936"/>
          <w:tab w:val="left" w:pos="1053"/>
          <w:tab w:val="left" w:pos="1521"/>
        </w:tabs>
        <w:spacing w:line="480" w:lineRule="exact"/>
        <w:ind w:firstLine="280" w:firstLineChars="100"/>
        <w:jc w:val="left"/>
        <w:rPr>
          <w:rFonts w:hint="eastAsia" w:ascii="宋体" w:hAnsi="宋体" w:cs="宋体"/>
          <w:sz w:val="24"/>
          <w:highlight w:val="none"/>
        </w:rPr>
      </w:pPr>
      <w:r>
        <w:rPr>
          <w:rFonts w:ascii="Times New Roman" w:hAnsi="Times New Roman"/>
          <w:sz w:val="28"/>
          <w:szCs w:val="28"/>
          <w:lang w:val="zh-CN" w:eastAsia="zh-CN"/>
        </w:rPr>
        <w:t>投标人应保证使用方在使用该货物或其任何一部分时，不受第三方侵权指控。同时，投标人不得向第三方泄露招标人提供的技术文件等资料</w:t>
      </w:r>
      <w:r>
        <w:rPr>
          <w:rFonts w:hint="eastAsia" w:ascii="Times New Roman" w:hAnsi="Times New Roman"/>
          <w:sz w:val="28"/>
          <w:szCs w:val="28"/>
          <w:lang w:val="zh-CN" w:eastAsia="zh-CN"/>
        </w:rPr>
        <w:t>。</w:t>
      </w:r>
    </w:p>
    <w:p>
      <w:pPr>
        <w:tabs>
          <w:tab w:val="left" w:pos="936"/>
          <w:tab w:val="left" w:pos="1053"/>
          <w:tab w:val="left" w:pos="1521"/>
        </w:tabs>
        <w:spacing w:line="480" w:lineRule="exact"/>
        <w:ind w:left="479" w:leftChars="228"/>
        <w:jc w:val="left"/>
        <w:rPr>
          <w:rFonts w:hint="eastAsia" w:ascii="宋体" w:hAnsi="宋体" w:cs="宋体"/>
          <w:sz w:val="24"/>
          <w:highlight w:val="none"/>
          <w:lang w:val="zh-CN"/>
        </w:rPr>
      </w:pPr>
      <w:r>
        <w:rPr>
          <w:rFonts w:hint="eastAsia" w:ascii="宋体" w:hAnsi="宋体" w:cs="宋体"/>
          <w:sz w:val="24"/>
          <w:highlight w:val="none"/>
        </w:rPr>
        <w:t>1.报价方应保证使用方在使用该货物或其任何一部分时，不受第三方侵权指控。2</w:t>
      </w:r>
      <w:r>
        <w:rPr>
          <w:rFonts w:hint="eastAsia" w:ascii="宋体" w:hAnsi="宋体" w:cs="宋体"/>
          <w:sz w:val="24"/>
          <w:highlight w:val="none"/>
          <w:lang w:val="zh-CN"/>
        </w:rPr>
        <w:t>.需求（使用）单位：</w:t>
      </w:r>
      <w:r>
        <w:rPr>
          <w:rFonts w:hint="default" w:ascii="宋体" w:hAnsi="宋体" w:cs="宋体"/>
          <w:sz w:val="24"/>
          <w:highlight w:val="none"/>
        </w:rPr>
        <w:t>莎车县公安局</w:t>
      </w:r>
      <w:r>
        <w:rPr>
          <w:rFonts w:hint="eastAsia" w:ascii="宋体" w:hAnsi="宋体" w:cs="宋体"/>
          <w:sz w:val="24"/>
          <w:highlight w:val="none"/>
          <w:lang w:val="zh-CN"/>
        </w:rPr>
        <w:t>，该单位将与成交人签订合同并履行合同的权利和义务。</w:t>
      </w:r>
    </w:p>
    <w:p>
      <w:pPr>
        <w:tabs>
          <w:tab w:val="left" w:pos="936"/>
          <w:tab w:val="left" w:pos="1053"/>
          <w:tab w:val="left" w:pos="1521"/>
        </w:tabs>
        <w:spacing w:line="480" w:lineRule="exact"/>
        <w:ind w:firstLine="480" w:firstLineChars="200"/>
        <w:outlineLvl w:val="1"/>
        <w:rPr>
          <w:rFonts w:hint="eastAsia" w:ascii="宋体" w:hAnsi="宋体" w:cs="宋体"/>
          <w:sz w:val="24"/>
          <w:highlight w:val="none"/>
        </w:rPr>
      </w:pPr>
      <w:bookmarkStart w:id="8" w:name="_Toc28701"/>
      <w:r>
        <w:rPr>
          <w:rFonts w:hint="eastAsia" w:ascii="宋体" w:hAnsi="宋体" w:cs="宋体"/>
          <w:sz w:val="24"/>
          <w:highlight w:val="none"/>
        </w:rPr>
        <w:t>三、响应文件组成</w:t>
      </w:r>
      <w:bookmarkEnd w:id="8"/>
    </w:p>
    <w:p>
      <w:pPr>
        <w:tabs>
          <w:tab w:val="left" w:pos="936"/>
          <w:tab w:val="left" w:pos="1053"/>
          <w:tab w:val="left" w:pos="1521"/>
        </w:tabs>
        <w:spacing w:line="480" w:lineRule="exact"/>
        <w:ind w:firstLine="482" w:firstLineChars="200"/>
        <w:rPr>
          <w:rFonts w:hint="eastAsia" w:ascii="宋体" w:hAnsi="宋体" w:cs="宋体"/>
          <w:b/>
          <w:sz w:val="24"/>
          <w:highlight w:val="none"/>
        </w:rPr>
      </w:pPr>
      <w:r>
        <w:rPr>
          <w:rFonts w:hint="eastAsia" w:ascii="宋体" w:hAnsi="宋体" w:cs="宋体"/>
          <w:b/>
          <w:sz w:val="24"/>
          <w:highlight w:val="none"/>
        </w:rPr>
        <w:t>响应文件由报价书和资格证明文件组成。</w:t>
      </w:r>
    </w:p>
    <w:p>
      <w:pPr>
        <w:tabs>
          <w:tab w:val="left" w:pos="936"/>
          <w:tab w:val="left" w:pos="1053"/>
          <w:tab w:val="left" w:pos="1521"/>
        </w:tabs>
        <w:spacing w:line="480" w:lineRule="exact"/>
        <w:ind w:firstLine="480" w:firstLineChars="200"/>
        <w:outlineLvl w:val="2"/>
        <w:rPr>
          <w:rFonts w:hint="eastAsia" w:ascii="宋体" w:hAnsi="宋体" w:cs="宋体"/>
          <w:sz w:val="24"/>
          <w:highlight w:val="none"/>
        </w:rPr>
      </w:pPr>
      <w:bookmarkStart w:id="9" w:name="_Toc14140"/>
      <w:r>
        <w:rPr>
          <w:rFonts w:hint="eastAsia" w:ascii="宋体" w:hAnsi="宋体" w:cs="宋体"/>
          <w:sz w:val="24"/>
          <w:highlight w:val="none"/>
        </w:rPr>
        <w:t>（一）报价书包括：</w:t>
      </w:r>
      <w:bookmarkEnd w:id="9"/>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1.报价一览表</w:t>
      </w:r>
      <w:r>
        <w:rPr>
          <w:rFonts w:hint="eastAsia" w:ascii="宋体" w:hAnsi="宋体" w:cs="宋体"/>
          <w:sz w:val="24"/>
          <w:highlight w:val="none"/>
          <w:lang w:val="zh-CN"/>
        </w:rPr>
        <w:t>（附件1）</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3.响应函（附件2）</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4.主要商务条款响应偏离表（</w:t>
      </w:r>
      <w:r>
        <w:rPr>
          <w:rFonts w:hint="eastAsia" w:ascii="宋体" w:hAnsi="宋体" w:cs="宋体"/>
          <w:sz w:val="24"/>
          <w:highlight w:val="none"/>
          <w:lang w:val="zh-CN"/>
        </w:rPr>
        <w:t>附件</w:t>
      </w:r>
      <w:r>
        <w:rPr>
          <w:rFonts w:hint="eastAsia" w:ascii="宋体" w:hAnsi="宋体" w:cs="宋体"/>
          <w:sz w:val="24"/>
          <w:highlight w:val="none"/>
        </w:rPr>
        <w:t>3）</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5.谈判保证金交纳缴纳凭证（</w:t>
      </w:r>
      <w:r>
        <w:rPr>
          <w:rFonts w:hint="eastAsia" w:ascii="宋体" w:hAnsi="宋体" w:cs="宋体"/>
          <w:sz w:val="24"/>
          <w:highlight w:val="none"/>
          <w:lang w:val="en-US" w:eastAsia="zh-CN"/>
        </w:rPr>
        <w:t>打款凭证/保证金收据</w:t>
      </w:r>
      <w:r>
        <w:rPr>
          <w:rFonts w:hint="eastAsia" w:ascii="宋体" w:hAnsi="宋体" w:cs="宋体"/>
          <w:sz w:val="24"/>
          <w:highlight w:val="none"/>
        </w:rPr>
        <w:t>）</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6.售后服务承诺</w:t>
      </w:r>
      <w:r>
        <w:rPr>
          <w:rFonts w:hint="eastAsia" w:ascii="宋体" w:hAnsi="宋体" w:cs="宋体"/>
          <w:sz w:val="24"/>
          <w:highlight w:val="none"/>
          <w:lang w:val="zh-CN"/>
        </w:rPr>
        <w:t>（</w:t>
      </w:r>
      <w:r>
        <w:rPr>
          <w:rFonts w:hint="eastAsia" w:ascii="宋体" w:hAnsi="宋体" w:cs="宋体"/>
          <w:sz w:val="24"/>
          <w:highlight w:val="none"/>
          <w:lang w:val="en-US" w:eastAsia="zh-CN"/>
        </w:rPr>
        <w:t>自行拟定</w:t>
      </w:r>
      <w:r>
        <w:rPr>
          <w:rFonts w:hint="eastAsia" w:ascii="宋体" w:hAnsi="宋体" w:cs="宋体"/>
          <w:sz w:val="24"/>
          <w:highlight w:val="none"/>
          <w:lang w:val="zh-CN"/>
        </w:rPr>
        <w:t>）</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z w:val="24"/>
          <w:highlight w:val="none"/>
        </w:rPr>
        <w:t>7.</w:t>
      </w:r>
      <w:r>
        <w:rPr>
          <w:rFonts w:hint="eastAsia" w:ascii="宋体" w:hAnsi="宋体" w:cs="宋体"/>
          <w:snapToGrid w:val="0"/>
          <w:kern w:val="0"/>
          <w:sz w:val="24"/>
          <w:highlight w:val="none"/>
          <w:lang w:val="zh-CN"/>
        </w:rPr>
        <w:t>报价方认为需要加以说明的其他内容</w:t>
      </w:r>
    </w:p>
    <w:p>
      <w:pPr>
        <w:tabs>
          <w:tab w:val="left" w:pos="936"/>
          <w:tab w:val="left" w:pos="1053"/>
          <w:tab w:val="left" w:pos="1521"/>
        </w:tabs>
        <w:spacing w:line="480" w:lineRule="exact"/>
        <w:ind w:firstLine="480" w:firstLineChars="200"/>
        <w:outlineLvl w:val="2"/>
        <w:rPr>
          <w:rFonts w:hint="eastAsia" w:ascii="宋体" w:hAnsi="宋体" w:cs="宋体"/>
          <w:snapToGrid w:val="0"/>
          <w:kern w:val="0"/>
          <w:sz w:val="24"/>
          <w:highlight w:val="none"/>
          <w:lang w:val="zh-CN"/>
        </w:rPr>
      </w:pPr>
      <w:bookmarkStart w:id="10" w:name="_Toc4811"/>
      <w:r>
        <w:rPr>
          <w:rFonts w:hint="eastAsia" w:ascii="宋体" w:hAnsi="宋体" w:cs="宋体"/>
          <w:snapToGrid w:val="0"/>
          <w:kern w:val="0"/>
          <w:sz w:val="24"/>
          <w:highlight w:val="none"/>
          <w:lang w:val="zh-CN"/>
        </w:rPr>
        <w:t>（二）资格证明文件包括</w:t>
      </w:r>
      <w:r>
        <w:rPr>
          <w:rFonts w:hint="eastAsia" w:ascii="宋体" w:hAnsi="宋体" w:cs="宋体"/>
          <w:sz w:val="24"/>
          <w:highlight w:val="none"/>
        </w:rPr>
        <w:t>（除必须要求原件外，其他资料原件和复印件均可）</w:t>
      </w:r>
      <w:bookmarkEnd w:id="10"/>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1.</w:t>
      </w:r>
      <w:r>
        <w:rPr>
          <w:rFonts w:hint="eastAsia" w:ascii="宋体" w:hAnsi="宋体" w:cs="宋体"/>
          <w:sz w:val="24"/>
          <w:highlight w:val="none"/>
        </w:rPr>
        <w:t>营业执照副本</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napToGrid w:val="0"/>
          <w:kern w:val="0"/>
          <w:sz w:val="24"/>
          <w:highlight w:val="none"/>
          <w:lang w:val="zh-CN"/>
        </w:rPr>
        <w:t>2.</w:t>
      </w:r>
      <w:r>
        <w:rPr>
          <w:rFonts w:hint="eastAsia" w:ascii="宋体" w:hAnsi="宋体" w:cs="宋体"/>
          <w:sz w:val="24"/>
          <w:highlight w:val="none"/>
        </w:rPr>
        <w:t>组织机构代码证副本(三证合一除外)</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3.税务登记证副本(三证合一除外)</w:t>
      </w:r>
    </w:p>
    <w:p>
      <w:pPr>
        <w:tabs>
          <w:tab w:val="left" w:pos="936"/>
          <w:tab w:val="left" w:pos="1053"/>
          <w:tab w:val="left" w:pos="1521"/>
        </w:tabs>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4.</w:t>
      </w:r>
      <w:r>
        <w:rPr>
          <w:rFonts w:hint="eastAsia" w:ascii="宋体" w:hAnsi="宋体" w:cs="宋体"/>
          <w:sz w:val="24"/>
          <w:highlight w:val="none"/>
          <w:lang w:val="zh-CN"/>
        </w:rPr>
        <w:t>银行出具的资信证明</w:t>
      </w:r>
      <w:r>
        <w:rPr>
          <w:rFonts w:hint="eastAsia" w:ascii="宋体" w:hAnsi="宋体" w:cs="宋体"/>
          <w:sz w:val="24"/>
          <w:highlight w:val="none"/>
          <w:lang w:val="en-US" w:eastAsia="zh-CN"/>
        </w:rPr>
        <w:t>或2020年审计报告</w:t>
      </w:r>
    </w:p>
    <w:p>
      <w:pPr>
        <w:tabs>
          <w:tab w:val="left" w:pos="936"/>
          <w:tab w:val="left" w:pos="1053"/>
          <w:tab w:val="left" w:pos="1521"/>
        </w:tabs>
        <w:spacing w:line="48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5.参加本次采购活动前3年内在经营活动中没有重大违法记录的书面声明</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lang w:val="zh-CN"/>
        </w:rPr>
        <w:t>6.</w:t>
      </w:r>
      <w:r>
        <w:rPr>
          <w:rFonts w:hint="eastAsia" w:ascii="宋体" w:hAnsi="宋体" w:cs="宋体"/>
          <w:sz w:val="24"/>
          <w:highlight w:val="none"/>
        </w:rPr>
        <w:t>法定代表人资格证明书（</w:t>
      </w:r>
      <w:r>
        <w:rPr>
          <w:rFonts w:hint="eastAsia" w:ascii="宋体" w:hAnsi="宋体" w:cs="宋体"/>
          <w:b/>
          <w:sz w:val="24"/>
          <w:highlight w:val="none"/>
        </w:rPr>
        <w:t>原件，</w:t>
      </w:r>
      <w:r>
        <w:rPr>
          <w:rFonts w:hint="eastAsia" w:ascii="宋体" w:hAnsi="宋体" w:cs="宋体"/>
          <w:sz w:val="24"/>
          <w:highlight w:val="none"/>
        </w:rPr>
        <w:t>附件6）</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7.法定代表人授权书（</w:t>
      </w:r>
      <w:r>
        <w:rPr>
          <w:rFonts w:hint="eastAsia" w:ascii="宋体" w:hAnsi="宋体" w:cs="宋体"/>
          <w:b/>
          <w:kern w:val="0"/>
          <w:sz w:val="24"/>
          <w:highlight w:val="none"/>
        </w:rPr>
        <w:t>原件</w:t>
      </w:r>
      <w:r>
        <w:rPr>
          <w:rFonts w:hint="eastAsia" w:ascii="宋体" w:hAnsi="宋体" w:cs="宋体"/>
          <w:kern w:val="0"/>
          <w:sz w:val="24"/>
          <w:highlight w:val="none"/>
        </w:rPr>
        <w:t>，如法人未到谈判现场需提供</w:t>
      </w:r>
      <w:r>
        <w:rPr>
          <w:rFonts w:hint="eastAsia" w:ascii="宋体" w:hAnsi="宋体" w:cs="宋体"/>
          <w:b/>
          <w:kern w:val="0"/>
          <w:sz w:val="24"/>
          <w:highlight w:val="none"/>
        </w:rPr>
        <w:t>，</w:t>
      </w:r>
      <w:r>
        <w:rPr>
          <w:rFonts w:hint="eastAsia" w:ascii="宋体" w:hAnsi="宋体" w:cs="宋体"/>
          <w:sz w:val="24"/>
          <w:highlight w:val="none"/>
        </w:rPr>
        <w:t>附件7）</w:t>
      </w:r>
    </w:p>
    <w:p>
      <w:pPr>
        <w:tabs>
          <w:tab w:val="left" w:pos="936"/>
          <w:tab w:val="left" w:pos="1053"/>
          <w:tab w:val="left" w:pos="1521"/>
        </w:tabs>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z w:val="24"/>
          <w:highlight w:val="none"/>
        </w:rPr>
        <w:t>8.</w:t>
      </w:r>
      <w:r>
        <w:rPr>
          <w:rFonts w:hint="eastAsia" w:ascii="宋体" w:hAnsi="宋体" w:cs="宋体"/>
          <w:snapToGrid w:val="0"/>
          <w:kern w:val="0"/>
          <w:sz w:val="24"/>
          <w:highlight w:val="none"/>
          <w:lang w:val="zh-CN"/>
        </w:rPr>
        <w:t>报价方认为需要加以说明的其他内容（附件</w:t>
      </w:r>
      <w:r>
        <w:rPr>
          <w:rFonts w:hint="eastAsia" w:ascii="宋体" w:hAnsi="宋体" w:cs="宋体"/>
          <w:snapToGrid w:val="0"/>
          <w:kern w:val="0"/>
          <w:sz w:val="24"/>
          <w:highlight w:val="none"/>
        </w:rPr>
        <w:t>8</w:t>
      </w:r>
      <w:r>
        <w:rPr>
          <w:rFonts w:hint="eastAsia" w:ascii="宋体" w:hAnsi="宋体" w:cs="宋体"/>
          <w:snapToGrid w:val="0"/>
          <w:kern w:val="0"/>
          <w:sz w:val="24"/>
          <w:highlight w:val="none"/>
          <w:lang w:val="zh-CN"/>
        </w:rPr>
        <w:t>）</w:t>
      </w:r>
    </w:p>
    <w:p>
      <w:pPr>
        <w:tabs>
          <w:tab w:val="left" w:pos="936"/>
          <w:tab w:val="left" w:pos="1053"/>
          <w:tab w:val="left" w:pos="1521"/>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报价方应按上述统一格式及顺序向采购机构提供《报价书》和《资格证明文件》，并仔细检查报价书和资格证明文件中的各项材料，是否按照谈判文件格式要求进行签字和盖章，否则影响评审。</w:t>
      </w:r>
    </w:p>
    <w:p>
      <w:pPr>
        <w:spacing w:line="480" w:lineRule="exact"/>
        <w:ind w:firstLine="480" w:firstLineChars="200"/>
        <w:outlineLvl w:val="1"/>
        <w:rPr>
          <w:rFonts w:hint="eastAsia" w:ascii="宋体" w:hAnsi="宋体" w:cs="宋体"/>
          <w:sz w:val="24"/>
          <w:highlight w:val="none"/>
        </w:rPr>
      </w:pPr>
      <w:bookmarkStart w:id="11" w:name="_Toc22218"/>
      <w:r>
        <w:rPr>
          <w:rFonts w:hint="eastAsia" w:ascii="宋体" w:hAnsi="宋体" w:cs="宋体"/>
          <w:sz w:val="24"/>
          <w:highlight w:val="none"/>
        </w:rPr>
        <w:t>四、响应文件的格式规定和签署</w:t>
      </w:r>
      <w:bookmarkEnd w:id="11"/>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（一）响应文件必须字迹工整、规范、统一、清晰，采用A4幅面纸</w:t>
      </w:r>
      <w:r>
        <w:rPr>
          <w:rFonts w:hint="eastAsia" w:ascii="宋体" w:hAnsi="宋体" w:cs="宋体"/>
          <w:b/>
          <w:sz w:val="24"/>
          <w:highlight w:val="none"/>
        </w:rPr>
        <w:t>胶装</w:t>
      </w:r>
      <w:r>
        <w:rPr>
          <w:rFonts w:hint="eastAsia" w:ascii="宋体" w:hAnsi="宋体" w:cs="宋体"/>
          <w:sz w:val="24"/>
          <w:highlight w:val="none"/>
        </w:rPr>
        <w:t>成册、标注页码。</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（二）报价方应当按照邀请函中提供的统一格式填写报价文件，报价文件中应当有目录。</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（三）报价方名称应当填写全称，同时加盖公章。</w:t>
      </w:r>
    </w:p>
    <w:p>
      <w:pPr>
        <w:spacing w:line="480" w:lineRule="exact"/>
        <w:ind w:firstLine="480" w:firstLineChars="200"/>
        <w:rPr>
          <w:rFonts w:hint="eastAsia" w:ascii="宋体" w:hAnsi="宋体" w:cs="宋体"/>
          <w:b/>
          <w:snapToGrid w:val="0"/>
          <w:kern w:val="0"/>
          <w:sz w:val="24"/>
          <w:highlight w:val="none"/>
          <w:lang w:val="zh-CN"/>
        </w:rPr>
      </w:pPr>
      <w:r>
        <w:rPr>
          <w:rFonts w:hint="eastAsia" w:ascii="宋体" w:hAnsi="宋体" w:cs="宋体"/>
          <w:sz w:val="24"/>
          <w:highlight w:val="none"/>
        </w:rPr>
        <w:t>（四）</w:t>
      </w:r>
      <w:r>
        <w:rPr>
          <w:rFonts w:hint="eastAsia" w:ascii="宋体" w:hAnsi="宋体" w:cs="宋体"/>
          <w:b/>
          <w:snapToGrid w:val="0"/>
          <w:kern w:val="0"/>
          <w:sz w:val="24"/>
          <w:highlight w:val="none"/>
          <w:lang w:val="zh-CN"/>
        </w:rPr>
        <w:t>报价</w:t>
      </w:r>
      <w:r>
        <w:rPr>
          <w:rFonts w:hint="eastAsia" w:ascii="宋体" w:hAnsi="宋体" w:cs="宋体"/>
          <w:b/>
          <w:sz w:val="24"/>
          <w:highlight w:val="none"/>
        </w:rPr>
        <w:t>书、资格证明文件须单独封装。其中，</w:t>
      </w:r>
      <w:r>
        <w:rPr>
          <w:rFonts w:hint="eastAsia" w:ascii="宋体" w:hAnsi="宋体" w:cs="宋体"/>
          <w:b/>
          <w:snapToGrid w:val="0"/>
          <w:kern w:val="0"/>
          <w:sz w:val="24"/>
          <w:highlight w:val="none"/>
          <w:lang w:val="zh-CN"/>
        </w:rPr>
        <w:t>报价书一式3份，其中正本1份，副本2份；资格证明文件一式3份，其中正本1份，副本2份。在每一份文件上要注明“报价书”、“资格证明文件”、“正本”和“副本”字样。报价</w:t>
      </w:r>
      <w:r>
        <w:rPr>
          <w:rFonts w:hint="eastAsia" w:ascii="宋体" w:hAnsi="宋体" w:cs="宋体"/>
          <w:b/>
          <w:sz w:val="24"/>
          <w:highlight w:val="none"/>
        </w:rPr>
        <w:t>书、资格证明文件提供</w:t>
      </w:r>
      <w:r>
        <w:rPr>
          <w:rFonts w:hint="eastAsia" w:ascii="宋体" w:hAnsi="宋体" w:cs="宋体"/>
          <w:b/>
          <w:snapToGrid w:val="0"/>
          <w:kern w:val="0"/>
          <w:sz w:val="24"/>
          <w:highlight w:val="none"/>
          <w:lang w:val="zh-CN"/>
        </w:rPr>
        <w:t>电子文档一份。</w:t>
      </w:r>
      <w:r>
        <w:rPr>
          <w:rFonts w:hint="eastAsia" w:ascii="宋体" w:hAnsi="宋体" w:cs="宋体"/>
          <w:b/>
          <w:sz w:val="24"/>
          <w:highlight w:val="none"/>
        </w:rPr>
        <w:t>如果纸质正本与副本</w:t>
      </w:r>
      <w:r>
        <w:rPr>
          <w:rFonts w:hint="eastAsia" w:ascii="宋体" w:hAnsi="宋体" w:cs="宋体"/>
          <w:b/>
          <w:sz w:val="24"/>
          <w:highlight w:val="none"/>
          <w:lang w:val="zh-CN"/>
        </w:rPr>
        <w:t>、电子报价文件</w:t>
      </w:r>
      <w:r>
        <w:rPr>
          <w:rFonts w:hint="eastAsia" w:ascii="宋体" w:hAnsi="宋体" w:cs="宋体"/>
          <w:b/>
          <w:sz w:val="24"/>
          <w:highlight w:val="none"/>
        </w:rPr>
        <w:t>不符，以纸质正本为准。</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（五）报价文件必须打印或用黑色、蓝黑色墨水填写。</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（六）报价文件必须由法定代表人或授权代表签署。</w:t>
      </w:r>
      <w:r>
        <w:rPr>
          <w:rFonts w:hint="eastAsia" w:ascii="宋体" w:hAnsi="宋体" w:cs="宋体"/>
          <w:b/>
          <w:sz w:val="24"/>
          <w:highlight w:val="none"/>
        </w:rPr>
        <w:t>正本需每页加盖单位公章。</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（七）报价文件不得随意涂改和增删。如有修改错漏之处，必须由法定代表人或授权代表签字、盖章。</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（八）报价文件因字迹潦草或表述不清以及复印件不清所引起的后果由报价方自行负责。</w:t>
      </w:r>
    </w:p>
    <w:p>
      <w:pPr>
        <w:tabs>
          <w:tab w:val="left" w:pos="0"/>
          <w:tab w:val="left" w:pos="1122"/>
        </w:tabs>
        <w:spacing w:line="480" w:lineRule="exact"/>
        <w:ind w:firstLine="480" w:firstLineChars="200"/>
        <w:outlineLvl w:val="1"/>
        <w:rPr>
          <w:rFonts w:hint="eastAsia" w:ascii="宋体" w:hAnsi="宋体" w:cs="宋体"/>
          <w:sz w:val="24"/>
          <w:highlight w:val="none"/>
        </w:rPr>
      </w:pPr>
      <w:bookmarkStart w:id="12" w:name="_Toc2679"/>
      <w:r>
        <w:rPr>
          <w:rFonts w:hint="eastAsia" w:ascii="宋体" w:hAnsi="宋体" w:cs="宋体"/>
          <w:sz w:val="24"/>
          <w:highlight w:val="none"/>
        </w:rPr>
        <w:t>五、谈判保证金</w:t>
      </w:r>
      <w:bookmarkEnd w:id="12"/>
    </w:p>
    <w:p>
      <w:pPr>
        <w:numPr>
          <w:ilvl w:val="0"/>
          <w:numId w:val="6"/>
        </w:numPr>
        <w:tabs>
          <w:tab w:val="left" w:pos="-1418"/>
        </w:tabs>
        <w:autoSpaceDE w:val="0"/>
        <w:autoSpaceDN w:val="0"/>
        <w:adjustRightInd w:val="0"/>
        <w:snapToGrid w:val="0"/>
        <w:spacing w:line="480" w:lineRule="exact"/>
        <w:ind w:firstLine="482" w:firstLineChars="200"/>
        <w:rPr>
          <w:rFonts w:hint="eastAsia" w:ascii="宋体" w:hAnsi="宋体" w:cs="宋体"/>
          <w:snapToGrid w:val="0"/>
          <w:kern w:val="0"/>
          <w:sz w:val="24"/>
          <w:highlight w:val="none"/>
          <w:lang w:val="zh-CN"/>
        </w:rPr>
      </w:pPr>
      <w:r>
        <w:rPr>
          <w:rFonts w:hint="eastAsia" w:ascii="宋体" w:hAnsi="宋体" w:cs="宋体"/>
          <w:b/>
          <w:sz w:val="24"/>
          <w:highlight w:val="none"/>
          <w:lang w:val="zh-CN"/>
        </w:rPr>
        <w:t>报价方应当在提交报价文件截止时间前向采购机构交纳</w:t>
      </w:r>
      <w:r>
        <w:rPr>
          <w:rFonts w:hint="eastAsia" w:ascii="宋体" w:hAnsi="宋体" w:cs="宋体"/>
          <w:b/>
          <w:sz w:val="24"/>
          <w:highlight w:val="none"/>
          <w:u w:val="single"/>
          <w:lang w:val="en-US" w:eastAsia="zh-CN"/>
        </w:rPr>
        <w:t>20000元</w:t>
      </w:r>
      <w:r>
        <w:rPr>
          <w:rFonts w:hint="eastAsia" w:ascii="宋体" w:hAnsi="宋体" w:cs="宋体"/>
          <w:b/>
          <w:sz w:val="24"/>
          <w:highlight w:val="none"/>
          <w:lang w:val="zh-CN"/>
        </w:rPr>
        <w:t>谈判保证金</w:t>
      </w:r>
      <w:r>
        <w:rPr>
          <w:rFonts w:hint="eastAsia" w:ascii="宋体" w:hAnsi="宋体" w:cs="宋体"/>
          <w:b/>
          <w:sz w:val="24"/>
          <w:highlight w:val="none"/>
        </w:rPr>
        <w:t>。</w:t>
      </w:r>
    </w:p>
    <w:p>
      <w:pPr>
        <w:numPr>
          <w:ilvl w:val="0"/>
          <w:numId w:val="6"/>
        </w:numPr>
        <w:tabs>
          <w:tab w:val="left" w:pos="-1418"/>
        </w:tabs>
        <w:autoSpaceDE w:val="0"/>
        <w:autoSpaceDN w:val="0"/>
        <w:adjustRightInd w:val="0"/>
        <w:snapToGrid w:val="0"/>
        <w:spacing w:line="48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谈判保证金须采取非现金方式交纳，在提交报价文件截止时间前必须到达采购机构账户内，未到账的报价将被拒绝。</w:t>
      </w:r>
    </w:p>
    <w:p>
      <w:pPr>
        <w:numPr>
          <w:ilvl w:val="0"/>
          <w:numId w:val="0"/>
        </w:numPr>
        <w:tabs>
          <w:tab w:val="left" w:pos="-1418"/>
        </w:tabs>
        <w:autoSpaceDE w:val="0"/>
        <w:autoSpaceDN w:val="0"/>
        <w:adjustRightInd w:val="0"/>
        <w:snapToGrid w:val="0"/>
        <w:spacing w:line="480" w:lineRule="exact"/>
        <w:ind w:leftChars="200"/>
        <w:rPr>
          <w:rFonts w:hint="eastAsia" w:ascii="宋体" w:hAnsi="宋体" w:cs="宋体"/>
          <w:sz w:val="24"/>
          <w:highlight w:val="none"/>
          <w:lang w:val="zh-CN"/>
        </w:rPr>
      </w:pPr>
      <w:r>
        <w:rPr>
          <w:rFonts w:hint="eastAsia" w:ascii="宋体" w:hAnsi="宋体" w:cs="宋体"/>
          <w:sz w:val="24"/>
          <w:highlight w:val="none"/>
          <w:lang w:val="zh-CN"/>
        </w:rPr>
        <w:t>保证金形式：</w:t>
      </w:r>
      <w:r>
        <w:rPr>
          <w:rFonts w:hint="eastAsia" w:ascii="宋体" w:hAnsi="宋体" w:cs="宋体"/>
          <w:sz w:val="24"/>
          <w:highlight w:val="none"/>
          <w:lang w:val="zh-CN" w:eastAsia="zh-CN"/>
        </w:rPr>
        <w:sym w:font="Wingdings 2" w:char="00A3"/>
      </w:r>
      <w:r>
        <w:rPr>
          <w:rFonts w:hint="eastAsia" w:ascii="宋体" w:hAnsi="宋体" w:cs="宋体"/>
          <w:sz w:val="24"/>
          <w:highlight w:val="none"/>
          <w:lang w:val="zh-CN"/>
        </w:rPr>
        <w:t xml:space="preserve">保函  ☑电汇  □支票 ☑网银 须以投标单位基本账户转出或出具银行保函； </w:t>
      </w:r>
    </w:p>
    <w:p>
      <w:pPr>
        <w:kinsoku w:val="0"/>
        <w:overflowPunct w:val="0"/>
        <w:spacing w:line="240" w:lineRule="atLeast"/>
        <w:ind w:firstLine="723" w:firstLineChars="300"/>
        <w:rPr>
          <w:rFonts w:hint="eastAsia" w:ascii="宋体" w:hAnsi="宋体" w:eastAsia="宋体" w:cs="宋体"/>
          <w:b/>
          <w:bCs/>
          <w:sz w:val="24"/>
          <w:szCs w:val="24"/>
        </w:rPr>
      </w:pPr>
      <w:r>
        <w:rPr>
          <w:rFonts w:hint="eastAsia" w:ascii="宋体" w:hAnsi="宋体" w:eastAsia="宋体" w:cs="宋体"/>
          <w:b/>
          <w:bCs/>
          <w:sz w:val="24"/>
          <w:szCs w:val="24"/>
        </w:rPr>
        <w:t>保证金收款单位：</w:t>
      </w:r>
      <w:r>
        <w:rPr>
          <w:rFonts w:hint="eastAsia" w:ascii="宋体" w:hAnsi="宋体" w:eastAsia="宋体" w:cs="宋体"/>
          <w:b/>
          <w:bCs/>
          <w:sz w:val="24"/>
          <w:szCs w:val="24"/>
          <w:lang w:val="en-US" w:eastAsia="zh-CN"/>
        </w:rPr>
        <w:t>喀什华迈工程管理咨询有限公司</w:t>
      </w:r>
    </w:p>
    <w:p>
      <w:pPr>
        <w:kinsoku w:val="0"/>
        <w:overflowPunct w:val="0"/>
        <w:spacing w:line="240" w:lineRule="atLeast"/>
        <w:ind w:firstLine="723" w:firstLineChars="3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账  号：</w:t>
      </w:r>
      <w:r>
        <w:rPr>
          <w:rFonts w:hint="eastAsia" w:ascii="宋体" w:hAnsi="宋体" w:eastAsia="宋体" w:cs="宋体"/>
          <w:b/>
          <w:bCs/>
          <w:sz w:val="24"/>
          <w:szCs w:val="24"/>
          <w:highlight w:val="none"/>
          <w:lang w:val="en-US" w:eastAsia="zh-CN"/>
        </w:rPr>
        <w:t>8600 8011 2010 1093 19897</w:t>
      </w:r>
    </w:p>
    <w:p>
      <w:pPr>
        <w:kinsoku w:val="0"/>
        <w:overflowPunct w:val="0"/>
        <w:spacing w:line="240" w:lineRule="atLeast"/>
        <w:ind w:firstLine="723" w:firstLineChars="3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开户银行：</w:t>
      </w:r>
      <w:r>
        <w:rPr>
          <w:rFonts w:hint="eastAsia" w:ascii="宋体" w:hAnsi="宋体" w:eastAsia="宋体" w:cs="宋体"/>
          <w:b/>
          <w:bCs/>
          <w:sz w:val="24"/>
          <w:szCs w:val="24"/>
          <w:highlight w:val="none"/>
          <w:lang w:val="en-US" w:eastAsia="zh-CN"/>
        </w:rPr>
        <w:t>新疆喀什农村商业银行股份有限公司环疆支行</w:t>
      </w:r>
    </w:p>
    <w:p>
      <w:pPr>
        <w:pStyle w:val="2"/>
        <w:rPr>
          <w:rFonts w:hint="eastAsia"/>
          <w:lang w:val="zh-CN"/>
        </w:rPr>
      </w:pPr>
    </w:p>
    <w:p>
      <w:pPr>
        <w:numPr>
          <w:ilvl w:val="0"/>
          <w:numId w:val="6"/>
        </w:numPr>
        <w:tabs>
          <w:tab w:val="left" w:pos="-1418"/>
        </w:tabs>
        <w:autoSpaceDE w:val="0"/>
        <w:autoSpaceDN w:val="0"/>
        <w:adjustRightInd w:val="0"/>
        <w:snapToGrid w:val="0"/>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成交供应商的谈判保证金，在成交供应商与采购机构签订正式合同后5个工作日内全额无息退还。未成交报价方的谈判保证金，在采购机构发出未成交通知书后5个工作日内全额无息退还。</w:t>
      </w:r>
    </w:p>
    <w:p>
      <w:pPr>
        <w:numPr>
          <w:ilvl w:val="0"/>
          <w:numId w:val="6"/>
        </w:numPr>
        <w:tabs>
          <w:tab w:val="left" w:pos="-1418"/>
        </w:tabs>
        <w:autoSpaceDE w:val="0"/>
        <w:autoSpaceDN w:val="0"/>
        <w:adjustRightInd w:val="0"/>
        <w:snapToGrid w:val="0"/>
        <w:spacing w:line="480" w:lineRule="exact"/>
        <w:ind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有下列情形之一的，谈判保证金将被没收：</w:t>
      </w:r>
    </w:p>
    <w:p>
      <w:pPr>
        <w:numPr>
          <w:ilvl w:val="1"/>
          <w:numId w:val="7"/>
        </w:numPr>
        <w:snapToGrid w:val="0"/>
        <w:spacing w:line="480" w:lineRule="exact"/>
        <w:ind w:left="0"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谈判开始后，报价方撤回其报价文件的；</w:t>
      </w:r>
    </w:p>
    <w:p>
      <w:pPr>
        <w:numPr>
          <w:ilvl w:val="1"/>
          <w:numId w:val="7"/>
        </w:numPr>
        <w:snapToGrid w:val="0"/>
        <w:spacing w:line="480" w:lineRule="exact"/>
        <w:ind w:left="0" w:firstLine="480" w:firstLineChars="200"/>
        <w:rPr>
          <w:rFonts w:hint="eastAsia" w:ascii="宋体" w:hAnsi="宋体" w:cs="宋体"/>
          <w:snapToGrid w:val="0"/>
          <w:kern w:val="0"/>
          <w:sz w:val="24"/>
          <w:highlight w:val="none"/>
          <w:lang w:val="zh-CN"/>
        </w:rPr>
      </w:pPr>
      <w:r>
        <w:rPr>
          <w:rFonts w:hint="eastAsia" w:ascii="宋体" w:hAnsi="宋体" w:cs="宋体"/>
          <w:snapToGrid w:val="0"/>
          <w:kern w:val="0"/>
          <w:sz w:val="24"/>
          <w:highlight w:val="none"/>
          <w:lang w:val="zh-CN"/>
        </w:rPr>
        <w:t>谈判期间，报价方干扰谈判活动，造成严重影响和后果的；</w:t>
      </w:r>
    </w:p>
    <w:p>
      <w:pPr>
        <w:numPr>
          <w:ilvl w:val="1"/>
          <w:numId w:val="7"/>
        </w:numPr>
        <w:snapToGrid w:val="0"/>
        <w:spacing w:line="480" w:lineRule="exact"/>
        <w:ind w:left="0" w:firstLine="480" w:firstLineChars="200"/>
        <w:rPr>
          <w:rFonts w:hint="eastAsia" w:ascii="宋体" w:hAnsi="宋体" w:cs="宋体"/>
          <w:snapToGrid w:val="0"/>
          <w:kern w:val="0"/>
          <w:sz w:val="24"/>
          <w:highlight w:val="none"/>
          <w:lang w:val="zh-CN"/>
        </w:rPr>
      </w:pPr>
      <w:r>
        <w:rPr>
          <w:rFonts w:hint="eastAsia" w:ascii="宋体" w:hAnsi="宋体" w:cs="宋体"/>
          <w:sz w:val="24"/>
          <w:highlight w:val="none"/>
        </w:rPr>
        <w:t>虚假报价、串通报价的；</w:t>
      </w:r>
    </w:p>
    <w:p>
      <w:pPr>
        <w:numPr>
          <w:ilvl w:val="1"/>
          <w:numId w:val="7"/>
        </w:numPr>
        <w:snapToGrid w:val="0"/>
        <w:spacing w:line="480" w:lineRule="exact"/>
        <w:ind w:left="0" w:firstLine="480" w:firstLineChars="200"/>
        <w:rPr>
          <w:rFonts w:hint="eastAsia" w:ascii="宋体" w:hAnsi="宋体" w:cs="宋体"/>
          <w:sz w:val="24"/>
          <w:highlight w:val="none"/>
        </w:rPr>
      </w:pPr>
      <w:r>
        <w:rPr>
          <w:rFonts w:hint="eastAsia" w:ascii="宋体" w:hAnsi="宋体" w:cs="宋体"/>
          <w:sz w:val="24"/>
          <w:highlight w:val="none"/>
        </w:rPr>
        <w:t>成交供应商无正当理由放弃成交的；</w:t>
      </w:r>
    </w:p>
    <w:p>
      <w:pPr>
        <w:numPr>
          <w:ilvl w:val="1"/>
          <w:numId w:val="7"/>
        </w:numPr>
        <w:snapToGrid w:val="0"/>
        <w:spacing w:line="480" w:lineRule="exact"/>
        <w:ind w:left="0" w:firstLine="480" w:firstLineChars="200"/>
        <w:rPr>
          <w:rFonts w:hint="eastAsia" w:ascii="宋体" w:hAnsi="宋体" w:cs="宋体"/>
          <w:sz w:val="24"/>
          <w:highlight w:val="none"/>
        </w:rPr>
      </w:pPr>
      <w:r>
        <w:rPr>
          <w:rFonts w:hint="eastAsia" w:ascii="宋体" w:hAnsi="宋体" w:cs="宋体"/>
          <w:sz w:val="24"/>
          <w:highlight w:val="none"/>
        </w:rPr>
        <w:t>成交供应商不按规定签订合同的；</w:t>
      </w:r>
    </w:p>
    <w:p>
      <w:pPr>
        <w:tabs>
          <w:tab w:val="left" w:pos="0"/>
          <w:tab w:val="left" w:pos="1122"/>
        </w:tabs>
        <w:spacing w:line="480" w:lineRule="exact"/>
        <w:ind w:left="420" w:firstLine="0" w:firstLineChars="0"/>
        <w:outlineLvl w:val="1"/>
        <w:rPr>
          <w:rFonts w:hint="eastAsia" w:ascii="宋体" w:hAnsi="宋体" w:cs="宋体"/>
          <w:color w:val="auto"/>
          <w:sz w:val="24"/>
          <w:highlight w:val="yellow"/>
        </w:rPr>
      </w:pPr>
      <w:bookmarkStart w:id="13" w:name="_Toc9574"/>
      <w:r>
        <w:rPr>
          <w:rFonts w:hint="eastAsia" w:ascii="宋体" w:hAnsi="宋体" w:cs="宋体"/>
          <w:sz w:val="24"/>
          <w:highlight w:val="none"/>
        </w:rPr>
        <w:t>六、预算控制价</w:t>
      </w:r>
      <w:r>
        <w:rPr>
          <w:rFonts w:hint="eastAsia" w:ascii="宋体" w:hAnsi="宋体" w:cs="宋体"/>
          <w:sz w:val="24"/>
          <w:highlight w:val="none"/>
          <w:lang w:eastAsia="zh-CN"/>
        </w:rPr>
        <w:t>：</w:t>
      </w:r>
      <w:bookmarkEnd w:id="13"/>
      <w:r>
        <w:rPr>
          <w:rFonts w:hint="eastAsia" w:ascii="宋体" w:hAnsi="宋体" w:eastAsia="宋体" w:cs="宋体"/>
          <w:color w:val="auto"/>
          <w:sz w:val="24"/>
          <w:highlight w:val="none"/>
          <w:lang w:val="en-US" w:eastAsia="zh-CN"/>
        </w:rPr>
        <w:t>1270750</w:t>
      </w:r>
      <w:r>
        <w:rPr>
          <w:rFonts w:hint="eastAsia" w:ascii="宋体" w:hAnsi="宋体" w:cs="宋体"/>
          <w:color w:val="auto"/>
          <w:sz w:val="24"/>
          <w:highlight w:val="none"/>
        </w:rPr>
        <w:t>元。</w:t>
      </w:r>
    </w:p>
    <w:p>
      <w:pPr>
        <w:tabs>
          <w:tab w:val="left" w:pos="0"/>
          <w:tab w:val="left" w:pos="1122"/>
        </w:tabs>
        <w:spacing w:line="480" w:lineRule="exact"/>
        <w:ind w:firstLine="480" w:firstLineChars="200"/>
        <w:outlineLvl w:val="1"/>
        <w:rPr>
          <w:rFonts w:hint="eastAsia" w:ascii="宋体" w:hAnsi="宋体" w:cs="宋体"/>
          <w:sz w:val="24"/>
          <w:highlight w:val="none"/>
        </w:rPr>
      </w:pPr>
      <w:bookmarkStart w:id="14" w:name="_Toc9972"/>
      <w:r>
        <w:rPr>
          <w:rFonts w:hint="eastAsia" w:ascii="宋体" w:hAnsi="宋体" w:cs="宋体"/>
          <w:sz w:val="24"/>
          <w:highlight w:val="none"/>
        </w:rPr>
        <w:t>七、采购代理服务费</w:t>
      </w:r>
      <w:bookmarkEnd w:id="14"/>
    </w:p>
    <w:p>
      <w:pPr>
        <w:spacing w:after="240" w:afterLines="100" w:line="480" w:lineRule="exact"/>
        <w:ind w:firstLine="480" w:firstLineChars="200"/>
        <w:rPr>
          <w:rFonts w:hint="eastAsia" w:ascii="宋体" w:hAnsi="宋体" w:cs="宋体"/>
          <w:b/>
          <w:sz w:val="24"/>
          <w:highlight w:val="none"/>
        </w:rPr>
      </w:pPr>
      <w:r>
        <w:rPr>
          <w:rFonts w:hint="eastAsia" w:ascii="宋体" w:hAnsi="宋体" w:cs="宋体"/>
          <w:sz w:val="24"/>
          <w:highlight w:val="none"/>
        </w:rPr>
        <w:t>采购代理取费标准：参照原国家计委计价格【2002】1980号文和国家发改委发改办价格【2003】857号文的</w:t>
      </w:r>
      <w:r>
        <w:rPr>
          <w:rFonts w:hint="eastAsia" w:ascii="宋体" w:hAnsi="宋体" w:cs="宋体"/>
          <w:sz w:val="24"/>
          <w:highlight w:val="none"/>
          <w:u w:val="single"/>
        </w:rPr>
        <w:t>服务招标</w:t>
      </w:r>
      <w:r>
        <w:rPr>
          <w:rFonts w:hint="eastAsia" w:ascii="宋体" w:hAnsi="宋体" w:cs="宋体"/>
          <w:sz w:val="24"/>
          <w:highlight w:val="none"/>
        </w:rPr>
        <w:t>收费标准， 向</w:t>
      </w:r>
      <w:r>
        <w:rPr>
          <w:rFonts w:hint="eastAsia" w:ascii="宋体" w:hAnsi="宋体" w:cs="宋体"/>
          <w:sz w:val="24"/>
          <w:highlight w:val="none"/>
          <w:u w:val="single"/>
        </w:rPr>
        <w:t>成交人</w:t>
      </w:r>
      <w:r>
        <w:rPr>
          <w:rFonts w:hint="eastAsia" w:ascii="宋体" w:hAnsi="宋体" w:cs="宋体"/>
          <w:sz w:val="24"/>
          <w:highlight w:val="none"/>
        </w:rPr>
        <w:t>收取。</w:t>
      </w:r>
    </w:p>
    <w:p>
      <w:pPr>
        <w:rPr>
          <w:rFonts w:hint="default"/>
          <w:lang w:val="en-US" w:eastAsia="zh-CN"/>
        </w:rPr>
      </w:pPr>
      <w:r>
        <w:rPr>
          <w:rFonts w:ascii="宋体" w:hAnsi="宋体"/>
          <w:highlight w:val="none"/>
        </w:rPr>
        <w:fldChar w:fldCharType="begin"/>
      </w:r>
      <w:r>
        <w:rPr>
          <w:rFonts w:ascii="宋体" w:hAnsi="宋体"/>
          <w:highlight w:val="none"/>
        </w:rPr>
        <w:instrText xml:space="preserve"> INCLUDEPICTURE  "http://210.75.199.11/attachment/2004728141929.jpg" \* MERGEFORMATINET </w:instrText>
      </w:r>
      <w:r>
        <w:rPr>
          <w:rFonts w:ascii="宋体" w:hAnsi="宋体"/>
          <w:highlight w:val="none"/>
        </w:rPr>
        <w:fldChar w:fldCharType="separate"/>
      </w:r>
      <w:r>
        <w:rPr>
          <w:rFonts w:ascii="宋体" w:hAnsi="宋体"/>
          <w:highlight w:val="none"/>
        </w:rPr>
        <w:drawing>
          <wp:inline distT="0" distB="0" distL="114300" distR="114300">
            <wp:extent cx="5276850" cy="2790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r:link="rId8"/>
                    <a:stretch>
                      <a:fillRect/>
                    </a:stretch>
                  </pic:blipFill>
                  <pic:spPr>
                    <a:xfrm>
                      <a:off x="0" y="0"/>
                      <a:ext cx="5276850" cy="2790825"/>
                    </a:xfrm>
                    <a:prstGeom prst="rect">
                      <a:avLst/>
                    </a:prstGeom>
                    <a:noFill/>
                    <a:ln>
                      <a:noFill/>
                    </a:ln>
                  </pic:spPr>
                </pic:pic>
              </a:graphicData>
            </a:graphic>
          </wp:inline>
        </w:drawing>
      </w:r>
      <w:r>
        <w:rPr>
          <w:rFonts w:ascii="宋体" w:hAnsi="宋体"/>
          <w:highlight w:val="none"/>
        </w:rPr>
        <w:fldChar w:fldCharType="end"/>
      </w:r>
    </w:p>
    <w:p>
      <w:pPr>
        <w:rPr>
          <w:rFonts w:hint="default"/>
          <w:lang w:val="en-US" w:eastAsia="zh-CN"/>
        </w:rPr>
      </w:pPr>
    </w:p>
    <w:p>
      <w:pPr>
        <w:autoSpaceDE w:val="0"/>
        <w:autoSpaceDN w:val="0"/>
        <w:adjustRightInd w:val="0"/>
        <w:spacing w:after="240" w:afterLines="100" w:line="560" w:lineRule="exact"/>
        <w:jc w:val="center"/>
        <w:outlineLvl w:val="0"/>
        <w:rPr>
          <w:rFonts w:hint="eastAsia" w:eastAsia="方正小标宋简体"/>
          <w:sz w:val="44"/>
          <w:szCs w:val="44"/>
          <w:highlight w:val="none"/>
        </w:rPr>
      </w:pPr>
      <w:bookmarkStart w:id="15" w:name="_Toc15573"/>
    </w:p>
    <w:p>
      <w:pPr>
        <w:autoSpaceDE w:val="0"/>
        <w:autoSpaceDN w:val="0"/>
        <w:adjustRightInd w:val="0"/>
        <w:spacing w:after="240" w:afterLines="100" w:line="560" w:lineRule="exact"/>
        <w:jc w:val="center"/>
        <w:outlineLvl w:val="0"/>
        <w:rPr>
          <w:rFonts w:hint="eastAsia" w:eastAsia="方正小标宋简体"/>
          <w:sz w:val="44"/>
          <w:szCs w:val="44"/>
          <w:highlight w:val="none"/>
        </w:rPr>
      </w:pPr>
    </w:p>
    <w:p>
      <w:pPr>
        <w:autoSpaceDE w:val="0"/>
        <w:autoSpaceDN w:val="0"/>
        <w:adjustRightInd w:val="0"/>
        <w:spacing w:after="240" w:afterLines="100" w:line="560" w:lineRule="exact"/>
        <w:jc w:val="center"/>
        <w:outlineLvl w:val="0"/>
        <w:rPr>
          <w:rFonts w:hint="eastAsia" w:eastAsia="方正小标宋简体"/>
          <w:sz w:val="44"/>
          <w:szCs w:val="44"/>
          <w:highlight w:val="none"/>
        </w:rPr>
      </w:pPr>
    </w:p>
    <w:p>
      <w:pPr>
        <w:autoSpaceDE w:val="0"/>
        <w:autoSpaceDN w:val="0"/>
        <w:adjustRightInd w:val="0"/>
        <w:spacing w:after="240" w:afterLines="100" w:line="560" w:lineRule="exact"/>
        <w:jc w:val="center"/>
        <w:outlineLvl w:val="0"/>
        <w:rPr>
          <w:rFonts w:hint="eastAsia" w:eastAsia="方正小标宋简体"/>
          <w:sz w:val="44"/>
          <w:szCs w:val="44"/>
          <w:highlight w:val="none"/>
        </w:rPr>
      </w:pPr>
    </w:p>
    <w:p>
      <w:pPr>
        <w:autoSpaceDE w:val="0"/>
        <w:autoSpaceDN w:val="0"/>
        <w:adjustRightInd w:val="0"/>
        <w:spacing w:after="240" w:afterLines="100" w:line="560" w:lineRule="exact"/>
        <w:jc w:val="center"/>
        <w:outlineLvl w:val="0"/>
        <w:rPr>
          <w:rFonts w:hint="eastAsia" w:eastAsia="方正小标宋简体"/>
          <w:sz w:val="44"/>
          <w:szCs w:val="44"/>
          <w:highlight w:val="none"/>
        </w:rPr>
      </w:pPr>
    </w:p>
    <w:p>
      <w:pPr>
        <w:autoSpaceDE w:val="0"/>
        <w:autoSpaceDN w:val="0"/>
        <w:adjustRightInd w:val="0"/>
        <w:spacing w:after="240" w:afterLines="100" w:line="560" w:lineRule="exact"/>
        <w:jc w:val="both"/>
        <w:outlineLvl w:val="0"/>
        <w:rPr>
          <w:rFonts w:hint="eastAsia" w:eastAsia="方正小标宋简体"/>
          <w:sz w:val="44"/>
          <w:szCs w:val="44"/>
          <w:highlight w:val="none"/>
        </w:rPr>
      </w:pPr>
    </w:p>
    <w:p>
      <w:pPr>
        <w:autoSpaceDE w:val="0"/>
        <w:autoSpaceDN w:val="0"/>
        <w:adjustRightInd w:val="0"/>
        <w:spacing w:after="240" w:afterLines="100" w:line="560" w:lineRule="exact"/>
        <w:jc w:val="center"/>
        <w:outlineLvl w:val="0"/>
        <w:rPr>
          <w:rFonts w:hint="eastAsia" w:eastAsia="方正小标宋简体"/>
          <w:sz w:val="44"/>
          <w:szCs w:val="44"/>
          <w:highlight w:val="none"/>
        </w:rPr>
      </w:pPr>
    </w:p>
    <w:p>
      <w:pPr>
        <w:autoSpaceDE w:val="0"/>
        <w:autoSpaceDN w:val="0"/>
        <w:adjustRightInd w:val="0"/>
        <w:spacing w:after="240" w:afterLines="100" w:line="560" w:lineRule="exact"/>
        <w:jc w:val="center"/>
        <w:outlineLvl w:val="0"/>
        <w:rPr>
          <w:rFonts w:eastAsia="方正小标宋简体"/>
          <w:sz w:val="44"/>
          <w:szCs w:val="44"/>
          <w:highlight w:val="none"/>
        </w:rPr>
      </w:pPr>
      <w:r>
        <w:rPr>
          <w:rFonts w:hint="eastAsia" w:eastAsia="方正小标宋简体"/>
          <w:sz w:val="44"/>
          <w:szCs w:val="44"/>
          <w:highlight w:val="none"/>
        </w:rPr>
        <w:t>第三部分</w:t>
      </w:r>
      <w:r>
        <w:rPr>
          <w:rFonts w:eastAsia="方正小标宋简体"/>
          <w:sz w:val="44"/>
          <w:szCs w:val="44"/>
          <w:highlight w:val="none"/>
        </w:rPr>
        <w:t xml:space="preserve">  </w:t>
      </w:r>
      <w:r>
        <w:rPr>
          <w:rFonts w:hint="eastAsia" w:eastAsia="方正小标宋简体"/>
          <w:sz w:val="44"/>
          <w:szCs w:val="44"/>
          <w:highlight w:val="none"/>
          <w:lang w:val="zh-CN"/>
        </w:rPr>
        <w:t>供应商</w:t>
      </w:r>
      <w:r>
        <w:rPr>
          <w:rFonts w:hint="eastAsia" w:eastAsia="方正小标宋简体"/>
          <w:sz w:val="44"/>
          <w:szCs w:val="44"/>
          <w:highlight w:val="none"/>
        </w:rPr>
        <w:t>须知</w:t>
      </w:r>
      <w:bookmarkEnd w:id="15"/>
    </w:p>
    <w:p>
      <w:pPr>
        <w:numPr>
          <w:ilvl w:val="0"/>
          <w:numId w:val="8"/>
        </w:numPr>
        <w:spacing w:before="240" w:beforeLines="100" w:after="240" w:afterLines="100" w:line="520" w:lineRule="exact"/>
        <w:jc w:val="center"/>
        <w:rPr>
          <w:rFonts w:eastAsia="黑体"/>
          <w:sz w:val="32"/>
          <w:szCs w:val="32"/>
          <w:highlight w:val="none"/>
        </w:rPr>
      </w:pPr>
      <w:r>
        <w:rPr>
          <w:rFonts w:hint="eastAsia" w:eastAsia="黑体"/>
          <w:sz w:val="32"/>
          <w:szCs w:val="32"/>
          <w:highlight w:val="none"/>
        </w:rPr>
        <w:t>说</w:t>
      </w:r>
      <w:r>
        <w:rPr>
          <w:rFonts w:eastAsia="黑体"/>
          <w:sz w:val="32"/>
          <w:szCs w:val="32"/>
          <w:highlight w:val="none"/>
        </w:rPr>
        <w:t xml:space="preserve">  </w:t>
      </w:r>
      <w:r>
        <w:rPr>
          <w:rFonts w:hint="eastAsia" w:eastAsia="黑体"/>
          <w:sz w:val="32"/>
          <w:szCs w:val="32"/>
          <w:highlight w:val="none"/>
        </w:rPr>
        <w:t>明</w:t>
      </w:r>
    </w:p>
    <w:p>
      <w:pPr>
        <w:numPr>
          <w:ilvl w:val="0"/>
          <w:numId w:val="9"/>
        </w:numPr>
        <w:spacing w:line="520" w:lineRule="exact"/>
        <w:ind w:firstLine="480" w:firstLineChars="200"/>
        <w:rPr>
          <w:snapToGrid w:val="0"/>
          <w:sz w:val="24"/>
          <w:szCs w:val="24"/>
          <w:highlight w:val="none"/>
        </w:rPr>
      </w:pPr>
      <w:r>
        <w:rPr>
          <w:rFonts w:hint="eastAsia"/>
          <w:snapToGrid w:val="0"/>
          <w:sz w:val="24"/>
          <w:szCs w:val="24"/>
          <w:highlight w:val="none"/>
        </w:rPr>
        <w:t>概述</w:t>
      </w:r>
    </w:p>
    <w:p>
      <w:pPr>
        <w:autoSpaceDE w:val="0"/>
        <w:autoSpaceDN w:val="0"/>
        <w:adjustRightInd w:val="0"/>
        <w:snapToGrid w:val="0"/>
        <w:spacing w:line="520" w:lineRule="exact"/>
        <w:ind w:firstLine="480" w:firstLineChars="200"/>
        <w:rPr>
          <w:rFonts w:ascii="宋体" w:hAnsi="宋体"/>
          <w:snapToGrid w:val="0"/>
          <w:sz w:val="24"/>
          <w:szCs w:val="24"/>
          <w:highlight w:val="none"/>
          <w:lang w:val="zh-CN"/>
        </w:rPr>
      </w:pPr>
      <w:r>
        <w:rPr>
          <w:rFonts w:hint="eastAsia" w:ascii="宋体" w:hAnsi="宋体"/>
          <w:snapToGrid w:val="0"/>
          <w:sz w:val="24"/>
          <w:szCs w:val="24"/>
          <w:highlight w:val="none"/>
          <w:lang w:val="zh-CN"/>
        </w:rPr>
        <w:t>1.本采购文件仅适用于《谈判邀请》中所述的采购项目；</w:t>
      </w:r>
    </w:p>
    <w:p>
      <w:pPr>
        <w:spacing w:line="520" w:lineRule="exact"/>
        <w:ind w:firstLine="480" w:firstLineChars="200"/>
        <w:rPr>
          <w:rFonts w:hint="eastAsia" w:ascii="宋体" w:hAnsi="宋体"/>
          <w:sz w:val="24"/>
          <w:szCs w:val="24"/>
          <w:highlight w:val="none"/>
        </w:rPr>
      </w:pPr>
      <w:r>
        <w:rPr>
          <w:rFonts w:hint="eastAsia" w:ascii="宋体" w:hAnsi="宋体"/>
          <w:snapToGrid w:val="0"/>
          <w:sz w:val="24"/>
          <w:szCs w:val="24"/>
          <w:highlight w:val="none"/>
          <w:lang w:val="zh-CN"/>
        </w:rPr>
        <w:t>2.</w:t>
      </w:r>
      <w:r>
        <w:rPr>
          <w:rFonts w:hint="eastAsia" w:ascii="宋体" w:hAnsi="宋体"/>
          <w:snapToGrid w:val="0"/>
          <w:sz w:val="24"/>
          <w:szCs w:val="24"/>
          <w:highlight w:val="none"/>
        </w:rPr>
        <w:t>参与谈判响应的供应商，对在参与谈判响应过程中获悉的国家和甲方商业、技术秘密以及其它依法应当保密的内容，均负有保密义务，违者应对由此造成的后果承担全部法律责任。</w:t>
      </w:r>
    </w:p>
    <w:p>
      <w:pPr>
        <w:numPr>
          <w:ilvl w:val="0"/>
          <w:numId w:val="9"/>
        </w:numPr>
        <w:spacing w:line="520" w:lineRule="exact"/>
        <w:ind w:firstLine="480" w:firstLineChars="200"/>
        <w:rPr>
          <w:rFonts w:hint="eastAsia"/>
          <w:sz w:val="24"/>
          <w:szCs w:val="24"/>
          <w:highlight w:val="none"/>
        </w:rPr>
      </w:pPr>
      <w:r>
        <w:rPr>
          <w:rFonts w:hint="eastAsia"/>
          <w:sz w:val="24"/>
          <w:szCs w:val="24"/>
          <w:highlight w:val="none"/>
        </w:rPr>
        <w:t>定义</w:t>
      </w:r>
    </w:p>
    <w:p>
      <w:pPr>
        <w:adjustRightInd w:val="0"/>
        <w:snapToGrid w:val="0"/>
        <w:spacing w:line="520" w:lineRule="exact"/>
        <w:ind w:firstLine="480" w:firstLineChars="200"/>
        <w:rPr>
          <w:rFonts w:ascii="宋体" w:hAnsi="宋体"/>
          <w:snapToGrid w:val="0"/>
          <w:sz w:val="24"/>
          <w:szCs w:val="24"/>
          <w:highlight w:val="none"/>
        </w:rPr>
      </w:pPr>
      <w:r>
        <w:rPr>
          <w:rFonts w:hint="eastAsia" w:ascii="宋体" w:hAnsi="宋体"/>
          <w:snapToGrid w:val="0"/>
          <w:sz w:val="24"/>
          <w:szCs w:val="24"/>
          <w:highlight w:val="none"/>
        </w:rPr>
        <w:t>1.“采购项目”系指本采购文件描述的所需采购的货物和相关服务；</w:t>
      </w:r>
    </w:p>
    <w:p>
      <w:pPr>
        <w:spacing w:before="120" w:beforeLines="50" w:line="60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2.“采购人”系指组织本次采购的</w:t>
      </w:r>
      <w:r>
        <w:rPr>
          <w:rFonts w:hint="eastAsia"/>
          <w:sz w:val="24"/>
          <w:szCs w:val="24"/>
          <w:highlight w:val="none"/>
        </w:rPr>
        <w:t>喀什地区</w:t>
      </w:r>
      <w:r>
        <w:rPr>
          <w:rFonts w:hint="eastAsia"/>
          <w:sz w:val="24"/>
          <w:szCs w:val="24"/>
          <w:highlight w:val="none"/>
          <w:lang w:val="en-US" w:eastAsia="zh-CN"/>
        </w:rPr>
        <w:t>莎车县公安局</w:t>
      </w:r>
      <w:r>
        <w:rPr>
          <w:rFonts w:hint="eastAsia" w:ascii="宋体" w:hAnsi="宋体"/>
          <w:snapToGrid w:val="0"/>
          <w:sz w:val="24"/>
          <w:szCs w:val="24"/>
          <w:highlight w:val="none"/>
        </w:rPr>
        <w:t>；</w:t>
      </w:r>
    </w:p>
    <w:p>
      <w:pPr>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3.“供应商”系指从采购人按规定获取采购文件，并提交响应文件的供应商；</w:t>
      </w:r>
    </w:p>
    <w:p>
      <w:pPr>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4.“成交人”系指</w:t>
      </w:r>
      <w:r>
        <w:rPr>
          <w:rFonts w:hint="eastAsia" w:ascii="宋体" w:hAnsi="宋体"/>
          <w:snapToGrid w:val="0"/>
          <w:sz w:val="24"/>
          <w:szCs w:val="24"/>
          <w:highlight w:val="none"/>
          <w:lang w:val="zh-CN"/>
        </w:rPr>
        <w:t>经过采购评审，授予合同的供应商</w:t>
      </w:r>
      <w:r>
        <w:rPr>
          <w:rFonts w:hint="eastAsia" w:ascii="宋体" w:hAnsi="宋体"/>
          <w:snapToGrid w:val="0"/>
          <w:sz w:val="24"/>
          <w:szCs w:val="24"/>
          <w:highlight w:val="none"/>
        </w:rPr>
        <w:t>；</w:t>
      </w:r>
    </w:p>
    <w:p>
      <w:pPr>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5.“服务”系指成交人按采购文件规定，必须承担的运输、安装、调试、技术协助、培训、维修、配件供应等义务。</w:t>
      </w:r>
    </w:p>
    <w:p>
      <w:pPr>
        <w:numPr>
          <w:ilvl w:val="0"/>
          <w:numId w:val="9"/>
        </w:numPr>
        <w:spacing w:line="520" w:lineRule="exact"/>
        <w:ind w:firstLine="480" w:firstLineChars="200"/>
        <w:rPr>
          <w:rFonts w:hint="eastAsia"/>
          <w:sz w:val="24"/>
          <w:szCs w:val="24"/>
          <w:highlight w:val="none"/>
        </w:rPr>
      </w:pPr>
      <w:r>
        <w:rPr>
          <w:rFonts w:hint="eastAsia"/>
          <w:sz w:val="24"/>
          <w:szCs w:val="24"/>
          <w:highlight w:val="none"/>
        </w:rPr>
        <w:t>合格的供应商</w:t>
      </w:r>
    </w:p>
    <w:p>
      <w:pPr>
        <w:tabs>
          <w:tab w:val="left" w:pos="574"/>
        </w:tabs>
        <w:adjustRightInd w:val="0"/>
        <w:snapToGrid w:val="0"/>
        <w:spacing w:line="520" w:lineRule="exact"/>
        <w:ind w:firstLine="480" w:firstLineChars="200"/>
        <w:rPr>
          <w:rFonts w:ascii="宋体" w:hAnsi="宋体"/>
          <w:snapToGrid w:val="0"/>
          <w:sz w:val="24"/>
          <w:szCs w:val="24"/>
          <w:highlight w:val="none"/>
        </w:rPr>
      </w:pPr>
      <w:r>
        <w:rPr>
          <w:rFonts w:hint="eastAsia" w:ascii="宋体" w:hAnsi="宋体"/>
          <w:snapToGrid w:val="0"/>
          <w:sz w:val="24"/>
          <w:szCs w:val="24"/>
          <w:highlight w:val="none"/>
        </w:rPr>
        <w:t>1.能够遵守国家和甲方的有关法律、法规和本次采购的有关规定；</w:t>
      </w:r>
    </w:p>
    <w:p>
      <w:pPr>
        <w:tabs>
          <w:tab w:val="left" w:pos="574"/>
        </w:tabs>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2.符合《谈判邀请》所述供应商的资格要求和特定资格条件；</w:t>
      </w:r>
    </w:p>
    <w:p>
      <w:pPr>
        <w:tabs>
          <w:tab w:val="left" w:pos="574"/>
        </w:tabs>
        <w:adjustRightInd w:val="0"/>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3.能够承担响应及履约中应承担的全部责任与义务。</w:t>
      </w:r>
    </w:p>
    <w:p>
      <w:pPr>
        <w:numPr>
          <w:ilvl w:val="0"/>
          <w:numId w:val="9"/>
        </w:numPr>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合格的货物和相关服务</w:t>
      </w:r>
    </w:p>
    <w:p>
      <w:pPr>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1.供应商对所提供的货物应当享有合法的所有权，没有侵犯任何第三方的知识产权、技术秘密等权利，而且不存在任何抵押、留置、查封等产权瑕疵；</w:t>
      </w:r>
    </w:p>
    <w:p>
      <w:pPr>
        <w:snapToGrid w:val="0"/>
        <w:spacing w:line="520" w:lineRule="exact"/>
        <w:ind w:firstLine="480" w:firstLineChars="200"/>
        <w:rPr>
          <w:rFonts w:hint="eastAsia" w:ascii="宋体" w:hAnsi="宋体"/>
          <w:snapToGrid w:val="0"/>
          <w:sz w:val="24"/>
          <w:szCs w:val="24"/>
          <w:highlight w:val="none"/>
        </w:rPr>
      </w:pPr>
      <w:r>
        <w:rPr>
          <w:rFonts w:hint="eastAsia" w:ascii="宋体" w:hAnsi="宋体"/>
          <w:snapToGrid w:val="0"/>
          <w:sz w:val="24"/>
          <w:szCs w:val="24"/>
          <w:highlight w:val="none"/>
        </w:rPr>
        <w:t>2.供应商提供的货物必须是全新的、未使用过的，货物和相关服务应当符合采购文件要求。</w:t>
      </w:r>
    </w:p>
    <w:p>
      <w:pPr>
        <w:numPr>
          <w:ilvl w:val="0"/>
          <w:numId w:val="9"/>
        </w:numPr>
        <w:spacing w:line="520" w:lineRule="exact"/>
        <w:ind w:firstLine="480" w:firstLineChars="200"/>
        <w:rPr>
          <w:rFonts w:hint="eastAsia"/>
          <w:snapToGrid w:val="0"/>
          <w:sz w:val="24"/>
          <w:szCs w:val="24"/>
          <w:highlight w:val="none"/>
        </w:rPr>
      </w:pPr>
      <w:r>
        <w:rPr>
          <w:rFonts w:hint="eastAsia"/>
          <w:snapToGrid w:val="0"/>
          <w:sz w:val="24"/>
          <w:szCs w:val="24"/>
          <w:highlight w:val="none"/>
        </w:rPr>
        <w:t>响应委托</w:t>
      </w:r>
    </w:p>
    <w:p>
      <w:pPr>
        <w:snapToGrid w:val="0"/>
        <w:spacing w:line="520" w:lineRule="exact"/>
        <w:ind w:left="560"/>
        <w:rPr>
          <w:snapToGrid w:val="0"/>
          <w:sz w:val="24"/>
          <w:szCs w:val="24"/>
          <w:highlight w:val="none"/>
        </w:rPr>
      </w:pPr>
      <w:r>
        <w:rPr>
          <w:rFonts w:hint="eastAsia"/>
          <w:snapToGrid w:val="0"/>
          <w:sz w:val="24"/>
          <w:szCs w:val="24"/>
          <w:highlight w:val="none"/>
        </w:rPr>
        <w:t>如供应商代表不是法定代表人，须持有《法定代表人授权书》。</w:t>
      </w:r>
    </w:p>
    <w:p>
      <w:pPr>
        <w:snapToGrid w:val="0"/>
        <w:spacing w:line="520" w:lineRule="exact"/>
        <w:ind w:left="560"/>
        <w:rPr>
          <w:snapToGrid w:val="0"/>
          <w:sz w:val="24"/>
          <w:szCs w:val="24"/>
          <w:highlight w:val="none"/>
        </w:rPr>
      </w:pPr>
      <w:r>
        <w:rPr>
          <w:rFonts w:hint="eastAsia"/>
          <w:snapToGrid w:val="0"/>
          <w:sz w:val="24"/>
          <w:szCs w:val="24"/>
          <w:highlight w:val="none"/>
        </w:rPr>
        <w:t>（六）付款及结算方式</w:t>
      </w:r>
    </w:p>
    <w:p>
      <w:pPr>
        <w:pStyle w:val="9"/>
        <w:spacing w:line="240" w:lineRule="auto"/>
        <w:ind w:left="0" w:leftChars="0" w:firstLine="0" w:firstLineChars="0"/>
        <w:rPr>
          <w:b/>
          <w:bCs/>
        </w:rPr>
      </w:pPr>
      <w:bookmarkStart w:id="16" w:name="_Toc54164295"/>
      <w:bookmarkStart w:id="17" w:name="_Toc297735112"/>
      <w:r>
        <w:rPr>
          <w:rFonts w:hint="eastAsia"/>
          <w:b/>
          <w:bCs/>
        </w:rPr>
        <w:t>付款方式</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项目资金到位前全额垫付，资金到位后，按照实施进度支付</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959" w:leftChars="228" w:hanging="480" w:hanging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2）具体以合同签订为准。</w:t>
      </w:r>
    </w:p>
    <w:p>
      <w:pPr>
        <w:snapToGrid w:val="0"/>
        <w:spacing w:line="520" w:lineRule="exact"/>
        <w:ind w:left="560"/>
        <w:rPr>
          <w:snapToGrid w:val="0"/>
          <w:sz w:val="24"/>
          <w:szCs w:val="24"/>
          <w:highlight w:val="none"/>
        </w:rPr>
      </w:pPr>
      <w:r>
        <w:rPr>
          <w:snapToGrid w:val="0"/>
          <w:sz w:val="24"/>
          <w:szCs w:val="24"/>
          <w:highlight w:val="none"/>
        </w:rPr>
        <w:t>3.</w:t>
      </w:r>
      <w:r>
        <w:rPr>
          <w:rFonts w:hint="eastAsia"/>
          <w:snapToGrid w:val="0"/>
          <w:sz w:val="24"/>
          <w:szCs w:val="24"/>
          <w:highlight w:val="none"/>
        </w:rPr>
        <w:t>各响应单位必须响应以上付款方式，如不响应，按无效标处理。</w:t>
      </w:r>
      <w:bookmarkEnd w:id="17"/>
    </w:p>
    <w:p>
      <w:pPr>
        <w:spacing w:line="520" w:lineRule="exact"/>
        <w:ind w:left="560"/>
        <w:rPr>
          <w:snapToGrid w:val="0"/>
          <w:sz w:val="24"/>
          <w:szCs w:val="24"/>
          <w:highlight w:val="none"/>
        </w:rPr>
      </w:pPr>
      <w:r>
        <w:rPr>
          <w:snapToGrid w:val="0"/>
          <w:sz w:val="24"/>
          <w:szCs w:val="24"/>
          <w:highlight w:val="none"/>
        </w:rPr>
        <w:t>4.</w:t>
      </w:r>
      <w:r>
        <w:rPr>
          <w:rFonts w:hint="eastAsia"/>
          <w:snapToGrid w:val="0"/>
          <w:sz w:val="24"/>
          <w:szCs w:val="24"/>
          <w:highlight w:val="none"/>
        </w:rPr>
        <w:t>响应费用</w:t>
      </w:r>
      <w:r>
        <w:rPr>
          <w:rFonts w:hint="eastAsia"/>
          <w:snapToGrid w:val="0"/>
          <w:sz w:val="24"/>
          <w:szCs w:val="24"/>
          <w:highlight w:val="none"/>
          <w:lang w:eastAsia="zh-CN"/>
        </w:rPr>
        <w:t>：</w:t>
      </w:r>
      <w:r>
        <w:rPr>
          <w:rFonts w:hint="eastAsia"/>
          <w:snapToGrid w:val="0"/>
          <w:sz w:val="24"/>
          <w:szCs w:val="24"/>
          <w:highlight w:val="none"/>
        </w:rPr>
        <w:t>不论响应结果如何，供应商均应自行承担与响应有关的全部费用。</w:t>
      </w:r>
    </w:p>
    <w:p>
      <w:pPr>
        <w:spacing w:line="520" w:lineRule="exact"/>
        <w:ind w:left="560"/>
        <w:rPr>
          <w:snapToGrid w:val="0"/>
          <w:sz w:val="24"/>
          <w:szCs w:val="24"/>
          <w:highlight w:val="none"/>
        </w:rPr>
      </w:pPr>
      <w:r>
        <w:rPr>
          <w:rFonts w:hint="eastAsia"/>
          <w:snapToGrid w:val="0"/>
          <w:sz w:val="24"/>
          <w:szCs w:val="24"/>
          <w:highlight w:val="none"/>
        </w:rPr>
        <w:t>（七）信息发布</w:t>
      </w:r>
    </w:p>
    <w:p>
      <w:pPr>
        <w:snapToGrid w:val="0"/>
        <w:spacing w:line="520" w:lineRule="exact"/>
        <w:ind w:firstLine="480" w:firstLineChars="200"/>
        <w:rPr>
          <w:rFonts w:ascii="宋体" w:hAnsi="宋体"/>
          <w:snapToGrid w:val="0"/>
          <w:sz w:val="24"/>
          <w:szCs w:val="24"/>
          <w:highlight w:val="none"/>
        </w:rPr>
      </w:pPr>
      <w:r>
        <w:rPr>
          <w:rFonts w:hint="eastAsia" w:ascii="宋体" w:hAnsi="宋体"/>
          <w:snapToGrid w:val="0"/>
          <w:sz w:val="24"/>
          <w:szCs w:val="24"/>
          <w:highlight w:val="none"/>
        </w:rPr>
        <w:t>本采购项目需要公开的有关信息，采购人均通过</w:t>
      </w:r>
      <w:r>
        <w:rPr>
          <w:rFonts w:hint="eastAsia" w:ascii="宋体" w:hAnsi="宋体"/>
          <w:snapToGrid w:val="0"/>
          <w:sz w:val="24"/>
          <w:szCs w:val="24"/>
          <w:highlight w:val="none"/>
          <w:lang w:eastAsia="zh-CN"/>
        </w:rPr>
        <w:t>新疆政府采购网http://www.ccgp-xinjiang.gov.cn/</w:t>
      </w:r>
      <w:r>
        <w:rPr>
          <w:rFonts w:hint="eastAsia" w:ascii="宋体" w:hAnsi="宋体"/>
          <w:snapToGrid w:val="0"/>
          <w:sz w:val="24"/>
          <w:szCs w:val="24"/>
          <w:highlight w:val="none"/>
        </w:rPr>
        <w:t>公开发布。供应商在参与本采购项目谈判活动期间，请及时关注以上媒体上的相关信息，供应商因没有及时关注而未能如期获取相关信息，将会增加响应风险，采购人对此不承担任何责任。</w:t>
      </w:r>
    </w:p>
    <w:p>
      <w:pPr>
        <w:numPr>
          <w:ilvl w:val="0"/>
          <w:numId w:val="8"/>
        </w:numPr>
        <w:spacing w:before="240" w:beforeLines="100" w:after="240" w:afterLines="100" w:line="560" w:lineRule="exact"/>
        <w:jc w:val="center"/>
        <w:rPr>
          <w:rFonts w:hint="eastAsia" w:eastAsia="黑体"/>
          <w:sz w:val="24"/>
          <w:szCs w:val="24"/>
          <w:highlight w:val="none"/>
        </w:rPr>
      </w:pPr>
      <w:r>
        <w:rPr>
          <w:rFonts w:hint="eastAsia" w:eastAsia="黑体"/>
          <w:sz w:val="24"/>
          <w:szCs w:val="24"/>
          <w:highlight w:val="none"/>
        </w:rPr>
        <w:t>采购文件</w:t>
      </w:r>
    </w:p>
    <w:p>
      <w:pPr>
        <w:numPr>
          <w:ilvl w:val="0"/>
          <w:numId w:val="10"/>
        </w:numPr>
        <w:spacing w:line="560" w:lineRule="exact"/>
        <w:ind w:firstLine="480" w:firstLineChars="200"/>
        <w:rPr>
          <w:sz w:val="24"/>
          <w:szCs w:val="24"/>
          <w:highlight w:val="none"/>
        </w:rPr>
      </w:pPr>
      <w:r>
        <w:rPr>
          <w:rFonts w:hint="eastAsia"/>
          <w:sz w:val="24"/>
          <w:szCs w:val="24"/>
          <w:highlight w:val="none"/>
        </w:rPr>
        <w:t>采购文件的内容</w:t>
      </w:r>
    </w:p>
    <w:p>
      <w:pPr>
        <w:spacing w:line="560" w:lineRule="exact"/>
        <w:ind w:firstLine="480" w:firstLineChars="200"/>
        <w:rPr>
          <w:sz w:val="24"/>
          <w:szCs w:val="24"/>
          <w:highlight w:val="none"/>
          <w:lang w:val="zh-CN"/>
        </w:rPr>
      </w:pPr>
      <w:r>
        <w:rPr>
          <w:rFonts w:hint="eastAsia"/>
          <w:sz w:val="24"/>
          <w:szCs w:val="24"/>
          <w:highlight w:val="none"/>
        </w:rPr>
        <w:t>采购文件</w:t>
      </w:r>
      <w:r>
        <w:rPr>
          <w:rFonts w:hint="eastAsia"/>
          <w:sz w:val="24"/>
          <w:szCs w:val="24"/>
          <w:highlight w:val="none"/>
          <w:lang w:val="zh-CN"/>
        </w:rPr>
        <w:t>由谈判邀请、</w:t>
      </w:r>
      <w:r>
        <w:rPr>
          <w:rFonts w:hint="eastAsia"/>
          <w:sz w:val="24"/>
          <w:szCs w:val="24"/>
          <w:highlight w:val="none"/>
        </w:rPr>
        <w:t>采购项目</w:t>
      </w:r>
      <w:r>
        <w:rPr>
          <w:rFonts w:hint="eastAsia"/>
          <w:bCs/>
          <w:sz w:val="24"/>
          <w:szCs w:val="24"/>
          <w:highlight w:val="none"/>
          <w:lang w:val="zh-CN"/>
        </w:rPr>
        <w:t>技术和商务要求、</w:t>
      </w:r>
      <w:r>
        <w:rPr>
          <w:rFonts w:hint="eastAsia"/>
          <w:sz w:val="24"/>
          <w:szCs w:val="24"/>
          <w:highlight w:val="none"/>
          <w:lang w:val="zh-CN"/>
        </w:rPr>
        <w:t>供应商须知、合同样本、附件</w:t>
      </w:r>
      <w:r>
        <w:rPr>
          <w:sz w:val="24"/>
          <w:szCs w:val="24"/>
          <w:highlight w:val="none"/>
          <w:lang w:val="zh-CN"/>
        </w:rPr>
        <w:t>/</w:t>
      </w:r>
      <w:r>
        <w:rPr>
          <w:rFonts w:hint="eastAsia"/>
          <w:sz w:val="24"/>
          <w:szCs w:val="24"/>
          <w:highlight w:val="none"/>
          <w:lang w:val="zh-CN"/>
        </w:rPr>
        <w:t>响应文件格式等内容构成。</w:t>
      </w:r>
    </w:p>
    <w:p>
      <w:pPr>
        <w:spacing w:line="560" w:lineRule="exact"/>
        <w:ind w:firstLine="480" w:firstLineChars="200"/>
        <w:rPr>
          <w:sz w:val="24"/>
          <w:szCs w:val="24"/>
          <w:highlight w:val="none"/>
          <w:lang w:val="zh-CN"/>
        </w:rPr>
      </w:pPr>
      <w:r>
        <w:rPr>
          <w:rFonts w:hint="eastAsia"/>
          <w:sz w:val="24"/>
          <w:szCs w:val="24"/>
          <w:highlight w:val="none"/>
          <w:lang w:val="zh-CN"/>
        </w:rPr>
        <w:t>采购文件以中文编写。纸质采购文件与电子版采购文件具有同等法律效力，两者出现不一致时，以纸质采购文件为准。</w:t>
      </w:r>
    </w:p>
    <w:p>
      <w:pPr>
        <w:numPr>
          <w:ilvl w:val="0"/>
          <w:numId w:val="10"/>
        </w:numPr>
        <w:spacing w:line="560" w:lineRule="exact"/>
        <w:ind w:firstLine="480" w:firstLineChars="200"/>
        <w:rPr>
          <w:sz w:val="24"/>
          <w:szCs w:val="24"/>
          <w:highlight w:val="none"/>
        </w:rPr>
      </w:pPr>
      <w:r>
        <w:rPr>
          <w:rFonts w:hint="eastAsia"/>
          <w:sz w:val="24"/>
          <w:szCs w:val="24"/>
          <w:highlight w:val="none"/>
        </w:rPr>
        <w:t>采购文件的澄清</w:t>
      </w:r>
    </w:p>
    <w:p>
      <w:pPr>
        <w:spacing w:line="560" w:lineRule="exact"/>
        <w:ind w:firstLine="480" w:firstLineChars="200"/>
        <w:rPr>
          <w:rFonts w:ascii="宋体" w:hAnsi="宋体"/>
          <w:sz w:val="24"/>
          <w:szCs w:val="24"/>
          <w:highlight w:val="none"/>
        </w:rPr>
      </w:pPr>
      <w:r>
        <w:rPr>
          <w:rFonts w:hint="eastAsia" w:ascii="宋体" w:hAnsi="宋体"/>
          <w:sz w:val="24"/>
          <w:szCs w:val="24"/>
          <w:highlight w:val="none"/>
        </w:rPr>
        <w:t>供应商对采购文件如有疑问要求澄清，应当在响应截止时间前以书面形式通知采购人，采购人应当视情以适当方式予以澄清，或以书面形式答复。如有必要，在不标明问题查询来源情况下，采购人可将答复内容以书面形式通知所有供应商。</w:t>
      </w:r>
    </w:p>
    <w:p>
      <w:pPr>
        <w:numPr>
          <w:ilvl w:val="0"/>
          <w:numId w:val="10"/>
        </w:numPr>
        <w:spacing w:line="560" w:lineRule="exact"/>
        <w:ind w:firstLine="480" w:firstLineChars="200"/>
        <w:rPr>
          <w:rFonts w:hint="eastAsia"/>
          <w:sz w:val="24"/>
          <w:szCs w:val="24"/>
          <w:highlight w:val="none"/>
        </w:rPr>
      </w:pPr>
      <w:r>
        <w:rPr>
          <w:rFonts w:hint="eastAsia"/>
          <w:sz w:val="24"/>
          <w:szCs w:val="24"/>
          <w:highlight w:val="none"/>
        </w:rPr>
        <w:t>采购文件的修改</w:t>
      </w:r>
    </w:p>
    <w:p>
      <w:pPr>
        <w:spacing w:line="560" w:lineRule="exact"/>
        <w:ind w:firstLine="480" w:firstLineChars="200"/>
        <w:rPr>
          <w:rFonts w:ascii="宋体" w:hAnsi="宋体"/>
          <w:sz w:val="24"/>
          <w:szCs w:val="24"/>
          <w:highlight w:val="none"/>
        </w:rPr>
      </w:pPr>
      <w:r>
        <w:rPr>
          <w:rFonts w:hint="eastAsia" w:ascii="宋体" w:hAnsi="宋体"/>
          <w:sz w:val="24"/>
          <w:szCs w:val="24"/>
          <w:highlight w:val="none"/>
        </w:rPr>
        <w:t>1.响应截止时间前，采购人可对已发出的采购文件进行修改。采购文件修改内容是采购文件的组成部分。</w:t>
      </w:r>
    </w:p>
    <w:p>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2.采购文件修改内容可能影响响应文件编制的，采购人将在响应截止时间至少</w:t>
      </w:r>
      <w:r>
        <w:rPr>
          <w:rFonts w:hint="eastAsia" w:ascii="宋体" w:hAnsi="宋体"/>
          <w:sz w:val="24"/>
          <w:szCs w:val="24"/>
          <w:highlight w:val="none"/>
          <w:lang w:eastAsia="zh-CN"/>
        </w:rPr>
        <w:t>1</w:t>
      </w:r>
      <w:r>
        <w:rPr>
          <w:rFonts w:hint="eastAsia" w:ascii="宋体" w:hAnsi="宋体"/>
          <w:sz w:val="24"/>
          <w:szCs w:val="24"/>
          <w:highlight w:val="none"/>
          <w:lang w:val="en-US" w:eastAsia="zh-CN"/>
        </w:rPr>
        <w:t>2小时</w:t>
      </w:r>
      <w:r>
        <w:rPr>
          <w:rFonts w:hint="eastAsia" w:ascii="宋体" w:hAnsi="宋体"/>
          <w:sz w:val="24"/>
          <w:szCs w:val="24"/>
          <w:highlight w:val="none"/>
        </w:rPr>
        <w:t>前，以书面形式通知所有供应商，并对供应商具有约束力。供应商在收到上述通知后，应立即以书面形式向采购人确认。</w:t>
      </w:r>
    </w:p>
    <w:p>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3.为使供应商有足够时间修改响应文件，采购人可酌情推迟响应截止时间和谈判时间。需要推迟的，采购人将在响应截止时间</w:t>
      </w:r>
      <w:r>
        <w:rPr>
          <w:rFonts w:hint="eastAsia" w:ascii="宋体" w:hAnsi="宋体"/>
          <w:sz w:val="24"/>
          <w:szCs w:val="24"/>
          <w:highlight w:val="none"/>
          <w:lang w:val="en-US" w:eastAsia="zh-CN"/>
        </w:rPr>
        <w:t>12小时</w:t>
      </w:r>
      <w:r>
        <w:rPr>
          <w:rFonts w:hint="eastAsia" w:ascii="宋体" w:hAnsi="宋体"/>
          <w:sz w:val="24"/>
          <w:szCs w:val="24"/>
          <w:highlight w:val="none"/>
        </w:rPr>
        <w:t>前以书面形式通知所有供应商。</w:t>
      </w:r>
    </w:p>
    <w:p>
      <w:pPr>
        <w:numPr>
          <w:ilvl w:val="0"/>
          <w:numId w:val="8"/>
        </w:numPr>
        <w:spacing w:before="240" w:beforeLines="100" w:after="240" w:afterLines="100" w:line="560" w:lineRule="exact"/>
        <w:jc w:val="center"/>
        <w:rPr>
          <w:rFonts w:hint="eastAsia" w:eastAsia="黑体"/>
          <w:sz w:val="24"/>
          <w:szCs w:val="24"/>
          <w:highlight w:val="none"/>
        </w:rPr>
      </w:pPr>
      <w:r>
        <w:rPr>
          <w:rFonts w:hint="eastAsia" w:eastAsia="黑体"/>
          <w:sz w:val="24"/>
          <w:szCs w:val="24"/>
          <w:highlight w:val="none"/>
        </w:rPr>
        <w:t>响应文件编制</w:t>
      </w:r>
    </w:p>
    <w:p>
      <w:pPr>
        <w:numPr>
          <w:ilvl w:val="0"/>
          <w:numId w:val="11"/>
        </w:numPr>
        <w:spacing w:line="560" w:lineRule="exact"/>
        <w:ind w:firstLine="480" w:firstLineChars="200"/>
        <w:rPr>
          <w:sz w:val="24"/>
          <w:szCs w:val="24"/>
          <w:highlight w:val="none"/>
        </w:rPr>
      </w:pPr>
      <w:r>
        <w:rPr>
          <w:rFonts w:hint="eastAsia"/>
          <w:sz w:val="24"/>
          <w:szCs w:val="24"/>
          <w:highlight w:val="none"/>
        </w:rPr>
        <w:t>注意事项</w:t>
      </w:r>
    </w:p>
    <w:p>
      <w:pPr>
        <w:numPr>
          <w:ilvl w:val="0"/>
          <w:numId w:val="11"/>
        </w:numPr>
        <w:spacing w:line="560" w:lineRule="exact"/>
        <w:ind w:firstLine="480" w:firstLineChars="200"/>
        <w:rPr>
          <w:sz w:val="24"/>
          <w:szCs w:val="24"/>
          <w:highlight w:val="none"/>
        </w:rPr>
      </w:pPr>
      <w:r>
        <w:rPr>
          <w:rFonts w:hint="eastAsia"/>
          <w:snapToGrid w:val="0"/>
          <w:sz w:val="24"/>
          <w:szCs w:val="24"/>
          <w:highlight w:val="none"/>
          <w:lang w:val="zh-CN"/>
        </w:rPr>
        <w:t>供应商</w:t>
      </w:r>
      <w:r>
        <w:rPr>
          <w:rFonts w:hint="eastAsia"/>
          <w:snapToGrid w:val="0"/>
          <w:sz w:val="24"/>
          <w:szCs w:val="24"/>
          <w:highlight w:val="none"/>
        </w:rPr>
        <w:t>应仔细阅读采购文件，在完全了解全部内容后，依法真实编制响应文件。</w:t>
      </w:r>
      <w:r>
        <w:rPr>
          <w:rFonts w:hint="eastAsia"/>
          <w:bCs/>
          <w:snapToGrid w:val="0"/>
          <w:sz w:val="24"/>
          <w:szCs w:val="24"/>
          <w:highlight w:val="none"/>
        </w:rPr>
        <w:t>如果没有按照采购文件要求提交全部响应文件或者资料，没有对采购文件实质性响应，可能导致响应无效</w:t>
      </w:r>
      <w:r>
        <w:rPr>
          <w:rFonts w:hint="eastAsia"/>
          <w:snapToGrid w:val="0"/>
          <w:sz w:val="24"/>
          <w:szCs w:val="24"/>
          <w:highlight w:val="none"/>
        </w:rPr>
        <w:t>。</w:t>
      </w:r>
    </w:p>
    <w:p>
      <w:pPr>
        <w:numPr>
          <w:ilvl w:val="0"/>
          <w:numId w:val="11"/>
        </w:numPr>
        <w:spacing w:line="560" w:lineRule="exact"/>
        <w:ind w:firstLine="480" w:firstLineChars="200"/>
        <w:rPr>
          <w:sz w:val="24"/>
          <w:szCs w:val="24"/>
          <w:highlight w:val="none"/>
        </w:rPr>
      </w:pPr>
      <w:r>
        <w:rPr>
          <w:rFonts w:hint="eastAsia"/>
          <w:sz w:val="24"/>
          <w:szCs w:val="24"/>
          <w:highlight w:val="none"/>
        </w:rPr>
        <w:t>响应文件的语言及计量单位</w:t>
      </w:r>
    </w:p>
    <w:p>
      <w:pPr>
        <w:spacing w:line="560" w:lineRule="exact"/>
        <w:ind w:firstLine="480" w:firstLineChars="200"/>
        <w:rPr>
          <w:rFonts w:ascii="宋体" w:hAnsi="宋体"/>
          <w:sz w:val="24"/>
          <w:szCs w:val="24"/>
          <w:highlight w:val="none"/>
        </w:rPr>
      </w:pPr>
      <w:r>
        <w:rPr>
          <w:rFonts w:hint="eastAsia" w:ascii="宋体" w:hAnsi="宋体"/>
          <w:sz w:val="24"/>
          <w:szCs w:val="24"/>
          <w:highlight w:val="none"/>
          <w:lang w:val="zh-CN"/>
        </w:rPr>
        <w:t>1.响应文件和来往信函均以中文书写。确有需要时，相关内容可以使用其他语言书写，但必须同时提供中文译文，不同语言文本响应文件的解释发生异议的，以中文译文为准</w:t>
      </w:r>
      <w:r>
        <w:rPr>
          <w:rFonts w:hint="eastAsia" w:ascii="宋体" w:hAnsi="宋体"/>
          <w:sz w:val="24"/>
          <w:szCs w:val="24"/>
          <w:highlight w:val="none"/>
        </w:rPr>
        <w:t>。</w:t>
      </w:r>
    </w:p>
    <w:p>
      <w:p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lang w:val="zh-CN"/>
        </w:rPr>
        <w:t>2.响应文件中所使用的计量单位，除响应文件中有特殊要求外，均采用国家法定计量单位</w:t>
      </w:r>
      <w:r>
        <w:rPr>
          <w:rFonts w:hint="eastAsia" w:ascii="宋体" w:hAnsi="宋体"/>
          <w:sz w:val="24"/>
          <w:szCs w:val="24"/>
          <w:highlight w:val="none"/>
        </w:rPr>
        <w:t>。</w:t>
      </w:r>
    </w:p>
    <w:p>
      <w:pPr>
        <w:numPr>
          <w:ilvl w:val="0"/>
          <w:numId w:val="11"/>
        </w:numPr>
        <w:spacing w:line="560" w:lineRule="exact"/>
        <w:ind w:firstLine="480" w:firstLineChars="200"/>
        <w:rPr>
          <w:rFonts w:hint="eastAsia" w:ascii="宋体" w:hAnsi="宋体"/>
          <w:color w:val="auto"/>
          <w:sz w:val="24"/>
          <w:szCs w:val="24"/>
          <w:highlight w:val="none"/>
        </w:rPr>
      </w:pPr>
      <w:r>
        <w:rPr>
          <w:rFonts w:hint="eastAsia"/>
          <w:color w:val="auto"/>
          <w:sz w:val="24"/>
          <w:szCs w:val="24"/>
          <w:highlight w:val="none"/>
        </w:rPr>
        <w:t>响应文件组成（</w:t>
      </w:r>
      <w:r>
        <w:rPr>
          <w:rFonts w:hint="eastAsia" w:ascii="宋体" w:hAnsi="宋体"/>
          <w:color w:val="auto"/>
          <w:sz w:val="24"/>
          <w:szCs w:val="24"/>
          <w:highlight w:val="none"/>
        </w:rPr>
        <w:t>包括3部分：价格文件、响应书、资格证明文件）</w:t>
      </w:r>
    </w:p>
    <w:p>
      <w:pPr>
        <w:numPr>
          <w:ilvl w:val="0"/>
          <w:numId w:val="12"/>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价格文件包括：</w:t>
      </w:r>
    </w:p>
    <w:p>
      <w:pPr>
        <w:numPr>
          <w:ilvl w:val="0"/>
          <w:numId w:val="13"/>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谈判一览表（附件1）</w:t>
      </w:r>
    </w:p>
    <w:p>
      <w:pPr>
        <w:numPr>
          <w:ilvl w:val="0"/>
          <w:numId w:val="13"/>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价格明细表（附件2）</w:t>
      </w:r>
    </w:p>
    <w:p>
      <w:pPr>
        <w:numPr>
          <w:ilvl w:val="0"/>
          <w:numId w:val="13"/>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其他与价格有关的资料、文件</w:t>
      </w:r>
    </w:p>
    <w:p>
      <w:pPr>
        <w:numPr>
          <w:ilvl w:val="0"/>
          <w:numId w:val="12"/>
        </w:numPr>
        <w:spacing w:line="560" w:lineRule="exact"/>
        <w:ind w:left="0" w:firstLine="480" w:firstLineChars="200"/>
        <w:rPr>
          <w:rFonts w:hint="eastAsia"/>
          <w:color w:val="auto"/>
          <w:sz w:val="24"/>
          <w:szCs w:val="24"/>
          <w:highlight w:val="none"/>
        </w:rPr>
      </w:pPr>
      <w:r>
        <w:rPr>
          <w:rFonts w:hint="eastAsia"/>
          <w:color w:val="auto"/>
          <w:sz w:val="24"/>
          <w:szCs w:val="24"/>
          <w:highlight w:val="none"/>
        </w:rPr>
        <w:t>响应书包括：</w:t>
      </w:r>
    </w:p>
    <w:p>
      <w:pPr>
        <w:numPr>
          <w:ilvl w:val="0"/>
          <w:numId w:val="14"/>
        </w:num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响应函（附件2）</w:t>
      </w:r>
    </w:p>
    <w:p>
      <w:pPr>
        <w:numPr>
          <w:ilvl w:val="0"/>
          <w:numId w:val="14"/>
        </w:num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主要商务条款响应偏离表（附件3）</w:t>
      </w:r>
    </w:p>
    <w:p>
      <w:pPr>
        <w:numPr>
          <w:ilvl w:val="0"/>
          <w:numId w:val="14"/>
        </w:num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售后承诺书（附件5）</w:t>
      </w:r>
    </w:p>
    <w:p>
      <w:pPr>
        <w:numPr>
          <w:ilvl w:val="0"/>
          <w:numId w:val="14"/>
        </w:num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报价方认为需要加以说明的其他内容（附件8）</w:t>
      </w:r>
    </w:p>
    <w:p>
      <w:pPr>
        <w:numPr>
          <w:ilvl w:val="0"/>
          <w:numId w:val="12"/>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资格证明文件包括（除必须要求原件外，其他资料原件和复印件均可）：</w:t>
      </w:r>
    </w:p>
    <w:p>
      <w:pPr>
        <w:numPr>
          <w:ilvl w:val="0"/>
          <w:numId w:val="15"/>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营业执照副本</w:t>
      </w:r>
    </w:p>
    <w:p>
      <w:pPr>
        <w:numPr>
          <w:ilvl w:val="0"/>
          <w:numId w:val="15"/>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组织机构代码证副本（三证合一的除外）</w:t>
      </w:r>
    </w:p>
    <w:p>
      <w:pPr>
        <w:numPr>
          <w:ilvl w:val="0"/>
          <w:numId w:val="15"/>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税务登记证副本（三证合一的除外）</w:t>
      </w:r>
    </w:p>
    <w:p>
      <w:pPr>
        <w:numPr>
          <w:ilvl w:val="0"/>
          <w:numId w:val="15"/>
        </w:numPr>
        <w:spacing w:line="560" w:lineRule="exact"/>
        <w:ind w:left="0"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社保缴纳证明和完税证明</w:t>
      </w:r>
    </w:p>
    <w:p>
      <w:pPr>
        <w:numPr>
          <w:ilvl w:val="0"/>
          <w:numId w:val="15"/>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良好的商业信誉</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rPr>
        <w:t>健全的财务会计制度证明材料</w:t>
      </w:r>
    </w:p>
    <w:p>
      <w:pPr>
        <w:numPr>
          <w:ilvl w:val="0"/>
          <w:numId w:val="15"/>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法定代表人资格证明书（附件6）</w:t>
      </w:r>
    </w:p>
    <w:p>
      <w:pPr>
        <w:numPr>
          <w:ilvl w:val="0"/>
          <w:numId w:val="15"/>
        </w:numPr>
        <w:spacing w:line="560" w:lineRule="exact"/>
        <w:ind w:lef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法定代表人授权书（如法定代表人未到谈判现场需提供，附件7）</w:t>
      </w:r>
    </w:p>
    <w:p>
      <w:pPr>
        <w:numPr>
          <w:ilvl w:val="0"/>
          <w:numId w:val="15"/>
        </w:numPr>
        <w:spacing w:line="560" w:lineRule="exact"/>
        <w:ind w:left="0"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报价方认为需要加以说明的其他内容（附件8）</w:t>
      </w:r>
    </w:p>
    <w:p>
      <w:pPr>
        <w:spacing w:line="560" w:lineRule="exact"/>
        <w:ind w:firstLine="482" w:firstLineChars="200"/>
        <w:rPr>
          <w:rFonts w:hint="eastAsia"/>
          <w:b/>
          <w:sz w:val="24"/>
          <w:szCs w:val="24"/>
          <w:highlight w:val="none"/>
        </w:rPr>
      </w:pPr>
      <w:r>
        <w:rPr>
          <w:rFonts w:hint="eastAsia"/>
          <w:b/>
          <w:sz w:val="24"/>
          <w:szCs w:val="24"/>
          <w:highlight w:val="none"/>
        </w:rPr>
        <w:t>供应商必须按上述统一格式及顺序向采购人提供《价格文件》《响应书》和《资格证明文件》，否则可能被视为无效响应。</w:t>
      </w:r>
    </w:p>
    <w:p>
      <w:pPr>
        <w:numPr>
          <w:ilvl w:val="0"/>
          <w:numId w:val="11"/>
        </w:numPr>
        <w:spacing w:line="560" w:lineRule="exact"/>
        <w:ind w:firstLine="480" w:firstLineChars="200"/>
        <w:rPr>
          <w:sz w:val="24"/>
          <w:szCs w:val="24"/>
          <w:highlight w:val="none"/>
        </w:rPr>
      </w:pPr>
      <w:r>
        <w:rPr>
          <w:rFonts w:hint="eastAsia"/>
          <w:sz w:val="24"/>
          <w:szCs w:val="24"/>
          <w:highlight w:val="none"/>
        </w:rPr>
        <w:t>响应文件的格式规定和签署</w:t>
      </w:r>
    </w:p>
    <w:p>
      <w:pPr>
        <w:numPr>
          <w:ilvl w:val="0"/>
          <w:numId w:val="16"/>
        </w:numPr>
        <w:spacing w:line="560" w:lineRule="exact"/>
        <w:ind w:left="0" w:firstLine="480" w:firstLineChars="200"/>
        <w:rPr>
          <w:rFonts w:ascii="宋体" w:hAnsi="宋体"/>
          <w:sz w:val="24"/>
          <w:szCs w:val="24"/>
          <w:highlight w:val="none"/>
        </w:rPr>
      </w:pPr>
      <w:r>
        <w:rPr>
          <w:rFonts w:hint="eastAsia" w:ascii="宋体" w:hAnsi="宋体"/>
          <w:sz w:val="24"/>
          <w:szCs w:val="24"/>
          <w:highlight w:val="none"/>
        </w:rPr>
        <w:t>响应文件必须工整、规范、统一、清晰，采用A4幅面纸</w:t>
      </w:r>
      <w:r>
        <w:rPr>
          <w:rFonts w:hint="eastAsia" w:ascii="宋体" w:hAnsi="宋体"/>
          <w:b/>
          <w:sz w:val="24"/>
          <w:szCs w:val="24"/>
          <w:highlight w:val="none"/>
        </w:rPr>
        <w:t>胶装成册</w:t>
      </w:r>
      <w:r>
        <w:rPr>
          <w:rFonts w:hint="eastAsia" w:ascii="宋体" w:hAnsi="宋体"/>
          <w:sz w:val="24"/>
          <w:szCs w:val="24"/>
          <w:highlight w:val="none"/>
        </w:rPr>
        <w:t>、标注页码。</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供应商应当按照采购文件规定的统一格式填写响应文件，响应文件开始部分应当有目录，以及方便评审委员会评审使用的项目索引。</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供应商名称应当填写全称，同时加盖单位公章。</w:t>
      </w:r>
    </w:p>
    <w:p>
      <w:pPr>
        <w:numPr>
          <w:ilvl w:val="0"/>
          <w:numId w:val="16"/>
        </w:numPr>
        <w:spacing w:line="560" w:lineRule="exact"/>
        <w:ind w:left="0" w:firstLine="482" w:firstLineChars="200"/>
        <w:rPr>
          <w:rFonts w:hint="eastAsia" w:ascii="宋体" w:hAnsi="宋体"/>
          <w:b/>
          <w:color w:val="000000"/>
          <w:sz w:val="24"/>
          <w:szCs w:val="24"/>
          <w:highlight w:val="none"/>
        </w:rPr>
      </w:pPr>
      <w:r>
        <w:rPr>
          <w:rFonts w:hint="eastAsia" w:ascii="宋体" w:hAnsi="宋体"/>
          <w:b/>
          <w:sz w:val="24"/>
          <w:szCs w:val="24"/>
          <w:highlight w:val="none"/>
        </w:rPr>
        <w:t>价格文件、响应书、资格证明文件须单独封装。其中，价格文件一式</w:t>
      </w:r>
      <w:r>
        <w:rPr>
          <w:rFonts w:hint="eastAsia" w:ascii="宋体" w:hAnsi="宋体"/>
          <w:b/>
          <w:sz w:val="24"/>
          <w:szCs w:val="24"/>
          <w:highlight w:val="none"/>
          <w:u w:val="single"/>
        </w:rPr>
        <w:t xml:space="preserve"> 3</w:t>
      </w:r>
      <w:r>
        <w:rPr>
          <w:rFonts w:hint="eastAsia" w:ascii="宋体" w:hAnsi="宋体"/>
          <w:b/>
          <w:sz w:val="24"/>
          <w:szCs w:val="24"/>
          <w:highlight w:val="none"/>
        </w:rPr>
        <w:t>份，其中正本</w:t>
      </w:r>
      <w:r>
        <w:rPr>
          <w:rFonts w:hint="eastAsia" w:ascii="宋体" w:hAnsi="宋体"/>
          <w:b/>
          <w:sz w:val="24"/>
          <w:szCs w:val="24"/>
          <w:highlight w:val="none"/>
          <w:u w:val="single"/>
        </w:rPr>
        <w:t xml:space="preserve"> 1</w:t>
      </w:r>
      <w:r>
        <w:rPr>
          <w:rFonts w:hint="eastAsia" w:ascii="宋体" w:hAnsi="宋体"/>
          <w:b/>
          <w:sz w:val="24"/>
          <w:szCs w:val="24"/>
          <w:highlight w:val="none"/>
        </w:rPr>
        <w:t>份，副本</w:t>
      </w:r>
      <w:r>
        <w:rPr>
          <w:rFonts w:hint="eastAsia" w:ascii="宋体" w:hAnsi="宋体"/>
          <w:b/>
          <w:sz w:val="24"/>
          <w:szCs w:val="24"/>
          <w:highlight w:val="none"/>
          <w:u w:val="single"/>
        </w:rPr>
        <w:t xml:space="preserve"> 2 </w:t>
      </w:r>
      <w:r>
        <w:rPr>
          <w:rFonts w:hint="eastAsia" w:ascii="宋体" w:hAnsi="宋体"/>
          <w:b/>
          <w:sz w:val="24"/>
          <w:szCs w:val="24"/>
          <w:highlight w:val="none"/>
        </w:rPr>
        <w:t>份；响应书一式</w:t>
      </w:r>
      <w:r>
        <w:rPr>
          <w:rFonts w:hint="eastAsia" w:ascii="宋体" w:hAnsi="宋体"/>
          <w:b/>
          <w:sz w:val="24"/>
          <w:szCs w:val="24"/>
          <w:highlight w:val="none"/>
          <w:u w:val="single"/>
        </w:rPr>
        <w:t xml:space="preserve"> 3 </w:t>
      </w:r>
      <w:r>
        <w:rPr>
          <w:rFonts w:hint="eastAsia" w:ascii="宋体" w:hAnsi="宋体"/>
          <w:b/>
          <w:sz w:val="24"/>
          <w:szCs w:val="24"/>
          <w:highlight w:val="none"/>
        </w:rPr>
        <w:t>份，其中正本</w:t>
      </w:r>
      <w:r>
        <w:rPr>
          <w:rFonts w:hint="eastAsia" w:ascii="宋体" w:hAnsi="宋体"/>
          <w:b/>
          <w:sz w:val="24"/>
          <w:szCs w:val="24"/>
          <w:highlight w:val="none"/>
          <w:u w:val="single"/>
        </w:rPr>
        <w:t xml:space="preserve"> 1 </w:t>
      </w:r>
      <w:r>
        <w:rPr>
          <w:rFonts w:hint="eastAsia" w:ascii="宋体" w:hAnsi="宋体"/>
          <w:b/>
          <w:sz w:val="24"/>
          <w:szCs w:val="24"/>
          <w:highlight w:val="none"/>
        </w:rPr>
        <w:t>份，副本</w:t>
      </w:r>
      <w:r>
        <w:rPr>
          <w:rFonts w:hint="eastAsia" w:ascii="宋体" w:hAnsi="宋体"/>
          <w:b/>
          <w:sz w:val="24"/>
          <w:szCs w:val="24"/>
          <w:highlight w:val="none"/>
          <w:u w:val="single"/>
        </w:rPr>
        <w:t xml:space="preserve"> 2 </w:t>
      </w:r>
      <w:r>
        <w:rPr>
          <w:rFonts w:hint="eastAsia" w:ascii="宋体" w:hAnsi="宋体"/>
          <w:b/>
          <w:sz w:val="24"/>
          <w:szCs w:val="24"/>
          <w:highlight w:val="none"/>
        </w:rPr>
        <w:t>份；</w:t>
      </w:r>
      <w:r>
        <w:rPr>
          <w:rFonts w:hint="eastAsia" w:ascii="宋体" w:hAnsi="宋体"/>
          <w:b/>
          <w:color w:val="000000"/>
          <w:sz w:val="24"/>
          <w:szCs w:val="24"/>
          <w:highlight w:val="none"/>
        </w:rPr>
        <w:t>资格证明文件一式</w:t>
      </w:r>
      <w:r>
        <w:rPr>
          <w:rFonts w:hint="eastAsia" w:ascii="宋体" w:hAnsi="宋体"/>
          <w:b/>
          <w:color w:val="000000"/>
          <w:sz w:val="24"/>
          <w:szCs w:val="24"/>
          <w:highlight w:val="none"/>
          <w:u w:val="single"/>
        </w:rPr>
        <w:t xml:space="preserve"> 2 </w:t>
      </w:r>
      <w:r>
        <w:rPr>
          <w:rFonts w:hint="eastAsia" w:ascii="宋体" w:hAnsi="宋体"/>
          <w:b/>
          <w:color w:val="000000"/>
          <w:sz w:val="24"/>
          <w:szCs w:val="24"/>
          <w:highlight w:val="none"/>
        </w:rPr>
        <w:t>份，其中正本</w:t>
      </w:r>
      <w:r>
        <w:rPr>
          <w:rFonts w:hint="eastAsia" w:ascii="宋体" w:hAnsi="宋体"/>
          <w:b/>
          <w:color w:val="000000"/>
          <w:sz w:val="24"/>
          <w:szCs w:val="24"/>
          <w:highlight w:val="none"/>
          <w:u w:val="single"/>
        </w:rPr>
        <w:t xml:space="preserve"> 1</w:t>
      </w:r>
      <w:r>
        <w:rPr>
          <w:rFonts w:hint="eastAsia" w:ascii="宋体" w:hAnsi="宋体"/>
          <w:b/>
          <w:color w:val="000000"/>
          <w:sz w:val="24"/>
          <w:szCs w:val="24"/>
          <w:highlight w:val="none"/>
        </w:rPr>
        <w:t>份，副本</w:t>
      </w:r>
      <w:r>
        <w:rPr>
          <w:rFonts w:hint="eastAsia" w:ascii="宋体" w:hAnsi="宋体"/>
          <w:b/>
          <w:color w:val="000000"/>
          <w:sz w:val="24"/>
          <w:szCs w:val="24"/>
          <w:highlight w:val="none"/>
          <w:u w:val="single"/>
        </w:rPr>
        <w:t xml:space="preserve"> 1 </w:t>
      </w:r>
      <w:r>
        <w:rPr>
          <w:rFonts w:hint="eastAsia" w:ascii="宋体" w:hAnsi="宋体"/>
          <w:b/>
          <w:color w:val="000000"/>
          <w:sz w:val="24"/>
          <w:szCs w:val="24"/>
          <w:highlight w:val="none"/>
        </w:rPr>
        <w:t>份。在每一份文件上要注明“正本”或“副本”字样。如果正本与副本不符，以正本为准。</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响应文件必须打印或用黑色、蓝黑色墨水填写。</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谈判一览表必须按照规定的格式填写，不得自行增减内容。</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响应文件必须由法定代表人或授权代表签署。</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响应文件不得随意涂改和增删。如有修改错漏之处，必须由法定代表人或授权代表签字、盖章。</w:t>
      </w:r>
    </w:p>
    <w:p>
      <w:pPr>
        <w:numPr>
          <w:ilvl w:val="0"/>
          <w:numId w:val="16"/>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w:t>
      </w:r>
      <w:r>
        <w:rPr>
          <w:rFonts w:hint="eastAsia" w:ascii="宋体" w:hAnsi="宋体"/>
          <w:sz w:val="24"/>
          <w:szCs w:val="24"/>
          <w:highlight w:val="none"/>
          <w:lang w:val="zh-CN"/>
        </w:rPr>
        <w:t>因字迹潦草或表述不清以及复印件不清所引起的后果由供应商自行负责</w:t>
      </w:r>
      <w:r>
        <w:rPr>
          <w:rFonts w:hint="eastAsia" w:ascii="宋体" w:hAnsi="宋体"/>
          <w:sz w:val="24"/>
          <w:szCs w:val="24"/>
          <w:highlight w:val="none"/>
        </w:rPr>
        <w:t>。</w:t>
      </w:r>
    </w:p>
    <w:p>
      <w:pPr>
        <w:numPr>
          <w:ilvl w:val="0"/>
          <w:numId w:val="11"/>
        </w:num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响应文件有效期</w:t>
      </w:r>
    </w:p>
    <w:p>
      <w:pPr>
        <w:numPr>
          <w:ilvl w:val="0"/>
          <w:numId w:val="17"/>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响应文件自响应截止时间起</w:t>
      </w:r>
      <w:r>
        <w:rPr>
          <w:rFonts w:hint="eastAsia" w:ascii="宋体" w:hAnsi="宋体"/>
          <w:b/>
          <w:sz w:val="24"/>
          <w:szCs w:val="24"/>
          <w:highlight w:val="none"/>
          <w:lang w:val="zh-CN"/>
        </w:rPr>
        <w:t>90</w:t>
      </w:r>
      <w:r>
        <w:rPr>
          <w:rFonts w:hint="eastAsia" w:ascii="宋体" w:hAnsi="宋体"/>
          <w:sz w:val="24"/>
          <w:szCs w:val="24"/>
          <w:highlight w:val="none"/>
          <w:lang w:val="zh-CN"/>
        </w:rPr>
        <w:t>日内保持有效。</w:t>
      </w:r>
    </w:p>
    <w:p>
      <w:pPr>
        <w:numPr>
          <w:ilvl w:val="0"/>
          <w:numId w:val="17"/>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响应文件有效期需要延长的，采购人可与供应商进行协商，并以书面形式予以确认，响应保证金有效期相应延长。供应商拒绝延长有效期不影响退还响应保证金。同意延长有效期的供应商不能修改响应文件。</w:t>
      </w:r>
    </w:p>
    <w:p>
      <w:pPr>
        <w:numPr>
          <w:ilvl w:val="0"/>
          <w:numId w:val="17"/>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在采购过程中</w:t>
      </w:r>
      <w:r>
        <w:rPr>
          <w:rFonts w:hint="eastAsia" w:ascii="宋体" w:hAnsi="宋体"/>
          <w:sz w:val="24"/>
          <w:szCs w:val="24"/>
          <w:highlight w:val="none"/>
        </w:rPr>
        <w:t>，供应商发生合并、分立、破产等重大变化时，应当及时书面告知采购人。</w:t>
      </w:r>
    </w:p>
    <w:p>
      <w:pPr>
        <w:numPr>
          <w:ilvl w:val="0"/>
          <w:numId w:val="11"/>
        </w:num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响应报价</w:t>
      </w:r>
    </w:p>
    <w:p>
      <w:pPr>
        <w:numPr>
          <w:ilvl w:val="0"/>
          <w:numId w:val="18"/>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所有报价均以人民币为货币单位</w:t>
      </w:r>
      <w:r>
        <w:rPr>
          <w:rFonts w:hint="eastAsia" w:ascii="宋体" w:hAnsi="宋体"/>
          <w:sz w:val="24"/>
          <w:szCs w:val="24"/>
          <w:highlight w:val="none"/>
        </w:rPr>
        <w:t>。</w:t>
      </w:r>
    </w:p>
    <w:p>
      <w:pPr>
        <w:numPr>
          <w:ilvl w:val="0"/>
          <w:numId w:val="18"/>
        </w:numPr>
        <w:spacing w:line="560" w:lineRule="exact"/>
        <w:ind w:left="0" w:firstLine="480" w:firstLineChars="200"/>
        <w:rPr>
          <w:rFonts w:hint="eastAsia" w:ascii="宋体" w:hAnsi="宋体"/>
          <w:sz w:val="24"/>
          <w:szCs w:val="24"/>
          <w:highlight w:val="none"/>
          <w:lang w:val="zh-CN"/>
        </w:rPr>
      </w:pPr>
      <w:r>
        <w:rPr>
          <w:rFonts w:hint="eastAsia" w:ascii="宋体" w:hAnsi="宋体"/>
          <w:sz w:val="24"/>
          <w:szCs w:val="24"/>
          <w:highlight w:val="none"/>
          <w:lang w:val="zh-CN"/>
        </w:rPr>
        <w:t>所有单价和总价按照谈判一览表格式要求填报。供应商</w:t>
      </w:r>
      <w:r>
        <w:rPr>
          <w:rFonts w:hint="eastAsia" w:ascii="宋体" w:hAnsi="宋体"/>
          <w:sz w:val="24"/>
          <w:szCs w:val="24"/>
          <w:highlight w:val="none"/>
        </w:rPr>
        <w:t>对同一种货物只允许有一种报价，采购人不接受任何有选择的报价或者有附加条件的报价。</w:t>
      </w:r>
    </w:p>
    <w:p>
      <w:pPr>
        <w:numPr>
          <w:ilvl w:val="0"/>
          <w:numId w:val="18"/>
        </w:numPr>
        <w:spacing w:line="56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对供应商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响应报价无效。</w:t>
      </w:r>
    </w:p>
    <w:p>
      <w:pPr>
        <w:numPr>
          <w:ilvl w:val="0"/>
          <w:numId w:val="11"/>
        </w:numPr>
        <w:spacing w:line="560" w:lineRule="exact"/>
        <w:ind w:firstLine="480" w:firstLineChars="200"/>
        <w:rPr>
          <w:rFonts w:hint="eastAsia" w:ascii="宋体" w:hAnsi="宋体"/>
          <w:sz w:val="24"/>
          <w:szCs w:val="24"/>
          <w:highlight w:val="none"/>
        </w:rPr>
      </w:pPr>
      <w:r>
        <w:rPr>
          <w:rFonts w:hint="eastAsia" w:ascii="宋体" w:hAnsi="宋体"/>
          <w:sz w:val="24"/>
          <w:szCs w:val="24"/>
          <w:highlight w:val="none"/>
        </w:rPr>
        <w:t>响应保证金</w:t>
      </w:r>
    </w:p>
    <w:p>
      <w:pPr>
        <w:spacing w:line="560" w:lineRule="exact"/>
        <w:ind w:left="562"/>
        <w:rPr>
          <w:rFonts w:hint="eastAsia" w:ascii="宋体" w:hAnsi="宋体"/>
          <w:b/>
          <w:sz w:val="24"/>
          <w:szCs w:val="24"/>
          <w:highlight w:val="none"/>
        </w:rPr>
      </w:pPr>
      <w:r>
        <w:rPr>
          <w:rFonts w:hint="eastAsia" w:ascii="宋体" w:hAnsi="宋体"/>
          <w:b/>
          <w:sz w:val="24"/>
          <w:szCs w:val="24"/>
          <w:highlight w:val="none"/>
          <w:lang w:val="zh-CN"/>
        </w:rPr>
        <w:t>供应商应当在响应截止时间前向采购人交纳</w:t>
      </w:r>
      <w:r>
        <w:rPr>
          <w:rFonts w:hint="eastAsia" w:ascii="宋体" w:hAnsi="宋体"/>
          <w:b/>
          <w:sz w:val="24"/>
          <w:szCs w:val="24"/>
          <w:highlight w:val="none"/>
          <w:u w:val="single"/>
          <w:lang w:val="en-US" w:eastAsia="zh-CN"/>
        </w:rPr>
        <w:t>20000</w:t>
      </w:r>
      <w:r>
        <w:rPr>
          <w:rFonts w:hint="eastAsia" w:ascii="宋体" w:hAnsi="宋体"/>
          <w:b/>
          <w:sz w:val="24"/>
          <w:szCs w:val="24"/>
          <w:highlight w:val="none"/>
          <w:lang w:val="zh-CN"/>
        </w:rPr>
        <w:t>元谈判保证金</w:t>
      </w:r>
      <w:r>
        <w:rPr>
          <w:rFonts w:hint="eastAsia" w:ascii="宋体" w:hAnsi="宋体"/>
          <w:b/>
          <w:sz w:val="24"/>
          <w:szCs w:val="24"/>
          <w:highlight w:val="none"/>
        </w:rPr>
        <w:t>。</w:t>
      </w:r>
    </w:p>
    <w:p>
      <w:pPr>
        <w:numPr>
          <w:ilvl w:val="0"/>
          <w:numId w:val="8"/>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响应文件递交</w:t>
      </w:r>
    </w:p>
    <w:p>
      <w:pPr>
        <w:numPr>
          <w:ilvl w:val="0"/>
          <w:numId w:val="19"/>
        </w:numPr>
        <w:spacing w:line="520" w:lineRule="exact"/>
        <w:ind w:left="0" w:firstLine="480" w:firstLineChars="200"/>
        <w:rPr>
          <w:rFonts w:ascii="宋体" w:hAnsi="宋体"/>
          <w:sz w:val="24"/>
          <w:szCs w:val="24"/>
          <w:highlight w:val="none"/>
        </w:rPr>
      </w:pPr>
      <w:r>
        <w:rPr>
          <w:rFonts w:hint="eastAsia" w:ascii="宋体" w:hAnsi="宋体"/>
          <w:sz w:val="24"/>
          <w:szCs w:val="24"/>
          <w:highlight w:val="none"/>
        </w:rPr>
        <w:t>响应文件密封及标记</w:t>
      </w:r>
    </w:p>
    <w:p>
      <w:pPr>
        <w:numPr>
          <w:ilvl w:val="0"/>
          <w:numId w:val="20"/>
        </w:numPr>
        <w:spacing w:line="520" w:lineRule="exact"/>
        <w:ind w:left="0" w:firstLine="482" w:firstLineChars="200"/>
        <w:rPr>
          <w:rFonts w:hint="eastAsia" w:ascii="宋体" w:hAnsi="宋体"/>
          <w:sz w:val="24"/>
          <w:szCs w:val="24"/>
          <w:highlight w:val="none"/>
        </w:rPr>
      </w:pPr>
      <w:r>
        <w:rPr>
          <w:rFonts w:hint="eastAsia" w:ascii="宋体" w:hAnsi="宋体"/>
          <w:b/>
          <w:sz w:val="24"/>
          <w:szCs w:val="24"/>
          <w:highlight w:val="none"/>
        </w:rPr>
        <w:t>价格文件须单独密封、单独递交，与其他文件</w:t>
      </w:r>
      <w:r>
        <w:rPr>
          <w:rFonts w:hint="eastAsia" w:ascii="宋体" w:hAnsi="宋体"/>
          <w:b/>
          <w:bCs/>
          <w:sz w:val="24"/>
          <w:szCs w:val="24"/>
          <w:highlight w:val="none"/>
        </w:rPr>
        <w:t>合并封装的，视为无效响应。</w:t>
      </w:r>
    </w:p>
    <w:p>
      <w:pPr>
        <w:numPr>
          <w:ilvl w:val="0"/>
          <w:numId w:val="2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响应书、资格证明文件的正本和副本统一装入密封袋内，封口处应当有供应商单位公章，封面</w:t>
      </w:r>
      <w:r>
        <w:rPr>
          <w:rFonts w:hint="eastAsia" w:ascii="宋体" w:hAnsi="宋体"/>
          <w:sz w:val="24"/>
          <w:szCs w:val="24"/>
          <w:highlight w:val="none"/>
        </w:rPr>
        <w:t>上注明“项目名称、项目编号、供应商名称”和“谈判时启封”字样。</w:t>
      </w:r>
    </w:p>
    <w:p>
      <w:pPr>
        <w:numPr>
          <w:ilvl w:val="0"/>
          <w:numId w:val="2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供应商应当在采购文件明确的递交响应文件截止时间前，将响应文件送达采购人指定地点。逾期递交的响应文件，采购人将拒收。</w:t>
      </w:r>
    </w:p>
    <w:p>
      <w:pPr>
        <w:numPr>
          <w:ilvl w:val="0"/>
          <w:numId w:val="2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电报、电话、电传、邮寄等形式的响应文件概不接受。</w:t>
      </w:r>
    </w:p>
    <w:p>
      <w:pPr>
        <w:numPr>
          <w:ilvl w:val="0"/>
          <w:numId w:val="2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响应文件未按要求密封、标记的，采购人将拒收。</w:t>
      </w:r>
    </w:p>
    <w:p>
      <w:pPr>
        <w:numPr>
          <w:ilvl w:val="0"/>
          <w:numId w:val="1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响应文件的修改和撤回</w:t>
      </w:r>
    </w:p>
    <w:p>
      <w:pPr>
        <w:numPr>
          <w:ilvl w:val="0"/>
          <w:numId w:val="21"/>
        </w:numPr>
        <w:spacing w:line="520" w:lineRule="exact"/>
        <w:ind w:left="0" w:firstLine="480" w:firstLineChars="200"/>
        <w:rPr>
          <w:rFonts w:hint="eastAsia" w:ascii="宋体" w:hAnsi="宋体"/>
          <w:sz w:val="24"/>
          <w:szCs w:val="24"/>
          <w:highlight w:val="none"/>
          <w:lang w:val="zh-CN"/>
        </w:rPr>
      </w:pPr>
      <w:r>
        <w:rPr>
          <w:rFonts w:hint="eastAsia" w:ascii="宋体" w:hAnsi="宋体"/>
          <w:sz w:val="24"/>
          <w:szCs w:val="24"/>
          <w:highlight w:val="none"/>
          <w:lang w:val="zh-CN"/>
        </w:rPr>
        <w:t>供应商在响应截止时间前，可以对所提交的响应文件进行补充、修改或者撤回。补充、修改的内容应当以书面形式通知采购人，并按照采购文件要求签署、盖章，作为响应文件的组成部分。</w:t>
      </w:r>
    </w:p>
    <w:p>
      <w:pPr>
        <w:numPr>
          <w:ilvl w:val="0"/>
          <w:numId w:val="21"/>
        </w:numPr>
        <w:spacing w:line="520" w:lineRule="exact"/>
        <w:ind w:left="0" w:firstLine="480" w:firstLineChars="200"/>
        <w:rPr>
          <w:rFonts w:hint="eastAsia" w:ascii="宋体" w:hAnsi="宋体"/>
          <w:sz w:val="24"/>
          <w:szCs w:val="24"/>
          <w:highlight w:val="none"/>
          <w:lang w:val="zh-CN"/>
        </w:rPr>
      </w:pPr>
      <w:r>
        <w:rPr>
          <w:rFonts w:hint="eastAsia" w:ascii="宋体" w:hAnsi="宋体"/>
          <w:sz w:val="24"/>
          <w:szCs w:val="24"/>
          <w:highlight w:val="none"/>
          <w:lang w:val="zh-CN"/>
        </w:rPr>
        <w:t>在响应截止时间之后，采购人将不接受对响应文件内容的实质性修改。</w:t>
      </w:r>
    </w:p>
    <w:p>
      <w:pPr>
        <w:numPr>
          <w:ilvl w:val="0"/>
          <w:numId w:val="2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lang w:val="zh-CN"/>
        </w:rPr>
        <w:t>供应商修改响应文件的书面材料，</w:t>
      </w:r>
      <w:r>
        <w:rPr>
          <w:rFonts w:hint="eastAsia" w:ascii="宋体" w:hAnsi="宋体"/>
          <w:sz w:val="24"/>
          <w:szCs w:val="24"/>
          <w:highlight w:val="none"/>
        </w:rPr>
        <w:t>须密封送达响应地点，并在封面上标明“响应修改文件、项目名称、项目编号、供应商名称”和“谈判时启封”字样。</w:t>
      </w:r>
    </w:p>
    <w:p>
      <w:pPr>
        <w:numPr>
          <w:ilvl w:val="0"/>
          <w:numId w:val="2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供应商撤回响应应当以书面形式通知采购人。采取电报或传真形式撤回响应的，必须补充法定代表人或授权代表签署、盖章的撤回响应的正式文件。撤回响应的时间以供应商的书面撤回通知送达采购人时间为准。</w:t>
      </w:r>
    </w:p>
    <w:p>
      <w:pPr>
        <w:numPr>
          <w:ilvl w:val="0"/>
          <w:numId w:val="2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谈判后供应商不得撤回响应，否则响应保证金不予退还。</w:t>
      </w:r>
    </w:p>
    <w:p>
      <w:pPr>
        <w:numPr>
          <w:ilvl w:val="0"/>
          <w:numId w:val="8"/>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谈判与评审</w:t>
      </w:r>
    </w:p>
    <w:p>
      <w:pPr>
        <w:numPr>
          <w:ilvl w:val="0"/>
          <w:numId w:val="22"/>
        </w:numPr>
        <w:spacing w:line="520" w:lineRule="exact"/>
        <w:ind w:left="0" w:firstLine="480" w:firstLineChars="200"/>
        <w:rPr>
          <w:rFonts w:ascii="宋体" w:hAnsi="宋体"/>
          <w:sz w:val="24"/>
          <w:szCs w:val="24"/>
          <w:highlight w:val="none"/>
        </w:rPr>
      </w:pPr>
      <w:r>
        <w:rPr>
          <w:rFonts w:hint="eastAsia" w:ascii="宋体" w:hAnsi="宋体"/>
          <w:sz w:val="24"/>
          <w:szCs w:val="24"/>
          <w:highlight w:val="none"/>
        </w:rPr>
        <w:t>谈判</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采购人按采购文件规定的时间、地点谈判。谈判大会由</w:t>
      </w:r>
      <w:r>
        <w:rPr>
          <w:rFonts w:hint="eastAsia" w:ascii="宋体" w:hAnsi="宋体"/>
          <w:sz w:val="24"/>
          <w:szCs w:val="24"/>
          <w:highlight w:val="none"/>
          <w:lang w:val="en-US" w:eastAsia="zh-CN"/>
        </w:rPr>
        <w:t>采购代理机构</w:t>
      </w:r>
      <w:r>
        <w:rPr>
          <w:rFonts w:hint="eastAsia" w:ascii="宋体" w:hAnsi="宋体"/>
          <w:sz w:val="24"/>
          <w:szCs w:val="24"/>
          <w:highlight w:val="none"/>
        </w:rPr>
        <w:t>主持，供应商和有关方面代表参加。</w:t>
      </w:r>
    </w:p>
    <w:p>
      <w:pPr>
        <w:numPr>
          <w:ilvl w:val="0"/>
          <w:numId w:val="2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谈判时，由采购人委托的公证机构或监标人，或者由供应商代表检查所有响应文件的密封情况并当场公布检查结果。</w:t>
      </w:r>
    </w:p>
    <w:p>
      <w:pPr>
        <w:numPr>
          <w:ilvl w:val="0"/>
          <w:numId w:val="2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w:t>
      </w:r>
    </w:p>
    <w:p>
      <w:p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采购人根据规定组建评审委员会，其成员由技术、经济等方面的专家和采购人代表组成，分为技术评审组和商务评审组，对响应文件进行评审。</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评审原则</w:t>
      </w:r>
    </w:p>
    <w:p>
      <w:pPr>
        <w:numPr>
          <w:ilvl w:val="0"/>
          <w:numId w:val="0"/>
        </w:numPr>
        <w:spacing w:line="520" w:lineRule="exact"/>
        <w:ind w:left="420" w:leftChars="200" w:firstLine="0" w:firstLineChars="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评审工作严格遵守公平、公正、择优的原则；</w:t>
      </w:r>
    </w:p>
    <w:p>
      <w:pPr>
        <w:numPr>
          <w:ilvl w:val="0"/>
          <w:numId w:val="0"/>
        </w:numPr>
        <w:spacing w:line="520" w:lineRule="exact"/>
        <w:ind w:left="420" w:leftChars="200" w:firstLine="0" w:firstLineChars="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对所有响应采购文件实质性要求的供应商一视同仁；</w:t>
      </w:r>
    </w:p>
    <w:p>
      <w:pPr>
        <w:numPr>
          <w:ilvl w:val="0"/>
          <w:numId w:val="0"/>
        </w:numPr>
        <w:spacing w:line="520" w:lineRule="exact"/>
        <w:ind w:left="420" w:leftChars="200" w:firstLine="0" w:firstLineChars="0"/>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综合比较</w:t>
      </w:r>
      <w:r>
        <w:rPr>
          <w:rFonts w:hint="eastAsia" w:ascii="宋体" w:hAnsi="宋体"/>
          <w:sz w:val="24"/>
          <w:szCs w:val="24"/>
          <w:highlight w:val="none"/>
          <w:lang w:val="en-US" w:eastAsia="zh-CN"/>
        </w:rPr>
        <w:t>采购物标的</w:t>
      </w:r>
      <w:r>
        <w:rPr>
          <w:rFonts w:hint="eastAsia" w:ascii="宋体" w:hAnsi="宋体"/>
          <w:sz w:val="24"/>
          <w:szCs w:val="24"/>
          <w:highlight w:val="none"/>
        </w:rPr>
        <w:t>性能、质量、价格、交货期、售后服务等因素，确定评审结果。</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评审方法</w:t>
      </w:r>
    </w:p>
    <w:p>
      <w:pPr>
        <w:spacing w:line="56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评审委员会对单一来源供应商响应文件进行资格性审查和符合性审查，如果满足采购文件的要求，将跟供应商进行谈判，</w:t>
      </w: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hint="eastAsia" w:ascii="宋体" w:hAnsi="宋体"/>
          <w:sz w:val="24"/>
          <w:szCs w:val="24"/>
          <w:highlight w:val="none"/>
        </w:rPr>
      </w:pPr>
    </w:p>
    <w:p>
      <w:pPr>
        <w:spacing w:line="560" w:lineRule="exact"/>
        <w:rPr>
          <w:rFonts w:ascii="宋体" w:hAnsi="宋体"/>
          <w:sz w:val="24"/>
          <w:szCs w:val="24"/>
          <w:highlight w:val="none"/>
        </w:rPr>
      </w:pPr>
      <w:r>
        <w:rPr>
          <w:rFonts w:hint="eastAsia" w:ascii="宋体" w:hAnsi="宋体"/>
          <w:sz w:val="24"/>
          <w:szCs w:val="24"/>
          <w:highlight w:val="none"/>
        </w:rPr>
        <w:t>表1</w:t>
      </w:r>
    </w:p>
    <w:p>
      <w:pPr>
        <w:spacing w:line="560" w:lineRule="exact"/>
        <w:jc w:val="center"/>
        <w:rPr>
          <w:rFonts w:hint="eastAsia" w:ascii="方正小标宋简体" w:eastAsia="方正小标宋简体"/>
          <w:sz w:val="24"/>
          <w:szCs w:val="24"/>
          <w:highlight w:val="none"/>
        </w:rPr>
      </w:pPr>
      <w:r>
        <w:rPr>
          <w:rFonts w:hint="eastAsia" w:ascii="方正小标宋简体" w:eastAsia="方正小标宋简体"/>
          <w:sz w:val="24"/>
          <w:szCs w:val="24"/>
          <w:highlight w:val="none"/>
        </w:rPr>
        <w:t>资格性和符合性审查表</w:t>
      </w:r>
    </w:p>
    <w:p>
      <w:pPr>
        <w:spacing w:line="560" w:lineRule="exact"/>
        <w:rPr>
          <w:rFonts w:hint="eastAsia"/>
          <w:sz w:val="24"/>
          <w:highlight w:val="none"/>
        </w:rPr>
      </w:pPr>
      <w:r>
        <w:rPr>
          <w:rFonts w:hint="eastAsia"/>
          <w:sz w:val="24"/>
          <w:highlight w:val="none"/>
        </w:rPr>
        <w:t>项目名称：</w:t>
      </w:r>
      <w:r>
        <w:rPr>
          <w:sz w:val="24"/>
          <w:highlight w:val="none"/>
        </w:rPr>
        <w:t xml:space="preserve">                                         </w:t>
      </w:r>
      <w:r>
        <w:rPr>
          <w:rFonts w:hint="eastAsia"/>
          <w:sz w:val="24"/>
          <w:highlight w:val="none"/>
        </w:rPr>
        <w:t>项目编号：</w:t>
      </w:r>
      <w:r>
        <w:rPr>
          <w:sz w:val="24"/>
          <w:highlight w:val="none"/>
        </w:rPr>
        <w:t xml:space="preserve">         </w:t>
      </w:r>
    </w:p>
    <w:tbl>
      <w:tblPr>
        <w:tblStyle w:val="10"/>
        <w:tblW w:w="9390" w:type="dxa"/>
        <w:jc w:val="center"/>
        <w:tblLayout w:type="fixed"/>
        <w:tblCellMar>
          <w:top w:w="0" w:type="dxa"/>
          <w:left w:w="108" w:type="dxa"/>
          <w:bottom w:w="0" w:type="dxa"/>
          <w:right w:w="108" w:type="dxa"/>
        </w:tblCellMar>
      </w:tblPr>
      <w:tblGrid>
        <w:gridCol w:w="6589"/>
        <w:gridCol w:w="922"/>
        <w:gridCol w:w="900"/>
        <w:gridCol w:w="979"/>
      </w:tblGrid>
      <w:tr>
        <w:tblPrEx>
          <w:tblCellMar>
            <w:top w:w="0" w:type="dxa"/>
            <w:left w:w="108" w:type="dxa"/>
            <w:bottom w:w="0" w:type="dxa"/>
            <w:right w:w="108" w:type="dxa"/>
          </w:tblCellMar>
        </w:tblPrEx>
        <w:trPr>
          <w:trHeight w:val="433" w:hRule="atLeast"/>
          <w:jc w:val="center"/>
        </w:trPr>
        <w:tc>
          <w:tcPr>
            <w:tcW w:w="6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
                <w:sz w:val="24"/>
                <w:szCs w:val="24"/>
                <w:highlight w:val="none"/>
              </w:rPr>
            </w:pPr>
            <w:r>
              <w:rPr>
                <w:rFonts w:hint="eastAsia" w:ascii="宋体" w:hAnsi="宋体"/>
                <w:b/>
                <w:sz w:val="24"/>
                <w:szCs w:val="24"/>
                <w:highlight w:val="none"/>
              </w:rPr>
              <w:t>审查项目</w:t>
            </w:r>
          </w:p>
        </w:tc>
        <w:tc>
          <w:tcPr>
            <w:tcW w:w="182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r>
              <w:rPr>
                <w:rFonts w:hint="eastAsia" w:ascii="宋体" w:hAnsi="宋体"/>
                <w:b/>
                <w:sz w:val="24"/>
                <w:szCs w:val="24"/>
                <w:highlight w:val="none"/>
              </w:rPr>
              <w:t>是否合格</w:t>
            </w:r>
          </w:p>
        </w:tc>
        <w:tc>
          <w:tcPr>
            <w:tcW w:w="979"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r>
              <w:rPr>
                <w:rFonts w:hint="eastAsia" w:ascii="宋体" w:hAnsi="宋体"/>
                <w:b/>
                <w:sz w:val="24"/>
                <w:szCs w:val="24"/>
                <w:highlight w:val="none"/>
              </w:rPr>
              <w:t>说明</w:t>
            </w:r>
          </w:p>
        </w:tc>
      </w:tr>
      <w:tr>
        <w:tblPrEx>
          <w:tblCellMar>
            <w:top w:w="0" w:type="dxa"/>
            <w:left w:w="108" w:type="dxa"/>
            <w:bottom w:w="0" w:type="dxa"/>
            <w:right w:w="108" w:type="dxa"/>
          </w:tblCellMar>
        </w:tblPrEx>
        <w:trPr>
          <w:trHeight w:val="422" w:hRule="atLeast"/>
          <w:jc w:val="center"/>
        </w:trPr>
        <w:tc>
          <w:tcPr>
            <w:tcW w:w="6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szCs w:val="24"/>
                <w:highlight w:val="none"/>
              </w:rPr>
            </w:pPr>
          </w:p>
        </w:tc>
        <w:tc>
          <w:tcPr>
            <w:tcW w:w="922" w:type="dxa"/>
            <w:tcBorders>
              <w:top w:val="nil"/>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r>
              <w:rPr>
                <w:rFonts w:hint="eastAsia" w:ascii="宋体" w:hAnsi="宋体"/>
                <w:b/>
                <w:sz w:val="24"/>
                <w:szCs w:val="24"/>
                <w:highlight w:val="none"/>
              </w:rPr>
              <w:t>供应商1</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r>
              <w:rPr>
                <w:rFonts w:hint="eastAsia" w:ascii="宋体" w:hAnsi="宋体"/>
                <w:b/>
                <w:sz w:val="24"/>
                <w:szCs w:val="24"/>
                <w:highlight w:val="none"/>
              </w:rPr>
              <w:t>……</w:t>
            </w:r>
          </w:p>
        </w:tc>
        <w:tc>
          <w:tcPr>
            <w:tcW w:w="979"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b/>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b/>
                <w:bCs/>
                <w:sz w:val="24"/>
                <w:szCs w:val="24"/>
                <w:highlight w:val="none"/>
              </w:rPr>
            </w:pPr>
            <w:r>
              <w:rPr>
                <w:rFonts w:hint="eastAsia" w:ascii="宋体" w:hAnsi="宋体"/>
                <w:b/>
                <w:bCs/>
                <w:sz w:val="24"/>
                <w:szCs w:val="24"/>
                <w:highlight w:val="none"/>
              </w:rPr>
              <w:t>一、资格性审查内容</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default" w:ascii="宋体" w:hAnsi="宋体"/>
                <w:sz w:val="24"/>
                <w:szCs w:val="24"/>
                <w:highlight w:val="none"/>
              </w:rPr>
            </w:pPr>
            <w:r>
              <w:rPr>
                <w:rFonts w:hint="eastAsia" w:ascii="宋体" w:hAnsi="宋体"/>
                <w:sz w:val="24"/>
                <w:szCs w:val="24"/>
                <w:highlight w:val="none"/>
              </w:rPr>
              <w:t>1.营业执照、组织机构代码证、税务登记证、纳税资料、缴纳社保资料、</w:t>
            </w:r>
            <w:r>
              <w:rPr>
                <w:rFonts w:hint="eastAsia" w:ascii="宋体" w:hAnsi="宋体"/>
                <w:sz w:val="24"/>
                <w:szCs w:val="24"/>
                <w:highlight w:val="none"/>
                <w:lang w:val="en-US" w:eastAsia="zh-CN"/>
              </w:rPr>
              <w:t>上一年度</w:t>
            </w:r>
            <w:r>
              <w:rPr>
                <w:rFonts w:hint="eastAsia" w:ascii="宋体" w:hAnsi="宋体"/>
                <w:sz w:val="24"/>
                <w:szCs w:val="24"/>
                <w:highlight w:val="none"/>
              </w:rPr>
              <w:t>审计报告</w:t>
            </w:r>
            <w:r>
              <w:rPr>
                <w:rFonts w:hint="eastAsia" w:ascii="宋体" w:hAnsi="宋体"/>
                <w:sz w:val="24"/>
                <w:szCs w:val="24"/>
                <w:highlight w:val="none"/>
                <w:lang w:val="en-US" w:eastAsia="zh-CN"/>
              </w:rPr>
              <w:t>或银行资信证明</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2.法定代表人</w:t>
            </w:r>
            <w:r>
              <w:rPr>
                <w:rFonts w:hint="eastAsia" w:ascii="宋体" w:hAnsi="宋体"/>
                <w:sz w:val="24"/>
                <w:szCs w:val="24"/>
                <w:highlight w:val="none"/>
                <w:lang w:val="en-US" w:eastAsia="zh-CN"/>
              </w:rPr>
              <w:t>身份</w:t>
            </w:r>
            <w:r>
              <w:rPr>
                <w:rFonts w:hint="eastAsia" w:ascii="宋体" w:hAnsi="宋体"/>
                <w:sz w:val="24"/>
                <w:szCs w:val="24"/>
                <w:highlight w:val="none"/>
              </w:rPr>
              <w:t>证明书</w:t>
            </w:r>
            <w:r>
              <w:rPr>
                <w:rFonts w:hint="eastAsia" w:ascii="宋体" w:hAnsi="宋体"/>
                <w:sz w:val="24"/>
                <w:szCs w:val="24"/>
                <w:highlight w:val="none"/>
                <w:lang w:eastAsia="zh-CN"/>
              </w:rPr>
              <w:t>、</w:t>
            </w:r>
            <w:r>
              <w:rPr>
                <w:rFonts w:hint="eastAsia" w:ascii="宋体" w:hAnsi="宋体"/>
                <w:sz w:val="24"/>
                <w:szCs w:val="24"/>
                <w:highlight w:val="none"/>
              </w:rPr>
              <w:t>授权</w:t>
            </w:r>
            <w:r>
              <w:rPr>
                <w:rFonts w:hint="eastAsia" w:ascii="宋体" w:hAnsi="宋体"/>
                <w:sz w:val="24"/>
                <w:szCs w:val="24"/>
                <w:highlight w:val="none"/>
                <w:lang w:val="en-US" w:eastAsia="zh-CN"/>
              </w:rPr>
              <w:t>委托</w:t>
            </w:r>
            <w:r>
              <w:rPr>
                <w:rFonts w:hint="eastAsia" w:ascii="宋体" w:hAnsi="宋体"/>
                <w:sz w:val="24"/>
                <w:szCs w:val="24"/>
                <w:highlight w:val="none"/>
              </w:rPr>
              <w:t>书</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3.近3年内在经营活动中没有重大违法记录的书面声明</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4.供应商经营范围</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b/>
                <w:bCs/>
                <w:sz w:val="24"/>
                <w:szCs w:val="24"/>
                <w:highlight w:val="none"/>
              </w:rPr>
            </w:pPr>
            <w:r>
              <w:rPr>
                <w:rFonts w:hint="eastAsia" w:ascii="宋体" w:hAnsi="宋体"/>
                <w:b/>
                <w:bCs/>
                <w:sz w:val="24"/>
                <w:szCs w:val="24"/>
                <w:highlight w:val="none"/>
              </w:rPr>
              <w:t>二、符合性审查内容</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1.响应书、资格证明文件密封完好</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2.响应文件签署、盖章齐全完整</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3.响应文件组成齐全完整</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rPr>
                <w:rFonts w:hint="eastAsia" w:ascii="宋体" w:hAnsi="宋体"/>
                <w:sz w:val="24"/>
                <w:szCs w:val="24"/>
                <w:highlight w:val="none"/>
              </w:rPr>
            </w:pPr>
            <w:r>
              <w:rPr>
                <w:rFonts w:hint="eastAsia" w:ascii="宋体" w:hAnsi="宋体"/>
                <w:sz w:val="24"/>
                <w:szCs w:val="24"/>
                <w:highlight w:val="none"/>
              </w:rPr>
              <w:t>4.响应文件有效期满足采购文件要求</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exact"/>
          <w:jc w:val="center"/>
        </w:trPr>
        <w:tc>
          <w:tcPr>
            <w:tcW w:w="658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sz w:val="24"/>
                <w:szCs w:val="24"/>
                <w:highlight w:val="none"/>
              </w:rPr>
            </w:pPr>
            <w:r>
              <w:rPr>
                <w:rFonts w:hint="eastAsia" w:ascii="宋体" w:hAnsi="宋体"/>
                <w:sz w:val="24"/>
                <w:szCs w:val="24"/>
                <w:highlight w:val="none"/>
              </w:rPr>
              <w:t>综 合 评 定</w:t>
            </w:r>
          </w:p>
        </w:tc>
        <w:tc>
          <w:tcPr>
            <w:tcW w:w="922"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00"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c>
          <w:tcPr>
            <w:tcW w:w="979" w:type="dxa"/>
            <w:tcBorders>
              <w:top w:val="nil"/>
              <w:left w:val="nil"/>
              <w:bottom w:val="single" w:color="auto" w:sz="4" w:space="0"/>
              <w:right w:val="single" w:color="auto" w:sz="4" w:space="0"/>
            </w:tcBorders>
            <w:noWrap w:val="0"/>
            <w:vAlign w:val="center"/>
          </w:tcPr>
          <w:p>
            <w:pPr>
              <w:widowControl/>
              <w:jc w:val="left"/>
              <w:rPr>
                <w:rFonts w:hint="eastAsia" w:ascii="宋体" w:hAnsi="宋体"/>
                <w:sz w:val="24"/>
                <w:szCs w:val="24"/>
                <w:highlight w:val="none"/>
              </w:rPr>
            </w:pPr>
          </w:p>
        </w:tc>
      </w:tr>
      <w:tr>
        <w:tblPrEx>
          <w:tblCellMar>
            <w:top w:w="0" w:type="dxa"/>
            <w:left w:w="108" w:type="dxa"/>
            <w:bottom w:w="0" w:type="dxa"/>
            <w:right w:w="108" w:type="dxa"/>
          </w:tblCellMar>
        </w:tblPrEx>
        <w:trPr>
          <w:trHeight w:val="680" w:hRule="atLeast"/>
          <w:jc w:val="center"/>
        </w:trPr>
        <w:tc>
          <w:tcPr>
            <w:tcW w:w="9390"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sz w:val="24"/>
                <w:szCs w:val="24"/>
                <w:highlight w:val="none"/>
              </w:rPr>
            </w:pPr>
            <w:r>
              <w:rPr>
                <w:rFonts w:hint="eastAsia" w:ascii="宋体" w:hAnsi="宋体"/>
                <w:sz w:val="24"/>
                <w:szCs w:val="24"/>
                <w:highlight w:val="none"/>
              </w:rPr>
              <w:t>说明:</w:t>
            </w:r>
            <w:r>
              <w:rPr>
                <w:rFonts w:hint="eastAsia" w:ascii="宋体" w:hAnsi="宋体" w:cs="宋体"/>
                <w:sz w:val="24"/>
                <w:szCs w:val="24"/>
                <w:highlight w:val="none"/>
              </w:rPr>
              <w:t xml:space="preserve"> </w:t>
            </w:r>
          </w:p>
          <w:p>
            <w:pPr>
              <w:widowControl/>
              <w:jc w:val="left"/>
              <w:rPr>
                <w:rFonts w:hint="eastAsia" w:ascii="宋体" w:hAnsi="宋体" w:cs="宋体"/>
                <w:sz w:val="24"/>
                <w:szCs w:val="24"/>
                <w:highlight w:val="none"/>
              </w:rPr>
            </w:pPr>
            <w:r>
              <w:rPr>
                <w:rFonts w:hint="eastAsia" w:ascii="宋体" w:hAnsi="宋体" w:cs="宋体"/>
                <w:sz w:val="24"/>
                <w:szCs w:val="24"/>
                <w:highlight w:val="none"/>
              </w:rPr>
              <w:t>1.合格打“√”, 不合格打“×”。</w:t>
            </w:r>
          </w:p>
          <w:p>
            <w:pPr>
              <w:widowControl/>
              <w:jc w:val="left"/>
              <w:rPr>
                <w:rFonts w:hint="eastAsia" w:ascii="宋体" w:hAnsi="宋体"/>
                <w:sz w:val="24"/>
                <w:szCs w:val="24"/>
                <w:highlight w:val="none"/>
              </w:rPr>
            </w:pPr>
            <w:r>
              <w:rPr>
                <w:rFonts w:hint="eastAsia" w:ascii="宋体" w:hAnsi="宋体" w:cs="宋体"/>
                <w:sz w:val="24"/>
                <w:szCs w:val="24"/>
                <w:highlight w:val="none"/>
              </w:rPr>
              <w:t>2.有一项内容不合格，综合评定为不合格。</w:t>
            </w:r>
          </w:p>
        </w:tc>
      </w:tr>
    </w:tbl>
    <w:p>
      <w:pPr>
        <w:spacing w:line="560" w:lineRule="exact"/>
        <w:rPr>
          <w:rFonts w:hint="eastAsia"/>
          <w:sz w:val="24"/>
          <w:szCs w:val="24"/>
          <w:highlight w:val="none"/>
        </w:rPr>
      </w:pPr>
    </w:p>
    <w:p>
      <w:pPr>
        <w:spacing w:line="560" w:lineRule="exact"/>
        <w:rPr>
          <w:rFonts w:ascii="宋体" w:hAnsi="宋体" w:cs="宋体"/>
          <w:sz w:val="24"/>
          <w:szCs w:val="24"/>
          <w:highlight w:val="none"/>
        </w:rPr>
      </w:pPr>
      <w:r>
        <w:rPr>
          <w:rFonts w:hint="eastAsia"/>
          <w:sz w:val="24"/>
          <w:szCs w:val="24"/>
          <w:highlight w:val="none"/>
        </w:rPr>
        <w:t>评审委员会成员签名：</w:t>
      </w:r>
      <w:r>
        <w:rPr>
          <w:sz w:val="24"/>
          <w:szCs w:val="24"/>
          <w:highlight w:val="none"/>
        </w:rPr>
        <w:t xml:space="preserve">                       </w:t>
      </w:r>
      <w:r>
        <w:rPr>
          <w:rFonts w:hint="eastAsia"/>
          <w:sz w:val="24"/>
          <w:szCs w:val="24"/>
          <w:highlight w:val="none"/>
        </w:rPr>
        <w:t>年　　月　　日</w:t>
      </w:r>
    </w:p>
    <w:p>
      <w:pPr>
        <w:spacing w:line="560" w:lineRule="exact"/>
        <w:rPr>
          <w:rFonts w:hint="eastAsia" w:ascii="宋体" w:hAnsi="宋体" w:cs="宋体"/>
          <w:sz w:val="24"/>
          <w:szCs w:val="24"/>
          <w:highlight w:val="none"/>
        </w:rPr>
      </w:pPr>
    </w:p>
    <w:p>
      <w:pPr>
        <w:spacing w:line="560" w:lineRule="exact"/>
        <w:rPr>
          <w:rFonts w:hint="eastAsia" w:ascii="宋体" w:hAnsi="宋体" w:cs="宋体"/>
          <w:sz w:val="24"/>
          <w:szCs w:val="24"/>
          <w:highlight w:val="none"/>
        </w:rPr>
      </w:pPr>
    </w:p>
    <w:p>
      <w:pPr>
        <w:pStyle w:val="4"/>
        <w:outlineLvl w:val="9"/>
        <w:rPr>
          <w:rFonts w:hint="default" w:ascii="宋体" w:hAnsi="Arial" w:cs="Times New Roman"/>
          <w:sz w:val="21"/>
          <w:szCs w:val="24"/>
          <w:highlight w:val="none"/>
        </w:rPr>
      </w:pP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评审委员会评审程序</w:t>
      </w:r>
    </w:p>
    <w:p>
      <w:pPr>
        <w:numPr>
          <w:ilvl w:val="0"/>
          <w:numId w:val="25"/>
        </w:numPr>
        <w:tabs>
          <w:tab w:val="left" w:pos="36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审阅采购文件。重点审查采购文件供应商须知中无效响应条款、采购项目技术和商务要求、资格性和符合性审查要求、评审方法和标准细则以及采购合同主要条款等规定要求。</w:t>
      </w:r>
    </w:p>
    <w:p>
      <w:pPr>
        <w:numPr>
          <w:ilvl w:val="0"/>
          <w:numId w:val="25"/>
        </w:numPr>
        <w:tabs>
          <w:tab w:val="left" w:pos="36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资格性审查。依据法律、法规和采购文件的规定，对响应文件中的资格证明、响应保证金等进行审查，以确定供应商是否具备响应资格，具体审查项目见表1。</w:t>
      </w:r>
    </w:p>
    <w:p>
      <w:pPr>
        <w:numPr>
          <w:ilvl w:val="0"/>
          <w:numId w:val="25"/>
        </w:numPr>
        <w:tabs>
          <w:tab w:val="left" w:pos="36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符合性审查。依据采购文件的规定，从响应文件的有效性、完整性和对采购文件的响应程度进行审查，以确定供应商是否对采购文件做出实质性响应，具体审查项目见表1。</w:t>
      </w:r>
    </w:p>
    <w:p>
      <w:pPr>
        <w:numPr>
          <w:ilvl w:val="0"/>
          <w:numId w:val="25"/>
        </w:numPr>
        <w:tabs>
          <w:tab w:val="left" w:pos="36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解释与澄清。对响应文件中含义不明确、同类问题表述不一致或者有明显文字和计算错误的内容，评审委员会可以要求供应商以书面形式做出澄清、说明或者补正，但不能超出响应文件的范围或者改变响应文件的实质性内容（包括响应报价、质量标准、交货期限等主要内容），并由法定代表人或授权代表签字。下列内容不得澄清：</w:t>
      </w:r>
    </w:p>
    <w:p>
      <w:pPr>
        <w:numPr>
          <w:ilvl w:val="0"/>
          <w:numId w:val="26"/>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响应文件中不响应采购文件规定的技术参数指标和商务应答；</w:t>
      </w:r>
    </w:p>
    <w:p>
      <w:pPr>
        <w:numPr>
          <w:ilvl w:val="0"/>
          <w:numId w:val="26"/>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响应文件中未提供的证明其是否符合采购文件资格性、符合性规定要求的相关材料。</w:t>
      </w:r>
    </w:p>
    <w:p>
      <w:p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供应商澄清材料确认，供应商为法人的，应当由其法定代表人或者授权代表签字确认；供应商为其他组织的，应当由其主要负责人或者全权代表签字确认。有效的澄清材料，是响应文件的组成部分；澄清不影响响应文件的效力。</w:t>
      </w:r>
    </w:p>
    <w:p>
      <w:p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评审过程中，评审委员会认为采购文件有关事项表述不明确或者需要说明的，可以要求采购人书面解释。采购人应当给予书面解释，但不得改变采购文件的原义或者影响公平、公正评审。</w:t>
      </w:r>
    </w:p>
    <w:p>
      <w:pPr>
        <w:numPr>
          <w:ilvl w:val="0"/>
          <w:numId w:val="25"/>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商务、技术评审。按照采购文件中规定的评审方法和标准，对资格性审查和符合性审查合格的响应文件（不含价格文件）进行商务和技术评审。商务及技术评审均合格，即可进入价格谈判。</w:t>
      </w:r>
    </w:p>
    <w:p>
      <w:pPr>
        <w:numPr>
          <w:ilvl w:val="0"/>
          <w:numId w:val="25"/>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价格谈判。</w:t>
      </w:r>
      <w:r>
        <w:rPr>
          <w:rFonts w:hint="eastAsia" w:ascii="宋体" w:hAnsi="宋体"/>
          <w:b/>
          <w:sz w:val="24"/>
          <w:szCs w:val="24"/>
          <w:highlight w:val="none"/>
        </w:rPr>
        <w:t>待</w:t>
      </w:r>
      <w:r>
        <w:rPr>
          <w:rFonts w:hint="eastAsia" w:ascii="宋体" w:hAnsi="宋体"/>
          <w:b/>
          <w:bCs/>
          <w:snapToGrid w:val="0"/>
          <w:sz w:val="24"/>
          <w:szCs w:val="24"/>
          <w:highlight w:val="none"/>
          <w:lang w:val="zh-CN"/>
        </w:rPr>
        <w:t>商务、技术评审结束后，评审委员会跟供应商进行价格谈判，</w:t>
      </w:r>
    </w:p>
    <w:p>
      <w:pPr>
        <w:numPr>
          <w:ilvl w:val="0"/>
          <w:numId w:val="25"/>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复核评审情况。评审委员会对评审过程资料和文件进行复核。对拟成交供应商的响应文件评审情况进行重点复核，并在评审报告中注明。</w:t>
      </w:r>
    </w:p>
    <w:p>
      <w:pPr>
        <w:numPr>
          <w:ilvl w:val="0"/>
          <w:numId w:val="25"/>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评审委员会依据经过复核的评审结果推荐预成交人。</w:t>
      </w:r>
    </w:p>
    <w:p>
      <w:pPr>
        <w:numPr>
          <w:ilvl w:val="0"/>
          <w:numId w:val="25"/>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谈判日期和地点；</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获取采购文件供应商名单和评审委员会成员名单；</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评审方法；</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谈判记录和评审情况及说明，包括供应商名单及成交原因；</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评审结果和候选成交人、报价汇总表，以及推荐候选成交人的理由，评审委员会应当进行重点复核、分析原因，并在评审报告中注明。</w:t>
      </w:r>
    </w:p>
    <w:p>
      <w:pPr>
        <w:numPr>
          <w:ilvl w:val="0"/>
          <w:numId w:val="27"/>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评审委员会授标建议。</w:t>
      </w:r>
    </w:p>
    <w:p>
      <w:pPr>
        <w:numPr>
          <w:ilvl w:val="0"/>
          <w:numId w:val="25"/>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宣布评审结果。评审结果由评审委员会主任在评审现场向参与采购活动的供应商当场公布，且不得更改。公布的内容至少应包含预成交人名称、响应报价。供应商对评审结果有疑义的，评审委员会应当现场予以解答。</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评审委员会对响应文件密封、签署、盖章等进行审查过程中，有下列情形，但其他方面符合要求，应当评定为不影响整个响应文件有效性和采购活动公平竞争，并通过响应文件的符合性审查：</w:t>
      </w:r>
    </w:p>
    <w:p>
      <w:pPr>
        <w:numPr>
          <w:ilvl w:val="0"/>
          <w:numId w:val="28"/>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密封时未加盖、少加盖单位公章或者密封章，但是密封完好、完整标明了响应供应商名称且得到响应供应商（法定代表人或者授权代表）现场认可的；</w:t>
      </w:r>
    </w:p>
    <w:p>
      <w:pPr>
        <w:numPr>
          <w:ilvl w:val="0"/>
          <w:numId w:val="28"/>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正、副本数量齐全、密封完好，只是未按照采购文件要求进行分装或者统装的；</w:t>
      </w:r>
    </w:p>
    <w:p>
      <w:pPr>
        <w:numPr>
          <w:ilvl w:val="0"/>
          <w:numId w:val="28"/>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存在个别地方（总数不超过2个且占应签字地方的比例不超过20%）没有法定代表人签字，但有法定代表人的私人印章或者授权代表有效签字的；</w:t>
      </w:r>
    </w:p>
    <w:p>
      <w:pPr>
        <w:numPr>
          <w:ilvl w:val="0"/>
          <w:numId w:val="28"/>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除采购文件明确要求加盖供应商（法人）公章的以外，其他地方以相关专用章加盖的。</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在商务评审过程中，有下列情形之一者，其响应将被否决：</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供应商或其制造商与采购人有利害关系可能影响采购公正性的；</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供应商参与项目前期咨询或采购文件编制的；</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不同供应商单位负责人为同一人或者存在控股、管理关系的；</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响应文件未按采购文件的要求签署的；</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响应联合体没有提交共同响应协议的；</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供应商的响应书、资格证明材料未提供，或不符合国家规定或者采购文件要求的；</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同一供应商提交两个以上不同的响应方案或者响应报价的，但采购文件要求提交备选方案的除外；</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响应报价高于采购文件设定的最高响应限价的；</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供应商有串通响应、弄虚作假、行贿等违法行为的；</w:t>
      </w:r>
    </w:p>
    <w:p>
      <w:pPr>
        <w:numPr>
          <w:ilvl w:val="0"/>
          <w:numId w:val="29"/>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存在采购文件中规定的否决响应的其他商务条款的。</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供应商及其响应文件有下列情形之一的，在符合性审查时按照无效响应处理：</w:t>
      </w:r>
    </w:p>
    <w:p>
      <w:pPr>
        <w:numPr>
          <w:ilvl w:val="0"/>
          <w:numId w:val="30"/>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未按照采购文件规定要求密封、签署、盖章的（前述第5条情形除外）；</w:t>
      </w:r>
    </w:p>
    <w:p>
      <w:pPr>
        <w:numPr>
          <w:ilvl w:val="0"/>
          <w:numId w:val="30"/>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响应文件组成明显不符合采购文件的规定要求，影响评审委员会评判的；</w:t>
      </w:r>
    </w:p>
    <w:p>
      <w:pPr>
        <w:numPr>
          <w:ilvl w:val="0"/>
          <w:numId w:val="30"/>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未缴纳响应保证金的或保证金金额不足的；</w:t>
      </w:r>
    </w:p>
    <w:p>
      <w:pPr>
        <w:numPr>
          <w:ilvl w:val="0"/>
          <w:numId w:val="30"/>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响应有效期不符合采购文件要求的；</w:t>
      </w:r>
    </w:p>
    <w:p>
      <w:pPr>
        <w:numPr>
          <w:ilvl w:val="0"/>
          <w:numId w:val="30"/>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其他未满足对响应文件有效性、完整性和对采购文件响应程度要求的情形。</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供应商及其响应文件有下列情形之一的，在资格性审查时按照无效响应处理：</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不具备采购文件中规定的资格性要求的；</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法定代表人授权不符合要求的；</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属于禁止参加响应的供应商的；</w:t>
      </w:r>
    </w:p>
    <w:p>
      <w:pPr>
        <w:numPr>
          <w:ilvl w:val="0"/>
          <w:numId w:val="31"/>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不符合法律、法规、规章规定的资格性要求的；</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有下列情形之一的，属于采购人与供应商串通响应，评审委员会应当对串标供应商按照无效响应处理：</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采购人在谈判前开启响应文件并将有关信息泄露给其他供应商的;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采购人直接或者间接向供应商泄露采购预算、评审委员会成员等信息的；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采购人明示或者暗示供应商压低或者抬高响应报价的；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采购人授意供应商撤换、修改响应文件的；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采购人明示或者暗示供应商为特定供应商成交提供方便的；</w:t>
      </w:r>
    </w:p>
    <w:p>
      <w:pPr>
        <w:numPr>
          <w:ilvl w:val="0"/>
          <w:numId w:val="32"/>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采购人与供应商为谋求特定供应商成交而采取其他串通行为的。</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有下列情形之一的，属于虚假响应，评审委员会应当对供应商按照无效响应处理：</w:t>
      </w:r>
    </w:p>
    <w:p>
      <w:pPr>
        <w:numPr>
          <w:ilvl w:val="0"/>
          <w:numId w:val="3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使用通过受让或者租借等方式获取资格、资质证书响应的；</w:t>
      </w:r>
    </w:p>
    <w:p>
      <w:pPr>
        <w:numPr>
          <w:ilvl w:val="0"/>
          <w:numId w:val="3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使用伪造、变造的许可证件的；</w:t>
      </w:r>
    </w:p>
    <w:p>
      <w:pPr>
        <w:numPr>
          <w:ilvl w:val="0"/>
          <w:numId w:val="3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提供虚假的财务状况或者业绩的；</w:t>
      </w:r>
    </w:p>
    <w:p>
      <w:pPr>
        <w:numPr>
          <w:ilvl w:val="0"/>
          <w:numId w:val="3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提供虚假的项目负责人或者主要技术人员简历、劳动关系证明的；</w:t>
      </w:r>
    </w:p>
    <w:p>
      <w:pPr>
        <w:numPr>
          <w:ilvl w:val="0"/>
          <w:numId w:val="3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提供虚假信用状况的；</w:t>
      </w:r>
    </w:p>
    <w:p>
      <w:pPr>
        <w:numPr>
          <w:ilvl w:val="0"/>
          <w:numId w:val="3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提供虚假样品或借用、冒用其他供应商样品的；</w:t>
      </w:r>
    </w:p>
    <w:p>
      <w:pPr>
        <w:numPr>
          <w:ilvl w:val="0"/>
          <w:numId w:val="33"/>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其他弄虚作假行为的。</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有下列情形之一的，按照废标处理：</w:t>
      </w:r>
    </w:p>
    <w:p>
      <w:pPr>
        <w:numPr>
          <w:ilvl w:val="0"/>
          <w:numId w:val="34"/>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出现影响采购公平公正的违法、违规行为的；</w:t>
      </w:r>
    </w:p>
    <w:p>
      <w:pPr>
        <w:numPr>
          <w:ilvl w:val="0"/>
          <w:numId w:val="34"/>
        </w:numPr>
        <w:tabs>
          <w:tab w:val="left" w:pos="0"/>
        </w:tabs>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因重大变故，取消采购任务的。</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napToGrid w:val="0"/>
          <w:sz w:val="24"/>
          <w:szCs w:val="24"/>
          <w:highlight w:val="none"/>
        </w:rPr>
        <w:t>谈判后对下列情况</w:t>
      </w:r>
      <w:r>
        <w:rPr>
          <w:rFonts w:hint="eastAsia" w:ascii="宋体" w:hAnsi="宋体"/>
          <w:sz w:val="24"/>
          <w:szCs w:val="24"/>
          <w:highlight w:val="none"/>
        </w:rPr>
        <w:t>，采购人以及评审委员会按照相关规定处理。</w:t>
      </w:r>
    </w:p>
    <w:p>
      <w:pPr>
        <w:numPr>
          <w:ilvl w:val="2"/>
          <w:numId w:val="35"/>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评审委员会（五分之四以上评委）认定采购项目技术指标参数、采购预算编制等方面存在问题，或者认定采购竞争不够充分的，应当予以废标，并在评审报告中注明；采购人应当报采购管理部门处理或者重新组织采购。</w:t>
      </w:r>
    </w:p>
    <w:p>
      <w:pPr>
        <w:numPr>
          <w:ilvl w:val="2"/>
          <w:numId w:val="35"/>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供应商报价超采购预算的，评审委员会应当分析原因；一般情况下视为需求部门（单位）不能支付，应当予以废标。评审委员会（</w:t>
      </w:r>
      <w:r>
        <w:rPr>
          <w:rFonts w:hint="eastAsia" w:ascii="宋体" w:hAnsi="宋体"/>
          <w:sz w:val="24"/>
          <w:szCs w:val="24"/>
          <w:highlight w:val="none"/>
          <w:lang w:val="en-US" w:eastAsia="zh-CN"/>
        </w:rPr>
        <w:t>三分之二或</w:t>
      </w:r>
      <w:r>
        <w:rPr>
          <w:rFonts w:hint="eastAsia" w:ascii="宋体" w:hAnsi="宋体"/>
          <w:sz w:val="24"/>
          <w:szCs w:val="24"/>
          <w:highlight w:val="none"/>
        </w:rPr>
        <w:t>五分之四以上评委）认定供应商报价客观合理的，可以继续评审，并出具评审报告。</w:t>
      </w:r>
    </w:p>
    <w:p>
      <w:pPr>
        <w:numPr>
          <w:ilvl w:val="2"/>
          <w:numId w:val="35"/>
        </w:numPr>
        <w:spacing w:line="520" w:lineRule="exact"/>
        <w:ind w:firstLine="480" w:firstLineChars="200"/>
        <w:rPr>
          <w:rFonts w:hint="eastAsia" w:ascii="宋体" w:hAnsi="宋体"/>
          <w:sz w:val="24"/>
          <w:szCs w:val="24"/>
          <w:highlight w:val="none"/>
        </w:rPr>
      </w:pPr>
      <w:r>
        <w:rPr>
          <w:rFonts w:hint="eastAsia" w:ascii="宋体" w:hAnsi="宋体"/>
          <w:sz w:val="24"/>
          <w:szCs w:val="24"/>
          <w:highlight w:val="none"/>
        </w:rPr>
        <w:t>同一需求部门（单位）同一经费来源的同类物资，部分产品单价或者金额超采购预算，但成交总金额未超采购预算的，不视为需求部门（单位）不能支付。</w:t>
      </w:r>
    </w:p>
    <w:p>
      <w:pPr>
        <w:numPr>
          <w:ilvl w:val="0"/>
          <w:numId w:val="24"/>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经评审委员会评审，认为响应都不符合采购文件要求的，评审委员会将否决所有响应，采购人有权重新组织采购。</w:t>
      </w:r>
    </w:p>
    <w:p>
      <w:pPr>
        <w:numPr>
          <w:ilvl w:val="0"/>
          <w:numId w:val="8"/>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质疑与投诉</w:t>
      </w:r>
    </w:p>
    <w:p>
      <w:pPr>
        <w:spacing w:line="520" w:lineRule="exact"/>
        <w:ind w:firstLine="240" w:firstLineChars="100"/>
        <w:rPr>
          <w:rFonts w:ascii="宋体" w:hAnsi="宋体"/>
          <w:color w:val="000000"/>
          <w:sz w:val="24"/>
          <w:szCs w:val="24"/>
          <w:highlight w:val="none"/>
        </w:rPr>
      </w:pPr>
      <w:r>
        <w:rPr>
          <w:rFonts w:hint="eastAsia" w:ascii="宋体" w:hAnsi="宋体"/>
          <w:color w:val="000000"/>
          <w:sz w:val="24"/>
          <w:szCs w:val="24"/>
          <w:highlight w:val="none"/>
        </w:rPr>
        <w:t>（一）供应商应当按照规定的程序和渠道实名质疑、投诉，其质疑、投诉应当有具体的质疑、投诉事项及证明其利益受到损害的事实根据，不得进行虚假、恶意的质疑和投诉，匿名质疑、投诉不受理。</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（二）质疑和投诉由新疆泽瑞达企业管理咨询有限责任公司受理。供应商投诉事项应当是经过质疑的事项，未质疑的事项，投诉不予受理。</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（三）供应商认为采购文件存在限制性、倾向性、排他性条款，使自己权益受到损害的，可以在购买采购文件后内向采购代理机构提出书面质疑和相关证明材料。如果超过质疑期限，采购人不予受理。</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（四）供应商认为下列事项使自己权益受到损害的，可以在评审结果公布后</w:t>
      </w:r>
      <w:r>
        <w:rPr>
          <w:rFonts w:hint="eastAsia" w:ascii="宋体" w:hAnsi="宋体"/>
          <w:color w:val="000000"/>
          <w:sz w:val="24"/>
          <w:szCs w:val="24"/>
          <w:highlight w:val="none"/>
          <w:lang w:eastAsia="zh-CN"/>
        </w:rPr>
        <w:t>1</w:t>
      </w:r>
      <w:r>
        <w:rPr>
          <w:rFonts w:hint="eastAsia" w:ascii="宋体" w:hAnsi="宋体"/>
          <w:color w:val="000000"/>
          <w:sz w:val="24"/>
          <w:szCs w:val="24"/>
          <w:highlight w:val="none"/>
        </w:rPr>
        <w:t>个工作日内，向采购代理机构提出书面质疑和相关证明材料：</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1.采购人或者相关人员与供应商有利害关系，应当回避而没有回避的；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2.供应商之间或者采购人与供应商之间存在串通行为的；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3.提供虚假资料骗取成交的；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4.违反采购相关法律法规使自己权益受到损害的其他事项。</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（五）书面质疑应由法定代表人签字并加盖单位公章，同时出具法定代表人资格证明书。由全权代表签字的，必须有法定代表人授权书和法定代表人资格证明书，并加盖单位公章。书面质疑主要包括下列内容：</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1.质疑的采购项目名称和项目编号；</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2.质疑人和被质疑人的名称，质疑人的地址、联系方式等；</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3.具体的质疑事项、事实依据及相关证明材料；</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4.提起质疑的日期。</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（六）质疑有以下情形之一的，采购人不予受理：</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1.未按规定程序和渠道提出质疑的；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2.超过质疑限期的；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3.书面质疑的形式和内容不符合上述要求的；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4.提出的质疑事项已经明确答复的；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5.法律法规规定的其他不予受理的条件。</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（七）采购人应当自质疑签收之日起7个工作日内做出书面答复。答复内容同时通知与处理结果有关的供应商，但答复内容不得涉及供应商的商业秘密。</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采购人在作出书面答复之前，可以采取现场解答的方式向质疑人通报初步处理结果。供应商认可处理结果的，可在出具书面申请后撤回质疑或者放弃质疑，采购人不再进行书面答复。</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（八）供应商质疑有下列情形之一的，视为无效质疑，采购人应当驳回质疑：</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1.无具体的质疑事项，或者质疑事项缺乏事实和法律依据的；</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2.质疑内容涉及评审工作细节、其他供应商响应资料等保密事项且无法提供信息的合法来源的；</w:t>
      </w:r>
    </w:p>
    <w:p>
      <w:pPr>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3.质疑已经处理并明确答复后，质疑人就同一事项再次提起质疑且未提供新的有效证据的。</w:t>
      </w:r>
    </w:p>
    <w:p>
      <w:pPr>
        <w:spacing w:line="520" w:lineRule="exact"/>
        <w:ind w:left="560"/>
        <w:rPr>
          <w:rFonts w:hint="eastAsia" w:ascii="宋体" w:hAnsi="宋体"/>
          <w:color w:val="000000"/>
          <w:sz w:val="24"/>
          <w:szCs w:val="24"/>
          <w:highlight w:val="none"/>
        </w:rPr>
      </w:pPr>
      <w:r>
        <w:rPr>
          <w:rFonts w:hint="eastAsia" w:ascii="宋体" w:hAnsi="宋体"/>
          <w:color w:val="000000"/>
          <w:sz w:val="24"/>
          <w:szCs w:val="24"/>
          <w:highlight w:val="none"/>
        </w:rPr>
        <w:t>采购人将对供应商无效质疑情况记录存档。</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（九）质疑人进行虚假和恶意质疑，或者不按规定程序和时限要求提出质疑，以非正常渠道干扰项目采购活动的，采购人将申请空后采购供应局依据相关规定作出处罚。</w:t>
      </w:r>
    </w:p>
    <w:p>
      <w:pPr>
        <w:spacing w:line="5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（十）对采购人的书面答复及处理结果不满意，或者采购人未答复以及未在规定期限内作出答复的，质疑人可以在质疑答复期满之日起15个工作日内，向采购机构提出投诉。</w:t>
      </w:r>
    </w:p>
    <w:p>
      <w:pPr>
        <w:numPr>
          <w:ilvl w:val="0"/>
          <w:numId w:val="8"/>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定标</w:t>
      </w:r>
    </w:p>
    <w:p>
      <w:pPr>
        <w:numPr>
          <w:ilvl w:val="0"/>
          <w:numId w:val="36"/>
        </w:numPr>
        <w:spacing w:line="520" w:lineRule="exact"/>
        <w:ind w:left="0" w:firstLine="480" w:firstLineChars="200"/>
        <w:rPr>
          <w:rFonts w:ascii="宋体" w:hAnsi="宋体"/>
          <w:sz w:val="24"/>
          <w:szCs w:val="24"/>
          <w:highlight w:val="none"/>
        </w:rPr>
      </w:pPr>
      <w:r>
        <w:rPr>
          <w:rFonts w:hint="eastAsia" w:ascii="宋体" w:hAnsi="宋体"/>
          <w:sz w:val="24"/>
          <w:szCs w:val="24"/>
          <w:highlight w:val="none"/>
        </w:rPr>
        <w:t>确定成交人</w:t>
      </w:r>
    </w:p>
    <w:p>
      <w:pPr>
        <w:numPr>
          <w:ilvl w:val="0"/>
          <w:numId w:val="37"/>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评审结束后3个工作日内，采购人根据评审委员会提出的书面评审报告，确定该供应商为采购项目成交人。</w:t>
      </w:r>
    </w:p>
    <w:p>
      <w:pPr>
        <w:spacing w:line="520" w:lineRule="exact"/>
        <w:ind w:firstLine="480" w:firstLineChars="200"/>
        <w:rPr>
          <w:rFonts w:hint="eastAsia" w:ascii="宋体" w:hAnsi="宋体"/>
          <w:bCs/>
          <w:sz w:val="24"/>
          <w:szCs w:val="24"/>
          <w:highlight w:val="none"/>
        </w:rPr>
      </w:pPr>
      <w:r>
        <w:rPr>
          <w:rFonts w:hint="eastAsia" w:ascii="宋体" w:hAnsi="宋体"/>
          <w:bCs/>
          <w:sz w:val="24"/>
          <w:szCs w:val="24"/>
          <w:highlight w:val="none"/>
        </w:rPr>
        <w:t>预成交人有正当理由放弃成交（无正当理由放弃成交的，不予退还响应保证金；情节严重的，剔除出库），或者因不可抗力不能履行合同，或者被查实存在影响评审结果等违法情形、不符合成交条件的，采购人可以重新采购。</w:t>
      </w:r>
    </w:p>
    <w:p>
      <w:pPr>
        <w:numPr>
          <w:ilvl w:val="0"/>
          <w:numId w:val="37"/>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采购人有权根据采购任务变更等实际情况调整成交数量。</w:t>
      </w:r>
    </w:p>
    <w:p>
      <w:pPr>
        <w:numPr>
          <w:ilvl w:val="0"/>
          <w:numId w:val="36"/>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成交通知</w:t>
      </w:r>
    </w:p>
    <w:p>
      <w:pPr>
        <w:numPr>
          <w:ilvl w:val="0"/>
          <w:numId w:val="3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采购人在确定成交人后3个工作日内，以书面形式向成交人发出《成交通知书》，同时向未成交人发出《未成交通知书》。</w:t>
      </w:r>
    </w:p>
    <w:p>
      <w:pPr>
        <w:numPr>
          <w:ilvl w:val="0"/>
          <w:numId w:val="3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成交通知书》是签订合同草案的依据。若合同草案未获批准，采购人有权取消合同草案。《成交通知书》及签订的合同草案不能作为成交人启动生产或备货的依据，应待正式合同签订后再启动生产备货，否则，由此造成的后果由成交人自行承担。</w:t>
      </w:r>
    </w:p>
    <w:p>
      <w:pPr>
        <w:numPr>
          <w:ilvl w:val="0"/>
          <w:numId w:val="38"/>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成交服务费</w:t>
      </w:r>
    </w:p>
    <w:p>
      <w:pPr>
        <w:spacing w:line="520" w:lineRule="exact"/>
        <w:ind w:firstLine="240" w:firstLineChars="100"/>
        <w:rPr>
          <w:rFonts w:hint="eastAsia" w:ascii="宋体" w:hAnsi="宋体"/>
          <w:sz w:val="24"/>
          <w:szCs w:val="24"/>
          <w:highlight w:val="none"/>
        </w:rPr>
      </w:pPr>
      <w:r>
        <w:rPr>
          <w:rFonts w:hint="eastAsia" w:ascii="宋体" w:hAnsi="宋体"/>
          <w:sz w:val="24"/>
          <w:szCs w:val="24"/>
          <w:highlight w:val="none"/>
        </w:rPr>
        <w:t>（1）成交人须在与采购人签定正式合同前，向采购代理机构交纳成交服务费。</w:t>
      </w:r>
    </w:p>
    <w:p>
      <w:pPr>
        <w:spacing w:after="240" w:afterLines="100" w:line="520" w:lineRule="exact"/>
        <w:ind w:firstLine="240" w:firstLineChars="100"/>
        <w:rPr>
          <w:rFonts w:hint="eastAsia" w:ascii="宋体" w:hAnsi="宋体"/>
          <w:sz w:val="24"/>
          <w:highlight w:val="none"/>
        </w:rPr>
      </w:pPr>
      <w:r>
        <w:rPr>
          <w:rFonts w:hint="eastAsia" w:ascii="宋体" w:hAnsi="宋体"/>
          <w:sz w:val="24"/>
          <w:szCs w:val="24"/>
          <w:highlight w:val="none"/>
        </w:rPr>
        <w:t>（2）成交服务费收取标准：按</w:t>
      </w:r>
      <w:r>
        <w:rPr>
          <w:rFonts w:hint="eastAsia" w:ascii="宋体" w:hAnsi="宋体"/>
          <w:sz w:val="24"/>
          <w:szCs w:val="24"/>
          <w:highlight w:val="none"/>
          <w:u w:val="single"/>
        </w:rPr>
        <w:t>服务招标</w:t>
      </w:r>
      <w:r>
        <w:rPr>
          <w:rFonts w:hint="eastAsia" w:ascii="宋体" w:hAnsi="宋体"/>
          <w:sz w:val="24"/>
          <w:szCs w:val="24"/>
          <w:highlight w:val="none"/>
        </w:rPr>
        <w:t>收费校准。。</w:t>
      </w:r>
    </w:p>
    <w:p>
      <w:pPr>
        <w:numPr>
          <w:ilvl w:val="0"/>
          <w:numId w:val="39"/>
        </w:numPr>
        <w:spacing w:line="520" w:lineRule="exact"/>
        <w:rPr>
          <w:rFonts w:hint="eastAsia" w:ascii="宋体" w:hAnsi="宋体"/>
          <w:sz w:val="24"/>
          <w:szCs w:val="24"/>
          <w:highlight w:val="none"/>
        </w:rPr>
      </w:pPr>
      <w:r>
        <w:rPr>
          <w:rFonts w:hint="eastAsia" w:ascii="宋体" w:hAnsi="宋体"/>
          <w:sz w:val="24"/>
          <w:szCs w:val="24"/>
          <w:highlight w:val="none"/>
        </w:rPr>
        <w:t>成交服务费只能以银行转账方式支付。</w:t>
      </w:r>
    </w:p>
    <w:p>
      <w:pPr>
        <w:numPr>
          <w:ilvl w:val="0"/>
          <w:numId w:val="39"/>
        </w:numPr>
        <w:spacing w:line="520" w:lineRule="exact"/>
        <w:rPr>
          <w:rFonts w:hint="eastAsia" w:ascii="宋体" w:hAnsi="宋体"/>
          <w:sz w:val="24"/>
          <w:szCs w:val="24"/>
          <w:highlight w:val="none"/>
        </w:rPr>
      </w:pPr>
      <w:r>
        <w:rPr>
          <w:rFonts w:hint="eastAsia" w:ascii="宋体" w:hAnsi="宋体"/>
          <w:sz w:val="24"/>
          <w:szCs w:val="24"/>
          <w:highlight w:val="none"/>
        </w:rPr>
        <w:t>成交人未按上述规定缴纳成交服务费的，采购人将不予退还响应保证金，且采购人有权取消其成交资格和拒签合同。</w:t>
      </w:r>
    </w:p>
    <w:p>
      <w:pPr>
        <w:numPr>
          <w:ilvl w:val="0"/>
          <w:numId w:val="8"/>
        </w:numPr>
        <w:spacing w:before="240" w:beforeLines="100" w:after="240" w:afterLines="100" w:line="520" w:lineRule="exact"/>
        <w:jc w:val="center"/>
        <w:rPr>
          <w:rFonts w:hint="eastAsia" w:eastAsia="黑体"/>
          <w:sz w:val="24"/>
          <w:szCs w:val="24"/>
          <w:highlight w:val="none"/>
        </w:rPr>
      </w:pPr>
      <w:r>
        <w:rPr>
          <w:rFonts w:hint="eastAsia" w:eastAsia="黑体"/>
          <w:sz w:val="24"/>
          <w:szCs w:val="24"/>
          <w:highlight w:val="none"/>
        </w:rPr>
        <w:t>签订合同</w:t>
      </w:r>
    </w:p>
    <w:p>
      <w:pPr>
        <w:numPr>
          <w:ilvl w:val="0"/>
          <w:numId w:val="40"/>
        </w:numPr>
        <w:spacing w:line="520" w:lineRule="exact"/>
        <w:ind w:left="0" w:firstLine="480" w:firstLineChars="200"/>
        <w:rPr>
          <w:rFonts w:ascii="宋体" w:hAnsi="宋体"/>
          <w:sz w:val="24"/>
          <w:szCs w:val="24"/>
          <w:highlight w:val="none"/>
        </w:rPr>
      </w:pPr>
      <w:r>
        <w:rPr>
          <w:rFonts w:hint="eastAsia" w:ascii="宋体" w:hAnsi="宋体"/>
          <w:sz w:val="24"/>
          <w:szCs w:val="24"/>
          <w:highlight w:val="none"/>
        </w:rPr>
        <w:t>成交人在采购人发出《成交通知书》之日起10个工作日内，按照采购人规定的时间、地点签订合同草案，合同草案经批准后签订正式合同。未经采购人同意逾期不签订合同的，将取消成交人成交资格。</w:t>
      </w:r>
    </w:p>
    <w:p>
      <w:pPr>
        <w:numPr>
          <w:ilvl w:val="0"/>
          <w:numId w:val="4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采购文件、成交人的响应文件、补充响应文件、澄清承诺、说明、补正和《成交通知书》等，均为签订合同的依据。</w:t>
      </w:r>
    </w:p>
    <w:p>
      <w:pPr>
        <w:numPr>
          <w:ilvl w:val="0"/>
          <w:numId w:val="4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所签订的合同不得对采购文件和成交人响应文件作实质性修改。</w:t>
      </w:r>
    </w:p>
    <w:p>
      <w:pPr>
        <w:numPr>
          <w:ilvl w:val="0"/>
          <w:numId w:val="40"/>
        </w:numPr>
        <w:spacing w:line="520" w:lineRule="exact"/>
        <w:ind w:left="0" w:firstLine="480" w:firstLineChars="200"/>
        <w:rPr>
          <w:rFonts w:hint="eastAsia" w:ascii="宋体" w:hAnsi="宋体"/>
          <w:sz w:val="24"/>
          <w:szCs w:val="24"/>
          <w:highlight w:val="none"/>
        </w:rPr>
      </w:pPr>
      <w:r>
        <w:rPr>
          <w:rFonts w:hint="eastAsia" w:ascii="宋体" w:hAnsi="宋体"/>
          <w:sz w:val="24"/>
          <w:szCs w:val="24"/>
          <w:highlight w:val="none"/>
        </w:rPr>
        <w:t>成交人应当按照合同约定履行义务，完成成交项目。成交人不得向他人转让成交项目，也不得将成交项目分包向他人转让或委托加工。</w:t>
      </w:r>
    </w:p>
    <w:p>
      <w:pPr>
        <w:numPr>
          <w:ilvl w:val="0"/>
          <w:numId w:val="40"/>
        </w:numPr>
        <w:spacing w:line="520" w:lineRule="exact"/>
        <w:ind w:left="0"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本次采购不收取合同履约保证金。</w:t>
      </w:r>
    </w:p>
    <w:p>
      <w:pPr>
        <w:spacing w:line="520" w:lineRule="exact"/>
        <w:rPr>
          <w:rFonts w:hint="eastAsia"/>
          <w:sz w:val="24"/>
          <w:szCs w:val="24"/>
          <w:highlight w:val="none"/>
        </w:rPr>
      </w:pPr>
    </w:p>
    <w:p>
      <w:pPr>
        <w:numPr>
          <w:ilvl w:val="0"/>
          <w:numId w:val="8"/>
        </w:numPr>
        <w:spacing w:before="240" w:beforeLines="100" w:after="240" w:afterLines="100" w:line="520" w:lineRule="exact"/>
        <w:jc w:val="center"/>
        <w:rPr>
          <w:rFonts w:eastAsia="黑体"/>
          <w:sz w:val="24"/>
          <w:szCs w:val="24"/>
          <w:highlight w:val="none"/>
        </w:rPr>
      </w:pPr>
      <w:r>
        <w:rPr>
          <w:rFonts w:hint="eastAsia" w:eastAsia="黑体"/>
          <w:sz w:val="24"/>
          <w:szCs w:val="24"/>
          <w:highlight w:val="none"/>
        </w:rPr>
        <w:t>解释权限</w:t>
      </w:r>
    </w:p>
    <w:p>
      <w:pPr>
        <w:spacing w:line="520" w:lineRule="exact"/>
        <w:ind w:firstLine="480" w:firstLineChars="200"/>
        <w:rPr>
          <w:sz w:val="24"/>
          <w:szCs w:val="24"/>
          <w:highlight w:val="none"/>
        </w:rPr>
      </w:pPr>
      <w:r>
        <w:rPr>
          <w:rFonts w:hint="eastAsia"/>
          <w:sz w:val="24"/>
          <w:szCs w:val="24"/>
          <w:highlight w:val="none"/>
        </w:rPr>
        <w:t>本采购文件由采购人负责解释。</w:t>
      </w:r>
    </w:p>
    <w:p>
      <w:pPr>
        <w:widowControl/>
        <w:jc w:val="left"/>
        <w:rPr>
          <w:sz w:val="24"/>
          <w:szCs w:val="24"/>
          <w:highlight w:val="none"/>
        </w:rPr>
        <w:sectPr>
          <w:pgSz w:w="11906" w:h="16838"/>
          <w:pgMar w:top="1247" w:right="1474" w:bottom="1247" w:left="1588" w:header="567" w:footer="567" w:gutter="0"/>
          <w:pgNumType w:fmt="decimal"/>
          <w:cols w:space="720" w:num="1"/>
        </w:sectPr>
      </w:pPr>
    </w:p>
    <w:p>
      <w:pPr>
        <w:spacing w:line="400" w:lineRule="exact"/>
        <w:ind w:firstLine="480" w:firstLineChars="200"/>
        <w:rPr>
          <w:rFonts w:ascii="宋体" w:hAnsi="宋体"/>
          <w:sz w:val="24"/>
          <w:highlight w:val="none"/>
        </w:rPr>
      </w:pPr>
    </w:p>
    <w:p>
      <w:pPr>
        <w:jc w:val="center"/>
        <w:outlineLvl w:val="0"/>
        <w:rPr>
          <w:rFonts w:hint="eastAsia" w:eastAsia="方正小标宋简体"/>
          <w:bCs/>
          <w:sz w:val="44"/>
          <w:szCs w:val="44"/>
          <w:highlight w:val="none"/>
        </w:rPr>
      </w:pPr>
      <w:bookmarkStart w:id="18" w:name="_Toc435540981"/>
      <w:bookmarkStart w:id="19" w:name="_Toc3574"/>
      <w:bookmarkStart w:id="20" w:name="_Toc521176493"/>
      <w:bookmarkStart w:id="21" w:name="_Toc390713969"/>
      <w:bookmarkStart w:id="22" w:name="_Toc285612603"/>
      <w:r>
        <w:rPr>
          <w:rFonts w:hint="eastAsia" w:eastAsia="方正小标宋简体"/>
          <w:bCs/>
          <w:sz w:val="44"/>
          <w:szCs w:val="44"/>
          <w:highlight w:val="none"/>
        </w:rPr>
        <w:t>第四部分</w:t>
      </w:r>
      <w:r>
        <w:rPr>
          <w:rFonts w:eastAsia="方正小标宋简体"/>
          <w:bCs/>
          <w:sz w:val="44"/>
          <w:szCs w:val="44"/>
          <w:highlight w:val="none"/>
        </w:rPr>
        <w:t xml:space="preserve">  </w:t>
      </w:r>
      <w:r>
        <w:rPr>
          <w:rFonts w:hint="eastAsia" w:eastAsia="方正小标宋简体"/>
          <w:bCs/>
          <w:sz w:val="44"/>
          <w:szCs w:val="44"/>
          <w:highlight w:val="none"/>
        </w:rPr>
        <w:t>合同样本</w:t>
      </w:r>
      <w:bookmarkEnd w:id="18"/>
      <w:bookmarkEnd w:id="19"/>
      <w:bookmarkEnd w:id="20"/>
      <w:bookmarkEnd w:id="21"/>
      <w:bookmarkEnd w:id="22"/>
    </w:p>
    <w:p>
      <w:pPr>
        <w:widowControl/>
        <w:spacing w:line="360" w:lineRule="exact"/>
        <w:jc w:val="center"/>
        <w:rPr>
          <w:rFonts w:ascii="仿宋" w:hAnsi="仿宋" w:eastAsia="仿宋"/>
          <w:b/>
          <w:bCs/>
          <w:sz w:val="28"/>
          <w:szCs w:val="28"/>
          <w:highlight w:val="none"/>
        </w:rPr>
      </w:pPr>
      <w:bookmarkStart w:id="23" w:name="_Toc519006315"/>
      <w:bookmarkStart w:id="24" w:name="_Toc285612604"/>
      <w:bookmarkStart w:id="25" w:name="_Toc240432233"/>
      <w:bookmarkStart w:id="26" w:name="_Toc390713970"/>
      <w:bookmarkStart w:id="27" w:name="_Toc521176494"/>
      <w:r>
        <w:rPr>
          <w:rFonts w:hint="eastAsia" w:ascii="仿宋" w:hAnsi="仿宋" w:eastAsia="仿宋"/>
          <w:b/>
          <w:sz w:val="28"/>
          <w:szCs w:val="28"/>
          <w:highlight w:val="none"/>
        </w:rPr>
        <w:t>[  ]</w:t>
      </w:r>
      <w:r>
        <w:rPr>
          <w:rFonts w:hint="eastAsia" w:ascii="仿宋" w:hAnsi="仿宋" w:eastAsia="仿宋" w:cs="仿宋"/>
          <w:b/>
          <w:bCs/>
          <w:sz w:val="28"/>
          <w:szCs w:val="28"/>
          <w:highlight w:val="none"/>
        </w:rPr>
        <w:t>技术服务合同</w:t>
      </w:r>
    </w:p>
    <w:p>
      <w:pPr>
        <w:spacing w:line="360" w:lineRule="exact"/>
        <w:jc w:val="left"/>
        <w:rPr>
          <w:rFonts w:hint="eastAsia" w:ascii="仿宋" w:hAnsi="仿宋" w:eastAsia="仿宋"/>
          <w:kern w:val="0"/>
          <w:sz w:val="24"/>
          <w:highlight w:val="none"/>
        </w:rPr>
      </w:pP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委托方（甲方）：中国电信[  ]公司</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地址：[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法定代表人/负责人：[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项目联系人：[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联系方式：[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通讯地址：[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电话：[  ]                    传真：[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电子邮箱：[  ]                                          </w:t>
      </w:r>
    </w:p>
    <w:p>
      <w:pPr>
        <w:spacing w:line="360" w:lineRule="exact"/>
        <w:ind w:firstLine="480" w:firstLineChars="200"/>
        <w:jc w:val="left"/>
        <w:rPr>
          <w:rFonts w:hint="eastAsia" w:ascii="仿宋" w:hAnsi="仿宋" w:eastAsia="仿宋" w:cs="仿宋"/>
          <w:kern w:val="0"/>
          <w:sz w:val="24"/>
          <w:highlight w:val="none"/>
        </w:rPr>
      </w:pP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受托方（乙方）：[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地址：[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法定代表人/负责人：[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项目联系人：[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联系方式：[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通讯地址：[  ]                                     </w:t>
      </w:r>
    </w:p>
    <w:p>
      <w:pPr>
        <w:spacing w:line="36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电话：[  ]                    传真：[  ]            </w:t>
      </w:r>
    </w:p>
    <w:p>
      <w:pPr>
        <w:spacing w:line="360" w:lineRule="exact"/>
        <w:jc w:val="left"/>
        <w:rPr>
          <w:rFonts w:hint="eastAsia" w:ascii="仿宋" w:hAnsi="仿宋" w:eastAsia="仿宋"/>
          <w:kern w:val="0"/>
          <w:sz w:val="24"/>
          <w:highlight w:val="none"/>
        </w:rPr>
      </w:pPr>
      <w:r>
        <w:rPr>
          <w:rFonts w:hint="eastAsia" w:ascii="仿宋" w:hAnsi="仿宋" w:eastAsia="仿宋" w:cs="仿宋"/>
          <w:kern w:val="0"/>
          <w:sz w:val="24"/>
          <w:highlight w:val="none"/>
        </w:rPr>
        <w:t xml:space="preserve">电子邮箱：[  ] </w:t>
      </w:r>
    </w:p>
    <w:p>
      <w:pPr>
        <w:spacing w:line="360" w:lineRule="exact"/>
        <w:ind w:firstLine="480" w:firstLineChars="200"/>
        <w:jc w:val="left"/>
        <w:rPr>
          <w:rFonts w:hint="eastAsia" w:ascii="仿宋" w:hAnsi="仿宋" w:eastAsia="仿宋" w:cs="仿宋"/>
          <w:kern w:val="0"/>
          <w:sz w:val="24"/>
          <w:highlight w:val="none"/>
        </w:rPr>
      </w:pP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本合同甲方委托乙方就</w:t>
      </w:r>
      <w:r>
        <w:rPr>
          <w:rFonts w:hint="eastAsia" w:ascii="仿宋" w:hAnsi="仿宋" w:eastAsia="仿宋"/>
          <w:kern w:val="0"/>
          <w:sz w:val="24"/>
          <w:highlight w:val="none"/>
        </w:rPr>
        <w:t>[  ]项目</w:t>
      </w:r>
      <w:r>
        <w:rPr>
          <w:rFonts w:hint="eastAsia" w:ascii="仿宋" w:hAnsi="仿宋" w:eastAsia="仿宋" w:cs="仿宋"/>
          <w:kern w:val="0"/>
          <w:sz w:val="24"/>
          <w:highlight w:val="none"/>
        </w:rPr>
        <w:t>（“项目”）进行</w:t>
      </w:r>
      <w:r>
        <w:rPr>
          <w:rFonts w:hint="eastAsia" w:ascii="仿宋" w:hAnsi="仿宋" w:eastAsia="仿宋"/>
          <w:kern w:val="0"/>
          <w:sz w:val="24"/>
          <w:highlight w:val="none"/>
        </w:rPr>
        <w:t>[  ]</w:t>
      </w:r>
      <w:r>
        <w:rPr>
          <w:rFonts w:hint="eastAsia" w:ascii="仿宋" w:hAnsi="仿宋" w:eastAsia="仿宋" w:cs="仿宋"/>
          <w:kern w:val="0"/>
          <w:sz w:val="24"/>
          <w:highlight w:val="none"/>
        </w:rPr>
        <w:t>的专项技术服务，并支付相应的技术服务报酬。双方经过平等协商，在真实、充分地表达各自意愿的基础上，根据《中华人民共和国合同法》的规定，达成如下合同，并由双方共同恪守。</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第一条</w:t>
      </w:r>
      <w:r>
        <w:rPr>
          <w:rFonts w:hint="eastAsia" w:ascii="仿宋" w:hAnsi="仿宋" w:eastAsia="仿宋" w:cs="仿宋"/>
          <w:kern w:val="0"/>
          <w:sz w:val="24"/>
          <w:highlight w:val="none"/>
        </w:rPr>
        <w:t xml:space="preserve"> 甲方委托乙方进行技术服务的内容如下：</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1.1技术服务的目标：[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1.2技术服务的内容：[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1.3技术服务的方式：[  ]。</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第二条</w:t>
      </w:r>
      <w:r>
        <w:rPr>
          <w:rFonts w:hint="eastAsia" w:ascii="仿宋" w:hAnsi="仿宋" w:eastAsia="仿宋" w:cs="仿宋"/>
          <w:kern w:val="0"/>
          <w:sz w:val="24"/>
          <w:highlight w:val="none"/>
        </w:rPr>
        <w:t xml:space="preserve"> 乙方应按下列要求完成技术服务工作：</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2.1技术服务地点：[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2.2技术服务期限：[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2.3技术服务进度：[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2.4技术服务质量要求：[  ]。</w:t>
      </w:r>
    </w:p>
    <w:p>
      <w:pPr>
        <w:spacing w:line="360" w:lineRule="exact"/>
        <w:ind w:firstLine="480" w:firstLineChars="200"/>
        <w:jc w:val="left"/>
        <w:rPr>
          <w:rFonts w:hint="eastAsia" w:ascii="仿宋" w:hAnsi="仿宋" w:eastAsia="仿宋"/>
          <w:kern w:val="0"/>
          <w:sz w:val="24"/>
          <w:highlight w:val="none"/>
          <w:u w:val="single"/>
        </w:rPr>
      </w:pPr>
      <w:r>
        <w:rPr>
          <w:rFonts w:hint="eastAsia" w:ascii="仿宋" w:hAnsi="仿宋" w:eastAsia="仿宋" w:cs="仿宋"/>
          <w:kern w:val="0"/>
          <w:sz w:val="24"/>
          <w:highlight w:val="none"/>
        </w:rPr>
        <w:t>2.5技术服务质量期限要求：[  ]。</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第三条</w:t>
      </w:r>
      <w:r>
        <w:rPr>
          <w:rFonts w:hint="eastAsia" w:ascii="仿宋" w:hAnsi="仿宋" w:eastAsia="仿宋" w:cs="仿宋"/>
          <w:kern w:val="0"/>
          <w:sz w:val="24"/>
          <w:highlight w:val="none"/>
        </w:rPr>
        <w:t>为保证乙方有效进行技术服务工作，甲方应当向乙方提供下列工作条件和协作事项：</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3.1提供技术资料：[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3.2提供工作条件：[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3.3其他配合协作事项：[  ]。</w:t>
      </w:r>
    </w:p>
    <w:p>
      <w:pPr>
        <w:tabs>
          <w:tab w:val="left" w:pos="8085"/>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3.4甲方提供上述技术资料、工作条件和配合协作事项的时间及方式：[  ]。</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第四条</w:t>
      </w:r>
      <w:r>
        <w:rPr>
          <w:rFonts w:hint="eastAsia" w:ascii="仿宋" w:hAnsi="仿宋" w:eastAsia="仿宋" w:cs="仿宋"/>
          <w:kern w:val="0"/>
          <w:sz w:val="24"/>
          <w:highlight w:val="none"/>
        </w:rPr>
        <w:t xml:space="preserve"> 甲方向乙方支付技术服务报酬及支付方式为：</w:t>
      </w:r>
    </w:p>
    <w:p>
      <w:pPr>
        <w:spacing w:line="36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4.1本合同费用总额（含税价）：人民币大写[  ]元，小写[  ]元；其中价款为人民币大写[  ]元，小写[  ]元，增值税款为人民币大写[  ]元，小写[  ]元。</w:t>
      </w:r>
    </w:p>
    <w:p>
      <w:pPr>
        <w:spacing w:line="36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本合同费用总额已包括甲方就乙方履行本合同所应支付的全部报酬、所需的全部费用及税费。</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除另有约定外，甲方无需就本合同项下委托事项向乙方支付上述费用之外的任何其他费用及税费。</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4.2甲方凭乙方开具的相应金额的、符合国家规定的增值税专用发票支付本合同费用总额，并按以下第[  ]种方式向乙方付款：</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（1）一次性支付</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乙方完成技术服务工作并经甲方验收合格后[  ]个工作日内,甲方向乙方支付本合同费用总额。</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（2）分期支付</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甲方分[  ]期,分别于[  ]向乙方支付本合同费用总额：[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4.3乙方向甲方开具增值税专用发票的，乙方应派专人或使用挂号信件或特快专递方式在发票开具后[30]日内送达甲方，送达日期以甲方签收日期为准；逾期送达的，每逾期一日,乙方应按逾期送达发票金额的千分之三</w:t>
      </w:r>
      <w:r>
        <w:rPr>
          <w:rFonts w:hint="eastAsia" w:ascii="仿宋" w:hAnsi="仿宋" w:eastAsia="仿宋"/>
          <w:sz w:val="24"/>
          <w:highlight w:val="none"/>
        </w:rPr>
        <w:t>向甲方</w:t>
      </w:r>
      <w:r>
        <w:rPr>
          <w:rFonts w:hint="eastAsia" w:ascii="仿宋" w:hAnsi="仿宋" w:eastAsia="仿宋" w:cs="仿宋"/>
          <w:kern w:val="0"/>
          <w:sz w:val="24"/>
          <w:highlight w:val="none"/>
        </w:rPr>
        <w:t>支付违约金,若因逾期送达造成甲方无法抵扣的，乙方还应赔偿甲方由此遭受的损失，金额相当于逾期送达发票可抵扣金额。</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4.4如乙方提供的增值税专用发票不符合法律法规要求或本合同约定，或不能通过税务认证的或不能实现税款抵扣的，甲方有权拒收或于发现问题后退回，乙方应及时更换，如因此导致未能在第4.3条约定时限内送达增值税专用发票的，乙方应当按照第4.3条约定承担逾期送达的违约责任；如无法更换的，甲方有权要求乙方支付发票金额[  ]%的违约金，并赔偿甲方由此遭受的损失。</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4.5本合同费用总额的所有支付由甲方以[  ]（银行转账、电汇、支票等）方式付至乙方。甲乙双方银行账户信息和纳税人信息：</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甲方信息如下：</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开户行：[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银行地址：[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户名：[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账号：[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统一社会信用代码：[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地址：[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电话：[  ]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乙方信息如下：</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开户行：[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银行地址：[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户名：[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账号：[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统一社会信用代码：[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地址：[  ]</w:t>
      </w:r>
    </w:p>
    <w:p>
      <w:pPr>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电话：[  ] </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4.6若根据本合同约定乙方应当支付违约金和/或承担赔偿责任，则甲方有权从上述任何一笔付款中直接扣除相应金额。</w:t>
      </w:r>
    </w:p>
    <w:p>
      <w:pPr>
        <w:tabs>
          <w:tab w:val="left" w:pos="7980"/>
        </w:tabs>
        <w:spacing w:line="360" w:lineRule="exact"/>
        <w:ind w:firstLine="482" w:firstLineChars="200"/>
        <w:jc w:val="left"/>
        <w:rPr>
          <w:rFonts w:hint="eastAsia" w:ascii="仿宋" w:hAnsi="仿宋" w:eastAsia="仿宋"/>
          <w:b/>
          <w:bCs/>
          <w:kern w:val="0"/>
          <w:sz w:val="24"/>
          <w:highlight w:val="none"/>
        </w:rPr>
      </w:pPr>
      <w:r>
        <w:rPr>
          <w:rFonts w:hint="eastAsia" w:ascii="仿宋" w:hAnsi="仿宋" w:eastAsia="仿宋" w:cs="仿宋"/>
          <w:b/>
          <w:bCs/>
          <w:kern w:val="0"/>
          <w:sz w:val="24"/>
          <w:highlight w:val="none"/>
        </w:rPr>
        <w:t>第五条 保密</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5.1乙方对甲方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目的向其内部有知悉保密资料必要的雇员披露保密资料，但同时须指示其雇员遵守本条规定的保密及不披露义务。</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5.2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5.3 当出现下述情况时，本条对保密资料的限制不适用。当保密资料：</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（1）并非乙方的过错而已经进入公有领域的。</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（2）已通过该方的有关记录证明是由乙方独立开发的。</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（3）由乙方从没有违反对甲方的保密义务的人合法取得的。或</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（4）法律要求乙方披露的，但乙方应在合理的时间提前通知甲方，使其得以采取其认为必要的保护措施。</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5.4如乙方违反本合同关于保密的约定，乙方应赔偿因此而给甲方造成的一切损失。</w:t>
      </w:r>
    </w:p>
    <w:p>
      <w:pPr>
        <w:widowControl/>
        <w:autoSpaceDE w:val="0"/>
        <w:autoSpaceDN w:val="0"/>
        <w:spacing w:line="360" w:lineRule="exact"/>
        <w:ind w:firstLine="480" w:firstLineChars="200"/>
        <w:textAlignment w:val="bottom"/>
        <w:rPr>
          <w:rFonts w:hint="eastAsia" w:ascii="仿宋" w:hAnsi="仿宋" w:eastAsia="仿宋" w:cs="仿宋"/>
          <w:sz w:val="24"/>
          <w:highlight w:val="none"/>
        </w:rPr>
      </w:pPr>
      <w:r>
        <w:rPr>
          <w:rFonts w:hint="eastAsia" w:ascii="仿宋" w:hAnsi="仿宋" w:eastAsia="仿宋" w:cs="仿宋"/>
          <w:sz w:val="24"/>
          <w:highlight w:val="none"/>
        </w:rPr>
        <w:t>5.5</w:t>
      </w:r>
      <w:r>
        <w:rPr>
          <w:rFonts w:hint="eastAsia" w:ascii="仿宋" w:hAnsi="仿宋" w:eastAsia="仿宋"/>
          <w:sz w:val="24"/>
          <w:highlight w:val="none"/>
        </w:rPr>
        <w:t>除另有约定外，</w:t>
      </w:r>
      <w:r>
        <w:rPr>
          <w:rFonts w:hint="eastAsia" w:ascii="仿宋" w:hAnsi="仿宋" w:eastAsia="仿宋" w:cs="仿宋"/>
          <w:sz w:val="24"/>
          <w:highlight w:val="none"/>
        </w:rPr>
        <w:t>本保密条款自保密资料提供或披露之日起至本合同终止或解除后[  ]年内持续有效。</w:t>
      </w:r>
    </w:p>
    <w:p>
      <w:pPr>
        <w:spacing w:line="360" w:lineRule="exact"/>
        <w:ind w:firstLine="480" w:firstLineChars="200"/>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5.</w:t>
      </w:r>
      <w:r>
        <w:rPr>
          <w:rFonts w:hint="eastAsia" w:ascii="仿宋" w:hAnsi="仿宋" w:eastAsia="仿宋" w:cs="仿宋"/>
          <w:sz w:val="24"/>
          <w:highlight w:val="none"/>
        </w:rPr>
        <w:t>6对于乙方在本合同签订及履行过程中依法获得的个人信息和重要数据，乙方应当依法在境内存储，且不得向境外提供。</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第六条</w:t>
      </w:r>
      <w:r>
        <w:rPr>
          <w:rFonts w:hint="eastAsia" w:ascii="仿宋" w:hAnsi="仿宋" w:eastAsia="仿宋" w:cs="仿宋"/>
          <w:kern w:val="0"/>
          <w:sz w:val="24"/>
          <w:highlight w:val="none"/>
        </w:rPr>
        <w:t xml:space="preserve"> 本合同的变更必须由双方协商一致，并以书面形式确定。但有下列情形之一的，一方可以向另一方提出变更合同权利与义务的书面请求，另一方应当在收到书面请求后</w:t>
      </w:r>
      <w:r>
        <w:rPr>
          <w:rFonts w:hint="eastAsia" w:ascii="仿宋" w:hAnsi="仿宋" w:eastAsia="仿宋"/>
          <w:kern w:val="0"/>
          <w:sz w:val="24"/>
          <w:highlight w:val="none"/>
        </w:rPr>
        <w:t>[  ]个工作日内</w:t>
      </w:r>
      <w:r>
        <w:rPr>
          <w:rFonts w:hint="eastAsia" w:ascii="仿宋" w:hAnsi="仿宋" w:eastAsia="仿宋" w:cs="仿宋"/>
          <w:kern w:val="0"/>
          <w:sz w:val="24"/>
          <w:highlight w:val="none"/>
        </w:rPr>
        <w:t>予以答复；逾期未予答复的，视为同意：</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kern w:val="0"/>
          <w:sz w:val="24"/>
          <w:highlight w:val="none"/>
        </w:rPr>
        <w:t>[  ] 。</w:t>
      </w:r>
    </w:p>
    <w:p>
      <w:pPr>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第七条</w:t>
      </w:r>
      <w:r>
        <w:rPr>
          <w:rFonts w:hint="eastAsia" w:ascii="仿宋" w:hAnsi="仿宋" w:eastAsia="仿宋" w:cs="仿宋"/>
          <w:kern w:val="0"/>
          <w:sz w:val="24"/>
          <w:highlight w:val="none"/>
        </w:rPr>
        <w:t>未经甲方事先书面同意，乙方不得将本合同项目部分或全部服务工作转由第三人承担。</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第八条</w:t>
      </w:r>
      <w:r>
        <w:rPr>
          <w:rFonts w:hint="eastAsia" w:ascii="仿宋" w:hAnsi="仿宋" w:eastAsia="仿宋" w:cs="仿宋"/>
          <w:kern w:val="0"/>
          <w:sz w:val="24"/>
          <w:highlight w:val="none"/>
        </w:rPr>
        <w:t>双方确定以下列标准和方式对乙方的技术服务工作成果进行验收：</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8.1乙方完成技术服务工作的形式：[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8.2技术服务工作成果的验收标准：[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8.3技术服务工作成果的验收方法：[  ]。</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8.4验收的时间和地点：[  ]。</w:t>
      </w:r>
    </w:p>
    <w:p>
      <w:pPr>
        <w:widowControl/>
        <w:autoSpaceDE w:val="0"/>
        <w:autoSpaceDN w:val="0"/>
        <w:spacing w:line="360" w:lineRule="exact"/>
        <w:ind w:firstLine="482" w:firstLineChars="200"/>
        <w:textAlignment w:val="bottom"/>
        <w:rPr>
          <w:rFonts w:hint="eastAsia" w:ascii="仿宋" w:hAnsi="仿宋" w:eastAsia="仿宋"/>
          <w:b/>
          <w:bCs/>
          <w:sz w:val="24"/>
          <w:highlight w:val="none"/>
        </w:rPr>
      </w:pPr>
      <w:r>
        <w:rPr>
          <w:rFonts w:hint="eastAsia" w:ascii="仿宋" w:hAnsi="仿宋" w:eastAsia="仿宋" w:cs="仿宋"/>
          <w:b/>
          <w:bCs/>
          <w:sz w:val="24"/>
          <w:highlight w:val="none"/>
        </w:rPr>
        <w:t>第九条 侵权处理</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9.2如果在侵权指控的审理过程中有关机关禁止甲方继续使用技术服务成果的部分或全部，乙方应当采取以下措施之一：</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（1）使甲方重新免费获得使用上述技术服务成果的权利</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（2）免费更换或改造上述技术服务成果，使甲方不受上述禁令限制继续使用技术服务成果。</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cs="仿宋"/>
          <w:sz w:val="24"/>
          <w:highlight w:val="none"/>
        </w:rPr>
        <w:t>（3）其它使甲方对技术服务成果拥有合法使用权，或其它弥补甲方受损利益、实现合同目的的合理方式。</w:t>
      </w:r>
    </w:p>
    <w:p>
      <w:pPr>
        <w:widowControl/>
        <w:autoSpaceDE w:val="0"/>
        <w:autoSpaceDN w:val="0"/>
        <w:spacing w:line="360" w:lineRule="exact"/>
        <w:ind w:firstLine="480" w:firstLineChars="200"/>
        <w:textAlignment w:val="bottom"/>
        <w:rPr>
          <w:rFonts w:hint="eastAsia" w:ascii="仿宋" w:hAnsi="仿宋" w:eastAsia="仿宋" w:cs="仿宋"/>
          <w:sz w:val="24"/>
          <w:highlight w:val="none"/>
        </w:rPr>
      </w:pPr>
      <w:r>
        <w:rPr>
          <w:rFonts w:hint="eastAsia" w:ascii="仿宋" w:hAnsi="仿宋" w:eastAsia="仿宋" w:cs="仿宋"/>
          <w:sz w:val="24"/>
          <w:highlight w:val="none"/>
        </w:rPr>
        <w:t>乙方采取上述措施不能免除乙方就甲方因此遭受的损失进行赔偿的义务。</w:t>
      </w:r>
    </w:p>
    <w:p>
      <w:pPr>
        <w:widowControl/>
        <w:autoSpaceDE w:val="0"/>
        <w:autoSpaceDN w:val="0"/>
        <w:spacing w:line="360" w:lineRule="exact"/>
        <w:ind w:firstLine="480" w:firstLineChars="200"/>
        <w:textAlignment w:val="bottom"/>
        <w:rPr>
          <w:rFonts w:hint="eastAsia" w:ascii="仿宋" w:hAnsi="仿宋" w:eastAsia="仿宋"/>
          <w:sz w:val="24"/>
          <w:highlight w:val="none"/>
        </w:rPr>
      </w:pPr>
      <w:r>
        <w:rPr>
          <w:rFonts w:hint="eastAsia" w:ascii="仿宋" w:hAnsi="仿宋" w:eastAsia="仿宋"/>
          <w:sz w:val="24"/>
          <w:highlight w:val="none"/>
        </w:rPr>
        <w:t>9.3 乙方承诺遵守国家相关法律法规，本合同项下技术服务若涉及可能影响国家安全的内容，乙方提供的技术服务必须首先通过国家相关部门的安全审查。</w:t>
      </w:r>
    </w:p>
    <w:p>
      <w:pPr>
        <w:spacing w:line="360" w:lineRule="exact"/>
        <w:ind w:firstLine="482" w:firstLineChars="200"/>
        <w:jc w:val="left"/>
        <w:rPr>
          <w:rFonts w:hint="eastAsia" w:ascii="仿宋" w:hAnsi="仿宋" w:eastAsia="仿宋"/>
          <w:b/>
          <w:bCs/>
          <w:kern w:val="0"/>
          <w:sz w:val="24"/>
          <w:highlight w:val="none"/>
        </w:rPr>
      </w:pPr>
      <w:r>
        <w:rPr>
          <w:rFonts w:hint="eastAsia" w:ascii="仿宋" w:hAnsi="仿宋" w:eastAsia="仿宋" w:cs="仿宋"/>
          <w:b/>
          <w:bCs/>
          <w:kern w:val="0"/>
          <w:sz w:val="24"/>
          <w:highlight w:val="none"/>
        </w:rPr>
        <w:t>第十条 项目服务成果的权利归属</w:t>
      </w:r>
    </w:p>
    <w:p>
      <w:pPr>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10.1双方确定，乙方所完成的服务成果的所有权利，包括但不限于知识产权、专利申请权和所有权，归甲方所有。</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10.2双方确定，甲方利用乙方的服务成果所完成的新的技术成果的所有权利，包括但不限于知识产权、专利申请权和所有权，归甲方所有。</w:t>
      </w:r>
    </w:p>
    <w:p>
      <w:pPr>
        <w:tabs>
          <w:tab w:val="left" w:pos="7980"/>
        </w:tabs>
        <w:spacing w:line="360" w:lineRule="exact"/>
        <w:ind w:firstLine="482" w:firstLineChars="200"/>
        <w:rPr>
          <w:rFonts w:hint="eastAsia" w:ascii="仿宋" w:hAnsi="仿宋" w:eastAsia="仿宋"/>
          <w:kern w:val="0"/>
          <w:sz w:val="24"/>
          <w:highlight w:val="none"/>
        </w:rPr>
      </w:pPr>
      <w:r>
        <w:rPr>
          <w:rFonts w:hint="eastAsia" w:ascii="仿宋" w:hAnsi="仿宋" w:eastAsia="仿宋" w:cs="仿宋"/>
          <w:b/>
          <w:bCs/>
          <w:kern w:val="0"/>
          <w:sz w:val="24"/>
          <w:highlight w:val="none"/>
        </w:rPr>
        <w:t>第十一条</w:t>
      </w:r>
      <w:r>
        <w:rPr>
          <w:rFonts w:hint="eastAsia" w:ascii="仿宋" w:hAnsi="仿宋" w:eastAsia="仿宋" w:cs="仿宋"/>
          <w:kern w:val="0"/>
          <w:sz w:val="24"/>
          <w:highlight w:val="none"/>
        </w:rPr>
        <w:t xml:space="preserve"> 双方确定，乙方在向甲方提供服务过程中，根据甲方要求，为甲方指定的人员提供技术指导和培训。</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11.1技术指导和培训内容:[  ]。</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11.2地点和方式：[  ]。</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11.3费用及支付方式：[  ]。</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第十二条</w:t>
      </w:r>
      <w:r>
        <w:rPr>
          <w:rFonts w:hint="eastAsia" w:ascii="仿宋" w:hAnsi="仿宋" w:eastAsia="仿宋" w:cs="仿宋"/>
          <w:kern w:val="0"/>
          <w:sz w:val="24"/>
          <w:highlight w:val="none"/>
        </w:rPr>
        <w:t xml:space="preserve"> </w:t>
      </w:r>
      <w:r>
        <w:rPr>
          <w:rFonts w:hint="eastAsia" w:ascii="仿宋" w:hAnsi="仿宋" w:eastAsia="仿宋" w:cs="仿宋"/>
          <w:b/>
          <w:bCs/>
          <w:kern w:val="0"/>
          <w:sz w:val="24"/>
          <w:highlight w:val="none"/>
        </w:rPr>
        <w:t>违约责任</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12.1双方确定，任何一方未履行或未完全履行本合同项下的义务，均构成违约。违约方应赔偿因违约给对方造成的一切损失。</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12.2乙方未能按本合同约定按期提供技术服务的，每逾期</w:t>
      </w:r>
      <w:r>
        <w:rPr>
          <w:rFonts w:hint="eastAsia" w:ascii="仿宋" w:hAnsi="仿宋" w:eastAsia="仿宋"/>
          <w:sz w:val="24"/>
          <w:highlight w:val="none"/>
        </w:rPr>
        <w:t>[  ]日</w:t>
      </w:r>
      <w:r>
        <w:rPr>
          <w:rFonts w:hint="eastAsia" w:ascii="仿宋" w:hAnsi="仿宋" w:eastAsia="仿宋" w:cs="仿宋"/>
          <w:sz w:val="24"/>
          <w:highlight w:val="none"/>
        </w:rPr>
        <w:t>，乙方应当按照本合同费用总额的</w:t>
      </w:r>
      <w:r>
        <w:rPr>
          <w:rFonts w:hint="eastAsia" w:ascii="仿宋" w:hAnsi="仿宋" w:eastAsia="仿宋"/>
          <w:sz w:val="24"/>
          <w:highlight w:val="none"/>
        </w:rPr>
        <w:t>[  ]%</w:t>
      </w:r>
      <w:r>
        <w:rPr>
          <w:rFonts w:hint="eastAsia" w:ascii="仿宋" w:hAnsi="仿宋" w:eastAsia="仿宋" w:cs="仿宋"/>
          <w:sz w:val="24"/>
          <w:highlight w:val="none"/>
        </w:rPr>
        <w:t>向甲方支付违约金。如违约金数额累计达到本合同费用总额的</w:t>
      </w:r>
      <w:r>
        <w:rPr>
          <w:rFonts w:hint="eastAsia" w:ascii="仿宋" w:hAnsi="仿宋" w:eastAsia="仿宋"/>
          <w:sz w:val="24"/>
          <w:highlight w:val="none"/>
        </w:rPr>
        <w:t>[  ]%</w:t>
      </w:r>
      <w:r>
        <w:rPr>
          <w:rFonts w:hint="eastAsia" w:ascii="仿宋" w:hAnsi="仿宋" w:eastAsia="仿宋" w:cs="仿宋"/>
          <w:sz w:val="24"/>
          <w:highlight w:val="none"/>
        </w:rPr>
        <w:t>时，甲方有权终止本合同，乙方仍应支付上述违约金、退还甲方已支付款项并按照同期中国人民银行贷款利率计付利息，同时赔偿甲方的相应损失。</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12.3乙方提供技术服务不符合本合同要求的，乙方应当按照甲方要求更正和修改，并承担由此产生的全部费用。</w:t>
      </w:r>
      <w:r>
        <w:rPr>
          <w:rFonts w:hint="eastAsia" w:ascii="仿宋" w:hAnsi="仿宋" w:eastAsia="仿宋"/>
          <w:sz w:val="24"/>
          <w:highlight w:val="none"/>
        </w:rPr>
        <w:t>因此造成逾期的，</w:t>
      </w:r>
      <w:r>
        <w:rPr>
          <w:rFonts w:hint="eastAsia" w:ascii="仿宋" w:hAnsi="仿宋" w:eastAsia="仿宋" w:cs="仿宋"/>
          <w:sz w:val="24"/>
          <w:highlight w:val="none"/>
        </w:rPr>
        <w:t>甲方有权终止本合同，乙方应当退还甲方已支付款项并按照同期中国人民银行贷款利率计付利息，并赔偿甲方的相应损失。</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第十三条</w:t>
      </w:r>
      <w:r>
        <w:rPr>
          <w:rFonts w:hint="eastAsia" w:ascii="仿宋" w:hAnsi="仿宋" w:eastAsia="仿宋" w:cs="仿宋"/>
          <w:kern w:val="0"/>
          <w:sz w:val="24"/>
          <w:highlight w:val="none"/>
        </w:rPr>
        <w:t>双方确定，在本合同有效期内，甲方指定[  ]为甲方项目联系人，乙方指定[  ]为乙方项目联系人。</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一方变更项目联系人的，应当及时以书面形式通知另一方。未及时通知并影响本合同履行或造成损失的，应承担相应的责任。</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第十四条</w:t>
      </w:r>
      <w:r>
        <w:rPr>
          <w:rFonts w:hint="eastAsia" w:ascii="仿宋" w:hAnsi="仿宋" w:eastAsia="仿宋" w:cs="仿宋"/>
          <w:kern w:val="0"/>
          <w:sz w:val="24"/>
          <w:highlight w:val="none"/>
        </w:rPr>
        <w:t xml:space="preserve"> 双方确定，出现下列情形之一，致使本合同的履行成为不必要或不可能的，可以解除本合同：</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14.1发生不可抗力。</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14.2[  ]。</w:t>
      </w:r>
    </w:p>
    <w:p>
      <w:pPr>
        <w:spacing w:line="360" w:lineRule="exact"/>
        <w:ind w:firstLine="482" w:firstLineChars="200"/>
        <w:rPr>
          <w:rFonts w:hint="eastAsia" w:ascii="仿宋" w:hAnsi="仿宋" w:eastAsia="仿宋"/>
          <w:b/>
          <w:bCs/>
          <w:sz w:val="24"/>
          <w:highlight w:val="none"/>
        </w:rPr>
      </w:pPr>
      <w:r>
        <w:rPr>
          <w:rFonts w:hint="eastAsia" w:ascii="仿宋" w:hAnsi="仿宋" w:eastAsia="仿宋" w:cs="仿宋"/>
          <w:b/>
          <w:bCs/>
          <w:sz w:val="24"/>
          <w:highlight w:val="none"/>
        </w:rPr>
        <w:t>第十五条 法律适用和争议解决</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15.1本合同适用中华人民共和国法律。</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15.2所有因本合同引起的或与本合同有关的任何争议将通过双方友好协商解决。如果双方不能通过友好协商解决争议，则任何一方均可采取下述第[  ]种争议解决方式：</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（1）将该争议提交[  ]仲裁委员会，按照申请仲裁时该会的仲裁规则进行仲裁。仲裁在[  ]进行。仲裁语言为中文。仲裁裁决是终局的，对双方均有约束力。仲裁费用由败诉方承担。</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（2）向甲方所在地有管辖权的人民法院起诉。</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15.3仲裁或诉讼进行过程中，双方将继续履行本合同未涉仲裁或诉讼的其它部分。</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第十六条</w:t>
      </w:r>
      <w:r>
        <w:rPr>
          <w:rFonts w:hint="eastAsia" w:ascii="仿宋" w:hAnsi="仿宋" w:eastAsia="仿宋" w:cs="仿宋"/>
          <w:kern w:val="0"/>
          <w:sz w:val="24"/>
          <w:highlight w:val="none"/>
        </w:rPr>
        <w:t xml:space="preserve"> 双方确定，本合同及相关附件中所涉及的有关名词和技术术语，其定义和解释如下：</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cs="仿宋"/>
          <w:kern w:val="0"/>
          <w:sz w:val="24"/>
          <w:highlight w:val="none"/>
        </w:rPr>
        <w:t xml:space="preserve">16.1“不可抗力”：地震、台风、水灾、火灾、战争以及其它本合同各方不能预见，并且对其发生和后果不能防止或不能避免且不可克服的客观情况。 </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kern w:val="0"/>
          <w:sz w:val="24"/>
          <w:highlight w:val="none"/>
        </w:rPr>
        <w:t>16.2[  ]。</w:t>
      </w:r>
    </w:p>
    <w:p>
      <w:pPr>
        <w:tabs>
          <w:tab w:val="left" w:pos="7980"/>
        </w:tabs>
        <w:spacing w:line="360" w:lineRule="exact"/>
        <w:ind w:firstLine="482" w:firstLineChars="200"/>
        <w:jc w:val="left"/>
        <w:rPr>
          <w:rFonts w:hint="eastAsia" w:ascii="仿宋" w:hAnsi="仿宋" w:eastAsia="仿宋" w:cs="仿宋"/>
          <w:kern w:val="0"/>
          <w:sz w:val="24"/>
          <w:highlight w:val="none"/>
        </w:rPr>
      </w:pPr>
      <w:r>
        <w:rPr>
          <w:rFonts w:hint="eastAsia" w:ascii="仿宋" w:hAnsi="仿宋" w:eastAsia="仿宋" w:cs="仿宋"/>
          <w:b/>
          <w:bCs/>
          <w:kern w:val="0"/>
          <w:sz w:val="24"/>
          <w:highlight w:val="none"/>
        </w:rPr>
        <w:t>第十七条</w:t>
      </w:r>
      <w:r>
        <w:rPr>
          <w:rFonts w:hint="eastAsia" w:ascii="仿宋" w:hAnsi="仿宋" w:eastAsia="仿宋" w:cs="仿宋"/>
          <w:kern w:val="0"/>
          <w:sz w:val="24"/>
          <w:highlight w:val="none"/>
        </w:rPr>
        <w:t xml:space="preserve"> 与履行本合同有关的下列技术文件，经双方以[  ]方式确认后，为本合同的组成部分：</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17.1技术背景资料：[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17.2可行性论证报告：[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17.3技术评价报告：[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17.4技术标准和规范：[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17.5原始设计和工艺文件：[  ]。</w:t>
      </w:r>
    </w:p>
    <w:p>
      <w:pPr>
        <w:tabs>
          <w:tab w:val="left" w:pos="7980"/>
        </w:tabs>
        <w:spacing w:line="3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17.6其他：[  ]。</w:t>
      </w:r>
    </w:p>
    <w:p>
      <w:pPr>
        <w:tabs>
          <w:tab w:val="left" w:pos="7980"/>
        </w:tabs>
        <w:spacing w:line="360" w:lineRule="exact"/>
        <w:ind w:firstLine="482" w:firstLineChars="200"/>
        <w:jc w:val="left"/>
        <w:rPr>
          <w:rFonts w:hint="eastAsia" w:ascii="仿宋" w:hAnsi="仿宋" w:eastAsia="仿宋"/>
          <w:kern w:val="0"/>
          <w:sz w:val="24"/>
          <w:highlight w:val="none"/>
        </w:rPr>
      </w:pPr>
      <w:r>
        <w:rPr>
          <w:rFonts w:hint="eastAsia" w:ascii="仿宋" w:hAnsi="仿宋" w:eastAsia="仿宋" w:cs="仿宋"/>
          <w:b/>
          <w:bCs/>
          <w:kern w:val="0"/>
          <w:sz w:val="24"/>
          <w:highlight w:val="none"/>
        </w:rPr>
        <w:t>第十八条合同生效和其他</w:t>
      </w:r>
    </w:p>
    <w:p>
      <w:pPr>
        <w:spacing w:line="36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18.1</w:t>
      </w:r>
      <w:r>
        <w:rPr>
          <w:rFonts w:hint="eastAsia" w:ascii="仿宋" w:hAnsi="仿宋" w:eastAsia="仿宋" w:cs="仿宋"/>
          <w:kern w:val="0"/>
          <w:sz w:val="24"/>
          <w:highlight w:val="none"/>
        </w:rPr>
        <w:t>本合同自双方签字盖章之日起生效。</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18.2本合同一式[  ]份，甲方执[  ]份，乙方执[  ]份，具有同等法律效力。</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18.3如果本合同的任何条款在任何时候变成不合法、无效或不可强制执行而不从根本上影响本合同的效力时，本合同的其他条款不受影响。</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18.4本合同各条标题仅为提示之用，应以条文内容确定各方的权利义务。</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18.6本合同的任何内容不应被视为或解释为双方之间具有合资、合伙、代理关系。</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18.7本合同替代此前双方所有关于本合同事项的口头或书面的纪要、备忘录、合同和协议。</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18.8甲乙双方因履行本合同或与本合同有关的一切通知都必须按照本合同中的地址，以书面信函或者传真或者电子邮件方式进行。其中：</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18.8.1除本合同另有约定外，有关下述任一事项的通知，均应当采用书面信函形式作出，否则，该通知无效，不产生本合同项下的任何通知效力：</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（1）与本合同费用及支付事宜有关的通知；</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（2）与本合同违约事宜有关的通知；</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（3）与本合同终止、解除或变更事宜有关的通知；</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（4）与本合同延续/续展有关的通知；</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（5）[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18.8.2本合同约定的各种通知方式的送达标准如下：</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（1）如采用书面信函形式，应当使用挂号信或者具有良好信誉的特快专递送达，接受方签收挂号信或特快专递的时间（以邮局或快递公司系统记录为准）为通知送达时间；</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（2）如采用传真方式，传真到达接受方指定传真系统的时间为通知送达时间；</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（3）如采用电子邮件方式，电子邮件到达接受方指定电子邮箱的时间为通知送达时间。</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18.8.3本合同双方通知地址及方式如下：</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甲方：中国电信[  ]公司</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地址：[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联系人：[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电话：[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传真：[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邮编：[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电子邮件：[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乙方：[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地址：[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联系人：[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电话：[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传真：[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邮编：[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电子邮件：[  ]</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上述任何信息发生变更的，变更方应及时以书面形式通知另一方，未及时通知并影响本合同履行或造成损失的，应承担相应的责任。</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 xml:space="preserve"> 18.9附件为本合同不可分割的部分。若附件与合同正文有任何冲突，以合同正文为准。</w:t>
      </w:r>
    </w:p>
    <w:p>
      <w:pPr>
        <w:spacing w:line="360" w:lineRule="exact"/>
        <w:ind w:firstLine="480" w:firstLineChars="200"/>
        <w:rPr>
          <w:rFonts w:hint="eastAsia" w:ascii="仿宋" w:hAnsi="仿宋" w:eastAsia="仿宋"/>
          <w:sz w:val="24"/>
          <w:highlight w:val="none"/>
        </w:rPr>
      </w:pPr>
      <w:r>
        <w:rPr>
          <w:rFonts w:hint="eastAsia" w:ascii="仿宋" w:hAnsi="仿宋" w:eastAsia="仿宋"/>
          <w:sz w:val="24"/>
          <w:highlight w:val="none"/>
        </w:rPr>
        <w:t>本合同附件为：</w:t>
      </w:r>
    </w:p>
    <w:p>
      <w:pPr>
        <w:tabs>
          <w:tab w:val="left" w:pos="7980"/>
        </w:tabs>
        <w:spacing w:line="360" w:lineRule="exact"/>
        <w:ind w:firstLine="480" w:firstLineChars="200"/>
        <w:jc w:val="left"/>
        <w:rPr>
          <w:rFonts w:hint="eastAsia" w:ascii="仿宋" w:hAnsi="仿宋" w:eastAsia="仿宋"/>
          <w:kern w:val="0"/>
          <w:sz w:val="24"/>
          <w:highlight w:val="none"/>
        </w:rPr>
      </w:pPr>
      <w:r>
        <w:rPr>
          <w:rFonts w:hint="eastAsia" w:ascii="仿宋" w:hAnsi="仿宋" w:eastAsia="仿宋"/>
          <w:kern w:val="0"/>
          <w:sz w:val="24"/>
          <w:highlight w:val="none"/>
        </w:rPr>
        <w:t>附件：</w:t>
      </w:r>
    </w:p>
    <w:p>
      <w:pPr>
        <w:tabs>
          <w:tab w:val="left" w:pos="7980"/>
        </w:tabs>
        <w:spacing w:line="360" w:lineRule="exact"/>
        <w:ind w:firstLine="480" w:firstLineChars="200"/>
        <w:jc w:val="left"/>
        <w:rPr>
          <w:rFonts w:hint="eastAsia" w:ascii="仿宋" w:hAnsi="仿宋" w:eastAsia="仿宋"/>
          <w:kern w:val="0"/>
          <w:sz w:val="24"/>
          <w:highlight w:val="none"/>
        </w:rPr>
      </w:pPr>
    </w:p>
    <w:p>
      <w:pPr>
        <w:tabs>
          <w:tab w:val="left" w:pos="7980"/>
        </w:tabs>
        <w:spacing w:line="360" w:lineRule="exact"/>
        <w:ind w:firstLine="480" w:firstLineChars="200"/>
        <w:jc w:val="left"/>
        <w:rPr>
          <w:rFonts w:hint="eastAsia" w:ascii="仿宋" w:hAnsi="仿宋" w:eastAsia="仿宋"/>
          <w:kern w:val="0"/>
          <w:sz w:val="24"/>
          <w:highlight w:val="none"/>
        </w:rPr>
      </w:pPr>
    </w:p>
    <w:p>
      <w:pPr>
        <w:spacing w:line="360" w:lineRule="exact"/>
        <w:jc w:val="center"/>
        <w:rPr>
          <w:rFonts w:hint="eastAsia" w:ascii="仿宋" w:hAnsi="仿宋" w:eastAsia="仿宋"/>
          <w:b/>
          <w:bCs/>
          <w:sz w:val="24"/>
          <w:highlight w:val="none"/>
        </w:rPr>
      </w:pPr>
      <w:r>
        <w:rPr>
          <w:rFonts w:hint="eastAsia" w:ascii="仿宋" w:hAnsi="仿宋" w:eastAsia="仿宋" w:cs="仿宋"/>
          <w:b/>
          <w:bCs/>
          <w:sz w:val="24"/>
          <w:highlight w:val="none"/>
        </w:rPr>
        <w:t>补充附页</w:t>
      </w:r>
    </w:p>
    <w:p>
      <w:pPr>
        <w:spacing w:line="360" w:lineRule="exact"/>
        <w:ind w:firstLine="480" w:firstLineChars="200"/>
        <w:rPr>
          <w:rFonts w:hint="eastAsia" w:ascii="仿宋" w:hAnsi="仿宋" w:eastAsia="仿宋"/>
          <w:sz w:val="24"/>
          <w:highlight w:val="none"/>
        </w:rPr>
      </w:pPr>
      <w:r>
        <w:rPr>
          <w:rFonts w:hint="eastAsia" w:ascii="仿宋" w:hAnsi="仿宋" w:eastAsia="仿宋" w:cs="仿宋"/>
          <w:sz w:val="24"/>
          <w:highlight w:val="none"/>
        </w:rPr>
        <w:t>经友好协商，对本合同条款补充、修改如下，本补充附页为合同正文的一部分，与合同正文冲突时，以本补充附页为准：</w:t>
      </w:r>
    </w:p>
    <w:p>
      <w:pPr>
        <w:spacing w:line="360" w:lineRule="exact"/>
        <w:ind w:firstLine="538"/>
        <w:jc w:val="left"/>
        <w:rPr>
          <w:rFonts w:hint="eastAsia" w:ascii="仿宋" w:hAnsi="仿宋" w:eastAsia="仿宋"/>
          <w:sz w:val="24"/>
          <w:highlight w:val="none"/>
        </w:rPr>
      </w:pPr>
      <w:r>
        <w:rPr>
          <w:rFonts w:hint="eastAsia" w:ascii="仿宋" w:hAnsi="仿宋" w:eastAsia="仿宋" w:cs="仿宋"/>
          <w:sz w:val="24"/>
          <w:highlight w:val="none"/>
        </w:rPr>
        <w:t>[  ]</w:t>
      </w:r>
    </w:p>
    <w:p>
      <w:pPr>
        <w:spacing w:line="360" w:lineRule="exact"/>
        <w:ind w:firstLine="480" w:firstLineChars="200"/>
        <w:rPr>
          <w:rFonts w:hint="eastAsia" w:ascii="仿宋" w:hAnsi="仿宋" w:eastAsia="仿宋"/>
          <w:sz w:val="24"/>
          <w:highlight w:val="none"/>
        </w:rPr>
      </w:pPr>
    </w:p>
    <w:p>
      <w:pPr>
        <w:tabs>
          <w:tab w:val="left" w:pos="7980"/>
        </w:tabs>
        <w:spacing w:line="360" w:lineRule="exact"/>
        <w:ind w:firstLine="480"/>
        <w:jc w:val="left"/>
        <w:rPr>
          <w:rFonts w:hint="eastAsia" w:ascii="仿宋" w:hAnsi="仿宋" w:eastAsia="仿宋"/>
          <w:kern w:val="0"/>
          <w:sz w:val="24"/>
          <w:highlight w:val="none"/>
        </w:rPr>
      </w:pPr>
    </w:p>
    <w:p>
      <w:pPr>
        <w:tabs>
          <w:tab w:val="left" w:pos="7980"/>
        </w:tabs>
        <w:spacing w:line="360" w:lineRule="exact"/>
        <w:jc w:val="left"/>
        <w:rPr>
          <w:rFonts w:hint="eastAsia" w:ascii="仿宋" w:hAnsi="仿宋" w:eastAsia="仿宋"/>
          <w:kern w:val="0"/>
          <w:sz w:val="24"/>
          <w:highlight w:val="none"/>
        </w:rPr>
      </w:pP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甲方：中国电信[  ]公司</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法定代表人/负责人</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或授权代表：</w:t>
      </w:r>
    </w:p>
    <w:p>
      <w:pPr>
        <w:spacing w:line="360" w:lineRule="exact"/>
        <w:ind w:firstLine="480" w:firstLineChars="200"/>
        <w:rPr>
          <w:rFonts w:hint="eastAsia" w:ascii="宋体" w:hAnsi="宋体" w:cs="宋体"/>
          <w:b/>
          <w:kern w:val="0"/>
          <w:sz w:val="28"/>
          <w:szCs w:val="28"/>
          <w:highlight w:val="none"/>
        </w:rPr>
      </w:pPr>
      <w:r>
        <w:rPr>
          <w:rFonts w:hint="eastAsia" w:ascii="仿宋" w:hAnsi="仿宋" w:eastAsia="仿宋"/>
          <w:kern w:val="0"/>
          <w:sz w:val="24"/>
          <w:highlight w:val="none"/>
        </w:rPr>
        <w:t>[  ]</w:t>
      </w:r>
      <w:r>
        <w:rPr>
          <w:rFonts w:hint="eastAsia" w:ascii="仿宋" w:hAnsi="仿宋" w:eastAsia="仿宋"/>
          <w:sz w:val="24"/>
          <w:highlight w:val="none"/>
        </w:rPr>
        <w:t>年</w:t>
      </w:r>
      <w:r>
        <w:rPr>
          <w:rFonts w:hint="eastAsia" w:ascii="仿宋" w:hAnsi="仿宋" w:eastAsia="仿宋"/>
          <w:kern w:val="0"/>
          <w:sz w:val="24"/>
          <w:highlight w:val="none"/>
        </w:rPr>
        <w:t>[  ]</w:t>
      </w:r>
      <w:r>
        <w:rPr>
          <w:rFonts w:hint="eastAsia" w:ascii="仿宋" w:hAnsi="仿宋" w:eastAsia="仿宋"/>
          <w:sz w:val="24"/>
          <w:highlight w:val="none"/>
        </w:rPr>
        <w:t>月</w:t>
      </w:r>
      <w:r>
        <w:rPr>
          <w:rFonts w:hint="eastAsia" w:ascii="仿宋" w:hAnsi="仿宋" w:eastAsia="仿宋"/>
          <w:kern w:val="0"/>
          <w:sz w:val="24"/>
          <w:highlight w:val="none"/>
        </w:rPr>
        <w:t>[  ]</w:t>
      </w:r>
      <w:r>
        <w:rPr>
          <w:rFonts w:hint="eastAsia" w:ascii="仿宋" w:hAnsi="仿宋" w:eastAsia="仿宋"/>
          <w:sz w:val="24"/>
          <w:highlight w:val="none"/>
        </w:rPr>
        <w:t>日</w:t>
      </w:r>
    </w:p>
    <w:p>
      <w:pPr>
        <w:widowControl/>
        <w:jc w:val="left"/>
        <w:rPr>
          <w:rFonts w:ascii="宋体" w:hAnsi="宋体" w:cs="宋体"/>
          <w:b/>
          <w:kern w:val="0"/>
          <w:sz w:val="28"/>
          <w:szCs w:val="28"/>
          <w:highlight w:val="none"/>
        </w:rPr>
        <w:sectPr>
          <w:pgSz w:w="11906" w:h="16838"/>
          <w:pgMar w:top="1440" w:right="1800" w:bottom="1440" w:left="1800" w:header="851" w:footer="992" w:gutter="0"/>
          <w:pgNumType w:fmt="decimal"/>
          <w:cols w:space="720" w:num="1"/>
          <w:docGrid w:type="lines" w:linePitch="312" w:charSpace="0"/>
        </w:sectPr>
      </w:pPr>
    </w:p>
    <w:p>
      <w:pPr>
        <w:jc w:val="center"/>
        <w:outlineLvl w:val="0"/>
        <w:rPr>
          <w:rFonts w:hint="eastAsia" w:eastAsia="方正小标宋简体"/>
          <w:sz w:val="32"/>
          <w:szCs w:val="32"/>
          <w:highlight w:val="none"/>
        </w:rPr>
      </w:pPr>
      <w:bookmarkStart w:id="28" w:name="_Toc25211"/>
      <w:r>
        <w:rPr>
          <w:rFonts w:hint="eastAsia" w:eastAsia="方正小标宋简体"/>
          <w:sz w:val="32"/>
          <w:szCs w:val="32"/>
          <w:highlight w:val="none"/>
        </w:rPr>
        <w:t>第五部分</w:t>
      </w:r>
      <w:r>
        <w:rPr>
          <w:rFonts w:eastAsia="方正小标宋简体"/>
          <w:sz w:val="32"/>
          <w:szCs w:val="32"/>
          <w:highlight w:val="none"/>
        </w:rPr>
        <w:t xml:space="preserve">  </w:t>
      </w:r>
      <w:r>
        <w:rPr>
          <w:rFonts w:hint="eastAsia" w:eastAsia="方正小标宋简体"/>
          <w:sz w:val="32"/>
          <w:szCs w:val="32"/>
          <w:highlight w:val="none"/>
        </w:rPr>
        <w:t>附件</w:t>
      </w:r>
      <w:r>
        <w:rPr>
          <w:rFonts w:eastAsia="方正小标宋简体"/>
          <w:sz w:val="32"/>
          <w:szCs w:val="32"/>
          <w:highlight w:val="none"/>
        </w:rPr>
        <w:t>/</w:t>
      </w:r>
      <w:r>
        <w:rPr>
          <w:rFonts w:hint="eastAsia" w:eastAsia="方正小标宋简体"/>
          <w:sz w:val="32"/>
          <w:szCs w:val="32"/>
          <w:highlight w:val="none"/>
        </w:rPr>
        <w:t>投标文件格式</w:t>
      </w:r>
      <w:bookmarkEnd w:id="23"/>
      <w:bookmarkEnd w:id="24"/>
      <w:bookmarkEnd w:id="25"/>
      <w:bookmarkEnd w:id="26"/>
      <w:bookmarkEnd w:id="27"/>
      <w:bookmarkEnd w:id="28"/>
    </w:p>
    <w:p>
      <w:pPr>
        <w:outlineLvl w:val="0"/>
        <w:rPr>
          <w:rFonts w:hint="eastAsia" w:ascii="黑体" w:eastAsia="黑体"/>
          <w:sz w:val="24"/>
          <w:highlight w:val="none"/>
        </w:rPr>
      </w:pPr>
      <w:bookmarkStart w:id="29" w:name="_Toc19616"/>
      <w:r>
        <w:rPr>
          <w:rFonts w:hint="eastAsia" w:ascii="黑体" w:eastAsia="黑体"/>
          <w:sz w:val="24"/>
          <w:highlight w:val="none"/>
        </w:rPr>
        <w:t>附件1报价表</w:t>
      </w:r>
      <w:bookmarkEnd w:id="29"/>
    </w:p>
    <w:p>
      <w:pPr>
        <w:pStyle w:val="4"/>
        <w:outlineLvl w:val="9"/>
        <w:rPr>
          <w:sz w:val="28"/>
          <w:szCs w:val="18"/>
          <w:highlight w:val="none"/>
        </w:rPr>
      </w:pPr>
    </w:p>
    <w:p>
      <w:pPr>
        <w:shd w:val="clear" w:color="auto" w:fill="FFFFFF"/>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项目名称：                                       项目编号：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32"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项目</w:t>
            </w:r>
          </w:p>
        </w:tc>
        <w:tc>
          <w:tcPr>
            <w:tcW w:w="4778"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投标总报价（人民币）</w:t>
            </w:r>
          </w:p>
        </w:tc>
        <w:tc>
          <w:tcPr>
            <w:tcW w:w="4778" w:type="dxa"/>
            <w:noWrap w:val="0"/>
            <w:vAlign w:val="center"/>
          </w:tcPr>
          <w:p>
            <w:pPr>
              <w:shd w:val="clear" w:color="auto" w:fill="FFFFFF"/>
              <w:spacing w:line="500" w:lineRule="exact"/>
              <w:rPr>
                <w:rFonts w:ascii="宋体" w:hAnsi="宋体"/>
                <w:color w:val="000000"/>
                <w:szCs w:val="21"/>
                <w:highlight w:val="none"/>
              </w:rPr>
            </w:pPr>
            <w:r>
              <w:rPr>
                <w:rFonts w:hint="eastAsia" w:ascii="宋体" w:hAnsi="宋体"/>
                <w:color w:val="000000"/>
                <w:szCs w:val="21"/>
                <w:highlight w:val="none"/>
              </w:rPr>
              <w:t>小写：</w:t>
            </w:r>
            <w:r>
              <w:rPr>
                <w:rFonts w:hint="eastAsia" w:ascii="宋体" w:hAnsi="宋体"/>
                <w:color w:val="000000"/>
                <w:szCs w:val="21"/>
                <w:highlight w:val="none"/>
                <w:u w:val="single"/>
              </w:rPr>
              <w:t xml:space="preserve">             </w:t>
            </w:r>
            <w:r>
              <w:rPr>
                <w:rFonts w:hint="eastAsia" w:ascii="宋体" w:hAnsi="宋体"/>
                <w:color w:val="000000"/>
                <w:szCs w:val="21"/>
                <w:highlight w:val="none"/>
              </w:rPr>
              <w:t>（元）</w:t>
            </w:r>
          </w:p>
          <w:p>
            <w:pPr>
              <w:shd w:val="clear" w:color="auto" w:fill="FFFFFF"/>
              <w:spacing w:line="500" w:lineRule="exact"/>
              <w:rPr>
                <w:rFonts w:hint="eastAsia" w:ascii="宋体" w:hAnsi="宋体"/>
                <w:color w:val="000000"/>
                <w:szCs w:val="21"/>
                <w:highlight w:val="none"/>
              </w:rPr>
            </w:pPr>
            <w:r>
              <w:rPr>
                <w:rFonts w:hint="eastAsia" w:ascii="宋体" w:hAnsi="宋体"/>
                <w:color w:val="000000"/>
                <w:szCs w:val="21"/>
                <w:highlight w:val="none"/>
              </w:rPr>
              <w:t>大写：</w:t>
            </w:r>
            <w:r>
              <w:rPr>
                <w:rFonts w:hint="eastAsia" w:ascii="宋体" w:hAnsi="宋体"/>
                <w:color w:val="00000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732"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服务期</w:t>
            </w:r>
          </w:p>
        </w:tc>
        <w:tc>
          <w:tcPr>
            <w:tcW w:w="4778" w:type="dxa"/>
            <w:noWrap w:val="0"/>
            <w:vAlign w:val="center"/>
          </w:tcPr>
          <w:p>
            <w:pPr>
              <w:shd w:val="clear" w:color="auto" w:fill="FFFFFF"/>
              <w:spacing w:line="500" w:lineRule="exac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32" w:type="dxa"/>
            <w:noWrap w:val="0"/>
            <w:vAlign w:val="center"/>
          </w:tcPr>
          <w:p>
            <w:pPr>
              <w:shd w:val="clear" w:color="auto" w:fill="FFFFFF"/>
              <w:tabs>
                <w:tab w:val="left" w:pos="3780"/>
              </w:tabs>
              <w:spacing w:line="500" w:lineRule="exact"/>
              <w:jc w:val="center"/>
              <w:rPr>
                <w:rFonts w:ascii="宋体" w:hAnsi="宋体"/>
                <w:color w:val="000000"/>
                <w:szCs w:val="21"/>
                <w:highlight w:val="none"/>
              </w:rPr>
            </w:pPr>
            <w:r>
              <w:rPr>
                <w:rFonts w:hint="eastAsia" w:ascii="宋体" w:hAnsi="宋体"/>
                <w:color w:val="000000"/>
                <w:szCs w:val="21"/>
                <w:highlight w:val="none"/>
              </w:rPr>
              <w:t>质量标准</w:t>
            </w:r>
          </w:p>
        </w:tc>
        <w:tc>
          <w:tcPr>
            <w:tcW w:w="4778" w:type="dxa"/>
            <w:noWrap w:val="0"/>
            <w:vAlign w:val="center"/>
          </w:tcPr>
          <w:p>
            <w:pPr>
              <w:shd w:val="clear" w:color="auto" w:fill="FFFFFF"/>
              <w:spacing w:line="500" w:lineRule="exac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noWrap w:val="0"/>
            <w:vAlign w:val="center"/>
          </w:tcPr>
          <w:p>
            <w:pPr>
              <w:shd w:val="clear" w:color="auto" w:fill="FFFFFF"/>
              <w:tabs>
                <w:tab w:val="left" w:pos="3780"/>
              </w:tabs>
              <w:spacing w:line="500" w:lineRule="exact"/>
              <w:rPr>
                <w:rFonts w:ascii="宋体" w:hAnsi="宋体"/>
                <w:color w:val="000000"/>
                <w:szCs w:val="21"/>
                <w:highlight w:val="none"/>
              </w:rPr>
            </w:pPr>
            <w:r>
              <w:rPr>
                <w:rFonts w:hint="eastAsia" w:ascii="宋体" w:hAnsi="宋体"/>
                <w:color w:val="000000"/>
                <w:szCs w:val="21"/>
                <w:highlight w:val="none"/>
              </w:rPr>
              <w:t>报价总说明：</w:t>
            </w:r>
          </w:p>
        </w:tc>
      </w:tr>
    </w:tbl>
    <w:p>
      <w:pPr>
        <w:shd w:val="clear" w:color="auto" w:fill="FFFFFF"/>
        <w:tabs>
          <w:tab w:val="left" w:pos="3780"/>
        </w:tabs>
        <w:spacing w:line="500" w:lineRule="exact"/>
        <w:ind w:firstLine="420" w:firstLineChars="200"/>
        <w:rPr>
          <w:rFonts w:ascii="宋体" w:hAnsi="宋体"/>
          <w:color w:val="000000"/>
          <w:szCs w:val="21"/>
          <w:highlight w:val="none"/>
        </w:rPr>
      </w:pPr>
    </w:p>
    <w:p>
      <w:pPr>
        <w:shd w:val="clear" w:color="auto" w:fill="FFFFFF"/>
        <w:tabs>
          <w:tab w:val="left" w:pos="3780"/>
        </w:tabs>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投标人（盖公章）：</w:t>
      </w:r>
    </w:p>
    <w:p>
      <w:pPr>
        <w:shd w:val="clear" w:color="auto" w:fill="FFFFFF"/>
        <w:tabs>
          <w:tab w:val="left" w:pos="3780"/>
        </w:tabs>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法定代表人（签字或盖章）：</w:t>
      </w:r>
    </w:p>
    <w:p>
      <w:pPr>
        <w:shd w:val="clear" w:color="auto" w:fill="FFFFFF"/>
        <w:tabs>
          <w:tab w:val="left" w:pos="3780"/>
        </w:tabs>
        <w:spacing w:line="500" w:lineRule="exact"/>
        <w:ind w:firstLine="420" w:firstLineChars="200"/>
        <w:rPr>
          <w:rFonts w:ascii="宋体" w:hAnsi="宋体"/>
          <w:color w:val="000000"/>
          <w:szCs w:val="21"/>
          <w:highlight w:val="none"/>
        </w:rPr>
      </w:pPr>
      <w:r>
        <w:rPr>
          <w:rFonts w:hint="eastAsia" w:ascii="宋体" w:hAnsi="宋体"/>
          <w:color w:val="000000"/>
          <w:szCs w:val="21"/>
          <w:highlight w:val="none"/>
        </w:rPr>
        <w:t>授权代理人（签字）：</w:t>
      </w:r>
    </w:p>
    <w:p>
      <w:pPr>
        <w:shd w:val="clear" w:color="auto" w:fill="FFFFFF"/>
        <w:tabs>
          <w:tab w:val="left" w:pos="3780"/>
        </w:tabs>
        <w:spacing w:line="500" w:lineRule="exact"/>
        <w:ind w:firstLine="420" w:firstLineChars="200"/>
        <w:jc w:val="left"/>
        <w:rPr>
          <w:rFonts w:ascii="宋体" w:hAnsi="宋体"/>
          <w:color w:val="000000"/>
          <w:szCs w:val="21"/>
          <w:highlight w:val="none"/>
        </w:rPr>
      </w:pPr>
      <w:r>
        <w:rPr>
          <w:rFonts w:ascii="宋体" w:hAnsi="宋体"/>
          <w:color w:val="000000"/>
          <w:szCs w:val="21"/>
          <w:highlight w:val="none"/>
        </w:rPr>
        <w:t>日期</w:t>
      </w:r>
      <w:r>
        <w:rPr>
          <w:rFonts w:hint="eastAsia" w:ascii="宋体" w:hAnsi="宋体"/>
          <w:color w:val="000000"/>
          <w:szCs w:val="21"/>
          <w:highlight w:val="none"/>
        </w:rPr>
        <w:t>： 年  月  日</w:t>
      </w:r>
    </w:p>
    <w:p>
      <w:pPr>
        <w:shd w:val="clear" w:color="auto" w:fill="FFFFFF"/>
        <w:tabs>
          <w:tab w:val="left" w:pos="3780"/>
        </w:tabs>
        <w:spacing w:line="500" w:lineRule="exact"/>
        <w:ind w:firstLine="4725" w:firstLineChars="2250"/>
        <w:rPr>
          <w:rFonts w:ascii="宋体" w:hAnsi="宋体"/>
          <w:color w:val="000000"/>
          <w:szCs w:val="21"/>
          <w:highlight w:val="none"/>
        </w:rPr>
      </w:pPr>
    </w:p>
    <w:p>
      <w:pPr>
        <w:shd w:val="clear" w:color="auto" w:fill="FFFFFF"/>
        <w:spacing w:line="500" w:lineRule="exact"/>
        <w:ind w:firstLine="428" w:firstLineChars="204"/>
        <w:outlineLvl w:val="0"/>
        <w:rPr>
          <w:rFonts w:ascii="宋体" w:hAnsi="宋体"/>
          <w:color w:val="000000"/>
          <w:szCs w:val="21"/>
          <w:highlight w:val="none"/>
        </w:rPr>
      </w:pPr>
      <w:bookmarkStart w:id="30" w:name="_Toc22723"/>
      <w:r>
        <w:rPr>
          <w:rFonts w:hint="eastAsia" w:ascii="宋体" w:hAnsi="宋体"/>
          <w:color w:val="000000"/>
          <w:szCs w:val="21"/>
          <w:highlight w:val="none"/>
        </w:rPr>
        <w:t>1、“服务期”指合同生效之日起，多少天内完成合同规定的全部工作内容；</w:t>
      </w:r>
      <w:bookmarkEnd w:id="30"/>
    </w:p>
    <w:p>
      <w:pPr>
        <w:shd w:val="clear" w:color="auto" w:fill="FFFFFF"/>
        <w:spacing w:line="500" w:lineRule="exact"/>
        <w:ind w:firstLine="428" w:firstLineChars="204"/>
        <w:rPr>
          <w:rFonts w:ascii="宋体" w:hAnsi="宋体"/>
          <w:color w:val="000000"/>
          <w:szCs w:val="21"/>
          <w:highlight w:val="none"/>
        </w:rPr>
      </w:pPr>
      <w:r>
        <w:rPr>
          <w:rFonts w:hint="eastAsia" w:ascii="宋体" w:hAnsi="宋体"/>
          <w:color w:val="000000"/>
          <w:szCs w:val="21"/>
          <w:highlight w:val="none"/>
        </w:rPr>
        <w:t>2、投标单位如果需要对投标报价或其它内容加以说明，可在报价说明中填写；</w:t>
      </w:r>
    </w:p>
    <w:p>
      <w:pPr>
        <w:shd w:val="clear" w:color="auto" w:fill="FFFFFF"/>
        <w:spacing w:line="500" w:lineRule="exact"/>
        <w:ind w:firstLine="428" w:firstLineChars="204"/>
        <w:rPr>
          <w:highlight w:val="none"/>
        </w:rPr>
        <w:sectPr>
          <w:pgSz w:w="11906" w:h="16838"/>
          <w:pgMar w:top="1588" w:right="1361" w:bottom="1588" w:left="1531" w:header="851" w:footer="992" w:gutter="0"/>
          <w:pgNumType w:fmt="decimal"/>
          <w:cols w:space="720" w:num="1"/>
          <w:docGrid w:type="lines" w:linePitch="312" w:charSpace="0"/>
        </w:sectPr>
      </w:pPr>
      <w:r>
        <w:rPr>
          <w:rFonts w:hint="eastAsia" w:ascii="宋体" w:hAnsi="宋体"/>
          <w:color w:val="000000"/>
          <w:szCs w:val="21"/>
          <w:highlight w:val="none"/>
        </w:rPr>
        <w:t>3、投标人须按所投标段分别编制、提交。</w:t>
      </w:r>
    </w:p>
    <w:p>
      <w:pPr>
        <w:outlineLvl w:val="0"/>
        <w:rPr>
          <w:rFonts w:hint="eastAsia" w:ascii="黑体" w:hAnsi="宋体" w:eastAsia="黑体"/>
          <w:sz w:val="24"/>
          <w:highlight w:val="none"/>
        </w:rPr>
      </w:pPr>
      <w:bookmarkStart w:id="31" w:name="_Toc3989"/>
      <w:r>
        <w:rPr>
          <w:rFonts w:hint="eastAsia" w:ascii="黑体" w:eastAsia="黑体"/>
          <w:sz w:val="24"/>
          <w:highlight w:val="none"/>
        </w:rPr>
        <w:t>附件2</w:t>
      </w:r>
      <w:bookmarkEnd w:id="31"/>
    </w:p>
    <w:p>
      <w:pPr>
        <w:jc w:val="center"/>
        <w:rPr>
          <w:rFonts w:hint="eastAsia" w:eastAsia="方正小标宋简体"/>
          <w:sz w:val="44"/>
          <w:szCs w:val="44"/>
          <w:highlight w:val="none"/>
        </w:rPr>
      </w:pPr>
      <w:r>
        <w:rPr>
          <w:rFonts w:hint="eastAsia" w:eastAsia="方正小标宋简体"/>
          <w:sz w:val="44"/>
          <w:szCs w:val="44"/>
          <w:highlight w:val="none"/>
        </w:rPr>
        <w:t>响应函</w:t>
      </w:r>
    </w:p>
    <w:p>
      <w:pPr>
        <w:spacing w:line="560" w:lineRule="exact"/>
        <w:rPr>
          <w:rFonts w:ascii="宋体" w:hAnsi="宋体"/>
          <w:sz w:val="28"/>
          <w:szCs w:val="28"/>
          <w:highlight w:val="none"/>
        </w:rPr>
      </w:pPr>
      <w:r>
        <w:rPr>
          <w:rFonts w:hint="eastAsia" w:ascii="宋体" w:hAnsi="宋体"/>
          <w:sz w:val="28"/>
          <w:szCs w:val="28"/>
          <w:highlight w:val="none"/>
        </w:rPr>
        <w:t>（招标采购机构名称）：</w:t>
      </w:r>
    </w:p>
    <w:p>
      <w:pPr>
        <w:spacing w:line="460" w:lineRule="exact"/>
        <w:ind w:firstLine="420" w:firstLineChars="200"/>
        <w:rPr>
          <w:rFonts w:hint="eastAsia" w:ascii="宋体" w:hAnsi="宋体"/>
          <w:highlight w:val="none"/>
        </w:rPr>
      </w:pPr>
      <w:r>
        <w:rPr>
          <w:rFonts w:hint="eastAsia" w:ascii="宋体" w:hAnsi="宋体"/>
          <w:highlight w:val="none"/>
        </w:rPr>
        <w:t>我方参加贵部组织的</w:t>
      </w:r>
      <w:r>
        <w:rPr>
          <w:rFonts w:hint="eastAsia" w:ascii="宋体" w:hAnsi="宋体"/>
          <w:highlight w:val="none"/>
          <w:u w:val="single"/>
        </w:rPr>
        <w:t>（项目编号、项目名称）</w:t>
      </w:r>
      <w:r>
        <w:rPr>
          <w:rFonts w:hint="eastAsia" w:ascii="宋体" w:hAnsi="宋体"/>
          <w:highlight w:val="none"/>
        </w:rPr>
        <w:t>采购活动，并对</w:t>
      </w:r>
      <w:r>
        <w:rPr>
          <w:rFonts w:hint="eastAsia" w:ascii="宋体" w:hAnsi="宋体"/>
          <w:highlight w:val="none"/>
          <w:u w:val="single"/>
        </w:rPr>
        <w:t>（包号或货物名称）</w:t>
      </w:r>
      <w:r>
        <w:rPr>
          <w:rFonts w:hint="eastAsia" w:ascii="宋体" w:hAnsi="宋体"/>
          <w:highlight w:val="none"/>
        </w:rPr>
        <w:t>进行响应。</w:t>
      </w:r>
    </w:p>
    <w:p>
      <w:pPr>
        <w:numPr>
          <w:ilvl w:val="0"/>
          <w:numId w:val="41"/>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按照采购文件规定递交</w:t>
      </w:r>
      <w:r>
        <w:rPr>
          <w:rFonts w:hint="eastAsia" w:ascii="宋体" w:hAnsi="宋体"/>
          <w:highlight w:val="none"/>
          <w:lang w:val="zh-CN"/>
        </w:rPr>
        <w:t>响应文件正本</w:t>
      </w:r>
      <w:r>
        <w:rPr>
          <w:rFonts w:hint="eastAsia" w:ascii="宋体" w:hAnsi="宋体"/>
          <w:highlight w:val="none"/>
          <w:u w:val="single"/>
          <w:lang w:val="zh-CN"/>
        </w:rPr>
        <w:t xml:space="preserve">    </w:t>
      </w:r>
      <w:r>
        <w:rPr>
          <w:rFonts w:hint="eastAsia" w:ascii="宋体" w:hAnsi="宋体"/>
          <w:highlight w:val="none"/>
          <w:lang w:val="zh-CN"/>
        </w:rPr>
        <w:t>份和副本</w:t>
      </w:r>
      <w:r>
        <w:rPr>
          <w:rFonts w:hint="eastAsia" w:ascii="宋体" w:hAnsi="宋体"/>
          <w:highlight w:val="none"/>
          <w:u w:val="single"/>
          <w:lang w:val="zh-CN"/>
        </w:rPr>
        <w:t xml:space="preserve">    </w:t>
      </w:r>
      <w:r>
        <w:rPr>
          <w:rFonts w:hint="eastAsia" w:ascii="宋体" w:hAnsi="宋体"/>
          <w:highlight w:val="none"/>
          <w:lang w:val="zh-CN"/>
        </w:rPr>
        <w:t>份</w:t>
      </w:r>
      <w:r>
        <w:rPr>
          <w:rFonts w:hint="eastAsia" w:ascii="宋体" w:hAnsi="宋体"/>
          <w:highlight w:val="none"/>
        </w:rPr>
        <w:t>，电子版响应文件</w:t>
      </w:r>
      <w:r>
        <w:rPr>
          <w:rFonts w:hint="eastAsia" w:ascii="宋体" w:hAnsi="宋体"/>
          <w:highlight w:val="none"/>
          <w:u w:val="single"/>
        </w:rPr>
        <w:t xml:space="preserve">    </w:t>
      </w:r>
      <w:r>
        <w:rPr>
          <w:rFonts w:hint="eastAsia" w:ascii="宋体" w:hAnsi="宋体"/>
          <w:highlight w:val="none"/>
        </w:rPr>
        <w:t>份。其中，《价格文件》</w:t>
      </w:r>
      <w:r>
        <w:rPr>
          <w:rFonts w:hint="eastAsia" w:ascii="宋体" w:hAnsi="宋体"/>
          <w:highlight w:val="none"/>
          <w:u w:val="single"/>
        </w:rPr>
        <w:t>3</w:t>
      </w:r>
      <w:r>
        <w:rPr>
          <w:rFonts w:hint="eastAsia" w:ascii="宋体" w:hAnsi="宋体"/>
          <w:highlight w:val="none"/>
        </w:rPr>
        <w:t>份单独密封提交。</w:t>
      </w:r>
    </w:p>
    <w:p>
      <w:pPr>
        <w:numPr>
          <w:ilvl w:val="0"/>
          <w:numId w:val="41"/>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lang w:val="zh-CN"/>
        </w:rPr>
        <w:t>我方已完全理解采购文件的全部内容，自愿接受并执行采购文件的全部条款</w:t>
      </w:r>
      <w:r>
        <w:rPr>
          <w:rFonts w:hint="eastAsia" w:ascii="宋体" w:hAnsi="宋体"/>
          <w:highlight w:val="none"/>
        </w:rPr>
        <w:t>。</w:t>
      </w:r>
    </w:p>
    <w:p>
      <w:pPr>
        <w:numPr>
          <w:ilvl w:val="0"/>
          <w:numId w:val="41"/>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本响应文件</w:t>
      </w:r>
      <w:r>
        <w:rPr>
          <w:rFonts w:hint="eastAsia" w:ascii="宋体" w:hAnsi="宋体"/>
          <w:highlight w:val="none"/>
          <w:lang w:val="zh-CN"/>
        </w:rPr>
        <w:t>有效期自递交响应文件截止之日起90日内有效</w:t>
      </w:r>
      <w:r>
        <w:rPr>
          <w:rFonts w:hint="eastAsia" w:ascii="宋体" w:hAnsi="宋体"/>
          <w:highlight w:val="none"/>
        </w:rPr>
        <w:t>。</w:t>
      </w:r>
    </w:p>
    <w:p>
      <w:pPr>
        <w:numPr>
          <w:ilvl w:val="0"/>
          <w:numId w:val="41"/>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snapToGrid w:val="0"/>
          <w:highlight w:val="none"/>
          <w:lang w:val="zh-CN"/>
        </w:rPr>
        <w:t>我方在参与响应前已仔细研究了采购文件和所有相关资料</w:t>
      </w:r>
      <w:r>
        <w:rPr>
          <w:rFonts w:hint="eastAsia" w:ascii="宋体" w:hAnsi="宋体" w:cs="宋体"/>
          <w:snapToGrid w:val="0"/>
          <w:highlight w:val="none"/>
          <w:lang w:val="zh-CN"/>
        </w:rPr>
        <w:t>，同意采购文件的相关条款。</w:t>
      </w:r>
    </w:p>
    <w:p>
      <w:pPr>
        <w:numPr>
          <w:ilvl w:val="0"/>
          <w:numId w:val="41"/>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我方声明响应文件及所提供的一切资料均真实有效。由于我方提供资料不实而造成的责任和后果由我方承担。我方同意按照贵部要求，提供与招标有关数据或信息。</w:t>
      </w:r>
    </w:p>
    <w:p>
      <w:pPr>
        <w:numPr>
          <w:ilvl w:val="0"/>
          <w:numId w:val="41"/>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我方承诺自愿遵守、执行甲方采购管理法规制度及政策规定。</w:t>
      </w:r>
    </w:p>
    <w:p>
      <w:pPr>
        <w:numPr>
          <w:ilvl w:val="0"/>
          <w:numId w:val="41"/>
        </w:numPr>
        <w:tabs>
          <w:tab w:val="left" w:pos="0"/>
          <w:tab w:val="left" w:pos="771"/>
        </w:tabs>
        <w:spacing w:line="460" w:lineRule="exact"/>
        <w:ind w:left="0" w:firstLine="420" w:firstLineChars="200"/>
        <w:rPr>
          <w:rFonts w:hint="eastAsia" w:ascii="宋体" w:hAnsi="宋体"/>
          <w:highlight w:val="none"/>
        </w:rPr>
      </w:pPr>
      <w:r>
        <w:rPr>
          <w:rFonts w:hint="eastAsia" w:ascii="宋体" w:hAnsi="宋体"/>
          <w:highlight w:val="none"/>
        </w:rPr>
        <w:t>联系方式</w:t>
      </w:r>
    </w:p>
    <w:p>
      <w:pPr>
        <w:spacing w:line="460" w:lineRule="exact"/>
        <w:ind w:firstLine="844" w:firstLineChars="402"/>
        <w:rPr>
          <w:rFonts w:hint="eastAsia" w:ascii="宋体" w:hAnsi="宋体"/>
          <w:highlight w:val="none"/>
        </w:rPr>
      </w:pPr>
      <w:r>
        <w:rPr>
          <w:rFonts w:hint="eastAsia" w:ascii="宋体" w:hAnsi="宋体"/>
          <w:highlight w:val="none"/>
        </w:rPr>
        <w:t xml:space="preserve">联 系 人：        电话：          传真：     </w:t>
      </w:r>
    </w:p>
    <w:p>
      <w:pPr>
        <w:spacing w:line="460" w:lineRule="exact"/>
        <w:ind w:firstLine="844" w:firstLineChars="402"/>
        <w:rPr>
          <w:rFonts w:hint="eastAsia" w:ascii="宋体" w:hAnsi="宋体"/>
          <w:highlight w:val="none"/>
        </w:rPr>
      </w:pPr>
      <w:r>
        <w:rPr>
          <w:rFonts w:hint="eastAsia" w:ascii="宋体" w:hAnsi="宋体"/>
          <w:highlight w:val="none"/>
        </w:rPr>
        <w:t xml:space="preserve">地    址：                        邮政编码：        </w:t>
      </w:r>
    </w:p>
    <w:p>
      <w:pPr>
        <w:spacing w:line="460" w:lineRule="exact"/>
        <w:ind w:firstLine="844" w:firstLineChars="402"/>
        <w:rPr>
          <w:rFonts w:hint="eastAsia" w:ascii="宋体" w:hAnsi="宋体"/>
          <w:highlight w:val="none"/>
        </w:rPr>
      </w:pPr>
      <w:r>
        <w:rPr>
          <w:rFonts w:hint="eastAsia" w:ascii="宋体" w:hAnsi="宋体"/>
          <w:highlight w:val="none"/>
        </w:rPr>
        <w:t>开户名称：</w:t>
      </w:r>
    </w:p>
    <w:p>
      <w:pPr>
        <w:spacing w:line="460" w:lineRule="exact"/>
        <w:ind w:firstLine="844" w:firstLineChars="402"/>
        <w:rPr>
          <w:rFonts w:hint="eastAsia" w:ascii="宋体" w:hAnsi="宋体"/>
          <w:highlight w:val="none"/>
        </w:rPr>
      </w:pPr>
      <w:r>
        <w:rPr>
          <w:rFonts w:hint="eastAsia" w:ascii="宋体" w:hAnsi="宋体"/>
          <w:highlight w:val="none"/>
        </w:rPr>
        <w:t xml:space="preserve">开户银行：                       </w:t>
      </w:r>
    </w:p>
    <w:p>
      <w:pPr>
        <w:spacing w:line="460" w:lineRule="exact"/>
        <w:ind w:firstLine="844" w:firstLineChars="402"/>
        <w:rPr>
          <w:rFonts w:hint="eastAsia" w:ascii="宋体" w:hAnsi="宋体"/>
          <w:highlight w:val="none"/>
        </w:rPr>
      </w:pPr>
      <w:r>
        <w:rPr>
          <w:rFonts w:hint="eastAsia" w:ascii="宋体" w:hAnsi="宋体"/>
          <w:highlight w:val="none"/>
        </w:rPr>
        <w:t xml:space="preserve">银行账号：                        </w:t>
      </w:r>
    </w:p>
    <w:p>
      <w:pPr>
        <w:spacing w:line="560" w:lineRule="exact"/>
        <w:ind w:firstLine="1029" w:firstLineChars="490"/>
        <w:rPr>
          <w:rFonts w:hint="eastAsia"/>
          <w:highlight w:val="none"/>
        </w:rPr>
      </w:pPr>
    </w:p>
    <w:p>
      <w:pPr>
        <w:jc w:val="center"/>
        <w:rPr>
          <w:highlight w:val="none"/>
          <w:lang w:val="zh-CN"/>
        </w:rPr>
      </w:pPr>
      <w:r>
        <w:rPr>
          <w:rFonts w:hint="eastAsia"/>
          <w:highlight w:val="none"/>
          <w:lang w:val="zh-CN"/>
        </w:rPr>
        <w:t>供应商全称：（盖章）</w:t>
      </w:r>
    </w:p>
    <w:p>
      <w:pPr>
        <w:jc w:val="center"/>
        <w:rPr>
          <w:highlight w:val="none"/>
          <w:lang w:val="zh-CN"/>
        </w:rPr>
      </w:pPr>
    </w:p>
    <w:p>
      <w:pPr>
        <w:jc w:val="center"/>
        <w:rPr>
          <w:highlight w:val="none"/>
          <w:lang w:val="zh-CN"/>
        </w:rPr>
      </w:pPr>
      <w:r>
        <w:rPr>
          <w:highlight w:val="none"/>
          <w:lang w:val="zh-CN"/>
        </w:rPr>
        <w:t xml:space="preserve">              </w:t>
      </w:r>
      <w:r>
        <w:rPr>
          <w:rFonts w:hint="eastAsia"/>
          <w:highlight w:val="none"/>
          <w:lang w:val="zh-CN"/>
        </w:rPr>
        <w:t>法定代表人（或授权代表）：（签字）</w:t>
      </w:r>
    </w:p>
    <w:p>
      <w:pPr>
        <w:jc w:val="center"/>
        <w:rPr>
          <w:highlight w:val="none"/>
          <w:lang w:val="zh-CN"/>
        </w:rPr>
      </w:pPr>
    </w:p>
    <w:p>
      <w:pPr>
        <w:rPr>
          <w:sz w:val="24"/>
          <w:highlight w:val="none"/>
        </w:rPr>
      </w:pPr>
      <w:r>
        <w:rPr>
          <w:highlight w:val="none"/>
          <w:lang w:val="zh-CN"/>
        </w:rPr>
        <w:t xml:space="preserve">                                               </w:t>
      </w:r>
      <w:r>
        <w:rPr>
          <w:rFonts w:hint="eastAsia"/>
          <w:highlight w:val="none"/>
          <w:lang w:val="zh-CN"/>
        </w:rPr>
        <w:t>年</w:t>
      </w:r>
      <w:r>
        <w:rPr>
          <w:highlight w:val="none"/>
          <w:lang w:val="zh-CN"/>
        </w:rPr>
        <w:t xml:space="preserve">     </w:t>
      </w:r>
      <w:r>
        <w:rPr>
          <w:rFonts w:hint="eastAsia"/>
          <w:highlight w:val="none"/>
          <w:lang w:val="zh-CN"/>
        </w:rPr>
        <w:t>月</w:t>
      </w:r>
      <w:r>
        <w:rPr>
          <w:highlight w:val="none"/>
          <w:lang w:val="zh-CN"/>
        </w:rPr>
        <w:t xml:space="preserve">     </w:t>
      </w:r>
      <w:r>
        <w:rPr>
          <w:rFonts w:hint="eastAsia"/>
          <w:highlight w:val="none"/>
          <w:lang w:val="zh-CN"/>
        </w:rPr>
        <w:t>日</w:t>
      </w:r>
    </w:p>
    <w:p>
      <w:pPr>
        <w:spacing w:after="312" w:afterLines="100"/>
        <w:rPr>
          <w:rFonts w:eastAsia="方正小标宋简体"/>
          <w:sz w:val="32"/>
          <w:szCs w:val="32"/>
          <w:highlight w:val="none"/>
          <w:lang w:val="zh-CN"/>
        </w:rPr>
        <w:sectPr>
          <w:pgSz w:w="11906" w:h="16838"/>
          <w:pgMar w:top="1440" w:right="1753" w:bottom="1440" w:left="1753" w:header="851" w:footer="992" w:gutter="0"/>
          <w:pgNumType w:fmt="decimal"/>
          <w:cols w:space="720" w:num="1"/>
          <w:docGrid w:type="lines" w:linePitch="312" w:charSpace="0"/>
        </w:sectPr>
      </w:pPr>
    </w:p>
    <w:p>
      <w:pPr>
        <w:jc w:val="left"/>
        <w:outlineLvl w:val="0"/>
        <w:rPr>
          <w:rFonts w:hint="eastAsia" w:ascii="黑体" w:eastAsia="黑体"/>
          <w:sz w:val="24"/>
          <w:highlight w:val="none"/>
        </w:rPr>
      </w:pPr>
      <w:bookmarkStart w:id="32" w:name="_Toc26784"/>
      <w:r>
        <w:rPr>
          <w:rFonts w:hint="eastAsia" w:ascii="黑体" w:eastAsia="黑体"/>
          <w:sz w:val="24"/>
          <w:highlight w:val="none"/>
        </w:rPr>
        <w:t>附件3</w:t>
      </w:r>
      <w:bookmarkEnd w:id="32"/>
      <w:r>
        <w:rPr>
          <w:rFonts w:hint="eastAsia" w:ascii="黑体" w:eastAsia="黑体"/>
          <w:sz w:val="24"/>
          <w:highlight w:val="none"/>
        </w:rPr>
        <w:t xml:space="preserve">                </w:t>
      </w:r>
    </w:p>
    <w:p>
      <w:pPr>
        <w:ind w:firstLine="1920" w:firstLineChars="600"/>
        <w:jc w:val="left"/>
        <w:rPr>
          <w:rFonts w:hint="eastAsia" w:eastAsia="方正小标宋简体"/>
          <w:sz w:val="32"/>
          <w:szCs w:val="32"/>
          <w:highlight w:val="none"/>
        </w:rPr>
      </w:pPr>
      <w:r>
        <w:rPr>
          <w:rFonts w:hint="eastAsia" w:eastAsia="方正小标宋简体"/>
          <w:sz w:val="32"/>
          <w:szCs w:val="32"/>
          <w:highlight w:val="none"/>
        </w:rPr>
        <w:t>主要商务条款响应偏离表</w:t>
      </w:r>
    </w:p>
    <w:p>
      <w:pPr>
        <w:spacing w:line="560" w:lineRule="exact"/>
        <w:jc w:val="left"/>
        <w:rPr>
          <w:sz w:val="24"/>
          <w:highlight w:val="none"/>
        </w:rPr>
      </w:pPr>
      <w:r>
        <w:rPr>
          <w:rFonts w:hint="eastAsia"/>
          <w:highlight w:val="none"/>
        </w:rPr>
        <w:t>项目名称：</w:t>
      </w:r>
      <w:r>
        <w:rPr>
          <w:highlight w:val="none"/>
        </w:rPr>
        <w:t xml:space="preserve">                                                 </w:t>
      </w:r>
      <w:r>
        <w:rPr>
          <w:rFonts w:hint="eastAsia"/>
          <w:highlight w:val="none"/>
        </w:rPr>
        <w:t>项目编号：</w:t>
      </w:r>
      <w:r>
        <w:rPr>
          <w:highlight w:val="non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1"/>
        <w:gridCol w:w="2340"/>
        <w:gridCol w:w="2624"/>
        <w:gridCol w:w="850"/>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序号</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谈判文件条目号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ind w:firstLine="86" w:firstLineChars="41"/>
              <w:jc w:val="center"/>
              <w:rPr>
                <w:sz w:val="24"/>
                <w:highlight w:val="none"/>
              </w:rPr>
            </w:pPr>
            <w:r>
              <w:rPr>
                <w:rFonts w:hint="eastAsia"/>
                <w:highlight w:val="none"/>
              </w:rPr>
              <w:t>谈判文件商务条款</w:t>
            </w: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谈判文件商务条款响应</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偏离</w:t>
            </w: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jc w:val="center"/>
              <w:rPr>
                <w:sz w:val="24"/>
                <w:highlight w:val="none"/>
              </w:rPr>
            </w:pPr>
            <w:r>
              <w:rPr>
                <w:rFonts w:hint="eastAsia"/>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197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2624"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line="360" w:lineRule="auto"/>
              <w:rPr>
                <w:sz w:val="24"/>
                <w:highlight w:val="none"/>
              </w:rPr>
            </w:pPr>
          </w:p>
        </w:tc>
      </w:tr>
    </w:tbl>
    <w:p>
      <w:pPr>
        <w:ind w:firstLine="420" w:firstLineChars="200"/>
        <w:rPr>
          <w:highlight w:val="none"/>
        </w:rPr>
      </w:pPr>
      <w:r>
        <w:rPr>
          <w:rFonts w:hint="eastAsia"/>
          <w:highlight w:val="none"/>
        </w:rPr>
        <w:t>商务条款主要包括报价要求、售后服务、专利权和保密要求、交货时间、地点与方式、付款及结算方式等。如有遗漏，请报价方按照谈判文件正文自行补充完整。</w:t>
      </w:r>
    </w:p>
    <w:p>
      <w:pPr>
        <w:spacing w:line="540" w:lineRule="exact"/>
        <w:jc w:val="center"/>
        <w:rPr>
          <w:rFonts w:eastAsia="楷体_GB2312"/>
          <w:b/>
          <w:highlight w:val="none"/>
          <w:u w:val="single"/>
        </w:rPr>
      </w:pPr>
      <w:r>
        <w:rPr>
          <w:rFonts w:hint="eastAsia" w:eastAsia="楷体_GB2312"/>
          <w:b/>
          <w:highlight w:val="none"/>
          <w:u w:val="single"/>
        </w:rPr>
        <w:t>特别提示</w:t>
      </w:r>
    </w:p>
    <w:p>
      <w:pPr>
        <w:ind w:firstLine="420" w:firstLineChars="200"/>
        <w:rPr>
          <w:rFonts w:ascii="宋体" w:hAnsi="宋体"/>
          <w:b/>
          <w:highlight w:val="none"/>
        </w:rPr>
      </w:pPr>
      <w:r>
        <w:rPr>
          <w:rFonts w:hint="eastAsia" w:ascii="宋体" w:hAnsi="宋体"/>
          <w:highlight w:val="none"/>
        </w:rPr>
        <w:t>1.本表所列条款必须予以响应，“报价文件商务条款响应”一栏应填写具体的响应内容，有偏离的要具体说明，</w:t>
      </w:r>
      <w:r>
        <w:rPr>
          <w:rFonts w:hint="eastAsia" w:ascii="宋体" w:hAnsi="宋体"/>
          <w:b/>
          <w:highlight w:val="none"/>
        </w:rPr>
        <w:t>纸面不敷时，可以另加页。</w:t>
      </w:r>
    </w:p>
    <w:p>
      <w:pPr>
        <w:spacing w:line="540" w:lineRule="exact"/>
        <w:ind w:firstLine="420" w:firstLineChars="200"/>
        <w:rPr>
          <w:rFonts w:hint="eastAsia" w:ascii="宋体" w:hAnsi="宋体"/>
          <w:highlight w:val="none"/>
        </w:rPr>
      </w:pPr>
      <w:r>
        <w:rPr>
          <w:rFonts w:hint="eastAsia" w:ascii="宋体" w:hAnsi="宋体"/>
          <w:highlight w:val="none"/>
        </w:rPr>
        <w:t>2.请谈判人认真填写本表内容，如填写错误将可能导致谈判无效。</w:t>
      </w:r>
    </w:p>
    <w:p>
      <w:pPr>
        <w:spacing w:line="560" w:lineRule="exact"/>
        <w:ind w:firstLine="3693" w:firstLineChars="1319"/>
        <w:rPr>
          <w:rFonts w:hint="eastAsia"/>
          <w:sz w:val="28"/>
          <w:szCs w:val="28"/>
          <w:highlight w:val="none"/>
        </w:rPr>
      </w:pPr>
    </w:p>
    <w:p>
      <w:pPr>
        <w:spacing w:line="560" w:lineRule="exact"/>
        <w:ind w:firstLine="3165" w:firstLineChars="1319"/>
        <w:rPr>
          <w:sz w:val="24"/>
          <w:highlight w:val="none"/>
        </w:rPr>
      </w:pPr>
    </w:p>
    <w:p>
      <w:pPr>
        <w:spacing w:line="560" w:lineRule="exact"/>
        <w:ind w:firstLine="2769" w:firstLineChars="1319"/>
        <w:rPr>
          <w:highlight w:val="none"/>
        </w:rPr>
      </w:pPr>
      <w:r>
        <w:rPr>
          <w:rFonts w:hint="eastAsia"/>
          <w:highlight w:val="none"/>
        </w:rPr>
        <w:t>供应商全称：（盖章）</w:t>
      </w:r>
    </w:p>
    <w:p>
      <w:pPr>
        <w:spacing w:line="560" w:lineRule="exact"/>
        <w:ind w:left="6264" w:leftChars="1533" w:hanging="3045" w:hangingChars="1450"/>
        <w:rPr>
          <w:highlight w:val="none"/>
        </w:rPr>
      </w:pPr>
      <w:r>
        <w:rPr>
          <w:rFonts w:hint="eastAsia"/>
          <w:highlight w:val="none"/>
        </w:rPr>
        <w:t>法定代表人（或授权代表）：（签字）</w:t>
      </w:r>
    </w:p>
    <w:p>
      <w:pPr>
        <w:spacing w:line="560" w:lineRule="exact"/>
        <w:ind w:left="6264" w:leftChars="1533" w:hanging="3045" w:hangingChars="1450"/>
        <w:rPr>
          <w:highlight w:val="none"/>
        </w:rPr>
      </w:pPr>
    </w:p>
    <w:p>
      <w:pPr>
        <w:spacing w:line="560" w:lineRule="exact"/>
        <w:ind w:left="6676" w:leftChars="2929" w:hanging="525" w:hangingChars="250"/>
        <w:rPr>
          <w:highlight w:val="none"/>
        </w:rPr>
      </w:pP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w:t>
      </w:r>
    </w:p>
    <w:p>
      <w:pPr>
        <w:rPr>
          <w:rFonts w:ascii="华文中宋" w:hAnsi="华文中宋" w:eastAsia="华文中宋"/>
          <w:sz w:val="32"/>
          <w:szCs w:val="32"/>
          <w:highlight w:val="none"/>
        </w:rPr>
      </w:pPr>
    </w:p>
    <w:p>
      <w:pPr>
        <w:jc w:val="left"/>
        <w:outlineLvl w:val="0"/>
        <w:rPr>
          <w:rFonts w:hint="eastAsia" w:ascii="楷体_GB2312" w:eastAsia="黑体"/>
          <w:b/>
          <w:bCs/>
          <w:sz w:val="24"/>
          <w:highlight w:val="none"/>
        </w:rPr>
      </w:pPr>
      <w:r>
        <w:rPr>
          <w:rFonts w:hint="eastAsia" w:ascii="华文中宋" w:hAnsi="华文中宋" w:eastAsia="华文中宋"/>
          <w:sz w:val="32"/>
          <w:szCs w:val="32"/>
          <w:highlight w:val="none"/>
        </w:rPr>
        <w:br w:type="page"/>
      </w:r>
      <w:bookmarkStart w:id="33" w:name="_Toc30570"/>
      <w:r>
        <w:rPr>
          <w:rFonts w:hint="eastAsia" w:ascii="黑体" w:eastAsia="黑体"/>
          <w:sz w:val="24"/>
          <w:highlight w:val="none"/>
        </w:rPr>
        <w:t>附件5</w:t>
      </w:r>
      <w:bookmarkEnd w:id="33"/>
    </w:p>
    <w:p>
      <w:pPr>
        <w:jc w:val="center"/>
        <w:rPr>
          <w:rFonts w:hint="eastAsia" w:ascii="华文中宋" w:hAnsi="华文中宋" w:eastAsia="华文中宋"/>
          <w:bCs/>
          <w:kern w:val="0"/>
          <w:sz w:val="32"/>
          <w:szCs w:val="32"/>
          <w:highlight w:val="none"/>
        </w:rPr>
      </w:pPr>
      <w:r>
        <w:rPr>
          <w:rFonts w:hint="eastAsia" w:ascii="华文中宋" w:hAnsi="华文中宋" w:eastAsia="华文中宋"/>
          <w:bCs/>
          <w:kern w:val="0"/>
          <w:sz w:val="32"/>
          <w:szCs w:val="32"/>
          <w:highlight w:val="none"/>
        </w:rPr>
        <w:t>法定代表人资格证明书</w:t>
      </w:r>
    </w:p>
    <w:p>
      <w:pPr>
        <w:jc w:val="center"/>
        <w:rPr>
          <w:rFonts w:hint="eastAsia" w:ascii="华文中宋" w:hAnsi="华文中宋" w:eastAsia="华文中宋"/>
          <w:bCs/>
          <w:kern w:val="0"/>
          <w:sz w:val="44"/>
          <w:highlight w:val="none"/>
        </w:rPr>
      </w:pPr>
    </w:p>
    <w:p>
      <w:pPr>
        <w:ind w:firstLine="480" w:firstLineChars="200"/>
        <w:rPr>
          <w:rFonts w:hint="eastAsia" w:eastAsia="楷体_GB2312"/>
          <w:kern w:val="0"/>
          <w:sz w:val="24"/>
          <w:highlight w:val="none"/>
        </w:rPr>
      </w:pPr>
    </w:p>
    <w:p>
      <w:pPr>
        <w:spacing w:line="560" w:lineRule="exact"/>
        <w:ind w:firstLine="480" w:firstLineChars="200"/>
        <w:rPr>
          <w:rFonts w:ascii="宋体" w:hAnsi="宋体"/>
          <w:kern w:val="0"/>
          <w:sz w:val="24"/>
          <w:highlight w:val="none"/>
        </w:rPr>
      </w:pPr>
      <w:r>
        <w:rPr>
          <w:rFonts w:hint="eastAsia" w:ascii="宋体" w:hAnsi="宋体"/>
          <w:kern w:val="0"/>
          <w:sz w:val="24"/>
          <w:highlight w:val="none"/>
          <w:u w:val="single"/>
        </w:rPr>
        <w:t>(法定代表人姓名)</w:t>
      </w:r>
      <w:r>
        <w:rPr>
          <w:rFonts w:hint="eastAsia" w:ascii="宋体" w:hAnsi="宋体"/>
          <w:kern w:val="0"/>
          <w:sz w:val="24"/>
          <w:highlight w:val="none"/>
        </w:rPr>
        <w:t>系</w:t>
      </w:r>
      <w:r>
        <w:rPr>
          <w:rFonts w:hint="eastAsia" w:ascii="宋体" w:hAnsi="宋体"/>
          <w:kern w:val="0"/>
          <w:sz w:val="24"/>
          <w:highlight w:val="none"/>
          <w:u w:val="single"/>
        </w:rPr>
        <w:t>（报价方全称）</w:t>
      </w:r>
      <w:r>
        <w:rPr>
          <w:rFonts w:hint="eastAsia" w:ascii="宋体" w:hAnsi="宋体"/>
          <w:kern w:val="0"/>
          <w:sz w:val="24"/>
          <w:highlight w:val="none"/>
        </w:rPr>
        <w:t>的法定代表人。</w:t>
      </w:r>
    </w:p>
    <w:p>
      <w:pPr>
        <w:spacing w:line="560" w:lineRule="exact"/>
        <w:ind w:firstLine="480" w:firstLineChars="200"/>
        <w:rPr>
          <w:rFonts w:hint="eastAsia" w:ascii="宋体" w:hAnsi="宋体"/>
          <w:kern w:val="0"/>
          <w:sz w:val="24"/>
          <w:highlight w:val="none"/>
        </w:rPr>
      </w:pPr>
    </w:p>
    <w:p>
      <w:pPr>
        <w:spacing w:line="560" w:lineRule="exact"/>
        <w:ind w:firstLine="480" w:firstLineChars="200"/>
        <w:rPr>
          <w:rFonts w:hint="eastAsia" w:ascii="宋体" w:hAnsi="宋体"/>
          <w:kern w:val="0"/>
          <w:sz w:val="24"/>
          <w:highlight w:val="none"/>
        </w:rPr>
      </w:pPr>
      <w:r>
        <w:rPr>
          <w:rFonts w:hint="eastAsia" w:ascii="宋体" w:hAnsi="宋体"/>
          <w:kern w:val="0"/>
          <w:sz w:val="24"/>
          <w:highlight w:val="none"/>
        </w:rPr>
        <w:t xml:space="preserve">性别：                        职务： </w:t>
      </w:r>
    </w:p>
    <w:p>
      <w:pPr>
        <w:spacing w:line="560" w:lineRule="exact"/>
        <w:ind w:firstLine="480" w:firstLineChars="200"/>
        <w:rPr>
          <w:rFonts w:hint="eastAsia" w:ascii="宋体" w:hAnsi="宋体"/>
          <w:kern w:val="0"/>
          <w:sz w:val="24"/>
          <w:highlight w:val="none"/>
        </w:rPr>
      </w:pPr>
      <w:r>
        <w:rPr>
          <w:rFonts w:hint="eastAsia" w:ascii="宋体" w:hAnsi="宋体"/>
          <w:kern w:val="0"/>
          <w:sz w:val="24"/>
          <w:highlight w:val="none"/>
        </w:rPr>
        <w:t xml:space="preserve">身份证号码： </w:t>
      </w:r>
    </w:p>
    <w:p>
      <w:pPr>
        <w:spacing w:line="560" w:lineRule="exact"/>
        <w:rPr>
          <w:rFonts w:hint="eastAsia" w:ascii="宋体" w:hAnsi="宋体"/>
          <w:kern w:val="0"/>
          <w:sz w:val="24"/>
          <w:highlight w:val="none"/>
        </w:rPr>
      </w:pPr>
    </w:p>
    <w:p>
      <w:pPr>
        <w:spacing w:line="560" w:lineRule="exact"/>
        <w:rPr>
          <w:rFonts w:hint="eastAsia" w:ascii="宋体" w:hAnsi="宋体"/>
          <w:kern w:val="0"/>
          <w:sz w:val="24"/>
          <w:highlight w:val="none"/>
        </w:rPr>
      </w:pPr>
      <w:r>
        <w:rPr>
          <w:rFonts w:hint="eastAsia" w:ascii="宋体" w:hAnsi="宋体"/>
          <w:kern w:val="0"/>
          <w:sz w:val="24"/>
          <w:highlight w:val="none"/>
        </w:rPr>
        <w:t xml:space="preserve">          特此证明</w:t>
      </w:r>
    </w:p>
    <w:p>
      <w:pPr>
        <w:spacing w:line="560" w:lineRule="exact"/>
        <w:rPr>
          <w:rFonts w:hint="eastAsia" w:ascii="宋体" w:hAnsi="宋体"/>
          <w:kern w:val="0"/>
          <w:sz w:val="24"/>
          <w:highlight w:val="none"/>
        </w:rPr>
      </w:pPr>
    </w:p>
    <w:p>
      <w:pPr>
        <w:spacing w:line="560" w:lineRule="exact"/>
        <w:ind w:firstLine="4200" w:firstLineChars="1750"/>
        <w:rPr>
          <w:rFonts w:hint="eastAsia" w:ascii="宋体" w:hAnsi="宋体"/>
          <w:kern w:val="0"/>
          <w:sz w:val="24"/>
          <w:highlight w:val="none"/>
        </w:rPr>
      </w:pPr>
    </w:p>
    <w:p>
      <w:pPr>
        <w:spacing w:line="560" w:lineRule="exact"/>
        <w:jc w:val="center"/>
        <w:rPr>
          <w:rFonts w:hint="eastAsia" w:ascii="宋体" w:hAnsi="宋体"/>
          <w:kern w:val="0"/>
          <w:sz w:val="24"/>
          <w:highlight w:val="none"/>
        </w:rPr>
      </w:pPr>
      <w:r>
        <w:rPr>
          <w:rFonts w:hint="eastAsia" w:ascii="宋体" w:hAnsi="宋体"/>
          <w:kern w:val="0"/>
          <w:sz w:val="24"/>
          <w:highlight w:val="none"/>
        </w:rPr>
        <w:t xml:space="preserve">                   </w:t>
      </w:r>
      <w:r>
        <w:rPr>
          <w:rFonts w:hint="eastAsia" w:ascii="宋体" w:hAnsi="宋体"/>
          <w:sz w:val="24"/>
          <w:highlight w:val="none"/>
        </w:rPr>
        <w:t>供应商</w:t>
      </w:r>
      <w:r>
        <w:rPr>
          <w:rFonts w:hint="eastAsia" w:ascii="宋体" w:hAnsi="宋体"/>
          <w:kern w:val="0"/>
          <w:sz w:val="24"/>
          <w:highlight w:val="none"/>
        </w:rPr>
        <w:t>全称：（盖章）</w:t>
      </w:r>
    </w:p>
    <w:p>
      <w:pPr>
        <w:spacing w:line="560" w:lineRule="exact"/>
        <w:jc w:val="left"/>
        <w:rPr>
          <w:rFonts w:hint="eastAsia" w:ascii="宋体" w:hAnsi="宋体"/>
          <w:kern w:val="0"/>
          <w:sz w:val="24"/>
          <w:highlight w:val="none"/>
        </w:rPr>
      </w:pPr>
    </w:p>
    <w:p>
      <w:pPr>
        <w:spacing w:line="560" w:lineRule="exact"/>
        <w:jc w:val="center"/>
        <w:rPr>
          <w:rFonts w:hint="eastAsia" w:ascii="宋体" w:hAnsi="宋体"/>
          <w:kern w:val="0"/>
          <w:sz w:val="24"/>
          <w:highlight w:val="none"/>
        </w:rPr>
      </w:pPr>
      <w:r>
        <w:rPr>
          <w:rFonts w:hint="eastAsia" w:ascii="宋体" w:hAnsi="宋体"/>
          <w:kern w:val="0"/>
          <w:sz w:val="24"/>
          <w:highlight w:val="none"/>
        </w:rPr>
        <w:t xml:space="preserve">                         年  月  日</w:t>
      </w:r>
    </w:p>
    <w:p>
      <w:pPr>
        <w:spacing w:line="560" w:lineRule="exact"/>
        <w:ind w:firstLine="5980" w:firstLineChars="1869"/>
        <w:jc w:val="left"/>
        <w:rPr>
          <w:rFonts w:hint="eastAsia" w:ascii="宋体" w:hAnsi="宋体"/>
          <w:kern w:val="0"/>
          <w:sz w:val="32"/>
          <w:szCs w:val="32"/>
          <w:highlight w:val="none"/>
        </w:rPr>
      </w:pPr>
    </w:p>
    <w:p>
      <w:pPr>
        <w:ind w:firstLine="5980" w:firstLineChars="1869"/>
        <w:jc w:val="left"/>
        <w:rPr>
          <w:rFonts w:hint="eastAsia" w:ascii="宋体" w:hAnsi="宋体"/>
          <w:sz w:val="32"/>
          <w:szCs w:val="32"/>
          <w:highlight w:val="none"/>
        </w:rPr>
      </w:pPr>
    </w:p>
    <w:p>
      <w:pPr>
        <w:ind w:firstLine="3924" w:firstLineChars="1869"/>
        <w:jc w:val="left"/>
        <w:rPr>
          <w:rFonts w:hint="eastAsia" w:ascii="宋体" w:hAnsi="宋体"/>
          <w:sz w:val="32"/>
          <w:szCs w:val="32"/>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191135</wp:posOffset>
                </wp:positionH>
                <wp:positionV relativeFrom="paragraph">
                  <wp:posOffset>285750</wp:posOffset>
                </wp:positionV>
                <wp:extent cx="4560570" cy="1517015"/>
                <wp:effectExtent l="4445" t="4445" r="6985" b="21590"/>
                <wp:wrapNone/>
                <wp:docPr id="2" name="文本框 2"/>
                <wp:cNvGraphicFramePr/>
                <a:graphic xmlns:a="http://schemas.openxmlformats.org/drawingml/2006/main">
                  <a:graphicData uri="http://schemas.microsoft.com/office/word/2010/wordprocessingShape">
                    <wps:wsp>
                      <wps:cNvSpPr txBox="1"/>
                      <wps:spPr>
                        <a:xfrm>
                          <a:off x="0" y="0"/>
                          <a:ext cx="4560570" cy="15170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sz w:val="28"/>
                                <w:szCs w:val="28"/>
                              </w:rPr>
                            </w:pPr>
                            <w:r>
                              <w:rPr>
                                <w:rFonts w:hint="eastAsia" w:ascii="宋体" w:hAnsi="宋体"/>
                                <w:sz w:val="28"/>
                                <w:szCs w:val="28"/>
                              </w:rPr>
                              <w:t>法定代表人身份证复印件</w:t>
                            </w:r>
                          </w:p>
                          <w:p>
                            <w:pPr>
                              <w:rPr>
                                <w:sz w:val="28"/>
                                <w:szCs w:val="28"/>
                              </w:rPr>
                            </w:pPr>
                          </w:p>
                        </w:txbxContent>
                      </wps:txbx>
                      <wps:bodyPr anchor="ctr" anchorCtr="0" upright="1"/>
                    </wps:wsp>
                  </a:graphicData>
                </a:graphic>
              </wp:anchor>
            </w:drawing>
          </mc:Choice>
          <mc:Fallback>
            <w:pict>
              <v:shape id="_x0000_s1026" o:spid="_x0000_s1026" o:spt="202" type="#_x0000_t202" style="position:absolute;left:0pt;margin-left:15.05pt;margin-top:22.5pt;height:119.45pt;width:359.1pt;z-index:251659264;v-text-anchor:middle;mso-width-relative:page;mso-height-relative:page;" fillcolor="#FFFFFF" filled="t" stroked="t" coordsize="21600,21600" o:gfxdata="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sg/sNcAAAAJAQAA&#10;DwAAAAAAAAABACAAAAAiAAAAZHJzL2Rvd25yZXYueG1sUEsBAhQAFAAAAAgAh07iQEz1PKcaAgAA&#10;UQQAAA4AAAAAAAAAAQAgAAAAJgEAAGRycy9lMm9Eb2MueG1sUEsFBgAAAAAGAAYAWQEAALIFAAAA&#10;AA==&#10;">
                <v:fill on="t" focussize="0,0"/>
                <v:stroke color="#000000" joinstyle="miter" dashstyle="dash"/>
                <v:imagedata o:title=""/>
                <o:lock v:ext="edit" aspectratio="f"/>
                <v:textbox>
                  <w:txbxContent>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ascii="宋体" w:hAnsi="宋体"/>
                        </w:rPr>
                      </w:pPr>
                    </w:p>
                    <w:p>
                      <w:pPr>
                        <w:jc w:val="center"/>
                        <w:rPr>
                          <w:rFonts w:hint="eastAsia"/>
                          <w:sz w:val="28"/>
                          <w:szCs w:val="28"/>
                        </w:rPr>
                      </w:pPr>
                      <w:r>
                        <w:rPr>
                          <w:rFonts w:hint="eastAsia" w:ascii="宋体" w:hAnsi="宋体"/>
                          <w:sz w:val="28"/>
                          <w:szCs w:val="28"/>
                        </w:rPr>
                        <w:t>法定代表人身份证复印件</w:t>
                      </w:r>
                    </w:p>
                    <w:p>
                      <w:pPr>
                        <w:rPr>
                          <w:sz w:val="28"/>
                          <w:szCs w:val="28"/>
                        </w:rPr>
                      </w:pPr>
                    </w:p>
                  </w:txbxContent>
                </v:textbox>
              </v:shape>
            </w:pict>
          </mc:Fallback>
        </mc:AlternateContent>
      </w:r>
    </w:p>
    <w:p>
      <w:pPr>
        <w:ind w:firstLine="5980" w:firstLineChars="1869"/>
        <w:jc w:val="left"/>
        <w:rPr>
          <w:rFonts w:hint="eastAsia" w:ascii="宋体" w:hAnsi="宋体"/>
          <w:sz w:val="32"/>
          <w:szCs w:val="32"/>
          <w:highlight w:val="none"/>
        </w:rPr>
      </w:pPr>
    </w:p>
    <w:p>
      <w:pPr>
        <w:ind w:firstLine="3924" w:firstLineChars="1869"/>
        <w:jc w:val="left"/>
        <w:rPr>
          <w:rFonts w:hint="eastAsia" w:ascii="宋体" w:hAnsi="宋体"/>
          <w:highlight w:val="none"/>
        </w:rPr>
      </w:pPr>
    </w:p>
    <w:p>
      <w:pPr>
        <w:outlineLvl w:val="0"/>
        <w:rPr>
          <w:rFonts w:hint="eastAsia" w:ascii="楷体_GB2312" w:eastAsia="黑体"/>
          <w:b/>
          <w:bCs/>
          <w:sz w:val="24"/>
          <w:highlight w:val="none"/>
        </w:rPr>
      </w:pPr>
      <w:r>
        <w:rPr>
          <w:rFonts w:hint="eastAsia" w:ascii="黑体" w:eastAsia="黑体"/>
          <w:sz w:val="32"/>
          <w:szCs w:val="32"/>
          <w:highlight w:val="none"/>
        </w:rPr>
        <w:br w:type="page"/>
      </w:r>
      <w:bookmarkStart w:id="34" w:name="_Toc1532"/>
      <w:r>
        <w:rPr>
          <w:rFonts w:hint="eastAsia" w:ascii="黑体" w:eastAsia="黑体" w:cs="宋体"/>
          <w:sz w:val="24"/>
          <w:highlight w:val="none"/>
          <w:lang w:val="zh-CN"/>
        </w:rPr>
        <w:t>附件</w:t>
      </w:r>
      <w:r>
        <w:rPr>
          <w:rFonts w:hint="eastAsia" w:ascii="黑体" w:eastAsia="黑体" w:cs="宋体"/>
          <w:sz w:val="24"/>
          <w:highlight w:val="none"/>
        </w:rPr>
        <w:t>6</w:t>
      </w:r>
      <w:bookmarkEnd w:id="34"/>
    </w:p>
    <w:p>
      <w:pPr>
        <w:jc w:val="center"/>
        <w:rPr>
          <w:rFonts w:hint="eastAsia" w:ascii="华文中宋" w:hAnsi="华文中宋" w:eastAsia="华文中宋"/>
          <w:bCs/>
          <w:kern w:val="0"/>
          <w:sz w:val="32"/>
          <w:szCs w:val="32"/>
          <w:highlight w:val="none"/>
        </w:rPr>
      </w:pPr>
      <w:r>
        <w:rPr>
          <w:rFonts w:hint="eastAsia" w:ascii="华文中宋" w:hAnsi="华文中宋" w:eastAsia="华文中宋"/>
          <w:bCs/>
          <w:kern w:val="0"/>
          <w:sz w:val="32"/>
          <w:szCs w:val="32"/>
          <w:highlight w:val="none"/>
        </w:rPr>
        <w:t>法定代表人授权书</w:t>
      </w:r>
    </w:p>
    <w:p>
      <w:pPr>
        <w:spacing w:line="560" w:lineRule="exact"/>
        <w:rPr>
          <w:rFonts w:hint="eastAsia" w:ascii="宋体" w:hAnsi="宋体"/>
          <w:kern w:val="0"/>
          <w:sz w:val="28"/>
          <w:szCs w:val="28"/>
          <w:highlight w:val="none"/>
        </w:rPr>
      </w:pPr>
    </w:p>
    <w:p>
      <w:pPr>
        <w:spacing w:line="600" w:lineRule="exact"/>
        <w:rPr>
          <w:rFonts w:hint="eastAsia" w:ascii="楷体_GB2312" w:hAnsi="宋体" w:eastAsia="楷体_GB2312"/>
          <w:kern w:val="0"/>
          <w:sz w:val="24"/>
          <w:highlight w:val="none"/>
        </w:rPr>
      </w:pPr>
      <w:r>
        <w:rPr>
          <w:rFonts w:hint="eastAsia" w:ascii="楷体_GB2312" w:hAnsi="宋体" w:eastAsia="楷体_GB2312"/>
          <w:kern w:val="0"/>
          <w:sz w:val="24"/>
          <w:highlight w:val="none"/>
          <w:u w:val="single"/>
        </w:rPr>
        <w:t xml:space="preserve">                    </w:t>
      </w:r>
      <w:r>
        <w:rPr>
          <w:rFonts w:hint="eastAsia" w:ascii="楷体_GB2312" w:hAnsi="宋体" w:eastAsia="楷体_GB2312"/>
          <w:kern w:val="0"/>
          <w:sz w:val="24"/>
          <w:highlight w:val="none"/>
        </w:rPr>
        <w:t>：</w:t>
      </w:r>
    </w:p>
    <w:p>
      <w:pPr>
        <w:spacing w:line="600" w:lineRule="exact"/>
        <w:ind w:firstLine="511" w:firstLineChars="213"/>
        <w:rPr>
          <w:rFonts w:hint="eastAsia" w:ascii="宋体" w:hAnsi="宋体"/>
          <w:kern w:val="0"/>
          <w:sz w:val="24"/>
          <w:highlight w:val="none"/>
        </w:rPr>
      </w:pPr>
      <w:r>
        <w:rPr>
          <w:rFonts w:hint="eastAsia" w:ascii="宋体" w:hAnsi="宋体"/>
          <w:kern w:val="0"/>
          <w:sz w:val="24"/>
          <w:highlight w:val="none"/>
          <w:u w:val="single"/>
        </w:rPr>
        <w:t>(报价方全称)</w:t>
      </w:r>
      <w:r>
        <w:rPr>
          <w:rFonts w:hint="eastAsia" w:ascii="宋体" w:hAnsi="宋体"/>
          <w:kern w:val="0"/>
          <w:sz w:val="24"/>
          <w:highlight w:val="none"/>
        </w:rPr>
        <w:t>法定代表人</w:t>
      </w:r>
      <w:r>
        <w:rPr>
          <w:rFonts w:hint="eastAsia" w:ascii="宋体" w:hAnsi="宋体"/>
          <w:kern w:val="0"/>
          <w:sz w:val="24"/>
          <w:highlight w:val="none"/>
          <w:u w:val="single"/>
        </w:rPr>
        <w:t>(姓名、职务)</w:t>
      </w:r>
      <w:r>
        <w:rPr>
          <w:rFonts w:hint="eastAsia" w:ascii="宋体" w:hAnsi="宋体"/>
          <w:kern w:val="0"/>
          <w:sz w:val="24"/>
          <w:highlight w:val="none"/>
        </w:rPr>
        <w:t xml:space="preserve"> 授权</w:t>
      </w:r>
      <w:r>
        <w:rPr>
          <w:rFonts w:hint="eastAsia" w:ascii="宋体" w:hAnsi="宋体"/>
          <w:kern w:val="0"/>
          <w:sz w:val="24"/>
          <w:highlight w:val="none"/>
          <w:u w:val="single"/>
        </w:rPr>
        <w:t>(授权代表姓名、职务)</w:t>
      </w:r>
      <w:r>
        <w:rPr>
          <w:rFonts w:hint="eastAsia" w:ascii="宋体" w:hAnsi="宋体"/>
          <w:kern w:val="0"/>
          <w:sz w:val="24"/>
          <w:highlight w:val="none"/>
        </w:rPr>
        <w:t>为全权代表，参加贵部组织的项目编号为</w:t>
      </w:r>
      <w:r>
        <w:rPr>
          <w:rFonts w:hint="eastAsia" w:ascii="宋体" w:hAnsi="宋体"/>
          <w:kern w:val="0"/>
          <w:sz w:val="24"/>
          <w:highlight w:val="none"/>
          <w:u w:val="single"/>
        </w:rPr>
        <w:t xml:space="preserve"> (项目编号) </w:t>
      </w:r>
      <w:r>
        <w:rPr>
          <w:rFonts w:hint="eastAsia" w:ascii="宋体" w:hAnsi="宋体"/>
          <w:kern w:val="0"/>
          <w:sz w:val="24"/>
          <w:highlight w:val="none"/>
        </w:rPr>
        <w:t>的</w:t>
      </w:r>
      <w:r>
        <w:rPr>
          <w:rFonts w:hint="eastAsia" w:ascii="宋体" w:hAnsi="宋体"/>
          <w:kern w:val="0"/>
          <w:sz w:val="24"/>
          <w:highlight w:val="none"/>
          <w:u w:val="single"/>
        </w:rPr>
        <w:t xml:space="preserve"> (项目名称) </w:t>
      </w:r>
      <w:r>
        <w:rPr>
          <w:rFonts w:hint="eastAsia" w:ascii="宋体" w:hAnsi="宋体"/>
          <w:kern w:val="0"/>
          <w:sz w:val="24"/>
          <w:highlight w:val="none"/>
        </w:rPr>
        <w:t>采购活动，全权处理采购活动中的一切事宜。</w:t>
      </w:r>
    </w:p>
    <w:p>
      <w:pPr>
        <w:spacing w:line="600" w:lineRule="exact"/>
        <w:ind w:firstLine="600"/>
        <w:rPr>
          <w:rFonts w:hint="eastAsia" w:ascii="宋体" w:hAnsi="宋体"/>
          <w:kern w:val="0"/>
          <w:sz w:val="24"/>
          <w:highlight w:val="none"/>
        </w:rPr>
      </w:pPr>
    </w:p>
    <w:p>
      <w:pPr>
        <w:spacing w:line="560" w:lineRule="exact"/>
        <w:ind w:firstLine="600"/>
        <w:rPr>
          <w:rFonts w:hint="eastAsia" w:ascii="宋体" w:hAnsi="宋体"/>
          <w:kern w:val="0"/>
          <w:sz w:val="24"/>
          <w:highlight w:val="none"/>
        </w:rPr>
      </w:pPr>
    </w:p>
    <w:p>
      <w:pPr>
        <w:spacing w:line="560" w:lineRule="exact"/>
        <w:ind w:left="-2" w:leftChars="-1" w:firstLine="3512"/>
        <w:rPr>
          <w:rFonts w:hint="eastAsia" w:ascii="宋体" w:hAnsi="宋体"/>
          <w:kern w:val="0"/>
          <w:sz w:val="24"/>
          <w:highlight w:val="none"/>
        </w:rPr>
      </w:pPr>
      <w:r>
        <w:rPr>
          <w:rFonts w:hint="eastAsia" w:ascii="宋体" w:hAnsi="宋体"/>
          <w:sz w:val="24"/>
          <w:highlight w:val="none"/>
        </w:rPr>
        <w:t>供应商</w:t>
      </w:r>
      <w:r>
        <w:rPr>
          <w:rFonts w:hint="eastAsia" w:ascii="宋体" w:hAnsi="宋体"/>
          <w:kern w:val="0"/>
          <w:sz w:val="24"/>
          <w:highlight w:val="none"/>
        </w:rPr>
        <w:t>全称：（盖章）</w:t>
      </w:r>
    </w:p>
    <w:p>
      <w:pPr>
        <w:spacing w:line="560" w:lineRule="exact"/>
        <w:ind w:left="6360" w:leftChars="1413" w:hanging="3393"/>
        <w:rPr>
          <w:rFonts w:hint="eastAsia" w:ascii="宋体" w:hAnsi="宋体"/>
          <w:kern w:val="0"/>
          <w:sz w:val="24"/>
          <w:highlight w:val="none"/>
        </w:rPr>
      </w:pPr>
      <w:r>
        <w:rPr>
          <w:rFonts w:hint="eastAsia" w:ascii="宋体" w:hAnsi="宋体"/>
          <w:kern w:val="0"/>
          <w:sz w:val="24"/>
          <w:highlight w:val="none"/>
        </w:rPr>
        <w:t xml:space="preserve">                            </w:t>
      </w:r>
    </w:p>
    <w:p>
      <w:pPr>
        <w:spacing w:line="560" w:lineRule="exact"/>
        <w:ind w:left="5935" w:leftChars="1671" w:hanging="2426" w:hangingChars="1011"/>
        <w:rPr>
          <w:rFonts w:hint="eastAsia" w:ascii="宋体" w:hAnsi="宋体"/>
          <w:kern w:val="0"/>
          <w:sz w:val="24"/>
          <w:highlight w:val="none"/>
        </w:rPr>
      </w:pPr>
      <w:r>
        <w:rPr>
          <w:rFonts w:hint="eastAsia" w:ascii="宋体" w:hAnsi="宋体"/>
          <w:kern w:val="0"/>
          <w:sz w:val="24"/>
          <w:highlight w:val="none"/>
        </w:rPr>
        <w:t>法定代表人：（签字）</w:t>
      </w:r>
    </w:p>
    <w:p>
      <w:pPr>
        <w:spacing w:line="560" w:lineRule="exact"/>
        <w:ind w:left="6360" w:leftChars="1413" w:hanging="3393"/>
        <w:rPr>
          <w:rFonts w:hint="eastAsia" w:ascii="宋体" w:hAnsi="宋体"/>
          <w:kern w:val="0"/>
          <w:sz w:val="24"/>
          <w:highlight w:val="none"/>
        </w:rPr>
      </w:pPr>
      <w:r>
        <w:rPr>
          <w:rFonts w:hint="eastAsia" w:ascii="宋体" w:hAnsi="宋体"/>
          <w:kern w:val="0"/>
          <w:sz w:val="24"/>
          <w:highlight w:val="none"/>
        </w:rPr>
        <w:t xml:space="preserve">                                </w:t>
      </w:r>
    </w:p>
    <w:p>
      <w:pPr>
        <w:spacing w:line="560" w:lineRule="exact"/>
        <w:ind w:left="5753" w:leftChars="2214" w:hanging="1104" w:hangingChars="460"/>
        <w:rPr>
          <w:rFonts w:hint="eastAsia" w:ascii="宋体" w:hAnsi="宋体"/>
          <w:kern w:val="0"/>
          <w:sz w:val="24"/>
          <w:highlight w:val="none"/>
        </w:rPr>
      </w:pPr>
      <w:r>
        <w:rPr>
          <w:rFonts w:hint="eastAsia" w:ascii="宋体" w:hAnsi="宋体"/>
          <w:kern w:val="0"/>
          <w:sz w:val="24"/>
          <w:highlight w:val="none"/>
        </w:rPr>
        <w:t>年    月    日</w:t>
      </w:r>
    </w:p>
    <w:p>
      <w:pPr>
        <w:spacing w:line="560" w:lineRule="exact"/>
        <w:rPr>
          <w:rFonts w:hint="eastAsia" w:ascii="宋体" w:hAnsi="宋体"/>
          <w:kern w:val="0"/>
          <w:sz w:val="24"/>
          <w:highlight w:val="none"/>
        </w:rPr>
      </w:pPr>
      <w:r>
        <w:rPr>
          <w:rFonts w:hint="eastAsia" w:ascii="宋体" w:hAnsi="宋体"/>
          <w:kern w:val="0"/>
          <w:sz w:val="24"/>
          <w:highlight w:val="none"/>
        </w:rPr>
        <w:t>附：</w:t>
      </w:r>
    </w:p>
    <w:p>
      <w:pPr>
        <w:spacing w:line="560" w:lineRule="exact"/>
        <w:ind w:firstLine="573"/>
        <w:rPr>
          <w:rFonts w:hint="eastAsia" w:ascii="宋体" w:hAnsi="宋体"/>
          <w:kern w:val="0"/>
          <w:sz w:val="24"/>
          <w:highlight w:val="none"/>
        </w:rPr>
      </w:pPr>
      <w:r>
        <w:rPr>
          <w:rFonts w:hint="eastAsia" w:ascii="宋体" w:hAnsi="宋体"/>
          <w:kern w:val="0"/>
          <w:sz w:val="24"/>
          <w:highlight w:val="none"/>
        </w:rPr>
        <w:t>授权代表姓名：              身份证号码：</w:t>
      </w:r>
    </w:p>
    <w:p>
      <w:pPr>
        <w:spacing w:line="560" w:lineRule="exact"/>
        <w:ind w:firstLine="573"/>
        <w:rPr>
          <w:rFonts w:hint="eastAsia" w:ascii="宋体" w:hAnsi="宋体"/>
          <w:kern w:val="0"/>
          <w:sz w:val="24"/>
          <w:highlight w:val="none"/>
        </w:rPr>
      </w:pPr>
      <w:r>
        <w:rPr>
          <w:rFonts w:hint="eastAsia" w:ascii="宋体" w:hAnsi="宋体"/>
          <w:kern w:val="0"/>
          <w:sz w:val="24"/>
          <w:highlight w:val="none"/>
        </w:rPr>
        <w:t>职    务：                  电    话：</w:t>
      </w:r>
    </w:p>
    <w:p>
      <w:pPr>
        <w:spacing w:line="560" w:lineRule="exact"/>
        <w:ind w:firstLine="573"/>
        <w:rPr>
          <w:rFonts w:hint="eastAsia" w:ascii="宋体" w:hAnsi="宋体"/>
          <w:kern w:val="0"/>
          <w:sz w:val="24"/>
          <w:highlight w:val="none"/>
        </w:rPr>
      </w:pPr>
      <w:r>
        <w:rPr>
          <w:rFonts w:hint="eastAsia" w:ascii="宋体" w:hAnsi="宋体"/>
          <w:kern w:val="0"/>
          <w:sz w:val="24"/>
          <w:highlight w:val="none"/>
        </w:rPr>
        <w:t>传    真：                  邮    编：</w:t>
      </w:r>
    </w:p>
    <w:p>
      <w:pPr>
        <w:spacing w:line="560" w:lineRule="exact"/>
        <w:ind w:firstLine="573"/>
        <w:rPr>
          <w:rFonts w:hint="eastAsia" w:ascii="宋体" w:hAnsi="宋体"/>
          <w:kern w:val="0"/>
          <w:sz w:val="24"/>
          <w:highlight w:val="none"/>
        </w:rPr>
      </w:pPr>
      <w:r>
        <w:rPr>
          <w:rFonts w:hint="eastAsia" w:ascii="宋体" w:hAnsi="宋体"/>
          <w:kern w:val="0"/>
          <w:sz w:val="24"/>
          <w:highlight w:val="none"/>
        </w:rPr>
        <w:t>通讯地址：</w:t>
      </w:r>
    </w:p>
    <w:p>
      <w:pPr>
        <w:rPr>
          <w:rFonts w:hint="eastAsia" w:ascii="宋体" w:hAnsi="宋体"/>
          <w:kern w:val="0"/>
          <w:sz w:val="24"/>
          <w:highlight w:val="none"/>
        </w:rPr>
      </w:pPr>
    </w:p>
    <w:p>
      <w:pPr>
        <w:rPr>
          <w:rFonts w:hint="eastAsia" w:ascii="宋体" w:hAnsi="宋体"/>
          <w:sz w:val="24"/>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12065</wp:posOffset>
                </wp:positionV>
                <wp:extent cx="4639945" cy="1339850"/>
                <wp:effectExtent l="4445" t="4445" r="22860" b="8255"/>
                <wp:wrapNone/>
                <wp:docPr id="3" name="文本框 3"/>
                <wp:cNvGraphicFramePr/>
                <a:graphic xmlns:a="http://schemas.openxmlformats.org/drawingml/2006/main">
                  <a:graphicData uri="http://schemas.microsoft.com/office/word/2010/wordprocessingShape">
                    <wps:wsp>
                      <wps:cNvSpPr txBox="1"/>
                      <wps:spPr>
                        <a:xfrm>
                          <a:off x="0" y="0"/>
                          <a:ext cx="4639945" cy="1339850"/>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sz w:val="28"/>
                                <w:szCs w:val="28"/>
                              </w:rPr>
                            </w:pPr>
                            <w:r>
                              <w:rPr>
                                <w:rFonts w:hint="eastAsia" w:ascii="宋体" w:hAnsi="宋体"/>
                                <w:sz w:val="28"/>
                                <w:szCs w:val="28"/>
                              </w:rPr>
                              <w:t>授权代表身份证复印件</w:t>
                            </w:r>
                          </w:p>
                          <w:p>
                            <w:pPr>
                              <w:rPr>
                                <w:sz w:val="28"/>
                                <w:szCs w:val="28"/>
                              </w:rPr>
                            </w:pPr>
                          </w:p>
                        </w:txbxContent>
                      </wps:txbx>
                      <wps:bodyPr anchor="ctr" anchorCtr="0" upright="1"/>
                    </wps:wsp>
                  </a:graphicData>
                </a:graphic>
              </wp:anchor>
            </w:drawing>
          </mc:Choice>
          <mc:Fallback>
            <w:pict>
              <v:shape id="_x0000_s1026" o:spid="_x0000_s1026" o:spt="202" type="#_x0000_t202" style="position:absolute;left:0pt;margin-left:10.1pt;margin-top:0.95pt;height:105.5pt;width:365.35pt;z-index:251660288;v-text-anchor:middle;mso-width-relative:page;mso-height-relative:page;" fillcolor="#FFFFFF" filled="t" stroked="t" coordsize="21600,21600" o:gfxdata="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cyegdQAAAAIAQAA&#10;DwAAAAAAAAABACAAAAAiAAAAZHJzL2Rvd25yZXYueG1sUEsBAhQAFAAAAAgAh07iQAjz6Q0dAgAA&#10;UQQAAA4AAAAAAAAAAQAgAAAAIwEAAGRycy9lMm9Eb2MueG1sUEsFBgAAAAAGAAYAWQEAALIFAAAA&#10;AA==&#10;">
                <v:fill on="t" focussize="0,0"/>
                <v:stroke color="#000000" joinstyle="miter" dashstyle="dash"/>
                <v:imagedata o:title=""/>
                <o:lock v:ext="edit" aspectratio="f"/>
                <v:textbox>
                  <w:txbxContent>
                    <w:p>
                      <w:pPr>
                        <w:jc w:val="center"/>
                        <w:rPr>
                          <w:rFonts w:ascii="宋体" w:hAnsi="宋体"/>
                        </w:rPr>
                      </w:pPr>
                    </w:p>
                    <w:p>
                      <w:pPr>
                        <w:jc w:val="center"/>
                        <w:rPr>
                          <w:rFonts w:hint="eastAsia" w:ascii="宋体" w:hAnsi="宋体"/>
                        </w:rPr>
                      </w:pPr>
                    </w:p>
                    <w:p>
                      <w:pPr>
                        <w:jc w:val="center"/>
                        <w:rPr>
                          <w:rFonts w:hint="eastAsia" w:ascii="宋体" w:hAnsi="宋体"/>
                        </w:rPr>
                      </w:pPr>
                    </w:p>
                    <w:p>
                      <w:pPr>
                        <w:jc w:val="center"/>
                        <w:rPr>
                          <w:rFonts w:hint="eastAsia"/>
                          <w:sz w:val="28"/>
                          <w:szCs w:val="28"/>
                        </w:rPr>
                      </w:pPr>
                      <w:r>
                        <w:rPr>
                          <w:rFonts w:hint="eastAsia" w:ascii="宋体" w:hAnsi="宋体"/>
                          <w:sz w:val="28"/>
                          <w:szCs w:val="28"/>
                        </w:rPr>
                        <w:t>授权代表身份证复印件</w:t>
                      </w:r>
                    </w:p>
                    <w:p>
                      <w:pPr>
                        <w:rPr>
                          <w:sz w:val="28"/>
                          <w:szCs w:val="28"/>
                        </w:rPr>
                      </w:pPr>
                    </w:p>
                  </w:txbxContent>
                </v:textbox>
              </v:shape>
            </w:pict>
          </mc:Fallback>
        </mc:AlternateContent>
      </w:r>
    </w:p>
    <w:p>
      <w:pPr>
        <w:rPr>
          <w:rFonts w:hint="eastAsia"/>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left"/>
        <w:rPr>
          <w:rFonts w:ascii="黑体" w:eastAsia="黑体" w:cs="宋体"/>
          <w:sz w:val="24"/>
          <w:highlight w:val="none"/>
          <w:lang w:val="zh-CN"/>
        </w:rPr>
      </w:pPr>
    </w:p>
    <w:p>
      <w:pPr>
        <w:pStyle w:val="4"/>
        <w:outlineLvl w:val="9"/>
        <w:rPr>
          <w:highlight w:val="none"/>
        </w:rPr>
        <w:sectPr>
          <w:pgSz w:w="11906" w:h="16838"/>
          <w:pgMar w:top="1440" w:right="1753" w:bottom="1440" w:left="1753" w:header="851" w:footer="992" w:gutter="0"/>
          <w:pgNumType w:fmt="decimal"/>
          <w:cols w:space="720" w:num="1"/>
          <w:docGrid w:type="lines" w:linePitch="312" w:charSpace="0"/>
        </w:sectPr>
      </w:pPr>
    </w:p>
    <w:p>
      <w:pPr>
        <w:jc w:val="left"/>
        <w:outlineLvl w:val="0"/>
        <w:rPr>
          <w:rFonts w:hint="eastAsia" w:ascii="黑体" w:eastAsia="黑体" w:cs="宋体"/>
          <w:sz w:val="24"/>
          <w:highlight w:val="none"/>
        </w:rPr>
      </w:pPr>
      <w:bookmarkStart w:id="35" w:name="_Toc20323"/>
      <w:r>
        <w:rPr>
          <w:rFonts w:hint="eastAsia" w:ascii="黑体" w:eastAsia="黑体" w:cs="宋体"/>
          <w:sz w:val="24"/>
          <w:highlight w:val="none"/>
          <w:lang w:val="zh-CN"/>
        </w:rPr>
        <w:t>附件</w:t>
      </w:r>
      <w:r>
        <w:rPr>
          <w:rFonts w:hint="eastAsia" w:ascii="黑体" w:eastAsia="黑体" w:cs="宋体"/>
          <w:sz w:val="24"/>
          <w:highlight w:val="none"/>
        </w:rPr>
        <w:t>8</w:t>
      </w:r>
      <w:bookmarkEnd w:id="35"/>
    </w:p>
    <w:p>
      <w:pPr>
        <w:rPr>
          <w:rFonts w:hint="eastAsia"/>
          <w:highlight w:val="none"/>
        </w:rPr>
      </w:pPr>
    </w:p>
    <w:p>
      <w:pPr>
        <w:rPr>
          <w:highlight w:val="none"/>
        </w:rPr>
      </w:pPr>
    </w:p>
    <w:p>
      <w:pPr>
        <w:jc w:val="center"/>
        <w:outlineLvl w:val="0"/>
        <w:rPr>
          <w:rFonts w:ascii="宋体" w:hAnsi="宋体"/>
          <w:snapToGrid w:val="0"/>
          <w:kern w:val="0"/>
          <w:sz w:val="30"/>
          <w:szCs w:val="30"/>
          <w:highlight w:val="none"/>
          <w:lang w:val="zh-CN"/>
        </w:rPr>
      </w:pPr>
      <w:bookmarkStart w:id="36" w:name="_Toc25093"/>
      <w:r>
        <w:rPr>
          <w:rFonts w:hint="eastAsia" w:ascii="宋体" w:hAnsi="宋体"/>
          <w:snapToGrid w:val="0"/>
          <w:kern w:val="0"/>
          <w:sz w:val="30"/>
          <w:szCs w:val="30"/>
          <w:highlight w:val="none"/>
          <w:lang w:val="zh-CN"/>
        </w:rPr>
        <w:t>报价方认为需要加以说明的其他内容</w:t>
      </w:r>
      <w:bookmarkEnd w:id="36"/>
    </w:p>
    <w:p>
      <w:pPr>
        <w:jc w:val="center"/>
        <w:rPr>
          <w:rFonts w:hint="eastAsia"/>
          <w:sz w:val="32"/>
          <w:szCs w:val="32"/>
          <w:highlight w:val="none"/>
        </w:rPr>
      </w:pPr>
    </w:p>
    <w:p>
      <w:pPr>
        <w:rPr>
          <w:rFonts w:ascii="宋体" w:hAnsi="宋体" w:cs="宋体"/>
          <w:kern w:val="0"/>
          <w:sz w:val="24"/>
          <w:highlight w:val="none"/>
        </w:rPr>
      </w:pPr>
      <w:r>
        <w:rPr>
          <w:highlight w:val="none"/>
        </w:rPr>
        <w:t>-------------------------------------------------------</w:t>
      </w:r>
      <w:r>
        <w:rPr>
          <w:rFonts w:hint="eastAsia"/>
          <w:highlight w:val="none"/>
        </w:rPr>
        <w:t>结束</w:t>
      </w:r>
      <w:r>
        <w:rPr>
          <w:highlight w:val="none"/>
        </w:rPr>
        <w:t>-------------------------------------------------------</w:t>
      </w:r>
    </w:p>
    <w:p>
      <w:pPr>
        <w:rPr>
          <w:rFonts w:hint="eastAsia"/>
          <w:highlight w:val="none"/>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ascii="楷体_GB2312" w:eastAsia="楷体_GB2312"/>
        <w:sz w:val="21"/>
        <w:szCs w:val="21"/>
      </w:rPr>
    </w:pP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52988"/>
    <w:multiLevelType w:val="singleLevel"/>
    <w:tmpl w:val="C0252988"/>
    <w:lvl w:ilvl="0" w:tentative="0">
      <w:start w:val="2"/>
      <w:numFmt w:val="chineseCounting"/>
      <w:suff w:val="space"/>
      <w:lvlText w:val="第%1部分"/>
      <w:lvlJc w:val="left"/>
      <w:rPr>
        <w:rFonts w:hint="eastAsia"/>
      </w:rPr>
    </w:lvl>
  </w:abstractNum>
  <w:abstractNum w:abstractNumId="1">
    <w:nsid w:val="00000008"/>
    <w:multiLevelType w:val="singleLevel"/>
    <w:tmpl w:val="00000008"/>
    <w:lvl w:ilvl="0" w:tentative="0">
      <w:start w:val="1"/>
      <w:numFmt w:val="decimal"/>
      <w:suff w:val="nothing"/>
      <w:lvlText w:val="%1、"/>
      <w:lvlJc w:val="left"/>
    </w:lvl>
  </w:abstractNum>
  <w:abstractNum w:abstractNumId="2">
    <w:nsid w:val="03E65B4C"/>
    <w:multiLevelType w:val="singleLevel"/>
    <w:tmpl w:val="03E65B4C"/>
    <w:lvl w:ilvl="0" w:tentative="0">
      <w:start w:val="5"/>
      <w:numFmt w:val="chineseCounting"/>
      <w:suff w:val="nothing"/>
      <w:lvlText w:val="%1、"/>
      <w:lvlJc w:val="left"/>
      <w:rPr>
        <w:rFonts w:hint="eastAsia"/>
      </w:rPr>
    </w:lvl>
  </w:abstractNum>
  <w:abstractNum w:abstractNumId="3">
    <w:nsid w:val="0B461EF2"/>
    <w:multiLevelType w:val="multilevel"/>
    <w:tmpl w:val="0B461EF2"/>
    <w:lvl w:ilvl="0" w:tentative="0">
      <w:start w:val="1"/>
      <w:numFmt w:val="decimal"/>
      <w:suff w:val="nothing"/>
      <w:lvlText w:val="%1."/>
      <w:lvlJc w:val="left"/>
      <w:pPr>
        <w:ind w:left="888"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4">
    <w:nsid w:val="0D907DB2"/>
    <w:multiLevelType w:val="multilevel"/>
    <w:tmpl w:val="0D907DB2"/>
    <w:lvl w:ilvl="0" w:tentative="0">
      <w:start w:val="1"/>
      <w:numFmt w:val="decimal"/>
      <w:suff w:val="nothing"/>
      <w:lvlText w:val="%1."/>
      <w:lvlJc w:val="left"/>
      <w:pPr>
        <w:ind w:left="1005" w:hanging="420"/>
      </w:pPr>
      <w:rPr>
        <w:rFonts w:hint="eastAsia" w:ascii="宋体" w:hAnsi="宋体" w:eastAsia="宋体" w:cs="Times New Roman"/>
      </w:rPr>
    </w:lvl>
    <w:lvl w:ilvl="1" w:tentative="0">
      <w:start w:val="1"/>
      <w:numFmt w:val="lowerLetter"/>
      <w:lvlText w:val="%2)"/>
      <w:lvlJc w:val="left"/>
      <w:pPr>
        <w:tabs>
          <w:tab w:val="left" w:pos="-95"/>
        </w:tabs>
        <w:ind w:left="-95" w:hanging="420"/>
      </w:pPr>
      <w:rPr>
        <w:rFonts w:cs="Times New Roman"/>
      </w:rPr>
    </w:lvl>
    <w:lvl w:ilvl="2" w:tentative="0">
      <w:start w:val="1"/>
      <w:numFmt w:val="lowerRoman"/>
      <w:lvlText w:val="%3."/>
      <w:lvlJc w:val="right"/>
      <w:pPr>
        <w:tabs>
          <w:tab w:val="left" w:pos="325"/>
        </w:tabs>
        <w:ind w:left="325" w:hanging="420"/>
      </w:pPr>
      <w:rPr>
        <w:rFonts w:cs="Times New Roman"/>
      </w:rPr>
    </w:lvl>
    <w:lvl w:ilvl="3" w:tentative="0">
      <w:start w:val="1"/>
      <w:numFmt w:val="decimal"/>
      <w:lvlText w:val="%4."/>
      <w:lvlJc w:val="left"/>
      <w:pPr>
        <w:tabs>
          <w:tab w:val="left" w:pos="745"/>
        </w:tabs>
        <w:ind w:left="745" w:hanging="420"/>
      </w:pPr>
      <w:rPr>
        <w:rFonts w:cs="Times New Roman"/>
      </w:rPr>
    </w:lvl>
    <w:lvl w:ilvl="4" w:tentative="0">
      <w:start w:val="1"/>
      <w:numFmt w:val="lowerLetter"/>
      <w:lvlText w:val="%5)"/>
      <w:lvlJc w:val="left"/>
      <w:pPr>
        <w:tabs>
          <w:tab w:val="left" w:pos="1165"/>
        </w:tabs>
        <w:ind w:left="1165" w:hanging="420"/>
      </w:pPr>
      <w:rPr>
        <w:rFonts w:cs="Times New Roman"/>
      </w:rPr>
    </w:lvl>
    <w:lvl w:ilvl="5" w:tentative="0">
      <w:start w:val="1"/>
      <w:numFmt w:val="lowerRoman"/>
      <w:lvlText w:val="%6."/>
      <w:lvlJc w:val="right"/>
      <w:pPr>
        <w:tabs>
          <w:tab w:val="left" w:pos="1585"/>
        </w:tabs>
        <w:ind w:left="1585" w:hanging="420"/>
      </w:pPr>
      <w:rPr>
        <w:rFonts w:cs="Times New Roman"/>
      </w:rPr>
    </w:lvl>
    <w:lvl w:ilvl="6" w:tentative="0">
      <w:start w:val="1"/>
      <w:numFmt w:val="decimal"/>
      <w:lvlText w:val="%7."/>
      <w:lvlJc w:val="left"/>
      <w:pPr>
        <w:tabs>
          <w:tab w:val="left" w:pos="2005"/>
        </w:tabs>
        <w:ind w:left="2005" w:hanging="420"/>
      </w:pPr>
      <w:rPr>
        <w:rFonts w:cs="Times New Roman"/>
      </w:rPr>
    </w:lvl>
    <w:lvl w:ilvl="7" w:tentative="0">
      <w:start w:val="1"/>
      <w:numFmt w:val="lowerLetter"/>
      <w:lvlText w:val="%8)"/>
      <w:lvlJc w:val="left"/>
      <w:pPr>
        <w:tabs>
          <w:tab w:val="left" w:pos="2425"/>
        </w:tabs>
        <w:ind w:left="2425" w:hanging="420"/>
      </w:pPr>
      <w:rPr>
        <w:rFonts w:cs="Times New Roman"/>
      </w:rPr>
    </w:lvl>
    <w:lvl w:ilvl="8" w:tentative="0">
      <w:start w:val="1"/>
      <w:numFmt w:val="lowerRoman"/>
      <w:lvlText w:val="%9."/>
      <w:lvlJc w:val="right"/>
      <w:pPr>
        <w:tabs>
          <w:tab w:val="left" w:pos="2845"/>
        </w:tabs>
        <w:ind w:left="2845" w:hanging="420"/>
      </w:pPr>
      <w:rPr>
        <w:rFonts w:cs="Times New Roman"/>
      </w:rPr>
    </w:lvl>
  </w:abstractNum>
  <w:abstractNum w:abstractNumId="5">
    <w:nsid w:val="0E7C6F8E"/>
    <w:multiLevelType w:val="multilevel"/>
    <w:tmpl w:val="0E7C6F8E"/>
    <w:lvl w:ilvl="0" w:tentative="0">
      <w:start w:val="1"/>
      <w:numFmt w:val="decimal"/>
      <w:suff w:val="nothing"/>
      <w:lvlText w:val="%1."/>
      <w:lvlJc w:val="left"/>
      <w:pPr>
        <w:ind w:left="2643"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6">
    <w:nsid w:val="13C65904"/>
    <w:multiLevelType w:val="multilevel"/>
    <w:tmpl w:val="13C65904"/>
    <w:lvl w:ilvl="0" w:tentative="0">
      <w:start w:val="1"/>
      <w:numFmt w:val="chineseCountingThousand"/>
      <w:lvlText w:val="（%1）"/>
      <w:lvlJc w:val="left"/>
      <w:pPr>
        <w:tabs>
          <w:tab w:val="left" w:pos="0"/>
        </w:tabs>
        <w:ind w:left="0" w:firstLine="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203369"/>
    <w:multiLevelType w:val="multilevel"/>
    <w:tmpl w:val="14203369"/>
    <w:lvl w:ilvl="0" w:tentative="0">
      <w:start w:val="1"/>
      <w:numFmt w:val="chineseCountingThousand"/>
      <w:lvlText w:val="（%1）"/>
      <w:lvlJc w:val="left"/>
      <w:pPr>
        <w:tabs>
          <w:tab w:val="left" w:pos="1020"/>
        </w:tabs>
        <w:ind w:left="1020" w:hanging="42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512149C"/>
    <w:multiLevelType w:val="multilevel"/>
    <w:tmpl w:val="1512149C"/>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5685867"/>
    <w:multiLevelType w:val="multilevel"/>
    <w:tmpl w:val="15685867"/>
    <w:lvl w:ilvl="0" w:tentative="0">
      <w:start w:val="1"/>
      <w:numFmt w:val="decimal"/>
      <w:suff w:val="space"/>
      <w:lvlText w:val="%1."/>
      <w:lvlJc w:val="left"/>
      <w:pPr>
        <w:ind w:left="840" w:hanging="420"/>
      </w:pPr>
      <w:rPr>
        <w:rFonts w:hint="eastAsia"/>
      </w:rPr>
    </w:lvl>
    <w:lvl w:ilvl="1" w:tentative="0">
      <w:start w:val="1"/>
      <w:numFmt w:val="decimal"/>
      <w:suff w:val="nothing"/>
      <w:lvlText w:val="(%2)"/>
      <w:lvlJc w:val="left"/>
      <w:pPr>
        <w:ind w:left="988" w:hanging="420"/>
      </w:pPr>
      <w:rPr>
        <w:rFonts w:hint="eastAsia"/>
      </w:rPr>
    </w:lvl>
    <w:lvl w:ilvl="2" w:tentative="0">
      <w:start w:val="1"/>
      <w:numFmt w:val="chineseCountingThousand"/>
      <w:suff w:val="space"/>
      <w:lvlText w:val="(%3)"/>
      <w:lvlJc w:val="left"/>
      <w:pPr>
        <w:ind w:left="846" w:hanging="420"/>
      </w:pPr>
      <w:rPr>
        <w:rFonts w:hint="eastAsia"/>
      </w:rPr>
    </w:lvl>
    <w:lvl w:ilvl="3" w:tentative="0">
      <w:start w:val="1"/>
      <w:numFmt w:val="decimal"/>
      <w:lvlText w:val="%4."/>
      <w:lvlJc w:val="left"/>
      <w:pPr>
        <w:tabs>
          <w:tab w:val="left" w:pos="1657"/>
        </w:tabs>
        <w:ind w:left="1657" w:hanging="420"/>
      </w:pPr>
    </w:lvl>
    <w:lvl w:ilvl="4" w:tentative="0">
      <w:start w:val="1"/>
      <w:numFmt w:val="lowerLetter"/>
      <w:lvlText w:val="%5)"/>
      <w:lvlJc w:val="left"/>
      <w:pPr>
        <w:tabs>
          <w:tab w:val="left" w:pos="2077"/>
        </w:tabs>
        <w:ind w:left="2077" w:hanging="420"/>
      </w:pPr>
    </w:lvl>
    <w:lvl w:ilvl="5" w:tentative="0">
      <w:start w:val="1"/>
      <w:numFmt w:val="lowerRoman"/>
      <w:lvlText w:val="%6."/>
      <w:lvlJc w:val="right"/>
      <w:pPr>
        <w:tabs>
          <w:tab w:val="left" w:pos="2497"/>
        </w:tabs>
        <w:ind w:left="2497" w:hanging="420"/>
      </w:pPr>
    </w:lvl>
    <w:lvl w:ilvl="6" w:tentative="0">
      <w:start w:val="1"/>
      <w:numFmt w:val="decimal"/>
      <w:lvlText w:val="%7."/>
      <w:lvlJc w:val="left"/>
      <w:pPr>
        <w:tabs>
          <w:tab w:val="left" w:pos="2917"/>
        </w:tabs>
        <w:ind w:left="2917" w:hanging="420"/>
      </w:pPr>
    </w:lvl>
    <w:lvl w:ilvl="7" w:tentative="0">
      <w:start w:val="1"/>
      <w:numFmt w:val="lowerLetter"/>
      <w:lvlText w:val="%8)"/>
      <w:lvlJc w:val="left"/>
      <w:pPr>
        <w:tabs>
          <w:tab w:val="left" w:pos="3337"/>
        </w:tabs>
        <w:ind w:left="3337" w:hanging="420"/>
      </w:pPr>
    </w:lvl>
    <w:lvl w:ilvl="8" w:tentative="0">
      <w:start w:val="1"/>
      <w:numFmt w:val="lowerRoman"/>
      <w:lvlText w:val="%9."/>
      <w:lvlJc w:val="right"/>
      <w:pPr>
        <w:tabs>
          <w:tab w:val="left" w:pos="3757"/>
        </w:tabs>
        <w:ind w:left="3757" w:hanging="420"/>
      </w:pPr>
    </w:lvl>
  </w:abstractNum>
  <w:abstractNum w:abstractNumId="10">
    <w:nsid w:val="173E5BAE"/>
    <w:multiLevelType w:val="multilevel"/>
    <w:tmpl w:val="173E5BAE"/>
    <w:lvl w:ilvl="0" w:tentative="0">
      <w:start w:val="1"/>
      <w:numFmt w:val="decimal"/>
      <w:suff w:val="nothing"/>
      <w:lvlText w:val="%1."/>
      <w:lvlJc w:val="left"/>
      <w:pPr>
        <w:ind w:left="888"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11">
    <w:nsid w:val="189657E0"/>
    <w:multiLevelType w:val="multilevel"/>
    <w:tmpl w:val="189657E0"/>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E93713"/>
    <w:multiLevelType w:val="multilevel"/>
    <w:tmpl w:val="19E93713"/>
    <w:lvl w:ilvl="0" w:tentative="0">
      <w:start w:val="1"/>
      <w:numFmt w:val="decimal"/>
      <w:suff w:val="nothing"/>
      <w:lvlText w:val="%1."/>
      <w:lvlJc w:val="left"/>
      <w:pPr>
        <w:ind w:left="0" w:firstLine="9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A7F23CB"/>
    <w:multiLevelType w:val="multilevel"/>
    <w:tmpl w:val="1A7F23CB"/>
    <w:lvl w:ilvl="0" w:tentative="0">
      <w:start w:val="1"/>
      <w:numFmt w:val="chineseCountingThousand"/>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15">
    <w:nsid w:val="1FC500F6"/>
    <w:multiLevelType w:val="multilevel"/>
    <w:tmpl w:val="1FC500F6"/>
    <w:lvl w:ilvl="0" w:tentative="0">
      <w:start w:val="1"/>
      <w:numFmt w:val="decimal"/>
      <w:suff w:val="nothing"/>
      <w:lvlText w:val="%1."/>
      <w:lvlJc w:val="left"/>
      <w:pPr>
        <w:ind w:left="91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0297200"/>
    <w:multiLevelType w:val="multilevel"/>
    <w:tmpl w:val="20297200"/>
    <w:lvl w:ilvl="0" w:tentative="0">
      <w:start w:val="1"/>
      <w:numFmt w:val="decimal"/>
      <w:suff w:val="nothing"/>
      <w:lvlText w:val="(%1)"/>
      <w:lvlJc w:val="left"/>
      <w:pPr>
        <w:ind w:left="828"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210C7B69"/>
    <w:multiLevelType w:val="multilevel"/>
    <w:tmpl w:val="210C7B69"/>
    <w:lvl w:ilvl="0" w:tentative="0">
      <w:start w:val="1"/>
      <w:numFmt w:val="decimal"/>
      <w:suff w:val="nothing"/>
      <w:lvlText w:val="(%1)"/>
      <w:lvlJc w:val="left"/>
      <w:pPr>
        <w:ind w:left="1413"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24910E89"/>
    <w:multiLevelType w:val="multilevel"/>
    <w:tmpl w:val="24910E89"/>
    <w:lvl w:ilvl="0" w:tentative="0">
      <w:start w:val="1"/>
      <w:numFmt w:val="decimal"/>
      <w:suff w:val="nothing"/>
      <w:lvlText w:val="%1."/>
      <w:lvlJc w:val="left"/>
      <w:pPr>
        <w:ind w:left="888" w:hanging="420"/>
      </w:pPr>
      <w:rPr>
        <w:rFonts w:hint="eastAsia" w:ascii="宋体" w:hAnsi="宋体" w:eastAsia="宋体" w:cs="Times New Roman"/>
      </w:rPr>
    </w:lvl>
    <w:lvl w:ilvl="1" w:tentative="0">
      <w:start w:val="1"/>
      <w:numFmt w:val="lowerLetter"/>
      <w:lvlText w:val="%2)"/>
      <w:lvlJc w:val="left"/>
      <w:pPr>
        <w:tabs>
          <w:tab w:val="left" w:pos="-95"/>
        </w:tabs>
        <w:ind w:left="-95" w:hanging="420"/>
      </w:pPr>
      <w:rPr>
        <w:rFonts w:cs="Times New Roman"/>
      </w:rPr>
    </w:lvl>
    <w:lvl w:ilvl="2" w:tentative="0">
      <w:start w:val="1"/>
      <w:numFmt w:val="lowerRoman"/>
      <w:lvlText w:val="%3."/>
      <w:lvlJc w:val="right"/>
      <w:pPr>
        <w:tabs>
          <w:tab w:val="left" w:pos="325"/>
        </w:tabs>
        <w:ind w:left="325" w:hanging="420"/>
      </w:pPr>
      <w:rPr>
        <w:rFonts w:cs="Times New Roman"/>
      </w:rPr>
    </w:lvl>
    <w:lvl w:ilvl="3" w:tentative="0">
      <w:start w:val="1"/>
      <w:numFmt w:val="decimal"/>
      <w:lvlText w:val="%4."/>
      <w:lvlJc w:val="left"/>
      <w:pPr>
        <w:tabs>
          <w:tab w:val="left" w:pos="745"/>
        </w:tabs>
        <w:ind w:left="745" w:hanging="420"/>
      </w:pPr>
      <w:rPr>
        <w:rFonts w:cs="Times New Roman"/>
      </w:rPr>
    </w:lvl>
    <w:lvl w:ilvl="4" w:tentative="0">
      <w:start w:val="1"/>
      <w:numFmt w:val="lowerLetter"/>
      <w:lvlText w:val="%5)"/>
      <w:lvlJc w:val="left"/>
      <w:pPr>
        <w:tabs>
          <w:tab w:val="left" w:pos="1165"/>
        </w:tabs>
        <w:ind w:left="1165" w:hanging="420"/>
      </w:pPr>
      <w:rPr>
        <w:rFonts w:cs="Times New Roman"/>
      </w:rPr>
    </w:lvl>
    <w:lvl w:ilvl="5" w:tentative="0">
      <w:start w:val="1"/>
      <w:numFmt w:val="lowerRoman"/>
      <w:lvlText w:val="%6."/>
      <w:lvlJc w:val="right"/>
      <w:pPr>
        <w:tabs>
          <w:tab w:val="left" w:pos="1585"/>
        </w:tabs>
        <w:ind w:left="1585" w:hanging="420"/>
      </w:pPr>
      <w:rPr>
        <w:rFonts w:cs="Times New Roman"/>
      </w:rPr>
    </w:lvl>
    <w:lvl w:ilvl="6" w:tentative="0">
      <w:start w:val="1"/>
      <w:numFmt w:val="decimal"/>
      <w:lvlText w:val="%7."/>
      <w:lvlJc w:val="left"/>
      <w:pPr>
        <w:tabs>
          <w:tab w:val="left" w:pos="2005"/>
        </w:tabs>
        <w:ind w:left="2005" w:hanging="420"/>
      </w:pPr>
      <w:rPr>
        <w:rFonts w:cs="Times New Roman"/>
      </w:rPr>
    </w:lvl>
    <w:lvl w:ilvl="7" w:tentative="0">
      <w:start w:val="1"/>
      <w:numFmt w:val="lowerLetter"/>
      <w:lvlText w:val="%8)"/>
      <w:lvlJc w:val="left"/>
      <w:pPr>
        <w:tabs>
          <w:tab w:val="left" w:pos="2425"/>
        </w:tabs>
        <w:ind w:left="2425" w:hanging="420"/>
      </w:pPr>
      <w:rPr>
        <w:rFonts w:cs="Times New Roman"/>
      </w:rPr>
    </w:lvl>
    <w:lvl w:ilvl="8" w:tentative="0">
      <w:start w:val="1"/>
      <w:numFmt w:val="lowerRoman"/>
      <w:lvlText w:val="%9."/>
      <w:lvlJc w:val="right"/>
      <w:pPr>
        <w:tabs>
          <w:tab w:val="left" w:pos="2845"/>
        </w:tabs>
        <w:ind w:left="2845" w:hanging="420"/>
      </w:pPr>
      <w:rPr>
        <w:rFonts w:cs="Times New Roman"/>
      </w:rPr>
    </w:lvl>
  </w:abstractNum>
  <w:abstractNum w:abstractNumId="19">
    <w:nsid w:val="24A17B87"/>
    <w:multiLevelType w:val="multilevel"/>
    <w:tmpl w:val="24A17B87"/>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27186CD3"/>
    <w:multiLevelType w:val="multilevel"/>
    <w:tmpl w:val="27186CD3"/>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282978AB"/>
    <w:multiLevelType w:val="multilevel"/>
    <w:tmpl w:val="282978AB"/>
    <w:lvl w:ilvl="0" w:tentative="0">
      <w:start w:val="1"/>
      <w:numFmt w:val="decimal"/>
      <w:suff w:val="nothing"/>
      <w:lvlText w:val="%1."/>
      <w:lvlJc w:val="left"/>
      <w:pPr>
        <w:ind w:left="562"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2">
    <w:nsid w:val="332E3460"/>
    <w:multiLevelType w:val="multilevel"/>
    <w:tmpl w:val="332E3460"/>
    <w:lvl w:ilvl="0" w:tentative="0">
      <w:start w:val="1"/>
      <w:numFmt w:val="decimal"/>
      <w:suff w:val="nothing"/>
      <w:lvlText w:val="(%1)"/>
      <w:lvlJc w:val="left"/>
      <w:pPr>
        <w:ind w:left="360"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34E0396F"/>
    <w:multiLevelType w:val="multilevel"/>
    <w:tmpl w:val="34E0396F"/>
    <w:lvl w:ilvl="0" w:tentative="0">
      <w:start w:val="1"/>
      <w:numFmt w:val="decimal"/>
      <w:suff w:val="nothing"/>
      <w:lvlText w:val="%1."/>
      <w:lvlJc w:val="left"/>
      <w:pPr>
        <w:ind w:left="771" w:hanging="420"/>
      </w:pPr>
      <w:rPr>
        <w:rFonts w:hint="eastAsia" w:ascii="宋体" w:hAnsi="宋体" w:eastAsia="宋体" w:cs="Times New Roman"/>
      </w:rPr>
    </w:lvl>
    <w:lvl w:ilvl="1" w:tentative="0">
      <w:start w:val="1"/>
      <w:numFmt w:val="lowerLetter"/>
      <w:lvlText w:val="%2)"/>
      <w:lvlJc w:val="left"/>
      <w:pPr>
        <w:tabs>
          <w:tab w:val="left" w:pos="-95"/>
        </w:tabs>
        <w:ind w:left="-95" w:hanging="420"/>
      </w:pPr>
      <w:rPr>
        <w:rFonts w:cs="Times New Roman"/>
      </w:rPr>
    </w:lvl>
    <w:lvl w:ilvl="2" w:tentative="0">
      <w:start w:val="1"/>
      <w:numFmt w:val="lowerRoman"/>
      <w:lvlText w:val="%3."/>
      <w:lvlJc w:val="right"/>
      <w:pPr>
        <w:tabs>
          <w:tab w:val="left" w:pos="325"/>
        </w:tabs>
        <w:ind w:left="325" w:hanging="420"/>
      </w:pPr>
      <w:rPr>
        <w:rFonts w:cs="Times New Roman"/>
      </w:rPr>
    </w:lvl>
    <w:lvl w:ilvl="3" w:tentative="0">
      <w:start w:val="1"/>
      <w:numFmt w:val="decimal"/>
      <w:lvlText w:val="%4."/>
      <w:lvlJc w:val="left"/>
      <w:pPr>
        <w:tabs>
          <w:tab w:val="left" w:pos="745"/>
        </w:tabs>
        <w:ind w:left="745" w:hanging="420"/>
      </w:pPr>
      <w:rPr>
        <w:rFonts w:cs="Times New Roman"/>
      </w:rPr>
    </w:lvl>
    <w:lvl w:ilvl="4" w:tentative="0">
      <w:start w:val="1"/>
      <w:numFmt w:val="lowerLetter"/>
      <w:lvlText w:val="%5)"/>
      <w:lvlJc w:val="left"/>
      <w:pPr>
        <w:tabs>
          <w:tab w:val="left" w:pos="1165"/>
        </w:tabs>
        <w:ind w:left="1165" w:hanging="420"/>
      </w:pPr>
      <w:rPr>
        <w:rFonts w:cs="Times New Roman"/>
      </w:rPr>
    </w:lvl>
    <w:lvl w:ilvl="5" w:tentative="0">
      <w:start w:val="1"/>
      <w:numFmt w:val="lowerRoman"/>
      <w:lvlText w:val="%6."/>
      <w:lvlJc w:val="right"/>
      <w:pPr>
        <w:tabs>
          <w:tab w:val="left" w:pos="1585"/>
        </w:tabs>
        <w:ind w:left="1585" w:hanging="420"/>
      </w:pPr>
      <w:rPr>
        <w:rFonts w:cs="Times New Roman"/>
      </w:rPr>
    </w:lvl>
    <w:lvl w:ilvl="6" w:tentative="0">
      <w:start w:val="1"/>
      <w:numFmt w:val="decimal"/>
      <w:lvlText w:val="%7."/>
      <w:lvlJc w:val="left"/>
      <w:pPr>
        <w:tabs>
          <w:tab w:val="left" w:pos="2005"/>
        </w:tabs>
        <w:ind w:left="2005" w:hanging="420"/>
      </w:pPr>
      <w:rPr>
        <w:rFonts w:cs="Times New Roman"/>
      </w:rPr>
    </w:lvl>
    <w:lvl w:ilvl="7" w:tentative="0">
      <w:start w:val="1"/>
      <w:numFmt w:val="lowerLetter"/>
      <w:lvlText w:val="%8)"/>
      <w:lvlJc w:val="left"/>
      <w:pPr>
        <w:tabs>
          <w:tab w:val="left" w:pos="2425"/>
        </w:tabs>
        <w:ind w:left="2425" w:hanging="420"/>
      </w:pPr>
      <w:rPr>
        <w:rFonts w:cs="Times New Roman"/>
      </w:rPr>
    </w:lvl>
    <w:lvl w:ilvl="8" w:tentative="0">
      <w:start w:val="1"/>
      <w:numFmt w:val="lowerRoman"/>
      <w:lvlText w:val="%9."/>
      <w:lvlJc w:val="right"/>
      <w:pPr>
        <w:tabs>
          <w:tab w:val="left" w:pos="2845"/>
        </w:tabs>
        <w:ind w:left="2845" w:hanging="420"/>
      </w:pPr>
      <w:rPr>
        <w:rFonts w:cs="Times New Roman"/>
      </w:rPr>
    </w:lvl>
  </w:abstractNum>
  <w:abstractNum w:abstractNumId="24">
    <w:nsid w:val="357162AD"/>
    <w:multiLevelType w:val="multilevel"/>
    <w:tmpl w:val="357162AD"/>
    <w:lvl w:ilvl="0" w:tentative="0">
      <w:start w:val="1"/>
      <w:numFmt w:val="chineseCountingThousand"/>
      <w:lvlText w:val="（%1）"/>
      <w:lvlJc w:val="left"/>
      <w:pPr>
        <w:tabs>
          <w:tab w:val="left" w:pos="0"/>
        </w:tabs>
        <w:ind w:left="0" w:firstLine="0"/>
      </w:pPr>
      <w:rPr>
        <w:rFonts w:hint="eastAsia"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25">
    <w:nsid w:val="37904DF4"/>
    <w:multiLevelType w:val="multilevel"/>
    <w:tmpl w:val="37904DF4"/>
    <w:lvl w:ilvl="0" w:tentative="0">
      <w:start w:val="1"/>
      <w:numFmt w:val="chineseCountingThousand"/>
      <w:lvlText w:val="（%1）"/>
      <w:lvlJc w:val="left"/>
      <w:pPr>
        <w:tabs>
          <w:tab w:val="left" w:pos="0"/>
        </w:tabs>
        <w:ind w:left="0" w:firstLine="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701"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abstractNum w:abstractNumId="27">
    <w:nsid w:val="3A02284D"/>
    <w:multiLevelType w:val="multilevel"/>
    <w:tmpl w:val="3A02284D"/>
    <w:lvl w:ilvl="0" w:tentative="0">
      <w:start w:val="1"/>
      <w:numFmt w:val="decimal"/>
      <w:suff w:val="nothing"/>
      <w:lvlText w:val="%1."/>
      <w:lvlJc w:val="left"/>
      <w:pPr>
        <w:ind w:left="91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3C4443AB"/>
    <w:multiLevelType w:val="multilevel"/>
    <w:tmpl w:val="3C4443AB"/>
    <w:lvl w:ilvl="0" w:tentative="0">
      <w:start w:val="1"/>
      <w:numFmt w:val="decimal"/>
      <w:suff w:val="nothing"/>
      <w:lvlText w:val="(%1)"/>
      <w:lvlJc w:val="left"/>
      <w:pPr>
        <w:ind w:left="960" w:hanging="360"/>
      </w:pPr>
      <w:rPr>
        <w:rFonts w:hint="default" w:ascii="宋体" w:hAns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4AE91545"/>
    <w:multiLevelType w:val="multilevel"/>
    <w:tmpl w:val="4AE91545"/>
    <w:lvl w:ilvl="0" w:tentative="0">
      <w:start w:val="1"/>
      <w:numFmt w:val="decimal"/>
      <w:suff w:val="nothing"/>
      <w:lvlText w:val="%1."/>
      <w:lvlJc w:val="left"/>
      <w:pPr>
        <w:ind w:left="1005" w:hanging="420"/>
      </w:pPr>
      <w:rPr>
        <w:rFonts w:hint="eastAsia" w:ascii="宋体" w:hAnsi="宋体" w:eastAsia="宋体"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30">
    <w:nsid w:val="4D0E4C8C"/>
    <w:multiLevelType w:val="multilevel"/>
    <w:tmpl w:val="4D0E4C8C"/>
    <w:lvl w:ilvl="0" w:tentative="0">
      <w:start w:val="1"/>
      <w:numFmt w:val="decimal"/>
      <w:suff w:val="nothing"/>
      <w:lvlText w:val="(%1)"/>
      <w:lvlJc w:val="left"/>
      <w:pPr>
        <w:ind w:left="0" w:firstLine="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decimal"/>
      <w:suff w:val="nothing"/>
      <w:lvlText w:val="(%3)"/>
      <w:lvlJc w:val="left"/>
      <w:pPr>
        <w:ind w:left="0" w:firstLine="0"/>
      </w:pPr>
      <w:rPr>
        <w:rFonts w:hint="default" w:ascii="宋体" w:hAnsi="宋体"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0DA13D0"/>
    <w:multiLevelType w:val="multilevel"/>
    <w:tmpl w:val="50DA13D0"/>
    <w:lvl w:ilvl="0" w:tentative="0">
      <w:start w:val="1"/>
      <w:numFmt w:val="chineseCountingThousand"/>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2">
    <w:nsid w:val="51295BDC"/>
    <w:multiLevelType w:val="multilevel"/>
    <w:tmpl w:val="51295BDC"/>
    <w:lvl w:ilvl="0" w:tentative="0">
      <w:start w:val="1"/>
      <w:numFmt w:val="decimal"/>
      <w:suff w:val="nothing"/>
      <w:lvlText w:val="(%1)"/>
      <w:lvlJc w:val="left"/>
      <w:pPr>
        <w:ind w:left="280" w:firstLine="0"/>
      </w:pPr>
      <w:rPr>
        <w:rFonts w:hint="default" w:ascii="宋体" w:hAnsi="宋体" w:eastAsia="宋体" w:cs="Times New Roman"/>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33">
    <w:nsid w:val="57593AD5"/>
    <w:multiLevelType w:val="multilevel"/>
    <w:tmpl w:val="57593AD5"/>
    <w:lvl w:ilvl="0" w:tentative="0">
      <w:start w:val="1"/>
      <w:numFmt w:val="decimal"/>
      <w:suff w:val="nothing"/>
      <w:lvlText w:val="(%1)"/>
      <w:lvlJc w:val="left"/>
      <w:pPr>
        <w:ind w:left="927"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4">
    <w:nsid w:val="57A34747"/>
    <w:multiLevelType w:val="multilevel"/>
    <w:tmpl w:val="57A34747"/>
    <w:lvl w:ilvl="0" w:tentative="0">
      <w:start w:val="1"/>
      <w:numFmt w:val="chineseCountingThousand"/>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5E67629A"/>
    <w:multiLevelType w:val="multilevel"/>
    <w:tmpl w:val="5E67629A"/>
    <w:lvl w:ilvl="0" w:tentative="0">
      <w:start w:val="1"/>
      <w:numFmt w:val="decimal"/>
      <w:suff w:val="nothing"/>
      <w:lvlText w:val="(%1)"/>
      <w:lvlJc w:val="left"/>
      <w:pPr>
        <w:ind w:left="927"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6">
    <w:nsid w:val="63046352"/>
    <w:multiLevelType w:val="multilevel"/>
    <w:tmpl w:val="63046352"/>
    <w:lvl w:ilvl="0" w:tentative="0">
      <w:start w:val="1"/>
      <w:numFmt w:val="chineseCountingThousand"/>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6627B79"/>
    <w:multiLevelType w:val="multilevel"/>
    <w:tmpl w:val="66627B79"/>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F485F43"/>
    <w:multiLevelType w:val="multilevel"/>
    <w:tmpl w:val="6F485F43"/>
    <w:lvl w:ilvl="0" w:tentative="0">
      <w:start w:val="1"/>
      <w:numFmt w:val="chineseCountingThousand"/>
      <w:suff w:val="nothing"/>
      <w:lvlText w:val="%1、"/>
      <w:lvlJc w:val="left"/>
      <w:pPr>
        <w:ind w:left="0" w:firstLine="555"/>
      </w:pPr>
      <w:rPr>
        <w:rFonts w:hint="eastAsia" w:ascii="黑体" w:eastAsia="黑体"/>
        <w:sz w:val="28"/>
        <w:szCs w:val="28"/>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39">
    <w:nsid w:val="6FE315D3"/>
    <w:multiLevelType w:val="multilevel"/>
    <w:tmpl w:val="6FE315D3"/>
    <w:lvl w:ilvl="0" w:tentative="0">
      <w:start w:val="1"/>
      <w:numFmt w:val="decimal"/>
      <w:suff w:val="nothing"/>
      <w:lvlText w:val="(%1)"/>
      <w:lvlJc w:val="left"/>
      <w:pPr>
        <w:ind w:left="560" w:firstLine="0"/>
      </w:pPr>
      <w:rPr>
        <w:rFonts w:hint="default" w:ascii="宋体" w:hAnsi="宋体" w:eastAsia="宋体" w:cs="Times New Roman"/>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0">
    <w:nsid w:val="7F331050"/>
    <w:multiLevelType w:val="multilevel"/>
    <w:tmpl w:val="7F331050"/>
    <w:lvl w:ilvl="0" w:tentative="0">
      <w:start w:val="1"/>
      <w:numFmt w:val="decimal"/>
      <w:suff w:val="nothing"/>
      <w:lvlText w:val="(%1)"/>
      <w:lvlJc w:val="left"/>
      <w:pPr>
        <w:ind w:left="927" w:hanging="360"/>
      </w:pPr>
      <w:rPr>
        <w:rFonts w:hint="default"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54193"/>
    <w:rsid w:val="01486D1E"/>
    <w:rsid w:val="080764BE"/>
    <w:rsid w:val="09DE12F4"/>
    <w:rsid w:val="0C4C4278"/>
    <w:rsid w:val="0FA24FAF"/>
    <w:rsid w:val="1DB16EF4"/>
    <w:rsid w:val="2FE61523"/>
    <w:rsid w:val="34466F95"/>
    <w:rsid w:val="359B0FA1"/>
    <w:rsid w:val="43F6085E"/>
    <w:rsid w:val="45E50CF1"/>
    <w:rsid w:val="49BD3E0D"/>
    <w:rsid w:val="4AF4475B"/>
    <w:rsid w:val="552531ED"/>
    <w:rsid w:val="63094872"/>
    <w:rsid w:val="6D5B2AF2"/>
    <w:rsid w:val="6F154193"/>
    <w:rsid w:val="73365490"/>
    <w:rsid w:val="73BE45AE"/>
    <w:rsid w:val="7620038A"/>
    <w:rsid w:val="7C07438B"/>
    <w:rsid w:val="7CD6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0"/>
    <w:pPr>
      <w:wordWrap w:val="0"/>
      <w:spacing w:before="312" w:beforeLines="100" w:beforeAutospacing="0" w:after="156" w:afterLines="50" w:afterAutospacing="0" w:line="300" w:lineRule="auto"/>
      <w:outlineLvl w:val="1"/>
    </w:pPr>
    <w:rPr>
      <w:rFonts w:ascii="宋体" w:hAnsi="Arial"/>
      <w:b/>
      <w:snapToGrid w:val="0"/>
      <w:kern w:val="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Indent"/>
    <w:basedOn w:val="1"/>
    <w:qFormat/>
    <w:uiPriority w:val="0"/>
    <w:pPr>
      <w:spacing w:line="360" w:lineRule="auto"/>
      <w:ind w:firstLine="570"/>
    </w:pPr>
    <w:rPr>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5"/>
    <w:qFormat/>
    <w:uiPriority w:val="0"/>
    <w:pPr>
      <w:ind w:firstLine="420" w:firstLineChars="200"/>
    </w:pPr>
  </w:style>
  <w:style w:type="paragraph" w:customStyle="1" w:styleId="12">
    <w:name w:val="正文文字缩进"/>
    <w:qFormat/>
    <w:uiPriority w:val="0"/>
    <w:pPr>
      <w:spacing w:line="351" w:lineRule="atLeast"/>
      <w:ind w:firstLine="555"/>
      <w:textAlignment w:val="baseline"/>
    </w:pPr>
    <w:rPr>
      <w:rFonts w:ascii="Times New Roman" w:hAnsi="Times New Roman" w:eastAsia="宋体" w:cs="Times New Roman"/>
      <w:color w:val="000000"/>
      <w:sz w:val="24"/>
      <w:szCs w:val="24"/>
      <w:u w:val="none" w:color="000000"/>
      <w:lang w:val="en-US" w:eastAsia="zh-CN" w:bidi="ar-SA"/>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6">
    <w:name w:val="List Paragraph"/>
    <w:basedOn w:val="1"/>
    <w:qFormat/>
    <w:uiPriority w:val="0"/>
    <w:pPr>
      <w:widowControl/>
      <w:ind w:left="720" w:firstLine="360"/>
      <w:jc w:val="left"/>
    </w:pPr>
    <w:rPr>
      <w:rFonts w:ascii="Calibri" w:hAnsi="Calibri"/>
      <w:kern w:val="0"/>
      <w:sz w:val="22"/>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http://210.75.199.11/attachment/2004728141929.jpg" TargetMode="Externa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2021-08-13T09:16:00Z</dcterms:created>
  <dc:creator>desertfrog</dc:creator>
  <cp:lastModifiedBy>              </cp:lastModifiedBy>
  <cp:lastPrinted>2021-08-17T11:46:00Z</cp:lastPrinted>
  <dcterms:modified xsi:type="dcterms:W3CDTF">2021-09-11T03:53:37Z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12A2168CCBDD434098EBF37A283956B8</vt:lpwstr>
  </property>
</Properties>
</file>