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2820"/>
        </w:tabs>
        <w:autoSpaceDE w:val="0"/>
        <w:autoSpaceDN w:val="0"/>
        <w:adjustRightInd w:val="0"/>
        <w:spacing w:line="240" w:lineRule="auto"/>
        <w:ind w:left="0" w:firstLine="0" w:firstLineChars="0"/>
        <w:jc w:val="center"/>
        <w:rPr>
          <w:sz w:val="30"/>
          <w:szCs w:val="30"/>
        </w:rPr>
      </w:pPr>
      <w:r>
        <w:rPr>
          <w:rFonts w:hint="eastAsia" w:ascii="宋体" w:hAnsi="宋体" w:eastAsia="宋体" w:cs="宋体"/>
          <w:sz w:val="30"/>
          <w:szCs w:val="30"/>
        </w:rPr>
        <w:t>于田县2022年重点生态功能区县域生态环境质量监测及声功能区，农村生态环境质量监测服务采购项目竞争性磋商公告</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highlight w:val="none"/>
        </w:rPr>
      </w:pPr>
      <w:r>
        <w:rPr>
          <w:rFonts w:hint="eastAsia" w:ascii="宋体" w:hAnsi="宋体" w:cs="宋体"/>
          <w:sz w:val="24"/>
          <w:u w:val="single"/>
        </w:rPr>
        <w:t>于田县2022年重点生态功能区县域生态环境质量监测及声功能区，农村生态环境质量监测服务采购项目的潜在投标人应在新疆惠文建设工程项目管理咨询有限公司（和田市阿恰勒东路11号）获取招标文件，并于</w:t>
      </w:r>
      <w:r>
        <w:rPr>
          <w:rFonts w:hint="eastAsia" w:ascii="宋体" w:hAnsi="宋体" w:cs="宋体"/>
          <w:sz w:val="24"/>
          <w:highlight w:val="none"/>
          <w:u w:val="single"/>
        </w:rPr>
        <w:t xml:space="preserve"> 2022 年3月 30日11时00分（北京时间）前提交</w:t>
      </w:r>
      <w:r>
        <w:rPr>
          <w:rFonts w:hint="eastAsia" w:ascii="宋体" w:hAnsi="宋体" w:cs="宋体"/>
          <w:bCs/>
          <w:sz w:val="24"/>
          <w:highlight w:val="none"/>
        </w:rPr>
        <w:t>投标文件</w:t>
      </w:r>
      <w:r>
        <w:rPr>
          <w:rFonts w:hint="eastAsia" w:ascii="宋体" w:hAnsi="宋体" w:cs="宋体"/>
          <w:sz w:val="24"/>
          <w:highlight w:val="none"/>
        </w:rPr>
        <w:t>。</w:t>
      </w:r>
    </w:p>
    <w:p>
      <w:pPr>
        <w:rPr>
          <w:rFonts w:hint="eastAsia" w:ascii="宋体" w:hAnsi="宋体" w:cs="宋体"/>
          <w:b/>
          <w:bCs/>
          <w:sz w:val="24"/>
          <w:highlight w:val="none"/>
        </w:rPr>
      </w:pPr>
      <w:bookmarkStart w:id="0" w:name="_Toc35393798"/>
      <w:bookmarkStart w:id="1" w:name="_Toc28359089"/>
      <w:bookmarkStart w:id="2" w:name="_Toc35393629"/>
      <w:bookmarkStart w:id="3" w:name="_Toc28359012"/>
      <w:r>
        <w:rPr>
          <w:rFonts w:hint="eastAsia" w:ascii="宋体" w:hAnsi="宋体" w:cs="宋体"/>
          <w:b/>
          <w:bCs/>
          <w:sz w:val="24"/>
          <w:highlight w:val="none"/>
        </w:rPr>
        <w:t>一、项目基本情况</w:t>
      </w:r>
      <w:bookmarkEnd w:id="0"/>
      <w:bookmarkEnd w:id="1"/>
      <w:bookmarkEnd w:id="2"/>
      <w:bookmarkEnd w:id="3"/>
    </w:p>
    <w:p>
      <w:pPr>
        <w:pStyle w:val="9"/>
        <w:spacing w:before="0" w:beforeAutospacing="0" w:after="0" w:afterAutospacing="0" w:line="400" w:lineRule="exact"/>
        <w:ind w:firstLine="480" w:firstLineChars="200"/>
        <w:jc w:val="both"/>
        <w:rPr>
          <w:rFonts w:hint="eastAsia" w:ascii="楷体_GB2312"/>
        </w:rPr>
      </w:pPr>
      <w:r>
        <w:rPr>
          <w:rFonts w:hint="eastAsia" w:hAnsi="宋体"/>
          <w:highlight w:val="none"/>
        </w:rPr>
        <w:t>项目编号：</w:t>
      </w:r>
      <w:r>
        <w:rPr>
          <w:rFonts w:hint="eastAsia" w:hAnsi="宋体"/>
          <w:kern w:val="2"/>
          <w:highlight w:val="none"/>
        </w:rPr>
        <w:t xml:space="preserve">YTCGD-CS-2022-030号 </w:t>
      </w:r>
    </w:p>
    <w:p>
      <w:pPr>
        <w:rPr>
          <w:rFonts w:hint="eastAsia" w:hAnsi="宋体" w:cs="宋体"/>
          <w:color w:val="0000FF"/>
          <w:sz w:val="24"/>
        </w:rPr>
      </w:pPr>
      <w:r>
        <w:rPr>
          <w:rFonts w:hint="eastAsia" w:ascii="宋体" w:hAnsi="宋体" w:cs="宋体"/>
          <w:sz w:val="24"/>
        </w:rPr>
        <w:t xml:space="preserve">    项目名称：于田县2022年重点生态功能区县域生态环境质量监测及声功能区，农村生态环境质量监测服务采购项目</w:t>
      </w:r>
    </w:p>
    <w:p>
      <w:pPr>
        <w:spacing w:line="400" w:lineRule="exact"/>
        <w:ind w:firstLine="480" w:firstLineChars="200"/>
        <w:rPr>
          <w:rFonts w:ascii="宋体" w:hAnsi="宋体" w:cs="宋体"/>
          <w:sz w:val="24"/>
        </w:rPr>
      </w:pPr>
      <w:r>
        <w:rPr>
          <w:rFonts w:hint="eastAsia" w:ascii="宋体" w:hAnsi="宋体" w:cs="宋体"/>
          <w:sz w:val="24"/>
        </w:rPr>
        <w:t>采购需求：</w:t>
      </w:r>
    </w:p>
    <w:tbl>
      <w:tblPr>
        <w:tblStyle w:val="7"/>
        <w:tblW w:w="9400"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72"/>
        <w:gridCol w:w="840"/>
        <w:gridCol w:w="928"/>
        <w:gridCol w:w="1572"/>
        <w:gridCol w:w="230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tcMar>
              <w:top w:w="75" w:type="dxa"/>
              <w:left w:w="150" w:type="dxa"/>
              <w:bottom w:w="75" w:type="dxa"/>
              <w:right w:w="150" w:type="dxa"/>
            </w:tcMar>
            <w:vAlign w:val="center"/>
          </w:tcPr>
          <w:p>
            <w:pPr>
              <w:widowControl/>
              <w:jc w:val="center"/>
              <w:rPr>
                <w:rFonts w:hint="eastAsia" w:ascii="宋体" w:hAnsi="宋体" w:cs="宋体"/>
              </w:rPr>
            </w:pPr>
            <w:r>
              <w:rPr>
                <w:rFonts w:hint="eastAsia" w:ascii="宋体" w:hAnsi="宋体" w:cs="宋体"/>
                <w:sz w:val="24"/>
              </w:rPr>
              <w:t>标项序号</w:t>
            </w:r>
          </w:p>
        </w:tc>
        <w:tc>
          <w:tcPr>
            <w:tcW w:w="1672" w:type="dxa"/>
            <w:noWrap w:val="0"/>
            <w:tcMar>
              <w:top w:w="75" w:type="dxa"/>
              <w:left w:w="150" w:type="dxa"/>
              <w:bottom w:w="75" w:type="dxa"/>
              <w:right w:w="150" w:type="dxa"/>
            </w:tcMar>
            <w:vAlign w:val="center"/>
          </w:tcPr>
          <w:p>
            <w:pPr>
              <w:widowControl/>
              <w:jc w:val="center"/>
              <w:rPr>
                <w:rFonts w:hint="eastAsia" w:ascii="宋体" w:hAnsi="宋体" w:cs="宋体"/>
                <w:sz w:val="22"/>
                <w:szCs w:val="28"/>
              </w:rPr>
            </w:pPr>
            <w:r>
              <w:rPr>
                <w:rFonts w:hint="eastAsia" w:ascii="宋体" w:hAnsi="宋体" w:cs="宋体"/>
                <w:sz w:val="24"/>
              </w:rPr>
              <w:t>标项名称</w:t>
            </w:r>
          </w:p>
        </w:tc>
        <w:tc>
          <w:tcPr>
            <w:tcW w:w="840" w:type="dxa"/>
            <w:noWrap w:val="0"/>
            <w:tcMar>
              <w:top w:w="75" w:type="dxa"/>
              <w:left w:w="150" w:type="dxa"/>
              <w:bottom w:w="75" w:type="dxa"/>
              <w:right w:w="150" w:type="dxa"/>
            </w:tcMar>
            <w:vAlign w:val="center"/>
          </w:tcPr>
          <w:p>
            <w:pPr>
              <w:widowControl/>
              <w:jc w:val="center"/>
              <w:rPr>
                <w:rFonts w:hint="eastAsia" w:ascii="宋体" w:hAnsi="宋体" w:cs="宋体"/>
              </w:rPr>
            </w:pPr>
            <w:r>
              <w:rPr>
                <w:rFonts w:hint="eastAsia" w:ascii="宋体" w:hAnsi="宋体" w:cs="宋体"/>
              </w:rPr>
              <w:t>数量</w:t>
            </w:r>
          </w:p>
        </w:tc>
        <w:tc>
          <w:tcPr>
            <w:tcW w:w="928" w:type="dxa"/>
            <w:noWrap w:val="0"/>
            <w:tcMar>
              <w:top w:w="75" w:type="dxa"/>
              <w:left w:w="150" w:type="dxa"/>
              <w:bottom w:w="75" w:type="dxa"/>
              <w:right w:w="150" w:type="dxa"/>
            </w:tcMar>
            <w:vAlign w:val="center"/>
          </w:tcPr>
          <w:p>
            <w:pPr>
              <w:widowControl/>
              <w:jc w:val="center"/>
              <w:rPr>
                <w:rFonts w:ascii="宋体" w:hAnsi="宋体" w:cs="宋体"/>
              </w:rPr>
            </w:pPr>
            <w:r>
              <w:rPr>
                <w:rFonts w:hint="eastAsia" w:ascii="宋体" w:hAnsi="宋体" w:cs="宋体"/>
              </w:rPr>
              <w:t>单位</w:t>
            </w:r>
          </w:p>
        </w:tc>
        <w:tc>
          <w:tcPr>
            <w:tcW w:w="1572" w:type="dxa"/>
            <w:noWrap w:val="0"/>
            <w:tcMar>
              <w:top w:w="75" w:type="dxa"/>
              <w:left w:w="150" w:type="dxa"/>
              <w:bottom w:w="75" w:type="dxa"/>
              <w:right w:w="150" w:type="dxa"/>
            </w:tcMar>
            <w:vAlign w:val="center"/>
          </w:tcPr>
          <w:p>
            <w:pPr>
              <w:widowControl/>
              <w:jc w:val="center"/>
              <w:rPr>
                <w:rFonts w:hint="eastAsia" w:ascii="宋体" w:hAnsi="宋体" w:cs="宋体"/>
              </w:rPr>
            </w:pPr>
            <w:r>
              <w:rPr>
                <w:rFonts w:hint="eastAsia" w:ascii="宋体" w:hAnsi="宋体" w:cs="宋体"/>
                <w:sz w:val="24"/>
              </w:rPr>
              <w:t>预算金额(元)</w:t>
            </w:r>
          </w:p>
        </w:tc>
        <w:tc>
          <w:tcPr>
            <w:tcW w:w="2303" w:type="dxa"/>
            <w:noWrap w:val="0"/>
            <w:tcMar>
              <w:top w:w="75" w:type="dxa"/>
              <w:left w:w="150" w:type="dxa"/>
              <w:bottom w:w="75" w:type="dxa"/>
              <w:right w:w="150" w:type="dxa"/>
            </w:tcMar>
            <w:vAlign w:val="center"/>
          </w:tcPr>
          <w:p>
            <w:pPr>
              <w:widowControl/>
              <w:jc w:val="center"/>
              <w:rPr>
                <w:rFonts w:hint="eastAsia" w:ascii="宋体" w:hAnsi="宋体" w:cs="宋体"/>
                <w:sz w:val="24"/>
              </w:rPr>
            </w:pPr>
            <w:r>
              <w:rPr>
                <w:rFonts w:hint="eastAsia" w:ascii="宋体" w:hAnsi="宋体" w:cs="宋体"/>
                <w:sz w:val="24"/>
              </w:rPr>
              <w:t>简要规格描述</w:t>
            </w:r>
          </w:p>
        </w:tc>
        <w:tc>
          <w:tcPr>
            <w:tcW w:w="1304" w:type="dxa"/>
            <w:noWrap w:val="0"/>
            <w:tcMar>
              <w:top w:w="75" w:type="dxa"/>
              <w:left w:w="150" w:type="dxa"/>
              <w:bottom w:w="75" w:type="dxa"/>
              <w:right w:w="150" w:type="dxa"/>
            </w:tcMar>
            <w:vAlign w:val="center"/>
          </w:tcPr>
          <w:p>
            <w:pPr>
              <w:widowControl/>
              <w:jc w:val="center"/>
              <w:rPr>
                <w:rFonts w:hint="eastAsia" w:ascii="宋体" w:hAnsi="宋体" w:cs="宋体"/>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781" w:type="dxa"/>
            <w:noWrap w:val="0"/>
            <w:tcMar>
              <w:top w:w="75" w:type="dxa"/>
              <w:left w:w="150" w:type="dxa"/>
              <w:bottom w:w="75" w:type="dxa"/>
              <w:right w:w="150" w:type="dxa"/>
            </w:tcMar>
            <w:vAlign w:val="center"/>
          </w:tcPr>
          <w:p>
            <w:pPr>
              <w:widowControl/>
              <w:snapToGrid w:val="0"/>
              <w:jc w:val="center"/>
              <w:rPr>
                <w:rFonts w:hint="eastAsia" w:ascii="宋体" w:hAnsi="宋体" w:cs="宋体"/>
                <w:szCs w:val="21"/>
              </w:rPr>
            </w:pPr>
            <w:r>
              <w:rPr>
                <w:rFonts w:hint="eastAsia" w:ascii="宋体" w:hAnsi="宋体" w:cs="宋体"/>
                <w:szCs w:val="21"/>
              </w:rPr>
              <w:t>1</w:t>
            </w:r>
          </w:p>
        </w:tc>
        <w:tc>
          <w:tcPr>
            <w:tcW w:w="1672" w:type="dxa"/>
            <w:noWrap w:val="0"/>
            <w:tcMar>
              <w:top w:w="75" w:type="dxa"/>
              <w:left w:w="150" w:type="dxa"/>
              <w:bottom w:w="75" w:type="dxa"/>
              <w:right w:w="150" w:type="dxa"/>
            </w:tcMar>
            <w:vAlign w:val="center"/>
          </w:tcPr>
          <w:p>
            <w:pPr>
              <w:pStyle w:val="9"/>
              <w:snapToGrid w:val="0"/>
              <w:spacing w:before="0" w:beforeAutospacing="0" w:after="0" w:afterAutospacing="0"/>
              <w:jc w:val="center"/>
              <w:rPr>
                <w:rFonts w:hAnsi="宋体"/>
                <w:sz w:val="21"/>
                <w:szCs w:val="21"/>
              </w:rPr>
            </w:pPr>
            <w:r>
              <w:rPr>
                <w:rFonts w:hAnsi="宋体"/>
                <w:sz w:val="21"/>
                <w:szCs w:val="21"/>
              </w:rPr>
              <w:t>于田县2022年重点生态功能区县域生态环境质量监测及声功能区，农村生态环境质量监测服务</w:t>
            </w:r>
            <w:r>
              <w:rPr>
                <w:rFonts w:hint="eastAsia" w:hAnsi="宋体"/>
                <w:sz w:val="21"/>
                <w:szCs w:val="21"/>
              </w:rPr>
              <w:t>采购</w:t>
            </w:r>
            <w:r>
              <w:rPr>
                <w:rFonts w:hAnsi="宋体"/>
                <w:sz w:val="21"/>
                <w:szCs w:val="21"/>
              </w:rPr>
              <w:t>项目</w:t>
            </w:r>
          </w:p>
        </w:tc>
        <w:tc>
          <w:tcPr>
            <w:tcW w:w="840" w:type="dxa"/>
            <w:noWrap w:val="0"/>
            <w:tcMar>
              <w:top w:w="75" w:type="dxa"/>
              <w:left w:w="150" w:type="dxa"/>
              <w:bottom w:w="75" w:type="dxa"/>
              <w:right w:w="150" w:type="dxa"/>
            </w:tcMar>
            <w:vAlign w:val="center"/>
          </w:tcPr>
          <w:p>
            <w:pPr>
              <w:widowControl/>
              <w:snapToGrid w:val="0"/>
              <w:jc w:val="center"/>
              <w:rPr>
                <w:rFonts w:ascii="宋体" w:hAnsi="宋体" w:cs="宋体"/>
                <w:szCs w:val="21"/>
              </w:rPr>
            </w:pPr>
            <w:r>
              <w:rPr>
                <w:rFonts w:hint="eastAsia" w:ascii="宋体" w:hAnsi="宋体" w:cs="宋体"/>
                <w:szCs w:val="21"/>
              </w:rPr>
              <w:t>1</w:t>
            </w:r>
          </w:p>
        </w:tc>
        <w:tc>
          <w:tcPr>
            <w:tcW w:w="928" w:type="dxa"/>
            <w:noWrap w:val="0"/>
            <w:tcMar>
              <w:top w:w="75" w:type="dxa"/>
              <w:left w:w="150" w:type="dxa"/>
              <w:bottom w:w="75" w:type="dxa"/>
              <w:right w:w="150" w:type="dxa"/>
            </w:tcMar>
            <w:vAlign w:val="center"/>
          </w:tcPr>
          <w:p>
            <w:pPr>
              <w:widowControl/>
              <w:snapToGrid w:val="0"/>
              <w:jc w:val="center"/>
              <w:rPr>
                <w:rFonts w:ascii="宋体" w:hAnsi="宋体" w:cs="宋体"/>
                <w:szCs w:val="21"/>
              </w:rPr>
            </w:pPr>
            <w:r>
              <w:rPr>
                <w:rFonts w:hint="eastAsia" w:ascii="宋体" w:hAnsi="宋体" w:cs="宋体"/>
                <w:szCs w:val="21"/>
              </w:rPr>
              <w:t>批</w:t>
            </w:r>
          </w:p>
        </w:tc>
        <w:tc>
          <w:tcPr>
            <w:tcW w:w="1572" w:type="dxa"/>
            <w:noWrap w:val="0"/>
            <w:tcMar>
              <w:top w:w="75" w:type="dxa"/>
              <w:left w:w="150" w:type="dxa"/>
              <w:bottom w:w="75" w:type="dxa"/>
              <w:right w:w="150" w:type="dxa"/>
            </w:tcMar>
            <w:vAlign w:val="center"/>
          </w:tcPr>
          <w:p>
            <w:pPr>
              <w:overflowPunct w:val="0"/>
              <w:snapToGrid w:val="0"/>
              <w:jc w:val="center"/>
              <w:rPr>
                <w:rFonts w:ascii="宋体" w:hAnsi="宋体" w:cs="宋体"/>
                <w:szCs w:val="21"/>
              </w:rPr>
            </w:pPr>
            <w:r>
              <w:rPr>
                <w:rFonts w:hint="eastAsia" w:ascii="仿宋" w:hAnsi="仿宋" w:eastAsia="仿宋" w:cs="仿宋"/>
                <w:color w:val="000000"/>
                <w:sz w:val="27"/>
                <w:szCs w:val="27"/>
              </w:rPr>
              <w:t>700000.00</w:t>
            </w:r>
          </w:p>
        </w:tc>
        <w:tc>
          <w:tcPr>
            <w:tcW w:w="2303" w:type="dxa"/>
            <w:noWrap w:val="0"/>
            <w:tcMar>
              <w:top w:w="75" w:type="dxa"/>
              <w:left w:w="150" w:type="dxa"/>
              <w:bottom w:w="75" w:type="dxa"/>
              <w:right w:w="150" w:type="dxa"/>
            </w:tcMar>
            <w:vAlign w:val="center"/>
          </w:tcPr>
          <w:p>
            <w:pPr>
              <w:overflowPunct w:val="0"/>
              <w:snapToGrid w:val="0"/>
              <w:jc w:val="left"/>
              <w:rPr>
                <w:rFonts w:ascii="宋体" w:hAnsi="宋体" w:cs="宋体"/>
                <w:kern w:val="0"/>
                <w:szCs w:val="21"/>
                <w:lang w:bidi="ar"/>
              </w:rPr>
            </w:pPr>
            <w:r>
              <w:rPr>
                <w:rFonts w:ascii="宋体" w:hAnsi="宋体" w:cs="宋体"/>
                <w:kern w:val="0"/>
                <w:szCs w:val="21"/>
                <w:lang w:bidi="ar"/>
              </w:rPr>
              <w:t>按照国家重点生态功能区县域生态环境质量监测评价与考核工作安排要求2022年开展地表水集中式饮用水水源地水质，污染源，农村环境质量，农村“千吨万人”及以上饮用水水质，农村灌溉区，声功能区（城市噪声功能区环境质量）进行监测。</w:t>
            </w:r>
          </w:p>
        </w:tc>
        <w:tc>
          <w:tcPr>
            <w:tcW w:w="1304" w:type="dxa"/>
            <w:noWrap w:val="0"/>
            <w:tcMar>
              <w:top w:w="75" w:type="dxa"/>
              <w:left w:w="150" w:type="dxa"/>
              <w:bottom w:w="75" w:type="dxa"/>
              <w:right w:w="150" w:type="dxa"/>
            </w:tcMar>
            <w:vAlign w:val="center"/>
          </w:tcPr>
          <w:p>
            <w:pPr>
              <w:widowControl/>
              <w:jc w:val="center"/>
              <w:rPr>
                <w:rFonts w:ascii="宋体" w:hAnsi="宋体" w:cs="宋体"/>
              </w:rPr>
            </w:pPr>
            <w:r>
              <w:rPr>
                <w:rFonts w:hint="eastAsia" w:ascii="宋体" w:hAnsi="宋体" w:cs="宋体"/>
                <w:sz w:val="24"/>
              </w:rPr>
              <w:t>具体参数详见招标文件</w:t>
            </w:r>
          </w:p>
        </w:tc>
      </w:tr>
    </w:tbl>
    <w:p>
      <w:pPr>
        <w:spacing w:line="400" w:lineRule="exact"/>
        <w:ind w:firstLine="480" w:firstLineChars="200"/>
        <w:rPr>
          <w:rFonts w:ascii="宋体" w:hAnsi="宋体" w:cs="宋体"/>
          <w:sz w:val="24"/>
        </w:rPr>
      </w:pPr>
      <w:r>
        <w:rPr>
          <w:rFonts w:hint="eastAsia" w:ascii="宋体" w:hAnsi="宋体" w:cs="宋体"/>
          <w:sz w:val="24"/>
        </w:rPr>
        <w:t>合同履行期限：合同签订之日起一年。</w:t>
      </w:r>
    </w:p>
    <w:p>
      <w:pPr>
        <w:spacing w:line="400" w:lineRule="exact"/>
        <w:ind w:firstLine="480" w:firstLineChars="200"/>
        <w:rPr>
          <w:rFonts w:ascii="宋体" w:hAnsi="宋体" w:cs="宋体"/>
          <w:sz w:val="24"/>
        </w:rPr>
      </w:pPr>
      <w:r>
        <w:rPr>
          <w:rFonts w:hint="eastAsia" w:ascii="宋体" w:hAnsi="宋体" w:cs="宋体"/>
          <w:sz w:val="24"/>
        </w:rPr>
        <w:t>本项目不接受联合体。</w:t>
      </w:r>
      <w:bookmarkStart w:id="4" w:name="_Toc28359013"/>
      <w:bookmarkStart w:id="5" w:name="_Toc28359090"/>
      <w:bookmarkStart w:id="6" w:name="_Toc35393630"/>
      <w:bookmarkStart w:id="7" w:name="_Toc35393799"/>
      <w:r>
        <w:rPr>
          <w:rFonts w:hint="eastAsia" w:ascii="宋体" w:hAnsi="宋体" w:cs="宋体"/>
          <w:sz w:val="24"/>
        </w:rPr>
        <w:t xml:space="preserve">    </w:t>
      </w:r>
    </w:p>
    <w:bookmarkEnd w:id="4"/>
    <w:bookmarkEnd w:id="5"/>
    <w:bookmarkEnd w:id="6"/>
    <w:bookmarkEnd w:id="7"/>
    <w:p>
      <w:pPr>
        <w:spacing w:line="360" w:lineRule="exact"/>
        <w:ind w:firstLine="480" w:firstLineChars="200"/>
        <w:jc w:val="left"/>
        <w:rPr>
          <w:rFonts w:ascii="宋体" w:hAnsi="宋体" w:cs="宋体"/>
          <w:sz w:val="24"/>
        </w:rPr>
      </w:pPr>
      <w:bookmarkStart w:id="8" w:name="_Toc28359091"/>
      <w:bookmarkStart w:id="9" w:name="_Toc28359014"/>
      <w:bookmarkStart w:id="10" w:name="_Toc35393631"/>
      <w:bookmarkStart w:id="11" w:name="_Toc35393800"/>
      <w:r>
        <w:rPr>
          <w:rFonts w:hint="eastAsia" w:ascii="宋体" w:hAnsi="宋体" w:cs="宋体"/>
          <w:sz w:val="24"/>
        </w:rPr>
        <w:t xml:space="preserve">二、供应商资格要求：   </w:t>
      </w:r>
    </w:p>
    <w:p>
      <w:pPr>
        <w:spacing w:line="360" w:lineRule="exact"/>
        <w:ind w:firstLine="480" w:firstLineChars="200"/>
        <w:jc w:val="left"/>
        <w:rPr>
          <w:rFonts w:hint="eastAsia" w:ascii="宋体" w:hAnsi="宋体" w:cs="宋体"/>
          <w:sz w:val="24"/>
        </w:rPr>
      </w:pPr>
      <w:r>
        <w:rPr>
          <w:rFonts w:hint="eastAsia" w:ascii="宋体" w:hAnsi="宋体" w:cs="宋体"/>
          <w:sz w:val="24"/>
        </w:rPr>
        <w:t>1.满足《中华人民共和国政府采购法》第二十二条规定；</w:t>
      </w:r>
    </w:p>
    <w:p>
      <w:pPr>
        <w:spacing w:line="360" w:lineRule="exact"/>
        <w:ind w:firstLine="480" w:firstLineChars="200"/>
        <w:jc w:val="left"/>
        <w:rPr>
          <w:rFonts w:hint="eastAsia" w:ascii="宋体" w:hAnsi="宋体" w:cs="宋体"/>
          <w:sz w:val="24"/>
        </w:rPr>
      </w:pPr>
      <w:r>
        <w:rPr>
          <w:rFonts w:hint="eastAsia" w:ascii="宋体" w:hAnsi="宋体" w:cs="宋体"/>
          <w:sz w:val="24"/>
        </w:rPr>
        <w:t>2.落实政府采购政策需满足的资格要求：无</w:t>
      </w:r>
    </w:p>
    <w:p>
      <w:pPr>
        <w:spacing w:line="360" w:lineRule="exact"/>
        <w:ind w:firstLine="480" w:firstLineChars="200"/>
        <w:jc w:val="left"/>
        <w:rPr>
          <w:rFonts w:hint="eastAsia" w:ascii="宋体" w:hAnsi="宋体" w:cs="宋体"/>
          <w:sz w:val="24"/>
        </w:rPr>
      </w:pPr>
      <w:r>
        <w:rPr>
          <w:rFonts w:hint="eastAsia" w:ascii="宋体" w:hAnsi="宋体" w:cs="宋体"/>
          <w:sz w:val="24"/>
        </w:rPr>
        <w:t>3.本项目的特定资格要求：</w:t>
      </w:r>
    </w:p>
    <w:p>
      <w:pPr>
        <w:spacing w:line="480" w:lineRule="exact"/>
        <w:ind w:firstLine="480" w:firstLineChars="200"/>
        <w:contextualSpacing/>
        <w:rPr>
          <w:rFonts w:hint="eastAsia" w:ascii="宋体" w:hAnsi="宋体" w:cs="宋体"/>
          <w:sz w:val="24"/>
        </w:rPr>
      </w:pPr>
      <w:r>
        <w:rPr>
          <w:rFonts w:hint="eastAsia" w:ascii="宋体" w:hAnsi="宋体" w:cs="宋体"/>
          <w:sz w:val="24"/>
        </w:rPr>
        <w:t>（1）具备有效的三证合一营业执照（应具有采购需求相应的经营范围）；</w:t>
      </w:r>
    </w:p>
    <w:p>
      <w:pPr>
        <w:spacing w:line="480" w:lineRule="exact"/>
        <w:ind w:firstLine="480" w:firstLineChars="200"/>
        <w:contextualSpacing/>
        <w:rPr>
          <w:rFonts w:hint="eastAsia" w:ascii="宋体" w:hAnsi="宋体" w:cs="宋体"/>
          <w:sz w:val="24"/>
        </w:rPr>
      </w:pPr>
      <w:r>
        <w:rPr>
          <w:rFonts w:hint="eastAsia" w:ascii="宋体" w:hAnsi="宋体" w:cs="宋体"/>
          <w:sz w:val="24"/>
        </w:rPr>
        <w:t>（2）具有《检验检测机构资质认定证书》；</w:t>
      </w:r>
    </w:p>
    <w:p>
      <w:pPr>
        <w:spacing w:line="480" w:lineRule="exact"/>
        <w:ind w:firstLine="480" w:firstLineChars="200"/>
        <w:contextualSpacing/>
        <w:rPr>
          <w:rFonts w:hint="eastAsia" w:ascii="宋体" w:hAnsi="宋体" w:cs="宋体"/>
          <w:sz w:val="24"/>
        </w:rPr>
      </w:pPr>
      <w:r>
        <w:rPr>
          <w:rFonts w:hint="eastAsia" w:ascii="宋体" w:hAnsi="宋体" w:cs="宋体"/>
          <w:sz w:val="24"/>
        </w:rPr>
        <w:t>（3）法定代表人身份证明原件（需附法人身份证正反面）及身份证原件或法定代表人授权委托书和委托代理人的身份证原件（授权书需附法人及委托人身份证正反面复印件）及参加开标的法人或委托人需提供社保部门出具的近六个月的缴纳社保证明（公司社保缴费凭证及个人明细表）；</w:t>
      </w:r>
    </w:p>
    <w:p>
      <w:pPr>
        <w:spacing w:line="480" w:lineRule="exact"/>
        <w:ind w:firstLine="480" w:firstLineChars="200"/>
        <w:contextualSpacing/>
        <w:rPr>
          <w:rFonts w:hint="eastAsia" w:ascii="宋体" w:hAnsi="宋体" w:cs="宋体"/>
          <w:sz w:val="24"/>
        </w:rPr>
      </w:pPr>
      <w:r>
        <w:rPr>
          <w:rFonts w:hint="eastAsia" w:ascii="宋体" w:hAnsi="宋体" w:cs="宋体"/>
          <w:sz w:val="24"/>
        </w:rPr>
        <w:t>（4）提供2021年度由第三方财务审计机构出具的财务审计报告（没有2021年财务审计报告的可提供2020年的财务审计报告原件），（2022年1月后新成立的公司可不提供但需提供银行出具的近3个月资信证明）；</w:t>
      </w:r>
    </w:p>
    <w:p>
      <w:pPr>
        <w:spacing w:line="480" w:lineRule="exact"/>
        <w:ind w:firstLine="480" w:firstLineChars="200"/>
        <w:contextualSpacing/>
        <w:rPr>
          <w:rFonts w:hint="eastAsia" w:ascii="宋体" w:hAnsi="宋体" w:cs="宋体"/>
          <w:sz w:val="24"/>
        </w:rPr>
      </w:pPr>
      <w:r>
        <w:rPr>
          <w:rFonts w:hint="eastAsia" w:ascii="宋体" w:hAnsi="宋体" w:cs="宋体"/>
          <w:sz w:val="24"/>
        </w:rPr>
        <w:t>（5）提供税务机关出具近三个月的完税证明（2022年1月后新成立公司按实际发生提供）；</w:t>
      </w:r>
    </w:p>
    <w:p>
      <w:pPr>
        <w:spacing w:line="480" w:lineRule="exact"/>
        <w:ind w:firstLine="480" w:firstLineChars="200"/>
        <w:contextualSpacing/>
        <w:rPr>
          <w:rFonts w:hint="eastAsia" w:ascii="宋体" w:hAnsi="宋体" w:cs="宋体"/>
          <w:sz w:val="24"/>
        </w:rPr>
      </w:pPr>
      <w:r>
        <w:rPr>
          <w:rFonts w:hint="eastAsia" w:ascii="宋体" w:hAnsi="宋体" w:cs="宋体"/>
          <w:sz w:val="24"/>
        </w:rPr>
        <w:t>（6）提供近三年内（本项目投标报名截止期前）如在</w:t>
      </w:r>
      <w:r>
        <w:rPr>
          <w:rFonts w:ascii="宋体" w:hAnsi="宋体" w:cs="宋体"/>
          <w:b/>
          <w:bCs/>
          <w:sz w:val="24"/>
        </w:rPr>
        <w:t>①</w:t>
      </w:r>
      <w:r>
        <w:rPr>
          <w:rFonts w:hint="eastAsia" w:ascii="宋体" w:hAnsi="宋体" w:cs="宋体"/>
          <w:sz w:val="24"/>
        </w:rPr>
        <w:t>“信用中国（www.creditchina.gov.cn）”被列入失信被执行人、企业经营异常名录、重大税收违法案件当事人名单、</w:t>
      </w:r>
      <w:r>
        <w:rPr>
          <w:rFonts w:ascii="宋体" w:hAnsi="宋体" w:cs="宋体"/>
          <w:b/>
          <w:bCs/>
          <w:sz w:val="24"/>
        </w:rPr>
        <w:t>②</w:t>
      </w:r>
      <w:r>
        <w:rPr>
          <w:rFonts w:hint="eastAsia" w:ascii="宋体" w:hAnsi="宋体" w:cs="宋体"/>
          <w:sz w:val="24"/>
        </w:rPr>
        <w:t>政府采购严重违法失信名单（尚在处罚期内的）；</w:t>
      </w:r>
      <w:r>
        <w:rPr>
          <w:rFonts w:ascii="宋体" w:hAnsi="宋体" w:cs="宋体"/>
          <w:b/>
          <w:bCs/>
          <w:sz w:val="24"/>
        </w:rPr>
        <w:t>③</w:t>
      </w:r>
      <w:r>
        <w:rPr>
          <w:rFonts w:hint="eastAsia" w:ascii="宋体" w:hAnsi="宋体" w:cs="宋体"/>
          <w:sz w:val="24"/>
        </w:rPr>
        <w:t>在“中国政府采购网（www.ccgp.gov.cn）”被列入政府采购严重违法失信行为记录名单的（尚在处罚期内的）；</w:t>
      </w:r>
      <w:r>
        <w:rPr>
          <w:rFonts w:hint="eastAsia" w:ascii="宋体" w:hAnsi="宋体" w:cs="宋体"/>
          <w:b/>
          <w:bCs/>
          <w:sz w:val="24"/>
        </w:rPr>
        <w:t>④</w:t>
      </w:r>
      <w:r>
        <w:rPr>
          <w:rFonts w:hint="eastAsia" w:ascii="宋体" w:hAnsi="宋体" w:cs="宋体"/>
          <w:sz w:val="24"/>
        </w:rPr>
        <w:t>在“国家企业信用信息公示系统（http：//www.gsxt.gov.cn）”列入经营异常名录信息、列入严重违法失信企业名单（黑名单）信息的将拒绝其参本次政府采购活动。提供网站查询须在报名期限内公告发布以后（含发布当日）的网站查询结果纸质版清晰件并加盖鲜公章；</w:t>
      </w:r>
    </w:p>
    <w:p>
      <w:pPr>
        <w:spacing w:line="480" w:lineRule="exact"/>
        <w:ind w:firstLine="480" w:firstLineChars="200"/>
        <w:contextualSpacing/>
        <w:rPr>
          <w:rFonts w:hint="eastAsia" w:ascii="宋体" w:hAnsi="宋体" w:cs="宋体"/>
          <w:sz w:val="24"/>
        </w:rPr>
      </w:pPr>
      <w:r>
        <w:rPr>
          <w:rFonts w:hint="eastAsia" w:ascii="宋体" w:hAnsi="宋体" w:cs="宋体"/>
          <w:sz w:val="24"/>
        </w:rPr>
        <w:t>（7）企业法人为同一人或者存在直接控股、管理关系的不同投标人，不得参加同一合同项下的政府采购活动。否则，皆取消投标资格。</w:t>
      </w:r>
    </w:p>
    <w:p>
      <w:pPr>
        <w:spacing w:line="360" w:lineRule="exact"/>
        <w:ind w:firstLine="480" w:firstLineChars="200"/>
        <w:rPr>
          <w:rFonts w:hint="eastAsia" w:ascii="宋体" w:hAnsi="宋体" w:cs="宋体"/>
          <w:sz w:val="24"/>
        </w:rPr>
      </w:pPr>
      <w:r>
        <w:rPr>
          <w:rFonts w:hint="eastAsia" w:ascii="宋体" w:hAnsi="宋体" w:cs="宋体"/>
          <w:sz w:val="24"/>
        </w:rPr>
        <w:t>（8）本项目不接受联合体投标。</w:t>
      </w:r>
    </w:p>
    <w:p>
      <w:pPr>
        <w:spacing w:line="400" w:lineRule="exact"/>
        <w:rPr>
          <w:rFonts w:hint="eastAsia" w:ascii="宋体" w:hAnsi="宋体" w:cs="宋体"/>
          <w:sz w:val="24"/>
        </w:rPr>
      </w:pPr>
      <w:r>
        <w:rPr>
          <w:rFonts w:hint="eastAsia" w:ascii="宋体" w:hAnsi="宋体" w:cs="宋体"/>
          <w:b/>
          <w:sz w:val="24"/>
        </w:rPr>
        <w:t>三、报名并领取招标文件</w:t>
      </w:r>
      <w:bookmarkEnd w:id="8"/>
      <w:bookmarkEnd w:id="9"/>
      <w:bookmarkEnd w:id="10"/>
      <w:bookmarkEnd w:id="11"/>
    </w:p>
    <w:p>
      <w:pPr>
        <w:spacing w:line="360" w:lineRule="exact"/>
        <w:ind w:firstLine="482" w:firstLineChars="200"/>
        <w:rPr>
          <w:rFonts w:hint="eastAsia" w:ascii="宋体" w:hAnsi="宋体" w:cs="宋体"/>
          <w:sz w:val="24"/>
        </w:rPr>
      </w:pPr>
      <w:bookmarkStart w:id="12" w:name="_Toc35393801"/>
      <w:bookmarkStart w:id="13" w:name="_Toc35393632"/>
      <w:bookmarkStart w:id="14" w:name="_Toc28359015"/>
      <w:bookmarkStart w:id="15" w:name="_Toc28359092"/>
      <w:r>
        <w:rPr>
          <w:rFonts w:hint="eastAsia" w:ascii="宋体" w:hAnsi="宋体" w:cs="宋体"/>
          <w:b/>
          <w:bCs/>
          <w:sz w:val="24"/>
        </w:rPr>
        <w:t>时间</w:t>
      </w:r>
      <w:r>
        <w:rPr>
          <w:rFonts w:hint="eastAsia" w:ascii="宋体" w:hAnsi="宋体" w:cs="宋体"/>
          <w:sz w:val="24"/>
        </w:rPr>
        <w:t>：</w:t>
      </w:r>
      <w:r>
        <w:rPr>
          <w:rFonts w:hint="eastAsia" w:ascii="宋体" w:hAnsi="宋体" w:cs="宋体"/>
          <w:color w:val="0000FF"/>
          <w:sz w:val="24"/>
        </w:rPr>
        <w:t xml:space="preserve"> </w:t>
      </w:r>
      <w:r>
        <w:rPr>
          <w:rFonts w:hint="eastAsia" w:ascii="宋体" w:hAnsi="宋体" w:cs="宋体"/>
          <w:sz w:val="24"/>
          <w:highlight w:val="none"/>
        </w:rPr>
        <w:t>2022年</w:t>
      </w:r>
      <w:r>
        <w:rPr>
          <w:rFonts w:ascii="宋体" w:hAnsi="宋体" w:cs="宋体"/>
          <w:sz w:val="24"/>
          <w:highlight w:val="none"/>
        </w:rPr>
        <w:t>0</w:t>
      </w:r>
      <w:r>
        <w:rPr>
          <w:rFonts w:hint="eastAsia" w:ascii="宋体" w:hAnsi="宋体" w:cs="宋体"/>
          <w:sz w:val="24"/>
          <w:highlight w:val="none"/>
        </w:rPr>
        <w:t>3月18日至 2022年03月2</w:t>
      </w:r>
      <w:r>
        <w:rPr>
          <w:rFonts w:hint="eastAsia" w:ascii="宋体" w:hAnsi="宋体" w:cs="宋体"/>
          <w:sz w:val="24"/>
          <w:highlight w:val="none"/>
          <w:lang w:val="en-US" w:eastAsia="zh-CN"/>
        </w:rPr>
        <w:t>5</w:t>
      </w:r>
      <w:r>
        <w:rPr>
          <w:rFonts w:hint="eastAsia" w:ascii="宋体" w:hAnsi="宋体" w:cs="宋体"/>
          <w:sz w:val="24"/>
          <w:highlight w:val="none"/>
        </w:rPr>
        <w:t>日</w:t>
      </w:r>
      <w:r>
        <w:rPr>
          <w:rFonts w:hint="eastAsia" w:ascii="宋体" w:hAnsi="宋体" w:cs="宋体"/>
          <w:sz w:val="24"/>
        </w:rPr>
        <w:t>，每天上午10：00至14:00，下午15:30至19:30（北京时间，法定节假日除外 ）。</w:t>
      </w:r>
    </w:p>
    <w:p>
      <w:pPr>
        <w:ind w:firstLine="482" w:firstLineChars="200"/>
        <w:rPr>
          <w:rFonts w:hint="eastAsia" w:ascii="宋体" w:hAnsi="宋体" w:cs="宋体"/>
          <w:sz w:val="24"/>
        </w:rPr>
      </w:pPr>
      <w:r>
        <w:rPr>
          <w:rFonts w:hint="eastAsia" w:ascii="宋体" w:hAnsi="宋体" w:cs="宋体"/>
          <w:b/>
          <w:bCs/>
          <w:sz w:val="24"/>
        </w:rPr>
        <w:t>地点</w:t>
      </w:r>
      <w:r>
        <w:rPr>
          <w:rFonts w:hint="eastAsia" w:ascii="宋体" w:hAnsi="宋体" w:cs="宋体"/>
          <w:sz w:val="24"/>
        </w:rPr>
        <w:t>：新疆惠文建设工程项目管理咨询有限公司（和田市阿恰勒东路11号十地质大队四楼）</w:t>
      </w:r>
    </w:p>
    <w:p>
      <w:pPr>
        <w:ind w:firstLine="482" w:firstLineChars="200"/>
        <w:rPr>
          <w:rFonts w:hint="eastAsia" w:ascii="宋体" w:hAnsi="宋体" w:cs="宋体"/>
          <w:sz w:val="24"/>
        </w:rPr>
      </w:pPr>
      <w:r>
        <w:rPr>
          <w:rFonts w:hint="eastAsia" w:ascii="宋体" w:hAnsi="宋体" w:cs="宋体"/>
          <w:b/>
          <w:bCs/>
          <w:sz w:val="24"/>
        </w:rPr>
        <w:t>方式</w:t>
      </w:r>
      <w:r>
        <w:rPr>
          <w:rFonts w:hint="eastAsia" w:ascii="宋体" w:hAnsi="宋体" w:cs="宋体"/>
          <w:sz w:val="24"/>
        </w:rPr>
        <w:t>：满足上述投标资质的投标人，携带第二条申请人的资格要求的相关证件（原件及加盖单位鲜公章的复印件各一套核对），审查合格后现场获取招标文件 。</w:t>
      </w:r>
    </w:p>
    <w:p>
      <w:pPr>
        <w:spacing w:line="400" w:lineRule="exact"/>
        <w:ind w:firstLine="482" w:firstLineChars="200"/>
        <w:rPr>
          <w:rFonts w:ascii="宋体" w:hAnsi="宋体" w:cs="宋体"/>
          <w:sz w:val="24"/>
        </w:rPr>
      </w:pPr>
      <w:r>
        <w:rPr>
          <w:rFonts w:hint="eastAsia" w:ascii="宋体" w:hAnsi="宋体" w:cs="宋体"/>
          <w:b/>
          <w:bCs/>
          <w:sz w:val="24"/>
        </w:rPr>
        <w:t>售价：</w:t>
      </w:r>
      <w:r>
        <w:rPr>
          <w:rFonts w:hint="eastAsia" w:ascii="宋体" w:hAnsi="宋体" w:cs="宋体"/>
          <w:sz w:val="24"/>
        </w:rPr>
        <w:t>200元/套，招标文件一经售出概不退还。</w:t>
      </w:r>
    </w:p>
    <w:p>
      <w:pPr>
        <w:spacing w:line="400" w:lineRule="exact"/>
        <w:rPr>
          <w:rFonts w:hint="eastAsia" w:ascii="宋体" w:hAnsi="宋体" w:cs="宋体"/>
          <w:b/>
          <w:sz w:val="24"/>
        </w:rPr>
      </w:pPr>
      <w:r>
        <w:rPr>
          <w:rFonts w:hint="eastAsia" w:ascii="宋体" w:hAnsi="宋体" w:cs="宋体"/>
          <w:b/>
          <w:sz w:val="24"/>
        </w:rPr>
        <w:t>四、</w:t>
      </w:r>
      <w:bookmarkEnd w:id="12"/>
      <w:bookmarkEnd w:id="13"/>
      <w:bookmarkEnd w:id="14"/>
      <w:bookmarkEnd w:id="15"/>
      <w:r>
        <w:rPr>
          <w:rFonts w:hint="eastAsia" w:ascii="宋体" w:hAnsi="宋体" w:cs="宋体"/>
          <w:b/>
          <w:sz w:val="24"/>
        </w:rPr>
        <w:t>提交投标文件截止时间、开标时间和地点</w:t>
      </w:r>
    </w:p>
    <w:p>
      <w:pPr>
        <w:spacing w:line="400" w:lineRule="exact"/>
        <w:ind w:firstLine="480" w:firstLineChars="200"/>
        <w:rPr>
          <w:rFonts w:hint="eastAsia" w:ascii="宋体" w:hAnsi="宋体" w:cs="宋体"/>
          <w:sz w:val="24"/>
        </w:rPr>
      </w:pPr>
      <w:bookmarkStart w:id="16" w:name="_Toc35393633"/>
      <w:bookmarkStart w:id="17" w:name="_Toc28359093"/>
      <w:bookmarkStart w:id="18" w:name="_Toc28359016"/>
      <w:bookmarkStart w:id="19" w:name="_Toc35393802"/>
      <w:r>
        <w:rPr>
          <w:rFonts w:hint="eastAsia" w:ascii="宋体" w:hAnsi="宋体" w:cs="宋体"/>
          <w:sz w:val="24"/>
        </w:rPr>
        <w:t>时间：</w:t>
      </w:r>
      <w:r>
        <w:rPr>
          <w:rFonts w:hint="eastAsia" w:ascii="宋体" w:hAnsi="宋体" w:cs="宋体"/>
          <w:sz w:val="24"/>
          <w:highlight w:val="none"/>
        </w:rPr>
        <w:t>2022年3月30日11时00分</w:t>
      </w:r>
      <w:r>
        <w:rPr>
          <w:rFonts w:hint="eastAsia" w:ascii="宋体" w:hAnsi="宋体" w:cs="宋体"/>
          <w:sz w:val="24"/>
        </w:rPr>
        <w:t>（北京时间）</w:t>
      </w:r>
    </w:p>
    <w:p>
      <w:pPr>
        <w:spacing w:line="400" w:lineRule="exact"/>
        <w:ind w:firstLine="480" w:firstLineChars="200"/>
        <w:rPr>
          <w:rFonts w:hint="eastAsia"/>
        </w:rPr>
      </w:pPr>
      <w:r>
        <w:rPr>
          <w:rFonts w:hint="eastAsia" w:ascii="宋体" w:hAnsi="宋体" w:cs="宋体"/>
          <w:sz w:val="24"/>
        </w:rPr>
        <w:t>地点：腾讯会议不见面开标</w:t>
      </w:r>
    </w:p>
    <w:bookmarkEnd w:id="16"/>
    <w:bookmarkEnd w:id="17"/>
    <w:bookmarkEnd w:id="18"/>
    <w:bookmarkEnd w:id="19"/>
    <w:p>
      <w:pPr>
        <w:spacing w:line="400" w:lineRule="exact"/>
        <w:rPr>
          <w:rFonts w:hint="eastAsia" w:ascii="宋体" w:hAnsi="宋体" w:cs="宋体"/>
          <w:b/>
          <w:sz w:val="24"/>
        </w:rPr>
      </w:pPr>
      <w:bookmarkStart w:id="20" w:name="_Toc28359094"/>
      <w:bookmarkStart w:id="21" w:name="_Toc35393803"/>
      <w:bookmarkStart w:id="22" w:name="_Toc28359017"/>
      <w:bookmarkStart w:id="23" w:name="_Toc35393634"/>
      <w:r>
        <w:rPr>
          <w:rFonts w:hint="eastAsia" w:ascii="宋体" w:hAnsi="宋体" w:cs="宋体"/>
          <w:b/>
          <w:sz w:val="24"/>
        </w:rPr>
        <w:t>五、公告期限</w:t>
      </w:r>
      <w:bookmarkEnd w:id="20"/>
      <w:bookmarkEnd w:id="21"/>
      <w:bookmarkEnd w:id="22"/>
      <w:bookmarkEnd w:id="23"/>
    </w:p>
    <w:p>
      <w:pPr>
        <w:spacing w:line="400" w:lineRule="exact"/>
        <w:ind w:firstLine="480" w:firstLineChars="200"/>
        <w:rPr>
          <w:rFonts w:hint="eastAsia" w:ascii="宋体" w:hAnsi="宋体" w:cs="宋体"/>
          <w:bCs/>
          <w:sz w:val="24"/>
        </w:rPr>
      </w:pPr>
      <w:r>
        <w:rPr>
          <w:rFonts w:hint="eastAsia" w:ascii="宋体" w:hAnsi="宋体" w:cs="宋体"/>
          <w:bCs/>
          <w:sz w:val="24"/>
        </w:rPr>
        <w:t>自本公告发布之日起5个工作日。</w:t>
      </w:r>
    </w:p>
    <w:p>
      <w:pPr>
        <w:spacing w:line="400" w:lineRule="exact"/>
        <w:rPr>
          <w:rFonts w:hint="eastAsia" w:ascii="宋体" w:hAnsi="宋体" w:cs="宋体"/>
          <w:b/>
          <w:sz w:val="24"/>
        </w:rPr>
      </w:pPr>
      <w:bookmarkStart w:id="24" w:name="_Toc35393635"/>
      <w:bookmarkStart w:id="25" w:name="_Toc35393804"/>
      <w:r>
        <w:rPr>
          <w:rFonts w:hint="eastAsia" w:ascii="宋体" w:hAnsi="宋体" w:cs="宋体"/>
          <w:b/>
          <w:sz w:val="24"/>
        </w:rPr>
        <w:t>六、其他补充事宜</w:t>
      </w:r>
      <w:bookmarkEnd w:id="24"/>
      <w:bookmarkEnd w:id="25"/>
    </w:p>
    <w:p>
      <w:pPr>
        <w:pStyle w:val="6"/>
        <w:spacing w:line="340" w:lineRule="exact"/>
        <w:ind w:firstLine="480"/>
        <w:rPr>
          <w:rFonts w:hint="eastAsia" w:ascii="新宋体" w:hAnsi="新宋体" w:eastAsia="新宋体"/>
          <w:kern w:val="1"/>
        </w:rPr>
      </w:pPr>
      <w:r>
        <w:rPr>
          <w:rFonts w:hint="eastAsia" w:ascii="新宋体" w:hAnsi="新宋体" w:eastAsia="新宋体"/>
          <w:kern w:val="1"/>
        </w:rPr>
        <w:t>1、投标保证金：10000.00元；开户名称：于田县行政服务和公共资源交易中心，开户银行：中国农业银行股份有限公司于田县支行，行号：103896758211，账号：30582101040040596【投标保证金缴纳的截止时间为</w:t>
      </w:r>
      <w:r>
        <w:rPr>
          <w:rFonts w:hint="eastAsia" w:ascii="新宋体" w:hAnsi="新宋体" w:eastAsia="新宋体"/>
          <w:kern w:val="1"/>
          <w:highlight w:val="none"/>
        </w:rPr>
        <w:t>2022年3月30日11：00（北京时间）</w:t>
      </w:r>
      <w:r>
        <w:rPr>
          <w:rFonts w:hint="eastAsia" w:ascii="新宋体" w:hAnsi="新宋体" w:eastAsia="新宋体"/>
          <w:kern w:val="1"/>
        </w:rPr>
        <w:t>，缴纳投标保证金时应在付款用途里标明项目名称、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w:t>
      </w:r>
      <w:r>
        <w:rPr>
          <w:rFonts w:hint="eastAsia" w:ascii="新宋体" w:hAnsi="新宋体" w:eastAsia="新宋体"/>
          <w:b/>
          <w:bCs/>
          <w:kern w:val="1"/>
        </w:rPr>
        <w:t>开标结束后未中标企业现场将开户许可证复印件（须加盖公司公章）递交至于田县公共资源交易中心财务室。</w:t>
      </w:r>
    </w:p>
    <w:p>
      <w:pPr>
        <w:spacing w:line="400" w:lineRule="exact"/>
        <w:ind w:firstLine="480" w:firstLineChars="200"/>
        <w:rPr>
          <w:rFonts w:hint="eastAsia" w:ascii="宋体" w:hAnsi="宋体" w:cs="宋体"/>
          <w:bCs/>
          <w:sz w:val="24"/>
        </w:rPr>
      </w:pPr>
      <w:r>
        <w:rPr>
          <w:rFonts w:hint="eastAsia" w:ascii="宋体" w:hAnsi="宋体" w:cs="宋体"/>
          <w:bCs/>
          <w:sz w:val="24"/>
        </w:rPr>
        <w:t xml:space="preserve">          </w:t>
      </w:r>
    </w:p>
    <w:p>
      <w:pPr>
        <w:rPr>
          <w:rFonts w:hint="eastAsia" w:ascii="宋体" w:hAnsi="宋体" w:cs="宋体"/>
          <w:b/>
          <w:sz w:val="24"/>
        </w:rPr>
      </w:pPr>
      <w:bookmarkStart w:id="26" w:name="_Toc35393805"/>
      <w:bookmarkStart w:id="27" w:name="_Toc28359018"/>
      <w:bookmarkStart w:id="28" w:name="_Toc28359095"/>
      <w:bookmarkStart w:id="29" w:name="_Toc35393636"/>
      <w:r>
        <w:rPr>
          <w:rFonts w:hint="eastAsia" w:ascii="宋体" w:hAnsi="宋体" w:cs="宋体"/>
          <w:b/>
          <w:sz w:val="24"/>
        </w:rPr>
        <w:t>七、凡对本次招标提出询问，请按以下方式联系。</w:t>
      </w:r>
      <w:bookmarkEnd w:id="26"/>
      <w:bookmarkEnd w:id="27"/>
      <w:bookmarkEnd w:id="28"/>
      <w:bookmarkEnd w:id="29"/>
    </w:p>
    <w:p>
      <w:pPr>
        <w:ind w:firstLine="480" w:firstLineChars="200"/>
        <w:rPr>
          <w:rFonts w:hint="eastAsia" w:ascii="宋体" w:hAnsi="宋体" w:cs="宋体"/>
          <w:bCs/>
          <w:sz w:val="24"/>
        </w:rPr>
      </w:pPr>
      <w:bookmarkStart w:id="30" w:name="_Toc28359096"/>
      <w:bookmarkStart w:id="31" w:name="_Toc35393806"/>
      <w:bookmarkStart w:id="32" w:name="_Toc28359019"/>
      <w:bookmarkStart w:id="33" w:name="_Toc35393637"/>
      <w:r>
        <w:rPr>
          <w:rFonts w:hint="eastAsia" w:ascii="宋体" w:hAnsi="宋体" w:cs="宋体"/>
          <w:bCs/>
          <w:sz w:val="24"/>
        </w:rPr>
        <w:t>1.采购人信息</w:t>
      </w:r>
      <w:bookmarkEnd w:id="30"/>
      <w:bookmarkEnd w:id="31"/>
      <w:bookmarkEnd w:id="32"/>
      <w:bookmarkEnd w:id="33"/>
    </w:p>
    <w:p>
      <w:pPr>
        <w:ind w:left="300" w:hanging="300" w:hangingChars="125"/>
        <w:jc w:val="left"/>
        <w:rPr>
          <w:rFonts w:ascii="宋体" w:hAnsi="宋体" w:cs="宋体"/>
          <w:sz w:val="24"/>
          <w:u w:val="single"/>
        </w:rPr>
      </w:pPr>
      <w:r>
        <w:rPr>
          <w:rFonts w:hint="eastAsia" w:ascii="宋体" w:hAnsi="宋体" w:cs="宋体"/>
          <w:sz w:val="24"/>
        </w:rPr>
        <w:t xml:space="preserve">    名    称：</w:t>
      </w:r>
      <w:r>
        <w:rPr>
          <w:rFonts w:hint="eastAsia" w:ascii="宋体" w:hAnsi="宋体" w:cs="宋体"/>
          <w:sz w:val="24"/>
          <w:u w:val="single"/>
        </w:rPr>
        <w:t>和田地区生态环境局于田县分局</w:t>
      </w:r>
    </w:p>
    <w:p>
      <w:pPr>
        <w:ind w:left="300" w:hanging="300" w:hangingChars="125"/>
        <w:jc w:val="left"/>
        <w:rPr>
          <w:rFonts w:ascii="宋体" w:hAnsi="宋体" w:cs="宋体"/>
          <w:sz w:val="24"/>
        </w:rPr>
      </w:pPr>
      <w:r>
        <w:rPr>
          <w:rFonts w:hint="eastAsia" w:ascii="宋体" w:hAnsi="宋体" w:cs="宋体"/>
          <w:sz w:val="24"/>
        </w:rPr>
        <w:t xml:space="preserve">    地    址：</w:t>
      </w:r>
      <w:r>
        <w:rPr>
          <w:rFonts w:hint="eastAsia" w:ascii="宋体" w:hAnsi="宋体" w:cs="宋体"/>
          <w:sz w:val="24"/>
          <w:u w:val="single"/>
        </w:rPr>
        <w:t>和田地区于田县</w:t>
      </w:r>
    </w:p>
    <w:p>
      <w:pPr>
        <w:ind w:left="300" w:hanging="300" w:hangingChars="125"/>
        <w:jc w:val="left"/>
        <w:rPr>
          <w:rFonts w:hint="eastAsia" w:ascii="宋体" w:hAnsi="宋体" w:eastAsia="宋体" w:cs="宋体"/>
          <w:sz w:val="24"/>
          <w:u w:val="single"/>
          <w:lang w:eastAsia="zh-CN"/>
        </w:rPr>
      </w:pPr>
      <w:r>
        <w:rPr>
          <w:rFonts w:hint="eastAsia" w:ascii="宋体" w:hAnsi="宋体" w:cs="宋体"/>
          <w:sz w:val="24"/>
        </w:rPr>
        <w:t xml:space="preserve">    联 系 人：</w:t>
      </w:r>
      <w:r>
        <w:rPr>
          <w:rFonts w:hint="eastAsia" w:ascii="宋体" w:hAnsi="宋体" w:cs="宋体"/>
          <w:sz w:val="24"/>
          <w:u w:val="single"/>
        </w:rPr>
        <w:t>胡</w:t>
      </w:r>
      <w:r>
        <w:rPr>
          <w:rFonts w:hint="eastAsia" w:ascii="宋体" w:hAnsi="宋体" w:cs="宋体"/>
          <w:sz w:val="24"/>
          <w:u w:val="single"/>
          <w:lang w:val="en-US" w:eastAsia="zh-CN"/>
        </w:rPr>
        <w:t>女士</w:t>
      </w:r>
      <w:bookmarkStart w:id="38" w:name="_GoBack"/>
      <w:bookmarkEnd w:id="38"/>
    </w:p>
    <w:p>
      <w:pPr>
        <w:ind w:left="300" w:hanging="300" w:hangingChars="125"/>
        <w:jc w:val="left"/>
        <w:rPr>
          <w:rFonts w:ascii="宋体" w:hAnsi="宋体" w:cs="宋体"/>
          <w:sz w:val="24"/>
          <w:highlight w:val="yellow"/>
          <w:u w:val="single"/>
        </w:rPr>
      </w:pPr>
      <w:r>
        <w:rPr>
          <w:rFonts w:hint="eastAsia" w:ascii="宋体" w:hAnsi="宋体" w:cs="宋体"/>
          <w:sz w:val="24"/>
        </w:rPr>
        <w:t xml:space="preserve">    联系方式：</w:t>
      </w:r>
      <w:bookmarkStart w:id="34" w:name="_Toc35393638"/>
      <w:bookmarkStart w:id="35" w:name="_Toc28359097"/>
      <w:bookmarkStart w:id="36" w:name="_Toc28359020"/>
      <w:bookmarkStart w:id="37" w:name="_Toc35393807"/>
      <w:r>
        <w:rPr>
          <w:rFonts w:hint="eastAsia" w:ascii="宋体" w:hAnsi="宋体" w:cs="宋体"/>
          <w:sz w:val="24"/>
          <w:highlight w:val="none"/>
          <w:u w:val="single"/>
        </w:rPr>
        <w:t>0903</w:t>
      </w:r>
      <w:r>
        <w:rPr>
          <w:rFonts w:hint="eastAsia" w:ascii="宋体" w:hAnsi="宋体" w:cs="宋体"/>
          <w:sz w:val="24"/>
          <w:highlight w:val="none"/>
          <w:u w:val="single"/>
          <w:lang w:val="en-US" w:eastAsia="zh-CN"/>
        </w:rPr>
        <w:t>-</w:t>
      </w:r>
      <w:r>
        <w:rPr>
          <w:rFonts w:hint="eastAsia" w:ascii="宋体" w:hAnsi="宋体" w:cs="宋体"/>
          <w:sz w:val="24"/>
          <w:highlight w:val="none"/>
          <w:u w:val="single"/>
        </w:rPr>
        <w:t>6817251</w:t>
      </w:r>
    </w:p>
    <w:p>
      <w:pPr>
        <w:ind w:firstLine="480" w:firstLineChars="200"/>
        <w:jc w:val="left"/>
        <w:rPr>
          <w:rFonts w:hint="eastAsia" w:ascii="宋体" w:hAnsi="宋体" w:cs="宋体"/>
          <w:sz w:val="24"/>
        </w:rPr>
      </w:pPr>
    </w:p>
    <w:p>
      <w:pPr>
        <w:ind w:firstLine="480" w:firstLineChars="200"/>
        <w:jc w:val="left"/>
        <w:rPr>
          <w:rFonts w:hint="eastAsia" w:ascii="宋体" w:hAnsi="宋体" w:cs="宋体"/>
          <w:sz w:val="24"/>
        </w:rPr>
      </w:pPr>
      <w:r>
        <w:rPr>
          <w:rFonts w:hint="eastAsia" w:ascii="宋体" w:hAnsi="宋体" w:cs="宋体"/>
          <w:sz w:val="24"/>
        </w:rPr>
        <w:t>2.采购代理机构信息</w:t>
      </w:r>
      <w:bookmarkEnd w:id="34"/>
      <w:bookmarkEnd w:id="35"/>
      <w:bookmarkEnd w:id="36"/>
      <w:bookmarkEnd w:id="37"/>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新疆惠文建设工程项目管理咨询有限公司</w:t>
      </w:r>
    </w:p>
    <w:p>
      <w:pPr>
        <w:ind w:firstLine="480" w:firstLineChars="2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和田市阿恰勒东路11号</w:t>
      </w:r>
    </w:p>
    <w:p>
      <w:pPr>
        <w:ind w:firstLine="480" w:firstLineChars="200"/>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0903-2520049</w:t>
      </w:r>
    </w:p>
    <w:p>
      <w:pPr>
        <w:ind w:firstLine="480" w:firstLineChars="200"/>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3.项目联系方式</w:t>
      </w:r>
    </w:p>
    <w:p>
      <w:pPr>
        <w:ind w:firstLine="480" w:firstLineChars="200"/>
        <w:rPr>
          <w:rFonts w:ascii="宋体" w:hAnsi="宋体" w:cs="宋体"/>
          <w:sz w:val="24"/>
        </w:rPr>
      </w:pPr>
      <w:r>
        <w:rPr>
          <w:rFonts w:hint="eastAsia" w:ascii="宋体" w:hAnsi="宋体" w:cs="宋体"/>
          <w:sz w:val="24"/>
        </w:rPr>
        <w:t>项目联系人：</w:t>
      </w:r>
      <w:r>
        <w:rPr>
          <w:rFonts w:hint="eastAsia" w:ascii="宋体" w:hAnsi="宋体" w:cs="宋体"/>
          <w:sz w:val="24"/>
          <w:u w:val="single"/>
        </w:rPr>
        <w:t xml:space="preserve"> 马</w:t>
      </w:r>
      <w:r>
        <w:rPr>
          <w:rFonts w:hint="eastAsia" w:ascii="宋体" w:hAnsi="宋体" w:cs="宋体"/>
          <w:sz w:val="24"/>
          <w:u w:val="single"/>
          <w:lang w:val="en-US" w:eastAsia="zh-CN"/>
        </w:rPr>
        <w:t>女士</w:t>
      </w:r>
      <w:r>
        <w:rPr>
          <w:rFonts w:hint="eastAsia" w:ascii="宋体" w:hAnsi="宋体" w:cs="宋体"/>
          <w:sz w:val="24"/>
          <w:u w:val="single"/>
        </w:rPr>
        <w:t xml:space="preserve"> </w:t>
      </w:r>
    </w:p>
    <w:p>
      <w:pPr>
        <w:ind w:firstLine="480" w:firstLineChars="200"/>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13999656168、15309969822</w:t>
      </w:r>
      <w:r>
        <w:rPr>
          <w:rFonts w:hint="eastAsia" w:ascii="宋体" w:hAnsi="宋体" w:cs="宋体"/>
          <w:sz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780"/>
        </w:tabs>
        <w:ind w:left="780" w:hanging="360"/>
      </w:pPr>
      <w:rPr>
        <w:rFonts w:hint="default"/>
      </w:rPr>
    </w:lvl>
    <w:lvl w:ilvl="1" w:tentative="0">
      <w:start w:val="1"/>
      <w:numFmt w:val="japaneseCounting"/>
      <w:lvlText w:val="%2、"/>
      <w:lvlJc w:val="left"/>
      <w:pPr>
        <w:tabs>
          <w:tab w:val="left" w:pos="1560"/>
        </w:tabs>
        <w:ind w:left="1560" w:hanging="720"/>
      </w:pPr>
      <w:rPr>
        <w:rFonts w:hint="default"/>
      </w:rPr>
    </w:lvl>
    <w:lvl w:ilvl="2" w:tentative="0">
      <w:start w:val="1"/>
      <w:numFmt w:val="decimalEnclosedCircle"/>
      <w:lvlText w:val="%3"/>
      <w:lvlJc w:val="left"/>
      <w:pPr>
        <w:tabs>
          <w:tab w:val="left" w:pos="1620"/>
        </w:tabs>
        <w:ind w:left="1620" w:hanging="360"/>
      </w:pPr>
      <w:rPr>
        <w:rFonts w:hint="eastAsia"/>
      </w:rPr>
    </w:lvl>
    <w:lvl w:ilvl="3" w:tentative="0">
      <w:start w:val="1"/>
      <w:numFmt w:val="decimal"/>
      <w:lvlText w:val="%4、"/>
      <w:lvlJc w:val="left"/>
      <w:pPr>
        <w:tabs>
          <w:tab w:val="left" w:pos="2400"/>
        </w:tabs>
        <w:ind w:left="2400" w:hanging="720"/>
      </w:pPr>
      <w:rPr>
        <w:rFonts w:hint="eastAsia"/>
      </w:rPr>
    </w:lvl>
    <w:lvl w:ilvl="4" w:tentative="0">
      <w:start w:val="1"/>
      <w:numFmt w:val="upperLetter"/>
      <w:pStyle w:val="3"/>
      <w:lvlText w:val="%5、"/>
      <w:lvlJc w:val="left"/>
      <w:pPr>
        <w:tabs>
          <w:tab w:val="left" w:pos="2820"/>
        </w:tabs>
        <w:ind w:left="2820" w:hanging="720"/>
      </w:pPr>
      <w:rPr>
        <w:rFonts w:hint="eastAsia"/>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00B35"/>
    <w:rsid w:val="03E17245"/>
    <w:rsid w:val="2B500B35"/>
    <w:rsid w:val="2C9C2162"/>
    <w:rsid w:val="4CED5C9A"/>
    <w:rsid w:val="6C867EA1"/>
    <w:rsid w:val="759F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4"/>
        <w:numId w:val="1"/>
      </w:numPr>
      <w:tabs>
        <w:tab w:val="left" w:pos="0"/>
        <w:tab w:val="clear" w:pos="2820"/>
      </w:tabs>
      <w:ind w:hanging="2820"/>
      <w:outlineLvl w:val="0"/>
    </w:pPr>
    <w:rPr>
      <w:rFonts w:ascii="仿宋_GB2312" w:eastAsia="仿宋_GB2312"/>
      <w:sz w:val="32"/>
      <w:szCs w:val="32"/>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line="300" w:lineRule="auto"/>
    </w:pPr>
    <w:rPr>
      <w:sz w:val="24"/>
      <w:szCs w:val="24"/>
    </w:rPr>
  </w:style>
  <w:style w:type="paragraph" w:customStyle="1" w:styleId="9">
    <w:name w:val="Normal (Web)"/>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2022-03-17T10:59:00Z</dcterms:created>
  <dc:creator>张亮</dc:creator>
  <cp:lastModifiedBy>张亮</cp:lastModifiedBy>
  <dcterms:modified xsi:type="dcterms:W3CDTF">2022-03-17T11:03:10Z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0CC9BE163682450798719B4D1F11D2BE</vt:lpwstr>
  </property>
</Properties>
</file>