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Style w:val="33"/>
        <w:rPr>
          <w:rFonts w:hint="eastAsia"/>
        </w:rPr>
      </w:pP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tabs>
          <w:tab w:val="left" w:pos="1960"/>
          <w:tab w:val="left" w:pos="3480"/>
          <w:tab w:val="left" w:pos="4980"/>
        </w:tabs>
        <w:kinsoku/>
        <w:topLinePunct w:val="0"/>
        <w:bidi w:val="0"/>
        <w:spacing w:line="400" w:lineRule="exact"/>
        <w:ind w:left="0" w:leftChars="0" w:firstLine="0" w:firstLineChars="0"/>
        <w:jc w:val="center"/>
        <w:rPr>
          <w:rFonts w:hint="eastAsia" w:ascii="宋体" w:hAnsi="宋体" w:eastAsia="宋体" w:cs="宋体"/>
          <w:b/>
          <w:sz w:val="36"/>
          <w:szCs w:val="36"/>
          <w:lang w:eastAsia="zh-CN"/>
        </w:rPr>
      </w:pPr>
      <w:r>
        <w:rPr>
          <w:rFonts w:hint="eastAsia" w:ascii="宋体" w:hAnsi="宋体" w:cs="宋体"/>
          <w:b/>
          <w:sz w:val="36"/>
          <w:szCs w:val="36"/>
          <w:lang w:eastAsia="zh-CN"/>
        </w:rPr>
        <w:t>新疆维吾尔自治区第一测绘院矢量编辑软件采购项目</w:t>
      </w:r>
      <w:r>
        <w:rPr>
          <w:rFonts w:hint="eastAsia" w:ascii="宋体" w:hAnsi="宋体" w:eastAsia="宋体" w:cs="宋体"/>
          <w:b/>
          <w:sz w:val="36"/>
          <w:szCs w:val="36"/>
          <w:lang w:eastAsia="zh-CN"/>
        </w:rPr>
        <w:t>　</w:t>
      </w:r>
    </w:p>
    <w:p>
      <w:pPr>
        <w:pStyle w:val="33"/>
        <w:rPr>
          <w:rFonts w:hint="eastAsia"/>
          <w:lang w:eastAsia="zh-CN"/>
        </w:rPr>
      </w:pPr>
    </w:p>
    <w:p>
      <w:pPr>
        <w:pageBreakBefore w:val="0"/>
        <w:tabs>
          <w:tab w:val="left" w:pos="1960"/>
          <w:tab w:val="left" w:pos="3480"/>
          <w:tab w:val="left" w:pos="4980"/>
        </w:tabs>
        <w:kinsoku/>
        <w:topLinePunct w:val="0"/>
        <w:bidi w:val="0"/>
        <w:spacing w:line="400" w:lineRule="exact"/>
        <w:ind w:left="0" w:leftChars="0" w:firstLine="0" w:firstLineChars="0"/>
        <w:jc w:val="center"/>
        <w:rPr>
          <w:rFonts w:hint="eastAsia" w:ascii="宋体" w:hAnsi="宋体" w:eastAsia="宋体" w:cs="宋体"/>
          <w:b/>
          <w:sz w:val="36"/>
          <w:szCs w:val="36"/>
        </w:rPr>
      </w:pPr>
      <w:r>
        <w:rPr>
          <w:rFonts w:hint="eastAsia" w:ascii="宋体" w:hAnsi="宋体" w:eastAsia="宋体" w:cs="宋体"/>
          <w:b/>
          <w:sz w:val="36"/>
          <w:szCs w:val="36"/>
        </w:rPr>
        <w:t>竞争性磋商文件</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lang w:val="en-US" w:eastAsia="zh-CN"/>
        </w:rPr>
      </w:pPr>
      <w:r>
        <w:rPr>
          <w:rFonts w:hint="eastAsia" w:ascii="宋体" w:hAnsi="宋体" w:eastAsia="宋体" w:cs="宋体"/>
          <w:b/>
          <w:sz w:val="21"/>
          <w:szCs w:val="21"/>
        </w:rPr>
        <w:t>项目编号：</w:t>
      </w:r>
      <w:r>
        <w:rPr>
          <w:rFonts w:hint="eastAsia" w:ascii="宋体" w:hAnsi="宋体" w:cs="宋体"/>
          <w:b/>
          <w:sz w:val="21"/>
          <w:szCs w:val="21"/>
          <w:lang w:eastAsia="zh-CN"/>
        </w:rPr>
        <w:t>HYGJ-ZFCG-2022-015</w:t>
      </w:r>
    </w:p>
    <w:p>
      <w:pPr>
        <w:pStyle w:val="12"/>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Style w:val="32"/>
        <w:pageBreakBefore w:val="0"/>
        <w:kinsoku/>
        <w:topLinePunct w:val="0"/>
        <w:bidi w:val="0"/>
        <w:spacing w:after="0" w:line="400" w:lineRule="exact"/>
        <w:ind w:left="0" w:leftChars="0" w:firstLine="0" w:firstLineChars="0"/>
        <w:rPr>
          <w:rFonts w:hint="eastAsia" w:ascii="宋体" w:hAnsi="宋体" w:eastAsia="宋体" w:cs="宋体"/>
          <w:sz w:val="21"/>
          <w:szCs w:val="21"/>
        </w:rPr>
      </w:pPr>
    </w:p>
    <w:p>
      <w:pPr>
        <w:pStyle w:val="33"/>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Style w:val="32"/>
        <w:pageBreakBefore w:val="0"/>
        <w:kinsoku/>
        <w:topLinePunct w:val="0"/>
        <w:bidi w:val="0"/>
        <w:spacing w:after="0" w:line="400" w:lineRule="exact"/>
        <w:ind w:left="0" w:leftChars="0" w:firstLine="0" w:firstLineChars="0"/>
        <w:rPr>
          <w:rFonts w:hint="eastAsia" w:ascii="宋体" w:hAnsi="宋体" w:eastAsia="宋体" w:cs="宋体"/>
          <w:sz w:val="21"/>
          <w:szCs w:val="21"/>
        </w:rPr>
      </w:pPr>
    </w:p>
    <w:p>
      <w:pPr>
        <w:pStyle w:val="33"/>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12"/>
        <w:pageBreakBefore w:val="0"/>
        <w:kinsoku/>
        <w:topLinePunct w:val="0"/>
        <w:bidi w:val="0"/>
        <w:spacing w:line="400" w:lineRule="exact"/>
        <w:ind w:left="0" w:leftChars="0" w:firstLine="0" w:firstLineChars="0"/>
        <w:jc w:val="left"/>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33"/>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33"/>
        <w:rPr>
          <w:rFonts w:hint="eastAsia" w:ascii="宋体" w:hAnsi="宋体" w:eastAsia="宋体" w:cs="宋体"/>
          <w:b/>
          <w:bCs/>
          <w:sz w:val="21"/>
          <w:szCs w:val="21"/>
        </w:rPr>
      </w:pPr>
    </w:p>
    <w:p>
      <w:pPr>
        <w:rPr>
          <w:rFonts w:hint="eastAsia"/>
        </w:rPr>
      </w:pPr>
    </w:p>
    <w:p>
      <w:pPr>
        <w:pStyle w:val="33"/>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采购人名称：</w:t>
      </w:r>
      <w:r>
        <w:rPr>
          <w:rFonts w:hint="eastAsia" w:ascii="宋体" w:hAnsi="宋体" w:eastAsia="宋体" w:cs="宋体"/>
          <w:sz w:val="21"/>
          <w:szCs w:val="21"/>
          <w:lang w:eastAsia="zh-CN"/>
        </w:rPr>
        <w:t>新疆维吾尔自治区第一测绘院</w:t>
      </w:r>
      <w:r>
        <w:rPr>
          <w:rFonts w:hint="eastAsia" w:ascii="宋体" w:hAnsi="宋体" w:eastAsia="宋体" w:cs="宋体"/>
          <w:sz w:val="21"/>
          <w:szCs w:val="21"/>
        </w:rPr>
        <w:t> </w:t>
      </w: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cs="宋体"/>
          <w:sz w:val="21"/>
          <w:szCs w:val="21"/>
          <w:lang w:eastAsia="zh-CN"/>
        </w:rPr>
        <w:t>艾克拜尔</w:t>
      </w:r>
      <w:r>
        <w:rPr>
          <w:rFonts w:hint="eastAsia" w:ascii="宋体" w:hAnsi="宋体" w:eastAsia="宋体" w:cs="宋体"/>
          <w:sz w:val="21"/>
          <w:szCs w:val="21"/>
        </w:rPr>
        <w:t xml:space="preserve">   </w:t>
      </w: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联系电话：18699400218</w:t>
      </w: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lang w:eastAsia="zh-CN"/>
        </w:rPr>
        <w:t>新疆维吾尔自治区昌吉市延安路</w:t>
      </w:r>
      <w:r>
        <w:rPr>
          <w:rFonts w:hint="eastAsia" w:ascii="宋体" w:hAnsi="宋体" w:eastAsia="宋体" w:cs="宋体"/>
          <w:sz w:val="21"/>
          <w:szCs w:val="21"/>
          <w:lang w:val="en-US" w:eastAsia="zh-CN"/>
        </w:rPr>
        <w:t xml:space="preserve">124号 </w:t>
      </w:r>
      <w:r>
        <w:rPr>
          <w:rFonts w:hint="eastAsia" w:ascii="宋体" w:hAnsi="宋体" w:eastAsia="宋体" w:cs="宋体"/>
          <w:sz w:val="21"/>
          <w:szCs w:val="21"/>
        </w:rPr>
        <w:t xml:space="preserve">  </w:t>
      </w:r>
    </w:p>
    <w:p>
      <w:pPr>
        <w:pStyle w:val="32"/>
        <w:pageBreakBefore w:val="0"/>
        <w:kinsoku/>
        <w:topLinePunct w:val="0"/>
        <w:bidi w:val="0"/>
        <w:spacing w:after="0" w:line="400" w:lineRule="exact"/>
        <w:ind w:left="0" w:leftChars="0" w:firstLine="0" w:firstLineChars="0"/>
        <w:jc w:val="left"/>
        <w:rPr>
          <w:rFonts w:hint="eastAsia" w:ascii="宋体" w:hAnsi="宋体" w:eastAsia="宋体" w:cs="宋体"/>
          <w:sz w:val="21"/>
          <w:szCs w:val="21"/>
        </w:rPr>
      </w:pP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采购代理机构：宏业国际项目管理有限公司</w:t>
      </w: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联系人：李苗</w:t>
      </w: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联系电话：15022921857</w:t>
      </w: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地址：乌鲁木齐水磨沟区红光山路万科大都会8号楼1202</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Style w:val="41"/>
          <w:rFonts w:hint="eastAsia" w:ascii="宋体" w:hAnsi="宋体" w:eastAsia="宋体" w:cs="宋体"/>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TOC \o "1-2" \h \z \u </w:instrText>
      </w:r>
      <w:r>
        <w:rPr>
          <w:rFonts w:hint="eastAsia" w:ascii="宋体" w:hAnsi="宋体" w:eastAsia="宋体" w:cs="宋体"/>
          <w:b/>
          <w:sz w:val="21"/>
          <w:szCs w:val="21"/>
        </w:rPr>
        <w:fldChar w:fldCharType="separate"/>
      </w: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TOC \o "1-2" \h \z \u </w:instrText>
      </w:r>
      <w:r>
        <w:rPr>
          <w:rFonts w:hint="eastAsia" w:ascii="宋体" w:hAnsi="宋体" w:eastAsia="宋体" w:cs="宋体"/>
          <w:b/>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"_Toc462223639" </w:instrText>
      </w:r>
      <w:r>
        <w:rPr>
          <w:rFonts w:hint="eastAsia" w:ascii="宋体" w:hAnsi="宋体" w:eastAsia="宋体" w:cs="宋体"/>
          <w:sz w:val="21"/>
          <w:szCs w:val="21"/>
        </w:rPr>
        <w:fldChar w:fldCharType="separate"/>
      </w:r>
    </w:p>
    <w:sdt>
      <w:sdtPr>
        <w:rPr>
          <w:rFonts w:hint="eastAsia" w:ascii="宋体" w:hAnsi="宋体" w:eastAsia="宋体" w:cs="宋体"/>
          <w:sz w:val="21"/>
          <w:szCs w:val="21"/>
        </w:rPr>
        <w:id w:val="147474017"/>
        <w:docPartObj>
          <w:docPartGallery w:val="Table of Contents"/>
          <w:docPartUnique/>
        </w:docPartObj>
      </w:sdtPr>
      <w:sdtEndPr>
        <w:rPr>
          <w:rFonts w:hint="eastAsia" w:ascii="宋体" w:hAnsi="宋体" w:eastAsia="宋体" w:cs="宋体"/>
          <w:sz w:val="21"/>
          <w:szCs w:val="21"/>
        </w:rPr>
      </w:sdtEndPr>
      <w:sdtContent>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目  录</w:t>
          </w:r>
        </w:p>
        <w:p>
          <w:pPr>
            <w:pStyle w:val="123"/>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"1-1"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"_Toc23056"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第一章 </w:t>
          </w:r>
          <w:r>
            <w:rPr>
              <w:rFonts w:hint="eastAsia" w:ascii="宋体" w:hAnsi="宋体" w:eastAsia="宋体" w:cs="宋体"/>
              <w:kern w:val="2"/>
              <w:sz w:val="21"/>
              <w:szCs w:val="21"/>
            </w:rPr>
            <w:t>竞争性磋商公告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_Toc23056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23"/>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"_Toc11946" </w:instrText>
          </w:r>
          <w:r>
            <w:rPr>
              <w:rFonts w:hint="eastAsia" w:ascii="宋体" w:hAnsi="宋体" w:eastAsia="宋体" w:cs="宋体"/>
              <w:sz w:val="21"/>
              <w:szCs w:val="21"/>
            </w:rPr>
            <w:fldChar w:fldCharType="separate"/>
          </w:r>
          <w:r>
            <w:rPr>
              <w:rFonts w:hint="eastAsia" w:ascii="宋体" w:hAnsi="宋体" w:eastAsia="宋体" w:cs="宋体"/>
              <w:sz w:val="21"/>
              <w:szCs w:val="21"/>
            </w:rPr>
            <w:t>第二章  供应商须知</w:t>
          </w:r>
          <w:r>
            <w:rPr>
              <w:rFonts w:hint="eastAsia" w:ascii="宋体" w:hAnsi="宋体" w:eastAsia="宋体" w:cs="宋体"/>
              <w:sz w:val="21"/>
              <w:szCs w:val="21"/>
            </w:rPr>
            <w:tab/>
          </w:r>
          <w:r>
            <w:rPr>
              <w:rFonts w:hint="eastAsia" w:ascii="宋体" w:hAnsi="宋体" w:eastAsia="宋体" w:cs="宋体"/>
              <w:sz w:val="21"/>
              <w:szCs w:val="21"/>
              <w:lang w:val="en-US" w:eastAsia="zh-CN"/>
            </w:rPr>
            <w:t>3</w:t>
          </w:r>
          <w:r>
            <w:rPr>
              <w:rFonts w:hint="eastAsia" w:ascii="宋体" w:hAnsi="宋体" w:eastAsia="宋体" w:cs="宋体"/>
              <w:sz w:val="21"/>
              <w:szCs w:val="21"/>
            </w:rPr>
            <w:fldChar w:fldCharType="end"/>
          </w:r>
        </w:p>
        <w:p>
          <w:pPr>
            <w:pStyle w:val="123"/>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"_Toc16105" </w:instrText>
          </w:r>
          <w:r>
            <w:rPr>
              <w:rFonts w:hint="eastAsia" w:ascii="宋体" w:hAnsi="宋体" w:eastAsia="宋体" w:cs="宋体"/>
              <w:sz w:val="21"/>
              <w:szCs w:val="21"/>
            </w:rPr>
            <w:fldChar w:fldCharType="separate"/>
          </w:r>
          <w:r>
            <w:rPr>
              <w:rFonts w:hint="eastAsia" w:ascii="宋体" w:hAnsi="宋体" w:eastAsia="宋体" w:cs="宋体"/>
              <w:sz w:val="21"/>
              <w:szCs w:val="21"/>
            </w:rPr>
            <w:t>第三章  项目需求</w:t>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9</w:t>
          </w:r>
        </w:p>
        <w:p>
          <w:pPr>
            <w:pStyle w:val="123"/>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"_Toc28434" </w:instrText>
          </w:r>
          <w:r>
            <w:rPr>
              <w:rFonts w:hint="eastAsia" w:ascii="宋体" w:hAnsi="宋体" w:eastAsia="宋体" w:cs="宋体"/>
              <w:sz w:val="21"/>
              <w:szCs w:val="21"/>
            </w:rPr>
            <w:fldChar w:fldCharType="separate"/>
          </w:r>
          <w:r>
            <w:rPr>
              <w:rFonts w:hint="eastAsia" w:ascii="宋体" w:hAnsi="宋体" w:eastAsia="宋体" w:cs="宋体"/>
              <w:sz w:val="21"/>
              <w:szCs w:val="21"/>
            </w:rPr>
            <w:t>第四章  合同条款（仅供参考）</w:t>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0</w:t>
          </w:r>
        </w:p>
        <w:p>
          <w:pPr>
            <w:pStyle w:val="123"/>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"_Toc12367" </w:instrText>
          </w:r>
          <w:r>
            <w:rPr>
              <w:rFonts w:hint="eastAsia" w:ascii="宋体" w:hAnsi="宋体" w:eastAsia="宋体" w:cs="宋体"/>
              <w:sz w:val="21"/>
              <w:szCs w:val="21"/>
            </w:rPr>
            <w:fldChar w:fldCharType="separate"/>
          </w:r>
          <w:r>
            <w:rPr>
              <w:rFonts w:hint="eastAsia" w:ascii="宋体" w:hAnsi="宋体" w:eastAsia="宋体" w:cs="宋体"/>
              <w:sz w:val="21"/>
              <w:szCs w:val="21"/>
            </w:rPr>
            <w:t>第五章  附件</w:t>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3</w:t>
          </w:r>
        </w:p>
        <w:p>
          <w:pPr>
            <w:pStyle w:val="123"/>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p>
        <w:p>
          <w:pPr>
            <w:pStyle w:val="123"/>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end"/>
          </w:r>
        </w:p>
      </w:sdtContent>
    </w:sdt>
    <w:p>
      <w:pPr>
        <w:pStyle w:val="27"/>
        <w:pageBreakBefore w:val="0"/>
        <w:tabs>
          <w:tab w:val="right" w:leader="dot" w:pos="9683"/>
        </w:tabs>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fldChar w:fldCharType="end"/>
      </w:r>
    </w:p>
    <w:p>
      <w:pPr>
        <w:pStyle w:val="27"/>
        <w:pageBreakBefore w:val="0"/>
        <w:tabs>
          <w:tab w:val="right" w:leader="dot" w:pos="9683"/>
        </w:tabs>
        <w:kinsoku/>
        <w:topLinePunct w:val="0"/>
        <w:bidi w:val="0"/>
        <w:spacing w:line="400" w:lineRule="exact"/>
        <w:ind w:left="0" w:leftChars="0" w:firstLine="0" w:firstLineChars="0"/>
        <w:jc w:val="left"/>
        <w:rPr>
          <w:rFonts w:hint="eastAsia" w:ascii="宋体" w:hAnsi="宋体" w:eastAsia="宋体" w:cs="宋体"/>
          <w:sz w:val="21"/>
          <w:szCs w:val="21"/>
        </w:rPr>
      </w:pPr>
    </w:p>
    <w:p>
      <w:pPr>
        <w:pStyle w:val="27"/>
        <w:pageBreakBefore w:val="0"/>
        <w:tabs>
          <w:tab w:val="right" w:leader="dot" w:pos="8541"/>
        </w:tabs>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fldChar w:fldCharType="end"/>
      </w:r>
    </w:p>
    <w:p>
      <w:pPr>
        <w:pStyle w:val="27"/>
        <w:pageBreakBefore w:val="0"/>
        <w:tabs>
          <w:tab w:val="right" w:leader="dot" w:pos="9683"/>
        </w:tabs>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fldChar w:fldCharType="end"/>
      </w:r>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sectPr>
          <w:headerReference r:id="rId4" w:type="first"/>
          <w:headerReference r:id="rId3" w:type="default"/>
          <w:footerReference r:id="rId5" w:type="even"/>
          <w:pgSz w:w="11907" w:h="16840"/>
          <w:pgMar w:top="1440" w:right="1247" w:bottom="1440" w:left="1361" w:header="851" w:footer="799" w:gutter="0"/>
          <w:pgNumType w:start="0"/>
          <w:cols w:space="720" w:num="1"/>
          <w:titlePg/>
          <w:docGrid w:type="lines" w:linePitch="409" w:charSpace="0"/>
        </w:sectPr>
      </w:pPr>
      <w:bookmarkStart w:id="0" w:name="_Toc349573118"/>
      <w:bookmarkStart w:id="1" w:name="_Toc349637917"/>
      <w:bookmarkStart w:id="2" w:name="_Toc462223629"/>
      <w:bookmarkStart w:id="3" w:name="_Toc298240402"/>
    </w:p>
    <w:p>
      <w:pPr>
        <w:pageBreakBefore w:val="0"/>
        <w:widowControl/>
        <w:kinsoku/>
        <w:topLinePunct w:val="0"/>
        <w:bidi w:val="0"/>
        <w:spacing w:line="400" w:lineRule="exact"/>
        <w:ind w:left="0" w:leftChars="0" w:firstLine="0" w:firstLineChars="0"/>
        <w:jc w:val="center"/>
        <w:outlineLvl w:val="0"/>
        <w:rPr>
          <w:rFonts w:hint="eastAsia" w:ascii="宋体" w:hAnsi="宋体" w:eastAsia="宋体" w:cs="宋体"/>
          <w:b/>
          <w:sz w:val="21"/>
          <w:szCs w:val="21"/>
        </w:rPr>
      </w:pPr>
      <w:bookmarkStart w:id="4" w:name="_Toc23056"/>
      <w:r>
        <w:rPr>
          <w:rFonts w:hint="eastAsia" w:ascii="宋体" w:hAnsi="宋体" w:eastAsia="宋体" w:cs="宋体"/>
          <w:b/>
          <w:sz w:val="21"/>
          <w:szCs w:val="21"/>
        </w:rPr>
        <w:t>第一章</w:t>
      </w:r>
      <w:bookmarkEnd w:id="0"/>
      <w:bookmarkEnd w:id="1"/>
      <w:bookmarkEnd w:id="2"/>
      <w:bookmarkEnd w:id="3"/>
      <w:bookmarkStart w:id="5" w:name="_Hlk51338716"/>
      <w:bookmarkStart w:id="6" w:name="_Toc349573119"/>
      <w:bookmarkStart w:id="7" w:name="_Toc349637918"/>
      <w:bookmarkStart w:id="8" w:name="_Toc462223630"/>
      <w:bookmarkStart w:id="9" w:name="_Toc298240403"/>
      <w:bookmarkStart w:id="10" w:name="_Toc267301280"/>
      <w:r>
        <w:rPr>
          <w:rFonts w:hint="eastAsia" w:ascii="宋体" w:hAnsi="宋体" w:eastAsia="宋体" w:cs="宋体"/>
          <w:b/>
          <w:sz w:val="21"/>
          <w:szCs w:val="21"/>
        </w:rPr>
        <w:t xml:space="preserve"> 竞争性磋商公告</w:t>
      </w:r>
      <w:bookmarkEnd w:id="4"/>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lang w:eastAsia="zh-CN"/>
        </w:rPr>
      </w:pPr>
      <w:r>
        <w:rPr>
          <w:rFonts w:hint="eastAsia" w:ascii="宋体" w:hAnsi="宋体" w:cs="宋体"/>
          <w:b/>
          <w:sz w:val="21"/>
          <w:szCs w:val="21"/>
          <w:lang w:eastAsia="zh-CN"/>
        </w:rPr>
        <w:t>新疆维吾尔自治区第一测绘院矢量编辑软件采购项目</w:t>
      </w:r>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竞争性磋商公告</w:t>
      </w:r>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pBdr>
          <w:top w:val="single" w:color="auto" w:sz="4" w:space="1"/>
          <w:left w:val="single" w:color="auto" w:sz="4" w:space="4"/>
          <w:bottom w:val="single" w:color="auto" w:sz="4" w:space="1"/>
          <w:right w:val="single" w:color="auto" w:sz="4" w:space="4"/>
        </w:pBdr>
        <w:kinsoku/>
        <w:topLinePunct w:val="0"/>
        <w:bidi w:val="0"/>
        <w:spacing w:line="400" w:lineRule="exact"/>
        <w:ind w:left="0" w:leftChars="0" w:firstLine="0"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项目概况</w:t>
      </w:r>
    </w:p>
    <w:p>
      <w:pPr>
        <w:pageBreakBefore w:val="0"/>
        <w:pBdr>
          <w:top w:val="single" w:color="auto" w:sz="4" w:space="1"/>
          <w:left w:val="single" w:color="auto" w:sz="4" w:space="4"/>
          <w:bottom w:val="single" w:color="auto" w:sz="4" w:space="1"/>
          <w:right w:val="single" w:color="auto" w:sz="4" w:space="4"/>
        </w:pBdr>
        <w:kinsoku/>
        <w:topLinePunct w:val="0"/>
        <w:bidi w:val="0"/>
        <w:spacing w:line="40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lang w:val="en-US" w:eastAsia="zh-CN" w:bidi="ar-SA"/>
        </w:rPr>
        <w:t>新疆维吾尔自治区第</w:t>
      </w:r>
      <w:r>
        <w:rPr>
          <w:rFonts w:hint="eastAsia" w:ascii="宋体" w:hAnsi="宋体" w:cs="宋体"/>
          <w:color w:val="000000"/>
          <w:kern w:val="0"/>
          <w:sz w:val="21"/>
          <w:szCs w:val="21"/>
          <w:highlight w:val="none"/>
          <w:lang w:val="en-US" w:eastAsia="zh-CN" w:bidi="ar-SA"/>
        </w:rPr>
        <w:t>一测绘院矢量编辑软件采购项目</w:t>
      </w:r>
      <w:r>
        <w:rPr>
          <w:rFonts w:hint="eastAsia" w:ascii="宋体" w:hAnsi="宋体" w:eastAsia="宋体" w:cs="宋体"/>
          <w:color w:val="000000"/>
          <w:kern w:val="0"/>
          <w:sz w:val="21"/>
          <w:szCs w:val="21"/>
          <w:highlight w:val="none"/>
          <w:lang w:val="en-US" w:eastAsia="zh-CN" w:bidi="ar-SA"/>
        </w:rPr>
        <w:t>的潜在投标人应在乌鲁木齐水磨沟区红光山路万科大都会8号楼1202室获取招标文件，并于</w:t>
      </w:r>
      <w:r>
        <w:rPr>
          <w:rFonts w:hint="eastAsia" w:ascii="宋体" w:hAnsi="宋体" w:cs="宋体"/>
          <w:color w:val="000000"/>
          <w:kern w:val="0"/>
          <w:sz w:val="21"/>
          <w:szCs w:val="21"/>
          <w:highlight w:val="none"/>
          <w:lang w:val="en-US" w:eastAsia="zh-CN" w:bidi="ar-SA"/>
        </w:rPr>
        <w:t>2022年4月7日11时00分（北京时间）</w:t>
      </w:r>
      <w:r>
        <w:rPr>
          <w:rFonts w:hint="eastAsia" w:ascii="宋体" w:hAnsi="宋体" w:eastAsia="宋体" w:cs="宋体"/>
          <w:color w:val="000000"/>
          <w:kern w:val="0"/>
          <w:sz w:val="21"/>
          <w:szCs w:val="21"/>
          <w:highlight w:val="none"/>
          <w:lang w:val="en-US" w:eastAsia="zh-CN" w:bidi="ar-SA"/>
        </w:rPr>
        <w:t>前递交投标文件。</w:t>
      </w:r>
    </w:p>
    <w:p>
      <w:pPr>
        <w:pStyle w:val="31"/>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Style w:val="37"/>
          <w:rFonts w:hint="eastAsia" w:ascii="宋体" w:hAnsi="宋体" w:eastAsia="宋体" w:cs="宋体"/>
          <w:color w:val="000000"/>
          <w:sz w:val="21"/>
          <w:szCs w:val="21"/>
          <w:highlight w:val="none"/>
        </w:rPr>
        <w:t>一、项目基本情况</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项目编号：</w:t>
      </w:r>
      <w:r>
        <w:rPr>
          <w:rFonts w:hint="eastAsia" w:ascii="宋体" w:hAnsi="宋体" w:eastAsia="宋体" w:cs="宋体"/>
          <w:color w:val="000000"/>
          <w:sz w:val="21"/>
          <w:szCs w:val="21"/>
          <w:highlight w:val="none"/>
          <w:lang w:eastAsia="zh-CN"/>
        </w:rPr>
        <w:t>HYGJ-ZFCG-2022-015</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项目名称：</w:t>
      </w:r>
      <w:r>
        <w:rPr>
          <w:rFonts w:hint="eastAsia" w:ascii="宋体" w:hAnsi="宋体" w:eastAsia="宋体" w:cs="宋体"/>
          <w:color w:val="000000"/>
          <w:sz w:val="21"/>
          <w:szCs w:val="21"/>
          <w:highlight w:val="none"/>
          <w:lang w:eastAsia="zh-CN"/>
        </w:rPr>
        <w:t>新疆维吾尔自治区第一测绘院矢量编辑软件采购项目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采购方式：竞争性磋商</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预算金额（元）：</w:t>
      </w:r>
      <w:r>
        <w:rPr>
          <w:rFonts w:hint="eastAsia" w:ascii="宋体" w:hAnsi="宋体" w:eastAsia="宋体" w:cs="宋体"/>
          <w:color w:val="000000"/>
          <w:sz w:val="21"/>
          <w:szCs w:val="21"/>
          <w:highlight w:val="none"/>
          <w:lang w:val="en-US" w:eastAsia="zh-CN"/>
        </w:rPr>
        <w:t>72000.00</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最高限价（元）：</w:t>
      </w:r>
      <w:r>
        <w:rPr>
          <w:rFonts w:hint="eastAsia" w:ascii="宋体" w:hAnsi="宋体" w:eastAsia="宋体" w:cs="宋体"/>
          <w:color w:val="000000"/>
          <w:sz w:val="21"/>
          <w:szCs w:val="21"/>
          <w:highlight w:val="none"/>
          <w:lang w:val="en-US" w:eastAsia="zh-CN"/>
        </w:rPr>
        <w:t>72000.00</w:t>
      </w:r>
      <w:r>
        <w:rPr>
          <w:rFonts w:hint="eastAsia" w:ascii="宋体" w:hAnsi="宋体" w:eastAsia="宋体" w:cs="宋体"/>
          <w:color w:val="000000"/>
          <w:sz w:val="21"/>
          <w:szCs w:val="21"/>
          <w:highlight w:val="none"/>
        </w:rPr>
        <w:t> </w:t>
      </w:r>
      <w:r>
        <w:rPr>
          <w:rFonts w:hint="eastAsia" w:ascii="宋体" w:hAnsi="宋体" w:eastAsia="宋体" w:cs="宋体"/>
          <w:color w:val="000000"/>
          <w:sz w:val="21"/>
          <w:szCs w:val="21"/>
          <w:highlight w:val="none"/>
          <w:lang w:val="en-US" w:eastAsia="zh-CN"/>
        </w:rPr>
        <w:t xml:space="preserve">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简要规格描述：</w:t>
      </w:r>
      <w:r>
        <w:rPr>
          <w:rFonts w:hint="eastAsia" w:ascii="宋体" w:hAnsi="宋体" w:eastAsia="宋体" w:cs="宋体"/>
          <w:color w:val="000000"/>
          <w:sz w:val="21"/>
          <w:szCs w:val="21"/>
          <w:highlight w:val="none"/>
          <w:lang w:eastAsia="zh-CN"/>
        </w:rPr>
        <w:t>矢量编辑软件采购</w:t>
      </w:r>
    </w:p>
    <w:tbl>
      <w:tblPr>
        <w:tblStyle w:val="35"/>
        <w:tblpPr w:leftFromText="180" w:rightFromText="180" w:vertAnchor="text" w:horzAnchor="page" w:tblpX="1591" w:tblpY="7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3450"/>
        <w:gridCol w:w="1217"/>
        <w:gridCol w:w="707"/>
        <w:gridCol w:w="1359"/>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pStyle w:val="31"/>
              <w:pageBreakBefore w:val="0"/>
              <w:kinsoku/>
              <w:topLinePunct w:val="0"/>
              <w:bidi w:val="0"/>
              <w:spacing w:before="0" w:beforeAutospacing="0" w:after="0" w:afterAutospacing="0" w:line="400" w:lineRule="exact"/>
              <w:rPr>
                <w:rFonts w:hint="eastAsia" w:ascii="宋体" w:hAnsi="宋体" w:eastAsia="宋体" w:cs="宋体"/>
                <w:color w:val="000000"/>
                <w:sz w:val="21"/>
                <w:szCs w:val="21"/>
                <w:highlight w:val="none"/>
                <w:vertAlign w:val="baseline"/>
              </w:rPr>
            </w:pPr>
            <w:r>
              <w:rPr>
                <w:rFonts w:hint="eastAsia" w:ascii="宋体" w:hAnsi="宋体" w:eastAsia="宋体" w:cs="宋体"/>
                <w:color w:val="000000"/>
                <w:sz w:val="21"/>
                <w:szCs w:val="21"/>
                <w:highlight w:val="none"/>
                <w:vertAlign w:val="baseline"/>
                <w:lang w:eastAsia="zh-CN"/>
              </w:rPr>
              <w:t>序号</w:t>
            </w:r>
          </w:p>
        </w:tc>
        <w:tc>
          <w:tcPr>
            <w:tcW w:w="3450" w:type="dxa"/>
          </w:tcPr>
          <w:p>
            <w:pPr>
              <w:pStyle w:val="31"/>
              <w:pageBreakBefore w:val="0"/>
              <w:kinsoku/>
              <w:topLinePunct w:val="0"/>
              <w:bidi w:val="0"/>
              <w:spacing w:before="0" w:beforeAutospacing="0" w:after="0" w:afterAutospacing="0" w:line="400" w:lineRule="exact"/>
              <w:rPr>
                <w:rFonts w:hint="eastAsia" w:ascii="宋体" w:hAnsi="宋体" w:eastAsia="宋体" w:cs="宋体"/>
                <w:color w:val="000000"/>
                <w:sz w:val="21"/>
                <w:szCs w:val="21"/>
                <w:highlight w:val="none"/>
                <w:vertAlign w:val="baseline"/>
                <w:lang w:eastAsia="zh-CN"/>
              </w:rPr>
            </w:pPr>
            <w:r>
              <w:rPr>
                <w:rFonts w:hint="eastAsia" w:ascii="宋体" w:hAnsi="宋体" w:eastAsia="宋体" w:cs="宋体"/>
                <w:color w:val="000000"/>
                <w:sz w:val="21"/>
                <w:szCs w:val="21"/>
                <w:highlight w:val="none"/>
                <w:vertAlign w:val="baseline"/>
                <w:lang w:eastAsia="zh-CN"/>
              </w:rPr>
              <w:t>名称</w:t>
            </w:r>
          </w:p>
        </w:tc>
        <w:tc>
          <w:tcPr>
            <w:tcW w:w="1217" w:type="dxa"/>
          </w:tcPr>
          <w:p>
            <w:pPr>
              <w:pStyle w:val="31"/>
              <w:pageBreakBefore w:val="0"/>
              <w:kinsoku/>
              <w:topLinePunct w:val="0"/>
              <w:bidi w:val="0"/>
              <w:spacing w:before="0" w:beforeAutospacing="0" w:after="0" w:afterAutospacing="0" w:line="400" w:lineRule="exact"/>
              <w:rPr>
                <w:rFonts w:hint="eastAsia" w:ascii="宋体" w:hAnsi="宋体" w:eastAsia="宋体" w:cs="宋体"/>
                <w:color w:val="000000"/>
                <w:sz w:val="21"/>
                <w:szCs w:val="21"/>
                <w:highlight w:val="none"/>
                <w:vertAlign w:val="baseline"/>
                <w:lang w:eastAsia="zh-CN"/>
              </w:rPr>
            </w:pPr>
            <w:r>
              <w:rPr>
                <w:rFonts w:hint="eastAsia" w:ascii="宋体" w:hAnsi="宋体" w:eastAsia="宋体" w:cs="宋体"/>
                <w:color w:val="000000"/>
                <w:sz w:val="21"/>
                <w:szCs w:val="21"/>
                <w:highlight w:val="none"/>
                <w:vertAlign w:val="baseline"/>
                <w:lang w:eastAsia="zh-CN"/>
              </w:rPr>
              <w:t>数量</w:t>
            </w:r>
          </w:p>
        </w:tc>
        <w:tc>
          <w:tcPr>
            <w:tcW w:w="707" w:type="dxa"/>
          </w:tcPr>
          <w:p>
            <w:pPr>
              <w:pStyle w:val="31"/>
              <w:pageBreakBefore w:val="0"/>
              <w:kinsoku/>
              <w:topLinePunct w:val="0"/>
              <w:bidi w:val="0"/>
              <w:spacing w:before="0" w:beforeAutospacing="0" w:after="0" w:afterAutospacing="0" w:line="400" w:lineRule="exact"/>
              <w:rPr>
                <w:rFonts w:hint="eastAsia" w:ascii="宋体" w:hAnsi="宋体" w:eastAsia="宋体" w:cs="宋体"/>
                <w:color w:val="000000"/>
                <w:sz w:val="21"/>
                <w:szCs w:val="21"/>
                <w:highlight w:val="none"/>
                <w:vertAlign w:val="baseline"/>
                <w:lang w:eastAsia="zh-CN"/>
              </w:rPr>
            </w:pPr>
            <w:r>
              <w:rPr>
                <w:rFonts w:hint="eastAsia" w:ascii="宋体" w:hAnsi="宋体" w:eastAsia="宋体" w:cs="宋体"/>
                <w:color w:val="000000"/>
                <w:sz w:val="21"/>
                <w:szCs w:val="21"/>
                <w:highlight w:val="none"/>
                <w:vertAlign w:val="baseline"/>
                <w:lang w:eastAsia="zh-CN"/>
              </w:rPr>
              <w:t>单位</w:t>
            </w:r>
          </w:p>
        </w:tc>
        <w:tc>
          <w:tcPr>
            <w:tcW w:w="1359" w:type="dxa"/>
          </w:tcPr>
          <w:p>
            <w:pPr>
              <w:pStyle w:val="31"/>
              <w:pageBreakBefore w:val="0"/>
              <w:kinsoku/>
              <w:topLinePunct w:val="0"/>
              <w:bidi w:val="0"/>
              <w:spacing w:before="0" w:beforeAutospacing="0" w:after="0" w:afterAutospacing="0" w:line="400" w:lineRule="exact"/>
              <w:rPr>
                <w:rFonts w:hint="eastAsia" w:ascii="宋体" w:hAnsi="宋体" w:eastAsia="宋体" w:cs="宋体"/>
                <w:color w:val="000000"/>
                <w:sz w:val="21"/>
                <w:szCs w:val="21"/>
                <w:highlight w:val="none"/>
                <w:vertAlign w:val="baseline"/>
                <w:lang w:eastAsia="zh-CN"/>
              </w:rPr>
            </w:pPr>
            <w:r>
              <w:rPr>
                <w:rFonts w:hint="eastAsia" w:ascii="宋体" w:hAnsi="宋体" w:eastAsia="宋体" w:cs="宋体"/>
                <w:color w:val="000000"/>
                <w:sz w:val="21"/>
                <w:szCs w:val="21"/>
                <w:highlight w:val="none"/>
                <w:vertAlign w:val="baseline"/>
                <w:lang w:eastAsia="zh-CN"/>
              </w:rPr>
              <w:t>金额（万元）</w:t>
            </w:r>
          </w:p>
        </w:tc>
        <w:tc>
          <w:tcPr>
            <w:tcW w:w="1360" w:type="dxa"/>
          </w:tcPr>
          <w:p>
            <w:pPr>
              <w:pStyle w:val="31"/>
              <w:pageBreakBefore w:val="0"/>
              <w:kinsoku/>
              <w:topLinePunct w:val="0"/>
              <w:bidi w:val="0"/>
              <w:spacing w:before="0" w:beforeAutospacing="0" w:after="0" w:afterAutospacing="0" w:line="400" w:lineRule="exact"/>
              <w:rPr>
                <w:rFonts w:hint="eastAsia" w:ascii="宋体" w:hAnsi="宋体" w:eastAsia="宋体" w:cs="宋体"/>
                <w:color w:val="000000"/>
                <w:sz w:val="21"/>
                <w:szCs w:val="21"/>
                <w:highlight w:val="none"/>
                <w:vertAlign w:val="baseline"/>
                <w:lang w:eastAsia="zh-CN"/>
              </w:rPr>
            </w:pPr>
            <w:r>
              <w:rPr>
                <w:rFonts w:hint="eastAsia" w:ascii="宋体" w:hAnsi="宋体" w:eastAsia="宋体" w:cs="宋体"/>
                <w:color w:val="000000"/>
                <w:sz w:val="21"/>
                <w:szCs w:val="21"/>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pStyle w:val="31"/>
              <w:pageBreakBefore w:val="0"/>
              <w:kinsoku/>
              <w:topLinePunct w:val="0"/>
              <w:bidi w:val="0"/>
              <w:spacing w:before="0" w:beforeAutospacing="0" w:after="0" w:afterAutospacing="0" w:line="400" w:lineRule="exact"/>
              <w:rPr>
                <w:rFonts w:hint="eastAsia" w:ascii="宋体" w:hAnsi="宋体" w:eastAsia="宋体" w:cs="宋体"/>
                <w:color w:val="000000"/>
                <w:sz w:val="21"/>
                <w:szCs w:val="21"/>
                <w:highlight w:val="none"/>
                <w:vertAlign w:val="baseline"/>
              </w:rPr>
            </w:pPr>
            <w:r>
              <w:rPr>
                <w:rFonts w:hint="eastAsia" w:ascii="宋体" w:hAnsi="宋体" w:eastAsia="宋体" w:cs="宋体"/>
                <w:color w:val="000000"/>
                <w:sz w:val="21"/>
                <w:szCs w:val="21"/>
                <w:highlight w:val="none"/>
                <w:vertAlign w:val="baseline"/>
                <w:lang w:val="en-US" w:eastAsia="zh-CN"/>
              </w:rPr>
              <w:t>1</w:t>
            </w:r>
          </w:p>
        </w:tc>
        <w:tc>
          <w:tcPr>
            <w:tcW w:w="3450" w:type="dxa"/>
          </w:tcPr>
          <w:p>
            <w:pPr>
              <w:pStyle w:val="31"/>
              <w:pageBreakBefore w:val="0"/>
              <w:kinsoku/>
              <w:topLinePunct w:val="0"/>
              <w:bidi w:val="0"/>
              <w:spacing w:before="0" w:beforeAutospacing="0" w:after="0" w:afterAutospacing="0" w:line="400" w:lineRule="exact"/>
              <w:rPr>
                <w:rFonts w:hint="eastAsia" w:ascii="宋体" w:hAnsi="宋体" w:eastAsia="宋体" w:cs="宋体"/>
                <w:color w:val="000000"/>
                <w:sz w:val="21"/>
                <w:szCs w:val="21"/>
                <w:highlight w:val="none"/>
                <w:vertAlign w:val="baseline"/>
              </w:rPr>
            </w:pPr>
            <w:r>
              <w:rPr>
                <w:rFonts w:hint="eastAsia" w:ascii="宋体" w:hAnsi="宋体" w:cs="宋体"/>
                <w:color w:val="000000"/>
                <w:kern w:val="0"/>
                <w:sz w:val="21"/>
                <w:szCs w:val="21"/>
                <w:highlight w:val="none"/>
                <w:lang w:val="en-US" w:eastAsia="zh-CN" w:bidi="ar-SA"/>
              </w:rPr>
              <w:t>矢量编辑软件</w:t>
            </w:r>
            <w:r>
              <w:rPr>
                <w:rFonts w:hint="eastAsia" w:ascii="宋体" w:hAnsi="宋体" w:eastAsia="宋体" w:cs="宋体"/>
                <w:color w:val="000000"/>
                <w:sz w:val="21"/>
                <w:szCs w:val="21"/>
                <w:highlight w:val="none"/>
                <w:lang w:eastAsia="zh-CN"/>
              </w:rPr>
              <w:t>采购</w:t>
            </w:r>
          </w:p>
        </w:tc>
        <w:tc>
          <w:tcPr>
            <w:tcW w:w="1217" w:type="dxa"/>
          </w:tcPr>
          <w:p>
            <w:pPr>
              <w:pStyle w:val="31"/>
              <w:pageBreakBefore w:val="0"/>
              <w:kinsoku/>
              <w:topLinePunct w:val="0"/>
              <w:bidi w:val="0"/>
              <w:spacing w:before="0" w:beforeAutospacing="0" w:after="0" w:afterAutospacing="0" w:line="400" w:lineRule="exact"/>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3</w:t>
            </w:r>
          </w:p>
        </w:tc>
        <w:tc>
          <w:tcPr>
            <w:tcW w:w="707" w:type="dxa"/>
          </w:tcPr>
          <w:p>
            <w:pPr>
              <w:pStyle w:val="31"/>
              <w:pageBreakBefore w:val="0"/>
              <w:kinsoku/>
              <w:topLinePunct w:val="0"/>
              <w:bidi w:val="0"/>
              <w:spacing w:before="0" w:beforeAutospacing="0" w:after="0" w:afterAutospacing="0" w:line="400" w:lineRule="exact"/>
              <w:rPr>
                <w:rFonts w:hint="eastAsia" w:ascii="宋体" w:hAnsi="宋体" w:eastAsia="宋体" w:cs="宋体"/>
                <w:color w:val="000000"/>
                <w:sz w:val="21"/>
                <w:szCs w:val="21"/>
                <w:highlight w:val="none"/>
                <w:vertAlign w:val="baseline"/>
              </w:rPr>
            </w:pPr>
            <w:r>
              <w:rPr>
                <w:rFonts w:hint="eastAsia" w:ascii="宋体" w:hAnsi="宋体" w:eastAsia="宋体" w:cs="宋体"/>
                <w:color w:val="000000"/>
                <w:sz w:val="21"/>
                <w:szCs w:val="21"/>
                <w:highlight w:val="none"/>
                <w:vertAlign w:val="baseline"/>
                <w:lang w:eastAsia="zh-CN"/>
              </w:rPr>
              <w:t>套</w:t>
            </w:r>
          </w:p>
        </w:tc>
        <w:tc>
          <w:tcPr>
            <w:tcW w:w="1359" w:type="dxa"/>
          </w:tcPr>
          <w:p>
            <w:pPr>
              <w:pStyle w:val="31"/>
              <w:pageBreakBefore w:val="0"/>
              <w:kinsoku/>
              <w:topLinePunct w:val="0"/>
              <w:bidi w:val="0"/>
              <w:spacing w:before="0" w:beforeAutospacing="0" w:after="0" w:afterAutospacing="0" w:line="400" w:lineRule="exact"/>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7.2</w:t>
            </w:r>
          </w:p>
        </w:tc>
        <w:tc>
          <w:tcPr>
            <w:tcW w:w="1360" w:type="dxa"/>
          </w:tcPr>
          <w:p>
            <w:pPr>
              <w:pStyle w:val="31"/>
              <w:pageBreakBefore w:val="0"/>
              <w:kinsoku/>
              <w:topLinePunct w:val="0"/>
              <w:bidi w:val="0"/>
              <w:spacing w:before="0" w:beforeAutospacing="0" w:after="0" w:afterAutospacing="0" w:line="400" w:lineRule="exact"/>
              <w:rPr>
                <w:rFonts w:hint="eastAsia" w:ascii="宋体" w:hAnsi="宋体" w:eastAsia="宋体" w:cs="宋体"/>
                <w:color w:val="000000"/>
                <w:sz w:val="21"/>
                <w:szCs w:val="21"/>
                <w:highlight w:val="none"/>
                <w:vertAlign w:val="baseline"/>
              </w:rPr>
            </w:pPr>
          </w:p>
        </w:tc>
      </w:tr>
    </w:tbl>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合同履约期限：合同签订后30天</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本项目（否）接受联合体投标。  </w:t>
      </w:r>
    </w:p>
    <w:p>
      <w:pPr>
        <w:pStyle w:val="31"/>
        <w:pageBreakBefore w:val="0"/>
        <w:kinsoku/>
        <w:topLinePunct w:val="0"/>
        <w:bidi w:val="0"/>
        <w:spacing w:before="0" w:beforeAutospacing="0" w:after="0" w:afterAutospacing="0" w:line="400" w:lineRule="exact"/>
        <w:ind w:left="0" w:leftChars="0" w:firstLine="0" w:firstLineChars="0"/>
        <w:jc w:val="both"/>
        <w:rPr>
          <w:rStyle w:val="37"/>
          <w:rFonts w:hint="eastAsia" w:ascii="宋体" w:hAnsi="宋体" w:eastAsia="宋体" w:cs="宋体"/>
          <w:color w:val="000000"/>
          <w:sz w:val="21"/>
          <w:szCs w:val="21"/>
        </w:rPr>
      </w:pPr>
      <w:r>
        <w:rPr>
          <w:rStyle w:val="37"/>
          <w:rFonts w:hint="eastAsia" w:ascii="宋体" w:hAnsi="宋体" w:eastAsia="宋体" w:cs="宋体"/>
          <w:color w:val="000000"/>
          <w:sz w:val="21"/>
          <w:szCs w:val="21"/>
        </w:rPr>
        <w:t>二、申请人的资格要求：</w:t>
      </w:r>
    </w:p>
    <w:p>
      <w:pPr>
        <w:pStyle w:val="31"/>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color w:val="000000"/>
          <w:sz w:val="21"/>
          <w:szCs w:val="21"/>
        </w:rPr>
        <w:t>1、落实政府采购政策需满足的资格要求：详见政府采购法；</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满足《中华人民共和国政府采购法》第二十二条规定；</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1）具有独立承担民事责任的能力，有效的营业执照；</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2）具有履行合同所必须的设备、人员、专业等方面相应的技术能力；</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在“信用中国”网站被列入失信被执行人、重大税收违法案件当事人名单，在中国裁判文书网有行贿犯罪记录的（尚在处罚期内的），在中国政府采购网被列入政府采购严重违法失信行为记录名单的（尚在处罚期内的），将拒绝本次政府采购活动,须提供网站查询结果截图。</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4）参加招投标活动前三年内，在经营活动中没重大违法记录（受行政主管部门处罚的不能参加投标，提供声明书）。</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5）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、本项目不接受联合体投标；</w:t>
      </w:r>
    </w:p>
    <w:p>
      <w:pPr>
        <w:pStyle w:val="31"/>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Style w:val="37"/>
          <w:rFonts w:hint="eastAsia" w:ascii="宋体" w:hAnsi="宋体" w:eastAsia="宋体" w:cs="宋体"/>
          <w:color w:val="000000"/>
          <w:sz w:val="21"/>
          <w:szCs w:val="21"/>
        </w:rPr>
        <w:t>三、获取采购文件</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时间：2022年03月</w:t>
      </w:r>
      <w:r>
        <w:rPr>
          <w:rFonts w:hint="eastAsia" w:ascii="宋体" w:hAnsi="宋体" w:eastAsia="宋体" w:cs="宋体"/>
          <w:sz w:val="21"/>
          <w:szCs w:val="21"/>
          <w:highlight w:val="none"/>
          <w:lang w:val="en-US" w:eastAsia="zh-CN"/>
        </w:rPr>
        <w:t xml:space="preserve"> 28 </w:t>
      </w:r>
      <w:r>
        <w:rPr>
          <w:rFonts w:hint="eastAsia" w:ascii="宋体" w:hAnsi="宋体" w:eastAsia="宋体" w:cs="宋体"/>
          <w:sz w:val="21"/>
          <w:szCs w:val="21"/>
          <w:highlight w:val="none"/>
        </w:rPr>
        <w:t>日至2022年0</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1 </w:t>
      </w:r>
      <w:r>
        <w:rPr>
          <w:rFonts w:hint="eastAsia" w:ascii="宋体" w:hAnsi="宋体" w:eastAsia="宋体" w:cs="宋体"/>
          <w:sz w:val="21"/>
          <w:szCs w:val="21"/>
          <w:highlight w:val="none"/>
        </w:rPr>
        <w:t>日，每天上午10:00至13:30，下午16:00至19:00（北京时间，法定节假日除外）</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地点：乌鲁木齐水磨沟区红光山路万科大都会8号楼1202室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方式：线下获取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售价（元）：300 </w:t>
      </w:r>
    </w:p>
    <w:p>
      <w:pPr>
        <w:pStyle w:val="31"/>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Style w:val="37"/>
          <w:rFonts w:hint="eastAsia" w:ascii="宋体" w:hAnsi="宋体" w:eastAsia="宋体" w:cs="宋体"/>
          <w:color w:val="000000"/>
          <w:sz w:val="21"/>
          <w:szCs w:val="21"/>
          <w:highlight w:val="none"/>
        </w:rPr>
        <w:t>四、响应文件提交</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rPr>
        <w:t>    截止时间</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2022年4月</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日11时00分（北京时间）</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地点：乌鲁木齐水磨沟区红光山路万科大都会8号楼1202室 </w:t>
      </w:r>
    </w:p>
    <w:p>
      <w:pPr>
        <w:pStyle w:val="31"/>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Style w:val="37"/>
          <w:rFonts w:hint="eastAsia" w:ascii="宋体" w:hAnsi="宋体" w:eastAsia="宋体" w:cs="宋体"/>
          <w:sz w:val="21"/>
          <w:szCs w:val="21"/>
          <w:highlight w:val="none"/>
        </w:rPr>
        <w:t>五、响应文件开启</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开启时间：</w:t>
      </w:r>
      <w:r>
        <w:rPr>
          <w:rFonts w:hint="eastAsia" w:ascii="宋体" w:hAnsi="宋体" w:eastAsia="宋体" w:cs="宋体"/>
          <w:sz w:val="21"/>
          <w:szCs w:val="21"/>
          <w:highlight w:val="none"/>
          <w:lang w:eastAsia="zh-CN"/>
        </w:rPr>
        <w:t>2022年4月</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日11时00分（北京时间）</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highlight w:val="none"/>
        </w:rPr>
        <w:t>    地点：乌鲁木齐水磨沟区红光山路万科大都会8号楼1202</w:t>
      </w:r>
      <w:r>
        <w:rPr>
          <w:rFonts w:hint="eastAsia" w:ascii="宋体" w:hAnsi="宋体" w:eastAsia="宋体" w:cs="宋体"/>
          <w:color w:val="000000"/>
          <w:sz w:val="21"/>
          <w:szCs w:val="21"/>
        </w:rPr>
        <w:t>室 </w:t>
      </w:r>
    </w:p>
    <w:p>
      <w:pPr>
        <w:pStyle w:val="31"/>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Style w:val="37"/>
          <w:rFonts w:hint="eastAsia" w:ascii="宋体" w:hAnsi="宋体" w:eastAsia="宋体" w:cs="宋体"/>
          <w:color w:val="000000"/>
          <w:sz w:val="21"/>
          <w:szCs w:val="21"/>
        </w:rPr>
        <w:t>六、公告期限</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    自本公告发布之日起5个工作日。</w:t>
      </w:r>
    </w:p>
    <w:p>
      <w:pPr>
        <w:pStyle w:val="31"/>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Style w:val="37"/>
          <w:rFonts w:hint="eastAsia" w:ascii="宋体" w:hAnsi="宋体" w:eastAsia="宋体" w:cs="宋体"/>
          <w:color w:val="000000"/>
          <w:sz w:val="21"/>
          <w:szCs w:val="21"/>
        </w:rPr>
        <w:t>七、其他补充事宜</w:t>
      </w:r>
      <w:r>
        <w:rPr>
          <w:rFonts w:hint="eastAsia" w:ascii="宋体" w:hAnsi="宋体" w:eastAsia="宋体" w:cs="宋体"/>
          <w:color w:val="000000"/>
          <w:sz w:val="21"/>
          <w:szCs w:val="21"/>
        </w:rPr>
        <w:t>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投标供应商购买标书时应提交的资料：（1）满足招标要求的“三证合一的营业执照；（2）授权委托书原件及被授权人身份证原件（或者法定代表人身份证明书及法定代表人身份证）；</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以</w:t>
      </w:r>
      <w:r>
        <w:rPr>
          <w:rFonts w:hint="eastAsia" w:ascii="宋体" w:hAnsi="宋体" w:eastAsia="宋体" w:cs="宋体"/>
          <w:b/>
          <w:bCs/>
          <w:color w:val="000000"/>
          <w:sz w:val="21"/>
          <w:szCs w:val="21"/>
        </w:rPr>
        <w:t>上资料提交原件审核，复印件叁套加盖</w:t>
      </w:r>
      <w:r>
        <w:rPr>
          <w:rFonts w:hint="eastAsia" w:ascii="宋体" w:hAnsi="宋体" w:eastAsia="宋体" w:cs="宋体"/>
          <w:b/>
          <w:bCs/>
          <w:color w:val="000000"/>
          <w:sz w:val="21"/>
          <w:szCs w:val="21"/>
          <w:lang w:eastAsia="zh-CN"/>
        </w:rPr>
        <w:t>鲜</w:t>
      </w:r>
      <w:r>
        <w:rPr>
          <w:rFonts w:hint="eastAsia" w:ascii="宋体" w:hAnsi="宋体" w:eastAsia="宋体" w:cs="宋体"/>
          <w:b/>
          <w:bCs/>
          <w:color w:val="000000"/>
          <w:sz w:val="21"/>
          <w:szCs w:val="21"/>
        </w:rPr>
        <w:t>章，资料不全者，一律谢绝报名。（报名费以现金方式缴纳） </w:t>
      </w:r>
      <w:r>
        <w:rPr>
          <w:rFonts w:hint="eastAsia" w:ascii="宋体" w:hAnsi="宋体" w:eastAsia="宋体" w:cs="宋体"/>
          <w:color w:val="000000"/>
          <w:sz w:val="21"/>
          <w:szCs w:val="21"/>
        </w:rPr>
        <w:t> </w:t>
      </w:r>
    </w:p>
    <w:p>
      <w:pPr>
        <w:pStyle w:val="31"/>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Style w:val="37"/>
          <w:rFonts w:hint="eastAsia" w:ascii="宋体" w:hAnsi="宋体" w:eastAsia="宋体" w:cs="宋体"/>
          <w:color w:val="000000"/>
          <w:sz w:val="21"/>
          <w:szCs w:val="21"/>
        </w:rPr>
        <w:t>八、凡对本次招标提出询问，请按以下方式联系</w:t>
      </w:r>
      <w:r>
        <w:rPr>
          <w:rFonts w:hint="eastAsia" w:ascii="宋体" w:hAnsi="宋体" w:eastAsia="宋体" w:cs="宋体"/>
          <w:color w:val="000000"/>
          <w:sz w:val="21"/>
          <w:szCs w:val="21"/>
        </w:rPr>
        <w:t>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1.采购人信息</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名 称：</w:t>
      </w:r>
      <w:r>
        <w:rPr>
          <w:rFonts w:hint="eastAsia" w:ascii="宋体" w:hAnsi="宋体" w:eastAsia="宋体" w:cs="宋体"/>
          <w:color w:val="000000"/>
          <w:sz w:val="21"/>
          <w:szCs w:val="21"/>
          <w:lang w:eastAsia="zh-CN"/>
        </w:rPr>
        <w:t>新疆维吾尔自治区第一测绘院</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联系人：</w:t>
      </w:r>
      <w:r>
        <w:rPr>
          <w:rFonts w:hint="eastAsia" w:ascii="宋体" w:hAnsi="宋体" w:eastAsia="宋体" w:cs="宋体"/>
          <w:color w:val="000000"/>
          <w:sz w:val="21"/>
          <w:szCs w:val="21"/>
          <w:lang w:eastAsia="zh-CN"/>
        </w:rPr>
        <w:t>艾克拜尔</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联系方式：18699400218</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lang w:eastAsia="zh-CN"/>
        </w:rPr>
        <w:t>新疆维吾尔自治区昌吉市延安路</w:t>
      </w:r>
      <w:r>
        <w:rPr>
          <w:rFonts w:hint="eastAsia" w:ascii="宋体" w:hAnsi="宋体" w:eastAsia="宋体" w:cs="宋体"/>
          <w:color w:val="000000"/>
          <w:sz w:val="21"/>
          <w:szCs w:val="21"/>
          <w:lang w:val="en-US" w:eastAsia="zh-CN"/>
        </w:rPr>
        <w:t>124号</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2.采购代理机构信息</w:t>
      </w:r>
    </w:p>
    <w:bookmarkEnd w:id="5"/>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采购代理机构：宏业国际项目管理有限公司</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联系人：李苗</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联系电话：15022921857</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地址：乌鲁木齐水磨沟区红光山路万科大都会8号楼1202</w:t>
      </w:r>
    </w:p>
    <w:p>
      <w:pPr>
        <w:pageBreakBefore w:val="0"/>
        <w:widowControl/>
        <w:shd w:val="clear" w:color="auto" w:fill="FFFFFF"/>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11" w:name="_Toc11946"/>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jc w:val="center"/>
        <w:outlineLvl w:val="0"/>
        <w:rPr>
          <w:rFonts w:hint="eastAsia" w:ascii="宋体" w:hAnsi="宋体" w:eastAsia="宋体" w:cs="宋体"/>
          <w:b/>
          <w:sz w:val="21"/>
          <w:szCs w:val="21"/>
        </w:rPr>
      </w:pPr>
      <w:r>
        <w:rPr>
          <w:rFonts w:hint="eastAsia" w:ascii="宋体" w:hAnsi="宋体" w:eastAsia="宋体" w:cs="宋体"/>
          <w:b/>
          <w:sz w:val="21"/>
          <w:szCs w:val="21"/>
        </w:rPr>
        <w:t>第二章  供应商须知</w:t>
      </w:r>
      <w:bookmarkEnd w:id="6"/>
      <w:bookmarkEnd w:id="7"/>
      <w:bookmarkEnd w:id="8"/>
      <w:bookmarkEnd w:id="9"/>
      <w:bookmarkEnd w:id="10"/>
      <w:bookmarkEnd w:id="11"/>
      <w:bookmarkStart w:id="12" w:name="_Toc349573120"/>
      <w:bookmarkStart w:id="13" w:name="_Toc298240404"/>
      <w:bookmarkStart w:id="14" w:name="_Toc349637919"/>
      <w:bookmarkStart w:id="15" w:name="_Toc267301281"/>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bookmarkStart w:id="16" w:name="_Toc462223631"/>
      <w:r>
        <w:rPr>
          <w:rFonts w:hint="eastAsia" w:ascii="宋体" w:hAnsi="宋体" w:eastAsia="宋体" w:cs="宋体"/>
          <w:b/>
          <w:sz w:val="21"/>
          <w:szCs w:val="21"/>
        </w:rPr>
        <w:t>供应商须知前附表</w:t>
      </w:r>
      <w:bookmarkEnd w:id="12"/>
      <w:bookmarkEnd w:id="13"/>
      <w:bookmarkEnd w:id="14"/>
      <w:bookmarkEnd w:id="15"/>
      <w:bookmarkEnd w:id="16"/>
    </w:p>
    <w:tbl>
      <w:tblPr>
        <w:tblStyle w:val="34"/>
        <w:tblW w:w="96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2350"/>
        <w:gridCol w:w="6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766"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bCs w:val="0"/>
                <w:color w:val="auto"/>
                <w:sz w:val="21"/>
                <w:szCs w:val="21"/>
                <w:highlight w:val="none"/>
              </w:rPr>
            </w:pPr>
            <w:r>
              <w:rPr>
                <w:rFonts w:hint="eastAsia" w:ascii="宋体" w:hAnsi="宋体" w:eastAsia="宋体" w:cs="宋体"/>
                <w:b/>
                <w:bCs w:val="0"/>
                <w:sz w:val="21"/>
                <w:szCs w:val="21"/>
              </w:rPr>
              <w:br w:type="page"/>
            </w:r>
            <w:r>
              <w:rPr>
                <w:rFonts w:hint="eastAsia" w:ascii="宋体" w:hAnsi="宋体" w:eastAsia="宋体" w:cs="宋体"/>
                <w:b/>
                <w:bCs w:val="0"/>
                <w:color w:val="auto"/>
                <w:sz w:val="21"/>
                <w:szCs w:val="21"/>
                <w:highlight w:val="none"/>
              </w:rPr>
              <w:t>序列号</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条款名称</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6583" w:type="dxa"/>
            <w:noWrap w:val="0"/>
            <w:vAlign w:val="center"/>
          </w:tcPr>
          <w:p>
            <w:pPr>
              <w:pageBreakBefore w:val="0"/>
              <w:widowControl/>
              <w:kinsoku/>
              <w:wordWrap w:val="0"/>
              <w:topLinePunct w:val="0"/>
              <w:bidi w:val="0"/>
              <w:spacing w:line="400" w:lineRule="exact"/>
              <w:ind w:left="0" w:leftChars="0" w:firstLine="0" w:firstLineChars="0"/>
              <w:jc w:val="both"/>
              <w:rPr>
                <w:rFonts w:hint="eastAsia" w:ascii="宋体" w:hAnsi="宋体" w:eastAsia="宋体" w:cs="宋体"/>
                <w:b w:val="0"/>
                <w:bCs/>
                <w:color w:val="auto"/>
                <w:sz w:val="21"/>
                <w:szCs w:val="21"/>
                <w:highlight w:val="none"/>
              </w:rPr>
            </w:pPr>
            <w:r>
              <w:rPr>
                <w:rFonts w:hint="eastAsia" w:ascii="宋体" w:hAnsi="宋体" w:cs="宋体"/>
                <w:b w:val="0"/>
                <w:bCs/>
                <w:color w:val="000000"/>
                <w:kern w:val="0"/>
                <w:sz w:val="21"/>
                <w:szCs w:val="21"/>
                <w:lang w:val="en-US" w:eastAsia="zh-CN" w:bidi="ar-SA"/>
              </w:rPr>
              <w:t>新疆维吾尔自治区第一测绘院矢量编辑软件采购项目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w:t>
            </w:r>
          </w:p>
        </w:tc>
        <w:tc>
          <w:tcPr>
            <w:tcW w:w="6583" w:type="dxa"/>
            <w:noWrap w:val="0"/>
            <w:vAlign w:val="center"/>
          </w:tcPr>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采购人名称：新疆维吾尔自治区第一测绘院</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联系人：艾克拜尔</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联系方式：18699400218</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000000"/>
                <w:sz w:val="21"/>
                <w:szCs w:val="21"/>
              </w:rPr>
              <w:t>地 址：</w:t>
            </w:r>
            <w:r>
              <w:rPr>
                <w:rFonts w:hint="eastAsia" w:ascii="宋体" w:hAnsi="宋体" w:eastAsia="宋体" w:cs="宋体"/>
                <w:b w:val="0"/>
                <w:bCs/>
                <w:color w:val="000000"/>
                <w:sz w:val="21"/>
                <w:szCs w:val="21"/>
                <w:lang w:eastAsia="zh-CN"/>
              </w:rPr>
              <w:t>新疆维吾尔自治区昌吉市延安路</w:t>
            </w:r>
            <w:r>
              <w:rPr>
                <w:rFonts w:hint="eastAsia" w:ascii="宋体" w:hAnsi="宋体" w:eastAsia="宋体" w:cs="宋体"/>
                <w:b w:val="0"/>
                <w:bCs/>
                <w:color w:val="000000"/>
                <w:sz w:val="21"/>
                <w:szCs w:val="21"/>
                <w:lang w:val="en-US" w:eastAsia="zh-CN"/>
              </w:rPr>
              <w:t>124号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采购代理机构</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名称：宏业国际项目管理有限公司</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地　址：乌鲁木齐水磨沟区红光山路万科大都会8号楼1202室</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联系人：李苗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000000"/>
                <w:kern w:val="0"/>
                <w:sz w:val="21"/>
                <w:szCs w:val="21"/>
                <w:lang w:val="en-US" w:eastAsia="zh-CN" w:bidi="ar-SA"/>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eastAsia="zh-CN"/>
              </w:rPr>
              <w:t>采购方式</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采购内容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详见第一章采购公告或投标邀请书“</w:t>
            </w:r>
            <w:r>
              <w:rPr>
                <w:rFonts w:hint="eastAsia" w:ascii="宋体" w:hAnsi="宋体" w:eastAsia="宋体" w:cs="宋体"/>
                <w:color w:val="000000"/>
                <w:sz w:val="21"/>
                <w:szCs w:val="21"/>
              </w:rPr>
              <w:t>简要规格描述</w:t>
            </w:r>
            <w:r>
              <w:rPr>
                <w:rFonts w:hint="eastAsia" w:ascii="宋体" w:hAnsi="宋体" w:eastAsia="宋体" w:cs="宋体"/>
                <w:b w:val="0"/>
                <w:bCs/>
                <w:color w:val="000000"/>
                <w:kern w:val="0"/>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7</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资格审查方式</w:t>
            </w:r>
          </w:p>
        </w:tc>
        <w:tc>
          <w:tcPr>
            <w:tcW w:w="6583" w:type="dxa"/>
            <w:noWrap w:val="0"/>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资格后审，资格审查内容详见第三章评标办法。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项目预算（最高限价）</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highlight w:val="none"/>
                <w:lang w:val="en-US" w:eastAsia="zh-CN" w:bidi="ar-SA"/>
              </w:rPr>
            </w:pPr>
            <w:r>
              <w:rPr>
                <w:rFonts w:hint="eastAsia" w:ascii="宋体" w:hAnsi="宋体" w:eastAsia="宋体" w:cs="宋体"/>
                <w:b w:val="0"/>
                <w:bCs/>
                <w:color w:val="000000"/>
                <w:kern w:val="0"/>
                <w:sz w:val="21"/>
                <w:szCs w:val="21"/>
                <w:highlight w:val="none"/>
                <w:lang w:val="zh-CN" w:eastAsia="zh-CN" w:bidi="ar-SA"/>
              </w:rPr>
              <w:t>金额（小写）：</w:t>
            </w:r>
            <w:r>
              <w:rPr>
                <w:rFonts w:hint="eastAsia" w:ascii="宋体" w:hAnsi="宋体" w:cs="宋体"/>
                <w:b w:val="0"/>
                <w:bCs/>
                <w:color w:val="000000"/>
                <w:kern w:val="0"/>
                <w:sz w:val="21"/>
                <w:szCs w:val="21"/>
                <w:highlight w:val="none"/>
                <w:lang w:val="en-US" w:eastAsia="zh-CN" w:bidi="ar-SA"/>
              </w:rPr>
              <w:t>72000</w:t>
            </w:r>
            <w:r>
              <w:rPr>
                <w:rFonts w:hint="eastAsia" w:ascii="宋体" w:hAnsi="宋体" w:eastAsia="宋体" w:cs="宋体"/>
                <w:b w:val="0"/>
                <w:bCs/>
                <w:color w:val="000000"/>
                <w:kern w:val="0"/>
                <w:sz w:val="21"/>
                <w:szCs w:val="21"/>
                <w:highlight w:val="none"/>
                <w:lang w:val="en-US" w:eastAsia="zh-CN" w:bidi="ar-SA"/>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工期要求</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rPr>
                <w:rFonts w:hint="eastAsia" w:ascii="宋体" w:hAnsi="宋体" w:eastAsia="宋体" w:cs="宋体"/>
                <w:b w:val="0"/>
                <w:bCs/>
                <w:color w:val="000000"/>
                <w:kern w:val="0"/>
                <w:sz w:val="21"/>
                <w:szCs w:val="21"/>
                <w:highlight w:val="none"/>
                <w:lang w:val="zh-CN" w:eastAsia="zh-CN" w:bidi="ar-SA"/>
              </w:rPr>
            </w:pPr>
            <w:r>
              <w:rPr>
                <w:rFonts w:hint="eastAsia" w:ascii="宋体" w:hAnsi="宋体" w:eastAsia="宋体" w:cs="宋体"/>
                <w:b w:val="0"/>
                <w:bCs/>
                <w:color w:val="auto"/>
                <w:sz w:val="21"/>
                <w:szCs w:val="21"/>
                <w:highlight w:val="none"/>
                <w:lang w:val="en-US" w:eastAsia="zh-CN"/>
              </w:rPr>
              <w:t xml:space="preserve">   </w:t>
            </w:r>
            <w:r>
              <w:rPr>
                <w:rFonts w:hint="eastAsia" w:ascii="宋体" w:hAnsi="宋体" w:cs="宋体"/>
                <w:b w:val="0"/>
                <w:bCs/>
                <w:color w:val="auto"/>
                <w:sz w:val="21"/>
                <w:szCs w:val="21"/>
                <w:highlight w:val="none"/>
                <w:lang w:val="en-US" w:eastAsia="zh-CN"/>
              </w:rPr>
              <w:t>合同签订后30天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质保期</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rPr>
                <w:rFonts w:hint="eastAsia" w:ascii="宋体" w:hAnsi="宋体" w:eastAsia="宋体" w:cs="宋体"/>
                <w:b w:val="0"/>
                <w:bCs/>
                <w:color w:val="000000"/>
                <w:kern w:val="0"/>
                <w:sz w:val="21"/>
                <w:szCs w:val="21"/>
                <w:highlight w:val="none"/>
                <w:lang w:val="zh-CN" w:eastAsia="zh-CN" w:bidi="ar-SA"/>
              </w:rPr>
            </w:pPr>
            <w:r>
              <w:rPr>
                <w:rFonts w:hint="eastAsia" w:ascii="宋体" w:hAnsi="宋体" w:eastAsia="宋体" w:cs="宋体"/>
                <w:b w:val="0"/>
                <w:bCs/>
                <w:color w:val="auto"/>
                <w:sz w:val="21"/>
                <w:szCs w:val="21"/>
                <w:highlight w:val="none"/>
              </w:rPr>
              <w:t>质保期为</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年，质保期自项目验收合格之日起计算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付款方式</w:t>
            </w:r>
          </w:p>
        </w:tc>
        <w:tc>
          <w:tcPr>
            <w:tcW w:w="6583"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000000"/>
                <w:kern w:val="0"/>
                <w:sz w:val="21"/>
                <w:szCs w:val="21"/>
                <w:highlight w:val="none"/>
                <w:lang w:val="zh-CN" w:eastAsia="zh-CN" w:bidi="ar-SA"/>
              </w:rPr>
            </w:pPr>
            <w:r>
              <w:rPr>
                <w:rFonts w:hint="eastAsia" w:ascii="宋体" w:hAnsi="宋体" w:eastAsia="宋体" w:cs="宋体"/>
                <w:b w:val="0"/>
                <w:bCs/>
                <w:color w:val="auto"/>
                <w:sz w:val="21"/>
                <w:szCs w:val="21"/>
                <w:highlight w:val="none"/>
              </w:rPr>
              <w:t>合同中另行约定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质量标准</w:t>
            </w:r>
          </w:p>
        </w:tc>
        <w:tc>
          <w:tcPr>
            <w:tcW w:w="6583" w:type="dxa"/>
            <w:noWrap w:val="0"/>
            <w:vAlign w:val="center"/>
          </w:tcPr>
          <w:p>
            <w:pPr>
              <w:pageBreakBefore w:val="0"/>
              <w:kinsoku/>
              <w:wordWrap w:val="0"/>
              <w:topLinePunct w:val="0"/>
              <w:bidi w:val="0"/>
              <w:spacing w:line="400" w:lineRule="exact"/>
              <w:ind w:left="0" w:leftChars="0" w:firstLine="0" w:firstLineChars="0"/>
              <w:jc w:val="left"/>
              <w:rPr>
                <w:rFonts w:hint="eastAsia" w:ascii="宋体" w:hAnsi="宋体" w:eastAsia="宋体" w:cs="宋体"/>
                <w:b w:val="0"/>
                <w:bCs/>
                <w:color w:val="000000"/>
                <w:kern w:val="0"/>
                <w:sz w:val="21"/>
                <w:szCs w:val="21"/>
                <w:highlight w:val="none"/>
                <w:lang w:val="zh-CN" w:eastAsia="zh-CN" w:bidi="ar-SA"/>
              </w:rPr>
            </w:pPr>
            <w:r>
              <w:rPr>
                <w:rFonts w:hint="eastAsia" w:ascii="宋体" w:hAnsi="宋体" w:eastAsia="宋体" w:cs="宋体"/>
                <w:b w:val="0"/>
                <w:bCs/>
                <w:color w:val="auto"/>
                <w:sz w:val="21"/>
                <w:szCs w:val="21"/>
                <w:highlight w:val="none"/>
              </w:rPr>
              <w:t>合格</w:t>
            </w:r>
            <w:r>
              <w:rPr>
                <w:rFonts w:hint="eastAsia" w:ascii="宋体" w:hAnsi="宋体" w:eastAsia="宋体" w:cs="宋体"/>
                <w:b w:val="0"/>
                <w:bCs/>
                <w:color w:val="auto"/>
                <w:sz w:val="21"/>
                <w:szCs w:val="21"/>
                <w:highlight w:val="none"/>
                <w:lang w:eastAsia="zh-CN"/>
              </w:rPr>
              <w:t>（通过采购人及有关部门组织的项目验收）</w:t>
            </w:r>
            <w:r>
              <w:rPr>
                <w:rFonts w:hint="eastAsia" w:ascii="宋体" w:hAnsi="宋体" w:eastAsia="宋体" w:cs="宋体"/>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供应商资格条件</w:t>
            </w:r>
          </w:p>
        </w:tc>
        <w:tc>
          <w:tcPr>
            <w:tcW w:w="6583" w:type="dxa"/>
            <w:noWrap w:val="0"/>
            <w:vAlign w:val="center"/>
          </w:tcPr>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en-US" w:eastAsia="zh-CN"/>
              </w:rPr>
              <w:t>1、</w:t>
            </w:r>
            <w:r>
              <w:rPr>
                <w:rFonts w:hint="eastAsia" w:ascii="宋体" w:hAnsi="宋体" w:eastAsia="宋体" w:cs="宋体"/>
                <w:b w:val="0"/>
                <w:bCs/>
                <w:color w:val="000000"/>
                <w:sz w:val="21"/>
                <w:szCs w:val="21"/>
              </w:rPr>
              <w:t>满足《中华人民共和国政府采购法》第二十二条规定；</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1）具有独立承担民事责任的能力，有效的营业执照；</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2）具有履行合同所必须的设备、人员、专业等方面相应的技术能力；</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3）在“信用中国”网站被列入失信被执行人、重大税收违法案件当事人名单，在中国裁判文书网有行贿犯罪记录的（尚在处罚期内的），在中国政府采购网被列入政府采购严重违法失信行为记录名单的（尚在处罚期内的），将拒绝本次政府采购活动,须提供网站查询结果截图。</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4）参加招投标活动前三年内，在经营活动中没重大违法记录（受行政主管部门处罚的不能参加投标，提供声明书）。</w:t>
            </w:r>
          </w:p>
          <w:p>
            <w:pPr>
              <w:pStyle w:val="31"/>
              <w:pageBreakBefore w:val="0"/>
              <w:widowControl/>
              <w:kinsoku/>
              <w:wordWrap/>
              <w:topLinePunct w:val="0"/>
              <w:bidi w:val="0"/>
              <w:spacing w:before="0" w:beforeAutospacing="0" w:after="0" w:afterAutospacing="0" w:line="400" w:lineRule="exact"/>
              <w:ind w:left="0" w:leftChars="0" w:right="0" w:rightChars="0" w:firstLine="0" w:firstLineChars="0"/>
              <w:jc w:val="both"/>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000000"/>
                <w:sz w:val="21"/>
                <w:szCs w:val="21"/>
              </w:rPr>
              <w:t>5）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r>
              <w:rPr>
                <w:rFonts w:hint="eastAsia" w:ascii="宋体" w:hAnsi="宋体" w:eastAsia="宋体" w:cs="宋体"/>
                <w:b w:val="0"/>
                <w:bCs/>
                <w:color w:val="000000"/>
                <w:sz w:val="21"/>
                <w:szCs w:val="21"/>
              </w:rPr>
              <w:br w:type="textWrapping"/>
            </w:r>
            <w:r>
              <w:rPr>
                <w:rFonts w:hint="eastAsia" w:ascii="宋体" w:hAnsi="宋体" w:eastAsia="宋体" w:cs="宋体"/>
                <w:b w:val="0"/>
                <w:bCs/>
                <w:color w:val="000000"/>
                <w:sz w:val="21"/>
                <w:szCs w:val="21"/>
                <w:lang w:val="en-US" w:eastAsia="zh-CN"/>
              </w:rPr>
              <w:t xml:space="preserve">    2</w:t>
            </w:r>
            <w:r>
              <w:rPr>
                <w:rFonts w:hint="eastAsia" w:ascii="宋体" w:hAnsi="宋体" w:eastAsia="宋体" w:cs="宋体"/>
                <w:b w:val="0"/>
                <w:bCs/>
                <w:color w:val="000000"/>
                <w:sz w:val="21"/>
                <w:szCs w:val="21"/>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14</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sz w:val="21"/>
                <w:szCs w:val="21"/>
              </w:rPr>
              <w:t>投标人不得存在的其他情形</w:t>
            </w:r>
          </w:p>
        </w:tc>
        <w:tc>
          <w:tcPr>
            <w:tcW w:w="6583" w:type="dxa"/>
            <w:noWrap w:val="0"/>
            <w:vAlign w:val="center"/>
          </w:tcPr>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（1）为不具有独立法人资格的附属机构（单位）；</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（2）被责令停业或破产状态的；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（3）被暂停或取消投标资格的；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（4）财产被重组、接管、查封、扣押或冻结的；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（5）在最近三年内骗取中选的；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（6）在最近三年内因严重违反合同约定被解除合同/协议，或取消供应商资格的； </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b w:val="0"/>
                <w:bCs/>
                <w:color w:val="000000"/>
                <w:sz w:val="21"/>
                <w:szCs w:val="21"/>
              </w:rPr>
            </w:pPr>
            <w:r>
              <w:rPr>
                <w:rFonts w:hint="eastAsia" w:ascii="宋体" w:hAnsi="宋体" w:eastAsia="宋体" w:cs="宋体"/>
                <w:sz w:val="21"/>
                <w:szCs w:val="21"/>
              </w:rPr>
              <w:t xml:space="preserve">（7）投标人在最近五年内参与的采购活动中有行贿犯罪记录的；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联合体投标    </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 xml:space="preserve">√不接受 </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备选方案</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 不接受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cyan"/>
                <w:lang w:eastAsia="zh-CN"/>
              </w:rPr>
            </w:pPr>
            <w:r>
              <w:rPr>
                <w:rFonts w:hint="eastAsia" w:ascii="宋体" w:hAnsi="宋体" w:eastAsia="宋体" w:cs="宋体"/>
                <w:b w:val="0"/>
                <w:bCs/>
                <w:color w:val="auto"/>
                <w:sz w:val="21"/>
                <w:szCs w:val="21"/>
                <w:highlight w:val="none"/>
              </w:rPr>
              <w:t>响应文件递交截止时间</w:t>
            </w:r>
            <w:r>
              <w:rPr>
                <w:rFonts w:hint="eastAsia" w:ascii="宋体" w:hAnsi="宋体" w:eastAsia="宋体" w:cs="宋体"/>
                <w:b w:val="0"/>
                <w:bCs/>
                <w:color w:val="auto"/>
                <w:sz w:val="21"/>
                <w:szCs w:val="21"/>
                <w:highlight w:val="none"/>
                <w:lang w:eastAsia="zh-CN"/>
              </w:rPr>
              <w:t>及开标时间</w:t>
            </w:r>
          </w:p>
        </w:tc>
        <w:tc>
          <w:tcPr>
            <w:tcW w:w="6583"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Style w:val="37"/>
                <w:rFonts w:hint="eastAsia" w:ascii="宋体" w:hAnsi="宋体" w:eastAsia="宋体" w:cs="宋体"/>
                <w:b w:val="0"/>
                <w:bCs/>
                <w:color w:val="auto"/>
                <w:kern w:val="0"/>
                <w:sz w:val="21"/>
                <w:szCs w:val="21"/>
                <w:highlight w:val="none"/>
                <w:lang w:val="en-US" w:eastAsia="zh-CN" w:bidi="ar-SA"/>
              </w:rPr>
              <w:t xml:space="preserve">2022年 </w:t>
            </w:r>
            <w:r>
              <w:rPr>
                <w:rStyle w:val="37"/>
                <w:rFonts w:hint="eastAsia" w:ascii="宋体" w:hAnsi="宋体" w:cs="宋体"/>
                <w:b w:val="0"/>
                <w:bCs/>
                <w:color w:val="auto"/>
                <w:kern w:val="0"/>
                <w:sz w:val="21"/>
                <w:szCs w:val="21"/>
                <w:highlight w:val="none"/>
                <w:lang w:val="en-US" w:eastAsia="zh-CN" w:bidi="ar-SA"/>
              </w:rPr>
              <w:t>4</w:t>
            </w:r>
            <w:r>
              <w:rPr>
                <w:rStyle w:val="37"/>
                <w:rFonts w:hint="eastAsia" w:ascii="宋体" w:hAnsi="宋体" w:eastAsia="宋体" w:cs="宋体"/>
                <w:b w:val="0"/>
                <w:bCs/>
                <w:color w:val="auto"/>
                <w:kern w:val="0"/>
                <w:sz w:val="21"/>
                <w:szCs w:val="21"/>
                <w:highlight w:val="none"/>
                <w:lang w:val="en-US" w:eastAsia="zh-CN" w:bidi="ar-SA"/>
              </w:rPr>
              <w:t>月</w:t>
            </w:r>
            <w:r>
              <w:rPr>
                <w:rStyle w:val="37"/>
                <w:rFonts w:hint="eastAsia" w:ascii="宋体" w:hAnsi="宋体" w:cs="宋体"/>
                <w:b w:val="0"/>
                <w:bCs/>
                <w:color w:val="auto"/>
                <w:kern w:val="0"/>
                <w:sz w:val="21"/>
                <w:szCs w:val="21"/>
                <w:highlight w:val="none"/>
                <w:lang w:val="en-US" w:eastAsia="zh-CN" w:bidi="ar-SA"/>
              </w:rPr>
              <w:t>7</w:t>
            </w:r>
            <w:r>
              <w:rPr>
                <w:rStyle w:val="37"/>
                <w:rFonts w:hint="eastAsia" w:ascii="宋体" w:hAnsi="宋体" w:eastAsia="宋体" w:cs="宋体"/>
                <w:b w:val="0"/>
                <w:bCs/>
                <w:color w:val="auto"/>
                <w:kern w:val="0"/>
                <w:sz w:val="21"/>
                <w:szCs w:val="21"/>
                <w:highlight w:val="none"/>
                <w:lang w:val="en-US" w:eastAsia="zh-CN" w:bidi="ar-SA"/>
              </w:rPr>
              <w:t xml:space="preserve"> 日11点00分（北京时间）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18</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响应文件递交截止</w:t>
            </w:r>
            <w:r>
              <w:rPr>
                <w:rFonts w:hint="eastAsia" w:ascii="宋体" w:hAnsi="宋体" w:eastAsia="宋体" w:cs="宋体"/>
                <w:b w:val="0"/>
                <w:bCs/>
                <w:color w:val="auto"/>
                <w:sz w:val="21"/>
                <w:szCs w:val="21"/>
                <w:highlight w:val="none"/>
                <w:lang w:eastAsia="zh-CN"/>
              </w:rPr>
              <w:t>地点及开标地点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 xml:space="preserve">乌鲁木齐水磨沟区红光山路万科大都会8号楼1202室  </w:t>
            </w:r>
            <w:r>
              <w:rPr>
                <w:rFonts w:hint="eastAsia" w:ascii="宋体" w:hAnsi="宋体" w:eastAsia="宋体" w:cs="宋体"/>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小组的组建及评审专家的确定方式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招标采购单位依法组建</w:t>
            </w: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小组共</w:t>
            </w:r>
            <w:r>
              <w:rPr>
                <w:rFonts w:hint="eastAsia" w:ascii="宋体" w:hAns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rPr>
              <w:t>人组成，其中采购人代表</w:t>
            </w:r>
            <w:r>
              <w:rPr>
                <w:rFonts w:hint="eastAsia" w:ascii="宋体" w:hAnsi="宋体" w:eastAsia="宋体" w:cs="宋体"/>
                <w:b w:val="0"/>
                <w:bCs/>
                <w:color w:val="auto"/>
                <w:sz w:val="21"/>
                <w:szCs w:val="21"/>
                <w:highlight w:val="none"/>
                <w:lang w:eastAsia="zh-CN"/>
              </w:rPr>
              <w:t>不得超过投标小组的三分之一</w:t>
            </w:r>
            <w:r>
              <w:rPr>
                <w:rFonts w:hint="eastAsia" w:ascii="宋体" w:hAnsi="宋体" w:eastAsia="宋体" w:cs="宋体"/>
                <w:b w:val="0"/>
                <w:bCs/>
                <w:color w:val="auto"/>
                <w:sz w:val="21"/>
                <w:szCs w:val="21"/>
                <w:highlight w:val="none"/>
              </w:rPr>
              <w:t>。</w:t>
            </w:r>
          </w:p>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评审办法</w:t>
            </w:r>
          </w:p>
        </w:tc>
        <w:tc>
          <w:tcPr>
            <w:tcW w:w="6583" w:type="dxa"/>
            <w:noWrap w:val="0"/>
            <w:vAlign w:val="center"/>
          </w:tcPr>
          <w:p>
            <w:pPr>
              <w:pageBreakBefore w:val="0"/>
              <w:kinsoku/>
              <w:topLinePunct w:val="0"/>
              <w:bidi w:val="0"/>
              <w:spacing w:line="400" w:lineRule="exact"/>
              <w:ind w:left="0" w:leftChars="0" w:firstLine="0" w:firstLineChars="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综合评分法，即指</w:t>
            </w:r>
            <w:r>
              <w:rPr>
                <w:rFonts w:hint="eastAsia" w:ascii="宋体" w:hAnsi="宋体" w:eastAsia="宋体" w:cs="宋体"/>
                <w:b w:val="0"/>
                <w:bCs/>
                <w:color w:val="auto"/>
                <w:sz w:val="21"/>
                <w:szCs w:val="21"/>
                <w:highlight w:val="none"/>
                <w:lang w:eastAsia="zh-CN"/>
              </w:rPr>
              <w:t>响应文件</w:t>
            </w:r>
            <w:r>
              <w:rPr>
                <w:rFonts w:hint="eastAsia" w:ascii="宋体" w:hAnsi="宋体" w:eastAsia="宋体" w:cs="宋体"/>
                <w:b w:val="0"/>
                <w:bCs/>
                <w:color w:val="auto"/>
                <w:sz w:val="21"/>
                <w:szCs w:val="21"/>
                <w:highlight w:val="none"/>
              </w:rPr>
              <w:t>满足</w:t>
            </w: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文件全部实质性要求且按照评审因素的量化指标评审得分最高的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为中标候选人的评标方法。每一</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有效期</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9</w:t>
            </w:r>
            <w:r>
              <w:rPr>
                <w:rFonts w:hint="eastAsia" w:ascii="宋体" w:hAnsi="宋体" w:eastAsia="宋体" w:cs="宋体"/>
                <w:b w:val="0"/>
                <w:bCs/>
                <w:color w:val="auto"/>
                <w:sz w:val="21"/>
                <w:szCs w:val="21"/>
                <w:highlight w:val="none"/>
                <w:u w:val="single"/>
              </w:rPr>
              <w:t xml:space="preserve">0 </w:t>
            </w:r>
            <w:r>
              <w:rPr>
                <w:rFonts w:hint="eastAsia" w:ascii="宋体" w:hAnsi="宋体" w:eastAsia="宋体" w:cs="宋体"/>
                <w:b w:val="0"/>
                <w:bCs/>
                <w:color w:val="auto"/>
                <w:sz w:val="21"/>
                <w:szCs w:val="21"/>
                <w:highlight w:val="none"/>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22</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eastAsia="zh-CN"/>
              </w:rPr>
              <w:t>投标预备会</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□是</w:t>
            </w:r>
          </w:p>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23</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踏勘现场</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24</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资料</w:t>
            </w:r>
            <w:r>
              <w:rPr>
                <w:rFonts w:hint="eastAsia" w:ascii="宋体" w:hAnsi="宋体" w:eastAsia="宋体" w:cs="宋体"/>
                <w:b w:val="0"/>
                <w:bCs/>
                <w:color w:val="auto"/>
                <w:sz w:val="21"/>
                <w:szCs w:val="21"/>
                <w:highlight w:val="none"/>
                <w:lang w:val="en-US" w:eastAsia="zh-CN"/>
              </w:rPr>
              <w:t>备查</w:t>
            </w:r>
          </w:p>
        </w:tc>
        <w:tc>
          <w:tcPr>
            <w:tcW w:w="6583" w:type="dxa"/>
            <w:noWrap w:val="0"/>
            <w:vAlign w:val="center"/>
          </w:tcPr>
          <w:p>
            <w:pPr>
              <w:pageBreakBefore w:val="0"/>
              <w:widowControl/>
              <w:kinsoku/>
              <w:topLinePunct w:val="0"/>
              <w:bidi w:val="0"/>
              <w:spacing w:line="400" w:lineRule="exact"/>
              <w:ind w:left="0" w:leftChars="0" w:firstLine="0" w:firstLineChars="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开标会现场需携带以下</w:t>
            </w:r>
            <w:r>
              <w:rPr>
                <w:rFonts w:hint="eastAsia" w:ascii="宋体" w:hAnsi="宋体" w:eastAsia="宋体" w:cs="宋体"/>
                <w:b w:val="0"/>
                <w:bCs/>
                <w:color w:val="auto"/>
                <w:sz w:val="21"/>
                <w:szCs w:val="21"/>
                <w:highlight w:val="none"/>
                <w:lang w:val="en-US" w:eastAsia="zh-CN"/>
              </w:rPr>
              <w:t>资料原件备查</w:t>
            </w:r>
            <w:r>
              <w:rPr>
                <w:rFonts w:hint="eastAsia" w:ascii="宋体" w:hAnsi="宋体" w:eastAsia="宋体" w:cs="宋体"/>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（1）营业执照（三证合一）；</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（2）投标方</w:t>
            </w:r>
            <w:r>
              <w:rPr>
                <w:rFonts w:hint="eastAsia" w:ascii="宋体" w:hAnsi="宋体" w:eastAsia="宋体" w:cs="宋体"/>
                <w:b w:val="0"/>
                <w:bCs/>
                <w:color w:val="auto"/>
                <w:sz w:val="21"/>
                <w:szCs w:val="21"/>
                <w:highlight w:val="none"/>
                <w:lang w:eastAsia="zh-CN"/>
              </w:rPr>
              <w:t>为</w:t>
            </w:r>
            <w:r>
              <w:rPr>
                <w:rFonts w:hint="eastAsia" w:ascii="宋体" w:hAnsi="宋体" w:eastAsia="宋体" w:cs="宋体"/>
                <w:b w:val="0"/>
                <w:bCs/>
                <w:color w:val="auto"/>
                <w:sz w:val="21"/>
                <w:szCs w:val="21"/>
                <w:highlight w:val="none"/>
              </w:rPr>
              <w:t>法人投标需携带法人授权委托书原件及被授权人身份证原件或法人身份证明书及身份证原件（加盖公章）</w:t>
            </w:r>
            <w:r>
              <w:rPr>
                <w:rFonts w:hint="eastAsia" w:ascii="宋体" w:hAnsi="宋体" w:eastAsia="宋体" w:cs="宋体"/>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（3）投标保证金交纳凭证（复印件加盖公章）</w:t>
            </w:r>
            <w:r>
              <w:rPr>
                <w:rFonts w:hint="eastAsia" w:ascii="宋体" w:hAnsi="宋体" w:eastAsia="宋体" w:cs="宋体"/>
                <w:b w:val="0"/>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25</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投标文件组成</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本次开标：线下投标、纸质版投标文件评审。投标人编制、提交的投标文件，须符合本项目采购文件要求的投标文件编制和提交要求。</w:t>
            </w:r>
          </w:p>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响应文件的装订及密封要求：</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21"/>
                <w:szCs w:val="21"/>
                <w:highlight w:val="none"/>
              </w:rPr>
              <w:t>正</w:t>
            </w:r>
            <w:r>
              <w:rPr>
                <w:rFonts w:hint="eastAsia" w:ascii="宋体" w:hAnsi="宋体" w:eastAsia="宋体" w:cs="宋体"/>
                <w:b w:val="0"/>
                <w:bCs/>
                <w:color w:val="auto"/>
                <w:sz w:val="21"/>
                <w:szCs w:val="21"/>
                <w:highlight w:val="none"/>
                <w:lang w:val="en-US" w:eastAsia="zh-CN"/>
              </w:rPr>
              <w:t>本壹份，副本</w:t>
            </w:r>
            <w:r>
              <w:rPr>
                <w:rFonts w:hint="eastAsia" w:ascii="宋体" w:hAnsi="宋体" w:cs="宋体"/>
                <w:b w:val="0"/>
                <w:bCs/>
                <w:color w:val="auto"/>
                <w:sz w:val="21"/>
                <w:szCs w:val="21"/>
                <w:highlight w:val="none"/>
                <w:lang w:val="en-US" w:eastAsia="zh-CN"/>
              </w:rPr>
              <w:t>贰</w:t>
            </w:r>
            <w:r>
              <w:rPr>
                <w:rFonts w:hint="eastAsia" w:ascii="宋体" w:hAnsi="宋体" w:eastAsia="宋体" w:cs="宋体"/>
                <w:b w:val="0"/>
                <w:bCs/>
                <w:color w:val="auto"/>
                <w:sz w:val="21"/>
                <w:szCs w:val="21"/>
                <w:highlight w:val="none"/>
                <w:lang w:val="en-US" w:eastAsia="zh-CN"/>
              </w:rPr>
              <w:t>份（共</w:t>
            </w:r>
            <w:r>
              <w:rPr>
                <w:rFonts w:hint="eastAsia" w:ascii="宋体" w:hAnsi="宋体" w:cs="宋体"/>
                <w:b w:val="0"/>
                <w:bCs/>
                <w:color w:val="auto"/>
                <w:sz w:val="21"/>
                <w:szCs w:val="21"/>
                <w:highlight w:val="none"/>
                <w:lang w:val="en-US" w:eastAsia="zh-CN"/>
              </w:rPr>
              <w:t>叁</w:t>
            </w:r>
            <w:r>
              <w:rPr>
                <w:rFonts w:hint="eastAsia" w:ascii="宋体" w:hAnsi="宋体" w:eastAsia="宋体" w:cs="宋体"/>
                <w:b w:val="0"/>
                <w:bCs/>
                <w:color w:val="auto"/>
                <w:sz w:val="21"/>
                <w:szCs w:val="21"/>
                <w:highlight w:val="none"/>
                <w:lang w:val="en-US" w:eastAsia="zh-CN"/>
              </w:rPr>
              <w:t>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开标一览表壹份，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电子版：U盘壹份，光盘贰份（内容为加盖公章的响应文件扫描件）</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lang w:val="en-US" w:eastAsia="zh-CN"/>
              </w:rPr>
              <w:t>响应文件的装订要求：响应文件不得以活页方式装订，不可拆装。装订应牢固、胶粘不易拆散和换页。2、响应文件的密封要求：</w:t>
            </w:r>
            <w:r>
              <w:rPr>
                <w:rFonts w:hint="eastAsia" w:ascii="宋体" w:hAnsi="宋体" w:eastAsia="宋体" w:cs="宋体"/>
                <w:b/>
                <w:bCs/>
                <w:sz w:val="21"/>
                <w:szCs w:val="21"/>
                <w:highlight w:val="none"/>
              </w:rPr>
              <w:t>(1)供应商应将</w:t>
            </w:r>
            <w:r>
              <w:rPr>
                <w:rFonts w:hint="eastAsia" w:ascii="宋体" w:hAnsi="宋体" w:eastAsia="宋体" w:cs="宋体"/>
                <w:b/>
                <w:bCs/>
                <w:sz w:val="21"/>
                <w:szCs w:val="21"/>
                <w:highlight w:val="none"/>
                <w:lang w:eastAsia="zh-CN"/>
              </w:rPr>
              <w:t>开标</w:t>
            </w:r>
            <w:r>
              <w:rPr>
                <w:rFonts w:hint="eastAsia" w:ascii="宋体" w:hAnsi="宋体" w:eastAsia="宋体" w:cs="宋体"/>
                <w:b/>
                <w:bCs/>
                <w:sz w:val="21"/>
                <w:szCs w:val="21"/>
                <w:highlight w:val="none"/>
              </w:rPr>
              <w:t>一览表单独密封提交，并在信封上标明"</w:t>
            </w:r>
            <w:r>
              <w:rPr>
                <w:rFonts w:hint="eastAsia" w:ascii="宋体" w:hAnsi="宋体" w:eastAsia="宋体" w:cs="宋体"/>
                <w:b/>
                <w:bCs/>
                <w:sz w:val="21"/>
                <w:szCs w:val="21"/>
                <w:highlight w:val="none"/>
                <w:lang w:eastAsia="zh-CN"/>
              </w:rPr>
              <w:t>开标</w:t>
            </w:r>
            <w:r>
              <w:rPr>
                <w:rFonts w:hint="eastAsia" w:ascii="宋体" w:hAnsi="宋体" w:eastAsia="宋体" w:cs="宋体"/>
                <w:b/>
                <w:bCs/>
                <w:sz w:val="21"/>
                <w:szCs w:val="21"/>
                <w:highlight w:val="none"/>
              </w:rPr>
              <w:t>一览表"字样；</w:t>
            </w:r>
            <w:r>
              <w:rPr>
                <w:rFonts w:hint="eastAsia" w:ascii="宋体" w:hAnsi="宋体" w:eastAsia="宋体" w:cs="宋体"/>
                <w:sz w:val="21"/>
                <w:szCs w:val="21"/>
                <w:highlight w:val="none"/>
              </w:rPr>
              <w:t>(</w:t>
            </w:r>
            <w:r>
              <w:rPr>
                <w:rFonts w:hint="eastAsia" w:ascii="宋体" w:hAnsi="宋体" w:eastAsia="宋体" w:cs="宋体"/>
                <w:b w:val="0"/>
                <w:bCs/>
                <w:color w:val="auto"/>
                <w:sz w:val="21"/>
                <w:szCs w:val="21"/>
                <w:highlight w:val="none"/>
                <w:lang w:val="en-US" w:eastAsia="zh-CN"/>
              </w:rPr>
              <w:t>2)电子版</w:t>
            </w:r>
            <w:r>
              <w:rPr>
                <w:rFonts w:hint="eastAsia" w:ascii="宋体" w:hAnsi="宋体" w:eastAsia="宋体" w:cs="宋体"/>
                <w:b/>
                <w:bCs/>
                <w:sz w:val="21"/>
                <w:szCs w:val="21"/>
                <w:highlight w:val="none"/>
              </w:rPr>
              <w:t>单独密封提交，并在信封上标明"</w:t>
            </w:r>
            <w:r>
              <w:rPr>
                <w:rFonts w:hint="eastAsia" w:ascii="宋体" w:hAnsi="宋体" w:eastAsia="宋体" w:cs="宋体"/>
                <w:b/>
                <w:bCs/>
                <w:sz w:val="21"/>
                <w:szCs w:val="21"/>
                <w:highlight w:val="none"/>
                <w:lang w:eastAsia="zh-CN"/>
              </w:rPr>
              <w:t>电子版</w:t>
            </w:r>
            <w:r>
              <w:rPr>
                <w:rFonts w:hint="eastAsia" w:ascii="宋体" w:hAnsi="宋体" w:eastAsia="宋体" w:cs="宋体"/>
                <w:b/>
                <w:bCs/>
                <w:sz w:val="21"/>
                <w:szCs w:val="21"/>
                <w:highlight w:val="none"/>
              </w:rPr>
              <w:t>"字样；</w:t>
            </w:r>
            <w:r>
              <w:rPr>
                <w:rFonts w:hint="eastAsia" w:ascii="宋体" w:hAnsi="宋体" w:eastAsia="宋体" w:cs="宋体"/>
                <w:sz w:val="21"/>
                <w:szCs w:val="21"/>
                <w:highlight w:val="none"/>
              </w:rPr>
              <w:t>(</w:t>
            </w:r>
            <w:r>
              <w:rPr>
                <w:rFonts w:hint="eastAsia" w:ascii="宋体" w:hAnsi="宋体" w:eastAsia="宋体" w:cs="宋体"/>
                <w:b w:val="0"/>
                <w:bCs/>
                <w:color w:val="auto"/>
                <w:sz w:val="21"/>
                <w:szCs w:val="21"/>
                <w:highlight w:val="none"/>
                <w:lang w:val="en-US" w:eastAsia="zh-CN"/>
              </w:rPr>
              <w:t>3)供应商应将响应文件统包密封，封面应注明项目名称</w:t>
            </w:r>
            <w:r>
              <w:rPr>
                <w:rFonts w:hint="eastAsia" w:ascii="宋体" w:hAnsi="宋体" w:eastAsia="宋体" w:cs="宋体"/>
                <w:color w:val="000000"/>
                <w:sz w:val="21"/>
                <w:szCs w:val="21"/>
                <w:highlight w:val="none"/>
                <w:lang w:val="en-US" w:eastAsia="zh-CN"/>
              </w:rPr>
              <w:t>、</w:t>
            </w:r>
            <w:r>
              <w:rPr>
                <w:rFonts w:hint="eastAsia" w:ascii="宋体" w:hAnsi="宋体" w:eastAsia="宋体" w:cs="宋体"/>
                <w:b w:val="0"/>
                <w:bCs/>
                <w:color w:val="auto"/>
                <w:sz w:val="21"/>
                <w:szCs w:val="21"/>
                <w:highlight w:val="none"/>
                <w:lang w:val="en-US" w:eastAsia="zh-CN"/>
              </w:rPr>
              <w:t>项目编号</w:t>
            </w:r>
            <w:r>
              <w:rPr>
                <w:rFonts w:hint="eastAsia" w:ascii="宋体" w:hAnsi="宋体" w:eastAsia="宋体" w:cs="宋体"/>
                <w:color w:val="000000"/>
                <w:sz w:val="21"/>
                <w:szCs w:val="21"/>
                <w:highlight w:val="none"/>
                <w:lang w:val="en-US" w:eastAsia="zh-CN"/>
              </w:rPr>
              <w:t>、</w:t>
            </w: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供应商的地址、、联系人、联系电话等。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eastAsia="zh-CN"/>
              </w:rPr>
              <w:t>投标</w:t>
            </w:r>
            <w:r>
              <w:rPr>
                <w:rFonts w:hint="eastAsia" w:ascii="宋体" w:hAnsi="宋体" w:eastAsia="宋体" w:cs="宋体"/>
                <w:b/>
                <w:bCs w:val="0"/>
                <w:color w:val="auto"/>
                <w:sz w:val="21"/>
                <w:szCs w:val="21"/>
                <w:highlight w:val="none"/>
              </w:rPr>
              <w:t>保证金</w:t>
            </w:r>
          </w:p>
        </w:tc>
        <w:tc>
          <w:tcPr>
            <w:tcW w:w="6583"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保证金：</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缴纳方式：电汇、网银转账</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金额（小写）：</w:t>
            </w:r>
            <w:r>
              <w:rPr>
                <w:rFonts w:hint="eastAsia" w:ascii="宋体" w:hAnsi="宋体" w:cs="宋体"/>
                <w:b w:val="0"/>
                <w:bCs/>
                <w:color w:val="auto"/>
                <w:sz w:val="21"/>
                <w:szCs w:val="21"/>
                <w:highlight w:val="none"/>
                <w:lang w:val="en-US" w:eastAsia="zh-CN"/>
              </w:rPr>
              <w:t>1440</w:t>
            </w:r>
            <w:r>
              <w:rPr>
                <w:rFonts w:hint="eastAsia" w:ascii="宋体" w:hAnsi="宋体" w:eastAsia="宋体" w:cs="宋体"/>
                <w:b w:val="0"/>
                <w:bCs/>
                <w:color w:val="auto"/>
                <w:sz w:val="21"/>
                <w:szCs w:val="21"/>
                <w:highlight w:val="none"/>
                <w:lang w:val="en-US" w:eastAsia="zh-CN"/>
              </w:rPr>
              <w:t>.00</w:t>
            </w:r>
            <w:r>
              <w:rPr>
                <w:rFonts w:hint="eastAsia" w:ascii="宋体" w:hAnsi="宋体" w:eastAsia="宋体" w:cs="宋体"/>
                <w:b w:val="0"/>
                <w:bCs/>
                <w:color w:val="auto"/>
                <w:sz w:val="21"/>
                <w:szCs w:val="21"/>
                <w:highlight w:val="none"/>
              </w:rPr>
              <w:t xml:space="preserve">元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金额（大写）：</w:t>
            </w:r>
            <w:r>
              <w:rPr>
                <w:rFonts w:hint="eastAsia" w:ascii="宋体" w:hAnsi="宋体" w:cs="宋体"/>
                <w:b w:val="0"/>
                <w:bCs/>
                <w:color w:val="auto"/>
                <w:sz w:val="21"/>
                <w:szCs w:val="21"/>
                <w:highlight w:val="none"/>
                <w:lang w:val="en-US" w:eastAsia="zh-CN"/>
              </w:rPr>
              <w:t>壹仟肆佰肆拾</w:t>
            </w:r>
            <w:r>
              <w:rPr>
                <w:rFonts w:hint="eastAsia" w:ascii="宋体" w:hAnsi="宋体" w:eastAsia="宋体" w:cs="宋体"/>
                <w:b w:val="0"/>
                <w:bCs/>
                <w:color w:val="auto"/>
                <w:sz w:val="21"/>
                <w:szCs w:val="21"/>
                <w:highlight w:val="none"/>
                <w:lang w:val="en-US" w:eastAsia="zh-CN"/>
              </w:rPr>
              <w:t>元整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备注项目</w:t>
            </w:r>
            <w:r>
              <w:rPr>
                <w:rFonts w:hint="eastAsia" w:ascii="宋体" w:hAnsi="宋体" w:eastAsia="宋体" w:cs="宋体"/>
                <w:b w:val="0"/>
                <w:bCs/>
                <w:color w:val="auto"/>
                <w:sz w:val="21"/>
                <w:szCs w:val="21"/>
                <w:highlight w:val="none"/>
                <w:lang w:eastAsia="zh-CN"/>
              </w:rPr>
              <w:t>编号、项目</w:t>
            </w:r>
            <w:r>
              <w:rPr>
                <w:rFonts w:hint="eastAsia" w:ascii="宋体" w:hAnsi="宋体" w:eastAsia="宋体" w:cs="宋体"/>
                <w:b w:val="0"/>
                <w:bCs/>
                <w:color w:val="auto"/>
                <w:sz w:val="21"/>
                <w:szCs w:val="21"/>
                <w:highlight w:val="none"/>
              </w:rPr>
              <w:t xml:space="preserve">名称 </w:t>
            </w:r>
            <w:r>
              <w:rPr>
                <w:rFonts w:hint="eastAsia" w:ascii="宋体" w:hAnsi="宋体" w:eastAsia="宋体" w:cs="宋体"/>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收款单位：</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开户名称：</w:t>
            </w:r>
            <w:r>
              <w:rPr>
                <w:rFonts w:hint="eastAsia" w:ascii="宋体" w:hAnsi="宋体" w:eastAsia="宋体" w:cs="宋体"/>
                <w:b w:val="0"/>
                <w:bCs/>
                <w:color w:val="auto"/>
                <w:sz w:val="21"/>
                <w:szCs w:val="21"/>
                <w:highlight w:val="none"/>
                <w:lang w:eastAsia="zh-CN"/>
              </w:rPr>
              <w:t>宏业国际项目管理有限公司新疆分公司</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开户行：</w:t>
            </w:r>
            <w:r>
              <w:rPr>
                <w:rFonts w:hint="eastAsia" w:ascii="宋体" w:hAnsi="宋体" w:eastAsia="宋体" w:cs="宋体"/>
                <w:b w:val="0"/>
                <w:bCs/>
                <w:color w:val="auto"/>
                <w:sz w:val="21"/>
                <w:szCs w:val="21"/>
                <w:highlight w:val="none"/>
                <w:lang w:eastAsia="zh-CN"/>
              </w:rPr>
              <w:t>交通银行股份有限公司乌鲁木齐大西门支行</w:t>
            </w:r>
            <w:r>
              <w:rPr>
                <w:rFonts w:hint="eastAsia" w:ascii="宋体" w:hAnsi="宋体" w:eastAsia="宋体" w:cs="宋体"/>
                <w:b w:val="0"/>
                <w:bCs/>
                <w:color w:val="auto"/>
                <w:sz w:val="21"/>
                <w:szCs w:val="21"/>
                <w:highlight w:val="non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账   号：</w:t>
            </w:r>
            <w:r>
              <w:rPr>
                <w:rFonts w:hint="eastAsia" w:ascii="宋体" w:hAnsi="宋体" w:eastAsia="宋体" w:cs="宋体"/>
                <w:b w:val="0"/>
                <w:bCs/>
                <w:color w:val="auto"/>
                <w:sz w:val="21"/>
                <w:szCs w:val="21"/>
                <w:highlight w:val="none"/>
                <w:lang w:val="en-US" w:eastAsia="zh-CN"/>
              </w:rPr>
              <w:t>6516 5100 1013 0007 14104</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必须</w:t>
            </w:r>
            <w:r>
              <w:rPr>
                <w:rFonts w:hint="eastAsia" w:ascii="宋体" w:hAnsi="宋体" w:eastAsia="宋体" w:cs="宋体"/>
                <w:b w:val="0"/>
                <w:bCs/>
                <w:color w:val="auto"/>
                <w:sz w:val="21"/>
                <w:szCs w:val="21"/>
                <w:highlight w:val="none"/>
                <w:lang w:eastAsia="zh-CN"/>
              </w:rPr>
              <w:t>投标截止时间前</w:t>
            </w:r>
            <w:r>
              <w:rPr>
                <w:rFonts w:hint="eastAsia" w:ascii="宋体" w:hAnsi="宋体" w:eastAsia="宋体" w:cs="宋体"/>
                <w:b w:val="0"/>
                <w:bCs/>
                <w:color w:val="auto"/>
                <w:sz w:val="21"/>
                <w:szCs w:val="21"/>
                <w:highlight w:val="none"/>
              </w:rPr>
              <w:t>完成保证金缴纳工作。</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需自行评估因异地、跨行、公休日等因素造成的投标保证金到账延迟风险，并承担相应责任。</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(2)投标保证金的提交以保证金账户到账时间为准。</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(3)标书内须放置投标保证金缴纳凭证。</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履约保证金</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约保证金金额：合同金额的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履约保证金递交：中标单位收到《</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通知书》</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签订合同</w:t>
            </w:r>
            <w:r>
              <w:rPr>
                <w:rFonts w:hint="eastAsia" w:ascii="宋体" w:hAnsi="宋体" w:eastAsia="宋体" w:cs="宋体"/>
                <w:b w:val="0"/>
                <w:bCs/>
                <w:color w:val="auto"/>
                <w:sz w:val="21"/>
                <w:szCs w:val="21"/>
                <w:highlight w:val="none"/>
                <w:lang w:val="en-US" w:eastAsia="zh-CN"/>
              </w:rPr>
              <w:t>前</w:t>
            </w:r>
            <w:r>
              <w:rPr>
                <w:rFonts w:hint="eastAsia" w:ascii="宋体" w:hAnsi="宋体" w:eastAsia="宋体" w:cs="宋体"/>
                <w:b w:val="0"/>
                <w:bCs/>
                <w:color w:val="auto"/>
                <w:sz w:val="21"/>
                <w:szCs w:val="21"/>
                <w:highlight w:val="none"/>
              </w:rPr>
              <w:t>缴纳</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履约保证金形式：银行转账形式（中标单位未按</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文件规定缴纳履约保证金的，其投标保证金将不予退还）</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zh-CN"/>
              </w:rPr>
              <w:t>履约保证金（质保金）退还：（1）履约保证金的有效期为该项目</w:t>
            </w:r>
            <w:r>
              <w:rPr>
                <w:rFonts w:hint="eastAsia" w:ascii="宋体" w:hAnsi="宋体" w:eastAsia="宋体" w:cs="宋体"/>
                <w:b w:val="0"/>
                <w:bCs/>
                <w:color w:val="auto"/>
                <w:sz w:val="21"/>
                <w:szCs w:val="21"/>
                <w:highlight w:val="none"/>
                <w:lang w:val="en-US" w:eastAsia="zh-CN"/>
              </w:rPr>
              <w:t>完成供货且通过采购人组织的项目验收</w:t>
            </w:r>
            <w:r>
              <w:rPr>
                <w:rFonts w:hint="eastAsia" w:ascii="宋体" w:hAnsi="宋体" w:eastAsia="宋体" w:cs="宋体"/>
                <w:b w:val="0"/>
                <w:bCs/>
                <w:color w:val="auto"/>
                <w:sz w:val="21"/>
                <w:szCs w:val="21"/>
                <w:highlight w:val="none"/>
                <w:lang w:val="zh-CN"/>
              </w:rPr>
              <w:t>止。（2）供应商在</w:t>
            </w:r>
            <w:r>
              <w:rPr>
                <w:rFonts w:hint="eastAsia" w:ascii="宋体" w:hAnsi="宋体" w:eastAsia="宋体" w:cs="宋体"/>
                <w:b w:val="0"/>
                <w:bCs/>
                <w:color w:val="auto"/>
                <w:sz w:val="21"/>
                <w:szCs w:val="21"/>
                <w:highlight w:val="none"/>
                <w:lang w:val="en-US" w:eastAsia="zh-CN"/>
              </w:rPr>
              <w:t>产品</w:t>
            </w:r>
            <w:r>
              <w:rPr>
                <w:rFonts w:hint="eastAsia" w:ascii="宋体" w:hAnsi="宋体" w:eastAsia="宋体" w:cs="宋体"/>
                <w:b w:val="0"/>
                <w:bCs/>
                <w:color w:val="auto"/>
                <w:sz w:val="21"/>
                <w:szCs w:val="21"/>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代理服务费</w:t>
            </w:r>
          </w:p>
        </w:tc>
        <w:tc>
          <w:tcPr>
            <w:tcW w:w="6583"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本项目招标代理服务费根据发改价格[2011]534 号及计价格[2002]1980 号文件计算的招标代理服务收费标准</w:t>
            </w:r>
            <w:r>
              <w:rPr>
                <w:rFonts w:hint="eastAsia" w:ascii="宋体" w:hAnsi="宋体" w:eastAsia="宋体" w:cs="宋体"/>
                <w:b w:val="0"/>
                <w:bCs/>
                <w:color w:val="auto"/>
                <w:sz w:val="21"/>
                <w:szCs w:val="21"/>
                <w:highlight w:val="none"/>
                <w:lang w:eastAsia="zh-CN"/>
              </w:rPr>
              <w:t>收取</w:t>
            </w:r>
            <w:r>
              <w:rPr>
                <w:rFonts w:hint="eastAsia" w:ascii="宋体" w:hAnsi="宋体" w:eastAsia="宋体" w:cs="宋体"/>
                <w:b w:val="0"/>
                <w:bCs/>
                <w:color w:val="auto"/>
                <w:sz w:val="21"/>
                <w:szCs w:val="21"/>
                <w:highlight w:val="none"/>
              </w:rPr>
              <w:t>。由中标</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29</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中小微型企业</w:t>
            </w:r>
          </w:p>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有关政策</w:t>
            </w:r>
          </w:p>
        </w:tc>
        <w:tc>
          <w:tcPr>
            <w:tcW w:w="6583" w:type="dxa"/>
            <w:noWrap w:val="0"/>
            <w:vAlign w:val="center"/>
          </w:tcPr>
          <w:p>
            <w:pPr>
              <w:pageBreakBefore w:val="0"/>
              <w:numPr>
                <w:ilvl w:val="0"/>
                <w:numId w:val="1"/>
              </w:numPr>
              <w:kinsoku/>
              <w:topLinePunct w:val="0"/>
              <w:bidi w:val="0"/>
              <w:spacing w:line="400" w:lineRule="exact"/>
              <w:ind w:left="0" w:leftChars="0" w:firstLine="0" w:firstLineChars="0"/>
              <w:rPr>
                <w:rStyle w:val="118"/>
                <w:rFonts w:hint="eastAsia" w:ascii="宋体" w:hAnsi="宋体" w:eastAsia="宋体" w:cs="宋体"/>
                <w:b w:val="0"/>
                <w:bCs/>
                <w:color w:val="auto"/>
                <w:sz w:val="21"/>
                <w:szCs w:val="21"/>
                <w:highlight w:val="none"/>
              </w:rPr>
            </w:pPr>
            <w:r>
              <w:rPr>
                <w:rStyle w:val="118"/>
                <w:rFonts w:hint="eastAsia" w:ascii="宋体" w:hAnsi="宋体" w:eastAsia="宋体" w:cs="宋体"/>
                <w:b w:val="0"/>
                <w:bCs/>
                <w:color w:val="auto"/>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numPr>
                <w:ilvl w:val="0"/>
                <w:numId w:val="0"/>
              </w:numPr>
              <w:kinsoku/>
              <w:topLinePunct w:val="0"/>
              <w:bidi w:val="0"/>
              <w:spacing w:line="400" w:lineRule="exact"/>
              <w:ind w:leftChars="0"/>
              <w:rPr>
                <w:rFonts w:hint="eastAsia" w:ascii="宋体" w:hAnsi="宋体" w:eastAsia="宋体" w:cs="宋体"/>
                <w:b w:val="0"/>
                <w:bCs/>
                <w:color w:val="auto"/>
                <w:kern w:val="2"/>
                <w:sz w:val="21"/>
                <w:szCs w:val="21"/>
                <w:highlight w:val="none"/>
                <w:lang w:val="en-US" w:eastAsia="zh-CN" w:bidi="ar-SA"/>
              </w:rPr>
            </w:pPr>
            <w:r>
              <w:rPr>
                <w:rStyle w:val="118"/>
                <w:rFonts w:hint="eastAsia" w:ascii="宋体" w:hAnsi="宋体" w:eastAsia="宋体" w:cs="宋体"/>
                <w:b w:val="0"/>
                <w:bCs/>
                <w:color w:val="auto"/>
                <w:sz w:val="21"/>
                <w:szCs w:val="21"/>
                <w:highlight w:val="none"/>
              </w:rPr>
              <w:t>价格扣除幅度：价格给予6 %的扣除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30</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封套上应载明的信息</w:t>
            </w:r>
          </w:p>
        </w:tc>
        <w:tc>
          <w:tcPr>
            <w:tcW w:w="6583"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项目编号：</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供应商地址：</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联系人：</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sz w:val="21"/>
                <w:szCs w:val="21"/>
                <w:highlight w:val="none"/>
              </w:rPr>
              <w:t>在</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日</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时</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宋体" w:hAnsi="宋体" w:eastAsia="宋体" w:cs="宋体"/>
                <w:b w:val="0"/>
                <w:bCs/>
                <w:color w:val="auto"/>
                <w:sz w:val="21"/>
                <w:szCs w:val="21"/>
                <w:highlight w:val="none"/>
              </w:rPr>
            </w:pPr>
            <w:r>
              <w:rPr>
                <w:rFonts w:hint="eastAsia" w:ascii="宋体" w:hAnsi="宋体" w:cs="宋体"/>
                <w:szCs w:val="21"/>
              </w:rPr>
              <w:t>需要补充的其他内容</w:t>
            </w:r>
          </w:p>
        </w:tc>
        <w:tc>
          <w:tcPr>
            <w:tcW w:w="6583" w:type="dxa"/>
            <w:noWrap w:val="0"/>
            <w:vAlign w:val="center"/>
          </w:tcPr>
          <w:p>
            <w:pPr>
              <w:autoSpaceDE w:val="0"/>
              <w:autoSpaceDN w:val="0"/>
              <w:spacing w:line="36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、本项目投标应以人民币报价；</w:t>
            </w:r>
          </w:p>
          <w:p>
            <w:pPr>
              <w:autoSpaceDE w:val="0"/>
              <w:autoSpaceDN w:val="0"/>
              <w:spacing w:line="360" w:lineRule="auto"/>
              <w:rPr>
                <w:rFonts w:hint="eastAsia" w:ascii="宋体" w:hAnsi="宋体" w:eastAsia="宋体" w:cs="宋体"/>
                <w:b w:val="0"/>
                <w:bCs/>
                <w:color w:val="auto"/>
                <w:sz w:val="21"/>
                <w:szCs w:val="21"/>
                <w:highlight w:val="none"/>
              </w:rPr>
            </w:pPr>
            <w:r>
              <w:rPr>
                <w:rFonts w:hint="eastAsia" w:ascii="宋体" w:hAnsi="宋体" w:cs="宋体"/>
                <w:szCs w:val="21"/>
              </w:rPr>
              <w:t>2、不论投标结果如何，投标人均应自行承担所有与投标有关的全部费用</w:t>
            </w:r>
            <w:r>
              <w:rPr>
                <w:rFonts w:hint="eastAsia" w:ascii="宋体" w:hAnsi="宋体" w:cs="宋体"/>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宋体" w:hAnsi="宋体" w:cs="宋体"/>
                <w:szCs w:val="21"/>
              </w:rPr>
            </w:pPr>
            <w:r>
              <w:rPr>
                <w:rFonts w:hint="eastAsia" w:ascii="宋体" w:hAnsi="宋体" w:cs="宋体"/>
                <w:szCs w:val="21"/>
              </w:rPr>
              <w:t>备注</w:t>
            </w:r>
          </w:p>
        </w:tc>
        <w:tc>
          <w:tcPr>
            <w:tcW w:w="6583" w:type="dxa"/>
            <w:noWrap w:val="0"/>
            <w:vAlign w:val="center"/>
          </w:tcPr>
          <w:p>
            <w:pPr>
              <w:autoSpaceDE w:val="0"/>
              <w:autoSpaceDN w:val="0"/>
              <w:spacing w:line="360" w:lineRule="auto"/>
              <w:rPr>
                <w:rFonts w:ascii="宋体" w:hAnsi="宋体"/>
                <w:b/>
                <w:bCs/>
                <w:szCs w:val="21"/>
              </w:rPr>
            </w:pPr>
            <w:r>
              <w:rPr>
                <w:rFonts w:hint="eastAsia" w:ascii="宋体" w:hAnsi="宋体" w:eastAsia="宋体" w:cs="Times New Roman"/>
                <w:b/>
                <w:bCs/>
                <w:szCs w:val="21"/>
                <w:lang w:val="en-US" w:eastAsia="zh-CN"/>
              </w:rPr>
              <w:t>1、</w:t>
            </w:r>
            <w:r>
              <w:rPr>
                <w:rFonts w:hint="eastAsia" w:ascii="宋体" w:hAnsi="宋体"/>
                <w:b/>
                <w:bCs/>
                <w:szCs w:val="21"/>
              </w:rPr>
              <w:t>为保证本项目质量，良好的售后服务，最低报价不作为中标的唯一依据。</w:t>
            </w:r>
          </w:p>
          <w:p>
            <w:pPr>
              <w:autoSpaceDE w:val="0"/>
              <w:autoSpaceDN w:val="0"/>
              <w:spacing w:line="360" w:lineRule="auto"/>
              <w:rPr>
                <w:rFonts w:hint="eastAsia" w:ascii="宋体" w:hAnsi="宋体" w:cs="宋体"/>
                <w:color w:val="0070C0"/>
                <w:szCs w:val="21"/>
              </w:rPr>
            </w:pPr>
            <w:r>
              <w:rPr>
                <w:rFonts w:hint="eastAsia" w:ascii="宋体" w:hAnsi="宋体"/>
                <w:szCs w:val="21"/>
                <w:lang w:val="en-US" w:eastAsia="zh-CN"/>
              </w:rPr>
              <w:t>2、</w:t>
            </w:r>
            <w:r>
              <w:rPr>
                <w:rFonts w:hint="eastAsia" w:ascii="宋体" w:hAnsi="宋体"/>
                <w:szCs w:val="21"/>
              </w:rPr>
              <w:t>采购人若发现成交候选</w:t>
            </w:r>
            <w:r>
              <w:rPr>
                <w:rFonts w:hint="eastAsia" w:ascii="宋体" w:hAnsi="宋体"/>
                <w:bCs/>
                <w:szCs w:val="21"/>
              </w:rPr>
              <w:t>供应商</w:t>
            </w:r>
            <w:r>
              <w:rPr>
                <w:rFonts w:hint="eastAsia" w:ascii="宋体" w:hAnsi="宋体"/>
                <w:szCs w:val="21"/>
              </w:rPr>
              <w:t>在竞标过程中提供虚假证明文件，故意隐瞒公司不良信誉和财务状况，以及存在可能对合同圆满履行造成风险的其他因素等，则按规定取消其成交资格，监管部门依法进行处理。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66" w:type="dxa"/>
            <w:noWrap w:val="0"/>
            <w:vAlign w:val="center"/>
          </w:tcPr>
          <w:p>
            <w:pPr>
              <w:pStyle w:val="13"/>
              <w:pageBreakBefore w:val="0"/>
              <w:kinsoku/>
              <w:topLinePunct w:val="0"/>
              <w:bidi w:val="0"/>
              <w:spacing w:line="400" w:lineRule="exact"/>
              <w:ind w:left="0" w:leftChars="0" w:firstLine="0" w:firstLineChars="0"/>
              <w:contextualSpacing/>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注意</w:t>
            </w:r>
          </w:p>
          <w:p>
            <w:pPr>
              <w:pStyle w:val="13"/>
              <w:pageBreakBefore w:val="0"/>
              <w:kinsoku/>
              <w:topLinePunct w:val="0"/>
              <w:bidi w:val="0"/>
              <w:spacing w:line="400" w:lineRule="exact"/>
              <w:ind w:left="0" w:leftChars="0" w:firstLine="0" w:firstLineChars="0"/>
              <w:contextualSpacing/>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事项</w:t>
            </w:r>
          </w:p>
        </w:tc>
        <w:tc>
          <w:tcPr>
            <w:tcW w:w="8933" w:type="dxa"/>
            <w:gridSpan w:val="2"/>
            <w:noWrap w:val="0"/>
            <w:vAlign w:val="center"/>
          </w:tcPr>
          <w:p>
            <w:pPr>
              <w:pStyle w:val="13"/>
              <w:pageBreakBefore w:val="0"/>
              <w:kinsoku/>
              <w:topLinePunct w:val="0"/>
              <w:bidi w:val="0"/>
              <w:spacing w:line="400" w:lineRule="exact"/>
              <w:ind w:left="0" w:leftChars="0" w:firstLine="0" w:firstLineChars="0"/>
              <w:contextualSpacing/>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各供应商应在本项目采购公告发布之日起到响应文件递交截止时间期间，通过“信用中国”网站（</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"qq://txfile/"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www.creditchina.gov.cn</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）、中国政府采购网（</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"qq://txfile/"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www.ccgp.gov.cn</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w:t>
            </w:r>
          </w:p>
        </w:tc>
        <w:tc>
          <w:tcPr>
            <w:tcW w:w="8933" w:type="dxa"/>
            <w:gridSpan w:val="2"/>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品牌产品参加投标处理办法：</w:t>
            </w:r>
          </w:p>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6"/>
              <w:pageBreakBefore w:val="0"/>
              <w:kinsoku/>
              <w:topLinePunct w:val="0"/>
              <w:bidi w:val="0"/>
              <w:spacing w:before="0"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非单一产品采购项目，采购人应当根据采购项目技术构成、产品价格比重等合理确定核心产品，并在招标文件中载明。多家投标人提供的核心产品品牌相同的，按前款规定处理。</w:t>
            </w:r>
          </w:p>
          <w:p>
            <w:pPr>
              <w:pageBreakBefore w:val="0"/>
              <w:kinsoku/>
              <w:topLinePunct w:val="0"/>
              <w:bidi w:val="0"/>
              <w:snapToGrid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特别说明：</w:t>
            </w:r>
          </w:p>
          <w:p>
            <w:pPr>
              <w:pageBreakBefore w:val="0"/>
              <w:kinsoku/>
              <w:topLinePunct w:val="0"/>
              <w:bidi w:val="0"/>
              <w:snapToGrid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1.为保证本项目质量，良好的售后服务，最低报价不作为中标的唯一依据。</w:t>
            </w:r>
          </w:p>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bl>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Style w:val="33"/>
        <w:pageBreakBefore w:val="0"/>
        <w:kinsoku/>
        <w:topLinePunct w:val="0"/>
        <w:bidi w:val="0"/>
        <w:spacing w:line="400" w:lineRule="exact"/>
        <w:ind w:left="0" w:leftChars="0" w:firstLine="0" w:firstLineChars="0"/>
        <w:rPr>
          <w:rFonts w:hint="eastAsia" w:ascii="宋体" w:hAnsi="宋体" w:eastAsia="宋体" w:cs="宋体"/>
          <w:sz w:val="21"/>
          <w:szCs w:val="21"/>
        </w:rPr>
      </w:pPr>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br w:type="page"/>
      </w:r>
      <w:bookmarkStart w:id="17" w:name="_Toc267301282"/>
      <w:bookmarkStart w:id="18" w:name="_Toc462223632"/>
      <w:bookmarkStart w:id="19" w:name="_Toc298240405"/>
      <w:bookmarkStart w:id="20" w:name="_Toc349637920"/>
      <w:bookmarkStart w:id="21" w:name="_Toc349573121"/>
      <w:r>
        <w:rPr>
          <w:rFonts w:hint="eastAsia" w:ascii="宋体" w:hAnsi="宋体" w:eastAsia="宋体" w:cs="宋体"/>
          <w:sz w:val="21"/>
          <w:szCs w:val="21"/>
        </w:rPr>
        <w:t>（一）说　明</w:t>
      </w:r>
      <w:bookmarkEnd w:id="17"/>
      <w:bookmarkEnd w:id="18"/>
      <w:bookmarkEnd w:id="19"/>
      <w:bookmarkEnd w:id="20"/>
      <w:bookmarkEnd w:id="21"/>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1、适用范围</w:t>
      </w:r>
    </w:p>
    <w:p>
      <w:pPr>
        <w:pageBreakBefore w:val="0"/>
        <w:tabs>
          <w:tab w:val="left" w:pos="360"/>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1.1本磋商文件仅适用于本次磋商邀请中所叙述项目的货物及服务采购。</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2、定义</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sz w:val="21"/>
          <w:szCs w:val="21"/>
        </w:rPr>
        <w:t>2.</w:t>
      </w:r>
      <w:r>
        <w:rPr>
          <w:rFonts w:hint="eastAsia" w:ascii="宋体" w:hAnsi="宋体" w:eastAsia="宋体" w:cs="宋体"/>
          <w:color w:val="000000"/>
          <w:sz w:val="21"/>
          <w:szCs w:val="21"/>
        </w:rPr>
        <w:t>1 “招标代理机构”系指宏业国际项目管理有限公司；</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2.2 “需方”系指</w:t>
      </w:r>
      <w:r>
        <w:rPr>
          <w:rFonts w:hint="eastAsia" w:ascii="宋体" w:hAnsi="宋体" w:eastAsia="宋体" w:cs="宋体"/>
          <w:color w:val="000000"/>
          <w:sz w:val="21"/>
          <w:szCs w:val="21"/>
          <w:lang w:eastAsia="zh-CN"/>
        </w:rPr>
        <w:t>新疆维吾尔自治区第一测绘院</w:t>
      </w:r>
      <w:r>
        <w:rPr>
          <w:rFonts w:hint="eastAsia" w:ascii="宋体" w:hAnsi="宋体" w:eastAsia="宋体" w:cs="宋体"/>
          <w:color w:val="000000"/>
          <w:sz w:val="21"/>
          <w:szCs w:val="21"/>
        </w:rPr>
        <w:t>；</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2.3 “磋商供应商”系指向招标代理机构提交磋商响应性文件的制造商或代理商；</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2.4 “成交方”系指在本次磋商中成交，将被授予合同的供应商，即成为“成交方”。</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3、合格的供应商</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3.1 有能力提供磋商文件中所要求的货物及服务、资格审查合格的制造商或代理商为合格的供应商；</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3.2 供应商必须遵守有关的国内法律和规章条例。</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4、供应商资格</w:t>
      </w:r>
    </w:p>
    <w:p>
      <w:pPr>
        <w:pStyle w:val="31"/>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color w:val="000000"/>
          <w:sz w:val="21"/>
          <w:szCs w:val="21"/>
        </w:rPr>
        <w:t>4.1落实政府采购政策需满足的资格要求：详见政府采购法；</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4.2供应商须符合《中华人民共和国政府采购法》第二十二条规定,并提供《中华人民共和国政府采购法实施条例》第十七条所要求的材料；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① 供应商提供有效的统一社会信用代码的营业执照，供应商必须是中华人民共和国境内注册的，具有独立承担民事责任的能力；</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② 财务状况报告：供应商提供2020年度经第三方权威机构出具的完整的财务审计报告或自发布公告之日起基本开户银行出具的资信证明；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③ 依法缴纳税收：供应商提供自投标截止之日前半年内任意一个月依法缴纳税收的凭据，依法免税的供应商，应提供充足的证明材料；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④ 依法缴纳社保：供应商提供自投标截止之日前半年内任意一个月依法缴纳社会保障资金的凭据；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⑤ 供应商具备履行合同所必需的设备和专业技术能力的证明材料；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⑥ 供应商提供参加政府采购活动前 3 年内在经营活动中没有重大违法记录的书面声明（截至开标日成立不满 3 年的供应商，可提供自成立以来无重大违法记录的书面声明）。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4.3供应商提供法人授权委托书及被授权人身份证原件；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4.5本项目不接受联合体投标；</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4.6单位负责人为同一人或者存在直接控股、管理关系的不同投标人，不得同时参加本项目的竞争。 </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5、磋商费用</w:t>
      </w:r>
    </w:p>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5.1 无论磋商过程中的作法和结果如何，供应商将自行承担所有与参加磋商有关的全部费用。</w:t>
      </w:r>
      <w:bookmarkStart w:id="22" w:name="_Toc349637921"/>
      <w:bookmarkStart w:id="23" w:name="_Toc298240406"/>
      <w:bookmarkStart w:id="24" w:name="_Toc349573122"/>
      <w:bookmarkStart w:id="25" w:name="_Toc267301283"/>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26" w:name="_Toc462223633"/>
      <w:r>
        <w:rPr>
          <w:rFonts w:hint="eastAsia" w:ascii="宋体" w:hAnsi="宋体" w:eastAsia="宋体" w:cs="宋体"/>
          <w:sz w:val="21"/>
          <w:szCs w:val="21"/>
        </w:rPr>
        <w:t>（二）磋商文件</w:t>
      </w:r>
      <w:bookmarkEnd w:id="22"/>
      <w:bookmarkEnd w:id="23"/>
      <w:bookmarkEnd w:id="24"/>
      <w:bookmarkEnd w:id="25"/>
      <w:bookmarkEnd w:id="26"/>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6、磋商文件构成</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6.1磋商文件包括：</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⑴磋商公告；</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⑵供应商须知；</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⑶项目需求；</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⑷合同条款；</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⑸附件。</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highlight w:val="none"/>
        </w:rPr>
        <w:t>6.2 磋商文</w:t>
      </w:r>
      <w:r>
        <w:rPr>
          <w:rFonts w:hint="eastAsia" w:ascii="宋体" w:hAnsi="宋体" w:eastAsia="宋体" w:cs="宋体"/>
          <w:sz w:val="21"/>
          <w:szCs w:val="21"/>
        </w:rPr>
        <w:t>件以中文编写。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7、磋商文件澄清</w:t>
      </w: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7.1 供应商对磋商文件有疑问的，可以向招标代理机构提出询问，招标代理机构将及时做出答复；</w:t>
      </w: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7.2 供应商对磋商文件有质疑，须在磋商响应文件递交截止时间3日以前，以书面形式向招标机构提出质疑；招标机构在收到书面质疑后尽快做出答复，并以书面形式通知质疑供应商。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8、磋商文件的修改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8.1 对磋商文件进行必要的修改，招标代理机构将在投标截止时间2日前以书面形式通知所有购买磋商文件的供应商。该修改的内容为磋商文件的组成部分；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8.2 供应商在规定的时间内未对磋商文件提出澄清要求的，招标代理机构将视其为同意。</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8.3在投标截止时间前，招标机构可视具体情况延长磋商截止时间，并将变更时间书面通知所有购买磋商文件的供应商。</w:t>
      </w:r>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27" w:name="_Toc298240407"/>
      <w:bookmarkStart w:id="28" w:name="_Toc267301284"/>
      <w:bookmarkStart w:id="29" w:name="_Toc462223634"/>
      <w:bookmarkStart w:id="30" w:name="_Toc349573123"/>
      <w:bookmarkStart w:id="31" w:name="_Toc349637922"/>
      <w:r>
        <w:rPr>
          <w:rFonts w:hint="eastAsia" w:ascii="宋体" w:hAnsi="宋体" w:eastAsia="宋体" w:cs="宋体"/>
          <w:sz w:val="21"/>
          <w:szCs w:val="21"/>
        </w:rPr>
        <w:t>（三）磋商响应性文件的编写</w:t>
      </w:r>
      <w:bookmarkEnd w:id="27"/>
      <w:bookmarkEnd w:id="28"/>
      <w:bookmarkEnd w:id="29"/>
      <w:bookmarkEnd w:id="30"/>
      <w:bookmarkEnd w:id="31"/>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9.1 供应商应仔细阅读磋商文件的所有内容，按磋商文件的要求提供磋商响应性文件，并保证所提供的全部资料的真实性，以使其磋商响应对磋商文件作出实质性响应，否则，其磋商可能被拒绝。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10、磋商语言</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10.1磋商响应性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11、磋商响应性文件的构成</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11.1 供应商编写的磋商响应性文件应包括下列内容：</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1）磋 商 响 应 函</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2）法定代表人身份证明</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3）法定代表人授权委托书</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4）磋商报价表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5）商务偏离表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6）技术偏离表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7）公司业绩一览表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8）优惠条件承诺书</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9）售后服务承诺</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10） 无重大违法记录声明</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11)供应商反商业贿赂承诺书</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12）中小微企业证明文件等（如有）</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13）投标人认为有必要提交的其他相关证明材料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11.2供应商应将磋商响应性文件装订成册，并填写文件资料清单。</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12、磋商响应文件格式</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12.1 供应商应按磋商文件的范本格式中提供的文件格式填写。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13、磋商报价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13.1 供应商应在磋商报价表上标明单价和总价。单价和总价要相符。小写和大写要相符。供应商应在磋商报价表中标明其提供的所有服务及其相关工作范围内所有费用的总价，不接受有任何选择性磋商报价。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13.2算术性修正。算术性修正是指对磋商响应文件的报价明细进行校核，并对其算术上和运算上的差错给予修正。修正的原则如下：</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13.2.1 当以数字表示的金额与文字表示的金额有差异时，以文字表示的金额为准；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13.2.2 当单价与数量相乘不等于合价时，以单价计算为准。如果单价有明显的小数点位置差错，应以标出的合价为准，同时对单价予以修正；</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13.2.3 当各明细部分的价格累计不等于合价时，应以各明细的累计计数为准，修正合价。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13.2.4 按以上原则对算术性差错修正，应取得供应商的同意，并确认修正后最终磋商报价。如果供应商拒绝确认，则其磋商响应文件将不予以评审并按废标处理，没收其投标担保。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14、投标货币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14.1人民币报价。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15、供应商的证明文件：</w:t>
      </w:r>
    </w:p>
    <w:p>
      <w:pPr>
        <w:pageBreakBefore w:val="0"/>
        <w:kinsoku/>
        <w:topLinePunct w:val="0"/>
        <w:bidi w:val="0"/>
        <w:spacing w:line="400" w:lineRule="exact"/>
        <w:ind w:left="0" w:leftChars="0" w:firstLine="0" w:firstLineChars="0"/>
        <w:rPr>
          <w:rFonts w:hint="eastAsia" w:ascii="宋体" w:hAnsi="宋体" w:eastAsia="宋体" w:cs="宋体"/>
          <w:spacing w:val="8"/>
          <w:sz w:val="21"/>
          <w:szCs w:val="21"/>
        </w:rPr>
      </w:pPr>
      <w:r>
        <w:rPr>
          <w:rFonts w:hint="eastAsia" w:ascii="宋体" w:hAnsi="宋体" w:eastAsia="宋体" w:cs="宋体"/>
          <w:sz w:val="21"/>
          <w:szCs w:val="21"/>
        </w:rPr>
        <w:t>供应商必须提交证明其有资格进行磋商和有能力履行合同的文件（范本格式），作为磋商响应文件的一部分。（</w:t>
      </w:r>
      <w:r>
        <w:rPr>
          <w:rFonts w:hint="eastAsia" w:ascii="宋体" w:hAnsi="宋体" w:eastAsia="宋体" w:cs="宋体"/>
          <w:spacing w:val="8"/>
          <w:sz w:val="21"/>
          <w:szCs w:val="21"/>
        </w:rPr>
        <w:t>如不满足以下条款将导致废标）</w:t>
      </w:r>
    </w:p>
    <w:p>
      <w:pPr>
        <w:pStyle w:val="31"/>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color w:val="000000"/>
          <w:sz w:val="21"/>
          <w:szCs w:val="21"/>
        </w:rPr>
        <w:t>15.1落实政府采购政策需满足的资格要求：详见政府采购法；</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15.2供应商须符合《中华人民共和国政府采购法》第二十二条规定,并提供《中华人民共和国政府采购法实施条例》第十七条所要求的材料；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① 供应商提供有效的统一社会信用代码的营业执照，供应商必须是中华人民共和国境内注册的，具有独立承担民事责任的能力；</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② 财务状况报告：供应商提供2020年度经第三方权威机构出具的完整的财务审计报告或自发布公告之日起基本开户银行出具的资信证明；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③ 依法缴纳税收：供应商提供自投标截止之日前半年内任意一个月依法缴纳税收的凭据，依法免税的供应商，应提供充足的证明材料；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④ 依法缴纳社保：供应商提供自投标截止之日前半年内任意一个月依法缴纳社会保障资金的凭据；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⑤ 供应商具备履行合同所必需的设备和专业技术能力的证明材料；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⑥ 供应商提供参加政府采购活动前 3 年内在经营活动中没有重大违法记录的书面声明（截至开标日成立不满 3 年的供应商，可提供自成立以来无重大违法记录的书面声明）。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15.3供应商提供法人授权委托书及被授权人身份证原件；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15.5本项目不接受联合体投标；</w:t>
      </w:r>
    </w:p>
    <w:p>
      <w:pPr>
        <w:pStyle w:val="31"/>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15.6单位负责人为同一人或者存在直接控股、管理关系的不同投标人，不得同时参加本项目的竞争。 </w:t>
      </w:r>
    </w:p>
    <w:p>
      <w:pPr>
        <w:pageBreakBefore w:val="0"/>
        <w:tabs>
          <w:tab w:val="left" w:pos="252"/>
          <w:tab w:val="left" w:pos="671"/>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注：（1）磋商响应性文件中，所有供应商签字、法人代表签字、法人代表授权人签字和其它签字处必须签字有效；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（2）所有资格证明文件必须满足磋商文件要求，否则将导致废标。</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16、参数符合磋商文件规定的技术要求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16.1供应商提交的成果资料符合磋商文件规定的要求，作为磋商响应文件的一部分。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17、磋商的有效期</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17.1 磋商响应文件从磋商之日起，投标有效期为60天。（如不满足将导致废标）</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17.2 在特殊情况下，招标代理机构可与供应商商量延长磋商响应文件的有效期。</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18、磋商响应性文件的书写要求。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18.1 磋商响应性文件须打印。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18.2 磋商响应性文件应清楚工整，修改处应由磋商供应商全权代表签章。</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18.3</w:t>
      </w:r>
      <w:r>
        <w:rPr>
          <w:rFonts w:hint="eastAsia" w:ascii="宋体" w:hAnsi="宋体" w:eastAsia="宋体" w:cs="宋体"/>
          <w:b/>
          <w:sz w:val="21"/>
          <w:szCs w:val="21"/>
        </w:rPr>
        <w:t>磋商响应性文件中要求由投标人法定代表人或被授权人签字的内容必须签字、盖章的内容必须盖章，否则视为无效投标。</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18.4电报、电话、传真形式的投标概不接受。</w:t>
      </w:r>
    </w:p>
    <w:p>
      <w:pPr>
        <w:pageBreakBefore w:val="0"/>
        <w:kinsoku/>
        <w:topLinePunct w:val="0"/>
        <w:bidi w:val="0"/>
        <w:spacing w:line="400" w:lineRule="exact"/>
        <w:ind w:left="0" w:leftChars="0" w:firstLine="0" w:firstLineChars="0"/>
        <w:rPr>
          <w:rFonts w:hint="eastAsia" w:ascii="宋体" w:hAnsi="宋体" w:eastAsia="宋体" w:cs="宋体"/>
          <w:bCs/>
          <w:color w:val="0000FF"/>
          <w:sz w:val="21"/>
          <w:szCs w:val="21"/>
        </w:rPr>
      </w:pPr>
      <w:r>
        <w:rPr>
          <w:rFonts w:hint="eastAsia" w:ascii="宋体" w:hAnsi="宋体" w:eastAsia="宋体" w:cs="宋体"/>
          <w:bCs/>
          <w:sz w:val="21"/>
          <w:szCs w:val="21"/>
        </w:rPr>
        <w:t>18.5磋商响应文</w:t>
      </w:r>
      <w:r>
        <w:rPr>
          <w:rFonts w:hint="eastAsia" w:ascii="宋体" w:hAnsi="宋体" w:eastAsia="宋体" w:cs="宋体"/>
          <w:sz w:val="21"/>
          <w:szCs w:val="21"/>
        </w:rPr>
        <w:t>件的份数：正本1份，副本2份，开标一览表1份，电子U盘1份，光盘</w:t>
      </w:r>
      <w:r>
        <w:rPr>
          <w:rFonts w:hint="eastAsia" w:ascii="宋体" w:hAnsi="宋体" w:eastAsia="宋体" w:cs="宋体"/>
          <w:sz w:val="21"/>
          <w:szCs w:val="21"/>
          <w:lang w:val="en-US" w:eastAsia="zh-CN"/>
        </w:rPr>
        <w:t>2</w:t>
      </w:r>
      <w:r>
        <w:rPr>
          <w:rFonts w:hint="eastAsia" w:ascii="宋体" w:hAnsi="宋体" w:eastAsia="宋体" w:cs="宋体"/>
          <w:sz w:val="21"/>
          <w:szCs w:val="21"/>
        </w:rPr>
        <w:t>份。</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19、投标保证金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19.1供应商按照供应商须知附表中要求缴纳磋商响应保证金。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19.2本次招标接受网银或电汇等非现金方式缴纳作为磋商保证金，磋商保证金有效期应当与磋商响应有效期一致。</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19.3磋商保证金的退还时间：</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19.3.1中标供应商的投标保证金，将在合同签订后的5个工作日内予以退还；未中标供应商的投标保证金在中标通知书发出后5个工作日内予以退还。</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19.4未按规定提交磋商保证金的投标，将被视为磋商无效。</w:t>
      </w:r>
    </w:p>
    <w:p>
      <w:pPr>
        <w:pStyle w:val="21"/>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19.5下列任何情况发生时，磋商保证金将被没收：</w:t>
      </w:r>
    </w:p>
    <w:p>
      <w:pPr>
        <w:pStyle w:val="21"/>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19.5.1供应商在磋商文件规定的投标有效期内撤回其磋商；</w:t>
      </w:r>
    </w:p>
    <w:p>
      <w:pPr>
        <w:pStyle w:val="21"/>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19.5.2成交方在规定期限内未能：</w:t>
      </w:r>
    </w:p>
    <w:p>
      <w:pPr>
        <w:pStyle w:val="21"/>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19.5.2.1按本须知第31条规定签订合同；</w:t>
      </w:r>
    </w:p>
    <w:p>
      <w:pPr>
        <w:pStyle w:val="21"/>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19.5.2.2按须知第32条向买方提交履约保证金；</w:t>
      </w:r>
    </w:p>
    <w:p>
      <w:pPr>
        <w:pStyle w:val="21"/>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19.5.2.3按本须知第33条规定向招标代理机构交纳代理服务费。</w:t>
      </w:r>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32" w:name="_Toc462223635"/>
      <w:bookmarkStart w:id="33" w:name="_Toc267301285"/>
      <w:bookmarkStart w:id="34" w:name="_Toc298240408"/>
      <w:bookmarkStart w:id="35" w:name="_Toc349573124"/>
      <w:bookmarkStart w:id="36" w:name="_Toc349637923"/>
      <w:r>
        <w:rPr>
          <w:rFonts w:hint="eastAsia" w:ascii="宋体" w:hAnsi="宋体" w:eastAsia="宋体" w:cs="宋体"/>
          <w:sz w:val="21"/>
          <w:szCs w:val="21"/>
        </w:rPr>
        <w:t>（四）磋商响应文件的递交</w:t>
      </w:r>
      <w:bookmarkEnd w:id="32"/>
      <w:bookmarkEnd w:id="33"/>
      <w:bookmarkEnd w:id="34"/>
      <w:bookmarkEnd w:id="35"/>
      <w:bookmarkEnd w:id="36"/>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20、磋商响应性文件的密封与标记</w:t>
      </w:r>
    </w:p>
    <w:p>
      <w:pPr>
        <w:pageBreakBefore w:val="0"/>
        <w:numPr>
          <w:ilvl w:val="0"/>
          <w:numId w:val="0"/>
        </w:numPr>
        <w:tabs>
          <w:tab w:val="left" w:pos="1080"/>
        </w:tabs>
        <w:kinsoku/>
        <w:topLinePunct w:val="0"/>
        <w:bidi w:val="0"/>
        <w:spacing w:line="400" w:lineRule="exact"/>
        <w:ind w:leftChars="0"/>
        <w:rPr>
          <w:rFonts w:hint="eastAsia" w:ascii="宋体" w:hAnsi="宋体" w:eastAsia="宋体" w:cs="宋体"/>
          <w:sz w:val="21"/>
          <w:szCs w:val="21"/>
        </w:rPr>
      </w:pPr>
      <w:r>
        <w:rPr>
          <w:rFonts w:hint="eastAsia" w:ascii="宋体" w:hAnsi="宋体" w:eastAsia="宋体" w:cs="宋体"/>
          <w:sz w:val="21"/>
          <w:szCs w:val="21"/>
        </w:rPr>
        <w:t>20.1 供应商应将磋商响应性文件正本副本、开标一览表、电子版分别密封，在每个密封件的封面上标明：</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项目编号：</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供应商地址：</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联系人：</w:t>
      </w:r>
      <w:r>
        <w:rPr>
          <w:rFonts w:hint="eastAsia" w:ascii="宋体" w:hAnsi="宋体" w:eastAsia="宋体" w:cs="宋体"/>
          <w:b w:val="0"/>
          <w:bCs/>
          <w:color w:val="auto"/>
          <w:sz w:val="21"/>
          <w:szCs w:val="21"/>
          <w:highlight w:val="none"/>
          <w:u w:val="single"/>
        </w:rPr>
        <w:t xml:space="preserve">                                   </w:t>
      </w:r>
    </w:p>
    <w:p>
      <w:pPr>
        <w:pStyle w:val="13"/>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r>
        <w:rPr>
          <w:rFonts w:hint="eastAsia" w:ascii="宋体" w:hAnsi="宋体" w:eastAsia="宋体" w:cs="宋体"/>
          <w:b w:val="0"/>
          <w:bCs/>
          <w:color w:val="auto"/>
          <w:sz w:val="21"/>
          <w:szCs w:val="21"/>
          <w:highlight w:val="none"/>
          <w:u w:val="single"/>
        </w:rPr>
        <w:t xml:space="preserve">                                 </w:t>
      </w:r>
    </w:p>
    <w:p>
      <w:pPr>
        <w:pStyle w:val="44"/>
        <w:rPr>
          <w:rFonts w:hint="eastAsia"/>
        </w:rPr>
      </w:pPr>
      <w:r>
        <w:rPr>
          <w:rFonts w:hint="eastAsia" w:ascii="宋体" w:hAnsi="宋体" w:eastAsia="宋体" w:cs="宋体"/>
          <w:b w:val="0"/>
          <w:bCs/>
          <w:color w:val="auto"/>
          <w:sz w:val="21"/>
          <w:szCs w:val="21"/>
          <w:highlight w:val="none"/>
        </w:rPr>
        <w:t>在</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日</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时</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分前不得开启</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sz w:val="21"/>
          <w:szCs w:val="21"/>
        </w:rPr>
        <w:t>20.2为方便磋商，磋商报价表单独密封，并在信封上标明“开标一览表”字样。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20.3磋商响应文件装订要求：磋商响应文件要求不得活页装订</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rPr>
        <w:t>21、磋商响应文件递交截止时间</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21.1磋商响应文件的递交截止时间为：2022年</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7</w:t>
      </w:r>
      <w:bookmarkStart w:id="100" w:name="_GoBack"/>
      <w:bookmarkEnd w:id="100"/>
      <w:r>
        <w:rPr>
          <w:rFonts w:hint="eastAsia" w:ascii="宋体" w:hAnsi="宋体" w:eastAsia="宋体" w:cs="宋体"/>
          <w:sz w:val="21"/>
          <w:szCs w:val="21"/>
          <w:highlight w:val="none"/>
        </w:rPr>
        <w:t>日1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：00时（北京时间）。</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磋商响应文件以密封形式递交至：开标现场</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highlight w:val="none"/>
        </w:rPr>
        <w:t>21.2 所有磋商响应文件都必须按招标代理机构在磋商邀请中规定的投标截止时间之前</w:t>
      </w:r>
      <w:r>
        <w:rPr>
          <w:rFonts w:hint="eastAsia" w:ascii="宋体" w:hAnsi="宋体" w:eastAsia="宋体" w:cs="宋体"/>
          <w:sz w:val="21"/>
          <w:szCs w:val="21"/>
        </w:rPr>
        <w:t>送到磋商文件规定的地点。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21.3 出现第8.2款因磋商文件的修改推迟投标截止时间时，则按招标代理机构修改通知规定的时间递交。</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22、磋商响应文件的修改和撤销</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22.1 供应商在提交磋商响应文件后可对其磋商响应文件进行修改或撤销，但招标代理机构须在投标截止时间之前收到该修改或撤销的书面通知，该通知须有经正式授权的供应商代表签字。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22.2供应商不得在磋商时间起至磋商有效期期满前撤销磋商响应文件。否则招标代理机构将没收其磋商保证金。</w:t>
      </w:r>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37" w:name="_Toc349637924"/>
      <w:bookmarkStart w:id="38" w:name="_Toc349573125"/>
      <w:bookmarkStart w:id="39" w:name="_Toc267301286"/>
      <w:bookmarkStart w:id="40" w:name="_Toc298240409"/>
      <w:bookmarkStart w:id="41" w:name="_Toc462223636"/>
      <w:r>
        <w:rPr>
          <w:rFonts w:hint="eastAsia" w:ascii="宋体" w:hAnsi="宋体" w:eastAsia="宋体" w:cs="宋体"/>
          <w:sz w:val="21"/>
          <w:szCs w:val="21"/>
        </w:rPr>
        <w:t>（五）磋商程序</w:t>
      </w:r>
      <w:bookmarkEnd w:id="37"/>
      <w:bookmarkEnd w:id="38"/>
      <w:bookmarkEnd w:id="39"/>
      <w:bookmarkEnd w:id="40"/>
      <w:bookmarkEnd w:id="41"/>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23、磋商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23.1磋商时，采购人将对供应商进行资格初审。</w:t>
      </w:r>
    </w:p>
    <w:p>
      <w:pPr>
        <w:pageBreakBefore w:val="0"/>
        <w:kinsoku/>
        <w:topLinePunct w:val="0"/>
        <w:bidi w:val="0"/>
        <w:spacing w:line="400" w:lineRule="exact"/>
        <w:ind w:left="0" w:leftChars="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开标前，请各投标人委派开标代表携带身份证并按要求提供下列有效资料以备现场查验：（注：开标代表为法定代表人的，须出具法定代表人身份证明书及法定代表人身份证；开标代表为授权委托人的，须出具法定代表人授权委托书及代理人身份证）</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b/>
          <w:bCs/>
          <w:color w:val="000000"/>
          <w:sz w:val="21"/>
          <w:szCs w:val="21"/>
        </w:rPr>
        <w:t>资格审查资料</w:t>
      </w:r>
      <w:r>
        <w:rPr>
          <w:rFonts w:hint="eastAsia" w:ascii="宋体" w:hAnsi="宋体" w:eastAsia="宋体" w:cs="宋体"/>
          <w:color w:val="000000"/>
          <w:sz w:val="21"/>
          <w:szCs w:val="21"/>
        </w:rPr>
        <w:t>：“三证合一营业执照原件；法定代表人身份证明书或法定代表人授权委托书原件；投标保证金缴纳凭证复印件加盖单位公章；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加盖单位公章”。投标人须提供上述资格查验资料并按采购文件封装、标识要求，密封后提供，在外封袋标明“</w:t>
      </w:r>
      <w:r>
        <w:rPr>
          <w:rFonts w:hint="eastAsia" w:ascii="宋体" w:hAnsi="宋体" w:eastAsia="宋体" w:cs="宋体"/>
          <w:b/>
          <w:bCs/>
          <w:color w:val="000000"/>
          <w:sz w:val="21"/>
          <w:szCs w:val="21"/>
        </w:rPr>
        <w:t>资质查验</w:t>
      </w:r>
      <w:r>
        <w:rPr>
          <w:rFonts w:hint="eastAsia" w:ascii="宋体" w:hAnsi="宋体" w:eastAsia="宋体" w:cs="宋体"/>
          <w:color w:val="000000"/>
          <w:sz w:val="21"/>
          <w:szCs w:val="21"/>
        </w:rPr>
        <w:t>”字样。</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23</w:t>
      </w:r>
      <w:r>
        <w:rPr>
          <w:rFonts w:hint="eastAsia" w:ascii="宋体" w:hAnsi="宋体" w:eastAsia="宋体" w:cs="宋体"/>
          <w:color w:val="000000"/>
          <w:sz w:val="21"/>
          <w:szCs w:val="21"/>
        </w:rPr>
        <w:t>.2 开标现场提供证件齐全、满足采购文件要求的投标人为合格有效投标人。</w:t>
      </w:r>
    </w:p>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以备磋商前做初步的审查，确认其是否已具备提交磋商响应文件的资格。但该初步审查并不妨碍磋商小组对供应商进行的进一步资格详细审查。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23.2本次磋商按磋商文件中磋商邀请规定的时间地点进行磋商，</w:t>
      </w:r>
      <w:r>
        <w:rPr>
          <w:rFonts w:hint="eastAsia" w:ascii="宋体" w:hAnsi="宋体" w:eastAsia="宋体" w:cs="宋体"/>
          <w:sz w:val="21"/>
          <w:szCs w:val="21"/>
        </w:rPr>
        <w:t>将邀请供应商的法定代表人或其授权委托人准时参加磋商会。</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23.3宣布磋商响应文件开启顺序。</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23.4磋商时检查磋商响应文件密封情况。</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23.5磋商原则在磋商会议上宣布。</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23.6 对采购方的纪律要求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采购方不得泄露磋商活动中应当保密的情况和资料，不得与供应商串通损害国家利益、社会公共利益或者他人合法权益。</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23.7对供应商的纪律要求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供应商不得互相串通磋商或者与采购人串通磋商，不得向采购人或者磋商小组成员行贿谋取成交，不得以他人名义磋商或者以其他方式弄虚作假骗取成交；供应商不得以任何方式干扰、影响磋商工作。</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23.8 对与磋商活动有关的工作人员的纪律要求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23.9对磋商小组成员要求磋商纪律</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23.9.1磋商小组应当依照有关法律法规的规定，按照磋商文件确定的磋商标准和办法客观、公正的对磋商响应文件提出评审意见。磋商文件设有规定的磋商标准和方法不得作为磋商依据。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23.9.2磋商小组成员不得私下接触供应商，不得收受供应商给予的财务或者其他好处，不得向采购方征询确定成交方意向。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23.9.3不得接受任何单位或个人明示或暗示提出的倾向或排斥特定供应商的要求。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23.9.4不得有其他不客观，不公正履行职务的行为。</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24、磋商过程</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24.1 磋商的依据为磋商文件和磋商响应文件。</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24.2 磋商后磋商小组审查磋商响应文件是否完整，是否有计算错误，要求的保证金是否提供，文件是否恰当地签署。</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初步评审（符合性审查）</w:t>
      </w:r>
    </w:p>
    <w:tbl>
      <w:tblPr>
        <w:tblStyle w:val="34"/>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68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w:t>
            </w:r>
          </w:p>
        </w:tc>
        <w:tc>
          <w:tcPr>
            <w:tcW w:w="4961" w:type="dxa"/>
            <w:gridSpan w:val="2"/>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  审  内  容</w:t>
            </w:r>
          </w:p>
        </w:tc>
        <w:tc>
          <w:tcPr>
            <w:tcW w:w="732"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投标人1</w:t>
            </w:r>
          </w:p>
        </w:tc>
        <w:tc>
          <w:tcPr>
            <w:tcW w:w="72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投标人2</w:t>
            </w:r>
          </w:p>
        </w:tc>
        <w:tc>
          <w:tcPr>
            <w:tcW w:w="684"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投标人3</w:t>
            </w:r>
          </w:p>
        </w:tc>
        <w:tc>
          <w:tcPr>
            <w:tcW w:w="84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投标报价是否高于本项目的最高限价；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投标文件的</w:t>
            </w:r>
            <w:r>
              <w:rPr>
                <w:rFonts w:hint="eastAsia" w:ascii="宋体" w:hAnsi="宋体" w:eastAsia="宋体" w:cs="宋体"/>
                <w:sz w:val="21"/>
                <w:szCs w:val="21"/>
                <w:lang w:eastAsia="zh-CN"/>
              </w:rPr>
              <w:t>服务</w:t>
            </w:r>
            <w:r>
              <w:rPr>
                <w:rFonts w:hint="eastAsia" w:ascii="宋体" w:hAnsi="宋体" w:eastAsia="宋体" w:cs="宋体"/>
                <w:sz w:val="21"/>
                <w:szCs w:val="21"/>
              </w:rPr>
              <w:t>期是否超过采购文件规定期限；</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投标保证金的缴纳主体是否与投标人一致、提供投标担保或者所提供的投标担保不符合采购文件要求；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zh-CN"/>
              </w:rPr>
              <w:t>投标货物的应标参数</w:t>
            </w:r>
            <w:r>
              <w:rPr>
                <w:rFonts w:hint="eastAsia" w:ascii="宋体" w:hAnsi="宋体" w:eastAsia="宋体" w:cs="宋体"/>
                <w:sz w:val="21"/>
                <w:szCs w:val="21"/>
              </w:rPr>
              <w:t>是否满足采购文件技术要求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投标文件是否按采购文件规定格式完整提供、且按采购文件要求签字或盖章；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企业信誉（信用查询）是否满足采购文件的要求；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法定代表人身份证明书及法定代表人授权委托书是否按采购文件规定格式完整提供、并按采购文件要求签字盖章。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文件需求</w:t>
            </w:r>
            <w:r>
              <w:rPr>
                <w:rFonts w:hint="eastAsia" w:ascii="宋体" w:hAnsi="宋体" w:eastAsia="宋体" w:cs="宋体"/>
                <w:sz w:val="21"/>
                <w:szCs w:val="21"/>
                <w:lang w:eastAsia="zh-CN"/>
              </w:rPr>
              <w:t>没有采购人不可接收的</w:t>
            </w:r>
            <w:r>
              <w:rPr>
                <w:rFonts w:hint="eastAsia" w:ascii="宋体" w:hAnsi="宋体" w:eastAsia="宋体" w:cs="宋体"/>
                <w:sz w:val="21"/>
                <w:szCs w:val="21"/>
              </w:rPr>
              <w:t>重大偏离</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10</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投标文件是否附有采购人不能接受的条件</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投标文件封面右上角是否注明“正本”或“副本”字样；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是否满足采购文件实质性要求的其他情形</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评标委员会成员签名：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pageBreakBefore w:val="0"/>
        <w:shd w:val="clear" w:color="auto" w:fill="FFFFFF"/>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24.3 在对磋商响应文件进行详细评估之前，磋商小组将依据供应商提供的资格证明文件审查供应商的财务、技术和生产能力。如果确定供应商无资格履行合同，其投标将被拒绝。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25、磋商响应文件的澄清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25.2 要澄清的答复应是书面的，但不得对磋商内容进行实质性修改。澄清文件须由供应商法人代表或法人授权代表签字和/或加盖公章并作为磋商响应文件的组成部分。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25.3 磋商结束后，磋商小组要求所有参加磋商的供应商在规定的时间内进行最后报价。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26、确定成交供应商的办法</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26.1磋商小组按照磋商文件要求对磋商响应文件中的供应商资格、供应商资格证明文件、重要技术指标以及技术和商务上要求的其它重要内容进行审核。</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26.2磋商小组和供应商磋商过程中作出的书面承诺是否符合磋商文件中对质量、技术和服务的要求。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bCs/>
          <w:sz w:val="21"/>
          <w:szCs w:val="21"/>
        </w:rPr>
        <w:t>26.3</w:t>
      </w:r>
      <w:r>
        <w:rPr>
          <w:rFonts w:hint="eastAsia" w:ascii="宋体" w:hAnsi="宋体" w:eastAsia="宋体" w:cs="宋体"/>
          <w:sz w:val="21"/>
          <w:szCs w:val="21"/>
          <w:shd w:val="clear" w:color="auto" w:fill="FFFFFF"/>
        </w:rPr>
        <w:t>经磋商确定最终采购需求和提交最后报价的供应商后，由磋商小组采用综合评分法对提交最后报价的供应商的响应文件和最后报价进行综合评分。</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color w:val="000000"/>
          <w:sz w:val="21"/>
          <w:szCs w:val="21"/>
        </w:rPr>
      </w:pPr>
      <w:r>
        <w:rPr>
          <w:rFonts w:hint="eastAsia" w:ascii="宋体" w:hAnsi="宋体" w:eastAsia="宋体" w:cs="宋体"/>
          <w:bCs/>
          <w:sz w:val="21"/>
          <w:szCs w:val="21"/>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宋体" w:hAnsi="宋体" w:eastAsia="宋体" w:cs="宋体"/>
          <w:bCs/>
          <w:sz w:val="21"/>
          <w:szCs w:val="21"/>
          <w:lang w:val="en-US" w:eastAsia="zh-CN"/>
        </w:rPr>
        <w:t>3</w:t>
      </w:r>
      <w:r>
        <w:rPr>
          <w:rFonts w:hint="eastAsia" w:ascii="宋体" w:hAnsi="宋体" w:eastAsia="宋体" w:cs="宋体"/>
          <w:bCs/>
          <w:sz w:val="21"/>
          <w:szCs w:val="21"/>
        </w:rPr>
        <w:t>0分，技术、商务、售后服务因素占</w:t>
      </w:r>
      <w:r>
        <w:rPr>
          <w:rFonts w:hint="eastAsia" w:ascii="宋体" w:hAnsi="宋体" w:eastAsia="宋体" w:cs="宋体"/>
          <w:bCs/>
          <w:sz w:val="21"/>
          <w:szCs w:val="21"/>
          <w:lang w:val="en-US" w:eastAsia="zh-CN"/>
        </w:rPr>
        <w:t>7</w:t>
      </w:r>
      <w:r>
        <w:rPr>
          <w:rFonts w:hint="eastAsia" w:ascii="宋体" w:hAnsi="宋体" w:eastAsia="宋体" w:cs="宋体"/>
          <w:bCs/>
          <w:sz w:val="21"/>
          <w:szCs w:val="21"/>
        </w:rPr>
        <w:t>0分。将每位投标商的价格得分、技术得分、商务得分</w:t>
      </w:r>
      <w:r>
        <w:rPr>
          <w:rFonts w:hint="eastAsia" w:ascii="宋体" w:hAnsi="宋体" w:eastAsia="宋体" w:cs="宋体"/>
          <w:bCs/>
          <w:color w:val="000000"/>
          <w:sz w:val="21"/>
          <w:szCs w:val="21"/>
        </w:rPr>
        <w:t>相加即为该投标商的总得分。详细评分标准如下：</w:t>
      </w:r>
    </w:p>
    <w:tbl>
      <w:tblPr>
        <w:tblStyle w:val="34"/>
        <w:tblW w:w="9743" w:type="dxa"/>
        <w:jc w:val="center"/>
        <w:tblLayout w:type="fixed"/>
        <w:tblCellMar>
          <w:top w:w="0" w:type="dxa"/>
          <w:left w:w="108" w:type="dxa"/>
          <w:bottom w:w="0" w:type="dxa"/>
          <w:right w:w="108" w:type="dxa"/>
        </w:tblCellMar>
      </w:tblPr>
      <w:tblGrid>
        <w:gridCol w:w="813"/>
        <w:gridCol w:w="923"/>
        <w:gridCol w:w="687"/>
        <w:gridCol w:w="7320"/>
      </w:tblGrid>
      <w:tr>
        <w:tblPrEx>
          <w:tblCellMar>
            <w:top w:w="0" w:type="dxa"/>
            <w:left w:w="108" w:type="dxa"/>
            <w:bottom w:w="0" w:type="dxa"/>
            <w:right w:w="108" w:type="dxa"/>
          </w:tblCellMar>
        </w:tblPrEx>
        <w:trPr>
          <w:trHeight w:val="698"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评分项目</w:t>
            </w:r>
          </w:p>
        </w:tc>
        <w:tc>
          <w:tcPr>
            <w:tcW w:w="92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bCs/>
                <w:sz w:val="21"/>
                <w:szCs w:val="21"/>
              </w:rPr>
            </w:pPr>
          </w:p>
        </w:tc>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bCs/>
                <w:sz w:val="21"/>
                <w:szCs w:val="21"/>
              </w:rPr>
            </w:pPr>
          </w:p>
        </w:tc>
        <w:tc>
          <w:tcPr>
            <w:tcW w:w="7320" w:type="dxa"/>
            <w:tcBorders>
              <w:top w:val="single" w:color="auto" w:sz="4" w:space="0"/>
              <w:left w:val="nil"/>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评 分 标 准</w:t>
            </w:r>
          </w:p>
        </w:tc>
      </w:tr>
      <w:tr>
        <w:tblPrEx>
          <w:tblCellMar>
            <w:top w:w="0" w:type="dxa"/>
            <w:left w:w="108" w:type="dxa"/>
            <w:bottom w:w="0" w:type="dxa"/>
            <w:right w:w="108" w:type="dxa"/>
          </w:tblCellMar>
        </w:tblPrEx>
        <w:trPr>
          <w:trHeight w:val="3773"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磋商报价</w:t>
            </w: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0分)</w:t>
            </w:r>
          </w:p>
        </w:tc>
        <w:tc>
          <w:tcPr>
            <w:tcW w:w="92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p>
        </w:tc>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0分</w:t>
            </w:r>
          </w:p>
        </w:tc>
        <w:tc>
          <w:tcPr>
            <w:tcW w:w="7320" w:type="dxa"/>
            <w:tcBorders>
              <w:top w:val="single" w:color="auto" w:sz="4" w:space="0"/>
              <w:left w:val="nil"/>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在价格评分时，满足磋商文件要求且合理的最低报价为投标基准价，其价格分为满分。其他投标人的价格分统一按照下列公式计算: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投标报价得分=（投标基准价/磋商报价）×价格权值×100%。（小数点后保留二位小数,按四舍五入取值)。</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b/>
                <w:bCs/>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CellMar>
            <w:top w:w="0" w:type="dxa"/>
            <w:left w:w="108" w:type="dxa"/>
            <w:bottom w:w="0" w:type="dxa"/>
            <w:right w:w="108" w:type="dxa"/>
          </w:tblCellMar>
        </w:tblPrEx>
        <w:trPr>
          <w:trHeight w:val="1090" w:hRule="atLeast"/>
          <w:jc w:val="center"/>
        </w:trPr>
        <w:tc>
          <w:tcPr>
            <w:tcW w:w="813"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商务</w:t>
            </w: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15</w:t>
            </w:r>
            <w:r>
              <w:rPr>
                <w:rFonts w:hint="eastAsia" w:ascii="宋体" w:hAnsi="宋体" w:eastAsia="宋体" w:cs="宋体"/>
                <w:sz w:val="21"/>
                <w:szCs w:val="21"/>
              </w:rPr>
              <w:t>分）</w:t>
            </w:r>
          </w:p>
        </w:tc>
        <w:tc>
          <w:tcPr>
            <w:tcW w:w="92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业绩</w:t>
            </w:r>
          </w:p>
        </w:tc>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5分</w:t>
            </w:r>
          </w:p>
        </w:tc>
        <w:tc>
          <w:tcPr>
            <w:tcW w:w="7320" w:type="dxa"/>
            <w:tcBorders>
              <w:top w:val="single" w:color="auto" w:sz="4" w:space="0"/>
              <w:left w:val="nil"/>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1、需提供自20</w:t>
            </w:r>
            <w:r>
              <w:rPr>
                <w:rFonts w:hint="eastAsia" w:ascii="宋体" w:hAnsi="宋体" w:eastAsia="宋体" w:cs="宋体"/>
                <w:color w:val="000000"/>
                <w:kern w:val="0"/>
                <w:sz w:val="21"/>
                <w:szCs w:val="21"/>
                <w:lang w:val="en-US" w:eastAsia="zh-CN"/>
              </w:rPr>
              <w:t>19</w:t>
            </w:r>
            <w:r>
              <w:rPr>
                <w:rFonts w:hint="eastAsia" w:ascii="宋体" w:hAnsi="宋体" w:eastAsia="宋体" w:cs="宋体"/>
                <w:color w:val="000000"/>
                <w:kern w:val="0"/>
                <w:sz w:val="21"/>
                <w:szCs w:val="21"/>
              </w:rPr>
              <w:t>年1月1日起至今所承担过类似项目业绩，提供一项得1分（中标通知书或合同复印件），最多得5分；（满分5分）</w:t>
            </w:r>
          </w:p>
        </w:tc>
      </w:tr>
      <w:tr>
        <w:tblPrEx>
          <w:tblCellMar>
            <w:top w:w="0" w:type="dxa"/>
            <w:left w:w="108" w:type="dxa"/>
            <w:bottom w:w="0" w:type="dxa"/>
            <w:right w:w="108" w:type="dxa"/>
          </w:tblCellMar>
        </w:tblPrEx>
        <w:trPr>
          <w:trHeight w:val="940"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tc>
        <w:tc>
          <w:tcPr>
            <w:tcW w:w="923" w:type="dxa"/>
            <w:vMerge w:val="restart"/>
            <w:tcBorders>
              <w:top w:val="single" w:color="auto" w:sz="4" w:space="0"/>
              <w:left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企业实力</w:t>
            </w:r>
          </w:p>
        </w:tc>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7320" w:type="dxa"/>
            <w:tcBorders>
              <w:top w:val="single" w:color="auto" w:sz="4" w:space="0"/>
              <w:left w:val="nil"/>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2、企业内部管理制度2分；质量保证体系证书3分（能够提供认证证书的得3分，不能提供或证书不在有效期内的不得分。）</w:t>
            </w:r>
          </w:p>
        </w:tc>
      </w:tr>
      <w:tr>
        <w:tblPrEx>
          <w:tblCellMar>
            <w:top w:w="0" w:type="dxa"/>
            <w:left w:w="108" w:type="dxa"/>
            <w:bottom w:w="0" w:type="dxa"/>
            <w:right w:w="108" w:type="dxa"/>
          </w:tblCellMar>
        </w:tblPrEx>
        <w:trPr>
          <w:trHeight w:val="760"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tc>
        <w:tc>
          <w:tcPr>
            <w:tcW w:w="923" w:type="dxa"/>
            <w:vMerge w:val="continue"/>
            <w:tcBorders>
              <w:left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lang w:val="en-US" w:eastAsia="zh-CN"/>
              </w:rPr>
            </w:pPr>
          </w:p>
        </w:tc>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分</w:t>
            </w:r>
          </w:p>
        </w:tc>
        <w:tc>
          <w:tcPr>
            <w:tcW w:w="7320" w:type="dxa"/>
            <w:tcBorders>
              <w:top w:val="single" w:color="auto" w:sz="4" w:space="0"/>
              <w:left w:val="nil"/>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3、执业质量近三年无投诉；提供证明材料或承诺书。</w:t>
            </w:r>
          </w:p>
        </w:tc>
      </w:tr>
      <w:tr>
        <w:tblPrEx>
          <w:tblCellMar>
            <w:top w:w="0" w:type="dxa"/>
            <w:left w:w="108" w:type="dxa"/>
            <w:bottom w:w="0" w:type="dxa"/>
            <w:right w:w="108" w:type="dxa"/>
          </w:tblCellMar>
        </w:tblPrEx>
        <w:trPr>
          <w:trHeight w:val="933"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tc>
        <w:tc>
          <w:tcPr>
            <w:tcW w:w="923" w:type="dxa"/>
            <w:vMerge w:val="continue"/>
            <w:tcBorders>
              <w:left w:val="single" w:color="auto" w:sz="4" w:space="0"/>
              <w:bottom w:val="nil"/>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lang w:eastAsia="zh-CN"/>
              </w:rPr>
            </w:pPr>
          </w:p>
        </w:tc>
        <w:tc>
          <w:tcPr>
            <w:tcW w:w="687" w:type="dxa"/>
            <w:tcBorders>
              <w:top w:val="single" w:color="auto" w:sz="4" w:space="0"/>
              <w:left w:val="single" w:color="auto" w:sz="4" w:space="0"/>
              <w:bottom w:val="nil"/>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分</w:t>
            </w:r>
          </w:p>
        </w:tc>
        <w:tc>
          <w:tcPr>
            <w:tcW w:w="7320" w:type="dxa"/>
            <w:tcBorders>
              <w:top w:val="single" w:color="auto" w:sz="4" w:space="0"/>
              <w:left w:val="nil"/>
              <w:bottom w:val="nil"/>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4、项目团队人员进行横向对比（提供近三个月的社保证明）；从人员数量，职称，技术能力等进行比较，满分</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分。</w:t>
            </w:r>
          </w:p>
        </w:tc>
      </w:tr>
      <w:tr>
        <w:tblPrEx>
          <w:tblCellMar>
            <w:top w:w="0" w:type="dxa"/>
            <w:left w:w="108" w:type="dxa"/>
            <w:bottom w:w="0" w:type="dxa"/>
            <w:right w:w="108" w:type="dxa"/>
          </w:tblCellMar>
        </w:tblPrEx>
        <w:trPr>
          <w:trHeight w:val="777" w:hRule="atLeast"/>
          <w:jc w:val="center"/>
        </w:trPr>
        <w:tc>
          <w:tcPr>
            <w:tcW w:w="813"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技术</w:t>
            </w: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及售后 服务</w:t>
            </w: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55</w:t>
            </w:r>
            <w:r>
              <w:rPr>
                <w:rFonts w:hint="eastAsia" w:ascii="宋体" w:hAnsi="宋体" w:eastAsia="宋体" w:cs="宋体"/>
                <w:sz w:val="21"/>
                <w:szCs w:val="21"/>
              </w:rPr>
              <w:t>分）</w:t>
            </w:r>
          </w:p>
        </w:tc>
        <w:tc>
          <w:tcPr>
            <w:tcW w:w="923" w:type="dxa"/>
            <w:tcBorders>
              <w:top w:val="single" w:color="auto" w:sz="4" w:space="0"/>
              <w:left w:val="single" w:color="auto" w:sz="4" w:space="0"/>
              <w:bottom w:val="nil"/>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rPr>
              <w:t>技术符合程度</w:t>
            </w:r>
          </w:p>
        </w:tc>
        <w:tc>
          <w:tcPr>
            <w:tcW w:w="687" w:type="dxa"/>
            <w:tcBorders>
              <w:top w:val="single" w:color="auto" w:sz="4" w:space="0"/>
              <w:left w:val="single" w:color="auto" w:sz="4" w:space="0"/>
              <w:bottom w:val="nil"/>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21</w:t>
            </w:r>
            <w:r>
              <w:rPr>
                <w:rFonts w:hint="eastAsia" w:ascii="宋体" w:hAnsi="宋体" w:eastAsia="宋体" w:cs="宋体"/>
                <w:color w:val="0000FF"/>
                <w:sz w:val="21"/>
                <w:szCs w:val="21"/>
              </w:rPr>
              <w:t>分</w:t>
            </w:r>
          </w:p>
        </w:tc>
        <w:tc>
          <w:tcPr>
            <w:tcW w:w="7320" w:type="dxa"/>
            <w:tcBorders>
              <w:top w:val="single" w:color="auto" w:sz="4" w:space="0"/>
              <w:left w:val="nil"/>
              <w:bottom w:val="nil"/>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FF"/>
                <w:kern w:val="0"/>
                <w:sz w:val="21"/>
                <w:szCs w:val="21"/>
              </w:rPr>
            </w:pPr>
            <w:r>
              <w:rPr>
                <w:rFonts w:hint="eastAsia" w:ascii="宋体" w:hAnsi="宋体" w:eastAsia="宋体" w:cs="宋体"/>
                <w:color w:val="0000FF"/>
                <w:kern w:val="0"/>
                <w:sz w:val="21"/>
                <w:szCs w:val="21"/>
              </w:rPr>
              <w:t>1、技术符合程度：每低于技术规格中任一条性能要求的扣</w:t>
            </w:r>
            <w:r>
              <w:rPr>
                <w:rFonts w:hint="eastAsia" w:ascii="宋体" w:hAnsi="宋体" w:eastAsia="宋体" w:cs="宋体"/>
                <w:color w:val="0000FF"/>
                <w:kern w:val="0"/>
                <w:sz w:val="21"/>
                <w:szCs w:val="21"/>
                <w:lang w:val="en-US" w:eastAsia="zh-CN"/>
              </w:rPr>
              <w:t>3</w:t>
            </w:r>
            <w:r>
              <w:rPr>
                <w:rFonts w:hint="eastAsia" w:ascii="宋体" w:hAnsi="宋体" w:eastAsia="宋体" w:cs="宋体"/>
                <w:color w:val="0000FF"/>
                <w:kern w:val="0"/>
                <w:sz w:val="21"/>
                <w:szCs w:val="21"/>
              </w:rPr>
              <w:t>分。扣完为止。</w:t>
            </w:r>
          </w:p>
        </w:tc>
      </w:tr>
      <w:tr>
        <w:tblPrEx>
          <w:tblCellMar>
            <w:top w:w="0" w:type="dxa"/>
            <w:left w:w="108" w:type="dxa"/>
            <w:bottom w:w="0" w:type="dxa"/>
            <w:right w:w="108" w:type="dxa"/>
          </w:tblCellMar>
        </w:tblPrEx>
        <w:trPr>
          <w:trHeight w:val="1270"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tc>
        <w:tc>
          <w:tcPr>
            <w:tcW w:w="923" w:type="dxa"/>
            <w:tcBorders>
              <w:top w:val="single" w:color="auto" w:sz="4" w:space="0"/>
              <w:left w:val="single" w:color="auto" w:sz="4" w:space="0"/>
              <w:bottom w:val="nil"/>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lang w:eastAsia="zh-CN"/>
              </w:rPr>
              <w:t>服务</w:t>
            </w:r>
            <w:r>
              <w:rPr>
                <w:rFonts w:hint="eastAsia" w:ascii="宋体" w:hAnsi="宋体" w:eastAsia="宋体" w:cs="宋体"/>
                <w:color w:val="000000"/>
                <w:kern w:val="0"/>
                <w:sz w:val="21"/>
                <w:szCs w:val="21"/>
              </w:rPr>
              <w:t>承诺</w:t>
            </w:r>
          </w:p>
        </w:tc>
        <w:tc>
          <w:tcPr>
            <w:tcW w:w="687" w:type="dxa"/>
            <w:tcBorders>
              <w:top w:val="single" w:color="auto" w:sz="4" w:space="0"/>
              <w:left w:val="single" w:color="auto" w:sz="4" w:space="0"/>
              <w:bottom w:val="nil"/>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7320" w:type="dxa"/>
            <w:tcBorders>
              <w:top w:val="single" w:color="auto" w:sz="4" w:space="0"/>
              <w:left w:val="nil"/>
              <w:bottom w:val="nil"/>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2、针对该项目须有质量保证措施及相关承诺，措施合理到位、承诺全面得</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5分；措施及承诺较全面得2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分；措施及承诺不全面得</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1分。（横向对比，综合评分）</w:t>
            </w:r>
          </w:p>
        </w:tc>
      </w:tr>
      <w:tr>
        <w:tblPrEx>
          <w:tblCellMar>
            <w:top w:w="0" w:type="dxa"/>
            <w:left w:w="108" w:type="dxa"/>
            <w:bottom w:w="0" w:type="dxa"/>
            <w:right w:w="108" w:type="dxa"/>
          </w:tblCellMar>
        </w:tblPrEx>
        <w:trPr>
          <w:trHeight w:val="1360"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tc>
        <w:tc>
          <w:tcPr>
            <w:tcW w:w="92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质量保证措施</w:t>
            </w:r>
          </w:p>
        </w:tc>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分</w:t>
            </w:r>
          </w:p>
        </w:tc>
        <w:tc>
          <w:tcPr>
            <w:tcW w:w="7320" w:type="dxa"/>
            <w:tcBorders>
              <w:top w:val="single" w:color="auto" w:sz="4" w:space="0"/>
              <w:left w:val="nil"/>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lang w:val="en-US" w:eastAsia="zh-CN"/>
              </w:rPr>
              <w:t>针对本项目制定出详细的服务质量保证措施，措施完整、详细、合理的得3-4分；措施基本全面、比较详细的得1-2分；措施完整性较差或不详细的得0-1分</w:t>
            </w:r>
          </w:p>
        </w:tc>
      </w:tr>
      <w:tr>
        <w:tblPrEx>
          <w:tblCellMar>
            <w:top w:w="0" w:type="dxa"/>
            <w:left w:w="108" w:type="dxa"/>
            <w:bottom w:w="0" w:type="dxa"/>
            <w:right w:w="108" w:type="dxa"/>
          </w:tblCellMar>
        </w:tblPrEx>
        <w:trPr>
          <w:trHeight w:val="1340"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tc>
        <w:tc>
          <w:tcPr>
            <w:tcW w:w="92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售后服务</w:t>
            </w:r>
          </w:p>
        </w:tc>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732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lang w:val="en-US" w:eastAsia="zh-CN"/>
              </w:rPr>
              <w:t>针对本项目制定出详细的售后服务方案，方案详细、合理可行的得5分；方案基本全面、可行的得2分；方案全面性可行性较差的得1分</w:t>
            </w:r>
          </w:p>
        </w:tc>
      </w:tr>
      <w:tr>
        <w:tblPrEx>
          <w:tblCellMar>
            <w:top w:w="0" w:type="dxa"/>
            <w:left w:w="108" w:type="dxa"/>
            <w:bottom w:w="0" w:type="dxa"/>
            <w:right w:w="108" w:type="dxa"/>
          </w:tblCellMar>
        </w:tblPrEx>
        <w:trPr>
          <w:trHeight w:val="1150"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tc>
        <w:tc>
          <w:tcPr>
            <w:tcW w:w="92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实施方案</w:t>
            </w:r>
          </w:p>
        </w:tc>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732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货物的前期设计、满足采购需求的供货、安装计划（包括主要设备的供货、运输、安装、调试、辅材的安装），质量保证措施清晰完整，能够保证供应货物质量的计5分。有缺漏项，欠合理的，根据重要程度每处扣0.5－1分，扣完为止。</w:t>
            </w:r>
          </w:p>
        </w:tc>
      </w:tr>
      <w:tr>
        <w:tblPrEx>
          <w:tblCellMar>
            <w:top w:w="0" w:type="dxa"/>
            <w:left w:w="108" w:type="dxa"/>
            <w:bottom w:w="0" w:type="dxa"/>
            <w:right w:w="108" w:type="dxa"/>
          </w:tblCellMar>
        </w:tblPrEx>
        <w:trPr>
          <w:trHeight w:val="841"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tc>
        <w:tc>
          <w:tcPr>
            <w:tcW w:w="923"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rPr>
              <w:t>技术方案</w:t>
            </w:r>
          </w:p>
        </w:tc>
        <w:tc>
          <w:tcPr>
            <w:tcW w:w="687"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分</w:t>
            </w:r>
          </w:p>
        </w:tc>
        <w:tc>
          <w:tcPr>
            <w:tcW w:w="7320" w:type="dxa"/>
            <w:tcBorders>
              <w:top w:val="single" w:color="auto" w:sz="4" w:space="0"/>
              <w:left w:val="nil"/>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6、技术方案须包含完整的实施进度、培训方案、</w:t>
            </w:r>
            <w:r>
              <w:rPr>
                <w:rFonts w:hint="eastAsia" w:ascii="宋体" w:hAnsi="宋体" w:eastAsia="宋体" w:cs="宋体"/>
                <w:color w:val="000000"/>
                <w:kern w:val="0"/>
                <w:sz w:val="21"/>
                <w:szCs w:val="21"/>
                <w:lang w:eastAsia="zh-CN"/>
              </w:rPr>
              <w:t>测量</w:t>
            </w:r>
            <w:r>
              <w:rPr>
                <w:rFonts w:hint="eastAsia" w:ascii="宋体" w:hAnsi="宋体" w:eastAsia="宋体" w:cs="宋体"/>
                <w:color w:val="000000"/>
                <w:kern w:val="0"/>
                <w:sz w:val="21"/>
                <w:szCs w:val="21"/>
              </w:rPr>
              <w:t>交付方案；项目方案的合理性、可靠性、先进性、功能完备性评审、平台的技术参数、性能指标符合的总体评议、软件测试报告，完全满足采购人实际需要，能达到本项目建设目的，满分</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分</w:t>
            </w: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shd w:val="clear" w:color="auto" w:fill="FFFFFF"/>
        </w:rPr>
      </w:pPr>
      <w:r>
        <w:rPr>
          <w:rFonts w:hint="eastAsia" w:ascii="宋体" w:hAnsi="宋体" w:eastAsia="宋体" w:cs="宋体"/>
          <w:bCs/>
          <w:sz w:val="21"/>
          <w:szCs w:val="21"/>
        </w:rPr>
        <w:t>26.4</w:t>
      </w:r>
      <w:r>
        <w:rPr>
          <w:rFonts w:hint="eastAsia" w:ascii="宋体" w:hAnsi="宋体" w:eastAsia="宋体" w:cs="宋体"/>
          <w:sz w:val="21"/>
          <w:szCs w:val="21"/>
          <w:shd w:val="clear" w:color="auto" w:fill="FFFFFF"/>
        </w:rPr>
        <w:t>磋商小组应当根据综合评分情况，按照评审得分由高到低顺序推荐3名以上成交候选供应商。评审得分相同的，按照最后报价由低到高的顺序推荐。评审得分且最后报价相同的，按照设计指标优劣顺序推荐。</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26.6本项目将对小型和微型企业产品的价格给予6%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-6%）+ 投标人报价中不属于小型和微型企业产品的价格部分；否则，其评标价=投标人报价。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27．磋商过程的保密性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27.2 供应商在磋商过程中，所进行的力图影响磋商结果的，不符合《政府采购法》及本次磋商中有关规定的活动，将被取消其磋商资格。</w:t>
      </w:r>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42" w:name="_Toc349573126"/>
      <w:bookmarkStart w:id="43" w:name="_Toc462223637"/>
      <w:bookmarkStart w:id="44" w:name="_Toc267301287"/>
      <w:bookmarkStart w:id="45" w:name="_Toc349637925"/>
      <w:bookmarkStart w:id="46" w:name="_Toc298240410"/>
      <w:r>
        <w:rPr>
          <w:rFonts w:hint="eastAsia" w:ascii="宋体" w:hAnsi="宋体" w:eastAsia="宋体" w:cs="宋体"/>
          <w:sz w:val="21"/>
          <w:szCs w:val="21"/>
        </w:rPr>
        <w:t>（六）授予合同</w:t>
      </w:r>
      <w:bookmarkEnd w:id="42"/>
      <w:bookmarkEnd w:id="43"/>
      <w:bookmarkEnd w:id="44"/>
      <w:bookmarkEnd w:id="45"/>
      <w:bookmarkEnd w:id="46"/>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28、合同授予标准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28.1</w:t>
      </w:r>
      <w:r>
        <w:rPr>
          <w:rFonts w:hint="eastAsia" w:ascii="宋体" w:hAnsi="宋体" w:eastAsia="宋体" w:cs="宋体"/>
          <w:bCs/>
          <w:sz w:val="21"/>
          <w:szCs w:val="21"/>
        </w:rPr>
        <w:t>合同将授予被确定为实质上响应磋商文件要求，符合采购需求、质量和服务相等且报价最低的供应商</w:t>
      </w: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28.2 最低报价不一定是被授予合同的保证。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28.3 如果确定该供应商无法圆满履行合同，招标代理机构将对下一个可能中标的供应商资格作出类似的审查。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29、接受和拒绝任何或所有磋商的权力</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29.1为维护国家利益，买方在授予合同之前仍有选择或拒绝任何全部磋商的权力，并对所采取的行为不作任何解释。</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30、成交通知书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30.1 成交公告期满后，招标代理机构将以书面形式发出《成交通知书》，但发出时间不超过磋商有效期，《成交通知书》一经发出即发生法律效力。</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30.2 《成交通知书》将作为签订合同的依据。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30.3 招标代理机构将在成交方按规定签订合同并提交履约保证金（如适用）后退还其磋商保证金。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31、签订合同</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31.1 供应商收到《成交通知书》后，按《成交通知书》中规定的时间地点与买方签订合同。买方和成交方不得再订立背离合同实质性内容的其他协议。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31.2如成交方拒签合同，则按违约处理。招标代理机构没收其磋商保证金。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31.3磋商文件、成交方的磋商响应文件及其澄清文件等，均为签订经济合同的依据。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32、履约保证金（如适用）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32.1成交方应按合同规定的方式、时间和金额向买方提交履约保证金。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33、招标代理服务费</w:t>
      </w:r>
    </w:p>
    <w:p>
      <w:pPr>
        <w:pStyle w:val="21"/>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33.1成交方须向招标代理机构按如下标准和期限交纳招标代理代理服务费：</w:t>
      </w:r>
    </w:p>
    <w:p>
      <w:pPr>
        <w:pStyle w:val="21"/>
        <w:pageBreakBefore w:val="0"/>
        <w:kinsoku/>
        <w:topLinePunct w:val="0"/>
        <w:bidi w:val="0"/>
        <w:adjustRightIn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bCs/>
          <w:sz w:val="21"/>
          <w:szCs w:val="21"/>
        </w:rPr>
        <w:t>33.1.1</w:t>
      </w:r>
      <w:r>
        <w:rPr>
          <w:rFonts w:hint="eastAsia" w:ascii="宋体" w:hAnsi="宋体" w:eastAsia="宋体" w:cs="宋体"/>
          <w:sz w:val="21"/>
          <w:szCs w:val="21"/>
        </w:rPr>
        <w:t>成交方须向宏业国际项目管理有限公司支付招标代理服务费。</w:t>
      </w:r>
    </w:p>
    <w:p>
      <w:pPr>
        <w:pStyle w:val="21"/>
        <w:pageBreakBefore w:val="0"/>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33.1.2 在合同签订后一周内，成交方须按规定的标准以网银或电汇的方式一次性向招标代理机构缴纳磋商代理服务费。</w:t>
      </w:r>
      <w:bookmarkStart w:id="47" w:name="_Toc267301288"/>
    </w:p>
    <w:p>
      <w:pPr>
        <w:pStyle w:val="4"/>
        <w:pageBreakBefore w:val="0"/>
        <w:kinsoku/>
        <w:topLinePunct w:val="0"/>
        <w:bidi w:val="0"/>
        <w:spacing w:before="0" w:after="0" w:line="400" w:lineRule="exact"/>
        <w:ind w:left="0" w:leftChars="0" w:firstLine="0" w:firstLineChars="0"/>
        <w:jc w:val="center"/>
        <w:rPr>
          <w:rFonts w:hint="eastAsia" w:ascii="宋体" w:hAnsi="宋体" w:eastAsia="宋体" w:cs="宋体"/>
          <w:bCs/>
          <w:sz w:val="21"/>
          <w:szCs w:val="21"/>
        </w:rPr>
      </w:pPr>
      <w:bookmarkStart w:id="48" w:name="_Toc462223638"/>
      <w:r>
        <w:rPr>
          <w:rFonts w:hint="eastAsia" w:ascii="宋体" w:hAnsi="宋体" w:eastAsia="宋体" w:cs="宋体"/>
          <w:sz w:val="21"/>
          <w:szCs w:val="21"/>
        </w:rPr>
        <w:t>（七）磋商失败条件</w:t>
      </w:r>
      <w:bookmarkEnd w:id="48"/>
    </w:p>
    <w:p>
      <w:pPr>
        <w:pStyle w:val="21"/>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34、出现影响采购公正的违法、违规行为的；</w:t>
      </w:r>
    </w:p>
    <w:p>
      <w:pPr>
        <w:pStyle w:val="21"/>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35、因重大变故，采购任务取消的；</w:t>
      </w:r>
    </w:p>
    <w:p>
      <w:pPr>
        <w:pStyle w:val="21"/>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36、磋商响应文件截止时间后，实际参与的供应商不足法定家数的；</w:t>
      </w:r>
    </w:p>
    <w:p>
      <w:pPr>
        <w:pStyle w:val="21"/>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37、最终报价均超过采购预算的；</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38、对磋商文件作出实质性响应的供应商不足法定家数的；</w:t>
      </w:r>
      <w:bookmarkStart w:id="49" w:name="_Toc349637926"/>
      <w:bookmarkStart w:id="50" w:name="_Toc298240411"/>
      <w:bookmarkStart w:id="51" w:name="_Toc349573127"/>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bookmarkEnd w:id="47"/>
    <w:bookmarkEnd w:id="49"/>
    <w:bookmarkEnd w:id="50"/>
    <w:bookmarkEnd w:id="51"/>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52" w:name="_Toc16105"/>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jc w:val="center"/>
        <w:outlineLvl w:val="0"/>
        <w:rPr>
          <w:rFonts w:hint="eastAsia" w:ascii="宋体" w:hAnsi="宋体" w:eastAsia="宋体" w:cs="宋体"/>
          <w:b/>
          <w:sz w:val="21"/>
          <w:szCs w:val="21"/>
        </w:rPr>
      </w:pPr>
      <w:r>
        <w:rPr>
          <w:rFonts w:hint="eastAsia" w:ascii="宋体" w:hAnsi="宋体" w:eastAsia="宋体" w:cs="宋体"/>
          <w:b/>
          <w:sz w:val="21"/>
          <w:szCs w:val="21"/>
        </w:rPr>
        <w:t>第三章  项目需求</w:t>
      </w:r>
      <w:bookmarkEnd w:id="52"/>
    </w:p>
    <w:p>
      <w:pPr>
        <w:pStyle w:val="44"/>
        <w:rPr>
          <w:rFonts w:hint="eastAsia"/>
          <w:lang w:val="en-US" w:eastAsia="zh-CN"/>
        </w:rPr>
      </w:pPr>
      <w:bookmarkStart w:id="53" w:name="_Toc28434"/>
    </w:p>
    <w:p>
      <w:pPr>
        <w:numPr>
          <w:ilvl w:val="0"/>
          <w:numId w:val="2"/>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矢量编辑软件(导航电子地图编辑软件)</w:t>
      </w:r>
      <w:r>
        <w:rPr>
          <w:rFonts w:hint="eastAsia" w:ascii="仿宋" w:hAnsi="仿宋" w:eastAsia="仿宋" w:cs="仿宋"/>
          <w:sz w:val="28"/>
          <w:szCs w:val="28"/>
          <w:lang w:val="en-US" w:eastAsia="zh-CN"/>
        </w:rPr>
        <w:t>：制作导航电子地图，具备图形的输入与编辑、图形的查询与显示、数据库操作、空间分析和图形的输出等基本操作，需融合计算机地图方法，使用地理数据库技术进行地理信息系统分析功能。</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sz w:val="21"/>
          <w:szCs w:val="21"/>
        </w:rPr>
      </w:pPr>
      <w:r>
        <w:rPr>
          <w:rFonts w:hint="eastAsia" w:ascii="宋体" w:hAnsi="宋体" w:eastAsia="宋体" w:cs="宋体"/>
          <w:b/>
          <w:sz w:val="21"/>
          <w:szCs w:val="21"/>
        </w:rPr>
        <w:t>第四章  合同条款（仅供参考）</w:t>
      </w:r>
      <w:bookmarkEnd w:id="53"/>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1、定义</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 “合同”系指甲方和乙方(以下简称合同双方)已达成的协议，即由双方签订的合同格式文件，包括所有的招标文件、响应性文件、答疑纪录、澄清说明、附件、附录和组成合同的所有其他文件。</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 “合同价格”系指根据合同规定，在乙方全面正确地履行合同义务时，甲方应支付给乙方的款项。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 “货物”系指乙方按合同要求相关设备。</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 “服务”系指合同规定乙方必须承担的类似售后义务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 “甲方”、“买方”、“招标方”均系指通过招标采购，接受合同货物及服务的各行政事业单位、社会团体等采购单位及社会代理公司。</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 “乙方”、“卖方”系指中标后提供合同货物和服务的经济实体。</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 “现场”系指本次活动的服务地点。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 “验收”系指甲方依据技术规格规定接受合同货物所依据的程序和条件。</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2、适用范围</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 本合同条款仅适用于本次招标活动。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3、原产地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 原产地系指货物的生产地，或提供辅助服务的来源地。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4、技术规格和标准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4.1本合同项下所供货物的技术规格应与本招标文件技术规格规定的标准相一致。若技术规格中无相应规定，货物则应符合相应的国家标准或有关权威部门最新颁布的相应的正式标准。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5、专利权</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6、包装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6.2 每件包装应附有详细装箱单和质量证书各两套，一套在包装箱里，一套在包装箱外。</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7、保险</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7.1在合同价条件下，由乙方负责办理保险。</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8、合同价款的支付方式</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8.1 除另有规定者外，本合同价款将由采购人直接向乙方支付。</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9、质量保证</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9.1 在服务最终验收后的质量保证期之内，乙方应对自身缺陷而产生的任何不足或故障负责，费用由乙方负担。</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9.2上述内容以外的保修和售后服务内容为乙方在响应性文件中所承诺的内容。</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10、履约保证金（无）</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11、延期交货与核定损失额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11.1  乙方应按照“磋商响应报价表”规定提供服务，并交付甲方验收使用。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11.2 如果乙方无正当理由拖延交货，未得到甲方书面同意，将受到以下制裁：</w:t>
      </w:r>
      <w:r>
        <w:rPr>
          <w:rFonts w:hint="eastAsia" w:ascii="宋体" w:hAnsi="宋体" w:eastAsia="宋体" w:cs="宋体"/>
          <w:bCs/>
          <w:sz w:val="21"/>
          <w:szCs w:val="21"/>
        </w:rPr>
        <w:t>不予退还履约保证金，加收误期赔偿或终止合同</w:t>
      </w: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11.3如果乙方未能按合同规定的时间按期交货(不可抗力除外)，在乙方同意支付核定损失额的条件下，甲方将同意延长交货期。核定损失额的支付将从未付款或从履约保证金中扣除。核定损失额比率为每迟交1天，按迟交货物金额的0.5%，不满1天按1天计算，直到扣完为止。如果乙方在达到核定损失额的最高限额后仍不能交货，甲方有权因乙方违约终止合同，而乙方仍有义务支付上述迟交核定损失金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12、不可抗力</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13、仲裁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本项目如有合同争议，解决方式优先选择公安厅机关所在地人民法院，不施行仲裁。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14、违约终止合同</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(1)如果乙方未能在合同规定的期限内或甲方准许的任何延期内交付部分或全部货物。</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(2)乙方未能履行合同项下的其它义务。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15、变更指示</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15.1甲方可以随时向乙方发出书面指示，在合同总体范围内对如下一点或几点提出变更：</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pacing w:val="-2"/>
          <w:sz w:val="21"/>
          <w:szCs w:val="21"/>
        </w:rPr>
        <w:t>（1）</w:t>
      </w:r>
      <w:r>
        <w:rPr>
          <w:rFonts w:hint="eastAsia" w:ascii="宋体" w:hAnsi="宋体" w:eastAsia="宋体" w:cs="宋体"/>
          <w:sz w:val="21"/>
          <w:szCs w:val="21"/>
        </w:rPr>
        <w:t>合同项下需为甲方特殊制定的服务项目；</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pacing w:val="-2"/>
          <w:sz w:val="21"/>
          <w:szCs w:val="21"/>
        </w:rPr>
        <w:t xml:space="preserve">（2） </w:t>
      </w:r>
      <w:r>
        <w:rPr>
          <w:rFonts w:hint="eastAsia" w:ascii="宋体" w:hAnsi="宋体" w:eastAsia="宋体" w:cs="宋体"/>
          <w:sz w:val="21"/>
          <w:szCs w:val="21"/>
        </w:rPr>
        <w:t>服务地点；</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pacing w:val="-2"/>
          <w:sz w:val="21"/>
          <w:szCs w:val="21"/>
        </w:rPr>
        <w:t xml:space="preserve">（3） </w:t>
      </w:r>
      <w:r>
        <w:rPr>
          <w:rFonts w:hint="eastAsia" w:ascii="宋体" w:hAnsi="宋体" w:eastAsia="宋体" w:cs="宋体"/>
          <w:sz w:val="21"/>
          <w:szCs w:val="21"/>
        </w:rPr>
        <w:t>乙方须提供的服务。</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16、合同修改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16.1　欲对合同条款做出任何改动或偏离，均须由甲乙双方签署书面的合同修改书。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17、转让与分包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17.1除甲方事先同意外，乙方不得部分转让或全部转让其应履行的合同项下的义务。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17.2乙方应书面通知甲方本合同项下所授予的所有分包合同。但该通知不解除乙方承担的本合同项下的任何责任或义务。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18、适用法律</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18.1　本合同应按中华人民共和国的相关法律解释。</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19、通知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19.1本合同任何一方给另一方的通知都应以书面或电传、电报、传真的形式发送，而另一方应以书面形式确认并发送到对方明确的地址。</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20、合同文件及资料的使用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20.2除非执行合同需要，在事先末得到甲方同意的情况下，乙方不得将与本合同有关的任何文件和资料给第三方使用。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20.3除合同本身以外，若甲方要求，乙方应于其合同义务履行完毕以后将这些资料(包括所有副本)退还甲方。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21、合同生效及其他</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21.1　本合同应在甲方和乙方签字并加盖鉴证章后生效。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21.2　乙方须按技术规格中的规定，向甲方提供与合同项下本次招标的相关服务。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21.3　商务合同应包括甲方最后确认的价格条款和付款方式。</w:t>
      </w:r>
    </w:p>
    <w:p>
      <w:pPr>
        <w:pageBreakBefore w:val="0"/>
        <w:kinsoku/>
        <w:topLinePunct w:val="0"/>
        <w:bidi w:val="0"/>
        <w:spacing w:line="400" w:lineRule="exact"/>
        <w:ind w:left="0" w:leftChars="0" w:firstLine="0" w:firstLineChars="0"/>
        <w:rPr>
          <w:rFonts w:hint="eastAsia" w:ascii="宋体" w:hAnsi="宋体" w:eastAsia="宋体" w:cs="宋体"/>
          <w:spacing w:val="-6"/>
          <w:sz w:val="21"/>
          <w:szCs w:val="21"/>
        </w:rPr>
      </w:pPr>
      <w:r>
        <w:rPr>
          <w:rFonts w:hint="eastAsia" w:ascii="宋体" w:hAnsi="宋体" w:eastAsia="宋体" w:cs="宋体"/>
          <w:sz w:val="21"/>
          <w:szCs w:val="21"/>
        </w:rPr>
        <w:t>21.4　</w:t>
      </w:r>
      <w:r>
        <w:rPr>
          <w:rFonts w:hint="eastAsia" w:ascii="宋体" w:hAnsi="宋体" w:eastAsia="宋体" w:cs="宋体"/>
          <w:spacing w:val="-6"/>
          <w:sz w:val="21"/>
          <w:szCs w:val="21"/>
        </w:rPr>
        <w:t>下述文件将作为合同附件，为本合同不可分割的组成部分，并与本合具有同等效力：</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Cs/>
          <w:sz w:val="21"/>
          <w:szCs w:val="21"/>
        </w:rPr>
        <w:t>磋商文件</w:t>
      </w: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（2）中标通知书；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（3）中标方的响应性文件及磋商过程中的书面答疑记录。</w:t>
      </w:r>
      <w:bookmarkStart w:id="54" w:name="_Toc381724074"/>
      <w:bookmarkStart w:id="55" w:name="_Toc455412770"/>
      <w:bookmarkStart w:id="56" w:name="_Toc462223649"/>
    </w:p>
    <w:bookmarkEnd w:id="54"/>
    <w:bookmarkEnd w:id="55"/>
    <w:bookmarkEnd w:id="56"/>
    <w:p>
      <w:pPr>
        <w:pageBreakBefore w:val="0"/>
        <w:kinsoku/>
        <w:topLinePunct w:val="0"/>
        <w:bidi w:val="0"/>
        <w:spacing w:line="400" w:lineRule="exact"/>
        <w:ind w:left="0" w:leftChars="0" w:firstLine="0" w:firstLineChars="0"/>
        <w:rPr>
          <w:rFonts w:hint="eastAsia" w:ascii="宋体" w:hAnsi="宋体" w:eastAsia="宋体" w:cs="宋体"/>
          <w:sz w:val="21"/>
          <w:szCs w:val="21"/>
        </w:rPr>
      </w:pPr>
      <w:bookmarkStart w:id="57" w:name="_Toc349573144"/>
      <w:bookmarkStart w:id="58" w:name="_Toc462223650"/>
      <w:bookmarkStart w:id="59" w:name="_Toc349637943"/>
      <w:bookmarkStart w:id="60" w:name="_Toc298240429"/>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Style w:val="3"/>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bookmarkStart w:id="61" w:name="_Toc12367"/>
      <w:r>
        <w:rPr>
          <w:rFonts w:hint="eastAsia" w:ascii="宋体" w:hAnsi="宋体" w:eastAsia="宋体" w:cs="宋体"/>
          <w:sz w:val="21"/>
          <w:szCs w:val="21"/>
        </w:rPr>
        <w:t>第五章</w:t>
      </w:r>
      <w:bookmarkEnd w:id="57"/>
      <w:bookmarkEnd w:id="58"/>
      <w:bookmarkEnd w:id="59"/>
      <w:bookmarkEnd w:id="60"/>
      <w:r>
        <w:rPr>
          <w:rFonts w:hint="eastAsia" w:ascii="宋体" w:hAnsi="宋体" w:eastAsia="宋体" w:cs="宋体"/>
          <w:sz w:val="21"/>
          <w:szCs w:val="21"/>
        </w:rPr>
        <w:t xml:space="preserve">  附件</w:t>
      </w:r>
      <w:bookmarkEnd w:id="61"/>
    </w:p>
    <w:p>
      <w:pPr>
        <w:pageBreakBefore w:val="0"/>
        <w:kinsoku/>
        <w:topLinePunct w:val="0"/>
        <w:bidi w:val="0"/>
        <w:spacing w:line="400" w:lineRule="exact"/>
        <w:ind w:left="0" w:leftChars="0" w:firstLine="0" w:firstLineChars="0"/>
        <w:jc w:val="center"/>
        <w:outlineLvl w:val="0"/>
        <w:rPr>
          <w:rFonts w:hint="eastAsia" w:ascii="宋体" w:hAnsi="宋体" w:eastAsia="宋体" w:cs="宋体"/>
          <w:b/>
          <w:bCs/>
          <w:sz w:val="21"/>
          <w:szCs w:val="21"/>
        </w:rPr>
      </w:pPr>
      <w:bookmarkStart w:id="62" w:name="_Toc10875"/>
      <w:r>
        <w:rPr>
          <w:rFonts w:hint="eastAsia" w:ascii="宋体" w:hAnsi="宋体" w:eastAsia="宋体" w:cs="宋体"/>
          <w:b/>
          <w:bCs/>
          <w:sz w:val="21"/>
          <w:szCs w:val="21"/>
        </w:rPr>
        <w:t>开标一览表</w:t>
      </w:r>
      <w:bookmarkEnd w:id="62"/>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磋商供应商名称：</w:t>
      </w:r>
      <w:r>
        <w:rPr>
          <w:rFonts w:hint="eastAsia" w:ascii="宋体" w:hAnsi="宋体" w:eastAsia="宋体" w:cs="宋体"/>
          <w:bCs/>
          <w:sz w:val="21"/>
          <w:szCs w:val="21"/>
        </w:rPr>
        <w:t xml:space="preserve">             </w:t>
      </w:r>
      <w:r>
        <w:rPr>
          <w:rFonts w:hint="eastAsia" w:ascii="宋体" w:hAnsi="宋体" w:eastAsia="宋体" w:cs="宋体"/>
          <w:color w:val="000000"/>
          <w:sz w:val="21"/>
          <w:szCs w:val="21"/>
        </w:rPr>
        <w:t xml:space="preserve">  项目编号：    </w:t>
      </w:r>
      <w:r>
        <w:rPr>
          <w:rFonts w:hint="eastAsia" w:ascii="宋体" w:hAnsi="宋体" w:eastAsia="宋体" w:cs="宋体"/>
          <w:sz w:val="21"/>
          <w:szCs w:val="21"/>
        </w:rPr>
        <w:t xml:space="preserve">   </w:t>
      </w:r>
    </w:p>
    <w:tbl>
      <w:tblPr>
        <w:tblStyle w:val="34"/>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总价</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（小写）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工</w:t>
            </w:r>
            <w:r>
              <w:rPr>
                <w:rFonts w:hint="eastAsia" w:ascii="宋体" w:hAnsi="宋体" w:eastAsia="宋体" w:cs="宋体"/>
                <w:sz w:val="21"/>
                <w:szCs w:val="21"/>
              </w:rPr>
              <w:t>期</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质量标准</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1、投标总价应为各分项报价之和。报价须以元为单位，小数点后保留2位。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2、投标报价包括投标人为实施本项目提供投标产品及服务内容所包括的全部含税价格的体现。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3、投标人必须自行考虑本项目在实施期间的一切可能产生的费用。在合同执行过程中，招标人将不再另行支付与本项目相关的任何费用（非本项目要求的其它内容除外）。</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4、本表须按采购文件要求，单独封装、标识后提交。</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2"/>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u w:val="single"/>
        </w:rPr>
      </w:pPr>
      <w:bookmarkStart w:id="63" w:name="_Toc22719"/>
      <w:r>
        <w:rPr>
          <w:rFonts w:hint="eastAsia" w:ascii="宋体" w:hAnsi="宋体" w:eastAsia="宋体" w:cs="宋体"/>
          <w:color w:val="000000"/>
          <w:sz w:val="21"/>
          <w:szCs w:val="21"/>
        </w:rPr>
        <w:t>投标供应商名称（公章）：</w:t>
      </w:r>
      <w:bookmarkEnd w:id="63"/>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u w:val="single"/>
        </w:rPr>
      </w:pPr>
      <w:bookmarkStart w:id="64" w:name="_Toc13389"/>
      <w:r>
        <w:rPr>
          <w:rFonts w:hint="eastAsia" w:ascii="宋体" w:hAnsi="宋体" w:eastAsia="宋体" w:cs="宋体"/>
          <w:color w:val="000000"/>
          <w:sz w:val="21"/>
          <w:szCs w:val="21"/>
        </w:rPr>
        <w:t>法定代表人或授权代表人（签字）：</w:t>
      </w:r>
      <w:bookmarkEnd w:id="64"/>
    </w:p>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rPr>
      </w:pPr>
      <w:r>
        <w:rPr>
          <w:rFonts w:hint="eastAsia" w:ascii="宋体" w:hAnsi="宋体" w:eastAsia="宋体" w:cs="宋体"/>
          <w:bCs/>
          <w:color w:val="000000"/>
          <w:sz w:val="21"/>
          <w:szCs w:val="21"/>
        </w:rPr>
        <w:t>日期：</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eastAsia="宋体" w:cs="宋体"/>
          <w:bCs/>
          <w:color w:val="000000"/>
          <w:sz w:val="21"/>
          <w:szCs w:val="21"/>
          <w:u w:val="single"/>
        </w:rPr>
        <w:t xml:space="preserve">     </w:t>
      </w:r>
      <w:r>
        <w:rPr>
          <w:rFonts w:hint="eastAsia" w:ascii="宋体" w:hAnsi="宋体" w:eastAsia="宋体" w:cs="宋体"/>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65" w:name="_Toc30854"/>
      <w:r>
        <w:rPr>
          <w:rFonts w:hint="eastAsia" w:ascii="宋体" w:hAnsi="宋体" w:eastAsia="宋体" w:cs="宋体"/>
          <w:color w:val="000000"/>
          <w:sz w:val="21"/>
          <w:szCs w:val="21"/>
        </w:rPr>
        <w:t>附件1: 磋 商 响 应 函</w:t>
      </w:r>
      <w:bookmarkEnd w:id="65"/>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66" w:name="_Toc18786"/>
      <w:r>
        <w:rPr>
          <w:rFonts w:hint="eastAsia" w:ascii="宋体" w:hAnsi="宋体" w:eastAsia="宋体" w:cs="宋体"/>
          <w:color w:val="000000"/>
          <w:sz w:val="21"/>
          <w:szCs w:val="21"/>
        </w:rPr>
        <w:t>附件2：法定代表人身份证明</w:t>
      </w:r>
      <w:bookmarkEnd w:id="66"/>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67" w:name="_Toc22439"/>
      <w:r>
        <w:rPr>
          <w:rFonts w:hint="eastAsia" w:ascii="宋体" w:hAnsi="宋体" w:eastAsia="宋体" w:cs="宋体"/>
          <w:color w:val="000000"/>
          <w:sz w:val="21"/>
          <w:szCs w:val="21"/>
        </w:rPr>
        <w:t>附件3：法定代表人授权委托书</w:t>
      </w:r>
      <w:bookmarkEnd w:id="67"/>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68" w:name="_Toc24061"/>
      <w:r>
        <w:rPr>
          <w:rFonts w:hint="eastAsia" w:ascii="宋体" w:hAnsi="宋体" w:eastAsia="宋体" w:cs="宋体"/>
          <w:color w:val="000000"/>
          <w:sz w:val="21"/>
          <w:szCs w:val="21"/>
        </w:rPr>
        <w:t>附件4：磋商报价表（开标一览表）</w:t>
      </w:r>
      <w:bookmarkEnd w:id="68"/>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69" w:name="_Toc23676"/>
      <w:r>
        <w:rPr>
          <w:rFonts w:hint="eastAsia" w:ascii="宋体" w:hAnsi="宋体" w:eastAsia="宋体" w:cs="宋体"/>
          <w:color w:val="000000"/>
          <w:sz w:val="21"/>
          <w:szCs w:val="21"/>
        </w:rPr>
        <w:t>附件5：商务偏离表</w:t>
      </w:r>
      <w:bookmarkEnd w:id="69"/>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0" w:name="_Toc32168"/>
      <w:r>
        <w:rPr>
          <w:rFonts w:hint="eastAsia" w:ascii="宋体" w:hAnsi="宋体" w:eastAsia="宋体" w:cs="宋体"/>
          <w:color w:val="000000"/>
          <w:sz w:val="21"/>
          <w:szCs w:val="21"/>
        </w:rPr>
        <w:t>附件6：技术偏离表</w:t>
      </w:r>
      <w:bookmarkEnd w:id="70"/>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1" w:name="_Toc4252"/>
      <w:r>
        <w:rPr>
          <w:rFonts w:hint="eastAsia" w:ascii="宋体" w:hAnsi="宋体" w:eastAsia="宋体" w:cs="宋体"/>
          <w:color w:val="000000"/>
          <w:sz w:val="21"/>
          <w:szCs w:val="21"/>
        </w:rPr>
        <w:t>附件7：公司业绩一览表</w:t>
      </w:r>
      <w:bookmarkEnd w:id="71"/>
    </w:p>
    <w:p>
      <w:pPr>
        <w:pageBreakBefore w:val="0"/>
        <w:kinsoku/>
        <w:topLinePunct w:val="0"/>
        <w:bidi w:val="0"/>
        <w:spacing w:line="400" w:lineRule="exact"/>
        <w:ind w:left="0" w:leftChars="0" w:firstLine="0" w:firstLineChars="0"/>
        <w:outlineLvl w:val="0"/>
        <w:rPr>
          <w:rFonts w:hint="eastAsia" w:ascii="宋体" w:hAnsi="宋体" w:eastAsia="宋体" w:cs="宋体"/>
          <w:color w:val="000000"/>
          <w:sz w:val="21"/>
          <w:szCs w:val="21"/>
        </w:rPr>
      </w:pPr>
      <w:bookmarkStart w:id="72" w:name="_Toc20234"/>
      <w:r>
        <w:rPr>
          <w:rFonts w:hint="eastAsia" w:ascii="宋体" w:hAnsi="宋体" w:eastAsia="宋体" w:cs="宋体"/>
          <w:color w:val="000000"/>
          <w:sz w:val="21"/>
          <w:szCs w:val="21"/>
        </w:rPr>
        <w:t>附件8：优惠条件承诺书</w:t>
      </w:r>
      <w:bookmarkEnd w:id="72"/>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3" w:name="_Toc24015"/>
      <w:r>
        <w:rPr>
          <w:rFonts w:hint="eastAsia" w:ascii="宋体" w:hAnsi="宋体" w:eastAsia="宋体" w:cs="宋体"/>
          <w:color w:val="000000"/>
          <w:sz w:val="21"/>
          <w:szCs w:val="21"/>
        </w:rPr>
        <w:t>附件9：售后服务承诺</w:t>
      </w:r>
      <w:bookmarkEnd w:id="73"/>
      <w:r>
        <w:rPr>
          <w:rFonts w:hint="eastAsia" w:ascii="宋体" w:hAnsi="宋体" w:eastAsia="宋体" w:cs="宋体"/>
          <w:color w:val="000000"/>
          <w:sz w:val="21"/>
          <w:szCs w:val="21"/>
        </w:rPr>
        <w:t xml:space="preserve"> </w:t>
      </w:r>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4" w:name="_Toc901"/>
      <w:r>
        <w:rPr>
          <w:rFonts w:hint="eastAsia" w:ascii="宋体" w:hAnsi="宋体" w:eastAsia="宋体" w:cs="宋体"/>
          <w:color w:val="000000"/>
          <w:sz w:val="21"/>
          <w:szCs w:val="21"/>
        </w:rPr>
        <w:t>附件10：无重大违法记录声明</w:t>
      </w:r>
      <w:bookmarkEnd w:id="74"/>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5" w:name="_Toc19396"/>
      <w:r>
        <w:rPr>
          <w:rFonts w:hint="eastAsia" w:ascii="宋体" w:hAnsi="宋体" w:eastAsia="宋体" w:cs="宋体"/>
          <w:color w:val="000000"/>
          <w:sz w:val="21"/>
          <w:szCs w:val="21"/>
        </w:rPr>
        <w:t>附件 11：供应商反商业贿赂承诺书</w:t>
      </w:r>
      <w:bookmarkEnd w:id="75"/>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6" w:name="_Toc30867"/>
      <w:r>
        <w:rPr>
          <w:rFonts w:hint="eastAsia" w:ascii="宋体" w:hAnsi="宋体" w:eastAsia="宋体" w:cs="宋体"/>
          <w:color w:val="000000"/>
          <w:sz w:val="21"/>
          <w:szCs w:val="21"/>
        </w:rPr>
        <w:t>附件12：中小微企业证明文件等（如有）</w:t>
      </w:r>
      <w:bookmarkEnd w:id="76"/>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7" w:name="_Toc3181"/>
      <w:r>
        <w:rPr>
          <w:rFonts w:hint="eastAsia" w:ascii="宋体" w:hAnsi="宋体" w:eastAsia="宋体" w:cs="宋体"/>
          <w:color w:val="000000"/>
          <w:sz w:val="21"/>
          <w:szCs w:val="21"/>
        </w:rPr>
        <w:t>附件13：投标人认为有必要提交的其他相关证明材料</w:t>
      </w:r>
      <w:bookmarkEnd w:id="77"/>
    </w:p>
    <w:p>
      <w:pPr>
        <w:pageBreakBefore w:val="0"/>
        <w:kinsoku/>
        <w:topLinePunct w:val="0"/>
        <w:bidi w:val="0"/>
        <w:spacing w:line="400" w:lineRule="exact"/>
        <w:ind w:left="0" w:leftChars="0" w:firstLine="0" w:firstLineChars="0"/>
        <w:rPr>
          <w:rFonts w:hint="eastAsia" w:ascii="宋体" w:hAnsi="宋体" w:eastAsia="宋体" w:cs="宋体"/>
          <w:sz w:val="21"/>
          <w:szCs w:val="21"/>
        </w:rPr>
        <w:sectPr>
          <w:footerReference r:id="rId7" w:type="first"/>
          <w:footerReference r:id="rId6" w:type="default"/>
          <w:pgSz w:w="11907" w:h="16840"/>
          <w:pgMar w:top="1440" w:right="1247" w:bottom="1440" w:left="1361" w:header="851" w:footer="799" w:gutter="0"/>
          <w:pgNumType w:start="1"/>
          <w:cols w:space="720" w:num="1"/>
          <w:titlePg/>
          <w:docGrid w:type="lines" w:linePitch="409" w:charSpace="0"/>
        </w:sectPr>
      </w:pPr>
    </w:p>
    <w:p>
      <w:pPr>
        <w:pageBreakBefore w:val="0"/>
        <w:kinsoku/>
        <w:topLinePunct w:val="0"/>
        <w:bidi w:val="0"/>
        <w:spacing w:line="400" w:lineRule="exact"/>
        <w:ind w:left="0" w:leftChars="0" w:firstLine="0" w:firstLineChars="0"/>
        <w:rPr>
          <w:rFonts w:hint="eastAsia" w:ascii="宋体" w:hAnsi="宋体" w:eastAsia="宋体" w:cs="宋体"/>
          <w:b/>
          <w:color w:val="000000"/>
          <w:sz w:val="21"/>
          <w:szCs w:val="21"/>
        </w:rPr>
      </w:pPr>
      <w:bookmarkStart w:id="78" w:name="_Toc16702"/>
      <w:r>
        <w:rPr>
          <w:rFonts w:hint="eastAsia" w:ascii="宋体" w:hAnsi="宋体" w:eastAsia="宋体" w:cs="宋体"/>
          <w:b/>
          <w:color w:val="000000"/>
          <w:sz w:val="21"/>
          <w:szCs w:val="21"/>
        </w:rPr>
        <w:t>附件1：</w:t>
      </w:r>
      <w:bookmarkEnd w:id="78"/>
    </w:p>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磋 商 响 应 函</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bCs/>
          <w:color w:val="000000"/>
          <w:sz w:val="21"/>
          <w:szCs w:val="21"/>
        </w:rPr>
        <w:t>致：</w:t>
      </w:r>
      <w:r>
        <w:rPr>
          <w:rFonts w:hint="eastAsia" w:ascii="宋体" w:hAnsi="宋体" w:eastAsia="宋体" w:cs="宋体"/>
          <w:color w:val="000000"/>
          <w:sz w:val="21"/>
          <w:szCs w:val="21"/>
        </w:rPr>
        <w:t>宏业国际项目管理有限公司</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rPr>
        <w:t>根据贵方项目</w:t>
      </w:r>
      <w:r>
        <w:rPr>
          <w:rFonts w:hint="eastAsia" w:ascii="宋体" w:hAnsi="宋体" w:eastAsia="宋体" w:cs="宋体"/>
          <w:color w:val="000000"/>
          <w:sz w:val="21"/>
          <w:szCs w:val="21"/>
        </w:rPr>
        <w:t>的</w:t>
      </w:r>
      <w:r>
        <w:rPr>
          <w:rFonts w:hint="eastAsia" w:ascii="宋体" w:hAnsi="宋体" w:eastAsia="宋体" w:cs="宋体"/>
          <w:color w:val="000000"/>
          <w:spacing w:val="-6"/>
          <w:sz w:val="21"/>
          <w:szCs w:val="21"/>
        </w:rPr>
        <w:t>招标采购</w:t>
      </w:r>
      <w:r>
        <w:rPr>
          <w:rFonts w:hint="eastAsia" w:ascii="宋体" w:hAnsi="宋体" w:eastAsia="宋体" w:cs="宋体"/>
          <w:color w:val="000000"/>
          <w:sz w:val="21"/>
          <w:szCs w:val="21"/>
        </w:rPr>
        <w:t>(项目</w:t>
      </w:r>
      <w:r>
        <w:rPr>
          <w:rFonts w:hint="eastAsia" w:ascii="宋体" w:hAnsi="宋体" w:eastAsia="宋体" w:cs="宋体"/>
          <w:color w:val="000000"/>
          <w:sz w:val="21"/>
          <w:szCs w:val="21"/>
          <w:highlight w:val="none"/>
        </w:rPr>
        <w:t>编号:      )，正式授权的下述签字人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姓名和职务）代表供应商</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磋商供应商名称），提交下述文件正本一份，副本</w:t>
      </w:r>
      <w:r>
        <w:rPr>
          <w:rFonts w:hint="eastAsia" w:ascii="宋体" w:hAnsi="宋体" w:cs="宋体"/>
          <w:color w:val="000000"/>
          <w:sz w:val="21"/>
          <w:szCs w:val="21"/>
          <w:highlight w:val="none"/>
          <w:lang w:eastAsia="zh-CN"/>
        </w:rPr>
        <w:t>二</w:t>
      </w:r>
      <w:r>
        <w:rPr>
          <w:rFonts w:hint="eastAsia" w:ascii="宋体" w:hAnsi="宋体" w:eastAsia="宋体" w:cs="宋体"/>
          <w:color w:val="000000"/>
          <w:sz w:val="21"/>
          <w:szCs w:val="21"/>
          <w:highlight w:val="none"/>
        </w:rPr>
        <w:t>份， 开标一览表一份，电子U盘一份，光盘</w:t>
      </w:r>
      <w:r>
        <w:rPr>
          <w:rFonts w:hint="eastAsia" w:ascii="宋体" w:hAnsi="宋体" w:cs="宋体"/>
          <w:color w:val="000000"/>
          <w:sz w:val="21"/>
          <w:szCs w:val="21"/>
          <w:highlight w:val="none"/>
          <w:lang w:eastAsia="zh-CN"/>
        </w:rPr>
        <w:t>二</w:t>
      </w:r>
      <w:r>
        <w:rPr>
          <w:rFonts w:hint="eastAsia" w:ascii="宋体" w:hAnsi="宋体" w:eastAsia="宋体" w:cs="宋体"/>
          <w:color w:val="000000"/>
          <w:sz w:val="21"/>
          <w:szCs w:val="21"/>
          <w:highlight w:val="none"/>
        </w:rPr>
        <w:t xml:space="preserve">份。   </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1.磋商响应函</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2.开标一览表</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3.磋商报价表</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4.磋商保证金</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5.按磋商文件要求供应商提交的全部文件</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据此函，签字人兹宣布同意如下条款：</w:t>
      </w:r>
    </w:p>
    <w:p>
      <w:pPr>
        <w:pageBreakBefore w:val="0"/>
        <w:numPr>
          <w:ilvl w:val="0"/>
          <w:numId w:val="3"/>
        </w:numPr>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所附磋商价格表中规定的应提供和交付的货物及服务磋商总价为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大写）。</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⑵ 我们将按磋商文件的规定履行合同责任和义务。</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⑶ 我们已详细审查全部磋商文件，包括修改意见（如有则附）以及全部参考资料和有关附件。我们完全理解并同意放弃对这方面有不明及误解而要求招标方解释和承担责任的权利。</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⑷ 在供应商须知规定的磋商有效期内遵循本磋商响应性文件，并在磋商须知规定的磋商有效期期满之前具有约束力。</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⑸ 如果在规定的磋商有效期内撤回投标，我们的磋商保证金可被贵方没收。</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⑹ 同意提供贵方可能要求的与本投标有关的任何证据或资料。</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⑺ 我们同意提供按照招标单位可能出示的与其投标有关的一切数据或资料。</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⑻ 我们理解贵方不一定要接受最低报价的投标或收到的任何投标。</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⑼ 与本投标有关的一切正式往来通讯请寄至：</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电话：</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传真：</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法定代表人或授权代表人（签字）：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79" w:name="_Toc21536"/>
      <w:r>
        <w:rPr>
          <w:rFonts w:hint="eastAsia" w:ascii="宋体" w:hAnsi="宋体" w:eastAsia="宋体" w:cs="宋体"/>
          <w:b/>
          <w:sz w:val="21"/>
          <w:szCs w:val="21"/>
        </w:rPr>
        <w:t>附件2：</w:t>
      </w:r>
      <w:bookmarkEnd w:id="79"/>
      <w:bookmarkStart w:id="80" w:name="_Toc139965362"/>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bookmarkStart w:id="81" w:name="_Toc327439494"/>
      <w:r>
        <w:rPr>
          <w:rFonts w:hint="eastAsia" w:ascii="宋体" w:hAnsi="宋体" w:eastAsia="宋体" w:cs="宋体"/>
          <w:b/>
          <w:sz w:val="21"/>
          <w:szCs w:val="21"/>
        </w:rPr>
        <w:t>法定代表人身份证明</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磋商供应商名称：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单位性质：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地址：</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成立时间：年月日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经营期限：</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性别：</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年龄：</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职务：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身份证号码：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系（磋商供应商名称）的法定代表人。</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特此证明。</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tbl>
      <w:tblPr>
        <w:tblStyle w:val="34"/>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法定代表人身份证</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复印件正面</w:t>
            </w:r>
          </w:p>
        </w:tc>
        <w:tc>
          <w:tcPr>
            <w:tcW w:w="46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法定代表人身份证</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复印件反面</w:t>
            </w:r>
          </w:p>
        </w:tc>
      </w:tr>
    </w:tbl>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 xml:space="preserve">日期：  年   月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 xml:space="preserve"> 日</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82" w:name="_Toc16424"/>
      <w:r>
        <w:rPr>
          <w:rFonts w:hint="eastAsia" w:ascii="宋体" w:hAnsi="宋体" w:eastAsia="宋体" w:cs="宋体"/>
          <w:b/>
          <w:sz w:val="21"/>
          <w:szCs w:val="21"/>
        </w:rPr>
        <w:t>附件3：</w:t>
      </w:r>
      <w:bookmarkEnd w:id="82"/>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法定代表人授权委托书</w:t>
      </w: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kinsoku/>
        <w:topLinePunct w:val="0"/>
        <w:bidi w:val="0"/>
        <w:spacing w:line="400" w:lineRule="exact"/>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本授权书声明：我</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系</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（投标人名称）的法定代表人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本单位授权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（被授权人的姓名、职务）为本单位的合法代理人，以</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（投标人名称）的名义参加</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（项目名称和项目编号）招标项目的投标活动。代理人在参加整个招标投标活动所签署的一切文件和处理与之相关的一切事物，我均予承认。</w:t>
      </w:r>
    </w:p>
    <w:p>
      <w:pPr>
        <w:pageBreakBefore w:val="0"/>
        <w:kinsoku/>
        <w:topLinePunct w:val="0"/>
        <w:bidi w:val="0"/>
        <w:spacing w:line="400" w:lineRule="exact"/>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本授权书于年月日签字生效，特此声明。</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I9UCNoAAAAJAQAADwAAAAAAAAAB&#10;ACAAAAAiAAAAZHJzL2Rvd25yZXYueG1sUEsBAhQAFAAAAAgAh07iQNlOR3NHAgAAlgQAAA4AAAAA&#10;AAAAAQAgAAAAKQ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授权代表人签字：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jc w:val="right"/>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pacing w:val="10"/>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b/>
          <w:color w:val="000000"/>
          <w:sz w:val="21"/>
          <w:szCs w:val="21"/>
        </w:rPr>
      </w:pPr>
      <w:bookmarkStart w:id="83" w:name="_Toc9209"/>
      <w:r>
        <w:rPr>
          <w:rFonts w:hint="eastAsia" w:ascii="宋体" w:hAnsi="宋体" w:eastAsia="宋体" w:cs="宋体"/>
          <w:b/>
          <w:color w:val="000000"/>
          <w:sz w:val="21"/>
          <w:szCs w:val="21"/>
        </w:rPr>
        <w:br w:type="page"/>
      </w:r>
    </w:p>
    <w:p>
      <w:pPr>
        <w:pageBreakBefore w:val="0"/>
        <w:kinsoku/>
        <w:topLinePunct w:val="0"/>
        <w:bidi w:val="0"/>
        <w:spacing w:line="400" w:lineRule="exact"/>
        <w:ind w:left="0" w:leftChars="0" w:firstLine="0" w:firstLineChars="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附件4：</w:t>
      </w:r>
      <w:bookmarkEnd w:id="83"/>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报价一览表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磋商供应商名称：</w:t>
      </w:r>
      <w:r>
        <w:rPr>
          <w:rFonts w:hint="eastAsia" w:ascii="宋体" w:hAnsi="宋体" w:eastAsia="宋体" w:cs="宋体"/>
          <w:bCs/>
          <w:sz w:val="21"/>
          <w:szCs w:val="21"/>
        </w:rPr>
        <w:t xml:space="preserve">             </w:t>
      </w:r>
      <w:r>
        <w:rPr>
          <w:rFonts w:hint="eastAsia" w:ascii="宋体" w:hAnsi="宋体" w:eastAsia="宋体" w:cs="宋体"/>
          <w:color w:val="000000"/>
          <w:sz w:val="21"/>
          <w:szCs w:val="21"/>
        </w:rPr>
        <w:t xml:space="preserve">  项目编号：    </w:t>
      </w:r>
      <w:r>
        <w:rPr>
          <w:rFonts w:hint="eastAsia" w:ascii="宋体" w:hAnsi="宋体" w:eastAsia="宋体" w:cs="宋体"/>
          <w:sz w:val="21"/>
          <w:szCs w:val="21"/>
        </w:rPr>
        <w:t xml:space="preserve">   </w:t>
      </w:r>
    </w:p>
    <w:tbl>
      <w:tblPr>
        <w:tblStyle w:val="34"/>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总价</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（小写）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服务期</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质量标准</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1、投标总价应为各分项报价之和。报价须以元为单位，小数点后保留2位。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2、投标报价包括投标人为实施本项目提供投标产品及服务内容所包括的全部含税价格的体现。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3、投标人必须自行考虑本项目在实施期间的一切可能产生的费用。在合同执行过程中，招标人将不再另行支付与本项目相关的任何费用（非本项目要求的其它内容除外）。</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2"/>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授权代表人签字：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u w:val="single"/>
        </w:rPr>
        <w:br w:type="page"/>
      </w: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报价明细表</w:t>
      </w:r>
    </w:p>
    <w:p>
      <w:pPr>
        <w:pStyle w:val="33"/>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磋商供应商名称：</w:t>
      </w:r>
      <w:r>
        <w:rPr>
          <w:rFonts w:hint="eastAsia" w:ascii="宋体" w:hAnsi="宋体" w:eastAsia="宋体" w:cs="宋体"/>
          <w:bCs/>
          <w:sz w:val="21"/>
          <w:szCs w:val="21"/>
        </w:rPr>
        <w:t xml:space="preserve">             </w:t>
      </w:r>
      <w:r>
        <w:rPr>
          <w:rFonts w:hint="eastAsia" w:ascii="宋体" w:hAnsi="宋体" w:eastAsia="宋体" w:cs="宋体"/>
          <w:color w:val="000000"/>
          <w:sz w:val="21"/>
          <w:szCs w:val="21"/>
        </w:rPr>
        <w:t xml:space="preserve">  项目编号：</w:t>
      </w:r>
    </w:p>
    <w:tbl>
      <w:tblPr>
        <w:tblStyle w:val="34"/>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900"/>
        <w:gridCol w:w="2415"/>
        <w:gridCol w:w="1985"/>
        <w:gridCol w:w="18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招标内容</w:t>
            </w: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单价（元）</w:t>
            </w:r>
          </w:p>
        </w:tc>
        <w:tc>
          <w:tcPr>
            <w:tcW w:w="198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1842"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总价（元）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left"/>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合计</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bl>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授权代表人签字：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br w:type="page"/>
      </w:r>
    </w:p>
    <w:bookmarkEnd w:id="80"/>
    <w:bookmarkEnd w:id="81"/>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84" w:name="_Toc32506"/>
      <w:r>
        <w:rPr>
          <w:rFonts w:hint="eastAsia" w:ascii="宋体" w:hAnsi="宋体" w:eastAsia="宋体" w:cs="宋体"/>
          <w:b/>
          <w:sz w:val="21"/>
          <w:szCs w:val="21"/>
        </w:rPr>
        <w:t>附件5：</w:t>
      </w:r>
      <w:bookmarkEnd w:id="84"/>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商务偏离表</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tbl>
      <w:tblPr>
        <w:tblStyle w:val="34"/>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序号</w:t>
            </w: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招标文件条目号</w:t>
            </w: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招标文件的商务条款</w:t>
            </w: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投标文件的商务条款</w:t>
            </w: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偏离情况</w:t>
            </w: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注：除本商务偏离表中所列的偏离内容外，其他所有商务条款均应完全响应“磋商文件”中的要求。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bookmarkStart w:id="85" w:name="_Toc327439493"/>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86" w:name="_Toc8206"/>
      <w:r>
        <w:rPr>
          <w:rFonts w:hint="eastAsia" w:ascii="宋体" w:hAnsi="宋体" w:eastAsia="宋体" w:cs="宋体"/>
          <w:b/>
          <w:sz w:val="21"/>
          <w:szCs w:val="21"/>
        </w:rPr>
        <w:t>附件6：</w:t>
      </w:r>
      <w:bookmarkEnd w:id="86"/>
    </w:p>
    <w:p>
      <w:pPr>
        <w:pageBreakBefore w:val="0"/>
        <w:kinsoku/>
        <w:topLinePunct w:val="0"/>
        <w:bidi w:val="0"/>
        <w:snapToGrid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技术偏离表</w:t>
      </w:r>
    </w:p>
    <w:tbl>
      <w:tblPr>
        <w:tblStyle w:val="34"/>
        <w:tblW w:w="8496" w:type="dxa"/>
        <w:jc w:val="center"/>
        <w:tblLayout w:type="fixed"/>
        <w:tblCellMar>
          <w:top w:w="0" w:type="dxa"/>
          <w:left w:w="0" w:type="dxa"/>
          <w:bottom w:w="0" w:type="dxa"/>
          <w:right w:w="0" w:type="dxa"/>
        </w:tblCellMar>
      </w:tblPr>
      <w:tblGrid>
        <w:gridCol w:w="1427"/>
        <w:gridCol w:w="1440"/>
        <w:gridCol w:w="2160"/>
        <w:gridCol w:w="2340"/>
        <w:gridCol w:w="1129"/>
      </w:tblGrid>
      <w:tr>
        <w:tblPrEx>
          <w:tblCellMar>
            <w:top w:w="0" w:type="dxa"/>
            <w:left w:w="0" w:type="dxa"/>
            <w:bottom w:w="0" w:type="dxa"/>
            <w:right w:w="0" w:type="dxa"/>
          </w:tblCellMar>
        </w:tblPrEx>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偏离情况</w:t>
            </w:r>
          </w:p>
        </w:tc>
      </w:tr>
      <w:tr>
        <w:tblPrEx>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1"/>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磋商文件技术要求</w:t>
            </w:r>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1"/>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磋商供应商的技术响</w:t>
            </w:r>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r>
    </w:tbl>
    <w:p>
      <w:pPr>
        <w:pageBreakBefore w:val="0"/>
        <w:kinsoku/>
        <w:topLinePunct w:val="0"/>
        <w:bidi w:val="0"/>
        <w:snapToGrid w:val="0"/>
        <w:spacing w:line="400" w:lineRule="exact"/>
        <w:ind w:left="0" w:leftChars="0" w:firstLine="0" w:firstLineChars="0"/>
        <w:jc w:val="center"/>
        <w:rPr>
          <w:rFonts w:hint="eastAsia" w:ascii="宋体" w:hAnsi="宋体" w:eastAsia="宋体" w:cs="宋体"/>
          <w:b/>
          <w:sz w:val="21"/>
          <w:szCs w:val="21"/>
        </w:rPr>
      </w:pPr>
    </w:p>
    <w:p>
      <w:pPr>
        <w:pStyle w:val="21"/>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Style w:val="28"/>
        <w:pageBreakBefore w:val="0"/>
        <w:kinsoku/>
        <w:topLinePunct w:val="0"/>
        <w:bidi w:val="0"/>
        <w:spacing w:line="400" w:lineRule="exact"/>
        <w:ind w:left="0" w:leftChars="0" w:firstLine="0" w:firstLineChars="0"/>
        <w:rPr>
          <w:rFonts w:hint="eastAsia" w:ascii="宋体" w:hAnsi="宋体" w:eastAsia="宋体" w:cs="宋体"/>
          <w:b w:val="0"/>
          <w:sz w:val="21"/>
          <w:szCs w:val="21"/>
        </w:rPr>
      </w:pPr>
    </w:p>
    <w:p>
      <w:pPr>
        <w:pStyle w:val="28"/>
        <w:pageBreakBefore w:val="0"/>
        <w:kinsoku/>
        <w:topLinePunct w:val="0"/>
        <w:bidi w:val="0"/>
        <w:spacing w:line="400" w:lineRule="exact"/>
        <w:ind w:left="0" w:leftChars="0" w:firstLine="0" w:firstLineChars="0"/>
        <w:rPr>
          <w:rFonts w:hint="eastAsia" w:ascii="宋体" w:hAnsi="宋体" w:eastAsia="宋体" w:cs="宋体"/>
          <w:b w:val="0"/>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bookmarkEnd w:id="85"/>
    <w:p>
      <w:pPr>
        <w:pageBreakBefore w:val="0"/>
        <w:kinsoku/>
        <w:topLinePunct w:val="0"/>
        <w:bidi w:val="0"/>
        <w:spacing w:line="400" w:lineRule="exact"/>
        <w:ind w:left="0" w:leftChars="0" w:firstLine="0" w:firstLineChars="0"/>
        <w:rPr>
          <w:rFonts w:hint="eastAsia" w:ascii="宋体" w:hAnsi="宋体" w:eastAsia="宋体" w:cs="宋体"/>
          <w:sz w:val="21"/>
          <w:szCs w:val="21"/>
        </w:rPr>
        <w:sectPr>
          <w:headerReference r:id="rId8" w:type="default"/>
          <w:pgSz w:w="11906" w:h="16838"/>
          <w:pgMar w:top="1304" w:right="1247" w:bottom="1418" w:left="1247" w:header="851" w:footer="992" w:gutter="0"/>
          <w:cols w:space="720" w:num="1"/>
          <w:docGrid w:linePitch="312" w:charSpace="0"/>
        </w:sectPr>
      </w:pPr>
      <w:bookmarkStart w:id="87" w:name="_Toc400536597"/>
      <w:bookmarkStart w:id="88" w:name="_Toc258923314"/>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89" w:name="_Toc5690"/>
      <w:r>
        <w:rPr>
          <w:rFonts w:hint="eastAsia" w:ascii="宋体" w:hAnsi="宋体" w:eastAsia="宋体" w:cs="宋体"/>
          <w:b/>
          <w:sz w:val="21"/>
          <w:szCs w:val="21"/>
        </w:rPr>
        <w:t>附件7：</w:t>
      </w:r>
      <w:bookmarkEnd w:id="89"/>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公司业绩一览表</w:t>
      </w:r>
      <w:bookmarkEnd w:id="87"/>
      <w:bookmarkEnd w:id="88"/>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tbl>
      <w:tblPr>
        <w:tblStyle w:val="34"/>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90" w:name="_Toc6256"/>
      <w:r>
        <w:rPr>
          <w:rFonts w:hint="eastAsia" w:ascii="宋体" w:hAnsi="宋体" w:eastAsia="宋体" w:cs="宋体"/>
          <w:b/>
          <w:sz w:val="21"/>
          <w:szCs w:val="21"/>
        </w:rPr>
        <w:t>附件8：</w:t>
      </w:r>
      <w:bookmarkEnd w:id="90"/>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bookmarkStart w:id="91" w:name="_Toc400536598"/>
      <w:bookmarkStart w:id="92" w:name="_Toc258923315"/>
      <w:r>
        <w:rPr>
          <w:rFonts w:hint="eastAsia" w:ascii="宋体" w:hAnsi="宋体" w:eastAsia="宋体" w:cs="宋体"/>
          <w:b/>
          <w:sz w:val="21"/>
          <w:szCs w:val="21"/>
        </w:rPr>
        <w:t>优惠条件承诺书</w:t>
      </w:r>
      <w:bookmarkEnd w:id="91"/>
      <w:bookmarkEnd w:id="92"/>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致：宏业国际项目管理有限公司</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经仔细阅读你们的磋商文件，对所投标项目向贵单位特作如下优惠条件承诺：</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（1）．．．．．．</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（2）．．．．．．</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（3）．．．．．．</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特此承诺！</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bCs/>
          <w:color w:val="000000"/>
          <w:sz w:val="21"/>
          <w:szCs w:val="21"/>
        </w:rPr>
        <w:t>法定代表人或授权代表人（签字）：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职务：</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地址：</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电话：</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传真：</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bookmarkStart w:id="93" w:name="_Toc20690"/>
      <w:r>
        <w:rPr>
          <w:rFonts w:hint="eastAsia" w:ascii="宋体" w:hAnsi="宋体" w:eastAsia="宋体" w:cs="宋体"/>
          <w:b/>
          <w:sz w:val="21"/>
          <w:szCs w:val="21"/>
        </w:rPr>
        <w:t>附件9：</w:t>
      </w:r>
      <w:bookmarkEnd w:id="93"/>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bookmarkStart w:id="94" w:name="_Toc258923316"/>
      <w:bookmarkStart w:id="95" w:name="_Toc400536599"/>
      <w:r>
        <w:rPr>
          <w:rFonts w:hint="eastAsia" w:ascii="宋体" w:hAnsi="宋体" w:eastAsia="宋体" w:cs="宋体"/>
          <w:b/>
          <w:sz w:val="21"/>
          <w:szCs w:val="21"/>
        </w:rPr>
        <w:t>售后服务承诺</w:t>
      </w:r>
      <w:bookmarkEnd w:id="94"/>
      <w:bookmarkEnd w:id="95"/>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sz w:val="21"/>
          <w:szCs w:val="21"/>
        </w:rPr>
        <w:t>格式自拟</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bookmarkStart w:id="96" w:name="_Toc25362"/>
      <w:r>
        <w:rPr>
          <w:rFonts w:hint="eastAsia" w:ascii="宋体" w:hAnsi="宋体" w:eastAsia="宋体" w:cs="宋体"/>
          <w:b/>
          <w:sz w:val="21"/>
          <w:szCs w:val="21"/>
        </w:rPr>
        <w:t>附件10：</w:t>
      </w:r>
      <w:bookmarkEnd w:id="96"/>
    </w:p>
    <w:p>
      <w:pPr>
        <w:pageBreakBefore w:val="0"/>
        <w:kinsoku/>
        <w:topLinePunct w:val="0"/>
        <w:bidi w:val="0"/>
        <w:spacing w:line="400" w:lineRule="exact"/>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无重大违法记录声明</w:t>
      </w:r>
    </w:p>
    <w:p>
      <w:pPr>
        <w:pageBreakBefore w:val="0"/>
        <w:kinsoku/>
        <w:topLinePunct w:val="0"/>
        <w:bidi w:val="0"/>
        <w:spacing w:line="400" w:lineRule="exact"/>
        <w:ind w:left="0" w:leftChars="0" w:firstLine="0" w:firstLineChars="0"/>
        <w:jc w:val="center"/>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致：宏业国际项目管理有限公司</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我单位参加政府采购活动前三年内，在经营活动中没有重大违法记录。</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若采购单位在本项目采购过程中发现我单位近三年内在经营活动中有重大违法记录，我单位将无条件地退出本项目的招标，并承担因此引起的一切后果。</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特此声明!</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bookmarkStart w:id="97" w:name="_Toc20687"/>
      <w:r>
        <w:rPr>
          <w:rFonts w:hint="eastAsia" w:ascii="宋体" w:hAnsi="宋体" w:eastAsia="宋体" w:cs="宋体"/>
          <w:b/>
          <w:sz w:val="21"/>
          <w:szCs w:val="21"/>
        </w:rPr>
        <w:t>附件11：</w:t>
      </w:r>
      <w:bookmarkEnd w:id="97"/>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供应商反商业贿赂承诺书</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我公司承诺在</w:t>
      </w:r>
      <w:r>
        <w:rPr>
          <w:rFonts w:hint="eastAsia" w:ascii="宋体" w:hAnsi="宋体" w:eastAsia="宋体" w:cs="宋体"/>
          <w:kern w:val="0"/>
          <w:sz w:val="21"/>
          <w:szCs w:val="21"/>
          <w:u w:val="single"/>
        </w:rPr>
        <w:t>（项目编号、项目名称）</w:t>
      </w:r>
      <w:r>
        <w:rPr>
          <w:rFonts w:hint="eastAsia" w:ascii="宋体" w:hAnsi="宋体" w:eastAsia="宋体" w:cs="宋体"/>
          <w:kern w:val="0"/>
          <w:sz w:val="21"/>
          <w:szCs w:val="21"/>
        </w:rPr>
        <w:t>招标活动中，不给予国家工作人员以及中介机构工作人员及其亲属各种形式的商业贿（包括送礼金礼品、有价证券、购物券、回扣、佣金、咨询费、劳务费、赞助费、宣传费、支付旅游费用、报销各种消费凭证、宴请、娱乐等），如有上述行为，我公司及项目参与人员愿意按照《反不正当竞争法》的有关规定接受处罚。</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法定代表人：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法人授权代表：</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项目经办人：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我公司承诺在参加本次投标前三年内，无以下行为：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重大违法行为；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商业贿行为；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政府采购法《第七十七条》，列入不良行为记录名单的各种行为；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如有上述行为，我公司及项目参与人员自愿放弃本次项目的投标、报价资格，若为预中标、成交人，也自愿放弃中标、成交资格</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widowControl/>
        <w:kinsoku/>
        <w:topLinePunct w:val="0"/>
        <w:bidi w:val="0"/>
        <w:spacing w:line="400" w:lineRule="exact"/>
        <w:ind w:left="0" w:leftChars="0" w:firstLine="0" w:firstLineChars="0"/>
        <w:rPr>
          <w:rFonts w:hint="eastAsia" w:ascii="宋体" w:hAnsi="宋体" w:eastAsia="宋体" w:cs="宋体"/>
          <w:b/>
          <w:sz w:val="21"/>
          <w:szCs w:val="21"/>
        </w:rPr>
      </w:pPr>
      <w:bookmarkStart w:id="98" w:name="_Toc22028"/>
      <w:r>
        <w:rPr>
          <w:rFonts w:hint="eastAsia" w:ascii="宋体" w:hAnsi="宋体" w:eastAsia="宋体" w:cs="宋体"/>
          <w:b/>
          <w:sz w:val="21"/>
          <w:szCs w:val="21"/>
        </w:rPr>
        <w:t>附件12：</w:t>
      </w:r>
      <w:bookmarkEnd w:id="98"/>
    </w:p>
    <w:p>
      <w:pPr>
        <w:pageBreakBefore w:val="0"/>
        <w:widowControl/>
        <w:kinsoku/>
        <w:topLinePunct w:val="0"/>
        <w:bidi w:val="0"/>
        <w:spacing w:line="400" w:lineRule="exact"/>
        <w:ind w:left="0" w:leftChars="0" w:firstLine="0" w:firstLineChars="0"/>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中小企业声明函</w:t>
      </w: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本公司（联合体）郑重声明，根据《政府采购促进中小企业发展管理办法》（财库﹝2020﹞46 号）的规定，本公司（联合体）参加</w:t>
      </w:r>
      <w:r>
        <w:rPr>
          <w:rFonts w:hint="eastAsia" w:ascii="宋体" w:hAnsi="宋体" w:eastAsia="宋体" w:cs="宋体"/>
          <w:color w:val="000000"/>
          <w:kern w:val="0"/>
          <w:sz w:val="21"/>
          <w:szCs w:val="21"/>
          <w:u w:val="single"/>
        </w:rPr>
        <w:t>（单位名称）</w:t>
      </w:r>
      <w:r>
        <w:rPr>
          <w:rFonts w:hint="eastAsia" w:ascii="宋体" w:hAnsi="宋体" w:eastAsia="宋体" w:cs="宋体"/>
          <w:color w:val="000000"/>
          <w:kern w:val="0"/>
          <w:sz w:val="21"/>
          <w:szCs w:val="21"/>
        </w:rPr>
        <w:t>的</w:t>
      </w:r>
      <w:r>
        <w:rPr>
          <w:rFonts w:hint="eastAsia" w:ascii="宋体" w:hAnsi="宋体" w:eastAsia="宋体" w:cs="宋体"/>
          <w:color w:val="000000"/>
          <w:kern w:val="0"/>
          <w:sz w:val="21"/>
          <w:szCs w:val="21"/>
          <w:u w:val="single"/>
        </w:rPr>
        <w:t>（项目名称）</w:t>
      </w:r>
      <w:r>
        <w:rPr>
          <w:rFonts w:hint="eastAsia" w:ascii="宋体" w:hAnsi="宋体" w:eastAsia="宋体" w:cs="宋体"/>
          <w:color w:val="000000"/>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 xml:space="preserve">1. </w:t>
      </w:r>
      <w:r>
        <w:rPr>
          <w:rFonts w:hint="eastAsia" w:ascii="宋体" w:hAnsi="宋体" w:eastAsia="宋体" w:cs="宋体"/>
          <w:color w:val="000000"/>
          <w:kern w:val="0"/>
          <w:sz w:val="21"/>
          <w:szCs w:val="21"/>
          <w:u w:val="single"/>
        </w:rPr>
        <w:t>（标的名称）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，从业人员人，营业收入为万元，资产总额为万元，属于</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 xml:space="preserve">； </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u w:val="single"/>
        </w:rPr>
        <w:t xml:space="preserve"> （标的名称）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，从业人员人，营业收入为万元，资产总额为万元，属于</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 xml:space="preserve">； </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以上企业，不属于大企业的分支机构，不存在控股股东为大企业的情形，也不存在与大企业的负责人为同一人的情形。</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 xml:space="preserve">本企业对上述声明内容的真实性负责。如有虚假，将依法承担相应责任。 </w:t>
      </w:r>
    </w:p>
    <w:p>
      <w:pPr>
        <w:pageBreakBefore w:val="0"/>
        <w:widowControl/>
        <w:kinsoku/>
        <w:topLinePunct w:val="0"/>
        <w:bidi w:val="0"/>
        <w:spacing w:line="400" w:lineRule="exact"/>
        <w:ind w:left="0" w:leftChars="0" w:firstLine="0" w:firstLineChars="0"/>
        <w:jc w:val="center"/>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center"/>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rPr>
        <w:t>企业名称（盖章）：</w:t>
      </w:r>
    </w:p>
    <w:p>
      <w:pPr>
        <w:pageBreakBefore w:val="0"/>
        <w:widowControl/>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rPr>
        <w:t>日 期：</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从业人员、营业收入、资产总额填报上一年度数据，无上一年度数据的新成立企业可不填报。</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napToGrid w:val="0"/>
        <w:spacing w:line="400" w:lineRule="exact"/>
        <w:ind w:left="0" w:leftChars="0" w:firstLine="0" w:firstLineChars="0"/>
        <w:jc w:val="left"/>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widowControl/>
        <w:kinsoku/>
        <w:topLinePunct w:val="0"/>
        <w:bidi w:val="0"/>
        <w:spacing w:line="400" w:lineRule="exact"/>
        <w:ind w:left="0" w:leftChars="0" w:firstLine="0" w:firstLineChars="0"/>
        <w:rPr>
          <w:rFonts w:hint="eastAsia" w:ascii="宋体" w:hAnsi="宋体" w:eastAsia="宋体" w:cs="宋体"/>
          <w:b/>
          <w:sz w:val="21"/>
          <w:szCs w:val="21"/>
        </w:rPr>
      </w:pPr>
      <w:bookmarkStart w:id="99" w:name="_Toc26407"/>
      <w:r>
        <w:rPr>
          <w:rFonts w:hint="eastAsia" w:ascii="宋体" w:hAnsi="宋体" w:eastAsia="宋体" w:cs="宋体"/>
          <w:b/>
          <w:sz w:val="21"/>
          <w:szCs w:val="21"/>
        </w:rPr>
        <w:t>附件13：</w:t>
      </w:r>
      <w:bookmarkEnd w:id="99"/>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投标人认为有必要提交的其他相关证明材料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spacing w:line="360" w:lineRule="auto"/>
        <w:rPr>
          <w:rFonts w:hint="eastAsia" w:ascii="宋体"/>
          <w:sz w:val="24"/>
          <w:szCs w:val="24"/>
        </w:rPr>
      </w:pPr>
      <w:r>
        <w:rPr>
          <w:rFonts w:hint="eastAsia" w:ascii="宋体"/>
          <w:sz w:val="24"/>
          <w:szCs w:val="24"/>
        </w:rPr>
        <w:t>（二次报价单格式）</w:t>
      </w:r>
    </w:p>
    <w:p>
      <w:pPr>
        <w:spacing w:line="360" w:lineRule="auto"/>
        <w:rPr>
          <w:rFonts w:hint="eastAsia" w:ascii="宋体"/>
          <w:sz w:val="24"/>
          <w:szCs w:val="24"/>
        </w:rPr>
      </w:pPr>
    </w:p>
    <w:p>
      <w:pPr>
        <w:jc w:val="center"/>
        <w:rPr>
          <w:rFonts w:ascii="宋体" w:hAnsi="宋体"/>
          <w:b/>
          <w:bCs/>
          <w:sz w:val="28"/>
          <w:szCs w:val="28"/>
        </w:rPr>
      </w:pPr>
      <w:r>
        <w:rPr>
          <w:rFonts w:hint="eastAsia" w:ascii="宋体" w:hAnsi="宋体"/>
          <w:b/>
          <w:bCs/>
          <w:sz w:val="28"/>
          <w:szCs w:val="28"/>
        </w:rPr>
        <w:t>二次(或多次)报价单</w:t>
      </w:r>
    </w:p>
    <w:p>
      <w:pPr>
        <w:rPr>
          <w:rFonts w:ascii="宋体" w:hAnsi="宋体"/>
          <w:sz w:val="28"/>
          <w:szCs w:val="28"/>
        </w:rPr>
      </w:pPr>
    </w:p>
    <w:p>
      <w:pPr>
        <w:rPr>
          <w:rFonts w:ascii="宋体" w:hAnsi="宋体"/>
          <w:sz w:val="28"/>
          <w:szCs w:val="28"/>
        </w:rPr>
      </w:pPr>
      <w:r>
        <w:rPr>
          <w:rFonts w:hint="eastAsia" w:ascii="宋体" w:hAnsi="宋体"/>
          <w:sz w:val="28"/>
          <w:szCs w:val="28"/>
        </w:rPr>
        <w:t>致招标人：</w:t>
      </w:r>
    </w:p>
    <w:p>
      <w:pPr>
        <w:ind w:left="666" w:leftChars="184" w:hanging="280" w:hangingChars="100"/>
        <w:rPr>
          <w:rFonts w:ascii="宋体" w:hAnsi="宋体"/>
          <w:sz w:val="28"/>
          <w:szCs w:val="28"/>
        </w:rPr>
      </w:pPr>
      <w:r>
        <w:rPr>
          <w:rFonts w:hint="eastAsia" w:ascii="宋体" w:hAnsi="宋体"/>
          <w:sz w:val="28"/>
          <w:szCs w:val="28"/>
        </w:rPr>
        <w:t>我单位</w:t>
      </w:r>
      <w:r>
        <w:rPr>
          <w:rFonts w:hint="eastAsia" w:ascii="宋体" w:hAnsi="宋体"/>
          <w:sz w:val="28"/>
          <w:szCs w:val="28"/>
          <w:u w:val="single"/>
        </w:rPr>
        <w:t xml:space="preserve">                  </w:t>
      </w:r>
      <w:r>
        <w:rPr>
          <w:rFonts w:hint="eastAsia" w:ascii="宋体" w:hAnsi="宋体"/>
          <w:sz w:val="28"/>
          <w:szCs w:val="28"/>
        </w:rPr>
        <w:t>（投标人）对</w:t>
      </w:r>
      <w:r>
        <w:rPr>
          <w:rFonts w:hint="eastAsia" w:ascii="宋体" w:hAnsi="宋体"/>
          <w:sz w:val="28"/>
          <w:szCs w:val="28"/>
          <w:u w:val="single"/>
        </w:rPr>
        <w:t xml:space="preserve">                      （项目名称</w:t>
      </w:r>
      <w:r>
        <w:rPr>
          <w:rFonts w:hint="eastAsia" w:ascii="宋体" w:hAnsi="宋体"/>
          <w:sz w:val="28"/>
          <w:szCs w:val="28"/>
          <w:u w:val="single"/>
          <w:lang w:eastAsia="zh-CN"/>
        </w:rPr>
        <w:t>、项目编号</w:t>
      </w:r>
      <w:r>
        <w:rPr>
          <w:rFonts w:hint="eastAsia" w:ascii="宋体" w:hAnsi="宋体"/>
          <w:sz w:val="28"/>
          <w:szCs w:val="28"/>
          <w:u w:val="single"/>
        </w:rPr>
        <w:t>）</w:t>
      </w:r>
      <w:r>
        <w:rPr>
          <w:rFonts w:hint="eastAsia" w:ascii="宋体" w:hAnsi="宋体"/>
          <w:sz w:val="28"/>
          <w:szCs w:val="28"/>
        </w:rPr>
        <w:t>的二次(或多次)报价为：</w:t>
      </w:r>
    </w:p>
    <w:p>
      <w:pPr>
        <w:ind w:firstLine="630"/>
        <w:rPr>
          <w:rFonts w:hint="eastAsia" w:ascii="宋体" w:hAnsi="宋体"/>
          <w:sz w:val="28"/>
          <w:szCs w:val="28"/>
        </w:rPr>
      </w:pPr>
    </w:p>
    <w:p>
      <w:pPr>
        <w:ind w:firstLine="630"/>
        <w:rPr>
          <w:rFonts w:hint="eastAsia" w:ascii="宋体" w:hAnsi="宋体"/>
          <w:sz w:val="28"/>
          <w:szCs w:val="28"/>
        </w:rPr>
      </w:pPr>
      <w:r>
        <w:rPr>
          <w:rFonts w:hint="eastAsia" w:ascii="宋体" w:hAnsi="宋体"/>
          <w:sz w:val="28"/>
          <w:szCs w:val="28"/>
        </w:rPr>
        <w:t>小写：</w:t>
      </w:r>
      <w:r>
        <w:rPr>
          <w:rFonts w:hint="eastAsia" w:ascii="宋体" w:hAnsi="宋体"/>
          <w:sz w:val="28"/>
          <w:szCs w:val="28"/>
          <w:u w:val="single"/>
        </w:rPr>
        <w:t xml:space="preserve">                      </w:t>
      </w:r>
    </w:p>
    <w:p>
      <w:pPr>
        <w:ind w:firstLine="630"/>
        <w:rPr>
          <w:rFonts w:ascii="宋体" w:hAnsi="宋体"/>
          <w:sz w:val="28"/>
          <w:szCs w:val="28"/>
        </w:rPr>
      </w:pPr>
      <w:r>
        <w:rPr>
          <w:rFonts w:hint="eastAsia" w:ascii="宋体" w:hAnsi="宋体"/>
          <w:sz w:val="28"/>
          <w:szCs w:val="28"/>
        </w:rPr>
        <w:t>大写：</w:t>
      </w:r>
      <w:r>
        <w:rPr>
          <w:rFonts w:hint="eastAsia" w:ascii="宋体" w:hAnsi="宋体"/>
          <w:sz w:val="28"/>
          <w:szCs w:val="28"/>
          <w:u w:val="single"/>
        </w:rPr>
        <w:t xml:space="preserve">                      </w:t>
      </w: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u w:val="single"/>
        </w:rPr>
      </w:pPr>
      <w:r>
        <w:rPr>
          <w:rFonts w:hint="eastAsia" w:ascii="宋体" w:hAnsi="宋体"/>
          <w:sz w:val="28"/>
          <w:szCs w:val="28"/>
        </w:rPr>
        <w:t>并承诺：</w:t>
      </w:r>
      <w:r>
        <w:rPr>
          <w:rFonts w:hint="eastAsia" w:ascii="宋体" w:hAnsi="宋体"/>
          <w:sz w:val="28"/>
          <w:szCs w:val="28"/>
          <w:u w:val="single"/>
        </w:rPr>
        <w:t xml:space="preserve"> 本次报价为最终报价。</w:t>
      </w:r>
    </w:p>
    <w:p>
      <w:pPr>
        <w:jc w:val="left"/>
        <w:rPr>
          <w:rFonts w:hint="eastAsia" w:ascii="宋体" w:hAnsi="宋体"/>
          <w:sz w:val="28"/>
          <w:szCs w:val="28"/>
          <w:u w:val="single"/>
        </w:rPr>
      </w:pPr>
    </w:p>
    <w:p>
      <w:pPr>
        <w:ind w:right="560"/>
        <w:rPr>
          <w:rFonts w:ascii="宋体" w:hAnsi="宋体"/>
          <w:sz w:val="28"/>
          <w:szCs w:val="28"/>
        </w:rPr>
      </w:pPr>
    </w:p>
    <w:p>
      <w:pPr>
        <w:pStyle w:val="44"/>
      </w:pPr>
    </w:p>
    <w:p>
      <w:pPr>
        <w:ind w:right="560" w:firstLine="4480" w:firstLineChars="1600"/>
        <w:rPr>
          <w:rFonts w:ascii="宋体" w:hAnsi="宋体"/>
          <w:sz w:val="28"/>
          <w:szCs w:val="28"/>
        </w:rPr>
      </w:pPr>
    </w:p>
    <w:p>
      <w:pPr>
        <w:ind w:right="560" w:firstLine="4480" w:firstLineChars="1600"/>
        <w:rPr>
          <w:rFonts w:ascii="宋体" w:hAnsi="宋体"/>
          <w:sz w:val="28"/>
          <w:szCs w:val="28"/>
        </w:rPr>
      </w:pPr>
      <w:r>
        <w:rPr>
          <w:rFonts w:hint="eastAsia" w:ascii="宋体" w:hAnsi="宋体"/>
          <w:sz w:val="28"/>
          <w:szCs w:val="28"/>
        </w:rPr>
        <w:t>投标单位（盖章）：</w:t>
      </w:r>
    </w:p>
    <w:p>
      <w:pPr>
        <w:ind w:firstLine="555"/>
        <w:rPr>
          <w:rFonts w:ascii="宋体" w:hAnsi="宋体"/>
          <w:sz w:val="28"/>
          <w:szCs w:val="28"/>
        </w:rPr>
      </w:pPr>
      <w:r>
        <w:rPr>
          <w:rFonts w:hint="eastAsia" w:ascii="宋体" w:hAnsi="宋体"/>
          <w:sz w:val="28"/>
          <w:szCs w:val="28"/>
        </w:rPr>
        <w:t xml:space="preserve">                            投标单位授权代表签字：</w:t>
      </w:r>
    </w:p>
    <w:p>
      <w:pPr>
        <w:ind w:firstLine="555"/>
        <w:rPr>
          <w:rFonts w:ascii="宋体" w:hAnsi="宋体"/>
          <w:sz w:val="28"/>
          <w:szCs w:val="28"/>
        </w:rPr>
      </w:pPr>
      <w:r>
        <w:rPr>
          <w:rFonts w:hint="eastAsia" w:ascii="宋体" w:hAnsi="宋体"/>
          <w:sz w:val="28"/>
          <w:szCs w:val="28"/>
        </w:rPr>
        <w:t xml:space="preserve">                                       年  月  日</w:t>
      </w:r>
    </w:p>
    <w:p>
      <w:pPr>
        <w:spacing w:line="360" w:lineRule="auto"/>
        <w:jc w:val="left"/>
        <w:rPr>
          <w:rFonts w:ascii="宋体" w:hAnsi="宋体" w:cs="宋体"/>
          <w:kern w:val="0"/>
          <w:sz w:val="24"/>
          <w:szCs w:val="24"/>
        </w:rPr>
      </w:pPr>
    </w:p>
    <w:p>
      <w:pPr>
        <w:spacing w:line="360" w:lineRule="auto"/>
        <w:jc w:val="left"/>
        <w:rPr>
          <w:rFonts w:ascii="宋体" w:hAnsi="宋体" w:cs="宋体"/>
          <w:kern w:val="0"/>
          <w:sz w:val="24"/>
          <w:szCs w:val="24"/>
        </w:rPr>
      </w:pPr>
    </w:p>
    <w:p>
      <w:pPr>
        <w:spacing w:line="360" w:lineRule="auto"/>
        <w:jc w:val="left"/>
        <w:rPr>
          <w:rFonts w:hint="eastAsia"/>
        </w:rPr>
      </w:pPr>
      <w:r>
        <w:rPr>
          <w:rFonts w:hint="eastAsia" w:ascii="宋体" w:hAnsi="宋体" w:cs="宋体"/>
          <w:kern w:val="0"/>
          <w:sz w:val="24"/>
          <w:szCs w:val="24"/>
        </w:rPr>
        <w:t>注：各投标人将此表内容填写（报价大小写除外），加盖单位公章后，一式两份带到开标地点，现场进行手写二次(或多次)报价。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38"/>
      </w:rPr>
    </w:pPr>
    <w:r>
      <w:fldChar w:fldCharType="begin"/>
    </w:r>
    <w:r>
      <w:rPr>
        <w:rStyle w:val="38"/>
      </w:rPr>
      <w:instrText xml:space="preserve">PAGE  </w:instrText>
    </w:r>
    <w:r>
      <w:fldChar w:fldCharType="end"/>
    </w:r>
  </w:p>
  <w:p>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double" w:color="auto" w:sz="8" w:space="0"/>
      </w:pBdr>
      <w:ind w:firstLine="0"/>
      <w:jc w:val="center"/>
      <w:rPr>
        <w:rFonts w:asciiTheme="majorHAnsi" w:hAnsiTheme="majorHAnsi" w:eastAsiaTheme="majorEastAsia" w:cstheme="majorBidi"/>
        <w:sz w:val="32"/>
        <w:szCs w:val="32"/>
      </w:rPr>
    </w:pPr>
    <w:r>
      <w:rPr>
        <w:rFonts w:hint="eastAsia" w:ascii="仿宋" w:hAnsi="仿宋" w:eastAsia="仿宋" w:cs="仿宋"/>
        <w:sz w:val="32"/>
        <w:szCs w:val="32"/>
      </w:rPr>
      <w:t>宏业国际项目管理有限公司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double" w:color="auto" w:sz="8" w:space="0"/>
      </w:pBdr>
      <w:ind w:firstLine="0"/>
      <w:jc w:val="center"/>
    </w:pPr>
    <w:r>
      <w:rPr>
        <w:rFonts w:hint="eastAsia" w:ascii="仿宋" w:hAnsi="仿宋" w:eastAsia="仿宋" w:cs="仿宋"/>
        <w:sz w:val="32"/>
        <w:szCs w:val="32"/>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cs="宋体" w:asciiTheme="minorEastAsia" w:hAnsiTheme="minorEastAsia" w:eastAsia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F274D"/>
    <w:multiLevelType w:val="singleLevel"/>
    <w:tmpl w:val="A2EF274D"/>
    <w:lvl w:ilvl="0" w:tentative="0">
      <w:start w:val="1"/>
      <w:numFmt w:val="decimal"/>
      <w:suff w:val="nothing"/>
      <w:lvlText w:val="%1、"/>
      <w:lvlJc w:val="left"/>
    </w:lvl>
  </w:abstractNum>
  <w:abstractNum w:abstractNumId="1">
    <w:nsid w:val="A5EDFEF1"/>
    <w:multiLevelType w:val="singleLevel"/>
    <w:tmpl w:val="A5EDFEF1"/>
    <w:lvl w:ilvl="0" w:tentative="0">
      <w:start w:val="1"/>
      <w:numFmt w:val="decimal"/>
      <w:suff w:val="nothing"/>
      <w:lvlText w:val="（%1）"/>
      <w:lvlJc w:val="left"/>
    </w:lvl>
  </w:abstractNum>
  <w:abstractNum w:abstractNumId="2">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0B"/>
    <w:rsid w:val="00002FBC"/>
    <w:rsid w:val="00025A80"/>
    <w:rsid w:val="000313A0"/>
    <w:rsid w:val="00032346"/>
    <w:rsid w:val="0003553E"/>
    <w:rsid w:val="00045F15"/>
    <w:rsid w:val="00057DB8"/>
    <w:rsid w:val="00091890"/>
    <w:rsid w:val="000A523F"/>
    <w:rsid w:val="000E112C"/>
    <w:rsid w:val="000E1B63"/>
    <w:rsid w:val="000F05D4"/>
    <w:rsid w:val="00105923"/>
    <w:rsid w:val="0010740B"/>
    <w:rsid w:val="0011016C"/>
    <w:rsid w:val="0011123D"/>
    <w:rsid w:val="00117356"/>
    <w:rsid w:val="00117B82"/>
    <w:rsid w:val="00122DD6"/>
    <w:rsid w:val="00130222"/>
    <w:rsid w:val="00140002"/>
    <w:rsid w:val="00170557"/>
    <w:rsid w:val="001914EC"/>
    <w:rsid w:val="00191B6B"/>
    <w:rsid w:val="001A5049"/>
    <w:rsid w:val="001B4008"/>
    <w:rsid w:val="0020564D"/>
    <w:rsid w:val="00211183"/>
    <w:rsid w:val="00216215"/>
    <w:rsid w:val="00222DC9"/>
    <w:rsid w:val="00242384"/>
    <w:rsid w:val="00242897"/>
    <w:rsid w:val="00246883"/>
    <w:rsid w:val="002534B6"/>
    <w:rsid w:val="00265BBB"/>
    <w:rsid w:val="00271014"/>
    <w:rsid w:val="002749C6"/>
    <w:rsid w:val="00285158"/>
    <w:rsid w:val="002861E4"/>
    <w:rsid w:val="00287C22"/>
    <w:rsid w:val="002A0CDC"/>
    <w:rsid w:val="002A2DC3"/>
    <w:rsid w:val="002B4D0A"/>
    <w:rsid w:val="002E3D09"/>
    <w:rsid w:val="002F7C41"/>
    <w:rsid w:val="00305861"/>
    <w:rsid w:val="00312170"/>
    <w:rsid w:val="0031283E"/>
    <w:rsid w:val="00335070"/>
    <w:rsid w:val="003359B3"/>
    <w:rsid w:val="003419E6"/>
    <w:rsid w:val="00343DC8"/>
    <w:rsid w:val="00347D65"/>
    <w:rsid w:val="0036615D"/>
    <w:rsid w:val="00366A84"/>
    <w:rsid w:val="00374849"/>
    <w:rsid w:val="003755E3"/>
    <w:rsid w:val="00382866"/>
    <w:rsid w:val="00395F17"/>
    <w:rsid w:val="00397C09"/>
    <w:rsid w:val="003A3718"/>
    <w:rsid w:val="003D7F8D"/>
    <w:rsid w:val="003F4B3A"/>
    <w:rsid w:val="003F4BC7"/>
    <w:rsid w:val="00415DC4"/>
    <w:rsid w:val="0043197C"/>
    <w:rsid w:val="0043462D"/>
    <w:rsid w:val="0044554B"/>
    <w:rsid w:val="004634FA"/>
    <w:rsid w:val="004745B1"/>
    <w:rsid w:val="004825FB"/>
    <w:rsid w:val="0049372E"/>
    <w:rsid w:val="0049778E"/>
    <w:rsid w:val="004A03D5"/>
    <w:rsid w:val="004B0B75"/>
    <w:rsid w:val="004D6394"/>
    <w:rsid w:val="004E724F"/>
    <w:rsid w:val="004E7A34"/>
    <w:rsid w:val="004F1973"/>
    <w:rsid w:val="00500357"/>
    <w:rsid w:val="005021C5"/>
    <w:rsid w:val="0051606D"/>
    <w:rsid w:val="005175EE"/>
    <w:rsid w:val="00521A3B"/>
    <w:rsid w:val="00527B97"/>
    <w:rsid w:val="00543826"/>
    <w:rsid w:val="0056136A"/>
    <w:rsid w:val="00586FCC"/>
    <w:rsid w:val="005A136A"/>
    <w:rsid w:val="005A5866"/>
    <w:rsid w:val="006278D6"/>
    <w:rsid w:val="00636F3E"/>
    <w:rsid w:val="00682650"/>
    <w:rsid w:val="00684EFF"/>
    <w:rsid w:val="006942A6"/>
    <w:rsid w:val="00696484"/>
    <w:rsid w:val="006A107F"/>
    <w:rsid w:val="006B2B5A"/>
    <w:rsid w:val="006D1F77"/>
    <w:rsid w:val="006D2BCC"/>
    <w:rsid w:val="006E5D57"/>
    <w:rsid w:val="006E6528"/>
    <w:rsid w:val="006F0D9E"/>
    <w:rsid w:val="0070075B"/>
    <w:rsid w:val="0070109F"/>
    <w:rsid w:val="007045BF"/>
    <w:rsid w:val="00707CAF"/>
    <w:rsid w:val="0071499C"/>
    <w:rsid w:val="00724BE8"/>
    <w:rsid w:val="007371EF"/>
    <w:rsid w:val="0074369A"/>
    <w:rsid w:val="00750FBE"/>
    <w:rsid w:val="00751D64"/>
    <w:rsid w:val="0076406B"/>
    <w:rsid w:val="007666F7"/>
    <w:rsid w:val="007712C9"/>
    <w:rsid w:val="00771816"/>
    <w:rsid w:val="00772EC2"/>
    <w:rsid w:val="007968BF"/>
    <w:rsid w:val="007A4EF4"/>
    <w:rsid w:val="007A6F7C"/>
    <w:rsid w:val="007C16EA"/>
    <w:rsid w:val="007C4BEC"/>
    <w:rsid w:val="007C4F45"/>
    <w:rsid w:val="007E389F"/>
    <w:rsid w:val="00810930"/>
    <w:rsid w:val="008176F9"/>
    <w:rsid w:val="00821731"/>
    <w:rsid w:val="00822AA1"/>
    <w:rsid w:val="00834BAB"/>
    <w:rsid w:val="0084611F"/>
    <w:rsid w:val="008517B9"/>
    <w:rsid w:val="00855A0E"/>
    <w:rsid w:val="0086449A"/>
    <w:rsid w:val="00876033"/>
    <w:rsid w:val="00877781"/>
    <w:rsid w:val="008869BE"/>
    <w:rsid w:val="008977BE"/>
    <w:rsid w:val="008B0EB4"/>
    <w:rsid w:val="008D2C9F"/>
    <w:rsid w:val="008D7A25"/>
    <w:rsid w:val="008E2B51"/>
    <w:rsid w:val="008E5BA0"/>
    <w:rsid w:val="00922417"/>
    <w:rsid w:val="00927FAE"/>
    <w:rsid w:val="009473D6"/>
    <w:rsid w:val="009537F7"/>
    <w:rsid w:val="009601D3"/>
    <w:rsid w:val="00970961"/>
    <w:rsid w:val="00993BCC"/>
    <w:rsid w:val="009B41DF"/>
    <w:rsid w:val="009C4913"/>
    <w:rsid w:val="009D46B1"/>
    <w:rsid w:val="009D71A8"/>
    <w:rsid w:val="009E00E7"/>
    <w:rsid w:val="009F4082"/>
    <w:rsid w:val="009F60F2"/>
    <w:rsid w:val="00A05341"/>
    <w:rsid w:val="00A06E7F"/>
    <w:rsid w:val="00A2022D"/>
    <w:rsid w:val="00A22238"/>
    <w:rsid w:val="00A23A54"/>
    <w:rsid w:val="00A34528"/>
    <w:rsid w:val="00A37DE8"/>
    <w:rsid w:val="00A40B4D"/>
    <w:rsid w:val="00A44B32"/>
    <w:rsid w:val="00A60FA1"/>
    <w:rsid w:val="00A71556"/>
    <w:rsid w:val="00A73880"/>
    <w:rsid w:val="00A8001C"/>
    <w:rsid w:val="00A81E68"/>
    <w:rsid w:val="00AA6C56"/>
    <w:rsid w:val="00AC0169"/>
    <w:rsid w:val="00AC6AA8"/>
    <w:rsid w:val="00AD202C"/>
    <w:rsid w:val="00AD2A2D"/>
    <w:rsid w:val="00AF6BB0"/>
    <w:rsid w:val="00B04A98"/>
    <w:rsid w:val="00B36003"/>
    <w:rsid w:val="00B41320"/>
    <w:rsid w:val="00B56FB7"/>
    <w:rsid w:val="00B60EFC"/>
    <w:rsid w:val="00B77C06"/>
    <w:rsid w:val="00BA3579"/>
    <w:rsid w:val="00BB3223"/>
    <w:rsid w:val="00BC35E1"/>
    <w:rsid w:val="00BD03E0"/>
    <w:rsid w:val="00BF3A20"/>
    <w:rsid w:val="00C0061B"/>
    <w:rsid w:val="00C018D5"/>
    <w:rsid w:val="00C04890"/>
    <w:rsid w:val="00CA1488"/>
    <w:rsid w:val="00CC0CB6"/>
    <w:rsid w:val="00CC1D1D"/>
    <w:rsid w:val="00CE6AE3"/>
    <w:rsid w:val="00D0445D"/>
    <w:rsid w:val="00D12242"/>
    <w:rsid w:val="00D17727"/>
    <w:rsid w:val="00D26E55"/>
    <w:rsid w:val="00D32C9B"/>
    <w:rsid w:val="00D4074E"/>
    <w:rsid w:val="00D445E8"/>
    <w:rsid w:val="00D45111"/>
    <w:rsid w:val="00D71ED5"/>
    <w:rsid w:val="00D80E73"/>
    <w:rsid w:val="00D86C68"/>
    <w:rsid w:val="00DB0A78"/>
    <w:rsid w:val="00DD1822"/>
    <w:rsid w:val="00DE1029"/>
    <w:rsid w:val="00DE26A0"/>
    <w:rsid w:val="00DF2FA6"/>
    <w:rsid w:val="00E203BA"/>
    <w:rsid w:val="00E22D43"/>
    <w:rsid w:val="00E30820"/>
    <w:rsid w:val="00E36362"/>
    <w:rsid w:val="00E42C15"/>
    <w:rsid w:val="00E4627C"/>
    <w:rsid w:val="00E67544"/>
    <w:rsid w:val="00E85203"/>
    <w:rsid w:val="00E86886"/>
    <w:rsid w:val="00E93FAB"/>
    <w:rsid w:val="00E95150"/>
    <w:rsid w:val="00E951B1"/>
    <w:rsid w:val="00EA5020"/>
    <w:rsid w:val="00EA58B2"/>
    <w:rsid w:val="00EC4163"/>
    <w:rsid w:val="00EE60CD"/>
    <w:rsid w:val="00EF3062"/>
    <w:rsid w:val="00F03F1F"/>
    <w:rsid w:val="00F06CA5"/>
    <w:rsid w:val="00F45575"/>
    <w:rsid w:val="00F77BEC"/>
    <w:rsid w:val="00F9171E"/>
    <w:rsid w:val="00F91C0F"/>
    <w:rsid w:val="00FB1FEF"/>
    <w:rsid w:val="00FB4B91"/>
    <w:rsid w:val="00FC4125"/>
    <w:rsid w:val="00FE6FED"/>
    <w:rsid w:val="00FF5479"/>
    <w:rsid w:val="032C17E0"/>
    <w:rsid w:val="0361265C"/>
    <w:rsid w:val="03BD3E3B"/>
    <w:rsid w:val="03DE5DD4"/>
    <w:rsid w:val="04F002B0"/>
    <w:rsid w:val="05551D4C"/>
    <w:rsid w:val="05ED58B4"/>
    <w:rsid w:val="06751562"/>
    <w:rsid w:val="078539B9"/>
    <w:rsid w:val="09103CDA"/>
    <w:rsid w:val="0C346B5F"/>
    <w:rsid w:val="0C456161"/>
    <w:rsid w:val="0CC31C91"/>
    <w:rsid w:val="0DDE4FD5"/>
    <w:rsid w:val="0DEB1BBD"/>
    <w:rsid w:val="0F2B4B13"/>
    <w:rsid w:val="0FB01CE0"/>
    <w:rsid w:val="0FC23828"/>
    <w:rsid w:val="10A1579F"/>
    <w:rsid w:val="10D93C93"/>
    <w:rsid w:val="119F4A7B"/>
    <w:rsid w:val="125F245C"/>
    <w:rsid w:val="13F217DA"/>
    <w:rsid w:val="15367EF7"/>
    <w:rsid w:val="1814506A"/>
    <w:rsid w:val="1C131EBB"/>
    <w:rsid w:val="1C493F61"/>
    <w:rsid w:val="1EF67CA4"/>
    <w:rsid w:val="1F185E6D"/>
    <w:rsid w:val="1F9C084C"/>
    <w:rsid w:val="20764E99"/>
    <w:rsid w:val="226F3C3A"/>
    <w:rsid w:val="25695674"/>
    <w:rsid w:val="26EE6A5B"/>
    <w:rsid w:val="26FE565D"/>
    <w:rsid w:val="288A4CC3"/>
    <w:rsid w:val="2A1711BC"/>
    <w:rsid w:val="2B517DA9"/>
    <w:rsid w:val="2B63208E"/>
    <w:rsid w:val="2CDA6F21"/>
    <w:rsid w:val="2DFB0019"/>
    <w:rsid w:val="2E4E5407"/>
    <w:rsid w:val="2E5844D8"/>
    <w:rsid w:val="2F2919D0"/>
    <w:rsid w:val="2FB15C4D"/>
    <w:rsid w:val="2FFA78BA"/>
    <w:rsid w:val="3209738A"/>
    <w:rsid w:val="335334BF"/>
    <w:rsid w:val="33622C99"/>
    <w:rsid w:val="344814D4"/>
    <w:rsid w:val="39303241"/>
    <w:rsid w:val="3B2C5316"/>
    <w:rsid w:val="3BA63A7F"/>
    <w:rsid w:val="3C326368"/>
    <w:rsid w:val="3C5538B2"/>
    <w:rsid w:val="3DC66C5F"/>
    <w:rsid w:val="3E4058AD"/>
    <w:rsid w:val="3E554590"/>
    <w:rsid w:val="3E7A28CA"/>
    <w:rsid w:val="3F3E5881"/>
    <w:rsid w:val="41295675"/>
    <w:rsid w:val="41E22DC7"/>
    <w:rsid w:val="41F51C9B"/>
    <w:rsid w:val="428B0580"/>
    <w:rsid w:val="44E95A32"/>
    <w:rsid w:val="45CF6B25"/>
    <w:rsid w:val="47584B4F"/>
    <w:rsid w:val="478B4A59"/>
    <w:rsid w:val="480B2C86"/>
    <w:rsid w:val="483D3A2C"/>
    <w:rsid w:val="494545E2"/>
    <w:rsid w:val="4A370ACA"/>
    <w:rsid w:val="4B11183E"/>
    <w:rsid w:val="4B450FC6"/>
    <w:rsid w:val="4C3B7513"/>
    <w:rsid w:val="4CA24E44"/>
    <w:rsid w:val="4CC4526E"/>
    <w:rsid w:val="4DD311EA"/>
    <w:rsid w:val="4E537DB9"/>
    <w:rsid w:val="4EB33338"/>
    <w:rsid w:val="511B4946"/>
    <w:rsid w:val="513D338D"/>
    <w:rsid w:val="54687E3F"/>
    <w:rsid w:val="546B0B19"/>
    <w:rsid w:val="547D1CF3"/>
    <w:rsid w:val="54C85664"/>
    <w:rsid w:val="55DD6EED"/>
    <w:rsid w:val="574F5BC8"/>
    <w:rsid w:val="5936078B"/>
    <w:rsid w:val="5A5C4659"/>
    <w:rsid w:val="5CAC7619"/>
    <w:rsid w:val="5D564048"/>
    <w:rsid w:val="5DA24E17"/>
    <w:rsid w:val="63065CD5"/>
    <w:rsid w:val="63F57FF1"/>
    <w:rsid w:val="659C1332"/>
    <w:rsid w:val="65FD2C93"/>
    <w:rsid w:val="67C223E6"/>
    <w:rsid w:val="6800454F"/>
    <w:rsid w:val="687B3C27"/>
    <w:rsid w:val="687D3777"/>
    <w:rsid w:val="68C2535F"/>
    <w:rsid w:val="69026367"/>
    <w:rsid w:val="6AF905B4"/>
    <w:rsid w:val="6D065B63"/>
    <w:rsid w:val="6D201C56"/>
    <w:rsid w:val="6ED04B50"/>
    <w:rsid w:val="6F2B6D0F"/>
    <w:rsid w:val="703B4AE4"/>
    <w:rsid w:val="710F35DD"/>
    <w:rsid w:val="71685DAD"/>
    <w:rsid w:val="71B628C7"/>
    <w:rsid w:val="72CA055B"/>
    <w:rsid w:val="73092508"/>
    <w:rsid w:val="75D73501"/>
    <w:rsid w:val="75EC5C91"/>
    <w:rsid w:val="765C387C"/>
    <w:rsid w:val="765E2E38"/>
    <w:rsid w:val="77821C3D"/>
    <w:rsid w:val="78EE0B2B"/>
    <w:rsid w:val="79FA77BE"/>
    <w:rsid w:val="7B186783"/>
    <w:rsid w:val="7B674B1C"/>
    <w:rsid w:val="7C2B55CD"/>
    <w:rsid w:val="7E8059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5"/>
    <w:qFormat/>
    <w:uiPriority w:val="9"/>
    <w:pPr>
      <w:keepNext/>
      <w:tabs>
        <w:tab w:val="left" w:pos="360"/>
      </w:tabs>
      <w:ind w:left="360" w:hanging="360"/>
      <w:outlineLvl w:val="0"/>
    </w:pPr>
    <w:rPr>
      <w:b/>
    </w:rPr>
  </w:style>
  <w:style w:type="paragraph" w:styleId="4">
    <w:name w:val="heading 2"/>
    <w:basedOn w:val="1"/>
    <w:next w:val="1"/>
    <w:link w:val="46"/>
    <w:qFormat/>
    <w:uiPriority w:val="9"/>
    <w:pPr>
      <w:keepNext/>
      <w:keepLines/>
      <w:spacing w:before="260" w:after="260" w:line="416" w:lineRule="auto"/>
      <w:outlineLvl w:val="1"/>
    </w:pPr>
    <w:rPr>
      <w:rFonts w:ascii="Arial" w:hAnsi="Arial" w:eastAsia="黑体"/>
      <w:b/>
      <w:sz w:val="32"/>
    </w:rPr>
  </w:style>
  <w:style w:type="paragraph" w:styleId="5">
    <w:name w:val="heading 3"/>
    <w:basedOn w:val="1"/>
    <w:next w:val="1"/>
    <w:link w:val="47"/>
    <w:qFormat/>
    <w:uiPriority w:val="9"/>
    <w:pPr>
      <w:keepNext/>
      <w:keepLines/>
      <w:spacing w:before="260" w:after="260" w:line="416" w:lineRule="auto"/>
      <w:outlineLvl w:val="2"/>
    </w:pPr>
    <w:rPr>
      <w:b/>
      <w:bCs/>
      <w:sz w:val="32"/>
      <w:szCs w:val="32"/>
    </w:rPr>
  </w:style>
  <w:style w:type="paragraph" w:styleId="6">
    <w:name w:val="heading 4"/>
    <w:basedOn w:val="1"/>
    <w:next w:val="1"/>
    <w:link w:val="4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9"/>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0"/>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1"/>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2"/>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3"/>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5"/>
    <w:qFormat/>
    <w:uiPriority w:val="0"/>
    <w:rPr>
      <w:rFonts w:ascii="Arial" w:hAnsi="Arial" w:cs="Arial" w:eastAsiaTheme="minorEastAsia"/>
      <w:sz w:val="24"/>
      <w:szCs w:val="22"/>
    </w:rPr>
  </w:style>
  <w:style w:type="paragraph" w:styleId="12">
    <w:name w:val="table of authorities"/>
    <w:basedOn w:val="1"/>
    <w:next w:val="1"/>
    <w:unhideWhenUsed/>
    <w:qFormat/>
    <w:uiPriority w:val="99"/>
    <w:pPr>
      <w:ind w:left="420" w:leftChars="200"/>
    </w:pPr>
  </w:style>
  <w:style w:type="paragraph" w:styleId="13">
    <w:name w:val="Normal Indent"/>
    <w:basedOn w:val="1"/>
    <w:link w:val="78"/>
    <w:qFormat/>
    <w:uiPriority w:val="99"/>
    <w:pPr>
      <w:ind w:firstLine="420" w:firstLineChars="200"/>
    </w:pPr>
    <w:rPr>
      <w:rFonts w:asciiTheme="minorHAnsi" w:hAnsiTheme="minorHAnsi" w:eastAsiaTheme="minorEastAsia" w:cstheme="minorBidi"/>
      <w:szCs w:val="24"/>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1"/>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Arial" w:hAnsi="Arial"/>
      <w:sz w:val="24"/>
      <w:szCs w:val="21"/>
    </w:rPr>
  </w:style>
  <w:style w:type="paragraph" w:styleId="17">
    <w:name w:val="Salutation"/>
    <w:basedOn w:val="1"/>
    <w:next w:val="1"/>
    <w:link w:val="55"/>
    <w:qFormat/>
    <w:uiPriority w:val="0"/>
    <w:rPr>
      <w:rFonts w:ascii="宋体"/>
      <w:b/>
      <w:sz w:val="28"/>
    </w:rPr>
  </w:style>
  <w:style w:type="paragraph" w:styleId="18">
    <w:name w:val="Body Text Indent"/>
    <w:basedOn w:val="1"/>
    <w:next w:val="19"/>
    <w:link w:val="57"/>
    <w:qFormat/>
    <w:uiPriority w:val="0"/>
    <w:pPr>
      <w:ind w:firstLine="480"/>
    </w:pPr>
    <w:rPr>
      <w:rFonts w:ascii="宋体" w:hAnsi="宋体"/>
      <w:sz w:val="24"/>
    </w:rPr>
  </w:style>
  <w:style w:type="paragraph" w:styleId="19">
    <w:name w:val="envelope return"/>
    <w:basedOn w:val="1"/>
    <w:qFormat/>
    <w:uiPriority w:val="0"/>
    <w:pPr>
      <w:topLinePunct/>
      <w:snapToGrid w:val="0"/>
    </w:pPr>
    <w:rPr>
      <w:rFonts w:ascii="Arial" w:hAnsi="Arial" w:cs="Arial"/>
    </w:rPr>
  </w:style>
  <w:style w:type="paragraph" w:styleId="20">
    <w:name w:val="toc 3"/>
    <w:basedOn w:val="1"/>
    <w:next w:val="1"/>
    <w:qFormat/>
    <w:uiPriority w:val="39"/>
    <w:pPr>
      <w:ind w:left="840" w:leftChars="400"/>
    </w:pPr>
  </w:style>
  <w:style w:type="paragraph" w:styleId="21">
    <w:name w:val="Plain Text"/>
    <w:basedOn w:val="1"/>
    <w:link w:val="97"/>
    <w:qFormat/>
    <w:uiPriority w:val="0"/>
    <w:rPr>
      <w:rFonts w:ascii="宋体" w:hAnsi="Courier New" w:cstheme="minorBidi"/>
      <w:szCs w:val="22"/>
    </w:rPr>
  </w:style>
  <w:style w:type="paragraph" w:styleId="22">
    <w:name w:val="Date"/>
    <w:basedOn w:val="1"/>
    <w:next w:val="1"/>
    <w:link w:val="59"/>
    <w:qFormat/>
    <w:uiPriority w:val="0"/>
    <w:pPr>
      <w:ind w:left="100"/>
    </w:pPr>
    <w:rPr>
      <w:sz w:val="24"/>
    </w:rPr>
  </w:style>
  <w:style w:type="paragraph" w:styleId="23">
    <w:name w:val="Body Text Indent 2"/>
    <w:basedOn w:val="1"/>
    <w:link w:val="90"/>
    <w:qFormat/>
    <w:uiPriority w:val="0"/>
    <w:pPr>
      <w:ind w:firstLine="435"/>
    </w:pPr>
    <w:rPr>
      <w:rFonts w:ascii="宋体" w:hAnsi="宋体" w:eastAsiaTheme="minorEastAsia" w:cstheme="minorBidi"/>
      <w:sz w:val="24"/>
      <w:szCs w:val="22"/>
    </w:rPr>
  </w:style>
  <w:style w:type="paragraph" w:styleId="24">
    <w:name w:val="Balloon Text"/>
    <w:basedOn w:val="1"/>
    <w:link w:val="61"/>
    <w:semiHidden/>
    <w:qFormat/>
    <w:uiPriority w:val="99"/>
    <w:rPr>
      <w:sz w:val="18"/>
      <w:szCs w:val="18"/>
    </w:rPr>
  </w:style>
  <w:style w:type="paragraph" w:styleId="25">
    <w:name w:val="footer"/>
    <w:basedOn w:val="1"/>
    <w:link w:val="62"/>
    <w:unhideWhenUsed/>
    <w:qFormat/>
    <w:uiPriority w:val="99"/>
    <w:pPr>
      <w:tabs>
        <w:tab w:val="center" w:pos="4153"/>
        <w:tab w:val="right" w:pos="8306"/>
      </w:tabs>
      <w:snapToGrid w:val="0"/>
      <w:jc w:val="left"/>
    </w:pPr>
    <w:rPr>
      <w:sz w:val="18"/>
      <w:szCs w:val="18"/>
    </w:rPr>
  </w:style>
  <w:style w:type="paragraph" w:styleId="26">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Body Text Indent 3"/>
    <w:basedOn w:val="1"/>
    <w:link w:val="64"/>
    <w:qFormat/>
    <w:uiPriority w:val="0"/>
    <w:pPr>
      <w:ind w:left="471" w:hanging="471" w:hangingChars="200"/>
    </w:pPr>
    <w:rPr>
      <w:rFonts w:ascii="Arial" w:hAnsi="Arial" w:cs="Arial"/>
      <w:b/>
      <w:bCs/>
      <w:sz w:val="24"/>
    </w:rPr>
  </w:style>
  <w:style w:type="paragraph" w:styleId="29">
    <w:name w:val="toc 2"/>
    <w:basedOn w:val="1"/>
    <w:next w:val="1"/>
    <w:qFormat/>
    <w:uiPriority w:val="39"/>
    <w:pPr>
      <w:ind w:left="420" w:leftChars="200"/>
    </w:pPr>
  </w:style>
  <w:style w:type="paragraph" w:styleId="30">
    <w:name w:val="Body Text 2"/>
    <w:basedOn w:val="1"/>
    <w:link w:val="65"/>
    <w:qFormat/>
    <w:uiPriority w:val="0"/>
    <w:pPr>
      <w:spacing w:line="360" w:lineRule="auto"/>
    </w:pPr>
    <w:rPr>
      <w:b/>
      <w:sz w:val="28"/>
      <w:szCs w:val="21"/>
    </w:rPr>
  </w:style>
  <w:style w:type="paragraph" w:styleId="31">
    <w:name w:val="Normal (Web)"/>
    <w:basedOn w:val="1"/>
    <w:link w:val="107"/>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2">
    <w:name w:val="Body Text First Indent"/>
    <w:basedOn w:val="2"/>
    <w:next w:val="33"/>
    <w:link w:val="102"/>
    <w:qFormat/>
    <w:uiPriority w:val="0"/>
    <w:pPr>
      <w:spacing w:after="120"/>
      <w:ind w:firstLine="420" w:firstLineChars="100"/>
    </w:pPr>
  </w:style>
  <w:style w:type="paragraph" w:styleId="33">
    <w:name w:val="Body Text First Indent 2"/>
    <w:basedOn w:val="18"/>
    <w:next w:val="1"/>
    <w:unhideWhenUsed/>
    <w:qFormat/>
    <w:uiPriority w:val="99"/>
    <w:pPr>
      <w:ind w:firstLine="420"/>
    </w:pPr>
    <w:rPr>
      <w:rFonts w:ascii="Arial" w:hAnsi="Arial" w:eastAsia="仿宋_GB2312"/>
      <w:sz w:val="28"/>
    </w:rPr>
  </w:style>
  <w:style w:type="table" w:styleId="35">
    <w:name w:val="Table Grid"/>
    <w:basedOn w:val="34"/>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0"/>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Emphasis"/>
    <w:qFormat/>
    <w:uiPriority w:val="0"/>
    <w:rPr>
      <w:color w:val="CC0033"/>
    </w:rPr>
  </w:style>
  <w:style w:type="character" w:styleId="41">
    <w:name w:val="Hyperlink"/>
    <w:basedOn w:val="36"/>
    <w:qFormat/>
    <w:uiPriority w:val="99"/>
    <w:rPr>
      <w:color w:val="0000FF"/>
      <w:u w:val="single"/>
    </w:rPr>
  </w:style>
  <w:style w:type="character" w:styleId="42">
    <w:name w:val="annotation reference"/>
    <w:basedOn w:val="36"/>
    <w:semiHidden/>
    <w:unhideWhenUsed/>
    <w:qFormat/>
    <w:uiPriority w:val="99"/>
    <w:rPr>
      <w:sz w:val="21"/>
      <w:szCs w:val="21"/>
    </w:rPr>
  </w:style>
  <w:style w:type="character" w:styleId="43">
    <w:name w:val="HTML Sample"/>
    <w:basedOn w:val="36"/>
    <w:semiHidden/>
    <w:unhideWhenUsed/>
    <w:qFormat/>
    <w:uiPriority w:val="99"/>
    <w:rPr>
      <w:rFonts w:ascii="宋体" w:hAnsi="宋体" w:eastAsia="宋体" w:cs="宋体"/>
    </w:rPr>
  </w:style>
  <w:style w:type="paragraph" w:customStyle="1" w:styleId="4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5">
    <w:name w:val="标题 1 字符"/>
    <w:basedOn w:val="36"/>
    <w:link w:val="3"/>
    <w:qFormat/>
    <w:uiPriority w:val="9"/>
    <w:rPr>
      <w:rFonts w:ascii="Times New Roman" w:hAnsi="Times New Roman" w:eastAsia="宋体" w:cs="Times New Roman"/>
      <w:b/>
      <w:szCs w:val="20"/>
    </w:rPr>
  </w:style>
  <w:style w:type="character" w:customStyle="1" w:styleId="46">
    <w:name w:val="标题 2 字符"/>
    <w:basedOn w:val="36"/>
    <w:link w:val="4"/>
    <w:qFormat/>
    <w:uiPriority w:val="9"/>
    <w:rPr>
      <w:rFonts w:ascii="Arial" w:hAnsi="Arial" w:eastAsia="黑体" w:cs="Times New Roman"/>
      <w:b/>
      <w:sz w:val="32"/>
      <w:szCs w:val="20"/>
    </w:rPr>
  </w:style>
  <w:style w:type="character" w:customStyle="1" w:styleId="47">
    <w:name w:val="标题 3 字符"/>
    <w:basedOn w:val="36"/>
    <w:link w:val="5"/>
    <w:qFormat/>
    <w:uiPriority w:val="9"/>
    <w:rPr>
      <w:rFonts w:ascii="Times New Roman" w:hAnsi="Times New Roman" w:eastAsia="宋体" w:cs="Times New Roman"/>
      <w:b/>
      <w:bCs/>
      <w:sz w:val="32"/>
      <w:szCs w:val="32"/>
    </w:rPr>
  </w:style>
  <w:style w:type="character" w:customStyle="1" w:styleId="48">
    <w:name w:val="标题 4 字符"/>
    <w:basedOn w:val="36"/>
    <w:link w:val="6"/>
    <w:qFormat/>
    <w:uiPriority w:val="0"/>
    <w:rPr>
      <w:rFonts w:ascii="Arial" w:hAnsi="Arial" w:eastAsia="黑体" w:cs="Times New Roman"/>
      <w:b/>
      <w:bCs/>
      <w:sz w:val="28"/>
      <w:szCs w:val="28"/>
    </w:rPr>
  </w:style>
  <w:style w:type="character" w:customStyle="1" w:styleId="49">
    <w:name w:val="标题 5 字符"/>
    <w:basedOn w:val="36"/>
    <w:link w:val="7"/>
    <w:qFormat/>
    <w:uiPriority w:val="0"/>
    <w:rPr>
      <w:rFonts w:ascii="Times New Roman" w:hAnsi="Times New Roman" w:eastAsia="宋体" w:cs="Times New Roman"/>
      <w:b/>
      <w:sz w:val="28"/>
      <w:szCs w:val="20"/>
    </w:rPr>
  </w:style>
  <w:style w:type="character" w:customStyle="1" w:styleId="50">
    <w:name w:val="标题 6 字符"/>
    <w:basedOn w:val="36"/>
    <w:link w:val="8"/>
    <w:qFormat/>
    <w:uiPriority w:val="0"/>
    <w:rPr>
      <w:rFonts w:ascii="Arial" w:hAnsi="Arial" w:eastAsia="黑体" w:cs="Times New Roman"/>
      <w:b/>
      <w:sz w:val="24"/>
      <w:szCs w:val="20"/>
    </w:rPr>
  </w:style>
  <w:style w:type="character" w:customStyle="1" w:styleId="51">
    <w:name w:val="标题 7 字符"/>
    <w:basedOn w:val="36"/>
    <w:link w:val="9"/>
    <w:qFormat/>
    <w:uiPriority w:val="0"/>
    <w:rPr>
      <w:rFonts w:ascii="Times New Roman" w:hAnsi="Times New Roman" w:eastAsia="宋体" w:cs="Times New Roman"/>
      <w:b/>
      <w:sz w:val="24"/>
      <w:szCs w:val="20"/>
    </w:rPr>
  </w:style>
  <w:style w:type="character" w:customStyle="1" w:styleId="52">
    <w:name w:val="标题 8 字符"/>
    <w:basedOn w:val="36"/>
    <w:link w:val="10"/>
    <w:qFormat/>
    <w:uiPriority w:val="0"/>
    <w:rPr>
      <w:rFonts w:ascii="Arial" w:hAnsi="Arial" w:eastAsia="黑体" w:cs="Times New Roman"/>
      <w:sz w:val="24"/>
      <w:szCs w:val="20"/>
    </w:rPr>
  </w:style>
  <w:style w:type="character" w:customStyle="1" w:styleId="53">
    <w:name w:val="标题 9 字符"/>
    <w:basedOn w:val="36"/>
    <w:link w:val="11"/>
    <w:qFormat/>
    <w:uiPriority w:val="0"/>
    <w:rPr>
      <w:rFonts w:ascii="Arial" w:hAnsi="Arial" w:eastAsia="黑体" w:cs="Times New Roman"/>
      <w:szCs w:val="20"/>
    </w:rPr>
  </w:style>
  <w:style w:type="character" w:customStyle="1" w:styleId="54">
    <w:name w:val="文档结构图 Char"/>
    <w:basedOn w:val="36"/>
    <w:qFormat/>
    <w:uiPriority w:val="0"/>
    <w:rPr>
      <w:rFonts w:ascii="宋体" w:hAnsi="Times New Roman" w:eastAsia="宋体" w:cs="Times New Roman"/>
      <w:sz w:val="18"/>
      <w:szCs w:val="18"/>
    </w:rPr>
  </w:style>
  <w:style w:type="character" w:customStyle="1" w:styleId="55">
    <w:name w:val="称呼 字符"/>
    <w:basedOn w:val="36"/>
    <w:link w:val="17"/>
    <w:qFormat/>
    <w:uiPriority w:val="0"/>
    <w:rPr>
      <w:rFonts w:ascii="宋体" w:hAnsi="Times New Roman" w:eastAsia="宋体" w:cs="Times New Roman"/>
      <w:b/>
      <w:sz w:val="28"/>
      <w:szCs w:val="20"/>
    </w:rPr>
  </w:style>
  <w:style w:type="character" w:customStyle="1" w:styleId="56">
    <w:name w:val="正文文本 Char"/>
    <w:basedOn w:val="36"/>
    <w:qFormat/>
    <w:uiPriority w:val="0"/>
    <w:rPr>
      <w:rFonts w:ascii="Times New Roman" w:hAnsi="Times New Roman" w:eastAsia="宋体" w:cs="Times New Roman"/>
      <w:szCs w:val="20"/>
    </w:rPr>
  </w:style>
  <w:style w:type="character" w:customStyle="1" w:styleId="57">
    <w:name w:val="正文文本缩进 字符"/>
    <w:basedOn w:val="36"/>
    <w:link w:val="18"/>
    <w:qFormat/>
    <w:uiPriority w:val="0"/>
    <w:rPr>
      <w:rFonts w:ascii="宋体" w:hAnsi="宋体" w:eastAsia="宋体" w:cs="Times New Roman"/>
      <w:sz w:val="24"/>
      <w:szCs w:val="20"/>
    </w:rPr>
  </w:style>
  <w:style w:type="character" w:customStyle="1" w:styleId="58">
    <w:name w:val="纯文本 Char"/>
    <w:basedOn w:val="36"/>
    <w:qFormat/>
    <w:uiPriority w:val="0"/>
    <w:rPr>
      <w:rFonts w:ascii="宋体" w:hAnsi="Courier New" w:eastAsia="宋体" w:cs="Courier New"/>
      <w:szCs w:val="21"/>
    </w:rPr>
  </w:style>
  <w:style w:type="character" w:customStyle="1" w:styleId="59">
    <w:name w:val="日期 字符"/>
    <w:basedOn w:val="36"/>
    <w:link w:val="22"/>
    <w:qFormat/>
    <w:uiPriority w:val="0"/>
    <w:rPr>
      <w:rFonts w:ascii="Times New Roman" w:hAnsi="Times New Roman" w:eastAsia="宋体" w:cs="Times New Roman"/>
      <w:sz w:val="24"/>
      <w:szCs w:val="20"/>
    </w:rPr>
  </w:style>
  <w:style w:type="character" w:customStyle="1" w:styleId="60">
    <w:name w:val="正文文本缩进 2 Char"/>
    <w:basedOn w:val="36"/>
    <w:qFormat/>
    <w:uiPriority w:val="0"/>
    <w:rPr>
      <w:rFonts w:ascii="Times New Roman" w:hAnsi="Times New Roman" w:eastAsia="宋体" w:cs="Times New Roman"/>
      <w:szCs w:val="20"/>
    </w:rPr>
  </w:style>
  <w:style w:type="character" w:customStyle="1" w:styleId="61">
    <w:name w:val="批注框文本 字符"/>
    <w:basedOn w:val="36"/>
    <w:link w:val="24"/>
    <w:semiHidden/>
    <w:qFormat/>
    <w:uiPriority w:val="99"/>
    <w:rPr>
      <w:rFonts w:ascii="Times New Roman" w:hAnsi="Times New Roman" w:eastAsia="宋体" w:cs="Times New Roman"/>
      <w:sz w:val="18"/>
      <w:szCs w:val="18"/>
    </w:rPr>
  </w:style>
  <w:style w:type="character" w:customStyle="1" w:styleId="62">
    <w:name w:val="页脚 字符"/>
    <w:basedOn w:val="36"/>
    <w:link w:val="25"/>
    <w:qFormat/>
    <w:uiPriority w:val="99"/>
    <w:rPr>
      <w:rFonts w:ascii="Times New Roman" w:hAnsi="Times New Roman" w:eastAsia="宋体" w:cs="Times New Roman"/>
      <w:sz w:val="18"/>
      <w:szCs w:val="18"/>
    </w:rPr>
  </w:style>
  <w:style w:type="character" w:customStyle="1" w:styleId="63">
    <w:name w:val="页眉 字符"/>
    <w:basedOn w:val="36"/>
    <w:link w:val="26"/>
    <w:qFormat/>
    <w:uiPriority w:val="99"/>
    <w:rPr>
      <w:rFonts w:ascii="Times New Roman" w:hAnsi="Times New Roman" w:eastAsia="宋体" w:cs="Times New Roman"/>
      <w:sz w:val="18"/>
      <w:szCs w:val="18"/>
    </w:rPr>
  </w:style>
  <w:style w:type="character" w:customStyle="1" w:styleId="64">
    <w:name w:val="正文文本缩进 3 字符"/>
    <w:basedOn w:val="36"/>
    <w:link w:val="28"/>
    <w:qFormat/>
    <w:uiPriority w:val="0"/>
    <w:rPr>
      <w:rFonts w:ascii="Arial" w:hAnsi="Arial" w:eastAsia="宋体" w:cs="Arial"/>
      <w:b/>
      <w:bCs/>
      <w:sz w:val="24"/>
      <w:szCs w:val="20"/>
    </w:rPr>
  </w:style>
  <w:style w:type="character" w:customStyle="1" w:styleId="65">
    <w:name w:val="正文文本 2 字符"/>
    <w:basedOn w:val="36"/>
    <w:link w:val="30"/>
    <w:qFormat/>
    <w:uiPriority w:val="0"/>
    <w:rPr>
      <w:rFonts w:ascii="Times New Roman" w:hAnsi="Times New Roman" w:eastAsia="宋体" w:cs="Times New Roman"/>
      <w:b/>
      <w:sz w:val="28"/>
      <w:szCs w:val="21"/>
    </w:rPr>
  </w:style>
  <w:style w:type="character" w:customStyle="1" w:styleId="66">
    <w:name w:val="正文首行缩进 Char"/>
    <w:basedOn w:val="56"/>
    <w:qFormat/>
    <w:uiPriority w:val="0"/>
    <w:rPr>
      <w:rFonts w:ascii="Times New Roman" w:hAnsi="Times New Roman" w:eastAsia="宋体" w:cs="Times New Roman"/>
      <w:szCs w:val="20"/>
    </w:rPr>
  </w:style>
  <w:style w:type="character" w:customStyle="1" w:styleId="67">
    <w:name w:val="p21"/>
    <w:qFormat/>
    <w:uiPriority w:val="0"/>
    <w:rPr>
      <w:rFonts w:hint="default" w:ascii="Arial" w:hAnsi="Arial" w:cs="Arial"/>
      <w:color w:val="333333"/>
      <w:sz w:val="18"/>
      <w:szCs w:val="18"/>
      <w:u w:val="none"/>
    </w:rPr>
  </w:style>
  <w:style w:type="character" w:customStyle="1" w:styleId="68">
    <w:name w:val="font21"/>
    <w:basedOn w:val="36"/>
    <w:qFormat/>
    <w:uiPriority w:val="0"/>
    <w:rPr>
      <w:rFonts w:hint="eastAsia" w:ascii="宋体" w:hAnsi="宋体" w:eastAsia="宋体" w:cs="宋体"/>
      <w:color w:val="000000"/>
      <w:sz w:val="22"/>
      <w:szCs w:val="22"/>
      <w:u w:val="none"/>
    </w:rPr>
  </w:style>
  <w:style w:type="character" w:customStyle="1" w:styleId="69">
    <w:name w:val="所标正文 Char Char"/>
    <w:link w:val="70"/>
    <w:qFormat/>
    <w:uiPriority w:val="0"/>
    <w:rPr>
      <w:rFonts w:ascii="仿宋_GB2312" w:hAnsi="Calibri" w:eastAsia="仿宋_GB2312"/>
      <w:sz w:val="30"/>
      <w:szCs w:val="28"/>
    </w:rPr>
  </w:style>
  <w:style w:type="paragraph" w:customStyle="1" w:styleId="70">
    <w:name w:val="所标正文"/>
    <w:basedOn w:val="1"/>
    <w:link w:val="69"/>
    <w:qFormat/>
    <w:uiPriority w:val="0"/>
    <w:pPr>
      <w:spacing w:line="360" w:lineRule="auto"/>
      <w:ind w:firstLine="200" w:firstLineChars="200"/>
    </w:pPr>
    <w:rPr>
      <w:rFonts w:ascii="仿宋_GB2312" w:hAnsi="Calibri" w:eastAsia="仿宋_GB2312" w:cstheme="minorBidi"/>
      <w:sz w:val="30"/>
      <w:szCs w:val="28"/>
    </w:rPr>
  </w:style>
  <w:style w:type="character" w:customStyle="1" w:styleId="71">
    <w:name w:val="正文文字 Char1"/>
    <w:link w:val="72"/>
    <w:qFormat/>
    <w:uiPriority w:val="0"/>
    <w:rPr>
      <w:rFonts w:ascii="宋体" w:eastAsia="宋体"/>
      <w:color w:val="000000"/>
      <w:sz w:val="28"/>
      <w:u w:color="000000"/>
    </w:rPr>
  </w:style>
  <w:style w:type="paragraph" w:customStyle="1" w:styleId="72">
    <w:name w:val="正文文字"/>
    <w:basedOn w:val="1"/>
    <w:link w:val="71"/>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3">
    <w:name w:val="marklong"/>
    <w:basedOn w:val="36"/>
    <w:qFormat/>
    <w:uiPriority w:val="0"/>
  </w:style>
  <w:style w:type="character" w:customStyle="1" w:styleId="74">
    <w:name w:val="unnamed1"/>
    <w:basedOn w:val="36"/>
    <w:qFormat/>
    <w:uiPriority w:val="0"/>
  </w:style>
  <w:style w:type="character" w:customStyle="1" w:styleId="75">
    <w:name w:val="css21"/>
    <w:qFormat/>
    <w:uiPriority w:val="0"/>
    <w:rPr>
      <w:sz w:val="18"/>
      <w:szCs w:val="18"/>
    </w:rPr>
  </w:style>
  <w:style w:type="character" w:customStyle="1" w:styleId="76">
    <w:name w:val="font01"/>
    <w:basedOn w:val="36"/>
    <w:qFormat/>
    <w:uiPriority w:val="0"/>
    <w:rPr>
      <w:rFonts w:hint="eastAsia" w:ascii="宋体" w:hAnsi="宋体" w:eastAsia="宋体" w:cs="宋体"/>
      <w:color w:val="000000"/>
      <w:sz w:val="22"/>
      <w:szCs w:val="22"/>
      <w:u w:val="none"/>
    </w:rPr>
  </w:style>
  <w:style w:type="character" w:customStyle="1" w:styleId="77">
    <w:name w:val="纯文本 Char Char Char Char Char Char"/>
    <w:qFormat/>
    <w:locked/>
    <w:uiPriority w:val="0"/>
    <w:rPr>
      <w:rFonts w:ascii="宋体" w:hAnsi="Courier New" w:eastAsia="宋体"/>
      <w:kern w:val="2"/>
      <w:sz w:val="21"/>
      <w:lang w:val="en-US" w:eastAsia="zh-CN" w:bidi="ar-SA"/>
    </w:rPr>
  </w:style>
  <w:style w:type="character" w:customStyle="1" w:styleId="78">
    <w:name w:val="正文缩进 字符"/>
    <w:link w:val="13"/>
    <w:qFormat/>
    <w:uiPriority w:val="99"/>
    <w:rPr>
      <w:szCs w:val="24"/>
    </w:rPr>
  </w:style>
  <w:style w:type="character" w:customStyle="1" w:styleId="79">
    <w:name w:val="样式 正文缩进 + 首行缩进:  2 字符 Char"/>
    <w:link w:val="80"/>
    <w:qFormat/>
    <w:uiPriority w:val="0"/>
    <w:rPr>
      <w:sz w:val="24"/>
    </w:rPr>
  </w:style>
  <w:style w:type="paragraph" w:customStyle="1" w:styleId="80">
    <w:name w:val="样式 正文缩进 + 首行缩进:  2 字符"/>
    <w:basedOn w:val="13"/>
    <w:link w:val="79"/>
    <w:qFormat/>
    <w:uiPriority w:val="0"/>
    <w:pPr>
      <w:spacing w:line="360" w:lineRule="auto"/>
      <w:ind w:firstLine="200"/>
    </w:pPr>
    <w:rPr>
      <w:sz w:val="24"/>
      <w:szCs w:val="22"/>
    </w:rPr>
  </w:style>
  <w:style w:type="character" w:customStyle="1" w:styleId="81">
    <w:name w:val="标准段落正文 Char"/>
    <w:link w:val="82"/>
    <w:qFormat/>
    <w:uiPriority w:val="0"/>
    <w:rPr>
      <w:rFonts w:cs="宋体"/>
      <w:sz w:val="24"/>
    </w:rPr>
  </w:style>
  <w:style w:type="paragraph" w:customStyle="1" w:styleId="82">
    <w:name w:val="标准段落正文"/>
    <w:basedOn w:val="1"/>
    <w:link w:val="81"/>
    <w:qFormat/>
    <w:uiPriority w:val="0"/>
    <w:pPr>
      <w:spacing w:line="360" w:lineRule="auto"/>
      <w:ind w:firstLine="482"/>
    </w:pPr>
    <w:rPr>
      <w:rFonts w:cs="宋体" w:asciiTheme="minorHAnsi" w:hAnsiTheme="minorHAnsi" w:eastAsiaTheme="minorEastAsia"/>
      <w:sz w:val="24"/>
      <w:szCs w:val="22"/>
    </w:rPr>
  </w:style>
  <w:style w:type="character" w:customStyle="1" w:styleId="83">
    <w:name w:val="正文文字 Char"/>
    <w:qFormat/>
    <w:uiPriority w:val="0"/>
    <w:rPr>
      <w:rFonts w:ascii="Arial" w:hAnsi="Arial" w:eastAsia="宋体" w:cs="Arial"/>
      <w:kern w:val="2"/>
      <w:sz w:val="24"/>
      <w:lang w:val="en-US" w:eastAsia="zh-CN" w:bidi="ar-SA"/>
    </w:rPr>
  </w:style>
  <w:style w:type="character" w:customStyle="1" w:styleId="84">
    <w:name w:val="书籍标题1"/>
    <w:qFormat/>
    <w:uiPriority w:val="0"/>
    <w:rPr>
      <w:b/>
      <w:bCs/>
      <w:smallCaps/>
      <w:spacing w:val="5"/>
    </w:rPr>
  </w:style>
  <w:style w:type="character" w:customStyle="1" w:styleId="85">
    <w:name w:val="con"/>
    <w:qFormat/>
    <w:uiPriority w:val="0"/>
  </w:style>
  <w:style w:type="character" w:customStyle="1" w:styleId="86">
    <w:name w:val="明显参考1"/>
    <w:qFormat/>
    <w:uiPriority w:val="0"/>
    <w:rPr>
      <w:b/>
      <w:bCs/>
      <w:smallCaps/>
      <w:color w:val="C0504D"/>
      <w:spacing w:val="5"/>
      <w:u w:val="single"/>
    </w:rPr>
  </w:style>
  <w:style w:type="character" w:customStyle="1" w:styleId="87">
    <w:name w:val="grame"/>
    <w:basedOn w:val="36"/>
    <w:qFormat/>
    <w:uiPriority w:val="0"/>
  </w:style>
  <w:style w:type="paragraph" w:customStyle="1" w:styleId="88">
    <w:name w:val="列出段落1"/>
    <w:basedOn w:val="1"/>
    <w:qFormat/>
    <w:uiPriority w:val="34"/>
    <w:pPr>
      <w:ind w:firstLine="420" w:firstLineChars="200"/>
    </w:pPr>
    <w:rPr>
      <w:rFonts w:ascii="Calibri" w:hAnsi="Calibri"/>
      <w:szCs w:val="22"/>
    </w:rPr>
  </w:style>
  <w:style w:type="paragraph" w:customStyle="1" w:styleId="89">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0">
    <w:name w:val="正文文本缩进 2 字符"/>
    <w:basedOn w:val="36"/>
    <w:link w:val="23"/>
    <w:qFormat/>
    <w:uiPriority w:val="0"/>
    <w:rPr>
      <w:rFonts w:ascii="宋体" w:hAnsi="宋体"/>
      <w:sz w:val="24"/>
    </w:rPr>
  </w:style>
  <w:style w:type="character" w:customStyle="1" w:styleId="91">
    <w:name w:val="文档结构图 字符"/>
    <w:basedOn w:val="36"/>
    <w:link w:val="15"/>
    <w:qFormat/>
    <w:uiPriority w:val="0"/>
    <w:rPr>
      <w:shd w:val="clear" w:color="auto" w:fill="000080"/>
    </w:rPr>
  </w:style>
  <w:style w:type="paragraph" w:customStyle="1" w:styleId="92">
    <w:name w:val="Char"/>
    <w:basedOn w:val="1"/>
    <w:semiHidden/>
    <w:qFormat/>
    <w:uiPriority w:val="0"/>
    <w:rPr>
      <w:rFonts w:ascii="Tahoma" w:hAnsi="Tahoma" w:cs="仿宋_GB2312"/>
      <w:sz w:val="24"/>
      <w:szCs w:val="28"/>
    </w:rPr>
  </w:style>
  <w:style w:type="paragraph" w:customStyle="1" w:styleId="93">
    <w:name w:val="正文缩进1"/>
    <w:basedOn w:val="1"/>
    <w:qFormat/>
    <w:uiPriority w:val="0"/>
    <w:pPr>
      <w:ind w:firstLine="420" w:firstLineChars="200"/>
    </w:pPr>
    <w:rPr>
      <w:rFonts w:ascii="Calibri" w:hAnsi="Calibri"/>
    </w:rPr>
  </w:style>
  <w:style w:type="paragraph" w:customStyle="1" w:styleId="94">
    <w:name w:val="条目3"/>
    <w:basedOn w:val="21"/>
    <w:qFormat/>
    <w:uiPriority w:val="0"/>
  </w:style>
  <w:style w:type="character" w:customStyle="1" w:styleId="95">
    <w:name w:val="正文文本 字符"/>
    <w:basedOn w:val="36"/>
    <w:link w:val="2"/>
    <w:qFormat/>
    <w:uiPriority w:val="0"/>
    <w:rPr>
      <w:rFonts w:ascii="Arial" w:hAnsi="Arial" w:cs="Arial"/>
      <w:sz w:val="24"/>
    </w:rPr>
  </w:style>
  <w:style w:type="paragraph" w:customStyle="1" w:styleId="9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7">
    <w:name w:val="纯文本 字符"/>
    <w:basedOn w:val="36"/>
    <w:link w:val="21"/>
    <w:qFormat/>
    <w:uiPriority w:val="0"/>
    <w:rPr>
      <w:rFonts w:ascii="宋体" w:hAnsi="Courier New" w:eastAsia="宋体"/>
    </w:rPr>
  </w:style>
  <w:style w:type="paragraph" w:customStyle="1" w:styleId="98">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9">
    <w:name w:val="列出段落11"/>
    <w:basedOn w:val="1"/>
    <w:qFormat/>
    <w:uiPriority w:val="0"/>
    <w:pPr>
      <w:ind w:firstLine="420" w:firstLineChars="200"/>
    </w:pPr>
  </w:style>
  <w:style w:type="paragraph" w:customStyle="1" w:styleId="100">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1">
    <w:name w:val="首页大标题"/>
    <w:basedOn w:val="70"/>
    <w:qFormat/>
    <w:uiPriority w:val="0"/>
    <w:pPr>
      <w:ind w:firstLine="0" w:firstLineChars="0"/>
      <w:jc w:val="center"/>
    </w:pPr>
    <w:rPr>
      <w:rFonts w:ascii="黑体" w:eastAsia="黑体"/>
      <w:b/>
      <w:sz w:val="52"/>
    </w:rPr>
  </w:style>
  <w:style w:type="character" w:customStyle="1" w:styleId="102">
    <w:name w:val="正文首行缩进 字符"/>
    <w:basedOn w:val="95"/>
    <w:link w:val="32"/>
    <w:qFormat/>
    <w:uiPriority w:val="0"/>
    <w:rPr>
      <w:rFonts w:ascii="Arial" w:hAnsi="Arial" w:cs="Arial"/>
      <w:sz w:val="24"/>
    </w:rPr>
  </w:style>
  <w:style w:type="paragraph" w:customStyle="1" w:styleId="10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4">
    <w:name w:val="p0"/>
    <w:basedOn w:val="1"/>
    <w:qFormat/>
    <w:uiPriority w:val="0"/>
    <w:pPr>
      <w:widowControl/>
    </w:pPr>
    <w:rPr>
      <w:kern w:val="0"/>
      <w:szCs w:val="21"/>
    </w:rPr>
  </w:style>
  <w:style w:type="paragraph" w:customStyle="1" w:styleId="105">
    <w:name w:val="条目2"/>
    <w:basedOn w:val="21"/>
    <w:qFormat/>
    <w:uiPriority w:val="0"/>
    <w:pPr>
      <w:tabs>
        <w:tab w:val="left" w:pos="420"/>
      </w:tabs>
      <w:spacing w:line="360" w:lineRule="auto"/>
      <w:ind w:left="420" w:hanging="420"/>
    </w:pPr>
    <w:rPr>
      <w:color w:val="000000"/>
      <w:sz w:val="30"/>
    </w:rPr>
  </w:style>
  <w:style w:type="paragraph" w:customStyle="1" w:styleId="106">
    <w:name w:val="1 Char Char Char Char"/>
    <w:basedOn w:val="1"/>
    <w:qFormat/>
    <w:uiPriority w:val="0"/>
    <w:rPr>
      <w:rFonts w:ascii="Tahoma" w:hAnsi="Tahoma"/>
      <w:sz w:val="24"/>
    </w:rPr>
  </w:style>
  <w:style w:type="character" w:customStyle="1" w:styleId="107">
    <w:name w:val="普通(网站) 字符"/>
    <w:link w:val="31"/>
    <w:qFormat/>
    <w:uiPriority w:val="99"/>
    <w:rPr>
      <w:rFonts w:ascii="Arial Unicode MS" w:hAnsi="Arial Unicode MS" w:eastAsia="Arial Unicode MS" w:cs="Arial Unicode MS"/>
      <w:kern w:val="0"/>
      <w:sz w:val="24"/>
      <w:szCs w:val="24"/>
    </w:rPr>
  </w:style>
  <w:style w:type="paragraph" w:styleId="108">
    <w:name w:val="List Paragraph"/>
    <w:basedOn w:val="1"/>
    <w:link w:val="117"/>
    <w:qFormat/>
    <w:uiPriority w:val="34"/>
    <w:pPr>
      <w:ind w:firstLine="420" w:firstLineChars="200"/>
    </w:pPr>
    <w:rPr>
      <w:rFonts w:asciiTheme="minorHAnsi" w:hAnsiTheme="minorHAnsi" w:eastAsiaTheme="minorEastAsia" w:cstheme="minorBidi"/>
      <w:szCs w:val="22"/>
    </w:rPr>
  </w:style>
  <w:style w:type="paragraph" w:customStyle="1" w:styleId="109">
    <w:name w:val="宋体小四"/>
    <w:basedOn w:val="1"/>
    <w:qFormat/>
    <w:uiPriority w:val="0"/>
    <w:pPr>
      <w:spacing w:line="360" w:lineRule="auto"/>
      <w:ind w:firstLine="480" w:firstLineChars="200"/>
    </w:pPr>
    <w:rPr>
      <w:rFonts w:ascii="Arial" w:hAnsi="Arial"/>
      <w:sz w:val="24"/>
    </w:rPr>
  </w:style>
  <w:style w:type="paragraph" w:customStyle="1" w:styleId="110">
    <w:name w:val="列出段落2"/>
    <w:basedOn w:val="1"/>
    <w:qFormat/>
    <w:uiPriority w:val="34"/>
    <w:pPr>
      <w:ind w:firstLine="420" w:firstLineChars="200"/>
    </w:pPr>
    <w:rPr>
      <w:rFonts w:asciiTheme="minorHAnsi" w:hAnsiTheme="minorHAnsi" w:cstheme="minorBidi"/>
      <w:szCs w:val="24"/>
    </w:rPr>
  </w:style>
  <w:style w:type="paragraph" w:customStyle="1" w:styleId="111">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2">
    <w:name w:val="样式1"/>
    <w:basedOn w:val="5"/>
    <w:qFormat/>
    <w:uiPriority w:val="0"/>
    <w:pPr>
      <w:spacing w:before="0" w:after="0" w:line="240" w:lineRule="auto"/>
    </w:pPr>
    <w:rPr>
      <w:rFonts w:ascii="宋体" w:hAnsi="宋体"/>
      <w:szCs w:val="21"/>
    </w:rPr>
  </w:style>
  <w:style w:type="paragraph" w:customStyle="1" w:styleId="113">
    <w:name w:val="验收文档-首页主标题"/>
    <w:basedOn w:val="1"/>
    <w:qFormat/>
    <w:uiPriority w:val="0"/>
    <w:pPr>
      <w:jc w:val="center"/>
    </w:pPr>
    <w:rPr>
      <w:rFonts w:ascii="黑体" w:eastAsia="黑体"/>
      <w:sz w:val="52"/>
      <w:szCs w:val="52"/>
    </w:rPr>
  </w:style>
  <w:style w:type="paragraph" w:customStyle="1" w:styleId="114">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15">
    <w:name w:val="正文1125"/>
    <w:basedOn w:val="1"/>
    <w:qFormat/>
    <w:uiPriority w:val="0"/>
    <w:pPr>
      <w:adjustRightInd w:val="0"/>
      <w:snapToGrid w:val="0"/>
      <w:spacing w:afterLines="50"/>
      <w:ind w:firstLine="560" w:firstLineChars="200"/>
    </w:pPr>
    <w:rPr>
      <w:szCs w:val="28"/>
    </w:rPr>
  </w:style>
  <w:style w:type="paragraph" w:customStyle="1" w:styleId="116">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17">
    <w:name w:val="列出段落 字符"/>
    <w:link w:val="108"/>
    <w:qFormat/>
    <w:uiPriority w:val="34"/>
    <w:rPr>
      <w:kern w:val="2"/>
      <w:sz w:val="21"/>
      <w:szCs w:val="22"/>
    </w:rPr>
  </w:style>
  <w:style w:type="character" w:customStyle="1" w:styleId="118">
    <w:name w:val="bookmark-item"/>
    <w:basedOn w:val="36"/>
    <w:qFormat/>
    <w:uiPriority w:val="0"/>
  </w:style>
  <w:style w:type="paragraph" w:customStyle="1" w:styleId="11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20">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21">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2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23">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DF166-3BB9-4CCE-8B24-8776375523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3835</Words>
  <Characters>21861</Characters>
  <Lines>182</Lines>
  <Paragraphs>51</Paragraphs>
  <TotalTime>13</TotalTime>
  <ScaleCrop>false</ScaleCrop>
  <LinksUpToDate>false</LinksUpToDate>
  <CharactersWithSpaces>25645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2022-03-16T04:43:00Z</dcterms:created>
  <dc:creator>Administrator</dc:creator>
  <cp:lastModifiedBy>bo_O</cp:lastModifiedBy>
  <cp:lastPrinted>2021-06-18T02:14:00Z</cp:lastPrinted>
  <dcterms:modified xsi:type="dcterms:W3CDTF">2022-03-25T04:51:54Z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DAB96692DA194C7094823AABF184E4E9</vt:lpwstr>
  </property>
</Properties>
</file>