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政府采购需求书</w:t>
      </w:r>
    </w:p>
    <w:p>
      <w:pPr>
        <w:keepNext w:val="0"/>
        <w:keepLines w:val="0"/>
        <w:widowControl/>
        <w:suppressLineNumbers w:val="0"/>
        <w:ind w:firstLine="482" w:firstLineChars="200"/>
        <w:jc w:val="both"/>
        <w:rPr>
          <w:rFonts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一、采购标的需实现的功能或者目标，以及为落实政府采购政策需满足的要求：</w:t>
      </w:r>
    </w:p>
    <w:p>
      <w:pPr>
        <w:ind w:firstLine="54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（一）为落实政府采购政策需满足的要求</w:t>
      </w:r>
    </w:p>
    <w:p>
      <w:pPr>
        <w:ind w:firstLine="54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（1）《关于中国环境标志产品政府采购实施的意见》（财库[2006]90号）； </w:t>
      </w:r>
    </w:p>
    <w:p>
      <w:pPr>
        <w:ind w:firstLine="54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（2）《关于开展政府采购信用担保试点工作的通知》（财库【2011】124号）；</w:t>
      </w:r>
    </w:p>
    <w:p>
      <w:pPr>
        <w:ind w:firstLine="54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（3）《关于印发《政府采购促进中小企业发展管理办法》的通知》（财库【2020】46号）；</w:t>
      </w:r>
    </w:p>
    <w:p>
      <w:pPr>
        <w:ind w:firstLine="54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（4）《财政部、司法部关于政府采购支持监狱企业发展有关问题的通知》（财库【2014】68号）；</w:t>
      </w:r>
    </w:p>
    <w:p>
      <w:pPr>
        <w:ind w:firstLine="54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ind w:firstLine="540"/>
        <w:rPr>
          <w:rFonts w:hint="eastAsia" w:ascii="仿宋_GB2312" w:hAnsi="仿宋_GB2312" w:eastAsia="仿宋_GB2312" w:cs="仿宋_GB2312"/>
          <w:b w:val="0"/>
          <w:bCs w:val="0"/>
          <w:color w:val="000000"/>
          <w:kern w:val="0"/>
          <w:sz w:val="24"/>
          <w:szCs w:val="24"/>
          <w:lang w:val="en-US" w:eastAsia="zh-CN" w:bidi="ar"/>
        </w:rPr>
      </w:pPr>
    </w:p>
    <w:p>
      <w:pPr>
        <w:keepNext w:val="0"/>
        <w:keepLines w:val="0"/>
        <w:widowControl/>
        <w:numPr>
          <w:ilvl w:val="0"/>
          <w:numId w:val="1"/>
        </w:numPr>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供应商资格：</w:t>
      </w:r>
    </w:p>
    <w:p>
      <w:pPr>
        <w:ind w:firstLine="54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1.满足《中华人民共和国政府采购法》第二十二条规定；</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1、具有合格的三证合一的营业执照;</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2、法定代表人证明或法定代表人授权委托书原件及法定代表人或被授权委托人身份证原件或相关部门开具的身份证明文件原件;</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3、提供具有依法缴纳近六个月的税收良好记录证明；税务部门出具的完税凭证或缴税证明或银行出具的“银行电子缴税付款凭证”）；</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4、提供社保相关证明：（投标单位近六个月的社保凭证及授权委托人社保凭证）；</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5、具有良好的商业信誉和健全的财务会计制度，提供2020年度或2021年度的审计报告（新成立的公司须提供近一个月的银行资信证明复印件）</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6、提供针对本次项目《反商业贿赂承诺书》原件</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7、提供本单位在参加政府采购活动前3年内在经营活动中没有重大违法记录的书面声明；</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8、第一包</w:t>
      </w:r>
      <w:r>
        <w:rPr>
          <w:rFonts w:hint="eastAsia" w:ascii="仿宋" w:hAnsi="仿宋" w:eastAsia="仿宋" w:cs="宋体"/>
          <w:sz w:val="24"/>
          <w:szCs w:val="24"/>
        </w:rPr>
        <w:t>需提供符合项目的</w:t>
      </w:r>
      <w:r>
        <w:rPr>
          <w:rFonts w:hint="eastAsia" w:ascii="仿宋" w:hAnsi="仿宋" w:eastAsia="仿宋" w:cs="宋体"/>
          <w:sz w:val="24"/>
          <w:szCs w:val="24"/>
          <w:lang w:val="en-US" w:eastAsia="zh-CN"/>
        </w:rPr>
        <w:t>《医疗器械生产许可证》或《医疗器械经营许可证》（二类医疗器械需提供医疗器械备案凭证）</w:t>
      </w:r>
      <w:r>
        <w:rPr>
          <w:rFonts w:hint="eastAsia" w:ascii="仿宋" w:hAnsi="仿宋" w:eastAsia="仿宋" w:cs="宋体"/>
          <w:sz w:val="24"/>
          <w:szCs w:val="24"/>
        </w:rPr>
        <w:t>；</w:t>
      </w:r>
    </w:p>
    <w:p>
      <w:pPr>
        <w:spacing w:line="360" w:lineRule="auto"/>
        <w:ind w:firstLine="540"/>
        <w:rPr>
          <w:rFonts w:hint="eastAsia" w:ascii="仿宋" w:hAnsi="仿宋" w:eastAsia="仿宋" w:cs="宋体"/>
          <w:sz w:val="24"/>
          <w:szCs w:val="24"/>
        </w:rPr>
      </w:pPr>
      <w:r>
        <w:rPr>
          <w:rFonts w:hint="eastAsia" w:ascii="仿宋" w:hAnsi="仿宋" w:eastAsia="仿宋" w:cs="宋体"/>
          <w:sz w:val="24"/>
          <w:szCs w:val="24"/>
        </w:rPr>
        <w:t>本项目不接受联合体投标。</w:t>
      </w:r>
    </w:p>
    <w:p>
      <w:pPr>
        <w:keepNext w:val="0"/>
        <w:keepLines w:val="0"/>
        <w:widowControl/>
        <w:numPr>
          <w:ilvl w:val="0"/>
          <w:numId w:val="1"/>
        </w:numPr>
        <w:suppressLineNumbers w:val="0"/>
        <w:ind w:left="0" w:leftChars="0"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采购标的需执行的国家相关标准、行业标准、地方标准或者其他标准、规范：</w:t>
      </w:r>
    </w:p>
    <w:p>
      <w:pPr>
        <w:pStyle w:val="2"/>
        <w:numPr>
          <w:ilvl w:val="0"/>
          <w:numId w:val="0"/>
        </w:numPr>
        <w:ind w:firstLine="480" w:firstLineChars="20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供应商供货应与产品原始技术资料及标书技术文件一致，应符合我国有关技术规范和技术标准，如提供货物验收不合格，所有损失由供货方自己承担，供货完毕后中标单位一同参与验收。</w:t>
      </w:r>
    </w:p>
    <w:p>
      <w:pPr>
        <w:keepNext w:val="0"/>
        <w:keepLines w:val="0"/>
        <w:widowControl/>
        <w:suppressLineNumbers w:val="0"/>
        <w:ind w:firstLine="482"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四、</w:t>
      </w:r>
      <w:r>
        <w:rPr>
          <w:rFonts w:ascii="仿宋_GB2312" w:hAnsi="仿宋_GB2312" w:eastAsia="仿宋_GB2312" w:cs="仿宋_GB2312"/>
          <w:b/>
          <w:bCs/>
          <w:color w:val="000000"/>
          <w:kern w:val="0"/>
          <w:sz w:val="24"/>
          <w:szCs w:val="24"/>
          <w:lang w:val="en-US" w:eastAsia="zh-CN" w:bidi="ar"/>
        </w:rPr>
        <w:t>采购实施计划</w:t>
      </w:r>
      <w:r>
        <w:rPr>
          <w:rFonts w:hint="eastAsia" w:ascii="仿宋_GB2312" w:hAnsi="仿宋_GB2312" w:eastAsia="仿宋_GB2312" w:cs="仿宋_GB2312"/>
          <w:b/>
          <w:bCs/>
          <w:color w:val="000000"/>
          <w:kern w:val="0"/>
          <w:sz w:val="24"/>
          <w:szCs w:val="24"/>
          <w:lang w:val="en-US" w:eastAsia="zh-CN" w:bidi="ar"/>
        </w:rPr>
        <w:t>主要内容</w:t>
      </w: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b w:val="0"/>
          <w:bCs w:val="0"/>
          <w:color w:val="000000"/>
          <w:kern w:val="0"/>
          <w:sz w:val="24"/>
          <w:szCs w:val="24"/>
          <w:lang w:val="en-US" w:eastAsia="zh-CN" w:bidi="ar"/>
        </w:rPr>
        <w:t xml:space="preserve"> </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1、采购内容：</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第一包康复设备一批，</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第二包会议系统、多功能培训室一批，</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第三包绿化美化亮化一批，</w:t>
      </w:r>
    </w:p>
    <w:p>
      <w:pPr>
        <w:keepNext w:val="0"/>
        <w:keepLines w:val="0"/>
        <w:widowControl/>
        <w:numPr>
          <w:ilvl w:val="0"/>
          <w:numId w:val="0"/>
        </w:numPr>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第四包文化长廊建设一批。</w:t>
      </w:r>
    </w:p>
    <w:p>
      <w:pPr>
        <w:keepNext w:val="0"/>
        <w:keepLines w:val="0"/>
        <w:widowControl/>
        <w:numPr>
          <w:ilvl w:val="0"/>
          <w:numId w:val="0"/>
        </w:numPr>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w:t>
      </w:r>
      <w:r>
        <w:rPr>
          <w:rFonts w:ascii="仿宋_GB2312" w:hAnsi="仿宋_GB2312" w:eastAsia="仿宋_GB2312" w:cs="仿宋_GB2312"/>
          <w:b w:val="0"/>
          <w:bCs w:val="0"/>
          <w:color w:val="000000"/>
          <w:kern w:val="0"/>
          <w:sz w:val="24"/>
          <w:szCs w:val="24"/>
          <w:lang w:val="en-US" w:eastAsia="zh-CN" w:bidi="ar"/>
        </w:rPr>
        <w:t>采购项目预（概）算</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 w:hAnsi="仿宋" w:eastAsia="仿宋" w:cs="宋体"/>
          <w:sz w:val="24"/>
          <w:szCs w:val="24"/>
          <w:lang w:val="en-US" w:eastAsia="zh-CN"/>
        </w:rPr>
        <w:t>2300000</w:t>
      </w:r>
      <w:r>
        <w:rPr>
          <w:rFonts w:hint="eastAsia" w:ascii="仿宋_GB2312" w:hAnsi="仿宋_GB2312" w:eastAsia="仿宋_GB2312" w:cs="仿宋_GB2312"/>
          <w:b w:val="0"/>
          <w:bCs w:val="0"/>
          <w:color w:val="000000"/>
          <w:kern w:val="0"/>
          <w:sz w:val="24"/>
          <w:szCs w:val="24"/>
          <w:lang w:val="en-US" w:eastAsia="zh-CN" w:bidi="ar"/>
        </w:rPr>
        <w:t>.00元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预算：</w:t>
      </w:r>
      <w:r>
        <w:rPr>
          <w:rFonts w:hint="eastAsia" w:ascii="仿宋" w:hAnsi="仿宋" w:eastAsia="仿宋" w:cs="宋体"/>
          <w:sz w:val="24"/>
          <w:szCs w:val="24"/>
          <w:lang w:val="en-US" w:eastAsia="zh-CN"/>
        </w:rPr>
        <w:t>2300000</w:t>
      </w:r>
      <w:r>
        <w:rPr>
          <w:rFonts w:hint="eastAsia" w:ascii="仿宋_GB2312" w:hAnsi="仿宋_GB2312" w:eastAsia="仿宋_GB2312" w:cs="仿宋_GB2312"/>
          <w:b w:val="0"/>
          <w:bCs w:val="0"/>
          <w:color w:val="000000"/>
          <w:kern w:val="0"/>
          <w:sz w:val="24"/>
          <w:szCs w:val="24"/>
          <w:lang w:val="en-US" w:eastAsia="zh-CN" w:bidi="ar"/>
        </w:rPr>
        <w:t>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w:t>
      </w:r>
      <w:r>
        <w:rPr>
          <w:rFonts w:ascii="仿宋_GB2312" w:hAnsi="仿宋_GB2312" w:eastAsia="仿宋_GB2312" w:cs="仿宋_GB2312"/>
          <w:b w:val="0"/>
          <w:bCs w:val="0"/>
          <w:color w:val="000000"/>
          <w:kern w:val="0"/>
          <w:sz w:val="24"/>
          <w:szCs w:val="24"/>
          <w:lang w:val="en-US" w:eastAsia="zh-CN" w:bidi="ar"/>
        </w:rPr>
        <w:t>最高限价</w:t>
      </w:r>
      <w:r>
        <w:rPr>
          <w:rFonts w:hint="eastAsia" w:ascii="仿宋_GB2312" w:hAnsi="仿宋_GB2312" w:eastAsia="仿宋_GB2312" w:cs="仿宋_GB2312"/>
          <w:b w:val="0"/>
          <w:bCs w:val="0"/>
          <w:color w:val="000000"/>
          <w:kern w:val="0"/>
          <w:sz w:val="24"/>
          <w:szCs w:val="24"/>
          <w:lang w:val="en-US" w:eastAsia="zh-CN" w:bidi="ar"/>
        </w:rPr>
        <w:t>：</w:t>
      </w:r>
    </w:p>
    <w:p>
      <w:pPr>
        <w:keepNext w:val="0"/>
        <w:keepLines w:val="0"/>
        <w:widowControl/>
        <w:suppressLineNumbers w:val="0"/>
        <w:ind w:firstLine="480" w:firstLineChars="20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w:t>
      </w:r>
      <w:r>
        <w:rPr>
          <w:rFonts w:ascii="仿宋_GB2312" w:hAnsi="仿宋_GB2312" w:eastAsia="仿宋_GB2312" w:cs="仿宋_GB2312"/>
          <w:b w:val="0"/>
          <w:bCs w:val="0"/>
          <w:color w:val="000000"/>
          <w:kern w:val="0"/>
          <w:sz w:val="24"/>
          <w:szCs w:val="24"/>
          <w:lang w:val="en-US" w:eastAsia="zh-CN" w:bidi="ar"/>
        </w:rPr>
        <w:t>开展采购活动的时间安排</w:t>
      </w:r>
      <w:r>
        <w:rPr>
          <w:rFonts w:hint="eastAsia" w:ascii="仿宋_GB2312" w:hAnsi="仿宋_GB2312" w:eastAsia="仿宋_GB2312" w:cs="仿宋_GB2312"/>
          <w:b w:val="0"/>
          <w:bCs w:val="0"/>
          <w:color w:val="000000"/>
          <w:kern w:val="0"/>
          <w:sz w:val="24"/>
          <w:szCs w:val="24"/>
          <w:lang w:val="en-US" w:eastAsia="zh-CN" w:bidi="ar"/>
        </w:rPr>
        <w:t>：2022年4月15日</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w:t>
      </w:r>
      <w:r>
        <w:rPr>
          <w:rFonts w:ascii="仿宋_GB2312" w:hAnsi="仿宋_GB2312" w:eastAsia="仿宋_GB2312" w:cs="仿宋_GB2312"/>
          <w:b w:val="0"/>
          <w:bCs w:val="0"/>
          <w:color w:val="000000"/>
          <w:kern w:val="0"/>
          <w:sz w:val="24"/>
          <w:szCs w:val="24"/>
          <w:lang w:val="en-US" w:eastAsia="zh-CN" w:bidi="ar"/>
        </w:rPr>
        <w:t>采购组织形式</w:t>
      </w:r>
      <w:r>
        <w:rPr>
          <w:rFonts w:hint="eastAsia" w:ascii="仿宋_GB2312" w:hAnsi="仿宋_GB2312" w:eastAsia="仿宋_GB2312" w:cs="仿宋_GB2312"/>
          <w:b w:val="0"/>
          <w:bCs w:val="0"/>
          <w:color w:val="000000"/>
          <w:kern w:val="0"/>
          <w:sz w:val="24"/>
          <w:szCs w:val="24"/>
          <w:lang w:val="en-US" w:eastAsia="zh-CN" w:bidi="ar"/>
        </w:rPr>
        <w:t>：委托社会代理机构</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6、</w:t>
      </w:r>
      <w:r>
        <w:rPr>
          <w:rFonts w:ascii="仿宋_GB2312" w:hAnsi="仿宋_GB2312" w:eastAsia="仿宋_GB2312" w:cs="仿宋_GB2312"/>
          <w:b w:val="0"/>
          <w:bCs w:val="0"/>
          <w:color w:val="000000"/>
          <w:kern w:val="0"/>
          <w:sz w:val="24"/>
          <w:szCs w:val="24"/>
          <w:lang w:val="en-US" w:eastAsia="zh-CN" w:bidi="ar"/>
        </w:rPr>
        <w:t>委托代理安排</w:t>
      </w:r>
      <w:r>
        <w:rPr>
          <w:rFonts w:hint="eastAsia" w:ascii="仿宋_GB2312" w:hAnsi="仿宋_GB2312" w:eastAsia="仿宋_GB2312" w:cs="仿宋_GB2312"/>
          <w:b w:val="0"/>
          <w:bCs w:val="0"/>
          <w:color w:val="000000"/>
          <w:kern w:val="0"/>
          <w:sz w:val="24"/>
          <w:szCs w:val="24"/>
          <w:lang w:val="en-US" w:eastAsia="zh-CN" w:bidi="ar"/>
        </w:rPr>
        <w:t>：新疆永兴盈程项目管理有限公司</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7、</w:t>
      </w:r>
      <w:r>
        <w:rPr>
          <w:rFonts w:ascii="仿宋_GB2312" w:hAnsi="仿宋_GB2312" w:eastAsia="仿宋_GB2312" w:cs="仿宋_GB2312"/>
          <w:b w:val="0"/>
          <w:bCs w:val="0"/>
          <w:color w:val="000000"/>
          <w:kern w:val="0"/>
          <w:sz w:val="24"/>
          <w:szCs w:val="24"/>
          <w:lang w:val="en-US" w:eastAsia="zh-CN" w:bidi="ar"/>
        </w:rPr>
        <w:t>采购包划分与合同分包</w:t>
      </w:r>
      <w:r>
        <w:rPr>
          <w:rFonts w:hint="eastAsia" w:ascii="仿宋_GB2312" w:hAnsi="仿宋_GB2312" w:eastAsia="仿宋_GB2312" w:cs="仿宋_GB2312"/>
          <w:b w:val="0"/>
          <w:bCs w:val="0"/>
          <w:color w:val="000000"/>
          <w:kern w:val="0"/>
          <w:sz w:val="24"/>
          <w:szCs w:val="24"/>
          <w:lang w:val="en-US" w:eastAsia="zh-CN" w:bidi="ar"/>
        </w:rPr>
        <w:t>：</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第一包康复设备一批，预算金额：1,200,000.00元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第二包会议系统、多功能培训室一批，预算金额：450,000.00元；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第三包绿化美化亮化一批，预算金额：250,000.00元</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第四包文化长廊建设一批，预算金额：400,000.00元</w:t>
      </w:r>
    </w:p>
    <w:p>
      <w:pPr>
        <w:keepNext w:val="0"/>
        <w:keepLines w:val="0"/>
        <w:widowControl/>
        <w:suppressLineNumbers w:val="0"/>
        <w:ind w:firstLine="480"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8、</w:t>
      </w:r>
      <w:r>
        <w:rPr>
          <w:rFonts w:ascii="仿宋_GB2312" w:hAnsi="仿宋_GB2312" w:eastAsia="仿宋_GB2312" w:cs="仿宋_GB2312"/>
          <w:b w:val="0"/>
          <w:bCs w:val="0"/>
          <w:color w:val="000000"/>
          <w:kern w:val="0"/>
          <w:sz w:val="24"/>
          <w:szCs w:val="24"/>
          <w:lang w:val="en-US" w:eastAsia="zh-CN" w:bidi="ar"/>
        </w:rPr>
        <w:t>采购方式</w:t>
      </w:r>
      <w:r>
        <w:rPr>
          <w:rFonts w:hint="eastAsia" w:ascii="仿宋_GB2312" w:hAnsi="仿宋_GB2312" w:eastAsia="仿宋_GB2312" w:cs="仿宋_GB2312"/>
          <w:b w:val="0"/>
          <w:bCs w:val="0"/>
          <w:color w:val="000000"/>
          <w:kern w:val="0"/>
          <w:sz w:val="24"/>
          <w:szCs w:val="24"/>
          <w:lang w:val="en-US" w:eastAsia="zh-CN" w:bidi="ar"/>
        </w:rPr>
        <w:t>：公开招标</w:t>
      </w:r>
    </w:p>
    <w:p>
      <w:pPr>
        <w:keepNext w:val="0"/>
        <w:keepLines w:val="0"/>
        <w:widowControl/>
        <w:suppressLineNumbers w:val="0"/>
        <w:ind w:firstLine="480"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9、</w:t>
      </w:r>
      <w:r>
        <w:rPr>
          <w:rFonts w:ascii="仿宋_GB2312" w:hAnsi="仿宋_GB2312" w:eastAsia="仿宋_GB2312" w:cs="仿宋_GB2312"/>
          <w:b w:val="0"/>
          <w:bCs w:val="0"/>
          <w:color w:val="000000"/>
          <w:kern w:val="0"/>
          <w:sz w:val="24"/>
          <w:szCs w:val="24"/>
          <w:lang w:val="en-US" w:eastAsia="zh-CN" w:bidi="ar"/>
        </w:rPr>
        <w:t>竞争范围</w:t>
      </w:r>
      <w:r>
        <w:rPr>
          <w:rFonts w:hint="eastAsia" w:ascii="仿宋_GB2312" w:hAnsi="仿宋_GB2312" w:eastAsia="仿宋_GB2312" w:cs="仿宋_GB2312"/>
          <w:b w:val="0"/>
          <w:bCs w:val="0"/>
          <w:color w:val="000000"/>
          <w:kern w:val="0"/>
          <w:sz w:val="24"/>
          <w:szCs w:val="24"/>
          <w:lang w:val="en-US" w:eastAsia="zh-CN" w:bidi="ar"/>
        </w:rPr>
        <w:t>：面向全国</w:t>
      </w:r>
    </w:p>
    <w:p>
      <w:pPr>
        <w:keepNext w:val="0"/>
        <w:keepLines w:val="0"/>
        <w:widowControl/>
        <w:suppressLineNumbers w:val="0"/>
        <w:ind w:firstLine="480"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10、</w:t>
      </w:r>
      <w:r>
        <w:rPr>
          <w:rFonts w:ascii="仿宋_GB2312" w:hAnsi="仿宋_GB2312" w:eastAsia="仿宋_GB2312" w:cs="仿宋_GB2312"/>
          <w:b w:val="0"/>
          <w:bCs w:val="0"/>
          <w:color w:val="000000"/>
          <w:kern w:val="0"/>
          <w:sz w:val="24"/>
          <w:szCs w:val="24"/>
          <w:lang w:val="en-US" w:eastAsia="zh-CN" w:bidi="ar"/>
        </w:rPr>
        <w:t>评审规则</w:t>
      </w:r>
      <w:r>
        <w:rPr>
          <w:rFonts w:hint="eastAsia" w:ascii="仿宋_GB2312" w:hAnsi="仿宋_GB2312" w:eastAsia="仿宋_GB2312" w:cs="仿宋_GB2312"/>
          <w:b w:val="0"/>
          <w:bCs w:val="0"/>
          <w:color w:val="000000"/>
          <w:kern w:val="0"/>
          <w:sz w:val="24"/>
          <w:szCs w:val="24"/>
          <w:lang w:val="en-US" w:eastAsia="zh-CN" w:bidi="ar"/>
        </w:rPr>
        <w:t>：本项目评标办法采用综合评分法</w:t>
      </w:r>
    </w:p>
    <w:p>
      <w:pPr>
        <w:keepNext w:val="0"/>
        <w:keepLines w:val="0"/>
        <w:widowControl/>
        <w:suppressLineNumbers w:val="0"/>
        <w:ind w:firstLine="482" w:firstLineChars="200"/>
        <w:jc w:val="both"/>
        <w:rPr>
          <w:rFonts w:hint="default"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五、采购标的内容、数量，包括技术要求和商务要求：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技术要求</w:t>
      </w:r>
      <w:r>
        <w:rPr>
          <w:rFonts w:hint="eastAsia" w:ascii="仿宋_GB2312" w:hAnsi="仿宋_GB2312" w:eastAsia="仿宋_GB2312" w:cs="仿宋_GB2312"/>
          <w:b w:val="0"/>
          <w:bCs w:val="0"/>
          <w:color w:val="auto"/>
          <w:kern w:val="0"/>
          <w:sz w:val="24"/>
          <w:szCs w:val="24"/>
          <w:lang w:val="en-US" w:eastAsia="zh-CN" w:bidi="ar"/>
        </w:rPr>
        <w:t>如下：</w:t>
      </w:r>
    </w:p>
    <w:p>
      <w:pPr>
        <w:keepNext w:val="0"/>
        <w:keepLines w:val="0"/>
        <w:widowControl/>
        <w:suppressLineNumbers w:val="0"/>
        <w:ind w:firstLine="480" w:firstLineChars="200"/>
        <w:jc w:val="both"/>
        <w:rPr>
          <w:rFonts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采购标的的功能和质量要求，包括性能</w:t>
      </w:r>
      <w:r>
        <w:rPr>
          <w:rFonts w:hint="eastAsia" w:ascii="仿宋_GB2312" w:hAnsi="仿宋_GB2312" w:eastAsia="仿宋_GB2312" w:cs="仿宋_GB2312"/>
          <w:b w:val="0"/>
          <w:bCs w:val="0"/>
          <w:color w:val="auto"/>
          <w:kern w:val="0"/>
          <w:sz w:val="24"/>
          <w:szCs w:val="24"/>
          <w:lang w:val="en-US" w:eastAsia="zh-CN" w:bidi="ar"/>
        </w:rPr>
        <w:t>、</w:t>
      </w:r>
      <w:r>
        <w:rPr>
          <w:rFonts w:ascii="仿宋_GB2312" w:hAnsi="仿宋_GB2312" w:eastAsia="仿宋_GB2312" w:cs="仿宋_GB2312"/>
          <w:b w:val="0"/>
          <w:bCs w:val="0"/>
          <w:color w:val="auto"/>
          <w:kern w:val="0"/>
          <w:sz w:val="24"/>
          <w:szCs w:val="24"/>
          <w:lang w:val="en-US" w:eastAsia="zh-CN" w:bidi="ar"/>
        </w:rPr>
        <w:t>材料、结构、外观、安全，或者服务内容和标准等。</w:t>
      </w:r>
      <w:r>
        <w:rPr>
          <w:rFonts w:hint="eastAsia" w:ascii="仿宋_GB2312" w:hAnsi="仿宋_GB2312" w:eastAsia="仿宋_GB2312" w:cs="仿宋_GB2312"/>
          <w:b w:val="0"/>
          <w:bCs w:val="0"/>
          <w:color w:val="auto"/>
          <w:kern w:val="0"/>
          <w:sz w:val="24"/>
          <w:szCs w:val="24"/>
          <w:lang w:val="en-US" w:eastAsia="zh-CN" w:bidi="ar"/>
        </w:rPr>
        <w:t>（详细的技术参数）</w:t>
      </w:r>
      <w:r>
        <w:rPr>
          <w:rFonts w:ascii="仿宋_GB2312" w:hAnsi="仿宋_GB2312" w:eastAsia="仿宋_GB2312" w:cs="仿宋_GB2312"/>
          <w:b w:val="0"/>
          <w:bCs w:val="0"/>
          <w:color w:val="auto"/>
          <w:kern w:val="0"/>
          <w:sz w:val="24"/>
          <w:szCs w:val="24"/>
          <w:lang w:val="en-US" w:eastAsia="zh-CN" w:bidi="ar"/>
        </w:rPr>
        <w:t xml:space="preserve"> </w:t>
      </w:r>
    </w:p>
    <w:p>
      <w:pPr>
        <w:rPr>
          <w:rFonts w:hint="eastAsia"/>
          <w:b/>
          <w:bCs/>
          <w:sz w:val="28"/>
          <w:szCs w:val="36"/>
          <w:lang w:eastAsia="zh-CN"/>
        </w:rPr>
      </w:pPr>
      <w:r>
        <w:rPr>
          <w:rFonts w:hint="eastAsia"/>
          <w:b/>
          <w:bCs/>
          <w:sz w:val="28"/>
          <w:szCs w:val="36"/>
          <w:lang w:eastAsia="zh-CN"/>
        </w:rPr>
        <w:t>第一包技术参数：</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609"/>
        <w:gridCol w:w="397"/>
        <w:gridCol w:w="397"/>
        <w:gridCol w:w="6246"/>
        <w:gridCol w:w="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吞咽神经肌肉电刺激仪</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产品外观：本设备台式,机壳外形大气，屏幕为液晶屏真彩显示，操作界面美观、直观、易用。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1、产品功能配置： 液晶屏操作方式，环保机壳材质，人机互动，实现真正的自主训练，减轻治疗时的劳动强度，提高患者治疗效率。将物理治疗与主动训练相结合，明显优于传统的物理治疗。满足神经性、失神经性状态下的吞咽障碍问题解决，临床不再受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2、输出通道：单通道输出1组（4线），手控器1个，可主动或被动对患者进行刺激治疗。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3、治疗模式：成人连续脉冲模式；儿童交替脉冲模式；手控连续脉冲模式；自动触发脉冲模式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4、输入功率：≤35VA；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a）脉冲波形：双向方波；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b) 脉冲周期: 8ms～25ms分十七级逐级可调（分级不少于十七级）。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c) 脉冲宽度：0.12ms～0.3ms 分十级逐级可调（分级不少于十级）。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d）输出模式：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成人模式：按输出60s,间歇1s循环;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儿童模式：按输出20s,间歇1s循环;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手控触发模式：手控触发模式初始状态为成人模式，手控触发一次后，间歇1s后恢复原输出。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自动模式：按输出5s，间歇5s循环;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e) 输出最大电压峰峰值为25Vp-p±20％。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f）输出波形的时间参数误差为±30％。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g）输出电压峰峰值分50级可调。其最小输出设定不超过最大设定值的2％。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6、连续工作时间：不小于四小时；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7、定时及误差：1-60min，误差±5%；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8、具有电子信息产品监督检验院出具的产品检验报告。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9、具有中华人民共和国版权局出具的计算机软件著作权证书。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智能肢体运动训练器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速度：≥15档（10-90转/分钟）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阻力：1-20档（不少于二十档）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带可调显示屏，有肌力显示；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对称性训练；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三种训练方式：助力训练，主动和被动、主被动训练；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支持主被动智能切换和主被动手动切换；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智能防痉挛；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有定时功能；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智能语音提示；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智能语音鼓励；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可调扶手；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外观处理：喷塑哑光；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外观色：浅蓝黑腿；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控制方式：红外遥控；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正反转；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护具类型：专用护具；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有儿童护具；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外部尺寸：100X60X95CM±5%；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输入功率：200W；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输入电压：220V/50Hz；</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微电脑颈腰椎牵引床</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1.采用微机CPU软件控制，轻触键输入程序，数码屏显示各参数。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2.直线电机和先进的OEM电子传感器。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3.具有牵引状态自动检测显示、自动补偿、自动计时、自动报警等功能。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4.具有≥8种不同的牵引模式，≥20种治疗参数（病例）储存、读取功能。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5.简单的牵引参数键入法。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6.患者急退开关、医务人员操作急退键。    7.腰部加热功能。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1、电源电压：220V±22V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2、电源频率：50Hz ±1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3、环境温度：5℃～40℃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4、大气压力：70.0KPa ～106.0KPa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5、相对湿度：≤80%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5、输入功率：200VA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6、牵引行程：0-200mm ±5mm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7、牵引力：0-99kg±5%可调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8、牵引总时间：0-99min±30s可调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9、牵引时间：0-9min±5%可调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10、间歇时间：0～90S±5%可调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11、牵引速度：8mm/s±2 mm/s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12、产品尺寸（长×宽×高）：2485×600×670mm±5%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由微电脑控制，轻触键输入程序，可根据患者病情连续、间歇、往返、脉冲牵引，具有牵引力自动补偿，自动计时等提示功能。颈腰椎牵引床对腰椎间盘突出症、变性紊乱、劳损、脱位及并发不全截瘫经临床使用疗效显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电动起立床(电动、带足内翻矫正板)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适用范围：适用于医院骨科、康复科、脊骨神经科、运动损伤康复中心承载患者用。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通过调整倾斜角度使患者产生自身重力作用，帮助患者完成从仰卧位到站立位，重心从低到高的过渡，使患者适应立位状态。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用于偏瘫、脑瘫及脑外伤等障碍者进行恢复性站立训练。在训练的同时可调节训练者踝关节的背屈度。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产品尺寸：202*81*106cm±5%；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床体升降方式：电机推动式；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基本参数：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1.外形尺寸：202*81*106cm±5%；挡板长宽：78*46cm±5%；床直立时的高度：208cm；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2.电源电压：AC220V，50Hz；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3.额定输入功率﹤300 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4.床体调节角度：0°至85°可调；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5.脚踏板内外翻角度为-30°～40°可调，旋转区域为70°；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6.脚踏板上下翻角度为-33°～17°可调，旋转区域为50°；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7.扶手板角度为-22°～29°可调，旋转区域为51°；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8.采用品牌电机推杆；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9.配有二键手控器1台；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10.配有4只医用万向轮，使得床体移动方便；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11.配有升降刹车系统，升起万向轮后落地稳固；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12.配有固定绑带1套，扶手板角度调节旋钮2个，扶手板前后调节旋钮2个，扶手板高低调节旋钮2个，方便康复师角度调节；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13.床体最大承载力200kg；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14.材质：主架为钢制，表面喷塑，床体主体为高回弹海绵，外包环保人革PU皮，桌面挡板为木制；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15.具有医疗器械检验所检测报告。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心理沙盘</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沙具：包含多种类型沙具，包含人物类、动物类、植物类、建筑类、家居与生活用品类、交通类、食物果实类、石头贝壳类、景观与场景类及其他类等不少于9大类，43小类总计不少于1000件。同时为保证咨询效果，材质应包含陶瓷、树脂 、搪胶、木质、塑料、金属、亚克力等多种。沙具独具特色，建筑类至少包含如房子、金字塔、路标、学校、别墅、古埃及方碑等；动物类至少包含如恐龙，蝴蝶，牛，马，羊等；食品类至少包含如粽子，水果，鸡蛋，馒头等，花草类至少包含如太阳花，桃花、牡丹等；交通工具类至少包含如小汽车，单车，吉普车，跑车，越野车，三轮摩托车，火车，船等，人物类至少包含如受伤人物，大学生，婚礼人物，婴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1.2沙盘专用天然海沙：细腻圆润，经过多道清洗、筛选、消毒、去尘等工序不少于10kg。沙盘专用沙进行了特定元素迁移的检测，检测方法参照GB6675.4-2014，判定结果为合格。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1.3标准实木沙盘1个：全实木材质，技术规格：72×57×7cm±5%  颜色：内侧天蓝色，外侧自然木纹色，表面光滑，含实木支架1套，配件螺丝1包。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1.4标准实木沙具柜2个：纯实木制造，阶梯搭步式设计，五层九阶（尺寸：160*80*30cm±5%）；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心理沙盘指导书籍1本：提供了沙盘游戏整个过程的案例及分析。由心理游戏的初阶（沙盘游戏概述，理论深渊，实施过程，象征意义解读，空间配置）沙盘游戏的进阶（个体咨询案例，家庭治疗的理论，家庭治疗案例）沙盘游戏的高阶（团体治疗理论，团体治疗的案例，沙盘游戏的督导）等多部分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1.6沙盘辅助配件1套：包含不少于沙耙，沙铲，平行刷等工具，方便来访者操作。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1.7沙盘视频剪辑光盘1张;包含沙盘操作使用视频，为初学者提供学习的机会。      </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标准版宣泄套装</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1.标准版型宣泄人1个，可调节高度，150cm-190cm.硅胶宣泄人1个，仿真人设计，外置受力感应系统，可根据不同力度，系统自动反馈话语。（可支持定制录音功能）颜色：皮肤色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2.错觉宣泄球1个 ，优质软皮，中间采用铁质弹簧，在快速击打的过程中，该球会快速回弹，使人产生酣畅淋漓的宣泄感觉。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3.宣泄手套1付，优质PU革，内部压缩海绵一次成型，有很好的透气性。(可有效的缓冲打击时的撞击，采用了轻型耐用材料)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4.惨叫鸡1个，材质：搪胶；规格：9*42cm±5%；使用：挤压鸡的肚子会发出叫声.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5.摔打宣泄球4个，泰国进口橡胶材质，高密度，可长时间使用不漏气。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6.宣泄背心1件，尼龙材质，弹性十足，可使宣泄人逼真形象。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7.宣泄挂图2张，高清环保相纸，颜色清晰，永不退色。尺寸为40*60cm±5%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8.宣泄棒2根，安全环保，外套绒布印有“心理宣泄棒”字样，手感极佳，长75CM±5%。</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便携式反馈训练系统</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1、设备简介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系统通过多模块化训练放松，采集人体生理指标，集音乐训练，压力评估、游戏训练，视频调试，认知能力训练，自我压力评估等帮助来访者舒缓压力、调节身心、重塑健康。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心理放松训练系统1套+10.1寸±5%平板电脑1台+USB生理采集器1套+软件加密狗1个+U盘1个+USB多功能转接头1个+催眠眼罩2个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该系统是一款全新概念的心理调节和训练软件，通过训练提高使用者的心理调节能力与放松能力，逐步改善使用者的心理品质，为使用者提供自主训练解决心理问题的途径。系统包括音乐调试、视频调试，自我压力评估，认知能力训练，心理调节训练，学习中心，心理图片等模块组成，用户可自行注册登陆系统（用户注册至少包含账号，姓名，性别，电话，邮箱，生日，部门等详细信息，密码忘记可通过注册相关信息找回），也可管理员admin直接登陆系统，管理员可查看所有来访者的个人信息以及训练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(1)音乐调试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包含α脑波音乐，纯音乐放松训练，催眠减压音乐，大自然背景音乐，放松减压音乐，国外著名放松音乐，解除忧郁音乐，冥想音乐，全脑开发大师音乐，深度睡眠音乐，双脑同步共振音乐，心灵音乐馆，中国风音乐，中国五行音乐共计13个种类，总音乐数量不少于80首，根据用户喜好自由选择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(2)视频调试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视频调试包含有腹式呼吸法，鼻腔呼吸法，控制呼吸法，肌肉放松，放松训练指导语，想象放松-大海，想象放松-湖泊，想象放松-草原8种类型视频调试。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(3)心理测评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通过压力评估，生成压力评估报告，训练者能够准确了解自己当前的压力情况，测试完毕后生成相对应的测试报告，系统自动保存，可导出打印。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(4)认知能力训练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包含了多款益智休闲类游戏训练，（小萌猫拼图，残破的手纸，给花儿浇水，旋转颜色挑战，摇晃气球箱，五彩瓷砖，南瓜小射手，消除的五彩方块8款游戏训练）通过认知能力训练，可有效帮助来访者在工作或学习等方面改善注意力不集中，培养来访者独立完成事情的能力，提高记忆力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(5)心理调节训练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该模块有3种游戏调节训练，（心花怒放、攻占城堡、一杆进洞）游戏训练难度分为简单，一般，困难三种难度，用户可通过选择难度进行过关式训练，运用游戏调节的方式控制用户的情绪，增强用户应对压力的信心，用户通过游戏调节训练后，均可生成详尽的训练报告，训练报告内容至少包含用户基本信息，心率，血氧，脉搏强度等数据，系统自动保存训练报告，可导出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(6)学习中心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系统至少包含有心理健康类，心理焦虑类，心理抑郁类，心理疫情类，心理治疗类，心理咨询类，心理自卑类，治愈系心理8类心理文章，且每大类至少包含8篇相关类别文章供用户阅读学习心理知识。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(7)心理图片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系统含有8大类心理图片，至少有心理不可能图、心理漫画类、两岐图形、心理错觉图、心理趣味图、主题统觉图、艺术风景类、心理放松类图形。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(8)收藏中心，系统可收藏心理音乐，心理图片，视频调试，以及学习中心中的相关内容，在每个模块选择喜欢的内容选择收藏，方便后续直接查阅，减少操作的重复性。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b、10.1寸±5%平板系统1套（含平板支架）：约10.5mm轻薄金属机身，约680g轻盈重量，内存容量4GB，储存容量128GB，10.1寸±5%平板电脑，电容触摸屏，windows操作系统，1920*1200高清屏。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c、催眠眼罩2个 23*7CM±5%,黑色，透风棉质，带耳机通风口，带松紧调节扣.</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智能身心反馈训练系统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体感B型</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1、体感音乐放松按摩椅1台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2、台式电脑1台（内置心理放松反馈系统）1套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3、多参数指脉采集设备1个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4、系统加密狗1个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5、体感音乐智能按摩控制器1个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6、移动工作台1套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7、工作台支架1套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8、《音乐治疗导论》书籍1本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9、催眠眼罩2个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10、安装工具1套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a、体感放松椅尺寸约为：175cm*93cm*68cm（展开），130cm*93cm*99cm（收起）±3cm。颜色为：米白色；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(1)产品控制面板包含电源开关、震动控制、音量控制、切换震动模式、热疗、伸展、收缩等按键，并带有蓝牙功能，产品具有电动调节功能，方便来访者自由选择坐，卧，躺等最自然，最放松的姿势。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体感音乐疗法，通过体感振子把不同频率的音乐转化为震动，震感随着音乐节奏的不同实现同步随动，除了传统的音乐音频信号以外，还要将乐曲中低音域的16～150Hz部分变换成数十微米到数千微米振幅的物理振动传导给人体，可以使人加倍地感受音乐的重低音、节奏感、质感、临场感和陶醉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(3)蓝牙系统，可接受IOS系统，安卓系统等手机，平板无线链接，可无需数据传输线远距离播放心理音乐。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(4)加热模式，音乐放松椅带加热功能，在放松的同时可以切换至加热模式，使来访者处在放松的最佳状态。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(5)振动模式，系统包含强、中、弱3种震动强度，≥5种震动模式，可通过遥控的方式自由选择。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b、台式电脑配置：（1）内存容量：≥4G；（2）处理器：I3 2100 处理器；主板：H61（3）硬盘容量：固态硬盘240G；（4）显示器：≥19.5英寸液晶显示器，机箱：办公核动力，15分钟放松指导语，4大类型心理视频（含心理控制呼吸放松真人视频、心理腹式放松视频、心理肌肉放松真人视频、心理鼻腔放松真人视频）。含专业心理催眠图片（错觉图，不可能图形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c、移动工作台：采用ABS材料一体成型，底部带移动滑轮，方便咨询师移动。d、多参数指脉采集器：采集人体生理指标，心率，血氧，脉搏波形等不少于20项生理指标。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心理放松反馈软件内置于台式电脑中，产品由加密狗+程序U盘+红外指夹探头+无线腕表式心率采集器以及蓝牙接收装置组成，无线腕表式采集器可脱离系统单独显示心率、血氧等指标及波形，也可通过采集设备与电脑对接，实现无线传输，可采集血氧、心率等多项数据指标。在检测中心界面可查看设备显示电量百分比，在设备电量不足的情况下，及时充电。用户可自行注册登陆系统（用户注册至少包含账号，姓名，性别，电话，邮箱，生日，部门等详细信息，密码忘记可通过注册相关信息找回），也可管理员admin直接登陆系统，管理员可查看所有来访者的个人信息以及训练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包含α脑波音乐，纯音乐放松训练，催眠减压音乐，大自然背景音乐，国外著名放松音乐，解除忧郁音乐，冥想音乐，全脑开发大师音乐，深度睡眠音乐，双脑同步共振音乐，心灵音乐馆，中国风音乐，中国五行音乐共计13个种类，总音乐数量不少于80余首，根据用户喜好自由选择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(2)视频调试包含有腹式呼吸法，鼻腔呼吸法，控制呼吸法，肌肉放松，放松训练指导语，想象放松-大海，想象放松-湖泊，想象放松-草原8种类型视频调试。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(3)心理场景应激训练至少包含地震，泥石流，台风，山体滑坡，龙卷风，火灾，暴雨，洪灾，海啸，火山迸发10类应激训练项目。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(4)咨询案例不少于9大类，含有抑郁、自卑心理、失眠类、厌学案例、孤独症、易怒症、婚姻感情类、学生心理类、儿童心理辅导类，可让咨询师了解咨询过程，对于初学者心理咨询师提供学习帮助。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心理测评含有专业心理量表，至少有压力知觉量表、精神压力自测问卷、焦虑自评量表（SAS）、EPWORTH嗜睡量表、自我压力测试等量表，咨询师可根据来访者问题选择量表进行测试，测试完毕后生成相对应的测试报告，系统自动保存，可导出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(6)学习中心至少包含有心理健康类，心理焦虑类，心理抑郁类，心理疫情类，心理治疗类，心理咨询类，心理自卑类，治愈系心理8类心理文章，且每大类至少包含8篇相关类别文章供用户阅读学习心理知识。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(7)心理图片包含有不可能图形，心理漫画类，两歧图形，心理错觉图，心理趣味图，主题统觉图，艺术风景类，心理风景类，图片数量不少于64张。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(8)收藏中心，系统可收藏心理音乐，心理图片，视频调试，学习中心，以及应激训练中的相关内容，在每个模块选择喜欢的内容选择收藏，方便后续直接查阅，减少操作的重复性。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(9)检测中心可查看测试人员多项生理指标，包含不少于散点图，HRT直方图，脉搏容积波，CV,SD-NN,RMS-SD,SD-SD,PNN-50,R-NN,Max-NN,Min-NN,M-NN,M-PI等20项指标。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心理调节训练：该模块有6种游戏调节训练，（心花怒放、桃花朵朵开、攻占城堡、神枪手，三分投篮，一杆进洞），游戏训练难度分为简单，一般，困难三种难度，用户可通过选择难度进行过关式训练，运用游戏调节的方式控制用户的情绪，增强用户应对压力的信心，用户通过游戏调节训练后，均可生成详尽的训练报告，训练报告内容至少包含用户基本信息，散点图，HRT直方图，脉搏波形图，心理变异系数CV图以及血氧，心率血流灌注指数等20项生理指标数据和训练结果建议，系统自动保存训练报告，可导出打印；产品运用生物反馈训练方法，改善自主神经平衡性，提升心理素质、自主释压能力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f、工作台支架：材质：金属+ABS,净重2.4KG,承重：2-9KG内置气弹簧，高度自由调节。VESA：75*75mm±3mm，100*100mm±3mm，包装尺寸：40.5cm*11.5cm*28cm±3mm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g、配备音乐治疗导论书籍一本（附光盘修订版），中国心理学会推荐用书（涵盖音乐治疗的历史，音乐治疗的定义及基本原理，音乐治疗的形式等。）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h、催眠眼罩2个 23*7CM±5%,黑色，透风棉质，带耳机通风口，带松紧调节扣.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i、附带安装工具（一字头，十字头螺丝刀，新型内六角）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j、通过体感音乐智能按摩控制器可控制沙发按摩强度（3种强度模式选择），5种按摩震动模式选择，控制面板包含电源开关、震动控制、音量控制、切换震动模式、热疗、伸展等按键，并带有蓝牙功能。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1、中华人民共和国国家版权局出具的体感音乐放松系统的计算机软件著作权登记证书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2、具有第三方检测机构出具的音乐放松椅检测报告，试验依据标准为：GB4706.1-2005家用及类似用途电器安全通用要求，试验结论为合格</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团体活动教具箱简易版</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一、产品简介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团体活动辅导箱是小组为学生提供成长过程中所需的心理帮助的形式。在群体人际交往中,他们可以通过观察,学习和经验来认识自己并接受自己。培养自我,学习新的态度和行为,以调整和改善与他人的关系；团体心理训练箱是根据国内知名心理老师以及使用者大数据定制而成，具有高信效果度，适合适合企业，学校，医疗，司法等企事业单位使用，该活动箱里面该设备不仅仅适用于心理辅导，也可用于建设团队氛围，提高团队凝聚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a、团体活动教具箱1个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b、团体活动指导手册1本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c、团体活动视频光盘1张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三、产品详情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a、产品尺寸：团体活动教具箱尺寸约为50*35*23cm±5%;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b、产品材质：箱体制作材料为高强度加厚航空铝合金定制而成。手提式设计，受力均匀，提高活动箱使用寿命。贴心箱体站角，箱体侧边贴有4颗耐磨站角，更好的保护箱体不受磨损;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多主题活动：至少包含七大活动主题：1、活跃团体气氛，2、促进团体成员自我探索，3、建立成员信任关系和互相接纳，4、促进成员沟通与表达，5、增强团体协作精神和凝聚力，6、促进团体成员学习潜能开发，7、放松训练和缓解压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多类型游戏：活动内容包含：红黄牌、鸡飞狗跳、手忙脚乱、办法千千万、一分钟的掌声、藏镜人、自信之树、伴我成长、个性发现、价值大不同、信任考验、食指神功、心中有你、热座、强度金沙江、建高塔、穿越雷区、无敌风火轮、蜈蚣翻身、打开记忆的迷宫、授权方式、沙漠奇案、头脑风暴、真情告白、秘密红账、打破舒服圈、大塞车、心理日历、盲人方阵、终极密码站、超级比一比、时装表演、美丽景观、俯冲轰炸、瞎子摸号、秘密大会串、人生五项等41个游戏。</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自闭症全套评估工具</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语言行为评估ABA孤独症评估教具，适用于自闭症、唐氏综合征等言语认知发育迟缓儿童。</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儿童肢体康复训练器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尺寸：61×45×(43-87)cm，扶手高度调节范围 61-87cm，坐垫高度调节范围 43-68cm，坐垫前后调节范围 0-43cm。由拉手垫、拉手杆、脚踏(扶手)、箱壳、曲柄调节螺母、阻尼调节螺母、脚轮、固定脚组成。无源产品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用途：适用于下肢关节活动障碍者及肌力低下者进行下肢肌力及协调性训练，改善关节活动范围和增加肌力。</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儿童引导式训练组合</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尺寸：170*66*(43.5-53.5)cm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基本参数: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材料：实木材;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① 木楞床外形尺寸：170×66×（43.5～53.5)cm;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角度调节范围：0o～60o;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②凳子（高）外形尺寸：34×38×24 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③凳子（中）外形尺寸：34×28×19.5cm±5%;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④凳子（低）外形尺寸：34×28×15cm±5%;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⑤长手柄训练板外形尺寸：40×10×6.5cm±5%;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⑥短手柄训练板外形尺寸：30×10×6.5cm±5%;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⑦带圆棒训练板外形尺寸：20×10×11.8cm±5%;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用途：综合训练儿童平衡能力、协调性。 </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儿童可调式沙磨板及附件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尺寸：72×59×(66-108)cm，沙磨板面积：72×59cm±5%,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沙磨板厚度：15mm±5%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沙磨板角度调节范围 0—50°铰链调节。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附件品种4只附件，每种 1 只,钢木结构，钢管表面喷塑，磨砂板台面采用阳光板制作。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用途：用于改善上肢肌力协调活动能力和进行关节活动度的作业训练。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儿童穿衣板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尺寸：32×25×1cm±5%；共8块。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用途：模拟日常生活中各种穿衣、系扣的训练，提高儿童的自理能力。 </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儿童穿鞋训练器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29*22*2.5cm±5%,净重0.4kg，多色可选。</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可升降儿童个训桌</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规格：83*52*（48-60）cm,高度6档可调，可涂画木纹桌面，防撞ABS注塑包边，圆弧边角设计，环保材质。</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可升降儿童个训椅</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规格：28*30*（53-57）cm,高度3档可调，防滑椅腿，防撞圆弧边角设计，环保材质。</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医用分子筛制氧机</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功率：≥400VA，工作电压：AC220V±22V，50Hz±1Hz，流量≥0-10L/min，7Kpa背压流量≥9-10L/min，氧气浓度：93%±3%，出口压力≤0.041Mpa,报警：断电报警、高低压报警、温度报警、低氧浓度报警，噪音：≤58dB,液晶显示：当前工作时间、累计工作时间、定时，净重≤27Kg，外形尺寸365*375*600±5%，雾化气源出口：出口压力≥0.1Mpa时压缩气体流＞10L，氧气浓度报警：氧浓度≥82%及氧浓度＜82%时有指示灯进行预警（误差±3%），压缩机安全阀释放压力：250Kpa±3%，湿化瓶压力阀释放压力41Kpa±3%。</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口肌训练器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五件套，解决舌头僵硬，改善吞咽障碍，安全无毒。</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儿童减重步态训练器(电动、配电动跑台)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尺寸：116×85×(170-210)cm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由电动操作方式通过承重吊带在适度减轻下肢承重的状态下进行耐力训练、步态训练、下肢关节活动范围训练。升降高度调节范围:170～210cm;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吊带调节范围：0～45cm;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调节手柄力距： 0～120N;               用途：借助专用跑台，通过吊带控制，根据需要减轻儿童步行中自身重量，保证行走安全。用于骨关节、神经系统疾患引起下肢无力，疼痛、痉挛的儿童，帮助其及早进行步态康复训练。                       慢速跑台参数：                       电机：AC持续马力2.0HP              峰值马力3.0HP.                     显示：蓝色背光6.5英寸显屏           心率：手握心率测试。                           速度：0.1-6KM/H（可以切换1-16KM/H)                            坡度：0-15%                                                  娱乐：USB MP3音频播放功能                          跑步面积：470X1350mm±5%                 程序：6个以上固定程序，3个以上自编程序                                 展开尺寸：1755X880X1300mm±5%            折叠尺寸：1060X880X1450mm±5%            包装尺寸：1870X930X290mm ±5%           净毛重：70/80KG                      配有记录表，角度显示采用液晶显示，背光亮度可调节。角度精确达到0.1度，带次数记忆功能，可在屏幕上同时显示不少于10次。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可穿戴配绑带，内置3.7V锂电池，带USB连接口,USB充电。带磁性。   </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沟通训练板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系统介绍: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主要是针对沟通障碍儿童通过设备的扩大及替代的沟通方式，来增加儿童的沟通能力及改善生活适应的状况。沟通辅具系统运用电脑软件整合沟通图形库系统、动画与真人语音，将沟通辅具系统的概念充分应用在不同平台上，延伸儿童沟通的可能性，让儿童表达内心想法。此外结合语言训练策略与情景图库，改善了儿童的语言沟通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系统功能部分参数：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1.主界面由≥42个核心词汇构成，可自由组合词组、句子，并在播放栏进行播放。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2.可自由设置行*列的方式，行和列可从1扩展到≥12。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3.系统包含≥4000份的沟通词汇，用户可完成替代性沟通。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4.沟通模板、背景、格子的颜色都可以进行自由设定。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版面排列可自由设置，可自主调整。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6.可进行模板的超链接的功能。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支持自定义主题添加，声音及图片即拍即传，自定义组合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系统硬件组成：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Windows10系统;Intel Atom x5处理器；≥10.1寸屏幕；存储容量：≥4+64G;电容触屏 </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个训室改造费用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间</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长度9.2米*宽7米*高3米的功能室割成每一件15平方左右的个训室，做隔音的，每一件个训室安装隔音门，做放设备的柜子</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康复训练器(肩抬举训练器)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尺寸：57(L)*63（W）*85（H）cm±5%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用途：通过将抬举棍置放于不同高度，训练其上肢抬举功能。也可在抬举棍两端负重，以增加抗阻力。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可将器械放在桌面或地面上使用。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训练者双手或单手举棒，逐级将木棒上移。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可在木棒两端悬挂系列沙袋，以增强上肢抬举能力。</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儿童乐园区（梦幻组合滑梯+波波球池+地垫）</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规格：800*300*260cm±5%,                       配置：1.S弯型滑道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2.双滑道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3.三节隧道滑梯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4.鹿型楼梯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5.一节钻隧道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6.围栏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6.柱子（直径76mm±5%)                         7.大鳄鱼球池（含300球)              8.软地垫60平方</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测听室</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测听室参数：技术参数如下：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1、测听室尺寸：外尺寸1.1*1.2*2.3（米），内尺寸0.9*1*2（米）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2、测听室重量：280公斤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结构部分介绍：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该隔音室整体采用1.2mm优质冷轧钢板制作，门为1.5mm冷轧钢板；内层为多孔吸引板，板厚1.2mm。测听室内部填充环保无异味、防火等级为B1级阻燃隔音材料。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隔音室门现场可调配左右开门方向，门内口实际尺寸为630*1730，双门磁吸密封，隔音量大于30分贝。窗户内置两层中空隔音钢化玻璃。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隔音室右侧为进线插口，220V供电，额定功率为2200W。灯位于隔音室内顶部中部，额定功率30W;排风系统位于顶外上部，风机额定功率为60W。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整体喷塑处理，颜色为7035。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标配8孔信号转接器。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照明系统、耳机挂钩、地毯。内部配置：1、测听仪一台  2、声音模拟系统一套  3、音响一套 4、无线或有线配套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 两路独立的输出通道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測试频率:气导125~8000Hz，骨导250~6000Hz，误差小于±2%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测试强度范围：气导-10~ 120dB 骨导-10~70dB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測试信号：纯音、脉沖音、啭音和窄带嗓声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输出：TDH 39气导耳机、B71骨导耳机、自由声场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麦克风：内置麦克风，便于与受试者沟通（0-20强度可调）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显示屏：LCD显示屏，双行精确数值显示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失真度：气导小于2.5% 骨导小于5.5%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精度：连续衰减/步进5dB，误差1dB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掩蔽：气导、骨导对侧掩蔽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保护功能：尽可能保护受试者听力不受损害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配件：采用品牌配件，测试数据更精准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数据传输：使用USB2.0接口连接PC端，实时获取听力计数据，存储测试数据打印測试报告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职业病诊断：根据《GBT 7582-2004 声学听國与年龄关系的统计分布》和(GBZ49-2004 职业病噪声聋诊断》，对听力测试数据一键计算分析，直接获取嗓声聋诊断数值和诊断分级与医疗系统数坛互通 支持HL7协议 ，与医疗系统信息对接，轻松获取患者数据与上传测试报告个性化报告设置，多种报告表头模板可供选择，报告参数自由组合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尺寸：43cm*30cm*11cm±5%（包装箱 48.5cm*23.5cm*38cm±5%)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重量：E4491.43kg, ET433.87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电源：100V-240V- 50/60Hz 30VA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安全标准：GB 9706.1-2007 GB/T14710-2009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听力计引用标淮：GB/T7341.1-2010 JJG388-2012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许20091764号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配置清单：TDH39气导耳机，B71骨导耳机，应答器，电源线，USB 数据线，软件，听力图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笔记本电脑两台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处理器基准频率：2.4GHz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CPU类型：第十一代智能英特尔酷睿i5 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线程数：8线程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处理器加速频率：4.2GHz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CPU集成显卡：Intel集成显卡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CPU型号：i5-1135G7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核心数：四核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屏幕尺寸：14英寸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屏幕分辨率：2160*1440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显示比例：3：2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屏幕类型：IPS</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电动起立床（多功能  儿童）</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适用范围：适用于医院骨科、康复科、脊骨神经科、运动损伤康复中心承载患者用。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通过调整倾斜角度使患者产生自身重力作用，帮助患者完成从仰卧位到站立位，重心从低到高的过渡，使患者适应立位状态。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适用于帮助没有能力独立站立的儿童保持直立姿势，用于儿童进行俯卧、仰卧、背躺三种方式的站立训练。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强原本不足的头部控制；提高下肢力量；牵拉可能已短缩的下肢肌肉；保持不同身体部位正确对齐；使呼吸更顺畅，因为直立时肺部可以更好地扩张，吸入更多空气；促进血液循环；促进消化，因为食物会自然往下流动；促进骨骼发育，承受符合可增强骨骼刺激；促进与环境和同伴的互动，使视线在同一个水平线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一次成型铝合金升降杆，两对弹簧锁紧装置，一对腋下支撑垫，高级PU皮，高密度环保海绵，四轮带刹，配前后置换台板，床面配两对皮制绑带。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产品尺寸：145*65*105cm±5%；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床体升降方式：电机推动式；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基本参数：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1.外形尺寸：145*65*105cm±5%；挡板长宽：68*47cm±5%；床直立时的高度：151cm±5%；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2.电源电压：AC220V，50Hz；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3.额定输入功率﹤300 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4.床体调节角度：0°至85°可调；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5.脚踏板上下翻角度为-45°～45°可调，旋转区域为90°；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6.扶手板角度为-28°～21°可调，旋转区域为49°；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7.采用品牌电机推杆；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8.配有二键手控器1台；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9.配有4只医用万向轮，使得床体移动方便；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配有固定绑带1套，扶手板角度调节旋钮2个，扶手板前后调节旋钮2个，方便康复师角度调节；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11.床体最大承载力150kg；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12.材质：主架为钢制，表面喷塑，床体主体为高回弹海绵，外包环保人革PU皮，桌面挡板为木制；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13.具有检测报告。</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减重步态训练器(电动、配医用慢速跑台)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尺寸：120*103*(196-236)cm120×100×200CM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(1)、电源：AC220V±10%,50HZ；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(2)、额定减重质量：135KG；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(3)、起降速度：400mm/min±10mm/min；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(4)、悬挂支架升降调节范围197～236cm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(5)、扶手调节范围：上下调节75～158cm。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(6)、象鼻式，安全负重极限大；有患者扶手，并可调整，能够直线行时的可锁定脚轮；可调整吊带；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(7)、具有紧急电源备份功能，在停电状况下仍可持续三小时以上治疗功能；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(8)、活动性：配有4个带刹车的医用级万向轮，且带有4个万向轮的定向装置。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载荷显示器的数码显示：可显示所承载数，可调0位。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途：借助专用慢速跑台，通过吊带控制，根据需要减轻患者步行中自身重量，保证行走安全。用于骨关节、神经系统疾患引起下肢无力，疼痛、痉挛的患者，帮助其及早进行步态康复训练，改善患者的各项指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特点：本设备各项训练内容指数均有数码显示，方便治疗师准确的掌控各项指标数，为后续的治疗做出更精准的判断。同时该设备有安全急停装置保护使用者的安全。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磁振热治疗仪</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1、额定输入功率：600VA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2、额定电压220V，额定频率：50Hz。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3、磁场强度范围：12.5mT，允差±30%。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4、振动频率为50Hz±1Hz ，振动幅度为≤5mm。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5、具备六种治疗模式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 模式1：工作周期1.0s，占空比10%，允差±10％；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 模式2：工作周期2.0s，占空比10%，允差±10％；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 模式3：工作周期2.5s，占空比8%，允差±10％；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 模式4：工作周期3.0s，占空比13%，允差±10％；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 模式5：工作周期4.0s，占空比25%，允差±10％；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 模式6：工作周期5.0s，占空比16%，允差±10％。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6、温度控制：开机默认为常温工作模式，可选择温控工作模式，治疗温度40℃、45℃、50℃、～55℃四档可调，允差±3℃。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7、治疗定时时间为治疗时间1～60min，可任意设置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8、将磁疗，振动，热疗三种治疗方式相结合由一种导子同时输出，实现三种治疗同步进行。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9、输出通道：≥四通道（可同时连接不少于四个导子）。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10、数码管显示窗口。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11、标配一个标准温热导子，一个颈肩温热导子，一个关节温热导子，一个分离式温热导子。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12、台车配备脚轮，配有两个抽屉方便存放治疗导导子。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13、治疗仪治疗完毕，并有峰鸣器报警提示。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产品优势：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1、具备六种治疗模式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 模式1：工作周期1.0s，占空比10%，允差±10％；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 模式2：工作周期2.0s，占空比10%，允差±10％；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 模式3：工作周期2.5s，占空比8%，允差±10％；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 模式4：工作周期3.0s，占空比13%，允差±10％；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 模式5：工作周期4.0s，占空比25%，允差±10％；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 模式6：工作周期5.0s，占空比16%，允差±10％。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2、输出通道：≥四通道（可同时连接不少于四个导子）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适用于慢性软组织损伤引起疼痛的辅助治疗。</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听觉统合训练系统</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一、主要功能：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让特殊儿童聆听经过频率过滤的特制宽频欧美数码音乐，来矫正听觉系统对声音处理失调的现象，并刺激脑部活动，从而达到改善听觉信息处理障碍、问题行为、孤独症、学习障碍、情绪障碍、语言发育迟缓、精神发育迟缓、注意力缺陷多动症等一系列发育行为障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1.带滑轮柜形外形，设备规格43*43*118cm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2.设备功率≤20W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3.显示：12寸工业触摸显示器；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4.显示比例：4:3；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5.点数：≥10点触摸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6.级别：工业防尘，抗压力耐高温，防干扰，超静音，全方位金属固定；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7.色彩：高清动感色彩16.2M，1670万色，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8.色彩深度：16.2M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9.表面硬度：≥6H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10.响应时间：≤3ms;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11.背光参数：LED背光；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12.显示分辨率：1024*768，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13.触摸分辨率：2048×2048；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14.对比度：1000:1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15.点距：0.24795mm×0.24795mm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16.亮度：500cd/m2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视角：-85~85° (H), -85~85° (V)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18.触摸屏透光率：小于78%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19.触摸屏分辨率：4096*4096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20.操作控制：电容式触摸屏操作；20组数码训练信号全部显示在界面待选；训练时间倒计时式提醒。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21.控制程序：独立模块化程序控制；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22.操作程序:嵌入式操作系统；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23.信号特性:16bit/44.1KHz数码音源；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24.输出参数:电平2V（RMS），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25.信 噪 比：&gt;100Db，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26.失 真：&lt;0.005%；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27.频率特性:20HZ—20000HZ±1dB；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 内置特制宽频欧美数码音乐信号20组，每组时长30分钟；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29.左右过滤频点分为: 250Hz,500Hz,750Hz,1000Hz,1500Hz,2000Hz,3000Hz,4000Hz,6000Hz,8000Hz,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z10000Hz,12000Hz,+-5dB，数字化控制；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 蓝牙四通道输出，各通道独立控制。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 四通道及以上信号输出所配耳机可同时使用，不会产生信号干扰。可以满足不少于四个耳机同时正常训练，并可以根据用户需要增加通道及耳机数量。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三、仪器配置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1，主机：一台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2，电源线：一根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3，蓝牙耳机：2套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4，说明书：1本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6，保修卡：1张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四、售后服务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1.主机保修一年，终身维护，维修期间提供备用设备；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2.免费安装，上门培训；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3.维修期间提供备用机；</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5" w:hRule="atLeast"/>
        </w:trPr>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33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w:t>
            </w:r>
          </w:p>
        </w:tc>
        <w:tc>
          <w:tcPr>
            <w:tcW w:w="42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助听器编程器</w:t>
            </w:r>
          </w:p>
        </w:tc>
        <w:tc>
          <w:tcPr>
            <w:tcW w:w="25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编程盒，USB线，说明书，驱动光盘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IPRO编程器/助听器验配工具/助听器调试仪，是国内各验配师使用较多的一款编程器产品。USB接口，适合编程峰力，奥迪康，斯达克，西门子，优利康，瑞声达，欧仕达等品牌，可接台式电脑和笔记本电脑，体积小，方便携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1.符合EN60601-1，TypeBF标准          2.USB端口∶USB2.0高速（USB1.1兼容）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3.额定电压∶4.5V-5.25V，最大使用电流消耗∶&lt;500mA（2.5W），最小使用电流消耗∶&lt;500uA（2.5mW）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4.额定输出∶ 固定电池供应（PIN1），常见的左，右侧1.35V,10/50mA 预热时间∶ &lt;20秒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5.操作系统∶windows7及以上系统6.尺寸∶137*114*37mm±5% 重量∶230g±5%</w:t>
            </w:r>
          </w:p>
        </w:tc>
        <w:tc>
          <w:tcPr>
            <w:tcW w:w="393" w:type="pct"/>
            <w:tcBorders>
              <w:top w:val="single" w:color="000000"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声级计</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1.适用标准∶依据IEC651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2.准确度∶±2.0dB（在参考音压为准，94dB@lKHz）                        3.频率反应∶31.5Hz~8KHz                   4.动态范围∶65dB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5.测量范围∶Lo=35dB~100dB，Hi=65dB~130Db                             6.频率加权特性∶A和C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7.反应速率∶快速（FAST）慢速（SLOW）                                   8.麦克风∶1/2英寸极化电容化麦克风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9.显示∶4位数，解析度0.1dB，取样率∶2次/秒                                 10.最大读值锁定∶ MAXHOLD（下降率≤ldB/3分钟）校正∶内含94dB@1KHz正弦波校正信号                                11.过载指示∶"OVER"符号表示</w:t>
            </w:r>
          </w:p>
        </w:tc>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eastAsia"/>
          <w:lang w:eastAsia="zh-CN"/>
        </w:rPr>
      </w:pPr>
    </w:p>
    <w:p>
      <w:pPr>
        <w:rPr>
          <w:rFonts w:hint="eastAsia"/>
          <w:lang w:eastAsia="zh-CN"/>
        </w:rPr>
      </w:pPr>
      <w:r>
        <w:rPr>
          <w:rFonts w:hint="eastAsia"/>
          <w:b/>
          <w:bCs/>
          <w:sz w:val="28"/>
          <w:szCs w:val="36"/>
          <w:lang w:eastAsia="zh-CN"/>
        </w:rPr>
        <w:t>第二包技术参数：</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6"/>
        <w:gridCol w:w="5332"/>
        <w:gridCol w:w="397"/>
        <w:gridCol w:w="486"/>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 品 名称</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 品 描 述</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一、视频会议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1、主会场设备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610235" cy="173990"/>
                  <wp:effectExtent l="0" t="0" r="0" b="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4"/>
                          <a:stretch>
                            <a:fillRect/>
                          </a:stretch>
                        </pic:blipFill>
                        <pic:spPr>
                          <a:xfrm>
                            <a:off x="0" y="0"/>
                            <a:ext cx="610235" cy="17399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610235" cy="173990"/>
                  <wp:effectExtent l="0" t="0" r="0" b="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4"/>
                          <a:stretch>
                            <a:fillRect/>
                          </a:stretch>
                        </pic:blipFill>
                        <pic:spPr>
                          <a:xfrm>
                            <a:off x="0" y="0"/>
                            <a:ext cx="610235" cy="17399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610235" cy="173990"/>
                  <wp:effectExtent l="0" t="0" r="0" b="0"/>
                  <wp:wrapNone/>
                  <wp:docPr id="2" name="图片_1_SpCnt_1"/>
                  <wp:cNvGraphicFramePr/>
                  <a:graphic xmlns:a="http://schemas.openxmlformats.org/drawingml/2006/main">
                    <a:graphicData uri="http://schemas.openxmlformats.org/drawingml/2006/picture">
                      <pic:pic xmlns:pic="http://schemas.openxmlformats.org/drawingml/2006/picture">
                        <pic:nvPicPr>
                          <pic:cNvPr id="2" name="图片_1_SpCnt_1"/>
                          <pic:cNvPicPr/>
                        </pic:nvPicPr>
                        <pic:blipFill>
                          <a:blip r:embed="rId4"/>
                          <a:stretch>
                            <a:fillRect/>
                          </a:stretch>
                        </pic:blipFill>
                        <pic:spPr>
                          <a:xfrm>
                            <a:off x="0" y="0"/>
                            <a:ext cx="610235" cy="17399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381000</wp:posOffset>
                  </wp:positionH>
                  <wp:positionV relativeFrom="paragraph">
                    <wp:posOffset>0</wp:posOffset>
                  </wp:positionV>
                  <wp:extent cx="610235" cy="173990"/>
                  <wp:effectExtent l="0" t="0" r="0" b="0"/>
                  <wp:wrapNone/>
                  <wp:docPr id="1" name="图片_3_SpCnt_1"/>
                  <wp:cNvGraphicFramePr/>
                  <a:graphic xmlns:a="http://schemas.openxmlformats.org/drawingml/2006/main">
                    <a:graphicData uri="http://schemas.openxmlformats.org/drawingml/2006/picture">
                      <pic:pic xmlns:pic="http://schemas.openxmlformats.org/drawingml/2006/picture">
                        <pic:nvPicPr>
                          <pic:cNvPr id="1" name="图片_3_SpCnt_1"/>
                          <pic:cNvPicPr/>
                        </pic:nvPicPr>
                        <pic:blipFill>
                          <a:blip r:embed="rId4"/>
                          <a:stretch>
                            <a:fillRect/>
                          </a:stretch>
                        </pic:blipFill>
                        <pic:spPr>
                          <a:xfrm>
                            <a:off x="0" y="0"/>
                            <a:ext cx="610235" cy="173990"/>
                          </a:xfrm>
                          <a:prstGeom prst="rect">
                            <a:avLst/>
                          </a:prstGeom>
                          <a:noFill/>
                          <a:ln>
                            <a:noFill/>
                          </a:ln>
                        </pic:spPr>
                      </pic:pic>
                    </a:graphicData>
                  </a:graphic>
                </wp:anchor>
              </w:drawing>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3990"/>
                  <wp:effectExtent l="0" t="0" r="0" b="0"/>
                  <wp:wrapNone/>
                  <wp:docPr id="5" name="图片_1_SpCnt_2"/>
                  <wp:cNvGraphicFramePr/>
                  <a:graphic xmlns:a="http://schemas.openxmlformats.org/drawingml/2006/main">
                    <a:graphicData uri="http://schemas.openxmlformats.org/drawingml/2006/picture">
                      <pic:pic xmlns:pic="http://schemas.openxmlformats.org/drawingml/2006/picture">
                        <pic:nvPicPr>
                          <pic:cNvPr id="5" name="图片_1_SpCnt_2"/>
                          <pic:cNvPicPr/>
                        </pic:nvPicPr>
                        <pic:blipFill>
                          <a:blip r:embed="rId4"/>
                          <a:stretch>
                            <a:fillRect/>
                          </a:stretch>
                        </pic:blipFill>
                        <pic:spPr>
                          <a:xfrm>
                            <a:off x="0" y="0"/>
                            <a:ext cx="609600" cy="17399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3990"/>
                  <wp:effectExtent l="0" t="0" r="0" b="0"/>
                  <wp:wrapNone/>
                  <wp:docPr id="6" name="图片_1_SpCnt_3"/>
                  <wp:cNvGraphicFramePr/>
                  <a:graphic xmlns:a="http://schemas.openxmlformats.org/drawingml/2006/main">
                    <a:graphicData uri="http://schemas.openxmlformats.org/drawingml/2006/picture">
                      <pic:pic xmlns:pic="http://schemas.openxmlformats.org/drawingml/2006/picture">
                        <pic:nvPicPr>
                          <pic:cNvPr id="6" name="图片_1_SpCnt_3"/>
                          <pic:cNvPicPr/>
                        </pic:nvPicPr>
                        <pic:blipFill>
                          <a:blip r:embed="rId4"/>
                          <a:stretch>
                            <a:fillRect/>
                          </a:stretch>
                        </pic:blipFill>
                        <pic:spPr>
                          <a:xfrm>
                            <a:off x="0" y="0"/>
                            <a:ext cx="609600" cy="17399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3990"/>
                  <wp:effectExtent l="0" t="0" r="0" b="0"/>
                  <wp:wrapNone/>
                  <wp:docPr id="7" name="图片_3_SpCnt_2"/>
                  <wp:cNvGraphicFramePr/>
                  <a:graphic xmlns:a="http://schemas.openxmlformats.org/drawingml/2006/main">
                    <a:graphicData uri="http://schemas.openxmlformats.org/drawingml/2006/picture">
                      <pic:pic xmlns:pic="http://schemas.openxmlformats.org/drawingml/2006/picture">
                        <pic:nvPicPr>
                          <pic:cNvPr id="7" name="图片_3_SpCnt_2"/>
                          <pic:cNvPicPr/>
                        </pic:nvPicPr>
                        <pic:blipFill>
                          <a:blip r:embed="rId4"/>
                          <a:stretch>
                            <a:fillRect/>
                          </a:stretch>
                        </pic:blipFill>
                        <pic:spPr>
                          <a:xfrm>
                            <a:off x="0" y="0"/>
                            <a:ext cx="609600" cy="17399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3990"/>
                  <wp:effectExtent l="0" t="0" r="0" b="0"/>
                  <wp:wrapNone/>
                  <wp:docPr id="8" name="图片_1_SpCnt_4"/>
                  <wp:cNvGraphicFramePr/>
                  <a:graphic xmlns:a="http://schemas.openxmlformats.org/drawingml/2006/main">
                    <a:graphicData uri="http://schemas.openxmlformats.org/drawingml/2006/picture">
                      <pic:pic xmlns:pic="http://schemas.openxmlformats.org/drawingml/2006/picture">
                        <pic:nvPicPr>
                          <pic:cNvPr id="8" name="图片_1_SpCnt_4"/>
                          <pic:cNvPicPr/>
                        </pic:nvPicPr>
                        <pic:blipFill>
                          <a:blip r:embed="rId4"/>
                          <a:stretch>
                            <a:fillRect/>
                          </a:stretch>
                        </pic:blipFill>
                        <pic:spPr>
                          <a:xfrm>
                            <a:off x="0" y="0"/>
                            <a:ext cx="609600" cy="17399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3990"/>
                  <wp:effectExtent l="0" t="0" r="0" b="0"/>
                  <wp:wrapNone/>
                  <wp:docPr id="9" name="图片_3_SpCnt_3"/>
                  <wp:cNvGraphicFramePr/>
                  <a:graphic xmlns:a="http://schemas.openxmlformats.org/drawingml/2006/main">
                    <a:graphicData uri="http://schemas.openxmlformats.org/drawingml/2006/picture">
                      <pic:pic xmlns:pic="http://schemas.openxmlformats.org/drawingml/2006/picture">
                        <pic:nvPicPr>
                          <pic:cNvPr id="9" name="图片_3_SpCnt_3"/>
                          <pic:cNvPicPr/>
                        </pic:nvPicPr>
                        <pic:blipFill>
                          <a:blip r:embed="rId4"/>
                          <a:stretch>
                            <a:fillRect/>
                          </a:stretch>
                        </pic:blipFill>
                        <pic:spPr>
                          <a:xfrm>
                            <a:off x="0" y="0"/>
                            <a:ext cx="609600" cy="173990"/>
                          </a:xfrm>
                          <a:prstGeom prst="rect">
                            <a:avLst/>
                          </a:prstGeom>
                          <a:noFill/>
                          <a:ln>
                            <a:noFill/>
                          </a:ln>
                        </pic:spPr>
                      </pic:pic>
                    </a:graphicData>
                  </a:graphic>
                </wp:anchor>
              </w:drawing>
            </w:r>
            <w:r>
              <w:rPr>
                <w:rFonts w:hint="eastAsia" w:ascii="宋体" w:hAnsi="宋体" w:eastAsia="宋体" w:cs="宋体"/>
                <w:b/>
                <w:bCs/>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3990"/>
                  <wp:effectExtent l="0" t="0" r="0" b="0"/>
                  <wp:wrapNone/>
                  <wp:docPr id="10" name="图片_3_SpCnt_4"/>
                  <wp:cNvGraphicFramePr/>
                  <a:graphic xmlns:a="http://schemas.openxmlformats.org/drawingml/2006/main">
                    <a:graphicData uri="http://schemas.openxmlformats.org/drawingml/2006/picture">
                      <pic:pic xmlns:pic="http://schemas.openxmlformats.org/drawingml/2006/picture">
                        <pic:nvPicPr>
                          <pic:cNvPr id="10" name="图片_3_SpCnt_4"/>
                          <pic:cNvPicPr/>
                        </pic:nvPicPr>
                        <pic:blipFill>
                          <a:blip r:embed="rId4"/>
                          <a:stretch>
                            <a:fillRect/>
                          </a:stretch>
                        </pic:blipFill>
                        <pic:spPr>
                          <a:xfrm>
                            <a:off x="0" y="0"/>
                            <a:ext cx="609600" cy="1739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高清视频终端器</w:t>
            </w:r>
          </w:p>
        </w:tc>
        <w:tc>
          <w:tcPr>
            <w:tcW w:w="323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高清视频终端器 1080P30,自主可控：采用国产视频编解码芯片，具备独立自主知识产权，芯片品牌和终端品牌一致，支持ITU-T H.323、IETF SIP协议，支持1080P 50/60 fps、1080P 25/30 fps、720P 50/ 60 fps、等分辨率。支持G.711、G.722、G.722.1C、G.729A、Opus、AAC LD等音频协议，提供至少3路高清视频输入接口（不含USB）、至少2路高清视频输出接口。提供至少5路音频输入接口、至少6路音频输出接口，支持无线双流功能，支持移动设备无线投屏功能，支持智能语音控制，通过语音指令实现唤醒终端、加入/结束会议、调解音量、发送/停止双流共享、延长会议等功能，配置10英寸触控Touch</w:t>
            </w:r>
          </w:p>
        </w:tc>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1450"/>
                  <wp:effectExtent l="0" t="0" r="0" b="0"/>
                  <wp:wrapNone/>
                  <wp:docPr id="11" name="图片_15"/>
                  <wp:cNvGraphicFramePr/>
                  <a:graphic xmlns:a="http://schemas.openxmlformats.org/drawingml/2006/main">
                    <a:graphicData uri="http://schemas.openxmlformats.org/drawingml/2006/picture">
                      <pic:pic xmlns:pic="http://schemas.openxmlformats.org/drawingml/2006/picture">
                        <pic:nvPicPr>
                          <pic:cNvPr id="11" name="图片_15"/>
                          <pic:cNvPicPr/>
                        </pic:nvPicPr>
                        <pic:blipFill>
                          <a:blip r:embed="rId4"/>
                          <a:stretch>
                            <a:fillRect/>
                          </a:stretch>
                        </pic:blipFill>
                        <pic:spPr>
                          <a:xfrm>
                            <a:off x="0" y="0"/>
                            <a:ext cx="609600" cy="1714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1450"/>
                  <wp:effectExtent l="0" t="0" r="0" b="0"/>
                  <wp:wrapNone/>
                  <wp:docPr id="12" name="图片_14"/>
                  <wp:cNvGraphicFramePr/>
                  <a:graphic xmlns:a="http://schemas.openxmlformats.org/drawingml/2006/main">
                    <a:graphicData uri="http://schemas.openxmlformats.org/drawingml/2006/picture">
                      <pic:pic xmlns:pic="http://schemas.openxmlformats.org/drawingml/2006/picture">
                        <pic:nvPicPr>
                          <pic:cNvPr id="12" name="图片_14"/>
                          <pic:cNvPicPr/>
                        </pic:nvPicPr>
                        <pic:blipFill>
                          <a:blip r:embed="rId4"/>
                          <a:stretch>
                            <a:fillRect/>
                          </a:stretch>
                        </pic:blipFill>
                        <pic:spPr>
                          <a:xfrm>
                            <a:off x="0" y="0"/>
                            <a:ext cx="609600" cy="1714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1450"/>
                  <wp:effectExtent l="0" t="0" r="0" b="0"/>
                  <wp:wrapNone/>
                  <wp:docPr id="13" name="图片_12"/>
                  <wp:cNvGraphicFramePr/>
                  <a:graphic xmlns:a="http://schemas.openxmlformats.org/drawingml/2006/main">
                    <a:graphicData uri="http://schemas.openxmlformats.org/drawingml/2006/picture">
                      <pic:pic xmlns:pic="http://schemas.openxmlformats.org/drawingml/2006/picture">
                        <pic:nvPicPr>
                          <pic:cNvPr id="13" name="图片_12"/>
                          <pic:cNvPicPr/>
                        </pic:nvPicPr>
                        <pic:blipFill>
                          <a:blip r:embed="rId4"/>
                          <a:stretch>
                            <a:fillRect/>
                          </a:stretch>
                        </pic:blipFill>
                        <pic:spPr>
                          <a:xfrm>
                            <a:off x="0" y="0"/>
                            <a:ext cx="609600" cy="1714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1450"/>
                  <wp:effectExtent l="0" t="0" r="0" b="0"/>
                  <wp:wrapNone/>
                  <wp:docPr id="14" name="图片_11"/>
                  <wp:cNvGraphicFramePr/>
                  <a:graphic xmlns:a="http://schemas.openxmlformats.org/drawingml/2006/main">
                    <a:graphicData uri="http://schemas.openxmlformats.org/drawingml/2006/picture">
                      <pic:pic xmlns:pic="http://schemas.openxmlformats.org/drawingml/2006/picture">
                        <pic:nvPicPr>
                          <pic:cNvPr id="14" name="图片_11"/>
                          <pic:cNvPicPr/>
                        </pic:nvPicPr>
                        <pic:blipFill>
                          <a:blip r:embed="rId4"/>
                          <a:stretch>
                            <a:fillRect/>
                          </a:stretch>
                        </pic:blipFill>
                        <pic:spPr>
                          <a:xfrm>
                            <a:off x="0" y="0"/>
                            <a:ext cx="609600" cy="1714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82245"/>
                  <wp:effectExtent l="0" t="0" r="0" b="0"/>
                  <wp:wrapNone/>
                  <wp:docPr id="15" name="图片_1_SpCnt_5"/>
                  <wp:cNvGraphicFramePr/>
                  <a:graphic xmlns:a="http://schemas.openxmlformats.org/drawingml/2006/main">
                    <a:graphicData uri="http://schemas.openxmlformats.org/drawingml/2006/picture">
                      <pic:pic xmlns:pic="http://schemas.openxmlformats.org/drawingml/2006/picture">
                        <pic:nvPicPr>
                          <pic:cNvPr id="15" name="图片_1_SpCnt_5"/>
                          <pic:cNvPicPr/>
                        </pic:nvPicPr>
                        <pic:blipFill>
                          <a:blip r:embed="rId5"/>
                          <a:stretch>
                            <a:fillRect/>
                          </a:stretch>
                        </pic:blipFill>
                        <pic:spPr>
                          <a:xfrm>
                            <a:off x="0" y="0"/>
                            <a:ext cx="609600" cy="1822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1450"/>
                  <wp:effectExtent l="0" t="0" r="0" b="0"/>
                  <wp:wrapNone/>
                  <wp:docPr id="16" name="图片_13"/>
                  <wp:cNvGraphicFramePr/>
                  <a:graphic xmlns:a="http://schemas.openxmlformats.org/drawingml/2006/main">
                    <a:graphicData uri="http://schemas.openxmlformats.org/drawingml/2006/picture">
                      <pic:pic xmlns:pic="http://schemas.openxmlformats.org/drawingml/2006/picture">
                        <pic:nvPicPr>
                          <pic:cNvPr id="16" name="图片_13"/>
                          <pic:cNvPicPr/>
                        </pic:nvPicPr>
                        <pic:blipFill>
                          <a:blip r:embed="rId4"/>
                          <a:stretch>
                            <a:fillRect/>
                          </a:stretch>
                        </pic:blipFill>
                        <pic:spPr>
                          <a:xfrm>
                            <a:off x="0" y="0"/>
                            <a:ext cx="609600" cy="1714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1450"/>
                  <wp:effectExtent l="0" t="0" r="0" b="0"/>
                  <wp:wrapNone/>
                  <wp:docPr id="17" name="图片_9"/>
                  <wp:cNvGraphicFramePr/>
                  <a:graphic xmlns:a="http://schemas.openxmlformats.org/drawingml/2006/main">
                    <a:graphicData uri="http://schemas.openxmlformats.org/drawingml/2006/picture">
                      <pic:pic xmlns:pic="http://schemas.openxmlformats.org/drawingml/2006/picture">
                        <pic:nvPicPr>
                          <pic:cNvPr id="17" name="图片_9"/>
                          <pic:cNvPicPr/>
                        </pic:nvPicPr>
                        <pic:blipFill>
                          <a:blip r:embed="rId4"/>
                          <a:stretch>
                            <a:fillRect/>
                          </a:stretch>
                        </pic:blipFill>
                        <pic:spPr>
                          <a:xfrm>
                            <a:off x="0" y="0"/>
                            <a:ext cx="609600" cy="1714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82245"/>
                  <wp:effectExtent l="0" t="0" r="0" b="0"/>
                  <wp:wrapNone/>
                  <wp:docPr id="18" name="图片_1_SpCnt_6"/>
                  <wp:cNvGraphicFramePr/>
                  <a:graphic xmlns:a="http://schemas.openxmlformats.org/drawingml/2006/main">
                    <a:graphicData uri="http://schemas.openxmlformats.org/drawingml/2006/picture">
                      <pic:pic xmlns:pic="http://schemas.openxmlformats.org/drawingml/2006/picture">
                        <pic:nvPicPr>
                          <pic:cNvPr id="18" name="图片_1_SpCnt_6"/>
                          <pic:cNvPicPr/>
                        </pic:nvPicPr>
                        <pic:blipFill>
                          <a:blip r:embed="rId5"/>
                          <a:stretch>
                            <a:fillRect/>
                          </a:stretch>
                        </pic:blipFill>
                        <pic:spPr>
                          <a:xfrm>
                            <a:off x="0" y="0"/>
                            <a:ext cx="609600" cy="1822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1450"/>
                  <wp:effectExtent l="0" t="0" r="0" b="0"/>
                  <wp:wrapNone/>
                  <wp:docPr id="19" name="图片_8"/>
                  <wp:cNvGraphicFramePr/>
                  <a:graphic xmlns:a="http://schemas.openxmlformats.org/drawingml/2006/main">
                    <a:graphicData uri="http://schemas.openxmlformats.org/drawingml/2006/picture">
                      <pic:pic xmlns:pic="http://schemas.openxmlformats.org/drawingml/2006/picture">
                        <pic:nvPicPr>
                          <pic:cNvPr id="19" name="图片_8"/>
                          <pic:cNvPicPr/>
                        </pic:nvPicPr>
                        <pic:blipFill>
                          <a:blip r:embed="rId4"/>
                          <a:stretch>
                            <a:fillRect/>
                          </a:stretch>
                        </pic:blipFill>
                        <pic:spPr>
                          <a:xfrm>
                            <a:off x="0" y="0"/>
                            <a:ext cx="609600" cy="1714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82245"/>
                  <wp:effectExtent l="0" t="0" r="0" b="0"/>
                  <wp:wrapNone/>
                  <wp:docPr id="20" name="图片_3_SpCnt_5"/>
                  <wp:cNvGraphicFramePr/>
                  <a:graphic xmlns:a="http://schemas.openxmlformats.org/drawingml/2006/main">
                    <a:graphicData uri="http://schemas.openxmlformats.org/drawingml/2006/picture">
                      <pic:pic xmlns:pic="http://schemas.openxmlformats.org/drawingml/2006/picture">
                        <pic:nvPicPr>
                          <pic:cNvPr id="20" name="图片_3_SpCnt_5"/>
                          <pic:cNvPicPr/>
                        </pic:nvPicPr>
                        <pic:blipFill>
                          <a:blip r:embed="rId5"/>
                          <a:stretch>
                            <a:fillRect/>
                          </a:stretch>
                        </pic:blipFill>
                        <pic:spPr>
                          <a:xfrm>
                            <a:off x="0" y="0"/>
                            <a:ext cx="609600" cy="1822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71450"/>
                  <wp:effectExtent l="0" t="0" r="0" b="0"/>
                  <wp:wrapNone/>
                  <wp:docPr id="21" name="图片_10"/>
                  <wp:cNvGraphicFramePr/>
                  <a:graphic xmlns:a="http://schemas.openxmlformats.org/drawingml/2006/main">
                    <a:graphicData uri="http://schemas.openxmlformats.org/drawingml/2006/picture">
                      <pic:pic xmlns:pic="http://schemas.openxmlformats.org/drawingml/2006/picture">
                        <pic:nvPicPr>
                          <pic:cNvPr id="21" name="图片_10"/>
                          <pic:cNvPicPr/>
                        </pic:nvPicPr>
                        <pic:blipFill>
                          <a:blip r:embed="rId4"/>
                          <a:stretch>
                            <a:fillRect/>
                          </a:stretch>
                        </pic:blipFill>
                        <pic:spPr>
                          <a:xfrm>
                            <a:off x="0" y="0"/>
                            <a:ext cx="609600" cy="1714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视频摄像头</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1.支持图像倒转功能，方便摄像机安装在天花板上。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2.支持≥800万像素1/2.5英寸CMOS成像芯片。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3.支持≥12倍光学变焦。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4.支持≥80°水平视角，增加外置广角镜视为不满足。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5.水平转动范围：≥+/-110°，垂直转动范围：≥+/- 30°。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6.支持≥254个预置位。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7.支持≥2路高清视频输出接口。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8.支持≥2个RS-232控制接口，支持标准VISCA控制协议。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9.支持红外透传功能，实现终端遥控器通过摄像机控制机房内会议终端，方便调试。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支持本地USB接口软件升级功能。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陈列麦克风</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拾音距离6米拾音范围360°环境温度0℃ - 40℃尺寸裸机：146mm（直径）×27mm（高）±5%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包装：255mm × 227mm × 105mm(L*W*H)±5%,紧凑型阵列麦克风，360度6米拾音，无损宽带音频传输，卓越的3A音频处理技术，配套全系列视频会议终端</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液晶电视</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参数PU核心数四核存储内存32GBCPU架构四核A53系统AndroidWIFI频段2.4G运行内存/RAM2GB背光方式直下式/DLED语音控制人工智能语音智能语音助手海信小聚端口参数HDMI2.0接口数2个光纤音频输出不支持光纤音频输出USB2.0接口数2个RBG接口不支持RBG接口USB3.0接口数无USB3.0数字RF接口支持数字RF接口显示参数亮度200-300尼特屏幕比例16:9刷屏率120Hz屏幕分辨率超高清4K支格式（高清）2160p响应时间8ms屏幕尺寸65英寸色域值100%HDR显示支持HDR对比度静态对比度5000：1动态对比度50000：1色域标准BT.709VRR可变刷新率不支持VRR可变刷新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交换机</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交换容量336Gbps/3.36Tbps；包转发率51Mpps/126Mpps；固定端口P款型：24个10/100/1000Base-T以太网端口，4个千兆SFPTP款型：24个10/100/1000Base-T以太网端口，4个千兆SFP，2个复用的10/100/1000Base-T以太网端口Combo；MAC特性支持16K MAC地址（S5720SV2-LI款型）；支持8K MAC地址（除S5720SV2-LI之外的其他款型）支持MAC地址自动学习和老化支持静态、动态、黑洞MAC表项支持源MAC地址过滤支持接口MAC地址学习个数限制；VLAN特性支持4K个VLAN支持Guest VLAN、Voice VLANs支持GVRP协议支持MUX VLAN功能支持基于MAC/协议/IP子网/策略/端口的VLAN支持1:1和N:1 VLAN Mapping功能；IP路由支持静态路由，支持RIP、RIPng协议，支持OSPF协议（OSPF协议仅S5720SV2-LI款型支持）；互通性VBST基于VLAN生成树协议（和PVST/PVST+/RPVST 互通）LNP 链路类型协商协议（和DTP相似功能）VCMP VLAN集中管理协议（和VTP相似功能）；超级虚拟交换网(SVF) 支持作为SVF client零配置即插即用支持自动加载client的大包和补丁支持业务一键式自动下发client支持独立运行；外形尺寸mm（宽×深×高）442×310×43.6；输入电压额定电压范围：100-240V AC；50/60Hz最大电压范围：90-264V AC；47/63Hz；最大功耗20.2W；典型功耗（不含PoE）16.1W；工作温度0-1800 m：-5 ~45℃1800-5000 m：海拔每升高220m温度规格降低1℃；相对湿度5%～95%（无凝露）；散热方式风扇散热，风扇转速智能调节；防雷等级10kV。</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8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二、音频设备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调音台</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调音台2编组4母线调音台；12路线路输入+2组立体声输入，内置16种数码效果器；内置多格式蓝牙MP3播放器;分路3段美式FQ,带</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功放</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①额定功率（8Ω／通道）：2x350W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②额定功率（4Ω／通道）：2x600W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③额定桥式功率（8Ω）：1200W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④频响范围：5Hz～25kHz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⑤信噪比：&gt;115dB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⑥阻尼系数：&gt;500（8Ω）(5Hz-1KHz)                                                                                                                                                                         ⑦输入灵敏度：0.77V/26dB/32dB                                                                                                                                                            ⑧输入阻抗：20kΩ/Balacde, 10kΩ/un-Balanced失真度：Less than 0.1%                                                                                                                          ⑨转换速率：29V/uS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⑩工作电压：交流电230V，50/60Hz                                           </w:t>
            </w:r>
            <w:r>
              <w:rPr>
                <w:rFonts w:hint="eastAsia" w:ascii="宋体" w:hAnsi="宋体" w:eastAsia="宋体" w:cs="宋体"/>
                <w:i w:val="0"/>
                <w:iCs w:val="0"/>
                <w:color w:val="000000"/>
                <w:kern w:val="0"/>
                <w:sz w:val="18"/>
                <w:szCs w:val="18"/>
                <w:u w:val="none"/>
                <w:lang w:val="en-US" w:eastAsia="zh-CN" w:bidi="ar"/>
              </w:rPr>
              <w:br w:type="textWrapping"/>
            </w:r>
            <w:r>
              <w:rPr>
                <w:rStyle w:val="17"/>
                <w:lang w:val="en-US" w:eastAsia="zh-CN" w:bidi="ar"/>
              </w:rPr>
              <w:t>⑪</w:t>
            </w:r>
            <w:r>
              <w:rPr>
                <w:rStyle w:val="21"/>
                <w:lang w:val="en-US" w:eastAsia="zh-CN" w:bidi="ar"/>
              </w:rPr>
              <w:t>保护方式：功率保护、温度功率控制、功放输出短路、过载保护、输出直流保护</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音响</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单元组合:1×8"LF +1x3"HF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额定功率150W,最大功率300W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灵敏度98dB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最大声压级115dB peak,@1m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频率响应:45Hz～20KHz (±3dB)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辐射角度(1KHz)(H×V):90°× 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内部线材：高品质无氧铜1.8平方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木材结构：15mm高密度中纤板制作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连接方式：国标8mm加强螺丝吊装孔位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面网结构：2mm厚 低碳量钢制，个性化设计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吸音处理：高阻尼 防火棉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外部处理：水性环保撒点加硬漆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接线方式：2个Speakon-socket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尺寸（深*宽*高）：240×260×400mm±5%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颜色:黑色</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电源时序器</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特别为设备较多而设定的电源开关时序器，能更省时更提升效率更能使设备稳定工作，2.其每一路输出都经内部电源陷波即内置电源文波过滤处理器，增强其电源供应的稳定，降低设备的噪音，提升设备的信噪比，3.每路输出可独立操控亦可按程序设定，4.操作快捷方便，更能适应各种不同环境使用，5.输出通道:8CH Output，6.辅助输出:1CH Output，7.每路单独输出功率:220V/3000W Output，8.每间隔时间:1ms，9.照明灯电压:AC12V，10.后置照明指示灯:On，11.控制:Lamp-on switch,bypass-button，12.连接线:3-core,microphone，13.指示灯:Power/ChannelOn/Bypass，14.输入输出插座:U.S.A Standard Three Wire AC Connector，15.控制信号连机插座:Trs，16.电源:220V/50Hz-60HZ，17.尺寸：482×211.5×44 mm，18.毛重/净重：3.3/2.7kg   (±0.5kg)                                                                                   采用63A空气开关输入接口，具有过流，短路时自动断开功能，有效的保护用电安全采用30A大电流继电器输出， 标准E I A接口插座；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后面板有8个带时序功能的万能插座， 前面板有1个直通万能插座和1个标准USB接口；具有待机、时序、全部旁通、单独旁通功能；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采用数码管实时显示电压；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支持全电压工作；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支持联机功能；联机功能可扩展时序通道控制，如果想实现16通道按时序开关可采用两台机进行联机使用(既从1通道按时序开到第2台机的8通道)，如果想24通道按时序开关就采用3台机进行使用，以此类推。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① 亚克力挡板及接地柱： 拆掉亚克力挡板即可将电源线接入空气开关给时序器及系统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供电（注意：地线需跟接地柱用M4螺丝锁紧，以确保机箱接地）；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 空气开关： 当发生过载或短路时此开关会自动断开， 可有效保护电力系统安全；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③电压表头：实时显示电力系统的电压；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④辅助万能插座：此万能插座是直通的（用于给笔记本电脑等辅助工具提供电源）                                                                                                                                         ⑤ USB座：主要用于LED辅助照明；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⑥通道指示灯及独立旁通按键</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会议无线麦克风</w:t>
            </w:r>
          </w:p>
        </w:tc>
        <w:tc>
          <w:tcPr>
            <w:tcW w:w="3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内置4编组叠机频率,一键调取. 同一频段可同时轻松叠机四套使用.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具有IR红外线自动对频功能,独立式的防误触系统锁键.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四通道音量独立可调. 提供4+2共6通道音频输出.四通道各音频音量输出独立可控.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4.提供多种发射器可选. 发射器有会议式/手持式/领夹式 可以混搭使用. 互不干忧.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彩色LED显示屏指示了话筒编号与RF和AF信号强度，频率，频率组/频道等工作状态.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主机四通道频率范围精心设计,使得发射器可以随意配对任意通道.和随时互换,极大地增强了操作的灵活性.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采用的UHF波段无线音频发射芯片模块IC. 具有优越的RF性能和音频性能，为客户提供专业级的音质体验。配合杂讯锁定静噪控制与数码导频技术, 当发射器关闭时，导频控制将AF信号静音以抑制噪声，同时将接收机对应通道静音。保证了对干忧信号的有效阻隔.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各个通道信道及频率范围：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可提供500MHZ~900MHZ 频率范围.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默认出厂频段.610MHZ--670MHZ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CHANNAL A: 0-50     FREQUENCY: 610.050MHZ-624.750MHZ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CHANNAL B: 51-100    FREQUENCY: 625.050MHZ-639.750MHZ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CHANNAL C: 101-150    FREQUENCY: 640.050MHZ-654.750MHZ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CHANNAL D: 151-200    FREQUENCY: 655.050MHZ-669.750MHZ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接收机系统指标 System specifications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频率范围 Frequency range: 610~670 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调制方式 Modulation mode: 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可调范围 Frequency interval: 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信道数目 Channels: 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信道间隔 Channel interval: 300KHz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频率稳定度 Frequency stability:±0.005%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动态范围 Dynamic range:100dB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频偏 Max frequency deviation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音频响应 Frequency response: 80Hz-18KHz(±3dB)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综合信噪比 SNR:&gt;105 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综合失真 Distortion: ≤0.5%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 Working temperature: -10℃ -+40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接收机指标 Receiver specifications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接收机方式：二次变频超外差 Pattern: super heterodyne twice frequency conversion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中频频率 IF-FRE：中频 First ：110MHz, second  10.7MHz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无线接口 wireless interface ：BNC/50Ω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灵敏度 sensitivity ：12dBμV（80DbS/N）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灵敏度调节范围 sensitivity range：12-32 dBμV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杂散抑制 Stray rejection：&gt;75dB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输出电平Max output level ：+10dBV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工作电压电流: 12V 1000mA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发射器指标 Transmitter specifications：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无线程式：佩挂发射器采用1/4波长鞭状天线，手持麦克风内置螺旋天线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输出功率 Output power：高功率High power15mW; 低功率Low power 8mW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杂散抑制 Stray rejection：-60dB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 Power supply ：两节AA电池 2 AA batteries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使用时间 Duration time ：连续使用13个小时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使用距离: 理想工况下有效使用距离为80米. 复杂环境下有效使用距离不小于45米.</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0"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三、视频会议附件设备</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视频会议摄像头三脚支架</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最大高度为165cm 最大负重为5kg产品重量为2kg 管直径为 36*24mm移动三脚架，纯黑色金属外观，结实耐用，可自动伸缩，金属与塑料相结合，做工紧密结实，所有零件均使用统一材质中心杆支撑加固，轮轴伸缩自如，方便操作</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液晶显示器移动支架</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适用电视孔距800x500范围内（横向x纵向）适用电视尺寸55英寸；58英寸；60英寸；65英寸；70英寸；75英寸；77英寸；78英寸；79英寸；80英寸主体参数尺寸及重量产品净重35.66kg产品尺寸长1064mm；宽813mm；高165mm</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会议圆桌</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米椭圆会议桌，会议桌：4800*2100*760，桌面厚度80桌面下面小腿由背板支撑，腿有背板。桌腿下面由小腿支撑承重。结构为板式型拆装家具，不易变形，经防虫、防腐等化学处理，，纹理清晰，颜色均匀。油漆采用国际或国内优质环保亚光聚脂漆，表面光亮平整，无气泡，硬高度、耐磨性强、能长久保持漆面，选用优质五金配件，产品经久耐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会议主席台</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主席台1400*400*760，材质油漆面.板材厚度1.8mm。表面经过除锈、磷化、静电喷涂、高温固化而成。架子上配有调节螺丝，可通过调节螺丝使用桌子达到平衡不晃动节省空间、环保高密度板、稳固坚定</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会议桌</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子：尺寸120*40*76桌面板采用油漆面，三聚氰胺板pvc封边。支架采用优质30mm*30mm钢管，表面经过除锈、磷化、静电喷涂、高温固化而成。架子上配有调节螺丝，可通过调节螺丝使用桌子达到平衡不晃动节省空间、环保高密度板、稳固坚定</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会议椅</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会议方头椅，椅子尺寸47cm*55cm*93cm、面板采用三聚氰胺板pvc封边。支架采用优质30mm*30mm钢管，表面经过除锈、磷化、静电喷涂、高温固化而成。</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会议椅</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椅小耳朵椅子尺寸58cm*68cn*100cm、面板采用三聚氰胺板pvc封边。支架采用优质30mm*31mm钢管，表面经过除锈、磷化、静电喷涂、高温固化而成。坐面：海绵包皮40*42cm，坐面离地40CM，靠背高度49.5，靠板面积45.5*41.5CM，坐面下方左右有1个支撑连接腿中部。坐面底部与框架有两个支撑连接框架。椅子整体高度90CM。所有螺丝必须有塞子。</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5匹空调</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空调类型冷暖型内机堆码层数极限3室内机噪音50-52外机堆码层数极限3产品类型柜机能效等级一级智能类型智能适用面积40m²以上内机尺寸(长*宽*高) (mm) 581×1870×395mm空调技术定速外机尺寸(长*宽*高) (mm) 1032×1250×412mm功率5匹上门安装、调试厂家提供质保时间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22U机柜</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网络机柜22U</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视频、网络、音频布线</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视频会议机，机房；所需电源线、音频线、HDMI高清线、网络线材料等，需保证会议室机房设备正常使用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会议室内灯光、背景墙</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根据会议室内要求按需制作、装修，需达到需货方要求的设计制作，装修</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硬盘</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监控专用硬盘3.5寸，8000G（8T）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收发器</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室内P1.83全彩</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（320mm*160mm）</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组参数像素封装SMD1515像素间距（mm）1.839模组分辨率（W×H）174X87=15138模组尺寸（mm）320（W）×160（H）×16.6（D）模组重量（kg）0.46模组输入电压4.5V～5V模组最大功耗（W）≤25电源带载量（40A）6块箱体参数箱体模组构成（W×H）2×3箱体分辨率（W×H）348×261箱体尺寸（含模组）（mm）640（W）×480（H）×70（D）箱体重量（kg）6～8像素密度（Pixel/m2）295664箱体平整度≤0.1mm维护方式前/后维护箱体材质压铸铝/铁/铝/型材光学参数逐点色度、亮度校正技术支持白平衡亮度（nits）500白平衡亮度（nits）500标准色温（K）6500K (1000K～9500K可调) 视角（水平/垂直°）140/140发光点中心距偏差&lt;3%亮度/色度均匀性≥98%亮度/色度均匀性≥98%对比度5000:1电气参数最大功耗（W/m2）489最大功耗（W/m2）489平均功耗 (W/m2) 147供电要求AC90～132V/ AC186～264V，频率47-63（Hz）安全特性GB4943/EN60950处理性能换帧频率60Hz驱动方式恒流驱动/58扫灰度级别4096刷新率≥3840Hz颜色处理位数12bit使用参数寿命典型值（hrs）100,000H工作温/湿度范围-20℃–50℃  / 10%-65%RH（无结露）存储温/湿度范围-20℃–30℃  / 10%-60%RH（无结露）适用标准SJT 11141-2017、GB/T 26125-2011、GB/T 26572-2001,显示屏控制软件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49860"/>
                  <wp:effectExtent l="0" t="0" r="0" b="0"/>
                  <wp:wrapNone/>
                  <wp:docPr id="22" name="图片_1_SpCnt_7"/>
                  <wp:cNvGraphicFramePr/>
                  <a:graphic xmlns:a="http://schemas.openxmlformats.org/drawingml/2006/main">
                    <a:graphicData uri="http://schemas.openxmlformats.org/drawingml/2006/picture">
                      <pic:pic xmlns:pic="http://schemas.openxmlformats.org/drawingml/2006/picture">
                        <pic:nvPicPr>
                          <pic:cNvPr id="22" name="图片_1_SpCnt_7"/>
                          <pic:cNvPicPr/>
                        </pic:nvPicPr>
                        <pic:blipFill>
                          <a:blip r:embed="rId6"/>
                          <a:stretch>
                            <a:fillRect/>
                          </a:stretch>
                        </pic:blipFill>
                        <pic:spPr>
                          <a:xfrm>
                            <a:off x="0" y="0"/>
                            <a:ext cx="609600" cy="1498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49860"/>
                  <wp:effectExtent l="0" t="0" r="0" b="0"/>
                  <wp:wrapNone/>
                  <wp:docPr id="23" name="图片_3_SpCnt_6"/>
                  <wp:cNvGraphicFramePr/>
                  <a:graphic xmlns:a="http://schemas.openxmlformats.org/drawingml/2006/main">
                    <a:graphicData uri="http://schemas.openxmlformats.org/drawingml/2006/picture">
                      <pic:pic xmlns:pic="http://schemas.openxmlformats.org/drawingml/2006/picture">
                        <pic:nvPicPr>
                          <pic:cNvPr id="23" name="图片_3_SpCnt_6"/>
                          <pic:cNvPicPr/>
                        </pic:nvPicPr>
                        <pic:blipFill>
                          <a:blip r:embed="rId6"/>
                          <a:stretch>
                            <a:fillRect/>
                          </a:stretch>
                        </pic:blipFill>
                        <pic:spPr>
                          <a:xfrm>
                            <a:off x="0" y="0"/>
                            <a:ext cx="609600" cy="1498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0</wp:posOffset>
                  </wp:positionV>
                  <wp:extent cx="609600" cy="149860"/>
                  <wp:effectExtent l="0" t="0" r="0" b="0"/>
                  <wp:wrapNone/>
                  <wp:docPr id="24" name="图片_1_SpCnt_8"/>
                  <wp:cNvGraphicFramePr/>
                  <a:graphic xmlns:a="http://schemas.openxmlformats.org/drawingml/2006/main">
                    <a:graphicData uri="http://schemas.openxmlformats.org/drawingml/2006/picture">
                      <pic:pic xmlns:pic="http://schemas.openxmlformats.org/drawingml/2006/picture">
                        <pic:nvPicPr>
                          <pic:cNvPr id="24" name="图片_1_SpCnt_8"/>
                          <pic:cNvPicPr/>
                        </pic:nvPicPr>
                        <pic:blipFill>
                          <a:blip r:embed="rId6"/>
                          <a:stretch>
                            <a:fillRect/>
                          </a:stretch>
                        </pic:blipFill>
                        <pic:spPr>
                          <a:xfrm>
                            <a:off x="0" y="0"/>
                            <a:ext cx="609600" cy="1498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电源</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LED屏专用电源</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视屏处理器Ⅹ8</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拥有完备的视频输入接口，1 路 HDMI 2.0，4 路 DVI，1 路 3G-S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多输出，大带载，支持 16 路网口和 4 路光纤输出，带载高达 1040万像素。（提供CNAS第三方检测报告）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 HDR 输出，能够极大地增强显示屏的画质，使画面色彩更加真实生动，细节更加清晰。（提供CNAS第三方检测报告）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支持个性化的画质缩放，支持三种画面缩放模式，包括点对点模式、全屏缩放、自定义缩放。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多窗口显示，支持 5 窗口任意布局。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支持预监输出画面，将预监内容通过 HDMI 发送到显示器显示。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支持智能控制软件进行操作控制。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支持逐点亮色度校正技术，校正过程快速高效，支持直接现场校正；（提供至少3份厂家获得的不同的逐点亮色度校正证书）（2项专利）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支持场景预设，最多可创建 10 个用户场景作为模板保存，可直接调用，方便使用。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支持 EDID 管理，支持用户自定义 EDID 和预设 EDID。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设备可一键开启或关闭对应图层显示，提供更灵活的操作手段，增强产品实用性能。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通过面板数字按键，可快速准确定义窗口大小位置等坐标信息，增强产品实用性能。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产品本身集成视频处理器与发送卡于一体。（可提供《二合一嵌入式软件著作权证书》表明产品本身技术的优先性）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提供LED显示屏控制软件和播放软件计算机软件著作权证书。</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系统接收卡</w:t>
            </w:r>
          </w:p>
        </w:tc>
        <w:tc>
          <w:tcPr>
            <w:tcW w:w="3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无需转接板，单卡自带8个HUB320  26 P接口，更加稳定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单卡带载像素512*512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支持逐点亮色度校正，可以对每个灯点的亮度和色度进行校正，有效消除色差，使整屏的亮度和色度达到高度均匀一致，提高显示屏的画质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配合支持 3D 功能的独立主控，在软件或独立主控的操作面板上开启 3D 功能，并设置 3D 参数，使画面显示 3D 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可以将指定图片设置为显示屏的开机、网线断开或无视频源信号时的画面或者最后一帧画面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支持环路备份，接收卡与接收卡间通过主备线路连接成环路。线路某处出现故障时，屏体仍能正常显示。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支持程序备份，接收卡出厂时保存了两份应用程序，以防程序是新过程异常导致的接收卡死锁问题。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支持画面90°倍数旋转。画面以90°的倍数（0°/90°/180°/270°）进行旋转。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 通过软件调节，可以解决箱体或灯板之间，因拼接导致的亮暗线问题，支持灯板flash管理，校正系数双备份，更换灯板后，无需重新上传校正系数，屏体重新断上电即可使用对应灯板校正系数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支持5pin 液晶模块，用于显示接收卡的温度、电压、单次运行时间和总运行时间。支持千兆网，可通过网线直接连接PC端进行调试和显示，无需发送卡；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 支持千兆网，可通过网线直接连接PC端进行调试和显示，无需发送卡；接收卡电源接口与灯板电源接口一致（与灯板电源一致），无需单独配线，安装方便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 RGB独立Gamma调节技术增加调节维度，通过对“红 Gamma”、“绿 Gamma”、“蓝 Gamma”分别进行调节，有效控制显示屏低灰不均匀、白平衡漂移等问题，使画面更加真实，提高色彩调节的灵活性，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 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可以监测自身的温度和电压，无需其他外设，在软件上可以查看接收卡的温度和电压，检测发送设备与接收卡间或接收卡与接收卡间的网络通讯质量，记录错误包数，协助排除网络通讯隐患，支持可以回读接收卡的固件程序并保存到本地，软件可以回读接收卡配置参数并保存到本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通过主备冗余机制增加接收卡间网线级联的可靠性。主备级联线路中，当其中一条线路出现故障时，另一条线路会即时工作，保证显示屏正常工作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提供产品在接触温度检测限值至少为60°的条件检测报告，保证异常高温情况下正常运行的CNAS第三方检测报告厂家盖章复印件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 为保证产品的智能化，需提供智能LED显示屏运行状态监控系统和监控方法相关证书复印件，加盖生产厂家公章。</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 </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长排线</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LED屏数据线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显示屏链接网线</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超6类国标网线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三芯电源线</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国标线三芯电源线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LED屏钢构架</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LED屏固定钢架落地式及包边安装</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遥控配电柜40KW</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电源配电箱</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电脑</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台式电脑i3\4\512固态\4G独立显卡</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音响</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屏体布线</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主电缆线</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LED屏总电源线</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主席台、舞台搭架</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钢构、木板、红地毯及附属小材料，细节问题需按甲方要求搭架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主扩音响</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1:为保证扩声系统兼容性、一致性以及售后便捷性，投标产品必须与主扩线阵音箱同一品2：频 率 范 围54Hz-20KHz:                                                            3：额 定 功 率450W（连续）/1350W（峰值）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4:灵敏度96dB(1m/1W)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5:最大声压级120dB（连续）/126dB（峰值）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 定 阻 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7:覆盖角度 90°*50°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8:高 音 单 元1X（38.1mm）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9:低 音 单 元1X12”（304.8mm）低音单元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10:输 入 连 接两个并联四芯SPEAKON座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11:尺 寸379.4X383.6X631.5mm±5%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12:净 重23.1 Kg±5%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主扩扬声器功放</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为保证扩声系统兼容性、一致性以及售后便捷性，投标产品必须与主扩线阵音箱同一品牌业功放 1.全新的外观设计，凸显其大方而又与众不同的风格；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2.优良的内部电路,自然有不凡的音质；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3.内部压限器，使系统更加可靠；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4.可以拆卸的面板，使日常维护更加方便;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5.独立的模块式结构，使功放的两个通道能更加独立地工作；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6.复位方式可设为自动复位或手动复位，使用户有更适合自己的选择；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7.多达8只指示灯，指示不同工作状态；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8.完善的保护措施：过热、短路、直流电、超低频、开机、关机扬声器保护；               9:提供功率放大器的电平幅度自动限制装置证书加盖公章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输出功率  8欧 950瓦*2；4欧1350瓦*2 桥接 2250瓦*1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  20-20KHZ（±0.5dB）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  20-20KHZ，-102dB（未加权）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电压增益 38-2dB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输入灵敏度  0.86Vrms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输出线路类型  AB/H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输入电阻  10K欧（非平衡） 20K欧（平横）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动态净空  2dB(@4欧)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阻尼因数  8欧&gt;500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放大器防护  短路，开路，热，超声和RF防护。稳定到电抗或不匹配负载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冷却   连续变速风扇；穿过散热片的从后到前气流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控制前  交流电开关、增益控制器(各通道)21档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后部  输入配置开关(立体声、并行、桥接)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LED指示灯  电源(绿色x2)，信号(绿色x2)，削波(黄色x2)，保护(红色x2）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输入接头：1/4英寸TRS和内孔XLR 20k欧姆平衡，10K欧姆不平衡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输出接头：Speakon接头：通道1，2线(仅通道1) 通道2，2线(仅通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道2)接线柱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负载保护 打开/关闭静音，直流故障阻塞，削波限制，次声过滤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电源要求 220-240VAC，50-60HZ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  48.3cm(W)X8.9cm(H)X35.3cm(D)(从前安装杆,包括后支撑柄）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  23.5kg(净重)±5%  27.5kg(毛重)±5%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数字调音台</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多功能数字调音台,具有体积小、重量轻、功能全、操作直简便、人机对话界面友好、反应速度灵敏等众多功能。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支持场景设置功能，可以根据使用场地保存与调用场景，可以轻松地操作，不用更换场地重新设置系统。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1、16路高性能模拟麦克风输入，包含4个Combo输入；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2、6段高精度主输出电平表；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3、9个100mm行程的优质电动滑杆电位器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4、8个可自定义的平衡输出口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5、6个内置效果器模块，2个调制，2个延时和2个混响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6、4个单声道AUX总线，4个立体声GROUP总线,主输出L/R和立体声监听耳机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7、2个31段图示均衡器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8、2个 USB支持播放、录音、系统更新、及场景导入导出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9、10.1寸1280X800像素高清IPS触摸屏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10、1个 扩展插槽，可选配USB.DANTE和AES/EBU等多种模块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11、RS232支持中控系统接入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12、支持IPAD远程遥控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13、支持中文操作系统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14、支持MP3,AAC,WAV,FLAC,APE等格式的音源播放</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数字反馈抑制器</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数字输入：2CH-XLR和1/4“TRS(母)输入,电子平衡/不平衡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输入阻抗：平衡47Ω,不平衡20KΩ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最大线路电平输入：+18dBu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数字输出：2CH-XLR和1/4“TRS(母)输入,电子平衡/不平衡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输出阻抗：平衡&gt;120Ω,不平衡&gt;60Ω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最大输出电平：+20dBu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频率响应：20Hz-20KHz,±0.3db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信噪比：&gt;105db(A)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动态范围：103db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总谐波失真+噪声0.005％,1KHz;20Hz-10KH,&lt;0.01％;10KHz-20KHz,&lt;0.025％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工作电压：110V/220V/AC 50Hz/60Hz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接口：输入3芯XLR母插座/6.3插咀 输出3芯XLR公插座/6.3插咀 USB接口 电源插口 3芯IEC 插座 电源90至240V 50/60Hz，                         耗电量：&lt;30瓦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净重：2.3千克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包装尺寸：535*80*250MM</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电源时序器</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1.5寸彩色液晶智能触摸显示窗，可实时显示当前电压、日期时间、通道开关状态。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2.14路开关通道输出，每路延时开启和关闭时间可自由设置，每路8组循环定时开关。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3.支持面板LOCK锁定功能，防止误操作。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4.内置时钟芯片，可根据日期时间定时设置自动开关机，不需人为操作。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5.支持多台设备级联顺序控制，级联自动检测设备。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6.配置232接口、485接口，支持外部中控设备控制。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7.每台设备自带ID设置和检测，可实现远程集中控制。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8.10组设备开关场景数据保存/调用，场景管理应用简单便捷。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9.欠压、超压检测及报警。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10.总功率40A大功率设计，1-7路带独立滤波器（选配）最大支持30A功率，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11.可电脑、苹果手机、安卓手机控制，网络控制现场操作简单易上手。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带有外部触发，可对接中控设备实现的开/关机</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真分集无线话筒</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1.真分集接收系统，系统抗干扰性能极佳，信号接收能力强大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2.专业演出级别的相位锁定电路，配合杂讯锁定静噪控制与数码导频技术，当发射器关闭时，导频控制将AF信号静音以抑制噪声，同时将对应的接收机静音，保证了对干扰信号的有效阻隔.  3.自主开发的LED显示屏指示了系统音量，电池电量，分集通道A/B切换显示，工作频率与通道。接收距离档位。系统锁键等。                                                                  工作频率：640~740MHz 采用微电脑CPU控制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PLL锁相环频率合成技术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特有音频/射频电平显示，电池电压显示红外线对频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调制方式：FM调频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频率稳定度：±0.002                                                                                           PLL锁相环频率合成技术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100MHz带宽内有200个可选频率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S/N信噪比：&gt;105dB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T.H.D失真：&lt;0.5%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频率响应：40Hz-18KHz</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短杆会议麦克</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1.采用全数字会议技术，符合IEC60914国际标准；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2.简洁稳重的台面式强抗静电功能设计，符合人体工程学，极具有现代科技感；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3.采用全铝合金底座、一体成型枪式话筒杆，并采用声干涉原理，有极好的超指向性能；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4.装备防震拾音头，可最大限度减小因桌面震动而产生的噪音；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5.采用触控式开关按键，定位精确、控制迅速，无机械按键、不会磨损、无限寿命；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6.全金属方柱型话筒杆，内置进口金膜音头；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7.话筒自带1.5米线，可根据现场需要定制线的长度；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8.连接线缆可从底部及背面引出，即可保障发言者移动位置也可保障桌面整洁；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9.单元为无源设备，支持48V幻象供电，可直接连接到调音台上，由调音台进行幻象供电；；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10.采用数字强抗干扰技术，确保会场内设备不受手机、蓝牙、无线电、WiFi等信号干扰；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11.采用先进静电隔离技术设计，即使在干燥的环境和地区也可以避免产生静电；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12.系统采用数字音频处理技术，频率响应可达40Hz-20KHz接近CD音质效果；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功耗：1.8W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频率响应：40Hz~20KHz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信噪比：&gt;90dB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麦克风类型：进口金膜拾音头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麦克风灵敏度：（-42dB±2dB）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工作电压：48V 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单元接口：3P凤凰母座/卡侬座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等效噪音：20dBA(SPL)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最大声压级：125dB(THD∠3%)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话筒杆长度：228mm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净重：1.15kg±5%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尺寸：126*108*60mm（不含咪杆）±5%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安装方式：桌面式</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机柜</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42u设备安装机柜</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音频信号线</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XLR三芯音频卡侬信号线（50条是成品50半成品）</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音箱线缆</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RVV2*2.5平方音箱线缆</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专业音箱4芯插头</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国标无氧铜</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COB面光</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电压：AC　110V-220V/50-60HZ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总功率：200W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光源：COB暖光+正白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光色温：暖白3200K+正白5600K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通道模式：2CHS/4通道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光源寿命：50000-100000　hours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调光频率：1000Hz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驱动电流：700mA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控制信号：DMX512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控制模式：自走，主从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发光角度：45°/80° 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防护等级：IP20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18颗4合一</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全彩帕灯</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光源：18颗10W LED（4in1）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电源：90V-250V/50-60HZ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总功率：230W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光源寿命：6-10万小时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LED角度：25°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控制方式：自动/声控/ DMX/主从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DMX通道：8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N.W.：3.5KGS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包装：6pcs/carton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尺寸：810*540*400mm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12路*4KW电源直通箱</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12路电源直通箱舞台灯光12路6kw电源箱电源柜数字硅箱直通柜 本产品可直接接入舞台2KW常规灯具18只 或4KW灯具12只；12路单独控制；6路采用国标40A胶木插，6路采用国标10A胶木插，6平方主线，均烫锡焊接处理防止老化而发热。总功率48KW，每路4000W。</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控台</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工作电压：AC110V～240V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DMX512标准。512个DMX控制通道。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可控制32台16个通道电脑灯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16个通道推杆，1个速度控制推杆。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1600个走灯程序步储存容量。48个走灯程序，每程序最多100步。每步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速度，渐变参数独立设置。可选音乐同步或手动速度控制。</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光束灯灯钩</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小灯钩</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保险绳</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电源线</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线材</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微耕机</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新型微耕机柴油多功能旋耕机小型耕地机开沟翻松土手扶拖拉机起垄椿度 风冷柴油主机+旋耕刀+橡胶轮</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rPr>
          <w:rFonts w:hint="eastAsia"/>
          <w:lang w:eastAsia="zh-CN"/>
        </w:rPr>
      </w:pPr>
    </w:p>
    <w:p>
      <w:pPr>
        <w:rPr>
          <w:rFonts w:hint="eastAsia"/>
          <w:lang w:eastAsia="zh-CN"/>
        </w:rPr>
      </w:pPr>
      <w:r>
        <w:rPr>
          <w:rFonts w:hint="eastAsia"/>
          <w:b/>
          <w:bCs/>
          <w:sz w:val="28"/>
          <w:szCs w:val="36"/>
          <w:lang w:eastAsia="zh-CN"/>
        </w:rPr>
        <w:t>第三包技术参数：</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350"/>
        <w:gridCol w:w="1527"/>
        <w:gridCol w:w="1035"/>
        <w:gridCol w:w="1035"/>
        <w:gridCol w:w="1035"/>
        <w:gridCol w:w="544"/>
        <w:gridCol w:w="658"/>
        <w:gridCol w:w="758"/>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米经（cm）</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高度（cm）</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冠幅（cm）</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形态要求</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海棠</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美人梅</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红叶李</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三叶草种籽</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格桑花种籽</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冬青</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金叶女贞</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红叶石楠</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金叶女贞球</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黄杨球</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含一年维护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农家肥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土地平整及管网</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土地平整垃圾清运</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绿化官网、水井</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亮化</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景观灯</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灯带</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草坪灯</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旗杆</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rPr>
          <w:rFonts w:hint="eastAsia"/>
          <w:lang w:eastAsia="zh-CN"/>
        </w:rPr>
      </w:pPr>
    </w:p>
    <w:p>
      <w:pPr>
        <w:rPr>
          <w:rFonts w:hint="eastAsia"/>
          <w:lang w:eastAsia="zh-CN"/>
        </w:rPr>
      </w:pPr>
      <w:r>
        <w:rPr>
          <w:rFonts w:hint="eastAsia"/>
          <w:b/>
          <w:bCs/>
          <w:sz w:val="28"/>
          <w:szCs w:val="36"/>
          <w:lang w:eastAsia="zh-CN"/>
        </w:rPr>
        <w:t>第四包技术参数：</w:t>
      </w:r>
    </w:p>
    <w:tbl>
      <w:tblPr>
        <w:tblStyle w:val="9"/>
        <w:tblW w:w="8428" w:type="dxa"/>
        <w:tblInd w:w="93" w:type="dxa"/>
        <w:tblLayout w:type="autofit"/>
        <w:tblCellMar>
          <w:top w:w="0" w:type="dxa"/>
          <w:left w:w="108" w:type="dxa"/>
          <w:bottom w:w="0" w:type="dxa"/>
          <w:right w:w="108" w:type="dxa"/>
        </w:tblCellMar>
      </w:tblPr>
      <w:tblGrid>
        <w:gridCol w:w="711"/>
        <w:gridCol w:w="6120"/>
        <w:gridCol w:w="1597"/>
      </w:tblGrid>
      <w:tr>
        <w:tblPrEx>
          <w:tblCellMar>
            <w:top w:w="0" w:type="dxa"/>
            <w:left w:w="108" w:type="dxa"/>
            <w:bottom w:w="0" w:type="dxa"/>
            <w:right w:w="108" w:type="dxa"/>
          </w:tblCellMar>
        </w:tblPrEx>
        <w:trPr>
          <w:trHeight w:val="893" w:hRule="atLeast"/>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名称</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技术规格参数</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数量</w:t>
            </w:r>
          </w:p>
        </w:tc>
      </w:tr>
      <w:tr>
        <w:tblPrEx>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2米樟子松防腐木栈道</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材质：樟子松防腐木；规格尺寸（±1CM）:宽200CM，栈道路面用料规格：55*11.5CM，无缝紧密排列铺设；下方框架榫卯结构横梁、侧梁3列，规格：11*11（CM）；底座立柱规格：15*15（CM），立柱间隔175（CM），下埋120（CM）做防腐处理，栈道路面离地；总体绿化带走势、地势铺设，高低处采用踏步技术处理；原木色，3遍木油，3遍油漆，整体施工满足行业技术要求标准</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36平方米</w:t>
            </w:r>
          </w:p>
        </w:tc>
      </w:tr>
      <w:tr>
        <w:tblPrEx>
          <w:tblCellMar>
            <w:top w:w="0" w:type="dxa"/>
            <w:left w:w="108" w:type="dxa"/>
            <w:bottom w:w="0" w:type="dxa"/>
            <w:right w:w="108" w:type="dxa"/>
          </w:tblCellMar>
        </w:tblPrEx>
        <w:trPr>
          <w:trHeight w:val="3004" w:hRule="atLeast"/>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1.5米樟子松防腐木栈道</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材质：樟子松防腐木；规格尺寸（±1CM）:宽200CM，栈道路面用料规格：55*11.5CM，无缝紧密排列铺设；下方框架榫卯结构横梁、侧梁3列，规格：11*11（CM）；底座立柱规格：15*15（CM），立柱间隔175（CM），下埋120（CM）做防腐处理，栈道路面离地；总体绿化带走势、地势铺设，高低处采用踏步技术处理。原木色，3遍木油，3遍油漆，整体施工满足行业技术要求标准。</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60平方米</w:t>
            </w:r>
          </w:p>
        </w:tc>
      </w:tr>
      <w:tr>
        <w:tblPrEx>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樟子松防腐木凉亭</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lang w:val="en-US" w:eastAsia="zh-CN"/>
              </w:rPr>
              <w:t>材质：樟子松防腐木，双层六角亭，整体框架榫卯结构，坚固耐用；规格尺寸（±1CM）:长4*宽4*高6（m）；立柱：20*20（CM）下埋120（CM）做防腐处理；带三面椅子：高90*宽40(CM），椅面用料：10*4.5（CM）。椅背：高47（CM），椅撑S造型符合人体力学，椅撑用料：4.5*4.5（CM），间隔：10（CM）；椅子底座：20*20（CM）；亭顶：主梁18*18（CM）；辅梁：13*13（CM）；领条：15*15（CM）；亭顶面3层：表面树脂瓦无缝铺设；中间防水处理，下方铺防腐木板；原木色，3遍木油，3遍油漆，整体施满足行业技术要求标准。</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1座</w:t>
            </w:r>
          </w:p>
        </w:tc>
      </w:tr>
      <w:tr>
        <w:tblPrEx>
          <w:tblCellMar>
            <w:top w:w="0" w:type="dxa"/>
            <w:left w:w="108" w:type="dxa"/>
            <w:bottom w:w="0" w:type="dxa"/>
            <w:right w:w="108" w:type="dxa"/>
          </w:tblCellMar>
        </w:tblPrEx>
        <w:trPr>
          <w:trHeight w:val="2209" w:hRule="atLeast"/>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樟子松防腐木护栏</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材质：樟子松防腐木框架榫卯结构；规格尺寸（±1CM）；立柱规格：15*15（CM），立柱间隔150（CM），高120（CM） ,下埋120（CM）做防腐处理，两柱之间横梁3根13（CM）*6（CM）。原木色，3遍木油，3遍油漆，整体施工满足行业技术要求标准</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216米</w:t>
            </w:r>
          </w:p>
        </w:tc>
      </w:tr>
      <w:tr>
        <w:tblPrEx>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樟子松防腐木地板</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材质：樟子松防腐木；规格尺寸（±1CM）:宽300CM，栈道路面用料规格：55*11.5CM，无缝紧密排列铺设；下方框架榫卯结构横梁、侧梁3列，规格：11*11（CM）；底座立柱规格：15*15（CM），立柱间隔175（CM），下埋120（CM）做防腐处理；原木色，3遍木油，3遍油漆，整体施工满足行业技术要求标准。</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90平方米</w:t>
            </w:r>
          </w:p>
        </w:tc>
      </w:tr>
      <w:tr>
        <w:tblPrEx>
          <w:tblCellMar>
            <w:top w:w="0" w:type="dxa"/>
            <w:left w:w="108" w:type="dxa"/>
            <w:bottom w:w="0" w:type="dxa"/>
            <w:right w:w="108" w:type="dxa"/>
          </w:tblCellMar>
        </w:tblPrEx>
        <w:trPr>
          <w:trHeight w:val="2334" w:hRule="atLeast"/>
        </w:trPr>
        <w:tc>
          <w:tcPr>
            <w:tcW w:w="7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樟子松防腐木文化长廊</w:t>
            </w:r>
          </w:p>
        </w:tc>
        <w:tc>
          <w:tcPr>
            <w:tcW w:w="6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材质：樟子松防腐木，整体框架榫卯结构，坚固耐用；规格尺寸（±1CM）:长30*宽4*高4.5（M）两侧带宣传栏框架，并制作休闲椅，宣传框架与休闲椅交替制作，宣传栏整体框架榫卯结构尺寸：1.5（M）*2.8（M）；宣传框架材质：8*15（CM）横梁2根，立柱：6*13（CM）2根；长廊立柱：20*20（CM）下埋120（CM），做防腐处理，基础：40（CM）*40（CM）混凝土，间隔3（M）；椅子：高90*宽40(CM），椅面用料：10*4.5（CM）。椅背：高47（CM），椅撑S造型符合人体力学，椅撑用料：4.5*4.5（CM），间隔：10（CM）；椅子底座：20*20（CM）；长廊顶：主梁10（CM）*20（CM）；辅梁：8（CM）*15（CM）；顶面3层：表面树脂瓦无缝铺设；中间防水处理，下方铺防腐木板；原木色，3遍木油，3遍油漆；整体施满足行业技术要求标准。</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i w:val="0"/>
                <w:iCs w:val="0"/>
                <w:caps w:val="0"/>
                <w:color w:val="000000"/>
                <w:spacing w:val="0"/>
                <w:sz w:val="18"/>
                <w:szCs w:val="18"/>
                <w:lang w:val="en-US" w:eastAsia="zh-CN"/>
              </w:rPr>
              <w:t>118平方米</w:t>
            </w:r>
          </w:p>
        </w:tc>
      </w:tr>
      <w:tr>
        <w:tblPrEx>
          <w:tblCellMar>
            <w:top w:w="0" w:type="dxa"/>
            <w:left w:w="108" w:type="dxa"/>
            <w:bottom w:w="0" w:type="dxa"/>
            <w:right w:w="108" w:type="dxa"/>
          </w:tblCellMar>
        </w:tblPrEx>
        <w:trPr>
          <w:trHeight w:val="1014" w:hRule="atLeast"/>
        </w:trPr>
        <w:tc>
          <w:tcPr>
            <w:tcW w:w="84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aps w:val="0"/>
                <w:color w:val="000000"/>
                <w:spacing w:val="0"/>
                <w:sz w:val="18"/>
                <w:szCs w:val="18"/>
                <w:lang w:val="en-US" w:eastAsia="zh-CN"/>
              </w:rPr>
            </w:pPr>
            <w:r>
              <w:rPr>
                <w:rFonts w:hint="eastAsia" w:ascii="宋体" w:hAnsi="宋体" w:eastAsia="宋体" w:cs="宋体"/>
                <w:b/>
                <w:bCs/>
                <w:i w:val="0"/>
                <w:iCs w:val="0"/>
                <w:caps w:val="0"/>
                <w:color w:val="000000"/>
                <w:spacing w:val="0"/>
                <w:sz w:val="18"/>
                <w:szCs w:val="18"/>
                <w:lang w:val="en-US" w:eastAsia="zh-CN"/>
              </w:rPr>
              <w:t>注意事项：该项目自中标之日起2日内向甲方提供2套整体设计方案和效果图供甲方选择，合同签订后15日内全部完成施工</w:t>
            </w:r>
            <w:r>
              <w:rPr>
                <w:rFonts w:hint="eastAsia" w:ascii="宋体" w:hAnsi="宋体" w:eastAsia="宋体" w:cs="宋体"/>
                <w:i w:val="0"/>
                <w:iCs w:val="0"/>
                <w:caps w:val="0"/>
                <w:color w:val="000000"/>
                <w:spacing w:val="0"/>
                <w:sz w:val="18"/>
                <w:szCs w:val="18"/>
                <w:lang w:val="en-US" w:eastAsia="zh-CN"/>
              </w:rPr>
              <w:t>。</w:t>
            </w:r>
          </w:p>
        </w:tc>
      </w:tr>
    </w:tbl>
    <w:p>
      <w:pPr>
        <w:keepNext w:val="0"/>
        <w:keepLines w:val="0"/>
        <w:widowControl/>
        <w:suppressLineNumbers w:val="0"/>
        <w:jc w:val="both"/>
        <w:rPr>
          <w:rFonts w:hint="eastAsia" w:ascii="仿宋_GB2312" w:hAnsi="仿宋_GB2312" w:eastAsia="仿宋_GB2312" w:cs="仿宋_GB2312"/>
          <w:b w:val="0"/>
          <w:bCs w:val="0"/>
          <w:color w:val="000000"/>
          <w:kern w:val="0"/>
          <w:sz w:val="24"/>
          <w:szCs w:val="24"/>
          <w:lang w:val="en-US" w:eastAsia="zh-CN" w:bidi="ar"/>
        </w:rPr>
      </w:pP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2、商务要求如下：</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（1）取得采购标的的时间：2022年3月25日至 2022年4月1日</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（2）取得采购标的的地点：邮箱</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（3）交付（实施）的时间（期限）：第一包、第二包、第四包合同签订后15日内供货完毕，第三包合同签订后7日内供货完毕；供货至采购人指定地点。</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（4）交付地点（范围）：采购人指定地点</w:t>
      </w:r>
    </w:p>
    <w:p>
      <w:pPr>
        <w:pStyle w:val="8"/>
        <w:spacing w:before="120" w:beforeLines="50" w:after="0" w:line="360" w:lineRule="auto"/>
        <w:ind w:firstLine="480" w:firstLineChars="200"/>
        <w:jc w:val="both"/>
        <w:outlineLvl w:val="9"/>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3、</w:t>
      </w:r>
      <w:r>
        <w:rPr>
          <w:rFonts w:ascii="仿宋_GB2312" w:hAnsi="仿宋_GB2312" w:eastAsia="仿宋_GB2312" w:cs="仿宋_GB2312"/>
          <w:b w:val="0"/>
          <w:bCs w:val="0"/>
          <w:color w:val="auto"/>
          <w:kern w:val="0"/>
          <w:sz w:val="24"/>
          <w:szCs w:val="24"/>
          <w:lang w:val="en-US" w:eastAsia="zh-CN" w:bidi="ar"/>
        </w:rPr>
        <w:t>付款条件</w:t>
      </w:r>
      <w:r>
        <w:rPr>
          <w:rFonts w:hint="eastAsia" w:ascii="仿宋_GB2312" w:hAnsi="仿宋_GB2312" w:eastAsia="仿宋_GB2312" w:cs="仿宋_GB2312"/>
          <w:b w:val="0"/>
          <w:bCs w:val="0"/>
          <w:color w:val="auto"/>
          <w:kern w:val="0"/>
          <w:sz w:val="24"/>
          <w:szCs w:val="24"/>
          <w:lang w:val="en-US" w:eastAsia="zh-CN" w:bidi="ar"/>
        </w:rPr>
        <w:t>：</w:t>
      </w:r>
    </w:p>
    <w:p>
      <w:pPr>
        <w:pStyle w:val="8"/>
        <w:spacing w:before="120" w:beforeLines="50" w:after="0" w:line="360" w:lineRule="auto"/>
        <w:ind w:firstLine="480" w:firstLineChars="200"/>
        <w:jc w:val="both"/>
        <w:outlineLvl w:val="9"/>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进度和方式</w:t>
      </w:r>
      <w:r>
        <w:rPr>
          <w:rFonts w:hint="eastAsia" w:ascii="仿宋_GB2312" w:hAnsi="仿宋_GB2312" w:eastAsia="仿宋_GB2312" w:cs="仿宋_GB2312"/>
          <w:b w:val="0"/>
          <w:bCs w:val="0"/>
          <w:color w:val="auto"/>
          <w:kern w:val="0"/>
          <w:sz w:val="24"/>
          <w:szCs w:val="24"/>
          <w:lang w:val="en-US" w:eastAsia="zh-CN" w:bidi="ar"/>
        </w:rPr>
        <w:t>：合同签订后，乙方在甲方规定时间内到货，货物安装，验收，调试合格后甲方支付乙方合同总金额50%的货款。自双方共同签署安装验收合格单次日算起，六个月之内甲方支付乙方合同总金额47%的货款。在质保期满后，甲方支付乙方剩余3%的货款。</w:t>
      </w:r>
    </w:p>
    <w:p>
      <w:pPr>
        <w:pStyle w:val="8"/>
        <w:spacing w:before="120" w:beforeLines="50" w:after="0" w:line="360" w:lineRule="auto"/>
        <w:ind w:firstLine="480" w:firstLineChars="200"/>
        <w:jc w:val="both"/>
        <w:outlineLvl w:val="9"/>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（1）质保期：验收合格后，整机免费保修一年，终身维修。</w:t>
      </w:r>
    </w:p>
    <w:p>
      <w:pPr>
        <w:pStyle w:val="8"/>
        <w:spacing w:before="120" w:beforeLines="50" w:after="0" w:line="360" w:lineRule="auto"/>
        <w:ind w:firstLine="480" w:firstLineChars="200"/>
        <w:jc w:val="both"/>
        <w:outlineLvl w:val="9"/>
        <w:rPr>
          <w:rFonts w:hint="default"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（保修期后配件损坏更换按原价购买）。</w:t>
      </w:r>
    </w:p>
    <w:p>
      <w:pPr>
        <w:pStyle w:val="8"/>
        <w:spacing w:before="120" w:beforeLines="50" w:after="0" w:line="360" w:lineRule="auto"/>
        <w:ind w:firstLine="480" w:firstLineChars="200"/>
        <w:jc w:val="both"/>
        <w:outlineLvl w:val="9"/>
        <w:rPr>
          <w:rFonts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（2）</w:t>
      </w:r>
      <w:r>
        <w:rPr>
          <w:rFonts w:ascii="仿宋_GB2312" w:hAnsi="仿宋_GB2312" w:eastAsia="仿宋_GB2312" w:cs="仿宋_GB2312"/>
          <w:b w:val="0"/>
          <w:bCs w:val="0"/>
          <w:color w:val="auto"/>
          <w:kern w:val="0"/>
          <w:sz w:val="24"/>
          <w:szCs w:val="24"/>
          <w:lang w:val="en-US" w:eastAsia="zh-CN" w:bidi="ar"/>
        </w:rPr>
        <w:t>售后服务</w:t>
      </w:r>
      <w:r>
        <w:rPr>
          <w:rFonts w:hint="eastAsia" w:ascii="仿宋_GB2312" w:hAnsi="仿宋_GB2312" w:eastAsia="仿宋_GB2312" w:cs="仿宋_GB2312"/>
          <w:b w:val="0"/>
          <w:bCs w:val="0"/>
          <w:color w:val="auto"/>
          <w:kern w:val="0"/>
          <w:sz w:val="24"/>
          <w:szCs w:val="24"/>
          <w:lang w:val="en-US" w:eastAsia="zh-CN" w:bidi="ar"/>
        </w:rPr>
        <w:t>：</w:t>
      </w:r>
      <w:r>
        <w:rPr>
          <w:rFonts w:hint="eastAsia" w:ascii="仿宋_GB2312" w:hAnsi="仿宋_GB2312" w:eastAsia="仿宋_GB2312" w:cs="仿宋_GB2312"/>
          <w:b w:val="0"/>
          <w:bCs w:val="0"/>
          <w:color w:val="000000"/>
          <w:sz w:val="24"/>
          <w:szCs w:val="24"/>
          <w:lang w:eastAsia="zh-CN"/>
        </w:rPr>
        <w:t>具体详见招标文件参数要求</w:t>
      </w:r>
    </w:p>
    <w:p>
      <w:pPr>
        <w:pStyle w:val="8"/>
        <w:spacing w:before="120" w:beforeLines="50" w:after="0" w:line="360" w:lineRule="auto"/>
        <w:ind w:firstLine="480" w:firstLineChars="200"/>
        <w:jc w:val="both"/>
        <w:outlineLvl w:val="9"/>
        <w:rPr>
          <w:rFonts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（4）是否提供</w:t>
      </w:r>
      <w:r>
        <w:rPr>
          <w:rFonts w:ascii="仿宋_GB2312" w:hAnsi="仿宋_GB2312" w:eastAsia="仿宋_GB2312" w:cs="仿宋_GB2312"/>
          <w:b w:val="0"/>
          <w:bCs w:val="0"/>
          <w:color w:val="auto"/>
          <w:kern w:val="0"/>
          <w:sz w:val="24"/>
          <w:szCs w:val="24"/>
          <w:lang w:val="en-US" w:eastAsia="zh-CN" w:bidi="ar"/>
        </w:rPr>
        <w:t>保险</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4、</w:t>
      </w:r>
      <w:r>
        <w:rPr>
          <w:rFonts w:ascii="仿宋_GB2312" w:hAnsi="仿宋_GB2312" w:eastAsia="仿宋_GB2312" w:cs="仿宋_GB2312"/>
          <w:b w:val="0"/>
          <w:bCs w:val="0"/>
          <w:color w:val="auto"/>
          <w:kern w:val="0"/>
          <w:sz w:val="24"/>
          <w:szCs w:val="24"/>
          <w:lang w:val="en-US" w:eastAsia="zh-CN" w:bidi="ar"/>
        </w:rPr>
        <w:t>可能影响供应商报价和项目实施风险的因素</w:t>
      </w:r>
      <w:r>
        <w:rPr>
          <w:rFonts w:hint="eastAsia" w:ascii="仿宋_GB2312" w:hAnsi="仿宋_GB2312" w:eastAsia="仿宋_GB2312" w:cs="仿宋_GB2312"/>
          <w:b w:val="0"/>
          <w:bCs w:val="0"/>
          <w:color w:val="auto"/>
          <w:kern w:val="0"/>
          <w:sz w:val="24"/>
          <w:szCs w:val="24"/>
          <w:lang w:val="en-US" w:eastAsia="zh-CN" w:bidi="ar"/>
        </w:rPr>
        <w:t>：</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（1）比如因疫情防控，供应商不能按时参加本次公开招标活动的风险。</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（2）政策风险：因政府政策或行业标准改变，或者企业发展方向改变、企业升级等问题导致本次公开招标采购项目不得不取消或者进行调整。</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3）投标单位风险：投标单位风险是本次公开招标采购中的主要风险之一。投标单位风险主要体现在以下几个方面：一是投标单位本身生产能力达不到，但是却恶意抬高投标价格，以低价格中标之后再在生产中通过不良手段降低产品生产成本，提高利润，损害招标单位的行为；二是投标单位相互串通，实施围标、串标等违法行为；三是投标单位与企业招标人员相互勾结，通过串通的方式拿到标底价格，进行恶意竞争，影响企业公开招标活动的实施。</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（4）质量安全风险：中标单位没有按照标书中的产品技术标准进行供货，向采购人提供不符合要求的货物；后期中标单位提供的标书不符合采购人实质性需求。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5、该项目是否开展需求调查？（根据办法十一条规定），如开展则提供需求调查报告。</w:t>
      </w:r>
    </w:p>
    <w:p>
      <w:pPr>
        <w:pStyle w:val="6"/>
        <w:rPr>
          <w:rFonts w:hint="eastAsia"/>
          <w:lang w:val="en-US" w:eastAsia="zh-CN"/>
        </w:rPr>
      </w:pPr>
      <w:r>
        <w:rPr>
          <w:rFonts w:hint="eastAsia"/>
          <w:lang w:val="en-US" w:eastAsia="zh-CN"/>
        </w:rPr>
        <w:t>该项目无需开展需求调查</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六、采购标的的验收标准：</w:t>
      </w:r>
    </w:p>
    <w:p>
      <w:pPr>
        <w:keepNext w:val="0"/>
        <w:keepLines w:val="0"/>
        <w:widowControl/>
        <w:suppressLineNumbers w:val="0"/>
        <w:ind w:firstLine="480" w:firstLineChars="200"/>
        <w:jc w:val="both"/>
        <w:rPr>
          <w:rFonts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val="0"/>
          <w:bCs w:val="0"/>
          <w:color w:val="000000"/>
          <w:kern w:val="0"/>
          <w:sz w:val="24"/>
          <w:szCs w:val="24"/>
          <w:lang w:val="en-US" w:eastAsia="zh-CN" w:bidi="ar"/>
        </w:rPr>
        <w:t>验收主体</w:t>
      </w:r>
      <w:r>
        <w:rPr>
          <w:rFonts w:hint="eastAsia" w:ascii="仿宋_GB2312" w:hAnsi="仿宋_GB2312" w:eastAsia="仿宋_GB2312" w:cs="仿宋_GB2312"/>
          <w:b w:val="0"/>
          <w:bCs w:val="0"/>
          <w:color w:val="000000"/>
          <w:kern w:val="0"/>
          <w:sz w:val="24"/>
          <w:szCs w:val="24"/>
          <w:lang w:val="en-US" w:eastAsia="zh-CN" w:bidi="ar"/>
        </w:rPr>
        <w:t>：莎车县残疾人联合会，</w:t>
      </w:r>
      <w:r>
        <w:rPr>
          <w:rFonts w:hint="eastAsia" w:ascii="仿宋" w:hAnsi="仿宋" w:eastAsia="仿宋" w:cs="宋体"/>
          <w:sz w:val="24"/>
          <w:szCs w:val="24"/>
          <w:lang w:eastAsia="zh-CN"/>
        </w:rPr>
        <w:t>莎车县残疾人联合会</w:t>
      </w:r>
      <w:r>
        <w:rPr>
          <w:rFonts w:hint="eastAsia" w:ascii="仿宋_GB2312" w:hAnsi="仿宋_GB2312" w:eastAsia="仿宋_GB2312" w:cs="仿宋_GB2312"/>
          <w:b w:val="0"/>
          <w:bCs w:val="0"/>
          <w:color w:val="000000"/>
          <w:kern w:val="0"/>
          <w:sz w:val="24"/>
          <w:szCs w:val="24"/>
          <w:lang w:val="en-US" w:eastAsia="zh-CN" w:bidi="ar"/>
        </w:rPr>
        <w:t>纪检组及本次项目的中标单位</w:t>
      </w:r>
    </w:p>
    <w:p>
      <w:pPr>
        <w:keepNext w:val="0"/>
        <w:keepLines w:val="0"/>
        <w:widowControl/>
        <w:suppressLineNumbers w:val="0"/>
        <w:ind w:firstLine="480"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w:t>
      </w:r>
      <w:r>
        <w:rPr>
          <w:rFonts w:ascii="仿宋_GB2312" w:hAnsi="仿宋_GB2312" w:eastAsia="仿宋_GB2312" w:cs="仿宋_GB2312"/>
          <w:b w:val="0"/>
          <w:bCs w:val="0"/>
          <w:color w:val="000000"/>
          <w:kern w:val="0"/>
          <w:sz w:val="24"/>
          <w:szCs w:val="24"/>
          <w:lang w:val="en-US" w:eastAsia="zh-CN" w:bidi="ar"/>
        </w:rPr>
        <w:t>时间</w:t>
      </w:r>
      <w:r>
        <w:rPr>
          <w:rFonts w:hint="eastAsia" w:ascii="仿宋_GB2312" w:hAnsi="仿宋_GB2312" w:eastAsia="仿宋_GB2312" w:cs="仿宋_GB2312"/>
          <w:b w:val="0"/>
          <w:bCs w:val="0"/>
          <w:color w:val="000000"/>
          <w:kern w:val="0"/>
          <w:sz w:val="24"/>
          <w:szCs w:val="24"/>
          <w:lang w:val="en-US" w:eastAsia="zh-CN" w:bidi="ar"/>
        </w:rPr>
        <w:t>：供货完毕</w:t>
      </w:r>
    </w:p>
    <w:p>
      <w:pPr>
        <w:keepNext w:val="0"/>
        <w:keepLines w:val="0"/>
        <w:widowControl/>
        <w:suppressLineNumbers w:val="0"/>
        <w:ind w:firstLine="480" w:firstLineChars="200"/>
        <w:jc w:val="both"/>
        <w:rPr>
          <w:rFonts w:hint="eastAsia" w:ascii="仿宋_GB2312" w:hAnsi="仿宋_GB2312" w:eastAsia="仿宋"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w:t>
      </w:r>
      <w:r>
        <w:rPr>
          <w:rFonts w:ascii="仿宋_GB2312" w:hAnsi="仿宋_GB2312" w:eastAsia="仿宋_GB2312" w:cs="仿宋_GB2312"/>
          <w:b w:val="0"/>
          <w:bCs w:val="0"/>
          <w:color w:val="000000"/>
          <w:kern w:val="0"/>
          <w:sz w:val="24"/>
          <w:szCs w:val="24"/>
          <w:lang w:val="en-US" w:eastAsia="zh-CN" w:bidi="ar"/>
        </w:rPr>
        <w:t>内容</w:t>
      </w:r>
      <w:r>
        <w:rPr>
          <w:rFonts w:hint="eastAsia" w:ascii="仿宋_GB2312" w:hAnsi="仿宋_GB2312" w:eastAsia="仿宋_GB2312" w:cs="仿宋_GB2312"/>
          <w:b w:val="0"/>
          <w:bCs w:val="0"/>
          <w:color w:val="000000"/>
          <w:kern w:val="0"/>
          <w:sz w:val="24"/>
          <w:szCs w:val="24"/>
          <w:lang w:val="en-US" w:eastAsia="zh-CN" w:bidi="ar"/>
        </w:rPr>
        <w:t>：</w:t>
      </w:r>
      <w:r>
        <w:rPr>
          <w:rFonts w:hint="eastAsia" w:ascii="仿宋" w:hAnsi="仿宋" w:eastAsia="仿宋" w:cs="宋体"/>
          <w:sz w:val="24"/>
          <w:szCs w:val="24"/>
          <w:lang w:eastAsia="zh-CN"/>
        </w:rPr>
        <w:t>康复设备、</w:t>
      </w:r>
      <w:r>
        <w:rPr>
          <w:rFonts w:hint="eastAsia" w:ascii="仿宋" w:hAnsi="仿宋" w:eastAsia="仿宋" w:cs="宋体"/>
          <w:sz w:val="24"/>
          <w:szCs w:val="24"/>
        </w:rPr>
        <w:t>会议系统、多功能培训室</w:t>
      </w:r>
      <w:r>
        <w:rPr>
          <w:rFonts w:hint="eastAsia" w:ascii="仿宋" w:hAnsi="仿宋" w:eastAsia="仿宋" w:cs="宋体"/>
          <w:sz w:val="24"/>
          <w:szCs w:val="24"/>
          <w:lang w:eastAsia="zh-CN"/>
        </w:rPr>
        <w:t>、</w:t>
      </w:r>
      <w:r>
        <w:rPr>
          <w:rFonts w:hint="eastAsia" w:ascii="仿宋" w:hAnsi="仿宋" w:eastAsia="仿宋" w:cs="宋体"/>
          <w:sz w:val="24"/>
          <w:szCs w:val="24"/>
        </w:rPr>
        <w:t>绿化</w:t>
      </w:r>
      <w:r>
        <w:rPr>
          <w:rFonts w:hint="eastAsia" w:ascii="仿宋" w:hAnsi="仿宋" w:eastAsia="仿宋" w:cs="宋体"/>
          <w:sz w:val="24"/>
          <w:szCs w:val="24"/>
          <w:lang w:eastAsia="zh-CN"/>
        </w:rPr>
        <w:t>美化</w:t>
      </w:r>
      <w:r>
        <w:rPr>
          <w:rFonts w:hint="eastAsia" w:ascii="仿宋" w:hAnsi="仿宋" w:eastAsia="仿宋" w:cs="宋体"/>
          <w:sz w:val="24"/>
          <w:szCs w:val="24"/>
        </w:rPr>
        <w:t>亮化</w:t>
      </w:r>
      <w:r>
        <w:rPr>
          <w:rFonts w:hint="eastAsia" w:ascii="仿宋" w:hAnsi="仿宋" w:eastAsia="仿宋" w:cs="宋体"/>
          <w:sz w:val="24"/>
          <w:szCs w:val="24"/>
          <w:lang w:eastAsia="zh-CN"/>
        </w:rPr>
        <w:t>、文化长廊建设。</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val="0"/>
          <w:bCs w:val="0"/>
          <w:color w:val="000000"/>
          <w:kern w:val="0"/>
          <w:sz w:val="24"/>
          <w:szCs w:val="24"/>
          <w:lang w:val="en-US" w:eastAsia="zh-CN" w:bidi="ar"/>
        </w:rPr>
        <w:t>验收标准</w:t>
      </w:r>
      <w:r>
        <w:rPr>
          <w:rFonts w:hint="eastAsia" w:ascii="仿宋_GB2312" w:hAnsi="仿宋_GB2312" w:eastAsia="仿宋_GB2312" w:cs="仿宋_GB2312"/>
          <w:b w:val="0"/>
          <w:bCs w:val="0"/>
          <w:color w:val="000000"/>
          <w:kern w:val="0"/>
          <w:sz w:val="24"/>
          <w:szCs w:val="24"/>
          <w:lang w:val="en-US" w:eastAsia="zh-CN" w:bidi="ar"/>
        </w:rPr>
        <w:t>：设备安装后，采购单位按国际和国家标准及厂方标准进行质量验收。采购方有权委托中国有资格的单位对上述仪器进行精度校核。</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七、采购标的的其他技术、服务等要求；</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八、需要满足的其他技术规格要求；</w:t>
      </w:r>
    </w:p>
    <w:p>
      <w:pPr>
        <w:keepNext w:val="0"/>
        <w:keepLines w:val="0"/>
        <w:widowControl/>
        <w:suppressLineNumbers w:val="0"/>
        <w:ind w:firstLine="480"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1、产品名称：</w:t>
      </w:r>
      <w:r>
        <w:rPr>
          <w:rFonts w:hint="eastAsia" w:ascii="仿宋_GB2312" w:hAnsi="仿宋_GB2312" w:eastAsia="仿宋_GB2312" w:cs="仿宋_GB2312"/>
          <w:b w:val="0"/>
          <w:bCs w:val="0"/>
          <w:color w:val="000000"/>
          <w:sz w:val="24"/>
          <w:szCs w:val="24"/>
          <w:lang w:eastAsia="zh-CN"/>
        </w:rPr>
        <w:t>具体详见招标文件参数要求</w:t>
      </w:r>
    </w:p>
    <w:p>
      <w:pPr>
        <w:keepNext w:val="0"/>
        <w:keepLines w:val="0"/>
        <w:widowControl/>
        <w:suppressLineNumbers w:val="0"/>
        <w:ind w:firstLine="480"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2、维保期限：</w:t>
      </w:r>
      <w:r>
        <w:rPr>
          <w:rFonts w:hint="eastAsia" w:ascii="仿宋_GB2312" w:hAnsi="仿宋_GB2312" w:eastAsia="仿宋_GB2312" w:cs="仿宋_GB2312"/>
          <w:b w:val="0"/>
          <w:bCs w:val="0"/>
          <w:color w:val="000000"/>
          <w:sz w:val="24"/>
          <w:szCs w:val="24"/>
          <w:lang w:eastAsia="zh-CN"/>
        </w:rPr>
        <w:t>具体详见招标文件参数要求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3、设备使用单位：莎车县残疾人联合会</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4、维保用途说明：</w:t>
      </w:r>
    </w:p>
    <w:p>
      <w:pPr>
        <w:keepNext w:val="0"/>
        <w:keepLines w:val="0"/>
        <w:widowControl/>
        <w:suppressLineNumbers w:val="0"/>
        <w:ind w:firstLine="480"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5、维保服务参数要求：</w:t>
      </w:r>
    </w:p>
    <w:p>
      <w:pPr>
        <w:keepNext w:val="0"/>
        <w:keepLines w:val="0"/>
        <w:widowControl/>
        <w:suppressLineNumbers w:val="0"/>
        <w:ind w:firstLine="482"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九、一般性审查和重点审查：</w:t>
      </w:r>
    </w:p>
    <w:p>
      <w:pPr>
        <w:pStyle w:val="6"/>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该项目是一般性审查还是重点审查？（对应选择）</w:t>
      </w:r>
    </w:p>
    <w:p>
      <w:pPr>
        <w:pStyle w:val="6"/>
        <w:numPr>
          <w:ilvl w:val="0"/>
          <w:numId w:val="2"/>
        </w:num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一般性审查</w:t>
      </w:r>
    </w:p>
    <w:p>
      <w:pPr>
        <w:pStyle w:val="6"/>
        <w:numPr>
          <w:ilvl w:val="0"/>
          <w:numId w:val="2"/>
        </w:numP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重点审查</w:t>
      </w:r>
    </w:p>
    <w:p>
      <w:pPr>
        <w:pStyle w:val="6"/>
        <w:numPr>
          <w:ilvl w:val="0"/>
          <w:numId w:val="2"/>
        </w:numP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采购单位审查人员姓名：</w:t>
      </w:r>
    </w:p>
    <w:p>
      <w:pPr>
        <w:pStyle w:val="6"/>
        <w:numPr>
          <w:ilvl w:val="0"/>
          <w:numId w:val="2"/>
        </w:numP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审查时间：</w:t>
      </w:r>
    </w:p>
    <w:p>
      <w:pPr>
        <w:pStyle w:val="6"/>
        <w:numPr>
          <w:ilvl w:val="0"/>
          <w:numId w:val="0"/>
        </w:numPr>
        <w:rPr>
          <w:rFonts w:hint="eastAsia" w:ascii="仿宋_GB2312" w:hAnsi="仿宋_GB2312" w:eastAsia="仿宋_GB2312" w:cs="仿宋_GB2312"/>
          <w:b w:val="0"/>
          <w:bCs w:val="0"/>
          <w:color w:val="000000"/>
          <w:kern w:val="0"/>
          <w:sz w:val="24"/>
          <w:szCs w:val="24"/>
          <w:lang w:val="en-US" w:eastAsia="zh-CN" w:bidi="ar"/>
        </w:rPr>
      </w:pPr>
    </w:p>
    <w:p>
      <w:pPr>
        <w:pStyle w:val="6"/>
        <w:numPr>
          <w:ilvl w:val="0"/>
          <w:numId w:val="0"/>
        </w:numPr>
        <w:jc w:val="right"/>
        <w:rPr>
          <w:rFonts w:hint="eastAsia" w:ascii="仿宋_GB2312" w:hAnsi="仿宋_GB2312" w:eastAsia="仿宋_GB2312" w:cs="仿宋_GB2312"/>
          <w:b w:val="0"/>
          <w:bCs w:val="0"/>
          <w:color w:val="000000"/>
          <w:kern w:val="0"/>
          <w:sz w:val="24"/>
          <w:szCs w:val="24"/>
          <w:lang w:val="en-US" w:eastAsia="zh-CN" w:bidi="ar"/>
        </w:rPr>
      </w:pPr>
    </w:p>
    <w:p>
      <w:pPr>
        <w:pStyle w:val="6"/>
        <w:numPr>
          <w:ilvl w:val="0"/>
          <w:numId w:val="0"/>
        </w:numPr>
        <w:jc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                                      </w:t>
      </w:r>
      <w:bookmarkStart w:id="0" w:name="_GoBack"/>
      <w:bookmarkEnd w:id="0"/>
      <w:r>
        <w:rPr>
          <w:rFonts w:hint="eastAsia" w:ascii="仿宋_GB2312" w:hAnsi="仿宋_GB2312" w:eastAsia="仿宋_GB2312" w:cs="仿宋_GB2312"/>
          <w:b w:val="0"/>
          <w:bCs w:val="0"/>
          <w:color w:val="000000"/>
          <w:kern w:val="0"/>
          <w:sz w:val="24"/>
          <w:szCs w:val="24"/>
          <w:lang w:val="en-US" w:eastAsia="zh-CN" w:bidi="ar"/>
        </w:rPr>
        <w:t xml:space="preserve"> 采 购 单 位：莎车县残疾人联合会</w:t>
      </w:r>
    </w:p>
    <w:p>
      <w:pPr>
        <w:pStyle w:val="6"/>
        <w:numPr>
          <w:ilvl w:val="0"/>
          <w:numId w:val="0"/>
        </w:numPr>
        <w:ind w:firstLine="480" w:firstLineChars="200"/>
        <w:jc w:val="righ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2022年3月22 日：</w:t>
      </w:r>
    </w:p>
    <w:p>
      <w:pPr>
        <w:keepNext w:val="0"/>
        <w:keepLines w:val="0"/>
        <w:widowControl/>
        <w:suppressLineNumbers w:val="0"/>
        <w:ind w:firstLine="480" w:firstLineChars="200"/>
        <w:jc w:val="both"/>
        <w:rPr>
          <w:rFonts w:ascii="仿宋_GB2312" w:hAnsi="仿宋_GB2312" w:eastAsia="仿宋_GB2312" w:cs="仿宋_GB2312"/>
          <w:b w:val="0"/>
          <w:bCs w:val="0"/>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5A9C8"/>
    <w:multiLevelType w:val="singleLevel"/>
    <w:tmpl w:val="DA15A9C8"/>
    <w:lvl w:ilvl="0" w:tentative="0">
      <w:start w:val="2"/>
      <w:numFmt w:val="chineseCounting"/>
      <w:suff w:val="nothing"/>
      <w:lvlText w:val="%1、"/>
      <w:lvlJc w:val="left"/>
      <w:rPr>
        <w:rFonts w:hint="eastAsia"/>
      </w:rPr>
    </w:lvl>
  </w:abstractNum>
  <w:abstractNum w:abstractNumId="1">
    <w:nsid w:val="12869633"/>
    <w:multiLevelType w:val="singleLevel"/>
    <w:tmpl w:val="1286963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F26EC2"/>
    <w:rsid w:val="04911826"/>
    <w:rsid w:val="077E7CBA"/>
    <w:rsid w:val="106C1D7C"/>
    <w:rsid w:val="1C657F68"/>
    <w:rsid w:val="22122375"/>
    <w:rsid w:val="23BF04CC"/>
    <w:rsid w:val="2EBC4A66"/>
    <w:rsid w:val="432B1D63"/>
    <w:rsid w:val="44343534"/>
    <w:rsid w:val="44EE3048"/>
    <w:rsid w:val="46EF01DD"/>
    <w:rsid w:val="4B130554"/>
    <w:rsid w:val="51F4755E"/>
    <w:rsid w:val="527D0205"/>
    <w:rsid w:val="594A28B3"/>
    <w:rsid w:val="5B13760E"/>
    <w:rsid w:val="5B8879E9"/>
    <w:rsid w:val="60C0478D"/>
    <w:rsid w:val="6AD9264C"/>
    <w:rsid w:val="6F2C48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55"/>
      <w:outlineLvl w:val="0"/>
    </w:pPr>
    <w:rPr>
      <w:sz w:val="32"/>
      <w:szCs w:val="32"/>
    </w:rPr>
  </w:style>
  <w:style w:type="paragraph" w:styleId="4">
    <w:name w:val="heading 2"/>
    <w:basedOn w:val="1"/>
    <w:next w:val="1"/>
    <w:qFormat/>
    <w:uiPriority w:val="9"/>
    <w:pPr>
      <w:ind w:left="1960"/>
      <w:outlineLvl w:val="1"/>
    </w:pPr>
    <w:rPr>
      <w:rFonts w:ascii="黑体" w:hAnsi="黑体" w:eastAsia="黑体" w:cs="黑体"/>
      <w:sz w:val="28"/>
      <w:szCs w:val="28"/>
    </w:rPr>
  </w:style>
  <w:style w:type="paragraph" w:styleId="5">
    <w:name w:val="heading 3"/>
    <w:basedOn w:val="1"/>
    <w:next w:val="6"/>
    <w:qFormat/>
    <w:uiPriority w:val="0"/>
    <w:pPr>
      <w:keepNext/>
      <w:keepLines/>
      <w:autoSpaceDE w:val="0"/>
      <w:autoSpaceDN w:val="0"/>
      <w:adjustRightInd w:val="0"/>
      <w:snapToGrid w:val="0"/>
      <w:spacing w:before="120" w:after="120"/>
      <w:jc w:val="left"/>
      <w:outlineLvl w:val="2"/>
    </w:pPr>
    <w:rPr>
      <w:rFonts w:ascii="宋体" w:hAnsi="宋体"/>
      <w:b/>
      <w:kern w:val="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6">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7">
    <w:name w:val="Normal (Web)"/>
    <w:basedOn w:val="1"/>
    <w:qFormat/>
    <w:uiPriority w:val="0"/>
    <w:pPr>
      <w:spacing w:before="75" w:after="75"/>
    </w:pPr>
    <w:rPr>
      <w:rFonts w:cs="Times New Roman"/>
      <w:sz w:val="24"/>
    </w:r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paragraph" w:customStyle="1" w:styleId="12">
    <w:name w:val="179"/>
    <w:basedOn w:val="1"/>
    <w:qFormat/>
    <w:uiPriority w:val="0"/>
    <w:pPr>
      <w:autoSpaceDE/>
      <w:autoSpaceDN/>
      <w:ind w:firstLine="420" w:firstLineChars="200"/>
      <w:jc w:val="both"/>
      <w:textAlignment w:val="baseline"/>
    </w:pPr>
    <w:rPr>
      <w:rFonts w:ascii="Calibri" w:hAnsi="Calibri" w:cs="Calibri"/>
      <w:kern w:val="2"/>
      <w:sz w:val="21"/>
      <w:lang w:eastAsia="zh-CN"/>
    </w:rPr>
  </w:style>
  <w:style w:type="paragraph" w:styleId="13">
    <w:name w:val="List Paragraph"/>
    <w:basedOn w:val="1"/>
    <w:qFormat/>
    <w:uiPriority w:val="34"/>
    <w:pPr>
      <w:spacing w:before="144"/>
      <w:ind w:left="933" w:hanging="534"/>
    </w:pPr>
  </w:style>
  <w:style w:type="paragraph" w:customStyle="1" w:styleId="14">
    <w:name w:val="NormalIndent"/>
    <w:basedOn w:val="1"/>
    <w:qFormat/>
    <w:uiPriority w:val="0"/>
    <w:pPr>
      <w:autoSpaceDE/>
      <w:autoSpaceDN/>
      <w:ind w:firstLine="420" w:firstLineChars="200"/>
      <w:jc w:val="both"/>
      <w:textAlignment w:val="baseline"/>
    </w:pPr>
    <w:rPr>
      <w:rFonts w:ascii="Calibri" w:hAnsi="Calibri" w:cs="Calibri"/>
      <w:kern w:val="2"/>
      <w:sz w:val="21"/>
      <w:szCs w:val="21"/>
      <w:lang w:eastAsia="zh-CN"/>
    </w:rPr>
  </w:style>
  <w:style w:type="character" w:customStyle="1" w:styleId="15">
    <w:name w:val="font91"/>
    <w:basedOn w:val="10"/>
    <w:qFormat/>
    <w:uiPriority w:val="0"/>
    <w:rPr>
      <w:rFonts w:ascii="方正仿宋简体" w:hAnsi="方正仿宋简体" w:eastAsia="方正仿宋简体" w:cs="方正仿宋简体"/>
      <w:b/>
      <w:bCs/>
      <w:color w:val="000000"/>
      <w:sz w:val="24"/>
      <w:szCs w:val="24"/>
      <w:u w:val="none"/>
    </w:rPr>
  </w:style>
  <w:style w:type="character" w:customStyle="1" w:styleId="16">
    <w:name w:val="font11"/>
    <w:basedOn w:val="10"/>
    <w:qFormat/>
    <w:uiPriority w:val="0"/>
    <w:rPr>
      <w:rFonts w:hint="default" w:ascii="Times New Roman" w:hAnsi="Times New Roman" w:cs="Times New Roman"/>
      <w:b/>
      <w:bCs/>
      <w:color w:val="000000"/>
      <w:sz w:val="24"/>
      <w:szCs w:val="24"/>
      <w:u w:val="none"/>
    </w:rPr>
  </w:style>
  <w:style w:type="character" w:customStyle="1" w:styleId="17">
    <w:name w:val="font61"/>
    <w:basedOn w:val="10"/>
    <w:qFormat/>
    <w:uiPriority w:val="0"/>
    <w:rPr>
      <w:rFonts w:hint="eastAsia" w:ascii="方正仿宋简体" w:hAnsi="方正仿宋简体" w:eastAsia="方正仿宋简体" w:cs="方正仿宋简体"/>
      <w:color w:val="000000"/>
      <w:sz w:val="24"/>
      <w:szCs w:val="24"/>
      <w:u w:val="none"/>
    </w:rPr>
  </w:style>
  <w:style w:type="character" w:customStyle="1" w:styleId="18">
    <w:name w:val="font51"/>
    <w:basedOn w:val="10"/>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1"/>
    <w:basedOn w:val="10"/>
    <w:qFormat/>
    <w:uiPriority w:val="0"/>
    <w:rPr>
      <w:rFonts w:hint="default" w:ascii="Times New Roman" w:hAnsi="Times New Roman" w:cs="Times New Roman"/>
      <w:color w:val="000000"/>
      <w:sz w:val="24"/>
      <w:szCs w:val="24"/>
      <w:u w:val="none"/>
    </w:rPr>
  </w:style>
  <w:style w:type="character" w:customStyle="1" w:styleId="20">
    <w:name w:val="font21"/>
    <w:basedOn w:val="10"/>
    <w:qFormat/>
    <w:uiPriority w:val="0"/>
    <w:rPr>
      <w:rFonts w:hint="default" w:ascii="Times New Roman" w:hAnsi="Times New Roman" w:cs="Times New Roman"/>
      <w:color w:val="000000"/>
      <w:sz w:val="24"/>
      <w:szCs w:val="24"/>
      <w:u w:val="none"/>
    </w:rPr>
  </w:style>
  <w:style w:type="character" w:customStyle="1" w:styleId="21">
    <w:name w:val="font41"/>
    <w:basedOn w:val="10"/>
    <w:qFormat/>
    <w:uiPriority w:val="0"/>
    <w:rPr>
      <w:rFonts w:hint="eastAsia" w:ascii="方正仿宋简体" w:hAnsi="方正仿宋简体" w:eastAsia="方正仿宋简体" w:cs="方正仿宋简体"/>
      <w:color w:val="000000"/>
      <w:sz w:val="24"/>
      <w:szCs w:val="24"/>
      <w:u w:val="none"/>
    </w:rPr>
  </w:style>
  <w:style w:type="character" w:customStyle="1" w:styleId="22">
    <w:name w:val="font71"/>
    <w:basedOn w:val="10"/>
    <w:qFormat/>
    <w:uiPriority w:val="0"/>
    <w:rPr>
      <w:rFonts w:hint="default" w:ascii="Times New Roman" w:hAnsi="Times New Roman" w:cs="Times New Roman"/>
      <w:color w:val="000000"/>
      <w:sz w:val="24"/>
      <w:szCs w:val="24"/>
      <w:u w:val="none"/>
    </w:rPr>
  </w:style>
  <w:style w:type="character" w:customStyle="1" w:styleId="23">
    <w:name w:val="font101"/>
    <w:basedOn w:val="10"/>
    <w:qFormat/>
    <w:uiPriority w:val="0"/>
    <w:rPr>
      <w:rFonts w:hint="eastAsia" w:ascii="宋体" w:hAnsi="宋体" w:eastAsia="宋体" w:cs="宋体"/>
      <w:color w:val="000000"/>
      <w:sz w:val="24"/>
      <w:szCs w:val="24"/>
      <w:u w:val="none"/>
    </w:rPr>
  </w:style>
  <w:style w:type="character" w:customStyle="1" w:styleId="24">
    <w:name w:val="font8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呆^O^</cp:lastModifiedBy>
  <cp:lastPrinted>2021-12-16T12:01:00Z</cp:lastPrinted>
  <dcterms:modified xsi:type="dcterms:W3CDTF">2022-03-23T06:58:02Z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986BC928C5A2480F96EB8E1E80BF37A9</vt:lpwstr>
  </property>
</Properties>
</file>